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6894" w14:textId="77777777" w:rsidR="002B6563" w:rsidRPr="002F0E4A" w:rsidRDefault="009F1E3F" w:rsidP="002B6563">
      <w:pPr>
        <w:pStyle w:val="RefAgency"/>
        <w:tabs>
          <w:tab w:val="left" w:pos="1277"/>
        </w:tabs>
        <w:ind w:left="1277" w:hanging="1277"/>
        <w:rPr>
          <w:sz w:val="20"/>
          <w:szCs w:val="20"/>
        </w:rPr>
      </w:pPr>
      <w:bookmarkStart w:id="0" w:name="_Hlk25326161"/>
      <w:bookmarkStart w:id="1" w:name="Date"/>
      <w:bookmarkStart w:id="2" w:name="DocTitle"/>
      <w:r w:rsidRPr="002F0E4A">
        <w:rPr>
          <w:rStyle w:val="DraftingNotesAgencyChar"/>
          <w:sz w:val="20"/>
          <w:szCs w:val="20"/>
        </w:rPr>
        <w:t>[insert only for CHMP/CAT adopted doc &amp; add EMA header and footer]</w:t>
      </w:r>
      <w:r w:rsidRPr="002F0E4A">
        <w:rPr>
          <w:sz w:val="20"/>
          <w:szCs w:val="20"/>
        </w:rPr>
        <w:t xml:space="preserve"> </w:t>
      </w:r>
    </w:p>
    <w:p w14:paraId="3E74BB60" w14:textId="77777777" w:rsidR="002B6563" w:rsidRPr="005A4343" w:rsidRDefault="009F1E3F" w:rsidP="002B6563">
      <w:pPr>
        <w:pStyle w:val="RefAgency"/>
        <w:tabs>
          <w:tab w:val="left" w:pos="1384"/>
        </w:tabs>
        <w:ind w:left="1277" w:hanging="1277"/>
      </w:pPr>
      <w:r>
        <w:t>Amsterdam</w:t>
      </w:r>
      <w:r w:rsidRPr="004937EE">
        <w:t xml:space="preserve">, </w:t>
      </w:r>
      <w:bookmarkEnd w:id="0"/>
      <w:r w:rsidRPr="005A4343">
        <w:t>&lt;insert full date&gt;</w:t>
      </w:r>
    </w:p>
    <w:p w14:paraId="1F4521E7" w14:textId="77777777" w:rsidR="002B6563" w:rsidRDefault="009F1E3F" w:rsidP="002B6563">
      <w:pPr>
        <w:pStyle w:val="RefAgency"/>
        <w:tabs>
          <w:tab w:val="left" w:pos="1384"/>
        </w:tabs>
        <w:ind w:left="1277" w:hanging="1277"/>
      </w:pPr>
      <w:r w:rsidRPr="002F2353">
        <w:t>&lt;insert Doc.Ref.&gt;</w:t>
      </w:r>
      <w:r w:rsidRPr="00263043">
        <w:rPr>
          <w:rFonts w:ascii="Courier New" w:hAnsi="Courier New" w:cs="Courier New"/>
          <w:i/>
          <w:color w:val="00B050"/>
          <w:sz w:val="22"/>
          <w:szCs w:val="22"/>
        </w:rPr>
        <w:t xml:space="preserve"> </w:t>
      </w:r>
      <w:bookmarkEnd w:id="1"/>
    </w:p>
    <w:p w14:paraId="3A324E18" w14:textId="77777777" w:rsidR="002B6563" w:rsidRDefault="009F1E3F" w:rsidP="002F2353">
      <w:pPr>
        <w:pStyle w:val="RefAgency"/>
        <w:tabs>
          <w:tab w:val="left" w:pos="0"/>
        </w:tabs>
      </w:pPr>
      <w:r>
        <w:t>&lt;</w:t>
      </w:r>
      <w:r w:rsidRPr="008410B1">
        <w:t>Committee for Medicinal Products for Human Use (CHMP)</w:t>
      </w:r>
      <w:r>
        <w:t>&gt;&lt;</w:t>
      </w:r>
      <w:r w:rsidRPr="00335642">
        <w:t xml:space="preserve"> </w:t>
      </w:r>
      <w:r w:rsidRPr="004937EE">
        <w:t xml:space="preserve">Committee for </w:t>
      </w:r>
      <w:r>
        <w:t xml:space="preserve">Advanced Therapies Medicinal </w:t>
      </w:r>
      <w:r w:rsidRPr="004937EE">
        <w:t>Products (C</w:t>
      </w:r>
      <w:r>
        <w:t>AT)&gt;</w:t>
      </w:r>
    </w:p>
    <w:p w14:paraId="36EACAE2" w14:textId="77777777" w:rsidR="00D178ED" w:rsidRDefault="00D178ED" w:rsidP="002B6563">
      <w:pPr>
        <w:pStyle w:val="RefAgency"/>
        <w:tabs>
          <w:tab w:val="left" w:pos="1384"/>
        </w:tabs>
        <w:ind w:left="1277" w:hanging="1277"/>
      </w:pPr>
    </w:p>
    <w:p w14:paraId="6876039C" w14:textId="77777777" w:rsidR="00D178ED" w:rsidRPr="004937EE" w:rsidRDefault="00D178ED" w:rsidP="002B6563">
      <w:pPr>
        <w:pStyle w:val="RefAgency"/>
        <w:tabs>
          <w:tab w:val="left" w:pos="1384"/>
        </w:tabs>
        <w:ind w:left="1277" w:hanging="1277"/>
      </w:pPr>
    </w:p>
    <w:p w14:paraId="7B8DA8E1" w14:textId="0BE33B64" w:rsidR="0089347F" w:rsidRPr="0089347F" w:rsidRDefault="009F1E3F" w:rsidP="00796CEC">
      <w:pPr>
        <w:pStyle w:val="DoctitleAgency"/>
      </w:pPr>
      <w:r>
        <w:t xml:space="preserve">&lt;Rapporteur </w:t>
      </w:r>
      <w:r w:rsidRPr="00A96197">
        <w:t>&lt;</w:t>
      </w:r>
      <w:r>
        <w:t xml:space="preserve">and </w:t>
      </w:r>
      <w:r w:rsidRPr="00A96197">
        <w:t>Co</w:t>
      </w:r>
      <w:r>
        <w:t>-</w:t>
      </w:r>
      <w:r w:rsidRPr="00A96197">
        <w:t>Rapporteur</w:t>
      </w:r>
      <w:r>
        <w:t xml:space="preserve">&gt; </w:t>
      </w:r>
      <w:r w:rsidR="002B6563">
        <w:t>&lt;Joint&gt;&lt;CHMP&gt;&lt;CAT&gt;&lt;</w:t>
      </w:r>
      <w:r>
        <w:t xml:space="preserve">Assessment </w:t>
      </w:r>
      <w:r w:rsidR="00876F73">
        <w:t>re</w:t>
      </w:r>
      <w:r w:rsidR="002B6563">
        <w:t>port &lt;</w:t>
      </w:r>
      <w:r>
        <w:t>L</w:t>
      </w:r>
      <w:r w:rsidR="002B6563">
        <w:t>ist of questions&gt;</w:t>
      </w:r>
      <w:bookmarkEnd w:id="2"/>
      <w:r w:rsidR="002B6563" w:rsidRPr="002B6563">
        <w:t xml:space="preserve"> </w:t>
      </w:r>
      <w:r w:rsidR="002B6563">
        <w:t>on the claim of new active substance (NAS) status of &lt;active substance&gt; contained in &lt;</w:t>
      </w:r>
      <w:r>
        <w:t xml:space="preserve">Product </w:t>
      </w:r>
      <w:r w:rsidR="002B6563">
        <w:t>name&gt;</w:t>
      </w:r>
    </w:p>
    <w:p w14:paraId="0494BF7F" w14:textId="44C1EE8C" w:rsidR="00CB4200" w:rsidRDefault="00CB4200" w:rsidP="00EC5EB0">
      <w:pPr>
        <w:pStyle w:val="DocsubtitleAgency"/>
      </w:pPr>
    </w:p>
    <w:p w14:paraId="59831313" w14:textId="77777777" w:rsidR="00765E12" w:rsidRDefault="00765E12" w:rsidP="00765E12">
      <w:pPr>
        <w:pStyle w:val="BodytextAgency"/>
      </w:pPr>
    </w:p>
    <w:p w14:paraId="147F92A0" w14:textId="68A08918" w:rsidR="00765E12" w:rsidRPr="00796CEC" w:rsidRDefault="009F1E3F" w:rsidP="00765E12">
      <w:pPr>
        <w:pStyle w:val="DocsubtitleAgency"/>
      </w:pPr>
      <w:r w:rsidRPr="00796CEC">
        <w:t>International non</w:t>
      </w:r>
      <w:r w:rsidR="00D05702" w:rsidRPr="00796CEC">
        <w:t>-</w:t>
      </w:r>
      <w:r w:rsidRPr="00796CEC">
        <w:t>proprietary name</w:t>
      </w:r>
      <w:r w:rsidR="00D51D21" w:rsidRPr="00796CEC">
        <w:t xml:space="preserve"> or common name</w:t>
      </w:r>
      <w:r w:rsidRPr="00796CEC">
        <w:t>: &lt;</w:t>
      </w:r>
      <w:r w:rsidR="00D51D21">
        <w:t>…</w:t>
      </w:r>
      <w:r w:rsidRPr="00796CEC">
        <w:t>&gt;</w:t>
      </w:r>
    </w:p>
    <w:p w14:paraId="7D28CBFA" w14:textId="77777777" w:rsidR="00765E12" w:rsidRPr="002F0E4A" w:rsidRDefault="009F1E3F" w:rsidP="00765E12">
      <w:pPr>
        <w:pStyle w:val="DocsubtitleAgency"/>
        <w:rPr>
          <w:lang w:val="it-IT"/>
        </w:rPr>
      </w:pPr>
      <w:r w:rsidRPr="002F0E4A">
        <w:rPr>
          <w:lang w:val="it-IT"/>
        </w:rPr>
        <w:t xml:space="preserve">Procedure </w:t>
      </w:r>
      <w:r w:rsidR="00A872B8" w:rsidRPr="002F0E4A">
        <w:rPr>
          <w:lang w:val="it-IT"/>
        </w:rPr>
        <w:t>no</w:t>
      </w:r>
      <w:r w:rsidRPr="002F0E4A">
        <w:rPr>
          <w:lang w:val="it-IT"/>
        </w:rPr>
        <w:t>.: EMEA/H/C/&lt;XXX&gt;</w:t>
      </w:r>
    </w:p>
    <w:p w14:paraId="21263D71" w14:textId="77777777" w:rsidR="00765E12" w:rsidRDefault="009F1E3F" w:rsidP="00765E12">
      <w:pPr>
        <w:pStyle w:val="DocsubtitleAgency"/>
      </w:pPr>
      <w:r>
        <w:t>Applicant: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5456"/>
      </w:tblGrid>
      <w:tr w:rsidR="00381EBE" w14:paraId="4822D193" w14:textId="77777777" w:rsidTr="00551E57">
        <w:trPr>
          <w:tblHeader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530FE933" w14:textId="51E41210" w:rsidR="00765E12" w:rsidRPr="00F9621D" w:rsidRDefault="009F1E3F" w:rsidP="00551E57">
            <w:pPr>
              <w:pStyle w:val="TableheadingrowsAgency"/>
              <w:rPr>
                <w:b w:val="0"/>
              </w:rPr>
            </w:pPr>
            <w:bookmarkStart w:id="3" w:name="BodyBlank"/>
            <w:bookmarkEnd w:id="3"/>
            <w:r>
              <w:rPr>
                <w:b w:val="0"/>
              </w:rPr>
              <w:t>&lt;</w:t>
            </w:r>
            <w:r w:rsidR="00C15D15">
              <w:rPr>
                <w:b w:val="0"/>
              </w:rPr>
              <w:t>CHMP</w:t>
            </w:r>
            <w:r>
              <w:rPr>
                <w:b w:val="0"/>
              </w:rPr>
              <w:t>&gt;&lt;</w:t>
            </w:r>
            <w:r w:rsidR="00C15D15">
              <w:rPr>
                <w:b w:val="0"/>
              </w:rPr>
              <w:t>CAT</w:t>
            </w:r>
            <w:r>
              <w:rPr>
                <w:b w:val="0"/>
              </w:rPr>
              <w:t>&gt;</w:t>
            </w:r>
            <w:r w:rsidR="00C15D15">
              <w:rPr>
                <w:b w:val="0"/>
              </w:rPr>
              <w:t xml:space="preserve"> </w:t>
            </w:r>
            <w:r w:rsidRPr="00F9621D">
              <w:rPr>
                <w:b w:val="0"/>
              </w:rPr>
              <w:t xml:space="preserve">Rapporteur: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4721881" w14:textId="77777777" w:rsidR="00765E12" w:rsidRPr="00F9621D" w:rsidRDefault="00765E12" w:rsidP="00551E57">
            <w:pPr>
              <w:pStyle w:val="TableheadingrowsAgency"/>
              <w:rPr>
                <w:b w:val="0"/>
              </w:rPr>
            </w:pPr>
          </w:p>
        </w:tc>
      </w:tr>
      <w:tr w:rsidR="00381EBE" w14:paraId="77640402" w14:textId="77777777" w:rsidTr="00551E57">
        <w:tc>
          <w:tcPr>
            <w:tcW w:w="3756" w:type="dxa"/>
            <w:shd w:val="clear" w:color="auto" w:fill="auto"/>
          </w:tcPr>
          <w:p w14:paraId="7ACEBD87" w14:textId="3595C5E8" w:rsidR="00765E12" w:rsidRPr="00F9621D" w:rsidRDefault="009F1E3F" w:rsidP="00551E57">
            <w:pPr>
              <w:pStyle w:val="TableheadingrowsAgency"/>
              <w:rPr>
                <w:b w:val="0"/>
                <w:bCs/>
              </w:rPr>
            </w:pPr>
            <w:r>
              <w:rPr>
                <w:b w:val="0"/>
                <w:bCs/>
              </w:rPr>
              <w:t>&lt;</w:t>
            </w:r>
            <w:r w:rsidR="00C15D15">
              <w:rPr>
                <w:b w:val="0"/>
                <w:bCs/>
              </w:rPr>
              <w:t>CHMP</w:t>
            </w:r>
            <w:r>
              <w:rPr>
                <w:b w:val="0"/>
                <w:bCs/>
              </w:rPr>
              <w:t>&gt;&lt;</w:t>
            </w:r>
            <w:r w:rsidR="00C15D15">
              <w:rPr>
                <w:b w:val="0"/>
                <w:bCs/>
              </w:rPr>
              <w:t>CAT</w:t>
            </w:r>
            <w:r>
              <w:rPr>
                <w:b w:val="0"/>
                <w:bCs/>
              </w:rPr>
              <w:t>&gt;</w:t>
            </w:r>
            <w:r w:rsidR="00C15D15">
              <w:rPr>
                <w:b w:val="0"/>
                <w:bCs/>
              </w:rPr>
              <w:t xml:space="preserve"> </w:t>
            </w:r>
            <w:r w:rsidR="00A872B8">
              <w:rPr>
                <w:b w:val="0"/>
                <w:bCs/>
              </w:rPr>
              <w:t>Co-r</w:t>
            </w:r>
            <w:r w:rsidRPr="00F9621D">
              <w:rPr>
                <w:b w:val="0"/>
                <w:bCs/>
              </w:rPr>
              <w:t>apporteur:</w:t>
            </w:r>
          </w:p>
        </w:tc>
        <w:tc>
          <w:tcPr>
            <w:tcW w:w="5456" w:type="dxa"/>
            <w:shd w:val="clear" w:color="auto" w:fill="auto"/>
          </w:tcPr>
          <w:p w14:paraId="6849EF08" w14:textId="77777777" w:rsidR="00765E12" w:rsidRPr="00F9621D" w:rsidRDefault="00765E12" w:rsidP="00551E57">
            <w:pPr>
              <w:pStyle w:val="TableheadingrowsAgency"/>
            </w:pPr>
          </w:p>
        </w:tc>
      </w:tr>
      <w:tr w:rsidR="00381EBE" w14:paraId="4CA83436" w14:textId="77777777" w:rsidTr="00551E57">
        <w:tc>
          <w:tcPr>
            <w:tcW w:w="3756" w:type="dxa"/>
            <w:shd w:val="clear" w:color="auto" w:fill="auto"/>
          </w:tcPr>
          <w:p w14:paraId="52FAB577" w14:textId="77777777" w:rsidR="00070F24" w:rsidRDefault="009F1E3F" w:rsidP="00551E57">
            <w:pPr>
              <w:pStyle w:val="TableheadingrowsAgency"/>
              <w:rPr>
                <w:b w:val="0"/>
                <w:bCs/>
              </w:rPr>
            </w:pPr>
            <w:r>
              <w:rPr>
                <w:b w:val="0"/>
                <w:bCs/>
              </w:rPr>
              <w:t>&lt;</w:t>
            </w:r>
            <w:r w:rsidRPr="00E63F38">
              <w:rPr>
                <w:b w:val="0"/>
                <w:bCs/>
              </w:rPr>
              <w:t>CHMP coordinator</w:t>
            </w:r>
            <w:r>
              <w:rPr>
                <w:b w:val="0"/>
                <w:bCs/>
              </w:rPr>
              <w:t>(s)&gt;</w:t>
            </w:r>
            <w:r w:rsidRPr="00E63F38">
              <w:rPr>
                <w:b w:val="0"/>
                <w:bCs/>
              </w:rPr>
              <w:t xml:space="preserve"> </w:t>
            </w:r>
            <w:r w:rsidRPr="00E63F38">
              <w:rPr>
                <w:rFonts w:ascii="Courier New" w:hAnsi="Courier New" w:cs="Times New Roman"/>
                <w:b w:val="0"/>
                <w:i/>
                <w:color w:val="339966"/>
                <w:sz w:val="22"/>
              </w:rPr>
              <w:t>to be included only for CAT pro</w:t>
            </w:r>
            <w:r>
              <w:rPr>
                <w:rFonts w:ascii="Courier New" w:hAnsi="Courier New" w:cs="Times New Roman"/>
                <w:b w:val="0"/>
                <w:i/>
                <w:color w:val="339966"/>
                <w:sz w:val="22"/>
              </w:rPr>
              <w:t>cedure</w:t>
            </w:r>
            <w:r w:rsidRPr="00E63F38">
              <w:rPr>
                <w:rFonts w:ascii="Courier New" w:hAnsi="Courier New" w:cs="Times New Roman"/>
                <w:b w:val="0"/>
                <w:i/>
                <w:color w:val="339966"/>
                <w:sz w:val="22"/>
              </w:rPr>
              <w:t>s</w:t>
            </w:r>
          </w:p>
        </w:tc>
        <w:tc>
          <w:tcPr>
            <w:tcW w:w="5456" w:type="dxa"/>
            <w:shd w:val="clear" w:color="auto" w:fill="auto"/>
          </w:tcPr>
          <w:p w14:paraId="77107011" w14:textId="77777777" w:rsidR="00070F24" w:rsidRPr="00F9621D" w:rsidRDefault="00070F24" w:rsidP="00551E57">
            <w:pPr>
              <w:pStyle w:val="TableheadingrowsAgency"/>
            </w:pPr>
          </w:p>
        </w:tc>
      </w:tr>
      <w:tr w:rsidR="00381EBE" w14:paraId="09A3DF54" w14:textId="77777777" w:rsidTr="00551E57">
        <w:tc>
          <w:tcPr>
            <w:tcW w:w="3756" w:type="dxa"/>
            <w:shd w:val="clear" w:color="auto" w:fill="auto"/>
          </w:tcPr>
          <w:p w14:paraId="6BE7D527" w14:textId="4DD623CE" w:rsidR="00765E12" w:rsidRPr="00F9621D" w:rsidRDefault="009F1E3F" w:rsidP="00551E57">
            <w:pPr>
              <w:pStyle w:val="TableheadingrowsAgency"/>
              <w:rPr>
                <w:b w:val="0"/>
                <w:bCs/>
              </w:rPr>
            </w:pPr>
            <w:r w:rsidRPr="00F9621D">
              <w:rPr>
                <w:b w:val="0"/>
                <w:bCs/>
              </w:rPr>
              <w:t>EMA PL:</w:t>
            </w:r>
          </w:p>
        </w:tc>
        <w:tc>
          <w:tcPr>
            <w:tcW w:w="5456" w:type="dxa"/>
            <w:shd w:val="clear" w:color="auto" w:fill="auto"/>
          </w:tcPr>
          <w:p w14:paraId="37E93BB2" w14:textId="77777777" w:rsidR="00765E12" w:rsidRPr="00F9621D" w:rsidRDefault="00765E12" w:rsidP="00551E57">
            <w:pPr>
              <w:pStyle w:val="TableheadingrowsAgency"/>
            </w:pPr>
          </w:p>
        </w:tc>
      </w:tr>
      <w:tr w:rsidR="00381EBE" w14:paraId="3344132D" w14:textId="77777777" w:rsidTr="00551E57">
        <w:tc>
          <w:tcPr>
            <w:tcW w:w="3756" w:type="dxa"/>
            <w:shd w:val="clear" w:color="auto" w:fill="auto"/>
          </w:tcPr>
          <w:p w14:paraId="6EBB4DD0" w14:textId="77777777" w:rsidR="00765E12" w:rsidRPr="00F9621D" w:rsidRDefault="009F1E3F" w:rsidP="00551E57">
            <w:pPr>
              <w:pStyle w:val="TableheadingrowsAgency"/>
              <w:rPr>
                <w:b w:val="0"/>
                <w:bCs/>
              </w:rPr>
            </w:pPr>
            <w:r w:rsidRPr="00F9621D">
              <w:rPr>
                <w:b w:val="0"/>
                <w:bCs/>
              </w:rPr>
              <w:t>Start of the procedure:</w:t>
            </w:r>
          </w:p>
        </w:tc>
        <w:tc>
          <w:tcPr>
            <w:tcW w:w="5456" w:type="dxa"/>
            <w:shd w:val="clear" w:color="auto" w:fill="auto"/>
          </w:tcPr>
          <w:p w14:paraId="22A51C86" w14:textId="77777777" w:rsidR="00765E12" w:rsidRPr="00F9621D" w:rsidRDefault="00765E12" w:rsidP="00551E57">
            <w:pPr>
              <w:pStyle w:val="TableheadingrowsAgency"/>
            </w:pPr>
          </w:p>
        </w:tc>
      </w:tr>
      <w:tr w:rsidR="00381EBE" w14:paraId="5FA1F453" w14:textId="77777777" w:rsidTr="00551E57">
        <w:tc>
          <w:tcPr>
            <w:tcW w:w="3756" w:type="dxa"/>
            <w:shd w:val="clear" w:color="auto" w:fill="auto"/>
          </w:tcPr>
          <w:p w14:paraId="55A07EA9" w14:textId="77777777" w:rsidR="00765E12" w:rsidRPr="00F9621D" w:rsidRDefault="009F1E3F" w:rsidP="00551E57">
            <w:pPr>
              <w:pStyle w:val="TableheadingrowsAgency"/>
              <w:rPr>
                <w:b w:val="0"/>
                <w:bCs/>
              </w:rPr>
            </w:pPr>
            <w:r w:rsidRPr="00F9621D">
              <w:rPr>
                <w:b w:val="0"/>
                <w:bCs/>
              </w:rPr>
              <w:t>Date of this report:</w:t>
            </w:r>
          </w:p>
        </w:tc>
        <w:tc>
          <w:tcPr>
            <w:tcW w:w="5456" w:type="dxa"/>
            <w:shd w:val="clear" w:color="auto" w:fill="auto"/>
          </w:tcPr>
          <w:p w14:paraId="09280705" w14:textId="77777777" w:rsidR="00765E12" w:rsidRPr="00F9621D" w:rsidRDefault="00765E12" w:rsidP="00551E57">
            <w:pPr>
              <w:pStyle w:val="TableheadingrowsAgency"/>
            </w:pPr>
          </w:p>
        </w:tc>
      </w:tr>
      <w:tr w:rsidR="00381EBE" w14:paraId="282D2019" w14:textId="77777777" w:rsidTr="00551E57">
        <w:tc>
          <w:tcPr>
            <w:tcW w:w="3756" w:type="dxa"/>
            <w:shd w:val="clear" w:color="auto" w:fill="auto"/>
          </w:tcPr>
          <w:p w14:paraId="6327061E" w14:textId="77777777" w:rsidR="00765E12" w:rsidRPr="00F9621D" w:rsidRDefault="009F1E3F" w:rsidP="00551E57">
            <w:pPr>
              <w:pStyle w:val="TableheadingrowsAgency"/>
              <w:rPr>
                <w:b w:val="0"/>
                <w:bCs/>
              </w:rPr>
            </w:pPr>
            <w:r w:rsidRPr="00F9621D">
              <w:rPr>
                <w:b w:val="0"/>
                <w:bCs/>
              </w:rPr>
              <w:t>Deadline for comments:</w:t>
            </w:r>
          </w:p>
        </w:tc>
        <w:tc>
          <w:tcPr>
            <w:tcW w:w="5456" w:type="dxa"/>
            <w:shd w:val="clear" w:color="auto" w:fill="auto"/>
          </w:tcPr>
          <w:p w14:paraId="6B22914D" w14:textId="77777777" w:rsidR="00765E12" w:rsidRPr="00F9621D" w:rsidRDefault="00765E12" w:rsidP="00551E57">
            <w:pPr>
              <w:pStyle w:val="TableheadingrowsAgency"/>
            </w:pPr>
          </w:p>
        </w:tc>
      </w:tr>
    </w:tbl>
    <w:p w14:paraId="21EF91C1" w14:textId="1E8203EA" w:rsidR="00765E12" w:rsidRDefault="009F1E3F" w:rsidP="00937C5D">
      <w:pPr>
        <w:pStyle w:val="DraftingNotesAgency"/>
      </w:pPr>
      <w:r w:rsidRPr="00FF1DD1">
        <w:t xml:space="preserve">Note to </w:t>
      </w:r>
      <w:r w:rsidRPr="00FF1DD1">
        <w:t>the (Co)</w:t>
      </w:r>
      <w:hyperlink r:id="rId8" w:tgtFrame="_blank" w:tooltip="One of the two members of a committee or working party who leads the evaluation of an application." w:history="1">
        <w:r w:rsidRPr="00FF1DD1">
          <w:rPr>
            <w:rStyle w:val="Hyperlink"/>
            <w:color w:val="339966"/>
            <w:u w:val="none"/>
          </w:rPr>
          <w:t>Rapporteurs</w:t>
        </w:r>
      </w:hyperlink>
      <w:r w:rsidRPr="00FF1DD1">
        <w:t xml:space="preserve">: Assessment reports and comments should be circulated </w:t>
      </w:r>
      <w:r w:rsidRPr="00FF1DD1">
        <w:rPr>
          <w:rStyle w:val="Strong"/>
          <w:b w:val="0"/>
        </w:rPr>
        <w:t>V</w:t>
      </w:r>
      <w:r w:rsidRPr="00FF1DD1">
        <w:rPr>
          <w:rStyle w:val="Strong"/>
          <w:b w:val="0"/>
        </w:rPr>
        <w:t>IA EUDRALINK</w:t>
      </w:r>
      <w:r w:rsidRPr="00FF1DD1">
        <w:t>.</w:t>
      </w:r>
      <w:bookmarkStart w:id="4" w:name="_Hlk57661671"/>
      <w:r w:rsidR="00E67DEA" w:rsidRPr="00E67DEA">
        <w:t xml:space="preserve"> </w:t>
      </w:r>
      <w:r w:rsidR="00E67DEA" w:rsidRPr="00E712E0">
        <w:t>Product Shared Mailbox: product.name-xxxx@ema.europa.eu and product initial MAA dedicated mailbox: MAAxxxx@ema.europa.eu (xxxx refers to the product number EMA/H/C/xxxx) should always be copied.</w:t>
      </w:r>
      <w:bookmarkEnd w:id="4"/>
    </w:p>
    <w:p w14:paraId="5C5AA7FD" w14:textId="77777777" w:rsidR="00D178ED" w:rsidRDefault="00D178ED" w:rsidP="009F335E">
      <w:pPr>
        <w:pStyle w:val="DraftingNotesAgency"/>
        <w:rPr>
          <w:b/>
          <w:bCs/>
        </w:rPr>
      </w:pPr>
    </w:p>
    <w:p w14:paraId="1CEB6DDA" w14:textId="77777777" w:rsidR="009F335E" w:rsidRPr="00937C5D" w:rsidRDefault="009F1E3F" w:rsidP="00937C5D">
      <w:pPr>
        <w:pStyle w:val="DraftingNotesAgency"/>
        <w:rPr>
          <w:b/>
          <w:bCs/>
        </w:rPr>
      </w:pPr>
      <w:r w:rsidRPr="00937C5D">
        <w:rPr>
          <w:b/>
          <w:bCs/>
        </w:rPr>
        <w:lastRenderedPageBreak/>
        <w:t>General guidance</w:t>
      </w:r>
      <w:r w:rsidR="00F36DA6">
        <w:rPr>
          <w:b/>
          <w:bCs/>
        </w:rPr>
        <w:t xml:space="preserve"> on the use of this template</w:t>
      </w:r>
    </w:p>
    <w:p w14:paraId="0EE20EFA" w14:textId="77777777" w:rsidR="00F600C1" w:rsidRDefault="009F1E3F" w:rsidP="00937C5D">
      <w:pPr>
        <w:pStyle w:val="DraftingNotesAgency"/>
      </w:pPr>
      <w:r>
        <w:t>T</w:t>
      </w:r>
      <w:r>
        <w:t>he CHMP/CAT (Co)Rapporteurs are responsible for the circulation of this assessment report together with the other ARs in line with the evaluation TT.</w:t>
      </w:r>
      <w:r w:rsidR="00876F73">
        <w:t xml:space="preserve"> </w:t>
      </w:r>
      <w:r>
        <w:t xml:space="preserve">Further to receipt of comments from committee members, the Rapporteur should </w:t>
      </w:r>
      <w:r w:rsidR="009F335E">
        <w:t xml:space="preserve">update the </w:t>
      </w:r>
      <w:r>
        <w:t>AR</w:t>
      </w:r>
      <w:r w:rsidR="009F335E">
        <w:t xml:space="preserve">; </w:t>
      </w:r>
      <w:r>
        <w:t xml:space="preserve">the circulation of a </w:t>
      </w:r>
      <w:r w:rsidR="009F335E">
        <w:t>Joint Rapp</w:t>
      </w:r>
      <w:r w:rsidR="00030B1A">
        <w:t>-</w:t>
      </w:r>
      <w:r w:rsidR="009F335E">
        <w:t>Corapp</w:t>
      </w:r>
      <w:r>
        <w:t xml:space="preserve"> AR </w:t>
      </w:r>
      <w:r w:rsidR="009F335E">
        <w:t xml:space="preserve">should be made </w:t>
      </w:r>
      <w:r w:rsidR="00955E21">
        <w:t xml:space="preserve">at the time of the circulation of the </w:t>
      </w:r>
      <w:r w:rsidR="009F335E">
        <w:t xml:space="preserve">draft </w:t>
      </w:r>
      <w:r w:rsidR="00955E21">
        <w:t xml:space="preserve">D120 </w:t>
      </w:r>
      <w:r w:rsidR="009F335E">
        <w:t>LOQ</w:t>
      </w:r>
      <w:r>
        <w:t>. If so, the Overall conclusion should be updated in order to integrate the comments/potential clarifications received and reflect the final positi</w:t>
      </w:r>
      <w:r>
        <w:t xml:space="preserve">on of the </w:t>
      </w:r>
      <w:r w:rsidR="00955E21">
        <w:t>(co)</w:t>
      </w:r>
      <w:r>
        <w:t>Rapporteurs. The AR will then be adopted by the relevant committee(s)at procedural milestones (D120 LOQ</w:t>
      </w:r>
      <w:r w:rsidR="009F335E">
        <w:t>).</w:t>
      </w:r>
    </w:p>
    <w:p w14:paraId="11654AF0" w14:textId="7BB93845" w:rsidR="00F600C1" w:rsidRDefault="009F1E3F" w:rsidP="00937C5D">
      <w:pPr>
        <w:pStyle w:val="DraftingNotesAgency"/>
      </w:pPr>
      <w:r>
        <w:t xml:space="preserve">If a </w:t>
      </w:r>
      <w:r w:rsidR="009F335E">
        <w:t>LOQ</w:t>
      </w:r>
      <w:r>
        <w:t xml:space="preserve"> is proposed, the relevant sections in the </w:t>
      </w:r>
      <w:r w:rsidR="009F335E">
        <w:t>AR</w:t>
      </w:r>
      <w:r>
        <w:t xml:space="preserve"> should be used for the </w:t>
      </w:r>
      <w:r w:rsidR="009F335E">
        <w:t>LOQ</w:t>
      </w:r>
      <w:r>
        <w:t xml:space="preserve"> and the detailed assessment of responses to it</w:t>
      </w:r>
      <w:r w:rsidR="00030B1A">
        <w:t xml:space="preserve"> and circulated with D150 </w:t>
      </w:r>
      <w:r w:rsidR="00220CB6">
        <w:t>J</w:t>
      </w:r>
      <w:r w:rsidR="00030B1A">
        <w:t>AR</w:t>
      </w:r>
      <w:r>
        <w:t xml:space="preserve">. These sections could either be repeated </w:t>
      </w:r>
      <w:r w:rsidR="00030B1A">
        <w:t xml:space="preserve">if a list of outstanding issues is adopted on </w:t>
      </w:r>
      <w:r w:rsidR="00876F73">
        <w:t xml:space="preserve">the </w:t>
      </w:r>
      <w:r w:rsidR="00030B1A">
        <w:t>NAS claim</w:t>
      </w:r>
      <w:r>
        <w:t>. If necessary, an updated discussion and conclusion sub-section can be introdu</w:t>
      </w:r>
      <w:r>
        <w:t xml:space="preserve">ced at the end of the assessment of responses to the </w:t>
      </w:r>
      <w:r w:rsidR="009F335E">
        <w:t>LOQ</w:t>
      </w:r>
      <w:r>
        <w:t xml:space="preserve"> or</w:t>
      </w:r>
      <w:r w:rsidR="00030B1A">
        <w:t xml:space="preserve"> LoOI</w:t>
      </w:r>
      <w:r w:rsidR="00876F73">
        <w:t xml:space="preserve">; </w:t>
      </w:r>
      <w:r>
        <w:t>alternatively, the body of the AR could be updated. In all cases of an updated AR</w:t>
      </w:r>
      <w:r w:rsidR="00EE1DD9">
        <w:t>,</w:t>
      </w:r>
      <w:r>
        <w:t xml:space="preserve"> the Overall conclusion should be amended</w:t>
      </w:r>
      <w:r w:rsidR="00876F73">
        <w:t>,</w:t>
      </w:r>
      <w:r>
        <w:t xml:space="preserve"> as </w:t>
      </w:r>
      <w:r w:rsidR="00876F73">
        <w:t>appropriate</w:t>
      </w:r>
      <w:r>
        <w:t>.</w:t>
      </w:r>
    </w:p>
    <w:p w14:paraId="39598E94" w14:textId="3C03BF5E" w:rsidR="004F343B" w:rsidRPr="004F343B" w:rsidRDefault="009F1E3F" w:rsidP="000B2E5E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F343B">
        <w:t>General guidance related to the Co-Rapporteur ass</w:t>
      </w:r>
      <w:r w:rsidRPr="004F343B">
        <w:t>essment at Day 95</w:t>
      </w:r>
      <w:r w:rsidR="00CD2C72">
        <w:t>:</w:t>
      </w:r>
      <w:r w:rsidRPr="004F343B">
        <w:t xml:space="preserve"> </w:t>
      </w:r>
    </w:p>
    <w:p w14:paraId="3BBF8D92" w14:textId="77777777" w:rsidR="004F343B" w:rsidRPr="004F343B" w:rsidRDefault="009F1E3F" w:rsidP="000B2E5E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F343B">
        <w:t>The Co-Rapporteur assessment is incorporated within the Rapporteur Overview assessment report, Product Information and when applicable into the Similarity, New Active Substance Status and Data exclusivity/Marketing Protection ARs. The C</w:t>
      </w:r>
      <w:r w:rsidRPr="004F343B">
        <w:t>o-Rapporteur may introduce their assessment into the Quality, Non-Clinical and Clinical ARs but this is optional.</w:t>
      </w:r>
    </w:p>
    <w:p w14:paraId="3EA6F0A8" w14:textId="751A986B" w:rsidR="004F343B" w:rsidRPr="004F343B" w:rsidRDefault="009F1E3F" w:rsidP="000B2E5E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F343B">
        <w:t xml:space="preserve">For factual data prepared by the Rapporteur in </w:t>
      </w:r>
      <w:r>
        <w:t>this NAS</w:t>
      </w:r>
      <w:r w:rsidRPr="004F343B">
        <w:t xml:space="preserve"> AR, the Co-Rapporteur only adds information if additional data are of relevance. In th</w:t>
      </w:r>
      <w:r w:rsidRPr="004F343B">
        <w:t>is case, the Co-Rapporteur should insert boxes for its assessment into the relevant section.</w:t>
      </w:r>
    </w:p>
    <w:p w14:paraId="256B35F9" w14:textId="77777777" w:rsidR="004F343B" w:rsidRPr="004F343B" w:rsidRDefault="009F1E3F" w:rsidP="000B2E5E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F343B">
        <w:t>The Co-Rapporteur should incorporate its evaluation into the Rapporteur assessment report. Co-Rapporteur statements such as ‘we agree’ or ‘we do not agree’ are not</w:t>
      </w:r>
      <w:r w:rsidRPr="004F343B">
        <w:t xml:space="preserve"> necessary. The Co-Rapporteur’s evaluation is not intended as a peer review of the Rapporteur’s evaluation. The Co-Rapporteur should not adapt its evaluation based on the Rapporteur’s evaluation.</w:t>
      </w:r>
    </w:p>
    <w:p w14:paraId="1D025C3D" w14:textId="77777777" w:rsidR="004F343B" w:rsidRPr="004F343B" w:rsidRDefault="009F1E3F" w:rsidP="000B2E5E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F343B">
        <w:t>The Co-Rapporteur’s assessment is inserted in dedicated pre-</w:t>
      </w:r>
      <w:r w:rsidRPr="004F343B">
        <w:t>inserted boxes. Please use a blue colour to fill-in these boxes to ease reading. Tracked changes or strikethrough of Rapporteur’s evaluation must not be used.</w:t>
      </w:r>
    </w:p>
    <w:p w14:paraId="7E994E46" w14:textId="77777777" w:rsidR="004F343B" w:rsidRPr="004F343B" w:rsidRDefault="009F1E3F" w:rsidP="000B2E5E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F343B">
        <w:t xml:space="preserve">The consolidated List of Questions will be prepared after the peer review teleconference between </w:t>
      </w:r>
      <w:r w:rsidRPr="004F343B">
        <w:t>both Rapporteurs and EMA. The Rapporteur will review the Co-Rapporteur’s evaluation and MS comments when preparing the consolidated draft Day 120 LoQ.</w:t>
      </w:r>
    </w:p>
    <w:p w14:paraId="5A5CC385" w14:textId="77777777" w:rsidR="004F343B" w:rsidRPr="004F343B" w:rsidRDefault="009F1E3F" w:rsidP="000B2E5E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F343B">
        <w:lastRenderedPageBreak/>
        <w:t>Guidance text for Co Rapporteur is in blue italics. You may print a copy of this template with the drafti</w:t>
      </w:r>
      <w:r w:rsidRPr="004F343B">
        <w:t>ng note, then delete them all in one go:</w:t>
      </w:r>
    </w:p>
    <w:p w14:paraId="33C5BB54" w14:textId="77777777" w:rsidR="004F343B" w:rsidRPr="004F343B" w:rsidRDefault="009F1E3F" w:rsidP="000B2E5E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F343B">
        <w:t>Click on Ctrl-Alt-Shift-S to view the “styles” window. Select “Drafting notes (Agency) blue” and click on the icon on the right, chose “Select all XXX instances”, press the “Delete” key on the keyboard.</w:t>
      </w:r>
    </w:p>
    <w:p w14:paraId="0BB0B903" w14:textId="77777777" w:rsidR="004F343B" w:rsidRPr="004F343B" w:rsidRDefault="004F343B" w:rsidP="004F343B">
      <w:pPr>
        <w:pStyle w:val="BodytextAgency"/>
        <w:rPr>
          <w:rFonts w:ascii="Courier New" w:hAnsi="Courier New" w:cs="Courier New"/>
          <w:color w:val="2E74B5" w:themeColor="accent5" w:themeShade="BF"/>
          <w:sz w:val="22"/>
          <w:szCs w:val="22"/>
        </w:rPr>
      </w:pPr>
    </w:p>
    <w:p w14:paraId="75F8A2EA" w14:textId="77777777" w:rsidR="00765E12" w:rsidRDefault="009F1E3F" w:rsidP="00765E12">
      <w:pPr>
        <w:pStyle w:val="No-TOCheadingAgency"/>
      </w:pPr>
      <w:r>
        <w:rPr>
          <w:bCs/>
        </w:rPr>
        <w:br w:type="page"/>
      </w:r>
      <w:r>
        <w:lastRenderedPageBreak/>
        <w:t>Table of c</w:t>
      </w:r>
      <w:r>
        <w:t>ontents</w:t>
      </w:r>
    </w:p>
    <w:p w14:paraId="4BFB2541" w14:textId="322CEDDE" w:rsidR="002F2353" w:rsidRDefault="009F1E3F">
      <w:pPr>
        <w:pStyle w:val="TOC1"/>
        <w:rPr>
          <w:rFonts w:asciiTheme="minorHAnsi" w:eastAsiaTheme="minorEastAsia" w:hAnsiTheme="minorHAnsi" w:cstheme="minorBidi"/>
          <w:b w:val="0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</w:instrText>
      </w:r>
      <w:r>
        <w:rPr>
          <w:sz w:val="28"/>
        </w:rPr>
        <w:fldChar w:fldCharType="separate"/>
      </w:r>
      <w:hyperlink w:anchor="_Toc73025074" w:history="1">
        <w:r w:rsidRPr="00143D39">
          <w:rPr>
            <w:rStyle w:val="Hyperlink"/>
            <w:lang w:val="en-US"/>
          </w:rPr>
          <w:t>Administrative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_Toc73025074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CD0FAE3" w14:textId="560EF3D9" w:rsidR="002F2353" w:rsidRDefault="009F1E3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73025075" w:history="1">
        <w:r w:rsidR="00052A83" w:rsidRPr="00143D39">
          <w:rPr>
            <w:rStyle w:val="Hyperlink"/>
            <w:lang w:val="en-US"/>
          </w:rPr>
          <w:t>Declarations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_Toc73025075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4</w:t>
        </w:r>
        <w:r w:rsidR="00052A83">
          <w:rPr>
            <w:webHidden/>
          </w:rPr>
          <w:fldChar w:fldCharType="end"/>
        </w:r>
      </w:hyperlink>
    </w:p>
    <w:p w14:paraId="7835D338" w14:textId="58683687" w:rsidR="002F2353" w:rsidRDefault="009F1E3F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73025076" w:history="1">
        <w:r w:rsidR="00052A83" w:rsidRPr="00143D39">
          <w:rPr>
            <w:rStyle w:val="Hyperlink"/>
          </w:rPr>
          <w:t>1. Executive summary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_Toc73025076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5</w:t>
        </w:r>
        <w:r w:rsidR="00052A83">
          <w:rPr>
            <w:webHidden/>
          </w:rPr>
          <w:fldChar w:fldCharType="end"/>
        </w:r>
      </w:hyperlink>
    </w:p>
    <w:p w14:paraId="43F4F5D1" w14:textId="13E5F234" w:rsidR="002F2353" w:rsidRDefault="009F1E3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73025077" w:history="1">
        <w:r w:rsidR="00052A83" w:rsidRPr="00143D39">
          <w:rPr>
            <w:rStyle w:val="Hyperlink"/>
          </w:rPr>
          <w:t>1.1. Problem statement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_Toc73025077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5</w:t>
        </w:r>
        <w:r w:rsidR="00052A83">
          <w:rPr>
            <w:webHidden/>
          </w:rPr>
          <w:fldChar w:fldCharType="end"/>
        </w:r>
      </w:hyperlink>
    </w:p>
    <w:p w14:paraId="2787311D" w14:textId="58317FFB" w:rsidR="002F2353" w:rsidRDefault="009F1E3F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73025078" w:history="1">
        <w:r w:rsidR="00052A83" w:rsidRPr="00143D39">
          <w:rPr>
            <w:rStyle w:val="Hyperlink"/>
          </w:rPr>
          <w:t>2. Scientific evaluation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_Toc73025078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5</w:t>
        </w:r>
        <w:r w:rsidR="00052A83">
          <w:rPr>
            <w:webHidden/>
          </w:rPr>
          <w:fldChar w:fldCharType="end"/>
        </w:r>
      </w:hyperlink>
    </w:p>
    <w:p w14:paraId="0873E561" w14:textId="6E064422" w:rsidR="002F2353" w:rsidRDefault="009F1E3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73025079" w:history="1">
        <w:r w:rsidR="00052A83" w:rsidRPr="00143D39">
          <w:rPr>
            <w:rStyle w:val="Hyperlink"/>
          </w:rPr>
          <w:t>2.1. &lt;Quality aspects&gt;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_Toc73025079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5</w:t>
        </w:r>
        <w:r w:rsidR="00052A83">
          <w:rPr>
            <w:webHidden/>
          </w:rPr>
          <w:fldChar w:fldCharType="end"/>
        </w:r>
      </w:hyperlink>
    </w:p>
    <w:p w14:paraId="6133646C" w14:textId="3CA52E95" w:rsidR="002F2353" w:rsidRDefault="009F1E3F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73025080" w:history="1">
        <w:r w:rsidR="00052A83" w:rsidRPr="00143D39">
          <w:rPr>
            <w:rStyle w:val="Hyperlink"/>
          </w:rPr>
          <w:t>2.1.1. Discussion on quality aspects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_Toc73025080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5</w:t>
        </w:r>
        <w:r w:rsidR="00052A83">
          <w:rPr>
            <w:webHidden/>
          </w:rPr>
          <w:fldChar w:fldCharType="end"/>
        </w:r>
      </w:hyperlink>
    </w:p>
    <w:p w14:paraId="0BA06731" w14:textId="7A37C9BC" w:rsidR="002F2353" w:rsidRDefault="009F1E3F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73025081" w:history="1">
        <w:r w:rsidR="00052A83" w:rsidRPr="00143D39">
          <w:rPr>
            <w:rStyle w:val="Hyperlink"/>
          </w:rPr>
          <w:t>2.1.2. Conclusions on quality aspects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_Toc73025081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5</w:t>
        </w:r>
        <w:r w:rsidR="00052A83">
          <w:rPr>
            <w:webHidden/>
          </w:rPr>
          <w:fldChar w:fldCharType="end"/>
        </w:r>
      </w:hyperlink>
    </w:p>
    <w:p w14:paraId="23A3821E" w14:textId="1B19425E" w:rsidR="002F2353" w:rsidRDefault="009F1E3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73025082" w:history="1">
        <w:r w:rsidR="00052A83" w:rsidRPr="00143D39">
          <w:rPr>
            <w:rStyle w:val="Hyperlink"/>
          </w:rPr>
          <w:t>2.2. &lt;Non-clinical aspects&gt;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_Toc73025082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5</w:t>
        </w:r>
        <w:r w:rsidR="00052A83">
          <w:rPr>
            <w:webHidden/>
          </w:rPr>
          <w:fldChar w:fldCharType="end"/>
        </w:r>
      </w:hyperlink>
    </w:p>
    <w:p w14:paraId="52C37F08" w14:textId="04AF81FA" w:rsidR="002F2353" w:rsidRDefault="009F1E3F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73025083" w:history="1">
        <w:r w:rsidR="00052A83" w:rsidRPr="00143D39">
          <w:rPr>
            <w:rStyle w:val="Hyperlink"/>
          </w:rPr>
          <w:t>2.2.1. Discussion on non-clinical aspects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_Toc73025083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5</w:t>
        </w:r>
        <w:r w:rsidR="00052A83">
          <w:rPr>
            <w:webHidden/>
          </w:rPr>
          <w:fldChar w:fldCharType="end"/>
        </w:r>
      </w:hyperlink>
    </w:p>
    <w:p w14:paraId="30ED3059" w14:textId="45E19378" w:rsidR="002F2353" w:rsidRDefault="009F1E3F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73025084" w:history="1">
        <w:r w:rsidR="00052A83" w:rsidRPr="00143D39">
          <w:rPr>
            <w:rStyle w:val="Hyperlink"/>
          </w:rPr>
          <w:t>2.2.2. Conclusions on non-clinical aspects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_Toc73025084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5</w:t>
        </w:r>
        <w:r w:rsidR="00052A83">
          <w:rPr>
            <w:webHidden/>
          </w:rPr>
          <w:fldChar w:fldCharType="end"/>
        </w:r>
      </w:hyperlink>
    </w:p>
    <w:p w14:paraId="16648307" w14:textId="48C8DC37" w:rsidR="002F2353" w:rsidRDefault="009F1E3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73025085" w:history="1">
        <w:r w:rsidR="00052A83" w:rsidRPr="00143D39">
          <w:rPr>
            <w:rStyle w:val="Hyperlink"/>
          </w:rPr>
          <w:t>2.3. &lt;Clinical aspects&gt;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_Toc73025085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5</w:t>
        </w:r>
        <w:r w:rsidR="00052A83">
          <w:rPr>
            <w:webHidden/>
          </w:rPr>
          <w:fldChar w:fldCharType="end"/>
        </w:r>
      </w:hyperlink>
    </w:p>
    <w:p w14:paraId="29035BF7" w14:textId="3A66BA89" w:rsidR="002F2353" w:rsidRDefault="009F1E3F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73025086" w:history="1">
        <w:r w:rsidR="00052A83" w:rsidRPr="00143D39">
          <w:rPr>
            <w:rStyle w:val="Hyperlink"/>
          </w:rPr>
          <w:t>2.3.1. Discussion on clinical aspects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_Toc73025086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5</w:t>
        </w:r>
        <w:r w:rsidR="00052A83">
          <w:rPr>
            <w:webHidden/>
          </w:rPr>
          <w:fldChar w:fldCharType="end"/>
        </w:r>
      </w:hyperlink>
    </w:p>
    <w:p w14:paraId="00EBE3F5" w14:textId="2CC808C2" w:rsidR="002F2353" w:rsidRDefault="009F1E3F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73025087" w:history="1">
        <w:r w:rsidR="00052A83" w:rsidRPr="00143D39">
          <w:rPr>
            <w:rStyle w:val="Hyperlink"/>
          </w:rPr>
          <w:t>2.3.2. Conclusions on clinical aspects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_Toc73025087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5</w:t>
        </w:r>
        <w:r w:rsidR="00052A83">
          <w:rPr>
            <w:webHidden/>
          </w:rPr>
          <w:fldChar w:fldCharType="end"/>
        </w:r>
      </w:hyperlink>
    </w:p>
    <w:p w14:paraId="7494DD95" w14:textId="2DBF6BF9" w:rsidR="002F2353" w:rsidRDefault="009F1E3F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73025088" w:history="1">
        <w:r w:rsidR="00052A83" w:rsidRPr="00143D39">
          <w:rPr>
            <w:rStyle w:val="Hyperlink"/>
          </w:rPr>
          <w:t>3. Overall conclusions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_Toc73025088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6</w:t>
        </w:r>
        <w:r w:rsidR="00052A83">
          <w:rPr>
            <w:webHidden/>
          </w:rPr>
          <w:fldChar w:fldCharType="end"/>
        </w:r>
      </w:hyperlink>
    </w:p>
    <w:p w14:paraId="0E058416" w14:textId="3506B1D4" w:rsidR="002F2353" w:rsidRDefault="009F1E3F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73025089" w:history="1">
        <w:r w:rsidR="00052A83" w:rsidRPr="00143D39">
          <w:rPr>
            <w:rStyle w:val="Hyperlink"/>
          </w:rPr>
          <w:t>4. List of questions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_Toc73025089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7</w:t>
        </w:r>
        <w:r w:rsidR="00052A83">
          <w:rPr>
            <w:webHidden/>
          </w:rPr>
          <w:fldChar w:fldCharType="end"/>
        </w:r>
      </w:hyperlink>
    </w:p>
    <w:p w14:paraId="04A8EEAD" w14:textId="2B0401F7" w:rsidR="002F2353" w:rsidRDefault="009F1E3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73025090" w:history="1">
        <w:r w:rsidR="00052A83" w:rsidRPr="00143D39">
          <w:rPr>
            <w:rStyle w:val="Hyperlink"/>
          </w:rPr>
          <w:t>4.1. &lt;Quality aspects&gt;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_Toc73025090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7</w:t>
        </w:r>
        <w:r w:rsidR="00052A83">
          <w:rPr>
            <w:webHidden/>
          </w:rPr>
          <w:fldChar w:fldCharType="end"/>
        </w:r>
      </w:hyperlink>
    </w:p>
    <w:p w14:paraId="5FD91C8A" w14:textId="3132D072" w:rsidR="002F2353" w:rsidRDefault="009F1E3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73025091" w:history="1">
        <w:r w:rsidR="00052A83" w:rsidRPr="00143D39">
          <w:rPr>
            <w:rStyle w:val="Hyperlink"/>
          </w:rPr>
          <w:t>4.2. &lt;Non-clinical aspects&gt;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_Toc73025091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7</w:t>
        </w:r>
        <w:r w:rsidR="00052A83">
          <w:rPr>
            <w:webHidden/>
          </w:rPr>
          <w:fldChar w:fldCharType="end"/>
        </w:r>
      </w:hyperlink>
    </w:p>
    <w:p w14:paraId="2728D518" w14:textId="4D4C679B" w:rsidR="002F2353" w:rsidRDefault="009F1E3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73025092" w:history="1">
        <w:r w:rsidR="00052A83" w:rsidRPr="00143D39">
          <w:rPr>
            <w:rStyle w:val="Hyperlink"/>
          </w:rPr>
          <w:t>4.3. &lt;Clinical aspects&gt;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_Toc73025092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7</w:t>
        </w:r>
        <w:r w:rsidR="00052A83">
          <w:rPr>
            <w:webHidden/>
          </w:rPr>
          <w:fldChar w:fldCharType="end"/>
        </w:r>
      </w:hyperlink>
    </w:p>
    <w:p w14:paraId="6483AFF7" w14:textId="285767B6" w:rsidR="002F2353" w:rsidRDefault="009F1E3F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73025093" w:history="1">
        <w:r w:rsidR="00052A83" w:rsidRPr="00143D39">
          <w:rPr>
            <w:rStyle w:val="Hyperlink"/>
          </w:rPr>
          <w:t>5. &lt;Assessment on the responses to the list of questions&gt;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_Toc73025093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7</w:t>
        </w:r>
        <w:r w:rsidR="00052A83">
          <w:rPr>
            <w:webHidden/>
          </w:rPr>
          <w:fldChar w:fldCharType="end"/>
        </w:r>
      </w:hyperlink>
    </w:p>
    <w:p w14:paraId="2B02840D" w14:textId="794D4208" w:rsidR="002F2353" w:rsidRDefault="009F1E3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73025094" w:history="1">
        <w:r w:rsidR="00052A83" w:rsidRPr="00143D39">
          <w:rPr>
            <w:rStyle w:val="Hyperlink"/>
          </w:rPr>
          <w:t>5.1. &lt;Quality aspects&gt;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_Toc73025094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7</w:t>
        </w:r>
        <w:r w:rsidR="00052A83">
          <w:rPr>
            <w:webHidden/>
          </w:rPr>
          <w:fldChar w:fldCharType="end"/>
        </w:r>
      </w:hyperlink>
    </w:p>
    <w:p w14:paraId="1A90C117" w14:textId="357E6CFC" w:rsidR="002F2353" w:rsidRDefault="009F1E3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73025095" w:history="1">
        <w:r w:rsidR="00052A83" w:rsidRPr="00143D39">
          <w:rPr>
            <w:rStyle w:val="Hyperlink"/>
          </w:rPr>
          <w:t>5.2. &lt;Non-clinical aspects&gt;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_Toc73025095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7</w:t>
        </w:r>
        <w:r w:rsidR="00052A83">
          <w:rPr>
            <w:webHidden/>
          </w:rPr>
          <w:fldChar w:fldCharType="end"/>
        </w:r>
      </w:hyperlink>
    </w:p>
    <w:p w14:paraId="3E4C4514" w14:textId="43357C21" w:rsidR="002F2353" w:rsidRDefault="009F1E3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73025096" w:history="1">
        <w:r w:rsidR="00052A83" w:rsidRPr="00143D39">
          <w:rPr>
            <w:rStyle w:val="Hyperlink"/>
          </w:rPr>
          <w:t>5.3. &lt;Clinical aspects&gt;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_Toc73025096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7</w:t>
        </w:r>
        <w:r w:rsidR="00052A83">
          <w:rPr>
            <w:webHidden/>
          </w:rPr>
          <w:fldChar w:fldCharType="end"/>
        </w:r>
      </w:hyperlink>
    </w:p>
    <w:p w14:paraId="0F02F32D" w14:textId="33632877" w:rsidR="002F2353" w:rsidRDefault="009F1E3F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73025097" w:history="1">
        <w:r w:rsidR="00052A83" w:rsidRPr="00143D39">
          <w:rPr>
            <w:rStyle w:val="Hyperlink"/>
          </w:rPr>
          <w:t>6. &lt;Final conclusion&gt;</w:t>
        </w:r>
        <w:r w:rsidR="00052A83">
          <w:rPr>
            <w:webHidden/>
          </w:rPr>
          <w:tab/>
        </w:r>
        <w:r w:rsidR="00052A83">
          <w:rPr>
            <w:webHidden/>
          </w:rPr>
          <w:fldChar w:fldCharType="begin"/>
        </w:r>
        <w:r w:rsidR="00052A83">
          <w:rPr>
            <w:webHidden/>
          </w:rPr>
          <w:instrText xml:space="preserve"> PAGEREF _Toc73025097 \h </w:instrText>
        </w:r>
        <w:r w:rsidR="00052A83">
          <w:rPr>
            <w:webHidden/>
          </w:rPr>
        </w:r>
        <w:r w:rsidR="00052A83">
          <w:rPr>
            <w:webHidden/>
          </w:rPr>
          <w:fldChar w:fldCharType="separate"/>
        </w:r>
        <w:r w:rsidR="00052A83">
          <w:rPr>
            <w:webHidden/>
          </w:rPr>
          <w:t>7</w:t>
        </w:r>
        <w:r w:rsidR="00052A83">
          <w:rPr>
            <w:webHidden/>
          </w:rPr>
          <w:fldChar w:fldCharType="end"/>
        </w:r>
      </w:hyperlink>
    </w:p>
    <w:p w14:paraId="1EA0167D" w14:textId="7F37AFD4" w:rsidR="00765E12" w:rsidRDefault="009F1E3F" w:rsidP="00765E12">
      <w:pPr>
        <w:pStyle w:val="DocsubtitleAgency"/>
        <w:rPr>
          <w:b/>
          <w:bCs/>
        </w:rPr>
      </w:pPr>
      <w:r>
        <w:fldChar w:fldCharType="end"/>
      </w:r>
    </w:p>
    <w:p w14:paraId="7E8B8516" w14:textId="77777777" w:rsidR="00765E12" w:rsidRDefault="009F1E3F" w:rsidP="002F2353">
      <w:pPr>
        <w:pStyle w:val="No-numheading1Agency"/>
        <w:rPr>
          <w:lang w:val="en-US"/>
        </w:rPr>
      </w:pPr>
      <w:r>
        <w:br w:type="page"/>
      </w:r>
      <w:bookmarkStart w:id="5" w:name="_Toc73025074"/>
      <w:r w:rsidR="00D5435B">
        <w:rPr>
          <w:lang w:val="en-US"/>
        </w:rPr>
        <w:lastRenderedPageBreak/>
        <w:t>Administrative information</w:t>
      </w:r>
      <w:bookmarkEnd w:id="5"/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9"/>
        <w:gridCol w:w="5290"/>
      </w:tblGrid>
      <w:tr w:rsidR="00381EBE" w14:paraId="485CC566" w14:textId="77777777" w:rsidTr="00AA4638">
        <w:trPr>
          <w:tblHeader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497D885D" w14:textId="77777777" w:rsidR="00765E12" w:rsidRPr="00AA4638" w:rsidRDefault="009F1E3F" w:rsidP="00AA4638">
            <w:pPr>
              <w:pStyle w:val="NormalAgency"/>
              <w:spacing w:after="140" w:line="280" w:lineRule="atLeast"/>
              <w:rPr>
                <w:b/>
              </w:rPr>
            </w:pPr>
            <w:r w:rsidRPr="00AA4638">
              <w:rPr>
                <w:b/>
              </w:rPr>
              <w:t xml:space="preserve">Name of the </w:t>
            </w:r>
            <w:r w:rsidRPr="00AA4638">
              <w:rPr>
                <w:b/>
              </w:rPr>
              <w:t>medicinal product: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FE53CDC" w14:textId="77777777" w:rsidR="00765E12" w:rsidRPr="00AA4638" w:rsidRDefault="00765E12" w:rsidP="00AA4638">
            <w:pPr>
              <w:pStyle w:val="NormalAgency"/>
              <w:spacing w:after="140" w:line="280" w:lineRule="atLeast"/>
              <w:rPr>
                <w:b/>
              </w:rPr>
            </w:pPr>
          </w:p>
        </w:tc>
      </w:tr>
      <w:tr w:rsidR="00381EBE" w14:paraId="17A763AD" w14:textId="77777777" w:rsidTr="00AA4638">
        <w:tc>
          <w:tcPr>
            <w:tcW w:w="4339" w:type="dxa"/>
            <w:shd w:val="clear" w:color="auto" w:fill="auto"/>
          </w:tcPr>
          <w:p w14:paraId="2A0DAF1A" w14:textId="77777777" w:rsidR="00765E12" w:rsidRPr="00AA4638" w:rsidRDefault="009F1E3F" w:rsidP="00AA4638">
            <w:pPr>
              <w:pStyle w:val="NormalAgency"/>
              <w:spacing w:after="140" w:line="280" w:lineRule="atLeast"/>
              <w:rPr>
                <w:b/>
              </w:rPr>
            </w:pPr>
            <w:r w:rsidRPr="00AA4638">
              <w:rPr>
                <w:b/>
              </w:rPr>
              <w:t>Applicant:</w:t>
            </w:r>
          </w:p>
        </w:tc>
        <w:tc>
          <w:tcPr>
            <w:tcW w:w="5290" w:type="dxa"/>
            <w:shd w:val="clear" w:color="auto" w:fill="auto"/>
          </w:tcPr>
          <w:p w14:paraId="6A033223" w14:textId="77777777" w:rsidR="00765E12" w:rsidRPr="00E62084" w:rsidRDefault="00765E12" w:rsidP="00AA4638">
            <w:pPr>
              <w:pStyle w:val="NormalAgency"/>
              <w:spacing w:after="140" w:line="280" w:lineRule="atLeast"/>
            </w:pPr>
          </w:p>
        </w:tc>
      </w:tr>
      <w:tr w:rsidR="00381EBE" w14:paraId="2D3CF1FF" w14:textId="77777777" w:rsidTr="00AA4638">
        <w:tc>
          <w:tcPr>
            <w:tcW w:w="4339" w:type="dxa"/>
            <w:shd w:val="clear" w:color="auto" w:fill="auto"/>
          </w:tcPr>
          <w:p w14:paraId="0BA79A19" w14:textId="77777777" w:rsidR="00765E12" w:rsidRPr="00AA4638" w:rsidRDefault="009F1E3F" w:rsidP="00AA4638">
            <w:pPr>
              <w:pStyle w:val="NormalAgency"/>
              <w:spacing w:after="140" w:line="280" w:lineRule="atLeast"/>
              <w:rPr>
                <w:b/>
              </w:rPr>
            </w:pPr>
            <w:r w:rsidRPr="00AA4638">
              <w:rPr>
                <w:b/>
              </w:rPr>
              <w:t>Active substance:</w:t>
            </w:r>
          </w:p>
        </w:tc>
        <w:tc>
          <w:tcPr>
            <w:tcW w:w="5290" w:type="dxa"/>
            <w:shd w:val="clear" w:color="auto" w:fill="auto"/>
          </w:tcPr>
          <w:p w14:paraId="37CF780A" w14:textId="77777777" w:rsidR="00765E12" w:rsidRPr="00E62084" w:rsidRDefault="009F1E3F" w:rsidP="00AA4638">
            <w:pPr>
              <w:pStyle w:val="NormalAgency"/>
              <w:spacing w:after="140" w:line="280" w:lineRule="atLeast"/>
            </w:pPr>
            <w:r w:rsidRPr="00E62084">
              <w:t xml:space="preserve"> </w:t>
            </w:r>
          </w:p>
        </w:tc>
      </w:tr>
      <w:tr w:rsidR="00381EBE" w14:paraId="1ED5AC63" w14:textId="77777777" w:rsidTr="00AA4638">
        <w:tc>
          <w:tcPr>
            <w:tcW w:w="4339" w:type="dxa"/>
            <w:shd w:val="clear" w:color="auto" w:fill="auto"/>
          </w:tcPr>
          <w:p w14:paraId="161C9FBA" w14:textId="77777777" w:rsidR="00765E12" w:rsidRPr="00AA4638" w:rsidRDefault="009F1E3F" w:rsidP="00AA4638">
            <w:pPr>
              <w:pStyle w:val="NormalAgency"/>
              <w:spacing w:after="140" w:line="280" w:lineRule="atLeast"/>
              <w:rPr>
                <w:b/>
              </w:rPr>
            </w:pPr>
            <w:r w:rsidRPr="00AA4638">
              <w:rPr>
                <w:b/>
              </w:rPr>
              <w:t>International Non</w:t>
            </w:r>
            <w:r w:rsidR="00E75DAF">
              <w:rPr>
                <w:b/>
              </w:rPr>
              <w:t>-</w:t>
            </w:r>
            <w:r w:rsidRPr="00AA4638">
              <w:rPr>
                <w:b/>
              </w:rPr>
              <w:t>proprietary Name/Common Name:</w:t>
            </w:r>
          </w:p>
        </w:tc>
        <w:tc>
          <w:tcPr>
            <w:tcW w:w="5290" w:type="dxa"/>
            <w:shd w:val="clear" w:color="auto" w:fill="auto"/>
          </w:tcPr>
          <w:p w14:paraId="63285F1C" w14:textId="77777777" w:rsidR="00765E12" w:rsidRPr="00E62084" w:rsidRDefault="00765E12" w:rsidP="00AA4638">
            <w:pPr>
              <w:pStyle w:val="NormalAgency"/>
              <w:spacing w:after="140" w:line="280" w:lineRule="atLeast"/>
            </w:pPr>
          </w:p>
        </w:tc>
      </w:tr>
      <w:tr w:rsidR="00381EBE" w14:paraId="09620DCC" w14:textId="77777777" w:rsidTr="00AA4638">
        <w:tc>
          <w:tcPr>
            <w:tcW w:w="4339" w:type="dxa"/>
            <w:shd w:val="clear" w:color="auto" w:fill="auto"/>
          </w:tcPr>
          <w:p w14:paraId="06430512" w14:textId="77777777" w:rsidR="00765E12" w:rsidRPr="00AA4638" w:rsidRDefault="009F1E3F" w:rsidP="00AA4638">
            <w:pPr>
              <w:pStyle w:val="NormalAgency"/>
              <w:spacing w:after="140" w:line="280" w:lineRule="atLeast"/>
              <w:rPr>
                <w:b/>
              </w:rPr>
            </w:pPr>
            <w:r w:rsidRPr="00AA4638">
              <w:rPr>
                <w:b/>
              </w:rPr>
              <w:t>Pharmaco-therapeutic group</w:t>
            </w:r>
          </w:p>
          <w:p w14:paraId="5426325E" w14:textId="77777777" w:rsidR="00765E12" w:rsidRPr="00AA4638" w:rsidRDefault="009F1E3F" w:rsidP="00AA4638">
            <w:pPr>
              <w:pStyle w:val="NormalAgency"/>
              <w:spacing w:after="140" w:line="280" w:lineRule="atLeast"/>
              <w:rPr>
                <w:b/>
              </w:rPr>
            </w:pPr>
            <w:r w:rsidRPr="00AA4638">
              <w:rPr>
                <w:b/>
              </w:rPr>
              <w:t>(ATC Code):</w:t>
            </w:r>
          </w:p>
        </w:tc>
        <w:tc>
          <w:tcPr>
            <w:tcW w:w="5290" w:type="dxa"/>
            <w:shd w:val="clear" w:color="auto" w:fill="auto"/>
          </w:tcPr>
          <w:p w14:paraId="58672E24" w14:textId="77777777" w:rsidR="00765E12" w:rsidRPr="00E62084" w:rsidRDefault="00765E12" w:rsidP="00AA4638">
            <w:pPr>
              <w:pStyle w:val="NormalAgency"/>
              <w:spacing w:after="140" w:line="280" w:lineRule="atLeast"/>
            </w:pPr>
          </w:p>
        </w:tc>
      </w:tr>
      <w:tr w:rsidR="00381EBE" w14:paraId="35179F82" w14:textId="77777777" w:rsidTr="00AA4638">
        <w:tc>
          <w:tcPr>
            <w:tcW w:w="4339" w:type="dxa"/>
            <w:shd w:val="clear" w:color="auto" w:fill="auto"/>
          </w:tcPr>
          <w:p w14:paraId="11B8021C" w14:textId="77777777" w:rsidR="00765E12" w:rsidRPr="00AA4638" w:rsidRDefault="009F1E3F" w:rsidP="00AA4638">
            <w:pPr>
              <w:pStyle w:val="NormalAgency"/>
              <w:spacing w:after="140" w:line="280" w:lineRule="atLeast"/>
              <w:rPr>
                <w:b/>
              </w:rPr>
            </w:pPr>
            <w:r w:rsidRPr="00AA4638">
              <w:rPr>
                <w:b/>
              </w:rPr>
              <w:t>Therapeutic indication(s):</w:t>
            </w:r>
          </w:p>
        </w:tc>
        <w:tc>
          <w:tcPr>
            <w:tcW w:w="5290" w:type="dxa"/>
            <w:shd w:val="clear" w:color="auto" w:fill="auto"/>
          </w:tcPr>
          <w:p w14:paraId="5B35AC16" w14:textId="77777777" w:rsidR="00765E12" w:rsidRPr="00E62084" w:rsidRDefault="00765E12" w:rsidP="00AA4638">
            <w:pPr>
              <w:pStyle w:val="NormalAgency"/>
              <w:spacing w:after="140" w:line="280" w:lineRule="atLeast"/>
            </w:pPr>
          </w:p>
        </w:tc>
      </w:tr>
      <w:tr w:rsidR="00381EBE" w14:paraId="73BE5CF2" w14:textId="77777777" w:rsidTr="00AA4638">
        <w:tc>
          <w:tcPr>
            <w:tcW w:w="4339" w:type="dxa"/>
            <w:shd w:val="clear" w:color="auto" w:fill="auto"/>
          </w:tcPr>
          <w:p w14:paraId="664F1E0F" w14:textId="791E49FE" w:rsidR="00765E12" w:rsidRDefault="009F1E3F" w:rsidP="00AA4638">
            <w:pPr>
              <w:pStyle w:val="NormalAgency"/>
              <w:spacing w:after="140" w:line="280" w:lineRule="atLeast"/>
              <w:rPr>
                <w:b/>
                <w:lang w:val="fr-FR"/>
              </w:rPr>
            </w:pPr>
            <w:r>
              <w:rPr>
                <w:b/>
                <w:lang w:val="fr-FR"/>
              </w:rPr>
              <w:t>&lt;CHMP&gt;&lt;CAT&gt;</w:t>
            </w:r>
            <w:r w:rsidRPr="00AA4638">
              <w:rPr>
                <w:b/>
                <w:lang w:val="fr-FR"/>
              </w:rPr>
              <w:t>Rapporteur’s contact person:</w:t>
            </w:r>
          </w:p>
          <w:p w14:paraId="04410B81" w14:textId="77777777" w:rsidR="00C15D15" w:rsidRDefault="00C15D15" w:rsidP="002F2353">
            <w:pPr>
              <w:pStyle w:val="NormalAgency"/>
              <w:spacing w:line="280" w:lineRule="atLeast"/>
              <w:rPr>
                <w:b/>
                <w:lang w:val="fr-FR"/>
              </w:rPr>
            </w:pPr>
          </w:p>
          <w:p w14:paraId="4E631679" w14:textId="77777777" w:rsidR="00C15D15" w:rsidRDefault="00C15D15" w:rsidP="002F2353">
            <w:pPr>
              <w:pStyle w:val="NormalAgency"/>
              <w:spacing w:line="280" w:lineRule="atLeast"/>
              <w:rPr>
                <w:b/>
                <w:lang w:val="fr-FR"/>
              </w:rPr>
            </w:pPr>
          </w:p>
          <w:p w14:paraId="4A620C27" w14:textId="7A56D67B" w:rsidR="00C15D15" w:rsidRDefault="009F1E3F" w:rsidP="00AA4638">
            <w:pPr>
              <w:pStyle w:val="NormalAgency"/>
              <w:spacing w:after="140" w:line="280" w:lineRule="atLeast"/>
              <w:rPr>
                <w:b/>
                <w:lang w:val="fr-FR"/>
              </w:rPr>
            </w:pPr>
            <w:r>
              <w:rPr>
                <w:b/>
                <w:lang w:val="fr-FR"/>
              </w:rPr>
              <w:t>&lt;CHMP&gt;</w:t>
            </w:r>
            <w:r w:rsidR="00E70065">
              <w:rPr>
                <w:b/>
                <w:lang w:val="fr-FR"/>
              </w:rPr>
              <w:t xml:space="preserve"> &lt;</w:t>
            </w:r>
            <w:r>
              <w:rPr>
                <w:b/>
                <w:lang w:val="fr-FR"/>
              </w:rPr>
              <w:t xml:space="preserve">CAT&gt; </w:t>
            </w:r>
            <w:r w:rsidRPr="00AA4638">
              <w:rPr>
                <w:b/>
                <w:lang w:val="fr-FR"/>
              </w:rPr>
              <w:t>Co-Rapporteur’s contact person:</w:t>
            </w:r>
          </w:p>
          <w:p w14:paraId="2E791919" w14:textId="77777777" w:rsidR="00C15D15" w:rsidRDefault="00C15D15" w:rsidP="00AA4638">
            <w:pPr>
              <w:pStyle w:val="NormalAgency"/>
              <w:spacing w:after="140" w:line="280" w:lineRule="atLeast"/>
              <w:rPr>
                <w:b/>
                <w:lang w:val="fr-FR"/>
              </w:rPr>
            </w:pPr>
          </w:p>
          <w:p w14:paraId="76C4A141" w14:textId="77777777" w:rsidR="00C15D15" w:rsidRPr="00937C5D" w:rsidRDefault="00C15D15" w:rsidP="00C15D15">
            <w:pPr>
              <w:pStyle w:val="NormalAgency"/>
              <w:rPr>
                <w:b/>
                <w:lang w:val="fr-FR"/>
              </w:rPr>
            </w:pPr>
          </w:p>
          <w:p w14:paraId="706B3E42" w14:textId="77777777" w:rsidR="00C15D15" w:rsidRPr="004937EE" w:rsidRDefault="009F1E3F" w:rsidP="00C15D15">
            <w:pPr>
              <w:pStyle w:val="NormalAgency"/>
            </w:pPr>
            <w:r w:rsidRPr="004937EE">
              <w:rPr>
                <w:b/>
              </w:rPr>
              <w:t>EMA Product Lead:</w:t>
            </w:r>
          </w:p>
          <w:p w14:paraId="5D406FB9" w14:textId="77777777" w:rsidR="00C15D15" w:rsidRPr="00AA4638" w:rsidRDefault="00C15D15" w:rsidP="00AA4638">
            <w:pPr>
              <w:pStyle w:val="NormalAgency"/>
              <w:spacing w:after="140" w:line="280" w:lineRule="atLeast"/>
              <w:rPr>
                <w:b/>
              </w:rPr>
            </w:pPr>
          </w:p>
        </w:tc>
        <w:tc>
          <w:tcPr>
            <w:tcW w:w="5290" w:type="dxa"/>
            <w:shd w:val="clear" w:color="auto" w:fill="auto"/>
          </w:tcPr>
          <w:p w14:paraId="0C0AEEE4" w14:textId="77777777" w:rsidR="00C15D15" w:rsidRPr="004937EE" w:rsidRDefault="009F1E3F" w:rsidP="00C15D15">
            <w:pPr>
              <w:pStyle w:val="NormalAgency"/>
              <w:rPr>
                <w:b/>
              </w:rPr>
            </w:pPr>
            <w:r w:rsidRPr="004937EE">
              <w:rPr>
                <w:b/>
              </w:rPr>
              <w:t>Name:</w:t>
            </w:r>
          </w:p>
          <w:p w14:paraId="1A7B5CC6" w14:textId="77777777" w:rsidR="00C15D15" w:rsidRPr="004937EE" w:rsidRDefault="009F1E3F" w:rsidP="00C15D15">
            <w:pPr>
              <w:pStyle w:val="NormalAgency"/>
            </w:pPr>
            <w:r w:rsidRPr="004937EE">
              <w:t>Tel:</w:t>
            </w:r>
            <w:r w:rsidRPr="004937EE">
              <w:tab/>
              <w:t xml:space="preserve"> </w:t>
            </w:r>
          </w:p>
          <w:p w14:paraId="472E11C3" w14:textId="77777777" w:rsidR="00C15D15" w:rsidRDefault="009F1E3F" w:rsidP="00C15D15">
            <w:pPr>
              <w:pStyle w:val="NormalAgency"/>
            </w:pPr>
            <w:r w:rsidRPr="004937EE">
              <w:t>Email:</w:t>
            </w:r>
          </w:p>
          <w:p w14:paraId="4D6C3809" w14:textId="77777777" w:rsidR="00C15D15" w:rsidRPr="004937EE" w:rsidRDefault="00C15D15" w:rsidP="00C15D15">
            <w:pPr>
              <w:pStyle w:val="NormalAgency"/>
            </w:pPr>
          </w:p>
          <w:p w14:paraId="4BAE9513" w14:textId="77777777" w:rsidR="00C15D15" w:rsidRDefault="00C15D15" w:rsidP="00C15D15">
            <w:pPr>
              <w:pStyle w:val="NormalAgency"/>
              <w:rPr>
                <w:b/>
              </w:rPr>
            </w:pPr>
          </w:p>
          <w:p w14:paraId="0399D1A6" w14:textId="77777777" w:rsidR="00210F1E" w:rsidRDefault="00210F1E" w:rsidP="00C15D15">
            <w:pPr>
              <w:pStyle w:val="NormalAgency"/>
              <w:rPr>
                <w:b/>
              </w:rPr>
            </w:pPr>
          </w:p>
          <w:p w14:paraId="3F0C7551" w14:textId="77777777" w:rsidR="00C15D15" w:rsidRPr="004937EE" w:rsidRDefault="009F1E3F" w:rsidP="00C15D15">
            <w:pPr>
              <w:pStyle w:val="NormalAgency"/>
              <w:rPr>
                <w:b/>
              </w:rPr>
            </w:pPr>
            <w:r w:rsidRPr="004937EE">
              <w:rPr>
                <w:b/>
              </w:rPr>
              <w:t>Name:</w:t>
            </w:r>
          </w:p>
          <w:p w14:paraId="5BFD7E1D" w14:textId="77777777" w:rsidR="00C15D15" w:rsidRPr="004937EE" w:rsidRDefault="009F1E3F" w:rsidP="00C15D15">
            <w:pPr>
              <w:pStyle w:val="NormalAgency"/>
            </w:pPr>
            <w:r w:rsidRPr="004937EE">
              <w:t>Tel:</w:t>
            </w:r>
            <w:r w:rsidRPr="004937EE">
              <w:tab/>
              <w:t xml:space="preserve"> </w:t>
            </w:r>
          </w:p>
          <w:p w14:paraId="6244107B" w14:textId="77777777" w:rsidR="00C15D15" w:rsidRDefault="009F1E3F" w:rsidP="00C15D15">
            <w:pPr>
              <w:pStyle w:val="NormalAgency"/>
            </w:pPr>
            <w:r w:rsidRPr="004937EE">
              <w:t>Email:</w:t>
            </w:r>
          </w:p>
          <w:p w14:paraId="68393285" w14:textId="77777777" w:rsidR="00C15D15" w:rsidRPr="004937EE" w:rsidRDefault="00C15D15" w:rsidP="00C15D15">
            <w:pPr>
              <w:pStyle w:val="NormalAgency"/>
            </w:pPr>
          </w:p>
          <w:p w14:paraId="75541179" w14:textId="77777777" w:rsidR="00210F1E" w:rsidRDefault="00210F1E" w:rsidP="00C15D15">
            <w:pPr>
              <w:pStyle w:val="NormalAgency"/>
              <w:rPr>
                <w:b/>
              </w:rPr>
            </w:pPr>
          </w:p>
          <w:p w14:paraId="352F4425" w14:textId="77777777" w:rsidR="00210F1E" w:rsidRDefault="00210F1E" w:rsidP="00C15D15">
            <w:pPr>
              <w:pStyle w:val="NormalAgency"/>
              <w:rPr>
                <w:b/>
              </w:rPr>
            </w:pPr>
          </w:p>
          <w:p w14:paraId="71561C93" w14:textId="77777777" w:rsidR="00C15D15" w:rsidRPr="004937EE" w:rsidRDefault="009F1E3F" w:rsidP="00C15D15">
            <w:pPr>
              <w:pStyle w:val="NormalAgency"/>
              <w:rPr>
                <w:b/>
              </w:rPr>
            </w:pPr>
            <w:r w:rsidRPr="004937EE">
              <w:rPr>
                <w:b/>
              </w:rPr>
              <w:t>Name:</w:t>
            </w:r>
          </w:p>
          <w:p w14:paraId="0F932B24" w14:textId="77777777" w:rsidR="00C15D15" w:rsidRPr="004937EE" w:rsidRDefault="009F1E3F" w:rsidP="00C15D15">
            <w:pPr>
              <w:pStyle w:val="NormalAgency"/>
            </w:pPr>
            <w:r w:rsidRPr="004937EE">
              <w:t>Tel:</w:t>
            </w:r>
            <w:r w:rsidRPr="004937EE">
              <w:tab/>
              <w:t xml:space="preserve"> </w:t>
            </w:r>
          </w:p>
          <w:p w14:paraId="181782AC" w14:textId="77777777" w:rsidR="00C15D15" w:rsidRPr="004937EE" w:rsidRDefault="009F1E3F" w:rsidP="00C15D15">
            <w:pPr>
              <w:pStyle w:val="NormalAgency"/>
            </w:pPr>
            <w:r w:rsidRPr="004937EE">
              <w:t>Email:</w:t>
            </w:r>
          </w:p>
          <w:p w14:paraId="58FCC27F" w14:textId="77777777" w:rsidR="00765E12" w:rsidRPr="00E62084" w:rsidRDefault="00765E12" w:rsidP="00AA4638">
            <w:pPr>
              <w:pStyle w:val="NormalAgency"/>
              <w:spacing w:after="140" w:line="280" w:lineRule="atLeast"/>
            </w:pPr>
          </w:p>
        </w:tc>
      </w:tr>
      <w:tr w:rsidR="00381EBE" w14:paraId="60B5C5DA" w14:textId="77777777" w:rsidTr="00AA4638">
        <w:tc>
          <w:tcPr>
            <w:tcW w:w="4339" w:type="dxa"/>
            <w:shd w:val="clear" w:color="auto" w:fill="auto"/>
          </w:tcPr>
          <w:p w14:paraId="6900B5CF" w14:textId="77777777" w:rsidR="00C15D15" w:rsidRDefault="009F1E3F" w:rsidP="00C15D15">
            <w:pPr>
              <w:pStyle w:val="NormalAgency"/>
              <w:rPr>
                <w:b/>
              </w:rPr>
            </w:pPr>
            <w:r w:rsidRPr="00AA4638">
              <w:rPr>
                <w:b/>
              </w:rPr>
              <w:t xml:space="preserve">Names of the </w:t>
            </w:r>
            <w:r w:rsidR="00070F24">
              <w:rPr>
                <w:b/>
              </w:rPr>
              <w:t>&lt;CHMP&gt;CAT&gt;</w:t>
            </w:r>
            <w:r w:rsidRPr="00AA4638">
              <w:rPr>
                <w:b/>
              </w:rPr>
              <w:t>(Co)Rapporteur assessors (internal and external):</w:t>
            </w:r>
            <w:r w:rsidRPr="004937EE">
              <w:rPr>
                <w:b/>
              </w:rPr>
              <w:t xml:space="preserve"> </w:t>
            </w:r>
          </w:p>
          <w:p w14:paraId="5B4BB6D1" w14:textId="77777777" w:rsidR="00C15D15" w:rsidRDefault="00C15D15" w:rsidP="00C15D15">
            <w:pPr>
              <w:pStyle w:val="NormalAgency"/>
              <w:rPr>
                <w:b/>
              </w:rPr>
            </w:pPr>
          </w:p>
          <w:p w14:paraId="02B149FE" w14:textId="77777777" w:rsidR="00C15D15" w:rsidRDefault="00C15D15" w:rsidP="00C15D15">
            <w:pPr>
              <w:pStyle w:val="NormalAgency"/>
              <w:rPr>
                <w:b/>
              </w:rPr>
            </w:pPr>
          </w:p>
          <w:p w14:paraId="6670557C" w14:textId="77777777" w:rsidR="00C15D15" w:rsidRDefault="00C15D15" w:rsidP="00C15D15">
            <w:pPr>
              <w:pStyle w:val="NormalAgency"/>
              <w:rPr>
                <w:b/>
              </w:rPr>
            </w:pPr>
          </w:p>
          <w:p w14:paraId="7E8C696F" w14:textId="77777777" w:rsidR="00C15D15" w:rsidRDefault="00C15D15" w:rsidP="00C15D15">
            <w:pPr>
              <w:pStyle w:val="NormalAgency"/>
              <w:rPr>
                <w:b/>
              </w:rPr>
            </w:pPr>
          </w:p>
          <w:p w14:paraId="6BB5D40A" w14:textId="77777777" w:rsidR="00C15D15" w:rsidRDefault="00C15D15" w:rsidP="00C15D15">
            <w:pPr>
              <w:pStyle w:val="NormalAgency"/>
              <w:rPr>
                <w:b/>
              </w:rPr>
            </w:pPr>
          </w:p>
          <w:p w14:paraId="39946245" w14:textId="77777777" w:rsidR="00765E12" w:rsidRPr="00AA4638" w:rsidRDefault="00765E12" w:rsidP="00937C5D">
            <w:pPr>
              <w:pStyle w:val="NormalAgency"/>
              <w:rPr>
                <w:b/>
              </w:rPr>
            </w:pPr>
          </w:p>
        </w:tc>
        <w:tc>
          <w:tcPr>
            <w:tcW w:w="5290" w:type="dxa"/>
            <w:shd w:val="clear" w:color="auto" w:fill="auto"/>
          </w:tcPr>
          <w:p w14:paraId="0C8AB46E" w14:textId="77777777" w:rsidR="00765E12" w:rsidRDefault="009F1E3F" w:rsidP="00AA4638">
            <w:pPr>
              <w:pStyle w:val="NormalAgency"/>
              <w:spacing w:after="60" w:line="280" w:lineRule="atLeast"/>
            </w:pPr>
            <w:r w:rsidRPr="00AA4638">
              <w:rPr>
                <w:b/>
              </w:rPr>
              <w:t>Name(s):</w:t>
            </w:r>
          </w:p>
          <w:p w14:paraId="40389EC0" w14:textId="77777777" w:rsidR="00765E12" w:rsidRDefault="009F1E3F" w:rsidP="00AA4638">
            <w:pPr>
              <w:pStyle w:val="NormalAgency"/>
              <w:spacing w:after="60" w:line="280" w:lineRule="atLeast"/>
            </w:pPr>
            <w:r>
              <w:t>Tel:</w:t>
            </w:r>
            <w:r>
              <w:tab/>
            </w:r>
          </w:p>
          <w:p w14:paraId="4332754D" w14:textId="77777777" w:rsidR="00765E12" w:rsidRDefault="009F1E3F" w:rsidP="00937C5D">
            <w:pPr>
              <w:pStyle w:val="NormalAgency"/>
              <w:spacing w:after="60" w:line="280" w:lineRule="atLeast"/>
            </w:pPr>
            <w:r>
              <w:t>e-mail:</w:t>
            </w:r>
          </w:p>
          <w:p w14:paraId="01CAEB69" w14:textId="77777777" w:rsidR="00C15D15" w:rsidRPr="00E62084" w:rsidRDefault="00C15D15" w:rsidP="00937C5D">
            <w:pPr>
              <w:pStyle w:val="NormalAgency"/>
            </w:pPr>
          </w:p>
        </w:tc>
      </w:tr>
    </w:tbl>
    <w:p w14:paraId="5B91DC82" w14:textId="118B672E" w:rsidR="009C79AA" w:rsidRDefault="009F1E3F" w:rsidP="002F2353">
      <w:pPr>
        <w:pStyle w:val="No-numheading2Agency"/>
        <w:rPr>
          <w:bCs w:val="0"/>
          <w:i w:val="0"/>
          <w:lang w:val="en-US"/>
        </w:rPr>
      </w:pPr>
      <w:bookmarkStart w:id="6" w:name="_Toc73025075"/>
      <w:r w:rsidRPr="002F2353">
        <w:rPr>
          <w:bCs w:val="0"/>
          <w:i w:val="0"/>
          <w:lang w:val="en-US"/>
        </w:rPr>
        <w:t>Declarations</w:t>
      </w:r>
      <w:bookmarkEnd w:id="6"/>
    </w:p>
    <w:p w14:paraId="2C02176B" w14:textId="04612916" w:rsidR="005436E0" w:rsidRPr="005436E0" w:rsidRDefault="009F1E3F" w:rsidP="005436E0">
      <w:pPr>
        <w:pStyle w:val="BodytextAgency"/>
        <w:rPr>
          <w:b/>
          <w:bCs/>
          <w:lang w:val="en-US"/>
        </w:rPr>
      </w:pPr>
      <w:r w:rsidRPr="005436E0">
        <w:rPr>
          <w:b/>
          <w:bCs/>
          <w:lang w:val="en-US"/>
        </w:rPr>
        <w:t>Rapporteur</w:t>
      </w:r>
    </w:p>
    <w:p w14:paraId="4D8ADD9C" w14:textId="77777777" w:rsidR="006B7868" w:rsidRDefault="009F1E3F" w:rsidP="006B7868">
      <w:pPr>
        <w:pStyle w:val="BodytextAgency"/>
        <w:rPr>
          <w:rFonts w:ascii="Calibri" w:hAnsi="Calibri" w:cs="Calibri"/>
          <w:snapToGrid w:val="0"/>
          <w:sz w:val="22"/>
          <w:szCs w:val="22"/>
          <w:lang w:eastAsia="en-US"/>
        </w:rPr>
      </w:pPr>
      <w:r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snapToGrid w:val="0"/>
        </w:rPr>
        <w:t xml:space="preserve">The assessor confirms that this assessment does </w:t>
      </w:r>
      <w:r>
        <w:rPr>
          <w:b/>
          <w:bCs/>
          <w:snapToGrid w:val="0"/>
        </w:rPr>
        <w:t>not</w:t>
      </w:r>
      <w:r>
        <w:rPr>
          <w:snapToGrid w:val="0"/>
        </w:rPr>
        <w:t xml:space="preserve"> include non-public information, including commercially confidential information (eg. ASMF, information shared by oth</w:t>
      </w:r>
      <w:r>
        <w:rPr>
          <w:snapToGrid w:val="0"/>
        </w:rPr>
        <w:t xml:space="preserve">er competent authorities or organisations, reference to on-going assessments or development plans etc), irrespective from which entity was received*. </w:t>
      </w:r>
    </w:p>
    <w:p w14:paraId="63647FD6" w14:textId="77777777" w:rsidR="006B7868" w:rsidRDefault="009F1E3F" w:rsidP="006B7868">
      <w:pPr>
        <w:pStyle w:val="BodytextAgency"/>
        <w:rPr>
          <w:i/>
          <w:iCs/>
        </w:rPr>
      </w:pPr>
      <w:r>
        <w:rPr>
          <w:i/>
          <w:iCs/>
          <w:snapToGrid w:val="0"/>
        </w:rPr>
        <w:t xml:space="preserve">*If the entity from which non-public information originates has consented to its further disclosure, the </w:t>
      </w:r>
      <w:r>
        <w:rPr>
          <w:i/>
          <w:iCs/>
          <w:snapToGrid w:val="0"/>
        </w:rPr>
        <w:t xml:space="preserve">box should be ticked and there </w:t>
      </w:r>
      <w:r>
        <w:rPr>
          <w:snapToGrid w:val="0"/>
        </w:rPr>
        <w:t>would</w:t>
      </w:r>
      <w:r>
        <w:rPr>
          <w:i/>
          <w:iCs/>
          <w:snapToGrid w:val="0"/>
        </w:rPr>
        <w:t xml:space="preserve"> be no need to add details below.</w:t>
      </w:r>
    </w:p>
    <w:p w14:paraId="16429C67" w14:textId="77777777" w:rsidR="009C79AA" w:rsidRDefault="009F1E3F" w:rsidP="009C79AA">
      <w:pPr>
        <w:pStyle w:val="BodytextAgency"/>
      </w:pPr>
      <w:r>
        <w:t xml:space="preserve">Whenever the above box is un-ticked please indicate section and page where confidential information is located here: </w:t>
      </w:r>
    </w:p>
    <w:p w14:paraId="1476D9FC" w14:textId="77777777" w:rsidR="00C15D15" w:rsidRDefault="00C15D15" w:rsidP="009C79AA">
      <w:pPr>
        <w:pStyle w:val="BodytextAgency"/>
      </w:pPr>
    </w:p>
    <w:p w14:paraId="147F96DB" w14:textId="77777777" w:rsidR="005436E0" w:rsidRPr="00611B04" w:rsidRDefault="009F1E3F" w:rsidP="000B2E5E">
      <w:pPr>
        <w:pStyle w:val="Bodytext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 w:rsidRPr="00611B04">
        <w:rPr>
          <w:b/>
          <w:bCs/>
        </w:rPr>
        <w:t>Co-Rapporteur</w:t>
      </w:r>
    </w:p>
    <w:p w14:paraId="7DCB1A55" w14:textId="1CC34FBB" w:rsidR="005436E0" w:rsidRPr="005436E0" w:rsidRDefault="009F1E3F" w:rsidP="000B2E5E">
      <w:pPr>
        <w:pStyle w:val="Bodytext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5436E0">
        <w:t>The assessor confirms that this assessment does not include non-public information, including commercially confidential information (e.g. ASMF, information shared by other competent authorities or organisations, reference to on-goin</w:t>
      </w:r>
      <w:r w:rsidRPr="005436E0">
        <w:t>g assessments or development plans etc), irrespective from which entity was received*.</w:t>
      </w:r>
    </w:p>
    <w:p w14:paraId="73BE39B8" w14:textId="77777777" w:rsidR="005436E0" w:rsidRPr="005436E0" w:rsidRDefault="009F1E3F" w:rsidP="000B2E5E">
      <w:pPr>
        <w:pStyle w:val="Bodytext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436E0">
        <w:t>*If the entity from which non-public information originates has consented to its further disclosure, the box should be ticked and there would be no need to add details b</w:t>
      </w:r>
      <w:r w:rsidRPr="005436E0">
        <w:t>elow.</w:t>
      </w:r>
    </w:p>
    <w:p w14:paraId="63B93802" w14:textId="77777777" w:rsidR="005436E0" w:rsidRPr="005436E0" w:rsidRDefault="009F1E3F" w:rsidP="000B2E5E">
      <w:pPr>
        <w:pStyle w:val="Bodytext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436E0">
        <w:t>Whenever the above box is un-ticked please indicate section and page where confidential information is located (including the Product Information document) here:</w:t>
      </w:r>
    </w:p>
    <w:p w14:paraId="38FF8C15" w14:textId="77777777" w:rsidR="00765E12" w:rsidRPr="005436E0" w:rsidRDefault="00765E12" w:rsidP="00765E12">
      <w:pPr>
        <w:pStyle w:val="BodytextAgency"/>
      </w:pPr>
    </w:p>
    <w:p w14:paraId="7EA288D9" w14:textId="4870F792" w:rsidR="00765E12" w:rsidRDefault="009F1E3F" w:rsidP="00D178ED">
      <w:pPr>
        <w:pStyle w:val="Heading1Agency"/>
      </w:pPr>
      <w:bookmarkStart w:id="7" w:name="_Toc66280263"/>
      <w:bookmarkStart w:id="8" w:name="_Toc66280332"/>
      <w:bookmarkStart w:id="9" w:name="_Toc66895617"/>
      <w:bookmarkStart w:id="10" w:name="_Toc68684829"/>
      <w:bookmarkStart w:id="11" w:name="_Toc66280264"/>
      <w:bookmarkStart w:id="12" w:name="_Toc66280333"/>
      <w:bookmarkStart w:id="13" w:name="_Toc66895618"/>
      <w:bookmarkStart w:id="14" w:name="_Toc68684830"/>
      <w:bookmarkStart w:id="15" w:name="_Toc66280265"/>
      <w:bookmarkStart w:id="16" w:name="_Toc66280334"/>
      <w:bookmarkStart w:id="17" w:name="_Toc66895619"/>
      <w:bookmarkStart w:id="18" w:name="_Toc68684831"/>
      <w:bookmarkStart w:id="19" w:name="_Toc66280266"/>
      <w:bookmarkStart w:id="20" w:name="_Toc66280335"/>
      <w:bookmarkStart w:id="21" w:name="_Toc66895620"/>
      <w:bookmarkStart w:id="22" w:name="_Toc68684832"/>
      <w:bookmarkStart w:id="23" w:name="_Toc7302507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937C5D">
        <w:t>Executive</w:t>
      </w:r>
      <w:r>
        <w:t xml:space="preserve"> </w:t>
      </w:r>
      <w:r w:rsidR="00A872B8">
        <w:t>summary</w:t>
      </w:r>
      <w:bookmarkEnd w:id="23"/>
    </w:p>
    <w:p w14:paraId="3C68FAAC" w14:textId="77777777" w:rsidR="00765E12" w:rsidRDefault="009F1E3F" w:rsidP="00765E12">
      <w:pPr>
        <w:pStyle w:val="Heading2Agency"/>
      </w:pPr>
      <w:bookmarkStart w:id="24" w:name="_Toc73025077"/>
      <w:r>
        <w:t xml:space="preserve">Problem </w:t>
      </w:r>
      <w:r w:rsidR="00A872B8">
        <w:t>statement</w:t>
      </w:r>
      <w:bookmarkEnd w:id="24"/>
    </w:p>
    <w:p w14:paraId="22656C7B" w14:textId="56B82669" w:rsidR="00765E12" w:rsidRDefault="009F1E3F" w:rsidP="00765E12">
      <w:pPr>
        <w:pStyle w:val="BodytextAgency"/>
      </w:pPr>
      <w:r>
        <w:t xml:space="preserve">This application was submitted in </w:t>
      </w:r>
      <w:r>
        <w:t>accordance with Article 8(3) of Directive 2001/83/EC and it contained discussion</w:t>
      </w:r>
      <w:r w:rsidR="00E75DAF">
        <w:t xml:space="preserve"> and/or data</w:t>
      </w:r>
      <w:r>
        <w:t xml:space="preserve"> as to why the active substance &lt;active substance&gt; should be regarded as new.</w:t>
      </w:r>
    </w:p>
    <w:p w14:paraId="27FF75EA" w14:textId="2179C9BA" w:rsidR="00242F23" w:rsidRPr="00990231" w:rsidRDefault="009F1E3F" w:rsidP="00242F23">
      <w:pPr>
        <w:pStyle w:val="BodytextAgency"/>
      </w:pPr>
      <w:r w:rsidRPr="00990231">
        <w:t>&lt;The applicant requested the active substance {</w:t>
      </w:r>
      <w:r w:rsidRPr="00990231">
        <w:rPr>
          <w:i/>
        </w:rPr>
        <w:t>active substance</w:t>
      </w:r>
      <w:r w:rsidRPr="00990231">
        <w:t>} contained in the abov</w:t>
      </w:r>
      <w:r w:rsidRPr="00990231">
        <w:t>e medicinal product to be considered as a new active substance, as the applicant claims that it is not a constituent of a medicinal product previously authorised within the European Union.&gt;</w:t>
      </w:r>
    </w:p>
    <w:p w14:paraId="0E5B5393" w14:textId="77777777" w:rsidR="00242F23" w:rsidRPr="00990231" w:rsidRDefault="009F1E3F" w:rsidP="00242F23">
      <w:pPr>
        <w:pStyle w:val="DraftingNotesAgency"/>
      </w:pPr>
      <w:r w:rsidRPr="00990231">
        <w:t>[or]</w:t>
      </w:r>
    </w:p>
    <w:p w14:paraId="60A1DF67" w14:textId="77777777" w:rsidR="00242F23" w:rsidRPr="007901C7" w:rsidRDefault="009F1E3F" w:rsidP="00242F23">
      <w:pPr>
        <w:pStyle w:val="BodytextAgency"/>
      </w:pPr>
      <w:r w:rsidRPr="00990231">
        <w:t>&lt;The applicant requested the active substance {active substan</w:t>
      </w:r>
      <w:r w:rsidRPr="00990231">
        <w:t>ce} contained in the above medicinal product to be considered as a new active substance in comparison to {active substance} previously authorised in the European Union as {</w:t>
      </w:r>
      <w:r w:rsidRPr="00990231">
        <w:rPr>
          <w:i/>
        </w:rPr>
        <w:t>name of the medicinal product authorised</w:t>
      </w:r>
      <w:r w:rsidRPr="00990231">
        <w:t>}, as the applicant claimed that {</w:t>
      </w:r>
      <w:r w:rsidRPr="00990231">
        <w:rPr>
          <w:i/>
        </w:rPr>
        <w:t>active sub</w:t>
      </w:r>
      <w:r w:rsidRPr="00990231">
        <w:rPr>
          <w:i/>
        </w:rPr>
        <w:t>stance</w:t>
      </w:r>
      <w:r w:rsidRPr="00990231">
        <w:t>} differs significantly in properties with regard to safety and/or efficacy from the already authorised active substance.&gt;</w:t>
      </w:r>
    </w:p>
    <w:p w14:paraId="3D046AAE" w14:textId="77777777" w:rsidR="00242F23" w:rsidRPr="007901C7" w:rsidRDefault="009F1E3F" w:rsidP="00242F23">
      <w:pPr>
        <w:pStyle w:val="DraftingNotesAgency"/>
      </w:pPr>
      <w:r w:rsidRPr="007901C7">
        <w:t>[or]</w:t>
      </w:r>
    </w:p>
    <w:p w14:paraId="6D7D5D24" w14:textId="2998DF67" w:rsidR="00242F23" w:rsidRPr="00990231" w:rsidRDefault="009F1E3F" w:rsidP="00242F23">
      <w:pPr>
        <w:pStyle w:val="BodytextAgency"/>
      </w:pPr>
      <w:r w:rsidRPr="008B0FE5">
        <w:t>&lt;</w:t>
      </w:r>
      <w:r w:rsidRPr="0069485C">
        <w:t>The</w:t>
      </w:r>
      <w:r w:rsidRPr="009E7F63">
        <w:t xml:space="preserve"> applicant requested</w:t>
      </w:r>
      <w:r w:rsidRPr="00734D16">
        <w:t xml:space="preserve"> </w:t>
      </w:r>
      <w:r w:rsidRPr="00990231">
        <w:t xml:space="preserve">the radiopharmaceutical substance </w:t>
      </w:r>
      <w:r w:rsidRPr="00990231">
        <w:rPr>
          <w:i/>
        </w:rPr>
        <w:t>&lt;active substance &gt;</w:t>
      </w:r>
      <w:r w:rsidRPr="00990231">
        <w:t xml:space="preserve"> to be considered as a new active substance </w:t>
      </w:r>
      <w:r w:rsidRPr="00990231">
        <w:t>as &lt;it is a constituent</w:t>
      </w:r>
      <w:r w:rsidR="00317FDA">
        <w:t xml:space="preserve"> radionucleide or a ligand- </w:t>
      </w:r>
      <w:r w:rsidRPr="00990231">
        <w:t xml:space="preserve">not previously authorised in a medicinal product in the European Union&gt; &lt;the coupling mechanism to link </w:t>
      </w:r>
      <w:r w:rsidRPr="00990231">
        <w:rPr>
          <w:i/>
        </w:rPr>
        <w:t xml:space="preserve">&lt;active substance&gt; </w:t>
      </w:r>
      <w:r w:rsidRPr="00990231">
        <w:t>and &lt;the radionuclide&gt; has not been authorised previously in the European Union&gt;.&gt;</w:t>
      </w:r>
    </w:p>
    <w:p w14:paraId="7D6B164D" w14:textId="77777777" w:rsidR="00242F23" w:rsidRDefault="00242F23" w:rsidP="00765E12">
      <w:pPr>
        <w:pStyle w:val="BodytextAgency"/>
      </w:pPr>
    </w:p>
    <w:p w14:paraId="7CE40BAA" w14:textId="33D9288D" w:rsidR="005436E0" w:rsidRDefault="009F1E3F" w:rsidP="005436E0">
      <w:pPr>
        <w:pStyle w:val="Heading1Agency"/>
        <w:keepNext w:val="0"/>
      </w:pPr>
      <w:bookmarkStart w:id="25" w:name="_Toc73025078"/>
      <w:r>
        <w:t>Scientific evaluation</w:t>
      </w:r>
      <w:bookmarkEnd w:id="25"/>
    </w:p>
    <w:p w14:paraId="2CF57D38" w14:textId="08CD6262" w:rsidR="009E6891" w:rsidRDefault="009E6891" w:rsidP="009E6891">
      <w:pPr>
        <w:pStyle w:val="BodytextAgency"/>
      </w:pPr>
    </w:p>
    <w:p w14:paraId="497964C5" w14:textId="77777777" w:rsidR="009E6891" w:rsidRPr="004E49AC" w:rsidRDefault="009F1E3F" w:rsidP="009E6891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E49AC">
        <w:t xml:space="preserve">In this section, for the Co-Rapporteur assessment separate boxes have been introduced in relevant sub-sections (discussions and conclusions) below. For factual data, Co-Rapporteur only to add if additional data </w:t>
      </w:r>
      <w:r w:rsidRPr="004E49AC">
        <w:lastRenderedPageBreak/>
        <w:t>are of relevance. In this case, please insert</w:t>
      </w:r>
      <w:r w:rsidRPr="004E49AC">
        <w:t xml:space="preserve"> relevant boxes for co-Rapporteur assessment as applicable.</w:t>
      </w:r>
    </w:p>
    <w:p w14:paraId="4A43FBF4" w14:textId="77777777" w:rsidR="009E6891" w:rsidRPr="009E6891" w:rsidRDefault="009E6891" w:rsidP="009E6891">
      <w:pPr>
        <w:pStyle w:val="BodytextAgency"/>
      </w:pPr>
    </w:p>
    <w:p w14:paraId="59AA6BE2" w14:textId="77777777" w:rsidR="00765E12" w:rsidRDefault="009F1E3F" w:rsidP="008F66EC">
      <w:pPr>
        <w:pStyle w:val="Heading2Agency"/>
        <w:keepNext w:val="0"/>
      </w:pPr>
      <w:bookmarkStart w:id="26" w:name="_Toc73025079"/>
      <w:r>
        <w:t>&lt;Quality aspects&gt;</w:t>
      </w:r>
      <w:bookmarkEnd w:id="26"/>
    </w:p>
    <w:p w14:paraId="04D5EEA3" w14:textId="391DC907" w:rsidR="005436E0" w:rsidRDefault="009F1E3F" w:rsidP="005436E0">
      <w:pPr>
        <w:pStyle w:val="Heading3Agency"/>
      </w:pPr>
      <w:bookmarkStart w:id="27" w:name="_Toc73025080"/>
      <w:r>
        <w:t xml:space="preserve">Discussion on </w:t>
      </w:r>
      <w:r w:rsidR="00A872B8">
        <w:t xml:space="preserve">quality </w:t>
      </w:r>
      <w:r>
        <w:t>aspects</w:t>
      </w:r>
      <w:bookmarkEnd w:id="27"/>
    </w:p>
    <w:p w14:paraId="68F04C55" w14:textId="77777777" w:rsidR="005436E0" w:rsidRDefault="005436E0" w:rsidP="005436E0">
      <w:pPr>
        <w:pStyle w:val="BodytextAgency"/>
      </w:pPr>
    </w:p>
    <w:p w14:paraId="65AD45AC" w14:textId="22584DB8" w:rsidR="005436E0" w:rsidRPr="001F1EC0" w:rsidRDefault="009F1E3F" w:rsidP="005436E0">
      <w:pPr>
        <w:pStyle w:val="BodytextAgencyblue"/>
        <w:rPr>
          <w:vanish/>
          <w:specVanish/>
        </w:rPr>
      </w:pPr>
      <w:r w:rsidRPr="00AB1CAB">
        <w:t xml:space="preserve">Co-Rapporteur assessment: </w:t>
      </w:r>
    </w:p>
    <w:p w14:paraId="4356CDCC" w14:textId="1EFFDFCD" w:rsidR="005436E0" w:rsidRDefault="009F1E3F" w:rsidP="005436E0">
      <w:pPr>
        <w:pStyle w:val="DraftingNotesAgencyblue"/>
      </w:pPr>
      <w:r>
        <w:t xml:space="preserve"> </w:t>
      </w:r>
      <w:r w:rsidRPr="00771BA7">
        <w:t xml:space="preserve">Co-Rapporteur </w:t>
      </w:r>
      <w:r w:rsidR="00BF405A">
        <w:t>discussion</w:t>
      </w:r>
      <w:r w:rsidRPr="00771BA7">
        <w:t xml:space="preserve"> should be inserted here</w:t>
      </w:r>
      <w:r w:rsidR="00BF405A">
        <w:t>.</w:t>
      </w:r>
    </w:p>
    <w:p w14:paraId="1AEA3E25" w14:textId="0B1EDCD8" w:rsidR="009E6891" w:rsidRDefault="009F1E3F" w:rsidP="009E6891">
      <w:pPr>
        <w:pStyle w:val="DraftingNotesAgencyblue"/>
      </w:pPr>
      <w:r w:rsidRPr="004E49AC">
        <w:t xml:space="preserve">Please </w:t>
      </w:r>
      <w:r w:rsidRPr="004E49AC">
        <w:rPr>
          <w:u w:val="single"/>
        </w:rPr>
        <w:t>always</w:t>
      </w:r>
      <w:r w:rsidRPr="004E49AC">
        <w:t xml:space="preserve"> insert the Co-Rapporteur </w:t>
      </w:r>
      <w:r>
        <w:t>discus</w:t>
      </w:r>
      <w:r w:rsidRPr="004E49AC">
        <w:t xml:space="preserve">sion even if there is </w:t>
      </w:r>
      <w:r w:rsidRPr="004E49AC">
        <w:t>agreement with the Rapporteur.</w:t>
      </w:r>
    </w:p>
    <w:p w14:paraId="59397C6F" w14:textId="77777777" w:rsidR="009E6891" w:rsidRPr="009E6891" w:rsidRDefault="009E6891" w:rsidP="009E6891">
      <w:pPr>
        <w:pStyle w:val="BodytextAgencyblue"/>
      </w:pPr>
    </w:p>
    <w:p w14:paraId="77A19809" w14:textId="77777777" w:rsidR="005436E0" w:rsidRPr="005436E0" w:rsidRDefault="005436E0" w:rsidP="005436E0">
      <w:pPr>
        <w:pStyle w:val="BodytextAgency"/>
      </w:pPr>
    </w:p>
    <w:p w14:paraId="769C332B" w14:textId="2D4CC4C7" w:rsidR="00765E12" w:rsidRDefault="009F1E3F" w:rsidP="0097579B">
      <w:pPr>
        <w:pStyle w:val="Heading3Agency"/>
      </w:pPr>
      <w:bookmarkStart w:id="28" w:name="_Toc73025081"/>
      <w:r>
        <w:t xml:space="preserve">Conclusions on </w:t>
      </w:r>
      <w:r w:rsidR="00A872B8">
        <w:t xml:space="preserve">quality </w:t>
      </w:r>
      <w:r>
        <w:t>aspects</w:t>
      </w:r>
      <w:bookmarkEnd w:id="28"/>
    </w:p>
    <w:p w14:paraId="2D5C1E60" w14:textId="77777777" w:rsidR="005436E0" w:rsidRDefault="005436E0" w:rsidP="005436E0">
      <w:pPr>
        <w:pStyle w:val="BodytextAgency"/>
      </w:pPr>
    </w:p>
    <w:p w14:paraId="420609EA" w14:textId="6D5D7189" w:rsidR="005436E0" w:rsidRPr="001F1EC0" w:rsidRDefault="009F1E3F" w:rsidP="005436E0">
      <w:pPr>
        <w:pStyle w:val="BodytextAgencyblue"/>
        <w:rPr>
          <w:vanish/>
          <w:specVanish/>
        </w:rPr>
      </w:pPr>
      <w:r w:rsidRPr="00AB1CAB">
        <w:t xml:space="preserve">Co-Rapporteur assessment: </w:t>
      </w:r>
    </w:p>
    <w:p w14:paraId="7CB722F5" w14:textId="4476B51C" w:rsidR="005436E0" w:rsidRDefault="009F1E3F" w:rsidP="005436E0">
      <w:pPr>
        <w:pStyle w:val="DraftingNotesAgencyblue"/>
      </w:pPr>
      <w:r>
        <w:t xml:space="preserve"> </w:t>
      </w:r>
      <w:r w:rsidRPr="00771BA7">
        <w:t>Co-Rapporteur conclusion should be inserted here</w:t>
      </w:r>
      <w:r w:rsidR="00BF405A">
        <w:t>.</w:t>
      </w:r>
    </w:p>
    <w:p w14:paraId="190ED4CE" w14:textId="19AE8035" w:rsidR="009E6891" w:rsidRPr="009E6891" w:rsidRDefault="009F1E3F" w:rsidP="009E6891">
      <w:pPr>
        <w:pStyle w:val="DraftingNotesAgencyblue"/>
      </w:pPr>
      <w:r w:rsidRPr="004E49AC">
        <w:t xml:space="preserve">Please </w:t>
      </w:r>
      <w:r w:rsidRPr="004E49AC">
        <w:rPr>
          <w:u w:val="single"/>
        </w:rPr>
        <w:t>always</w:t>
      </w:r>
      <w:r w:rsidRPr="004E49AC">
        <w:t xml:space="preserve"> insert the Co-Rapporteur conclusion even if there is agreement with the Rapporteur.</w:t>
      </w:r>
    </w:p>
    <w:p w14:paraId="18C4FFC0" w14:textId="77777777" w:rsidR="005436E0" w:rsidRPr="007732EB" w:rsidRDefault="005436E0" w:rsidP="005436E0">
      <w:pPr>
        <w:pStyle w:val="BodytextAgencyblue"/>
      </w:pPr>
    </w:p>
    <w:p w14:paraId="08DC829B" w14:textId="77777777" w:rsidR="005436E0" w:rsidRPr="005436E0" w:rsidRDefault="005436E0" w:rsidP="005436E0">
      <w:pPr>
        <w:pStyle w:val="BodytextAgency"/>
      </w:pPr>
    </w:p>
    <w:p w14:paraId="52E60D0E" w14:textId="77777777" w:rsidR="00765E12" w:rsidRDefault="009F1E3F" w:rsidP="008F66EC">
      <w:pPr>
        <w:pStyle w:val="Heading2Agency"/>
        <w:keepNext w:val="0"/>
      </w:pPr>
      <w:bookmarkStart w:id="29" w:name="_Toc73025082"/>
      <w:r>
        <w:t>&lt;Non-clinical aspects&gt;</w:t>
      </w:r>
      <w:bookmarkEnd w:id="29"/>
    </w:p>
    <w:p w14:paraId="5E8FAD59" w14:textId="25616C08" w:rsidR="00765E12" w:rsidRDefault="009F1E3F" w:rsidP="00937C5D">
      <w:pPr>
        <w:pStyle w:val="Heading3Agency"/>
      </w:pPr>
      <w:bookmarkStart w:id="30" w:name="_Toc73025083"/>
      <w:r>
        <w:t xml:space="preserve">Discussion on </w:t>
      </w:r>
      <w:r w:rsidR="00A872B8">
        <w:t>non</w:t>
      </w:r>
      <w:r>
        <w:t>-clinical aspects</w:t>
      </w:r>
      <w:bookmarkEnd w:id="30"/>
    </w:p>
    <w:p w14:paraId="257A3019" w14:textId="2FE81FF0" w:rsidR="005436E0" w:rsidRDefault="005436E0" w:rsidP="005436E0">
      <w:pPr>
        <w:pStyle w:val="BodytextAgency"/>
      </w:pPr>
    </w:p>
    <w:p w14:paraId="32896B36" w14:textId="77777777" w:rsidR="005436E0" w:rsidRDefault="005436E0" w:rsidP="005436E0">
      <w:pPr>
        <w:pStyle w:val="BodytextAgency"/>
      </w:pPr>
    </w:p>
    <w:p w14:paraId="5CE2C597" w14:textId="61C0F526" w:rsidR="005436E0" w:rsidRPr="001F1EC0" w:rsidRDefault="009F1E3F" w:rsidP="005436E0">
      <w:pPr>
        <w:pStyle w:val="BodytextAgencyblue"/>
        <w:rPr>
          <w:vanish/>
          <w:specVanish/>
        </w:rPr>
      </w:pPr>
      <w:r w:rsidRPr="00AB1CAB">
        <w:t xml:space="preserve">Co-Rapporteur assessment: </w:t>
      </w:r>
    </w:p>
    <w:p w14:paraId="02C31CEF" w14:textId="6202E66D" w:rsidR="005436E0" w:rsidRDefault="009F1E3F" w:rsidP="005436E0">
      <w:pPr>
        <w:pStyle w:val="DraftingNotesAgencyblue"/>
      </w:pPr>
      <w:r>
        <w:t xml:space="preserve"> </w:t>
      </w:r>
      <w:r w:rsidRPr="00771BA7">
        <w:t xml:space="preserve">Co-Rapporteur </w:t>
      </w:r>
      <w:r w:rsidR="00BF405A">
        <w:t>discus</w:t>
      </w:r>
      <w:r w:rsidRPr="00771BA7">
        <w:t>sion should be inserted here</w:t>
      </w:r>
      <w:r w:rsidR="00BF405A">
        <w:t>.</w:t>
      </w:r>
    </w:p>
    <w:p w14:paraId="6EFF3300" w14:textId="05BC6FE7" w:rsidR="009E6891" w:rsidRDefault="009F1E3F" w:rsidP="009E6891">
      <w:pPr>
        <w:pStyle w:val="DraftingNotesAgencyblue"/>
      </w:pPr>
      <w:r w:rsidRPr="004E49AC">
        <w:t xml:space="preserve">Please </w:t>
      </w:r>
      <w:r w:rsidRPr="004E49AC">
        <w:rPr>
          <w:u w:val="single"/>
        </w:rPr>
        <w:t>always</w:t>
      </w:r>
      <w:r w:rsidRPr="004E49AC">
        <w:t xml:space="preserve"> insert the Co-Rapporteur </w:t>
      </w:r>
      <w:r>
        <w:t>discus</w:t>
      </w:r>
      <w:r w:rsidRPr="004E49AC">
        <w:t>sion even if there is agreement with the Rapporteur.</w:t>
      </w:r>
    </w:p>
    <w:p w14:paraId="244ECA54" w14:textId="77777777" w:rsidR="009E6891" w:rsidRPr="009E6891" w:rsidRDefault="009E6891" w:rsidP="009E6891">
      <w:pPr>
        <w:pStyle w:val="BodytextAgencyblue"/>
      </w:pPr>
    </w:p>
    <w:p w14:paraId="12399F98" w14:textId="77777777" w:rsidR="005436E0" w:rsidRPr="007732EB" w:rsidRDefault="005436E0" w:rsidP="005436E0">
      <w:pPr>
        <w:pStyle w:val="BodytextAgencyblue"/>
      </w:pPr>
    </w:p>
    <w:p w14:paraId="771DF7C7" w14:textId="77777777" w:rsidR="005436E0" w:rsidRPr="005436E0" w:rsidRDefault="005436E0" w:rsidP="005436E0">
      <w:pPr>
        <w:pStyle w:val="BodytextAgency"/>
      </w:pPr>
    </w:p>
    <w:p w14:paraId="48FA1250" w14:textId="29877F12" w:rsidR="00765E12" w:rsidRDefault="009F1E3F" w:rsidP="0097579B">
      <w:pPr>
        <w:pStyle w:val="Heading3Agency"/>
      </w:pPr>
      <w:bookmarkStart w:id="31" w:name="_Toc73025084"/>
      <w:r>
        <w:t xml:space="preserve">Conclusions on </w:t>
      </w:r>
      <w:r w:rsidR="00A872B8">
        <w:t>non</w:t>
      </w:r>
      <w:r>
        <w:t>-clinical aspects</w:t>
      </w:r>
      <w:bookmarkEnd w:id="31"/>
    </w:p>
    <w:p w14:paraId="4E22960D" w14:textId="52123B9D" w:rsidR="005436E0" w:rsidRDefault="005436E0" w:rsidP="005436E0">
      <w:pPr>
        <w:pStyle w:val="BodytextAgency"/>
      </w:pPr>
    </w:p>
    <w:p w14:paraId="09887708" w14:textId="77777777" w:rsidR="005436E0" w:rsidRDefault="005436E0" w:rsidP="005436E0">
      <w:pPr>
        <w:pStyle w:val="BodytextAgency"/>
      </w:pPr>
    </w:p>
    <w:p w14:paraId="534B3384" w14:textId="562252A7" w:rsidR="005436E0" w:rsidRPr="001F1EC0" w:rsidRDefault="009F1E3F" w:rsidP="005436E0">
      <w:pPr>
        <w:pStyle w:val="BodytextAgencyblue"/>
        <w:rPr>
          <w:vanish/>
          <w:specVanish/>
        </w:rPr>
      </w:pPr>
      <w:r w:rsidRPr="00AB1CAB">
        <w:t xml:space="preserve">Co-Rapporteur assessment: </w:t>
      </w:r>
    </w:p>
    <w:p w14:paraId="07041EFB" w14:textId="544E51F1" w:rsidR="005436E0" w:rsidRDefault="009F1E3F" w:rsidP="005436E0">
      <w:pPr>
        <w:pStyle w:val="DraftingNotesAgencyblue"/>
      </w:pPr>
      <w:r>
        <w:t xml:space="preserve"> </w:t>
      </w:r>
      <w:r w:rsidRPr="00771BA7">
        <w:t xml:space="preserve">Co-Rapporteur conclusion should be inserted here </w:t>
      </w:r>
    </w:p>
    <w:p w14:paraId="4AEE2065" w14:textId="77777777" w:rsidR="009E6891" w:rsidRDefault="009F1E3F" w:rsidP="009E6891">
      <w:pPr>
        <w:pStyle w:val="DraftingNotesAgencyblue"/>
      </w:pPr>
      <w:r w:rsidRPr="004E49AC">
        <w:t xml:space="preserve">Please </w:t>
      </w:r>
      <w:r w:rsidRPr="004E49AC">
        <w:rPr>
          <w:u w:val="single"/>
        </w:rPr>
        <w:t>always</w:t>
      </w:r>
      <w:r w:rsidRPr="004E49AC">
        <w:t xml:space="preserve"> insert the Co-Rapporteur conclusion even if there is agreement with the Rapporteur.</w:t>
      </w:r>
    </w:p>
    <w:p w14:paraId="5BAA7253" w14:textId="77777777" w:rsidR="009E6891" w:rsidRPr="009E6891" w:rsidRDefault="009E6891" w:rsidP="009E6891">
      <w:pPr>
        <w:pStyle w:val="BodytextAgencyblue"/>
      </w:pPr>
    </w:p>
    <w:p w14:paraId="4425365C" w14:textId="77777777" w:rsidR="005436E0" w:rsidRPr="007732EB" w:rsidRDefault="005436E0" w:rsidP="005436E0">
      <w:pPr>
        <w:pStyle w:val="BodytextAgencyblue"/>
      </w:pPr>
    </w:p>
    <w:p w14:paraId="2085D3D9" w14:textId="77777777" w:rsidR="005436E0" w:rsidRPr="005436E0" w:rsidRDefault="005436E0" w:rsidP="005436E0">
      <w:pPr>
        <w:pStyle w:val="BodytextAgency"/>
      </w:pPr>
    </w:p>
    <w:p w14:paraId="7C4DB314" w14:textId="77777777" w:rsidR="00765E12" w:rsidRDefault="009F1E3F" w:rsidP="008F66EC">
      <w:pPr>
        <w:pStyle w:val="Heading2Agency"/>
        <w:keepNext w:val="0"/>
      </w:pPr>
      <w:bookmarkStart w:id="32" w:name="_Toc73025085"/>
      <w:r>
        <w:t>&lt;Clinical aspects&gt;</w:t>
      </w:r>
      <w:bookmarkEnd w:id="32"/>
    </w:p>
    <w:p w14:paraId="4BDC0232" w14:textId="4D14151E" w:rsidR="00765E12" w:rsidRDefault="009F1E3F" w:rsidP="00937C5D">
      <w:pPr>
        <w:pStyle w:val="Heading3Agency"/>
      </w:pPr>
      <w:bookmarkStart w:id="33" w:name="_Toc73025086"/>
      <w:r>
        <w:t xml:space="preserve">Discussion on </w:t>
      </w:r>
      <w:r w:rsidR="00A872B8">
        <w:t xml:space="preserve">clinical </w:t>
      </w:r>
      <w:r>
        <w:t>aspects</w:t>
      </w:r>
      <w:bookmarkEnd w:id="33"/>
    </w:p>
    <w:p w14:paraId="167B0834" w14:textId="13112350" w:rsidR="005436E0" w:rsidRDefault="005436E0" w:rsidP="005436E0">
      <w:pPr>
        <w:pStyle w:val="BodytextAgency"/>
      </w:pPr>
    </w:p>
    <w:p w14:paraId="29505A32" w14:textId="77777777" w:rsidR="005436E0" w:rsidRDefault="005436E0" w:rsidP="005436E0">
      <w:pPr>
        <w:pStyle w:val="BodytextAgency"/>
      </w:pPr>
    </w:p>
    <w:p w14:paraId="0AA10104" w14:textId="76000179" w:rsidR="005436E0" w:rsidRPr="001F1EC0" w:rsidRDefault="009F1E3F" w:rsidP="005436E0">
      <w:pPr>
        <w:pStyle w:val="BodytextAgencyblue"/>
        <w:rPr>
          <w:vanish/>
          <w:specVanish/>
        </w:rPr>
      </w:pPr>
      <w:r w:rsidRPr="00AB1CAB">
        <w:t xml:space="preserve">Co-Rapporteur assessment: </w:t>
      </w:r>
    </w:p>
    <w:p w14:paraId="5DB0A98E" w14:textId="16C01C68" w:rsidR="005436E0" w:rsidRDefault="009F1E3F" w:rsidP="005436E0">
      <w:pPr>
        <w:pStyle w:val="DraftingNotesAgencyblue"/>
      </w:pPr>
      <w:r>
        <w:t xml:space="preserve"> </w:t>
      </w:r>
      <w:r w:rsidRPr="00771BA7">
        <w:t xml:space="preserve">Co-Rapporteur </w:t>
      </w:r>
      <w:r w:rsidR="00BF405A">
        <w:t>disc</w:t>
      </w:r>
      <w:r w:rsidRPr="00771BA7">
        <w:t>u</w:t>
      </w:r>
      <w:r w:rsidR="00BF405A">
        <w:t>s</w:t>
      </w:r>
      <w:r w:rsidRPr="00771BA7">
        <w:t>sion should be inserted here</w:t>
      </w:r>
      <w:r w:rsidR="00BF405A">
        <w:t>.</w:t>
      </w:r>
    </w:p>
    <w:p w14:paraId="2C4054D7" w14:textId="5A476109" w:rsidR="009E6891" w:rsidRDefault="009F1E3F" w:rsidP="009E6891">
      <w:pPr>
        <w:pStyle w:val="DraftingNotesAgencyblue"/>
      </w:pPr>
      <w:r w:rsidRPr="004E49AC">
        <w:t xml:space="preserve">Please </w:t>
      </w:r>
      <w:r w:rsidRPr="004E49AC">
        <w:rPr>
          <w:u w:val="single"/>
        </w:rPr>
        <w:t>always</w:t>
      </w:r>
      <w:r w:rsidRPr="004E49AC">
        <w:t xml:space="preserve"> insert the Co-Rapporteur </w:t>
      </w:r>
      <w:r>
        <w:t>discus</w:t>
      </w:r>
      <w:r w:rsidRPr="004E49AC">
        <w:t>sion even if there is agreement with the Rapporteur.</w:t>
      </w:r>
    </w:p>
    <w:p w14:paraId="630E8118" w14:textId="77777777" w:rsidR="009E6891" w:rsidRPr="009E6891" w:rsidRDefault="009E6891" w:rsidP="009E6891">
      <w:pPr>
        <w:pStyle w:val="BodytextAgencyblue"/>
      </w:pPr>
    </w:p>
    <w:p w14:paraId="5D6581C7" w14:textId="77777777" w:rsidR="005436E0" w:rsidRPr="007732EB" w:rsidRDefault="005436E0" w:rsidP="005436E0">
      <w:pPr>
        <w:pStyle w:val="BodytextAgencyblue"/>
      </w:pPr>
    </w:p>
    <w:p w14:paraId="1384673E" w14:textId="77777777" w:rsidR="005436E0" w:rsidRPr="005436E0" w:rsidRDefault="005436E0" w:rsidP="005436E0">
      <w:pPr>
        <w:pStyle w:val="BodytextAgency"/>
      </w:pPr>
    </w:p>
    <w:p w14:paraId="743C6510" w14:textId="035028B9" w:rsidR="00065522" w:rsidRDefault="009F1E3F" w:rsidP="00937C5D">
      <w:pPr>
        <w:pStyle w:val="Heading3Agency"/>
      </w:pPr>
      <w:bookmarkStart w:id="34" w:name="_Toc73025087"/>
      <w:r>
        <w:t xml:space="preserve">Conclusions on </w:t>
      </w:r>
      <w:r w:rsidR="00A872B8">
        <w:t xml:space="preserve">clinical </w:t>
      </w:r>
      <w:r>
        <w:t>aspects</w:t>
      </w:r>
      <w:bookmarkEnd w:id="34"/>
    </w:p>
    <w:p w14:paraId="53ACAAB6" w14:textId="77777777" w:rsidR="005436E0" w:rsidRDefault="005436E0" w:rsidP="005436E0">
      <w:pPr>
        <w:pStyle w:val="BodytextAgency"/>
      </w:pPr>
    </w:p>
    <w:p w14:paraId="221DEA33" w14:textId="44786D34" w:rsidR="005436E0" w:rsidRPr="001F1EC0" w:rsidRDefault="009F1E3F" w:rsidP="005436E0">
      <w:pPr>
        <w:pStyle w:val="BodytextAgencyblue"/>
        <w:rPr>
          <w:vanish/>
          <w:specVanish/>
        </w:rPr>
      </w:pPr>
      <w:r w:rsidRPr="00AB1CAB">
        <w:t xml:space="preserve">Co-Rapporteur assessment: </w:t>
      </w:r>
    </w:p>
    <w:p w14:paraId="70AE7772" w14:textId="55CD2393" w:rsidR="005436E0" w:rsidRDefault="009F1E3F" w:rsidP="005436E0">
      <w:pPr>
        <w:pStyle w:val="DraftingNotesAgencyblue"/>
      </w:pPr>
      <w:r>
        <w:t xml:space="preserve"> </w:t>
      </w:r>
      <w:r w:rsidRPr="00771BA7">
        <w:t>Co-Rapporteur co</w:t>
      </w:r>
      <w:r w:rsidRPr="00771BA7">
        <w:t>nclusion should be inserted here</w:t>
      </w:r>
      <w:r w:rsidR="00BF405A">
        <w:t>.</w:t>
      </w:r>
    </w:p>
    <w:p w14:paraId="3383A2FF" w14:textId="77777777" w:rsidR="009E6891" w:rsidRDefault="009F1E3F" w:rsidP="009E6891">
      <w:pPr>
        <w:pStyle w:val="DraftingNotesAgencyblue"/>
      </w:pPr>
      <w:r w:rsidRPr="004E49AC">
        <w:t xml:space="preserve">Please </w:t>
      </w:r>
      <w:r w:rsidRPr="004E49AC">
        <w:rPr>
          <w:u w:val="single"/>
        </w:rPr>
        <w:t>always</w:t>
      </w:r>
      <w:r w:rsidRPr="004E49AC">
        <w:t xml:space="preserve"> insert the Co-Rapporteur conclusion even if there is agreement with the Rapporteur.</w:t>
      </w:r>
    </w:p>
    <w:p w14:paraId="39DAA0A2" w14:textId="77777777" w:rsidR="009E6891" w:rsidRPr="009E6891" w:rsidRDefault="009E6891" w:rsidP="009E6891">
      <w:pPr>
        <w:pStyle w:val="BodytextAgencyblue"/>
      </w:pPr>
    </w:p>
    <w:p w14:paraId="70295735" w14:textId="77777777" w:rsidR="005436E0" w:rsidRPr="007732EB" w:rsidRDefault="005436E0" w:rsidP="005436E0">
      <w:pPr>
        <w:pStyle w:val="BodytextAgencyblue"/>
      </w:pPr>
    </w:p>
    <w:p w14:paraId="36A4646C" w14:textId="77777777" w:rsidR="005436E0" w:rsidRPr="00937C5D" w:rsidRDefault="005436E0" w:rsidP="00937C5D">
      <w:pPr>
        <w:pStyle w:val="BodytextAgency"/>
      </w:pPr>
    </w:p>
    <w:p w14:paraId="4BFE142B" w14:textId="08F79AFD" w:rsidR="00765E12" w:rsidRDefault="009F1E3F" w:rsidP="00765E12">
      <w:pPr>
        <w:pStyle w:val="Heading1Agency"/>
      </w:pPr>
      <w:bookmarkStart w:id="35" w:name="_Toc73025088"/>
      <w:r>
        <w:t>Overall conclusions</w:t>
      </w:r>
      <w:bookmarkEnd w:id="35"/>
    </w:p>
    <w:p w14:paraId="1E0190E3" w14:textId="6550A3A1" w:rsidR="00BF405A" w:rsidRDefault="009F1E3F" w:rsidP="000B2E5E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F405A">
        <w:t xml:space="preserve">For </w:t>
      </w:r>
      <w:r w:rsidR="00CD2C72">
        <w:t>C</w:t>
      </w:r>
      <w:r w:rsidR="00CD2C72" w:rsidRPr="00BF405A">
        <w:t>o</w:t>
      </w:r>
      <w:r w:rsidRPr="00BF405A">
        <w:t>-rapporteur assessment, please use a dedicated box to insert the relevant conclusion</w:t>
      </w:r>
      <w:r w:rsidR="009E6891">
        <w:t xml:space="preserve"> </w:t>
      </w:r>
      <w:r w:rsidRPr="00BF405A">
        <w:t>from the p</w:t>
      </w:r>
      <w:r w:rsidRPr="00BF405A">
        <w:t>roposals listed below</w:t>
      </w:r>
      <w:r>
        <w:t>.</w:t>
      </w:r>
    </w:p>
    <w:p w14:paraId="61A23542" w14:textId="77777777" w:rsidR="00611B04" w:rsidRPr="00611B04" w:rsidRDefault="00611B04" w:rsidP="00611B04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6D588B1D" w14:textId="77777777" w:rsidR="007809DF" w:rsidRPr="008F66EC" w:rsidRDefault="009F1E3F" w:rsidP="007809DF">
      <w:pPr>
        <w:pStyle w:val="DraftingNotesAgency"/>
      </w:pPr>
      <w:bookmarkStart w:id="36" w:name="_Hlk33188703"/>
      <w:bookmarkStart w:id="37" w:name="_Hlk34063166"/>
      <w:bookmarkStart w:id="38" w:name="_Hlk33180911"/>
      <w:r>
        <w:t xml:space="preserve">1. </w:t>
      </w:r>
      <w:r w:rsidRPr="008F66EC">
        <w:t>For opinions where the applicant claimed that the compound is a new active substance in itself</w:t>
      </w:r>
      <w:r w:rsidR="003E2FCA" w:rsidRPr="003E2FCA">
        <w:t xml:space="preserve"> </w:t>
      </w:r>
      <w:r w:rsidR="003E2FCA">
        <w:t xml:space="preserve">and </w:t>
      </w:r>
      <w:r w:rsidR="003E2FCA" w:rsidRPr="008F66EC">
        <w:t xml:space="preserve">where no further information should be provided </w:t>
      </w:r>
      <w:r w:rsidR="003E2FCA">
        <w:t>to conclude on the applicant’s claim</w:t>
      </w:r>
    </w:p>
    <w:p w14:paraId="78DDBB09" w14:textId="0E117922" w:rsidR="007809DF" w:rsidRDefault="009F1E3F" w:rsidP="007809DF">
      <w:pPr>
        <w:widowControl w:val="0"/>
        <w:kinsoku w:val="0"/>
        <w:overflowPunct w:val="0"/>
        <w:autoSpaceDE w:val="0"/>
        <w:autoSpaceDN w:val="0"/>
        <w:adjustRightInd w:val="0"/>
        <w:spacing w:line="308" w:lineRule="auto"/>
        <w:ind w:right="386"/>
      </w:pPr>
      <w:bookmarkStart w:id="39" w:name="_Hlk60136032"/>
      <w:r>
        <w:t xml:space="preserve">&lt;Based on the review of </w:t>
      </w:r>
      <w:r w:rsidR="00BE7B01">
        <w:t xml:space="preserve">available </w:t>
      </w:r>
      <w:r>
        <w:t>data on the active substance, the &lt;Rapporteur&gt; &lt;CHMP&gt;</w:t>
      </w:r>
      <w:r w:rsidR="00FC2A98">
        <w:t>&lt;CAT&gt;</w:t>
      </w:r>
      <w:r>
        <w:t xml:space="preserve"> considers that &lt;active substance&gt; is &lt;not&gt; to be qualified as a new active substance</w:t>
      </w:r>
      <w:r w:rsidR="00003F87">
        <w:t xml:space="preserve"> in itself</w:t>
      </w:r>
      <w:r w:rsidR="003E6F21">
        <w:t xml:space="preserve"> </w:t>
      </w:r>
      <w:r w:rsidR="003E6F21" w:rsidRPr="003E6F21">
        <w:t xml:space="preserve">as it is </w:t>
      </w:r>
      <w:r w:rsidR="002963A3">
        <w:t>&lt;</w:t>
      </w:r>
      <w:r w:rsidR="003E6F21" w:rsidRPr="003E6F21">
        <w:t>not</w:t>
      </w:r>
      <w:r w:rsidR="002963A3">
        <w:t>&gt;</w:t>
      </w:r>
      <w:r w:rsidR="003E6F21" w:rsidRPr="003E6F21">
        <w:t xml:space="preserve"> </w:t>
      </w:r>
      <w:r w:rsidR="00312118">
        <w:t xml:space="preserve"> </w:t>
      </w:r>
      <w:r w:rsidR="003E6F21" w:rsidRPr="003E6F21">
        <w:t>a constituent of a medicinal product previously authorised within the European Union.</w:t>
      </w:r>
      <w:r w:rsidR="002963A3">
        <w:t xml:space="preserve"> </w:t>
      </w:r>
    </w:p>
    <w:bookmarkEnd w:id="39"/>
    <w:p w14:paraId="6D5D50DD" w14:textId="77777777" w:rsidR="003E2FCA" w:rsidRDefault="009F1E3F" w:rsidP="00E4517F">
      <w:pPr>
        <w:pStyle w:val="DraftingNotesAgency"/>
      </w:pPr>
      <w:r>
        <w:t>In case NAS in itself is denied, the following should be added:</w:t>
      </w:r>
    </w:p>
    <w:p w14:paraId="2FF40D38" w14:textId="612ED9E2" w:rsidR="00744BDD" w:rsidRDefault="009F1E3F" w:rsidP="003E2FCA">
      <w:pPr>
        <w:widowControl w:val="0"/>
        <w:kinsoku w:val="0"/>
        <w:overflowPunct w:val="0"/>
        <w:autoSpaceDE w:val="0"/>
        <w:autoSpaceDN w:val="0"/>
        <w:adjustRightInd w:val="0"/>
        <w:spacing w:line="308" w:lineRule="auto"/>
        <w:ind w:right="386"/>
      </w:pPr>
      <w:r>
        <w:t>&lt;</w:t>
      </w:r>
      <w:r w:rsidRPr="002963A3">
        <w:t>{Active substance} is contained in the marketing authorisation {invented name} which was authorised in the European Union on {date of authorisation}.&gt;</w:t>
      </w:r>
    </w:p>
    <w:p w14:paraId="40ABFC94" w14:textId="77777777" w:rsidR="003E2FCA" w:rsidRPr="00E4517F" w:rsidRDefault="009F1E3F" w:rsidP="00E4517F">
      <w:pPr>
        <w:widowControl w:val="0"/>
        <w:kinsoku w:val="0"/>
        <w:overflowPunct w:val="0"/>
        <w:autoSpaceDE w:val="0"/>
        <w:autoSpaceDN w:val="0"/>
        <w:adjustRightInd w:val="0"/>
        <w:spacing w:line="308" w:lineRule="auto"/>
        <w:ind w:right="386"/>
      </w:pPr>
      <w:r w:rsidRPr="00E4517F">
        <w:t xml:space="preserve">This </w:t>
      </w:r>
      <w:r w:rsidRPr="00E4517F">
        <w:t>is without prejudice to the possibility for the applicant to provide as part of the response</w:t>
      </w:r>
      <w:r w:rsidR="009D1EDE">
        <w:t>s</w:t>
      </w:r>
      <w:r w:rsidRPr="00E4517F">
        <w:t xml:space="preserve"> to the LoQ/Lo</w:t>
      </w:r>
      <w:r>
        <w:t>O</w:t>
      </w:r>
      <w:r w:rsidRPr="00E4517F">
        <w:t>I evidence to demonstrate that th</w:t>
      </w:r>
      <w:r w:rsidR="009D1EDE">
        <w:t>is</w:t>
      </w:r>
      <w:r w:rsidRPr="00E4517F">
        <w:t xml:space="preserve"> active substance differs significantly in properties with regard to safety and efficacy from the previously auth</w:t>
      </w:r>
      <w:r w:rsidRPr="00E4517F">
        <w:t>orised substance.</w:t>
      </w:r>
    </w:p>
    <w:p w14:paraId="21058E70" w14:textId="77777777" w:rsidR="00EB6A9F" w:rsidRDefault="00EB6A9F" w:rsidP="007809DF">
      <w:pPr>
        <w:widowControl w:val="0"/>
        <w:kinsoku w:val="0"/>
        <w:overflowPunct w:val="0"/>
        <w:autoSpaceDE w:val="0"/>
        <w:autoSpaceDN w:val="0"/>
        <w:adjustRightInd w:val="0"/>
        <w:spacing w:line="308" w:lineRule="auto"/>
        <w:ind w:right="386"/>
      </w:pPr>
    </w:p>
    <w:p w14:paraId="6D361BE7" w14:textId="77777777" w:rsidR="003E2FCA" w:rsidRDefault="003E2FCA" w:rsidP="007809DF">
      <w:pPr>
        <w:widowControl w:val="0"/>
        <w:kinsoku w:val="0"/>
        <w:overflowPunct w:val="0"/>
        <w:autoSpaceDE w:val="0"/>
        <w:autoSpaceDN w:val="0"/>
        <w:adjustRightInd w:val="0"/>
        <w:spacing w:line="308" w:lineRule="auto"/>
        <w:ind w:right="386"/>
      </w:pPr>
    </w:p>
    <w:p w14:paraId="53CB20C7" w14:textId="77777777" w:rsidR="007809DF" w:rsidRPr="00BE71B0" w:rsidRDefault="009F1E3F" w:rsidP="007809DF">
      <w:pPr>
        <w:spacing w:after="140" w:line="280" w:lineRule="atLeast"/>
        <w:rPr>
          <w:rFonts w:ascii="Courier New" w:eastAsia="Verdana" w:hAnsi="Courier New" w:cs="Times New Roman"/>
          <w:i/>
          <w:color w:val="339966"/>
          <w:sz w:val="22"/>
          <w:lang w:eastAsia="en-GB"/>
        </w:rPr>
      </w:pPr>
      <w:r>
        <w:rPr>
          <w:rFonts w:ascii="Courier New" w:eastAsia="Verdana" w:hAnsi="Courier New" w:cs="Times New Roman"/>
          <w:i/>
          <w:color w:val="339966"/>
          <w:sz w:val="22"/>
          <w:lang w:eastAsia="en-GB"/>
        </w:rPr>
        <w:t xml:space="preserve">2. </w:t>
      </w:r>
      <w:r w:rsidRPr="00BE71B0">
        <w:rPr>
          <w:rFonts w:ascii="Courier New" w:eastAsia="Verdana" w:hAnsi="Courier New" w:cs="Times New Roman"/>
          <w:i/>
          <w:color w:val="339966"/>
          <w:sz w:val="22"/>
          <w:lang w:eastAsia="en-GB"/>
        </w:rPr>
        <w:t xml:space="preserve">For opinions where the applicant claimed that the compound is a new active substance in comparison to a known isomer/mixture of isomers/complex /derivative/salt of a chemical substance </w:t>
      </w:r>
      <w:r w:rsidR="003B3E96">
        <w:rPr>
          <w:rFonts w:ascii="Courier New" w:eastAsia="Verdana" w:hAnsi="Courier New" w:cs="Times New Roman"/>
          <w:i/>
          <w:color w:val="339966"/>
          <w:sz w:val="22"/>
          <w:lang w:eastAsia="en-GB"/>
        </w:rPr>
        <w:t xml:space="preserve">or biological </w:t>
      </w:r>
      <w:r w:rsidRPr="00BE71B0">
        <w:rPr>
          <w:rFonts w:ascii="Courier New" w:eastAsia="Verdana" w:hAnsi="Courier New" w:cs="Times New Roman"/>
          <w:i/>
          <w:color w:val="339966"/>
          <w:sz w:val="22"/>
          <w:lang w:eastAsia="en-GB"/>
        </w:rPr>
        <w:t xml:space="preserve">previously authorised as a </w:t>
      </w:r>
      <w:r w:rsidRPr="00BE71B0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medicinal product in the European Union</w:t>
      </w:r>
      <w:r w:rsidR="009D1EDE">
        <w:rPr>
          <w:rFonts w:ascii="Courier New" w:eastAsia="Verdana" w:hAnsi="Courier New" w:cs="Times New Roman"/>
          <w:i/>
          <w:color w:val="339966"/>
          <w:sz w:val="22"/>
          <w:lang w:eastAsia="en-GB"/>
        </w:rPr>
        <w:t xml:space="preserve"> </w:t>
      </w:r>
      <w:r w:rsidR="009D1EDE" w:rsidRPr="009D1EDE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and where no further information should be provided to conclude on the applicant’s claim</w:t>
      </w:r>
    </w:p>
    <w:p w14:paraId="32B566F5" w14:textId="41CCAF89" w:rsidR="007809DF" w:rsidRDefault="009F1E3F" w:rsidP="007809DF">
      <w:pPr>
        <w:widowControl w:val="0"/>
        <w:kinsoku w:val="0"/>
        <w:overflowPunct w:val="0"/>
        <w:autoSpaceDE w:val="0"/>
        <w:autoSpaceDN w:val="0"/>
        <w:adjustRightInd w:val="0"/>
        <w:spacing w:line="308" w:lineRule="auto"/>
        <w:ind w:right="386"/>
      </w:pPr>
      <w:r w:rsidRPr="00BE71B0">
        <w:t xml:space="preserve">&lt;Based on the review of data on the quality, non-clinical and clinical properties of the active substance, the </w:t>
      </w:r>
      <w:r>
        <w:t>&lt;</w:t>
      </w:r>
      <w:r w:rsidRPr="00BE71B0">
        <w:t>Rapporteur</w:t>
      </w:r>
      <w:r>
        <w:t>&gt; &lt;CH</w:t>
      </w:r>
      <w:r>
        <w:t>MP&gt;</w:t>
      </w:r>
      <w:r w:rsidR="00FC2A98">
        <w:t>&lt;CAT&gt;</w:t>
      </w:r>
      <w:r w:rsidRPr="00BE71B0">
        <w:t xml:space="preserve"> considers that </w:t>
      </w:r>
      <w:r w:rsidR="00DA7D65">
        <w:t>&lt;</w:t>
      </w:r>
      <w:bookmarkStart w:id="40" w:name="_Hlk33190242"/>
      <w:r w:rsidR="00DA7D65" w:rsidRPr="00937C5D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[for chemicals]</w:t>
      </w:r>
      <w:bookmarkEnd w:id="40"/>
      <w:r w:rsidR="00DA7D65">
        <w:t xml:space="preserve"> </w:t>
      </w:r>
      <w:r w:rsidRPr="00BE71B0">
        <w:t xml:space="preserve">&lt;isomer/mixture of isomers/complex /derivative/salt of&gt; {INN (+salt) applicant} </w:t>
      </w:r>
      <w:bookmarkStart w:id="41" w:name="_Hlk33184191"/>
      <w:r w:rsidRPr="00BE71B0">
        <w:t>in comparison to the known &lt;isomer/mixture of isomers/complex /derivative/salt of&gt; {INN (salt) approved}</w:t>
      </w:r>
      <w:bookmarkEnd w:id="41"/>
      <w:r w:rsidR="00DA7D65">
        <w:t>&gt;&lt;</w:t>
      </w:r>
      <w:r w:rsidR="00DA7D65" w:rsidRPr="00937C5D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[</w:t>
      </w:r>
      <w:bookmarkStart w:id="42" w:name="_Hlk33190294"/>
      <w:r w:rsidR="00DA7D65" w:rsidRPr="00937C5D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for biologicals]</w:t>
      </w:r>
      <w:r w:rsidR="00DA7D65">
        <w:t xml:space="preserve"> {active substance (biological of the applicant)}</w:t>
      </w:r>
      <w:r w:rsidR="00CF09AB" w:rsidRPr="00CF09AB">
        <w:t xml:space="preserve"> </w:t>
      </w:r>
      <w:r w:rsidR="00DA7D65">
        <w:t xml:space="preserve">in comparison to </w:t>
      </w:r>
      <w:r w:rsidR="008E7DD6">
        <w:t>{active substance} (biological approved)</w:t>
      </w:r>
      <w:bookmarkEnd w:id="42"/>
      <w:r w:rsidR="00C2079B">
        <w:t>&gt;</w:t>
      </w:r>
      <w:r w:rsidR="008E7DD6">
        <w:t xml:space="preserve"> </w:t>
      </w:r>
      <w:r w:rsidR="00CF09AB" w:rsidRPr="00CF09AB">
        <w:t>previously authorised as a medicinal product in the European Union</w:t>
      </w:r>
      <w:r w:rsidRPr="00BE71B0">
        <w:t xml:space="preserve"> is &lt;not&gt; to be qualified as a new active substance as </w:t>
      </w:r>
      <w:r>
        <w:t>&lt;</w:t>
      </w:r>
      <w:r w:rsidRPr="00BE71B0">
        <w:t>it differs&gt;&lt;</w:t>
      </w:r>
      <w:bookmarkStart w:id="43" w:name="_Hlk60136216"/>
      <w:r>
        <w:t>insufficient evidence has</w:t>
      </w:r>
      <w:r>
        <w:t xml:space="preserve"> been provided to demonstrate that it</w:t>
      </w:r>
      <w:r w:rsidRPr="00BE71B0">
        <w:t xml:space="preserve"> differ</w:t>
      </w:r>
      <w:r>
        <w:t>s</w:t>
      </w:r>
      <w:r w:rsidRPr="00BE71B0">
        <w:t>&gt; significantly in properties with regard to safety and</w:t>
      </w:r>
      <w:r w:rsidR="00304F42">
        <w:t>/or</w:t>
      </w:r>
      <w:r w:rsidRPr="00BE71B0">
        <w:t xml:space="preserve"> efficacy from the previously authorised substance</w:t>
      </w:r>
      <w:bookmarkEnd w:id="43"/>
      <w:r w:rsidRPr="00BE71B0">
        <w:t>.&gt;</w:t>
      </w:r>
    </w:p>
    <w:p w14:paraId="743B97B9" w14:textId="77777777" w:rsidR="007809DF" w:rsidRDefault="007809DF" w:rsidP="007809DF"/>
    <w:p w14:paraId="2D38826E" w14:textId="77777777" w:rsidR="00D738F7" w:rsidRDefault="00D738F7" w:rsidP="007809DF"/>
    <w:p w14:paraId="6BF070ED" w14:textId="77777777" w:rsidR="007809DF" w:rsidRPr="00BE71B0" w:rsidRDefault="009F1E3F" w:rsidP="007809DF">
      <w:pPr>
        <w:spacing w:after="140" w:line="280" w:lineRule="atLeast"/>
        <w:rPr>
          <w:rFonts w:ascii="Courier New" w:eastAsia="Verdana" w:hAnsi="Courier New" w:cs="Times New Roman"/>
          <w:i/>
          <w:color w:val="339966"/>
          <w:sz w:val="22"/>
          <w:lang w:eastAsia="en-GB"/>
        </w:rPr>
      </w:pPr>
      <w:r>
        <w:rPr>
          <w:rFonts w:ascii="Courier New" w:eastAsia="Verdana" w:hAnsi="Courier New" w:cs="Times New Roman"/>
          <w:i/>
          <w:color w:val="339966"/>
          <w:sz w:val="22"/>
          <w:lang w:eastAsia="en-GB"/>
        </w:rPr>
        <w:t>3</w:t>
      </w:r>
      <w:r w:rsidRPr="00BE71B0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. For opinions where further information should be provided by the applicant</w:t>
      </w:r>
      <w:r w:rsidR="0069269C">
        <w:rPr>
          <w:rFonts w:ascii="Courier New" w:eastAsia="Verdana" w:hAnsi="Courier New" w:cs="Times New Roman"/>
          <w:i/>
          <w:color w:val="339966"/>
          <w:sz w:val="22"/>
          <w:lang w:eastAsia="en-GB"/>
        </w:rPr>
        <w:t xml:space="preserve"> in order </w:t>
      </w:r>
      <w:r w:rsidR="0069269C" w:rsidRPr="009D1EDE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to conclude on the applicant’s claim</w:t>
      </w:r>
    </w:p>
    <w:p w14:paraId="0229326E" w14:textId="12F27600" w:rsidR="007809DF" w:rsidRDefault="009F1E3F" w:rsidP="007809DF">
      <w:pPr>
        <w:widowControl w:val="0"/>
        <w:kinsoku w:val="0"/>
        <w:overflowPunct w:val="0"/>
        <w:autoSpaceDE w:val="0"/>
        <w:autoSpaceDN w:val="0"/>
        <w:adjustRightInd w:val="0"/>
        <w:spacing w:line="308" w:lineRule="auto"/>
        <w:ind w:right="386"/>
      </w:pPr>
      <w:r w:rsidRPr="00BE71B0">
        <w:t xml:space="preserve">&lt; Based on the review of </w:t>
      </w:r>
      <w:r w:rsidR="00CC7EC5">
        <w:t xml:space="preserve">available </w:t>
      </w:r>
      <w:r w:rsidRPr="00BE71B0">
        <w:t xml:space="preserve">data on the active substance, the </w:t>
      </w:r>
      <w:r>
        <w:t>&lt;</w:t>
      </w:r>
      <w:r w:rsidRPr="00BE71B0">
        <w:t>Rapporteur</w:t>
      </w:r>
      <w:r>
        <w:t xml:space="preserve">&gt; </w:t>
      </w:r>
      <w:r w:rsidR="00003F87">
        <w:t>&lt;</w:t>
      </w:r>
      <w:r>
        <w:t>CHMP&gt;</w:t>
      </w:r>
      <w:r w:rsidR="003D43AA">
        <w:t>&lt;CAT&gt;</w:t>
      </w:r>
      <w:r w:rsidRPr="00BE71B0">
        <w:t xml:space="preserve"> considers that further evidence should be provided by the applicant to substantiate the claim that &lt;active substance&gt; is to be q</w:t>
      </w:r>
      <w:r w:rsidRPr="00BE71B0">
        <w:t>ualified as a new active substance</w:t>
      </w:r>
      <w:r w:rsidR="00003F87">
        <w:t xml:space="preserve"> &lt;in itself&gt; &lt;</w:t>
      </w:r>
      <w:r w:rsidR="00003F87" w:rsidRPr="00003F87">
        <w:t xml:space="preserve"> in comparison to the known </w:t>
      </w:r>
      <w:r w:rsidR="00C2079B">
        <w:t>&lt;</w:t>
      </w:r>
      <w:r w:rsidR="00C2079B" w:rsidRPr="000E2828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[for chemicals]</w:t>
      </w:r>
      <w:r w:rsidR="00003F87" w:rsidRPr="00003F87">
        <w:t>&lt;isomer/mixture of isomers/complex /derivative/salt of&gt; {INN (salt) approved}</w:t>
      </w:r>
      <w:r w:rsidR="00CF09AB" w:rsidRPr="00CF09AB">
        <w:t xml:space="preserve"> </w:t>
      </w:r>
      <w:r w:rsidR="00C2079B">
        <w:t>&gt; &lt;</w:t>
      </w:r>
      <w:r w:rsidR="00C2079B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[</w:t>
      </w:r>
      <w:r w:rsidR="00C2079B" w:rsidRPr="000E2828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for biologicals]</w:t>
      </w:r>
      <w:r w:rsidR="00C2079B">
        <w:t xml:space="preserve"> {active substance} (biological approved)&gt;</w:t>
      </w:r>
      <w:r w:rsidR="00CF09AB" w:rsidRPr="00CF09AB">
        <w:t xml:space="preserve">previously authorised as a medicinal product in the European Union </w:t>
      </w:r>
      <w:r w:rsidR="00003F87">
        <w:t>&gt;</w:t>
      </w:r>
      <w:r w:rsidRPr="00BE71B0">
        <w:t>. Satisfactory answers must be given to the concerns as detailed in the List of Questions.&gt;</w:t>
      </w:r>
    </w:p>
    <w:p w14:paraId="01806308" w14:textId="77777777" w:rsidR="007809DF" w:rsidRDefault="007809DF" w:rsidP="007809DF"/>
    <w:bookmarkEnd w:id="36"/>
    <w:p w14:paraId="3563DECF" w14:textId="77777777" w:rsidR="00EC40E2" w:rsidRDefault="00EC40E2" w:rsidP="002D6430">
      <w:pPr>
        <w:spacing w:after="140" w:line="280" w:lineRule="atLeast"/>
        <w:rPr>
          <w:rFonts w:ascii="Courier New" w:eastAsia="Verdana" w:hAnsi="Courier New" w:cs="Times New Roman"/>
          <w:b/>
          <w:bCs/>
          <w:i/>
          <w:color w:val="339966"/>
          <w:sz w:val="22"/>
          <w:lang w:eastAsia="en-GB"/>
        </w:rPr>
      </w:pPr>
    </w:p>
    <w:p w14:paraId="53677ED0" w14:textId="77777777" w:rsidR="002D6430" w:rsidRPr="002D6430" w:rsidRDefault="009F1E3F" w:rsidP="002D6430">
      <w:pPr>
        <w:spacing w:after="140" w:line="280" w:lineRule="atLeast"/>
        <w:rPr>
          <w:rFonts w:ascii="Courier New" w:eastAsia="Verdana" w:hAnsi="Courier New" w:cs="Times New Roman"/>
          <w:b/>
          <w:bCs/>
          <w:i/>
          <w:color w:val="339966"/>
          <w:sz w:val="24"/>
          <w:lang w:eastAsia="en-GB"/>
        </w:rPr>
      </w:pPr>
      <w:r w:rsidRPr="002D6430">
        <w:rPr>
          <w:rFonts w:ascii="Courier New" w:eastAsia="Verdana" w:hAnsi="Courier New" w:cs="Times New Roman"/>
          <w:b/>
          <w:bCs/>
          <w:i/>
          <w:color w:val="339966"/>
          <w:sz w:val="22"/>
          <w:lang w:eastAsia="en-GB"/>
        </w:rPr>
        <w:t>[</w:t>
      </w:r>
      <w:r w:rsidRPr="002D6430">
        <w:rPr>
          <w:rFonts w:ascii="Courier New" w:eastAsia="Verdana" w:hAnsi="Courier New" w:cs="Times New Roman"/>
          <w:b/>
          <w:bCs/>
          <w:i/>
          <w:color w:val="339966"/>
          <w:sz w:val="24"/>
          <w:lang w:eastAsia="en-GB"/>
        </w:rPr>
        <w:t>For radiopharmaceutical products]</w:t>
      </w:r>
    </w:p>
    <w:p w14:paraId="4478D392" w14:textId="77777777" w:rsidR="002D6430" w:rsidRDefault="009F1E3F" w:rsidP="002D6430">
      <w:pPr>
        <w:spacing w:after="140" w:line="280" w:lineRule="atLeast"/>
      </w:pPr>
      <w:r w:rsidRPr="002D6430">
        <w:t>&lt;</w:t>
      </w:r>
      <w:bookmarkStart w:id="44" w:name="_Hlk61023133"/>
      <w:r w:rsidRPr="002D6430">
        <w:t xml:space="preserve">Based on the </w:t>
      </w:r>
      <w:r w:rsidRPr="002D6430">
        <w:t>review of available data, it is considered that this radiopharmaceutical substance which is &lt;a radionuclide&gt; &lt;a ligand&gt; is &lt;not&gt; a new active substance as &lt;it is a constituent of a medicinal product previously authorised within the European Union&gt; &lt;the cou</w:t>
      </w:r>
      <w:r w:rsidRPr="002D6430">
        <w:t>pling mechanism to link {</w:t>
      </w:r>
      <w:r w:rsidRPr="002D6430">
        <w:rPr>
          <w:i/>
        </w:rPr>
        <w:t>active substance</w:t>
      </w:r>
      <w:r w:rsidRPr="002D6430">
        <w:t>}</w:t>
      </w:r>
      <w:r w:rsidRPr="002D6430">
        <w:rPr>
          <w:i/>
        </w:rPr>
        <w:t xml:space="preserve"> </w:t>
      </w:r>
      <w:r w:rsidRPr="002D6430">
        <w:t>and &lt;the radionuclide&gt; has not been authorised previously in the European Union&gt;.&gt;</w:t>
      </w:r>
    </w:p>
    <w:bookmarkEnd w:id="44"/>
    <w:p w14:paraId="6A5951FE" w14:textId="77777777" w:rsidR="0069269C" w:rsidRDefault="009F1E3F" w:rsidP="0069269C">
      <w:pPr>
        <w:pStyle w:val="DraftingNotesAgency"/>
      </w:pPr>
      <w:r>
        <w:t>In case NAS in itself is denied, the following should be added:</w:t>
      </w:r>
    </w:p>
    <w:p w14:paraId="7FAB61D3" w14:textId="77777777" w:rsidR="0069269C" w:rsidRPr="00A870C2" w:rsidRDefault="009F1E3F" w:rsidP="0069269C">
      <w:pPr>
        <w:widowControl w:val="0"/>
        <w:kinsoku w:val="0"/>
        <w:overflowPunct w:val="0"/>
        <w:autoSpaceDE w:val="0"/>
        <w:autoSpaceDN w:val="0"/>
        <w:adjustRightInd w:val="0"/>
        <w:spacing w:line="308" w:lineRule="auto"/>
        <w:ind w:right="386"/>
      </w:pPr>
      <w:r w:rsidRPr="00A870C2">
        <w:t xml:space="preserve">This is without prejudice to the possibility for the applicant to </w:t>
      </w:r>
      <w:r w:rsidRPr="00A870C2">
        <w:t>provide as part of the response</w:t>
      </w:r>
      <w:r>
        <w:t>s</w:t>
      </w:r>
      <w:r w:rsidRPr="00A870C2">
        <w:t xml:space="preserve"> to the LoQ/Lo</w:t>
      </w:r>
      <w:r>
        <w:t>O</w:t>
      </w:r>
      <w:r w:rsidRPr="00A870C2">
        <w:t>I evidence to demonstrate that th</w:t>
      </w:r>
      <w:r>
        <w:t>is</w:t>
      </w:r>
      <w:r w:rsidRPr="00A870C2">
        <w:t xml:space="preserve"> </w:t>
      </w:r>
      <w:r>
        <w:t>radiopharmaceutical</w:t>
      </w:r>
      <w:r w:rsidRPr="00A870C2">
        <w:t xml:space="preserve"> substance differs significantly in properties with regard to safety and efficacy from the previously authorised substance.</w:t>
      </w:r>
    </w:p>
    <w:p w14:paraId="6CD4D2B6" w14:textId="77777777" w:rsidR="0069269C" w:rsidRPr="002D6430" w:rsidRDefault="0069269C" w:rsidP="002D6430">
      <w:pPr>
        <w:spacing w:after="140" w:line="280" w:lineRule="atLeast"/>
      </w:pPr>
    </w:p>
    <w:p w14:paraId="3BA48215" w14:textId="77777777" w:rsidR="002D6430" w:rsidRPr="002D6430" w:rsidRDefault="009F1E3F" w:rsidP="002D6430">
      <w:pPr>
        <w:spacing w:after="140" w:line="280" w:lineRule="atLeast"/>
        <w:rPr>
          <w:rFonts w:ascii="Courier New" w:eastAsia="Verdana" w:hAnsi="Courier New" w:cs="Times New Roman"/>
          <w:i/>
          <w:color w:val="339966"/>
          <w:sz w:val="22"/>
          <w:lang w:eastAsia="en-GB"/>
        </w:rPr>
      </w:pPr>
      <w:r w:rsidRPr="002D6430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[or for cases where the same active substance is already authorised in a medicinal product or authorised in the meantime.]</w:t>
      </w:r>
    </w:p>
    <w:p w14:paraId="311F441C" w14:textId="77777777" w:rsidR="002D6430" w:rsidRPr="002D6430" w:rsidRDefault="009F1E3F" w:rsidP="002D6430">
      <w:pPr>
        <w:spacing w:after="140" w:line="280" w:lineRule="atLeast"/>
      </w:pPr>
      <w:r w:rsidRPr="002D6430">
        <w:t>&lt;Based o</w:t>
      </w:r>
      <w:r w:rsidRPr="002D6430">
        <w:t>n the review of available data, it is considered</w:t>
      </w:r>
      <w:r w:rsidRPr="002D6430">
        <w:rPr>
          <w:color w:val="000000"/>
        </w:rPr>
        <w:t xml:space="preserve"> that </w:t>
      </w:r>
      <w:r w:rsidRPr="002D6430">
        <w:t>{</w:t>
      </w:r>
      <w:r w:rsidRPr="002D6430">
        <w:rPr>
          <w:i/>
        </w:rPr>
        <w:t>active substance</w:t>
      </w:r>
      <w:r w:rsidRPr="002D6430">
        <w:t>} is not a new active substance, as it is a constituent of a medicinal product previously authorised within the European Union. {</w:t>
      </w:r>
      <w:r w:rsidRPr="002D6430">
        <w:rPr>
          <w:i/>
        </w:rPr>
        <w:t>Active substance</w:t>
      </w:r>
      <w:r w:rsidRPr="002D6430">
        <w:t>} is contained in the marketing authoris</w:t>
      </w:r>
      <w:r w:rsidRPr="002D6430">
        <w:t>ation {</w:t>
      </w:r>
      <w:r w:rsidRPr="002D6430">
        <w:rPr>
          <w:i/>
        </w:rPr>
        <w:t>invented name</w:t>
      </w:r>
      <w:r w:rsidRPr="002D6430">
        <w:t>} which was authorised in the Union on {</w:t>
      </w:r>
      <w:r w:rsidRPr="002D6430">
        <w:rPr>
          <w:i/>
        </w:rPr>
        <w:t>date of authorisation</w:t>
      </w:r>
      <w:r w:rsidRPr="002D6430">
        <w:t>}.&gt;</w:t>
      </w:r>
    </w:p>
    <w:p w14:paraId="1784AFE7" w14:textId="77777777" w:rsidR="002D6430" w:rsidRPr="002D6430" w:rsidRDefault="002D6430" w:rsidP="002D6430">
      <w:pPr>
        <w:widowControl w:val="0"/>
        <w:kinsoku w:val="0"/>
        <w:overflowPunct w:val="0"/>
        <w:autoSpaceDE w:val="0"/>
        <w:autoSpaceDN w:val="0"/>
        <w:adjustRightInd w:val="0"/>
        <w:spacing w:line="308" w:lineRule="auto"/>
        <w:ind w:right="386"/>
        <w:rPr>
          <w:rFonts w:eastAsia="Times New Roman"/>
          <w:iCs/>
          <w:snapToGrid w:val="0"/>
          <w:lang w:eastAsia="en-GB"/>
        </w:rPr>
      </w:pPr>
    </w:p>
    <w:bookmarkEnd w:id="37"/>
    <w:bookmarkEnd w:id="38"/>
    <w:p w14:paraId="4F8002F4" w14:textId="77777777" w:rsidR="00611B04" w:rsidRDefault="00611B04" w:rsidP="00611B04">
      <w:pPr>
        <w:pStyle w:val="BodytextAgency"/>
      </w:pPr>
    </w:p>
    <w:p w14:paraId="7CFE3C9A" w14:textId="77777777" w:rsidR="00611B04" w:rsidRPr="001F1EC0" w:rsidRDefault="009F1E3F" w:rsidP="00611B04">
      <w:pPr>
        <w:pStyle w:val="BodytextAgencyblue"/>
        <w:rPr>
          <w:vanish/>
          <w:specVanish/>
        </w:rPr>
      </w:pPr>
      <w:r w:rsidRPr="00AB1CAB">
        <w:t xml:space="preserve">Co-Rapporteur assessment: </w:t>
      </w:r>
    </w:p>
    <w:p w14:paraId="4067EAB6" w14:textId="4C309C64" w:rsidR="00611B04" w:rsidRDefault="009F1E3F" w:rsidP="00611B04">
      <w:pPr>
        <w:pStyle w:val="DraftingNotesAgencyblue"/>
      </w:pPr>
      <w:r>
        <w:t xml:space="preserve"> </w:t>
      </w:r>
      <w:r w:rsidRPr="00771BA7">
        <w:t xml:space="preserve">Co-Rapporteur </w:t>
      </w:r>
      <w:r>
        <w:t xml:space="preserve"> overall </w:t>
      </w:r>
      <w:r w:rsidRPr="00771BA7">
        <w:t>conclusion should be inserted here</w:t>
      </w:r>
      <w:r>
        <w:t>.</w:t>
      </w:r>
    </w:p>
    <w:p w14:paraId="6DA4313D" w14:textId="77777777" w:rsidR="00611B04" w:rsidRDefault="009F1E3F" w:rsidP="00611B04">
      <w:pPr>
        <w:pStyle w:val="DraftingNotesAgencyblue"/>
      </w:pPr>
      <w:r w:rsidRPr="004E49AC">
        <w:t xml:space="preserve">Please </w:t>
      </w:r>
      <w:r w:rsidRPr="004E49AC">
        <w:rPr>
          <w:u w:val="single"/>
        </w:rPr>
        <w:t>always</w:t>
      </w:r>
      <w:r w:rsidRPr="004E49AC">
        <w:t xml:space="preserve"> insert the Co-Rapporteur conclusion even if there is agreement with </w:t>
      </w:r>
      <w:r w:rsidRPr="004E49AC">
        <w:t>the Rapporteur.</w:t>
      </w:r>
    </w:p>
    <w:p w14:paraId="4F01EB4B" w14:textId="77777777" w:rsidR="00611B04" w:rsidRPr="009E6891" w:rsidRDefault="00611B04" w:rsidP="00611B04">
      <w:pPr>
        <w:pStyle w:val="BodytextAgencyblue"/>
      </w:pPr>
    </w:p>
    <w:p w14:paraId="17AC7916" w14:textId="77777777" w:rsidR="00611B04" w:rsidRPr="007732EB" w:rsidRDefault="00611B04" w:rsidP="00611B04">
      <w:pPr>
        <w:pStyle w:val="BodytextAgencyblue"/>
      </w:pPr>
    </w:p>
    <w:p w14:paraId="4EADF67E" w14:textId="77777777" w:rsidR="00611B04" w:rsidRPr="00937C5D" w:rsidRDefault="00611B04" w:rsidP="00611B04">
      <w:pPr>
        <w:pStyle w:val="BodytextAgency"/>
      </w:pPr>
    </w:p>
    <w:p w14:paraId="4A7EA425" w14:textId="0405EC03" w:rsidR="007C638E" w:rsidRDefault="007C638E" w:rsidP="00765E12">
      <w:pPr>
        <w:pStyle w:val="BodytextAgency"/>
      </w:pPr>
    </w:p>
    <w:p w14:paraId="723BD91F" w14:textId="77777777" w:rsidR="00611B04" w:rsidRDefault="00611B04" w:rsidP="00765E12">
      <w:pPr>
        <w:pStyle w:val="BodytextAgency"/>
      </w:pPr>
    </w:p>
    <w:p w14:paraId="776C0438" w14:textId="78307A6A" w:rsidR="00765E12" w:rsidRDefault="009F1E3F" w:rsidP="00CA28C5">
      <w:pPr>
        <w:pStyle w:val="Heading1Agency"/>
      </w:pPr>
      <w:bookmarkStart w:id="45" w:name="_Toc73025089"/>
      <w:r w:rsidRPr="00CA28C5">
        <w:t>List of questions</w:t>
      </w:r>
      <w:bookmarkEnd w:id="45"/>
    </w:p>
    <w:p w14:paraId="76D5214D" w14:textId="74285C51" w:rsidR="00BF405A" w:rsidRDefault="00BF405A" w:rsidP="00BF405A">
      <w:pPr>
        <w:pStyle w:val="BodytextAgency"/>
      </w:pPr>
    </w:p>
    <w:p w14:paraId="42947144" w14:textId="77777777" w:rsidR="009E6891" w:rsidRPr="005F2ED7" w:rsidRDefault="009F1E3F" w:rsidP="009E6891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F2ED7">
        <w:t xml:space="preserve">For the Co-Rapporteur assessment: </w:t>
      </w:r>
    </w:p>
    <w:p w14:paraId="53CA1285" w14:textId="567CB151" w:rsidR="009E6891" w:rsidRPr="005F2ED7" w:rsidRDefault="009F1E3F" w:rsidP="009E6891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F2ED7">
        <w:t xml:space="preserve">When there is </w:t>
      </w:r>
      <w:r>
        <w:t xml:space="preserve">a </w:t>
      </w:r>
      <w:r w:rsidRPr="005F2ED7">
        <w:t>proposal to have new questions, remove questions from the Rapporteur or amend them</w:t>
      </w:r>
      <w:r>
        <w:t>,</w:t>
      </w:r>
      <w:r w:rsidRPr="005F2ED7">
        <w:t xml:space="preserve"> </w:t>
      </w:r>
      <w:r>
        <w:t>such</w:t>
      </w:r>
      <w:r w:rsidRPr="005F2ED7">
        <w:t xml:space="preserve"> proposal must always be introduced in a separate box ideally within each relevant section. Track-changes and strikethrough must not be used. These amendments should always be justified in the relevant sections of the report with a cross reference to the L</w:t>
      </w:r>
      <w:r w:rsidRPr="005F2ED7">
        <w:t xml:space="preserve">oQ. </w:t>
      </w:r>
    </w:p>
    <w:p w14:paraId="4B6A8E94" w14:textId="77777777" w:rsidR="009E6891" w:rsidRPr="00BF405A" w:rsidRDefault="009E6891" w:rsidP="00BF405A">
      <w:pPr>
        <w:pStyle w:val="BodytextAgency"/>
      </w:pPr>
    </w:p>
    <w:p w14:paraId="05EABDF3" w14:textId="77777777" w:rsidR="00210F1E" w:rsidRDefault="009F1E3F" w:rsidP="00CA28C5">
      <w:pPr>
        <w:pStyle w:val="Heading2Agency"/>
      </w:pPr>
      <w:bookmarkStart w:id="46" w:name="_Toc73025090"/>
      <w:r w:rsidRPr="00CA28C5">
        <w:t>&lt;Quality aspects&gt;</w:t>
      </w:r>
      <w:bookmarkEnd w:id="46"/>
    </w:p>
    <w:p w14:paraId="3DE7179C" w14:textId="77777777" w:rsidR="00210F1E" w:rsidRPr="00CA28C5" w:rsidRDefault="009F1E3F" w:rsidP="00796CEC">
      <w:pPr>
        <w:pStyle w:val="Heading2Agency"/>
      </w:pPr>
      <w:bookmarkStart w:id="47" w:name="_Toc66280282"/>
      <w:bookmarkStart w:id="48" w:name="_Toc66280351"/>
      <w:bookmarkStart w:id="49" w:name="_Toc66895636"/>
      <w:bookmarkStart w:id="50" w:name="_Toc68684848"/>
      <w:bookmarkStart w:id="51" w:name="_Toc73025091"/>
      <w:bookmarkEnd w:id="47"/>
      <w:bookmarkEnd w:id="48"/>
      <w:bookmarkEnd w:id="49"/>
      <w:bookmarkEnd w:id="50"/>
      <w:r w:rsidRPr="00CA28C5">
        <w:t>&lt;Non-clinical aspects&gt;</w:t>
      </w:r>
      <w:bookmarkEnd w:id="51"/>
    </w:p>
    <w:p w14:paraId="65819E5A" w14:textId="77777777" w:rsidR="00210F1E" w:rsidRPr="00CA28C5" w:rsidRDefault="009F1E3F" w:rsidP="00796CEC">
      <w:pPr>
        <w:pStyle w:val="Heading2Agency"/>
      </w:pPr>
      <w:bookmarkStart w:id="52" w:name="_Toc73025092"/>
      <w:r w:rsidRPr="00CA28C5">
        <w:t>&lt;Clinical aspects&gt;</w:t>
      </w:r>
      <w:bookmarkEnd w:id="52"/>
    </w:p>
    <w:p w14:paraId="38A4C501" w14:textId="77777777" w:rsidR="00765E12" w:rsidRDefault="009F1E3F" w:rsidP="00765E12">
      <w:pPr>
        <w:pStyle w:val="BodytextAgency"/>
      </w:pPr>
      <w:r>
        <w:t>&lt;Not applicab</w:t>
      </w:r>
      <w:r w:rsidR="008D2561">
        <w:t>l</w:t>
      </w:r>
      <w:r>
        <w:t>e&gt;</w:t>
      </w:r>
    </w:p>
    <w:p w14:paraId="242676D4" w14:textId="77777777" w:rsidR="007809DF" w:rsidRDefault="009F1E3F" w:rsidP="00796CEC">
      <w:pPr>
        <w:pStyle w:val="Heading1Agency"/>
      </w:pPr>
      <w:bookmarkStart w:id="53" w:name="_Toc382207178"/>
      <w:bookmarkStart w:id="54" w:name="_Toc382210355"/>
      <w:bookmarkStart w:id="55" w:name="_Toc518972821"/>
      <w:bookmarkStart w:id="56" w:name="_Toc73025093"/>
      <w:r w:rsidRPr="000725F0">
        <w:t>&lt;Assessment on the responses to the list of questions&gt;</w:t>
      </w:r>
      <w:bookmarkEnd w:id="53"/>
      <w:bookmarkEnd w:id="54"/>
      <w:bookmarkEnd w:id="55"/>
      <w:bookmarkEnd w:id="56"/>
    </w:p>
    <w:p w14:paraId="72A97715" w14:textId="77777777" w:rsidR="00210F1E" w:rsidRPr="00CA28C5" w:rsidRDefault="009F1E3F" w:rsidP="00796CEC">
      <w:pPr>
        <w:pStyle w:val="Heading2Agency"/>
      </w:pPr>
      <w:bookmarkStart w:id="57" w:name="_Toc73025094"/>
      <w:r w:rsidRPr="00CA28C5">
        <w:t>&lt;Quality aspects&gt;</w:t>
      </w:r>
      <w:bookmarkEnd w:id="57"/>
    </w:p>
    <w:p w14:paraId="6A4A5930" w14:textId="77777777" w:rsidR="00210F1E" w:rsidRPr="00CA28C5" w:rsidRDefault="009F1E3F" w:rsidP="00796CEC">
      <w:pPr>
        <w:pStyle w:val="Heading2Agency"/>
      </w:pPr>
      <w:bookmarkStart w:id="58" w:name="_Toc73025095"/>
      <w:r w:rsidRPr="00CA28C5">
        <w:t>&lt;Non-clinical aspects&gt;</w:t>
      </w:r>
      <w:bookmarkEnd w:id="58"/>
    </w:p>
    <w:p w14:paraId="414C6A51" w14:textId="77777777" w:rsidR="00210F1E" w:rsidRDefault="009F1E3F" w:rsidP="00796CEC">
      <w:pPr>
        <w:pStyle w:val="Heading2Agency"/>
      </w:pPr>
      <w:bookmarkStart w:id="59" w:name="_Toc73025096"/>
      <w:r w:rsidRPr="00CA28C5">
        <w:t>&lt;Clinical aspects&gt;</w:t>
      </w:r>
      <w:bookmarkEnd w:id="59"/>
    </w:p>
    <w:p w14:paraId="2B978423" w14:textId="77777777" w:rsidR="003B0164" w:rsidRPr="005C4675" w:rsidRDefault="003B0164" w:rsidP="002F2353">
      <w:pPr>
        <w:pStyle w:val="BodytextAgency"/>
      </w:pPr>
    </w:p>
    <w:p w14:paraId="04EC6D26" w14:textId="71FF2193" w:rsidR="009E6891" w:rsidRDefault="009F1E3F" w:rsidP="009E6891">
      <w:pPr>
        <w:pStyle w:val="Heading1Agency"/>
      </w:pPr>
      <w:bookmarkStart w:id="60" w:name="_Toc66280289"/>
      <w:bookmarkStart w:id="61" w:name="_Toc66280358"/>
      <w:bookmarkStart w:id="62" w:name="_Toc66895643"/>
      <w:bookmarkStart w:id="63" w:name="_Toc68684855"/>
      <w:bookmarkStart w:id="64" w:name="_Toc382207179"/>
      <w:bookmarkStart w:id="65" w:name="_Toc382210356"/>
      <w:bookmarkStart w:id="66" w:name="_Toc518972822"/>
      <w:bookmarkStart w:id="67" w:name="_Toc73025097"/>
      <w:bookmarkEnd w:id="60"/>
      <w:bookmarkEnd w:id="61"/>
      <w:bookmarkEnd w:id="62"/>
      <w:bookmarkEnd w:id="63"/>
      <w:r w:rsidRPr="00937C5D">
        <w:t>&lt;Final conclusion&gt;</w:t>
      </w:r>
      <w:bookmarkEnd w:id="64"/>
      <w:bookmarkEnd w:id="65"/>
      <w:bookmarkEnd w:id="66"/>
      <w:bookmarkEnd w:id="67"/>
    </w:p>
    <w:p w14:paraId="6931F1C8" w14:textId="043A06A6" w:rsidR="009E6891" w:rsidRPr="009E6891" w:rsidRDefault="009F1E3F" w:rsidP="000B2E5E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F405A">
        <w:t xml:space="preserve">For co-rapporteur </w:t>
      </w:r>
      <w:r w:rsidRPr="00BF405A">
        <w:t>assessment, please use a dedicated box to insert the relevant conclusion</w:t>
      </w:r>
      <w:r>
        <w:t xml:space="preserve"> </w:t>
      </w:r>
      <w:r w:rsidRPr="00BF405A">
        <w:t>from the proposals listed below</w:t>
      </w:r>
      <w:r>
        <w:t>.</w:t>
      </w:r>
    </w:p>
    <w:p w14:paraId="76FC3541" w14:textId="77777777" w:rsidR="00E4517F" w:rsidRPr="008F66EC" w:rsidRDefault="009F1E3F" w:rsidP="00E4517F">
      <w:pPr>
        <w:pStyle w:val="DraftingNotesAgency"/>
      </w:pPr>
      <w:r>
        <w:t xml:space="preserve">1. </w:t>
      </w:r>
      <w:r w:rsidRPr="008F66EC">
        <w:t>For opinions where the applicant claimed that the compound is a new active substance in itself</w:t>
      </w:r>
      <w:r w:rsidRPr="003E2FCA">
        <w:t xml:space="preserve"> </w:t>
      </w:r>
      <w:r>
        <w:t xml:space="preserve">and </w:t>
      </w:r>
      <w:r w:rsidRPr="008F66EC">
        <w:t xml:space="preserve">where no further information should be provided </w:t>
      </w:r>
      <w:r>
        <w:t>to conclude on the applicant’s claim</w:t>
      </w:r>
    </w:p>
    <w:p w14:paraId="4493FFF1" w14:textId="67FB96A6" w:rsidR="00E4517F" w:rsidRDefault="009F1E3F" w:rsidP="00E4517F">
      <w:pPr>
        <w:widowControl w:val="0"/>
        <w:kinsoku w:val="0"/>
        <w:overflowPunct w:val="0"/>
        <w:autoSpaceDE w:val="0"/>
        <w:autoSpaceDN w:val="0"/>
        <w:adjustRightInd w:val="0"/>
        <w:spacing w:line="308" w:lineRule="auto"/>
        <w:ind w:right="386"/>
      </w:pPr>
      <w:r>
        <w:t xml:space="preserve">&lt;Based on the review of available data on the active substance, the &lt;Rapporteur&gt; &lt;CHMP&gt;&lt;CAT&gt; considers that &lt;active substance&gt; is &lt;not&gt; to be qualified as a new active substance in itself </w:t>
      </w:r>
      <w:r w:rsidRPr="003E6F21">
        <w:t xml:space="preserve">as it is </w:t>
      </w:r>
      <w:r>
        <w:t>&lt;</w:t>
      </w:r>
      <w:r w:rsidRPr="003E6F21">
        <w:t>not</w:t>
      </w:r>
      <w:r>
        <w:t>&gt;</w:t>
      </w:r>
      <w:r w:rsidRPr="003E6F21">
        <w:t xml:space="preserve"> a constituent of a medicinal product previously authorised within the European Union.</w:t>
      </w:r>
      <w:r>
        <w:t xml:space="preserve"> </w:t>
      </w:r>
    </w:p>
    <w:p w14:paraId="7CCE87CE" w14:textId="77777777" w:rsidR="00E4517F" w:rsidRDefault="009F1E3F" w:rsidP="00796CEC">
      <w:pPr>
        <w:pStyle w:val="DraftingNotesAgency"/>
      </w:pPr>
      <w:r>
        <w:t>In case NAS in itself is denied, the following should be added:</w:t>
      </w:r>
    </w:p>
    <w:p w14:paraId="1A3CE013" w14:textId="15AE698F" w:rsidR="00E4517F" w:rsidRDefault="009F1E3F" w:rsidP="00E4517F">
      <w:pPr>
        <w:widowControl w:val="0"/>
        <w:kinsoku w:val="0"/>
        <w:overflowPunct w:val="0"/>
        <w:autoSpaceDE w:val="0"/>
        <w:autoSpaceDN w:val="0"/>
        <w:adjustRightInd w:val="0"/>
        <w:spacing w:line="308" w:lineRule="auto"/>
        <w:ind w:right="386"/>
      </w:pPr>
      <w:r>
        <w:t>&lt;</w:t>
      </w:r>
      <w:r w:rsidRPr="002963A3">
        <w:t xml:space="preserve">{Active substance} is contained in the marketing authorisation {invented name} which was authorised in </w:t>
      </w:r>
      <w:r w:rsidRPr="002963A3">
        <w:t>the European Union on {date of authorisation}.&gt;</w:t>
      </w:r>
    </w:p>
    <w:p w14:paraId="2C6D04A8" w14:textId="77777777" w:rsidR="00E4517F" w:rsidRPr="00796CEC" w:rsidRDefault="009F1E3F" w:rsidP="00796CEC">
      <w:pPr>
        <w:widowControl w:val="0"/>
        <w:kinsoku w:val="0"/>
        <w:overflowPunct w:val="0"/>
        <w:autoSpaceDE w:val="0"/>
        <w:autoSpaceDN w:val="0"/>
        <w:adjustRightInd w:val="0"/>
        <w:spacing w:line="308" w:lineRule="auto"/>
        <w:ind w:right="386"/>
      </w:pPr>
      <w:r w:rsidRPr="00796CEC">
        <w:t>This is without prejudice to the possibility for the applicant to provide as part of the response</w:t>
      </w:r>
      <w:r>
        <w:t>s</w:t>
      </w:r>
      <w:r w:rsidRPr="00796CEC">
        <w:t xml:space="preserve"> to the LoQ/Lo</w:t>
      </w:r>
      <w:r>
        <w:t>O</w:t>
      </w:r>
      <w:r w:rsidRPr="00796CEC">
        <w:t>I evidence to demonstrate that th</w:t>
      </w:r>
      <w:r>
        <w:t>is</w:t>
      </w:r>
      <w:r w:rsidRPr="00796CEC">
        <w:t xml:space="preserve"> active substance differs significantly in properties with r</w:t>
      </w:r>
      <w:r w:rsidRPr="00796CEC">
        <w:t>egard to safety and efficacy from the previously authorised substance.</w:t>
      </w:r>
    </w:p>
    <w:p w14:paraId="6D586D02" w14:textId="77777777" w:rsidR="00E4517F" w:rsidRDefault="00E4517F" w:rsidP="00E4517F">
      <w:pPr>
        <w:widowControl w:val="0"/>
        <w:kinsoku w:val="0"/>
        <w:overflowPunct w:val="0"/>
        <w:autoSpaceDE w:val="0"/>
        <w:autoSpaceDN w:val="0"/>
        <w:adjustRightInd w:val="0"/>
        <w:spacing w:line="308" w:lineRule="auto"/>
        <w:ind w:right="386"/>
      </w:pPr>
    </w:p>
    <w:p w14:paraId="59822344" w14:textId="77777777" w:rsidR="00E4517F" w:rsidRPr="00BE71B0" w:rsidRDefault="009F1E3F" w:rsidP="00E4517F">
      <w:pPr>
        <w:spacing w:after="140" w:line="280" w:lineRule="atLeast"/>
        <w:rPr>
          <w:rFonts w:ascii="Courier New" w:eastAsia="Verdana" w:hAnsi="Courier New" w:cs="Times New Roman"/>
          <w:i/>
          <w:color w:val="339966"/>
          <w:sz w:val="22"/>
          <w:lang w:eastAsia="en-GB"/>
        </w:rPr>
      </w:pPr>
      <w:r>
        <w:rPr>
          <w:rFonts w:ascii="Courier New" w:eastAsia="Verdana" w:hAnsi="Courier New" w:cs="Times New Roman"/>
          <w:i/>
          <w:color w:val="339966"/>
          <w:sz w:val="22"/>
          <w:lang w:eastAsia="en-GB"/>
        </w:rPr>
        <w:t xml:space="preserve">2. </w:t>
      </w:r>
      <w:r w:rsidRPr="00BE71B0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For opinions where the applicant claimed that the compound is a new active substance in comparison to a known isomer/mixture of isomers/complex /derivative/salt of a chemical substa</w:t>
      </w:r>
      <w:r w:rsidRPr="00BE71B0">
        <w:rPr>
          <w:rFonts w:ascii="Courier New" w:eastAsia="Verdana" w:hAnsi="Courier New" w:cs="Times New Roman"/>
          <w:i/>
          <w:color w:val="339966"/>
          <w:sz w:val="22"/>
          <w:lang w:eastAsia="en-GB"/>
        </w:rPr>
        <w:t xml:space="preserve">nce </w:t>
      </w:r>
      <w:r>
        <w:rPr>
          <w:rFonts w:ascii="Courier New" w:eastAsia="Verdana" w:hAnsi="Courier New" w:cs="Times New Roman"/>
          <w:i/>
          <w:color w:val="339966"/>
          <w:sz w:val="22"/>
          <w:lang w:eastAsia="en-GB"/>
        </w:rPr>
        <w:t xml:space="preserve">or biological </w:t>
      </w:r>
      <w:r w:rsidRPr="00BE71B0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previously authorised as a medicinal product in the European Union</w:t>
      </w:r>
      <w:r>
        <w:rPr>
          <w:rFonts w:ascii="Courier New" w:eastAsia="Verdana" w:hAnsi="Courier New" w:cs="Times New Roman"/>
          <w:i/>
          <w:color w:val="339966"/>
          <w:sz w:val="22"/>
          <w:lang w:eastAsia="en-GB"/>
        </w:rPr>
        <w:t xml:space="preserve"> </w:t>
      </w:r>
      <w:r w:rsidRPr="009D1EDE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and where no further information should be provided to conclude on the applicant’s claim</w:t>
      </w:r>
    </w:p>
    <w:p w14:paraId="708FC463" w14:textId="6F91192C" w:rsidR="00E4517F" w:rsidRDefault="009F1E3F" w:rsidP="00E4517F">
      <w:pPr>
        <w:widowControl w:val="0"/>
        <w:kinsoku w:val="0"/>
        <w:overflowPunct w:val="0"/>
        <w:autoSpaceDE w:val="0"/>
        <w:autoSpaceDN w:val="0"/>
        <w:adjustRightInd w:val="0"/>
        <w:spacing w:line="308" w:lineRule="auto"/>
        <w:ind w:right="386"/>
      </w:pPr>
      <w:r w:rsidRPr="00BE71B0">
        <w:t xml:space="preserve">&lt;Based on the review of data on the quality, non-clinical and clinical properties </w:t>
      </w:r>
      <w:r w:rsidRPr="00BE71B0">
        <w:t xml:space="preserve">of the active substance, the </w:t>
      </w:r>
      <w:r>
        <w:t>&lt;</w:t>
      </w:r>
      <w:r w:rsidRPr="00BE71B0">
        <w:t>Rapporteur</w:t>
      </w:r>
      <w:r>
        <w:t>&gt; &lt;CHMP&gt;&lt;CAT&gt;</w:t>
      </w:r>
      <w:r w:rsidRPr="00BE71B0">
        <w:t xml:space="preserve"> considers that </w:t>
      </w:r>
      <w:r>
        <w:t>&lt;</w:t>
      </w:r>
      <w:r w:rsidRPr="00937C5D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[for chemicals]</w:t>
      </w:r>
      <w:r>
        <w:t xml:space="preserve"> </w:t>
      </w:r>
      <w:r w:rsidRPr="00BE71B0">
        <w:t>&lt;isomer/mixture of isomers/complex /derivative/salt of&gt; {INN (+salt) applicant} in comparison to the known &lt;isomer/mixture of isomers/complex /derivative/salt of&gt; {INN (s</w:t>
      </w:r>
      <w:r w:rsidRPr="00BE71B0">
        <w:t>alt) approved}</w:t>
      </w:r>
      <w:r>
        <w:t>&gt;&lt;</w:t>
      </w:r>
      <w:r w:rsidRPr="00937C5D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[for biologicals]</w:t>
      </w:r>
      <w:r>
        <w:t xml:space="preserve"> {active substance (biological of the applicant)}</w:t>
      </w:r>
      <w:r w:rsidRPr="00CF09AB">
        <w:t xml:space="preserve"> </w:t>
      </w:r>
      <w:r>
        <w:t xml:space="preserve">in comparison to {active substance} (biological approved)&gt; </w:t>
      </w:r>
      <w:r w:rsidRPr="00CF09AB">
        <w:t>previously authorised as a medicinal product in the European Union</w:t>
      </w:r>
      <w:r w:rsidRPr="00BE71B0">
        <w:t xml:space="preserve"> is &lt;not&gt; to be qualified as a new active substa</w:t>
      </w:r>
      <w:r w:rsidRPr="00BE71B0">
        <w:t xml:space="preserve">nce as </w:t>
      </w:r>
      <w:r>
        <w:t>&lt;</w:t>
      </w:r>
      <w:r w:rsidRPr="00BE71B0">
        <w:t>it differs&gt;&lt;</w:t>
      </w:r>
      <w:r>
        <w:t>insufficient evidence has been provided to demonstrate that it</w:t>
      </w:r>
      <w:r w:rsidRPr="00BE71B0">
        <w:t xml:space="preserve"> differ</w:t>
      </w:r>
      <w:r>
        <w:t>s</w:t>
      </w:r>
      <w:r w:rsidRPr="00BE71B0">
        <w:t>&gt; significantly in properties with regard to safety and</w:t>
      </w:r>
      <w:r>
        <w:t>/or</w:t>
      </w:r>
      <w:r w:rsidRPr="00BE71B0">
        <w:t xml:space="preserve"> efficacy from the previously authorised substance.&gt;</w:t>
      </w:r>
    </w:p>
    <w:p w14:paraId="566DFE41" w14:textId="77777777" w:rsidR="00E4517F" w:rsidRDefault="00E4517F" w:rsidP="00E4517F"/>
    <w:p w14:paraId="54BFD9DB" w14:textId="77777777" w:rsidR="00E4517F" w:rsidRDefault="00E4517F" w:rsidP="00E4517F"/>
    <w:p w14:paraId="5F158305" w14:textId="77777777" w:rsidR="00E4517F" w:rsidRPr="00BE71B0" w:rsidRDefault="009F1E3F" w:rsidP="00E4517F">
      <w:pPr>
        <w:spacing w:after="140" w:line="280" w:lineRule="atLeast"/>
        <w:rPr>
          <w:rFonts w:ascii="Courier New" w:eastAsia="Verdana" w:hAnsi="Courier New" w:cs="Times New Roman"/>
          <w:i/>
          <w:color w:val="339966"/>
          <w:sz w:val="22"/>
          <w:lang w:eastAsia="en-GB"/>
        </w:rPr>
      </w:pPr>
      <w:r>
        <w:rPr>
          <w:rFonts w:ascii="Courier New" w:eastAsia="Verdana" w:hAnsi="Courier New" w:cs="Times New Roman"/>
          <w:i/>
          <w:color w:val="339966"/>
          <w:sz w:val="22"/>
          <w:lang w:eastAsia="en-GB"/>
        </w:rPr>
        <w:t>3</w:t>
      </w:r>
      <w:r w:rsidRPr="00BE71B0">
        <w:rPr>
          <w:rFonts w:ascii="Courier New" w:eastAsia="Verdana" w:hAnsi="Courier New" w:cs="Times New Roman"/>
          <w:i/>
          <w:color w:val="339966"/>
          <w:sz w:val="22"/>
          <w:lang w:eastAsia="en-GB"/>
        </w:rPr>
        <w:t xml:space="preserve">. For opinions where further information </w:t>
      </w:r>
      <w:r w:rsidRPr="00BE71B0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should be provided by the applicant</w:t>
      </w:r>
      <w:r>
        <w:rPr>
          <w:rFonts w:ascii="Courier New" w:eastAsia="Verdana" w:hAnsi="Courier New" w:cs="Times New Roman"/>
          <w:i/>
          <w:color w:val="339966"/>
          <w:sz w:val="22"/>
          <w:lang w:eastAsia="en-GB"/>
        </w:rPr>
        <w:t xml:space="preserve"> in order </w:t>
      </w:r>
      <w:r w:rsidRPr="009D1EDE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to conclude on the applicant’s claim</w:t>
      </w:r>
    </w:p>
    <w:p w14:paraId="57503633" w14:textId="77777777" w:rsidR="00E4517F" w:rsidRDefault="00E4517F" w:rsidP="00E4517F"/>
    <w:p w14:paraId="3B3C2522" w14:textId="6AFED565" w:rsidR="00E4517F" w:rsidRDefault="009F1E3F" w:rsidP="00E4517F">
      <w:pPr>
        <w:widowControl w:val="0"/>
        <w:kinsoku w:val="0"/>
        <w:overflowPunct w:val="0"/>
        <w:autoSpaceDE w:val="0"/>
        <w:autoSpaceDN w:val="0"/>
        <w:adjustRightInd w:val="0"/>
        <w:spacing w:line="308" w:lineRule="auto"/>
        <w:ind w:right="386"/>
      </w:pPr>
      <w:r w:rsidRPr="00BE71B0">
        <w:t xml:space="preserve">&lt; Based on the review of </w:t>
      </w:r>
      <w:r>
        <w:t xml:space="preserve">available </w:t>
      </w:r>
      <w:r w:rsidRPr="00BE71B0">
        <w:t xml:space="preserve">data on the the active substance, the </w:t>
      </w:r>
      <w:r>
        <w:t>&lt;</w:t>
      </w:r>
      <w:r w:rsidRPr="00BE71B0">
        <w:t>Rapporteur</w:t>
      </w:r>
      <w:r>
        <w:t>&gt; &lt;CHMP&gt;&lt;CAT&gt;</w:t>
      </w:r>
      <w:r w:rsidRPr="00BE71B0">
        <w:t xml:space="preserve"> considers that further evidence should be provided by the applicant to subs</w:t>
      </w:r>
      <w:r w:rsidRPr="00BE71B0">
        <w:t>tantiate the claim that &lt;active substance&gt; is to be qualified as a new active substance</w:t>
      </w:r>
      <w:r>
        <w:t xml:space="preserve"> &lt;in itself&gt; &lt;</w:t>
      </w:r>
      <w:r w:rsidRPr="00003F87">
        <w:t xml:space="preserve"> in comparison to the known </w:t>
      </w:r>
      <w:r>
        <w:t>&lt;</w:t>
      </w:r>
      <w:r w:rsidRPr="000E2828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[for chemicals]</w:t>
      </w:r>
      <w:r w:rsidRPr="00003F87">
        <w:t>&lt;isomer/mixture of isomers/complex /derivative/salt of&gt; {INN (salt) approved}</w:t>
      </w:r>
      <w:r w:rsidRPr="00CF09AB">
        <w:t xml:space="preserve"> </w:t>
      </w:r>
      <w:r>
        <w:t>&gt; &lt;</w:t>
      </w:r>
      <w:r>
        <w:rPr>
          <w:rFonts w:ascii="Courier New" w:eastAsia="Verdana" w:hAnsi="Courier New" w:cs="Times New Roman"/>
          <w:i/>
          <w:color w:val="339966"/>
          <w:sz w:val="22"/>
          <w:lang w:eastAsia="en-GB"/>
        </w:rPr>
        <w:t>[</w:t>
      </w:r>
      <w:r w:rsidRPr="000E2828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for biologicals]</w:t>
      </w:r>
      <w:r>
        <w:t xml:space="preserve"> {active subs</w:t>
      </w:r>
      <w:r>
        <w:t>tance} (biological approved)&gt;</w:t>
      </w:r>
      <w:r w:rsidRPr="00CF09AB">
        <w:t xml:space="preserve">previously authorised as a medicinal product in the European Union </w:t>
      </w:r>
      <w:r>
        <w:t>&gt;</w:t>
      </w:r>
      <w:r w:rsidRPr="00BE71B0">
        <w:t>. Satisfactory answers must be given to the concerns as detailed in the List of Questions.&gt;</w:t>
      </w:r>
    </w:p>
    <w:p w14:paraId="0D6964B1" w14:textId="77777777" w:rsidR="00E4517F" w:rsidRDefault="00E4517F" w:rsidP="00E4517F"/>
    <w:p w14:paraId="1F489DE3" w14:textId="77777777" w:rsidR="00E4517F" w:rsidRDefault="00E4517F" w:rsidP="00E4517F">
      <w:pPr>
        <w:spacing w:after="140" w:line="280" w:lineRule="atLeast"/>
        <w:rPr>
          <w:rFonts w:ascii="Courier New" w:eastAsia="Verdana" w:hAnsi="Courier New" w:cs="Times New Roman"/>
          <w:b/>
          <w:bCs/>
          <w:i/>
          <w:color w:val="339966"/>
          <w:sz w:val="22"/>
          <w:lang w:eastAsia="en-GB"/>
        </w:rPr>
      </w:pPr>
    </w:p>
    <w:p w14:paraId="3FDDE129" w14:textId="77777777" w:rsidR="00E4517F" w:rsidRPr="002D6430" w:rsidRDefault="009F1E3F" w:rsidP="00E4517F">
      <w:pPr>
        <w:spacing w:after="140" w:line="280" w:lineRule="atLeast"/>
        <w:rPr>
          <w:rFonts w:ascii="Courier New" w:eastAsia="Verdana" w:hAnsi="Courier New" w:cs="Times New Roman"/>
          <w:b/>
          <w:bCs/>
          <w:i/>
          <w:color w:val="339966"/>
          <w:sz w:val="24"/>
          <w:lang w:eastAsia="en-GB"/>
        </w:rPr>
      </w:pPr>
      <w:r w:rsidRPr="002D6430">
        <w:rPr>
          <w:rFonts w:ascii="Courier New" w:eastAsia="Verdana" w:hAnsi="Courier New" w:cs="Times New Roman"/>
          <w:b/>
          <w:bCs/>
          <w:i/>
          <w:color w:val="339966"/>
          <w:sz w:val="22"/>
          <w:lang w:eastAsia="en-GB"/>
        </w:rPr>
        <w:t>[</w:t>
      </w:r>
      <w:r w:rsidRPr="002D6430">
        <w:rPr>
          <w:rFonts w:ascii="Courier New" w:eastAsia="Verdana" w:hAnsi="Courier New" w:cs="Times New Roman"/>
          <w:b/>
          <w:bCs/>
          <w:i/>
          <w:color w:val="339966"/>
          <w:sz w:val="24"/>
          <w:lang w:eastAsia="en-GB"/>
        </w:rPr>
        <w:t>For radiopharmaceutical products]</w:t>
      </w:r>
    </w:p>
    <w:p w14:paraId="3E13B79D" w14:textId="77777777" w:rsidR="00E4517F" w:rsidRDefault="009F1E3F" w:rsidP="00E4517F">
      <w:pPr>
        <w:spacing w:after="140" w:line="280" w:lineRule="atLeast"/>
      </w:pPr>
      <w:r w:rsidRPr="002D6430">
        <w:t xml:space="preserve">&lt;Based on the review of </w:t>
      </w:r>
      <w:r w:rsidRPr="002D6430">
        <w:t>available data, it is considered that this radiopharmaceutical substance which is &lt;a radionuclide&gt; &lt;a ligand&gt; is &lt;not&gt; a new active substance as &lt;it is a constituent of a medicinal product previously authorised within the European Union&gt; &lt;the coupling mech</w:t>
      </w:r>
      <w:r w:rsidRPr="002D6430">
        <w:t>anism to link {</w:t>
      </w:r>
      <w:r w:rsidRPr="002D6430">
        <w:rPr>
          <w:i/>
        </w:rPr>
        <w:t>active substance</w:t>
      </w:r>
      <w:r w:rsidRPr="002D6430">
        <w:t>}</w:t>
      </w:r>
      <w:r w:rsidRPr="002D6430">
        <w:rPr>
          <w:i/>
        </w:rPr>
        <w:t xml:space="preserve"> </w:t>
      </w:r>
      <w:r w:rsidRPr="002D6430">
        <w:t>and &lt;the radionuclide&gt; has not been authorised previously in the European Union&gt;.&gt;</w:t>
      </w:r>
    </w:p>
    <w:p w14:paraId="1577D416" w14:textId="77777777" w:rsidR="00E4517F" w:rsidRDefault="009F1E3F" w:rsidP="00E4517F">
      <w:pPr>
        <w:pStyle w:val="DraftingNotesAgency"/>
      </w:pPr>
      <w:r>
        <w:t>In case NAS in itself is denied, the following should be added:</w:t>
      </w:r>
    </w:p>
    <w:p w14:paraId="310FFF7F" w14:textId="77777777" w:rsidR="00E4517F" w:rsidRDefault="009F1E3F" w:rsidP="00E4517F">
      <w:pPr>
        <w:widowControl w:val="0"/>
        <w:kinsoku w:val="0"/>
        <w:overflowPunct w:val="0"/>
        <w:autoSpaceDE w:val="0"/>
        <w:autoSpaceDN w:val="0"/>
        <w:adjustRightInd w:val="0"/>
        <w:spacing w:line="308" w:lineRule="auto"/>
        <w:ind w:right="386"/>
      </w:pPr>
      <w:r w:rsidRPr="00A870C2">
        <w:t>This is without prejudice to the possibility for the applicant to provide as</w:t>
      </w:r>
      <w:r w:rsidRPr="00A870C2">
        <w:t xml:space="preserve"> part of the response</w:t>
      </w:r>
      <w:r>
        <w:t>s</w:t>
      </w:r>
      <w:r w:rsidRPr="00A870C2">
        <w:t xml:space="preserve"> to the LoQ/Lo</w:t>
      </w:r>
      <w:r>
        <w:t>O</w:t>
      </w:r>
      <w:r w:rsidRPr="00A870C2">
        <w:t>I evidence to demonstrate that th</w:t>
      </w:r>
      <w:r>
        <w:t>is</w:t>
      </w:r>
      <w:r w:rsidRPr="00A870C2">
        <w:t xml:space="preserve"> </w:t>
      </w:r>
      <w:r>
        <w:t>radiopharmaceutical</w:t>
      </w:r>
      <w:r w:rsidRPr="00A870C2">
        <w:t xml:space="preserve"> substance differs significantly in properties with regard to safety and efficacy from the previously authorised substance.</w:t>
      </w:r>
    </w:p>
    <w:p w14:paraId="4DC98B1F" w14:textId="77777777" w:rsidR="005C4675" w:rsidRPr="00A870C2" w:rsidRDefault="005C4675" w:rsidP="00E4517F">
      <w:pPr>
        <w:widowControl w:val="0"/>
        <w:kinsoku w:val="0"/>
        <w:overflowPunct w:val="0"/>
        <w:autoSpaceDE w:val="0"/>
        <w:autoSpaceDN w:val="0"/>
        <w:adjustRightInd w:val="0"/>
        <w:spacing w:line="308" w:lineRule="auto"/>
        <w:ind w:right="386"/>
      </w:pPr>
    </w:p>
    <w:p w14:paraId="1B4E7233" w14:textId="77777777" w:rsidR="00E4517F" w:rsidRPr="002D6430" w:rsidRDefault="009F1E3F" w:rsidP="00E4517F">
      <w:pPr>
        <w:spacing w:after="140" w:line="280" w:lineRule="atLeast"/>
        <w:rPr>
          <w:rFonts w:ascii="Courier New" w:eastAsia="Verdana" w:hAnsi="Courier New" w:cs="Times New Roman"/>
          <w:i/>
          <w:color w:val="339966"/>
          <w:sz w:val="22"/>
          <w:lang w:eastAsia="en-GB"/>
        </w:rPr>
      </w:pPr>
      <w:r w:rsidRPr="002D6430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[or for cases where the same active sub</w:t>
      </w:r>
      <w:r w:rsidRPr="002D6430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stance is already authorised in a medicinal product or authorised in the meantime.]</w:t>
      </w:r>
    </w:p>
    <w:p w14:paraId="621F710E" w14:textId="49C0AD3D" w:rsidR="003B0164" w:rsidRPr="005C4675" w:rsidRDefault="009F1E3F" w:rsidP="002F2353">
      <w:pPr>
        <w:pStyle w:val="BodytextAgency"/>
      </w:pPr>
      <w:r w:rsidRPr="002F2353">
        <w:rPr>
          <w:rStyle w:val="BodytextAgencyChar"/>
        </w:rPr>
        <w:t>&lt;Based on the review of available data, it is considered that</w:t>
      </w:r>
      <w:r w:rsidRPr="002D6430">
        <w:rPr>
          <w:color w:val="000000"/>
        </w:rPr>
        <w:t xml:space="preserve"> </w:t>
      </w:r>
      <w:r w:rsidRPr="002D6430">
        <w:t>{active</w:t>
      </w:r>
      <w:r>
        <w:t xml:space="preserve"> </w:t>
      </w:r>
      <w:r w:rsidRPr="002D6430">
        <w:t>substance} is not a new active substance, as it is a constituent of a medicinal product previously aut</w:t>
      </w:r>
      <w:r w:rsidRPr="002D6430">
        <w:t>horised within the European Union. {Active substance} is contained in the marketing authorisation {invented name} which was authorised in the Union on {date of authorisation}.&gt;</w:t>
      </w:r>
    </w:p>
    <w:p w14:paraId="6B4116C7" w14:textId="2CD1AAF8" w:rsidR="007809DF" w:rsidRDefault="009F1E3F" w:rsidP="00E4517F">
      <w:pPr>
        <w:pStyle w:val="DraftingNotesAgency"/>
        <w:rPr>
          <w:lang w:val="cs-CZ"/>
        </w:rPr>
      </w:pPr>
      <w:r>
        <w:rPr>
          <w:lang w:val="cs-CZ"/>
        </w:rPr>
        <w:t>[</w:t>
      </w:r>
      <w:r w:rsidRPr="00937C5D">
        <w:rPr>
          <w:lang w:val="cs-CZ"/>
        </w:rPr>
        <w:t>Section</w:t>
      </w:r>
      <w:r w:rsidR="00CA28C5">
        <w:rPr>
          <w:lang w:val="cs-CZ"/>
        </w:rPr>
        <w:t>s</w:t>
      </w:r>
      <w:r w:rsidRPr="00937C5D">
        <w:rPr>
          <w:lang w:val="cs-CZ"/>
        </w:rPr>
        <w:t xml:space="preserve"> </w:t>
      </w:r>
      <w:r w:rsidR="00220CB6">
        <w:rPr>
          <w:lang w:val="cs-CZ"/>
        </w:rPr>
        <w:t xml:space="preserve">4, </w:t>
      </w:r>
      <w:r w:rsidRPr="00937C5D">
        <w:rPr>
          <w:lang w:val="cs-CZ"/>
        </w:rPr>
        <w:t xml:space="preserve">5, </w:t>
      </w:r>
      <w:r w:rsidR="00220CB6">
        <w:rPr>
          <w:lang w:val="cs-CZ"/>
        </w:rPr>
        <w:t xml:space="preserve">and </w:t>
      </w:r>
      <w:r w:rsidRPr="00937C5D">
        <w:rPr>
          <w:lang w:val="cs-CZ"/>
        </w:rPr>
        <w:t xml:space="preserve">6 should </w:t>
      </w:r>
      <w:r w:rsidR="008F3933" w:rsidRPr="00937C5D">
        <w:rPr>
          <w:lang w:val="cs-CZ"/>
        </w:rPr>
        <w:t>be</w:t>
      </w:r>
      <w:r w:rsidRPr="00937C5D">
        <w:rPr>
          <w:lang w:val="cs-CZ"/>
        </w:rPr>
        <w:t xml:space="preserve"> repeated </w:t>
      </w:r>
      <w:r w:rsidR="00D178ED">
        <w:rPr>
          <w:lang w:val="cs-CZ"/>
        </w:rPr>
        <w:t>in case of</w:t>
      </w:r>
      <w:r w:rsidR="00220CB6">
        <w:rPr>
          <w:lang w:val="cs-CZ"/>
        </w:rPr>
        <w:t xml:space="preserve"> multiple rounds of evaluation</w:t>
      </w:r>
      <w:r w:rsidR="00D178ED">
        <w:rPr>
          <w:lang w:val="cs-CZ"/>
        </w:rPr>
        <w:t>]</w:t>
      </w:r>
      <w:r w:rsidR="00220CB6">
        <w:rPr>
          <w:lang w:val="cs-CZ"/>
        </w:rPr>
        <w:t xml:space="preserve"> </w:t>
      </w:r>
    </w:p>
    <w:p w14:paraId="04FD5BE7" w14:textId="77777777" w:rsidR="00611B04" w:rsidRDefault="00611B04" w:rsidP="00611B04">
      <w:pPr>
        <w:pStyle w:val="BodytextAgency"/>
      </w:pPr>
    </w:p>
    <w:p w14:paraId="06BB6F62" w14:textId="77777777" w:rsidR="00611B04" w:rsidRPr="001F1EC0" w:rsidRDefault="009F1E3F" w:rsidP="00611B04">
      <w:pPr>
        <w:pStyle w:val="BodytextAgencyblue"/>
        <w:rPr>
          <w:vanish/>
          <w:specVanish/>
        </w:rPr>
      </w:pPr>
      <w:r w:rsidRPr="00AB1CAB">
        <w:t xml:space="preserve">Co-Rapporteur assessment: </w:t>
      </w:r>
    </w:p>
    <w:p w14:paraId="5FACBA7F" w14:textId="7D80BA1C" w:rsidR="00611B04" w:rsidRDefault="009F1E3F" w:rsidP="00611B04">
      <w:pPr>
        <w:pStyle w:val="DraftingNotesAgencyblue"/>
      </w:pPr>
      <w:r>
        <w:t xml:space="preserve"> </w:t>
      </w:r>
      <w:r w:rsidRPr="00771BA7">
        <w:t>Co-Rapporteur</w:t>
      </w:r>
      <w:r>
        <w:t xml:space="preserve"> final conclusion </w:t>
      </w:r>
      <w:r w:rsidRPr="00771BA7">
        <w:t>should be inserted here</w:t>
      </w:r>
      <w:r>
        <w:t>.</w:t>
      </w:r>
    </w:p>
    <w:p w14:paraId="007B8750" w14:textId="77777777" w:rsidR="00611B04" w:rsidRDefault="009F1E3F" w:rsidP="00611B04">
      <w:pPr>
        <w:pStyle w:val="DraftingNotesAgencyblue"/>
      </w:pPr>
      <w:r w:rsidRPr="004E49AC">
        <w:t xml:space="preserve">Please </w:t>
      </w:r>
      <w:r w:rsidRPr="004E49AC">
        <w:rPr>
          <w:u w:val="single"/>
        </w:rPr>
        <w:t>always</w:t>
      </w:r>
      <w:r w:rsidRPr="004E49AC">
        <w:t xml:space="preserve"> insert the Co-Rapporteur conclusion even if there is agreement with the Rapporteur.</w:t>
      </w:r>
    </w:p>
    <w:p w14:paraId="1E02AE21" w14:textId="77777777" w:rsidR="00611B04" w:rsidRPr="009E6891" w:rsidRDefault="00611B04" w:rsidP="00611B04">
      <w:pPr>
        <w:pStyle w:val="BodytextAgencyblue"/>
      </w:pPr>
    </w:p>
    <w:p w14:paraId="67DEE5F4" w14:textId="77777777" w:rsidR="00611B04" w:rsidRPr="007732EB" w:rsidRDefault="00611B04" w:rsidP="00611B04">
      <w:pPr>
        <w:pStyle w:val="BodytextAgencyblue"/>
      </w:pPr>
    </w:p>
    <w:p w14:paraId="0298BA9F" w14:textId="77777777" w:rsidR="00611B04" w:rsidRPr="00611B04" w:rsidRDefault="00611B04" w:rsidP="00611B04">
      <w:pPr>
        <w:pStyle w:val="BodytextAgency"/>
      </w:pPr>
    </w:p>
    <w:sectPr w:rsidR="00611B04" w:rsidRPr="00611B04" w:rsidSect="00CF2167">
      <w:footerReference w:type="default" r:id="rId9"/>
      <w:pgSz w:w="11907" w:h="16839" w:code="9"/>
      <w:pgMar w:top="1417" w:right="1247" w:bottom="1417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1254" w14:textId="77777777" w:rsidR="00000000" w:rsidRDefault="009F1E3F">
      <w:r>
        <w:separator/>
      </w:r>
    </w:p>
  </w:endnote>
  <w:endnote w:type="continuationSeparator" w:id="0">
    <w:p w14:paraId="10973F61" w14:textId="77777777" w:rsidR="00000000" w:rsidRDefault="009F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381EBE" w14:paraId="4CFD444A" w14:textId="77777777" w:rsidTr="00AA4638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14:paraId="0EB19066" w14:textId="77777777" w:rsidR="00C2079B" w:rsidRPr="00A44B87" w:rsidRDefault="00C2079B">
          <w:pPr>
            <w:pStyle w:val="FooterAgency"/>
          </w:pPr>
        </w:p>
      </w:tc>
    </w:tr>
    <w:tr w:rsidR="00381EBE" w14:paraId="443783F4" w14:textId="77777777" w:rsidTr="00AA4638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14:paraId="2B319D4E" w14:textId="663FD492" w:rsidR="00C2079B" w:rsidRPr="00A44B87" w:rsidRDefault="009F1E3F">
          <w:pPr>
            <w:pStyle w:val="FooterAgency"/>
          </w:pPr>
          <w:r w:rsidRPr="00AA4638">
            <w:rPr>
              <w:szCs w:val="15"/>
            </w:rPr>
            <w:fldChar w:fldCharType="begin"/>
          </w:r>
          <w:r w:rsidRPr="00AA4638">
            <w:rPr>
              <w:szCs w:val="15"/>
            </w:rPr>
            <w:instrText xml:space="preserve"> IF </w:instrText>
          </w:r>
          <w:r w:rsidR="00201A50">
            <w:fldChar w:fldCharType="begin"/>
          </w:r>
          <w:r>
            <w:instrText xml:space="preserve"> STYLEREF  "Doc title (Agency)"  \* MERGEFORMAT </w:instrText>
          </w:r>
          <w:r w:rsidR="00201A50">
            <w:fldChar w:fldCharType="separate"/>
          </w:r>
          <w:r>
            <w:rPr>
              <w:noProof/>
            </w:rPr>
            <w:instrText>&lt;Rapporteur &lt;and Co-Rapporteur&gt; &lt;Joint&gt;&lt;CHMP&gt;&lt;CAT&gt;&lt;Assessment report &lt;List of questions&gt; on the claim of new active substance (NAS) status of &lt;active substance&gt; contained in &lt;Product name&gt;</w:instrText>
          </w:r>
          <w:r w:rsidR="00201A50">
            <w:rPr>
              <w:noProof/>
            </w:rPr>
            <w:fldChar w:fldCharType="end"/>
          </w:r>
          <w:r w:rsidRPr="00AA4638">
            <w:rPr>
              <w:szCs w:val="15"/>
            </w:rPr>
            <w:instrText xml:space="preserve"> &lt;&gt; "Error*"</w:instrText>
          </w:r>
          <w:r w:rsidR="00201A50">
            <w:fldChar w:fldCharType="begin"/>
          </w:r>
          <w:r>
            <w:instrText xml:space="preserve"> STYLEREF  "Doc title (Agency)"  \* MERGEFORMAT </w:instrText>
          </w:r>
          <w:r w:rsidR="00201A50">
            <w:fldChar w:fldCharType="separate"/>
          </w:r>
          <w:r>
            <w:rPr>
              <w:noProof/>
            </w:rPr>
            <w:instrText>&lt;Rapporteur &lt;and Co-Rapporteur&gt; &lt;Joint&gt;&lt;CHMP&gt;&lt;CAT&gt;&lt;Assessment report &lt;List of questions&gt; on the claim of new active substance (NAS) status of &lt;active substance&gt; contained in &lt;Product name&gt;</w:instrText>
          </w:r>
          <w:r w:rsidR="00201A50">
            <w:rPr>
              <w:noProof/>
            </w:rPr>
            <w:fldChar w:fldCharType="end"/>
          </w:r>
          <w:r w:rsidRPr="00AA4638">
            <w:rPr>
              <w:szCs w:val="15"/>
            </w:rPr>
            <w:instrText xml:space="preserve"> \* MERGEFORMAT </w:instrText>
          </w:r>
          <w:r w:rsidRPr="00AA4638">
            <w:rPr>
              <w:szCs w:val="15"/>
            </w:rPr>
            <w:fldChar w:fldCharType="separate"/>
          </w:r>
          <w:r>
            <w:rPr>
              <w:noProof/>
            </w:rPr>
            <w:t>&lt;Rapporteur &lt;and Co-Rapporteur&gt; &lt;Joint&gt;&lt;CHMP&gt;&lt;CAT&gt;&lt;Assessment report &lt;List of questions&gt; on the claim of new active substance (NAS) status of &lt;active substance&gt; contained in &lt;Product name&gt;</w:t>
          </w:r>
          <w:r w:rsidRPr="00AA4638">
            <w:rPr>
              <w:szCs w:val="15"/>
            </w:rPr>
            <w:fldChar w:fldCharType="end"/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14:paraId="296C8BAF" w14:textId="77777777" w:rsidR="00C2079B" w:rsidRPr="00A44B87" w:rsidRDefault="00C2079B">
          <w:pPr>
            <w:pStyle w:val="FooterAgency"/>
          </w:pPr>
        </w:p>
      </w:tc>
    </w:tr>
    <w:tr w:rsidR="00381EBE" w14:paraId="20991F06" w14:textId="77777777" w:rsidTr="00AA4638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14:paraId="20CDF724" w14:textId="5D25EFEE" w:rsidR="00C2079B" w:rsidRDefault="009F1E3F" w:rsidP="00765E12">
          <w:pPr>
            <w:pStyle w:val="FooterAgency"/>
          </w:pPr>
          <w:r w:rsidRPr="00765E12">
            <w:t>Assessment report on the claim of NAS status of &lt;active substan</w:t>
          </w:r>
          <w:r w:rsidRPr="00765E12">
            <w:t>ce&gt; contained in &lt;product name&gt;</w:t>
          </w:r>
        </w:p>
        <w:p w14:paraId="188EEF35" w14:textId="5677815B" w:rsidR="00C2079B" w:rsidRPr="00A44B87" w:rsidRDefault="009F1E3F" w:rsidP="0042174F">
          <w:pPr>
            <w:pStyle w:val="FooterAgency"/>
          </w:pPr>
          <w:r>
            <w:t xml:space="preserve">Rev </w:t>
          </w:r>
          <w:r w:rsidR="002F2353">
            <w:t>0</w:t>
          </w:r>
          <w:r w:rsidR="009D46A1">
            <w:t>3</w:t>
          </w:r>
          <w:r>
            <w:t>.2</w:t>
          </w:r>
          <w:r w:rsidR="009D46A1">
            <w:t>3</w:t>
          </w:r>
          <w:r w:rsidRPr="00AA4638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14:paraId="3E7B7089" w14:textId="77777777" w:rsidR="00C2079B" w:rsidRPr="00A44B87" w:rsidRDefault="009F1E3F">
          <w:pPr>
            <w:pStyle w:val="PagenumberAgency"/>
          </w:pPr>
          <w:r w:rsidRPr="006E62FC">
            <w:t xml:space="preserve">Page </w:t>
          </w:r>
          <w:r w:rsidRPr="006E62FC">
            <w:fldChar w:fldCharType="begin"/>
          </w:r>
          <w:r w:rsidRPr="006E62FC">
            <w:instrText xml:space="preserve"> PAGE </w:instrText>
          </w:r>
          <w:r w:rsidRPr="006E62FC">
            <w:fldChar w:fldCharType="separate"/>
          </w:r>
          <w:r>
            <w:rPr>
              <w:noProof/>
            </w:rPr>
            <w:t>5</w:t>
          </w:r>
          <w:r w:rsidRPr="006E62FC">
            <w:fldChar w:fldCharType="end"/>
          </w:r>
          <w:r w:rsidRPr="006E62FC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2D47E832" w14:textId="77777777" w:rsidR="00C2079B" w:rsidRDefault="00C2079B" w:rsidP="002D7502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5F50" w14:textId="77777777" w:rsidR="00000000" w:rsidRDefault="009F1E3F">
      <w:r>
        <w:separator/>
      </w:r>
    </w:p>
  </w:footnote>
  <w:footnote w:type="continuationSeparator" w:id="0">
    <w:p w14:paraId="4BB2A349" w14:textId="77777777" w:rsidR="00000000" w:rsidRDefault="009F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 w16cid:durableId="340863452">
    <w:abstractNumId w:val="0"/>
  </w:num>
  <w:num w:numId="2" w16cid:durableId="2035223879">
    <w:abstractNumId w:val="2"/>
  </w:num>
  <w:num w:numId="3" w16cid:durableId="1717662154">
    <w:abstractNumId w:val="3"/>
  </w:num>
  <w:num w:numId="4" w16cid:durableId="26760045">
    <w:abstractNumId w:val="1"/>
  </w:num>
  <w:num w:numId="5" w16cid:durableId="155614356">
    <w:abstractNumId w:val="4"/>
  </w:num>
  <w:num w:numId="6" w16cid:durableId="356544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February2010"/>
  </w:docVars>
  <w:rsids>
    <w:rsidRoot w:val="003B63EA"/>
    <w:rsid w:val="00001BDB"/>
    <w:rsid w:val="00003F87"/>
    <w:rsid w:val="000072AF"/>
    <w:rsid w:val="00007629"/>
    <w:rsid w:val="000115E7"/>
    <w:rsid w:val="00015475"/>
    <w:rsid w:val="0002461E"/>
    <w:rsid w:val="00030B1A"/>
    <w:rsid w:val="0003461E"/>
    <w:rsid w:val="00052A83"/>
    <w:rsid w:val="00054541"/>
    <w:rsid w:val="00054C36"/>
    <w:rsid w:val="00065522"/>
    <w:rsid w:val="00070F24"/>
    <w:rsid w:val="000725F0"/>
    <w:rsid w:val="00080120"/>
    <w:rsid w:val="00095ED0"/>
    <w:rsid w:val="000B2E5E"/>
    <w:rsid w:val="000B7C85"/>
    <w:rsid w:val="000C6BA5"/>
    <w:rsid w:val="000D605F"/>
    <w:rsid w:val="000D7C4B"/>
    <w:rsid w:val="000E2083"/>
    <w:rsid w:val="000E2828"/>
    <w:rsid w:val="00106550"/>
    <w:rsid w:val="00107363"/>
    <w:rsid w:val="001114E5"/>
    <w:rsid w:val="00115AEC"/>
    <w:rsid w:val="00143D39"/>
    <w:rsid w:val="00144208"/>
    <w:rsid w:val="00161C0F"/>
    <w:rsid w:val="00163898"/>
    <w:rsid w:val="00172652"/>
    <w:rsid w:val="0017699A"/>
    <w:rsid w:val="00181386"/>
    <w:rsid w:val="00184DF6"/>
    <w:rsid w:val="001A0CD5"/>
    <w:rsid w:val="001A7500"/>
    <w:rsid w:val="001B54FA"/>
    <w:rsid w:val="001C3ABE"/>
    <w:rsid w:val="001C74D6"/>
    <w:rsid w:val="001D5330"/>
    <w:rsid w:val="001D5CA1"/>
    <w:rsid w:val="001E3174"/>
    <w:rsid w:val="001F1EC0"/>
    <w:rsid w:val="001F28C1"/>
    <w:rsid w:val="00201A50"/>
    <w:rsid w:val="0020495A"/>
    <w:rsid w:val="00206017"/>
    <w:rsid w:val="00207EAF"/>
    <w:rsid w:val="00210F1E"/>
    <w:rsid w:val="0021571D"/>
    <w:rsid w:val="00220CB6"/>
    <w:rsid w:val="00221B07"/>
    <w:rsid w:val="002245E3"/>
    <w:rsid w:val="0023409C"/>
    <w:rsid w:val="00236984"/>
    <w:rsid w:val="00242F23"/>
    <w:rsid w:val="00256101"/>
    <w:rsid w:val="00261EA2"/>
    <w:rsid w:val="00263043"/>
    <w:rsid w:val="002642A0"/>
    <w:rsid w:val="00267C9F"/>
    <w:rsid w:val="002842A1"/>
    <w:rsid w:val="002875A4"/>
    <w:rsid w:val="00291077"/>
    <w:rsid w:val="002915BB"/>
    <w:rsid w:val="002963A3"/>
    <w:rsid w:val="002B558A"/>
    <w:rsid w:val="002B6563"/>
    <w:rsid w:val="002C1899"/>
    <w:rsid w:val="002C3735"/>
    <w:rsid w:val="002D6430"/>
    <w:rsid w:val="002D6CCD"/>
    <w:rsid w:val="002D7502"/>
    <w:rsid w:val="002E7ADC"/>
    <w:rsid w:val="002F0E4A"/>
    <w:rsid w:val="002F2353"/>
    <w:rsid w:val="003036F0"/>
    <w:rsid w:val="00304F42"/>
    <w:rsid w:val="00305B4F"/>
    <w:rsid w:val="00312118"/>
    <w:rsid w:val="00317857"/>
    <w:rsid w:val="00317FDA"/>
    <w:rsid w:val="00323FF4"/>
    <w:rsid w:val="00326B65"/>
    <w:rsid w:val="00335642"/>
    <w:rsid w:val="003361B2"/>
    <w:rsid w:val="003430E1"/>
    <w:rsid w:val="00351C3D"/>
    <w:rsid w:val="003616C3"/>
    <w:rsid w:val="00371DE7"/>
    <w:rsid w:val="00376B39"/>
    <w:rsid w:val="00381EBE"/>
    <w:rsid w:val="00385593"/>
    <w:rsid w:val="00395133"/>
    <w:rsid w:val="003960DB"/>
    <w:rsid w:val="003B0164"/>
    <w:rsid w:val="003B3E96"/>
    <w:rsid w:val="003B63EA"/>
    <w:rsid w:val="003C2E94"/>
    <w:rsid w:val="003C4025"/>
    <w:rsid w:val="003D2280"/>
    <w:rsid w:val="003D43AA"/>
    <w:rsid w:val="003D5D68"/>
    <w:rsid w:val="003E2FCA"/>
    <w:rsid w:val="003E6F21"/>
    <w:rsid w:val="003F18A7"/>
    <w:rsid w:val="003F784F"/>
    <w:rsid w:val="0040322E"/>
    <w:rsid w:val="004071F4"/>
    <w:rsid w:val="00411D15"/>
    <w:rsid w:val="00413AC6"/>
    <w:rsid w:val="0042174F"/>
    <w:rsid w:val="004261EA"/>
    <w:rsid w:val="00436216"/>
    <w:rsid w:val="004375D3"/>
    <w:rsid w:val="00440D42"/>
    <w:rsid w:val="00450050"/>
    <w:rsid w:val="00452780"/>
    <w:rsid w:val="00462B9B"/>
    <w:rsid w:val="00474ABA"/>
    <w:rsid w:val="004815DD"/>
    <w:rsid w:val="00491C3D"/>
    <w:rsid w:val="004929BC"/>
    <w:rsid w:val="004937EE"/>
    <w:rsid w:val="00496B73"/>
    <w:rsid w:val="004A61DA"/>
    <w:rsid w:val="004A716E"/>
    <w:rsid w:val="004B2C38"/>
    <w:rsid w:val="004C2592"/>
    <w:rsid w:val="004C7C35"/>
    <w:rsid w:val="004E1076"/>
    <w:rsid w:val="004E49AC"/>
    <w:rsid w:val="004F343B"/>
    <w:rsid w:val="004F44EB"/>
    <w:rsid w:val="004F4921"/>
    <w:rsid w:val="004F5D04"/>
    <w:rsid w:val="005015A0"/>
    <w:rsid w:val="00510EAB"/>
    <w:rsid w:val="00513B0A"/>
    <w:rsid w:val="00520978"/>
    <w:rsid w:val="00537AF7"/>
    <w:rsid w:val="005436E0"/>
    <w:rsid w:val="00545723"/>
    <w:rsid w:val="00545EE8"/>
    <w:rsid w:val="00546C9D"/>
    <w:rsid w:val="00547B66"/>
    <w:rsid w:val="00551500"/>
    <w:rsid w:val="00551E57"/>
    <w:rsid w:val="005552F8"/>
    <w:rsid w:val="00574E06"/>
    <w:rsid w:val="005837A4"/>
    <w:rsid w:val="00585874"/>
    <w:rsid w:val="005A17BC"/>
    <w:rsid w:val="005A4343"/>
    <w:rsid w:val="005B6350"/>
    <w:rsid w:val="005B6B08"/>
    <w:rsid w:val="005B6C19"/>
    <w:rsid w:val="005C366A"/>
    <w:rsid w:val="005C4675"/>
    <w:rsid w:val="005D5C67"/>
    <w:rsid w:val="005E204F"/>
    <w:rsid w:val="005F06FE"/>
    <w:rsid w:val="005F0A65"/>
    <w:rsid w:val="005F2ED7"/>
    <w:rsid w:val="005F71A7"/>
    <w:rsid w:val="00604A9A"/>
    <w:rsid w:val="00606B64"/>
    <w:rsid w:val="00607BDB"/>
    <w:rsid w:val="006114B9"/>
    <w:rsid w:val="00611B04"/>
    <w:rsid w:val="00613AE2"/>
    <w:rsid w:val="0063181B"/>
    <w:rsid w:val="006427B8"/>
    <w:rsid w:val="00650E52"/>
    <w:rsid w:val="00653748"/>
    <w:rsid w:val="0065660A"/>
    <w:rsid w:val="00657A81"/>
    <w:rsid w:val="00680E88"/>
    <w:rsid w:val="006815FC"/>
    <w:rsid w:val="0069269C"/>
    <w:rsid w:val="0069485C"/>
    <w:rsid w:val="006A0221"/>
    <w:rsid w:val="006A5798"/>
    <w:rsid w:val="006A652D"/>
    <w:rsid w:val="006B7868"/>
    <w:rsid w:val="006D103F"/>
    <w:rsid w:val="006E39DB"/>
    <w:rsid w:val="006E62FC"/>
    <w:rsid w:val="006F34CF"/>
    <w:rsid w:val="007064B7"/>
    <w:rsid w:val="00707193"/>
    <w:rsid w:val="007133CA"/>
    <w:rsid w:val="0071690F"/>
    <w:rsid w:val="00723744"/>
    <w:rsid w:val="00727FB2"/>
    <w:rsid w:val="007338C8"/>
    <w:rsid w:val="00734693"/>
    <w:rsid w:val="00734D16"/>
    <w:rsid w:val="00744BDD"/>
    <w:rsid w:val="0076546A"/>
    <w:rsid w:val="00765E12"/>
    <w:rsid w:val="007674A9"/>
    <w:rsid w:val="00771BA7"/>
    <w:rsid w:val="00772A82"/>
    <w:rsid w:val="007732EB"/>
    <w:rsid w:val="007809DF"/>
    <w:rsid w:val="007820A6"/>
    <w:rsid w:val="00782718"/>
    <w:rsid w:val="00784282"/>
    <w:rsid w:val="007901C7"/>
    <w:rsid w:val="00796BF6"/>
    <w:rsid w:val="00796CEC"/>
    <w:rsid w:val="007A2DA4"/>
    <w:rsid w:val="007A3102"/>
    <w:rsid w:val="007A67E8"/>
    <w:rsid w:val="007A6B96"/>
    <w:rsid w:val="007A7443"/>
    <w:rsid w:val="007B23E7"/>
    <w:rsid w:val="007B5C30"/>
    <w:rsid w:val="007C638E"/>
    <w:rsid w:val="007C7A16"/>
    <w:rsid w:val="007D1E6D"/>
    <w:rsid w:val="007E497C"/>
    <w:rsid w:val="007E5D9B"/>
    <w:rsid w:val="007E7E03"/>
    <w:rsid w:val="007F1591"/>
    <w:rsid w:val="007F2C1D"/>
    <w:rsid w:val="007F35F2"/>
    <w:rsid w:val="0080317A"/>
    <w:rsid w:val="00803E5E"/>
    <w:rsid w:val="008105FC"/>
    <w:rsid w:val="00810CAC"/>
    <w:rsid w:val="00817863"/>
    <w:rsid w:val="00820E72"/>
    <w:rsid w:val="00821A0E"/>
    <w:rsid w:val="00833D17"/>
    <w:rsid w:val="00835590"/>
    <w:rsid w:val="00836039"/>
    <w:rsid w:val="008410B1"/>
    <w:rsid w:val="008516E6"/>
    <w:rsid w:val="00862C29"/>
    <w:rsid w:val="0087224A"/>
    <w:rsid w:val="00873B91"/>
    <w:rsid w:val="00876F73"/>
    <w:rsid w:val="00891F21"/>
    <w:rsid w:val="0089347F"/>
    <w:rsid w:val="008A1EF2"/>
    <w:rsid w:val="008A3A5E"/>
    <w:rsid w:val="008B0FE5"/>
    <w:rsid w:val="008C1152"/>
    <w:rsid w:val="008D189F"/>
    <w:rsid w:val="008D2561"/>
    <w:rsid w:val="008D6CD3"/>
    <w:rsid w:val="008E047E"/>
    <w:rsid w:val="008E7DD6"/>
    <w:rsid w:val="008F3933"/>
    <w:rsid w:val="008F66EC"/>
    <w:rsid w:val="008F7393"/>
    <w:rsid w:val="00906EB3"/>
    <w:rsid w:val="00923403"/>
    <w:rsid w:val="00930186"/>
    <w:rsid w:val="00936869"/>
    <w:rsid w:val="00937A34"/>
    <w:rsid w:val="00937C5D"/>
    <w:rsid w:val="009416EC"/>
    <w:rsid w:val="0094321E"/>
    <w:rsid w:val="009532B3"/>
    <w:rsid w:val="00955E21"/>
    <w:rsid w:val="009663A3"/>
    <w:rsid w:val="0097579B"/>
    <w:rsid w:val="009758B4"/>
    <w:rsid w:val="00984C19"/>
    <w:rsid w:val="00986272"/>
    <w:rsid w:val="00990231"/>
    <w:rsid w:val="009A6FB7"/>
    <w:rsid w:val="009B31FF"/>
    <w:rsid w:val="009C6E7A"/>
    <w:rsid w:val="009C79AA"/>
    <w:rsid w:val="009D1EDE"/>
    <w:rsid w:val="009D46A1"/>
    <w:rsid w:val="009E5172"/>
    <w:rsid w:val="009E579C"/>
    <w:rsid w:val="009E6891"/>
    <w:rsid w:val="009E7F63"/>
    <w:rsid w:val="009F1E3F"/>
    <w:rsid w:val="009F2633"/>
    <w:rsid w:val="009F335E"/>
    <w:rsid w:val="009F511C"/>
    <w:rsid w:val="009F547F"/>
    <w:rsid w:val="009F7D56"/>
    <w:rsid w:val="00A0566A"/>
    <w:rsid w:val="00A06BAF"/>
    <w:rsid w:val="00A20EBF"/>
    <w:rsid w:val="00A30B18"/>
    <w:rsid w:val="00A44B87"/>
    <w:rsid w:val="00A479A3"/>
    <w:rsid w:val="00A50A89"/>
    <w:rsid w:val="00A523D5"/>
    <w:rsid w:val="00A702ED"/>
    <w:rsid w:val="00A71EBE"/>
    <w:rsid w:val="00A8363A"/>
    <w:rsid w:val="00A870C2"/>
    <w:rsid w:val="00A872B8"/>
    <w:rsid w:val="00A918F7"/>
    <w:rsid w:val="00A93E7B"/>
    <w:rsid w:val="00A95516"/>
    <w:rsid w:val="00A96197"/>
    <w:rsid w:val="00AA23D4"/>
    <w:rsid w:val="00AA38FF"/>
    <w:rsid w:val="00AA4638"/>
    <w:rsid w:val="00AB1CAB"/>
    <w:rsid w:val="00AB60CC"/>
    <w:rsid w:val="00AC006A"/>
    <w:rsid w:val="00AC530D"/>
    <w:rsid w:val="00AC6D0A"/>
    <w:rsid w:val="00AD25D3"/>
    <w:rsid w:val="00AD3254"/>
    <w:rsid w:val="00AD46F7"/>
    <w:rsid w:val="00AE3935"/>
    <w:rsid w:val="00AF19D2"/>
    <w:rsid w:val="00AF2D49"/>
    <w:rsid w:val="00AF7C0C"/>
    <w:rsid w:val="00B170AD"/>
    <w:rsid w:val="00B31235"/>
    <w:rsid w:val="00B405D2"/>
    <w:rsid w:val="00B533CB"/>
    <w:rsid w:val="00B535BC"/>
    <w:rsid w:val="00B60BA7"/>
    <w:rsid w:val="00B636AF"/>
    <w:rsid w:val="00B84FF5"/>
    <w:rsid w:val="00B91AA1"/>
    <w:rsid w:val="00BA41A6"/>
    <w:rsid w:val="00BA4CDA"/>
    <w:rsid w:val="00BA75DE"/>
    <w:rsid w:val="00BB1E80"/>
    <w:rsid w:val="00BB4ECE"/>
    <w:rsid w:val="00BC5BA5"/>
    <w:rsid w:val="00BD27A5"/>
    <w:rsid w:val="00BD7593"/>
    <w:rsid w:val="00BE71B0"/>
    <w:rsid w:val="00BE7B01"/>
    <w:rsid w:val="00BE7D6A"/>
    <w:rsid w:val="00BF33D7"/>
    <w:rsid w:val="00BF405A"/>
    <w:rsid w:val="00C07651"/>
    <w:rsid w:val="00C15D15"/>
    <w:rsid w:val="00C2079B"/>
    <w:rsid w:val="00C3309D"/>
    <w:rsid w:val="00C5283A"/>
    <w:rsid w:val="00C653C4"/>
    <w:rsid w:val="00C71EEA"/>
    <w:rsid w:val="00CA077F"/>
    <w:rsid w:val="00CA28C5"/>
    <w:rsid w:val="00CA3DC7"/>
    <w:rsid w:val="00CB03A8"/>
    <w:rsid w:val="00CB4200"/>
    <w:rsid w:val="00CC2213"/>
    <w:rsid w:val="00CC4002"/>
    <w:rsid w:val="00CC7EC5"/>
    <w:rsid w:val="00CD2C72"/>
    <w:rsid w:val="00CF09AB"/>
    <w:rsid w:val="00CF2167"/>
    <w:rsid w:val="00D05702"/>
    <w:rsid w:val="00D12DCE"/>
    <w:rsid w:val="00D178ED"/>
    <w:rsid w:val="00D205B2"/>
    <w:rsid w:val="00D217CB"/>
    <w:rsid w:val="00D279F9"/>
    <w:rsid w:val="00D51D21"/>
    <w:rsid w:val="00D521B7"/>
    <w:rsid w:val="00D5435B"/>
    <w:rsid w:val="00D610EF"/>
    <w:rsid w:val="00D72E8B"/>
    <w:rsid w:val="00D738F7"/>
    <w:rsid w:val="00D85174"/>
    <w:rsid w:val="00D9147E"/>
    <w:rsid w:val="00DA0133"/>
    <w:rsid w:val="00DA7D65"/>
    <w:rsid w:val="00DC0BB3"/>
    <w:rsid w:val="00DC4A04"/>
    <w:rsid w:val="00DD47BF"/>
    <w:rsid w:val="00DD7769"/>
    <w:rsid w:val="00DE55DF"/>
    <w:rsid w:val="00DF4A90"/>
    <w:rsid w:val="00E02E55"/>
    <w:rsid w:val="00E04479"/>
    <w:rsid w:val="00E10654"/>
    <w:rsid w:val="00E141D7"/>
    <w:rsid w:val="00E14680"/>
    <w:rsid w:val="00E2299B"/>
    <w:rsid w:val="00E27CE7"/>
    <w:rsid w:val="00E33AC4"/>
    <w:rsid w:val="00E4517F"/>
    <w:rsid w:val="00E51159"/>
    <w:rsid w:val="00E62084"/>
    <w:rsid w:val="00E62497"/>
    <w:rsid w:val="00E629E9"/>
    <w:rsid w:val="00E63F38"/>
    <w:rsid w:val="00E67DEA"/>
    <w:rsid w:val="00E70065"/>
    <w:rsid w:val="00E70F37"/>
    <w:rsid w:val="00E712E0"/>
    <w:rsid w:val="00E75DAF"/>
    <w:rsid w:val="00E80F5A"/>
    <w:rsid w:val="00E83AAA"/>
    <w:rsid w:val="00E87BB9"/>
    <w:rsid w:val="00E9019B"/>
    <w:rsid w:val="00E9258E"/>
    <w:rsid w:val="00E94BD7"/>
    <w:rsid w:val="00EB3D24"/>
    <w:rsid w:val="00EB6A9F"/>
    <w:rsid w:val="00EC40E2"/>
    <w:rsid w:val="00EC5899"/>
    <w:rsid w:val="00EC5EB0"/>
    <w:rsid w:val="00EE1DD9"/>
    <w:rsid w:val="00F003B4"/>
    <w:rsid w:val="00F0248E"/>
    <w:rsid w:val="00F02661"/>
    <w:rsid w:val="00F10AF0"/>
    <w:rsid w:val="00F24686"/>
    <w:rsid w:val="00F36DA6"/>
    <w:rsid w:val="00F41F76"/>
    <w:rsid w:val="00F46790"/>
    <w:rsid w:val="00F521FA"/>
    <w:rsid w:val="00F55231"/>
    <w:rsid w:val="00F600C1"/>
    <w:rsid w:val="00F60243"/>
    <w:rsid w:val="00F63BAE"/>
    <w:rsid w:val="00F6649F"/>
    <w:rsid w:val="00F668F5"/>
    <w:rsid w:val="00F819C9"/>
    <w:rsid w:val="00F94CC1"/>
    <w:rsid w:val="00F95EEE"/>
    <w:rsid w:val="00F9621D"/>
    <w:rsid w:val="00FA611F"/>
    <w:rsid w:val="00FC2A98"/>
    <w:rsid w:val="00FC7AC9"/>
    <w:rsid w:val="00FE4ACA"/>
    <w:rsid w:val="00FF1DD1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01EE054-59F7-4B80-802A-C785F862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Strong" w:uiPriority="22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43AA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rsid w:val="00E51159"/>
    <w:rPr>
      <w:noProof/>
    </w:rPr>
  </w:style>
  <w:style w:type="paragraph" w:styleId="Heading2">
    <w:name w:val="heading 2"/>
    <w:basedOn w:val="No-numheading2Agency"/>
    <w:next w:val="BodytextAgency"/>
    <w:semiHidden/>
    <w:unhideWhenUsed/>
    <w:qFormat/>
    <w:rsid w:val="00E51159"/>
    <w:pPr>
      <w:spacing w:before="240" w:after="60"/>
    </w:pPr>
    <w:rPr>
      <w:rFonts w:ascii="Cambria" w:eastAsia="Times New Roman" w:hAnsi="Cambria" w:cs="Times New Roman"/>
      <w:iCs/>
      <w:kern w:val="0"/>
      <w:sz w:val="28"/>
      <w:szCs w:val="28"/>
      <w:lang w:eastAsia="zh-CN"/>
    </w:rPr>
  </w:style>
  <w:style w:type="paragraph" w:styleId="Heading3">
    <w:name w:val="heading 3"/>
    <w:basedOn w:val="No-numheading3Agency"/>
    <w:next w:val="BodytextAgency"/>
    <w:semiHidden/>
    <w:unhideWhenUsed/>
    <w:qFormat/>
    <w:rsid w:val="00E51159"/>
    <w:pPr>
      <w:spacing w:before="240" w:after="60"/>
    </w:pPr>
    <w:rPr>
      <w:rFonts w:ascii="Cambria" w:eastAsia="Times New Roman" w:hAnsi="Cambria" w:cs="Times New Roman"/>
      <w:kern w:val="0"/>
      <w:sz w:val="26"/>
      <w:szCs w:val="26"/>
      <w:lang w:eastAsia="zh-CN"/>
    </w:rPr>
  </w:style>
  <w:style w:type="paragraph" w:styleId="Heading4">
    <w:name w:val="heading 4"/>
    <w:basedOn w:val="No-numheading4Agency"/>
    <w:next w:val="BodytextAgency"/>
    <w:semiHidden/>
    <w:unhideWhenUsed/>
    <w:qFormat/>
    <w:rsid w:val="00E51159"/>
    <w:pPr>
      <w:spacing w:before="240" w:after="60"/>
    </w:pPr>
    <w:rPr>
      <w:rFonts w:ascii="Calibri" w:eastAsia="Times New Roman" w:hAnsi="Calibri" w:cs="Times New Roman"/>
      <w:i w:val="0"/>
      <w:kern w:val="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E5115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-numheading6Agency"/>
    <w:next w:val="BodytextAgency"/>
    <w:semiHidden/>
    <w:unhideWhenUsed/>
    <w:qFormat/>
    <w:rsid w:val="00E51159"/>
    <w:pPr>
      <w:keepNext w:val="0"/>
      <w:spacing w:before="240" w:after="60"/>
    </w:pPr>
    <w:rPr>
      <w:rFonts w:ascii="Calibri" w:eastAsia="Times New Roman" w:hAnsi="Calibri" w:cs="Times New Roman"/>
      <w:kern w:val="0"/>
      <w:sz w:val="22"/>
      <w:szCs w:val="22"/>
      <w:lang w:eastAsia="zh-CN"/>
    </w:rPr>
  </w:style>
  <w:style w:type="paragraph" w:styleId="Heading7">
    <w:name w:val="heading 7"/>
    <w:basedOn w:val="No-numheading7Agency"/>
    <w:next w:val="BodytextAgency"/>
    <w:semiHidden/>
    <w:unhideWhenUsed/>
    <w:qFormat/>
    <w:rsid w:val="00E51159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kern w:val="0"/>
      <w:sz w:val="24"/>
      <w:szCs w:val="24"/>
      <w:lang w:eastAsia="zh-CN"/>
    </w:rPr>
  </w:style>
  <w:style w:type="paragraph" w:styleId="Heading8">
    <w:name w:val="heading 8"/>
    <w:basedOn w:val="No-numheading8Agency"/>
    <w:next w:val="BodytextAgency"/>
    <w:semiHidden/>
    <w:unhideWhenUsed/>
    <w:qFormat/>
    <w:rsid w:val="00E51159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i/>
      <w:iCs/>
      <w:kern w:val="0"/>
      <w:sz w:val="24"/>
      <w:szCs w:val="24"/>
      <w:lang w:eastAsia="zh-CN"/>
    </w:rPr>
  </w:style>
  <w:style w:type="paragraph" w:styleId="Heading9">
    <w:name w:val="heading 9"/>
    <w:basedOn w:val="No-numheading9Agency"/>
    <w:next w:val="BodytextAgency"/>
    <w:semiHidden/>
    <w:unhideWhenUsed/>
    <w:qFormat/>
    <w:rsid w:val="00E51159"/>
    <w:pPr>
      <w:keepNext w:val="0"/>
      <w:spacing w:before="240" w:after="60"/>
    </w:pPr>
    <w:rPr>
      <w:rFonts w:ascii="Cambria" w:eastAsia="Times New Roman" w:hAnsi="Cambria" w:cs="Times New Roman"/>
      <w:b w:val="0"/>
      <w:bCs w:val="0"/>
      <w:kern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qFormat/>
    <w:rsid w:val="008F66EC"/>
    <w:pPr>
      <w:jc w:val="center"/>
    </w:pPr>
  </w:style>
  <w:style w:type="paragraph" w:styleId="Footer">
    <w:name w:val="footer"/>
    <w:basedOn w:val="Normal"/>
    <w:link w:val="FooterChar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8F66EC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8F66EC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8F66EC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uiPriority w:val="99"/>
    <w:qFormat/>
    <w:rsid w:val="008F66EC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numId w:val="2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8F66EC"/>
    <w:pPr>
      <w:keepNext/>
      <w:numPr>
        <w:numId w:val="5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8F66EC"/>
    <w:pPr>
      <w:keepNext/>
      <w:numPr>
        <w:ilvl w:val="1"/>
        <w:numId w:val="5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8F66EC"/>
    <w:pPr>
      <w:keepNext/>
      <w:numPr>
        <w:ilvl w:val="2"/>
        <w:numId w:val="5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8F66EC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8F66EC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8F66EC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qFormat/>
    <w:rsid w:val="008F66EC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8F66EC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8F66EC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8F66EC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link w:val="NormalAgencyChar"/>
    <w:qFormat/>
    <w:rsid w:val="008F66EC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link w:val="No-TOCheadingAgencyChar"/>
    <w:qFormat/>
    <w:rsid w:val="008F66EC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3"/>
      </w:numPr>
    </w:pPr>
  </w:style>
  <w:style w:type="paragraph" w:customStyle="1" w:styleId="RefAgency">
    <w:name w:val="Ref. (Agency)"/>
    <w:basedOn w:val="Normal"/>
    <w:uiPriority w:val="99"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numId w:val="4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uiPriority w:val="39"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uiPriority w:val="39"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8F66EC"/>
    <w:rPr>
      <w:rFonts w:ascii="Verdana" w:eastAsia="Times New Roman" w:hAnsi="Verdana"/>
      <w:color w:val="FF0000"/>
      <w:sz w:val="17"/>
      <w:szCs w:val="17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character" w:customStyle="1" w:styleId="BodytextAgencyChar">
    <w:name w:val="Body text (Agency) Char"/>
    <w:link w:val="BodytextAgency"/>
    <w:qFormat/>
    <w:rsid w:val="00765E12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765E12"/>
    <w:rPr>
      <w:rFonts w:ascii="Verdana" w:eastAsia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D54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435B"/>
    <w:rPr>
      <w:rFonts w:ascii="Tahoma" w:hAnsi="Tahoma" w:cs="Tahoma"/>
      <w:sz w:val="16"/>
      <w:szCs w:val="16"/>
      <w:lang w:eastAsia="zh-CN"/>
    </w:rPr>
  </w:style>
  <w:style w:type="character" w:customStyle="1" w:styleId="DraftingNotesAgencyChar">
    <w:name w:val="Drafting Notes (Agency) Char"/>
    <w:link w:val="DraftingNotesAgency"/>
    <w:uiPriority w:val="99"/>
    <w:rsid w:val="007A3102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TOCheadingAgencyChar">
    <w:name w:val="No-TOC heading (Agency) Char"/>
    <w:link w:val="No-TOCheadingAgency"/>
    <w:locked/>
    <w:rsid w:val="008C1152"/>
    <w:rPr>
      <w:rFonts w:ascii="Verdana" w:eastAsia="Times New Roman" w:hAnsi="Verdana" w:cs="Arial"/>
      <w:b/>
      <w:kern w:val="32"/>
      <w:sz w:val="27"/>
      <w:szCs w:val="27"/>
    </w:rPr>
  </w:style>
  <w:style w:type="character" w:styleId="CommentReference">
    <w:name w:val="annotation reference"/>
    <w:rsid w:val="00C15D15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C15D15"/>
    <w:rPr>
      <w:sz w:val="20"/>
      <w:szCs w:val="20"/>
    </w:rPr>
  </w:style>
  <w:style w:type="character" w:customStyle="1" w:styleId="CommentTextChar">
    <w:name w:val="Comment Text Char"/>
    <w:link w:val="CommentText"/>
    <w:rsid w:val="00C15D15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C638E"/>
    <w:rPr>
      <w:b/>
      <w:bCs/>
    </w:rPr>
  </w:style>
  <w:style w:type="character" w:customStyle="1" w:styleId="CommentSubjectChar">
    <w:name w:val="Comment Subject Char"/>
    <w:link w:val="CommentSubject"/>
    <w:rsid w:val="007C638E"/>
    <w:rPr>
      <w:rFonts w:ascii="Verdana" w:hAnsi="Verdana" w:cs="Verdana"/>
      <w:b/>
      <w:bCs/>
      <w:lang w:eastAsia="zh-CN"/>
    </w:rPr>
  </w:style>
  <w:style w:type="character" w:customStyle="1" w:styleId="FooterChar">
    <w:name w:val="Footer Char"/>
    <w:link w:val="Footer"/>
    <w:semiHidden/>
    <w:locked/>
    <w:rsid w:val="002D6430"/>
    <w:rPr>
      <w:rFonts w:ascii="Arial" w:eastAsia="Times New Roman" w:hAnsi="Arial" w:cs="Verdana"/>
      <w:sz w:val="16"/>
      <w:lang w:eastAsia="en-US"/>
    </w:rPr>
  </w:style>
  <w:style w:type="paragraph" w:customStyle="1" w:styleId="Default">
    <w:name w:val="Default"/>
    <w:rsid w:val="00513B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NormalWeb">
    <w:name w:val="Normal (Web)"/>
    <w:basedOn w:val="Normal"/>
    <w:uiPriority w:val="99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uiPriority w:val="22"/>
    <w:qFormat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8F66EC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customStyle="1" w:styleId="BodytextAgencyblue">
    <w:name w:val="Body text (Agency) blue"/>
    <w:basedOn w:val="Normal"/>
    <w:qFormat/>
    <w:rsid w:val="005436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40" w:line="280" w:lineRule="atLeast"/>
    </w:pPr>
    <w:rPr>
      <w:rFonts w:eastAsia="Verdana"/>
      <w:color w:val="0070C0"/>
      <w:lang w:eastAsia="en-GB"/>
    </w:rPr>
  </w:style>
  <w:style w:type="paragraph" w:customStyle="1" w:styleId="DraftingNotesAgencyblue">
    <w:name w:val="Drafting Notes (Agency) blue"/>
    <w:basedOn w:val="Normal"/>
    <w:next w:val="BodytextAgencyblue"/>
    <w:qFormat/>
    <w:rsid w:val="005436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40" w:line="280" w:lineRule="atLeast"/>
    </w:pPr>
    <w:rPr>
      <w:rFonts w:ascii="Courier New" w:eastAsia="Verdana" w:hAnsi="Courier New" w:cs="Times New Roman"/>
      <w:i/>
      <w:color w:val="0070C0"/>
      <w:sz w:val="22"/>
      <w:lang w:eastAsia="en-GB"/>
    </w:rPr>
  </w:style>
  <w:style w:type="paragraph" w:styleId="Revision">
    <w:name w:val="Revision"/>
    <w:hidden/>
    <w:uiPriority w:val="99"/>
    <w:semiHidden/>
    <w:rsid w:val="00207EAF"/>
    <w:rPr>
      <w:rFonts w:ascii="Verdana" w:hAnsi="Verdana" w:cs="Verdan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glossary/rapporteu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BC4F-B943-41D4-BFE1-32C29B60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3131</Words>
  <Characters>17851</Characters>
  <Application>Microsoft Office Word</Application>
  <DocSecurity>4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Rapporteurs-assessment-report-claim-new-active-substance-status-template-rev-05.21</vt:lpstr>
    </vt:vector>
  </TitlesOfParts>
  <Company>European Medicines Agency</Company>
  <LinksUpToDate>false</LinksUpToDate>
  <CharactersWithSpaces>20941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day-80-assessment-report-new-active-substance-status-template-rev-03-23</dc:title>
  <dc:creator>EMA</dc:creator>
  <dc:description>Template developed for European Medicines Agency by Fiona Lewis and Vanessa Crookes December 2009</dc:description>
  <cp:lastModifiedBy>EMA </cp:lastModifiedBy>
  <cp:revision>2</cp:revision>
  <cp:lastPrinted>2011-09-30T14:18:00Z</cp:lastPrinted>
  <dcterms:created xsi:type="dcterms:W3CDTF">2023-03-13T16:06:00Z</dcterms:created>
  <dcterms:modified xsi:type="dcterms:W3CDTF">2023-03-13T16:06:00Z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13/03/2023 16:03:32</vt:lpwstr>
  </property>
  <property fmtid="{D5CDD505-2E9C-101B-9397-08002B2CF9AE}" pid="6" name="DM_Creator_Name">
    <vt:lpwstr>Buzzi Andrea</vt:lpwstr>
  </property>
  <property fmtid="{D5CDD505-2E9C-101B-9397-08002B2CF9AE}" pid="7" name="DM_DocRefId">
    <vt:lpwstr>EMA/119460/2023</vt:lpwstr>
  </property>
  <property fmtid="{D5CDD505-2E9C-101B-9397-08002B2CF9AE}" pid="8" name="DM_emea_doc_ref_id">
    <vt:lpwstr>EMA/119460/2023</vt:lpwstr>
  </property>
  <property fmtid="{D5CDD505-2E9C-101B-9397-08002B2CF9AE}" pid="9" name="DM_emea_filing_code">
    <vt:lpwstr> </vt:lpwstr>
  </property>
  <property fmtid="{D5CDD505-2E9C-101B-9397-08002B2CF9AE}" pid="10" name="DM_Keywords">
    <vt:lpwstr/>
  </property>
  <property fmtid="{D5CDD505-2E9C-101B-9397-08002B2CF9AE}" pid="11" name="DM_Language">
    <vt:lpwstr/>
  </property>
  <property fmtid="{D5CDD505-2E9C-101B-9397-08002B2CF9AE}" pid="12" name="DM_Modifer_Name">
    <vt:lpwstr>Buzzi Andrea</vt:lpwstr>
  </property>
  <property fmtid="{D5CDD505-2E9C-101B-9397-08002B2CF9AE}" pid="13" name="DM_Modified_Date">
    <vt:lpwstr>13/03/2023 16:04:05</vt:lpwstr>
  </property>
  <property fmtid="{D5CDD505-2E9C-101B-9397-08002B2CF9AE}" pid="14" name="DM_Modifier_Name">
    <vt:lpwstr>Buzzi Andrea</vt:lpwstr>
  </property>
  <property fmtid="{D5CDD505-2E9C-101B-9397-08002B2CF9AE}" pid="15" name="DM_Modify_Date">
    <vt:lpwstr>13/03/2023 16:04:05</vt:lpwstr>
  </property>
  <property fmtid="{D5CDD505-2E9C-101B-9397-08002B2CF9AE}" pid="16" name="DM_Name">
    <vt:lpwstr>day-80-assessment-report-new-active-substance-status-template-rev-03-23</vt:lpwstr>
  </property>
  <property fmtid="{D5CDD505-2E9C-101B-9397-08002B2CF9AE}" pid="17" name="DM_Path">
    <vt:lpwstr>/14. Working areas/14.05 H-Division/05. TAs Activities/12. Super Processes/Template Review Group (TRG) - superprocess/02 Template under review/Review 28 from June 2021 (see History folder for previous reviews rounds)/02 - finalized/D80-120 overview including Co-Rapp assessemnt  template (former critique)</vt:lpwstr>
  </property>
  <property fmtid="{D5CDD505-2E9C-101B-9397-08002B2CF9AE}" pid="18" name="DM_Status">
    <vt:lpwstr/>
  </property>
  <property fmtid="{D5CDD505-2E9C-101B-9397-08002B2CF9AE}" pid="19" name="DM_Subject">
    <vt:lpwstr/>
  </property>
  <property fmtid="{D5CDD505-2E9C-101B-9397-08002B2CF9AE}" pid="20" name="DM_Title">
    <vt:lpwstr/>
  </property>
  <property fmtid="{D5CDD505-2E9C-101B-9397-08002B2CF9AE}" pid="21" name="DM_Type">
    <vt:lpwstr>emea_document</vt:lpwstr>
  </property>
  <property fmtid="{D5CDD505-2E9C-101B-9397-08002B2CF9AE}" pid="22" name="DM_Version">
    <vt:lpwstr>1.1,CURRENT</vt:lpwstr>
  </property>
  <property fmtid="{D5CDD505-2E9C-101B-9397-08002B2CF9AE}" pid="23" name="MSIP_Label_afe1b31d-cec0-4074-b4bd-f07689e43d84_ActionId">
    <vt:lpwstr>6bddf866-08ae-4282-b55e-d41d33115b19</vt:lpwstr>
  </property>
  <property fmtid="{D5CDD505-2E9C-101B-9397-08002B2CF9AE}" pid="24" name="MSIP_Label_afe1b31d-cec0-4074-b4bd-f07689e43d84_Application">
    <vt:lpwstr>Microsoft Azure Information Protection</vt:lpwstr>
  </property>
  <property fmtid="{D5CDD505-2E9C-101B-9397-08002B2CF9AE}" pid="25" name="MSIP_Label_afe1b31d-cec0-4074-b4bd-f07689e43d84_Enabled">
    <vt:lpwstr>True</vt:lpwstr>
  </property>
  <property fmtid="{D5CDD505-2E9C-101B-9397-08002B2CF9AE}" pid="26" name="MSIP_Label_afe1b31d-cec0-4074-b4bd-f07689e43d84_Extended_MSFT_Method">
    <vt:lpwstr>Automatic</vt:lpwstr>
  </property>
  <property fmtid="{D5CDD505-2E9C-101B-9397-08002B2CF9AE}" pid="27" name="MSIP_Label_afe1b31d-cec0-4074-b4bd-f07689e43d84_Name">
    <vt:lpwstr>Internal</vt:lpwstr>
  </property>
  <property fmtid="{D5CDD505-2E9C-101B-9397-08002B2CF9AE}" pid="28" name="MSIP_Label_afe1b31d-cec0-4074-b4bd-f07689e43d84_Owner">
    <vt:lpwstr>Elisa.Pedone@ema.europa.eu</vt:lpwstr>
  </property>
  <property fmtid="{D5CDD505-2E9C-101B-9397-08002B2CF9AE}" pid="29" name="MSIP_Label_afe1b31d-cec0-4074-b4bd-f07689e43d84_SetDate">
    <vt:lpwstr>2020-02-06T17:12:17.1219287Z</vt:lpwstr>
  </property>
  <property fmtid="{D5CDD505-2E9C-101B-9397-08002B2CF9AE}" pid="30" name="MSIP_Label_afe1b31d-cec0-4074-b4bd-f07689e43d84_SiteId">
    <vt:lpwstr>bc9dc15c-61bc-4f03-b60b-e5b6d8922839</vt:lpwstr>
  </property>
  <property fmtid="{D5CDD505-2E9C-101B-9397-08002B2CF9AE}" pid="31" name="MSIP_Label_0eea11ca-d417-4147-80ed-01a58412c458_Enabled">
    <vt:lpwstr>true</vt:lpwstr>
  </property>
  <property fmtid="{D5CDD505-2E9C-101B-9397-08002B2CF9AE}" pid="32" name="MSIP_Label_0eea11ca-d417-4147-80ed-01a58412c458_SetDate">
    <vt:lpwstr>2023-03-13T16:06:34Z</vt:lpwstr>
  </property>
  <property fmtid="{D5CDD505-2E9C-101B-9397-08002B2CF9AE}" pid="33" name="MSIP_Label_0eea11ca-d417-4147-80ed-01a58412c458_Method">
    <vt:lpwstr>Standard</vt:lpwstr>
  </property>
  <property fmtid="{D5CDD505-2E9C-101B-9397-08002B2CF9AE}" pid="34" name="MSIP_Label_0eea11ca-d417-4147-80ed-01a58412c458_Name">
    <vt:lpwstr>0eea11ca-d417-4147-80ed-01a58412c458</vt:lpwstr>
  </property>
  <property fmtid="{D5CDD505-2E9C-101B-9397-08002B2CF9AE}" pid="35" name="MSIP_Label_0eea11ca-d417-4147-80ed-01a58412c458_SiteId">
    <vt:lpwstr>bc9dc15c-61bc-4f03-b60b-e5b6d8922839</vt:lpwstr>
  </property>
  <property fmtid="{D5CDD505-2E9C-101B-9397-08002B2CF9AE}" pid="36" name="MSIP_Label_0eea11ca-d417-4147-80ed-01a58412c458_ActionId">
    <vt:lpwstr>edb52765-f6d1-43f8-b2bc-b47677044620</vt:lpwstr>
  </property>
  <property fmtid="{D5CDD505-2E9C-101B-9397-08002B2CF9AE}" pid="37" name="MSIP_Label_0eea11ca-d417-4147-80ed-01a58412c458_ContentBits">
    <vt:lpwstr>2</vt:lpwstr>
  </property>
</Properties>
</file>