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DAD5" w14:textId="4EC8EFB2" w:rsidR="00E36AB2" w:rsidRPr="009B5CD1" w:rsidRDefault="00E36AB2" w:rsidP="00E36AB2">
      <w:pPr>
        <w:pBdr>
          <w:top w:val="single" w:sz="4" w:space="1" w:color="auto"/>
          <w:left w:val="single" w:sz="4" w:space="4" w:color="auto"/>
          <w:bottom w:val="single" w:sz="4" w:space="1" w:color="auto"/>
          <w:right w:val="single" w:sz="4" w:space="4" w:color="auto"/>
        </w:pBdr>
        <w:rPr>
          <w:szCs w:val="22"/>
          <w:lang w:val="en-US"/>
        </w:rPr>
      </w:pPr>
      <w:r w:rsidRPr="009B5CD1">
        <w:rPr>
          <w:szCs w:val="22"/>
        </w:rPr>
        <w:t>Настоящият</w:t>
      </w:r>
      <w:r w:rsidRPr="009B5CD1">
        <w:rPr>
          <w:szCs w:val="22"/>
          <w:lang w:val="en-US"/>
        </w:rPr>
        <w:t xml:space="preserve"> </w:t>
      </w:r>
      <w:r w:rsidRPr="009B5CD1">
        <w:rPr>
          <w:szCs w:val="22"/>
        </w:rPr>
        <w:t>документ</w:t>
      </w:r>
      <w:r w:rsidRPr="009B5CD1">
        <w:rPr>
          <w:szCs w:val="22"/>
          <w:lang w:val="en-US"/>
        </w:rPr>
        <w:t xml:space="preserve"> </w:t>
      </w:r>
      <w:r w:rsidRPr="009B5CD1">
        <w:rPr>
          <w:szCs w:val="22"/>
        </w:rPr>
        <w:t>представлява</w:t>
      </w:r>
      <w:r w:rsidRPr="009B5CD1">
        <w:rPr>
          <w:szCs w:val="22"/>
          <w:lang w:val="en-US"/>
        </w:rPr>
        <w:t xml:space="preserve"> </w:t>
      </w:r>
      <w:r w:rsidRPr="009B5CD1">
        <w:rPr>
          <w:szCs w:val="22"/>
        </w:rPr>
        <w:t>одобрената</w:t>
      </w:r>
      <w:r w:rsidRPr="009B5CD1">
        <w:rPr>
          <w:szCs w:val="22"/>
          <w:lang w:val="en-US"/>
        </w:rPr>
        <w:t xml:space="preserve"> </w:t>
      </w:r>
      <w:r w:rsidRPr="009B5CD1">
        <w:rPr>
          <w:szCs w:val="22"/>
        </w:rPr>
        <w:t>продуктова</w:t>
      </w:r>
      <w:r w:rsidRPr="009B5CD1">
        <w:rPr>
          <w:szCs w:val="22"/>
          <w:lang w:val="en-US"/>
        </w:rPr>
        <w:t xml:space="preserve"> </w:t>
      </w:r>
      <w:r w:rsidRPr="009B5CD1">
        <w:rPr>
          <w:szCs w:val="22"/>
        </w:rPr>
        <w:t>информация</w:t>
      </w:r>
      <w:r w:rsidRPr="009B5CD1">
        <w:rPr>
          <w:szCs w:val="22"/>
          <w:lang w:val="en-US"/>
        </w:rPr>
        <w:t xml:space="preserve"> </w:t>
      </w:r>
      <w:r w:rsidRPr="009B5CD1">
        <w:rPr>
          <w:szCs w:val="22"/>
        </w:rPr>
        <w:t>на</w:t>
      </w:r>
      <w:r w:rsidRPr="009B5CD1">
        <w:rPr>
          <w:szCs w:val="22"/>
          <w:lang w:val="en-US"/>
        </w:rPr>
        <w:t xml:space="preserve"> </w:t>
      </w:r>
      <w:r w:rsidR="004051E2">
        <w:t>Stelara</w:t>
      </w:r>
      <w:r w:rsidRPr="009B5CD1">
        <w:rPr>
          <w:szCs w:val="22"/>
          <w:lang w:val="en-US"/>
        </w:rPr>
        <w:t xml:space="preserve">, </w:t>
      </w:r>
      <w:r w:rsidRPr="009B5CD1">
        <w:rPr>
          <w:szCs w:val="22"/>
        </w:rPr>
        <w:t>като</w:t>
      </w:r>
      <w:r w:rsidRPr="009B5CD1">
        <w:rPr>
          <w:szCs w:val="22"/>
          <w:lang w:val="en-US"/>
        </w:rPr>
        <w:t xml:space="preserve"> </w:t>
      </w:r>
      <w:r w:rsidRPr="009B5CD1">
        <w:rPr>
          <w:szCs w:val="22"/>
        </w:rPr>
        <w:t>са</w:t>
      </w:r>
      <w:r w:rsidRPr="009B5CD1">
        <w:rPr>
          <w:szCs w:val="22"/>
          <w:lang w:val="en-US"/>
        </w:rPr>
        <w:t xml:space="preserve"> </w:t>
      </w:r>
      <w:r w:rsidRPr="009B5CD1">
        <w:rPr>
          <w:szCs w:val="22"/>
        </w:rPr>
        <w:t>подчертани</w:t>
      </w:r>
      <w:r w:rsidRPr="009B5CD1">
        <w:rPr>
          <w:szCs w:val="22"/>
          <w:lang w:val="en-US"/>
        </w:rPr>
        <w:t xml:space="preserve"> </w:t>
      </w:r>
      <w:r w:rsidRPr="009B5CD1">
        <w:rPr>
          <w:szCs w:val="22"/>
        </w:rPr>
        <w:t>промените</w:t>
      </w:r>
      <w:r w:rsidRPr="009B5CD1">
        <w:rPr>
          <w:szCs w:val="22"/>
          <w:lang w:val="en-US"/>
        </w:rPr>
        <w:t xml:space="preserve">, </w:t>
      </w:r>
      <w:r w:rsidRPr="009B5CD1">
        <w:rPr>
          <w:szCs w:val="22"/>
        </w:rPr>
        <w:t>настъпили</w:t>
      </w:r>
      <w:r w:rsidRPr="009B5CD1">
        <w:rPr>
          <w:szCs w:val="22"/>
          <w:lang w:val="en-US"/>
        </w:rPr>
        <w:t xml:space="preserve"> </w:t>
      </w:r>
      <w:r w:rsidRPr="009B5CD1">
        <w:rPr>
          <w:szCs w:val="22"/>
        </w:rPr>
        <w:t>в</w:t>
      </w:r>
      <w:r w:rsidRPr="009B5CD1">
        <w:rPr>
          <w:szCs w:val="22"/>
          <w:lang w:val="en-US"/>
        </w:rPr>
        <w:t xml:space="preserve"> </w:t>
      </w:r>
      <w:r w:rsidRPr="009B5CD1">
        <w:rPr>
          <w:szCs w:val="22"/>
        </w:rPr>
        <w:t>резултат</w:t>
      </w:r>
      <w:r w:rsidRPr="009B5CD1">
        <w:rPr>
          <w:szCs w:val="22"/>
          <w:lang w:val="en-US"/>
        </w:rPr>
        <w:t xml:space="preserve"> </w:t>
      </w:r>
      <w:r w:rsidRPr="009B5CD1">
        <w:rPr>
          <w:szCs w:val="22"/>
        </w:rPr>
        <w:t>на</w:t>
      </w:r>
      <w:r w:rsidRPr="009B5CD1">
        <w:rPr>
          <w:szCs w:val="22"/>
          <w:lang w:val="en-US"/>
        </w:rPr>
        <w:t xml:space="preserve"> </w:t>
      </w:r>
      <w:r w:rsidRPr="009B5CD1">
        <w:rPr>
          <w:szCs w:val="22"/>
        </w:rPr>
        <w:t>предходната</w:t>
      </w:r>
      <w:r w:rsidRPr="009B5CD1">
        <w:rPr>
          <w:szCs w:val="22"/>
          <w:lang w:val="en-US"/>
        </w:rPr>
        <w:t xml:space="preserve"> </w:t>
      </w:r>
      <w:r w:rsidRPr="009B5CD1">
        <w:rPr>
          <w:szCs w:val="22"/>
        </w:rPr>
        <w:t>процедура</w:t>
      </w:r>
      <w:r w:rsidRPr="009B5CD1">
        <w:rPr>
          <w:szCs w:val="22"/>
          <w:lang w:val="en-US"/>
        </w:rPr>
        <w:t xml:space="preserve">, </w:t>
      </w:r>
      <w:r w:rsidRPr="009B5CD1">
        <w:rPr>
          <w:szCs w:val="22"/>
        </w:rPr>
        <w:t>които</w:t>
      </w:r>
      <w:r w:rsidRPr="009B5CD1">
        <w:rPr>
          <w:szCs w:val="22"/>
          <w:lang w:val="en-US"/>
        </w:rPr>
        <w:t xml:space="preserve"> </w:t>
      </w:r>
      <w:r w:rsidRPr="009B5CD1">
        <w:rPr>
          <w:szCs w:val="22"/>
        </w:rPr>
        <w:t>засягат</w:t>
      </w:r>
      <w:r w:rsidRPr="009B5CD1">
        <w:rPr>
          <w:szCs w:val="22"/>
          <w:lang w:val="en-US"/>
        </w:rPr>
        <w:t xml:space="preserve"> </w:t>
      </w:r>
      <w:r w:rsidRPr="009B5CD1">
        <w:rPr>
          <w:szCs w:val="22"/>
        </w:rPr>
        <w:t>продуктовата</w:t>
      </w:r>
      <w:r w:rsidRPr="009B5CD1">
        <w:rPr>
          <w:szCs w:val="22"/>
          <w:lang w:val="en-US"/>
        </w:rPr>
        <w:t xml:space="preserve"> </w:t>
      </w:r>
      <w:r w:rsidRPr="009B5CD1">
        <w:rPr>
          <w:szCs w:val="22"/>
        </w:rPr>
        <w:t>информация</w:t>
      </w:r>
      <w:r w:rsidRPr="009B5CD1">
        <w:rPr>
          <w:szCs w:val="22"/>
          <w:lang w:val="en-US"/>
        </w:rPr>
        <w:t xml:space="preserve"> (</w:t>
      </w:r>
      <w:r w:rsidR="00B1794B">
        <w:t>EMA/VR/0000290099</w:t>
      </w:r>
      <w:r w:rsidRPr="009B5CD1">
        <w:rPr>
          <w:szCs w:val="22"/>
          <w:lang w:val="en-US"/>
        </w:rPr>
        <w:t>).</w:t>
      </w:r>
    </w:p>
    <w:p w14:paraId="5561E695" w14:textId="77777777" w:rsidR="00E36AB2" w:rsidRPr="009B5CD1" w:rsidRDefault="00E36AB2" w:rsidP="00E36AB2">
      <w:pPr>
        <w:pBdr>
          <w:top w:val="single" w:sz="4" w:space="1" w:color="auto"/>
          <w:left w:val="single" w:sz="4" w:space="4" w:color="auto"/>
          <w:bottom w:val="single" w:sz="4" w:space="1" w:color="auto"/>
          <w:right w:val="single" w:sz="4" w:space="4" w:color="auto"/>
        </w:pBdr>
        <w:rPr>
          <w:szCs w:val="22"/>
          <w:lang w:val="en-US"/>
        </w:rPr>
      </w:pPr>
    </w:p>
    <w:p w14:paraId="109AC8D3" w14:textId="5A4030CE" w:rsidR="009B3384" w:rsidRPr="00E36AB2" w:rsidRDefault="00E36AB2" w:rsidP="00E36AB2">
      <w:pPr>
        <w:pBdr>
          <w:top w:val="single" w:sz="4" w:space="1" w:color="auto"/>
          <w:left w:val="single" w:sz="4" w:space="4" w:color="auto"/>
          <w:bottom w:val="single" w:sz="4" w:space="1" w:color="auto"/>
          <w:right w:val="single" w:sz="4" w:space="4" w:color="auto"/>
        </w:pBdr>
        <w:rPr>
          <w:b/>
          <w:bCs/>
          <w:szCs w:val="22"/>
          <w:lang w:val="en-US"/>
        </w:rPr>
      </w:pPr>
      <w:r w:rsidRPr="009B5CD1">
        <w:rPr>
          <w:szCs w:val="22"/>
        </w:rPr>
        <w:t>За</w:t>
      </w:r>
      <w:r w:rsidRPr="009B5CD1">
        <w:rPr>
          <w:szCs w:val="22"/>
          <w:lang w:val="en-US"/>
        </w:rPr>
        <w:t xml:space="preserve"> </w:t>
      </w:r>
      <w:r w:rsidRPr="009B5CD1">
        <w:rPr>
          <w:szCs w:val="22"/>
        </w:rPr>
        <w:t>повече</w:t>
      </w:r>
      <w:r w:rsidRPr="009B5CD1">
        <w:rPr>
          <w:szCs w:val="22"/>
          <w:lang w:val="en-US"/>
        </w:rPr>
        <w:t xml:space="preserve"> </w:t>
      </w:r>
      <w:r w:rsidRPr="009B5CD1">
        <w:rPr>
          <w:szCs w:val="22"/>
        </w:rPr>
        <w:t>информация</w:t>
      </w:r>
      <w:r w:rsidRPr="009B5CD1">
        <w:rPr>
          <w:szCs w:val="22"/>
          <w:lang w:val="en-US"/>
        </w:rPr>
        <w:t xml:space="preserve"> </w:t>
      </w:r>
      <w:r w:rsidRPr="009B5CD1">
        <w:rPr>
          <w:szCs w:val="22"/>
        </w:rPr>
        <w:t>вижте</w:t>
      </w:r>
      <w:r w:rsidRPr="009B5CD1">
        <w:rPr>
          <w:szCs w:val="22"/>
          <w:lang w:val="en-US"/>
        </w:rPr>
        <w:t xml:space="preserve"> </w:t>
      </w:r>
      <w:r w:rsidRPr="009B5CD1">
        <w:rPr>
          <w:szCs w:val="22"/>
        </w:rPr>
        <w:t>уебсайта</w:t>
      </w:r>
      <w:r w:rsidRPr="009B5CD1">
        <w:rPr>
          <w:szCs w:val="22"/>
          <w:lang w:val="en-US"/>
        </w:rPr>
        <w:t xml:space="preserve"> </w:t>
      </w:r>
      <w:r w:rsidRPr="009B5CD1">
        <w:rPr>
          <w:szCs w:val="22"/>
        </w:rPr>
        <w:t>на</w:t>
      </w:r>
      <w:r w:rsidRPr="009B5CD1">
        <w:rPr>
          <w:szCs w:val="22"/>
          <w:lang w:val="en-US"/>
        </w:rPr>
        <w:t xml:space="preserve"> </w:t>
      </w:r>
      <w:r w:rsidRPr="009B5CD1">
        <w:rPr>
          <w:szCs w:val="22"/>
        </w:rPr>
        <w:t>Европейската</w:t>
      </w:r>
      <w:r w:rsidRPr="009B5CD1">
        <w:rPr>
          <w:szCs w:val="22"/>
          <w:lang w:val="en-US"/>
        </w:rPr>
        <w:t xml:space="preserve"> </w:t>
      </w:r>
      <w:r w:rsidRPr="009B5CD1">
        <w:rPr>
          <w:szCs w:val="22"/>
        </w:rPr>
        <w:t>агенция</w:t>
      </w:r>
      <w:r w:rsidRPr="009B5CD1">
        <w:rPr>
          <w:szCs w:val="22"/>
          <w:lang w:val="en-US"/>
        </w:rPr>
        <w:t xml:space="preserve"> </w:t>
      </w:r>
      <w:r w:rsidRPr="009B5CD1">
        <w:rPr>
          <w:szCs w:val="22"/>
        </w:rPr>
        <w:t>по</w:t>
      </w:r>
      <w:r w:rsidRPr="009B5CD1">
        <w:rPr>
          <w:szCs w:val="22"/>
          <w:lang w:val="en-US"/>
        </w:rPr>
        <w:t xml:space="preserve"> </w:t>
      </w:r>
      <w:r w:rsidRPr="009B5CD1">
        <w:rPr>
          <w:szCs w:val="22"/>
        </w:rPr>
        <w:t>лекарствата</w:t>
      </w:r>
      <w:r w:rsidRPr="009B5CD1">
        <w:rPr>
          <w:szCs w:val="22"/>
          <w:lang w:val="en-US"/>
        </w:rPr>
        <w:t xml:space="preserve">: </w:t>
      </w:r>
      <w:hyperlink r:id="rId11" w:history="1">
        <w:r w:rsidR="005432B1" w:rsidRPr="005566A0">
          <w:rPr>
            <w:rStyle w:val="Hyperlink"/>
          </w:rPr>
          <w:t>https://www.ema.europa.eu/en/medicines/human/EPAR/stelara</w:t>
        </w:r>
      </w:hyperlink>
    </w:p>
    <w:p w14:paraId="6505DC92" w14:textId="77777777" w:rsidR="00BC6A43" w:rsidRDefault="00BC6A43">
      <w:pPr>
        <w:rPr>
          <w:lang w:val="en-GB"/>
        </w:rPr>
      </w:pPr>
    </w:p>
    <w:p w14:paraId="6CE5B86D" w14:textId="77777777" w:rsidR="00BC6A43" w:rsidRDefault="00BC6A43">
      <w:pPr>
        <w:rPr>
          <w:lang w:val="en-GB"/>
        </w:rPr>
      </w:pPr>
    </w:p>
    <w:p w14:paraId="2EC6D8BE" w14:textId="77777777" w:rsidR="00BC6A43" w:rsidRDefault="00BC6A43">
      <w:pPr>
        <w:rPr>
          <w:lang w:val="en-GB"/>
        </w:rPr>
      </w:pPr>
    </w:p>
    <w:p w14:paraId="4A89F6BE" w14:textId="77777777" w:rsidR="00BC6A43" w:rsidRDefault="00BC6A43">
      <w:pPr>
        <w:rPr>
          <w:lang w:val="en-GB"/>
        </w:rPr>
      </w:pPr>
    </w:p>
    <w:p w14:paraId="0616426B" w14:textId="77777777" w:rsidR="00BC6A43" w:rsidRDefault="00BC6A43">
      <w:pPr>
        <w:rPr>
          <w:lang w:val="en-GB"/>
        </w:rPr>
      </w:pPr>
    </w:p>
    <w:p w14:paraId="2CD16411" w14:textId="77777777" w:rsidR="00BC6A43" w:rsidRDefault="00BC6A43">
      <w:pPr>
        <w:rPr>
          <w:lang w:val="en-GB"/>
        </w:rPr>
      </w:pPr>
    </w:p>
    <w:p w14:paraId="109AC8D4" w14:textId="77777777" w:rsidR="009B3384" w:rsidRDefault="009B3384">
      <w:pPr>
        <w:rPr>
          <w:lang w:val="en-GB"/>
        </w:rPr>
      </w:pPr>
    </w:p>
    <w:p w14:paraId="109AC8DB" w14:textId="77777777" w:rsidR="009B3384" w:rsidRDefault="009B3384"/>
    <w:p w14:paraId="109AC8DC" w14:textId="77777777" w:rsidR="009B3384" w:rsidRDefault="009B3384"/>
    <w:p w14:paraId="109AC8DD" w14:textId="77777777" w:rsidR="009B3384" w:rsidRDefault="009B3384">
      <w:pPr>
        <w:rPr>
          <w:lang w:val="en-US"/>
        </w:rPr>
      </w:pPr>
    </w:p>
    <w:p w14:paraId="109AC8E2" w14:textId="77777777" w:rsidR="009B3384" w:rsidRDefault="009B3384"/>
    <w:p w14:paraId="109AC8E3" w14:textId="77777777" w:rsidR="009B3384" w:rsidRDefault="009B3384"/>
    <w:p w14:paraId="109AC8E4" w14:textId="77777777" w:rsidR="009B3384" w:rsidRDefault="009B3384"/>
    <w:p w14:paraId="109AC8E5" w14:textId="77777777" w:rsidR="009B3384" w:rsidRDefault="009B3384"/>
    <w:p w14:paraId="109AC8E6" w14:textId="77777777" w:rsidR="009B3384" w:rsidRDefault="009B3384"/>
    <w:p w14:paraId="109AC8E7" w14:textId="77777777" w:rsidR="009B3384" w:rsidRDefault="009B3384"/>
    <w:p w14:paraId="109AC8E8" w14:textId="77777777" w:rsidR="009B3384" w:rsidRDefault="009B3384"/>
    <w:p w14:paraId="109AC8E9" w14:textId="77777777" w:rsidR="009B3384" w:rsidRDefault="00800862">
      <w:pPr>
        <w:tabs>
          <w:tab w:val="clear" w:pos="567"/>
          <w:tab w:val="left" w:pos="-1440"/>
          <w:tab w:val="left" w:pos="-720"/>
        </w:tabs>
        <w:jc w:val="center"/>
        <w:outlineLvl w:val="0"/>
      </w:pPr>
      <w:r>
        <w:rPr>
          <w:b/>
        </w:rPr>
        <w:t>ПРИЛОЖЕНИЕ I</w:t>
      </w:r>
    </w:p>
    <w:p w14:paraId="109AC8EA" w14:textId="77777777" w:rsidR="009B3384" w:rsidRDefault="009B3384"/>
    <w:p w14:paraId="109AC8EB" w14:textId="77777777" w:rsidR="009B3384" w:rsidRDefault="00800862">
      <w:pPr>
        <w:pStyle w:val="EUCP-Heading-1"/>
      </w:pPr>
      <w:r>
        <w:t>КРАТКА ХАРАКТЕРИСТИКА НА ПРОДУКТА</w:t>
      </w:r>
    </w:p>
    <w:p w14:paraId="109AC8EC" w14:textId="77777777" w:rsidR="009B3384" w:rsidRDefault="00800862">
      <w:r>
        <w:br w:type="page"/>
      </w:r>
    </w:p>
    <w:p w14:paraId="109AC8ED" w14:textId="77777777" w:rsidR="009B3384" w:rsidRDefault="00800862">
      <w:pPr>
        <w:keepNext/>
        <w:ind w:left="567" w:hanging="567"/>
        <w:outlineLvl w:val="1"/>
        <w:rPr>
          <w:b/>
          <w:bCs/>
        </w:rPr>
      </w:pPr>
      <w:r>
        <w:rPr>
          <w:b/>
          <w:bCs/>
        </w:rPr>
        <w:lastRenderedPageBreak/>
        <w:t>1.</w:t>
      </w:r>
      <w:r>
        <w:rPr>
          <w:b/>
          <w:bCs/>
        </w:rPr>
        <w:tab/>
        <w:t>ИМЕ НА ЛЕКАРСТВЕНИЯ ПРОДУКТ</w:t>
      </w:r>
    </w:p>
    <w:p w14:paraId="109AC8EE" w14:textId="77777777" w:rsidR="009B3384" w:rsidRDefault="009B3384">
      <w:pPr>
        <w:keepNext/>
        <w:tabs>
          <w:tab w:val="clear" w:pos="567"/>
        </w:tabs>
      </w:pPr>
    </w:p>
    <w:p w14:paraId="109AC8EF" w14:textId="77777777" w:rsidR="009B3384" w:rsidRDefault="00800862">
      <w:pPr>
        <w:rPr>
          <w:szCs w:val="22"/>
        </w:rPr>
      </w:pPr>
      <w:r>
        <w:rPr>
          <w:szCs w:val="22"/>
          <w:lang w:val="en-GB"/>
        </w:rPr>
        <w:t>STELARA</w:t>
      </w:r>
      <w:r>
        <w:rPr>
          <w:szCs w:val="22"/>
        </w:rPr>
        <w:t xml:space="preserve"> 130</w:t>
      </w:r>
      <w:r>
        <w:rPr>
          <w:szCs w:val="22"/>
          <w:lang w:val="en-GB"/>
        </w:rPr>
        <w:t> mg</w:t>
      </w:r>
      <w:r>
        <w:rPr>
          <w:szCs w:val="22"/>
        </w:rPr>
        <w:t xml:space="preserve"> концентрат за инфузионен разтвор</w:t>
      </w:r>
    </w:p>
    <w:p w14:paraId="109AC8F0" w14:textId="77777777" w:rsidR="009B3384" w:rsidRDefault="009B3384">
      <w:pPr>
        <w:rPr>
          <w:szCs w:val="22"/>
        </w:rPr>
      </w:pPr>
    </w:p>
    <w:p w14:paraId="109AC8F1" w14:textId="77777777" w:rsidR="009B3384" w:rsidRDefault="009B3384">
      <w:pPr>
        <w:widowControl w:val="0"/>
        <w:tabs>
          <w:tab w:val="clear" w:pos="567"/>
        </w:tabs>
      </w:pPr>
    </w:p>
    <w:p w14:paraId="109AC8F2" w14:textId="77777777" w:rsidR="009B3384" w:rsidRDefault="00800862">
      <w:pPr>
        <w:keepNext/>
        <w:ind w:left="567" w:hanging="567"/>
        <w:outlineLvl w:val="1"/>
        <w:rPr>
          <w:b/>
          <w:bCs/>
        </w:rPr>
      </w:pPr>
      <w:r>
        <w:rPr>
          <w:b/>
          <w:bCs/>
        </w:rPr>
        <w:t>2.</w:t>
      </w:r>
      <w:r>
        <w:rPr>
          <w:b/>
          <w:bCs/>
        </w:rPr>
        <w:tab/>
        <w:t>КАЧЕСТВЕН И КОЛИЧЕСТВЕН СЪСТАВ</w:t>
      </w:r>
    </w:p>
    <w:p w14:paraId="109AC8F3" w14:textId="77777777" w:rsidR="009B3384" w:rsidRDefault="009B3384">
      <w:pPr>
        <w:keepNext/>
        <w:widowControl w:val="0"/>
        <w:tabs>
          <w:tab w:val="clear" w:pos="567"/>
        </w:tabs>
      </w:pPr>
    </w:p>
    <w:p w14:paraId="109AC8F4" w14:textId="77777777" w:rsidR="009B3384" w:rsidRDefault="00800862">
      <w:pPr>
        <w:tabs>
          <w:tab w:val="clear" w:pos="567"/>
        </w:tabs>
      </w:pPr>
      <w:r>
        <w:t>Всеки флакон съдържа 130 mg устекинумаб (ustekinumab) в 26</w:t>
      </w:r>
      <w:r>
        <w:rPr>
          <w:lang w:val="en-GB"/>
        </w:rPr>
        <w:t> ml</w:t>
      </w:r>
      <w:r>
        <w:t xml:space="preserve"> (5</w:t>
      </w:r>
      <w:r>
        <w:rPr>
          <w:lang w:val="en-GB"/>
        </w:rPr>
        <w:t> mg</w:t>
      </w:r>
      <w:r>
        <w:t>/</w:t>
      </w:r>
      <w:r>
        <w:rPr>
          <w:lang w:val="en-GB"/>
        </w:rPr>
        <w:t>ml</w:t>
      </w:r>
      <w:r>
        <w:t>).</w:t>
      </w:r>
    </w:p>
    <w:p w14:paraId="109AC8F5" w14:textId="77777777" w:rsidR="009B3384" w:rsidRDefault="009B3384">
      <w:pPr>
        <w:tabs>
          <w:tab w:val="clear" w:pos="567"/>
        </w:tabs>
      </w:pPr>
    </w:p>
    <w:p w14:paraId="109AC8F6" w14:textId="1248C915" w:rsidR="009B3384" w:rsidRDefault="00800862">
      <w:pPr>
        <w:tabs>
          <w:tab w:val="clear" w:pos="567"/>
        </w:tabs>
      </w:pPr>
      <w:bookmarkStart w:id="0" w:name="OLE_LINK3"/>
      <w:r>
        <w:t>Устекинумаб е изцяло човешко IgG1κ моноклонално антитяло, произведено в миеломна клетъчна линия на мишки с помощта на рекомбинантна ДНК технология.</w:t>
      </w:r>
      <w:bookmarkEnd w:id="0"/>
    </w:p>
    <w:p w14:paraId="109AC8F7" w14:textId="77777777" w:rsidR="009B3384" w:rsidRDefault="009B3384">
      <w:pPr>
        <w:widowControl w:val="0"/>
      </w:pPr>
    </w:p>
    <w:p w14:paraId="109AC8F8" w14:textId="77777777" w:rsidR="009B3384" w:rsidRDefault="00800862">
      <w:pPr>
        <w:widowControl w:val="0"/>
      </w:pPr>
      <w:r>
        <w:t>За пълния списък на помощните вещества вижте точка 6.1.</w:t>
      </w:r>
    </w:p>
    <w:p w14:paraId="109AC8F9" w14:textId="77777777" w:rsidR="009B3384" w:rsidRDefault="009B3384">
      <w:pPr>
        <w:tabs>
          <w:tab w:val="clear" w:pos="567"/>
        </w:tabs>
      </w:pPr>
    </w:p>
    <w:p w14:paraId="109AC8FA" w14:textId="77777777" w:rsidR="009B3384" w:rsidRDefault="009B3384">
      <w:pPr>
        <w:tabs>
          <w:tab w:val="clear" w:pos="567"/>
        </w:tabs>
      </w:pPr>
    </w:p>
    <w:p w14:paraId="109AC8FB" w14:textId="77777777" w:rsidR="009B3384" w:rsidRDefault="00800862">
      <w:pPr>
        <w:keepNext/>
        <w:ind w:left="567" w:hanging="567"/>
        <w:outlineLvl w:val="1"/>
        <w:rPr>
          <w:b/>
          <w:bCs/>
        </w:rPr>
      </w:pPr>
      <w:r>
        <w:rPr>
          <w:b/>
        </w:rPr>
        <w:t>3.</w:t>
      </w:r>
      <w:r>
        <w:rPr>
          <w:b/>
        </w:rPr>
        <w:tab/>
        <w:t>ЛЕКАРСТВЕНА ФОРМА</w:t>
      </w:r>
    </w:p>
    <w:p w14:paraId="109AC8FC" w14:textId="77777777" w:rsidR="009B3384" w:rsidRDefault="009B3384">
      <w:pPr>
        <w:keepNext/>
      </w:pPr>
    </w:p>
    <w:p w14:paraId="109AC8FD" w14:textId="77777777" w:rsidR="009B3384" w:rsidRDefault="00800862">
      <w:pPr>
        <w:rPr>
          <w:szCs w:val="22"/>
        </w:rPr>
      </w:pPr>
      <w:r>
        <w:rPr>
          <w:szCs w:val="22"/>
        </w:rPr>
        <w:t>Концентрат за инфузионен разтвор</w:t>
      </w:r>
    </w:p>
    <w:p w14:paraId="109AC8FE" w14:textId="77777777" w:rsidR="009B3384" w:rsidRDefault="009B3384">
      <w:pPr>
        <w:rPr>
          <w:szCs w:val="22"/>
        </w:rPr>
      </w:pPr>
    </w:p>
    <w:p w14:paraId="109AC8FF" w14:textId="74005548" w:rsidR="009B3384" w:rsidRDefault="00800862">
      <w:pPr>
        <w:rPr>
          <w:szCs w:val="22"/>
        </w:rPr>
      </w:pPr>
      <w:r>
        <w:rPr>
          <w:szCs w:val="22"/>
        </w:rPr>
        <w:t>Разтворът е бистър, безцветен до бледожълт</w:t>
      </w:r>
      <w:bookmarkStart w:id="1" w:name="_Hlk219643263"/>
      <w:r>
        <w:rPr>
          <w:szCs w:val="22"/>
        </w:rPr>
        <w:t>, с целево pH 6,0 и приблизителен осмолалитет 288 mOsm/kg.</w:t>
      </w:r>
      <w:bookmarkEnd w:id="1"/>
    </w:p>
    <w:p w14:paraId="109AC900" w14:textId="77777777" w:rsidR="009B3384" w:rsidRDefault="009B3384"/>
    <w:p w14:paraId="109AC901" w14:textId="77777777" w:rsidR="009B3384" w:rsidRDefault="009B3384">
      <w:pPr>
        <w:tabs>
          <w:tab w:val="clear" w:pos="567"/>
        </w:tabs>
      </w:pPr>
    </w:p>
    <w:p w14:paraId="109AC902" w14:textId="77777777" w:rsidR="009B3384" w:rsidRDefault="00800862">
      <w:pPr>
        <w:keepNext/>
        <w:ind w:left="567" w:hanging="567"/>
        <w:outlineLvl w:val="1"/>
        <w:rPr>
          <w:b/>
          <w:bCs/>
        </w:rPr>
      </w:pPr>
      <w:r>
        <w:rPr>
          <w:b/>
          <w:bCs/>
        </w:rPr>
        <w:t>4.</w:t>
      </w:r>
      <w:r>
        <w:rPr>
          <w:b/>
          <w:bCs/>
        </w:rPr>
        <w:tab/>
        <w:t>КЛИНИЧНИ ДАННИ</w:t>
      </w:r>
    </w:p>
    <w:p w14:paraId="109AC903" w14:textId="77777777" w:rsidR="009B3384" w:rsidRDefault="009B3384">
      <w:pPr>
        <w:keepNext/>
        <w:tabs>
          <w:tab w:val="clear" w:pos="567"/>
        </w:tabs>
      </w:pPr>
    </w:p>
    <w:p w14:paraId="109AC904" w14:textId="77777777" w:rsidR="009B3384" w:rsidRDefault="00800862">
      <w:pPr>
        <w:keepNext/>
        <w:ind w:left="567" w:hanging="567"/>
        <w:outlineLvl w:val="2"/>
        <w:rPr>
          <w:b/>
          <w:bCs/>
        </w:rPr>
      </w:pPr>
      <w:r>
        <w:rPr>
          <w:b/>
          <w:bCs/>
        </w:rPr>
        <w:t>4.1</w:t>
      </w:r>
      <w:r>
        <w:rPr>
          <w:b/>
          <w:bCs/>
        </w:rPr>
        <w:tab/>
        <w:t>Терапевтични показания</w:t>
      </w:r>
    </w:p>
    <w:p w14:paraId="109AC905" w14:textId="77777777" w:rsidR="009B3384" w:rsidRDefault="009B3384">
      <w:pPr>
        <w:keepNext/>
        <w:tabs>
          <w:tab w:val="clear" w:pos="567"/>
        </w:tabs>
      </w:pPr>
    </w:p>
    <w:p w14:paraId="109AC906" w14:textId="77777777" w:rsidR="009B3384" w:rsidRDefault="00800862">
      <w:pPr>
        <w:keepNext/>
        <w:tabs>
          <w:tab w:val="clear" w:pos="567"/>
        </w:tabs>
        <w:rPr>
          <w:u w:val="single"/>
        </w:rPr>
      </w:pPr>
      <w:r>
        <w:rPr>
          <w:u w:val="single"/>
        </w:rPr>
        <w:t xml:space="preserve">Болест на </w:t>
      </w:r>
      <w:r>
        <w:rPr>
          <w:u w:val="single"/>
          <w:lang w:val="en-GB"/>
        </w:rPr>
        <w:t>Crohn</w:t>
      </w:r>
      <w:r>
        <w:rPr>
          <w:u w:val="single"/>
        </w:rPr>
        <w:t xml:space="preserve"> </w:t>
      </w:r>
      <w:bookmarkStart w:id="2" w:name="_Hlk188360218"/>
      <w:r>
        <w:rPr>
          <w:u w:val="single"/>
        </w:rPr>
        <w:t>при възрастни</w:t>
      </w:r>
      <w:bookmarkEnd w:id="2"/>
    </w:p>
    <w:p w14:paraId="4D645311" w14:textId="77777777" w:rsidR="00171077" w:rsidRDefault="00171077">
      <w:pPr>
        <w:keepNext/>
        <w:tabs>
          <w:tab w:val="clear" w:pos="567"/>
        </w:tabs>
        <w:rPr>
          <w:ins w:id="3" w:author="Reviser" w:date="2026-04-27T18:35:00Z"/>
        </w:rPr>
      </w:pPr>
    </w:p>
    <w:p w14:paraId="109AC907" w14:textId="6EF5239E" w:rsidR="009B3384" w:rsidRDefault="00800862">
      <w:pPr>
        <w:tabs>
          <w:tab w:val="clear" w:pos="567"/>
        </w:tabs>
        <w:pPrChange w:id="4" w:author="EUCP BE1" w:date="2026-05-19T16:48:00Z">
          <w:pPr>
            <w:keepNext/>
            <w:tabs>
              <w:tab w:val="clear" w:pos="567"/>
            </w:tabs>
          </w:pPr>
        </w:pPrChange>
      </w:pPr>
      <w:r>
        <w:rPr>
          <w:lang w:val="en-GB"/>
        </w:rPr>
        <w:t>STELARA</w:t>
      </w:r>
      <w:r>
        <w:t xml:space="preserve"> е показан за лечение на възрастни пациенти с умерена до тежка активна болест на </w:t>
      </w:r>
      <w:r>
        <w:rPr>
          <w:lang w:val="en-GB"/>
        </w:rPr>
        <w:t>Crohn</w:t>
      </w:r>
      <w:r>
        <w:t xml:space="preserve">, които са се повлияли недостатъчно, вече не се повлияват или имат непоносимост към конвенционалната терапия или към антагонист на </w:t>
      </w:r>
      <w:r>
        <w:rPr>
          <w:lang w:val="en-GB"/>
        </w:rPr>
        <w:t>TNFα</w:t>
      </w:r>
      <w:r>
        <w:t>.</w:t>
      </w:r>
    </w:p>
    <w:p w14:paraId="109AC908" w14:textId="77777777" w:rsidR="009B3384" w:rsidRDefault="009B3384"/>
    <w:p w14:paraId="109AC909" w14:textId="77777777" w:rsidR="009B3384" w:rsidRDefault="00800862">
      <w:pPr>
        <w:keepNext/>
      </w:pPr>
      <w:bookmarkStart w:id="5" w:name="_Hlk188360726"/>
      <w:r>
        <w:rPr>
          <w:u w:val="single"/>
        </w:rPr>
        <w:t xml:space="preserve">Болест на </w:t>
      </w:r>
      <w:r>
        <w:rPr>
          <w:u w:val="single"/>
          <w:lang w:val="en-GB"/>
        </w:rPr>
        <w:t>Crohn</w:t>
      </w:r>
      <w:r>
        <w:rPr>
          <w:u w:val="single"/>
        </w:rPr>
        <w:t xml:space="preserve"> при деца</w:t>
      </w:r>
    </w:p>
    <w:p w14:paraId="074AB423" w14:textId="77777777" w:rsidR="00171077" w:rsidRDefault="00171077">
      <w:pPr>
        <w:keepNext/>
        <w:widowControl w:val="0"/>
        <w:rPr>
          <w:ins w:id="6" w:author="Reviser" w:date="2026-04-27T18:35:00Z"/>
        </w:rPr>
        <w:pPrChange w:id="7" w:author="EUCP BE1" w:date="2026-05-19T16:48:00Z">
          <w:pPr>
            <w:widowControl w:val="0"/>
          </w:pPr>
        </w:pPrChange>
      </w:pPr>
    </w:p>
    <w:p w14:paraId="109AC90A" w14:textId="7E150416" w:rsidR="009B3384" w:rsidRDefault="00800862">
      <w:pPr>
        <w:widowControl w:val="0"/>
      </w:pPr>
      <w:r>
        <w:t xml:space="preserve">STELARA е показан за лечение на умерена до тежка активна болест на </w:t>
      </w:r>
      <w:r>
        <w:rPr>
          <w:lang w:val="en-GB"/>
        </w:rPr>
        <w:t>Crohn</w:t>
      </w:r>
      <w:r>
        <w:t xml:space="preserve"> при педиатрични пациенти </w:t>
      </w:r>
      <w:bookmarkStart w:id="8" w:name="_Hlk219643331"/>
      <w:r>
        <w:t>на възраст 2 и повече години</w:t>
      </w:r>
      <w:bookmarkEnd w:id="8"/>
      <w:r>
        <w:t>, които са имали недостатъчен отговор или имат непоносимост към конвенционална или към биологична терапия.</w:t>
      </w:r>
    </w:p>
    <w:p w14:paraId="109AC90B" w14:textId="77777777" w:rsidR="009B3384" w:rsidRDefault="009B3384"/>
    <w:bookmarkEnd w:id="5"/>
    <w:p w14:paraId="109AC90C" w14:textId="4077C1BE" w:rsidR="009B3384" w:rsidRPr="00171077" w:rsidRDefault="00800862">
      <w:pPr>
        <w:keepNext/>
        <w:rPr>
          <w:u w:val="single"/>
        </w:rPr>
      </w:pPr>
      <w:r>
        <w:rPr>
          <w:u w:val="single"/>
        </w:rPr>
        <w:t>Улцерозен колит</w:t>
      </w:r>
      <w:ins w:id="9" w:author="Reviser" w:date="2026-04-27T18:34:00Z">
        <w:r w:rsidR="00171077" w:rsidRPr="00BB130F">
          <w:rPr>
            <w:u w:val="single"/>
            <w:rPrChange w:id="10" w:author="EUCP BE1" w:date="2026-05-19T16:38:00Z">
              <w:rPr>
                <w:u w:val="single"/>
                <w:lang w:val="en-US"/>
              </w:rPr>
            </w:rPrChange>
          </w:rPr>
          <w:t xml:space="preserve"> </w:t>
        </w:r>
        <w:r w:rsidR="00171077">
          <w:rPr>
            <w:u w:val="single"/>
          </w:rPr>
          <w:t>при възрастни</w:t>
        </w:r>
      </w:ins>
    </w:p>
    <w:p w14:paraId="60AF1F32" w14:textId="77777777" w:rsidR="00171077" w:rsidRDefault="00171077">
      <w:pPr>
        <w:keepNext/>
        <w:widowControl w:val="0"/>
        <w:rPr>
          <w:ins w:id="11" w:author="Reviser" w:date="2026-04-27T18:35:00Z"/>
        </w:rPr>
        <w:pPrChange w:id="12" w:author="EUCP BE1" w:date="2026-05-19T16:48:00Z">
          <w:pPr>
            <w:widowControl w:val="0"/>
          </w:pPr>
        </w:pPrChange>
      </w:pPr>
    </w:p>
    <w:p w14:paraId="109AC90D" w14:textId="79021A12" w:rsidR="009B3384" w:rsidRDefault="00800862">
      <w:pPr>
        <w:widowControl w:val="0"/>
      </w:pPr>
      <w:r>
        <w:t>STELARA е показан за лечение на възрастни пациенти с умерен до тежък активен улцерозен колит, които са се повлияли недостатъчно, вече не се повлияват или имат непоносимост към конвенционалната терапия или към биологичен лекарствен продукт.</w:t>
      </w:r>
    </w:p>
    <w:p w14:paraId="109AC90E" w14:textId="77777777" w:rsidR="009B3384" w:rsidRDefault="009B3384">
      <w:pPr>
        <w:rPr>
          <w:ins w:id="13" w:author="Reviser" w:date="2026-04-27T18:35:00Z"/>
        </w:rPr>
      </w:pPr>
    </w:p>
    <w:p w14:paraId="7F59BAFA" w14:textId="25AA353B" w:rsidR="00171077" w:rsidRPr="00171077" w:rsidRDefault="00171077" w:rsidP="00171077">
      <w:pPr>
        <w:keepNext/>
        <w:rPr>
          <w:ins w:id="14" w:author="Reviser" w:date="2026-04-27T18:35:00Z"/>
          <w:u w:val="single"/>
        </w:rPr>
      </w:pPr>
      <w:ins w:id="15" w:author="Reviser" w:date="2026-04-27T18:35:00Z">
        <w:r>
          <w:rPr>
            <w:u w:val="single"/>
          </w:rPr>
          <w:t>Улцерозен колит</w:t>
        </w:r>
        <w:r w:rsidRPr="00BB130F">
          <w:rPr>
            <w:u w:val="single"/>
            <w:rPrChange w:id="16" w:author="EUCP BE1" w:date="2026-05-19T16:38:00Z">
              <w:rPr>
                <w:u w:val="single"/>
                <w:lang w:val="en-US"/>
              </w:rPr>
            </w:rPrChange>
          </w:rPr>
          <w:t xml:space="preserve"> </w:t>
        </w:r>
        <w:r>
          <w:rPr>
            <w:u w:val="single"/>
          </w:rPr>
          <w:t>при деца</w:t>
        </w:r>
      </w:ins>
    </w:p>
    <w:p w14:paraId="3066F4F1" w14:textId="77777777" w:rsidR="00171077" w:rsidRDefault="00171077">
      <w:pPr>
        <w:keepNext/>
        <w:widowControl w:val="0"/>
        <w:rPr>
          <w:ins w:id="17" w:author="Reviser" w:date="2026-04-27T18:35:00Z"/>
        </w:rPr>
        <w:pPrChange w:id="18" w:author="EUCP BE1" w:date="2026-05-19T16:48:00Z">
          <w:pPr>
            <w:widowControl w:val="0"/>
          </w:pPr>
        </w:pPrChange>
      </w:pPr>
    </w:p>
    <w:p w14:paraId="78CF9F95" w14:textId="0BD9469A" w:rsidR="00171077" w:rsidRDefault="00171077" w:rsidP="00171077">
      <w:pPr>
        <w:widowControl w:val="0"/>
        <w:rPr>
          <w:ins w:id="19" w:author="Reviser" w:date="2026-04-27T18:35:00Z"/>
        </w:rPr>
      </w:pPr>
      <w:ins w:id="20" w:author="Reviser" w:date="2026-04-27T18:35:00Z">
        <w:r>
          <w:t>STELARA е показан за лечение на умерен до тежък активен улцерозен колит</w:t>
        </w:r>
      </w:ins>
      <w:ins w:id="21" w:author="Reviser" w:date="2026-04-27T18:36:00Z">
        <w:r w:rsidRPr="00171077">
          <w:t xml:space="preserve"> </w:t>
        </w:r>
        <w:r>
          <w:t>при педиатрични пациенти на възраст 2 и пов</w:t>
        </w:r>
      </w:ins>
      <w:ins w:id="22" w:author="Reviser" w:date="2026-04-27T18:37:00Z">
        <w:r>
          <w:t>ече години</w:t>
        </w:r>
      </w:ins>
      <w:ins w:id="23" w:author="Reviser" w:date="2026-04-27T18:35:00Z">
        <w:r>
          <w:t xml:space="preserve">, които са </w:t>
        </w:r>
      </w:ins>
      <w:ins w:id="24" w:author="RABG09" w:date="2026-05-14T10:40:00Z">
        <w:r w:rsidR="00456127">
          <w:t>имали недостатъчен отговор</w:t>
        </w:r>
      </w:ins>
      <w:ins w:id="25" w:author="Reviser" w:date="2026-04-27T18:35:00Z">
        <w:r>
          <w:t xml:space="preserve"> или имат непоносимост към конвенционалната терапия или към биологичен лекарствен продукт.</w:t>
        </w:r>
      </w:ins>
    </w:p>
    <w:p w14:paraId="6C1F47F7" w14:textId="77777777" w:rsidR="00171077" w:rsidRDefault="00171077"/>
    <w:p w14:paraId="109AC90F" w14:textId="77777777" w:rsidR="009B3384" w:rsidRDefault="00800862">
      <w:pPr>
        <w:keepNext/>
        <w:ind w:left="567" w:hanging="567"/>
        <w:outlineLvl w:val="2"/>
        <w:rPr>
          <w:b/>
        </w:rPr>
      </w:pPr>
      <w:r>
        <w:rPr>
          <w:b/>
        </w:rPr>
        <w:t>4.2</w:t>
      </w:r>
      <w:r>
        <w:rPr>
          <w:b/>
        </w:rPr>
        <w:tab/>
        <w:t>Дозировка и начин на приложение</w:t>
      </w:r>
    </w:p>
    <w:p w14:paraId="109AC910" w14:textId="77777777" w:rsidR="009B3384" w:rsidRDefault="009B3384">
      <w:pPr>
        <w:keepNext/>
        <w:tabs>
          <w:tab w:val="clear" w:pos="567"/>
        </w:tabs>
        <w:rPr>
          <w:bCs/>
        </w:rPr>
      </w:pPr>
    </w:p>
    <w:p w14:paraId="109AC911" w14:textId="77777777" w:rsidR="009B3384" w:rsidRDefault="00800862">
      <w:pPr>
        <w:tabs>
          <w:tab w:val="clear" w:pos="567"/>
        </w:tabs>
        <w:rPr>
          <w:bCs/>
        </w:rPr>
      </w:pPr>
      <w:r>
        <w:rPr>
          <w:bCs/>
        </w:rPr>
        <w:t xml:space="preserve">STELARA концентрат за инфузионен разтвор е предназначен за употреба под ръководството и надзора на лекар с опит в диагностицирането и лечението на болест на </w:t>
      </w:r>
      <w:r>
        <w:rPr>
          <w:bCs/>
          <w:lang w:val="en-GB"/>
        </w:rPr>
        <w:t>Crohn</w:t>
      </w:r>
      <w:r>
        <w:rPr>
          <w:bCs/>
        </w:rPr>
        <w:t xml:space="preserve"> или </w:t>
      </w:r>
      <w:r>
        <w:t>улцерозен колит</w:t>
      </w:r>
      <w:r>
        <w:rPr>
          <w:bCs/>
        </w:rPr>
        <w:t xml:space="preserve">. </w:t>
      </w:r>
      <w:r>
        <w:rPr>
          <w:bCs/>
          <w:lang w:val="en-GB"/>
        </w:rPr>
        <w:t>STELARA</w:t>
      </w:r>
      <w:r>
        <w:rPr>
          <w:bCs/>
        </w:rPr>
        <w:t xml:space="preserve"> концентрат за инфузионен разтвор трябва да се използва само за интравенозната индукционна доза.</w:t>
      </w:r>
    </w:p>
    <w:p w14:paraId="109AC912" w14:textId="77777777" w:rsidR="009B3384" w:rsidRDefault="009B3384">
      <w:pPr>
        <w:tabs>
          <w:tab w:val="clear" w:pos="567"/>
        </w:tabs>
        <w:rPr>
          <w:bCs/>
        </w:rPr>
      </w:pPr>
    </w:p>
    <w:p w14:paraId="109AC913" w14:textId="77777777" w:rsidR="009B3384" w:rsidRDefault="00800862">
      <w:pPr>
        <w:keepNext/>
        <w:tabs>
          <w:tab w:val="clear" w:pos="567"/>
        </w:tabs>
        <w:rPr>
          <w:u w:val="single"/>
        </w:rPr>
      </w:pPr>
      <w:r>
        <w:rPr>
          <w:u w:val="single"/>
        </w:rPr>
        <w:t>Дозировка</w:t>
      </w:r>
    </w:p>
    <w:p w14:paraId="109AC914" w14:textId="77777777" w:rsidR="009B3384" w:rsidRPr="00171077" w:rsidRDefault="009B3384">
      <w:pPr>
        <w:keepNext/>
        <w:tabs>
          <w:tab w:val="clear" w:pos="567"/>
        </w:tabs>
        <w:rPr>
          <w:bCs/>
          <w:rPrChange w:id="26" w:author="Reviser" w:date="2026-04-27T18:39:00Z">
            <w:rPr>
              <w:bCs/>
              <w:u w:val="single"/>
            </w:rPr>
          </w:rPrChange>
        </w:rPr>
      </w:pPr>
    </w:p>
    <w:p w14:paraId="109AC916" w14:textId="77777777" w:rsidR="009B3384" w:rsidRPr="00BC6A43" w:rsidRDefault="00800862">
      <w:pPr>
        <w:keepNext/>
        <w:tabs>
          <w:tab w:val="clear" w:pos="567"/>
        </w:tabs>
        <w:rPr>
          <w:bCs/>
          <w:i/>
          <w:iCs/>
          <w:u w:val="single"/>
        </w:rPr>
      </w:pPr>
      <w:r w:rsidRPr="00BC6A43">
        <w:rPr>
          <w:bCs/>
          <w:i/>
          <w:iCs/>
          <w:u w:val="single"/>
        </w:rPr>
        <w:t xml:space="preserve">Болест на </w:t>
      </w:r>
      <w:r w:rsidRPr="00BC6A43">
        <w:rPr>
          <w:bCs/>
          <w:i/>
          <w:iCs/>
          <w:u w:val="single"/>
          <w:lang w:val="en-GB"/>
        </w:rPr>
        <w:t>Crohn</w:t>
      </w:r>
      <w:r w:rsidRPr="00BC6A43">
        <w:rPr>
          <w:i/>
          <w:iCs/>
        </w:rPr>
        <w:t xml:space="preserve"> </w:t>
      </w:r>
      <w:r w:rsidRPr="00BC6A43">
        <w:rPr>
          <w:bCs/>
          <w:i/>
          <w:iCs/>
          <w:u w:val="single"/>
        </w:rPr>
        <w:t>и улцерозен колит</w:t>
      </w:r>
    </w:p>
    <w:p w14:paraId="109AC917" w14:textId="77777777" w:rsidR="009B3384" w:rsidRDefault="00800862">
      <w:pPr>
        <w:tabs>
          <w:tab w:val="clear" w:pos="567"/>
        </w:tabs>
        <w:rPr>
          <w:bCs/>
        </w:rPr>
      </w:pPr>
      <w:r>
        <w:rPr>
          <w:bCs/>
        </w:rPr>
        <w:t xml:space="preserve">Лечението със </w:t>
      </w:r>
      <w:r>
        <w:rPr>
          <w:bCs/>
          <w:lang w:val="en-GB"/>
        </w:rPr>
        <w:t>STELARA</w:t>
      </w:r>
      <w:r>
        <w:rPr>
          <w:bCs/>
        </w:rPr>
        <w:t xml:space="preserve"> трябва да се започне с единична интравенозна доза, основаваща се на телесното тегло. Инфузионният разтвор трябва да се приготви от няколко флакона </w:t>
      </w:r>
      <w:r>
        <w:rPr>
          <w:bCs/>
          <w:lang w:val="en-GB"/>
        </w:rPr>
        <w:t>STELARA</w:t>
      </w:r>
      <w:r>
        <w:rPr>
          <w:bCs/>
        </w:rPr>
        <w:t xml:space="preserve"> 130</w:t>
      </w:r>
      <w:r>
        <w:rPr>
          <w:bCs/>
          <w:lang w:val="en-GB"/>
        </w:rPr>
        <w:t> mg</w:t>
      </w:r>
      <w:r>
        <w:rPr>
          <w:bCs/>
        </w:rPr>
        <w:t>, както е указано в Таблица</w:t>
      </w:r>
      <w:r>
        <w:rPr>
          <w:bCs/>
          <w:lang w:val="en-GB"/>
        </w:rPr>
        <w:t> </w:t>
      </w:r>
      <w:r>
        <w:rPr>
          <w:bCs/>
        </w:rPr>
        <w:t>1 (вж. точка</w:t>
      </w:r>
      <w:r>
        <w:rPr>
          <w:bCs/>
          <w:lang w:val="en-GB"/>
        </w:rPr>
        <w:t> </w:t>
      </w:r>
      <w:r>
        <w:rPr>
          <w:bCs/>
        </w:rPr>
        <w:t>6.6 за приготвянето).</w:t>
      </w:r>
    </w:p>
    <w:p w14:paraId="109AC918" w14:textId="77777777" w:rsidR="009B3384" w:rsidRDefault="009B3384">
      <w:pPr>
        <w:tabs>
          <w:tab w:val="clear" w:pos="567"/>
        </w:tabs>
        <w:rPr>
          <w:bCs/>
        </w:rPr>
      </w:pPr>
    </w:p>
    <w:p w14:paraId="109AC919" w14:textId="77777777" w:rsidR="009B3384" w:rsidRDefault="00800862">
      <w:pPr>
        <w:keepNext/>
        <w:ind w:left="1134" w:hanging="1134"/>
        <w:rPr>
          <w:bCs/>
          <w:i/>
          <w:iCs/>
        </w:rPr>
      </w:pPr>
      <w:r>
        <w:rPr>
          <w:bCs/>
          <w:i/>
          <w:iCs/>
        </w:rPr>
        <w:t>Таблица</w:t>
      </w:r>
      <w:r>
        <w:rPr>
          <w:bCs/>
          <w:i/>
          <w:iCs/>
          <w:lang w:val="en-GB"/>
        </w:rPr>
        <w:t> </w:t>
      </w:r>
      <w:r>
        <w:rPr>
          <w:bCs/>
          <w:i/>
          <w:iCs/>
        </w:rPr>
        <w:t>1</w:t>
      </w:r>
      <w:r w:rsidRPr="00BC6A43">
        <w:rPr>
          <w:bCs/>
          <w:i/>
          <w:iCs/>
        </w:rPr>
        <w:t>:</w:t>
      </w:r>
      <w:r>
        <w:rPr>
          <w:bCs/>
          <w:i/>
          <w:iCs/>
        </w:rPr>
        <w:tab/>
        <w:t xml:space="preserve">Начална интравенозна доза на </w:t>
      </w:r>
      <w:r>
        <w:rPr>
          <w:bCs/>
          <w:i/>
          <w:iCs/>
          <w:lang w:val="en-GB"/>
        </w:rPr>
        <w:t>STELARA</w:t>
      </w:r>
    </w:p>
    <w:tbl>
      <w:tblPr>
        <w:tblW w:w="9072" w:type="dxa"/>
        <w:jc w:val="center"/>
        <w:tblLayout w:type="fixed"/>
        <w:tblLook w:val="04A0" w:firstRow="1" w:lastRow="0" w:firstColumn="1" w:lastColumn="0" w:noHBand="0" w:noVBand="1"/>
      </w:tblPr>
      <w:tblGrid>
        <w:gridCol w:w="3950"/>
        <w:gridCol w:w="2427"/>
        <w:gridCol w:w="2695"/>
      </w:tblGrid>
      <w:tr w:rsidR="009B3384" w14:paraId="109AC91D" w14:textId="77777777">
        <w:trPr>
          <w:cantSplit/>
          <w:jc w:val="center"/>
        </w:trPr>
        <w:tc>
          <w:tcPr>
            <w:tcW w:w="2928" w:type="dxa"/>
            <w:tcBorders>
              <w:top w:val="single" w:sz="4" w:space="0" w:color="000000"/>
              <w:left w:val="single" w:sz="4" w:space="0" w:color="000000"/>
              <w:bottom w:val="single" w:sz="4" w:space="0" w:color="000000"/>
            </w:tcBorders>
          </w:tcPr>
          <w:p w14:paraId="109AC91A" w14:textId="77777777" w:rsidR="009B3384" w:rsidRDefault="00800862">
            <w:pPr>
              <w:keepNext/>
              <w:widowControl w:val="0"/>
              <w:tabs>
                <w:tab w:val="clear" w:pos="567"/>
              </w:tabs>
              <w:rPr>
                <w:b/>
              </w:rPr>
            </w:pPr>
            <w:r>
              <w:rPr>
                <w:b/>
              </w:rPr>
              <w:t>Телесно тегло на пациента към момента на прилагане</w:t>
            </w:r>
          </w:p>
        </w:tc>
        <w:tc>
          <w:tcPr>
            <w:tcW w:w="1799" w:type="dxa"/>
            <w:tcBorders>
              <w:top w:val="single" w:sz="4" w:space="0" w:color="000000"/>
              <w:bottom w:val="single" w:sz="4" w:space="0" w:color="000000"/>
            </w:tcBorders>
          </w:tcPr>
          <w:p w14:paraId="109AC91B" w14:textId="77777777" w:rsidR="009B3384" w:rsidRDefault="00800862">
            <w:pPr>
              <w:keepNext/>
              <w:widowControl w:val="0"/>
              <w:tabs>
                <w:tab w:val="clear" w:pos="567"/>
              </w:tabs>
              <w:jc w:val="center"/>
              <w:rPr>
                <w:b/>
                <w:lang w:val="en-GB"/>
              </w:rPr>
            </w:pPr>
            <w:r>
              <w:rPr>
                <w:b/>
              </w:rPr>
              <w:t>Препоръчителна</w:t>
            </w:r>
            <w:r>
              <w:rPr>
                <w:b/>
                <w:lang w:val="en-GB"/>
              </w:rPr>
              <w:t xml:space="preserve"> </w:t>
            </w:r>
            <w:r>
              <w:rPr>
                <w:b/>
              </w:rPr>
              <w:t>доза</w:t>
            </w:r>
            <w:r>
              <w:rPr>
                <w:b/>
                <w:vertAlign w:val="superscript"/>
                <w:lang w:val="en-GB"/>
              </w:rPr>
              <w:t>a</w:t>
            </w:r>
          </w:p>
        </w:tc>
        <w:tc>
          <w:tcPr>
            <w:tcW w:w="1998" w:type="dxa"/>
            <w:tcBorders>
              <w:top w:val="single" w:sz="4" w:space="0" w:color="000000"/>
              <w:bottom w:val="single" w:sz="4" w:space="0" w:color="000000"/>
              <w:right w:val="single" w:sz="4" w:space="0" w:color="000000"/>
            </w:tcBorders>
          </w:tcPr>
          <w:p w14:paraId="109AC91C" w14:textId="021AAD8E" w:rsidR="009B3384" w:rsidRDefault="00800862">
            <w:pPr>
              <w:keepNext/>
              <w:widowControl w:val="0"/>
              <w:tabs>
                <w:tab w:val="clear" w:pos="567"/>
              </w:tabs>
              <w:jc w:val="center"/>
              <w:rPr>
                <w:b/>
                <w:lang w:val="en-GB"/>
              </w:rPr>
            </w:pPr>
            <w:r>
              <w:rPr>
                <w:b/>
              </w:rPr>
              <w:t>Брой</w:t>
            </w:r>
            <w:r>
              <w:rPr>
                <w:b/>
                <w:lang w:val="en-GB"/>
              </w:rPr>
              <w:t xml:space="preserve"> </w:t>
            </w:r>
            <w:r>
              <w:rPr>
                <w:b/>
              </w:rPr>
              <w:t>флакони</w:t>
            </w:r>
            <w:r>
              <w:rPr>
                <w:b/>
                <w:lang w:val="en-GB"/>
              </w:rPr>
              <w:t xml:space="preserve"> </w:t>
            </w:r>
            <w:r>
              <w:rPr>
                <w:b/>
              </w:rPr>
              <w:t>от</w:t>
            </w:r>
            <w:r>
              <w:rPr>
                <w:b/>
                <w:lang w:val="en-GB"/>
              </w:rPr>
              <w:t xml:space="preserve"> 130 mg</w:t>
            </w:r>
          </w:p>
        </w:tc>
      </w:tr>
      <w:tr w:rsidR="009B3384" w14:paraId="109AC921" w14:textId="77777777">
        <w:trPr>
          <w:cantSplit/>
          <w:jc w:val="center"/>
        </w:trPr>
        <w:tc>
          <w:tcPr>
            <w:tcW w:w="2928" w:type="dxa"/>
            <w:tcBorders>
              <w:top w:val="single" w:sz="4" w:space="0" w:color="000000"/>
              <w:left w:val="single" w:sz="4" w:space="0" w:color="000000"/>
            </w:tcBorders>
          </w:tcPr>
          <w:p w14:paraId="109AC91E" w14:textId="77777777" w:rsidR="009B3384" w:rsidRDefault="00800862">
            <w:pPr>
              <w:keepNext/>
              <w:widowControl w:val="0"/>
              <w:tabs>
                <w:tab w:val="clear" w:pos="567"/>
              </w:tabs>
              <w:rPr>
                <w:bCs/>
                <w:lang w:val="en-GB"/>
              </w:rPr>
            </w:pPr>
            <w:r>
              <w:rPr>
                <w:bCs/>
                <w:lang w:val="en-GB"/>
              </w:rPr>
              <w:t>≤ 55 kg</w:t>
            </w:r>
          </w:p>
        </w:tc>
        <w:tc>
          <w:tcPr>
            <w:tcW w:w="1799" w:type="dxa"/>
            <w:tcBorders>
              <w:top w:val="single" w:sz="4" w:space="0" w:color="000000"/>
            </w:tcBorders>
          </w:tcPr>
          <w:p w14:paraId="109AC91F" w14:textId="77777777" w:rsidR="009B3384" w:rsidRDefault="00800862">
            <w:pPr>
              <w:keepNext/>
              <w:widowControl w:val="0"/>
              <w:tabs>
                <w:tab w:val="clear" w:pos="567"/>
              </w:tabs>
              <w:jc w:val="center"/>
              <w:rPr>
                <w:bCs/>
                <w:lang w:val="en-GB"/>
              </w:rPr>
            </w:pPr>
            <w:r>
              <w:rPr>
                <w:bCs/>
                <w:lang w:val="en-GB"/>
              </w:rPr>
              <w:t>260 mg</w:t>
            </w:r>
          </w:p>
        </w:tc>
        <w:tc>
          <w:tcPr>
            <w:tcW w:w="1998" w:type="dxa"/>
            <w:tcBorders>
              <w:top w:val="single" w:sz="4" w:space="0" w:color="000000"/>
              <w:right w:val="single" w:sz="4" w:space="0" w:color="000000"/>
            </w:tcBorders>
          </w:tcPr>
          <w:p w14:paraId="109AC920" w14:textId="77777777" w:rsidR="009B3384" w:rsidRDefault="00800862">
            <w:pPr>
              <w:keepNext/>
              <w:widowControl w:val="0"/>
              <w:tabs>
                <w:tab w:val="clear" w:pos="567"/>
              </w:tabs>
              <w:jc w:val="center"/>
              <w:rPr>
                <w:bCs/>
                <w:lang w:val="en-GB"/>
              </w:rPr>
            </w:pPr>
            <w:r>
              <w:rPr>
                <w:bCs/>
                <w:lang w:val="en-GB"/>
              </w:rPr>
              <w:t>2</w:t>
            </w:r>
          </w:p>
        </w:tc>
      </w:tr>
      <w:tr w:rsidR="009B3384" w14:paraId="109AC925" w14:textId="77777777">
        <w:trPr>
          <w:cantSplit/>
          <w:jc w:val="center"/>
        </w:trPr>
        <w:tc>
          <w:tcPr>
            <w:tcW w:w="2928" w:type="dxa"/>
            <w:tcBorders>
              <w:left w:val="single" w:sz="4" w:space="0" w:color="000000"/>
            </w:tcBorders>
          </w:tcPr>
          <w:p w14:paraId="109AC922" w14:textId="77777777" w:rsidR="009B3384" w:rsidRDefault="00800862">
            <w:pPr>
              <w:keepNext/>
              <w:widowControl w:val="0"/>
              <w:tabs>
                <w:tab w:val="clear" w:pos="567"/>
              </w:tabs>
              <w:rPr>
                <w:bCs/>
                <w:lang w:val="en-GB"/>
              </w:rPr>
            </w:pPr>
            <w:r>
              <w:rPr>
                <w:bCs/>
                <w:lang w:val="en-GB"/>
              </w:rPr>
              <w:t xml:space="preserve">&gt; 55 kg </w:t>
            </w:r>
            <w:r>
              <w:rPr>
                <w:bCs/>
              </w:rPr>
              <w:t>до</w:t>
            </w:r>
            <w:r>
              <w:rPr>
                <w:bCs/>
                <w:lang w:val="en-GB"/>
              </w:rPr>
              <w:t xml:space="preserve"> ≤ 85 kg</w:t>
            </w:r>
          </w:p>
        </w:tc>
        <w:tc>
          <w:tcPr>
            <w:tcW w:w="1799" w:type="dxa"/>
          </w:tcPr>
          <w:p w14:paraId="109AC923" w14:textId="77777777" w:rsidR="009B3384" w:rsidRDefault="00800862">
            <w:pPr>
              <w:keepNext/>
              <w:widowControl w:val="0"/>
              <w:tabs>
                <w:tab w:val="clear" w:pos="567"/>
              </w:tabs>
              <w:jc w:val="center"/>
              <w:rPr>
                <w:bCs/>
                <w:lang w:val="en-GB"/>
              </w:rPr>
            </w:pPr>
            <w:r>
              <w:rPr>
                <w:bCs/>
                <w:lang w:val="en-GB"/>
              </w:rPr>
              <w:t>390 mg</w:t>
            </w:r>
          </w:p>
        </w:tc>
        <w:tc>
          <w:tcPr>
            <w:tcW w:w="1998" w:type="dxa"/>
            <w:tcBorders>
              <w:right w:val="single" w:sz="4" w:space="0" w:color="000000"/>
            </w:tcBorders>
          </w:tcPr>
          <w:p w14:paraId="109AC924" w14:textId="77777777" w:rsidR="009B3384" w:rsidRDefault="00800862">
            <w:pPr>
              <w:keepNext/>
              <w:widowControl w:val="0"/>
              <w:tabs>
                <w:tab w:val="clear" w:pos="567"/>
              </w:tabs>
              <w:jc w:val="center"/>
              <w:rPr>
                <w:bCs/>
                <w:lang w:val="en-GB"/>
              </w:rPr>
            </w:pPr>
            <w:r>
              <w:rPr>
                <w:bCs/>
                <w:lang w:val="en-GB"/>
              </w:rPr>
              <w:t>3</w:t>
            </w:r>
          </w:p>
        </w:tc>
      </w:tr>
      <w:tr w:rsidR="009B3384" w14:paraId="109AC929" w14:textId="77777777">
        <w:trPr>
          <w:cantSplit/>
          <w:jc w:val="center"/>
        </w:trPr>
        <w:tc>
          <w:tcPr>
            <w:tcW w:w="2928" w:type="dxa"/>
            <w:tcBorders>
              <w:left w:val="single" w:sz="4" w:space="0" w:color="000000"/>
              <w:bottom w:val="single" w:sz="4" w:space="0" w:color="000000"/>
            </w:tcBorders>
          </w:tcPr>
          <w:p w14:paraId="109AC926" w14:textId="77777777" w:rsidR="009B3384" w:rsidRDefault="00800862">
            <w:pPr>
              <w:keepNext/>
              <w:widowControl w:val="0"/>
              <w:tabs>
                <w:tab w:val="clear" w:pos="567"/>
              </w:tabs>
              <w:rPr>
                <w:bCs/>
                <w:lang w:val="en-GB"/>
              </w:rPr>
            </w:pPr>
            <w:r>
              <w:rPr>
                <w:bCs/>
                <w:lang w:val="en-GB"/>
              </w:rPr>
              <w:t>&gt; 85 kg</w:t>
            </w:r>
          </w:p>
        </w:tc>
        <w:tc>
          <w:tcPr>
            <w:tcW w:w="1799" w:type="dxa"/>
            <w:tcBorders>
              <w:bottom w:val="single" w:sz="4" w:space="0" w:color="000000"/>
            </w:tcBorders>
          </w:tcPr>
          <w:p w14:paraId="109AC927" w14:textId="77777777" w:rsidR="009B3384" w:rsidRDefault="00800862">
            <w:pPr>
              <w:keepNext/>
              <w:widowControl w:val="0"/>
              <w:tabs>
                <w:tab w:val="clear" w:pos="567"/>
              </w:tabs>
              <w:jc w:val="center"/>
              <w:rPr>
                <w:bCs/>
                <w:lang w:val="en-GB"/>
              </w:rPr>
            </w:pPr>
            <w:r>
              <w:rPr>
                <w:bCs/>
                <w:lang w:val="en-GB"/>
              </w:rPr>
              <w:t>520 mg</w:t>
            </w:r>
          </w:p>
        </w:tc>
        <w:tc>
          <w:tcPr>
            <w:tcW w:w="1998" w:type="dxa"/>
            <w:tcBorders>
              <w:bottom w:val="single" w:sz="4" w:space="0" w:color="000000"/>
              <w:right w:val="single" w:sz="4" w:space="0" w:color="000000"/>
            </w:tcBorders>
          </w:tcPr>
          <w:p w14:paraId="109AC928" w14:textId="77777777" w:rsidR="009B3384" w:rsidRDefault="00800862">
            <w:pPr>
              <w:keepNext/>
              <w:widowControl w:val="0"/>
              <w:tabs>
                <w:tab w:val="clear" w:pos="567"/>
              </w:tabs>
              <w:jc w:val="center"/>
              <w:rPr>
                <w:bCs/>
                <w:lang w:val="en-GB"/>
              </w:rPr>
            </w:pPr>
            <w:r>
              <w:rPr>
                <w:bCs/>
                <w:lang w:val="en-GB"/>
              </w:rPr>
              <w:t>4</w:t>
            </w:r>
          </w:p>
        </w:tc>
      </w:tr>
      <w:tr w:rsidR="009B3384" w14:paraId="109AC92B" w14:textId="77777777">
        <w:trPr>
          <w:cantSplit/>
          <w:jc w:val="center"/>
        </w:trPr>
        <w:tc>
          <w:tcPr>
            <w:tcW w:w="6725" w:type="dxa"/>
            <w:gridSpan w:val="3"/>
            <w:tcBorders>
              <w:top w:val="single" w:sz="4" w:space="0" w:color="000000"/>
            </w:tcBorders>
          </w:tcPr>
          <w:p w14:paraId="109AC92A" w14:textId="77777777" w:rsidR="009B3384" w:rsidRDefault="00800862">
            <w:pPr>
              <w:widowControl w:val="0"/>
              <w:tabs>
                <w:tab w:val="clear" w:pos="567"/>
              </w:tabs>
              <w:ind w:left="284" w:hanging="284"/>
              <w:rPr>
                <w:bCs/>
                <w:lang w:val="en-GB"/>
              </w:rPr>
            </w:pPr>
            <w:r>
              <w:rPr>
                <w:bCs/>
                <w:vertAlign w:val="superscript"/>
                <w:lang w:val="en-GB"/>
              </w:rPr>
              <w:t>a</w:t>
            </w:r>
            <w:r>
              <w:rPr>
                <w:bCs/>
                <w:vertAlign w:val="superscript"/>
                <w:lang w:val="en-GB"/>
              </w:rPr>
              <w:tab/>
            </w:r>
            <w:r>
              <w:rPr>
                <w:bCs/>
                <w:sz w:val="18"/>
                <w:szCs w:val="18"/>
              </w:rPr>
              <w:t>Приблизително</w:t>
            </w:r>
            <w:r>
              <w:rPr>
                <w:bCs/>
                <w:sz w:val="18"/>
                <w:szCs w:val="18"/>
                <w:lang w:val="en-GB"/>
              </w:rPr>
              <w:t xml:space="preserve"> 6 mg/kg</w:t>
            </w:r>
          </w:p>
        </w:tc>
      </w:tr>
    </w:tbl>
    <w:p w14:paraId="109AC92C" w14:textId="77777777" w:rsidR="009B3384" w:rsidRDefault="009B3384">
      <w:pPr>
        <w:tabs>
          <w:tab w:val="clear" w:pos="567"/>
        </w:tabs>
        <w:rPr>
          <w:bCs/>
          <w:lang w:val="en-GB"/>
        </w:rPr>
      </w:pPr>
    </w:p>
    <w:p w14:paraId="109AC92D" w14:textId="77777777" w:rsidR="009B3384" w:rsidRDefault="00800862">
      <w:pPr>
        <w:tabs>
          <w:tab w:val="clear" w:pos="567"/>
        </w:tabs>
        <w:rPr>
          <w:bCs/>
        </w:rPr>
      </w:pPr>
      <w:r>
        <w:rPr>
          <w:bCs/>
        </w:rPr>
        <w:t>Първата подкожна доза трябва да се приложи на седмица 8 след интравенозната доза. За дозировката при последващата схема на подкожно приложение вижте точка 4.2 от КХП на STELARA инжекционен разтвор (флакон) и инжекционен разтвор в предварително напълнена спринцовка или в предварително напълнена писалка.</w:t>
      </w:r>
    </w:p>
    <w:p w14:paraId="109AC92E" w14:textId="77777777" w:rsidR="009B3384" w:rsidRDefault="009B3384"/>
    <w:p w14:paraId="109AC92F" w14:textId="5480D868" w:rsidR="009B3384" w:rsidRPr="00F9219D" w:rsidRDefault="00800862">
      <w:pPr>
        <w:keepNext/>
        <w:tabs>
          <w:tab w:val="clear" w:pos="567"/>
        </w:tabs>
        <w:rPr>
          <w:bCs/>
          <w:i/>
          <w:iCs/>
        </w:rPr>
      </w:pPr>
      <w:r>
        <w:rPr>
          <w:bCs/>
          <w:i/>
          <w:iCs/>
        </w:rPr>
        <w:t>Старческа възраст</w:t>
      </w:r>
      <w:del w:id="27" w:author="EUCP BE1" w:date="2026-05-19T16:59:00Z">
        <w:r w:rsidDel="00F72194">
          <w:rPr>
            <w:bCs/>
            <w:i/>
            <w:iCs/>
          </w:rPr>
          <w:delText xml:space="preserve"> </w:delText>
        </w:r>
      </w:del>
    </w:p>
    <w:p w14:paraId="109AC930" w14:textId="4F6EF219" w:rsidR="009B3384" w:rsidRDefault="00800862">
      <w:pPr>
        <w:tabs>
          <w:tab w:val="clear" w:pos="567"/>
        </w:tabs>
        <w:rPr>
          <w:bCs/>
        </w:rPr>
      </w:pPr>
      <w:r>
        <w:rPr>
          <w:bCs/>
        </w:rPr>
        <w:t>Не е необходимо адаптиране на дозата при пациенти в старческа възраст (≥</w:t>
      </w:r>
      <w:r>
        <w:rPr>
          <w:bCs/>
          <w:lang w:val="en-US"/>
        </w:rPr>
        <w:t> </w:t>
      </w:r>
      <w:r>
        <w:rPr>
          <w:bCs/>
        </w:rPr>
        <w:t>65</w:t>
      </w:r>
      <w:r>
        <w:rPr>
          <w:bCs/>
          <w:lang w:val="en-US"/>
        </w:rPr>
        <w:t> </w:t>
      </w:r>
      <w:r>
        <w:rPr>
          <w:bCs/>
        </w:rPr>
        <w:t>години) (вж. точка 4.4).</w:t>
      </w:r>
    </w:p>
    <w:p w14:paraId="109AC931" w14:textId="77777777" w:rsidR="009B3384" w:rsidRDefault="009B3384">
      <w:pPr>
        <w:tabs>
          <w:tab w:val="clear" w:pos="567"/>
        </w:tabs>
        <w:rPr>
          <w:iCs/>
        </w:rPr>
      </w:pPr>
    </w:p>
    <w:p w14:paraId="109AC932" w14:textId="77777777" w:rsidR="009B3384" w:rsidRDefault="00800862">
      <w:pPr>
        <w:keepNext/>
        <w:tabs>
          <w:tab w:val="clear" w:pos="567"/>
        </w:tabs>
        <w:rPr>
          <w:i/>
          <w:iCs/>
        </w:rPr>
      </w:pPr>
      <w:r>
        <w:rPr>
          <w:i/>
          <w:iCs/>
        </w:rPr>
        <w:t>Бъбречно и чернодробно увреждане</w:t>
      </w:r>
    </w:p>
    <w:p w14:paraId="109AC933" w14:textId="77777777" w:rsidR="009B3384" w:rsidRDefault="00800862">
      <w:pPr>
        <w:tabs>
          <w:tab w:val="clear" w:pos="567"/>
        </w:tabs>
        <w:rPr>
          <w:bCs/>
        </w:rPr>
      </w:pPr>
      <w:r>
        <w:rPr>
          <w:bCs/>
        </w:rPr>
        <w:t>Не са провеждани проучвания със STELARA при тези популации пациенти. Не може да се даде препоръка за дозата.</w:t>
      </w:r>
    </w:p>
    <w:p w14:paraId="109AC934" w14:textId="77777777" w:rsidR="009B3384" w:rsidRDefault="009B3384">
      <w:pPr>
        <w:tabs>
          <w:tab w:val="clear" w:pos="567"/>
        </w:tabs>
        <w:rPr>
          <w:bCs/>
        </w:rPr>
      </w:pPr>
    </w:p>
    <w:p w14:paraId="109AC935" w14:textId="77777777" w:rsidR="009B3384" w:rsidRDefault="00800862">
      <w:pPr>
        <w:keepNext/>
        <w:tabs>
          <w:tab w:val="clear" w:pos="567"/>
        </w:tabs>
        <w:rPr>
          <w:bCs/>
          <w:iCs/>
          <w:u w:val="single"/>
        </w:rPr>
      </w:pPr>
      <w:r w:rsidRPr="00BC6A43">
        <w:rPr>
          <w:bCs/>
          <w:iCs/>
          <w:u w:val="single"/>
        </w:rPr>
        <w:t>Педиатрична популация</w:t>
      </w:r>
    </w:p>
    <w:p w14:paraId="109AC936" w14:textId="77777777" w:rsidR="009B3384" w:rsidRPr="00BC6A43" w:rsidRDefault="009B3384">
      <w:pPr>
        <w:keepNext/>
        <w:tabs>
          <w:tab w:val="clear" w:pos="567"/>
        </w:tabs>
        <w:rPr>
          <w:bCs/>
          <w:iCs/>
          <w:u w:val="single"/>
        </w:rPr>
      </w:pPr>
    </w:p>
    <w:p w14:paraId="109AC937" w14:textId="010DB0EB" w:rsidR="009B3384" w:rsidRDefault="00800862">
      <w:pPr>
        <w:keepNext/>
        <w:rPr>
          <w:i/>
          <w:iCs/>
          <w:u w:val="single"/>
        </w:rPr>
      </w:pPr>
      <w:bookmarkStart w:id="28" w:name="_Hlk188361095"/>
      <w:r w:rsidRPr="00BC6A43">
        <w:rPr>
          <w:i/>
          <w:iCs/>
          <w:u w:val="single"/>
        </w:rPr>
        <w:t>Болест на Crohn</w:t>
      </w:r>
      <w:ins w:id="29" w:author="RABG09" w:date="2026-06-24T15:37:00Z">
        <w:r w:rsidR="00572FD9" w:rsidRPr="00F9219D">
          <w:rPr>
            <w:i/>
            <w:iCs/>
            <w:u w:val="single"/>
          </w:rPr>
          <w:t xml:space="preserve"> </w:t>
        </w:r>
        <w:r w:rsidR="00572FD9">
          <w:rPr>
            <w:i/>
            <w:iCs/>
            <w:u w:val="single"/>
          </w:rPr>
          <w:t>и улцерозен колит</w:t>
        </w:r>
      </w:ins>
      <w:r w:rsidRPr="00BC6A43">
        <w:rPr>
          <w:i/>
          <w:iCs/>
          <w:u w:val="single"/>
        </w:rPr>
        <w:t xml:space="preserve"> при деца </w:t>
      </w:r>
      <w:bookmarkStart w:id="30" w:name="_Hlk219643546"/>
      <w:r w:rsidRPr="00BC6A43">
        <w:rPr>
          <w:i/>
          <w:iCs/>
          <w:u w:val="single"/>
        </w:rPr>
        <w:t>(2 и повече години)</w:t>
      </w:r>
      <w:bookmarkEnd w:id="30"/>
    </w:p>
    <w:p w14:paraId="109AC938" w14:textId="77777777" w:rsidR="009B3384" w:rsidRDefault="00800862">
      <w:pPr>
        <w:keepNext/>
        <w:rPr>
          <w:i/>
          <w:iCs/>
        </w:rPr>
      </w:pPr>
      <w:r>
        <w:rPr>
          <w:i/>
          <w:iCs/>
        </w:rPr>
        <w:t>Пациенти с тегло под 40 kg (дозиране въз основа на телесната повърхност)</w:t>
      </w:r>
    </w:p>
    <w:p w14:paraId="109AC939" w14:textId="22E5CD32" w:rsidR="009B3384" w:rsidRDefault="00800862">
      <w:pPr>
        <w:tabs>
          <w:tab w:val="clear" w:pos="567"/>
        </w:tabs>
        <w:rPr>
          <w:bCs/>
        </w:rPr>
      </w:pPr>
      <w:r>
        <w:rPr>
          <w:bCs/>
        </w:rPr>
        <w:t>Лечението трябва да се започне с единична интравенозна доза (</w:t>
      </w:r>
      <w:proofErr w:type="spellStart"/>
      <w:r>
        <w:rPr>
          <w:bCs/>
          <w:lang w:val="en-US"/>
        </w:rPr>
        <w:t>i</w:t>
      </w:r>
      <w:proofErr w:type="spellEnd"/>
      <w:r w:rsidRPr="00BC6A43">
        <w:rPr>
          <w:bCs/>
        </w:rPr>
        <w:t>.</w:t>
      </w:r>
      <w:r>
        <w:rPr>
          <w:bCs/>
          <w:lang w:val="en-US"/>
        </w:rPr>
        <w:t>v</w:t>
      </w:r>
      <w:r w:rsidRPr="00BC6A43">
        <w:rPr>
          <w:bCs/>
        </w:rPr>
        <w:t>.)</w:t>
      </w:r>
      <w:r>
        <w:rPr>
          <w:bCs/>
        </w:rPr>
        <w:t xml:space="preserve">, основаваща се на телесната повърхност на пациента </w:t>
      </w:r>
      <w:r>
        <w:t>(</w:t>
      </w:r>
      <w:r>
        <w:rPr>
          <w:lang w:val="en-GB"/>
        </w:rPr>
        <w:t>body</w:t>
      </w:r>
      <w:r>
        <w:t xml:space="preserve"> </w:t>
      </w:r>
      <w:r>
        <w:rPr>
          <w:lang w:val="en-GB"/>
        </w:rPr>
        <w:t>surface</w:t>
      </w:r>
      <w:r>
        <w:t xml:space="preserve"> </w:t>
      </w:r>
      <w:r>
        <w:rPr>
          <w:lang w:val="en-GB"/>
        </w:rPr>
        <w:t>area</w:t>
      </w:r>
      <w:r>
        <w:t xml:space="preserve">, </w:t>
      </w:r>
      <w:r>
        <w:rPr>
          <w:lang w:val="en-GB"/>
        </w:rPr>
        <w:t>BSA</w:t>
      </w:r>
      <w:r>
        <w:t>)</w:t>
      </w:r>
      <w:r>
        <w:rPr>
          <w:bCs/>
        </w:rPr>
        <w:t>, вижте Таблица</w:t>
      </w:r>
      <w:r>
        <w:rPr>
          <w:bCs/>
          <w:lang w:val="en-US"/>
        </w:rPr>
        <w:t> </w:t>
      </w:r>
      <w:r>
        <w:rPr>
          <w:bCs/>
        </w:rPr>
        <w:t>2. Инфузионният разтвор трябва да се приготви според обема на инфузионния р</w:t>
      </w:r>
      <w:ins w:id="31" w:author="RABG09" w:date="2026-05-14T10:48:00Z">
        <w:r w:rsidR="00850FF8">
          <w:rPr>
            <w:bCs/>
          </w:rPr>
          <w:t>а</w:t>
        </w:r>
      </w:ins>
      <w:del w:id="32" w:author="RABG09" w:date="2026-05-14T10:45:00Z">
        <w:r w:rsidDel="003868DE">
          <w:rPr>
            <w:bCs/>
          </w:rPr>
          <w:delText>е</w:delText>
        </w:r>
      </w:del>
      <w:r>
        <w:rPr>
          <w:bCs/>
        </w:rPr>
        <w:t xml:space="preserve">зтвор от съответния брой флакони </w:t>
      </w:r>
      <w:r>
        <w:rPr>
          <w:bCs/>
          <w:lang w:val="en-GB"/>
        </w:rPr>
        <w:t>STELARA</w:t>
      </w:r>
      <w:r>
        <w:rPr>
          <w:bCs/>
        </w:rPr>
        <w:t xml:space="preserve"> 130</w:t>
      </w:r>
      <w:r>
        <w:rPr>
          <w:bCs/>
          <w:lang w:val="en-GB"/>
        </w:rPr>
        <w:t> mg</w:t>
      </w:r>
      <w:r>
        <w:rPr>
          <w:bCs/>
        </w:rPr>
        <w:t>, както е указано в Таблица</w:t>
      </w:r>
      <w:r>
        <w:rPr>
          <w:bCs/>
          <w:lang w:val="en-GB"/>
        </w:rPr>
        <w:t> </w:t>
      </w:r>
      <w:r>
        <w:rPr>
          <w:bCs/>
        </w:rPr>
        <w:t>2.</w:t>
      </w:r>
    </w:p>
    <w:p w14:paraId="109AC93A" w14:textId="77777777" w:rsidR="009B3384" w:rsidRDefault="009B3384"/>
    <w:p w14:paraId="109AC93B" w14:textId="77777777" w:rsidR="009B3384" w:rsidRDefault="00800862">
      <w:pPr>
        <w:keepNext/>
        <w:ind w:left="1134" w:hanging="1134"/>
        <w:rPr>
          <w:i/>
          <w:iCs/>
        </w:rPr>
      </w:pPr>
      <w:r>
        <w:rPr>
          <w:i/>
          <w:iCs/>
        </w:rPr>
        <w:t>Таблица 2:</w:t>
      </w:r>
      <w:r>
        <w:rPr>
          <w:i/>
          <w:iCs/>
        </w:rPr>
        <w:tab/>
      </w:r>
      <w:r>
        <w:rPr>
          <w:bCs/>
          <w:i/>
          <w:iCs/>
        </w:rPr>
        <w:t xml:space="preserve">Начална интравенозна доза на </w:t>
      </w:r>
      <w:r>
        <w:rPr>
          <w:i/>
          <w:iCs/>
        </w:rPr>
        <w:t>STELARA</w:t>
      </w:r>
    </w:p>
    <w:tbl>
      <w:tblPr>
        <w:tblStyle w:val="TableGrid"/>
        <w:tblW w:w="9072" w:type="dxa"/>
        <w:jc w:val="center"/>
        <w:tblLook w:val="04A0" w:firstRow="1" w:lastRow="0" w:firstColumn="1" w:lastColumn="0" w:noHBand="0" w:noVBand="1"/>
      </w:tblPr>
      <w:tblGrid>
        <w:gridCol w:w="3259"/>
        <w:gridCol w:w="1937"/>
        <w:gridCol w:w="1938"/>
        <w:gridCol w:w="1938"/>
      </w:tblGrid>
      <w:tr w:rsidR="00BB130F" w14:paraId="10BC1A10" w14:textId="77777777" w:rsidTr="00BB130F">
        <w:trPr>
          <w:jc w:val="center"/>
        </w:trPr>
        <w:tc>
          <w:tcPr>
            <w:tcW w:w="3259" w:type="dxa"/>
            <w:tcBorders>
              <w:bottom w:val="single" w:sz="4" w:space="0" w:color="auto"/>
              <w:right w:val="nil"/>
            </w:tcBorders>
          </w:tcPr>
          <w:p w14:paraId="6766AB9D" w14:textId="77777777" w:rsidR="00BB130F" w:rsidRPr="00171077" w:rsidRDefault="00BB130F">
            <w:pPr>
              <w:keepNext/>
              <w:rPr>
                <w:b/>
                <w:bCs/>
                <w:szCs w:val="22"/>
              </w:rPr>
              <w:pPrChange w:id="33" w:author="Reviser" w:date="2026-04-27T18:40:00Z">
                <w:pPr>
                  <w:keepNext/>
                  <w:jc w:val="center"/>
                </w:pPr>
              </w:pPrChange>
            </w:pPr>
            <w:r w:rsidRPr="00171077">
              <w:rPr>
                <w:b/>
                <w:bCs/>
                <w:szCs w:val="22"/>
              </w:rPr>
              <w:t>Диапазон на BSA</w:t>
            </w:r>
          </w:p>
          <w:p w14:paraId="68D2960D" w14:textId="77777777" w:rsidR="00BB130F" w:rsidRPr="00171077" w:rsidRDefault="00BB130F">
            <w:pPr>
              <w:keepNext/>
              <w:rPr>
                <w:b/>
                <w:bCs/>
                <w:szCs w:val="22"/>
              </w:rPr>
              <w:pPrChange w:id="34" w:author="Reviser" w:date="2026-04-27T18:40:00Z">
                <w:pPr>
                  <w:keepNext/>
                  <w:jc w:val="center"/>
                </w:pPr>
              </w:pPrChange>
            </w:pPr>
            <w:r w:rsidRPr="00171077">
              <w:rPr>
                <w:b/>
                <w:bCs/>
                <w:szCs w:val="22"/>
              </w:rPr>
              <w:t>(m²) на пациента към момента на прилагане</w:t>
            </w:r>
          </w:p>
          <w:p w14:paraId="3D5B649F" w14:textId="71D35FC3" w:rsidR="00BB130F" w:rsidRDefault="00BB130F" w:rsidP="00BB130F">
            <w:pPr>
              <w:rPr>
                <w:lang w:val="en-US"/>
              </w:rPr>
            </w:pPr>
            <w:r w:rsidRPr="00171077">
              <w:rPr>
                <w:b/>
                <w:bCs/>
                <w:szCs w:val="22"/>
              </w:rPr>
              <w:t>Телесно тегло &lt; 40 kg</w:t>
            </w:r>
          </w:p>
        </w:tc>
        <w:tc>
          <w:tcPr>
            <w:tcW w:w="1937" w:type="dxa"/>
            <w:tcBorders>
              <w:left w:val="nil"/>
              <w:bottom w:val="single" w:sz="4" w:space="0" w:color="auto"/>
              <w:right w:val="nil"/>
            </w:tcBorders>
          </w:tcPr>
          <w:p w14:paraId="762FF828" w14:textId="495616CA" w:rsidR="00BB130F" w:rsidRDefault="00BB130F" w:rsidP="00BB130F">
            <w:pPr>
              <w:jc w:val="center"/>
              <w:rPr>
                <w:lang w:val="en-US"/>
              </w:rPr>
            </w:pPr>
            <w:r w:rsidRPr="00171077">
              <w:rPr>
                <w:b/>
                <w:bCs/>
                <w:szCs w:val="22"/>
              </w:rPr>
              <w:t>Препоръчителна доза (mg)</w:t>
            </w:r>
          </w:p>
        </w:tc>
        <w:tc>
          <w:tcPr>
            <w:tcW w:w="1938" w:type="dxa"/>
            <w:tcBorders>
              <w:left w:val="nil"/>
              <w:bottom w:val="single" w:sz="4" w:space="0" w:color="auto"/>
              <w:right w:val="nil"/>
            </w:tcBorders>
          </w:tcPr>
          <w:p w14:paraId="295012EA" w14:textId="06B531AE" w:rsidR="00BB130F" w:rsidRDefault="00BB130F" w:rsidP="00BB130F">
            <w:pPr>
              <w:jc w:val="center"/>
              <w:rPr>
                <w:lang w:val="en-US"/>
              </w:rPr>
            </w:pPr>
            <w:r w:rsidRPr="00171077">
              <w:rPr>
                <w:b/>
                <w:bCs/>
                <w:szCs w:val="22"/>
              </w:rPr>
              <w:t>Обем на инфузионния разтвор (m</w:t>
            </w:r>
            <w:r w:rsidRPr="00171077">
              <w:rPr>
                <w:b/>
                <w:bCs/>
                <w:szCs w:val="22"/>
                <w:lang w:val="en-US"/>
              </w:rPr>
              <w:t>l</w:t>
            </w:r>
            <w:r w:rsidRPr="00171077">
              <w:rPr>
                <w:b/>
                <w:bCs/>
                <w:szCs w:val="22"/>
              </w:rPr>
              <w:t>)</w:t>
            </w:r>
          </w:p>
        </w:tc>
        <w:tc>
          <w:tcPr>
            <w:tcW w:w="1938" w:type="dxa"/>
            <w:tcBorders>
              <w:left w:val="nil"/>
              <w:bottom w:val="single" w:sz="4" w:space="0" w:color="auto"/>
            </w:tcBorders>
          </w:tcPr>
          <w:p w14:paraId="7FF26290" w14:textId="703FA212" w:rsidR="00BB130F" w:rsidRDefault="00BB130F" w:rsidP="00BB130F">
            <w:pPr>
              <w:jc w:val="center"/>
              <w:rPr>
                <w:lang w:val="en-US"/>
              </w:rPr>
            </w:pPr>
            <w:r w:rsidRPr="00171077">
              <w:rPr>
                <w:b/>
                <w:bCs/>
                <w:szCs w:val="22"/>
              </w:rPr>
              <w:t>Брой флакони от 130 mg</w:t>
            </w:r>
          </w:p>
        </w:tc>
      </w:tr>
      <w:tr w:rsidR="00BB130F" w14:paraId="07A84A7E" w14:textId="77777777" w:rsidTr="00BB130F">
        <w:trPr>
          <w:jc w:val="center"/>
        </w:trPr>
        <w:tc>
          <w:tcPr>
            <w:tcW w:w="3259" w:type="dxa"/>
            <w:tcBorders>
              <w:bottom w:val="nil"/>
              <w:right w:val="nil"/>
            </w:tcBorders>
          </w:tcPr>
          <w:p w14:paraId="1B409315" w14:textId="44CB5B57" w:rsidR="00BB130F" w:rsidRDefault="00BB130F" w:rsidP="00BB130F">
            <w:pPr>
              <w:rPr>
                <w:lang w:val="en-US"/>
              </w:rPr>
            </w:pPr>
            <w:r w:rsidRPr="00BC6A43">
              <w:rPr>
                <w:szCs w:val="22"/>
              </w:rPr>
              <w:t xml:space="preserve">0,40 </w:t>
            </w:r>
            <w:r>
              <w:rPr>
                <w:szCs w:val="22"/>
              </w:rPr>
              <w:t>до</w:t>
            </w:r>
            <w:r w:rsidRPr="00BC6A43">
              <w:rPr>
                <w:szCs w:val="22"/>
              </w:rPr>
              <w:t xml:space="preserve"> &lt;0,62</w:t>
            </w:r>
          </w:p>
        </w:tc>
        <w:tc>
          <w:tcPr>
            <w:tcW w:w="1937" w:type="dxa"/>
            <w:tcBorders>
              <w:left w:val="nil"/>
              <w:bottom w:val="nil"/>
              <w:right w:val="nil"/>
            </w:tcBorders>
          </w:tcPr>
          <w:p w14:paraId="17575A1C" w14:textId="661F1B32" w:rsidR="00BB130F" w:rsidRDefault="00BB130F" w:rsidP="00BB130F">
            <w:pPr>
              <w:jc w:val="center"/>
              <w:rPr>
                <w:lang w:val="en-US"/>
              </w:rPr>
            </w:pPr>
            <w:r w:rsidRPr="00BC6A43">
              <w:rPr>
                <w:szCs w:val="22"/>
              </w:rPr>
              <w:t>130 mg</w:t>
            </w:r>
          </w:p>
        </w:tc>
        <w:tc>
          <w:tcPr>
            <w:tcW w:w="1938" w:type="dxa"/>
            <w:tcBorders>
              <w:left w:val="nil"/>
              <w:bottom w:val="nil"/>
              <w:right w:val="nil"/>
            </w:tcBorders>
          </w:tcPr>
          <w:p w14:paraId="0D28909C" w14:textId="52633FA7" w:rsidR="00BB130F" w:rsidRDefault="00BB130F" w:rsidP="00BB130F">
            <w:pPr>
              <w:jc w:val="center"/>
              <w:rPr>
                <w:lang w:val="en-US"/>
              </w:rPr>
            </w:pPr>
            <w:r w:rsidRPr="00BC6A43">
              <w:rPr>
                <w:szCs w:val="22"/>
              </w:rPr>
              <w:t>26 m</w:t>
            </w:r>
            <w:r w:rsidRPr="00BC6A43">
              <w:rPr>
                <w:szCs w:val="22"/>
                <w:lang w:val="en-US"/>
              </w:rPr>
              <w:t>l</w:t>
            </w:r>
          </w:p>
        </w:tc>
        <w:tc>
          <w:tcPr>
            <w:tcW w:w="1938" w:type="dxa"/>
            <w:tcBorders>
              <w:left w:val="nil"/>
              <w:bottom w:val="nil"/>
            </w:tcBorders>
          </w:tcPr>
          <w:p w14:paraId="68405922" w14:textId="448DD87D" w:rsidR="00BB130F" w:rsidRDefault="00BB130F" w:rsidP="00BB130F">
            <w:pPr>
              <w:jc w:val="center"/>
              <w:rPr>
                <w:lang w:val="en-US"/>
              </w:rPr>
            </w:pPr>
            <w:r w:rsidRPr="00BC6A43">
              <w:rPr>
                <w:szCs w:val="22"/>
              </w:rPr>
              <w:t>1 флакон</w:t>
            </w:r>
          </w:p>
        </w:tc>
      </w:tr>
      <w:tr w:rsidR="00BB130F" w14:paraId="4E4F5953" w14:textId="77777777" w:rsidTr="00BB130F">
        <w:trPr>
          <w:jc w:val="center"/>
        </w:trPr>
        <w:tc>
          <w:tcPr>
            <w:tcW w:w="3259" w:type="dxa"/>
            <w:tcBorders>
              <w:top w:val="nil"/>
              <w:bottom w:val="nil"/>
              <w:right w:val="nil"/>
            </w:tcBorders>
          </w:tcPr>
          <w:p w14:paraId="5E3E6EC8" w14:textId="487BF4D8" w:rsidR="00BB130F" w:rsidRDefault="00BB130F" w:rsidP="00BB130F">
            <w:pPr>
              <w:rPr>
                <w:lang w:val="en-US"/>
              </w:rPr>
            </w:pPr>
            <w:r w:rsidRPr="00BC6A43">
              <w:rPr>
                <w:szCs w:val="22"/>
              </w:rPr>
              <w:t xml:space="preserve">0,62 </w:t>
            </w:r>
            <w:r>
              <w:rPr>
                <w:szCs w:val="22"/>
              </w:rPr>
              <w:t>до</w:t>
            </w:r>
            <w:r w:rsidRPr="00BC6A43">
              <w:rPr>
                <w:szCs w:val="22"/>
              </w:rPr>
              <w:t xml:space="preserve"> &lt;0,95</w:t>
            </w:r>
          </w:p>
        </w:tc>
        <w:tc>
          <w:tcPr>
            <w:tcW w:w="1937" w:type="dxa"/>
            <w:tcBorders>
              <w:top w:val="nil"/>
              <w:left w:val="nil"/>
              <w:bottom w:val="nil"/>
              <w:right w:val="nil"/>
            </w:tcBorders>
          </w:tcPr>
          <w:p w14:paraId="1C2CD28A" w14:textId="10B6FFB1" w:rsidR="00BB130F" w:rsidRDefault="00BB130F" w:rsidP="00BB130F">
            <w:pPr>
              <w:jc w:val="center"/>
              <w:rPr>
                <w:lang w:val="en-US"/>
              </w:rPr>
            </w:pPr>
            <w:r w:rsidRPr="00BC6A43">
              <w:rPr>
                <w:szCs w:val="22"/>
              </w:rPr>
              <w:t>200 mg</w:t>
            </w:r>
          </w:p>
        </w:tc>
        <w:tc>
          <w:tcPr>
            <w:tcW w:w="1938" w:type="dxa"/>
            <w:tcBorders>
              <w:top w:val="nil"/>
              <w:left w:val="nil"/>
              <w:bottom w:val="nil"/>
              <w:right w:val="nil"/>
            </w:tcBorders>
          </w:tcPr>
          <w:p w14:paraId="7E95B07A" w14:textId="577BD954" w:rsidR="00BB130F" w:rsidRDefault="00BB130F" w:rsidP="00BB130F">
            <w:pPr>
              <w:jc w:val="center"/>
              <w:rPr>
                <w:lang w:val="en-US"/>
              </w:rPr>
            </w:pPr>
            <w:r w:rsidRPr="00BC6A43">
              <w:rPr>
                <w:szCs w:val="22"/>
              </w:rPr>
              <w:t>40 m</w:t>
            </w:r>
            <w:r w:rsidRPr="00BC6A43">
              <w:rPr>
                <w:szCs w:val="22"/>
                <w:lang w:val="en-US"/>
              </w:rPr>
              <w:t>l</w:t>
            </w:r>
          </w:p>
        </w:tc>
        <w:tc>
          <w:tcPr>
            <w:tcW w:w="1938" w:type="dxa"/>
            <w:tcBorders>
              <w:top w:val="nil"/>
              <w:left w:val="nil"/>
              <w:bottom w:val="nil"/>
            </w:tcBorders>
          </w:tcPr>
          <w:p w14:paraId="4FA028F0" w14:textId="454D55EA" w:rsidR="00BB130F" w:rsidRDefault="00BB130F" w:rsidP="00BB130F">
            <w:pPr>
              <w:jc w:val="center"/>
              <w:rPr>
                <w:lang w:val="en-US"/>
              </w:rPr>
            </w:pPr>
            <w:r w:rsidRPr="00BC6A43">
              <w:rPr>
                <w:szCs w:val="22"/>
              </w:rPr>
              <w:t>2 флакона</w:t>
            </w:r>
          </w:p>
        </w:tc>
      </w:tr>
      <w:tr w:rsidR="00BB130F" w14:paraId="0D8D901D" w14:textId="77777777" w:rsidTr="00BB130F">
        <w:trPr>
          <w:jc w:val="center"/>
        </w:trPr>
        <w:tc>
          <w:tcPr>
            <w:tcW w:w="3259" w:type="dxa"/>
            <w:tcBorders>
              <w:top w:val="nil"/>
              <w:bottom w:val="nil"/>
              <w:right w:val="nil"/>
            </w:tcBorders>
          </w:tcPr>
          <w:p w14:paraId="5522B2B2" w14:textId="566CCCF2" w:rsidR="00BB130F" w:rsidRDefault="00BB130F" w:rsidP="00BB130F">
            <w:pPr>
              <w:rPr>
                <w:lang w:val="en-US"/>
              </w:rPr>
            </w:pPr>
            <w:r w:rsidRPr="00BC6A43">
              <w:rPr>
                <w:szCs w:val="22"/>
              </w:rPr>
              <w:t xml:space="preserve">0,95 </w:t>
            </w:r>
            <w:r>
              <w:rPr>
                <w:szCs w:val="22"/>
              </w:rPr>
              <w:t>до</w:t>
            </w:r>
            <w:r w:rsidRPr="00BC6A43">
              <w:rPr>
                <w:szCs w:val="22"/>
              </w:rPr>
              <w:t xml:space="preserve"> &lt;1,25</w:t>
            </w:r>
          </w:p>
        </w:tc>
        <w:tc>
          <w:tcPr>
            <w:tcW w:w="1937" w:type="dxa"/>
            <w:tcBorders>
              <w:top w:val="nil"/>
              <w:left w:val="nil"/>
              <w:bottom w:val="nil"/>
              <w:right w:val="nil"/>
            </w:tcBorders>
          </w:tcPr>
          <w:p w14:paraId="2F2E45EF" w14:textId="42E5C926" w:rsidR="00BB130F" w:rsidRDefault="00BB130F" w:rsidP="00BB130F">
            <w:pPr>
              <w:jc w:val="center"/>
              <w:rPr>
                <w:lang w:val="en-US"/>
              </w:rPr>
            </w:pPr>
            <w:r w:rsidRPr="00BC6A43">
              <w:rPr>
                <w:szCs w:val="22"/>
              </w:rPr>
              <w:t>260 mg</w:t>
            </w:r>
          </w:p>
        </w:tc>
        <w:tc>
          <w:tcPr>
            <w:tcW w:w="1938" w:type="dxa"/>
            <w:tcBorders>
              <w:top w:val="nil"/>
              <w:left w:val="nil"/>
              <w:bottom w:val="nil"/>
              <w:right w:val="nil"/>
            </w:tcBorders>
          </w:tcPr>
          <w:p w14:paraId="1D3DB18D" w14:textId="04629A2A" w:rsidR="00BB130F" w:rsidRDefault="00BB130F" w:rsidP="00BB130F">
            <w:pPr>
              <w:jc w:val="center"/>
              <w:rPr>
                <w:lang w:val="en-US"/>
              </w:rPr>
            </w:pPr>
            <w:r w:rsidRPr="00BC6A43">
              <w:rPr>
                <w:szCs w:val="22"/>
              </w:rPr>
              <w:t>52 m</w:t>
            </w:r>
            <w:r w:rsidRPr="00BC6A43">
              <w:rPr>
                <w:szCs w:val="22"/>
                <w:lang w:val="en-US"/>
              </w:rPr>
              <w:t>l</w:t>
            </w:r>
          </w:p>
        </w:tc>
        <w:tc>
          <w:tcPr>
            <w:tcW w:w="1938" w:type="dxa"/>
            <w:tcBorders>
              <w:top w:val="nil"/>
              <w:left w:val="nil"/>
              <w:bottom w:val="nil"/>
            </w:tcBorders>
          </w:tcPr>
          <w:p w14:paraId="62D12BE3" w14:textId="55C0EB30" w:rsidR="00BB130F" w:rsidRDefault="00BB130F" w:rsidP="00BB130F">
            <w:pPr>
              <w:jc w:val="center"/>
              <w:rPr>
                <w:lang w:val="en-US"/>
              </w:rPr>
            </w:pPr>
            <w:r w:rsidRPr="00BC6A43">
              <w:rPr>
                <w:szCs w:val="22"/>
              </w:rPr>
              <w:t>2 флакона</w:t>
            </w:r>
          </w:p>
        </w:tc>
      </w:tr>
      <w:tr w:rsidR="00BB130F" w14:paraId="46A5D7BB" w14:textId="77777777" w:rsidTr="00BB130F">
        <w:trPr>
          <w:jc w:val="center"/>
        </w:trPr>
        <w:tc>
          <w:tcPr>
            <w:tcW w:w="3259" w:type="dxa"/>
            <w:tcBorders>
              <w:top w:val="nil"/>
              <w:right w:val="nil"/>
            </w:tcBorders>
          </w:tcPr>
          <w:p w14:paraId="0ADE6A8D" w14:textId="26FF4EE2" w:rsidR="00BB130F" w:rsidRDefault="00BB130F" w:rsidP="00BB130F">
            <w:pPr>
              <w:rPr>
                <w:lang w:val="en-US"/>
              </w:rPr>
            </w:pPr>
            <w:r w:rsidRPr="00BC6A43">
              <w:rPr>
                <w:szCs w:val="22"/>
              </w:rPr>
              <w:t>≥1,25</w:t>
            </w:r>
          </w:p>
        </w:tc>
        <w:tc>
          <w:tcPr>
            <w:tcW w:w="1937" w:type="dxa"/>
            <w:tcBorders>
              <w:top w:val="nil"/>
              <w:left w:val="nil"/>
              <w:right w:val="nil"/>
            </w:tcBorders>
          </w:tcPr>
          <w:p w14:paraId="11AA57AD" w14:textId="650B7789" w:rsidR="00BB130F" w:rsidRDefault="00BB130F" w:rsidP="00BB130F">
            <w:pPr>
              <w:jc w:val="center"/>
              <w:rPr>
                <w:lang w:val="en-US"/>
              </w:rPr>
            </w:pPr>
            <w:r w:rsidRPr="00BC6A43">
              <w:rPr>
                <w:szCs w:val="22"/>
              </w:rPr>
              <w:t>325 mg</w:t>
            </w:r>
          </w:p>
        </w:tc>
        <w:tc>
          <w:tcPr>
            <w:tcW w:w="1938" w:type="dxa"/>
            <w:tcBorders>
              <w:top w:val="nil"/>
              <w:left w:val="nil"/>
              <w:right w:val="nil"/>
            </w:tcBorders>
          </w:tcPr>
          <w:p w14:paraId="4EF24104" w14:textId="03F5C094" w:rsidR="00BB130F" w:rsidRDefault="00BB130F" w:rsidP="00BB130F">
            <w:pPr>
              <w:jc w:val="center"/>
              <w:rPr>
                <w:lang w:val="en-US"/>
              </w:rPr>
            </w:pPr>
            <w:r w:rsidRPr="00BC6A43">
              <w:rPr>
                <w:szCs w:val="22"/>
              </w:rPr>
              <w:t>65 m</w:t>
            </w:r>
            <w:r w:rsidRPr="00BC6A43">
              <w:rPr>
                <w:szCs w:val="22"/>
                <w:lang w:val="en-US"/>
              </w:rPr>
              <w:t>l</w:t>
            </w:r>
          </w:p>
        </w:tc>
        <w:tc>
          <w:tcPr>
            <w:tcW w:w="1938" w:type="dxa"/>
            <w:tcBorders>
              <w:top w:val="nil"/>
              <w:left w:val="nil"/>
            </w:tcBorders>
          </w:tcPr>
          <w:p w14:paraId="3EB526FF" w14:textId="05E9A045" w:rsidR="00BB130F" w:rsidRDefault="00BB130F" w:rsidP="00BB130F">
            <w:pPr>
              <w:jc w:val="center"/>
              <w:rPr>
                <w:lang w:val="en-US"/>
              </w:rPr>
            </w:pPr>
            <w:r w:rsidRPr="00BC6A43">
              <w:rPr>
                <w:szCs w:val="22"/>
              </w:rPr>
              <w:t>3 флакона</w:t>
            </w:r>
          </w:p>
        </w:tc>
      </w:tr>
    </w:tbl>
    <w:p w14:paraId="4263F689" w14:textId="77777777" w:rsidR="00BB130F" w:rsidRPr="00BB130F" w:rsidRDefault="00BB130F" w:rsidP="00BC6A43">
      <w:pPr>
        <w:rPr>
          <w:lang w:val="en-US"/>
        </w:rPr>
      </w:pPr>
    </w:p>
    <w:p w14:paraId="109AC958" w14:textId="5FF06F0E" w:rsidR="009B3384" w:rsidRPr="00BC6A43" w:rsidRDefault="00800862">
      <w:pPr>
        <w:keepNext/>
        <w:rPr>
          <w:i/>
          <w:iCs/>
        </w:rPr>
      </w:pPr>
      <w:r w:rsidRPr="00BC6A43">
        <w:rPr>
          <w:i/>
          <w:iCs/>
        </w:rPr>
        <w:t>Пациенти с тегло най-малко</w:t>
      </w:r>
      <w:r w:rsidRPr="00BC6A43">
        <w:t xml:space="preserve"> </w:t>
      </w:r>
      <w:r w:rsidRPr="00BC6A43">
        <w:rPr>
          <w:i/>
          <w:iCs/>
        </w:rPr>
        <w:t>40 kg (дозиране въз основа на телес</w:t>
      </w:r>
      <w:r>
        <w:rPr>
          <w:i/>
          <w:iCs/>
        </w:rPr>
        <w:t>ното тегло</w:t>
      </w:r>
      <w:r w:rsidRPr="00BC6A43">
        <w:rPr>
          <w:i/>
          <w:iCs/>
        </w:rPr>
        <w:t>)</w:t>
      </w:r>
    </w:p>
    <w:p w14:paraId="109AC959" w14:textId="25E14866" w:rsidR="009B3384" w:rsidRDefault="00800862">
      <w:pPr>
        <w:tabs>
          <w:tab w:val="clear" w:pos="567"/>
        </w:tabs>
        <w:rPr>
          <w:bCs/>
        </w:rPr>
      </w:pPr>
      <w:r>
        <w:rPr>
          <w:bCs/>
        </w:rPr>
        <w:t xml:space="preserve">Лечението със </w:t>
      </w:r>
      <w:r>
        <w:rPr>
          <w:bCs/>
          <w:lang w:val="en-GB"/>
        </w:rPr>
        <w:t>STELARA</w:t>
      </w:r>
      <w:r>
        <w:rPr>
          <w:bCs/>
        </w:rPr>
        <w:t xml:space="preserve"> трябва да се започне с единична интравенозна доза, основаваща се на телесното тегло. Инфузионният разтвор трябва да се приготви от няколко флакона </w:t>
      </w:r>
      <w:r>
        <w:rPr>
          <w:bCs/>
          <w:lang w:val="en-GB"/>
        </w:rPr>
        <w:t>STELARA</w:t>
      </w:r>
      <w:r>
        <w:rPr>
          <w:bCs/>
        </w:rPr>
        <w:t xml:space="preserve"> 130</w:t>
      </w:r>
      <w:r>
        <w:rPr>
          <w:bCs/>
          <w:lang w:val="en-GB"/>
        </w:rPr>
        <w:t> mg</w:t>
      </w:r>
      <w:r>
        <w:rPr>
          <w:bCs/>
        </w:rPr>
        <w:t>, както е указано в Таблица</w:t>
      </w:r>
      <w:r>
        <w:rPr>
          <w:bCs/>
          <w:lang w:val="en-GB"/>
        </w:rPr>
        <w:t> </w:t>
      </w:r>
      <w:r>
        <w:rPr>
          <w:bCs/>
        </w:rPr>
        <w:t>3 (вж. точка</w:t>
      </w:r>
      <w:r>
        <w:rPr>
          <w:bCs/>
          <w:lang w:val="en-GB"/>
        </w:rPr>
        <w:t> </w:t>
      </w:r>
      <w:r>
        <w:rPr>
          <w:bCs/>
        </w:rPr>
        <w:t>6.6 за приготвянето).</w:t>
      </w:r>
    </w:p>
    <w:p w14:paraId="109AC95A" w14:textId="77777777" w:rsidR="009B3384" w:rsidRDefault="009B3384"/>
    <w:p w14:paraId="109AC95B" w14:textId="683B1358" w:rsidR="009B3384" w:rsidRDefault="00800862">
      <w:pPr>
        <w:keepNext/>
        <w:ind w:left="1134" w:hanging="1134"/>
        <w:rPr>
          <w:i/>
          <w:iCs/>
        </w:rPr>
      </w:pPr>
      <w:r>
        <w:rPr>
          <w:i/>
          <w:iCs/>
        </w:rPr>
        <w:t xml:space="preserve">Таблица 3: </w:t>
      </w:r>
      <w:r>
        <w:rPr>
          <w:bCs/>
          <w:i/>
          <w:iCs/>
        </w:rPr>
        <w:t xml:space="preserve">Начална интравенозна доза на </w:t>
      </w:r>
      <w:r>
        <w:rPr>
          <w:i/>
          <w:iCs/>
        </w:rPr>
        <w:t>STELARA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9B3384" w14:paraId="109AC95F" w14:textId="77777777">
        <w:trPr>
          <w:cantSplit/>
          <w:jc w:val="center"/>
        </w:trPr>
        <w:tc>
          <w:tcPr>
            <w:tcW w:w="3942" w:type="dxa"/>
            <w:tcBorders>
              <w:top w:val="single" w:sz="6" w:space="0" w:color="auto"/>
              <w:left w:val="single" w:sz="6" w:space="0" w:color="auto"/>
              <w:bottom w:val="single" w:sz="6" w:space="0" w:color="auto"/>
              <w:right w:val="nil"/>
            </w:tcBorders>
            <w:hideMark/>
          </w:tcPr>
          <w:p w14:paraId="109AC95C" w14:textId="77777777" w:rsidR="009B3384" w:rsidRDefault="00800862">
            <w:pPr>
              <w:keepNext/>
              <w:tabs>
                <w:tab w:val="clear" w:pos="567"/>
              </w:tabs>
              <w:textAlignment w:val="baseline"/>
              <w:rPr>
                <w:b/>
                <w:bCs/>
                <w:sz w:val="24"/>
                <w:szCs w:val="24"/>
                <w:lang w:eastAsia="en-GB"/>
              </w:rPr>
            </w:pPr>
            <w:r>
              <w:rPr>
                <w:b/>
                <w:bCs/>
              </w:rPr>
              <w:t>Телесно тегло на пациента към момента на прилагане</w:t>
            </w:r>
          </w:p>
        </w:tc>
        <w:tc>
          <w:tcPr>
            <w:tcW w:w="2422" w:type="dxa"/>
            <w:tcBorders>
              <w:top w:val="single" w:sz="6" w:space="0" w:color="auto"/>
              <w:left w:val="nil"/>
              <w:bottom w:val="single" w:sz="6" w:space="0" w:color="auto"/>
              <w:right w:val="nil"/>
            </w:tcBorders>
            <w:hideMark/>
          </w:tcPr>
          <w:p w14:paraId="109AC95D" w14:textId="77777777" w:rsidR="009B3384" w:rsidRDefault="00800862">
            <w:pPr>
              <w:keepNext/>
              <w:tabs>
                <w:tab w:val="clear" w:pos="567"/>
              </w:tabs>
              <w:jc w:val="center"/>
              <w:textAlignment w:val="baseline"/>
              <w:rPr>
                <w:b/>
                <w:bCs/>
                <w:sz w:val="24"/>
                <w:szCs w:val="24"/>
                <w:lang w:eastAsia="en-GB"/>
              </w:rPr>
            </w:pPr>
            <w:r>
              <w:rPr>
                <w:b/>
                <w:bCs/>
              </w:rPr>
              <w:t>Препоръчителна доза</w:t>
            </w:r>
            <w:r w:rsidRPr="00BC6A43">
              <w:rPr>
                <w:b/>
                <w:bCs/>
                <w:vertAlign w:val="superscript"/>
              </w:rPr>
              <w:t>a</w:t>
            </w:r>
          </w:p>
        </w:tc>
        <w:tc>
          <w:tcPr>
            <w:tcW w:w="2708" w:type="dxa"/>
            <w:tcBorders>
              <w:top w:val="single" w:sz="6" w:space="0" w:color="auto"/>
              <w:left w:val="nil"/>
              <w:bottom w:val="single" w:sz="6" w:space="0" w:color="auto"/>
              <w:right w:val="single" w:sz="6" w:space="0" w:color="auto"/>
            </w:tcBorders>
            <w:hideMark/>
          </w:tcPr>
          <w:p w14:paraId="109AC95E" w14:textId="773C835C" w:rsidR="009B3384" w:rsidRDefault="00800862">
            <w:pPr>
              <w:keepNext/>
              <w:tabs>
                <w:tab w:val="clear" w:pos="567"/>
              </w:tabs>
              <w:jc w:val="center"/>
              <w:textAlignment w:val="baseline"/>
              <w:rPr>
                <w:b/>
                <w:bCs/>
                <w:sz w:val="24"/>
                <w:szCs w:val="24"/>
                <w:lang w:eastAsia="en-GB"/>
              </w:rPr>
            </w:pPr>
            <w:r>
              <w:rPr>
                <w:b/>
                <w:bCs/>
              </w:rPr>
              <w:t>Брой флакони от 130</w:t>
            </w:r>
            <w:r>
              <w:rPr>
                <w:b/>
                <w:bCs/>
                <w:lang w:val="en-US"/>
              </w:rPr>
              <w:t> </w:t>
            </w:r>
            <w:r>
              <w:rPr>
                <w:b/>
                <w:bCs/>
              </w:rPr>
              <w:t>mg</w:t>
            </w:r>
          </w:p>
        </w:tc>
      </w:tr>
      <w:tr w:rsidR="009B3384" w14:paraId="109AC963" w14:textId="77777777">
        <w:trPr>
          <w:cantSplit/>
          <w:jc w:val="center"/>
        </w:trPr>
        <w:tc>
          <w:tcPr>
            <w:tcW w:w="3942" w:type="dxa"/>
            <w:tcBorders>
              <w:top w:val="single" w:sz="6" w:space="0" w:color="auto"/>
              <w:left w:val="single" w:sz="6" w:space="0" w:color="auto"/>
              <w:bottom w:val="nil"/>
              <w:right w:val="nil"/>
            </w:tcBorders>
            <w:hideMark/>
          </w:tcPr>
          <w:p w14:paraId="109AC960" w14:textId="77777777" w:rsidR="009B3384" w:rsidRDefault="00800862">
            <w:pPr>
              <w:tabs>
                <w:tab w:val="clear" w:pos="567"/>
              </w:tabs>
              <w:textAlignment w:val="baseline"/>
              <w:rPr>
                <w:sz w:val="24"/>
                <w:szCs w:val="24"/>
                <w:lang w:eastAsia="en-GB"/>
              </w:rPr>
            </w:pPr>
            <w:r>
              <w:t>≥</w:t>
            </w:r>
            <w:r>
              <w:rPr>
                <w:szCs w:val="22"/>
                <w:lang w:eastAsia="en-GB"/>
              </w:rPr>
              <w:t> 40 kg до ≤ 55 kg</w:t>
            </w:r>
          </w:p>
        </w:tc>
        <w:tc>
          <w:tcPr>
            <w:tcW w:w="2422" w:type="dxa"/>
            <w:tcBorders>
              <w:top w:val="single" w:sz="6" w:space="0" w:color="auto"/>
              <w:left w:val="nil"/>
              <w:bottom w:val="nil"/>
              <w:right w:val="nil"/>
            </w:tcBorders>
            <w:hideMark/>
          </w:tcPr>
          <w:p w14:paraId="109AC961" w14:textId="77777777" w:rsidR="009B3384" w:rsidRDefault="00800862">
            <w:pPr>
              <w:tabs>
                <w:tab w:val="clear" w:pos="567"/>
              </w:tabs>
              <w:jc w:val="center"/>
              <w:textAlignment w:val="baseline"/>
              <w:rPr>
                <w:sz w:val="24"/>
                <w:szCs w:val="24"/>
                <w:lang w:eastAsia="en-GB"/>
              </w:rPr>
            </w:pPr>
            <w:r>
              <w:rPr>
                <w:szCs w:val="22"/>
                <w:lang w:eastAsia="en-GB"/>
              </w:rPr>
              <w:t>260 mg</w:t>
            </w:r>
          </w:p>
        </w:tc>
        <w:tc>
          <w:tcPr>
            <w:tcW w:w="2708" w:type="dxa"/>
            <w:tcBorders>
              <w:top w:val="single" w:sz="6" w:space="0" w:color="auto"/>
              <w:left w:val="nil"/>
              <w:bottom w:val="nil"/>
              <w:right w:val="single" w:sz="6" w:space="0" w:color="auto"/>
            </w:tcBorders>
            <w:hideMark/>
          </w:tcPr>
          <w:p w14:paraId="109AC962" w14:textId="77777777" w:rsidR="009B3384" w:rsidRDefault="00800862">
            <w:pPr>
              <w:tabs>
                <w:tab w:val="clear" w:pos="567"/>
              </w:tabs>
              <w:jc w:val="center"/>
              <w:textAlignment w:val="baseline"/>
              <w:rPr>
                <w:sz w:val="24"/>
                <w:szCs w:val="24"/>
                <w:lang w:eastAsia="en-GB"/>
              </w:rPr>
            </w:pPr>
            <w:r>
              <w:rPr>
                <w:szCs w:val="22"/>
                <w:lang w:eastAsia="en-GB"/>
              </w:rPr>
              <w:t>2</w:t>
            </w:r>
          </w:p>
        </w:tc>
      </w:tr>
      <w:tr w:rsidR="009B3384" w14:paraId="109AC967" w14:textId="77777777">
        <w:trPr>
          <w:cantSplit/>
          <w:jc w:val="center"/>
        </w:trPr>
        <w:tc>
          <w:tcPr>
            <w:tcW w:w="3942" w:type="dxa"/>
            <w:tcBorders>
              <w:top w:val="nil"/>
              <w:left w:val="single" w:sz="6" w:space="0" w:color="auto"/>
              <w:bottom w:val="nil"/>
              <w:right w:val="nil"/>
            </w:tcBorders>
            <w:hideMark/>
          </w:tcPr>
          <w:p w14:paraId="109AC964" w14:textId="67885D53" w:rsidR="009B3384" w:rsidRDefault="00800862">
            <w:pPr>
              <w:tabs>
                <w:tab w:val="clear" w:pos="567"/>
              </w:tabs>
              <w:textAlignment w:val="baseline"/>
              <w:rPr>
                <w:sz w:val="24"/>
                <w:szCs w:val="24"/>
                <w:lang w:eastAsia="en-GB"/>
              </w:rPr>
            </w:pPr>
            <w:r>
              <w:rPr>
                <w:szCs w:val="22"/>
                <w:lang w:eastAsia="en-GB"/>
              </w:rPr>
              <w:lastRenderedPageBreak/>
              <w:t>&gt; 55</w:t>
            </w:r>
            <w:r>
              <w:rPr>
                <w:szCs w:val="22"/>
                <w:lang w:val="en-US" w:eastAsia="en-GB"/>
              </w:rPr>
              <w:t> </w:t>
            </w:r>
            <w:r>
              <w:rPr>
                <w:szCs w:val="22"/>
                <w:lang w:eastAsia="en-GB"/>
              </w:rPr>
              <w:t>kg до ≤ 85 kg</w:t>
            </w:r>
          </w:p>
        </w:tc>
        <w:tc>
          <w:tcPr>
            <w:tcW w:w="2422" w:type="dxa"/>
            <w:tcBorders>
              <w:top w:val="nil"/>
              <w:left w:val="nil"/>
              <w:bottom w:val="nil"/>
              <w:right w:val="nil"/>
            </w:tcBorders>
            <w:hideMark/>
          </w:tcPr>
          <w:p w14:paraId="109AC965" w14:textId="77777777" w:rsidR="009B3384" w:rsidRDefault="00800862">
            <w:pPr>
              <w:tabs>
                <w:tab w:val="clear" w:pos="567"/>
              </w:tabs>
              <w:jc w:val="center"/>
              <w:textAlignment w:val="baseline"/>
              <w:rPr>
                <w:sz w:val="24"/>
                <w:szCs w:val="24"/>
                <w:lang w:eastAsia="en-GB"/>
              </w:rPr>
            </w:pPr>
            <w:r>
              <w:rPr>
                <w:szCs w:val="22"/>
                <w:lang w:eastAsia="en-GB"/>
              </w:rPr>
              <w:t>390 mg</w:t>
            </w:r>
          </w:p>
        </w:tc>
        <w:tc>
          <w:tcPr>
            <w:tcW w:w="2708" w:type="dxa"/>
            <w:tcBorders>
              <w:top w:val="nil"/>
              <w:left w:val="nil"/>
              <w:bottom w:val="nil"/>
              <w:right w:val="single" w:sz="6" w:space="0" w:color="auto"/>
            </w:tcBorders>
            <w:hideMark/>
          </w:tcPr>
          <w:p w14:paraId="109AC966" w14:textId="77777777" w:rsidR="009B3384" w:rsidRDefault="00800862">
            <w:pPr>
              <w:tabs>
                <w:tab w:val="clear" w:pos="567"/>
              </w:tabs>
              <w:jc w:val="center"/>
              <w:textAlignment w:val="baseline"/>
              <w:rPr>
                <w:sz w:val="24"/>
                <w:szCs w:val="24"/>
                <w:lang w:eastAsia="en-GB"/>
              </w:rPr>
            </w:pPr>
            <w:r>
              <w:rPr>
                <w:szCs w:val="22"/>
                <w:lang w:eastAsia="en-GB"/>
              </w:rPr>
              <w:t>3</w:t>
            </w:r>
          </w:p>
        </w:tc>
      </w:tr>
      <w:tr w:rsidR="009B3384" w14:paraId="109AC96B" w14:textId="77777777">
        <w:trPr>
          <w:cantSplit/>
          <w:jc w:val="center"/>
        </w:trPr>
        <w:tc>
          <w:tcPr>
            <w:tcW w:w="3942" w:type="dxa"/>
            <w:tcBorders>
              <w:top w:val="nil"/>
              <w:left w:val="single" w:sz="6" w:space="0" w:color="auto"/>
              <w:bottom w:val="single" w:sz="6" w:space="0" w:color="auto"/>
              <w:right w:val="nil"/>
            </w:tcBorders>
            <w:hideMark/>
          </w:tcPr>
          <w:p w14:paraId="109AC968" w14:textId="7571318F" w:rsidR="009B3384" w:rsidRDefault="00800862">
            <w:pPr>
              <w:tabs>
                <w:tab w:val="clear" w:pos="567"/>
              </w:tabs>
              <w:textAlignment w:val="baseline"/>
              <w:rPr>
                <w:sz w:val="24"/>
                <w:szCs w:val="24"/>
                <w:lang w:eastAsia="en-GB"/>
              </w:rPr>
            </w:pPr>
            <w:r>
              <w:rPr>
                <w:szCs w:val="22"/>
                <w:lang w:eastAsia="en-GB"/>
              </w:rPr>
              <w:t>&gt; 85</w:t>
            </w:r>
            <w:r>
              <w:rPr>
                <w:szCs w:val="22"/>
                <w:lang w:val="en-US" w:eastAsia="en-GB"/>
              </w:rPr>
              <w:t> </w:t>
            </w:r>
            <w:r>
              <w:rPr>
                <w:szCs w:val="22"/>
                <w:lang w:eastAsia="en-GB"/>
              </w:rPr>
              <w:t>kg</w:t>
            </w:r>
          </w:p>
        </w:tc>
        <w:tc>
          <w:tcPr>
            <w:tcW w:w="2422" w:type="dxa"/>
            <w:tcBorders>
              <w:top w:val="nil"/>
              <w:left w:val="nil"/>
              <w:bottom w:val="single" w:sz="6" w:space="0" w:color="auto"/>
              <w:right w:val="nil"/>
            </w:tcBorders>
            <w:hideMark/>
          </w:tcPr>
          <w:p w14:paraId="109AC969" w14:textId="77777777" w:rsidR="009B3384" w:rsidRDefault="00800862">
            <w:pPr>
              <w:tabs>
                <w:tab w:val="clear" w:pos="567"/>
              </w:tabs>
              <w:jc w:val="center"/>
              <w:textAlignment w:val="baseline"/>
              <w:rPr>
                <w:sz w:val="24"/>
                <w:szCs w:val="24"/>
                <w:lang w:eastAsia="en-GB"/>
              </w:rPr>
            </w:pPr>
            <w:r>
              <w:rPr>
                <w:szCs w:val="22"/>
                <w:lang w:eastAsia="en-GB"/>
              </w:rPr>
              <w:t>520 mg</w:t>
            </w:r>
          </w:p>
        </w:tc>
        <w:tc>
          <w:tcPr>
            <w:tcW w:w="2708" w:type="dxa"/>
            <w:tcBorders>
              <w:top w:val="nil"/>
              <w:left w:val="nil"/>
              <w:bottom w:val="single" w:sz="6" w:space="0" w:color="auto"/>
              <w:right w:val="single" w:sz="6" w:space="0" w:color="auto"/>
            </w:tcBorders>
            <w:hideMark/>
          </w:tcPr>
          <w:p w14:paraId="109AC96A" w14:textId="77777777" w:rsidR="009B3384" w:rsidRDefault="00800862">
            <w:pPr>
              <w:tabs>
                <w:tab w:val="clear" w:pos="567"/>
              </w:tabs>
              <w:jc w:val="center"/>
              <w:textAlignment w:val="baseline"/>
              <w:rPr>
                <w:sz w:val="24"/>
                <w:szCs w:val="24"/>
                <w:lang w:eastAsia="en-GB"/>
              </w:rPr>
            </w:pPr>
            <w:r>
              <w:rPr>
                <w:szCs w:val="22"/>
                <w:lang w:eastAsia="en-GB"/>
              </w:rPr>
              <w:t>4</w:t>
            </w:r>
          </w:p>
        </w:tc>
      </w:tr>
      <w:tr w:rsidR="009B3384" w14:paraId="109AC96D" w14:textId="77777777">
        <w:trPr>
          <w:cantSplit/>
          <w:jc w:val="center"/>
        </w:trPr>
        <w:tc>
          <w:tcPr>
            <w:tcW w:w="9072" w:type="dxa"/>
            <w:gridSpan w:val="3"/>
            <w:tcBorders>
              <w:top w:val="single" w:sz="6" w:space="0" w:color="auto"/>
              <w:left w:val="nil"/>
              <w:bottom w:val="nil"/>
              <w:right w:val="nil"/>
            </w:tcBorders>
            <w:hideMark/>
          </w:tcPr>
          <w:p w14:paraId="109AC96C" w14:textId="77777777" w:rsidR="009B3384" w:rsidRDefault="00800862">
            <w:pPr>
              <w:ind w:left="284" w:hanging="284"/>
              <w:rPr>
                <w:sz w:val="24"/>
                <w:szCs w:val="24"/>
                <w:lang w:eastAsia="en-GB"/>
              </w:rPr>
            </w:pPr>
            <w:r>
              <w:rPr>
                <w:szCs w:val="17"/>
                <w:vertAlign w:val="superscript"/>
                <w:lang w:eastAsia="en-GB"/>
              </w:rPr>
              <w:t>a</w:t>
            </w:r>
            <w:r>
              <w:rPr>
                <w:sz w:val="18"/>
                <w:szCs w:val="18"/>
              </w:rPr>
              <w:tab/>
            </w:r>
            <w:r>
              <w:rPr>
                <w:sz w:val="18"/>
                <w:szCs w:val="18"/>
                <w:lang w:eastAsia="en-GB"/>
              </w:rPr>
              <w:t>Приблизително 6 mg/kg</w:t>
            </w:r>
          </w:p>
        </w:tc>
      </w:tr>
    </w:tbl>
    <w:p w14:paraId="109AC972" w14:textId="77777777" w:rsidR="009B3384" w:rsidRDefault="009B3384">
      <w:pPr>
        <w:tabs>
          <w:tab w:val="clear" w:pos="567"/>
        </w:tabs>
        <w:rPr>
          <w:bCs/>
        </w:rPr>
      </w:pPr>
    </w:p>
    <w:p w14:paraId="109AC973" w14:textId="77777777" w:rsidR="009B3384" w:rsidDel="005F2893" w:rsidRDefault="00800862">
      <w:pPr>
        <w:tabs>
          <w:tab w:val="clear" w:pos="567"/>
        </w:tabs>
        <w:rPr>
          <w:del w:id="35" w:author="RABG09" w:date="2026-06-24T15:38:00Z"/>
          <w:bCs/>
        </w:rPr>
      </w:pPr>
      <w:r>
        <w:rPr>
          <w:bCs/>
        </w:rPr>
        <w:t>Първата подкожна доза трябва да се приложи на седмица 8 след интравенозната доза. За дозировката при последващата схема на подкожно приложение вижте точка 4.2 от КХП на STELARA инжекционен разтвор (флакон) и инжекционен разтвор в предварително напълнена спринцовка.</w:t>
      </w:r>
    </w:p>
    <w:bookmarkEnd w:id="28"/>
    <w:p w14:paraId="109AC974" w14:textId="77777777" w:rsidR="009B3384" w:rsidDel="00C950AF" w:rsidRDefault="009B3384">
      <w:pPr>
        <w:tabs>
          <w:tab w:val="clear" w:pos="567"/>
        </w:tabs>
        <w:rPr>
          <w:del w:id="36" w:author="RABG09" w:date="2026-06-24T16:45:00Z"/>
          <w:bCs/>
        </w:rPr>
      </w:pPr>
    </w:p>
    <w:p w14:paraId="796325E1" w14:textId="77777777" w:rsidR="00C950AF" w:rsidRDefault="00C950AF">
      <w:pPr>
        <w:tabs>
          <w:tab w:val="clear" w:pos="567"/>
        </w:tabs>
        <w:rPr>
          <w:ins w:id="37" w:author="RABG09" w:date="2026-06-24T16:45:00Z"/>
          <w:bCs/>
        </w:rPr>
      </w:pPr>
    </w:p>
    <w:p w14:paraId="3B069AA8" w14:textId="77777777" w:rsidR="003E5636" w:rsidRDefault="003E5636">
      <w:pPr>
        <w:tabs>
          <w:tab w:val="clear" w:pos="567"/>
        </w:tabs>
        <w:rPr>
          <w:bCs/>
        </w:rPr>
      </w:pPr>
    </w:p>
    <w:p w14:paraId="109AC975" w14:textId="266304EF" w:rsidR="009B3384" w:rsidRPr="002C37DD" w:rsidDel="00E2109D" w:rsidRDefault="00800862">
      <w:pPr>
        <w:tabs>
          <w:tab w:val="clear" w:pos="567"/>
        </w:tabs>
        <w:rPr>
          <w:del w:id="38" w:author="Reviser" w:date="2026-04-27T18:55:00Z"/>
          <w:bCs/>
        </w:rPr>
      </w:pPr>
      <w:del w:id="39" w:author="Reviser" w:date="2026-04-27T18:55:00Z">
        <w:r w:rsidRPr="002C37DD" w:rsidDel="00E2109D">
          <w:rPr>
            <w:bCs/>
          </w:rPr>
          <w:delText xml:space="preserve">Безопасността и ефикасността на STELARA при лечение на болест на </w:delText>
        </w:r>
        <w:r w:rsidRPr="002C37DD" w:rsidDel="00E2109D">
          <w:rPr>
            <w:bCs/>
            <w:lang w:val="en-GB"/>
          </w:rPr>
          <w:delText>Crohn</w:delText>
        </w:r>
        <w:r w:rsidRPr="002C37DD" w:rsidDel="00E2109D">
          <w:rPr>
            <w:bCs/>
          </w:rPr>
          <w:delText xml:space="preserve"> </w:delText>
        </w:r>
        <w:bookmarkStart w:id="40" w:name="_Hlk188361175"/>
        <w:r w:rsidRPr="002C37DD" w:rsidDel="00E2109D">
          <w:rPr>
            <w:bCs/>
          </w:rPr>
          <w:delText xml:space="preserve">при педиатрични пациенти </w:delText>
        </w:r>
        <w:bookmarkStart w:id="41" w:name="_Hlk219643839"/>
        <w:r w:rsidRPr="002C37DD" w:rsidDel="00E2109D">
          <w:rPr>
            <w:bCs/>
          </w:rPr>
          <w:delText xml:space="preserve">под 2 години </w:delText>
        </w:r>
        <w:bookmarkEnd w:id="41"/>
        <w:r w:rsidRPr="002C37DD" w:rsidDel="00E2109D">
          <w:rPr>
            <w:bCs/>
          </w:rPr>
          <w:delText>и под 10</w:delText>
        </w:r>
        <w:r w:rsidRPr="002C37DD" w:rsidDel="00E2109D">
          <w:rPr>
            <w:bCs/>
            <w:lang w:val="en-US"/>
          </w:rPr>
          <w:delText> kg</w:delText>
        </w:r>
        <w:r w:rsidRPr="002C37DD" w:rsidDel="00E2109D">
          <w:rPr>
            <w:bCs/>
          </w:rPr>
          <w:delText xml:space="preserve"> </w:delText>
        </w:r>
        <w:bookmarkEnd w:id="40"/>
        <w:r w:rsidRPr="002C37DD" w:rsidDel="00E2109D">
          <w:rPr>
            <w:bCs/>
          </w:rPr>
          <w:delText>не са установени. Липсват данни.</w:delText>
        </w:r>
      </w:del>
    </w:p>
    <w:p w14:paraId="109AC976" w14:textId="3FC106C3" w:rsidR="009B3384" w:rsidRPr="002C37DD" w:rsidDel="00E2109D" w:rsidRDefault="009B3384">
      <w:pPr>
        <w:tabs>
          <w:tab w:val="clear" w:pos="567"/>
        </w:tabs>
        <w:rPr>
          <w:del w:id="42" w:author="Reviser" w:date="2026-04-27T18:55:00Z"/>
          <w:bCs/>
        </w:rPr>
      </w:pPr>
    </w:p>
    <w:p w14:paraId="109AC977" w14:textId="382E1E85" w:rsidR="009B3384" w:rsidRPr="002C37DD" w:rsidDel="00E2109D" w:rsidRDefault="00800862" w:rsidP="00BC6A43">
      <w:pPr>
        <w:keepNext/>
        <w:tabs>
          <w:tab w:val="clear" w:pos="567"/>
        </w:tabs>
        <w:rPr>
          <w:del w:id="43" w:author="Reviser" w:date="2026-04-27T18:55:00Z"/>
          <w:bCs/>
          <w:i/>
          <w:iCs/>
          <w:rPrChange w:id="44" w:author="RABG09" w:date="2026-06-25T11:10:00Z">
            <w:rPr>
              <w:del w:id="45" w:author="Reviser" w:date="2026-04-27T18:55:00Z"/>
              <w:bCs/>
              <w:i/>
              <w:iCs/>
              <w:u w:val="single"/>
            </w:rPr>
          </w:rPrChange>
        </w:rPr>
      </w:pPr>
      <w:bookmarkStart w:id="46" w:name="_Hlk219650988"/>
      <w:del w:id="47" w:author="Reviser" w:date="2026-04-27T18:55:00Z">
        <w:r w:rsidRPr="002C37DD" w:rsidDel="00E2109D">
          <w:rPr>
            <w:bCs/>
            <w:i/>
            <w:iCs/>
            <w:rPrChange w:id="48" w:author="RABG09" w:date="2026-06-25T11:10:00Z">
              <w:rPr>
                <w:bCs/>
                <w:i/>
                <w:iCs/>
                <w:u w:val="single"/>
              </w:rPr>
            </w:rPrChange>
          </w:rPr>
          <w:delText>Улцерозен колит при деца</w:delText>
        </w:r>
      </w:del>
    </w:p>
    <w:p w14:paraId="109AC978" w14:textId="5CA855FB" w:rsidR="009B3384" w:rsidRPr="002C37DD" w:rsidDel="00E2109D" w:rsidRDefault="00800862">
      <w:pPr>
        <w:tabs>
          <w:tab w:val="clear" w:pos="567"/>
        </w:tabs>
        <w:rPr>
          <w:del w:id="49" w:author="Reviser" w:date="2026-04-27T18:55:00Z"/>
          <w:bCs/>
        </w:rPr>
      </w:pPr>
      <w:del w:id="50" w:author="Reviser" w:date="2026-04-27T18:55:00Z">
        <w:r w:rsidRPr="002C37DD" w:rsidDel="00E2109D">
          <w:rPr>
            <w:bCs/>
          </w:rPr>
          <w:delText>Безопасността и ефикасността на STELARA при лечение на улцерозен колит при педиатрични пациенти под 18 години все още не са установени. Липсват данни.</w:delText>
        </w:r>
      </w:del>
    </w:p>
    <w:bookmarkEnd w:id="46"/>
    <w:p w14:paraId="5A76DEB3" w14:textId="1540B122" w:rsidR="00E2109D" w:rsidRPr="002C37DD" w:rsidRDefault="00E2109D" w:rsidP="00E2109D">
      <w:pPr>
        <w:keepNext/>
        <w:tabs>
          <w:tab w:val="clear" w:pos="567"/>
        </w:tabs>
        <w:rPr>
          <w:ins w:id="51" w:author="Reviser" w:date="2026-04-27T18:52:00Z"/>
          <w:bCs/>
          <w:i/>
          <w:iCs/>
          <w:rPrChange w:id="52" w:author="RABG09" w:date="2026-06-25T11:10:00Z">
            <w:rPr>
              <w:ins w:id="53" w:author="Reviser" w:date="2026-04-27T18:52:00Z"/>
              <w:bCs/>
              <w:i/>
              <w:iCs/>
              <w:u w:val="single"/>
            </w:rPr>
          </w:rPrChange>
        </w:rPr>
      </w:pPr>
      <w:ins w:id="54" w:author="Reviser" w:date="2026-04-27T18:53:00Z">
        <w:r w:rsidRPr="002C37DD">
          <w:rPr>
            <w:bCs/>
            <w:i/>
            <w:iCs/>
            <w:rPrChange w:id="55" w:author="RABG09" w:date="2026-06-25T11:10:00Z">
              <w:rPr>
                <w:bCs/>
                <w:i/>
                <w:iCs/>
                <w:u w:val="single"/>
              </w:rPr>
            </w:rPrChange>
          </w:rPr>
          <w:t>Педиатрична популация</w:t>
        </w:r>
      </w:ins>
    </w:p>
    <w:p w14:paraId="1D4A6C92" w14:textId="01951D62" w:rsidR="00E2109D" w:rsidRDefault="00E2109D" w:rsidP="00E2109D">
      <w:pPr>
        <w:tabs>
          <w:tab w:val="clear" w:pos="567"/>
        </w:tabs>
        <w:rPr>
          <w:ins w:id="56" w:author="Reviser" w:date="2026-04-27T18:52:00Z"/>
          <w:bCs/>
        </w:rPr>
      </w:pPr>
      <w:ins w:id="57" w:author="Reviser" w:date="2026-04-27T18:52:00Z">
        <w:r>
          <w:rPr>
            <w:bCs/>
          </w:rPr>
          <w:t xml:space="preserve">Безопасността и ефикасността на STELARA при педиатрични пациенти </w:t>
        </w:r>
      </w:ins>
      <w:ins w:id="58" w:author="Reviser" w:date="2026-04-27T18:54:00Z">
        <w:r>
          <w:rPr>
            <w:bCs/>
          </w:rPr>
          <w:t xml:space="preserve">с </w:t>
        </w:r>
      </w:ins>
      <w:ins w:id="59" w:author="Reviser" w:date="2026-04-27T18:55:00Z">
        <w:r>
          <w:rPr>
            <w:bCs/>
          </w:rPr>
          <w:t xml:space="preserve">болест на </w:t>
        </w:r>
        <w:r>
          <w:rPr>
            <w:bCs/>
            <w:lang w:val="en-GB"/>
          </w:rPr>
          <w:t>Crohn</w:t>
        </w:r>
        <w:r>
          <w:rPr>
            <w:bCs/>
          </w:rPr>
          <w:t xml:space="preserve"> или </w:t>
        </w:r>
      </w:ins>
      <w:ins w:id="60" w:author="Reviser" w:date="2026-04-27T18:54:00Z">
        <w:r>
          <w:rPr>
            <w:bCs/>
          </w:rPr>
          <w:t xml:space="preserve">улцерозен колит </w:t>
        </w:r>
      </w:ins>
      <w:ins w:id="61" w:author="Reviser" w:date="2026-04-27T18:52:00Z">
        <w:r>
          <w:rPr>
            <w:bCs/>
          </w:rPr>
          <w:t xml:space="preserve">под </w:t>
        </w:r>
      </w:ins>
      <w:ins w:id="62" w:author="Reviser" w:date="2026-04-27T18:53:00Z">
        <w:r>
          <w:rPr>
            <w:bCs/>
          </w:rPr>
          <w:t>2</w:t>
        </w:r>
      </w:ins>
      <w:ins w:id="63" w:author="Reviser" w:date="2026-04-27T18:52:00Z">
        <w:r>
          <w:rPr>
            <w:bCs/>
          </w:rPr>
          <w:t xml:space="preserve"> години</w:t>
        </w:r>
      </w:ins>
      <w:ins w:id="64" w:author="Reviser" w:date="2026-04-27T18:54:00Z">
        <w:r>
          <w:rPr>
            <w:bCs/>
          </w:rPr>
          <w:t xml:space="preserve"> и под </w:t>
        </w:r>
        <w:r w:rsidRPr="00344E42">
          <w:t>10 kg</w:t>
        </w:r>
      </w:ins>
      <w:ins w:id="65" w:author="Reviser" w:date="2026-04-27T18:52:00Z">
        <w:r>
          <w:rPr>
            <w:bCs/>
          </w:rPr>
          <w:t xml:space="preserve"> все още не са установени. Липсват данни.</w:t>
        </w:r>
      </w:ins>
    </w:p>
    <w:p w14:paraId="109AC979" w14:textId="77777777" w:rsidR="009B3384" w:rsidRDefault="009B3384">
      <w:pPr>
        <w:tabs>
          <w:tab w:val="clear" w:pos="567"/>
        </w:tabs>
        <w:rPr>
          <w:bCs/>
        </w:rPr>
      </w:pPr>
    </w:p>
    <w:p w14:paraId="109AC97A" w14:textId="77777777" w:rsidR="009B3384" w:rsidRDefault="00800862">
      <w:pPr>
        <w:keepNext/>
        <w:tabs>
          <w:tab w:val="clear" w:pos="567"/>
        </w:tabs>
        <w:rPr>
          <w:bCs/>
          <w:u w:val="single"/>
        </w:rPr>
      </w:pPr>
      <w:r>
        <w:rPr>
          <w:bCs/>
          <w:u w:val="single"/>
        </w:rPr>
        <w:t>Начин на приложение</w:t>
      </w:r>
    </w:p>
    <w:p w14:paraId="109AC97B" w14:textId="77777777" w:rsidR="009B3384" w:rsidRDefault="00800862">
      <w:pPr>
        <w:tabs>
          <w:tab w:val="clear" w:pos="567"/>
        </w:tabs>
        <w:rPr>
          <w:bCs/>
        </w:rPr>
      </w:pPr>
      <w:r>
        <w:rPr>
          <w:bCs/>
          <w:lang w:val="en-GB"/>
        </w:rPr>
        <w:t>STELARA</w:t>
      </w:r>
      <w:r>
        <w:rPr>
          <w:bCs/>
        </w:rPr>
        <w:t xml:space="preserve"> 130</w:t>
      </w:r>
      <w:r>
        <w:rPr>
          <w:bCs/>
          <w:lang w:val="en-GB"/>
        </w:rPr>
        <w:t> mg</w:t>
      </w:r>
      <w:r>
        <w:rPr>
          <w:bCs/>
        </w:rPr>
        <w:t xml:space="preserve"> е само за интравенозно приложение. Той трябва да се прилага в продължение на най-малко един</w:t>
      </w:r>
      <w:r>
        <w:rPr>
          <w:bCs/>
          <w:lang w:val="en-GB"/>
        </w:rPr>
        <w:t> </w:t>
      </w:r>
      <w:r>
        <w:rPr>
          <w:bCs/>
        </w:rPr>
        <w:t>час.</w:t>
      </w:r>
    </w:p>
    <w:p w14:paraId="109AC97C" w14:textId="77777777" w:rsidR="009B3384" w:rsidRDefault="00800862">
      <w:pPr>
        <w:tabs>
          <w:tab w:val="clear" w:pos="567"/>
        </w:tabs>
        <w:rPr>
          <w:bCs/>
        </w:rPr>
      </w:pPr>
      <w:r>
        <w:rPr>
          <w:bCs/>
        </w:rPr>
        <w:t>За указания относно разреждането на лекарствения продукт преди приложение вижте точка</w:t>
      </w:r>
      <w:r>
        <w:rPr>
          <w:bCs/>
          <w:lang w:val="en-GB"/>
        </w:rPr>
        <w:t> </w:t>
      </w:r>
      <w:r>
        <w:rPr>
          <w:bCs/>
        </w:rPr>
        <w:t>6.6.</w:t>
      </w:r>
    </w:p>
    <w:p w14:paraId="109AC97D" w14:textId="77777777" w:rsidR="009B3384" w:rsidRDefault="009B3384">
      <w:pPr>
        <w:tabs>
          <w:tab w:val="clear" w:pos="567"/>
        </w:tabs>
        <w:rPr>
          <w:bCs/>
        </w:rPr>
      </w:pPr>
    </w:p>
    <w:p w14:paraId="109AC97E" w14:textId="77777777" w:rsidR="009B3384" w:rsidRDefault="00800862">
      <w:pPr>
        <w:keepNext/>
        <w:ind w:left="567" w:hanging="567"/>
        <w:outlineLvl w:val="2"/>
        <w:rPr>
          <w:b/>
          <w:bCs/>
        </w:rPr>
      </w:pPr>
      <w:r>
        <w:rPr>
          <w:b/>
          <w:bCs/>
        </w:rPr>
        <w:t>4.3</w:t>
      </w:r>
      <w:r>
        <w:rPr>
          <w:b/>
          <w:bCs/>
        </w:rPr>
        <w:tab/>
        <w:t>Противопоказания</w:t>
      </w:r>
    </w:p>
    <w:p w14:paraId="109AC97F" w14:textId="77777777" w:rsidR="009B3384" w:rsidRDefault="009B3384">
      <w:pPr>
        <w:keepNext/>
        <w:tabs>
          <w:tab w:val="clear" w:pos="567"/>
        </w:tabs>
      </w:pPr>
    </w:p>
    <w:p w14:paraId="109AC980" w14:textId="77777777" w:rsidR="009B3384" w:rsidRDefault="00800862">
      <w:r>
        <w:t>Свръхчувствителност към активното вещество или към някое от помощните вещества, изброени в точка 6.1.</w:t>
      </w:r>
    </w:p>
    <w:p w14:paraId="109AC981" w14:textId="77777777" w:rsidR="009B3384" w:rsidRDefault="009B3384"/>
    <w:p w14:paraId="109AC982" w14:textId="77777777" w:rsidR="009B3384" w:rsidRDefault="00800862">
      <w:r>
        <w:t>Клинично значима, активна инфекция (напр. активна туберкулоза, вж. точка 4.4).</w:t>
      </w:r>
    </w:p>
    <w:p w14:paraId="109AC983" w14:textId="77777777" w:rsidR="009B3384" w:rsidRDefault="009B3384">
      <w:pPr>
        <w:tabs>
          <w:tab w:val="clear" w:pos="567"/>
        </w:tabs>
      </w:pPr>
    </w:p>
    <w:p w14:paraId="109AC984" w14:textId="77777777" w:rsidR="009B3384" w:rsidRDefault="00800862">
      <w:pPr>
        <w:keepNext/>
        <w:ind w:left="567" w:hanging="567"/>
        <w:outlineLvl w:val="2"/>
        <w:rPr>
          <w:b/>
          <w:bCs/>
        </w:rPr>
      </w:pPr>
      <w:r>
        <w:rPr>
          <w:b/>
          <w:bCs/>
        </w:rPr>
        <w:t>4.4</w:t>
      </w:r>
      <w:r>
        <w:rPr>
          <w:b/>
          <w:bCs/>
        </w:rPr>
        <w:tab/>
        <w:t>Специални предупреждения и предпазни мерки при употреба</w:t>
      </w:r>
    </w:p>
    <w:p w14:paraId="109AC985" w14:textId="77777777" w:rsidR="009B3384" w:rsidRDefault="009B3384">
      <w:pPr>
        <w:keepNext/>
        <w:tabs>
          <w:tab w:val="clear" w:pos="567"/>
        </w:tabs>
      </w:pPr>
    </w:p>
    <w:p w14:paraId="109AC986" w14:textId="77777777" w:rsidR="009B3384" w:rsidRDefault="00800862">
      <w:pPr>
        <w:keepNext/>
        <w:rPr>
          <w:u w:val="single"/>
        </w:rPr>
      </w:pPr>
      <w:r>
        <w:rPr>
          <w:u w:val="single"/>
        </w:rPr>
        <w:t>Проследимост</w:t>
      </w:r>
    </w:p>
    <w:p w14:paraId="109AC987" w14:textId="77777777" w:rsidR="009B3384" w:rsidRDefault="00800862">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109AC988" w14:textId="77777777" w:rsidR="009B3384" w:rsidRDefault="009B3384"/>
    <w:p w14:paraId="109AC989" w14:textId="77777777" w:rsidR="009B3384" w:rsidRDefault="00800862">
      <w:pPr>
        <w:keepNext/>
        <w:tabs>
          <w:tab w:val="clear" w:pos="567"/>
        </w:tabs>
        <w:rPr>
          <w:u w:val="single"/>
        </w:rPr>
      </w:pPr>
      <w:r>
        <w:rPr>
          <w:u w:val="single"/>
        </w:rPr>
        <w:t>Инфекции</w:t>
      </w:r>
    </w:p>
    <w:p w14:paraId="109AC98A" w14:textId="77777777" w:rsidR="009B3384" w:rsidRDefault="00800862">
      <w:pPr>
        <w:tabs>
          <w:tab w:val="clear" w:pos="567"/>
        </w:tabs>
      </w:pPr>
      <w:r>
        <w:t>Устекинумаб може да има потенциал да увеличава риска от инфекции и да реактивира латентни инфекции. При клинични проучвания и постмаркетингово обсервационно проучване при пациенти с псориазис се наблюдават сериозни бактериални, гъбични и вирусни инфекции при пациенти, приемащи STELARA (вж. точка 4.8).</w:t>
      </w:r>
    </w:p>
    <w:p w14:paraId="109AC98B" w14:textId="77777777" w:rsidR="009B3384" w:rsidRDefault="009B3384">
      <w:pPr>
        <w:tabs>
          <w:tab w:val="clear" w:pos="567"/>
        </w:tabs>
      </w:pPr>
    </w:p>
    <w:p w14:paraId="109AC98C" w14:textId="77777777" w:rsidR="009B3384" w:rsidRDefault="00800862">
      <w:pPr>
        <w:tabs>
          <w:tab w:val="clear" w:pos="567"/>
        </w:tabs>
      </w:pPr>
      <w:r>
        <w:t xml:space="preserve">При пациенти, лекувани с устекинумаб, се съобщава за опортюнистични инфекции, включващи реактивиране на туберкулоза, други опортюнистични бактериални инфекции (включително атипична микобактериална инфекция, менингит, причинен от </w:t>
      </w:r>
      <w:r>
        <w:rPr>
          <w:lang w:val="en-US"/>
        </w:rPr>
        <w:t>L</w:t>
      </w:r>
      <w:r>
        <w:t xml:space="preserve">isteria, пневмония, причинена от </w:t>
      </w:r>
      <w:r>
        <w:rPr>
          <w:lang w:val="en-US"/>
        </w:rPr>
        <w:t>L</w:t>
      </w:r>
      <w:r>
        <w:t>egionella, и нокардиоза), опортюнистични микотични инфекции, опортюнистични вирусни инфекции (включително енцефалит, причинен от херпес симплекс</w:t>
      </w:r>
      <w:r>
        <w:rPr>
          <w:lang w:val="nl-BE"/>
        </w:rPr>
        <w:t> </w:t>
      </w:r>
      <w:r>
        <w:t>2) и паразитни инфекции (включително очна токсоплазмоза).</w:t>
      </w:r>
    </w:p>
    <w:p w14:paraId="109AC98D" w14:textId="77777777" w:rsidR="009B3384" w:rsidRDefault="009B3384">
      <w:pPr>
        <w:tabs>
          <w:tab w:val="clear" w:pos="567"/>
        </w:tabs>
      </w:pPr>
    </w:p>
    <w:p w14:paraId="109AC98E" w14:textId="77777777" w:rsidR="009B3384" w:rsidRDefault="00800862">
      <w:pPr>
        <w:tabs>
          <w:tab w:val="clear" w:pos="567"/>
        </w:tabs>
      </w:pPr>
      <w:r>
        <w:t>Трябва да се подхожда с повишено внимание, когато се обсъжда приложението на STELARA при пациенти с хронични инфекции или анамнеза за рецидивираща инфекция (вж. точка 4.3).</w:t>
      </w:r>
    </w:p>
    <w:p w14:paraId="109AC98F" w14:textId="77777777" w:rsidR="009B3384" w:rsidRDefault="009B3384">
      <w:pPr>
        <w:tabs>
          <w:tab w:val="clear" w:pos="567"/>
        </w:tabs>
        <w:rPr>
          <w:bCs/>
        </w:rPr>
      </w:pPr>
    </w:p>
    <w:p w14:paraId="109AC990" w14:textId="77777777" w:rsidR="009B3384" w:rsidRDefault="00800862">
      <w:pPr>
        <w:tabs>
          <w:tab w:val="clear" w:pos="567"/>
        </w:tabs>
      </w:pPr>
      <w:r>
        <w:rPr>
          <w:bCs/>
        </w:rPr>
        <w:t xml:space="preserve">Преди започването на лечение със STELARA пациентите трябва да се изследват за туберкулозна инфекция. </w:t>
      </w:r>
      <w:r>
        <w:t xml:space="preserve">STELARA не трябва да се прилага при пациенти с активна </w:t>
      </w:r>
      <w:r>
        <w:lastRenderedPageBreak/>
        <w:t>туберкулоза (вж. точка 4.3). Лечението на латентна туберкулозна инфекция трябва да започне преди приложението на STELARA. Антитуберкулозната терапия също трябва да бъде обсъдена преди началото на лечение със STELARA при пациенти с анамнеза за латентна или активна туберкулоза, при които не може да се потвърди адекватен курс на лечение. Пациентите, приемащи STELARA, трябва да се наблюдават внимателно за признаци и симптоми на активна туберкулоза по време на лечението и след него.</w:t>
      </w:r>
    </w:p>
    <w:p w14:paraId="109AC991" w14:textId="77777777" w:rsidR="009B3384" w:rsidRDefault="009B3384">
      <w:pPr>
        <w:tabs>
          <w:tab w:val="clear" w:pos="567"/>
        </w:tabs>
      </w:pPr>
    </w:p>
    <w:p w14:paraId="109AC992" w14:textId="77777777" w:rsidR="009B3384" w:rsidRDefault="00800862">
      <w:pPr>
        <w:tabs>
          <w:tab w:val="clear" w:pos="567"/>
        </w:tabs>
      </w:pPr>
      <w:r>
        <w:t>Пациентите трябва да бъдат инструктирани да потърсят лекарски съвет, ако се появят признаци или симптоми, предполагащи инфекция. Ако пациент развие сериозна инфекция, състоянието му трябва внимателно да се следи и STELARA не трябва да се прилага, докато инфекцията не бъде овладяна.</w:t>
      </w:r>
    </w:p>
    <w:p w14:paraId="109AC993" w14:textId="77777777" w:rsidR="009B3384" w:rsidRDefault="009B3384">
      <w:pPr>
        <w:tabs>
          <w:tab w:val="clear" w:pos="567"/>
        </w:tabs>
      </w:pPr>
    </w:p>
    <w:p w14:paraId="109AC994" w14:textId="77777777" w:rsidR="009B3384" w:rsidRDefault="00800862">
      <w:pPr>
        <w:keepNext/>
        <w:tabs>
          <w:tab w:val="clear" w:pos="567"/>
        </w:tabs>
        <w:rPr>
          <w:u w:val="single"/>
        </w:rPr>
      </w:pPr>
      <w:r>
        <w:rPr>
          <w:u w:val="single"/>
        </w:rPr>
        <w:t>Злокачествени заболявания</w:t>
      </w:r>
    </w:p>
    <w:p w14:paraId="109AC995" w14:textId="77777777" w:rsidR="009B3384" w:rsidRDefault="00800862">
      <w:pPr>
        <w:tabs>
          <w:tab w:val="clear" w:pos="567"/>
        </w:tabs>
      </w:pPr>
      <w:r>
        <w:t>Имуносупресори като устекинумаб имат потенциал да увеличават риска от злокачествени заболявания. Някои пациенти, които са приемали STELARA в клинични проучвания и в постмаркетингово обсервационно проучване при пациенти с псориазис, са развили кожни и некожни злокачествени заболявания (вж. точка 4.8). Рискът от злокачествени заболявания може да е по-висок при пациенти с псориазис, които са лекувани с други биологични лекарства в хода на заболяването.</w:t>
      </w:r>
    </w:p>
    <w:p w14:paraId="109AC996" w14:textId="77777777" w:rsidR="009B3384" w:rsidRDefault="009B3384">
      <w:pPr>
        <w:tabs>
          <w:tab w:val="clear" w:pos="567"/>
        </w:tabs>
      </w:pPr>
    </w:p>
    <w:p w14:paraId="109AC997" w14:textId="77777777" w:rsidR="009B3384" w:rsidRDefault="00800862">
      <w:pPr>
        <w:tabs>
          <w:tab w:val="clear" w:pos="567"/>
        </w:tabs>
      </w:pPr>
      <w:r>
        <w:t>Не са провеждани проучвания, в които участват пациенти с анамнеза за злокачествени заболявания или в които продължава лечението на пациенти, развили злокачествено заболяване по време на приема на STELARA. Затова трябва да се подхожда с повишено внимание, когато се обсъжда приложението на STELARA при тези пациенти.</w:t>
      </w:r>
    </w:p>
    <w:p w14:paraId="109AC998" w14:textId="77777777" w:rsidR="009B3384" w:rsidRDefault="009B3384">
      <w:pPr>
        <w:tabs>
          <w:tab w:val="clear" w:pos="567"/>
        </w:tabs>
      </w:pPr>
    </w:p>
    <w:p w14:paraId="109AC999" w14:textId="77777777" w:rsidR="009B3384" w:rsidRDefault="00800862">
      <w:pPr>
        <w:tabs>
          <w:tab w:val="clear" w:pos="567"/>
        </w:tabs>
      </w:pPr>
      <w:r>
        <w:t>Всички пациенти, по-специално тези над 60 години, пациенти с анамнеза за продължителна имуносупресивна терапия или такива с анамнеза за ПУВА-терапия, трябва да се наблюдават за поява на рак на кожата (вж. точка 4.8).</w:t>
      </w:r>
    </w:p>
    <w:p w14:paraId="109AC99A" w14:textId="77777777" w:rsidR="009B3384" w:rsidRDefault="009B3384">
      <w:pPr>
        <w:tabs>
          <w:tab w:val="clear" w:pos="567"/>
        </w:tabs>
      </w:pPr>
    </w:p>
    <w:p w14:paraId="109AC99B" w14:textId="77777777" w:rsidR="009B3384" w:rsidRDefault="00800862">
      <w:pPr>
        <w:keepNext/>
        <w:tabs>
          <w:tab w:val="clear" w:pos="567"/>
        </w:tabs>
        <w:rPr>
          <w:u w:val="single"/>
        </w:rPr>
      </w:pPr>
      <w:r>
        <w:rPr>
          <w:u w:val="single"/>
        </w:rPr>
        <w:t>Системни и респираторни реакции на свръхчувствителност</w:t>
      </w:r>
    </w:p>
    <w:p w14:paraId="109AC99D" w14:textId="77777777" w:rsidR="009B3384" w:rsidRDefault="00800862">
      <w:pPr>
        <w:tabs>
          <w:tab w:val="clear" w:pos="567"/>
        </w:tabs>
      </w:pPr>
      <w:r>
        <w:t>Сериозни реакции на свръхчувствителност са докладвани в постмаркетингови условия, в някои случаи няколко дни след лечението. Има случаи на анафилаксия и ангиоедем. Ако се появи анафилактична или друга сериозна реакция на свръхчувствителност, трябва да се назначи подходяща терапия и приложението на STELARA трябва да се преустанови (вж. точка 4.8).</w:t>
      </w:r>
    </w:p>
    <w:p w14:paraId="109AC99E" w14:textId="77777777" w:rsidR="009B3384" w:rsidRDefault="009B3384">
      <w:pPr>
        <w:tabs>
          <w:tab w:val="clear" w:pos="567"/>
        </w:tabs>
      </w:pPr>
    </w:p>
    <w:p w14:paraId="109AC9A0" w14:textId="615E1170" w:rsidR="009B3384" w:rsidRDefault="00800862">
      <w:pPr>
        <w:widowControl w:val="0"/>
      </w:pPr>
      <w:r>
        <w:rPr>
          <w:iCs/>
        </w:rPr>
        <w:t xml:space="preserve">В клиничните изпитвания са наблюдавани реакции, свързани с инфузията </w:t>
      </w:r>
      <w:r>
        <w:t>(вж. Точка</w:t>
      </w:r>
      <w:r>
        <w:rPr>
          <w:lang w:val="en-US"/>
        </w:rPr>
        <w:t> </w:t>
      </w:r>
      <w:r>
        <w:t xml:space="preserve">4.8). </w:t>
      </w:r>
      <w:r>
        <w:rPr>
          <w:iCs/>
        </w:rPr>
        <w:t xml:space="preserve">По време на постмаркетинговото наблюдение се съобщава за </w:t>
      </w:r>
      <w:r>
        <w:t xml:space="preserve">сериозни </w:t>
      </w:r>
      <w:r>
        <w:rPr>
          <w:iCs/>
        </w:rPr>
        <w:t>реакции, свързани с инфузията, включително анафилактични реакции към инфузията</w:t>
      </w:r>
      <w:r>
        <w:t>. Ако се наблюдава сериозна или животозастрашаваща реакция, трябва да се започне подходяща терапия и приложението на устекинумаб да се преустанови.</w:t>
      </w:r>
    </w:p>
    <w:p w14:paraId="109AC9A1" w14:textId="77777777" w:rsidR="009B3384" w:rsidRDefault="009B3384">
      <w:pPr>
        <w:tabs>
          <w:tab w:val="clear" w:pos="567"/>
        </w:tabs>
      </w:pPr>
    </w:p>
    <w:p w14:paraId="109AC9A3" w14:textId="77777777" w:rsidR="009B3384" w:rsidRDefault="00800862">
      <w:pPr>
        <w:widowControl w:val="0"/>
      </w:pPr>
      <w:bookmarkStart w:id="66" w:name="_Hlk530553934"/>
      <w:r>
        <w:t>Случаи на алергичен алвеолит, еозинофилна пневмония и неинфекциозна огранизираща пневмония са съобщени по време на постмаркетинговата употреба на устекинумаб. Клиничните прояви включват кашлица, диспнея и интерстициални инфилтрати след една до три дози. Сериозните последици включват дихателна недостатъчност и продължителна хоспитализация. Подобрение е съобщавано след преустановяване на лечението с устекинумаб и в някои случаи при приложение на кортикостероиди. Ако бъде изключена инфекция и диагнозата се потвърди, приложението на устекинумаб трябва да се преустанови и да се започне подходящо лечение (вж. точка 4.8).</w:t>
      </w:r>
      <w:bookmarkEnd w:id="66"/>
    </w:p>
    <w:p w14:paraId="109AC9A4" w14:textId="77777777" w:rsidR="009B3384" w:rsidRDefault="009B3384">
      <w:pPr>
        <w:tabs>
          <w:tab w:val="clear" w:pos="567"/>
        </w:tabs>
      </w:pPr>
    </w:p>
    <w:p w14:paraId="109AC9A5" w14:textId="77777777" w:rsidR="009B3384" w:rsidRDefault="00800862">
      <w:pPr>
        <w:keepNext/>
        <w:tabs>
          <w:tab w:val="clear" w:pos="567"/>
        </w:tabs>
        <w:rPr>
          <w:u w:val="single"/>
        </w:rPr>
      </w:pPr>
      <w:r>
        <w:rPr>
          <w:u w:val="single"/>
        </w:rPr>
        <w:t>Сърдечносъдови събития</w:t>
      </w:r>
    </w:p>
    <w:p w14:paraId="109AC9A6" w14:textId="77777777" w:rsidR="009B3384" w:rsidRDefault="00800862">
      <w:pPr>
        <w:tabs>
          <w:tab w:val="clear" w:pos="567"/>
        </w:tabs>
      </w:pPr>
      <w:r>
        <w:t>При пациенти с псориазис, с експозиция на STELARA, в постмаркетингово обсервационно проучване са наблюдавани сърдечносъдови събития, включително инфаркт на миокарда и мозъчно-съдов инцидент. Рисковите фактори за сърдечносъдово заболяване трябва да се оценяват редовно по време на лечението със STELARA.</w:t>
      </w:r>
    </w:p>
    <w:p w14:paraId="109AC9A7" w14:textId="77777777" w:rsidR="009B3384" w:rsidRDefault="009B3384">
      <w:pPr>
        <w:tabs>
          <w:tab w:val="clear" w:pos="567"/>
        </w:tabs>
      </w:pPr>
    </w:p>
    <w:p w14:paraId="109AC9A8" w14:textId="77777777" w:rsidR="009B3384" w:rsidRDefault="00800862">
      <w:pPr>
        <w:keepNext/>
        <w:tabs>
          <w:tab w:val="clear" w:pos="567"/>
        </w:tabs>
        <w:rPr>
          <w:u w:val="single"/>
        </w:rPr>
      </w:pPr>
      <w:r>
        <w:rPr>
          <w:u w:val="single"/>
        </w:rPr>
        <w:lastRenderedPageBreak/>
        <w:t>Ваксинации</w:t>
      </w:r>
    </w:p>
    <w:p w14:paraId="109AC9A9" w14:textId="77777777" w:rsidR="009B3384" w:rsidRDefault="00800862">
      <w:pPr>
        <w:tabs>
          <w:tab w:val="clear" w:pos="567"/>
        </w:tabs>
      </w:pPr>
      <w:r>
        <w:t>Препоръчва се да не се прилагат живи вирусни или живи бактериални ваксини (като БЦЖ) едновременно със STELARA. Не са провеждани конкретни проучвания при пациенти, върху които наскоро е прилагана жива вирусна или жива бактериална ваксина. Няма данни за вторично предаване на инфекция чрез живи ваксини при пациенти, получаващи STELARA. Лечението със STELARA трябва да се преустанови най-малко за 15 седмици след последната доза преди поставянето на жива вирусна или жива бактериална ваксина и може да се възобнови най-малко 2 седмици след ваксинирането. Лекарите, предписващи лекарството, трябва да направят справка с Кратката характеристика на продукта за конкретната ваксина за допълнителна информация и указания за едновременната употреба на имуносупресивни лекарства след ваксиниране.</w:t>
      </w:r>
    </w:p>
    <w:p w14:paraId="109AC9AA" w14:textId="77777777" w:rsidR="009B3384" w:rsidRDefault="009B3384">
      <w:pPr>
        <w:tabs>
          <w:tab w:val="clear" w:pos="567"/>
        </w:tabs>
      </w:pPr>
    </w:p>
    <w:p w14:paraId="109AC9AB" w14:textId="77777777" w:rsidR="009B3384" w:rsidRDefault="00800862">
      <w:pPr>
        <w:tabs>
          <w:tab w:val="clear" w:pos="567"/>
        </w:tabs>
      </w:pPr>
      <w:r>
        <w:t xml:space="preserve">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4.5 и 4.6).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C9AC" w14:textId="77777777" w:rsidR="009B3384" w:rsidRDefault="009B3384">
      <w:pPr>
        <w:tabs>
          <w:tab w:val="clear" w:pos="567"/>
        </w:tabs>
      </w:pPr>
    </w:p>
    <w:p w14:paraId="109AC9AD" w14:textId="77777777" w:rsidR="009B3384" w:rsidRDefault="00800862">
      <w:pPr>
        <w:tabs>
          <w:tab w:val="clear" w:pos="567"/>
        </w:tabs>
      </w:pPr>
      <w:r>
        <w:t>Пациентите, които употребяват STELARA, може да получат едновременно инактивирани или убити ваксини.</w:t>
      </w:r>
    </w:p>
    <w:p w14:paraId="109AC9AE" w14:textId="77777777" w:rsidR="009B3384" w:rsidRDefault="009B3384">
      <w:pPr>
        <w:tabs>
          <w:tab w:val="clear" w:pos="567"/>
        </w:tabs>
      </w:pPr>
    </w:p>
    <w:p w14:paraId="109AC9AF" w14:textId="77777777" w:rsidR="009B3384" w:rsidRDefault="00800862">
      <w:pPr>
        <w:tabs>
          <w:tab w:val="clear" w:pos="567"/>
        </w:tabs>
      </w:pPr>
      <w:r>
        <w:t>Дългосрочното лечение със STELARA не потиска хуморалния имунен отговор към пневмококовите полизахаридни ваксини или към ваксините срещу тетанус (вж. точка 5.1).</w:t>
      </w:r>
    </w:p>
    <w:p w14:paraId="109AC9B0" w14:textId="77777777" w:rsidR="009B3384" w:rsidRDefault="009B3384">
      <w:pPr>
        <w:tabs>
          <w:tab w:val="clear" w:pos="567"/>
        </w:tabs>
      </w:pPr>
    </w:p>
    <w:p w14:paraId="109AC9B1" w14:textId="77777777" w:rsidR="009B3384" w:rsidRDefault="00800862">
      <w:pPr>
        <w:keepNext/>
        <w:tabs>
          <w:tab w:val="clear" w:pos="567"/>
        </w:tabs>
        <w:rPr>
          <w:u w:val="single"/>
        </w:rPr>
      </w:pPr>
      <w:r>
        <w:rPr>
          <w:u w:val="single"/>
        </w:rPr>
        <w:t>Едновременна имуносупресивна терапия</w:t>
      </w:r>
    </w:p>
    <w:p w14:paraId="109AC9B2" w14:textId="77777777" w:rsidR="009B3384" w:rsidRDefault="00800862">
      <w:pPr>
        <w:tabs>
          <w:tab w:val="clear" w:pos="567"/>
        </w:tabs>
      </w:pPr>
      <w:bookmarkStart w:id="67" w:name="OLE_LINK2"/>
      <w:r>
        <w:t xml:space="preserve">При проучвания при псориазис не са оценявани безопасността и ефикасността на STELARA в комбинация с имуносупресори, включително биологични продукти или фототерапия. При проучвания при псориатичен артрит, едновременната употреба на MTX не повлиява безопасността и ефикасността на STELARA. В проучванията при болест на </w:t>
      </w:r>
      <w:r>
        <w:rPr>
          <w:lang w:val="en-GB"/>
        </w:rPr>
        <w:t>Crohn</w:t>
      </w:r>
      <w:r>
        <w:t xml:space="preserve"> </w:t>
      </w:r>
      <w:r>
        <w:rPr>
          <w:bCs/>
        </w:rPr>
        <w:t xml:space="preserve">и </w:t>
      </w:r>
      <w:r>
        <w:t xml:space="preserve">улцерозен колит едновременната употреба на имуносупресори или кортикостероиди изглежда не повлиява безопасността или ефикасността на </w:t>
      </w:r>
      <w:r>
        <w:rPr>
          <w:lang w:val="en-GB"/>
        </w:rPr>
        <w:t>STELARA</w:t>
      </w:r>
      <w:r>
        <w:t>. Трябва да се подхожда с повишено внимание, когато се обсъжда едновременната употреба на други имуносупресори и STELARA или при преминаването към лечение с други биологични имуносупресори (вж. точка 4.5).</w:t>
      </w:r>
      <w:bookmarkEnd w:id="67"/>
    </w:p>
    <w:p w14:paraId="109AC9B3" w14:textId="77777777" w:rsidR="009B3384" w:rsidRDefault="009B3384">
      <w:pPr>
        <w:tabs>
          <w:tab w:val="clear" w:pos="567"/>
        </w:tabs>
      </w:pPr>
    </w:p>
    <w:p w14:paraId="109AC9B4" w14:textId="77777777" w:rsidR="009B3384" w:rsidRDefault="00800862">
      <w:pPr>
        <w:keepNext/>
        <w:tabs>
          <w:tab w:val="clear" w:pos="567"/>
        </w:tabs>
        <w:rPr>
          <w:u w:val="single"/>
        </w:rPr>
      </w:pPr>
      <w:r>
        <w:rPr>
          <w:u w:val="single"/>
        </w:rPr>
        <w:t>Имунотерапия</w:t>
      </w:r>
    </w:p>
    <w:p w14:paraId="109AC9B5" w14:textId="77777777" w:rsidR="009B3384" w:rsidRDefault="00800862">
      <w:pPr>
        <w:tabs>
          <w:tab w:val="clear" w:pos="567"/>
        </w:tabs>
      </w:pPr>
      <w:r>
        <w:t>STELARA не е оценяван при пациенти, които са подлагани на имунотерапия за алергии. Не е известно дали STELARA може да се отрази на имунотерапията при алергии.</w:t>
      </w:r>
    </w:p>
    <w:p w14:paraId="109AC9B6" w14:textId="77777777" w:rsidR="009B3384" w:rsidRDefault="009B3384">
      <w:pPr>
        <w:tabs>
          <w:tab w:val="clear" w:pos="567"/>
        </w:tabs>
      </w:pPr>
    </w:p>
    <w:p w14:paraId="109AC9B7" w14:textId="77777777" w:rsidR="009B3384" w:rsidRDefault="00800862">
      <w:pPr>
        <w:keepNext/>
        <w:widowControl w:val="0"/>
        <w:rPr>
          <w:u w:val="single"/>
        </w:rPr>
      </w:pPr>
      <w:r>
        <w:rPr>
          <w:u w:val="single"/>
        </w:rPr>
        <w:t>Сериозни кожни заболявания</w:t>
      </w:r>
    </w:p>
    <w:p w14:paraId="109AC9B8" w14:textId="77777777" w:rsidR="009B3384" w:rsidRDefault="00800862">
      <w:pPr>
        <w:widowControl w:val="0"/>
      </w:pPr>
      <w:r>
        <w:t>При пациенти с псориазис се съобщава за случаи на ексфолиативен дерматит след лечение с устекинумаб (вж. точка 4.8). Пациентите с псориазис с плаки може да развият еритродермичен псориазис като част от естествения ход на заболяването със симптоми, които може от клинична гледна точка да не се отличават от ексфолиативния дерматит. Лекарите трябва да внимават за симптоми на еритродермичен псориазис или ексфолиативен дерматит като част от мониторирането на псориазиса при пациента. Ако тези симптоми се появят, трябва да се започне подходящо лечение. Приемът на STELARA трябва да се преустанови, ако има съмнения за лекарствена реакция.</w:t>
      </w:r>
    </w:p>
    <w:p w14:paraId="109AC9B9" w14:textId="77777777" w:rsidR="009B3384" w:rsidRDefault="009B3384">
      <w:pPr>
        <w:tabs>
          <w:tab w:val="clear" w:pos="567"/>
        </w:tabs>
      </w:pPr>
    </w:p>
    <w:p w14:paraId="109AC9BA" w14:textId="77777777" w:rsidR="009B3384" w:rsidRDefault="00800862">
      <w:pPr>
        <w:keepNext/>
        <w:widowControl w:val="0"/>
        <w:rPr>
          <w:szCs w:val="22"/>
          <w:u w:val="single"/>
        </w:rPr>
      </w:pPr>
      <w:r>
        <w:rPr>
          <w:szCs w:val="22"/>
          <w:u w:val="single"/>
        </w:rPr>
        <w:t>Заболявания, свързани с лупус</w:t>
      </w:r>
    </w:p>
    <w:p w14:paraId="109AC9BB" w14:textId="77777777" w:rsidR="009B3384" w:rsidRDefault="00800862">
      <w:pPr>
        <w:widowControl w:val="0"/>
        <w:rPr>
          <w:szCs w:val="22"/>
        </w:rPr>
      </w:pPr>
      <w:r>
        <w:rPr>
          <w:szCs w:val="22"/>
        </w:rPr>
        <w:t xml:space="preserve">Случаи на заболявания, свързани с лупус, се съобщават при пациенти, лекувани с </w:t>
      </w:r>
      <w:r>
        <w:t>устекинумаб</w:t>
      </w:r>
      <w:r>
        <w:rPr>
          <w:szCs w:val="22"/>
        </w:rPr>
        <w:t xml:space="preserve">, включително кожен лупус еритематодес и лупус-подобен синдром. При възникване на лезии, особено на изложените на слънце участъци на кожата, или ако те се съпътстват от артралгия, пациентът трябва да потърси незабавно лекарска помощ. Ако се потвърдят заболявания, свързани с лупус, </w:t>
      </w:r>
      <w:r>
        <w:t>устекинумаб</w:t>
      </w:r>
      <w:r>
        <w:rPr>
          <w:szCs w:val="22"/>
        </w:rPr>
        <w:t xml:space="preserve"> трябва да се преустанови и да се започне подходящо лечение</w:t>
      </w:r>
      <w:r>
        <w:rPr>
          <w:bCs/>
          <w:szCs w:val="22"/>
        </w:rPr>
        <w:t>.</w:t>
      </w:r>
    </w:p>
    <w:p w14:paraId="109AC9BC" w14:textId="77777777" w:rsidR="009B3384" w:rsidRDefault="009B3384">
      <w:pPr>
        <w:tabs>
          <w:tab w:val="clear" w:pos="567"/>
        </w:tabs>
      </w:pPr>
    </w:p>
    <w:p w14:paraId="109AC9BD" w14:textId="77777777" w:rsidR="009B3384" w:rsidRDefault="00800862">
      <w:pPr>
        <w:keepNext/>
        <w:tabs>
          <w:tab w:val="clear" w:pos="567"/>
        </w:tabs>
        <w:rPr>
          <w:u w:val="single"/>
        </w:rPr>
      </w:pPr>
      <w:r>
        <w:rPr>
          <w:u w:val="single"/>
        </w:rPr>
        <w:lastRenderedPageBreak/>
        <w:t>Специални популации</w:t>
      </w:r>
    </w:p>
    <w:p w14:paraId="109AC9BE" w14:textId="3DBBFEE0" w:rsidR="009B3384" w:rsidRDefault="00800862">
      <w:pPr>
        <w:keepNext/>
        <w:tabs>
          <w:tab w:val="clear" w:pos="567"/>
        </w:tabs>
        <w:rPr>
          <w:bCs/>
          <w:i/>
          <w:iCs/>
        </w:rPr>
      </w:pPr>
      <w:r>
        <w:rPr>
          <w:bCs/>
          <w:i/>
          <w:iCs/>
        </w:rPr>
        <w:t>Старческа възраст</w:t>
      </w:r>
    </w:p>
    <w:p w14:paraId="109AC9BF" w14:textId="77777777" w:rsidR="009B3384" w:rsidRDefault="00800862">
      <w:pPr>
        <w:tabs>
          <w:tab w:val="clear" w:pos="567"/>
        </w:tabs>
      </w:pPr>
      <w:r>
        <w:t>В клиничните изпитвания при одобрените показания не се наблюдават съществени различия в ефикасността или безопасността при пациенти на 65</w:t>
      </w:r>
      <w:r>
        <w:noBreakHyphen/>
        <w:t>годишна възраст и по-големи, които получават STELARA, в сравнение с по-млади пациенти. Броят на пациентите на възраст 65 години и по-големи обаче не е достатъчен, за да се определи дали се повлияват различно от по-младите пациенти. Тъй като разпространението на инфекции сред старческата популация като цяло е по-голямо, лечението при пациенти в старческа възраст трябва да се прилага внимателно.</w:t>
      </w:r>
    </w:p>
    <w:p w14:paraId="109AC9C0" w14:textId="77777777" w:rsidR="009B3384" w:rsidRDefault="009B3384">
      <w:pPr>
        <w:widowControl w:val="0"/>
      </w:pPr>
    </w:p>
    <w:p w14:paraId="109AC9C1" w14:textId="77777777" w:rsidR="009B3384" w:rsidRPr="00BC6A43" w:rsidRDefault="00800862" w:rsidP="00BC6A43">
      <w:pPr>
        <w:keepNext/>
        <w:tabs>
          <w:tab w:val="clear" w:pos="567"/>
          <w:tab w:val="left" w:pos="720"/>
        </w:tabs>
        <w:rPr>
          <w:szCs w:val="22"/>
          <w:u w:val="single"/>
        </w:rPr>
      </w:pPr>
      <w:bookmarkStart w:id="68" w:name="_Hlk160375449"/>
      <w:r w:rsidRPr="00BC6A43">
        <w:rPr>
          <w:szCs w:val="22"/>
          <w:u w:val="single"/>
        </w:rPr>
        <w:t>Помощни вещества с известно действие</w:t>
      </w:r>
      <w:bookmarkEnd w:id="68"/>
    </w:p>
    <w:p w14:paraId="109AC9C3" w14:textId="77777777" w:rsidR="009B3384" w:rsidRDefault="009B3384">
      <w:pPr>
        <w:keepNext/>
        <w:widowControl w:val="0"/>
        <w:rPr>
          <w:ins w:id="69" w:author="Reviser" w:date="2026-04-27T18:57:00Z"/>
        </w:rPr>
        <w:pPrChange w:id="70" w:author="EUCP BE1" w:date="2026-05-19T16:49:00Z">
          <w:pPr>
            <w:widowControl w:val="0"/>
          </w:pPr>
        </w:pPrChange>
      </w:pPr>
    </w:p>
    <w:p w14:paraId="34CCAC34" w14:textId="78948E21" w:rsidR="00E2109D" w:rsidRPr="00E2109D" w:rsidDel="009C5B8B" w:rsidRDefault="00E2109D">
      <w:pPr>
        <w:keepNext/>
        <w:widowControl w:val="0"/>
        <w:rPr>
          <w:ins w:id="71" w:author="Reviser" w:date="2026-04-27T18:57:00Z"/>
          <w:del w:id="72" w:author="RABG09" w:date="2026-05-14T10:52:00Z"/>
          <w:i/>
          <w:iCs/>
          <w:rPrChange w:id="73" w:author="Reviser" w:date="2026-04-27T18:58:00Z">
            <w:rPr>
              <w:ins w:id="74" w:author="Reviser" w:date="2026-04-27T18:57:00Z"/>
              <w:del w:id="75" w:author="RABG09" w:date="2026-05-14T10:52:00Z"/>
            </w:rPr>
          </w:rPrChange>
        </w:rPr>
        <w:pPrChange w:id="76" w:author="EUCP BE1" w:date="2026-05-19T16:49:00Z">
          <w:pPr>
            <w:widowControl w:val="0"/>
          </w:pPr>
        </w:pPrChange>
      </w:pPr>
      <w:ins w:id="77" w:author="Reviser" w:date="2026-04-27T18:57:00Z">
        <w:r w:rsidRPr="00E2109D">
          <w:rPr>
            <w:i/>
            <w:iCs/>
            <w:rPrChange w:id="78" w:author="Reviser" w:date="2026-04-27T18:58:00Z">
              <w:rPr/>
            </w:rPrChange>
          </w:rPr>
          <w:t>Съдържание на натрий</w:t>
        </w:r>
      </w:ins>
    </w:p>
    <w:p w14:paraId="4B01DE03" w14:textId="77777777" w:rsidR="00E2109D" w:rsidRDefault="00E2109D">
      <w:pPr>
        <w:keepNext/>
        <w:widowControl w:val="0"/>
        <w:pPrChange w:id="79" w:author="EUCP BE1" w:date="2026-05-19T16:49:00Z">
          <w:pPr>
            <w:widowControl w:val="0"/>
          </w:pPr>
        </w:pPrChange>
      </w:pPr>
    </w:p>
    <w:p w14:paraId="109AC9C5" w14:textId="77777777" w:rsidR="009B3384" w:rsidRDefault="00800862">
      <w:pPr>
        <w:widowControl w:val="0"/>
      </w:pPr>
      <w:r>
        <w:t>STELARA съдържа по-малко от 1 mmol натрий (23 mg) на доза, т.е. може да се каже, че практически не съдържа натрий. STELARA обаче се разрежда с инфузионен разтвор на натриев хлорид 9 mg/ml (0,9%). Това трябва да се има предвид при пациенти на диета с контролиран прием на натрий (вж. точка 6.6).</w:t>
      </w:r>
    </w:p>
    <w:p w14:paraId="109AC9C6" w14:textId="77777777" w:rsidR="009B3384" w:rsidRDefault="009B3384">
      <w:pPr>
        <w:widowControl w:val="0"/>
        <w:rPr>
          <w:ins w:id="80" w:author="Reviser" w:date="2026-04-27T18:58:00Z"/>
        </w:rPr>
      </w:pPr>
    </w:p>
    <w:p w14:paraId="617D9FD7" w14:textId="5E7CF38A" w:rsidR="00E2109D" w:rsidRPr="00E2109D" w:rsidRDefault="00E2109D">
      <w:pPr>
        <w:keepNext/>
        <w:widowControl w:val="0"/>
        <w:rPr>
          <w:i/>
          <w:iCs/>
          <w:rPrChange w:id="81" w:author="Reviser" w:date="2026-04-27T18:58:00Z">
            <w:rPr/>
          </w:rPrChange>
        </w:rPr>
        <w:pPrChange w:id="82" w:author="EUCP BE1" w:date="2026-05-19T16:49:00Z">
          <w:pPr>
            <w:widowControl w:val="0"/>
          </w:pPr>
        </w:pPrChange>
      </w:pPr>
      <w:ins w:id="83" w:author="Reviser" w:date="2026-04-27T18:58:00Z">
        <w:r w:rsidRPr="00E2109D">
          <w:rPr>
            <w:i/>
            <w:iCs/>
            <w:rPrChange w:id="84" w:author="Reviser" w:date="2026-04-27T18:58:00Z">
              <w:rPr/>
            </w:rPrChange>
          </w:rPr>
          <w:t>Съдържание на полисорбат 80</w:t>
        </w:r>
      </w:ins>
    </w:p>
    <w:p w14:paraId="109AC9C8" w14:textId="77777777" w:rsidR="009B3384" w:rsidRDefault="00800862">
      <w:pPr>
        <w:widowControl w:val="0"/>
      </w:pPr>
      <w:r>
        <w:t>Stelara съдържа 10,8 mg полисорбат 80 (E433) във всяка доза, която е еквивалентна на 0,40 mg/ml. Полисорбатите могат да причинят алергични реакции.</w:t>
      </w:r>
    </w:p>
    <w:p w14:paraId="109AC9C9" w14:textId="77777777" w:rsidR="009B3384" w:rsidRDefault="009B3384">
      <w:pPr>
        <w:tabs>
          <w:tab w:val="clear" w:pos="567"/>
        </w:tabs>
      </w:pPr>
    </w:p>
    <w:p w14:paraId="109AC9CA" w14:textId="77777777" w:rsidR="009B3384" w:rsidRDefault="00800862">
      <w:pPr>
        <w:keepNext/>
        <w:ind w:left="567" w:hanging="567"/>
        <w:outlineLvl w:val="2"/>
        <w:rPr>
          <w:b/>
          <w:bCs/>
        </w:rPr>
      </w:pPr>
      <w:r>
        <w:rPr>
          <w:b/>
          <w:bCs/>
        </w:rPr>
        <w:t>4.5</w:t>
      </w:r>
      <w:r>
        <w:rPr>
          <w:b/>
          <w:bCs/>
        </w:rPr>
        <w:tab/>
        <w:t>Взаимодействие с други лекарствени продукти и други форми на взаимодействие</w:t>
      </w:r>
    </w:p>
    <w:p w14:paraId="109AC9CB" w14:textId="77777777" w:rsidR="009B3384" w:rsidRDefault="009B3384">
      <w:pPr>
        <w:keepNext/>
        <w:tabs>
          <w:tab w:val="clear" w:pos="567"/>
        </w:tabs>
      </w:pPr>
    </w:p>
    <w:p w14:paraId="109AC9CC" w14:textId="77777777" w:rsidR="009B3384" w:rsidRDefault="00800862">
      <w:pPr>
        <w:tabs>
          <w:tab w:val="clear" w:pos="567"/>
        </w:tabs>
      </w:pPr>
      <w:r>
        <w:t>Живи ваксини не трябва да се прилагат едновременно със STELARA.</w:t>
      </w:r>
    </w:p>
    <w:p w14:paraId="109AC9CD" w14:textId="77777777" w:rsidR="009B3384" w:rsidRDefault="009B3384">
      <w:pPr>
        <w:tabs>
          <w:tab w:val="clear" w:pos="567"/>
        </w:tabs>
      </w:pPr>
    </w:p>
    <w:p w14:paraId="109AC9CE" w14:textId="77777777" w:rsidR="009B3384" w:rsidRDefault="00800862">
      <w:pPr>
        <w:tabs>
          <w:tab w:val="clear" w:pos="567"/>
        </w:tabs>
      </w:pPr>
      <w:r>
        <w:t xml:space="preserve">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4.4 и 4.6).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C9CF" w14:textId="77777777" w:rsidR="009B3384" w:rsidRDefault="009B3384">
      <w:pPr>
        <w:tabs>
          <w:tab w:val="clear" w:pos="567"/>
        </w:tabs>
      </w:pPr>
    </w:p>
    <w:p w14:paraId="109AC9D0" w14:textId="77777777" w:rsidR="009B3384" w:rsidRDefault="00800862">
      <w:pPr>
        <w:tabs>
          <w:tab w:val="clear" w:pos="567"/>
        </w:tabs>
      </w:pPr>
      <w:bookmarkStart w:id="85" w:name="OLE_LINK5"/>
      <w:r>
        <w:t>При фармакокинетични анализи на популацията, направени в проучвания фаза </w:t>
      </w:r>
      <w:r>
        <w:rPr>
          <w:iCs/>
        </w:rPr>
        <w:t>3, е изследван ефектът на най-често едновременно приемани лекарствени продукти при пациенти с псориазис (включително и парацетамол, ибупрофен, ацетилсалицилова киселина, метформин, аторвастатин, левотироксин) върху фармакокинетиката на устекинумаб. Не са наблюдавани признаци на взаимодействие с тези едновременно приемани лекарствени продукти. Основа на този анализ е фактът, че най-малко 100 пациенти (&gt;</w:t>
      </w:r>
      <w:r>
        <w:rPr>
          <w:iCs/>
          <w:lang w:val="nl-BE"/>
        </w:rPr>
        <w:t> </w:t>
      </w:r>
      <w:r>
        <w:rPr>
          <w:iCs/>
        </w:rPr>
        <w:t>5% от изследваната популация) са лекувани едновременно с тези лекарствени продукти през поне 90% от периода на проучването.</w:t>
      </w:r>
      <w:r>
        <w:t xml:space="preserve"> </w:t>
      </w:r>
      <w:r>
        <w:rPr>
          <w:iCs/>
        </w:rPr>
        <w:t xml:space="preserve">Фармакокинетиката на устекинумаб не се е повлияла от едновременната употреба на MTX, НСПВС, 6-меркаптопурин, азатиоприн и перорални кортикостероиди при пациенти с псориатичен артрит, </w:t>
      </w:r>
      <w:r>
        <w:t xml:space="preserve">болест на </w:t>
      </w:r>
      <w:r>
        <w:rPr>
          <w:lang w:val="en-GB"/>
        </w:rPr>
        <w:t>Crohn</w:t>
      </w:r>
      <w:r>
        <w:t xml:space="preserve"> </w:t>
      </w:r>
      <w:r>
        <w:rPr>
          <w:bCs/>
        </w:rPr>
        <w:t xml:space="preserve">или </w:t>
      </w:r>
      <w:r>
        <w:t>улцерозен колит</w:t>
      </w:r>
      <w:r>
        <w:rPr>
          <w:iCs/>
        </w:rPr>
        <w:t>, или от предшестваща експозиция на анти-TNF</w:t>
      </w:r>
      <w:r>
        <w:t>α</w:t>
      </w:r>
      <w:r>
        <w:rPr>
          <w:iCs/>
        </w:rPr>
        <w:t xml:space="preserve"> средства, при пациенти с псориатичен артрит или болест на </w:t>
      </w:r>
      <w:r>
        <w:rPr>
          <w:iCs/>
          <w:lang w:val="en-GB"/>
        </w:rPr>
        <w:t>Crohn</w:t>
      </w:r>
      <w:r>
        <w:rPr>
          <w:iCs/>
        </w:rPr>
        <w:t>, или от предшестваща експозиция на биологични лекарствени продукти (т.е. анти-TNF</w:t>
      </w:r>
      <w:r>
        <w:t>α</w:t>
      </w:r>
      <w:r>
        <w:rPr>
          <w:iCs/>
        </w:rPr>
        <w:t xml:space="preserve"> средства и/или ведолизумаб) при пациенти с </w:t>
      </w:r>
      <w:r>
        <w:t>улцерозен колит</w:t>
      </w:r>
      <w:r>
        <w:rPr>
          <w:iCs/>
        </w:rPr>
        <w:t>.</w:t>
      </w:r>
      <w:bookmarkEnd w:id="85"/>
    </w:p>
    <w:p w14:paraId="109AC9D1" w14:textId="77777777" w:rsidR="009B3384" w:rsidRDefault="009B3384">
      <w:pPr>
        <w:tabs>
          <w:tab w:val="clear" w:pos="567"/>
        </w:tabs>
      </w:pPr>
    </w:p>
    <w:p w14:paraId="109AC9D2" w14:textId="77777777" w:rsidR="009B3384" w:rsidRDefault="00800862">
      <w:pPr>
        <w:tabs>
          <w:tab w:val="clear" w:pos="567"/>
        </w:tabs>
      </w:pPr>
      <w:r>
        <w:t xml:space="preserve">Резултатите от проучване </w:t>
      </w:r>
      <w:r>
        <w:rPr>
          <w:i/>
        </w:rPr>
        <w:t xml:space="preserve">in vitro </w:t>
      </w:r>
      <w:r>
        <w:rPr>
          <w:iCs/>
        </w:rPr>
        <w:t xml:space="preserve">и от проучване фаза 1 при участници с активна болест на </w:t>
      </w:r>
      <w:r>
        <w:rPr>
          <w:bCs/>
          <w:lang w:val="en-GB"/>
        </w:rPr>
        <w:t>Crohn</w:t>
      </w:r>
      <w:r>
        <w:t xml:space="preserve"> не предполагат необходимост от адаптиране на дозата при пациенти, които получават едновременно CYP450 субстрати (вж. точка 5.2).</w:t>
      </w:r>
    </w:p>
    <w:p w14:paraId="109AC9D3" w14:textId="77777777" w:rsidR="009B3384" w:rsidRDefault="009B3384">
      <w:pPr>
        <w:tabs>
          <w:tab w:val="clear" w:pos="567"/>
        </w:tabs>
      </w:pPr>
    </w:p>
    <w:p w14:paraId="109AC9D4" w14:textId="77777777" w:rsidR="009B3384" w:rsidRDefault="00800862">
      <w:pPr>
        <w:tabs>
          <w:tab w:val="clear" w:pos="567"/>
        </w:tabs>
      </w:pPr>
      <w:r>
        <w:t xml:space="preserve">При проучвания при псориазис не са оценявани безопасността и ефикасността на STELARA в комбинация с имуносупресори, включително биологични средства или фототерапия. При проучвания при псориатичен артрит, едновременната употреба на MTX не повлиява безопасността и ефикасността на STELARA. В проучванията при болест на </w:t>
      </w:r>
      <w:r>
        <w:rPr>
          <w:lang w:val="en-GB"/>
        </w:rPr>
        <w:t>Crohn</w:t>
      </w:r>
      <w:r>
        <w:t xml:space="preserve"> </w:t>
      </w:r>
      <w:r>
        <w:rPr>
          <w:bCs/>
        </w:rPr>
        <w:t xml:space="preserve">и </w:t>
      </w:r>
      <w:r>
        <w:t xml:space="preserve">улцерозен </w:t>
      </w:r>
      <w:r>
        <w:lastRenderedPageBreak/>
        <w:t xml:space="preserve">колит едновременната употреба на имуносупресори или кортикостероиди изглежда не повлиява безопасността или ефикасността на </w:t>
      </w:r>
      <w:r>
        <w:rPr>
          <w:lang w:val="en-GB"/>
        </w:rPr>
        <w:t>STELARA</w:t>
      </w:r>
      <w:r>
        <w:t>.</w:t>
      </w:r>
      <w:r>
        <w:rPr>
          <w:lang w:val="en-GB"/>
        </w:rPr>
        <w:t> </w:t>
      </w:r>
      <w:r>
        <w:t>(вж. точка 4.4).</w:t>
      </w:r>
    </w:p>
    <w:p w14:paraId="109AC9D5" w14:textId="77777777" w:rsidR="009B3384" w:rsidRDefault="009B3384">
      <w:pPr>
        <w:tabs>
          <w:tab w:val="clear" w:pos="567"/>
        </w:tabs>
      </w:pPr>
    </w:p>
    <w:p w14:paraId="109AC9D6" w14:textId="77777777" w:rsidR="009B3384" w:rsidRDefault="00800862">
      <w:pPr>
        <w:keepNext/>
        <w:ind w:left="567" w:hanging="567"/>
        <w:outlineLvl w:val="2"/>
        <w:rPr>
          <w:b/>
        </w:rPr>
      </w:pPr>
      <w:r>
        <w:rPr>
          <w:b/>
        </w:rPr>
        <w:t>4.6</w:t>
      </w:r>
      <w:r>
        <w:rPr>
          <w:b/>
        </w:rPr>
        <w:tab/>
        <w:t>Фертилитет, бременност и кърмене</w:t>
      </w:r>
    </w:p>
    <w:p w14:paraId="109AC9D7" w14:textId="77777777" w:rsidR="009B3384" w:rsidRDefault="009B3384">
      <w:pPr>
        <w:keepNext/>
      </w:pPr>
    </w:p>
    <w:p w14:paraId="109AC9D8" w14:textId="77777777" w:rsidR="009B3384" w:rsidRDefault="00800862">
      <w:pPr>
        <w:keepNext/>
        <w:rPr>
          <w:u w:val="single"/>
        </w:rPr>
      </w:pPr>
      <w:r>
        <w:rPr>
          <w:u w:val="single"/>
        </w:rPr>
        <w:t>Жени с детероден потенциал</w:t>
      </w:r>
    </w:p>
    <w:p w14:paraId="109AC9D9" w14:textId="77777777" w:rsidR="009B3384" w:rsidRDefault="00800862">
      <w:r>
        <w:t>Жени с детероден потенциал трябва да използват ефективни методи на контрацепция по време</w:t>
      </w:r>
    </w:p>
    <w:p w14:paraId="109AC9DA" w14:textId="77777777" w:rsidR="009B3384" w:rsidRDefault="00800862">
      <w:r>
        <w:t>на лечение и до 15 седмици след лечението.</w:t>
      </w:r>
    </w:p>
    <w:p w14:paraId="109AC9DB" w14:textId="77777777" w:rsidR="009B3384" w:rsidRDefault="009B3384">
      <w:pPr>
        <w:rPr>
          <w:iCs/>
        </w:rPr>
      </w:pPr>
    </w:p>
    <w:p w14:paraId="109AC9DC" w14:textId="77777777" w:rsidR="009B3384" w:rsidRDefault="00800862">
      <w:pPr>
        <w:keepNext/>
        <w:rPr>
          <w:bCs/>
        </w:rPr>
      </w:pPr>
      <w:r>
        <w:rPr>
          <w:u w:val="single"/>
        </w:rPr>
        <w:t>Бременност</w:t>
      </w:r>
    </w:p>
    <w:p w14:paraId="109AC9DD" w14:textId="77777777" w:rsidR="009B3384" w:rsidRDefault="00800862">
      <w:r>
        <w:t>Проспективни данни от неголям брой случаи на бременност след експозиция на STELARA с известен изход, включително повече от 450 случая на бременност с експозиция през първия триместър, не показват повишен риск от големи вродени малформации при новороденото.</w:t>
      </w:r>
    </w:p>
    <w:p w14:paraId="109AC9DE" w14:textId="77777777" w:rsidR="009B3384" w:rsidRDefault="009B3384"/>
    <w:p w14:paraId="109AC9DF" w14:textId="77777777" w:rsidR="009B3384" w:rsidRDefault="00800862">
      <w:r>
        <w:t>Проучванията при животни не показват преки или непреки вредни ефекти, свързани с бременността, ембрионалното/феталното развитие, раждането или постнаталното развитие (вж. точка 5.3).</w:t>
      </w:r>
    </w:p>
    <w:p w14:paraId="109AC9E0" w14:textId="77777777" w:rsidR="009B3384" w:rsidRDefault="009B3384"/>
    <w:p w14:paraId="109AC9E1" w14:textId="77777777" w:rsidR="009B3384" w:rsidRDefault="00800862">
      <w:r>
        <w:t>Наличният клиничен опит обаче е ограничен. Като предпазна мярка е за предпочитане да се избягва употребата на STELARA по време на бременност.</w:t>
      </w:r>
    </w:p>
    <w:p w14:paraId="109AC9E2" w14:textId="77777777" w:rsidR="009B3384" w:rsidRDefault="009B3384"/>
    <w:p w14:paraId="109AC9E3" w14:textId="77777777" w:rsidR="009B3384" w:rsidRDefault="00800862">
      <w:r>
        <w:t>Устекинумаб преминава през плацентата и се открива в серума на кърмачета, родени от жени, лекувани с устекинумаб по време на бременността. Клиничното въздействие на този факт не е известно, но рискът от инфекция при кърмачета с експозиция на устекинумаб</w:t>
      </w:r>
      <w:r>
        <w:rPr>
          <w:i/>
          <w:iCs/>
        </w:rPr>
        <w:t xml:space="preserve"> in utero</w:t>
      </w:r>
      <w:r>
        <w:t xml:space="preserve"> може да бъде повишен след раждането. 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4.4 и 4.5).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C9E4" w14:textId="77777777" w:rsidR="009B3384" w:rsidRDefault="009B3384">
      <w:pPr>
        <w:tabs>
          <w:tab w:val="clear" w:pos="567"/>
        </w:tabs>
      </w:pPr>
    </w:p>
    <w:p w14:paraId="109AC9E5" w14:textId="77777777" w:rsidR="009B3384" w:rsidRDefault="00800862">
      <w:pPr>
        <w:keepNext/>
        <w:tabs>
          <w:tab w:val="clear" w:pos="567"/>
        </w:tabs>
        <w:rPr>
          <w:u w:val="single"/>
        </w:rPr>
      </w:pPr>
      <w:r>
        <w:rPr>
          <w:u w:val="single"/>
        </w:rPr>
        <w:t>Кърмене</w:t>
      </w:r>
    </w:p>
    <w:p w14:paraId="109AC9E6" w14:textId="77777777" w:rsidR="009B3384" w:rsidRDefault="00800862">
      <w:pPr>
        <w:tabs>
          <w:tab w:val="clear" w:pos="567"/>
        </w:tabs>
      </w:pPr>
      <w:r>
        <w:t>Ограничени данни, публикувани в литературата, показват, че устекинумаб се екскретира в човешката кърма в много малки количества. Не е известно дали устекинумаб се абсорбира системно след поглъщане. Поради потенциала за проява на нежелани лекарствени реакции към устекинумаб при кърмачетата, трябва да се вземе решение дали да се преустанови кърменето по време на лечение и до 15 седмици след лечението, или да се преустанови терапията със STELARA, като се вземат предвид ползата от кърменето за детето и ползата от терапията със STELARA за жената.</w:t>
      </w:r>
    </w:p>
    <w:p w14:paraId="109AC9E7" w14:textId="77777777" w:rsidR="009B3384" w:rsidRDefault="009B3384">
      <w:pPr>
        <w:tabs>
          <w:tab w:val="clear" w:pos="567"/>
        </w:tabs>
      </w:pPr>
    </w:p>
    <w:p w14:paraId="109AC9E8" w14:textId="77777777" w:rsidR="009B3384" w:rsidRDefault="00800862">
      <w:pPr>
        <w:keepNext/>
        <w:tabs>
          <w:tab w:val="clear" w:pos="567"/>
        </w:tabs>
        <w:rPr>
          <w:u w:val="single"/>
        </w:rPr>
      </w:pPr>
      <w:r>
        <w:rPr>
          <w:u w:val="single"/>
        </w:rPr>
        <w:t>Фертилитет</w:t>
      </w:r>
    </w:p>
    <w:p w14:paraId="109AC9E9" w14:textId="77777777" w:rsidR="009B3384" w:rsidRDefault="00800862">
      <w:pPr>
        <w:tabs>
          <w:tab w:val="clear" w:pos="567"/>
        </w:tabs>
      </w:pPr>
      <w:r>
        <w:t>Ефектът на устекинумаб върху фертилитета при хора не е оценен (вж. точка 5.3).</w:t>
      </w:r>
    </w:p>
    <w:p w14:paraId="109AC9EA" w14:textId="77777777" w:rsidR="009B3384" w:rsidRDefault="009B3384">
      <w:pPr>
        <w:tabs>
          <w:tab w:val="clear" w:pos="567"/>
        </w:tabs>
      </w:pPr>
    </w:p>
    <w:p w14:paraId="109AC9EB" w14:textId="77777777" w:rsidR="009B3384" w:rsidRDefault="00800862">
      <w:pPr>
        <w:keepNext/>
        <w:ind w:left="567" w:hanging="567"/>
        <w:outlineLvl w:val="2"/>
        <w:rPr>
          <w:b/>
          <w:bCs/>
        </w:rPr>
      </w:pPr>
      <w:r>
        <w:rPr>
          <w:b/>
          <w:bCs/>
        </w:rPr>
        <w:t>4.7</w:t>
      </w:r>
      <w:r>
        <w:rPr>
          <w:b/>
          <w:bCs/>
        </w:rPr>
        <w:tab/>
        <w:t>Ефекти върху способността за шофиране и работа с машини</w:t>
      </w:r>
    </w:p>
    <w:p w14:paraId="109AC9EC" w14:textId="77777777" w:rsidR="009B3384" w:rsidRDefault="009B3384">
      <w:pPr>
        <w:keepNext/>
        <w:tabs>
          <w:tab w:val="clear" w:pos="567"/>
        </w:tabs>
      </w:pPr>
    </w:p>
    <w:p w14:paraId="109AC9ED" w14:textId="77777777" w:rsidR="009B3384" w:rsidRDefault="00800862">
      <w:r>
        <w:rPr>
          <w:lang w:val="en-US"/>
        </w:rPr>
        <w:t>STELARA</w:t>
      </w:r>
      <w:r>
        <w:t xml:space="preserve"> не повлиява или повлиява пренебрежимо способността за шофиране и работа с машини.</w:t>
      </w:r>
    </w:p>
    <w:p w14:paraId="109AC9EE" w14:textId="77777777" w:rsidR="009B3384" w:rsidRDefault="009B3384">
      <w:pPr>
        <w:tabs>
          <w:tab w:val="clear" w:pos="567"/>
        </w:tabs>
      </w:pPr>
    </w:p>
    <w:p w14:paraId="109AC9EF" w14:textId="77777777" w:rsidR="009B3384" w:rsidRDefault="00800862">
      <w:pPr>
        <w:keepNext/>
        <w:ind w:left="567" w:hanging="567"/>
        <w:outlineLvl w:val="2"/>
        <w:rPr>
          <w:b/>
          <w:bCs/>
        </w:rPr>
      </w:pPr>
      <w:r>
        <w:rPr>
          <w:b/>
          <w:bCs/>
        </w:rPr>
        <w:t>4.8</w:t>
      </w:r>
      <w:r>
        <w:rPr>
          <w:b/>
          <w:bCs/>
        </w:rPr>
        <w:tab/>
        <w:t>Нежелани лекарствени реакции</w:t>
      </w:r>
    </w:p>
    <w:p w14:paraId="109AC9F0" w14:textId="77777777" w:rsidR="009B3384" w:rsidRDefault="009B3384">
      <w:pPr>
        <w:keepNext/>
        <w:rPr>
          <w:iCs/>
        </w:rPr>
      </w:pPr>
    </w:p>
    <w:p w14:paraId="109AC9F1" w14:textId="77777777" w:rsidR="009B3384" w:rsidRDefault="00800862">
      <w:pPr>
        <w:keepNext/>
        <w:tabs>
          <w:tab w:val="clear" w:pos="567"/>
        </w:tabs>
        <w:rPr>
          <w:bCs/>
          <w:u w:val="single"/>
        </w:rPr>
      </w:pPr>
      <w:r>
        <w:rPr>
          <w:bCs/>
          <w:u w:val="single"/>
        </w:rPr>
        <w:t>Обобщение на профила на безопасност</w:t>
      </w:r>
    </w:p>
    <w:p w14:paraId="109AC9F2" w14:textId="4F2695B4" w:rsidR="009B3384" w:rsidRDefault="00800862">
      <w:pPr>
        <w:tabs>
          <w:tab w:val="clear" w:pos="567"/>
        </w:tabs>
        <w:rPr>
          <w:bCs/>
        </w:rPr>
      </w:pPr>
      <w:r>
        <w:rPr>
          <w:bCs/>
        </w:rPr>
        <w:t xml:space="preserve">Най-честите нежелани лекарствени реакции в контролираните периоди от клиничните проучвания при възрастни са назофарингит </w:t>
      </w:r>
      <w:bookmarkStart w:id="86" w:name="_Hlk219651419"/>
      <w:r>
        <w:rPr>
          <w:bCs/>
        </w:rPr>
        <w:t>(възникващи при 6,9% от пациентите, лекувани с устекинумаб, и при 5,4% от пациентите на плацебо)</w:t>
      </w:r>
      <w:bookmarkEnd w:id="86"/>
      <w:r>
        <w:rPr>
          <w:bCs/>
        </w:rPr>
        <w:t xml:space="preserve"> и главоболие (възникващи при 7,0% от пациентите, лекувани с устекинумаб, и при 5,2% от пациентите на плацебо). Най-сериозната нежелана лекарствена реакция, която е съобщавана за STELARA, е сериозна реакция на свръхчувствителност, включително анафилаксия (вж. точка 4.4). Общият профил на </w:t>
      </w:r>
      <w:r>
        <w:rPr>
          <w:bCs/>
        </w:rPr>
        <w:lastRenderedPageBreak/>
        <w:t xml:space="preserve">безопасност е подобен при пациенти с псориазис, псориатичен артрит, болест на </w:t>
      </w:r>
      <w:r>
        <w:rPr>
          <w:bCs/>
          <w:lang w:val="en-GB"/>
        </w:rPr>
        <w:t>Crohn</w:t>
      </w:r>
      <w:r>
        <w:rPr>
          <w:bCs/>
        </w:rPr>
        <w:t xml:space="preserve"> и </w:t>
      </w:r>
      <w:r>
        <w:t>улцерозен колит</w:t>
      </w:r>
      <w:r>
        <w:rPr>
          <w:bCs/>
        </w:rPr>
        <w:t>.</w:t>
      </w:r>
    </w:p>
    <w:p w14:paraId="109AC9F3" w14:textId="77777777" w:rsidR="009B3384" w:rsidRDefault="009B3384">
      <w:pPr>
        <w:tabs>
          <w:tab w:val="clear" w:pos="567"/>
        </w:tabs>
        <w:rPr>
          <w:bCs/>
        </w:rPr>
      </w:pPr>
    </w:p>
    <w:p w14:paraId="109AC9F4" w14:textId="77777777" w:rsidR="009B3384" w:rsidRDefault="00800862">
      <w:pPr>
        <w:keepNext/>
        <w:tabs>
          <w:tab w:val="clear" w:pos="567"/>
        </w:tabs>
        <w:rPr>
          <w:bCs/>
          <w:u w:val="single"/>
        </w:rPr>
      </w:pPr>
      <w:r>
        <w:rPr>
          <w:bCs/>
          <w:u w:val="single"/>
        </w:rPr>
        <w:t>Табличен списък на нежеланите реакции</w:t>
      </w:r>
    </w:p>
    <w:p w14:paraId="109AC9F5" w14:textId="77777777" w:rsidR="009B3384" w:rsidRDefault="00800862">
      <w:pPr>
        <w:tabs>
          <w:tab w:val="clear" w:pos="567"/>
        </w:tabs>
        <w:rPr>
          <w:bCs/>
        </w:rPr>
      </w:pPr>
      <w:r>
        <w:rPr>
          <w:bCs/>
        </w:rPr>
        <w:t>Данните за безопасност, предоставени по-долу, са получени след експозиция на устекинумаб при възрастни в 14 проучвания фаза</w:t>
      </w:r>
      <w:r>
        <w:rPr>
          <w:bCs/>
          <w:lang w:val="en-US"/>
        </w:rPr>
        <w:t> </w:t>
      </w:r>
      <w:r>
        <w:rPr>
          <w:bCs/>
        </w:rPr>
        <w:t>2 и фаза</w:t>
      </w:r>
      <w:r>
        <w:rPr>
          <w:bCs/>
          <w:lang w:val="en-US"/>
        </w:rPr>
        <w:t> </w:t>
      </w:r>
      <w:r>
        <w:rPr>
          <w:bCs/>
        </w:rPr>
        <w:t>3 при 6 710</w:t>
      </w:r>
      <w:r>
        <w:rPr>
          <w:bCs/>
          <w:lang w:val="en-US"/>
        </w:rPr>
        <w:t> </w:t>
      </w:r>
      <w:r>
        <w:rPr>
          <w:bCs/>
        </w:rPr>
        <w:t xml:space="preserve">пациенти (4 135 с псориазис и/или </w:t>
      </w:r>
      <w:r>
        <w:t xml:space="preserve">псориатичен артрит, </w:t>
      </w:r>
      <w:r>
        <w:rPr>
          <w:bCs/>
        </w:rPr>
        <w:t xml:space="preserve">1 749 с болест на </w:t>
      </w:r>
      <w:r>
        <w:rPr>
          <w:bCs/>
          <w:lang w:val="en-GB"/>
        </w:rPr>
        <w:t>Crohn</w:t>
      </w:r>
      <w:r>
        <w:rPr>
          <w:bCs/>
        </w:rPr>
        <w:t xml:space="preserve"> и 826</w:t>
      </w:r>
      <w:r>
        <w:rPr>
          <w:bCs/>
          <w:lang w:val="en-US"/>
        </w:rPr>
        <w:t> </w:t>
      </w:r>
      <w:r>
        <w:rPr>
          <w:bCs/>
        </w:rPr>
        <w:t xml:space="preserve">пациенти с </w:t>
      </w:r>
      <w:r>
        <w:t>улцерозен колит)</w:t>
      </w:r>
      <w:r>
        <w:rPr>
          <w:bCs/>
        </w:rPr>
        <w:t xml:space="preserve">. Това включва експозиция на </w:t>
      </w:r>
      <w:r>
        <w:rPr>
          <w:bCs/>
          <w:lang w:val="en-GB"/>
        </w:rPr>
        <w:t>STELARA</w:t>
      </w:r>
      <w:r>
        <w:rPr>
          <w:bCs/>
        </w:rPr>
        <w:t xml:space="preserve"> в контролираните и неконтролираните периоди на клиничните проучвания при пациенти с псориазис, псориатичен артрит, болест на </w:t>
      </w:r>
      <w:r w:rsidRPr="00BC6A43">
        <w:rPr>
          <w:bCs/>
          <w:lang w:val="en-GB"/>
        </w:rPr>
        <w:t>Crohn</w:t>
      </w:r>
      <w:r>
        <w:rPr>
          <w:bCs/>
        </w:rPr>
        <w:t xml:space="preserve"> или улцерозен колит в продължение на най-малко 6</w:t>
      </w:r>
      <w:r>
        <w:rPr>
          <w:bCs/>
          <w:lang w:val="en-GB"/>
        </w:rPr>
        <w:t> </w:t>
      </w:r>
      <w:r>
        <w:rPr>
          <w:bCs/>
        </w:rPr>
        <w:t>месеца (4</w:t>
      </w:r>
      <w:r>
        <w:rPr>
          <w:bCs/>
          <w:lang w:val="en-US"/>
        </w:rPr>
        <w:t> </w:t>
      </w:r>
      <w:r>
        <w:rPr>
          <w:bCs/>
        </w:rPr>
        <w:t>577 пациенти) или поне 1 година (3 648</w:t>
      </w:r>
      <w:r>
        <w:rPr>
          <w:bCs/>
          <w:lang w:val="en-GB"/>
        </w:rPr>
        <w:t> </w:t>
      </w:r>
      <w:r>
        <w:rPr>
          <w:bCs/>
        </w:rPr>
        <w:t xml:space="preserve">пациенти). 2 194 пациенти с псориазис, болест на </w:t>
      </w:r>
      <w:r w:rsidRPr="00BC6A43">
        <w:rPr>
          <w:bCs/>
          <w:lang w:val="en-GB"/>
        </w:rPr>
        <w:t>Crohn</w:t>
      </w:r>
      <w:r w:rsidRPr="00BC6A43">
        <w:rPr>
          <w:bCs/>
        </w:rPr>
        <w:t xml:space="preserve"> или улцерозен колит са с експозиция за поне 4 години, докато 1 148 пациенти с псориазис или болест на </w:t>
      </w:r>
      <w:r w:rsidRPr="00BC6A43">
        <w:rPr>
          <w:bCs/>
          <w:lang w:val="en-GB"/>
        </w:rPr>
        <w:t>Crohn</w:t>
      </w:r>
      <w:r w:rsidRPr="00BC6A43">
        <w:rPr>
          <w:bCs/>
        </w:rPr>
        <w:t xml:space="preserve"> са с експозиция за поне</w:t>
      </w:r>
      <w:r>
        <w:rPr>
          <w:bCs/>
        </w:rPr>
        <w:t xml:space="preserve"> 5 години.</w:t>
      </w:r>
    </w:p>
    <w:p w14:paraId="109AC9F6" w14:textId="77777777" w:rsidR="009B3384" w:rsidRDefault="009B3384">
      <w:pPr>
        <w:tabs>
          <w:tab w:val="clear" w:pos="567"/>
        </w:tabs>
        <w:rPr>
          <w:bCs/>
        </w:rPr>
      </w:pPr>
    </w:p>
    <w:p w14:paraId="109AC9F7" w14:textId="20D07600" w:rsidR="009B3384" w:rsidRDefault="00800862">
      <w:pPr>
        <w:tabs>
          <w:tab w:val="clear" w:pos="567"/>
        </w:tabs>
      </w:pPr>
      <w:r>
        <w:rPr>
          <w:bCs/>
        </w:rPr>
        <w:t>В таблица </w:t>
      </w:r>
      <w:r w:rsidRPr="00BC6A43">
        <w:rPr>
          <w:bCs/>
        </w:rPr>
        <w:t>4</w:t>
      </w:r>
      <w:r>
        <w:rPr>
          <w:bCs/>
        </w:rPr>
        <w:t xml:space="preserve"> е показан списък с нежеланите лекарствени реакции от клинични проучвания при възрастни с псориазис, </w:t>
      </w:r>
      <w:r>
        <w:t>псориатичен артрит,</w:t>
      </w:r>
      <w:r>
        <w:rPr>
          <w:bCs/>
        </w:rPr>
        <w:t xml:space="preserve"> болест на Crohn и </w:t>
      </w:r>
      <w:r>
        <w:t>улцерозен колит</w:t>
      </w:r>
      <w:r>
        <w:rPr>
          <w:bCs/>
        </w:rPr>
        <w:t>, както и нежеланите реакции от постмаркетинговата употреба. Нежеланите реакции са класифицирани по системо-органни класове и честота съгласно следната конвенция: Много чести (≥ 1/10), Чести (≥ 1/100 до &lt; 1/10), Нечести (≥ 1/1 000 до &lt; 1/100), Редки (≥ 1/10 000 до &lt; 1/</w:t>
      </w:r>
      <w:r>
        <w:rPr>
          <w:szCs w:val="22"/>
        </w:rPr>
        <w:t>1 000), Много редки (&lt; 1/10 000), с неизвестна честота (от наличните</w:t>
      </w:r>
      <w:r>
        <w:t xml:space="preserve"> данни не може да бъде направена оценка). При всяко групиране в зависимост от честотата нежеланите </w:t>
      </w:r>
      <w:r>
        <w:rPr>
          <w:bCs/>
        </w:rPr>
        <w:t xml:space="preserve">лекарствени реакции </w:t>
      </w:r>
      <w:r>
        <w:t>се изброяват в низходящ ред по отношение на тяхната сериозност.</w:t>
      </w:r>
    </w:p>
    <w:p w14:paraId="109AC9F8" w14:textId="77777777" w:rsidR="009B3384" w:rsidRDefault="009B3384"/>
    <w:p w14:paraId="109AC9F9" w14:textId="3D669A04" w:rsidR="009B3384" w:rsidRDefault="00800862">
      <w:pPr>
        <w:keepNext/>
        <w:tabs>
          <w:tab w:val="clear" w:pos="567"/>
        </w:tabs>
        <w:rPr>
          <w:i/>
        </w:rPr>
      </w:pPr>
      <w:r>
        <w:rPr>
          <w:i/>
        </w:rPr>
        <w:t>Таблица </w:t>
      </w:r>
      <w:r>
        <w:rPr>
          <w:i/>
          <w:lang w:val="en-US"/>
        </w:rPr>
        <w:t>4</w:t>
      </w:r>
      <w:ins w:id="87" w:author="RABG09" w:date="2026-06-24T16:46:00Z">
        <w:r w:rsidR="00AF3617">
          <w:rPr>
            <w:i/>
          </w:rPr>
          <w:t>:</w:t>
        </w:r>
      </w:ins>
      <w:r>
        <w:rPr>
          <w:i/>
        </w:rPr>
        <w:tab/>
      </w:r>
      <w:r>
        <w:rPr>
          <w:i/>
          <w:iCs/>
        </w:rPr>
        <w:t>Списък на нежелани реакции</w:t>
      </w:r>
    </w:p>
    <w:tbl>
      <w:tblPr>
        <w:tblW w:w="9072" w:type="dxa"/>
        <w:jc w:val="center"/>
        <w:tblLayout w:type="fixed"/>
        <w:tblLook w:val="0000" w:firstRow="0" w:lastRow="0" w:firstColumn="0" w:lastColumn="0" w:noHBand="0" w:noVBand="0"/>
      </w:tblPr>
      <w:tblGrid>
        <w:gridCol w:w="2698"/>
        <w:gridCol w:w="6374"/>
      </w:tblGrid>
      <w:tr w:rsidR="009B3384" w14:paraId="109AC9FC" w14:textId="77777777">
        <w:trPr>
          <w:cantSplit/>
          <w:jc w:val="center"/>
        </w:trPr>
        <w:tc>
          <w:tcPr>
            <w:tcW w:w="2698" w:type="dxa"/>
            <w:tcBorders>
              <w:top w:val="single" w:sz="4" w:space="0" w:color="000000"/>
              <w:left w:val="single" w:sz="4" w:space="0" w:color="000000"/>
              <w:bottom w:val="single" w:sz="4" w:space="0" w:color="000000"/>
            </w:tcBorders>
          </w:tcPr>
          <w:p w14:paraId="109AC9FA" w14:textId="77777777" w:rsidR="009B3384" w:rsidRDefault="00800862">
            <w:pPr>
              <w:keepNext/>
              <w:widowControl w:val="0"/>
              <w:rPr>
                <w:b/>
                <w:bCs/>
              </w:rPr>
            </w:pPr>
            <w:r>
              <w:rPr>
                <w:b/>
                <w:bCs/>
              </w:rPr>
              <w:t>Системо-органни класове</w:t>
            </w:r>
          </w:p>
        </w:tc>
        <w:tc>
          <w:tcPr>
            <w:tcW w:w="6373" w:type="dxa"/>
            <w:tcBorders>
              <w:top w:val="single" w:sz="4" w:space="0" w:color="000000"/>
              <w:bottom w:val="single" w:sz="4" w:space="0" w:color="000000"/>
              <w:right w:val="single" w:sz="4" w:space="0" w:color="000000"/>
            </w:tcBorders>
          </w:tcPr>
          <w:p w14:paraId="109AC9FB" w14:textId="77777777" w:rsidR="009B3384" w:rsidRDefault="00800862">
            <w:pPr>
              <w:keepNext/>
              <w:widowControl w:val="0"/>
              <w:rPr>
                <w:b/>
                <w:bCs/>
              </w:rPr>
            </w:pPr>
            <w:r>
              <w:rPr>
                <w:b/>
                <w:bCs/>
              </w:rPr>
              <w:t>Честота: Нежелани реакции</w:t>
            </w:r>
          </w:p>
        </w:tc>
      </w:tr>
      <w:tr w:rsidR="009B3384" w14:paraId="109ACA01" w14:textId="77777777">
        <w:trPr>
          <w:cantSplit/>
          <w:jc w:val="center"/>
        </w:trPr>
        <w:tc>
          <w:tcPr>
            <w:tcW w:w="2698" w:type="dxa"/>
            <w:tcBorders>
              <w:top w:val="single" w:sz="4" w:space="0" w:color="000000"/>
              <w:left w:val="single" w:sz="4" w:space="0" w:color="000000"/>
              <w:bottom w:val="single" w:sz="4" w:space="0" w:color="000000"/>
            </w:tcBorders>
          </w:tcPr>
          <w:p w14:paraId="109AC9FD" w14:textId="77777777" w:rsidR="009B3384" w:rsidRDefault="00800862">
            <w:pPr>
              <w:widowControl w:val="0"/>
              <w:rPr>
                <w:sz w:val="20"/>
              </w:rPr>
            </w:pPr>
            <w:r>
              <w:t>Инфекции и инфестации</w:t>
            </w:r>
          </w:p>
        </w:tc>
        <w:tc>
          <w:tcPr>
            <w:tcW w:w="6373" w:type="dxa"/>
            <w:tcBorders>
              <w:top w:val="single" w:sz="4" w:space="0" w:color="000000"/>
              <w:bottom w:val="single" w:sz="4" w:space="0" w:color="000000"/>
              <w:right w:val="single" w:sz="4" w:space="0" w:color="000000"/>
            </w:tcBorders>
          </w:tcPr>
          <w:p w14:paraId="109AC9FE" w14:textId="77777777" w:rsidR="009B3384" w:rsidRDefault="00800862">
            <w:pPr>
              <w:widowControl w:val="0"/>
            </w:pPr>
            <w:r>
              <w:t>Чести: инфекция на горните дихателни пътища, назофарингит, синузит</w:t>
            </w:r>
          </w:p>
          <w:p w14:paraId="109AC9FF" w14:textId="77777777" w:rsidR="009B3384" w:rsidRDefault="00800862">
            <w:pPr>
              <w:widowControl w:val="0"/>
            </w:pPr>
            <w:r>
              <w:t>Нечести: целулит, дентални инфекции, херпес зостер, инфекция на долните дихателни пътища, вирусни инфекции на горните дихателни пътища, вулвовагинална микотична инфекция</w:t>
            </w:r>
          </w:p>
          <w:p w14:paraId="109ACA00" w14:textId="77777777" w:rsidR="009B3384" w:rsidRDefault="009B3384">
            <w:pPr>
              <w:widowControl w:val="0"/>
            </w:pPr>
          </w:p>
        </w:tc>
      </w:tr>
      <w:tr w:rsidR="009B3384" w14:paraId="109ACA06" w14:textId="77777777">
        <w:trPr>
          <w:cantSplit/>
          <w:jc w:val="center"/>
        </w:trPr>
        <w:tc>
          <w:tcPr>
            <w:tcW w:w="2698" w:type="dxa"/>
            <w:tcBorders>
              <w:top w:val="single" w:sz="4" w:space="0" w:color="000000"/>
              <w:left w:val="single" w:sz="4" w:space="0" w:color="000000"/>
              <w:bottom w:val="single" w:sz="4" w:space="0" w:color="000000"/>
            </w:tcBorders>
          </w:tcPr>
          <w:p w14:paraId="109ACA02" w14:textId="77777777" w:rsidR="009B3384" w:rsidRDefault="00800862">
            <w:pPr>
              <w:widowControl w:val="0"/>
            </w:pPr>
            <w:r>
              <w:t>Нарушения на имунната система</w:t>
            </w:r>
          </w:p>
        </w:tc>
        <w:tc>
          <w:tcPr>
            <w:tcW w:w="6373" w:type="dxa"/>
            <w:tcBorders>
              <w:top w:val="single" w:sz="4" w:space="0" w:color="000000"/>
              <w:bottom w:val="single" w:sz="4" w:space="0" w:color="000000"/>
              <w:right w:val="single" w:sz="4" w:space="0" w:color="000000"/>
            </w:tcBorders>
          </w:tcPr>
          <w:p w14:paraId="109ACA03" w14:textId="77777777" w:rsidR="009B3384" w:rsidRDefault="00800862">
            <w:pPr>
              <w:widowControl w:val="0"/>
            </w:pPr>
            <w:r>
              <w:t>Нечести: реакции на свръхчувствителност (включително обрив, уртикария)</w:t>
            </w:r>
          </w:p>
          <w:p w14:paraId="109ACA04" w14:textId="77777777" w:rsidR="009B3384" w:rsidRDefault="00800862">
            <w:pPr>
              <w:widowControl w:val="0"/>
            </w:pPr>
            <w:r>
              <w:t>Редки: сериозни реакции на свръхчувствителност (включително анафилаксия, ангиоедем)</w:t>
            </w:r>
          </w:p>
          <w:p w14:paraId="109ACA05" w14:textId="77777777" w:rsidR="009B3384" w:rsidRDefault="009B3384">
            <w:pPr>
              <w:widowControl w:val="0"/>
            </w:pPr>
          </w:p>
        </w:tc>
      </w:tr>
      <w:tr w:rsidR="009B3384" w14:paraId="109ACA0A" w14:textId="77777777">
        <w:trPr>
          <w:cantSplit/>
          <w:jc w:val="center"/>
        </w:trPr>
        <w:tc>
          <w:tcPr>
            <w:tcW w:w="2698" w:type="dxa"/>
            <w:tcBorders>
              <w:top w:val="single" w:sz="4" w:space="0" w:color="000000"/>
              <w:left w:val="single" w:sz="4" w:space="0" w:color="000000"/>
              <w:bottom w:val="single" w:sz="4" w:space="0" w:color="000000"/>
            </w:tcBorders>
          </w:tcPr>
          <w:p w14:paraId="109ACA07" w14:textId="77777777" w:rsidR="009B3384" w:rsidRDefault="00800862">
            <w:pPr>
              <w:widowControl w:val="0"/>
              <w:rPr>
                <w:sz w:val="20"/>
              </w:rPr>
            </w:pPr>
            <w:r>
              <w:t>Психични нарушения</w:t>
            </w:r>
          </w:p>
        </w:tc>
        <w:tc>
          <w:tcPr>
            <w:tcW w:w="6373" w:type="dxa"/>
            <w:tcBorders>
              <w:top w:val="single" w:sz="4" w:space="0" w:color="000000"/>
              <w:bottom w:val="single" w:sz="4" w:space="0" w:color="000000"/>
              <w:right w:val="single" w:sz="4" w:space="0" w:color="000000"/>
            </w:tcBorders>
          </w:tcPr>
          <w:p w14:paraId="109ACA08" w14:textId="77777777" w:rsidR="009B3384" w:rsidRDefault="00800862">
            <w:pPr>
              <w:widowControl w:val="0"/>
            </w:pPr>
            <w:r>
              <w:t>Нечести: депресия</w:t>
            </w:r>
          </w:p>
          <w:p w14:paraId="109ACA09" w14:textId="77777777" w:rsidR="009B3384" w:rsidRDefault="009B3384">
            <w:pPr>
              <w:widowControl w:val="0"/>
            </w:pPr>
          </w:p>
        </w:tc>
      </w:tr>
      <w:tr w:rsidR="009B3384" w14:paraId="109ACA0F" w14:textId="77777777">
        <w:trPr>
          <w:cantSplit/>
          <w:jc w:val="center"/>
        </w:trPr>
        <w:tc>
          <w:tcPr>
            <w:tcW w:w="2698" w:type="dxa"/>
            <w:tcBorders>
              <w:top w:val="single" w:sz="4" w:space="0" w:color="000000"/>
              <w:left w:val="single" w:sz="4" w:space="0" w:color="000000"/>
              <w:bottom w:val="single" w:sz="4" w:space="0" w:color="000000"/>
            </w:tcBorders>
          </w:tcPr>
          <w:p w14:paraId="109ACA0B" w14:textId="77777777" w:rsidR="009B3384" w:rsidRDefault="00800862">
            <w:pPr>
              <w:widowControl w:val="0"/>
              <w:rPr>
                <w:sz w:val="20"/>
              </w:rPr>
            </w:pPr>
            <w:r>
              <w:rPr>
                <w:bCs/>
              </w:rPr>
              <w:t>Нарушения на нервната система</w:t>
            </w:r>
          </w:p>
        </w:tc>
        <w:tc>
          <w:tcPr>
            <w:tcW w:w="6373" w:type="dxa"/>
            <w:tcBorders>
              <w:top w:val="single" w:sz="4" w:space="0" w:color="000000"/>
              <w:bottom w:val="single" w:sz="4" w:space="0" w:color="000000"/>
              <w:right w:val="single" w:sz="4" w:space="0" w:color="000000"/>
            </w:tcBorders>
          </w:tcPr>
          <w:p w14:paraId="109ACA0C" w14:textId="77777777" w:rsidR="009B3384" w:rsidRDefault="00800862">
            <w:pPr>
              <w:widowControl w:val="0"/>
            </w:pPr>
            <w:r>
              <w:t>Чести: замайване, главоболие</w:t>
            </w:r>
          </w:p>
          <w:p w14:paraId="109ACA0D" w14:textId="77777777" w:rsidR="009B3384" w:rsidRDefault="00800862">
            <w:pPr>
              <w:widowControl w:val="0"/>
            </w:pPr>
            <w:r>
              <w:t>Нечести: лицева парализа</w:t>
            </w:r>
          </w:p>
          <w:p w14:paraId="109ACA0E" w14:textId="77777777" w:rsidR="009B3384" w:rsidRDefault="009B3384">
            <w:pPr>
              <w:widowControl w:val="0"/>
            </w:pPr>
          </w:p>
        </w:tc>
      </w:tr>
      <w:tr w:rsidR="009B3384" w14:paraId="109ACA16" w14:textId="77777777">
        <w:trPr>
          <w:cantSplit/>
          <w:jc w:val="center"/>
        </w:trPr>
        <w:tc>
          <w:tcPr>
            <w:tcW w:w="2698" w:type="dxa"/>
            <w:tcBorders>
              <w:top w:val="single" w:sz="4" w:space="0" w:color="000000"/>
              <w:left w:val="single" w:sz="4" w:space="0" w:color="000000"/>
              <w:bottom w:val="single" w:sz="4" w:space="0" w:color="000000"/>
            </w:tcBorders>
          </w:tcPr>
          <w:p w14:paraId="109ACA10" w14:textId="77777777" w:rsidR="009B3384" w:rsidRDefault="00800862">
            <w:pPr>
              <w:widowControl w:val="0"/>
              <w:rPr>
                <w:sz w:val="20"/>
              </w:rPr>
            </w:pPr>
            <w:r>
              <w:t>Респираторни, гръдни и медиастинални нарушения</w:t>
            </w:r>
          </w:p>
        </w:tc>
        <w:tc>
          <w:tcPr>
            <w:tcW w:w="6373" w:type="dxa"/>
            <w:tcBorders>
              <w:top w:val="single" w:sz="4" w:space="0" w:color="000000"/>
              <w:bottom w:val="single" w:sz="4" w:space="0" w:color="000000"/>
              <w:right w:val="single" w:sz="4" w:space="0" w:color="000000"/>
            </w:tcBorders>
          </w:tcPr>
          <w:p w14:paraId="109ACA11" w14:textId="77777777" w:rsidR="009B3384" w:rsidRDefault="00800862">
            <w:pPr>
              <w:widowControl w:val="0"/>
            </w:pPr>
            <w:r>
              <w:t>Чести: орофарингеална болка</w:t>
            </w:r>
          </w:p>
          <w:p w14:paraId="109ACA12" w14:textId="77777777" w:rsidR="009B3384" w:rsidRDefault="00800862">
            <w:pPr>
              <w:widowControl w:val="0"/>
            </w:pPr>
            <w:r>
              <w:t>Нечести: назална конгестия</w:t>
            </w:r>
          </w:p>
          <w:p w14:paraId="109ACA13" w14:textId="77777777" w:rsidR="009B3384" w:rsidRDefault="00800862">
            <w:pPr>
              <w:widowControl w:val="0"/>
            </w:pPr>
            <w:r>
              <w:t>Редки: алергичен алвеолит, еозинофилна пневмония</w:t>
            </w:r>
          </w:p>
          <w:p w14:paraId="109ACA14" w14:textId="77777777" w:rsidR="009B3384" w:rsidRDefault="00800862">
            <w:pPr>
              <w:widowControl w:val="0"/>
            </w:pPr>
            <w:r>
              <w:t>Много редки: организираща пмевмония*</w:t>
            </w:r>
          </w:p>
          <w:p w14:paraId="109ACA15" w14:textId="77777777" w:rsidR="009B3384" w:rsidRDefault="009B3384">
            <w:pPr>
              <w:widowControl w:val="0"/>
            </w:pPr>
          </w:p>
        </w:tc>
      </w:tr>
      <w:tr w:rsidR="009B3384" w14:paraId="109ACA1A" w14:textId="77777777">
        <w:trPr>
          <w:cantSplit/>
          <w:jc w:val="center"/>
        </w:trPr>
        <w:tc>
          <w:tcPr>
            <w:tcW w:w="2698" w:type="dxa"/>
            <w:tcBorders>
              <w:top w:val="single" w:sz="4" w:space="0" w:color="000000"/>
              <w:left w:val="single" w:sz="4" w:space="0" w:color="000000"/>
              <w:bottom w:val="single" w:sz="4" w:space="0" w:color="000000"/>
            </w:tcBorders>
          </w:tcPr>
          <w:p w14:paraId="109ACA17" w14:textId="77777777" w:rsidR="009B3384" w:rsidRDefault="00800862">
            <w:pPr>
              <w:widowControl w:val="0"/>
            </w:pPr>
            <w:r>
              <w:t>Стомашно-чревни нарушения</w:t>
            </w:r>
          </w:p>
        </w:tc>
        <w:tc>
          <w:tcPr>
            <w:tcW w:w="6373" w:type="dxa"/>
            <w:tcBorders>
              <w:top w:val="single" w:sz="4" w:space="0" w:color="000000"/>
              <w:bottom w:val="single" w:sz="4" w:space="0" w:color="000000"/>
              <w:right w:val="single" w:sz="4" w:space="0" w:color="000000"/>
            </w:tcBorders>
          </w:tcPr>
          <w:p w14:paraId="109ACA18" w14:textId="77777777" w:rsidR="009B3384" w:rsidRDefault="00800862">
            <w:pPr>
              <w:widowControl w:val="0"/>
            </w:pPr>
            <w:r>
              <w:t>Чести: диария, гадене, повръщане</w:t>
            </w:r>
          </w:p>
          <w:p w14:paraId="109ACA19" w14:textId="77777777" w:rsidR="009B3384" w:rsidRDefault="009B3384">
            <w:pPr>
              <w:widowControl w:val="0"/>
            </w:pPr>
          </w:p>
        </w:tc>
      </w:tr>
      <w:tr w:rsidR="009B3384" w14:paraId="109ACA21" w14:textId="77777777">
        <w:trPr>
          <w:cantSplit/>
          <w:jc w:val="center"/>
        </w:trPr>
        <w:tc>
          <w:tcPr>
            <w:tcW w:w="2698" w:type="dxa"/>
            <w:tcBorders>
              <w:top w:val="single" w:sz="4" w:space="0" w:color="000000"/>
              <w:left w:val="single" w:sz="4" w:space="0" w:color="000000"/>
              <w:bottom w:val="single" w:sz="4" w:space="0" w:color="000000"/>
            </w:tcBorders>
          </w:tcPr>
          <w:p w14:paraId="109ACA1B" w14:textId="77777777" w:rsidR="009B3384" w:rsidRDefault="00800862">
            <w:pPr>
              <w:widowControl w:val="0"/>
              <w:rPr>
                <w:sz w:val="20"/>
              </w:rPr>
            </w:pPr>
            <w:r>
              <w:t>Нарушения на кожата и подкожната тъкан</w:t>
            </w:r>
          </w:p>
        </w:tc>
        <w:tc>
          <w:tcPr>
            <w:tcW w:w="6373" w:type="dxa"/>
            <w:tcBorders>
              <w:top w:val="single" w:sz="4" w:space="0" w:color="000000"/>
              <w:bottom w:val="single" w:sz="4" w:space="0" w:color="000000"/>
              <w:right w:val="single" w:sz="4" w:space="0" w:color="000000"/>
            </w:tcBorders>
          </w:tcPr>
          <w:p w14:paraId="109ACA1C" w14:textId="77777777" w:rsidR="009B3384" w:rsidRDefault="00800862">
            <w:pPr>
              <w:widowControl w:val="0"/>
            </w:pPr>
            <w:r>
              <w:t>Чести: сърбеж</w:t>
            </w:r>
          </w:p>
          <w:p w14:paraId="109ACA1D" w14:textId="77777777" w:rsidR="009B3384" w:rsidRDefault="00800862">
            <w:pPr>
              <w:widowControl w:val="0"/>
              <w:rPr>
                <w:bCs/>
              </w:rPr>
            </w:pPr>
            <w:r>
              <w:rPr>
                <w:bCs/>
              </w:rPr>
              <w:t>Нечести: пустулозен псориазис, ексфолиация на кожата, акне</w:t>
            </w:r>
          </w:p>
          <w:p w14:paraId="109ACA1E" w14:textId="77777777" w:rsidR="009B3384" w:rsidRDefault="00800862">
            <w:pPr>
              <w:widowControl w:val="0"/>
              <w:rPr>
                <w:bCs/>
              </w:rPr>
            </w:pPr>
            <w:r>
              <w:rPr>
                <w:bCs/>
              </w:rPr>
              <w:t>Редки: ексфолиативен дерматит, хиперсензитивен васкулит</w:t>
            </w:r>
          </w:p>
          <w:p w14:paraId="109ACA1F" w14:textId="77777777" w:rsidR="009B3384" w:rsidRDefault="00800862">
            <w:pPr>
              <w:widowControl w:val="0"/>
            </w:pPr>
            <w:r>
              <w:t xml:space="preserve">Много редки: булозен пемфигоид, </w:t>
            </w:r>
            <w:r>
              <w:rPr>
                <w:szCs w:val="22"/>
              </w:rPr>
              <w:t>кожен лупус еритематодес</w:t>
            </w:r>
          </w:p>
          <w:p w14:paraId="109ACA20" w14:textId="77777777" w:rsidR="009B3384" w:rsidRDefault="009B3384">
            <w:pPr>
              <w:widowControl w:val="0"/>
            </w:pPr>
          </w:p>
        </w:tc>
      </w:tr>
      <w:tr w:rsidR="009B3384" w14:paraId="109ACA25" w14:textId="77777777">
        <w:trPr>
          <w:cantSplit/>
          <w:jc w:val="center"/>
        </w:trPr>
        <w:tc>
          <w:tcPr>
            <w:tcW w:w="2698" w:type="dxa"/>
            <w:tcBorders>
              <w:top w:val="single" w:sz="4" w:space="0" w:color="000000"/>
              <w:left w:val="single" w:sz="4" w:space="0" w:color="000000"/>
              <w:bottom w:val="single" w:sz="4" w:space="0" w:color="000000"/>
            </w:tcBorders>
          </w:tcPr>
          <w:p w14:paraId="109ACA22" w14:textId="77777777" w:rsidR="009B3384" w:rsidRDefault="00800862">
            <w:pPr>
              <w:widowControl w:val="0"/>
              <w:rPr>
                <w:sz w:val="20"/>
              </w:rPr>
            </w:pPr>
            <w:r>
              <w:t>Нарушения на мускулно-скелетната система и съединителната тъкан</w:t>
            </w:r>
          </w:p>
        </w:tc>
        <w:tc>
          <w:tcPr>
            <w:tcW w:w="6373" w:type="dxa"/>
            <w:tcBorders>
              <w:top w:val="single" w:sz="4" w:space="0" w:color="000000"/>
              <w:bottom w:val="single" w:sz="4" w:space="0" w:color="000000"/>
              <w:right w:val="single" w:sz="4" w:space="0" w:color="000000"/>
            </w:tcBorders>
          </w:tcPr>
          <w:p w14:paraId="109ACA23" w14:textId="77777777" w:rsidR="009B3384" w:rsidRDefault="00800862">
            <w:pPr>
              <w:widowControl w:val="0"/>
            </w:pPr>
            <w:r>
              <w:t>Чести: болки в гърба, миалгия, артралгия</w:t>
            </w:r>
          </w:p>
          <w:p w14:paraId="109ACA24" w14:textId="77777777" w:rsidR="009B3384" w:rsidRDefault="00800862">
            <w:pPr>
              <w:widowControl w:val="0"/>
            </w:pPr>
            <w:r>
              <w:t xml:space="preserve">Много редки: </w:t>
            </w:r>
            <w:r>
              <w:rPr>
                <w:szCs w:val="22"/>
              </w:rPr>
              <w:t>лупус-подобен синдром</w:t>
            </w:r>
          </w:p>
        </w:tc>
      </w:tr>
      <w:tr w:rsidR="009B3384" w14:paraId="109ACA2A" w14:textId="77777777">
        <w:trPr>
          <w:cantSplit/>
          <w:jc w:val="center"/>
        </w:trPr>
        <w:tc>
          <w:tcPr>
            <w:tcW w:w="2698" w:type="dxa"/>
            <w:tcBorders>
              <w:top w:val="single" w:sz="4" w:space="0" w:color="000000"/>
              <w:left w:val="single" w:sz="4" w:space="0" w:color="000000"/>
              <w:bottom w:val="single" w:sz="4" w:space="0" w:color="000000"/>
            </w:tcBorders>
          </w:tcPr>
          <w:p w14:paraId="109ACA26" w14:textId="77777777" w:rsidR="009B3384" w:rsidRDefault="00800862">
            <w:pPr>
              <w:widowControl w:val="0"/>
            </w:pPr>
            <w:r>
              <w:lastRenderedPageBreak/>
              <w:t>Общи нарушения и ефекти на мястото на приложение</w:t>
            </w:r>
          </w:p>
        </w:tc>
        <w:tc>
          <w:tcPr>
            <w:tcW w:w="6373" w:type="dxa"/>
            <w:tcBorders>
              <w:top w:val="single" w:sz="4" w:space="0" w:color="000000"/>
              <w:bottom w:val="single" w:sz="4" w:space="0" w:color="000000"/>
              <w:right w:val="single" w:sz="4" w:space="0" w:color="000000"/>
            </w:tcBorders>
          </w:tcPr>
          <w:p w14:paraId="109ACA27" w14:textId="77777777" w:rsidR="009B3384" w:rsidRDefault="00800862">
            <w:pPr>
              <w:widowControl w:val="0"/>
            </w:pPr>
            <w:r>
              <w:t>Чести: умора, еритема на мястото на инжектиране, болка на мястото на инжектиране</w:t>
            </w:r>
          </w:p>
          <w:p w14:paraId="109ACA28" w14:textId="77777777" w:rsidR="009B3384" w:rsidRDefault="00800862">
            <w:pPr>
              <w:widowControl w:val="0"/>
            </w:pPr>
            <w:r>
              <w:t xml:space="preserve">Нечести: реакции на мястото на инжектиране (включително </w:t>
            </w:r>
            <w:r>
              <w:rPr>
                <w:bCs/>
              </w:rPr>
              <w:t>кръвоизлив, хематом, втвърдяване, подуване</w:t>
            </w:r>
            <w:r>
              <w:t xml:space="preserve"> и сърбеж), астения</w:t>
            </w:r>
          </w:p>
          <w:p w14:paraId="109ACA29" w14:textId="77777777" w:rsidR="009B3384" w:rsidRDefault="009B3384">
            <w:pPr>
              <w:widowControl w:val="0"/>
            </w:pPr>
          </w:p>
        </w:tc>
      </w:tr>
      <w:tr w:rsidR="009B3384" w14:paraId="109ACA2C" w14:textId="77777777">
        <w:trPr>
          <w:cantSplit/>
          <w:jc w:val="center"/>
        </w:trPr>
        <w:tc>
          <w:tcPr>
            <w:tcW w:w="9071" w:type="dxa"/>
            <w:gridSpan w:val="2"/>
            <w:tcBorders>
              <w:top w:val="single" w:sz="4" w:space="0" w:color="000000"/>
            </w:tcBorders>
          </w:tcPr>
          <w:p w14:paraId="109ACA2B" w14:textId="77777777" w:rsidR="009B3384" w:rsidRDefault="00800862">
            <w:pPr>
              <w:widowControl w:val="0"/>
              <w:ind w:left="284" w:hanging="284"/>
            </w:pPr>
            <w:r>
              <w:rPr>
                <w:bCs/>
                <w:sz w:val="18"/>
                <w:szCs w:val="18"/>
              </w:rPr>
              <w:t>*</w:t>
            </w:r>
            <w:r>
              <w:rPr>
                <w:bCs/>
                <w:sz w:val="18"/>
                <w:szCs w:val="18"/>
              </w:rPr>
              <w:tab/>
              <w:t>Вижте точка</w:t>
            </w:r>
            <w:r>
              <w:rPr>
                <w:bCs/>
                <w:sz w:val="18"/>
                <w:szCs w:val="18"/>
                <w:lang w:val="en-AU"/>
              </w:rPr>
              <w:t> </w:t>
            </w:r>
            <w:r>
              <w:rPr>
                <w:bCs/>
                <w:sz w:val="18"/>
                <w:szCs w:val="18"/>
              </w:rPr>
              <w:t>4.4, Системни и респираторни реакции на свръхчувствителност.</w:t>
            </w:r>
          </w:p>
        </w:tc>
      </w:tr>
    </w:tbl>
    <w:p w14:paraId="109ACA2D" w14:textId="77777777" w:rsidR="009B3384" w:rsidRDefault="009B3384">
      <w:pPr>
        <w:tabs>
          <w:tab w:val="clear" w:pos="567"/>
        </w:tabs>
        <w:rPr>
          <w:bCs/>
        </w:rPr>
      </w:pPr>
    </w:p>
    <w:p w14:paraId="109ACA2E" w14:textId="77777777" w:rsidR="009B3384" w:rsidRDefault="00800862">
      <w:pPr>
        <w:keepNext/>
        <w:tabs>
          <w:tab w:val="clear" w:pos="567"/>
        </w:tabs>
        <w:rPr>
          <w:bCs/>
          <w:u w:val="single"/>
        </w:rPr>
      </w:pPr>
      <w:r>
        <w:rPr>
          <w:bCs/>
          <w:u w:val="single"/>
        </w:rPr>
        <w:t>Описание на избрани нежелани лекарствени реакции</w:t>
      </w:r>
    </w:p>
    <w:p w14:paraId="109ACA2F" w14:textId="77777777" w:rsidR="009B3384" w:rsidRDefault="009B3384">
      <w:pPr>
        <w:keepNext/>
        <w:tabs>
          <w:tab w:val="clear" w:pos="567"/>
        </w:tabs>
        <w:rPr>
          <w:bCs/>
          <w:u w:val="single"/>
        </w:rPr>
      </w:pPr>
    </w:p>
    <w:p w14:paraId="109ACA30" w14:textId="77777777" w:rsidR="009B3384" w:rsidRPr="00BC6A43" w:rsidRDefault="00800862">
      <w:pPr>
        <w:keepNext/>
        <w:tabs>
          <w:tab w:val="clear" w:pos="567"/>
        </w:tabs>
        <w:rPr>
          <w:bCs/>
          <w:i/>
          <w:iCs/>
          <w:u w:val="single"/>
        </w:rPr>
      </w:pPr>
      <w:r w:rsidRPr="00BC6A43">
        <w:rPr>
          <w:bCs/>
          <w:i/>
          <w:iCs/>
          <w:u w:val="single"/>
        </w:rPr>
        <w:t>Инфекции</w:t>
      </w:r>
    </w:p>
    <w:p w14:paraId="109ACA31" w14:textId="77777777" w:rsidR="009B3384" w:rsidRDefault="00800862">
      <w:pPr>
        <w:tabs>
          <w:tab w:val="clear" w:pos="567"/>
        </w:tabs>
        <w:rPr>
          <w:bCs/>
        </w:rPr>
      </w:pPr>
      <w:r>
        <w:rPr>
          <w:bCs/>
        </w:rPr>
        <w:t xml:space="preserve">В плацебо-контролирани проучвания при пациенти с псориазис, псориатичен артрит, </w:t>
      </w:r>
      <w:r>
        <w:rPr>
          <w:bCs/>
          <w:szCs w:val="16"/>
        </w:rPr>
        <w:t>болест на Crohn</w:t>
      </w:r>
      <w:r>
        <w:rPr>
          <w:bCs/>
        </w:rPr>
        <w:t xml:space="preserve"> </w:t>
      </w:r>
      <w:r>
        <w:rPr>
          <w:bCs/>
          <w:szCs w:val="16"/>
        </w:rPr>
        <w:t xml:space="preserve">и </w:t>
      </w:r>
      <w:r>
        <w:t>улцерозен колит</w:t>
      </w:r>
      <w:r>
        <w:rPr>
          <w:bCs/>
        </w:rPr>
        <w:t xml:space="preserve"> процентът на инфекциите или сериозните инфекции е сходен при пациентите, лекувани с устекинумаб, и при лекуваните с плацебо. В плацебо-контролирания период на тези клинични проучвания честотата на инфекциите е 1,36 за пациентогодина проследяване при пациенти, лекувани с устекинумаб, и 1,34 – при пациенти, лекувани с плацебо. Появилите се сериозни инфекции са с честота от 0,03 за пациентогодина проследяване при пациенти, лекувани с устекинумаб (30 сериозни инфекции за 930 пациентогодини проследяване), и 0,03 при пациенти, лекувани с плацебо (15 сериозни инфекции за 434 пациентогодини проследяване) (вж. точка 4.4).</w:t>
      </w:r>
    </w:p>
    <w:p w14:paraId="109ACA32" w14:textId="77777777" w:rsidR="009B3384" w:rsidRDefault="009B3384">
      <w:pPr>
        <w:tabs>
          <w:tab w:val="clear" w:pos="567"/>
        </w:tabs>
        <w:rPr>
          <w:bCs/>
        </w:rPr>
      </w:pPr>
    </w:p>
    <w:p w14:paraId="109ACA33" w14:textId="77777777" w:rsidR="009B3384" w:rsidRDefault="00800862">
      <w:pPr>
        <w:tabs>
          <w:tab w:val="clear" w:pos="567"/>
        </w:tabs>
        <w:rPr>
          <w:bCs/>
        </w:rPr>
      </w:pPr>
      <w:r>
        <w:rPr>
          <w:bCs/>
        </w:rPr>
        <w:t xml:space="preserve">В контролираните и неконтролираните периоди на клиничните проучвания при псориазис, псориатичен артрит, болест на </w:t>
      </w:r>
      <w:r>
        <w:rPr>
          <w:bCs/>
          <w:lang w:val="en-GB"/>
        </w:rPr>
        <w:t>Crohn</w:t>
      </w:r>
      <w:r>
        <w:rPr>
          <w:bCs/>
        </w:rPr>
        <w:t xml:space="preserve"> и </w:t>
      </w:r>
      <w:r>
        <w:t>улцерозен колит</w:t>
      </w:r>
      <w:r>
        <w:rPr>
          <w:bCs/>
        </w:rPr>
        <w:t>, представляващи 15</w:t>
      </w:r>
      <w:r>
        <w:rPr>
          <w:bCs/>
          <w:lang w:val="en-US"/>
        </w:rPr>
        <w:t> </w:t>
      </w:r>
      <w:r>
        <w:rPr>
          <w:bCs/>
        </w:rPr>
        <w:t>227 пациентогодини експозиция с устекинумаб при 6</w:t>
      </w:r>
      <w:r>
        <w:rPr>
          <w:bCs/>
          <w:lang w:val="en-US"/>
        </w:rPr>
        <w:t> </w:t>
      </w:r>
      <w:r>
        <w:rPr>
          <w:bCs/>
        </w:rPr>
        <w:t xml:space="preserve">710 пациенти, медианата на времето на проследяване е 1,2 години; 1,7 години за проучванията при псориазис, 0,6 години за проучванията при болест на </w:t>
      </w:r>
      <w:r>
        <w:rPr>
          <w:bCs/>
          <w:lang w:val="en-GB"/>
        </w:rPr>
        <w:t>Crohn</w:t>
      </w:r>
      <w:r>
        <w:rPr>
          <w:bCs/>
        </w:rPr>
        <w:t xml:space="preserve"> и 2,3 години за проучванията с </w:t>
      </w:r>
      <w:r>
        <w:t>улцерозен колит</w:t>
      </w:r>
      <w:r>
        <w:rPr>
          <w:bCs/>
        </w:rPr>
        <w:t>. Процентът на инфекциите е 0,85</w:t>
      </w:r>
      <w:r>
        <w:rPr>
          <w:bCs/>
          <w:lang w:val="en-US"/>
        </w:rPr>
        <w:t> </w:t>
      </w:r>
      <w:r>
        <w:rPr>
          <w:bCs/>
        </w:rPr>
        <w:t>за пациентогодина проследяване при пациенти, лекувани с устекинумаб, а процентът на сериозните инфекции при тях е 0,02 за пациентогодина проследяване (289 сериозни инфекции за 15 227 пациентогодини проследяване) и са докладвани сериозни инфекции, включително пневмония, анален абсцес, целулит, дивертикулит, гастроентерит и вирусни инфекции.</w:t>
      </w:r>
    </w:p>
    <w:p w14:paraId="109ACA34" w14:textId="77777777" w:rsidR="009B3384" w:rsidRDefault="009B3384">
      <w:pPr>
        <w:tabs>
          <w:tab w:val="clear" w:pos="567"/>
        </w:tabs>
        <w:rPr>
          <w:bCs/>
        </w:rPr>
      </w:pPr>
    </w:p>
    <w:p w14:paraId="109ACA35" w14:textId="77777777" w:rsidR="009B3384" w:rsidRDefault="00800862">
      <w:pPr>
        <w:tabs>
          <w:tab w:val="clear" w:pos="567"/>
        </w:tabs>
        <w:rPr>
          <w:bCs/>
        </w:rPr>
      </w:pPr>
      <w:r>
        <w:rPr>
          <w:bCs/>
        </w:rPr>
        <w:t>В проведени клинични проучвания пациенти с латентна туберкулоза, които са били едновременно лекувани с изониазид, не са развили туберкулоза.</w:t>
      </w:r>
    </w:p>
    <w:p w14:paraId="109ACA36" w14:textId="77777777" w:rsidR="009B3384" w:rsidRDefault="009B3384">
      <w:pPr>
        <w:tabs>
          <w:tab w:val="clear" w:pos="567"/>
        </w:tabs>
        <w:rPr>
          <w:bCs/>
        </w:rPr>
      </w:pPr>
    </w:p>
    <w:p w14:paraId="109ACA37" w14:textId="77777777" w:rsidR="009B3384" w:rsidRPr="00BC6A43" w:rsidRDefault="00800862">
      <w:pPr>
        <w:keepNext/>
        <w:tabs>
          <w:tab w:val="clear" w:pos="567"/>
        </w:tabs>
        <w:rPr>
          <w:bCs/>
          <w:i/>
          <w:iCs/>
          <w:u w:val="single"/>
        </w:rPr>
      </w:pPr>
      <w:r w:rsidRPr="00BC6A43">
        <w:rPr>
          <w:bCs/>
          <w:i/>
          <w:iCs/>
          <w:u w:val="single"/>
        </w:rPr>
        <w:t>Злокачествени заболявания</w:t>
      </w:r>
    </w:p>
    <w:p w14:paraId="109ACA38" w14:textId="77777777" w:rsidR="009B3384" w:rsidRDefault="00800862">
      <w:pPr>
        <w:tabs>
          <w:tab w:val="clear" w:pos="567"/>
        </w:tabs>
        <w:rPr>
          <w:bCs/>
        </w:rPr>
      </w:pPr>
      <w:r>
        <w:rPr>
          <w:bCs/>
        </w:rPr>
        <w:t xml:space="preserve">В плацебо-контролирания период на клинични проучвания при псориазис, псориатичен артрит, болест на </w:t>
      </w:r>
      <w:r>
        <w:rPr>
          <w:bCs/>
          <w:lang w:val="en-GB"/>
        </w:rPr>
        <w:t>Crohn</w:t>
      </w:r>
      <w:r>
        <w:rPr>
          <w:bCs/>
        </w:rPr>
        <w:t xml:space="preserve"> и </w:t>
      </w:r>
      <w:r>
        <w:t>улцерозен колит</w:t>
      </w:r>
      <w:r>
        <w:rPr>
          <w:bCs/>
        </w:rPr>
        <w:t xml:space="preserve"> честотата на злокачествените заболявания, с изключение на немеланомен рак на кожата, е 0,11 за 100 пациентогодини проследяване при пациенти, лекувани с устекинумаб (1 пациент за 929 пациентогодини проследяване) в сравнение с 0,23 при пациентите, лекувани с плацебо (1 пациент за 434 пациентогодини проследяване). Честотата на немеланомен рак на кожата е 0,43 за 100 пациентогодини проследяване за пациентите, лекувани с устекинумаб (4 пациенти за 929 пациентогодини проследяване) в сравнение с 0,46 при пациентите, лекувани с плацебо (2 пациенти за 433 пациентогодини проследяване).</w:t>
      </w:r>
    </w:p>
    <w:p w14:paraId="109ACA39" w14:textId="77777777" w:rsidR="009B3384" w:rsidRDefault="009B3384">
      <w:pPr>
        <w:tabs>
          <w:tab w:val="clear" w:pos="567"/>
        </w:tabs>
        <w:rPr>
          <w:bCs/>
        </w:rPr>
      </w:pPr>
    </w:p>
    <w:p w14:paraId="109ACA3A" w14:textId="77777777" w:rsidR="009B3384" w:rsidRDefault="00800862">
      <w:pPr>
        <w:tabs>
          <w:tab w:val="clear" w:pos="567"/>
        </w:tabs>
        <w:rPr>
          <w:bCs/>
        </w:rPr>
      </w:pPr>
      <w:r>
        <w:rPr>
          <w:bCs/>
        </w:rPr>
        <w:t xml:space="preserve">В контролираните и неконтролираните периоди на клиничните проучвания при псориазис, псориатичен артрит, болест на </w:t>
      </w:r>
      <w:r>
        <w:rPr>
          <w:bCs/>
          <w:lang w:val="en-GB"/>
        </w:rPr>
        <w:t>Crohn</w:t>
      </w:r>
      <w:r>
        <w:rPr>
          <w:bCs/>
        </w:rPr>
        <w:t xml:space="preserve"> и </w:t>
      </w:r>
      <w:r>
        <w:t>улцерозен колит</w:t>
      </w:r>
      <w:r>
        <w:rPr>
          <w:bCs/>
        </w:rPr>
        <w:t>, представляващи 15 </w:t>
      </w:r>
      <w:r>
        <w:t>205</w:t>
      </w:r>
      <w:r>
        <w:rPr>
          <w:bCs/>
        </w:rPr>
        <w:t> пациентогодини експозиция с устекинумаб при 6 710 пациенти, медианата на времето на проследяване е 1,2</w:t>
      </w:r>
      <w:r>
        <w:t> </w:t>
      </w:r>
      <w:r>
        <w:rPr>
          <w:bCs/>
        </w:rPr>
        <w:t xml:space="preserve">година; 1,7 години за проучванията при псориазис, 0,6 години за проучванията при болест на </w:t>
      </w:r>
      <w:r>
        <w:rPr>
          <w:bCs/>
          <w:lang w:val="en-GB"/>
        </w:rPr>
        <w:t>Crohn</w:t>
      </w:r>
      <w:r>
        <w:rPr>
          <w:bCs/>
        </w:rPr>
        <w:t xml:space="preserve"> и 2,3 години за проучванията с </w:t>
      </w:r>
      <w:r>
        <w:t>улцерозен колит</w:t>
      </w:r>
      <w:r>
        <w:rPr>
          <w:bCs/>
        </w:rPr>
        <w:t>. Злокачествени заболявания, с изключение на немеланомен рак на кожата, са докладвани при 76 пациенти за 15 205 пациентогодини на проследяване (честота от 0,50 на 100 пациентогодини на проследяване при пациенти лекувани с устекинумаб). Тези случаи на злокачествени заболявания, съобщени при пациенти, лекувани с устекинумаб, са сравними с очакваните случаи в общата популация (стандартизиран коефициент на честота</w:t>
      </w:r>
      <w:r>
        <w:rPr>
          <w:bCs/>
          <w:lang w:val="nl-BE"/>
        </w:rPr>
        <w:t> </w:t>
      </w:r>
      <w:r>
        <w:rPr>
          <w:bCs/>
        </w:rPr>
        <w:t>=</w:t>
      </w:r>
      <w:r>
        <w:rPr>
          <w:bCs/>
          <w:lang w:val="nl-BE"/>
        </w:rPr>
        <w:t> </w:t>
      </w:r>
      <w:r>
        <w:rPr>
          <w:bCs/>
        </w:rPr>
        <w:t xml:space="preserve">0,94 [95% доверителен интервал: 0,73, 1,18], коригиран за възраст, пол и раса). Най-често наблюдаваните злокачествени заболявания, различни от немеланомния карцином на кожата, са карцином на </w:t>
      </w:r>
      <w:r>
        <w:rPr>
          <w:bCs/>
        </w:rPr>
        <w:lastRenderedPageBreak/>
        <w:t>простатата, меланом, колоректален карцином и карцином на гърдата. Случаите на немеланомен карцином на кожата са 0,46 на 100 пациентогодини на проследяване при пациенти, лекувани с устекинумаб (69 пациенти за 15 165 пациентогодини на проследяване). Съотношението на пациенти с базален спрямо сквамозноклетъчен карцином на кожата (3:1) е сравнимо със съотношението в общата популация (вж. точка 4.4).</w:t>
      </w:r>
    </w:p>
    <w:p w14:paraId="109ACA3B" w14:textId="77777777" w:rsidR="009B3384" w:rsidRDefault="009B3384">
      <w:pPr>
        <w:tabs>
          <w:tab w:val="clear" w:pos="567"/>
        </w:tabs>
        <w:rPr>
          <w:bCs/>
        </w:rPr>
      </w:pPr>
    </w:p>
    <w:p w14:paraId="109ACA3C" w14:textId="77777777" w:rsidR="009B3384" w:rsidRPr="00BC6A43" w:rsidRDefault="00800862">
      <w:pPr>
        <w:keepNext/>
        <w:tabs>
          <w:tab w:val="clear" w:pos="567"/>
        </w:tabs>
        <w:rPr>
          <w:bCs/>
          <w:i/>
          <w:iCs/>
          <w:u w:val="single"/>
        </w:rPr>
      </w:pPr>
      <w:r w:rsidRPr="00BC6A43">
        <w:rPr>
          <w:bCs/>
          <w:i/>
          <w:iCs/>
          <w:u w:val="single"/>
        </w:rPr>
        <w:t>Реакции на свръхчувствителност и реакции към инфузията</w:t>
      </w:r>
    </w:p>
    <w:p w14:paraId="109ACA3D" w14:textId="1E9255F8" w:rsidR="009B3384" w:rsidRDefault="00800862">
      <w:pPr>
        <w:tabs>
          <w:tab w:val="clear" w:pos="567"/>
        </w:tabs>
        <w:rPr>
          <w:bCs/>
        </w:rPr>
      </w:pPr>
      <w:r>
        <w:rPr>
          <w:bCs/>
        </w:rPr>
        <w:t xml:space="preserve">В проучванията с интравенозна индукция при </w:t>
      </w:r>
      <w:bookmarkStart w:id="88" w:name="_Hlk219651835"/>
      <w:r>
        <w:rPr>
          <w:bCs/>
        </w:rPr>
        <w:t xml:space="preserve">възрастни с </w:t>
      </w:r>
      <w:bookmarkEnd w:id="88"/>
      <w:r>
        <w:rPr>
          <w:bCs/>
        </w:rPr>
        <w:t xml:space="preserve">болест на </w:t>
      </w:r>
      <w:r>
        <w:rPr>
          <w:bCs/>
          <w:lang w:val="en-GB"/>
        </w:rPr>
        <w:t>Crohn</w:t>
      </w:r>
      <w:r>
        <w:rPr>
          <w:bCs/>
        </w:rPr>
        <w:t xml:space="preserve"> и </w:t>
      </w:r>
      <w:r>
        <w:t>улцерозен колит</w:t>
      </w:r>
      <w:r>
        <w:rPr>
          <w:bCs/>
        </w:rPr>
        <w:t xml:space="preserve"> не се съобщават събития на анафилаксия или други сериозни реакции към инфузията след единична интравенозна доза. В тези проучвания 2,2% от 785</w:t>
      </w:r>
      <w:r>
        <w:rPr>
          <w:bCs/>
          <w:lang w:val="en-GB"/>
        </w:rPr>
        <w:t> </w:t>
      </w:r>
      <w:r>
        <w:rPr>
          <w:bCs/>
        </w:rPr>
        <w:t>пациенти, лекувани с плацебо, и 1,9% от 790</w:t>
      </w:r>
      <w:r>
        <w:rPr>
          <w:bCs/>
          <w:lang w:val="en-GB"/>
        </w:rPr>
        <w:t> </w:t>
      </w:r>
      <w:r>
        <w:rPr>
          <w:bCs/>
        </w:rPr>
        <w:t xml:space="preserve">пациенти, лекувани с препоръчителната доза устекинумаб, съобщават нежелани събития, възникнали по време на или в рамките на един час от инфузията. </w:t>
      </w:r>
      <w:bookmarkStart w:id="89" w:name="_Hlk219651969"/>
      <w:r>
        <w:rPr>
          <w:bCs/>
        </w:rPr>
        <w:t xml:space="preserve">В педиатричното проучване с болест на </w:t>
      </w:r>
      <w:r>
        <w:rPr>
          <w:bCs/>
          <w:lang w:val="en-GB"/>
        </w:rPr>
        <w:t>Crohn</w:t>
      </w:r>
      <w:r>
        <w:rPr>
          <w:bCs/>
        </w:rPr>
        <w:t xml:space="preserve"> е наблюдавана една сериозна и една несериозна реакция към инфузията. </w:t>
      </w:r>
      <w:bookmarkEnd w:id="89"/>
      <w:ins w:id="90" w:author="Reviser" w:date="2026-04-27T19:00:00Z">
        <w:r w:rsidR="00E2109D">
          <w:rPr>
            <w:bCs/>
          </w:rPr>
          <w:t xml:space="preserve">В педиатричното проучване </w:t>
        </w:r>
        <w:del w:id="91" w:author="BG" w:date="2026-06-30T13:36:00Z">
          <w:r w:rsidR="00E2109D" w:rsidDel="009B5D7A">
            <w:rPr>
              <w:bCs/>
            </w:rPr>
            <w:delText>с</w:delText>
          </w:r>
        </w:del>
      </w:ins>
      <w:ins w:id="92" w:author="BG" w:date="2026-06-30T13:36:00Z">
        <w:r w:rsidR="009B5D7A">
          <w:rPr>
            <w:bCs/>
          </w:rPr>
          <w:t>при</w:t>
        </w:r>
      </w:ins>
      <w:ins w:id="93" w:author="Reviser" w:date="2026-04-27T19:00:00Z">
        <w:r w:rsidR="00E2109D">
          <w:rPr>
            <w:bCs/>
          </w:rPr>
          <w:t xml:space="preserve"> </w:t>
        </w:r>
      </w:ins>
      <w:ins w:id="94" w:author="Reviser" w:date="2026-04-27T19:01:00Z">
        <w:r w:rsidR="00E2109D">
          <w:rPr>
            <w:bCs/>
          </w:rPr>
          <w:t>улцерозен колит</w:t>
        </w:r>
      </w:ins>
      <w:ins w:id="95" w:author="Reviser" w:date="2026-04-27T19:00:00Z">
        <w:r w:rsidR="00E2109D">
          <w:rPr>
            <w:bCs/>
          </w:rPr>
          <w:t xml:space="preserve"> </w:t>
        </w:r>
      </w:ins>
      <w:ins w:id="96" w:author="Reviser" w:date="2026-04-27T19:01:00Z">
        <w:r w:rsidR="00E2109D">
          <w:rPr>
            <w:bCs/>
          </w:rPr>
          <w:t>са</w:t>
        </w:r>
      </w:ins>
      <w:ins w:id="97" w:author="Reviser" w:date="2026-04-27T19:00:00Z">
        <w:r w:rsidR="00E2109D">
          <w:rPr>
            <w:bCs/>
          </w:rPr>
          <w:t xml:space="preserve"> наблюдаван</w:t>
        </w:r>
      </w:ins>
      <w:ins w:id="98" w:author="Reviser" w:date="2026-04-27T19:01:00Z">
        <w:r w:rsidR="00E2109D">
          <w:rPr>
            <w:bCs/>
          </w:rPr>
          <w:t>и</w:t>
        </w:r>
      </w:ins>
      <w:ins w:id="99" w:author="Reviser" w:date="2026-04-27T19:00:00Z">
        <w:r w:rsidR="00E2109D">
          <w:rPr>
            <w:bCs/>
          </w:rPr>
          <w:t xml:space="preserve"> една сериозна и </w:t>
        </w:r>
      </w:ins>
      <w:ins w:id="100" w:author="Reviser" w:date="2026-04-27T19:01:00Z">
        <w:r w:rsidR="00487E15">
          <w:rPr>
            <w:bCs/>
          </w:rPr>
          <w:t>две</w:t>
        </w:r>
      </w:ins>
      <w:ins w:id="101" w:author="Reviser" w:date="2026-04-27T19:00:00Z">
        <w:r w:rsidR="00E2109D">
          <w:rPr>
            <w:bCs/>
          </w:rPr>
          <w:t xml:space="preserve"> несериозн</w:t>
        </w:r>
      </w:ins>
      <w:ins w:id="102" w:author="Reviser" w:date="2026-04-27T19:02:00Z">
        <w:r w:rsidR="00487E15">
          <w:rPr>
            <w:bCs/>
          </w:rPr>
          <w:t>и</w:t>
        </w:r>
      </w:ins>
      <w:ins w:id="103" w:author="Reviser" w:date="2026-04-27T19:00:00Z">
        <w:r w:rsidR="00E2109D">
          <w:rPr>
            <w:bCs/>
          </w:rPr>
          <w:t xml:space="preserve"> реакци</w:t>
        </w:r>
      </w:ins>
      <w:ins w:id="104" w:author="Reviser" w:date="2026-04-27T19:02:00Z">
        <w:r w:rsidR="00487E15">
          <w:rPr>
            <w:bCs/>
          </w:rPr>
          <w:t>и</w:t>
        </w:r>
      </w:ins>
      <w:ins w:id="105" w:author="BG" w:date="2026-06-30T13:37:00Z">
        <w:r w:rsidR="009B5D7A">
          <w:rPr>
            <w:bCs/>
          </w:rPr>
          <w:t>, свързани с</w:t>
        </w:r>
      </w:ins>
      <w:ins w:id="106" w:author="Reviser" w:date="2026-04-27T19:00:00Z">
        <w:del w:id="107" w:author="BG" w:date="2026-06-30T13:37:00Z">
          <w:r w:rsidR="00E2109D" w:rsidDel="009B5D7A">
            <w:rPr>
              <w:bCs/>
            </w:rPr>
            <w:delText xml:space="preserve"> към</w:delText>
          </w:r>
        </w:del>
        <w:r w:rsidR="00E2109D">
          <w:rPr>
            <w:bCs/>
          </w:rPr>
          <w:t xml:space="preserve"> инфузията.</w:t>
        </w:r>
      </w:ins>
      <w:ins w:id="108" w:author="Reviser" w:date="2026-04-27T19:01:00Z">
        <w:r w:rsidR="00E2109D">
          <w:rPr>
            <w:bCs/>
          </w:rPr>
          <w:t xml:space="preserve"> </w:t>
        </w:r>
      </w:ins>
      <w:r>
        <w:rPr>
          <w:iCs/>
        </w:rPr>
        <w:t xml:space="preserve">По време на постмаркетинговото наблюдение се съобщават </w:t>
      </w:r>
      <w:r>
        <w:t xml:space="preserve">сериозни </w:t>
      </w:r>
      <w:r>
        <w:rPr>
          <w:iCs/>
        </w:rPr>
        <w:t xml:space="preserve">реакции, свързани с инфузията, включително анафилактични реакции към инфузията </w:t>
      </w:r>
      <w:r>
        <w:t>(вж. Точка</w:t>
      </w:r>
      <w:r>
        <w:rPr>
          <w:lang w:val="en-US"/>
        </w:rPr>
        <w:t> </w:t>
      </w:r>
      <w:r>
        <w:t>4.4).</w:t>
      </w:r>
    </w:p>
    <w:p w14:paraId="109ACA3E" w14:textId="77777777" w:rsidR="009B3384" w:rsidRDefault="009B3384">
      <w:pPr>
        <w:tabs>
          <w:tab w:val="clear" w:pos="567"/>
        </w:tabs>
        <w:rPr>
          <w:bCs/>
        </w:rPr>
      </w:pPr>
    </w:p>
    <w:p w14:paraId="109ACA3F" w14:textId="77777777" w:rsidR="009B3384" w:rsidRDefault="00800862">
      <w:pPr>
        <w:keepNext/>
        <w:tabs>
          <w:tab w:val="clear" w:pos="567"/>
        </w:tabs>
        <w:rPr>
          <w:u w:val="single"/>
        </w:rPr>
      </w:pPr>
      <w:r>
        <w:rPr>
          <w:u w:val="single"/>
        </w:rPr>
        <w:t>Педиатрична популация</w:t>
      </w:r>
    </w:p>
    <w:p w14:paraId="109ACA40" w14:textId="77777777" w:rsidR="009B3384" w:rsidRDefault="009B3384" w:rsidP="00BC6A43">
      <w:pPr>
        <w:keepNext/>
        <w:tabs>
          <w:tab w:val="clear" w:pos="567"/>
        </w:tabs>
        <w:rPr>
          <w:i/>
        </w:rPr>
      </w:pPr>
    </w:p>
    <w:p w14:paraId="109ACA41" w14:textId="77777777" w:rsidR="009B3384" w:rsidRPr="00BC6A43" w:rsidRDefault="00800862" w:rsidP="00BC6A43">
      <w:pPr>
        <w:keepNext/>
        <w:tabs>
          <w:tab w:val="clear" w:pos="567"/>
        </w:tabs>
        <w:rPr>
          <w:i/>
          <w:u w:val="single"/>
        </w:rPr>
      </w:pPr>
      <w:r w:rsidRPr="00BC6A43">
        <w:rPr>
          <w:i/>
          <w:u w:val="single"/>
        </w:rPr>
        <w:t>Педиатрични пациенти на 6 години и по-големи с плаков псориазис</w:t>
      </w:r>
    </w:p>
    <w:p w14:paraId="109ACA42" w14:textId="77777777" w:rsidR="009B3384" w:rsidRDefault="00800862">
      <w:pPr>
        <w:tabs>
          <w:tab w:val="clear" w:pos="567"/>
        </w:tabs>
      </w:pPr>
      <w:r>
        <w:t>Безопасността на устекинумаб е проучена в две проучвания фаза 3 при педиатрични пациенти с умерен до тежък плаков псориазис. Първото проучване е при 110 пациенти на възраст от 12 до 17 години, лекувани в продължение на 60 седмици, а второто проучване е при 44</w:t>
      </w:r>
      <w:r>
        <w:rPr>
          <w:lang w:val="en-US"/>
        </w:rPr>
        <w:t> </w:t>
      </w:r>
      <w:r>
        <w:t>пациенти на възраст от 6 до 11</w:t>
      </w:r>
      <w:r>
        <w:rPr>
          <w:lang w:val="en-US"/>
        </w:rPr>
        <w:t> </w:t>
      </w:r>
      <w:r>
        <w:t>години, лекувани в продължение на 56 седмици. Като цяло съобщените нежелани събития в тези две проучвания с данни за безопасност до 1</w:t>
      </w:r>
      <w:r>
        <w:rPr>
          <w:lang w:val="en-US"/>
        </w:rPr>
        <w:t> </w:t>
      </w:r>
      <w:r>
        <w:t>година са подобни на тези, наблюдавани в предишни проучвания при възрастни с плаков псориазис.</w:t>
      </w:r>
    </w:p>
    <w:p w14:paraId="109ACA43" w14:textId="77777777" w:rsidR="009B3384" w:rsidRDefault="009B3384">
      <w:pPr>
        <w:tabs>
          <w:tab w:val="clear" w:pos="567"/>
        </w:tabs>
      </w:pPr>
    </w:p>
    <w:p w14:paraId="109ACA44" w14:textId="6F7C5AFA" w:rsidR="009B3384" w:rsidRDefault="00800862">
      <w:pPr>
        <w:keepNext/>
        <w:tabs>
          <w:tab w:val="clear" w:pos="567"/>
        </w:tabs>
        <w:rPr>
          <w:i/>
        </w:rPr>
      </w:pPr>
      <w:bookmarkStart w:id="109" w:name="_Hlk188361486"/>
      <w:r>
        <w:rPr>
          <w:i/>
        </w:rPr>
        <w:t xml:space="preserve">Педиатрични пациенти </w:t>
      </w:r>
      <w:bookmarkStart w:id="110" w:name="_Hlk219652056"/>
      <w:r>
        <w:rPr>
          <w:i/>
        </w:rPr>
        <w:t xml:space="preserve">на 2 и повече години </w:t>
      </w:r>
      <w:bookmarkEnd w:id="110"/>
      <w:r>
        <w:rPr>
          <w:i/>
        </w:rPr>
        <w:t xml:space="preserve">с болест на </w:t>
      </w:r>
      <w:r>
        <w:rPr>
          <w:i/>
          <w:iCs/>
          <w:lang w:val="en-US"/>
        </w:rPr>
        <w:t>Crohn</w:t>
      </w:r>
    </w:p>
    <w:p w14:paraId="109ACA45" w14:textId="2E548113" w:rsidR="009B3384" w:rsidRDefault="00800862">
      <w:pPr>
        <w:tabs>
          <w:tab w:val="clear" w:pos="567"/>
        </w:tabs>
      </w:pPr>
      <w:r>
        <w:t>Безопасността на устекинумаб е проучена в едно проучване фаза</w:t>
      </w:r>
      <w:r>
        <w:rPr>
          <w:lang w:val="en-US"/>
        </w:rPr>
        <w:t> </w:t>
      </w:r>
      <w:r>
        <w:t>1 и едно проучване фаза</w:t>
      </w:r>
      <w:r>
        <w:rPr>
          <w:lang w:val="en-US"/>
        </w:rPr>
        <w:t> </w:t>
      </w:r>
      <w:r>
        <w:t xml:space="preserve">3 при педиатрични пациенти с умерена до тежка активна болест на Crohn. </w:t>
      </w:r>
      <w:bookmarkStart w:id="111" w:name="_Hlk219652375"/>
      <w:r>
        <w:t>34 пациенти в проучването фаза</w:t>
      </w:r>
      <w:r>
        <w:rPr>
          <w:lang w:val="en-US"/>
        </w:rPr>
        <w:t> </w:t>
      </w:r>
      <w:r>
        <w:t>1 и 101 пациенти в проучването фаза</w:t>
      </w:r>
      <w:r>
        <w:rPr>
          <w:lang w:val="en-US"/>
        </w:rPr>
        <w:t> </w:t>
      </w:r>
      <w:r>
        <w:t xml:space="preserve">3 са проследявани </w:t>
      </w:r>
      <w:bookmarkEnd w:id="111"/>
      <w:r>
        <w:t>съответно до 240 седмици</w:t>
      </w:r>
      <w:r>
        <w:rPr>
          <w:lang w:val="en-US"/>
        </w:rPr>
        <w:t> </w:t>
      </w:r>
      <w:r>
        <w:t>и 68 седмици. Като цяло профилът на безопасност е подобен на този, наблюдаван в предишни проучвания при възрастни с болестта на Crohn.</w:t>
      </w:r>
      <w:bookmarkEnd w:id="109"/>
    </w:p>
    <w:p w14:paraId="109ACA46" w14:textId="77777777" w:rsidR="009B3384" w:rsidRDefault="009B3384">
      <w:pPr>
        <w:tabs>
          <w:tab w:val="clear" w:pos="567"/>
        </w:tabs>
        <w:rPr>
          <w:ins w:id="112" w:author="Reviser" w:date="2026-04-27T19:02:00Z"/>
        </w:rPr>
      </w:pPr>
    </w:p>
    <w:p w14:paraId="26D02DB5" w14:textId="5BC4D037" w:rsidR="00487E15" w:rsidRDefault="00487E15" w:rsidP="00487E15">
      <w:pPr>
        <w:keepNext/>
        <w:tabs>
          <w:tab w:val="clear" w:pos="567"/>
        </w:tabs>
        <w:rPr>
          <w:ins w:id="113" w:author="Reviser" w:date="2026-04-27T19:02:00Z"/>
          <w:i/>
        </w:rPr>
      </w:pPr>
      <w:ins w:id="114" w:author="Reviser" w:date="2026-04-27T19:02:00Z">
        <w:r>
          <w:rPr>
            <w:i/>
          </w:rPr>
          <w:t xml:space="preserve">Педиатрични пациенти на 2 и повече години с </w:t>
        </w:r>
      </w:ins>
      <w:ins w:id="115" w:author="Reviser" w:date="2026-04-27T19:03:00Z">
        <w:r>
          <w:rPr>
            <w:i/>
          </w:rPr>
          <w:t>улцерозен колит</w:t>
        </w:r>
      </w:ins>
    </w:p>
    <w:p w14:paraId="1B7642C9" w14:textId="48BDD49B" w:rsidR="00487E15" w:rsidRDefault="00487E15" w:rsidP="00487E15">
      <w:pPr>
        <w:tabs>
          <w:tab w:val="clear" w:pos="567"/>
        </w:tabs>
        <w:rPr>
          <w:ins w:id="116" w:author="Reviser" w:date="2026-04-27T19:02:00Z"/>
        </w:rPr>
      </w:pPr>
      <w:ins w:id="117" w:author="Reviser" w:date="2026-04-27T19:02:00Z">
        <w:r>
          <w:t>Безопасността на устекинумаб е проучена в едно проучване фаза</w:t>
        </w:r>
        <w:r>
          <w:rPr>
            <w:lang w:val="en-US"/>
          </w:rPr>
          <w:t> </w:t>
        </w:r>
        <w:r>
          <w:t>3 при педиатрични пациенти с умерен до теж</w:t>
        </w:r>
      </w:ins>
      <w:ins w:id="118" w:author="Reviser" w:date="2026-04-27T19:03:00Z">
        <w:r>
          <w:t>ъ</w:t>
        </w:r>
      </w:ins>
      <w:ins w:id="119" w:author="Reviser" w:date="2026-04-27T19:02:00Z">
        <w:r>
          <w:t>к актив</w:t>
        </w:r>
      </w:ins>
      <w:ins w:id="120" w:author="Reviser" w:date="2026-04-27T19:03:00Z">
        <w:r>
          <w:t>е</w:t>
        </w:r>
      </w:ins>
      <w:ins w:id="121" w:author="Reviser" w:date="2026-04-27T19:02:00Z">
        <w:r>
          <w:t xml:space="preserve">н </w:t>
        </w:r>
      </w:ins>
      <w:ins w:id="122" w:author="Reviser" w:date="2026-04-27T19:04:00Z">
        <w:r w:rsidRPr="00487E15">
          <w:t>улцерозен колит</w:t>
        </w:r>
      </w:ins>
      <w:ins w:id="123" w:author="Reviser" w:date="2026-04-27T19:02:00Z">
        <w:r>
          <w:t xml:space="preserve">. </w:t>
        </w:r>
      </w:ins>
      <w:ins w:id="124" w:author="Reviser" w:date="2026-04-27T19:04:00Z">
        <w:r>
          <w:t>В това</w:t>
        </w:r>
      </w:ins>
      <w:ins w:id="125" w:author="Reviser" w:date="2026-04-27T19:02:00Z">
        <w:r>
          <w:t xml:space="preserve"> проучване 11</w:t>
        </w:r>
      </w:ins>
      <w:ins w:id="126" w:author="Reviser" w:date="2026-04-27T19:04:00Z">
        <w:r>
          <w:t>2</w:t>
        </w:r>
      </w:ins>
      <w:ins w:id="127" w:author="Reviser" w:date="2026-04-27T19:02:00Z">
        <w:r>
          <w:t xml:space="preserve"> пациенти са проследявани до 68 седмици. Като цяло профилът на безопасност е подобен на този, наблюдаван в предишни проучвания при възрастни с </w:t>
        </w:r>
      </w:ins>
      <w:ins w:id="128" w:author="Reviser" w:date="2026-04-27T19:05:00Z">
        <w:r w:rsidRPr="00487E15">
          <w:t>улцерозен колит</w:t>
        </w:r>
      </w:ins>
      <w:ins w:id="129" w:author="Reviser" w:date="2026-04-27T19:02:00Z">
        <w:r>
          <w:t>.</w:t>
        </w:r>
      </w:ins>
    </w:p>
    <w:p w14:paraId="01BE8565" w14:textId="77777777" w:rsidR="00487E15" w:rsidRDefault="00487E15">
      <w:pPr>
        <w:tabs>
          <w:tab w:val="clear" w:pos="567"/>
        </w:tabs>
      </w:pPr>
    </w:p>
    <w:p w14:paraId="109ACA47" w14:textId="77777777" w:rsidR="009B3384" w:rsidRDefault="00800862">
      <w:pPr>
        <w:keepNext/>
        <w:tabs>
          <w:tab w:val="clear" w:pos="567"/>
          <w:tab w:val="left" w:pos="720"/>
        </w:tabs>
        <w:rPr>
          <w:szCs w:val="22"/>
          <w:u w:val="single"/>
        </w:rPr>
      </w:pPr>
      <w:r>
        <w:rPr>
          <w:szCs w:val="22"/>
          <w:u w:val="single"/>
        </w:rPr>
        <w:t>Съобщаване на подозирани нежелани реакции</w:t>
      </w:r>
    </w:p>
    <w:p w14:paraId="109ACA48" w14:textId="77777777" w:rsidR="009B3384" w:rsidRDefault="00800862">
      <w:pPr>
        <w:tabs>
          <w:tab w:val="clear" w:pos="567"/>
        </w:tabs>
        <w:rPr>
          <w:szCs w:val="22"/>
        </w:rPr>
      </w:pPr>
      <w:r>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Cs w:val="22"/>
          <w:highlight w:val="lightGray"/>
        </w:rPr>
        <w:t xml:space="preserve">национална система за съобщаване, посочена в </w:t>
      </w:r>
      <w:r>
        <w:fldChar w:fldCharType="begin"/>
      </w:r>
      <w:r>
        <w:fldChar w:fldCharType="begin"/>
      </w:r>
      <w:r>
        <w:instrText xml:space="preserve"> </w:instrText>
      </w:r>
      <w:hyperlink w:history="1"/>
      <w:r>
        <w:instrText xml:space="preserve"> </w:instrText>
      </w:r>
      <w:r>
        <w:fldChar w:fldCharType="end"/>
      </w:r>
      <w:r>
        <w:instrText xml:space="preserve"> "https://www.ema.europa.eu/en/documents/template-form/qrd-appendix-v-adverse-drug-reaction-reporting-details_en.docx"</w:instrText>
      </w:r>
      <w:r>
        <w:fldChar w:fldCharType="separate"/>
      </w:r>
      <w:r>
        <w:rPr>
          <w:rStyle w:val="Hyperlink"/>
          <w:noProof/>
          <w:szCs w:val="22"/>
          <w:highlight w:val="lightGray"/>
        </w:rPr>
        <w:t>Приложение V</w:t>
      </w:r>
      <w:r>
        <w:fldChar w:fldCharType="end"/>
      </w:r>
      <w:r>
        <w:rPr>
          <w:szCs w:val="22"/>
        </w:rPr>
        <w:t>.</w:t>
      </w:r>
    </w:p>
    <w:p w14:paraId="109ACA49" w14:textId="77777777" w:rsidR="009B3384" w:rsidRDefault="009B3384">
      <w:pPr>
        <w:tabs>
          <w:tab w:val="clear" w:pos="567"/>
        </w:tabs>
      </w:pPr>
    </w:p>
    <w:p w14:paraId="109ACA4A" w14:textId="77777777" w:rsidR="009B3384" w:rsidRDefault="00800862">
      <w:pPr>
        <w:keepNext/>
        <w:ind w:left="567" w:hanging="567"/>
        <w:outlineLvl w:val="2"/>
        <w:rPr>
          <w:b/>
          <w:bCs/>
        </w:rPr>
      </w:pPr>
      <w:r>
        <w:rPr>
          <w:b/>
          <w:bCs/>
        </w:rPr>
        <w:t>4.9</w:t>
      </w:r>
      <w:r>
        <w:rPr>
          <w:b/>
          <w:bCs/>
        </w:rPr>
        <w:tab/>
        <w:t>Предозиране</w:t>
      </w:r>
    </w:p>
    <w:p w14:paraId="109ACA4B" w14:textId="77777777" w:rsidR="009B3384" w:rsidRDefault="009B3384">
      <w:pPr>
        <w:keepNext/>
      </w:pPr>
    </w:p>
    <w:p w14:paraId="109ACA4C" w14:textId="77777777" w:rsidR="009B3384" w:rsidRDefault="00800862">
      <w:pPr>
        <w:tabs>
          <w:tab w:val="clear" w:pos="567"/>
        </w:tabs>
      </w:pPr>
      <w:r>
        <w:t>Единични дози до 6 mg/kg са прилагани интравенозно в клинични проучвания без ограничаваща дозата токсичност. В случай на предозиране се препоръчва пациентите да се наблюдават за признаци или симптоми на нежелани реакции и незабавно да се приложи подходящо симптоматично лечение.</w:t>
      </w:r>
    </w:p>
    <w:p w14:paraId="109ACA4D" w14:textId="77777777" w:rsidR="009B3384" w:rsidRDefault="009B3384">
      <w:pPr>
        <w:tabs>
          <w:tab w:val="clear" w:pos="567"/>
        </w:tabs>
      </w:pPr>
    </w:p>
    <w:p w14:paraId="109ACA4E" w14:textId="77777777" w:rsidR="009B3384" w:rsidRDefault="009B3384">
      <w:pPr>
        <w:tabs>
          <w:tab w:val="clear" w:pos="567"/>
        </w:tabs>
      </w:pPr>
    </w:p>
    <w:p w14:paraId="109ACA4F" w14:textId="77777777" w:rsidR="009B3384" w:rsidRDefault="00800862">
      <w:pPr>
        <w:keepNext/>
        <w:ind w:left="567" w:hanging="567"/>
        <w:outlineLvl w:val="1"/>
        <w:rPr>
          <w:b/>
          <w:bCs/>
        </w:rPr>
      </w:pPr>
      <w:r>
        <w:rPr>
          <w:b/>
          <w:bCs/>
        </w:rPr>
        <w:lastRenderedPageBreak/>
        <w:t>5.</w:t>
      </w:r>
      <w:r>
        <w:rPr>
          <w:b/>
          <w:bCs/>
        </w:rPr>
        <w:tab/>
        <w:t>ФАРМАКОЛОГИЧНИ СВОЙСТВА</w:t>
      </w:r>
    </w:p>
    <w:p w14:paraId="109ACA50" w14:textId="77777777" w:rsidR="009B3384" w:rsidRDefault="009B3384">
      <w:pPr>
        <w:keepNext/>
        <w:rPr>
          <w:bCs/>
        </w:rPr>
      </w:pPr>
    </w:p>
    <w:p w14:paraId="109ACA51" w14:textId="77777777" w:rsidR="009B3384" w:rsidRDefault="00800862">
      <w:pPr>
        <w:keepNext/>
        <w:ind w:left="567" w:hanging="567"/>
        <w:outlineLvl w:val="2"/>
        <w:rPr>
          <w:b/>
          <w:bCs/>
        </w:rPr>
      </w:pPr>
      <w:r>
        <w:rPr>
          <w:b/>
          <w:bCs/>
        </w:rPr>
        <w:t>5.1</w:t>
      </w:r>
      <w:r>
        <w:rPr>
          <w:b/>
          <w:bCs/>
        </w:rPr>
        <w:tab/>
        <w:t>Фармакодинамични свойства</w:t>
      </w:r>
    </w:p>
    <w:p w14:paraId="109ACA52" w14:textId="77777777" w:rsidR="009B3384" w:rsidRDefault="009B3384">
      <w:pPr>
        <w:keepNext/>
        <w:tabs>
          <w:tab w:val="clear" w:pos="567"/>
        </w:tabs>
      </w:pPr>
    </w:p>
    <w:p w14:paraId="109ACA53" w14:textId="77777777" w:rsidR="009B3384" w:rsidRDefault="00800862">
      <w:r>
        <w:t>Фармакотерапевтична група: Имуносупресори, инхибитори на интерлевкина, ATC код: L04AC05</w:t>
      </w:r>
    </w:p>
    <w:p w14:paraId="109ACA54" w14:textId="77777777" w:rsidR="009B3384" w:rsidRDefault="009B3384">
      <w:pPr>
        <w:tabs>
          <w:tab w:val="clear" w:pos="567"/>
        </w:tabs>
      </w:pPr>
    </w:p>
    <w:p w14:paraId="109ACA55" w14:textId="77777777" w:rsidR="009B3384" w:rsidRDefault="00800862">
      <w:pPr>
        <w:keepNext/>
        <w:rPr>
          <w:bCs/>
          <w:iCs/>
        </w:rPr>
      </w:pPr>
      <w:r>
        <w:rPr>
          <w:u w:val="single"/>
        </w:rPr>
        <w:t>Механизъм на действие</w:t>
      </w:r>
    </w:p>
    <w:p w14:paraId="109ACA56" w14:textId="77777777" w:rsidR="009B3384" w:rsidRDefault="00800862">
      <w:pPr>
        <w:rPr>
          <w:szCs w:val="22"/>
        </w:rPr>
      </w:pPr>
      <w:r>
        <w:rPr>
          <w:iCs/>
        </w:rPr>
        <w:t xml:space="preserve">Устекинумаб е изцяло човешко IgG1κ моноклонално антитяло, което се свързва със специфичност към общата протеинова субединица p40 на човешки цитокини интерлевкин (IL)-12 и IL-23. Устекинумаб потиска биоактивността на човешките IL-12 и IL-23, като предотвратява свързването на </w:t>
      </w:r>
      <w:r>
        <w:rPr>
          <w:iCs/>
          <w:lang w:val="en-US"/>
        </w:rPr>
        <w:t>p</w:t>
      </w:r>
      <w:r>
        <w:rPr>
          <w:iCs/>
        </w:rPr>
        <w:t>40 с IL-12R</w:t>
      </w:r>
      <w:r>
        <w:rPr>
          <w:rFonts w:eastAsia="Symbol"/>
        </w:rPr>
        <w:t>β</w:t>
      </w:r>
      <w:r>
        <w:rPr>
          <w:iCs/>
        </w:rPr>
        <w:t>1 рецепторен протеин, разположен на повърхността на имунните клетки. Устекинумаб не може да се свърже с IL-12 или с IL-23, които вече са свързани с IL-12R</w:t>
      </w:r>
      <w:r>
        <w:rPr>
          <w:rFonts w:eastAsia="Symbol"/>
        </w:rPr>
        <w:t>β</w:t>
      </w:r>
      <w:r>
        <w:rPr>
          <w:iCs/>
        </w:rPr>
        <w:t xml:space="preserve">1 рецептори по клетъчната повърхност. Следователно е малко вероятно устекинумаб да участва в комплемент- или </w:t>
      </w:r>
      <w:r>
        <w:t>антитяло-</w:t>
      </w:r>
      <w:r>
        <w:rPr>
          <w:iCs/>
        </w:rPr>
        <w:t xml:space="preserve">медиираната </w:t>
      </w:r>
      <w:r>
        <w:t>цитотоксичност</w:t>
      </w:r>
      <w:r>
        <w:rPr>
          <w:iCs/>
        </w:rPr>
        <w:t xml:space="preserve"> на клетките с рецептори за IL-12 и/или IL-23. IL-12 и IL-23 са хетеродимерни цитокини, секретирани от активирани антиген</w:t>
      </w:r>
      <w:r>
        <w:rPr>
          <w:iCs/>
        </w:rPr>
        <w:noBreakHyphen/>
        <w:t xml:space="preserve">представящи клетки, например макрофаги и дендритни клетки </w:t>
      </w:r>
      <w:r>
        <w:rPr>
          <w:szCs w:val="22"/>
        </w:rPr>
        <w:t xml:space="preserve">и двата цитокина участват в имунните функции; IL-12 стимулира естествените клетки убийци (NK) и предизвиква диференциацията на CD4 + Т клетките към Т 1 хелперен (Th1) фенотип, IL-23 индуцира пътя на Т 17 хелперите (Th17). </w:t>
      </w:r>
      <w:r>
        <w:rPr>
          <w:iCs/>
          <w:szCs w:val="22"/>
        </w:rPr>
        <w:t>Абнормната регулация на IL-12 и IL-23 обаче се свързва с имунномедиирани заболявания като псориазис,</w:t>
      </w:r>
      <w:r>
        <w:rPr>
          <w:szCs w:val="22"/>
        </w:rPr>
        <w:t xml:space="preserve"> псориатичен артрит, болест на </w:t>
      </w:r>
      <w:r>
        <w:rPr>
          <w:szCs w:val="22"/>
          <w:lang w:val="en-GB"/>
        </w:rPr>
        <w:t>Crohn</w:t>
      </w:r>
      <w:r>
        <w:rPr>
          <w:szCs w:val="22"/>
        </w:rPr>
        <w:t xml:space="preserve"> и</w:t>
      </w:r>
      <w:r>
        <w:t xml:space="preserve"> улцерозен колит</w:t>
      </w:r>
      <w:r>
        <w:rPr>
          <w:szCs w:val="22"/>
        </w:rPr>
        <w:t>.</w:t>
      </w:r>
    </w:p>
    <w:p w14:paraId="109ACA57" w14:textId="77777777" w:rsidR="009B3384" w:rsidRDefault="009B3384">
      <w:pPr>
        <w:rPr>
          <w:szCs w:val="22"/>
        </w:rPr>
      </w:pPr>
    </w:p>
    <w:p w14:paraId="109ACA58" w14:textId="77777777" w:rsidR="009B3384" w:rsidRDefault="00800862">
      <w:pPr>
        <w:rPr>
          <w:iCs/>
        </w:rPr>
      </w:pPr>
      <w:r>
        <w:rPr>
          <w:iCs/>
        </w:rPr>
        <w:t xml:space="preserve">Чрез свързване на общата субединица р40 на IL-12 и IL-23, устекинумаб може да оказва своите клинични ефекти при псориазис, псориатичен артрит, болест на </w:t>
      </w:r>
      <w:r>
        <w:rPr>
          <w:iCs/>
          <w:lang w:val="en-GB"/>
        </w:rPr>
        <w:t>Crohn</w:t>
      </w:r>
      <w:r>
        <w:rPr>
          <w:iCs/>
        </w:rPr>
        <w:t xml:space="preserve"> и </w:t>
      </w:r>
      <w:r>
        <w:t>улцерозен колит</w:t>
      </w:r>
      <w:r>
        <w:rPr>
          <w:iCs/>
        </w:rPr>
        <w:t xml:space="preserve"> чрез прекъсване на пътищата на Th1 и Th17 цитокини, които са в основата на патологията на тези заболявания.</w:t>
      </w:r>
    </w:p>
    <w:p w14:paraId="109ACA59" w14:textId="77777777" w:rsidR="009B3384" w:rsidRDefault="009B3384"/>
    <w:p w14:paraId="109ACA5A" w14:textId="77777777" w:rsidR="009B3384" w:rsidRDefault="00800862">
      <w:r>
        <w:t xml:space="preserve">При пациенти с болест на Crohn лечението с </w:t>
      </w:r>
      <w:r>
        <w:rPr>
          <w:bCs/>
        </w:rPr>
        <w:t>устекинумаб</w:t>
      </w:r>
      <w:r>
        <w:t xml:space="preserve"> води до намаление на възпалителните маркери, включително C-реактивен протеин (CRP) и фекален калпротектин по време на индукционната фаза, което след това се поддържа през цялата поддържаща фаза. CRP е оценен по време на продължението на проучването и намаленията, наблюдавани по време на поддържащата фаза, обикновено се запазват до 252 седмица.</w:t>
      </w:r>
    </w:p>
    <w:p w14:paraId="109ACA5B" w14:textId="77777777" w:rsidR="009B3384" w:rsidRDefault="009B3384"/>
    <w:p w14:paraId="109ACA5C" w14:textId="77777777" w:rsidR="009B3384" w:rsidRDefault="00800862">
      <w:r>
        <w:t>При пациенти с улцерозен колит лечението с устекинумаб води до намаление на възпалителните маркери, включително CRP и фекален калпротектин по време на индукционната фаза, което се поддържа през цялата поддържаща фаза и продължението на проучването до седмица 200.</w:t>
      </w:r>
    </w:p>
    <w:p w14:paraId="109ACA5D" w14:textId="77777777" w:rsidR="009B3384" w:rsidRDefault="009B3384"/>
    <w:p w14:paraId="109ACA5E" w14:textId="77777777" w:rsidR="009B3384" w:rsidRDefault="00800862">
      <w:pPr>
        <w:keepNext/>
        <w:widowControl w:val="0"/>
        <w:rPr>
          <w:iCs/>
          <w:u w:val="single"/>
        </w:rPr>
      </w:pPr>
      <w:r>
        <w:rPr>
          <w:iCs/>
          <w:u w:val="single"/>
        </w:rPr>
        <w:t>Имунизации</w:t>
      </w:r>
    </w:p>
    <w:p w14:paraId="109ACA5F" w14:textId="77777777" w:rsidR="009B3384" w:rsidRDefault="00800862">
      <w:r>
        <w:t xml:space="preserve">По време на дългосрочното продължение на </w:t>
      </w:r>
      <w:r>
        <w:rPr>
          <w:iCs/>
        </w:rPr>
        <w:t xml:space="preserve">проучване при псориазис 2 (PHOENIX 2), възрастните </w:t>
      </w:r>
      <w:r>
        <w:t>пациенти, лекувани със STELARA за най-малко 3,5 години, са дали антитяло-отговори на пневмококови полизахаридни ваксини и ваксини срещу тетанус, сходни с тези при контролната група пациенти, получаващи несистемно лечение на псориазис. Сходен процент от възрастните пациенти, лекувани със STELARA и тези в контролната група, са развили защитни нива на антипневмококови и антитетанични антитела, и титрите на антителата им са сходни.</w:t>
      </w:r>
    </w:p>
    <w:p w14:paraId="109ACA60" w14:textId="77777777" w:rsidR="009B3384" w:rsidRDefault="009B3384"/>
    <w:p w14:paraId="109ACA61" w14:textId="77777777" w:rsidR="009B3384" w:rsidRDefault="00800862">
      <w:pPr>
        <w:keepNext/>
        <w:rPr>
          <w:u w:val="single"/>
        </w:rPr>
      </w:pPr>
      <w:r>
        <w:rPr>
          <w:u w:val="single"/>
        </w:rPr>
        <w:t>Клинична ефикасност</w:t>
      </w:r>
    </w:p>
    <w:p w14:paraId="109ACA62" w14:textId="77777777" w:rsidR="009B3384" w:rsidRDefault="009B3384">
      <w:pPr>
        <w:keepNext/>
      </w:pPr>
    </w:p>
    <w:p w14:paraId="109ACA63" w14:textId="77777777" w:rsidR="009B3384" w:rsidRPr="00BC6A43" w:rsidRDefault="00800862">
      <w:pPr>
        <w:keepNext/>
        <w:rPr>
          <w:i/>
          <w:iCs/>
          <w:szCs w:val="22"/>
          <w:u w:val="single"/>
        </w:rPr>
      </w:pPr>
      <w:r w:rsidRPr="00BC6A43">
        <w:rPr>
          <w:i/>
          <w:iCs/>
          <w:szCs w:val="22"/>
          <w:u w:val="single"/>
        </w:rPr>
        <w:t>Болест на Crohn</w:t>
      </w:r>
    </w:p>
    <w:p w14:paraId="109ACA64" w14:textId="77777777" w:rsidR="009B3384" w:rsidRDefault="00800862">
      <w:r>
        <w:t xml:space="preserve">Безопасността и ефикасността на устекинумаб са оценени в три рандомизирани, двойнослепи, плацебо-контролирани, многоцентрови проучвания при възрастни пациенти с умерена до тежка активна болест на Crohn, с Индекс на активността на болестта на </w:t>
      </w:r>
      <w:r>
        <w:rPr>
          <w:lang w:val="en-US"/>
        </w:rPr>
        <w:t>Crohn</w:t>
      </w:r>
      <w:r>
        <w:t xml:space="preserve"> (</w:t>
      </w:r>
      <w:r>
        <w:rPr>
          <w:lang w:val="en-GB"/>
        </w:rPr>
        <w:t>Crohn</w:t>
      </w:r>
      <w:r>
        <w:t>’</w:t>
      </w:r>
      <w:r>
        <w:rPr>
          <w:lang w:val="en-GB"/>
        </w:rPr>
        <w:t>s</w:t>
      </w:r>
      <w:r>
        <w:t xml:space="preserve"> </w:t>
      </w:r>
      <w:r>
        <w:rPr>
          <w:szCs w:val="22"/>
          <w:lang w:val="en-GB"/>
        </w:rPr>
        <w:t>Disease</w:t>
      </w:r>
      <w:r>
        <w:rPr>
          <w:szCs w:val="22"/>
          <w:u w:val="single"/>
        </w:rPr>
        <w:t xml:space="preserve"> </w:t>
      </w:r>
      <w:r>
        <w:t>Activity Index, CDAI ≥</w:t>
      </w:r>
      <w:r>
        <w:rPr>
          <w:szCs w:val="22"/>
        </w:rPr>
        <w:t> </w:t>
      </w:r>
      <w:r>
        <w:t>220 и ≤</w:t>
      </w:r>
      <w:r>
        <w:rPr>
          <w:szCs w:val="22"/>
        </w:rPr>
        <w:t> </w:t>
      </w:r>
      <w:r>
        <w:t>450). Програмата за клинично разработване се състои от две 8-седмични проучвания с интравенозна индукция (UNITI-1 и UNITI-2), последвани от 44</w:t>
      </w:r>
      <w:r>
        <w:rPr>
          <w:szCs w:val="22"/>
        </w:rPr>
        <w:noBreakHyphen/>
      </w:r>
      <w:r>
        <w:t>седмично рандомизирано проучване с подкожно приложение на поддържаща доза (IM-UNITI), представляващи 52</w:t>
      </w:r>
      <w:r>
        <w:rPr>
          <w:szCs w:val="22"/>
        </w:rPr>
        <w:t>-</w:t>
      </w:r>
      <w:r>
        <w:t>седмична терапия.</w:t>
      </w:r>
    </w:p>
    <w:p w14:paraId="109ACA65" w14:textId="77777777" w:rsidR="009B3384" w:rsidRDefault="009B3384">
      <w:pPr>
        <w:rPr>
          <w:iCs/>
        </w:rPr>
      </w:pPr>
    </w:p>
    <w:p w14:paraId="109ACA66" w14:textId="77777777" w:rsidR="009B3384" w:rsidRDefault="00800862">
      <w:pPr>
        <w:rPr>
          <w:szCs w:val="24"/>
        </w:rPr>
      </w:pPr>
      <w:r>
        <w:t>Проучванията с индукция включват 1 409 (UNITI-1, n</w:t>
      </w:r>
      <w:r>
        <w:rPr>
          <w:szCs w:val="22"/>
        </w:rPr>
        <w:t> </w:t>
      </w:r>
      <w:r>
        <w:t>=</w:t>
      </w:r>
      <w:r>
        <w:rPr>
          <w:szCs w:val="22"/>
        </w:rPr>
        <w:t> </w:t>
      </w:r>
      <w:r>
        <w:t>769; UNITI-2 n</w:t>
      </w:r>
      <w:r>
        <w:rPr>
          <w:szCs w:val="22"/>
        </w:rPr>
        <w:t> </w:t>
      </w:r>
      <w:r>
        <w:t>=</w:t>
      </w:r>
      <w:r>
        <w:rPr>
          <w:szCs w:val="22"/>
        </w:rPr>
        <w:t> </w:t>
      </w:r>
      <w:r>
        <w:t>640) пациенти. Първичната крайна точка за двете индукционни проучвания е процентът на участниците с клиничен отговор (определен като намаление на CDAI скора с ≥</w:t>
      </w:r>
      <w:r>
        <w:rPr>
          <w:szCs w:val="22"/>
        </w:rPr>
        <w:t> </w:t>
      </w:r>
      <w:r>
        <w:t>100</w:t>
      </w:r>
      <w:r>
        <w:rPr>
          <w:szCs w:val="22"/>
        </w:rPr>
        <w:t> </w:t>
      </w:r>
      <w:r>
        <w:t>точки) на седмица</w:t>
      </w:r>
      <w:r>
        <w:rPr>
          <w:szCs w:val="22"/>
        </w:rPr>
        <w:t> </w:t>
      </w:r>
      <w:r>
        <w:t>6</w:t>
      </w:r>
      <w:r>
        <w:rPr>
          <w:szCs w:val="24"/>
        </w:rPr>
        <w:t xml:space="preserve">. </w:t>
      </w:r>
      <w:r>
        <w:t>Данните за ефикасност се събират и анализират до седмица</w:t>
      </w:r>
      <w:r>
        <w:rPr>
          <w:szCs w:val="22"/>
        </w:rPr>
        <w:t> </w:t>
      </w:r>
      <w:r>
        <w:t xml:space="preserve">8 за двете проучвания. </w:t>
      </w:r>
      <w:r>
        <w:rPr>
          <w:szCs w:val="22"/>
        </w:rPr>
        <w:t xml:space="preserve">Едновременното приложение на перорални кортикостероиди, имуномодулатори, аминосалицилати и антибиотици е разрешено и 75% от пациентите продължават да получават най-малко едно от тези лекарства. В двете проучвания пациентите </w:t>
      </w:r>
      <w:r>
        <w:rPr>
          <w:szCs w:val="24"/>
        </w:rPr>
        <w:t>са рандомизирани да получат еднократно интравенозно препоръчителната доза от приблизително 6</w:t>
      </w:r>
      <w:r>
        <w:rPr>
          <w:szCs w:val="22"/>
        </w:rPr>
        <w:t> </w:t>
      </w:r>
      <w:r>
        <w:rPr>
          <w:szCs w:val="24"/>
        </w:rPr>
        <w:t>mg/kg в зависимост от телесното тегло (вж. Таблица</w:t>
      </w:r>
      <w:r>
        <w:rPr>
          <w:szCs w:val="22"/>
        </w:rPr>
        <w:t> </w:t>
      </w:r>
      <w:r>
        <w:rPr>
          <w:szCs w:val="24"/>
        </w:rPr>
        <w:t>1, точка</w:t>
      </w:r>
      <w:r>
        <w:rPr>
          <w:szCs w:val="22"/>
        </w:rPr>
        <w:t> </w:t>
      </w:r>
      <w:r>
        <w:rPr>
          <w:szCs w:val="24"/>
        </w:rPr>
        <w:t>4.2), фиксирана доза 130</w:t>
      </w:r>
      <w:r>
        <w:rPr>
          <w:szCs w:val="22"/>
        </w:rPr>
        <w:t> </w:t>
      </w:r>
      <w:r>
        <w:rPr>
          <w:szCs w:val="24"/>
        </w:rPr>
        <w:t xml:space="preserve">mg устекинумаб или плацебо на </w:t>
      </w:r>
      <w:r>
        <w:t>седмица</w:t>
      </w:r>
      <w:r>
        <w:rPr>
          <w:szCs w:val="22"/>
        </w:rPr>
        <w:t> </w:t>
      </w:r>
      <w:r>
        <w:rPr>
          <w:szCs w:val="24"/>
        </w:rPr>
        <w:t>0.</w:t>
      </w:r>
    </w:p>
    <w:p w14:paraId="109ACA67" w14:textId="77777777" w:rsidR="009B3384" w:rsidRDefault="009B3384"/>
    <w:p w14:paraId="109ACA68" w14:textId="77777777" w:rsidR="009B3384" w:rsidRDefault="00800862">
      <w:r>
        <w:t>Пациентите в UNITI-1 са лекувани неуспешно или имат непоносимост към предшестваща анти-TNFα терапия. Приблизително 48% от пациентите са лекувани неуспешно с 1 предшестваща анти-TNF</w:t>
      </w:r>
      <w:r>
        <w:rPr>
          <w:rFonts w:eastAsia="Symbol"/>
        </w:rPr>
        <w:t>α</w:t>
      </w:r>
      <w:r>
        <w:t xml:space="preserve"> терапия, а 52% са лекувани неуспешно с 2 или 3 предшестващи анти-TNFα терапии. В това проучване 29,1% от пациентите имат недостатъчен начален отговор (първични нереспондери), 69,4% са се повлияли, но са престанали да се повлияват (вторични нереспондери), а 36,4% имат непоносимост към анти-TNF</w:t>
      </w:r>
      <w:r>
        <w:rPr>
          <w:szCs w:val="22"/>
          <w:lang w:val="en-US"/>
        </w:rPr>
        <w:t>α</w:t>
      </w:r>
      <w:r>
        <w:t xml:space="preserve"> терапии.</w:t>
      </w:r>
    </w:p>
    <w:p w14:paraId="109ACA69" w14:textId="77777777" w:rsidR="009B3384" w:rsidRDefault="009B3384">
      <w:pPr>
        <w:rPr>
          <w:szCs w:val="24"/>
        </w:rPr>
      </w:pPr>
    </w:p>
    <w:p w14:paraId="109ACA6A" w14:textId="77777777" w:rsidR="009B3384" w:rsidRDefault="00800862">
      <w:r>
        <w:t>Пациентите в UNITI-2 са лекувани неуспешно най-малко с една конвенционална терапия, включително кортикостероиди или имуномодулатори, като или не са лекувани досега с анти-TNF-α терапия (68,6%), или са получавали преди това анти-TNFα терапия, но тя е била неуспешна (31,4%).</w:t>
      </w:r>
    </w:p>
    <w:p w14:paraId="109ACA6B" w14:textId="77777777" w:rsidR="009B3384" w:rsidRDefault="009B3384"/>
    <w:p w14:paraId="109ACA6C" w14:textId="3BCCB07E" w:rsidR="009B3384" w:rsidRDefault="00800862">
      <w:pPr>
        <w:rPr>
          <w:szCs w:val="24"/>
        </w:rPr>
      </w:pPr>
      <w:r>
        <w:t>В двете UNITI-1 и UNITI-2 значимо по-голям процент от пациентите в групата, лекувана с устекинумаб, са с клиничен отговор и ремисия</w:t>
      </w:r>
      <w:r>
        <w:rPr>
          <w:szCs w:val="24"/>
        </w:rPr>
        <w:t xml:space="preserve"> </w:t>
      </w:r>
      <w:r>
        <w:t>в сравнение с плацебо</w:t>
      </w:r>
      <w:r>
        <w:rPr>
          <w:szCs w:val="24"/>
        </w:rPr>
        <w:t xml:space="preserve"> (Таблица</w:t>
      </w:r>
      <w:r>
        <w:rPr>
          <w:szCs w:val="22"/>
        </w:rPr>
        <w:t> </w:t>
      </w:r>
      <w:r w:rsidRPr="00BC6A43">
        <w:rPr>
          <w:szCs w:val="24"/>
        </w:rPr>
        <w:t>5</w:t>
      </w:r>
      <w:r>
        <w:rPr>
          <w:szCs w:val="24"/>
        </w:rPr>
        <w:t>).</w:t>
      </w:r>
      <w:r>
        <w:t xml:space="preserve"> Клиничният отговор</w:t>
      </w:r>
      <w:r>
        <w:rPr>
          <w:szCs w:val="24"/>
        </w:rPr>
        <w:t xml:space="preserve"> и ремисията са значими още на </w:t>
      </w:r>
      <w:r>
        <w:t>седмица</w:t>
      </w:r>
      <w:r>
        <w:rPr>
          <w:szCs w:val="22"/>
        </w:rPr>
        <w:t> </w:t>
      </w:r>
      <w:r>
        <w:rPr>
          <w:szCs w:val="24"/>
        </w:rPr>
        <w:t xml:space="preserve">3 при пациентите, лекувани с устекинумаб, и те продължват да се подобряват до </w:t>
      </w:r>
      <w:r>
        <w:t>седмица</w:t>
      </w:r>
      <w:r>
        <w:rPr>
          <w:szCs w:val="22"/>
        </w:rPr>
        <w:t> </w:t>
      </w:r>
      <w:r>
        <w:rPr>
          <w:szCs w:val="24"/>
        </w:rPr>
        <w:t>8. В тези проучвания с индукция ефикасността е по-висока и се поддържа по-добре в групата с доза в зависимост от телесното тегло, в сравнение с групата с доза 130</w:t>
      </w:r>
      <w:r>
        <w:rPr>
          <w:szCs w:val="22"/>
        </w:rPr>
        <w:t> </w:t>
      </w:r>
      <w:r>
        <w:rPr>
          <w:szCs w:val="24"/>
        </w:rPr>
        <w:t xml:space="preserve">mg и поради това при </w:t>
      </w:r>
      <w:r>
        <w:t>интравенозна</w:t>
      </w:r>
      <w:r>
        <w:rPr>
          <w:szCs w:val="24"/>
        </w:rPr>
        <w:t xml:space="preserve"> индукция се препоръчва дозирането в зависимост от телесното тегло.</w:t>
      </w:r>
    </w:p>
    <w:p w14:paraId="109ACA6D" w14:textId="77777777" w:rsidR="009B3384" w:rsidRDefault="009B3384">
      <w:pPr>
        <w:rPr>
          <w:szCs w:val="24"/>
        </w:rPr>
      </w:pPr>
    </w:p>
    <w:p w14:paraId="109ACA6E" w14:textId="3E7FFA57" w:rsidR="009B3384" w:rsidRDefault="00800862">
      <w:pPr>
        <w:keepNext/>
        <w:ind w:left="1134" w:hanging="1134"/>
        <w:rPr>
          <w:i/>
          <w:iCs/>
        </w:rPr>
      </w:pPr>
      <w:r>
        <w:rPr>
          <w:i/>
          <w:iCs/>
        </w:rPr>
        <w:t>Таблица </w:t>
      </w:r>
      <w:r w:rsidRPr="00BC6A43">
        <w:rPr>
          <w:i/>
          <w:iCs/>
        </w:rPr>
        <w:t>5</w:t>
      </w:r>
      <w:r>
        <w:rPr>
          <w:i/>
          <w:iCs/>
        </w:rPr>
        <w:t>:</w:t>
      </w:r>
      <w:r>
        <w:rPr>
          <w:i/>
          <w:iCs/>
        </w:rPr>
        <w:tab/>
        <w:t>Индукция на клиничен отговор и ремисия в UNITI-1 и UNITI</w:t>
      </w:r>
      <w:r w:rsidRPr="00BC6A43">
        <w:rPr>
          <w:i/>
          <w:iCs/>
        </w:rPr>
        <w:t>-</w:t>
      </w:r>
      <w:r>
        <w:rPr>
          <w:i/>
          <w:iCs/>
        </w:rPr>
        <w:t>2</w:t>
      </w:r>
    </w:p>
    <w:tbl>
      <w:tblPr>
        <w:tblW w:w="9072" w:type="dxa"/>
        <w:jc w:val="center"/>
        <w:tblLayout w:type="fixed"/>
        <w:tblLook w:val="0000" w:firstRow="0" w:lastRow="0" w:firstColumn="0" w:lastColumn="0" w:noHBand="0" w:noVBand="0"/>
      </w:tblPr>
      <w:tblGrid>
        <w:gridCol w:w="3505"/>
        <w:gridCol w:w="1391"/>
        <w:gridCol w:w="1392"/>
        <w:gridCol w:w="1392"/>
        <w:gridCol w:w="1392"/>
      </w:tblGrid>
      <w:tr w:rsidR="009B3384" w14:paraId="109ACA72"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6F" w14:textId="77777777" w:rsidR="009B3384" w:rsidRDefault="009B3384">
            <w:pPr>
              <w:keepNext/>
              <w:widowControl w:val="0"/>
              <w:tabs>
                <w:tab w:val="clear" w:pos="567"/>
              </w:tabs>
              <w:rPr>
                <w:szCs w:val="22"/>
              </w:rPr>
            </w:pPr>
          </w:p>
        </w:tc>
        <w:tc>
          <w:tcPr>
            <w:tcW w:w="2783" w:type="dxa"/>
            <w:gridSpan w:val="2"/>
            <w:tcBorders>
              <w:top w:val="single" w:sz="4" w:space="0" w:color="000000"/>
              <w:left w:val="single" w:sz="4" w:space="0" w:color="000000"/>
              <w:bottom w:val="single" w:sz="4" w:space="0" w:color="000000"/>
              <w:right w:val="single" w:sz="4" w:space="0" w:color="000000"/>
            </w:tcBorders>
          </w:tcPr>
          <w:p w14:paraId="109ACA70" w14:textId="77777777" w:rsidR="009B3384" w:rsidRDefault="00800862">
            <w:pPr>
              <w:keepNext/>
              <w:widowControl w:val="0"/>
              <w:tabs>
                <w:tab w:val="clear" w:pos="567"/>
              </w:tabs>
              <w:jc w:val="center"/>
              <w:rPr>
                <w:b/>
                <w:bCs/>
                <w:szCs w:val="22"/>
                <w:lang w:val="en-US"/>
              </w:rPr>
            </w:pPr>
            <w:r>
              <w:rPr>
                <w:b/>
                <w:bCs/>
                <w:szCs w:val="22"/>
                <w:lang w:val="en-US"/>
              </w:rPr>
              <w:t>UNITI-1</w:t>
            </w:r>
            <w:r>
              <w:rPr>
                <w:i/>
              </w:rPr>
              <w:t>*</w:t>
            </w:r>
          </w:p>
        </w:tc>
        <w:tc>
          <w:tcPr>
            <w:tcW w:w="2784" w:type="dxa"/>
            <w:gridSpan w:val="2"/>
            <w:tcBorders>
              <w:top w:val="single" w:sz="4" w:space="0" w:color="000000"/>
              <w:left w:val="single" w:sz="4" w:space="0" w:color="000000"/>
              <w:bottom w:val="single" w:sz="4" w:space="0" w:color="000000"/>
              <w:right w:val="single" w:sz="4" w:space="0" w:color="000000"/>
            </w:tcBorders>
          </w:tcPr>
          <w:p w14:paraId="109ACA71" w14:textId="77777777" w:rsidR="009B3384" w:rsidRDefault="00800862">
            <w:pPr>
              <w:keepNext/>
              <w:widowControl w:val="0"/>
              <w:tabs>
                <w:tab w:val="clear" w:pos="567"/>
              </w:tabs>
              <w:jc w:val="center"/>
              <w:rPr>
                <w:b/>
                <w:bCs/>
                <w:szCs w:val="22"/>
                <w:lang w:val="en-US"/>
              </w:rPr>
            </w:pPr>
            <w:r>
              <w:rPr>
                <w:b/>
                <w:bCs/>
                <w:szCs w:val="22"/>
                <w:lang w:val="en-US"/>
              </w:rPr>
              <w:t>UNITI-2</w:t>
            </w:r>
            <w:r>
              <w:rPr>
                <w:i/>
              </w:rPr>
              <w:t>**</w:t>
            </w:r>
          </w:p>
        </w:tc>
      </w:tr>
      <w:tr w:rsidR="009B3384" w14:paraId="109ACA7C"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73" w14:textId="77777777" w:rsidR="009B3384" w:rsidRDefault="009B3384">
            <w:pPr>
              <w:keepNext/>
              <w:widowControl w:val="0"/>
              <w:tabs>
                <w:tab w:val="clear" w:pos="567"/>
              </w:tabs>
              <w:rPr>
                <w:szCs w:val="22"/>
              </w:rPr>
            </w:pPr>
          </w:p>
        </w:tc>
        <w:tc>
          <w:tcPr>
            <w:tcW w:w="139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CA74" w14:textId="77777777" w:rsidR="009B3384" w:rsidRDefault="00800862">
            <w:pPr>
              <w:keepNext/>
              <w:widowControl w:val="0"/>
              <w:tabs>
                <w:tab w:val="clear" w:pos="567"/>
              </w:tabs>
              <w:jc w:val="center"/>
              <w:rPr>
                <w:b/>
                <w:bCs/>
                <w:szCs w:val="22"/>
              </w:rPr>
            </w:pPr>
            <w:r>
              <w:rPr>
                <w:b/>
                <w:bCs/>
                <w:szCs w:val="22"/>
              </w:rPr>
              <w:t>Плацебо</w:t>
            </w:r>
          </w:p>
          <w:p w14:paraId="109ACA75"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247</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CA76" w14:textId="77777777" w:rsidR="009B3384" w:rsidRDefault="00800862">
            <w:pPr>
              <w:keepNext/>
              <w:widowControl w:val="0"/>
              <w:tabs>
                <w:tab w:val="clear" w:pos="567"/>
              </w:tabs>
              <w:jc w:val="center"/>
              <w:rPr>
                <w:b/>
                <w:bCs/>
                <w:szCs w:val="22"/>
              </w:rPr>
            </w:pPr>
            <w:r>
              <w:rPr>
                <w:b/>
                <w:bCs/>
                <w:szCs w:val="22"/>
              </w:rPr>
              <w:t>Препоръчителна доза</w:t>
            </w:r>
            <w:r>
              <w:rPr>
                <w:b/>
                <w:bCs/>
                <w:szCs w:val="22"/>
                <w:lang w:val="en-US"/>
              </w:rPr>
              <w:t xml:space="preserve"> </w:t>
            </w:r>
            <w:r>
              <w:rPr>
                <w:b/>
                <w:bCs/>
                <w:szCs w:val="22"/>
              </w:rPr>
              <w:t>устекинумаб</w:t>
            </w:r>
          </w:p>
          <w:p w14:paraId="109ACA77" w14:textId="77777777" w:rsidR="009B3384" w:rsidRDefault="00800862">
            <w:pPr>
              <w:keepNext/>
              <w:widowControl w:val="0"/>
              <w:tabs>
                <w:tab w:val="clear" w:pos="567"/>
              </w:tabs>
              <w:jc w:val="center"/>
              <w:rPr>
                <w:b/>
                <w:bCs/>
                <w:szCs w:val="22"/>
                <w:lang w:val="en-US"/>
              </w:rPr>
            </w:pPr>
            <w:r>
              <w:rPr>
                <w:b/>
                <w:bCs/>
                <w:szCs w:val="22"/>
                <w:lang w:val="en-US"/>
              </w:rPr>
              <w:t>N</w:t>
            </w:r>
            <w:r>
              <w:rPr>
                <w:szCs w:val="22"/>
              </w:rPr>
              <w:t> </w:t>
            </w:r>
            <w:r>
              <w:rPr>
                <w:b/>
                <w:bCs/>
                <w:szCs w:val="22"/>
                <w:lang w:val="en-US"/>
              </w:rPr>
              <w:t>=</w:t>
            </w:r>
            <w:r>
              <w:rPr>
                <w:szCs w:val="22"/>
              </w:rPr>
              <w:t> </w:t>
            </w:r>
            <w:r>
              <w:rPr>
                <w:b/>
                <w:bCs/>
                <w:szCs w:val="22"/>
                <w:lang w:val="en-US"/>
              </w:rPr>
              <w:t>249</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CA78" w14:textId="77777777" w:rsidR="009B3384" w:rsidRDefault="00800862">
            <w:pPr>
              <w:keepNext/>
              <w:widowControl w:val="0"/>
              <w:tabs>
                <w:tab w:val="clear" w:pos="567"/>
              </w:tabs>
              <w:jc w:val="center"/>
              <w:rPr>
                <w:b/>
                <w:bCs/>
                <w:szCs w:val="22"/>
              </w:rPr>
            </w:pPr>
            <w:r>
              <w:rPr>
                <w:b/>
                <w:bCs/>
                <w:szCs w:val="22"/>
              </w:rPr>
              <w:t>Плацебо</w:t>
            </w:r>
          </w:p>
          <w:p w14:paraId="109ACA79"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209</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CA7A" w14:textId="77777777" w:rsidR="009B3384" w:rsidRDefault="00800862">
            <w:pPr>
              <w:keepNext/>
              <w:widowControl w:val="0"/>
              <w:tabs>
                <w:tab w:val="clear" w:pos="567"/>
              </w:tabs>
              <w:jc w:val="center"/>
              <w:rPr>
                <w:b/>
                <w:bCs/>
                <w:szCs w:val="22"/>
                <w:lang w:val="en-US"/>
              </w:rPr>
            </w:pPr>
            <w:r>
              <w:rPr>
                <w:b/>
                <w:bCs/>
                <w:szCs w:val="22"/>
              </w:rPr>
              <w:t>Препоръчителна доза</w:t>
            </w:r>
            <w:r>
              <w:rPr>
                <w:b/>
                <w:bCs/>
                <w:szCs w:val="22"/>
                <w:lang w:val="en-US"/>
              </w:rPr>
              <w:t xml:space="preserve"> </w:t>
            </w:r>
            <w:r>
              <w:rPr>
                <w:b/>
                <w:bCs/>
                <w:szCs w:val="22"/>
              </w:rPr>
              <w:t>устекинумаб</w:t>
            </w:r>
          </w:p>
          <w:p w14:paraId="109ACA7B"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209</w:t>
            </w:r>
          </w:p>
        </w:tc>
      </w:tr>
      <w:tr w:rsidR="009B3384" w14:paraId="109ACA82"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7D" w14:textId="77777777" w:rsidR="009B3384" w:rsidRDefault="00800862">
            <w:pPr>
              <w:widowControl w:val="0"/>
              <w:tabs>
                <w:tab w:val="clear" w:pos="567"/>
              </w:tabs>
              <w:rPr>
                <w:szCs w:val="22"/>
                <w:lang w:val="en-US"/>
              </w:rPr>
            </w:pPr>
            <w:r>
              <w:rPr>
                <w:szCs w:val="22"/>
              </w:rPr>
              <w:t xml:space="preserve">Клинична ремисия, </w:t>
            </w:r>
            <w:r>
              <w:t>седмица</w:t>
            </w:r>
            <w:r>
              <w:rPr>
                <w:szCs w:val="22"/>
              </w:rPr>
              <w:t> 8</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A7E" w14:textId="77777777" w:rsidR="009B3384" w:rsidRDefault="00800862">
            <w:pPr>
              <w:widowControl w:val="0"/>
              <w:tabs>
                <w:tab w:val="clear" w:pos="567"/>
              </w:tabs>
              <w:jc w:val="center"/>
              <w:rPr>
                <w:szCs w:val="22"/>
                <w:lang w:val="en-US"/>
              </w:rPr>
            </w:pPr>
            <w:r>
              <w:rPr>
                <w:szCs w:val="22"/>
              </w:rPr>
              <w:t>18 (7,3%)</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7F" w14:textId="77777777" w:rsidR="009B3384" w:rsidRDefault="00800862">
            <w:pPr>
              <w:widowControl w:val="0"/>
              <w:tabs>
                <w:tab w:val="clear" w:pos="567"/>
              </w:tabs>
              <w:jc w:val="center"/>
              <w:rPr>
                <w:szCs w:val="22"/>
                <w:lang w:val="en-US"/>
              </w:rPr>
            </w:pPr>
            <w:r>
              <w:rPr>
                <w:szCs w:val="22"/>
              </w:rPr>
              <w:t>52 (20,9%)</w:t>
            </w:r>
            <w:r>
              <w:rPr>
                <w:szCs w:val="22"/>
                <w:vertAlign w:val="superscript"/>
              </w:rPr>
              <w:t>a</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0" w14:textId="77777777" w:rsidR="009B3384" w:rsidRDefault="00800862">
            <w:pPr>
              <w:widowControl w:val="0"/>
              <w:tabs>
                <w:tab w:val="clear" w:pos="567"/>
              </w:tabs>
              <w:jc w:val="center"/>
              <w:rPr>
                <w:szCs w:val="22"/>
                <w:lang w:val="en-US"/>
              </w:rPr>
            </w:pPr>
            <w:r>
              <w:rPr>
                <w:szCs w:val="22"/>
              </w:rPr>
              <w:t>41 (19,6%)</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1" w14:textId="77777777" w:rsidR="009B3384" w:rsidRDefault="00800862">
            <w:pPr>
              <w:widowControl w:val="0"/>
              <w:tabs>
                <w:tab w:val="clear" w:pos="567"/>
              </w:tabs>
              <w:jc w:val="center"/>
              <w:rPr>
                <w:szCs w:val="22"/>
                <w:lang w:val="en-US"/>
              </w:rPr>
            </w:pPr>
            <w:r>
              <w:rPr>
                <w:szCs w:val="22"/>
              </w:rPr>
              <w:t>84 (40,2%)</w:t>
            </w:r>
            <w:r>
              <w:rPr>
                <w:szCs w:val="22"/>
                <w:vertAlign w:val="superscript"/>
              </w:rPr>
              <w:t>a</w:t>
            </w:r>
          </w:p>
        </w:tc>
      </w:tr>
      <w:tr w:rsidR="009B3384" w14:paraId="109ACA88"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83" w14:textId="77777777" w:rsidR="009B3384" w:rsidRDefault="00800862">
            <w:pPr>
              <w:widowControl w:val="0"/>
              <w:tabs>
                <w:tab w:val="clear" w:pos="567"/>
              </w:tabs>
              <w:rPr>
                <w:szCs w:val="22"/>
                <w:lang w:val="en-US"/>
              </w:rPr>
            </w:pPr>
            <w:r>
              <w:rPr>
                <w:szCs w:val="22"/>
              </w:rPr>
              <w:t xml:space="preserve">Клиничен отговор (100 точки), </w:t>
            </w:r>
            <w:r>
              <w:t>седмица</w:t>
            </w:r>
            <w:r>
              <w:rPr>
                <w:szCs w:val="22"/>
              </w:rPr>
              <w:t> 6</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A84" w14:textId="77777777" w:rsidR="009B3384" w:rsidRDefault="00800862">
            <w:pPr>
              <w:widowControl w:val="0"/>
              <w:tabs>
                <w:tab w:val="clear" w:pos="567"/>
              </w:tabs>
              <w:jc w:val="center"/>
              <w:rPr>
                <w:szCs w:val="22"/>
                <w:lang w:val="en-US"/>
              </w:rPr>
            </w:pPr>
            <w:r>
              <w:rPr>
                <w:szCs w:val="22"/>
              </w:rPr>
              <w:t>53 (21,5%)</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5" w14:textId="77777777" w:rsidR="009B3384" w:rsidRDefault="00800862">
            <w:pPr>
              <w:widowControl w:val="0"/>
              <w:tabs>
                <w:tab w:val="clear" w:pos="567"/>
              </w:tabs>
              <w:jc w:val="center"/>
              <w:rPr>
                <w:szCs w:val="22"/>
                <w:lang w:val="en-US"/>
              </w:rPr>
            </w:pPr>
            <w:r>
              <w:rPr>
                <w:szCs w:val="22"/>
              </w:rPr>
              <w:t>84 (33,7%)</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6" w14:textId="77777777" w:rsidR="009B3384" w:rsidRDefault="00800862">
            <w:pPr>
              <w:widowControl w:val="0"/>
              <w:tabs>
                <w:tab w:val="clear" w:pos="567"/>
              </w:tabs>
              <w:jc w:val="center"/>
              <w:rPr>
                <w:szCs w:val="22"/>
                <w:lang w:val="en-US"/>
              </w:rPr>
            </w:pPr>
            <w:r>
              <w:rPr>
                <w:szCs w:val="22"/>
              </w:rPr>
              <w:t>60 (28,7%)</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7" w14:textId="77777777" w:rsidR="009B3384" w:rsidRDefault="00800862">
            <w:pPr>
              <w:widowControl w:val="0"/>
              <w:tabs>
                <w:tab w:val="clear" w:pos="567"/>
              </w:tabs>
              <w:jc w:val="center"/>
              <w:rPr>
                <w:szCs w:val="22"/>
                <w:lang w:val="en-US"/>
              </w:rPr>
            </w:pPr>
            <w:r>
              <w:rPr>
                <w:szCs w:val="22"/>
              </w:rPr>
              <w:t>116 (55,5%)</w:t>
            </w:r>
            <w:r>
              <w:rPr>
                <w:szCs w:val="22"/>
                <w:vertAlign w:val="superscript"/>
              </w:rPr>
              <w:t>a</w:t>
            </w:r>
          </w:p>
        </w:tc>
      </w:tr>
      <w:tr w:rsidR="009B3384" w14:paraId="109ACA8E"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89" w14:textId="77777777" w:rsidR="009B3384" w:rsidRDefault="00800862">
            <w:pPr>
              <w:widowControl w:val="0"/>
              <w:tabs>
                <w:tab w:val="clear" w:pos="567"/>
              </w:tabs>
              <w:rPr>
                <w:szCs w:val="22"/>
                <w:lang w:val="en-US"/>
              </w:rPr>
            </w:pPr>
            <w:r>
              <w:rPr>
                <w:szCs w:val="22"/>
              </w:rPr>
              <w:t xml:space="preserve">Клиничен отговор (100 точки), </w:t>
            </w:r>
            <w:r>
              <w:t>седмица</w:t>
            </w:r>
            <w:r>
              <w:rPr>
                <w:szCs w:val="22"/>
              </w:rPr>
              <w:t> 8</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A8A" w14:textId="77777777" w:rsidR="009B3384" w:rsidRDefault="00800862">
            <w:pPr>
              <w:widowControl w:val="0"/>
              <w:tabs>
                <w:tab w:val="clear" w:pos="567"/>
              </w:tabs>
              <w:jc w:val="center"/>
              <w:rPr>
                <w:szCs w:val="22"/>
                <w:lang w:val="en-US"/>
              </w:rPr>
            </w:pPr>
            <w:r>
              <w:rPr>
                <w:szCs w:val="22"/>
              </w:rPr>
              <w:t>50 (20,2%)</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B" w14:textId="77777777" w:rsidR="009B3384" w:rsidRDefault="00800862">
            <w:pPr>
              <w:widowControl w:val="0"/>
              <w:tabs>
                <w:tab w:val="clear" w:pos="567"/>
              </w:tabs>
              <w:jc w:val="center"/>
              <w:rPr>
                <w:szCs w:val="22"/>
                <w:lang w:val="en-US"/>
              </w:rPr>
            </w:pPr>
            <w:r>
              <w:rPr>
                <w:szCs w:val="22"/>
              </w:rPr>
              <w:t>94 (37,8%)</w:t>
            </w:r>
            <w:r>
              <w:rPr>
                <w:szCs w:val="22"/>
                <w:vertAlign w:val="superscript"/>
              </w:rPr>
              <w:t>a</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C" w14:textId="77777777" w:rsidR="009B3384" w:rsidRDefault="00800862">
            <w:pPr>
              <w:widowControl w:val="0"/>
              <w:tabs>
                <w:tab w:val="clear" w:pos="567"/>
              </w:tabs>
              <w:jc w:val="center"/>
              <w:rPr>
                <w:szCs w:val="22"/>
                <w:lang w:val="en-US"/>
              </w:rPr>
            </w:pPr>
            <w:r>
              <w:rPr>
                <w:szCs w:val="22"/>
              </w:rPr>
              <w:t>67 (32,1%)</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8D" w14:textId="77777777" w:rsidR="009B3384" w:rsidRDefault="00800862">
            <w:pPr>
              <w:widowControl w:val="0"/>
              <w:tabs>
                <w:tab w:val="clear" w:pos="567"/>
              </w:tabs>
              <w:jc w:val="center"/>
              <w:rPr>
                <w:szCs w:val="22"/>
                <w:lang w:val="en-US"/>
              </w:rPr>
            </w:pPr>
            <w:r>
              <w:rPr>
                <w:szCs w:val="22"/>
              </w:rPr>
              <w:t>121 (57,9%)</w:t>
            </w:r>
            <w:r>
              <w:rPr>
                <w:szCs w:val="22"/>
                <w:vertAlign w:val="superscript"/>
              </w:rPr>
              <w:t>a</w:t>
            </w:r>
          </w:p>
        </w:tc>
      </w:tr>
      <w:tr w:rsidR="009B3384" w14:paraId="109ACA94"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8F" w14:textId="77777777" w:rsidR="009B3384" w:rsidRDefault="00800862">
            <w:pPr>
              <w:widowControl w:val="0"/>
              <w:tabs>
                <w:tab w:val="clear" w:pos="567"/>
              </w:tabs>
              <w:rPr>
                <w:szCs w:val="22"/>
                <w:lang w:val="en-US"/>
              </w:rPr>
            </w:pPr>
            <w:r>
              <w:rPr>
                <w:szCs w:val="22"/>
              </w:rPr>
              <w:t xml:space="preserve">70-точков отговор, </w:t>
            </w:r>
            <w:r>
              <w:t>седмица</w:t>
            </w:r>
            <w:r>
              <w:rPr>
                <w:szCs w:val="22"/>
              </w:rPr>
              <w:t> 3</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A90" w14:textId="77777777" w:rsidR="009B3384" w:rsidRDefault="00800862">
            <w:pPr>
              <w:widowControl w:val="0"/>
              <w:tabs>
                <w:tab w:val="clear" w:pos="567"/>
              </w:tabs>
              <w:jc w:val="center"/>
              <w:rPr>
                <w:szCs w:val="22"/>
                <w:lang w:val="en-US"/>
              </w:rPr>
            </w:pPr>
            <w:r>
              <w:rPr>
                <w:szCs w:val="22"/>
              </w:rPr>
              <w:t>67 (27,1%)</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91" w14:textId="77777777" w:rsidR="009B3384" w:rsidRDefault="00800862">
            <w:pPr>
              <w:widowControl w:val="0"/>
              <w:tabs>
                <w:tab w:val="clear" w:pos="567"/>
              </w:tabs>
              <w:jc w:val="center"/>
              <w:rPr>
                <w:szCs w:val="22"/>
                <w:lang w:val="en-US"/>
              </w:rPr>
            </w:pPr>
            <w:r>
              <w:rPr>
                <w:szCs w:val="22"/>
              </w:rPr>
              <w:t>101 (40,6%)</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92" w14:textId="77777777" w:rsidR="009B3384" w:rsidRDefault="00800862">
            <w:pPr>
              <w:widowControl w:val="0"/>
              <w:tabs>
                <w:tab w:val="clear" w:pos="567"/>
              </w:tabs>
              <w:jc w:val="center"/>
              <w:rPr>
                <w:szCs w:val="22"/>
                <w:lang w:val="en-US"/>
              </w:rPr>
            </w:pPr>
            <w:r>
              <w:rPr>
                <w:szCs w:val="22"/>
              </w:rPr>
              <w:t>66 (31,6%)</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93" w14:textId="77777777" w:rsidR="009B3384" w:rsidRDefault="00800862">
            <w:pPr>
              <w:widowControl w:val="0"/>
              <w:tabs>
                <w:tab w:val="clear" w:pos="567"/>
              </w:tabs>
              <w:jc w:val="center"/>
              <w:rPr>
                <w:szCs w:val="22"/>
                <w:lang w:val="en-US"/>
              </w:rPr>
            </w:pPr>
            <w:r>
              <w:rPr>
                <w:szCs w:val="22"/>
              </w:rPr>
              <w:t>106 (50,7%)</w:t>
            </w:r>
            <w:r>
              <w:rPr>
                <w:szCs w:val="22"/>
                <w:vertAlign w:val="superscript"/>
              </w:rPr>
              <w:t>a</w:t>
            </w:r>
          </w:p>
        </w:tc>
      </w:tr>
      <w:tr w:rsidR="009B3384" w14:paraId="109ACA9A"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CA95" w14:textId="77777777" w:rsidR="009B3384" w:rsidRDefault="00800862">
            <w:pPr>
              <w:widowControl w:val="0"/>
              <w:tabs>
                <w:tab w:val="clear" w:pos="567"/>
              </w:tabs>
              <w:rPr>
                <w:szCs w:val="22"/>
                <w:lang w:val="en-US"/>
              </w:rPr>
            </w:pPr>
            <w:r>
              <w:rPr>
                <w:szCs w:val="22"/>
              </w:rPr>
              <w:t xml:space="preserve">70-точков отговор, </w:t>
            </w:r>
            <w:r>
              <w:t>седмица</w:t>
            </w:r>
            <w:r>
              <w:rPr>
                <w:szCs w:val="22"/>
              </w:rPr>
              <w:t> 6</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A96" w14:textId="77777777" w:rsidR="009B3384" w:rsidRDefault="00800862">
            <w:pPr>
              <w:widowControl w:val="0"/>
              <w:tabs>
                <w:tab w:val="clear" w:pos="567"/>
              </w:tabs>
              <w:jc w:val="center"/>
              <w:rPr>
                <w:szCs w:val="22"/>
                <w:lang w:val="en-US"/>
              </w:rPr>
            </w:pPr>
            <w:r>
              <w:rPr>
                <w:szCs w:val="22"/>
              </w:rPr>
              <w:t>75 (30,4%)</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97" w14:textId="77777777" w:rsidR="009B3384" w:rsidRDefault="00800862">
            <w:pPr>
              <w:widowControl w:val="0"/>
              <w:tabs>
                <w:tab w:val="clear" w:pos="567"/>
              </w:tabs>
              <w:jc w:val="center"/>
              <w:rPr>
                <w:szCs w:val="22"/>
                <w:lang w:val="en-US"/>
              </w:rPr>
            </w:pPr>
            <w:r>
              <w:rPr>
                <w:szCs w:val="22"/>
              </w:rPr>
              <w:t>109 (43,8%)</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98" w14:textId="77777777" w:rsidR="009B3384" w:rsidRDefault="00800862">
            <w:pPr>
              <w:widowControl w:val="0"/>
              <w:tabs>
                <w:tab w:val="clear" w:pos="567"/>
              </w:tabs>
              <w:jc w:val="center"/>
              <w:rPr>
                <w:szCs w:val="22"/>
                <w:lang w:val="en-US"/>
              </w:rPr>
            </w:pPr>
            <w:r>
              <w:rPr>
                <w:szCs w:val="22"/>
              </w:rPr>
              <w:t>81 (38,8%)</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CA99" w14:textId="77777777" w:rsidR="009B3384" w:rsidRDefault="00800862">
            <w:pPr>
              <w:widowControl w:val="0"/>
              <w:tabs>
                <w:tab w:val="clear" w:pos="567"/>
              </w:tabs>
              <w:jc w:val="center"/>
              <w:rPr>
                <w:szCs w:val="22"/>
                <w:lang w:val="en-US"/>
              </w:rPr>
            </w:pPr>
            <w:r>
              <w:rPr>
                <w:szCs w:val="22"/>
              </w:rPr>
              <w:t>135 (64,6%)</w:t>
            </w:r>
            <w:r>
              <w:rPr>
                <w:szCs w:val="22"/>
                <w:vertAlign w:val="superscript"/>
              </w:rPr>
              <w:t>a</w:t>
            </w:r>
          </w:p>
        </w:tc>
      </w:tr>
      <w:tr w:rsidR="009B3384" w14:paraId="109ACAA1" w14:textId="77777777">
        <w:trPr>
          <w:cantSplit/>
          <w:jc w:val="center"/>
        </w:trPr>
        <w:tc>
          <w:tcPr>
            <w:tcW w:w="9072" w:type="dxa"/>
            <w:gridSpan w:val="5"/>
            <w:tcBorders>
              <w:top w:val="single" w:sz="4" w:space="0" w:color="000000"/>
            </w:tcBorders>
          </w:tcPr>
          <w:p w14:paraId="109ACA9B" w14:textId="77777777" w:rsidR="009B3384" w:rsidRDefault="00800862">
            <w:pPr>
              <w:widowControl w:val="0"/>
              <w:rPr>
                <w:sz w:val="18"/>
                <w:szCs w:val="18"/>
              </w:rPr>
            </w:pPr>
            <w:r>
              <w:rPr>
                <w:sz w:val="18"/>
                <w:szCs w:val="18"/>
              </w:rPr>
              <w:t>Клиничната ремисия е определена като CDAI скор &lt; 150; Клиничният отговор е определен като намаление на CDAI скор с най-малко 100 точки или състояние в клинична ремисия</w:t>
            </w:r>
          </w:p>
          <w:p w14:paraId="109ACA9C" w14:textId="77777777" w:rsidR="009B3384" w:rsidRDefault="00800862">
            <w:pPr>
              <w:widowControl w:val="0"/>
              <w:rPr>
                <w:sz w:val="18"/>
                <w:szCs w:val="18"/>
              </w:rPr>
            </w:pPr>
            <w:r>
              <w:rPr>
                <w:sz w:val="18"/>
                <w:szCs w:val="18"/>
              </w:rPr>
              <w:t>70-точковият отговор е определен като намаление на CDAI скор с най-малко 70 точки</w:t>
            </w:r>
          </w:p>
          <w:p w14:paraId="109ACA9D" w14:textId="77777777" w:rsidR="009B3384" w:rsidRDefault="00800862">
            <w:pPr>
              <w:widowControl w:val="0"/>
              <w:ind w:left="284" w:hanging="284"/>
              <w:rPr>
                <w:sz w:val="18"/>
                <w:szCs w:val="18"/>
              </w:rPr>
            </w:pPr>
            <w:r>
              <w:rPr>
                <w:sz w:val="18"/>
                <w:szCs w:val="18"/>
              </w:rPr>
              <w:t>*</w:t>
            </w:r>
            <w:r>
              <w:rPr>
                <w:sz w:val="18"/>
                <w:szCs w:val="18"/>
              </w:rPr>
              <w:tab/>
              <w:t>Неуспех на анти-TNFα терапия</w:t>
            </w:r>
          </w:p>
          <w:p w14:paraId="109ACA9E" w14:textId="77777777" w:rsidR="009B3384" w:rsidRDefault="00800862">
            <w:pPr>
              <w:widowControl w:val="0"/>
              <w:ind w:left="284" w:hanging="284"/>
              <w:rPr>
                <w:sz w:val="18"/>
                <w:szCs w:val="18"/>
              </w:rPr>
            </w:pPr>
            <w:r>
              <w:rPr>
                <w:sz w:val="18"/>
                <w:szCs w:val="18"/>
              </w:rPr>
              <w:t>**</w:t>
            </w:r>
            <w:r>
              <w:rPr>
                <w:sz w:val="18"/>
                <w:szCs w:val="18"/>
              </w:rPr>
              <w:tab/>
              <w:t>Неуспех на конвенционалната терапия</w:t>
            </w:r>
          </w:p>
          <w:p w14:paraId="109ACA9F"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CAA0" w14:textId="77777777" w:rsidR="009B3384" w:rsidRDefault="00800862">
            <w:pPr>
              <w:widowControl w:val="0"/>
              <w:tabs>
                <w:tab w:val="clear" w:pos="567"/>
                <w:tab w:val="left" w:pos="288"/>
              </w:tabs>
              <w:ind w:left="284" w:hanging="284"/>
              <w:rPr>
                <w:sz w:val="20"/>
                <w:lang w:val="en-US"/>
              </w:rPr>
            </w:pPr>
            <w:r>
              <w:rPr>
                <w:szCs w:val="18"/>
                <w:vertAlign w:val="superscript"/>
              </w:rPr>
              <w:t>б</w:t>
            </w:r>
            <w:r>
              <w:rPr>
                <w:szCs w:val="18"/>
                <w:vertAlign w:val="superscript"/>
              </w:rPr>
              <w:tab/>
            </w:r>
            <w:r>
              <w:rPr>
                <w:sz w:val="18"/>
                <w:szCs w:val="18"/>
              </w:rPr>
              <w:t>p &lt; 0,01</w:t>
            </w:r>
          </w:p>
        </w:tc>
      </w:tr>
    </w:tbl>
    <w:p w14:paraId="109ACAA2" w14:textId="77777777" w:rsidR="009B3384" w:rsidRDefault="009B3384"/>
    <w:p w14:paraId="109ACAA3" w14:textId="77777777" w:rsidR="009B3384" w:rsidRDefault="00800862">
      <w:pPr>
        <w:tabs>
          <w:tab w:val="clear" w:pos="567"/>
        </w:tabs>
        <w:rPr>
          <w:szCs w:val="24"/>
        </w:rPr>
      </w:pPr>
      <w:r>
        <w:t>В проучването с поддържаща терапия (IM-UNITI) са оценени 388</w:t>
      </w:r>
      <w:r>
        <w:rPr>
          <w:szCs w:val="22"/>
        </w:rPr>
        <w:t> </w:t>
      </w:r>
      <w:r>
        <w:t>пациенти, които достигат 100-точков</w:t>
      </w:r>
      <w:r>
        <w:rPr>
          <w:szCs w:val="22"/>
        </w:rPr>
        <w:t> </w:t>
      </w:r>
      <w:r>
        <w:t>клиничен отговор на седмица</w:t>
      </w:r>
      <w:r>
        <w:rPr>
          <w:szCs w:val="22"/>
        </w:rPr>
        <w:t> </w:t>
      </w:r>
      <w:r>
        <w:t>8 от индукцията с устекинумаб в проучвания</w:t>
      </w:r>
      <w:r>
        <w:rPr>
          <w:szCs w:val="24"/>
        </w:rPr>
        <w:t xml:space="preserve"> UNITI-1 и UNITI-2. Пациентите са рандомизирани на схема на поддържащо лечение с подкожно приложение на 90</w:t>
      </w:r>
      <w:r>
        <w:rPr>
          <w:szCs w:val="22"/>
        </w:rPr>
        <w:t> </w:t>
      </w:r>
      <w:r>
        <w:rPr>
          <w:szCs w:val="24"/>
        </w:rPr>
        <w:t>mg устекинумаб през 8</w:t>
      </w:r>
      <w:r>
        <w:rPr>
          <w:szCs w:val="22"/>
        </w:rPr>
        <w:t> </w:t>
      </w:r>
      <w:r>
        <w:rPr>
          <w:szCs w:val="24"/>
        </w:rPr>
        <w:t>седмици, 90</w:t>
      </w:r>
      <w:r>
        <w:rPr>
          <w:szCs w:val="22"/>
        </w:rPr>
        <w:t> </w:t>
      </w:r>
      <w:r>
        <w:rPr>
          <w:szCs w:val="24"/>
        </w:rPr>
        <w:t>mg устекинумаб през 12</w:t>
      </w:r>
      <w:r>
        <w:rPr>
          <w:szCs w:val="22"/>
        </w:rPr>
        <w:t> </w:t>
      </w:r>
      <w:r>
        <w:rPr>
          <w:szCs w:val="24"/>
        </w:rPr>
        <w:t>седмици или плацебо в продължение на 44</w:t>
      </w:r>
      <w:r>
        <w:rPr>
          <w:szCs w:val="22"/>
        </w:rPr>
        <w:t> </w:t>
      </w:r>
      <w:r>
        <w:rPr>
          <w:szCs w:val="24"/>
        </w:rPr>
        <w:t>седмици (за препоръчителната поддържаща доза вж. точка</w:t>
      </w:r>
      <w:r>
        <w:rPr>
          <w:szCs w:val="22"/>
        </w:rPr>
        <w:t> </w:t>
      </w:r>
      <w:r>
        <w:rPr>
          <w:szCs w:val="24"/>
        </w:rPr>
        <w:t xml:space="preserve">4.2 от </w:t>
      </w:r>
      <w:r>
        <w:rPr>
          <w:szCs w:val="24"/>
        </w:rPr>
        <w:lastRenderedPageBreak/>
        <w:t>КХП на STELARA инжекционен разтвор (флакон) и инжекционен разтвор в предварително напълнена спринцовка или в предварително напълнена писалка).</w:t>
      </w:r>
    </w:p>
    <w:p w14:paraId="109ACAA4" w14:textId="77777777" w:rsidR="009B3384" w:rsidRDefault="009B3384">
      <w:pPr>
        <w:tabs>
          <w:tab w:val="clear" w:pos="567"/>
        </w:tabs>
        <w:rPr>
          <w:szCs w:val="24"/>
        </w:rPr>
      </w:pPr>
    </w:p>
    <w:p w14:paraId="109ACAA5" w14:textId="69FF883D" w:rsidR="009B3384" w:rsidRDefault="00800862">
      <w:r>
        <w:t>Значимо по-голям процент пациенти в групите, лекувани с устекинумаб, поддържат клинична ремисия и отговор на седмица</w:t>
      </w:r>
      <w:r>
        <w:rPr>
          <w:szCs w:val="22"/>
        </w:rPr>
        <w:t> </w:t>
      </w:r>
      <w:r>
        <w:t>44 в сравнение с групата на плацебо (вж. Таблица</w:t>
      </w:r>
      <w:r>
        <w:rPr>
          <w:szCs w:val="22"/>
        </w:rPr>
        <w:t> </w:t>
      </w:r>
      <w:r w:rsidRPr="00BC6A43">
        <w:t>6</w:t>
      </w:r>
      <w:r>
        <w:t>).</w:t>
      </w:r>
    </w:p>
    <w:p w14:paraId="109ACAA6" w14:textId="77777777" w:rsidR="009B3384" w:rsidRDefault="009B3384"/>
    <w:p w14:paraId="109ACAA7" w14:textId="73EBABF7" w:rsidR="009B3384" w:rsidRDefault="00800862">
      <w:pPr>
        <w:keepNext/>
        <w:ind w:left="1134" w:hanging="1134"/>
        <w:rPr>
          <w:i/>
          <w:iCs/>
        </w:rPr>
      </w:pPr>
      <w:r>
        <w:rPr>
          <w:i/>
          <w:iCs/>
        </w:rPr>
        <w:t>Таблица </w:t>
      </w:r>
      <w:r w:rsidRPr="00BC6A43">
        <w:rPr>
          <w:i/>
          <w:iCs/>
        </w:rPr>
        <w:t>6</w:t>
      </w:r>
      <w:r>
        <w:rPr>
          <w:i/>
          <w:iCs/>
        </w:rPr>
        <w:t>:</w:t>
      </w:r>
      <w:r>
        <w:rPr>
          <w:i/>
          <w:iCs/>
        </w:rPr>
        <w:tab/>
        <w:t>Поддържане на клиничния отговор и ремисия в IM-UNITI (седмица</w:t>
      </w:r>
      <w:r>
        <w:rPr>
          <w:i/>
          <w:szCs w:val="22"/>
        </w:rPr>
        <w:t> </w:t>
      </w:r>
      <w:r>
        <w:rPr>
          <w:i/>
          <w:iCs/>
        </w:rPr>
        <w:t>44; 52</w:t>
      </w:r>
      <w:r>
        <w:rPr>
          <w:i/>
          <w:szCs w:val="22"/>
        </w:rPr>
        <w:t> </w:t>
      </w:r>
      <w:r>
        <w:rPr>
          <w:i/>
          <w:iCs/>
        </w:rPr>
        <w:t>седмици от започване с индукционната доза)</w:t>
      </w:r>
    </w:p>
    <w:tbl>
      <w:tblPr>
        <w:tblW w:w="9072" w:type="dxa"/>
        <w:jc w:val="center"/>
        <w:tblLayout w:type="fixed"/>
        <w:tblLook w:val="04A0" w:firstRow="1" w:lastRow="0" w:firstColumn="1" w:lastColumn="0" w:noHBand="0" w:noVBand="1"/>
      </w:tblPr>
      <w:tblGrid>
        <w:gridCol w:w="4527"/>
        <w:gridCol w:w="1399"/>
        <w:gridCol w:w="1573"/>
        <w:gridCol w:w="1573"/>
      </w:tblGrid>
      <w:tr w:rsidR="009B3384" w14:paraId="109ACAB3" w14:textId="77777777">
        <w:trPr>
          <w:cantSplit/>
          <w:jc w:val="center"/>
        </w:trPr>
        <w:tc>
          <w:tcPr>
            <w:tcW w:w="4526" w:type="dxa"/>
            <w:tcBorders>
              <w:top w:val="single" w:sz="4" w:space="0" w:color="000000"/>
              <w:left w:val="single" w:sz="4" w:space="0" w:color="000000"/>
              <w:bottom w:val="single" w:sz="4" w:space="0" w:color="000000"/>
              <w:right w:val="single" w:sz="8" w:space="0" w:color="000000"/>
            </w:tcBorders>
          </w:tcPr>
          <w:p w14:paraId="109ACAA8" w14:textId="77777777" w:rsidR="009B3384" w:rsidRDefault="009B3384">
            <w:pPr>
              <w:keepNext/>
              <w:widowControl w:val="0"/>
              <w:jc w:val="center"/>
              <w:rPr>
                <w:b/>
                <w:szCs w:val="22"/>
              </w:rPr>
            </w:pPr>
          </w:p>
        </w:tc>
        <w:tc>
          <w:tcPr>
            <w:tcW w:w="1399" w:type="dxa"/>
            <w:tcBorders>
              <w:top w:val="single" w:sz="4" w:space="0" w:color="000000"/>
              <w:bottom w:val="single" w:sz="4" w:space="0" w:color="000000"/>
              <w:right w:val="single" w:sz="8" w:space="0" w:color="000000"/>
            </w:tcBorders>
          </w:tcPr>
          <w:p w14:paraId="109ACAA9" w14:textId="77777777" w:rsidR="009B3384" w:rsidRDefault="00800862">
            <w:pPr>
              <w:keepNext/>
              <w:widowControl w:val="0"/>
              <w:jc w:val="center"/>
              <w:rPr>
                <w:b/>
                <w:szCs w:val="22"/>
              </w:rPr>
            </w:pPr>
            <w:r>
              <w:rPr>
                <w:b/>
                <w:szCs w:val="22"/>
              </w:rPr>
              <w:t>Плацебо*</w:t>
            </w:r>
          </w:p>
          <w:p w14:paraId="109ACAAA" w14:textId="77777777" w:rsidR="009B3384" w:rsidRDefault="009B3384">
            <w:pPr>
              <w:keepNext/>
              <w:widowControl w:val="0"/>
              <w:jc w:val="center"/>
              <w:rPr>
                <w:b/>
                <w:szCs w:val="22"/>
              </w:rPr>
            </w:pPr>
          </w:p>
          <w:p w14:paraId="109ACAAB" w14:textId="77777777" w:rsidR="009B3384" w:rsidRDefault="009B3384">
            <w:pPr>
              <w:keepNext/>
              <w:widowControl w:val="0"/>
              <w:jc w:val="center"/>
              <w:rPr>
                <w:b/>
                <w:szCs w:val="22"/>
              </w:rPr>
            </w:pPr>
          </w:p>
          <w:p w14:paraId="109ACAAC" w14:textId="77777777" w:rsidR="009B3384" w:rsidRDefault="009B3384">
            <w:pPr>
              <w:keepNext/>
              <w:widowControl w:val="0"/>
              <w:jc w:val="center"/>
              <w:rPr>
                <w:b/>
                <w:szCs w:val="22"/>
              </w:rPr>
            </w:pPr>
          </w:p>
          <w:p w14:paraId="109ACAAD"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131</w:t>
            </w:r>
            <w:r>
              <w:rPr>
                <w:b/>
                <w:szCs w:val="22"/>
                <w:vertAlign w:val="superscript"/>
              </w:rPr>
              <w:t>†</w:t>
            </w:r>
          </w:p>
        </w:tc>
        <w:tc>
          <w:tcPr>
            <w:tcW w:w="1573" w:type="dxa"/>
            <w:tcBorders>
              <w:top w:val="single" w:sz="4" w:space="0" w:color="000000"/>
              <w:bottom w:val="single" w:sz="4" w:space="0" w:color="000000"/>
              <w:right w:val="single" w:sz="8" w:space="0" w:color="000000"/>
            </w:tcBorders>
          </w:tcPr>
          <w:p w14:paraId="109ACAAE" w14:textId="77777777" w:rsidR="009B3384" w:rsidRDefault="00800862">
            <w:pPr>
              <w:keepNext/>
              <w:widowControl w:val="0"/>
              <w:jc w:val="center"/>
              <w:rPr>
                <w:b/>
                <w:szCs w:val="22"/>
              </w:rPr>
            </w:pPr>
            <w:r>
              <w:rPr>
                <w:b/>
                <w:szCs w:val="22"/>
              </w:rPr>
              <w:t>90</w:t>
            </w:r>
            <w:r>
              <w:rPr>
                <w:szCs w:val="22"/>
              </w:rPr>
              <w:t> </w:t>
            </w:r>
            <w:r>
              <w:rPr>
                <w:b/>
                <w:szCs w:val="22"/>
              </w:rPr>
              <w:t>mg устекинумаб през 8</w:t>
            </w:r>
            <w:r>
              <w:rPr>
                <w:szCs w:val="22"/>
              </w:rPr>
              <w:t> </w:t>
            </w:r>
            <w:r>
              <w:rPr>
                <w:b/>
                <w:szCs w:val="22"/>
              </w:rPr>
              <w:t>седмици</w:t>
            </w:r>
          </w:p>
          <w:p w14:paraId="109ACAAF" w14:textId="77777777" w:rsidR="009B3384" w:rsidRDefault="009B3384">
            <w:pPr>
              <w:keepNext/>
              <w:widowControl w:val="0"/>
              <w:jc w:val="center"/>
              <w:rPr>
                <w:b/>
                <w:szCs w:val="22"/>
              </w:rPr>
            </w:pPr>
          </w:p>
          <w:p w14:paraId="109ACAB0"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128</w:t>
            </w:r>
            <w:r>
              <w:rPr>
                <w:b/>
                <w:szCs w:val="22"/>
                <w:vertAlign w:val="superscript"/>
              </w:rPr>
              <w:t>†</w:t>
            </w:r>
          </w:p>
        </w:tc>
        <w:tc>
          <w:tcPr>
            <w:tcW w:w="1573" w:type="dxa"/>
            <w:tcBorders>
              <w:top w:val="single" w:sz="4" w:space="0" w:color="000000"/>
              <w:bottom w:val="single" w:sz="4" w:space="0" w:color="000000"/>
              <w:right w:val="single" w:sz="4" w:space="0" w:color="000000"/>
            </w:tcBorders>
          </w:tcPr>
          <w:p w14:paraId="109ACAB1" w14:textId="77777777" w:rsidR="009B3384" w:rsidRDefault="00800862">
            <w:pPr>
              <w:keepNext/>
              <w:widowControl w:val="0"/>
              <w:jc w:val="center"/>
              <w:rPr>
                <w:b/>
                <w:szCs w:val="22"/>
              </w:rPr>
            </w:pPr>
            <w:r>
              <w:rPr>
                <w:b/>
                <w:szCs w:val="22"/>
              </w:rPr>
              <w:t>90</w:t>
            </w:r>
            <w:r>
              <w:rPr>
                <w:szCs w:val="22"/>
              </w:rPr>
              <w:t> </w:t>
            </w:r>
            <w:r>
              <w:rPr>
                <w:b/>
                <w:szCs w:val="22"/>
              </w:rPr>
              <w:t>mg устекинумаб през 12</w:t>
            </w:r>
            <w:r>
              <w:rPr>
                <w:szCs w:val="22"/>
              </w:rPr>
              <w:t> </w:t>
            </w:r>
            <w:r>
              <w:rPr>
                <w:b/>
                <w:szCs w:val="22"/>
              </w:rPr>
              <w:t>седмици</w:t>
            </w:r>
          </w:p>
          <w:p w14:paraId="109ACAB2"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129</w:t>
            </w:r>
            <w:r>
              <w:rPr>
                <w:b/>
                <w:szCs w:val="22"/>
                <w:vertAlign w:val="superscript"/>
              </w:rPr>
              <w:t>†</w:t>
            </w:r>
          </w:p>
        </w:tc>
      </w:tr>
      <w:tr w:rsidR="009B3384" w14:paraId="109ACAB8" w14:textId="77777777">
        <w:trPr>
          <w:cantSplit/>
          <w:jc w:val="center"/>
        </w:trPr>
        <w:tc>
          <w:tcPr>
            <w:tcW w:w="4526" w:type="dxa"/>
            <w:tcBorders>
              <w:top w:val="single" w:sz="4" w:space="0" w:color="000000"/>
              <w:left w:val="single" w:sz="4" w:space="0" w:color="000000"/>
              <w:bottom w:val="single" w:sz="4" w:space="0" w:color="000000"/>
              <w:right w:val="single" w:sz="8" w:space="0" w:color="000000"/>
            </w:tcBorders>
          </w:tcPr>
          <w:p w14:paraId="109ACAB4" w14:textId="77777777" w:rsidR="009B3384" w:rsidRDefault="00800862">
            <w:pPr>
              <w:widowControl w:val="0"/>
              <w:rPr>
                <w:rFonts w:eastAsia="Calibri"/>
              </w:rPr>
            </w:pPr>
            <w:r>
              <w:t>Клинична ремисия</w:t>
            </w:r>
          </w:p>
        </w:tc>
        <w:tc>
          <w:tcPr>
            <w:tcW w:w="1399" w:type="dxa"/>
            <w:tcBorders>
              <w:top w:val="single" w:sz="4" w:space="0" w:color="000000"/>
              <w:bottom w:val="single" w:sz="4" w:space="0" w:color="000000"/>
              <w:right w:val="single" w:sz="8" w:space="0" w:color="000000"/>
            </w:tcBorders>
            <w:vAlign w:val="center"/>
          </w:tcPr>
          <w:p w14:paraId="109ACAB5" w14:textId="77777777" w:rsidR="009B3384" w:rsidRDefault="00800862">
            <w:pPr>
              <w:widowControl w:val="0"/>
              <w:jc w:val="center"/>
              <w:rPr>
                <w:szCs w:val="22"/>
              </w:rPr>
            </w:pPr>
            <w:r>
              <w:rPr>
                <w:szCs w:val="22"/>
              </w:rPr>
              <w:t>36%</w:t>
            </w:r>
          </w:p>
        </w:tc>
        <w:tc>
          <w:tcPr>
            <w:tcW w:w="1573" w:type="dxa"/>
            <w:tcBorders>
              <w:top w:val="single" w:sz="4" w:space="0" w:color="000000"/>
              <w:bottom w:val="single" w:sz="4" w:space="0" w:color="000000"/>
              <w:right w:val="single" w:sz="8" w:space="0" w:color="000000"/>
            </w:tcBorders>
            <w:vAlign w:val="center"/>
          </w:tcPr>
          <w:p w14:paraId="109ACAB6" w14:textId="77777777" w:rsidR="009B3384" w:rsidRDefault="00800862">
            <w:pPr>
              <w:widowControl w:val="0"/>
              <w:jc w:val="center"/>
              <w:rPr>
                <w:szCs w:val="22"/>
              </w:rPr>
            </w:pPr>
            <w:r>
              <w:rPr>
                <w:szCs w:val="22"/>
              </w:rPr>
              <w:t>53%</w:t>
            </w:r>
            <w:r>
              <w:rPr>
                <w:szCs w:val="22"/>
                <w:vertAlign w:val="superscript"/>
              </w:rPr>
              <w:t>a</w:t>
            </w:r>
          </w:p>
        </w:tc>
        <w:tc>
          <w:tcPr>
            <w:tcW w:w="1573" w:type="dxa"/>
            <w:tcBorders>
              <w:top w:val="single" w:sz="4" w:space="0" w:color="000000"/>
              <w:bottom w:val="single" w:sz="4" w:space="0" w:color="000000"/>
              <w:right w:val="single" w:sz="4" w:space="0" w:color="000000"/>
            </w:tcBorders>
            <w:vAlign w:val="center"/>
          </w:tcPr>
          <w:p w14:paraId="109ACAB7" w14:textId="77777777" w:rsidR="009B3384" w:rsidRDefault="00800862">
            <w:pPr>
              <w:widowControl w:val="0"/>
              <w:jc w:val="center"/>
              <w:rPr>
                <w:szCs w:val="22"/>
              </w:rPr>
            </w:pPr>
            <w:r>
              <w:rPr>
                <w:szCs w:val="22"/>
              </w:rPr>
              <w:t>49%</w:t>
            </w:r>
            <w:r>
              <w:rPr>
                <w:szCs w:val="22"/>
                <w:vertAlign w:val="superscript"/>
              </w:rPr>
              <w:t>б</w:t>
            </w:r>
          </w:p>
        </w:tc>
      </w:tr>
      <w:tr w:rsidR="009B3384" w14:paraId="109ACABD"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CAB9" w14:textId="77777777" w:rsidR="009B3384" w:rsidRDefault="00800862">
            <w:pPr>
              <w:widowControl w:val="0"/>
              <w:rPr>
                <w:rFonts w:eastAsia="Calibri"/>
              </w:rPr>
            </w:pPr>
            <w:r>
              <w:t>Клиничен отговор</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CABA" w14:textId="77777777" w:rsidR="009B3384" w:rsidRDefault="00800862">
            <w:pPr>
              <w:widowControl w:val="0"/>
              <w:jc w:val="center"/>
              <w:rPr>
                <w:szCs w:val="22"/>
              </w:rPr>
            </w:pPr>
            <w:r>
              <w:rPr>
                <w:szCs w:val="22"/>
              </w:rPr>
              <w:t>44%</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BB" w14:textId="77777777" w:rsidR="009B3384" w:rsidRDefault="00800862">
            <w:pPr>
              <w:widowControl w:val="0"/>
              <w:jc w:val="center"/>
              <w:rPr>
                <w:szCs w:val="22"/>
              </w:rPr>
            </w:pPr>
            <w:r>
              <w:rPr>
                <w:szCs w:val="22"/>
              </w:rPr>
              <w:t>59%</w:t>
            </w:r>
            <w:r>
              <w:rPr>
                <w:szCs w:val="22"/>
                <w:vertAlign w:val="superscript"/>
              </w:rPr>
              <w:t>б</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BC" w14:textId="77777777" w:rsidR="009B3384" w:rsidRDefault="00800862">
            <w:pPr>
              <w:widowControl w:val="0"/>
              <w:jc w:val="center"/>
              <w:rPr>
                <w:szCs w:val="22"/>
              </w:rPr>
            </w:pPr>
            <w:r>
              <w:rPr>
                <w:szCs w:val="22"/>
              </w:rPr>
              <w:t>58%</w:t>
            </w:r>
            <w:r>
              <w:rPr>
                <w:szCs w:val="22"/>
                <w:vertAlign w:val="superscript"/>
              </w:rPr>
              <w:t>б</w:t>
            </w:r>
          </w:p>
        </w:tc>
      </w:tr>
      <w:tr w:rsidR="009B3384" w14:paraId="109ACAC2"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CABE" w14:textId="77777777" w:rsidR="009B3384" w:rsidRDefault="00800862">
            <w:pPr>
              <w:widowControl w:val="0"/>
              <w:rPr>
                <w:rFonts w:eastAsia="Calibri"/>
              </w:rPr>
            </w:pPr>
            <w:r>
              <w:t>Клинична ремисия без кортикостероиди</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CABF" w14:textId="77777777" w:rsidR="009B3384" w:rsidRDefault="00800862">
            <w:pPr>
              <w:widowControl w:val="0"/>
              <w:jc w:val="center"/>
              <w:rPr>
                <w:szCs w:val="22"/>
              </w:rPr>
            </w:pPr>
            <w:r>
              <w:rPr>
                <w:szCs w:val="22"/>
              </w:rPr>
              <w:t>30%</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0" w14:textId="77777777" w:rsidR="009B3384" w:rsidRDefault="00800862">
            <w:pPr>
              <w:widowControl w:val="0"/>
              <w:jc w:val="center"/>
              <w:rPr>
                <w:szCs w:val="22"/>
              </w:rPr>
            </w:pPr>
            <w:r>
              <w:rPr>
                <w:szCs w:val="22"/>
              </w:rPr>
              <w:t>47%</w:t>
            </w:r>
            <w:r>
              <w:rPr>
                <w:szCs w:val="22"/>
                <w:vertAlign w:val="superscript"/>
              </w:rPr>
              <w:t>a</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1" w14:textId="77777777" w:rsidR="009B3384" w:rsidRDefault="00800862">
            <w:pPr>
              <w:widowControl w:val="0"/>
              <w:jc w:val="center"/>
              <w:rPr>
                <w:szCs w:val="22"/>
              </w:rPr>
            </w:pPr>
            <w:r>
              <w:rPr>
                <w:szCs w:val="22"/>
              </w:rPr>
              <w:t>43%</w:t>
            </w:r>
            <w:r>
              <w:rPr>
                <w:szCs w:val="22"/>
                <w:vertAlign w:val="superscript"/>
              </w:rPr>
              <w:t>в</w:t>
            </w:r>
          </w:p>
        </w:tc>
      </w:tr>
      <w:tr w:rsidR="009B3384" w14:paraId="109ACAC7"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CAC3" w14:textId="77777777" w:rsidR="009B3384" w:rsidRDefault="00800862">
            <w:pPr>
              <w:widowControl w:val="0"/>
              <w:rPr>
                <w:rFonts w:eastAsia="Calibri"/>
                <w:b/>
                <w:bCs/>
              </w:rPr>
            </w:pPr>
            <w:r>
              <w:t>Клинична ремисия при пациенти:</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CAC4" w14:textId="77777777" w:rsidR="009B3384" w:rsidRDefault="009B3384">
            <w:pPr>
              <w:widowControl w:val="0"/>
              <w:jc w:val="center"/>
              <w:rPr>
                <w:szCs w:val="22"/>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5" w14:textId="77777777" w:rsidR="009B3384" w:rsidRDefault="009B3384">
            <w:pPr>
              <w:widowControl w:val="0"/>
              <w:jc w:val="center"/>
              <w:rPr>
                <w:szCs w:val="22"/>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6" w14:textId="77777777" w:rsidR="009B3384" w:rsidRDefault="009B3384">
            <w:pPr>
              <w:widowControl w:val="0"/>
              <w:jc w:val="center"/>
              <w:rPr>
                <w:szCs w:val="22"/>
              </w:rPr>
            </w:pPr>
          </w:p>
        </w:tc>
      </w:tr>
      <w:tr w:rsidR="009B3384" w14:paraId="109ACACC"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CAC8" w14:textId="77777777" w:rsidR="009B3384" w:rsidRDefault="00800862">
            <w:pPr>
              <w:widowControl w:val="0"/>
              <w:tabs>
                <w:tab w:val="clear" w:pos="567"/>
              </w:tabs>
              <w:ind w:left="567"/>
              <w:rPr>
                <w:rFonts w:eastAsia="Calibri"/>
                <w:szCs w:val="22"/>
              </w:rPr>
            </w:pPr>
            <w:r>
              <w:rPr>
                <w:szCs w:val="22"/>
              </w:rPr>
              <w:t>в ремисия в началото на поддържащата терапия</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CAC9" w14:textId="77777777" w:rsidR="009B3384" w:rsidRDefault="00800862">
            <w:pPr>
              <w:widowControl w:val="0"/>
              <w:jc w:val="center"/>
              <w:rPr>
                <w:szCs w:val="22"/>
              </w:rPr>
            </w:pPr>
            <w:r>
              <w:rPr>
                <w:szCs w:val="22"/>
              </w:rPr>
              <w:t>46% (36/79)</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A" w14:textId="77777777" w:rsidR="009B3384" w:rsidRDefault="00800862">
            <w:pPr>
              <w:widowControl w:val="0"/>
              <w:jc w:val="center"/>
              <w:rPr>
                <w:szCs w:val="22"/>
              </w:rPr>
            </w:pPr>
            <w:r>
              <w:rPr>
                <w:szCs w:val="22"/>
              </w:rPr>
              <w:t>67% (52/78)</w:t>
            </w:r>
            <w:r>
              <w:rPr>
                <w:szCs w:val="22"/>
                <w:vertAlign w:val="superscript"/>
              </w:rPr>
              <w:t>a</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B" w14:textId="77777777" w:rsidR="009B3384" w:rsidRDefault="00800862">
            <w:pPr>
              <w:widowControl w:val="0"/>
              <w:jc w:val="center"/>
              <w:rPr>
                <w:szCs w:val="22"/>
              </w:rPr>
            </w:pPr>
            <w:r>
              <w:rPr>
                <w:szCs w:val="22"/>
              </w:rPr>
              <w:t>56% (44/78)</w:t>
            </w:r>
          </w:p>
        </w:tc>
      </w:tr>
      <w:tr w:rsidR="009B3384" w14:paraId="109ACAD1"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CACD" w14:textId="77777777" w:rsidR="009B3384" w:rsidRDefault="00800862">
            <w:pPr>
              <w:widowControl w:val="0"/>
              <w:tabs>
                <w:tab w:val="clear" w:pos="567"/>
              </w:tabs>
              <w:ind w:left="567"/>
              <w:rPr>
                <w:rFonts w:eastAsia="Calibri"/>
                <w:szCs w:val="22"/>
              </w:rPr>
            </w:pPr>
            <w:r>
              <w:rPr>
                <w:szCs w:val="22"/>
              </w:rPr>
              <w:t xml:space="preserve">които се включват от проучване </w:t>
            </w:r>
            <w:r>
              <w:rPr>
                <w:szCs w:val="22"/>
                <w:lang w:val="en-US"/>
              </w:rPr>
              <w:t>CRD</w:t>
            </w:r>
            <w:r>
              <w:rPr>
                <w:szCs w:val="22"/>
              </w:rPr>
              <w:t>3002</w:t>
            </w:r>
            <w:r>
              <w:rPr>
                <w:vertAlign w:val="superscript"/>
              </w:rPr>
              <w:t>‡</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CACE" w14:textId="77777777" w:rsidR="009B3384" w:rsidRDefault="00800862">
            <w:pPr>
              <w:widowControl w:val="0"/>
              <w:jc w:val="center"/>
              <w:rPr>
                <w:szCs w:val="22"/>
              </w:rPr>
            </w:pPr>
            <w:r>
              <w:rPr>
                <w:szCs w:val="22"/>
              </w:rPr>
              <w:t>44% (31/70)</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CF" w14:textId="77777777" w:rsidR="009B3384" w:rsidRDefault="00800862">
            <w:pPr>
              <w:widowControl w:val="0"/>
              <w:jc w:val="center"/>
              <w:rPr>
                <w:szCs w:val="22"/>
              </w:rPr>
            </w:pPr>
            <w:r>
              <w:rPr>
                <w:szCs w:val="22"/>
              </w:rPr>
              <w:t>63% (45/72)</w:t>
            </w:r>
            <w:r>
              <w:rPr>
                <w:szCs w:val="22"/>
                <w:vertAlign w:val="superscript"/>
              </w:rPr>
              <w:t>в</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D0" w14:textId="77777777" w:rsidR="009B3384" w:rsidRDefault="00800862">
            <w:pPr>
              <w:widowControl w:val="0"/>
              <w:jc w:val="center"/>
              <w:rPr>
                <w:szCs w:val="22"/>
              </w:rPr>
            </w:pPr>
            <w:r>
              <w:rPr>
                <w:szCs w:val="22"/>
              </w:rPr>
              <w:t>57% (41/72)</w:t>
            </w:r>
          </w:p>
        </w:tc>
      </w:tr>
      <w:tr w:rsidR="009B3384" w14:paraId="109ACAD6"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CAD2" w14:textId="77777777" w:rsidR="009B3384" w:rsidRDefault="00800862">
            <w:pPr>
              <w:widowControl w:val="0"/>
              <w:tabs>
                <w:tab w:val="clear" w:pos="567"/>
              </w:tabs>
              <w:ind w:left="567"/>
              <w:rPr>
                <w:rFonts w:eastAsia="Calibri"/>
                <w:szCs w:val="22"/>
              </w:rPr>
            </w:pPr>
            <w:r>
              <w:rPr>
                <w:szCs w:val="22"/>
              </w:rPr>
              <w:t>които не са лекувани досега с анти-</w:t>
            </w:r>
            <w:r>
              <w:rPr>
                <w:szCs w:val="22"/>
                <w:lang w:val="en-US"/>
              </w:rPr>
              <w:t>TNFα</w:t>
            </w:r>
            <w:r>
              <w:rPr>
                <w:szCs w:val="22"/>
              </w:rPr>
              <w:t xml:space="preserve"> терапия</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CAD3" w14:textId="77777777" w:rsidR="009B3384" w:rsidRDefault="00800862">
            <w:pPr>
              <w:widowControl w:val="0"/>
              <w:jc w:val="center"/>
              <w:rPr>
                <w:szCs w:val="22"/>
              </w:rPr>
            </w:pPr>
            <w:r>
              <w:rPr>
                <w:szCs w:val="22"/>
              </w:rPr>
              <w:t>49% (25/51)</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D4" w14:textId="77777777" w:rsidR="009B3384" w:rsidRDefault="00800862">
            <w:pPr>
              <w:widowControl w:val="0"/>
              <w:jc w:val="center"/>
              <w:rPr>
                <w:szCs w:val="22"/>
              </w:rPr>
            </w:pPr>
            <w:r>
              <w:rPr>
                <w:szCs w:val="22"/>
              </w:rPr>
              <w:t>65% (34/52)</w:t>
            </w:r>
            <w:r>
              <w:rPr>
                <w:szCs w:val="22"/>
                <w:vertAlign w:val="superscript"/>
              </w:rPr>
              <w:t>в</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CAD5" w14:textId="77777777" w:rsidR="009B3384" w:rsidRDefault="00800862">
            <w:pPr>
              <w:widowControl w:val="0"/>
              <w:jc w:val="center"/>
              <w:rPr>
                <w:szCs w:val="22"/>
              </w:rPr>
            </w:pPr>
            <w:r>
              <w:rPr>
                <w:szCs w:val="22"/>
              </w:rPr>
              <w:t>57% (30/53)</w:t>
            </w:r>
          </w:p>
        </w:tc>
      </w:tr>
      <w:tr w:rsidR="009B3384" w14:paraId="109ACADB" w14:textId="77777777">
        <w:trPr>
          <w:cantSplit/>
          <w:jc w:val="center"/>
        </w:trPr>
        <w:tc>
          <w:tcPr>
            <w:tcW w:w="4526" w:type="dxa"/>
            <w:tcBorders>
              <w:top w:val="single" w:sz="4" w:space="0" w:color="000000"/>
              <w:left w:val="single" w:sz="4" w:space="0" w:color="000000"/>
              <w:bottom w:val="single" w:sz="8" w:space="0" w:color="000000"/>
              <w:right w:val="single" w:sz="8" w:space="0" w:color="000000"/>
            </w:tcBorders>
          </w:tcPr>
          <w:p w14:paraId="109ACAD7" w14:textId="77777777" w:rsidR="009B3384" w:rsidRDefault="00800862">
            <w:pPr>
              <w:widowControl w:val="0"/>
              <w:tabs>
                <w:tab w:val="clear" w:pos="567"/>
              </w:tabs>
              <w:ind w:left="567"/>
              <w:rPr>
                <w:szCs w:val="22"/>
              </w:rPr>
            </w:pPr>
            <w:r>
              <w:rPr>
                <w:szCs w:val="22"/>
              </w:rPr>
              <w:t xml:space="preserve">които се включват от проучване </w:t>
            </w:r>
            <w:r>
              <w:rPr>
                <w:szCs w:val="22"/>
                <w:lang w:val="en-US"/>
              </w:rPr>
              <w:t>CRD</w:t>
            </w:r>
            <w:r>
              <w:rPr>
                <w:szCs w:val="22"/>
              </w:rPr>
              <w:t>3001</w:t>
            </w:r>
            <w:r>
              <w:rPr>
                <w:vertAlign w:val="superscript"/>
              </w:rPr>
              <w:t>§</w:t>
            </w:r>
          </w:p>
        </w:tc>
        <w:tc>
          <w:tcPr>
            <w:tcW w:w="1399" w:type="dxa"/>
            <w:tcBorders>
              <w:top w:val="single" w:sz="4" w:space="0" w:color="000000"/>
              <w:bottom w:val="single" w:sz="8" w:space="0" w:color="000000"/>
              <w:right w:val="single" w:sz="8" w:space="0" w:color="000000"/>
            </w:tcBorders>
            <w:vAlign w:val="center"/>
          </w:tcPr>
          <w:p w14:paraId="109ACAD8" w14:textId="77777777" w:rsidR="009B3384" w:rsidRDefault="00800862">
            <w:pPr>
              <w:widowControl w:val="0"/>
              <w:jc w:val="center"/>
              <w:rPr>
                <w:szCs w:val="22"/>
              </w:rPr>
            </w:pPr>
            <w:r>
              <w:rPr>
                <w:szCs w:val="22"/>
              </w:rPr>
              <w:t>26% (16/61)</w:t>
            </w:r>
          </w:p>
        </w:tc>
        <w:tc>
          <w:tcPr>
            <w:tcW w:w="1573" w:type="dxa"/>
            <w:tcBorders>
              <w:top w:val="single" w:sz="4" w:space="0" w:color="000000"/>
              <w:bottom w:val="single" w:sz="8" w:space="0" w:color="000000"/>
              <w:right w:val="single" w:sz="8" w:space="0" w:color="000000"/>
            </w:tcBorders>
            <w:vAlign w:val="center"/>
          </w:tcPr>
          <w:p w14:paraId="109ACAD9" w14:textId="77777777" w:rsidR="009B3384" w:rsidRDefault="00800862">
            <w:pPr>
              <w:widowControl w:val="0"/>
              <w:jc w:val="center"/>
              <w:rPr>
                <w:szCs w:val="22"/>
              </w:rPr>
            </w:pPr>
            <w:r>
              <w:rPr>
                <w:szCs w:val="22"/>
              </w:rPr>
              <w:t>41% (23/56)</w:t>
            </w:r>
          </w:p>
        </w:tc>
        <w:tc>
          <w:tcPr>
            <w:tcW w:w="1573" w:type="dxa"/>
            <w:tcBorders>
              <w:top w:val="single" w:sz="4" w:space="0" w:color="000000"/>
              <w:bottom w:val="single" w:sz="8" w:space="0" w:color="000000"/>
              <w:right w:val="single" w:sz="4" w:space="0" w:color="000000"/>
            </w:tcBorders>
            <w:vAlign w:val="center"/>
          </w:tcPr>
          <w:p w14:paraId="109ACADA" w14:textId="77777777" w:rsidR="009B3384" w:rsidRDefault="00800862">
            <w:pPr>
              <w:widowControl w:val="0"/>
              <w:jc w:val="center"/>
              <w:rPr>
                <w:szCs w:val="22"/>
              </w:rPr>
            </w:pPr>
            <w:r>
              <w:rPr>
                <w:szCs w:val="22"/>
              </w:rPr>
              <w:t>39% (22/57)</w:t>
            </w:r>
          </w:p>
        </w:tc>
      </w:tr>
      <w:tr w:rsidR="009B3384" w14:paraId="109ACAE4" w14:textId="77777777">
        <w:trPr>
          <w:cantSplit/>
          <w:jc w:val="center"/>
        </w:trPr>
        <w:tc>
          <w:tcPr>
            <w:tcW w:w="9071" w:type="dxa"/>
            <w:gridSpan w:val="4"/>
            <w:tcBorders>
              <w:top w:val="single" w:sz="8" w:space="0" w:color="000000"/>
            </w:tcBorders>
          </w:tcPr>
          <w:p w14:paraId="109ACADC" w14:textId="77777777" w:rsidR="009B3384" w:rsidRDefault="00800862">
            <w:pPr>
              <w:widowControl w:val="0"/>
              <w:tabs>
                <w:tab w:val="clear" w:pos="567"/>
              </w:tabs>
              <w:ind w:left="284" w:hanging="284"/>
              <w:rPr>
                <w:sz w:val="18"/>
                <w:szCs w:val="18"/>
              </w:rPr>
            </w:pPr>
            <w:r>
              <w:rPr>
                <w:sz w:val="18"/>
                <w:szCs w:val="18"/>
              </w:rPr>
              <w:t xml:space="preserve">Клиничната ремисия е определена като </w:t>
            </w:r>
            <w:r>
              <w:rPr>
                <w:sz w:val="18"/>
                <w:szCs w:val="18"/>
                <w:lang w:val="en-US"/>
              </w:rPr>
              <w:t>CDAI</w:t>
            </w:r>
            <w:r>
              <w:rPr>
                <w:sz w:val="18"/>
                <w:szCs w:val="18"/>
              </w:rPr>
              <w:t xml:space="preserve"> скор &lt; 150; Клиничният отговор е определен като намаление на </w:t>
            </w:r>
            <w:r>
              <w:rPr>
                <w:sz w:val="18"/>
                <w:szCs w:val="18"/>
                <w:lang w:val="en-US"/>
              </w:rPr>
              <w:t>CDAI</w:t>
            </w:r>
            <w:r>
              <w:rPr>
                <w:sz w:val="18"/>
                <w:szCs w:val="18"/>
              </w:rPr>
              <w:t xml:space="preserve"> скор с най-малко 100 точки или състояние в клинична ремисия</w:t>
            </w:r>
          </w:p>
          <w:p w14:paraId="109ACADD" w14:textId="77777777" w:rsidR="009B3384" w:rsidRDefault="00800862">
            <w:pPr>
              <w:widowControl w:val="0"/>
              <w:tabs>
                <w:tab w:val="clear" w:pos="567"/>
              </w:tabs>
              <w:ind w:left="284" w:hanging="284"/>
              <w:rPr>
                <w:rFonts w:cs="Calibri"/>
                <w:sz w:val="18"/>
                <w:szCs w:val="18"/>
              </w:rPr>
            </w:pPr>
            <w:r>
              <w:rPr>
                <w:sz w:val="18"/>
                <w:szCs w:val="18"/>
              </w:rPr>
              <w:t>*</w:t>
            </w:r>
            <w:r>
              <w:rPr>
                <w:sz w:val="18"/>
                <w:szCs w:val="18"/>
              </w:rPr>
              <w:tab/>
              <w:t>Групата на плацебо се състои от пациенти, които са се повлияли от устекинумаб и са рандомизирани да получават плацебо в началото на поддържащата терапия.</w:t>
            </w:r>
          </w:p>
          <w:p w14:paraId="109ACADE" w14:textId="77777777" w:rsidR="009B3384" w:rsidRDefault="00800862">
            <w:pPr>
              <w:widowControl w:val="0"/>
              <w:tabs>
                <w:tab w:val="clear" w:pos="567"/>
              </w:tabs>
              <w:ind w:left="284" w:hanging="284"/>
              <w:rPr>
                <w:sz w:val="18"/>
                <w:szCs w:val="18"/>
              </w:rPr>
            </w:pPr>
            <w:r>
              <w:rPr>
                <w:sz w:val="18"/>
                <w:szCs w:val="18"/>
              </w:rPr>
              <w:t>†</w:t>
            </w:r>
            <w:r>
              <w:rPr>
                <w:sz w:val="18"/>
                <w:szCs w:val="18"/>
              </w:rPr>
              <w:tab/>
              <w:t>Пациенти, които имат 100-точков клиничен отговор към устекинумаб в началото на поддържащата терапия</w:t>
            </w:r>
          </w:p>
          <w:p w14:paraId="109ACADF" w14:textId="77777777" w:rsidR="009B3384" w:rsidRDefault="00800862">
            <w:pPr>
              <w:widowControl w:val="0"/>
              <w:tabs>
                <w:tab w:val="clear" w:pos="567"/>
              </w:tabs>
              <w:ind w:left="284" w:hanging="284"/>
              <w:rPr>
                <w:sz w:val="18"/>
                <w:szCs w:val="18"/>
              </w:rPr>
            </w:pPr>
            <w:r>
              <w:rPr>
                <w:vertAlign w:val="superscript"/>
              </w:rPr>
              <w:t>‡</w:t>
            </w:r>
            <w:r>
              <w:rPr>
                <w:vertAlign w:val="superscript"/>
              </w:rPr>
              <w:tab/>
            </w:r>
            <w:r>
              <w:rPr>
                <w:sz w:val="18"/>
                <w:szCs w:val="18"/>
              </w:rPr>
              <w:t>Пациенти, които не са се повлияли от конвенционалната терапия, но не анти-TNFα терапия</w:t>
            </w:r>
          </w:p>
          <w:p w14:paraId="109ACAE0" w14:textId="77777777" w:rsidR="009B3384" w:rsidRDefault="00800862">
            <w:pPr>
              <w:widowControl w:val="0"/>
              <w:tabs>
                <w:tab w:val="clear" w:pos="567"/>
              </w:tabs>
              <w:ind w:left="284" w:hanging="284"/>
              <w:rPr>
                <w:sz w:val="18"/>
                <w:szCs w:val="18"/>
              </w:rPr>
            </w:pPr>
            <w:r>
              <w:rPr>
                <w:vertAlign w:val="superscript"/>
              </w:rPr>
              <w:t>§</w:t>
            </w:r>
            <w:r>
              <w:rPr>
                <w:vertAlign w:val="superscript"/>
              </w:rPr>
              <w:tab/>
            </w:r>
            <w:r>
              <w:rPr>
                <w:sz w:val="18"/>
                <w:szCs w:val="18"/>
              </w:rPr>
              <w:t>Пациенти, които са рефрактерни или имат непоносимост към анти-TNFα терапия</w:t>
            </w:r>
          </w:p>
          <w:p w14:paraId="109ACAE1" w14:textId="77777777" w:rsidR="009B3384" w:rsidRDefault="00800862">
            <w:pPr>
              <w:widowControl w:val="0"/>
              <w:tabs>
                <w:tab w:val="clear" w:pos="567"/>
              </w:tabs>
              <w:ind w:left="284" w:hanging="284"/>
              <w:rPr>
                <w:sz w:val="18"/>
                <w:szCs w:val="18"/>
              </w:rPr>
            </w:pPr>
            <w:r>
              <w:rPr>
                <w:szCs w:val="18"/>
                <w:vertAlign w:val="superscript"/>
                <w:lang w:val="en-US"/>
              </w:rPr>
              <w:t>a</w:t>
            </w:r>
            <w:r>
              <w:rPr>
                <w:sz w:val="18"/>
                <w:szCs w:val="18"/>
              </w:rPr>
              <w:tab/>
            </w:r>
            <w:r>
              <w:rPr>
                <w:sz w:val="18"/>
                <w:szCs w:val="18"/>
                <w:lang w:val="en-US"/>
              </w:rPr>
              <w:t>p</w:t>
            </w:r>
            <w:r>
              <w:rPr>
                <w:sz w:val="18"/>
                <w:szCs w:val="18"/>
              </w:rPr>
              <w:t> &lt; 0,01</w:t>
            </w:r>
          </w:p>
          <w:p w14:paraId="109ACAE2" w14:textId="77777777" w:rsidR="009B3384" w:rsidRDefault="00800862">
            <w:pPr>
              <w:widowControl w:val="0"/>
              <w:tabs>
                <w:tab w:val="clear" w:pos="567"/>
                <w:tab w:val="left" w:pos="288"/>
              </w:tabs>
              <w:ind w:left="284" w:hanging="284"/>
              <w:rPr>
                <w:sz w:val="18"/>
                <w:szCs w:val="18"/>
              </w:rPr>
            </w:pPr>
            <w:r>
              <w:rPr>
                <w:szCs w:val="18"/>
                <w:vertAlign w:val="superscript"/>
              </w:rPr>
              <w:t>б</w:t>
            </w:r>
            <w:r>
              <w:rPr>
                <w:sz w:val="18"/>
                <w:szCs w:val="18"/>
              </w:rPr>
              <w:tab/>
            </w:r>
            <w:r>
              <w:rPr>
                <w:sz w:val="18"/>
                <w:szCs w:val="18"/>
                <w:lang w:val="en-US"/>
              </w:rPr>
              <w:t>p</w:t>
            </w:r>
            <w:r>
              <w:rPr>
                <w:sz w:val="18"/>
                <w:szCs w:val="18"/>
              </w:rPr>
              <w:t> &lt; 0,05</w:t>
            </w:r>
          </w:p>
          <w:p w14:paraId="109ACAE3" w14:textId="77777777" w:rsidR="009B3384" w:rsidRDefault="00800862">
            <w:pPr>
              <w:widowControl w:val="0"/>
              <w:tabs>
                <w:tab w:val="clear" w:pos="567"/>
                <w:tab w:val="left" w:pos="288"/>
              </w:tabs>
              <w:ind w:left="284" w:hanging="284"/>
              <w:rPr>
                <w:szCs w:val="22"/>
              </w:rPr>
            </w:pPr>
            <w:r>
              <w:rPr>
                <w:szCs w:val="18"/>
                <w:vertAlign w:val="superscript"/>
              </w:rPr>
              <w:t>в</w:t>
            </w:r>
            <w:r>
              <w:rPr>
                <w:sz w:val="18"/>
                <w:szCs w:val="18"/>
              </w:rPr>
              <w:tab/>
              <w:t>номинално значима (</w:t>
            </w:r>
            <w:r>
              <w:rPr>
                <w:sz w:val="18"/>
                <w:szCs w:val="18"/>
                <w:lang w:val="en-US"/>
              </w:rPr>
              <w:t>p</w:t>
            </w:r>
            <w:r>
              <w:rPr>
                <w:sz w:val="18"/>
                <w:szCs w:val="18"/>
              </w:rPr>
              <w:t> &lt; 0,05)</w:t>
            </w:r>
          </w:p>
        </w:tc>
      </w:tr>
    </w:tbl>
    <w:p w14:paraId="109ACAE5" w14:textId="77777777" w:rsidR="009B3384" w:rsidRDefault="009B3384"/>
    <w:p w14:paraId="109ACAE6" w14:textId="77777777" w:rsidR="009B3384" w:rsidRDefault="00800862">
      <w:r>
        <w:t>В IM-UNITI 29 от 129</w:t>
      </w:r>
      <w:r>
        <w:rPr>
          <w:szCs w:val="22"/>
        </w:rPr>
        <w:t> </w:t>
      </w:r>
      <w:r>
        <w:t>пациенти не поддържат отговора към устекинумаб при приложение през 12</w:t>
      </w:r>
      <w:r>
        <w:rPr>
          <w:szCs w:val="22"/>
        </w:rPr>
        <w:t> </w:t>
      </w:r>
      <w:r>
        <w:t>седмици и е позволено коригиране на дозата така, че да получават устекинумаб през 8</w:t>
      </w:r>
      <w:r>
        <w:rPr>
          <w:szCs w:val="22"/>
        </w:rPr>
        <w:t> </w:t>
      </w:r>
      <w:r>
        <w:t>седмици. Загубата на отговор е определена като CDAI скор ≥</w:t>
      </w:r>
      <w:r>
        <w:rPr>
          <w:szCs w:val="22"/>
        </w:rPr>
        <w:t> </w:t>
      </w:r>
      <w:r>
        <w:t>220</w:t>
      </w:r>
      <w:r>
        <w:rPr>
          <w:szCs w:val="22"/>
        </w:rPr>
        <w:t> точки</w:t>
      </w:r>
      <w:r>
        <w:t xml:space="preserve"> и ≥</w:t>
      </w:r>
      <w:r>
        <w:rPr>
          <w:szCs w:val="22"/>
        </w:rPr>
        <w:t> </w:t>
      </w:r>
      <w:r>
        <w:t>100</w:t>
      </w:r>
      <w:r>
        <w:rPr>
          <w:szCs w:val="22"/>
        </w:rPr>
        <w:t> точки</w:t>
      </w:r>
      <w:r>
        <w:t xml:space="preserve"> повишение спрямо изходния CDAI скор. При тези пациенти клинична ремисия се постига при 41,4% от пациентите 16</w:t>
      </w:r>
      <w:r>
        <w:rPr>
          <w:szCs w:val="22"/>
        </w:rPr>
        <w:t> </w:t>
      </w:r>
      <w:r>
        <w:t>седмици след коригиране на дозата.</w:t>
      </w:r>
    </w:p>
    <w:p w14:paraId="109ACAE7" w14:textId="77777777" w:rsidR="009B3384" w:rsidRDefault="009B3384"/>
    <w:p w14:paraId="109ACAE8" w14:textId="77777777" w:rsidR="009B3384" w:rsidRDefault="00800862">
      <w:r>
        <w:t>Пациентите, които не са постигнали клиничен отговор към индукция с устекинумаб на седмица</w:t>
      </w:r>
      <w:r>
        <w:rPr>
          <w:szCs w:val="22"/>
        </w:rPr>
        <w:t> </w:t>
      </w:r>
      <w:r>
        <w:t>8 от проучванията с индукция UNITI-1 и UNITI-2 (476</w:t>
      </w:r>
      <w:r>
        <w:rPr>
          <w:szCs w:val="22"/>
        </w:rPr>
        <w:t> </w:t>
      </w:r>
      <w:r>
        <w:t>пациенти), са включени в нерандомизираната част от проучването с поддържаща терапия (IM-UNITI) и са получили подкожна инжекция с устекинумаб 90</w:t>
      </w:r>
      <w:r>
        <w:rPr>
          <w:szCs w:val="22"/>
        </w:rPr>
        <w:t> </w:t>
      </w:r>
      <w:r>
        <w:t>mg по това време. След осем</w:t>
      </w:r>
      <w:r>
        <w:rPr>
          <w:szCs w:val="22"/>
        </w:rPr>
        <w:t> </w:t>
      </w:r>
      <w:r>
        <w:t>седмици 50,5% от пациентите са постигнали клиничен отговор и са продължили да получават поддържаща терапия през 8</w:t>
      </w:r>
      <w:r>
        <w:rPr>
          <w:szCs w:val="22"/>
        </w:rPr>
        <w:t> </w:t>
      </w:r>
      <w:r>
        <w:t>седмици. Повечето от тези пациенти с продължителна поддържаща терапия поддържат отговор (68,1%) и постигат ремисия (50,2%) на седмица</w:t>
      </w:r>
      <w:r>
        <w:rPr>
          <w:szCs w:val="22"/>
        </w:rPr>
        <w:t> </w:t>
      </w:r>
      <w:r>
        <w:t>44, като процентът им е подобен на този при пациентите, които първоначално са се повлияли от индукция с устекинумаб.</w:t>
      </w:r>
    </w:p>
    <w:p w14:paraId="109ACAE9" w14:textId="77777777" w:rsidR="009B3384" w:rsidRDefault="009B3384"/>
    <w:p w14:paraId="109ACAEA" w14:textId="77777777" w:rsidR="009B3384" w:rsidRDefault="00800862">
      <w:r>
        <w:t>От 131</w:t>
      </w:r>
      <w:r>
        <w:rPr>
          <w:szCs w:val="22"/>
        </w:rPr>
        <w:t> </w:t>
      </w:r>
      <w:r>
        <w:t>пациенти, които са се повлияли от индукция с устекинумаб и са рандомизирани в групата на плацебо в началото на проучването с поддържаща терапия, 51 впоследствие са загубили отговора си и са получили 90</w:t>
      </w:r>
      <w:r>
        <w:rPr>
          <w:szCs w:val="22"/>
        </w:rPr>
        <w:t> </w:t>
      </w:r>
      <w:r>
        <w:t xml:space="preserve">mg устекинумаб подкожно през 8 седмици. </w:t>
      </w:r>
      <w:r>
        <w:rPr>
          <w:szCs w:val="22"/>
        </w:rPr>
        <w:t>Повечето от пациентите, загубили отговора си и подновили лечението с устекинумаб, са го направили в рамките на 24 седмици от индукционната инфузия.</w:t>
      </w:r>
      <w:r>
        <w:t xml:space="preserve"> От тези 51</w:t>
      </w:r>
      <w:r>
        <w:rPr>
          <w:szCs w:val="22"/>
        </w:rPr>
        <w:t> </w:t>
      </w:r>
      <w:r>
        <w:t xml:space="preserve">пациенти 70,6% постигат </w:t>
      </w:r>
      <w:r>
        <w:lastRenderedPageBreak/>
        <w:t>клиничен отговор и 39,2% постигат клинична ремисия 16</w:t>
      </w:r>
      <w:r>
        <w:rPr>
          <w:szCs w:val="22"/>
        </w:rPr>
        <w:t> </w:t>
      </w:r>
      <w:r>
        <w:t>седмици след получаването на първата подкожна доза устекинумаб.</w:t>
      </w:r>
    </w:p>
    <w:p w14:paraId="109ACAEB" w14:textId="77777777" w:rsidR="009B3384" w:rsidRDefault="009B3384"/>
    <w:p w14:paraId="109ACAEC" w14:textId="77777777" w:rsidR="009B3384" w:rsidRDefault="00800862">
      <w:r>
        <w:t>В IM-UNITI пациентите, завършили проучването до седмица 44, са подходящи да продължат лечението в продължение на проучването. При всичките 567 пациенти, включени на и лекувани с устекинумаб в продължението на проучването, клиничната ремисия и отговорът обикновено се поддържат до седмица 252, както при болните с неуспех на TNF-терапиите, така и при пациентите с неуспех на конвенционалните терапии.</w:t>
      </w:r>
    </w:p>
    <w:p w14:paraId="109ACAED" w14:textId="77777777" w:rsidR="009B3384" w:rsidRDefault="009B3384"/>
    <w:p w14:paraId="109ACAEE" w14:textId="77777777" w:rsidR="009B3384" w:rsidRDefault="00800862">
      <w:r>
        <w:t>Не са установени нови съображения за безопасност при удължаване на това проучване до 5 години на лечение при пациенти с болест на Crohn.</w:t>
      </w:r>
    </w:p>
    <w:p w14:paraId="109ACAEF" w14:textId="77777777" w:rsidR="009B3384" w:rsidRDefault="009B3384"/>
    <w:p w14:paraId="109ACAF0" w14:textId="77777777" w:rsidR="009B3384" w:rsidRDefault="00800862">
      <w:pPr>
        <w:keepNext/>
        <w:rPr>
          <w:i/>
          <w:iCs/>
          <w:szCs w:val="22"/>
        </w:rPr>
      </w:pPr>
      <w:r>
        <w:rPr>
          <w:i/>
          <w:szCs w:val="22"/>
        </w:rPr>
        <w:t>Ендоскопия</w:t>
      </w:r>
    </w:p>
    <w:p w14:paraId="109ACAF1" w14:textId="77777777" w:rsidR="009B3384" w:rsidRDefault="00800862">
      <w:r>
        <w:t>Външният вид на лигавицата е оценен ендоскопски при 252</w:t>
      </w:r>
      <w:r>
        <w:rPr>
          <w:szCs w:val="22"/>
        </w:rPr>
        <w:t> </w:t>
      </w:r>
      <w:r>
        <w:t xml:space="preserve">пациенти с подходяща изходна ендоскопска активност на заболяването в едно подпроучване. Първичната крайна точка е промяна от изходното ниво на Опростения ендоскопски скор при болест на </w:t>
      </w:r>
      <w:r>
        <w:rPr>
          <w:lang w:val="en-US"/>
        </w:rPr>
        <w:t>Crohn</w:t>
      </w:r>
      <w:r>
        <w:t xml:space="preserve"> (Simplified Endoscopic Disease Severity </w:t>
      </w:r>
      <w:r>
        <w:rPr>
          <w:lang w:val="en-GB"/>
        </w:rPr>
        <w:t>Score</w:t>
      </w:r>
      <w:r>
        <w:t xml:space="preserve"> </w:t>
      </w:r>
      <w:r>
        <w:rPr>
          <w:lang w:val="en-GB"/>
        </w:rPr>
        <w:t>for</w:t>
      </w:r>
      <w:r>
        <w:t xml:space="preserve"> </w:t>
      </w:r>
      <w:r>
        <w:rPr>
          <w:lang w:val="en-GB"/>
        </w:rPr>
        <w:t>Crohn</w:t>
      </w:r>
      <w:r>
        <w:t>’</w:t>
      </w:r>
      <w:r>
        <w:rPr>
          <w:lang w:val="en-GB"/>
        </w:rPr>
        <w:t>s</w:t>
      </w:r>
      <w:r>
        <w:t xml:space="preserve"> Disease, SES-CD), съставен скор от 5 илео-колонни сегмента за наличие/размер на язвите, процент на лигавичната повърхност, покрита от язви, процент на лигавичната повърхност, засегната от други лезии, и наличие/вид на стесняванията/стриктурите. На седмица</w:t>
      </w:r>
      <w:r>
        <w:rPr>
          <w:szCs w:val="22"/>
        </w:rPr>
        <w:t> </w:t>
      </w:r>
      <w:r>
        <w:t>8, след единична интравенозна индукционна доза, промяната в SES-CD скора е по-голяма в групата на устекинумаб (n = 155, средна промяна = </w:t>
      </w:r>
      <w:r>
        <w:noBreakHyphen/>
        <w:t>2,8) отколкото в групата на плацебо (n = 97, средна промяна = </w:t>
      </w:r>
      <w:r>
        <w:noBreakHyphen/>
        <w:t>0,7, p = 0,012).</w:t>
      </w:r>
    </w:p>
    <w:p w14:paraId="109ACAF2" w14:textId="77777777" w:rsidR="009B3384" w:rsidRDefault="009B3384"/>
    <w:p w14:paraId="109ACAF3" w14:textId="77777777" w:rsidR="009B3384" w:rsidRDefault="00800862">
      <w:pPr>
        <w:keepNext/>
        <w:rPr>
          <w:i/>
          <w:szCs w:val="22"/>
        </w:rPr>
      </w:pPr>
      <w:r>
        <w:rPr>
          <w:i/>
          <w:szCs w:val="22"/>
        </w:rPr>
        <w:t>Повлияване на фистулите</w:t>
      </w:r>
    </w:p>
    <w:p w14:paraId="109ACAF4" w14:textId="77777777" w:rsidR="009B3384" w:rsidRDefault="00800862">
      <w:r>
        <w:t>В една подгрупа пациенти с дрениращи фистули на изходно ниво (8,8%; n = 26), фистулите на 12/15 (80%) от лекуваните с устекинумаб пациенти се повлияват в продължение на 44 седмици (определено като ≥ 50% намаление от изходно ниво в проучването с индукция на броя на дрениращите фистули) в сравнение с 5/11 (45,5%) с плацебо.</w:t>
      </w:r>
    </w:p>
    <w:p w14:paraId="109ACAF5" w14:textId="77777777" w:rsidR="009B3384" w:rsidRDefault="009B3384"/>
    <w:p w14:paraId="109ACAF6" w14:textId="77777777" w:rsidR="009B3384" w:rsidRDefault="00800862">
      <w:pPr>
        <w:keepNext/>
        <w:rPr>
          <w:szCs w:val="24"/>
        </w:rPr>
      </w:pPr>
      <w:r>
        <w:rPr>
          <w:i/>
          <w:szCs w:val="22"/>
        </w:rPr>
        <w:t>Качество на живот, свързано със здравето</w:t>
      </w:r>
    </w:p>
    <w:p w14:paraId="109ACAF7" w14:textId="77777777" w:rsidR="009B3384" w:rsidRDefault="00800862">
      <w:pPr>
        <w:rPr>
          <w:szCs w:val="24"/>
        </w:rPr>
      </w:pPr>
      <w:r>
        <w:rPr>
          <w:iCs/>
        </w:rPr>
        <w:t xml:space="preserve">Качеството на живот, свързано със здравето, е оценено посредством Въпросник при възпалителни заболявания на червата (Inflammatory Bowel Disease Questionnaire, IBDQ) и въпросници SF-36. На </w:t>
      </w:r>
      <w:r>
        <w:t>седмица</w:t>
      </w:r>
      <w:r>
        <w:rPr>
          <w:szCs w:val="22"/>
        </w:rPr>
        <w:t> </w:t>
      </w:r>
      <w:r>
        <w:rPr>
          <w:iCs/>
        </w:rPr>
        <w:t xml:space="preserve">8 пациентите, получаващи устекинумаб, показват статистически значимо по-голямо и клинично значимо подобрение на общия IBDQ скор и на SF-36 Mental Component Summary </w:t>
      </w:r>
      <w:r>
        <w:rPr>
          <w:iCs/>
          <w:lang w:val="en-GB"/>
        </w:rPr>
        <w:t>Score</w:t>
      </w:r>
      <w:r>
        <w:rPr>
          <w:iCs/>
        </w:rPr>
        <w:t xml:space="preserve"> в UNITI-1 и UNITI-2 и на SF-36 Physical Component Summary </w:t>
      </w:r>
      <w:r>
        <w:rPr>
          <w:iCs/>
          <w:lang w:val="en-GB"/>
        </w:rPr>
        <w:t>Score</w:t>
      </w:r>
      <w:r>
        <w:rPr>
          <w:iCs/>
        </w:rPr>
        <w:t xml:space="preserve"> в UNITI-2 в сравнение с плацебо. В проучването IM-UNITI до </w:t>
      </w:r>
      <w:r>
        <w:t>седмица</w:t>
      </w:r>
      <w:r>
        <w:rPr>
          <w:szCs w:val="22"/>
        </w:rPr>
        <w:t> </w:t>
      </w:r>
      <w:r>
        <w:rPr>
          <w:iCs/>
        </w:rPr>
        <w:t>44 тези подобрения обикновено се поддържат по-добре при лекувани с устекинумаб пациенти в сравнение с плацебо. Подобрението на качеството на живот, свързано със здравето, обикновено се поддържа през цялото продължение до седмица 252.</w:t>
      </w:r>
    </w:p>
    <w:p w14:paraId="109ACAF8" w14:textId="77777777" w:rsidR="009B3384" w:rsidRDefault="009B3384"/>
    <w:p w14:paraId="109ACAF9" w14:textId="77777777" w:rsidR="009B3384" w:rsidRPr="00BC6A43" w:rsidRDefault="00800862">
      <w:pPr>
        <w:keepNext/>
        <w:rPr>
          <w:i/>
          <w:iCs/>
          <w:szCs w:val="22"/>
          <w:u w:val="single"/>
        </w:rPr>
      </w:pPr>
      <w:r w:rsidRPr="00BC6A43">
        <w:rPr>
          <w:i/>
          <w:iCs/>
          <w:szCs w:val="22"/>
          <w:u w:val="single"/>
        </w:rPr>
        <w:t>Улцерозен колит</w:t>
      </w:r>
    </w:p>
    <w:p w14:paraId="109ACAFA" w14:textId="64D6DBE3" w:rsidR="009B3384" w:rsidRDefault="00800862">
      <w:r>
        <w:t xml:space="preserve">Безопасността и ефикасността на устекинумаб са оценени в две рандомизирани, двойнослепи, плацебо-контролирани, многоцентрови проучвания при възрастни пациенти с умерен до тежък активен улцерозен колит (скор по Mayo 6 до 12; ендоскопски </w:t>
      </w:r>
      <w:r w:rsidR="00EA3FF7">
        <w:t>подскор</w:t>
      </w:r>
      <w:r>
        <w:t xml:space="preserve"> ≥ 2). Програмата за клинично разработване се състои от едно проучване с интравенозна индукция (наречено UNIFI</w:t>
      </w:r>
      <w:r>
        <w:noBreakHyphen/>
        <w:t>I) с лечение до 16 седмици, последвано от 44</w:t>
      </w:r>
      <w:r>
        <w:rPr>
          <w:szCs w:val="22"/>
        </w:rPr>
        <w:noBreakHyphen/>
      </w:r>
      <w:r>
        <w:t>седмично проучване с поддържащо лечение с подкожно приложение, с рандомизирано спиране на лечението (наречено UNIFI-M), което представлява най-малко 52</w:t>
      </w:r>
      <w:r>
        <w:rPr>
          <w:szCs w:val="22"/>
        </w:rPr>
        <w:t> </w:t>
      </w:r>
      <w:r>
        <w:t>седмици на терапия.</w:t>
      </w:r>
    </w:p>
    <w:p w14:paraId="109ACAFB" w14:textId="77777777" w:rsidR="009B3384" w:rsidRDefault="009B3384">
      <w:pPr>
        <w:rPr>
          <w:szCs w:val="24"/>
        </w:rPr>
      </w:pPr>
    </w:p>
    <w:p w14:paraId="109ACAFC" w14:textId="77777777" w:rsidR="009B3384" w:rsidRDefault="00800862">
      <w:pPr>
        <w:rPr>
          <w:szCs w:val="24"/>
        </w:rPr>
      </w:pPr>
      <w:r>
        <w:rPr>
          <w:szCs w:val="24"/>
        </w:rPr>
        <w:t>Представените резултати за ефикасност от UNIFI-I и UNIFI-M се основават на централен преглед на ендоскопиите.</w:t>
      </w:r>
    </w:p>
    <w:p w14:paraId="109ACAFD" w14:textId="77777777" w:rsidR="009B3384" w:rsidRDefault="009B3384"/>
    <w:p w14:paraId="109ACAFE" w14:textId="77777777" w:rsidR="009B3384" w:rsidRDefault="00800862">
      <w:pPr>
        <w:rPr>
          <w:szCs w:val="24"/>
        </w:rPr>
      </w:pPr>
      <w:r>
        <w:t>UNIFI-I включва 961 пациенти. Първичната крайна точка в проучването с индукция е процентът на участниците в клинична ремисия на седмица</w:t>
      </w:r>
      <w:r>
        <w:rPr>
          <w:szCs w:val="22"/>
        </w:rPr>
        <w:t> </w:t>
      </w:r>
      <w:r>
        <w:t>8</w:t>
      </w:r>
      <w:r>
        <w:rPr>
          <w:szCs w:val="24"/>
        </w:rPr>
        <w:t xml:space="preserve">. </w:t>
      </w:r>
      <w:r>
        <w:rPr>
          <w:szCs w:val="22"/>
        </w:rPr>
        <w:t xml:space="preserve">Пациентите са рандомизирани да получат еднократно интравенозно </w:t>
      </w:r>
      <w:r>
        <w:rPr>
          <w:szCs w:val="24"/>
        </w:rPr>
        <w:t>препоръчителната диференцирана доза 6</w:t>
      </w:r>
      <w:r>
        <w:rPr>
          <w:szCs w:val="22"/>
        </w:rPr>
        <w:t> </w:t>
      </w:r>
      <w:r>
        <w:rPr>
          <w:szCs w:val="24"/>
        </w:rPr>
        <w:t>mg/kg (вж. Таблица</w:t>
      </w:r>
      <w:r>
        <w:rPr>
          <w:szCs w:val="22"/>
        </w:rPr>
        <w:t> </w:t>
      </w:r>
      <w:r>
        <w:rPr>
          <w:szCs w:val="24"/>
        </w:rPr>
        <w:t>1, точка</w:t>
      </w:r>
      <w:r>
        <w:rPr>
          <w:szCs w:val="22"/>
        </w:rPr>
        <w:t> </w:t>
      </w:r>
      <w:r>
        <w:rPr>
          <w:szCs w:val="24"/>
        </w:rPr>
        <w:t>4.2), фиксирана доза 130</w:t>
      </w:r>
      <w:r>
        <w:rPr>
          <w:szCs w:val="22"/>
        </w:rPr>
        <w:t> </w:t>
      </w:r>
      <w:r>
        <w:rPr>
          <w:szCs w:val="24"/>
        </w:rPr>
        <w:t xml:space="preserve">mg устекинумаб или плацебо на </w:t>
      </w:r>
      <w:r>
        <w:t>седмица</w:t>
      </w:r>
      <w:r>
        <w:rPr>
          <w:szCs w:val="22"/>
        </w:rPr>
        <w:t> </w:t>
      </w:r>
      <w:r>
        <w:rPr>
          <w:szCs w:val="24"/>
        </w:rPr>
        <w:t>0.</w:t>
      </w:r>
    </w:p>
    <w:p w14:paraId="109ACAFF" w14:textId="77777777" w:rsidR="009B3384" w:rsidRDefault="009B3384">
      <w:pPr>
        <w:rPr>
          <w:szCs w:val="22"/>
        </w:rPr>
      </w:pPr>
    </w:p>
    <w:p w14:paraId="109ACB00" w14:textId="77777777" w:rsidR="009B3384" w:rsidRDefault="00800862">
      <w:pPr>
        <w:rPr>
          <w:szCs w:val="13"/>
        </w:rPr>
      </w:pPr>
      <w:r>
        <w:rPr>
          <w:szCs w:val="22"/>
        </w:rPr>
        <w:lastRenderedPageBreak/>
        <w:t xml:space="preserve">Разрешено е едновременно приложение на перорални кортикостероиди, имуномодулатори и аминосалицилати, като 90% от пациентите продължават да получават най-малко едно от тези лекарства. </w:t>
      </w:r>
      <w:r>
        <w:rPr>
          <w:szCs w:val="24"/>
        </w:rPr>
        <w:t>Включените пациенти трябва да са преминали неуспешна конвенционална терапия (</w:t>
      </w:r>
      <w:r>
        <w:rPr>
          <w:szCs w:val="22"/>
        </w:rPr>
        <w:t>кортикостероиди или имуномодулатори</w:t>
      </w:r>
      <w:r>
        <w:rPr>
          <w:szCs w:val="24"/>
        </w:rPr>
        <w:t xml:space="preserve">) или лечение с най-малко едно биологично лекарствено средство (антагонист на TNFα и/или ведолизумаб). При </w:t>
      </w:r>
      <w:r>
        <w:t xml:space="preserve">49% от пациентите конвенционалната терапия е неуспешна, но не и лечението с биологично лекарствено средство (от които 94% не са лекувани досега с биологични лекарствени продукти). 51% от пациентите са лекувани неуспешно или имат непоносимост към биологично лекарствено средство. Приблизително 50% от пациентите са лекувани неуспешно с най-малко 1 предшестваща </w:t>
      </w:r>
      <w:bookmarkStart w:id="130" w:name="_Hlk519713422"/>
      <w:r>
        <w:t>анти-TNF</w:t>
      </w:r>
      <w:r>
        <w:rPr>
          <w:rFonts w:eastAsia="Symbol"/>
        </w:rPr>
        <w:t>α</w:t>
      </w:r>
      <w:r>
        <w:t xml:space="preserve"> </w:t>
      </w:r>
      <w:bookmarkEnd w:id="130"/>
      <w:r>
        <w:t xml:space="preserve">терапия (от които 48% първично не са се повлияли), </w:t>
      </w:r>
      <w:r>
        <w:rPr>
          <w:szCs w:val="13"/>
        </w:rPr>
        <w:t>а 17% са имали най-малко 1 терапия с анти-TNFα средство и ведолизумаб.</w:t>
      </w:r>
    </w:p>
    <w:p w14:paraId="109ACB01" w14:textId="77777777" w:rsidR="009B3384" w:rsidRDefault="009B3384">
      <w:pPr>
        <w:rPr>
          <w:szCs w:val="22"/>
        </w:rPr>
      </w:pPr>
    </w:p>
    <w:p w14:paraId="109ACB02" w14:textId="1AFC73CD" w:rsidR="009B3384" w:rsidRDefault="00800862">
      <w:pPr>
        <w:rPr>
          <w:iCs/>
          <w:szCs w:val="22"/>
        </w:rPr>
      </w:pPr>
      <w:r>
        <w:rPr>
          <w:szCs w:val="22"/>
        </w:rPr>
        <w:t>В UNIFI-I значимо по-голям процент от пациентите са в клинична ремисия в групата, лекувана с устекинумаб, в сравнение с плацебо на седмица 8 (Таблица </w:t>
      </w:r>
      <w:r w:rsidRPr="00BC6A43">
        <w:rPr>
          <w:szCs w:val="22"/>
        </w:rPr>
        <w:t>7</w:t>
      </w:r>
      <w:r>
        <w:rPr>
          <w:szCs w:val="22"/>
        </w:rPr>
        <w:t xml:space="preserve">). </w:t>
      </w:r>
      <w:r>
        <w:rPr>
          <w:iCs/>
          <w:szCs w:val="22"/>
        </w:rPr>
        <w:t>Още на седмица</w:t>
      </w:r>
      <w:r>
        <w:rPr>
          <w:iCs/>
          <w:szCs w:val="22"/>
          <w:lang w:val="en-US"/>
        </w:rPr>
        <w:t> </w:t>
      </w:r>
      <w:r>
        <w:rPr>
          <w:iCs/>
          <w:szCs w:val="22"/>
        </w:rPr>
        <w:t xml:space="preserve">2, най-ранната планирана визита в проучването, и при всяка визита след това по-голям процент пациенти с </w:t>
      </w:r>
      <w:r>
        <w:t xml:space="preserve">устекинумаб нямат </w:t>
      </w:r>
      <w:r>
        <w:rPr>
          <w:iCs/>
          <w:szCs w:val="22"/>
        </w:rPr>
        <w:t xml:space="preserve">ректално кървене или постигат нормална честота на дефекация в сравнение с пациентите на плацебо. Наблюдавани са значими разлики между </w:t>
      </w:r>
      <w:r>
        <w:t xml:space="preserve">устекинумаб </w:t>
      </w:r>
      <w:r>
        <w:rPr>
          <w:iCs/>
          <w:szCs w:val="22"/>
        </w:rPr>
        <w:t xml:space="preserve">и плацебо в частичния скор по </w:t>
      </w:r>
      <w:r>
        <w:rPr>
          <w:iCs/>
          <w:szCs w:val="22"/>
          <w:lang w:val="en-US"/>
        </w:rPr>
        <w:t>Mayo</w:t>
      </w:r>
      <w:r>
        <w:rPr>
          <w:iCs/>
          <w:szCs w:val="22"/>
        </w:rPr>
        <w:t xml:space="preserve"> и симптоматичната ремисия още на седмица</w:t>
      </w:r>
      <w:r>
        <w:rPr>
          <w:iCs/>
          <w:szCs w:val="22"/>
          <w:lang w:val="en-US"/>
        </w:rPr>
        <w:t> </w:t>
      </w:r>
      <w:r>
        <w:rPr>
          <w:iCs/>
          <w:szCs w:val="22"/>
        </w:rPr>
        <w:t>2.</w:t>
      </w:r>
    </w:p>
    <w:p w14:paraId="109ACB03" w14:textId="77777777" w:rsidR="009B3384" w:rsidRDefault="009B3384">
      <w:pPr>
        <w:rPr>
          <w:szCs w:val="24"/>
        </w:rPr>
      </w:pPr>
    </w:p>
    <w:p w14:paraId="109ACB04" w14:textId="77777777" w:rsidR="009B3384" w:rsidRDefault="00800862">
      <w:pPr>
        <w:rPr>
          <w:szCs w:val="24"/>
        </w:rPr>
      </w:pPr>
      <w:r>
        <w:rPr>
          <w:szCs w:val="24"/>
        </w:rPr>
        <w:t>Ефикасността е по-висока в групата с диференцираната доза (6 mg/kg) в сравнение с групата с доза 130</w:t>
      </w:r>
      <w:r>
        <w:rPr>
          <w:szCs w:val="22"/>
        </w:rPr>
        <w:t> </w:t>
      </w:r>
      <w:r>
        <w:rPr>
          <w:szCs w:val="24"/>
        </w:rPr>
        <w:t>mg по отношение на избрани крайни точки и поради това диференцираното дозиране се препоръчва като доза за интравенозната индукция.</w:t>
      </w:r>
    </w:p>
    <w:p w14:paraId="109ACB05" w14:textId="77777777" w:rsidR="009B3384" w:rsidRDefault="009B3384">
      <w:pPr>
        <w:rPr>
          <w:szCs w:val="24"/>
        </w:rPr>
      </w:pPr>
    </w:p>
    <w:p w14:paraId="109ACB06" w14:textId="3C2524DC" w:rsidR="009B3384" w:rsidRDefault="00800862">
      <w:pPr>
        <w:keepNext/>
        <w:ind w:left="1134" w:hanging="1134"/>
        <w:rPr>
          <w:i/>
          <w:iCs/>
        </w:rPr>
      </w:pPr>
      <w:r>
        <w:rPr>
          <w:i/>
          <w:iCs/>
        </w:rPr>
        <w:t>Таблица </w:t>
      </w:r>
      <w:r w:rsidRPr="00BC6A43">
        <w:rPr>
          <w:i/>
          <w:iCs/>
        </w:rPr>
        <w:t>7</w:t>
      </w:r>
      <w:r>
        <w:rPr>
          <w:i/>
          <w:iCs/>
        </w:rPr>
        <w:t>:</w:t>
      </w:r>
      <w:r>
        <w:rPr>
          <w:i/>
          <w:iCs/>
        </w:rPr>
        <w:tab/>
        <w:t>Резюме на основните резултати за ефикасност в UNIFI-I (седмица 8)</w:t>
      </w:r>
    </w:p>
    <w:tbl>
      <w:tblPr>
        <w:tblW w:w="9072" w:type="dxa"/>
        <w:jc w:val="center"/>
        <w:tblLayout w:type="fixed"/>
        <w:tblLook w:val="0000" w:firstRow="0" w:lastRow="0" w:firstColumn="0" w:lastColumn="0" w:noHBand="0" w:noVBand="0"/>
      </w:tblPr>
      <w:tblGrid>
        <w:gridCol w:w="5114"/>
        <w:gridCol w:w="1876"/>
        <w:gridCol w:w="2082"/>
      </w:tblGrid>
      <w:tr w:rsidR="009B3384" w14:paraId="109ACB0C"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07" w14:textId="77777777" w:rsidR="009B3384" w:rsidRDefault="009B3384">
            <w:pPr>
              <w:keepNext/>
              <w:widowControl w:val="0"/>
              <w:tabs>
                <w:tab w:val="clear" w:pos="567"/>
              </w:tabs>
              <w:rPr>
                <w:szCs w:val="22"/>
              </w:rPr>
            </w:pPr>
          </w:p>
        </w:tc>
        <w:tc>
          <w:tcPr>
            <w:tcW w:w="1876" w:type="dxa"/>
            <w:tcBorders>
              <w:top w:val="single" w:sz="4" w:space="0" w:color="000000"/>
              <w:left w:val="single" w:sz="4" w:space="0" w:color="000000"/>
              <w:bottom w:val="single" w:sz="4" w:space="0" w:color="000000"/>
              <w:right w:val="single" w:sz="4" w:space="0" w:color="000000"/>
            </w:tcBorders>
          </w:tcPr>
          <w:p w14:paraId="109ACB08" w14:textId="77777777" w:rsidR="009B3384" w:rsidRDefault="00800862">
            <w:pPr>
              <w:keepNext/>
              <w:widowControl w:val="0"/>
              <w:tabs>
                <w:tab w:val="clear" w:pos="567"/>
              </w:tabs>
              <w:jc w:val="center"/>
              <w:rPr>
                <w:b/>
                <w:bCs/>
                <w:szCs w:val="22"/>
              </w:rPr>
            </w:pPr>
            <w:r>
              <w:rPr>
                <w:b/>
                <w:bCs/>
                <w:szCs w:val="22"/>
              </w:rPr>
              <w:t>Плацебо</w:t>
            </w:r>
          </w:p>
          <w:p w14:paraId="109ACB09"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319</w:t>
            </w:r>
          </w:p>
        </w:tc>
        <w:tc>
          <w:tcPr>
            <w:tcW w:w="2082" w:type="dxa"/>
            <w:tcBorders>
              <w:top w:val="single" w:sz="4" w:space="0" w:color="000000"/>
              <w:left w:val="single" w:sz="4" w:space="0" w:color="000000"/>
              <w:bottom w:val="single" w:sz="4" w:space="0" w:color="000000"/>
              <w:right w:val="single" w:sz="4" w:space="0" w:color="000000"/>
            </w:tcBorders>
          </w:tcPr>
          <w:p w14:paraId="109ACB0A" w14:textId="77777777" w:rsidR="009B3384" w:rsidRDefault="00800862">
            <w:pPr>
              <w:keepNext/>
              <w:widowControl w:val="0"/>
              <w:tabs>
                <w:tab w:val="clear" w:pos="567"/>
              </w:tabs>
              <w:jc w:val="center"/>
              <w:rPr>
                <w:b/>
                <w:bCs/>
                <w:szCs w:val="22"/>
                <w:lang w:val="en-US"/>
              </w:rPr>
            </w:pPr>
            <w:r>
              <w:rPr>
                <w:b/>
                <w:bCs/>
                <w:szCs w:val="22"/>
              </w:rPr>
              <w:t>Препоръчителна доза устекинумаб</w:t>
            </w:r>
            <w:r>
              <w:rPr>
                <w:b/>
                <w:szCs w:val="18"/>
                <w:vertAlign w:val="superscript"/>
              </w:rPr>
              <w:t>£</w:t>
            </w:r>
          </w:p>
          <w:p w14:paraId="109ACB0B" w14:textId="77777777" w:rsidR="009B3384" w:rsidRDefault="00800862">
            <w:pPr>
              <w:keepNext/>
              <w:widowControl w:val="0"/>
              <w:tabs>
                <w:tab w:val="clear" w:pos="567"/>
              </w:tabs>
              <w:jc w:val="center"/>
              <w:rPr>
                <w:b/>
                <w:bCs/>
                <w:szCs w:val="22"/>
                <w:lang w:val="en-US"/>
              </w:rPr>
            </w:pPr>
            <w:r>
              <w:rPr>
                <w:b/>
                <w:bCs/>
                <w:szCs w:val="22"/>
                <w:lang w:val="en-US"/>
              </w:rPr>
              <w:t>N</w:t>
            </w:r>
            <w:r>
              <w:rPr>
                <w:szCs w:val="22"/>
              </w:rPr>
              <w:t> </w:t>
            </w:r>
            <w:r>
              <w:rPr>
                <w:b/>
                <w:bCs/>
                <w:szCs w:val="22"/>
                <w:lang w:val="en-US"/>
              </w:rPr>
              <w:t>= 322</w:t>
            </w:r>
          </w:p>
        </w:tc>
      </w:tr>
      <w:tr w:rsidR="009B3384" w14:paraId="109ACB10"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0D" w14:textId="77777777" w:rsidR="009B3384" w:rsidRDefault="00800862">
            <w:pPr>
              <w:keepNext/>
              <w:widowControl w:val="0"/>
              <w:tabs>
                <w:tab w:val="clear" w:pos="567"/>
              </w:tabs>
              <w:rPr>
                <w:szCs w:val="22"/>
                <w:vertAlign w:val="superscript"/>
                <w:lang w:val="en-US"/>
              </w:rPr>
            </w:pPr>
            <w:r>
              <w:rPr>
                <w:szCs w:val="22"/>
              </w:rPr>
              <w:t>Клинична ремисия*</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0E" w14:textId="77777777" w:rsidR="009B3384" w:rsidRDefault="00800862">
            <w:pPr>
              <w:widowControl w:val="0"/>
              <w:tabs>
                <w:tab w:val="clear" w:pos="567"/>
              </w:tabs>
              <w:jc w:val="center"/>
              <w:rPr>
                <w:szCs w:val="22"/>
                <w:lang w:val="en-US"/>
              </w:rPr>
            </w:pPr>
            <w:r>
              <w:rPr>
                <w:szCs w:val="22"/>
                <w:lang w:val="en-US"/>
              </w:rPr>
              <w:t>5%</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0F" w14:textId="77777777" w:rsidR="009B3384" w:rsidRDefault="00800862">
            <w:pPr>
              <w:widowControl w:val="0"/>
              <w:tabs>
                <w:tab w:val="clear" w:pos="567"/>
              </w:tabs>
              <w:jc w:val="center"/>
              <w:rPr>
                <w:szCs w:val="22"/>
                <w:vertAlign w:val="superscript"/>
                <w:lang w:val="en-US"/>
              </w:rPr>
            </w:pPr>
            <w:r>
              <w:rPr>
                <w:szCs w:val="22"/>
                <w:lang w:val="en-US"/>
              </w:rPr>
              <w:t>16%</w:t>
            </w:r>
            <w:r>
              <w:rPr>
                <w:szCs w:val="22"/>
                <w:vertAlign w:val="superscript"/>
                <w:lang w:val="en-US"/>
              </w:rPr>
              <w:t>a</w:t>
            </w:r>
          </w:p>
        </w:tc>
      </w:tr>
      <w:tr w:rsidR="009B3384" w14:paraId="109ACB14"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11" w14:textId="77777777" w:rsidR="009B3384" w:rsidRDefault="00800862">
            <w:pPr>
              <w:widowControl w:val="0"/>
              <w:tabs>
                <w:tab w:val="clear" w:pos="567"/>
              </w:tabs>
              <w:ind w:left="284"/>
              <w:rPr>
                <w:rFonts w:eastAsia="Calibri"/>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12" w14:textId="77777777" w:rsidR="009B3384" w:rsidRDefault="00800862">
            <w:pPr>
              <w:widowControl w:val="0"/>
              <w:tabs>
                <w:tab w:val="clear" w:pos="567"/>
              </w:tabs>
              <w:jc w:val="center"/>
              <w:rPr>
                <w:szCs w:val="22"/>
                <w:lang w:val="en-US"/>
              </w:rPr>
            </w:pPr>
            <w:r>
              <w:rPr>
                <w:szCs w:val="22"/>
                <w:lang w:val="en-US"/>
              </w:rPr>
              <w:t>9% (15/158)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13" w14:textId="77777777" w:rsidR="009B3384" w:rsidRDefault="00800862">
            <w:pPr>
              <w:widowControl w:val="0"/>
              <w:tabs>
                <w:tab w:val="clear" w:pos="567"/>
              </w:tabs>
              <w:jc w:val="center"/>
              <w:rPr>
                <w:szCs w:val="22"/>
                <w:vertAlign w:val="superscript"/>
              </w:rPr>
            </w:pPr>
            <w:r>
              <w:rPr>
                <w:szCs w:val="22"/>
                <w:lang w:val="en-US"/>
              </w:rPr>
              <w:t>19% (29/</w:t>
            </w:r>
            <w:proofErr w:type="gramStart"/>
            <w:r>
              <w:rPr>
                <w:szCs w:val="22"/>
                <w:lang w:val="en-US"/>
              </w:rPr>
              <w:t>156)</w:t>
            </w:r>
            <w:r>
              <w:rPr>
                <w:szCs w:val="22"/>
                <w:vertAlign w:val="superscript"/>
              </w:rPr>
              <w:t>в</w:t>
            </w:r>
            <w:proofErr w:type="gramEnd"/>
          </w:p>
        </w:tc>
      </w:tr>
      <w:tr w:rsidR="009B3384" w14:paraId="109ACB18"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15" w14:textId="77777777" w:rsidR="009B3384" w:rsidRDefault="00800862">
            <w:pPr>
              <w:widowControl w:val="0"/>
              <w:tabs>
                <w:tab w:val="clear" w:pos="567"/>
              </w:tabs>
              <w:ind w:left="284"/>
              <w:rPr>
                <w:rFonts w:eastAsia="Calibri"/>
                <w:szCs w:val="22"/>
              </w:rPr>
            </w:pPr>
            <w:r>
              <w:rPr>
                <w:szCs w:val="22"/>
              </w:rPr>
              <w:t>При пациенти с неуспешна биологична терапия</w:t>
            </w:r>
            <w:r>
              <w:rPr>
                <w:szCs w:val="22"/>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16" w14:textId="77777777" w:rsidR="009B3384" w:rsidRDefault="00800862">
            <w:pPr>
              <w:widowControl w:val="0"/>
              <w:tabs>
                <w:tab w:val="clear" w:pos="567"/>
              </w:tabs>
              <w:jc w:val="center"/>
              <w:rPr>
                <w:szCs w:val="22"/>
                <w:lang w:val="en-US"/>
              </w:rPr>
            </w:pPr>
            <w:r>
              <w:rPr>
                <w:szCs w:val="22"/>
                <w:lang w:val="en-US"/>
              </w:rPr>
              <w:t>1% (2/161)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17" w14:textId="77777777" w:rsidR="009B3384" w:rsidRDefault="00800862">
            <w:pPr>
              <w:widowControl w:val="0"/>
              <w:tabs>
                <w:tab w:val="clear" w:pos="567"/>
              </w:tabs>
              <w:jc w:val="center"/>
              <w:rPr>
                <w:szCs w:val="22"/>
                <w:vertAlign w:val="superscript"/>
              </w:rPr>
            </w:pPr>
            <w:r>
              <w:rPr>
                <w:szCs w:val="22"/>
                <w:lang w:val="en-US"/>
              </w:rPr>
              <w:t>13% (21/</w:t>
            </w:r>
            <w:proofErr w:type="gramStart"/>
            <w:r>
              <w:rPr>
                <w:szCs w:val="22"/>
                <w:lang w:val="en-US"/>
              </w:rPr>
              <w:t>166)</w:t>
            </w:r>
            <w:r>
              <w:rPr>
                <w:szCs w:val="22"/>
                <w:vertAlign w:val="superscript"/>
              </w:rPr>
              <w:t>б</w:t>
            </w:r>
            <w:proofErr w:type="gramEnd"/>
          </w:p>
        </w:tc>
      </w:tr>
      <w:tr w:rsidR="009B3384" w14:paraId="109ACB1C"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19" w14:textId="77777777" w:rsidR="009B3384" w:rsidRDefault="00800862">
            <w:pPr>
              <w:widowControl w:val="0"/>
              <w:tabs>
                <w:tab w:val="clear" w:pos="567"/>
              </w:tabs>
              <w:ind w:left="284"/>
              <w:rPr>
                <w:szCs w:val="22"/>
              </w:rPr>
            </w:pPr>
            <w:r>
              <w:rPr>
                <w:szCs w:val="22"/>
              </w:rPr>
              <w:t>При пациенти с неуспешна терапия както с TNF, така и с ведолизумаб</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1A" w14:textId="77777777" w:rsidR="009B3384" w:rsidRDefault="00800862">
            <w:pPr>
              <w:widowControl w:val="0"/>
              <w:tabs>
                <w:tab w:val="clear" w:pos="567"/>
              </w:tabs>
              <w:jc w:val="center"/>
              <w:rPr>
                <w:szCs w:val="22"/>
                <w:lang w:val="en-US"/>
              </w:rPr>
            </w:pPr>
            <w:r>
              <w:rPr>
                <w:szCs w:val="22"/>
                <w:lang w:val="en-US"/>
              </w:rPr>
              <w:t>0% (0/47)</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1B" w14:textId="77777777" w:rsidR="009B3384" w:rsidRDefault="00800862">
            <w:pPr>
              <w:widowControl w:val="0"/>
              <w:tabs>
                <w:tab w:val="clear" w:pos="567"/>
              </w:tabs>
              <w:jc w:val="center"/>
              <w:rPr>
                <w:szCs w:val="22"/>
              </w:rPr>
            </w:pPr>
            <w:r>
              <w:rPr>
                <w:szCs w:val="22"/>
                <w:lang w:val="en-US"/>
              </w:rPr>
              <w:t>10% (6/</w:t>
            </w:r>
            <w:proofErr w:type="gramStart"/>
            <w:r>
              <w:rPr>
                <w:szCs w:val="22"/>
                <w:lang w:val="en-US"/>
              </w:rPr>
              <w:t>58)</w:t>
            </w:r>
            <w:r>
              <w:rPr>
                <w:szCs w:val="22"/>
                <w:vertAlign w:val="superscript"/>
              </w:rPr>
              <w:t>в</w:t>
            </w:r>
            <w:proofErr w:type="gramEnd"/>
          </w:p>
        </w:tc>
      </w:tr>
      <w:tr w:rsidR="009B3384" w14:paraId="109ACB20"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1D" w14:textId="77777777" w:rsidR="009B3384" w:rsidRDefault="00800862">
            <w:pPr>
              <w:keepNext/>
              <w:widowControl w:val="0"/>
              <w:tabs>
                <w:tab w:val="clear" w:pos="567"/>
              </w:tabs>
              <w:rPr>
                <w:szCs w:val="22"/>
                <w:lang w:val="en-US"/>
              </w:rPr>
            </w:pPr>
            <w:r>
              <w:rPr>
                <w:szCs w:val="22"/>
              </w:rPr>
              <w:t>Клиничен отговор</w:t>
            </w:r>
            <w:r>
              <w:rPr>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1E" w14:textId="77777777" w:rsidR="009B3384" w:rsidRDefault="00800862">
            <w:pPr>
              <w:widowControl w:val="0"/>
              <w:tabs>
                <w:tab w:val="clear" w:pos="567"/>
              </w:tabs>
              <w:jc w:val="center"/>
              <w:rPr>
                <w:szCs w:val="22"/>
                <w:lang w:val="en-US"/>
              </w:rPr>
            </w:pPr>
            <w:r>
              <w:rPr>
                <w:szCs w:val="22"/>
                <w:lang w:val="en-US"/>
              </w:rPr>
              <w:t>31%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1F" w14:textId="77777777" w:rsidR="009B3384" w:rsidRDefault="00800862">
            <w:pPr>
              <w:widowControl w:val="0"/>
              <w:tabs>
                <w:tab w:val="clear" w:pos="567"/>
              </w:tabs>
              <w:jc w:val="center"/>
              <w:rPr>
                <w:szCs w:val="22"/>
                <w:lang w:val="en-US"/>
              </w:rPr>
            </w:pPr>
            <w:r>
              <w:rPr>
                <w:szCs w:val="22"/>
                <w:lang w:val="en-US"/>
              </w:rPr>
              <w:t>62%</w:t>
            </w:r>
            <w:r>
              <w:rPr>
                <w:szCs w:val="22"/>
                <w:vertAlign w:val="superscript"/>
                <w:lang w:val="en-US"/>
              </w:rPr>
              <w:t>a</w:t>
            </w:r>
          </w:p>
        </w:tc>
      </w:tr>
      <w:tr w:rsidR="009B3384" w14:paraId="109ACB24"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21" w14:textId="77777777" w:rsidR="009B3384" w:rsidRDefault="00800862">
            <w:pPr>
              <w:widowControl w:val="0"/>
              <w:tabs>
                <w:tab w:val="clear" w:pos="567"/>
              </w:tabs>
              <w:ind w:left="284"/>
              <w:rPr>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22" w14:textId="77777777" w:rsidR="009B3384" w:rsidRDefault="00800862">
            <w:pPr>
              <w:widowControl w:val="0"/>
              <w:tabs>
                <w:tab w:val="clear" w:pos="567"/>
              </w:tabs>
              <w:jc w:val="center"/>
              <w:rPr>
                <w:szCs w:val="22"/>
                <w:lang w:val="en-US"/>
              </w:rPr>
            </w:pPr>
            <w:r>
              <w:rPr>
                <w:szCs w:val="22"/>
                <w:lang w:val="en-US"/>
              </w:rPr>
              <w:t>35% (56/158)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23" w14:textId="77777777" w:rsidR="009B3384" w:rsidRDefault="00800862">
            <w:pPr>
              <w:widowControl w:val="0"/>
              <w:tabs>
                <w:tab w:val="clear" w:pos="567"/>
              </w:tabs>
              <w:jc w:val="center"/>
              <w:rPr>
                <w:szCs w:val="22"/>
                <w:vertAlign w:val="superscript"/>
              </w:rPr>
            </w:pPr>
            <w:r>
              <w:rPr>
                <w:szCs w:val="22"/>
                <w:lang w:val="en-US"/>
              </w:rPr>
              <w:t>67% (104/</w:t>
            </w:r>
            <w:proofErr w:type="gramStart"/>
            <w:r>
              <w:rPr>
                <w:szCs w:val="22"/>
                <w:lang w:val="en-US"/>
              </w:rPr>
              <w:t>156)</w:t>
            </w:r>
            <w:r>
              <w:rPr>
                <w:szCs w:val="22"/>
                <w:vertAlign w:val="superscript"/>
              </w:rPr>
              <w:t>б</w:t>
            </w:r>
            <w:proofErr w:type="gramEnd"/>
          </w:p>
        </w:tc>
      </w:tr>
      <w:tr w:rsidR="009B3384" w14:paraId="109ACB28"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25" w14:textId="77777777" w:rsidR="009B3384" w:rsidRDefault="00800862">
            <w:pPr>
              <w:widowControl w:val="0"/>
              <w:tabs>
                <w:tab w:val="clear" w:pos="567"/>
              </w:tabs>
              <w:ind w:left="284"/>
              <w:rPr>
                <w:szCs w:val="22"/>
              </w:rPr>
            </w:pPr>
            <w:r>
              <w:rPr>
                <w:szCs w:val="22"/>
              </w:rPr>
              <w:t>При пациенти с неуспешна биологична терапия</w:t>
            </w:r>
            <w:r>
              <w:rPr>
                <w:szCs w:val="22"/>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26" w14:textId="77777777" w:rsidR="009B3384" w:rsidRDefault="00800862">
            <w:pPr>
              <w:widowControl w:val="0"/>
              <w:tabs>
                <w:tab w:val="clear" w:pos="567"/>
              </w:tabs>
              <w:jc w:val="center"/>
              <w:rPr>
                <w:szCs w:val="22"/>
                <w:lang w:val="en-US"/>
              </w:rPr>
            </w:pPr>
            <w:r>
              <w:rPr>
                <w:szCs w:val="22"/>
                <w:lang w:val="en-US"/>
              </w:rPr>
              <w:t>27% (44/161)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27" w14:textId="77777777" w:rsidR="009B3384" w:rsidRDefault="00800862">
            <w:pPr>
              <w:widowControl w:val="0"/>
              <w:tabs>
                <w:tab w:val="clear" w:pos="567"/>
              </w:tabs>
              <w:jc w:val="center"/>
              <w:rPr>
                <w:szCs w:val="22"/>
                <w:vertAlign w:val="superscript"/>
              </w:rPr>
            </w:pPr>
            <w:r>
              <w:rPr>
                <w:szCs w:val="22"/>
                <w:lang w:val="en-US"/>
              </w:rPr>
              <w:t>57% (95/</w:t>
            </w:r>
            <w:proofErr w:type="gramStart"/>
            <w:r>
              <w:rPr>
                <w:szCs w:val="22"/>
                <w:lang w:val="en-US"/>
              </w:rPr>
              <w:t>166)</w:t>
            </w:r>
            <w:r>
              <w:rPr>
                <w:szCs w:val="22"/>
                <w:vertAlign w:val="superscript"/>
              </w:rPr>
              <w:t>б</w:t>
            </w:r>
            <w:proofErr w:type="gramEnd"/>
          </w:p>
        </w:tc>
      </w:tr>
      <w:tr w:rsidR="009B3384" w14:paraId="109ACB2C"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29" w14:textId="77777777" w:rsidR="009B3384" w:rsidRDefault="00800862">
            <w:pPr>
              <w:widowControl w:val="0"/>
              <w:tabs>
                <w:tab w:val="clear" w:pos="567"/>
              </w:tabs>
              <w:ind w:left="284"/>
              <w:rPr>
                <w:szCs w:val="22"/>
              </w:rPr>
            </w:pPr>
            <w:r>
              <w:rPr>
                <w:szCs w:val="22"/>
              </w:rPr>
              <w:t>При пациенти с неуспешна терапия както с TNF, така и с ведолизумаб</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2A" w14:textId="77777777" w:rsidR="009B3384" w:rsidRDefault="00800862">
            <w:pPr>
              <w:widowControl w:val="0"/>
              <w:tabs>
                <w:tab w:val="clear" w:pos="567"/>
              </w:tabs>
              <w:jc w:val="center"/>
              <w:rPr>
                <w:szCs w:val="22"/>
                <w:lang w:val="en-US"/>
              </w:rPr>
            </w:pPr>
            <w:r>
              <w:rPr>
                <w:szCs w:val="22"/>
                <w:lang w:val="en-US"/>
              </w:rPr>
              <w:t>28% (13/47)</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2B" w14:textId="77777777" w:rsidR="009B3384" w:rsidRDefault="00800862">
            <w:pPr>
              <w:widowControl w:val="0"/>
              <w:tabs>
                <w:tab w:val="clear" w:pos="567"/>
              </w:tabs>
              <w:jc w:val="center"/>
              <w:rPr>
                <w:szCs w:val="22"/>
              </w:rPr>
            </w:pPr>
            <w:r>
              <w:rPr>
                <w:szCs w:val="22"/>
                <w:lang w:val="en-US"/>
              </w:rPr>
              <w:t>52% (30/</w:t>
            </w:r>
            <w:proofErr w:type="gramStart"/>
            <w:r>
              <w:rPr>
                <w:szCs w:val="22"/>
                <w:lang w:val="en-US"/>
              </w:rPr>
              <w:t>58)</w:t>
            </w:r>
            <w:r>
              <w:rPr>
                <w:szCs w:val="22"/>
                <w:vertAlign w:val="superscript"/>
              </w:rPr>
              <w:t>в</w:t>
            </w:r>
            <w:proofErr w:type="gramEnd"/>
          </w:p>
        </w:tc>
      </w:tr>
      <w:tr w:rsidR="009B3384" w14:paraId="109ACB30"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2D" w14:textId="77777777" w:rsidR="009B3384" w:rsidRDefault="00800862">
            <w:pPr>
              <w:keepNext/>
              <w:widowControl w:val="0"/>
              <w:tabs>
                <w:tab w:val="clear" w:pos="567"/>
              </w:tabs>
              <w:rPr>
                <w:szCs w:val="22"/>
                <w:lang w:val="en-US"/>
              </w:rPr>
            </w:pPr>
            <w:r>
              <w:rPr>
                <w:szCs w:val="22"/>
              </w:rPr>
              <w:t>Лигавично оздравяване</w:t>
            </w:r>
            <w:r>
              <w:rPr>
                <w:szCs w:val="18"/>
                <w:vertAlign w:val="superscript"/>
                <w:lang w:val="en-US"/>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2E" w14:textId="77777777" w:rsidR="009B3384" w:rsidRDefault="00800862">
            <w:pPr>
              <w:widowControl w:val="0"/>
              <w:tabs>
                <w:tab w:val="clear" w:pos="567"/>
              </w:tabs>
              <w:jc w:val="center"/>
              <w:rPr>
                <w:szCs w:val="22"/>
                <w:lang w:val="en-US"/>
              </w:rPr>
            </w:pPr>
            <w:r>
              <w:rPr>
                <w:szCs w:val="22"/>
                <w:lang w:val="en-US"/>
              </w:rPr>
              <w:t>14%</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2F" w14:textId="77777777" w:rsidR="009B3384" w:rsidRDefault="00800862">
            <w:pPr>
              <w:widowControl w:val="0"/>
              <w:tabs>
                <w:tab w:val="clear" w:pos="567"/>
              </w:tabs>
              <w:jc w:val="center"/>
              <w:rPr>
                <w:szCs w:val="22"/>
                <w:vertAlign w:val="superscript"/>
                <w:lang w:val="en-US"/>
              </w:rPr>
            </w:pPr>
            <w:r>
              <w:rPr>
                <w:szCs w:val="22"/>
                <w:lang w:val="en-US"/>
              </w:rPr>
              <w:t>27%</w:t>
            </w:r>
            <w:r>
              <w:rPr>
                <w:szCs w:val="22"/>
                <w:vertAlign w:val="superscript"/>
                <w:lang w:val="en-US"/>
              </w:rPr>
              <w:t>a</w:t>
            </w:r>
          </w:p>
        </w:tc>
      </w:tr>
      <w:tr w:rsidR="009B3384" w14:paraId="109ACB34"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31" w14:textId="77777777" w:rsidR="009B3384" w:rsidRDefault="00800862">
            <w:pPr>
              <w:widowControl w:val="0"/>
              <w:tabs>
                <w:tab w:val="clear" w:pos="567"/>
              </w:tabs>
              <w:ind w:left="284"/>
              <w:rPr>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32" w14:textId="77777777" w:rsidR="009B3384" w:rsidRDefault="00800862">
            <w:pPr>
              <w:widowControl w:val="0"/>
              <w:tabs>
                <w:tab w:val="clear" w:pos="567"/>
              </w:tabs>
              <w:jc w:val="center"/>
              <w:rPr>
                <w:szCs w:val="22"/>
                <w:lang w:val="en-US"/>
              </w:rPr>
            </w:pPr>
            <w:r>
              <w:rPr>
                <w:szCs w:val="22"/>
              </w:rPr>
              <w:t>21% (33/158)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33" w14:textId="77777777" w:rsidR="009B3384" w:rsidRDefault="00800862">
            <w:pPr>
              <w:widowControl w:val="0"/>
              <w:tabs>
                <w:tab w:val="clear" w:pos="567"/>
              </w:tabs>
              <w:jc w:val="center"/>
              <w:rPr>
                <w:szCs w:val="22"/>
                <w:lang w:val="en-US"/>
              </w:rPr>
            </w:pPr>
            <w:r>
              <w:rPr>
                <w:szCs w:val="22"/>
              </w:rPr>
              <w:t>33% (52/156)</w:t>
            </w:r>
            <w:r>
              <w:rPr>
                <w:szCs w:val="22"/>
                <w:vertAlign w:val="superscript"/>
              </w:rPr>
              <w:t>в</w:t>
            </w:r>
          </w:p>
        </w:tc>
      </w:tr>
      <w:tr w:rsidR="009B3384" w14:paraId="109ACB38"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35" w14:textId="77777777" w:rsidR="009B3384" w:rsidRDefault="00800862">
            <w:pPr>
              <w:widowControl w:val="0"/>
              <w:tabs>
                <w:tab w:val="clear" w:pos="567"/>
              </w:tabs>
              <w:ind w:left="284"/>
              <w:rPr>
                <w:szCs w:val="22"/>
              </w:rPr>
            </w:pPr>
            <w:r>
              <w:rPr>
                <w:szCs w:val="22"/>
              </w:rPr>
              <w:t>При пациенти с неуспешна биологична терапия</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36" w14:textId="77777777" w:rsidR="009B3384" w:rsidRDefault="00800862">
            <w:pPr>
              <w:widowControl w:val="0"/>
              <w:tabs>
                <w:tab w:val="clear" w:pos="567"/>
              </w:tabs>
              <w:jc w:val="center"/>
              <w:rPr>
                <w:szCs w:val="22"/>
                <w:lang w:val="en-US"/>
              </w:rPr>
            </w:pPr>
            <w:r>
              <w:rPr>
                <w:szCs w:val="22"/>
              </w:rPr>
              <w:t>7% (11/161)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37" w14:textId="77777777" w:rsidR="009B3384" w:rsidRDefault="00800862">
            <w:pPr>
              <w:widowControl w:val="0"/>
              <w:tabs>
                <w:tab w:val="clear" w:pos="567"/>
              </w:tabs>
              <w:jc w:val="center"/>
              <w:rPr>
                <w:szCs w:val="22"/>
                <w:vertAlign w:val="superscript"/>
                <w:lang w:val="en-US"/>
              </w:rPr>
            </w:pPr>
            <w:r>
              <w:rPr>
                <w:szCs w:val="22"/>
              </w:rPr>
              <w:t>21% (35/166)</w:t>
            </w:r>
            <w:r>
              <w:rPr>
                <w:szCs w:val="22"/>
                <w:vertAlign w:val="superscript"/>
              </w:rPr>
              <w:t>б</w:t>
            </w:r>
          </w:p>
        </w:tc>
      </w:tr>
      <w:tr w:rsidR="009B3384" w14:paraId="109ACB3C"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39" w14:textId="77777777" w:rsidR="009B3384" w:rsidRDefault="00800862">
            <w:pPr>
              <w:keepNext/>
              <w:widowControl w:val="0"/>
              <w:tabs>
                <w:tab w:val="clear" w:pos="567"/>
              </w:tabs>
              <w:rPr>
                <w:szCs w:val="22"/>
                <w:lang w:val="en-US"/>
              </w:rPr>
            </w:pPr>
            <w:r>
              <w:rPr>
                <w:szCs w:val="22"/>
              </w:rPr>
              <w:t>Симптоматична ремисия</w:t>
            </w:r>
            <w:r>
              <w:rPr>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3A" w14:textId="77777777" w:rsidR="009B3384" w:rsidRDefault="00800862">
            <w:pPr>
              <w:widowControl w:val="0"/>
              <w:tabs>
                <w:tab w:val="clear" w:pos="567"/>
              </w:tabs>
              <w:jc w:val="center"/>
              <w:rPr>
                <w:szCs w:val="22"/>
                <w:lang w:val="en-US"/>
              </w:rPr>
            </w:pPr>
            <w:r>
              <w:rPr>
                <w:szCs w:val="22"/>
                <w:lang w:val="en-US"/>
              </w:rPr>
              <w:t>23%</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3B" w14:textId="77777777" w:rsidR="009B3384" w:rsidRDefault="00800862">
            <w:pPr>
              <w:widowControl w:val="0"/>
              <w:tabs>
                <w:tab w:val="clear" w:pos="567"/>
              </w:tabs>
              <w:jc w:val="center"/>
              <w:rPr>
                <w:szCs w:val="22"/>
              </w:rPr>
            </w:pPr>
            <w:r>
              <w:rPr>
                <w:szCs w:val="22"/>
                <w:lang w:val="en-US"/>
              </w:rPr>
              <w:t>45%</w:t>
            </w:r>
            <w:r>
              <w:rPr>
                <w:szCs w:val="22"/>
                <w:vertAlign w:val="superscript"/>
              </w:rPr>
              <w:t>б</w:t>
            </w:r>
          </w:p>
        </w:tc>
      </w:tr>
      <w:tr w:rsidR="009B3384" w14:paraId="109ACB40"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CB3D" w14:textId="77777777" w:rsidR="009B3384" w:rsidRDefault="00800862">
            <w:pPr>
              <w:widowControl w:val="0"/>
              <w:tabs>
                <w:tab w:val="clear" w:pos="567"/>
              </w:tabs>
              <w:rPr>
                <w:szCs w:val="22"/>
              </w:rPr>
            </w:pPr>
            <w:r>
              <w:rPr>
                <w:szCs w:val="22"/>
              </w:rPr>
              <w:t>Комбинирано симптоматична ремисия и лигавично оздравяване</w:t>
            </w:r>
            <w:r>
              <w:rPr>
                <w:szCs w:val="18"/>
                <w:vertAlign w:val="superscript"/>
                <w:lang w:val="en-US"/>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CB3E" w14:textId="77777777" w:rsidR="009B3384" w:rsidRDefault="00800862">
            <w:pPr>
              <w:widowControl w:val="0"/>
              <w:tabs>
                <w:tab w:val="clear" w:pos="567"/>
              </w:tabs>
              <w:jc w:val="center"/>
              <w:rPr>
                <w:szCs w:val="22"/>
                <w:lang w:val="en-US"/>
              </w:rPr>
            </w:pPr>
            <w:r>
              <w:rPr>
                <w:szCs w:val="22"/>
                <w:lang w:val="en-US"/>
              </w:rPr>
              <w:t>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CB3F" w14:textId="77777777" w:rsidR="009B3384" w:rsidRDefault="00800862">
            <w:pPr>
              <w:widowControl w:val="0"/>
              <w:tabs>
                <w:tab w:val="clear" w:pos="567"/>
              </w:tabs>
              <w:jc w:val="center"/>
              <w:rPr>
                <w:szCs w:val="22"/>
                <w:vertAlign w:val="superscript"/>
              </w:rPr>
            </w:pPr>
            <w:r>
              <w:rPr>
                <w:szCs w:val="22"/>
                <w:lang w:val="en-US"/>
              </w:rPr>
              <w:t>21%</w:t>
            </w:r>
            <w:r>
              <w:rPr>
                <w:szCs w:val="22"/>
                <w:vertAlign w:val="superscript"/>
              </w:rPr>
              <w:t>б</w:t>
            </w:r>
          </w:p>
        </w:tc>
      </w:tr>
      <w:tr w:rsidR="009B3384" w14:paraId="109ACB4B" w14:textId="77777777">
        <w:trPr>
          <w:cantSplit/>
          <w:jc w:val="center"/>
        </w:trPr>
        <w:tc>
          <w:tcPr>
            <w:tcW w:w="9072" w:type="dxa"/>
            <w:gridSpan w:val="3"/>
            <w:tcBorders>
              <w:top w:val="single" w:sz="4" w:space="0" w:color="000000"/>
            </w:tcBorders>
          </w:tcPr>
          <w:p w14:paraId="109ACB41" w14:textId="77777777" w:rsidR="009B3384" w:rsidRDefault="00800862">
            <w:pPr>
              <w:widowControl w:val="0"/>
              <w:tabs>
                <w:tab w:val="left" w:pos="864"/>
              </w:tabs>
              <w:ind w:left="284" w:hanging="284"/>
              <w:rPr>
                <w:sz w:val="18"/>
                <w:szCs w:val="18"/>
              </w:rPr>
            </w:pPr>
            <w:r>
              <w:rPr>
                <w:szCs w:val="18"/>
                <w:vertAlign w:val="superscript"/>
              </w:rPr>
              <w:lastRenderedPageBreak/>
              <w:t>£</w:t>
            </w:r>
            <w:r>
              <w:rPr>
                <w:szCs w:val="18"/>
                <w:vertAlign w:val="superscript"/>
              </w:rPr>
              <w:tab/>
            </w:r>
            <w:r>
              <w:rPr>
                <w:sz w:val="18"/>
                <w:szCs w:val="18"/>
              </w:rPr>
              <w:t xml:space="preserve">Доза за инфузия на устекинумаб при използване на схема на прилагане въз основа на телесното тегло, указана в </w:t>
            </w:r>
            <w:r>
              <w:rPr>
                <w:i/>
                <w:sz w:val="18"/>
                <w:szCs w:val="18"/>
              </w:rPr>
              <w:t>Таблица</w:t>
            </w:r>
            <w:r>
              <w:rPr>
                <w:sz w:val="18"/>
                <w:szCs w:val="18"/>
                <w:lang w:val="en-AU"/>
              </w:rPr>
              <w:t> </w:t>
            </w:r>
            <w:r>
              <w:rPr>
                <w:i/>
                <w:sz w:val="18"/>
                <w:szCs w:val="18"/>
              </w:rPr>
              <w:t>1</w:t>
            </w:r>
            <w:r>
              <w:rPr>
                <w:sz w:val="18"/>
                <w:szCs w:val="18"/>
              </w:rPr>
              <w:t>.</w:t>
            </w:r>
          </w:p>
          <w:p w14:paraId="109ACB42" w14:textId="11E74251" w:rsidR="009B3384" w:rsidRDefault="00800862">
            <w:pPr>
              <w:widowControl w:val="0"/>
              <w:ind w:left="284" w:hanging="284"/>
              <w:rPr>
                <w:sz w:val="18"/>
                <w:szCs w:val="18"/>
              </w:rPr>
            </w:pPr>
            <w:r>
              <w:rPr>
                <w:sz w:val="18"/>
                <w:szCs w:val="18"/>
              </w:rPr>
              <w:t>*</w:t>
            </w:r>
            <w:r>
              <w:rPr>
                <w:sz w:val="18"/>
                <w:szCs w:val="18"/>
              </w:rPr>
              <w:tab/>
              <w:t>Клиничната ремисия се определя като скор по Mayo ≤</w:t>
            </w:r>
            <w:r>
              <w:rPr>
                <w:sz w:val="18"/>
                <w:szCs w:val="18"/>
                <w:lang w:val="en-AU"/>
              </w:rPr>
              <w:t> </w:t>
            </w:r>
            <w:r>
              <w:rPr>
                <w:sz w:val="18"/>
                <w:szCs w:val="18"/>
              </w:rPr>
              <w:t xml:space="preserve">2 пункта, без индивидуален </w:t>
            </w:r>
            <w:r w:rsidR="00EA3FF7">
              <w:rPr>
                <w:sz w:val="18"/>
                <w:szCs w:val="18"/>
              </w:rPr>
              <w:t>подскор</w:t>
            </w:r>
            <w:r>
              <w:rPr>
                <w:sz w:val="18"/>
                <w:szCs w:val="18"/>
              </w:rPr>
              <w:t xml:space="preserve"> &gt;</w:t>
            </w:r>
            <w:r>
              <w:rPr>
                <w:sz w:val="18"/>
                <w:szCs w:val="18"/>
                <w:lang w:val="en-AU"/>
              </w:rPr>
              <w:t> </w:t>
            </w:r>
            <w:r>
              <w:rPr>
                <w:sz w:val="18"/>
                <w:szCs w:val="18"/>
              </w:rPr>
              <w:t>1.</w:t>
            </w:r>
          </w:p>
          <w:p w14:paraId="109ACB43" w14:textId="5E14935A"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Клиничният отговор се определя като намаляване спрямо изходното ниво на скора по </w:t>
            </w:r>
            <w:r>
              <w:rPr>
                <w:sz w:val="18"/>
                <w:szCs w:val="18"/>
                <w:lang w:val="en-US"/>
              </w:rPr>
              <w:t>Mayo</w:t>
            </w:r>
            <w:r>
              <w:rPr>
                <w:sz w:val="18"/>
                <w:szCs w:val="18"/>
              </w:rPr>
              <w:t xml:space="preserve"> с ≥</w:t>
            </w:r>
            <w:r>
              <w:rPr>
                <w:sz w:val="18"/>
                <w:szCs w:val="18"/>
                <w:lang w:val="en-AU"/>
              </w:rPr>
              <w:t> </w:t>
            </w:r>
            <w:r>
              <w:rPr>
                <w:sz w:val="18"/>
                <w:szCs w:val="18"/>
              </w:rPr>
              <w:t>30% и ≥</w:t>
            </w:r>
            <w:r>
              <w:rPr>
                <w:sz w:val="18"/>
                <w:szCs w:val="18"/>
                <w:lang w:val="en-AU"/>
              </w:rPr>
              <w:t> </w:t>
            </w:r>
            <w:r>
              <w:rPr>
                <w:sz w:val="18"/>
                <w:szCs w:val="18"/>
              </w:rPr>
              <w:t xml:space="preserve">3 пункта, с намаляване спрямо изходното ниво на </w:t>
            </w:r>
            <w:r w:rsidR="00EA3FF7">
              <w:rPr>
                <w:sz w:val="18"/>
                <w:szCs w:val="18"/>
              </w:rPr>
              <w:t>подскор</w:t>
            </w:r>
            <w:r>
              <w:rPr>
                <w:sz w:val="18"/>
                <w:szCs w:val="18"/>
              </w:rPr>
              <w:t>а за ректално кървене ≥</w:t>
            </w:r>
            <w:r>
              <w:rPr>
                <w:sz w:val="18"/>
                <w:szCs w:val="18"/>
                <w:lang w:val="en-AU"/>
              </w:rPr>
              <w:t> </w:t>
            </w:r>
            <w:r>
              <w:rPr>
                <w:sz w:val="18"/>
                <w:szCs w:val="18"/>
              </w:rPr>
              <w:t xml:space="preserve">1 или </w:t>
            </w:r>
            <w:r w:rsidR="00EA3FF7">
              <w:rPr>
                <w:sz w:val="18"/>
                <w:szCs w:val="18"/>
              </w:rPr>
              <w:t>подскор</w:t>
            </w:r>
            <w:r>
              <w:rPr>
                <w:sz w:val="18"/>
                <w:szCs w:val="18"/>
              </w:rPr>
              <w:t xml:space="preserve"> за ректално кървене 0 или 1.</w:t>
            </w:r>
          </w:p>
          <w:p w14:paraId="109ACB44" w14:textId="77777777" w:rsidR="009B3384" w:rsidRDefault="00800862">
            <w:pPr>
              <w:widowControl w:val="0"/>
              <w:ind w:left="284" w:hanging="284"/>
              <w:rPr>
                <w:sz w:val="18"/>
                <w:szCs w:val="18"/>
              </w:rPr>
            </w:pPr>
            <w:r>
              <w:rPr>
                <w:szCs w:val="22"/>
                <w:vertAlign w:val="superscript"/>
              </w:rPr>
              <w:t>¥</w:t>
            </w:r>
            <w:r>
              <w:rPr>
                <w:szCs w:val="22"/>
                <w:vertAlign w:val="superscript"/>
              </w:rPr>
              <w:tab/>
            </w:r>
            <w:r>
              <w:rPr>
                <w:sz w:val="18"/>
                <w:szCs w:val="18"/>
              </w:rPr>
              <w:t>Антагонист на TNFα и/или ведолизумаб.</w:t>
            </w:r>
          </w:p>
          <w:p w14:paraId="109ACB45" w14:textId="4D2B565F" w:rsidR="009B3384" w:rsidRDefault="00800862">
            <w:pPr>
              <w:widowControl w:val="0"/>
              <w:ind w:left="284" w:hanging="284"/>
              <w:rPr>
                <w:rFonts w:eastAsia="TimesNewRoman"/>
                <w:sz w:val="18"/>
                <w:szCs w:val="18"/>
                <w:lang w:eastAsia="zh-CN"/>
              </w:rPr>
            </w:pPr>
            <w:r>
              <w:rPr>
                <w:szCs w:val="18"/>
                <w:vertAlign w:val="superscript"/>
              </w:rPr>
              <w:t>†</w:t>
            </w:r>
            <w:r>
              <w:rPr>
                <w:szCs w:val="18"/>
                <w:vertAlign w:val="superscript"/>
              </w:rPr>
              <w:tab/>
            </w:r>
            <w:r>
              <w:rPr>
                <w:rFonts w:eastAsia="TimesNewRoman"/>
                <w:sz w:val="18"/>
                <w:szCs w:val="18"/>
                <w:lang w:eastAsia="zh-CN"/>
              </w:rPr>
              <w:t xml:space="preserve">Лигавичното оздравяване се определя като ендоскопски </w:t>
            </w:r>
            <w:r w:rsidR="00EA3FF7">
              <w:rPr>
                <w:rFonts w:eastAsia="TimesNewRoman"/>
                <w:sz w:val="18"/>
                <w:szCs w:val="18"/>
                <w:lang w:eastAsia="zh-CN"/>
              </w:rPr>
              <w:t>подскор</w:t>
            </w:r>
            <w:r>
              <w:rPr>
                <w:rFonts w:eastAsia="TimesNewRoman"/>
                <w:sz w:val="18"/>
                <w:szCs w:val="18"/>
                <w:lang w:eastAsia="zh-CN"/>
              </w:rPr>
              <w:t xml:space="preserve"> по Mayo 0 или 1.</w:t>
            </w:r>
          </w:p>
          <w:p w14:paraId="109ACB46" w14:textId="500BE49A"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Симптоматичната ремисия се определя като </w:t>
            </w:r>
            <w:r w:rsidR="00EA3FF7">
              <w:rPr>
                <w:sz w:val="18"/>
                <w:szCs w:val="18"/>
              </w:rPr>
              <w:t>подскор</w:t>
            </w:r>
            <w:r>
              <w:rPr>
                <w:sz w:val="18"/>
                <w:szCs w:val="18"/>
              </w:rPr>
              <w:t xml:space="preserve"> по </w:t>
            </w:r>
            <w:r>
              <w:rPr>
                <w:sz w:val="18"/>
                <w:szCs w:val="18"/>
                <w:lang w:val="en-US"/>
              </w:rPr>
              <w:t>Mayo</w:t>
            </w:r>
            <w:r>
              <w:rPr>
                <w:sz w:val="18"/>
                <w:szCs w:val="18"/>
              </w:rPr>
              <w:t xml:space="preserve"> за честота на дефекацията </w:t>
            </w:r>
            <w:r>
              <w:rPr>
                <w:rFonts w:eastAsia="TimesNewRoman"/>
                <w:sz w:val="18"/>
                <w:szCs w:val="18"/>
                <w:lang w:eastAsia="zh-CN"/>
              </w:rPr>
              <w:t>0 или 1</w:t>
            </w:r>
            <w:r>
              <w:rPr>
                <w:sz w:val="18"/>
                <w:szCs w:val="18"/>
              </w:rPr>
              <w:t xml:space="preserve"> и </w:t>
            </w:r>
            <w:r w:rsidR="00EA3FF7">
              <w:rPr>
                <w:sz w:val="18"/>
                <w:szCs w:val="18"/>
              </w:rPr>
              <w:t>подскор</w:t>
            </w:r>
            <w:r>
              <w:rPr>
                <w:sz w:val="18"/>
                <w:szCs w:val="18"/>
              </w:rPr>
              <w:t xml:space="preserve"> за ректално кървене 0.</w:t>
            </w:r>
          </w:p>
          <w:p w14:paraId="109ACB47" w14:textId="1B7450EB" w:rsidR="009B3384" w:rsidRDefault="00800862">
            <w:pPr>
              <w:widowControl w:val="0"/>
              <w:ind w:left="284" w:hanging="284"/>
              <w:rPr>
                <w:sz w:val="18"/>
                <w:szCs w:val="18"/>
              </w:rPr>
            </w:pPr>
            <w:r>
              <w:rPr>
                <w:szCs w:val="18"/>
                <w:vertAlign w:val="superscript"/>
                <w:lang w:val="en-US"/>
              </w:rPr>
              <w:t>⸸</w:t>
            </w:r>
            <w:r>
              <w:rPr>
                <w:szCs w:val="18"/>
                <w:vertAlign w:val="superscript"/>
              </w:rPr>
              <w:tab/>
            </w:r>
            <w:r>
              <w:rPr>
                <w:sz w:val="18"/>
                <w:szCs w:val="18"/>
              </w:rPr>
              <w:t xml:space="preserve">Комбинацията от симптоматична ремисия и лигавично оздравяване се определя като </w:t>
            </w:r>
            <w:r w:rsidR="00EA3FF7">
              <w:rPr>
                <w:sz w:val="18"/>
                <w:szCs w:val="18"/>
              </w:rPr>
              <w:t>подскор</w:t>
            </w:r>
            <w:r>
              <w:rPr>
                <w:sz w:val="18"/>
                <w:szCs w:val="18"/>
              </w:rPr>
              <w:t xml:space="preserve"> за честота на дефекацията </w:t>
            </w:r>
            <w:r>
              <w:rPr>
                <w:rFonts w:eastAsia="TimesNewRoman"/>
                <w:sz w:val="18"/>
                <w:szCs w:val="18"/>
                <w:lang w:eastAsia="zh-CN"/>
              </w:rPr>
              <w:t xml:space="preserve">0 или </w:t>
            </w:r>
            <w:r>
              <w:rPr>
                <w:sz w:val="18"/>
                <w:szCs w:val="18"/>
              </w:rPr>
              <w:t xml:space="preserve">1, </w:t>
            </w:r>
            <w:r w:rsidR="00EA3FF7">
              <w:rPr>
                <w:sz w:val="18"/>
                <w:szCs w:val="18"/>
              </w:rPr>
              <w:t>подскор</w:t>
            </w:r>
            <w:r>
              <w:rPr>
                <w:sz w:val="18"/>
                <w:szCs w:val="18"/>
              </w:rPr>
              <w:t xml:space="preserve"> за ректално кървене 0 и ендоскопски </w:t>
            </w:r>
            <w:r w:rsidR="00EA3FF7">
              <w:rPr>
                <w:sz w:val="18"/>
                <w:szCs w:val="18"/>
              </w:rPr>
              <w:t>подскор</w:t>
            </w:r>
            <w:r>
              <w:rPr>
                <w:sz w:val="18"/>
                <w:szCs w:val="18"/>
              </w:rPr>
              <w:t xml:space="preserve"> 0 или 1.</w:t>
            </w:r>
          </w:p>
          <w:p w14:paraId="109ACB48"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CB49" w14:textId="77777777" w:rsidR="009B3384" w:rsidRDefault="00800862">
            <w:pPr>
              <w:widowControl w:val="0"/>
              <w:ind w:left="284" w:hanging="284"/>
              <w:rPr>
                <w:sz w:val="18"/>
                <w:szCs w:val="18"/>
              </w:rPr>
            </w:pPr>
            <w:r>
              <w:rPr>
                <w:szCs w:val="18"/>
                <w:vertAlign w:val="superscript"/>
              </w:rPr>
              <w:t>б</w:t>
            </w:r>
            <w:r>
              <w:rPr>
                <w:szCs w:val="18"/>
                <w:vertAlign w:val="superscript"/>
              </w:rPr>
              <w:tab/>
            </w:r>
            <w:r>
              <w:rPr>
                <w:sz w:val="18"/>
                <w:szCs w:val="18"/>
              </w:rPr>
              <w:t>Номинално значимо (p</w:t>
            </w:r>
            <w:r>
              <w:rPr>
                <w:sz w:val="18"/>
                <w:szCs w:val="18"/>
                <w:lang w:val="en-AU"/>
              </w:rPr>
              <w:t> </w:t>
            </w:r>
            <w:r>
              <w:rPr>
                <w:sz w:val="18"/>
                <w:szCs w:val="18"/>
              </w:rPr>
              <w:t>&lt;</w:t>
            </w:r>
            <w:r>
              <w:rPr>
                <w:sz w:val="18"/>
                <w:szCs w:val="18"/>
                <w:lang w:val="en-AU"/>
              </w:rPr>
              <w:t> </w:t>
            </w:r>
            <w:r>
              <w:rPr>
                <w:sz w:val="18"/>
                <w:szCs w:val="18"/>
              </w:rPr>
              <w:t>0,001)</w:t>
            </w:r>
          </w:p>
          <w:p w14:paraId="109ACB4A" w14:textId="77777777" w:rsidR="009B3384" w:rsidRDefault="00800862">
            <w:pPr>
              <w:widowControl w:val="0"/>
              <w:ind w:left="284" w:hanging="284"/>
              <w:rPr>
                <w:sz w:val="18"/>
                <w:szCs w:val="18"/>
              </w:rPr>
            </w:pPr>
            <w:r>
              <w:rPr>
                <w:szCs w:val="18"/>
                <w:vertAlign w:val="superscript"/>
              </w:rPr>
              <w:t>в</w:t>
            </w:r>
            <w:r>
              <w:rPr>
                <w:szCs w:val="18"/>
                <w:vertAlign w:val="superscript"/>
              </w:rPr>
              <w:tab/>
            </w:r>
            <w:r>
              <w:rPr>
                <w:sz w:val="18"/>
                <w:szCs w:val="18"/>
              </w:rPr>
              <w:t>Номинално значимо (p</w:t>
            </w:r>
            <w:r>
              <w:rPr>
                <w:sz w:val="18"/>
                <w:szCs w:val="18"/>
                <w:lang w:val="en-AU"/>
              </w:rPr>
              <w:t> </w:t>
            </w:r>
            <w:r>
              <w:rPr>
                <w:sz w:val="18"/>
                <w:szCs w:val="18"/>
              </w:rPr>
              <w:t>&lt;</w:t>
            </w:r>
            <w:r>
              <w:rPr>
                <w:sz w:val="18"/>
                <w:szCs w:val="18"/>
                <w:lang w:val="en-AU"/>
              </w:rPr>
              <w:t> </w:t>
            </w:r>
            <w:r>
              <w:rPr>
                <w:sz w:val="18"/>
                <w:szCs w:val="18"/>
              </w:rPr>
              <w:t>0,05)</w:t>
            </w:r>
          </w:p>
        </w:tc>
      </w:tr>
    </w:tbl>
    <w:p w14:paraId="109ACB4C" w14:textId="77777777" w:rsidR="009B3384" w:rsidRDefault="009B3384">
      <w:pPr>
        <w:tabs>
          <w:tab w:val="clear" w:pos="567"/>
        </w:tabs>
      </w:pPr>
    </w:p>
    <w:p w14:paraId="109ACB4D" w14:textId="77777777" w:rsidR="009B3384" w:rsidRDefault="00800862">
      <w:pPr>
        <w:tabs>
          <w:tab w:val="clear" w:pos="567"/>
        </w:tabs>
        <w:rPr>
          <w:szCs w:val="24"/>
        </w:rPr>
      </w:pPr>
      <w:r>
        <w:t>В UNIFI-M са оценени 523</w:t>
      </w:r>
      <w:r>
        <w:rPr>
          <w:szCs w:val="22"/>
        </w:rPr>
        <w:t> </w:t>
      </w:r>
      <w:r>
        <w:t>пациенти, постигнали клиничен отговор с еднократно i.v. приложение на устекинумаб в UNIFI-I</w:t>
      </w:r>
      <w:r>
        <w:rPr>
          <w:szCs w:val="24"/>
        </w:rPr>
        <w:t>. Пациентите са рандомизирани за получаване на поддържаща схема с 90</w:t>
      </w:r>
      <w:r>
        <w:rPr>
          <w:szCs w:val="22"/>
        </w:rPr>
        <w:t> </w:t>
      </w:r>
      <w:r>
        <w:rPr>
          <w:szCs w:val="24"/>
        </w:rPr>
        <w:t xml:space="preserve">mg </w:t>
      </w:r>
      <w:r>
        <w:t xml:space="preserve">устекинумаб </w:t>
      </w:r>
      <w:r>
        <w:rPr>
          <w:szCs w:val="24"/>
        </w:rPr>
        <w:t>подкожно на всеки 8</w:t>
      </w:r>
      <w:r>
        <w:rPr>
          <w:szCs w:val="22"/>
        </w:rPr>
        <w:t> </w:t>
      </w:r>
      <w:r>
        <w:rPr>
          <w:szCs w:val="24"/>
        </w:rPr>
        <w:t>седмици, 90</w:t>
      </w:r>
      <w:r>
        <w:rPr>
          <w:szCs w:val="22"/>
        </w:rPr>
        <w:t> </w:t>
      </w:r>
      <w:r>
        <w:rPr>
          <w:szCs w:val="24"/>
        </w:rPr>
        <w:t xml:space="preserve">mg </w:t>
      </w:r>
      <w:r>
        <w:t xml:space="preserve">устекинумаб </w:t>
      </w:r>
      <w:r>
        <w:rPr>
          <w:szCs w:val="24"/>
        </w:rPr>
        <w:t>на всеки 12</w:t>
      </w:r>
      <w:r>
        <w:rPr>
          <w:szCs w:val="22"/>
        </w:rPr>
        <w:t> </w:t>
      </w:r>
      <w:r>
        <w:rPr>
          <w:szCs w:val="24"/>
        </w:rPr>
        <w:t>седмици или плацебо в продължение на 44</w:t>
      </w:r>
      <w:r>
        <w:rPr>
          <w:szCs w:val="22"/>
        </w:rPr>
        <w:t> </w:t>
      </w:r>
      <w:r>
        <w:rPr>
          <w:szCs w:val="24"/>
        </w:rPr>
        <w:t>седмици (за препоръчителната поддържаща доза вижте точка</w:t>
      </w:r>
      <w:r>
        <w:rPr>
          <w:szCs w:val="22"/>
        </w:rPr>
        <w:t> </w:t>
      </w:r>
      <w:r>
        <w:rPr>
          <w:szCs w:val="24"/>
        </w:rPr>
        <w:t>4.2 на КХП на STELARA инжекционен разтвор (флакон) и инжекционен разтвор в предварително напълнена спринцовка или в предварително напълнена писалка).</w:t>
      </w:r>
    </w:p>
    <w:p w14:paraId="109ACB4E" w14:textId="77777777" w:rsidR="009B3384" w:rsidRDefault="009B3384">
      <w:pPr>
        <w:tabs>
          <w:tab w:val="clear" w:pos="567"/>
        </w:tabs>
        <w:rPr>
          <w:szCs w:val="24"/>
        </w:rPr>
      </w:pPr>
    </w:p>
    <w:p w14:paraId="109ACB4F" w14:textId="41B8BA6C" w:rsidR="009B3384" w:rsidRDefault="00800862">
      <w:r>
        <w:t>Значимо по-голям процент пациенти са в клинична ремисия в двете групи, лекувани с устекинумаб, в сравнение с групата с плацебо на седмица</w:t>
      </w:r>
      <w:r>
        <w:rPr>
          <w:szCs w:val="22"/>
        </w:rPr>
        <w:t> </w:t>
      </w:r>
      <w:r>
        <w:t>44 (вж. Таблица</w:t>
      </w:r>
      <w:r>
        <w:rPr>
          <w:szCs w:val="22"/>
        </w:rPr>
        <w:t> </w:t>
      </w:r>
      <w:r w:rsidRPr="00BC6A43">
        <w:t>8</w:t>
      </w:r>
      <w:r>
        <w:t>).</w:t>
      </w:r>
    </w:p>
    <w:p w14:paraId="109ACB50" w14:textId="77777777" w:rsidR="009B3384" w:rsidRDefault="009B3384"/>
    <w:p w14:paraId="109ACB51" w14:textId="2FA1FAAD" w:rsidR="009B3384" w:rsidRDefault="00800862">
      <w:pPr>
        <w:keepNext/>
        <w:ind w:left="1134" w:hanging="1134"/>
        <w:rPr>
          <w:i/>
          <w:iCs/>
          <w:szCs w:val="22"/>
        </w:rPr>
      </w:pPr>
      <w:r>
        <w:rPr>
          <w:i/>
          <w:iCs/>
          <w:szCs w:val="22"/>
        </w:rPr>
        <w:t>Таблица </w:t>
      </w:r>
      <w:r w:rsidRPr="00BC6A43">
        <w:rPr>
          <w:i/>
          <w:iCs/>
          <w:szCs w:val="22"/>
        </w:rPr>
        <w:t>8</w:t>
      </w:r>
      <w:r>
        <w:rPr>
          <w:i/>
          <w:iCs/>
          <w:szCs w:val="22"/>
        </w:rPr>
        <w:t>:</w:t>
      </w:r>
      <w:r>
        <w:rPr>
          <w:i/>
          <w:iCs/>
          <w:szCs w:val="22"/>
        </w:rPr>
        <w:tab/>
      </w:r>
      <w:r>
        <w:rPr>
          <w:i/>
          <w:iCs/>
        </w:rPr>
        <w:t xml:space="preserve">Резюме на основните измерители за ефикасност в </w:t>
      </w:r>
      <w:r>
        <w:rPr>
          <w:i/>
          <w:iCs/>
          <w:szCs w:val="22"/>
        </w:rPr>
        <w:t>UNIFI-M (седмица</w:t>
      </w:r>
      <w:r>
        <w:rPr>
          <w:i/>
          <w:szCs w:val="22"/>
        </w:rPr>
        <w:t> </w:t>
      </w:r>
      <w:r>
        <w:rPr>
          <w:i/>
          <w:iCs/>
          <w:szCs w:val="22"/>
        </w:rPr>
        <w:t>44; 52</w:t>
      </w:r>
      <w:r>
        <w:rPr>
          <w:i/>
          <w:szCs w:val="22"/>
        </w:rPr>
        <w:t> </w:t>
      </w:r>
      <w:r>
        <w:rPr>
          <w:i/>
          <w:iCs/>
          <w:szCs w:val="22"/>
        </w:rPr>
        <w:t>седмици от започване на индукционната доза)</w:t>
      </w:r>
    </w:p>
    <w:tbl>
      <w:tblPr>
        <w:tblW w:w="9075" w:type="dxa"/>
        <w:jc w:val="center"/>
        <w:tblLayout w:type="fixed"/>
        <w:tblLook w:val="04A0" w:firstRow="1" w:lastRow="0" w:firstColumn="1" w:lastColumn="0" w:noHBand="0" w:noVBand="1"/>
      </w:tblPr>
      <w:tblGrid>
        <w:gridCol w:w="4177"/>
        <w:gridCol w:w="1710"/>
        <w:gridCol w:w="1621"/>
        <w:gridCol w:w="1567"/>
      </w:tblGrid>
      <w:tr w:rsidR="009B3384" w14:paraId="109ACB59"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52" w14:textId="77777777" w:rsidR="009B3384" w:rsidRDefault="009B3384">
            <w:pPr>
              <w:keepNext/>
              <w:widowControl w:val="0"/>
              <w:jc w:val="center"/>
              <w:rPr>
                <w:b/>
                <w:szCs w:val="22"/>
              </w:rPr>
            </w:pPr>
          </w:p>
        </w:tc>
        <w:tc>
          <w:tcPr>
            <w:tcW w:w="1710" w:type="dxa"/>
            <w:tcBorders>
              <w:top w:val="single" w:sz="4" w:space="0" w:color="000000"/>
              <w:left w:val="single" w:sz="4" w:space="0" w:color="000000"/>
              <w:bottom w:val="single" w:sz="4" w:space="0" w:color="000000"/>
              <w:right w:val="single" w:sz="4" w:space="0" w:color="000000"/>
            </w:tcBorders>
          </w:tcPr>
          <w:p w14:paraId="109ACB53" w14:textId="77777777" w:rsidR="009B3384" w:rsidRDefault="00800862">
            <w:pPr>
              <w:keepNext/>
              <w:widowControl w:val="0"/>
              <w:jc w:val="center"/>
              <w:rPr>
                <w:b/>
                <w:szCs w:val="22"/>
              </w:rPr>
            </w:pPr>
            <w:r>
              <w:rPr>
                <w:b/>
                <w:szCs w:val="22"/>
              </w:rPr>
              <w:t>Плацебо*</w:t>
            </w:r>
          </w:p>
          <w:p w14:paraId="109ACB54" w14:textId="77777777" w:rsidR="009B3384" w:rsidRDefault="00800862">
            <w:pPr>
              <w:keepNext/>
              <w:widowControl w:val="0"/>
              <w:jc w:val="center"/>
              <w:rPr>
                <w:b/>
                <w:szCs w:val="22"/>
              </w:rPr>
            </w:pPr>
            <w:r>
              <w:rPr>
                <w:b/>
                <w:szCs w:val="22"/>
              </w:rPr>
              <w:t>N</w:t>
            </w:r>
            <w:r>
              <w:rPr>
                <w:szCs w:val="22"/>
              </w:rPr>
              <w:t> </w:t>
            </w:r>
            <w:r>
              <w:rPr>
                <w:b/>
                <w:szCs w:val="22"/>
              </w:rPr>
              <w:t>=</w:t>
            </w:r>
            <w:r>
              <w:rPr>
                <w:szCs w:val="22"/>
              </w:rPr>
              <w:t> 175</w:t>
            </w:r>
            <w:r>
              <w:rPr>
                <w:b/>
                <w:szCs w:val="22"/>
                <w:vertAlign w:val="superscript"/>
              </w:rPr>
              <w:t xml:space="preserve"> </w:t>
            </w:r>
          </w:p>
        </w:tc>
        <w:tc>
          <w:tcPr>
            <w:tcW w:w="1621" w:type="dxa"/>
            <w:tcBorders>
              <w:top w:val="single" w:sz="4" w:space="0" w:color="000000"/>
              <w:left w:val="single" w:sz="4" w:space="0" w:color="000000"/>
              <w:bottom w:val="single" w:sz="4" w:space="0" w:color="000000"/>
              <w:right w:val="single" w:sz="4" w:space="0" w:color="000000"/>
            </w:tcBorders>
          </w:tcPr>
          <w:p w14:paraId="109ACB55" w14:textId="77777777" w:rsidR="009B3384" w:rsidRDefault="00800862">
            <w:pPr>
              <w:keepNext/>
              <w:widowControl w:val="0"/>
              <w:jc w:val="center"/>
              <w:rPr>
                <w:b/>
                <w:szCs w:val="22"/>
              </w:rPr>
            </w:pPr>
            <w:r>
              <w:rPr>
                <w:b/>
                <w:szCs w:val="22"/>
              </w:rPr>
              <w:t>90 mg устекинумаб</w:t>
            </w:r>
            <w:r>
              <w:rPr>
                <w:szCs w:val="22"/>
              </w:rPr>
              <w:t xml:space="preserve"> </w:t>
            </w:r>
            <w:r>
              <w:rPr>
                <w:b/>
                <w:szCs w:val="22"/>
              </w:rPr>
              <w:t>през 8</w:t>
            </w:r>
            <w:r>
              <w:rPr>
                <w:szCs w:val="22"/>
              </w:rPr>
              <w:t> </w:t>
            </w:r>
            <w:r>
              <w:rPr>
                <w:b/>
                <w:szCs w:val="22"/>
              </w:rPr>
              <w:t>седмици</w:t>
            </w:r>
          </w:p>
          <w:p w14:paraId="109ACB56" w14:textId="77777777" w:rsidR="009B3384" w:rsidRDefault="00800862">
            <w:pPr>
              <w:keepNext/>
              <w:widowControl w:val="0"/>
              <w:jc w:val="center"/>
              <w:rPr>
                <w:b/>
                <w:szCs w:val="22"/>
              </w:rPr>
            </w:pPr>
            <w:r>
              <w:rPr>
                <w:b/>
                <w:szCs w:val="22"/>
              </w:rPr>
              <w:t>N</w:t>
            </w:r>
            <w:r>
              <w:rPr>
                <w:szCs w:val="22"/>
              </w:rPr>
              <w:t> </w:t>
            </w:r>
            <w:r>
              <w:rPr>
                <w:b/>
                <w:szCs w:val="22"/>
              </w:rPr>
              <w:t>=</w:t>
            </w:r>
            <w:r>
              <w:rPr>
                <w:szCs w:val="22"/>
              </w:rPr>
              <w:t> 176</w:t>
            </w:r>
          </w:p>
        </w:tc>
        <w:tc>
          <w:tcPr>
            <w:tcW w:w="1567" w:type="dxa"/>
            <w:tcBorders>
              <w:top w:val="single" w:sz="4" w:space="0" w:color="000000"/>
              <w:left w:val="single" w:sz="4" w:space="0" w:color="000000"/>
              <w:bottom w:val="single" w:sz="4" w:space="0" w:color="000000"/>
              <w:right w:val="single" w:sz="4" w:space="0" w:color="000000"/>
            </w:tcBorders>
          </w:tcPr>
          <w:p w14:paraId="109ACB57" w14:textId="77777777" w:rsidR="009B3384" w:rsidRDefault="00800862">
            <w:pPr>
              <w:keepNext/>
              <w:widowControl w:val="0"/>
              <w:jc w:val="center"/>
              <w:rPr>
                <w:b/>
                <w:szCs w:val="22"/>
              </w:rPr>
            </w:pPr>
            <w:r>
              <w:rPr>
                <w:b/>
                <w:szCs w:val="22"/>
              </w:rPr>
              <w:t>90</w:t>
            </w:r>
            <w:r>
              <w:rPr>
                <w:szCs w:val="22"/>
              </w:rPr>
              <w:t> </w:t>
            </w:r>
            <w:r>
              <w:rPr>
                <w:b/>
                <w:szCs w:val="22"/>
              </w:rPr>
              <w:t>mg устекинумаб през 12</w:t>
            </w:r>
            <w:r>
              <w:rPr>
                <w:szCs w:val="22"/>
              </w:rPr>
              <w:t> </w:t>
            </w:r>
            <w:r>
              <w:rPr>
                <w:b/>
                <w:szCs w:val="22"/>
              </w:rPr>
              <w:t>седмици</w:t>
            </w:r>
          </w:p>
          <w:p w14:paraId="109ACB58" w14:textId="77777777" w:rsidR="009B3384" w:rsidRDefault="00800862">
            <w:pPr>
              <w:keepNext/>
              <w:widowControl w:val="0"/>
              <w:jc w:val="center"/>
              <w:rPr>
                <w:b/>
                <w:szCs w:val="22"/>
              </w:rPr>
            </w:pPr>
            <w:r>
              <w:rPr>
                <w:b/>
                <w:szCs w:val="22"/>
              </w:rPr>
              <w:t>N</w:t>
            </w:r>
            <w:r>
              <w:rPr>
                <w:szCs w:val="22"/>
              </w:rPr>
              <w:t> </w:t>
            </w:r>
            <w:r>
              <w:rPr>
                <w:b/>
                <w:szCs w:val="22"/>
              </w:rPr>
              <w:t>=</w:t>
            </w:r>
            <w:r>
              <w:rPr>
                <w:szCs w:val="22"/>
              </w:rPr>
              <w:t> 172</w:t>
            </w:r>
            <w:r>
              <w:rPr>
                <w:b/>
                <w:szCs w:val="22"/>
                <w:vertAlign w:val="superscript"/>
              </w:rPr>
              <w:t xml:space="preserve"> </w:t>
            </w:r>
          </w:p>
        </w:tc>
      </w:tr>
      <w:tr w:rsidR="009B3384" w14:paraId="109ACB5E"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5A" w14:textId="77777777" w:rsidR="009B3384" w:rsidRDefault="00800862">
            <w:pPr>
              <w:keepNext/>
              <w:widowControl w:val="0"/>
              <w:rPr>
                <w:rFonts w:eastAsia="Calibri"/>
                <w:lang w:val="en-US"/>
              </w:rPr>
            </w:pPr>
            <w:r>
              <w:rPr>
                <w:szCs w:val="22"/>
              </w:rPr>
              <w:t>Клинична ремисия**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5B" w14:textId="77777777" w:rsidR="009B3384" w:rsidRDefault="00800862">
            <w:pPr>
              <w:widowControl w:val="0"/>
              <w:jc w:val="center"/>
              <w:rPr>
                <w:szCs w:val="22"/>
              </w:rPr>
            </w:pPr>
            <w:r>
              <w:rPr>
                <w:szCs w:val="22"/>
              </w:rPr>
              <w:t>24%</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5C" w14:textId="77777777" w:rsidR="009B3384" w:rsidRDefault="00800862">
            <w:pPr>
              <w:widowControl w:val="0"/>
              <w:jc w:val="center"/>
              <w:rPr>
                <w:szCs w:val="22"/>
              </w:rPr>
            </w:pPr>
            <w:r>
              <w:rPr>
                <w:szCs w:val="22"/>
              </w:rPr>
              <w:t>44%</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5D" w14:textId="77777777" w:rsidR="009B3384" w:rsidRDefault="00800862">
            <w:pPr>
              <w:widowControl w:val="0"/>
              <w:jc w:val="center"/>
              <w:rPr>
                <w:szCs w:val="22"/>
              </w:rPr>
            </w:pPr>
            <w:r>
              <w:rPr>
                <w:szCs w:val="22"/>
              </w:rPr>
              <w:t>38%</w:t>
            </w:r>
            <w:r>
              <w:rPr>
                <w:szCs w:val="22"/>
                <w:vertAlign w:val="superscript"/>
              </w:rPr>
              <w:t xml:space="preserve"> б</w:t>
            </w:r>
          </w:p>
        </w:tc>
      </w:tr>
      <w:tr w:rsidR="009B3384" w14:paraId="109ACB63"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5F" w14:textId="77777777" w:rsidR="009B3384" w:rsidRDefault="00800862">
            <w:pPr>
              <w:widowControl w:val="0"/>
              <w:ind w:left="284"/>
              <w:rPr>
                <w:szCs w:val="22"/>
              </w:rPr>
            </w:pPr>
            <w:r>
              <w:rPr>
                <w:szCs w:val="22"/>
              </w:rPr>
              <w:t>При пациенти с неуспешна конвенционална, но не и биологична терапия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60" w14:textId="77777777" w:rsidR="009B3384" w:rsidRDefault="00800862">
            <w:pPr>
              <w:widowControl w:val="0"/>
              <w:jc w:val="center"/>
              <w:rPr>
                <w:szCs w:val="22"/>
              </w:rPr>
            </w:pPr>
            <w:r>
              <w:rPr>
                <w:szCs w:val="22"/>
              </w:rPr>
              <w:t>31% (27/87)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61" w14:textId="77777777" w:rsidR="009B3384" w:rsidRDefault="00800862">
            <w:pPr>
              <w:widowControl w:val="0"/>
              <w:jc w:val="center"/>
              <w:rPr>
                <w:szCs w:val="22"/>
              </w:rPr>
            </w:pPr>
            <w:r>
              <w:rPr>
                <w:szCs w:val="22"/>
              </w:rPr>
              <w:t>48% (41/85)</w:t>
            </w:r>
            <w:r>
              <w:rPr>
                <w:szCs w:val="22"/>
                <w:vertAlign w:val="superscript"/>
              </w:rPr>
              <w:t>г</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62" w14:textId="77777777" w:rsidR="009B3384" w:rsidRDefault="00800862">
            <w:pPr>
              <w:widowControl w:val="0"/>
              <w:jc w:val="center"/>
              <w:rPr>
                <w:szCs w:val="22"/>
              </w:rPr>
            </w:pPr>
            <w:r>
              <w:rPr>
                <w:szCs w:val="22"/>
              </w:rPr>
              <w:t>49% (50/102)</w:t>
            </w:r>
            <w:r>
              <w:rPr>
                <w:szCs w:val="22"/>
                <w:vertAlign w:val="superscript"/>
              </w:rPr>
              <w:t xml:space="preserve"> г</w:t>
            </w:r>
          </w:p>
        </w:tc>
      </w:tr>
      <w:tr w:rsidR="009B3384" w14:paraId="109ACB68"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64" w14:textId="77777777" w:rsidR="009B3384" w:rsidRDefault="00800862">
            <w:pPr>
              <w:widowControl w:val="0"/>
              <w:ind w:left="284"/>
              <w:rPr>
                <w:szCs w:val="22"/>
              </w:rPr>
            </w:pPr>
            <w:r>
              <w:rPr>
                <w:szCs w:val="22"/>
              </w:rPr>
              <w:t>При пациенти с неуспешна биологична терапия</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65" w14:textId="77777777" w:rsidR="009B3384" w:rsidRDefault="00800862">
            <w:pPr>
              <w:widowControl w:val="0"/>
              <w:jc w:val="center"/>
              <w:rPr>
                <w:szCs w:val="22"/>
              </w:rPr>
            </w:pPr>
            <w:r>
              <w:rPr>
                <w:szCs w:val="22"/>
              </w:rPr>
              <w:t>17% (15/88)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66" w14:textId="77777777" w:rsidR="009B3384" w:rsidRDefault="00800862">
            <w:pPr>
              <w:widowControl w:val="0"/>
              <w:jc w:val="center"/>
              <w:rPr>
                <w:szCs w:val="22"/>
              </w:rPr>
            </w:pPr>
            <w:r>
              <w:rPr>
                <w:szCs w:val="22"/>
              </w:rPr>
              <w:t>40% (36/91)</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67" w14:textId="77777777" w:rsidR="009B3384" w:rsidRDefault="00800862">
            <w:pPr>
              <w:widowControl w:val="0"/>
              <w:jc w:val="center"/>
              <w:rPr>
                <w:szCs w:val="22"/>
              </w:rPr>
            </w:pPr>
            <w:r>
              <w:rPr>
                <w:szCs w:val="22"/>
              </w:rPr>
              <w:t>23% (16/70)</w:t>
            </w:r>
            <w:r>
              <w:rPr>
                <w:szCs w:val="22"/>
                <w:vertAlign w:val="superscript"/>
              </w:rPr>
              <w:t xml:space="preserve"> г</w:t>
            </w:r>
          </w:p>
        </w:tc>
      </w:tr>
      <w:tr w:rsidR="009B3384" w14:paraId="109ACB6D"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69" w14:textId="77777777" w:rsidR="009B3384" w:rsidRDefault="00800862">
            <w:pPr>
              <w:widowControl w:val="0"/>
              <w:ind w:left="284"/>
              <w:rPr>
                <w:szCs w:val="22"/>
              </w:rPr>
            </w:pPr>
            <w:r>
              <w:rPr>
                <w:szCs w:val="22"/>
              </w:rPr>
              <w:t>При пациенти с неуспешна терапия както с TNF, така и с ведолизумаб</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6A" w14:textId="77777777" w:rsidR="009B3384" w:rsidRDefault="00800862">
            <w:pPr>
              <w:widowControl w:val="0"/>
              <w:jc w:val="center"/>
              <w:rPr>
                <w:szCs w:val="22"/>
              </w:rPr>
            </w:pPr>
            <w:r>
              <w:rPr>
                <w:szCs w:val="22"/>
              </w:rPr>
              <w:t>15% (4/27)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6B" w14:textId="77777777" w:rsidR="009B3384" w:rsidRDefault="00800862">
            <w:pPr>
              <w:widowControl w:val="0"/>
              <w:jc w:val="center"/>
              <w:rPr>
                <w:szCs w:val="22"/>
              </w:rPr>
            </w:pPr>
            <w:r>
              <w:rPr>
                <w:szCs w:val="22"/>
              </w:rPr>
              <w:t>33% (7/21)</w:t>
            </w:r>
            <w:r>
              <w:rPr>
                <w:szCs w:val="22"/>
                <w:vertAlign w:val="superscript"/>
              </w:rPr>
              <w:t>д</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6C" w14:textId="77777777" w:rsidR="009B3384" w:rsidRDefault="00800862">
            <w:pPr>
              <w:widowControl w:val="0"/>
              <w:jc w:val="center"/>
              <w:rPr>
                <w:szCs w:val="22"/>
              </w:rPr>
            </w:pPr>
            <w:r>
              <w:rPr>
                <w:szCs w:val="22"/>
              </w:rPr>
              <w:t>23% (5/22)</w:t>
            </w:r>
            <w:r>
              <w:rPr>
                <w:szCs w:val="22"/>
                <w:vertAlign w:val="superscript"/>
              </w:rPr>
              <w:t>д</w:t>
            </w:r>
          </w:p>
        </w:tc>
      </w:tr>
      <w:tr w:rsidR="009B3384" w14:paraId="109ACB72"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6E" w14:textId="3A76E847" w:rsidR="009B3384" w:rsidRDefault="00800862">
            <w:pPr>
              <w:keepNext/>
              <w:widowControl w:val="0"/>
              <w:rPr>
                <w:szCs w:val="22"/>
              </w:rPr>
            </w:pPr>
            <w:r>
              <w:rPr>
                <w:szCs w:val="22"/>
              </w:rPr>
              <w:t>Поддържане на клиничен отговор до седмица</w:t>
            </w:r>
            <w:ins w:id="131" w:author="RABG09" w:date="2026-05-14T10:57:00Z">
              <w:r w:rsidR="002E27CE">
                <w:rPr>
                  <w:szCs w:val="22"/>
                </w:rPr>
                <w:t> </w:t>
              </w:r>
            </w:ins>
            <w:del w:id="132" w:author="RABG09" w:date="2026-05-14T10:57:00Z">
              <w:r w:rsidDel="006448DE">
                <w:rPr>
                  <w:szCs w:val="22"/>
                </w:rPr>
                <w:delText xml:space="preserve"> </w:delText>
              </w:r>
            </w:del>
            <w:r>
              <w:rPr>
                <w:szCs w:val="22"/>
              </w:rPr>
              <w:t>44</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6F" w14:textId="77777777" w:rsidR="009B3384" w:rsidRDefault="00800862">
            <w:pPr>
              <w:widowControl w:val="0"/>
              <w:jc w:val="center"/>
              <w:rPr>
                <w:szCs w:val="22"/>
              </w:rPr>
            </w:pPr>
            <w:r>
              <w:rPr>
                <w:szCs w:val="22"/>
              </w:rPr>
              <w:t>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70" w14:textId="77777777" w:rsidR="009B3384" w:rsidRDefault="00800862">
            <w:pPr>
              <w:widowControl w:val="0"/>
              <w:jc w:val="center"/>
              <w:rPr>
                <w:szCs w:val="22"/>
              </w:rPr>
            </w:pPr>
            <w:r>
              <w:rPr>
                <w:szCs w:val="22"/>
              </w:rPr>
              <w:t>71%</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71" w14:textId="77777777" w:rsidR="009B3384" w:rsidRDefault="00800862">
            <w:pPr>
              <w:widowControl w:val="0"/>
              <w:jc w:val="center"/>
              <w:rPr>
                <w:szCs w:val="22"/>
              </w:rPr>
            </w:pPr>
            <w:r>
              <w:rPr>
                <w:szCs w:val="22"/>
              </w:rPr>
              <w:t>68%</w:t>
            </w:r>
            <w:r>
              <w:rPr>
                <w:szCs w:val="22"/>
                <w:vertAlign w:val="superscript"/>
              </w:rPr>
              <w:t xml:space="preserve"> a</w:t>
            </w:r>
          </w:p>
        </w:tc>
      </w:tr>
      <w:tr w:rsidR="009B3384" w14:paraId="109ACB77"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73" w14:textId="77777777" w:rsidR="009B3384" w:rsidRDefault="00800862">
            <w:pPr>
              <w:widowControl w:val="0"/>
              <w:ind w:left="284"/>
              <w:rPr>
                <w:szCs w:val="22"/>
              </w:rPr>
            </w:pPr>
            <w:r>
              <w:rPr>
                <w:szCs w:val="22"/>
              </w:rPr>
              <w:t>При пациенти с неуспешна конвенционална, но не и биологична терапия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74" w14:textId="77777777" w:rsidR="009B3384" w:rsidRDefault="00800862">
            <w:pPr>
              <w:widowControl w:val="0"/>
              <w:jc w:val="center"/>
              <w:rPr>
                <w:szCs w:val="22"/>
              </w:rPr>
            </w:pPr>
            <w:r>
              <w:rPr>
                <w:szCs w:val="22"/>
              </w:rPr>
              <w:t>51% (44/87)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75" w14:textId="77777777" w:rsidR="009B3384" w:rsidRDefault="00800862">
            <w:pPr>
              <w:widowControl w:val="0"/>
              <w:jc w:val="center"/>
              <w:rPr>
                <w:szCs w:val="22"/>
              </w:rPr>
            </w:pPr>
            <w:r>
              <w:rPr>
                <w:szCs w:val="22"/>
              </w:rPr>
              <w:t>78% (66/85)</w:t>
            </w:r>
            <w:r>
              <w:rPr>
                <w:szCs w:val="22"/>
                <w:vertAlign w:val="superscript"/>
              </w:rPr>
              <w:t>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76" w14:textId="77777777" w:rsidR="009B3384" w:rsidRDefault="00800862">
            <w:pPr>
              <w:widowControl w:val="0"/>
              <w:jc w:val="center"/>
              <w:rPr>
                <w:szCs w:val="22"/>
              </w:rPr>
            </w:pPr>
            <w:r>
              <w:rPr>
                <w:szCs w:val="22"/>
              </w:rPr>
              <w:t>77% (78/102)</w:t>
            </w:r>
            <w:r>
              <w:rPr>
                <w:szCs w:val="22"/>
                <w:vertAlign w:val="superscript"/>
              </w:rPr>
              <w:t>в</w:t>
            </w:r>
          </w:p>
        </w:tc>
      </w:tr>
      <w:tr w:rsidR="009B3384" w14:paraId="109ACB7C"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78" w14:textId="77777777" w:rsidR="009B3384" w:rsidRDefault="00800862">
            <w:pPr>
              <w:widowControl w:val="0"/>
              <w:ind w:left="284"/>
              <w:rPr>
                <w:szCs w:val="22"/>
              </w:rPr>
            </w:pPr>
            <w:r>
              <w:rPr>
                <w:szCs w:val="22"/>
              </w:rPr>
              <w:t>При пациенти с неуспешна биологична терапия</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79" w14:textId="77777777" w:rsidR="009B3384" w:rsidRDefault="00800862">
            <w:pPr>
              <w:widowControl w:val="0"/>
              <w:jc w:val="center"/>
              <w:rPr>
                <w:szCs w:val="22"/>
              </w:rPr>
            </w:pPr>
            <w:r>
              <w:rPr>
                <w:szCs w:val="22"/>
              </w:rPr>
              <w:t>39% (34/88)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7A" w14:textId="77777777" w:rsidR="009B3384" w:rsidRDefault="00800862">
            <w:pPr>
              <w:widowControl w:val="0"/>
              <w:jc w:val="center"/>
              <w:rPr>
                <w:szCs w:val="22"/>
              </w:rPr>
            </w:pPr>
            <w:r>
              <w:rPr>
                <w:szCs w:val="22"/>
              </w:rPr>
              <w:t>65% (59/91)</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7B" w14:textId="77777777" w:rsidR="009B3384" w:rsidRDefault="00800862">
            <w:pPr>
              <w:widowControl w:val="0"/>
              <w:jc w:val="center"/>
              <w:rPr>
                <w:szCs w:val="22"/>
              </w:rPr>
            </w:pPr>
            <w:r>
              <w:rPr>
                <w:szCs w:val="22"/>
              </w:rPr>
              <w:t>56% (39/70)</w:t>
            </w:r>
            <w:r>
              <w:rPr>
                <w:szCs w:val="22"/>
                <w:vertAlign w:val="superscript"/>
              </w:rPr>
              <w:t xml:space="preserve"> г</w:t>
            </w:r>
          </w:p>
        </w:tc>
      </w:tr>
      <w:tr w:rsidR="009B3384" w14:paraId="109ACB81"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7D" w14:textId="77777777" w:rsidR="009B3384" w:rsidRDefault="00800862">
            <w:pPr>
              <w:widowControl w:val="0"/>
              <w:ind w:left="284"/>
              <w:rPr>
                <w:szCs w:val="22"/>
              </w:rPr>
            </w:pPr>
            <w:r>
              <w:rPr>
                <w:szCs w:val="22"/>
              </w:rPr>
              <w:t>При пациенти с неуспешна терапия както с TNF, така и с ведолизумаб</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7E" w14:textId="77777777" w:rsidR="009B3384" w:rsidRDefault="00800862">
            <w:pPr>
              <w:widowControl w:val="0"/>
              <w:jc w:val="center"/>
              <w:rPr>
                <w:szCs w:val="22"/>
              </w:rPr>
            </w:pPr>
            <w:r>
              <w:rPr>
                <w:szCs w:val="22"/>
              </w:rPr>
              <w:t>41% (11/27)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7F" w14:textId="77777777" w:rsidR="009B3384" w:rsidRDefault="00800862">
            <w:pPr>
              <w:widowControl w:val="0"/>
              <w:jc w:val="center"/>
              <w:rPr>
                <w:szCs w:val="22"/>
              </w:rPr>
            </w:pPr>
            <w:r>
              <w:rPr>
                <w:szCs w:val="22"/>
              </w:rPr>
              <w:t>67% (14/21)</w:t>
            </w:r>
            <w:r>
              <w:rPr>
                <w:szCs w:val="22"/>
                <w:vertAlign w:val="superscript"/>
              </w:rPr>
              <w:t>д</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80" w14:textId="77777777" w:rsidR="009B3384" w:rsidRDefault="00800862">
            <w:pPr>
              <w:widowControl w:val="0"/>
              <w:jc w:val="center"/>
              <w:rPr>
                <w:szCs w:val="22"/>
              </w:rPr>
            </w:pPr>
            <w:r>
              <w:rPr>
                <w:szCs w:val="22"/>
              </w:rPr>
              <w:t>50% (11/22)</w:t>
            </w:r>
            <w:r>
              <w:rPr>
                <w:szCs w:val="22"/>
                <w:vertAlign w:val="superscript"/>
              </w:rPr>
              <w:t>д</w:t>
            </w:r>
          </w:p>
        </w:tc>
      </w:tr>
      <w:tr w:rsidR="009B3384" w14:paraId="109ACB86"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82" w14:textId="77777777" w:rsidR="009B3384" w:rsidRDefault="00800862">
            <w:pPr>
              <w:widowControl w:val="0"/>
              <w:rPr>
                <w:szCs w:val="22"/>
              </w:rPr>
            </w:pPr>
            <w:r>
              <w:rPr>
                <w:szCs w:val="22"/>
              </w:rPr>
              <w:t>Лигавично оздравяване</w:t>
            </w:r>
            <w:r>
              <w:rPr>
                <w:szCs w:val="18"/>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83" w14:textId="77777777" w:rsidR="009B3384" w:rsidRDefault="00800862">
            <w:pPr>
              <w:widowControl w:val="0"/>
              <w:jc w:val="center"/>
              <w:rPr>
                <w:szCs w:val="22"/>
              </w:rPr>
            </w:pPr>
            <w:r>
              <w:rPr>
                <w:szCs w:val="22"/>
              </w:rPr>
              <w:t>29%</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84" w14:textId="77777777" w:rsidR="009B3384" w:rsidRDefault="00800862">
            <w:pPr>
              <w:widowControl w:val="0"/>
              <w:jc w:val="center"/>
              <w:rPr>
                <w:szCs w:val="22"/>
              </w:rPr>
            </w:pPr>
            <w:r>
              <w:rPr>
                <w:szCs w:val="22"/>
              </w:rPr>
              <w:t>51%</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85" w14:textId="77777777" w:rsidR="009B3384" w:rsidRDefault="00800862">
            <w:pPr>
              <w:widowControl w:val="0"/>
              <w:jc w:val="center"/>
              <w:rPr>
                <w:szCs w:val="22"/>
              </w:rPr>
            </w:pPr>
            <w:r>
              <w:rPr>
                <w:szCs w:val="22"/>
              </w:rPr>
              <w:t>44%</w:t>
            </w:r>
            <w:r>
              <w:rPr>
                <w:szCs w:val="22"/>
                <w:vertAlign w:val="superscript"/>
              </w:rPr>
              <w:t xml:space="preserve"> б</w:t>
            </w:r>
          </w:p>
        </w:tc>
      </w:tr>
      <w:tr w:rsidR="009B3384" w14:paraId="109ACB8B"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87" w14:textId="586E93FD" w:rsidR="009B3384" w:rsidRDefault="00800862">
            <w:pPr>
              <w:widowControl w:val="0"/>
              <w:rPr>
                <w:szCs w:val="22"/>
              </w:rPr>
            </w:pPr>
            <w:r>
              <w:rPr>
                <w:szCs w:val="22"/>
              </w:rPr>
              <w:t>Поддържане на клинична ремисия до седмица</w:t>
            </w:r>
            <w:ins w:id="133" w:author="RABG09" w:date="2026-05-14T10:57:00Z">
              <w:r w:rsidR="002E27CE">
                <w:rPr>
                  <w:szCs w:val="22"/>
                </w:rPr>
                <w:t> </w:t>
              </w:r>
            </w:ins>
            <w:del w:id="134" w:author="RABG09" w:date="2026-05-14T10:57:00Z">
              <w:r w:rsidDel="002E27CE">
                <w:rPr>
                  <w:szCs w:val="22"/>
                </w:rPr>
                <w:delText xml:space="preserve"> </w:delText>
              </w:r>
            </w:del>
            <w:r>
              <w:rPr>
                <w:szCs w:val="22"/>
              </w:rPr>
              <w:t>44</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88" w14:textId="77777777" w:rsidR="009B3384" w:rsidRDefault="00800862">
            <w:pPr>
              <w:widowControl w:val="0"/>
              <w:jc w:val="center"/>
              <w:rPr>
                <w:szCs w:val="22"/>
              </w:rPr>
            </w:pPr>
            <w:r>
              <w:rPr>
                <w:szCs w:val="22"/>
              </w:rPr>
              <w:t>38% (17/45)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89" w14:textId="77777777" w:rsidR="009B3384" w:rsidRDefault="00800862">
            <w:pPr>
              <w:widowControl w:val="0"/>
              <w:jc w:val="center"/>
              <w:rPr>
                <w:szCs w:val="22"/>
              </w:rPr>
            </w:pPr>
            <w:r>
              <w:rPr>
                <w:szCs w:val="22"/>
              </w:rPr>
              <w:t>58% (22/38)</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8A" w14:textId="77777777" w:rsidR="009B3384" w:rsidRDefault="00800862">
            <w:pPr>
              <w:widowControl w:val="0"/>
              <w:jc w:val="center"/>
              <w:rPr>
                <w:szCs w:val="22"/>
              </w:rPr>
            </w:pPr>
            <w:r>
              <w:rPr>
                <w:szCs w:val="22"/>
              </w:rPr>
              <w:t>65% (26/40)</w:t>
            </w:r>
            <w:r>
              <w:rPr>
                <w:szCs w:val="22"/>
                <w:vertAlign w:val="superscript"/>
              </w:rPr>
              <w:t xml:space="preserve"> в</w:t>
            </w:r>
          </w:p>
        </w:tc>
      </w:tr>
      <w:tr w:rsidR="009B3384" w14:paraId="109ACB90"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8C" w14:textId="77777777" w:rsidR="009B3384" w:rsidRDefault="00800862">
            <w:pPr>
              <w:widowControl w:val="0"/>
              <w:rPr>
                <w:szCs w:val="22"/>
              </w:rPr>
            </w:pPr>
            <w:r>
              <w:rPr>
                <w:szCs w:val="22"/>
              </w:rPr>
              <w:t>Клинична ремисия без кортикостероид</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8D" w14:textId="77777777" w:rsidR="009B3384" w:rsidRDefault="00800862">
            <w:pPr>
              <w:widowControl w:val="0"/>
              <w:jc w:val="center"/>
              <w:rPr>
                <w:szCs w:val="22"/>
              </w:rPr>
            </w:pPr>
            <w:r>
              <w:rPr>
                <w:szCs w:val="22"/>
              </w:rPr>
              <w:t>23%</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8E" w14:textId="77777777" w:rsidR="009B3384" w:rsidRDefault="00800862">
            <w:pPr>
              <w:widowControl w:val="0"/>
              <w:jc w:val="center"/>
              <w:rPr>
                <w:szCs w:val="22"/>
              </w:rPr>
            </w:pPr>
            <w:r>
              <w:rPr>
                <w:szCs w:val="22"/>
              </w:rPr>
              <w:t>42%</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8F" w14:textId="77777777" w:rsidR="009B3384" w:rsidRDefault="00800862">
            <w:pPr>
              <w:widowControl w:val="0"/>
              <w:jc w:val="center"/>
              <w:rPr>
                <w:szCs w:val="22"/>
              </w:rPr>
            </w:pPr>
            <w:r>
              <w:rPr>
                <w:szCs w:val="22"/>
              </w:rPr>
              <w:t>38%</w:t>
            </w:r>
            <w:r>
              <w:rPr>
                <w:szCs w:val="22"/>
                <w:vertAlign w:val="superscript"/>
              </w:rPr>
              <w:t>б</w:t>
            </w:r>
          </w:p>
        </w:tc>
      </w:tr>
      <w:tr w:rsidR="009B3384" w14:paraId="109ACB95"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91" w14:textId="77777777" w:rsidR="009B3384" w:rsidRDefault="00800862">
            <w:pPr>
              <w:widowControl w:val="0"/>
              <w:rPr>
                <w:szCs w:val="22"/>
                <w:lang w:val="en-US"/>
              </w:rPr>
            </w:pPr>
            <w:r>
              <w:rPr>
                <w:szCs w:val="22"/>
              </w:rPr>
              <w:t>Продължителна ремисия</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92" w14:textId="77777777" w:rsidR="009B3384" w:rsidRDefault="00800862">
            <w:pPr>
              <w:widowControl w:val="0"/>
              <w:jc w:val="center"/>
              <w:rPr>
                <w:szCs w:val="22"/>
              </w:rPr>
            </w:pPr>
            <w:r>
              <w:rPr>
                <w:szCs w:val="22"/>
              </w:rPr>
              <w:t>35%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93" w14:textId="77777777" w:rsidR="009B3384" w:rsidRDefault="00800862">
            <w:pPr>
              <w:widowControl w:val="0"/>
              <w:jc w:val="center"/>
              <w:rPr>
                <w:szCs w:val="22"/>
              </w:rPr>
            </w:pPr>
            <w:r>
              <w:rPr>
                <w:szCs w:val="22"/>
              </w:rPr>
              <w:t>57%</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94" w14:textId="77777777" w:rsidR="009B3384" w:rsidRDefault="00800862">
            <w:pPr>
              <w:widowControl w:val="0"/>
              <w:jc w:val="center"/>
              <w:rPr>
                <w:szCs w:val="22"/>
              </w:rPr>
            </w:pPr>
            <w:r>
              <w:rPr>
                <w:szCs w:val="22"/>
              </w:rPr>
              <w:t>48%</w:t>
            </w:r>
            <w:r>
              <w:rPr>
                <w:szCs w:val="22"/>
                <w:vertAlign w:val="superscript"/>
              </w:rPr>
              <w:t xml:space="preserve"> г</w:t>
            </w:r>
          </w:p>
        </w:tc>
      </w:tr>
      <w:tr w:rsidR="009B3384" w14:paraId="109ACB9A"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96" w14:textId="77777777" w:rsidR="009B3384" w:rsidRDefault="00800862">
            <w:pPr>
              <w:widowControl w:val="0"/>
              <w:rPr>
                <w:szCs w:val="22"/>
              </w:rPr>
            </w:pPr>
            <w:r>
              <w:rPr>
                <w:szCs w:val="22"/>
              </w:rPr>
              <w:t>Симптоматична ремисия</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97" w14:textId="77777777" w:rsidR="009B3384" w:rsidRDefault="00800862">
            <w:pPr>
              <w:widowControl w:val="0"/>
              <w:jc w:val="center"/>
              <w:rPr>
                <w:szCs w:val="22"/>
              </w:rPr>
            </w:pPr>
            <w:r>
              <w:rPr>
                <w:szCs w:val="22"/>
              </w:rPr>
              <w:t>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98" w14:textId="77777777" w:rsidR="009B3384" w:rsidRDefault="00800862">
            <w:pPr>
              <w:widowControl w:val="0"/>
              <w:jc w:val="center"/>
              <w:rPr>
                <w:szCs w:val="22"/>
              </w:rPr>
            </w:pPr>
            <w:r>
              <w:rPr>
                <w:szCs w:val="22"/>
              </w:rPr>
              <w:t>68%</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99" w14:textId="77777777" w:rsidR="009B3384" w:rsidRDefault="00800862">
            <w:pPr>
              <w:widowControl w:val="0"/>
              <w:jc w:val="center"/>
              <w:rPr>
                <w:szCs w:val="22"/>
              </w:rPr>
            </w:pPr>
            <w:r>
              <w:rPr>
                <w:szCs w:val="22"/>
              </w:rPr>
              <w:t>62%</w:t>
            </w:r>
            <w:r>
              <w:rPr>
                <w:szCs w:val="22"/>
                <w:vertAlign w:val="superscript"/>
              </w:rPr>
              <w:t xml:space="preserve"> г</w:t>
            </w:r>
          </w:p>
        </w:tc>
      </w:tr>
      <w:tr w:rsidR="009B3384" w14:paraId="109ACB9F"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CB9B" w14:textId="77777777" w:rsidR="009B3384" w:rsidRDefault="00800862">
            <w:pPr>
              <w:widowControl w:val="0"/>
            </w:pPr>
            <w:r>
              <w:rPr>
                <w:szCs w:val="22"/>
              </w:rPr>
              <w:lastRenderedPageBreak/>
              <w:t>Комбинирано симптоматична ремисия и лигавично оздравяване</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CB9C" w14:textId="77777777" w:rsidR="009B3384" w:rsidRDefault="00800862">
            <w:pPr>
              <w:widowControl w:val="0"/>
              <w:jc w:val="center"/>
              <w:rPr>
                <w:szCs w:val="22"/>
              </w:rPr>
            </w:pPr>
            <w:r>
              <w:rPr>
                <w:szCs w:val="22"/>
              </w:rPr>
              <w:t>28%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CB9D" w14:textId="77777777" w:rsidR="009B3384" w:rsidRDefault="00800862">
            <w:pPr>
              <w:widowControl w:val="0"/>
              <w:jc w:val="center"/>
              <w:rPr>
                <w:szCs w:val="22"/>
              </w:rPr>
            </w:pPr>
            <w:r>
              <w:rPr>
                <w:szCs w:val="22"/>
              </w:rPr>
              <w:t>48%</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CB9E" w14:textId="77777777" w:rsidR="009B3384" w:rsidRDefault="00800862">
            <w:pPr>
              <w:widowControl w:val="0"/>
              <w:jc w:val="center"/>
              <w:rPr>
                <w:szCs w:val="22"/>
              </w:rPr>
            </w:pPr>
            <w:r>
              <w:rPr>
                <w:szCs w:val="22"/>
              </w:rPr>
              <w:t>41%</w:t>
            </w:r>
            <w:r>
              <w:rPr>
                <w:szCs w:val="22"/>
                <w:vertAlign w:val="superscript"/>
              </w:rPr>
              <w:t xml:space="preserve"> г</w:t>
            </w:r>
          </w:p>
        </w:tc>
      </w:tr>
      <w:tr w:rsidR="009B3384" w14:paraId="109ACBAF" w14:textId="77777777">
        <w:trPr>
          <w:cantSplit/>
          <w:jc w:val="center"/>
        </w:trPr>
        <w:tc>
          <w:tcPr>
            <w:tcW w:w="9074" w:type="dxa"/>
            <w:gridSpan w:val="4"/>
            <w:tcBorders>
              <w:top w:val="single" w:sz="4" w:space="0" w:color="000000"/>
            </w:tcBorders>
          </w:tcPr>
          <w:p w14:paraId="109ACBA0" w14:textId="77777777" w:rsidR="009B3384" w:rsidRDefault="00800862">
            <w:pPr>
              <w:widowControl w:val="0"/>
              <w:ind w:left="284" w:hanging="284"/>
              <w:rPr>
                <w:sz w:val="18"/>
                <w:szCs w:val="18"/>
              </w:rPr>
            </w:pPr>
            <w:r>
              <w:rPr>
                <w:sz w:val="18"/>
                <w:szCs w:val="18"/>
              </w:rPr>
              <w:t>*</w:t>
            </w:r>
            <w:r>
              <w:rPr>
                <w:sz w:val="18"/>
                <w:szCs w:val="18"/>
              </w:rPr>
              <w:tab/>
              <w:t>След повлияване от i.v. устекинумаб.</w:t>
            </w:r>
          </w:p>
          <w:p w14:paraId="109ACBA1" w14:textId="257F390A" w:rsidR="009B3384" w:rsidRDefault="00800862">
            <w:pPr>
              <w:widowControl w:val="0"/>
              <w:ind w:left="284" w:hanging="284"/>
              <w:rPr>
                <w:sz w:val="18"/>
                <w:szCs w:val="18"/>
              </w:rPr>
            </w:pPr>
            <w:r>
              <w:rPr>
                <w:sz w:val="18"/>
                <w:szCs w:val="18"/>
              </w:rPr>
              <w:t>**</w:t>
            </w:r>
            <w:r>
              <w:rPr>
                <w:sz w:val="18"/>
                <w:szCs w:val="18"/>
              </w:rPr>
              <w:tab/>
              <w:t>Клиничната ремисия се определя като скор по Mayo ≤</w:t>
            </w:r>
            <w:r>
              <w:rPr>
                <w:sz w:val="18"/>
                <w:szCs w:val="18"/>
                <w:lang w:val="en-AU"/>
              </w:rPr>
              <w:t> </w:t>
            </w:r>
            <w:r>
              <w:rPr>
                <w:sz w:val="18"/>
                <w:szCs w:val="18"/>
              </w:rPr>
              <w:t xml:space="preserve">2 пункта, без индивидуален </w:t>
            </w:r>
            <w:r w:rsidR="00EA3FF7">
              <w:rPr>
                <w:sz w:val="18"/>
                <w:szCs w:val="18"/>
              </w:rPr>
              <w:t>подскор</w:t>
            </w:r>
            <w:r>
              <w:rPr>
                <w:sz w:val="18"/>
                <w:szCs w:val="18"/>
              </w:rPr>
              <w:t xml:space="preserve"> &gt;</w:t>
            </w:r>
            <w:r>
              <w:rPr>
                <w:sz w:val="18"/>
                <w:szCs w:val="18"/>
                <w:lang w:val="en-AU"/>
              </w:rPr>
              <w:t> </w:t>
            </w:r>
            <w:r>
              <w:rPr>
                <w:sz w:val="18"/>
                <w:szCs w:val="18"/>
              </w:rPr>
              <w:t>1.</w:t>
            </w:r>
          </w:p>
          <w:p w14:paraId="109ACBA2" w14:textId="365C7536"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Клиничният отговор се определя като намаляване спрямо изходното ниво на скора по </w:t>
            </w:r>
            <w:r>
              <w:rPr>
                <w:sz w:val="18"/>
                <w:szCs w:val="18"/>
                <w:lang w:val="en-US"/>
              </w:rPr>
              <w:t>Mayo</w:t>
            </w:r>
            <w:r>
              <w:rPr>
                <w:sz w:val="18"/>
                <w:szCs w:val="18"/>
              </w:rPr>
              <w:t xml:space="preserve"> с ≥</w:t>
            </w:r>
            <w:r>
              <w:rPr>
                <w:sz w:val="18"/>
                <w:szCs w:val="18"/>
                <w:lang w:val="en-AU"/>
              </w:rPr>
              <w:t> </w:t>
            </w:r>
            <w:r>
              <w:rPr>
                <w:sz w:val="18"/>
                <w:szCs w:val="18"/>
              </w:rPr>
              <w:t>30% и ≥</w:t>
            </w:r>
            <w:r>
              <w:rPr>
                <w:sz w:val="18"/>
                <w:szCs w:val="18"/>
                <w:lang w:val="en-AU"/>
              </w:rPr>
              <w:t> </w:t>
            </w:r>
            <w:r>
              <w:rPr>
                <w:sz w:val="18"/>
                <w:szCs w:val="18"/>
              </w:rPr>
              <w:t xml:space="preserve">3 пункта, с намаляване спрямо изходното ниво на </w:t>
            </w:r>
            <w:r w:rsidR="00EA3FF7">
              <w:rPr>
                <w:sz w:val="18"/>
                <w:szCs w:val="18"/>
              </w:rPr>
              <w:t>подскор</w:t>
            </w:r>
            <w:r>
              <w:rPr>
                <w:sz w:val="18"/>
                <w:szCs w:val="18"/>
              </w:rPr>
              <w:t>а за ректално кървене ≥</w:t>
            </w:r>
            <w:r>
              <w:rPr>
                <w:sz w:val="18"/>
                <w:szCs w:val="18"/>
                <w:lang w:val="en-AU"/>
              </w:rPr>
              <w:t> </w:t>
            </w:r>
            <w:r>
              <w:rPr>
                <w:sz w:val="18"/>
                <w:szCs w:val="18"/>
              </w:rPr>
              <w:t xml:space="preserve">1 или </w:t>
            </w:r>
            <w:r w:rsidR="00EA3FF7">
              <w:rPr>
                <w:sz w:val="18"/>
                <w:szCs w:val="18"/>
              </w:rPr>
              <w:t>подскор</w:t>
            </w:r>
            <w:r>
              <w:rPr>
                <w:sz w:val="18"/>
                <w:szCs w:val="18"/>
              </w:rPr>
              <w:t xml:space="preserve"> за ректално кървене 0 или 1.</w:t>
            </w:r>
          </w:p>
          <w:p w14:paraId="109ACBA3" w14:textId="77777777" w:rsidR="009B3384" w:rsidRDefault="00800862">
            <w:pPr>
              <w:widowControl w:val="0"/>
              <w:ind w:left="284" w:hanging="284"/>
              <w:rPr>
                <w:sz w:val="18"/>
                <w:szCs w:val="18"/>
              </w:rPr>
            </w:pPr>
            <w:r>
              <w:rPr>
                <w:szCs w:val="22"/>
                <w:vertAlign w:val="superscript"/>
              </w:rPr>
              <w:t>¥</w:t>
            </w:r>
            <w:r>
              <w:rPr>
                <w:szCs w:val="22"/>
                <w:vertAlign w:val="superscript"/>
              </w:rPr>
              <w:tab/>
            </w:r>
            <w:r>
              <w:rPr>
                <w:sz w:val="18"/>
                <w:szCs w:val="18"/>
              </w:rPr>
              <w:t>Антагонист на TNFα и/или ведолизумаб.</w:t>
            </w:r>
          </w:p>
          <w:p w14:paraId="109ACBA4" w14:textId="589F6B0B" w:rsidR="009B3384" w:rsidRDefault="00800862">
            <w:pPr>
              <w:widowControl w:val="0"/>
              <w:ind w:left="284" w:hanging="284"/>
              <w:rPr>
                <w:rFonts w:eastAsia="TimesNewRoman"/>
                <w:sz w:val="18"/>
                <w:szCs w:val="18"/>
                <w:lang w:eastAsia="zh-CN"/>
              </w:rPr>
            </w:pPr>
            <w:r>
              <w:rPr>
                <w:szCs w:val="18"/>
                <w:vertAlign w:val="superscript"/>
              </w:rPr>
              <w:t>†</w:t>
            </w:r>
            <w:r>
              <w:rPr>
                <w:szCs w:val="18"/>
                <w:vertAlign w:val="superscript"/>
              </w:rPr>
              <w:tab/>
            </w:r>
            <w:r>
              <w:rPr>
                <w:rFonts w:eastAsia="TimesNewRoman"/>
                <w:sz w:val="18"/>
                <w:szCs w:val="18"/>
                <w:lang w:eastAsia="zh-CN"/>
              </w:rPr>
              <w:t xml:space="preserve">Лигавичното оздравяване се определя като ендоскопски </w:t>
            </w:r>
            <w:r w:rsidR="00EA3FF7">
              <w:rPr>
                <w:rFonts w:eastAsia="TimesNewRoman"/>
                <w:sz w:val="18"/>
                <w:szCs w:val="18"/>
                <w:lang w:eastAsia="zh-CN"/>
              </w:rPr>
              <w:t>подскор</w:t>
            </w:r>
            <w:r>
              <w:rPr>
                <w:rFonts w:eastAsia="TimesNewRoman"/>
                <w:sz w:val="18"/>
                <w:szCs w:val="18"/>
                <w:lang w:eastAsia="zh-CN"/>
              </w:rPr>
              <w:t xml:space="preserve"> по Mayo 0 или 1.</w:t>
            </w:r>
          </w:p>
          <w:p w14:paraId="109ACBA5" w14:textId="6D81C065" w:rsidR="009B3384" w:rsidRDefault="00800862">
            <w:pPr>
              <w:widowControl w:val="0"/>
              <w:ind w:left="284" w:hanging="284"/>
              <w:rPr>
                <w:rFonts w:eastAsia="TimesNewRoman"/>
                <w:sz w:val="18"/>
                <w:szCs w:val="18"/>
                <w:lang w:eastAsia="zh-CN"/>
              </w:rPr>
            </w:pPr>
            <w:r>
              <w:rPr>
                <w:rFonts w:eastAsia="TimesNewRoman"/>
                <w:szCs w:val="18"/>
                <w:vertAlign w:val="superscript"/>
                <w:lang w:eastAsia="zh-CN"/>
              </w:rPr>
              <w:t>£</w:t>
            </w:r>
            <w:r>
              <w:rPr>
                <w:rFonts w:eastAsia="TimesNewRoman"/>
                <w:szCs w:val="18"/>
                <w:vertAlign w:val="superscript"/>
                <w:lang w:eastAsia="zh-CN"/>
              </w:rPr>
              <w:tab/>
            </w:r>
            <w:r>
              <w:rPr>
                <w:rFonts w:eastAsia="TimesNewRoman"/>
                <w:sz w:val="18"/>
                <w:szCs w:val="18"/>
                <w:lang w:eastAsia="zh-CN"/>
              </w:rPr>
              <w:t>Поддържането на клинична ремисия до седмица</w:t>
            </w:r>
            <w:ins w:id="135" w:author="RABG09" w:date="2026-05-14T10:57:00Z">
              <w:r w:rsidR="002E27CE">
                <w:rPr>
                  <w:rFonts w:eastAsia="TimesNewRoman"/>
                  <w:sz w:val="18"/>
                  <w:szCs w:val="18"/>
                  <w:lang w:eastAsia="zh-CN"/>
                </w:rPr>
                <w:t> </w:t>
              </w:r>
            </w:ins>
            <w:del w:id="136" w:author="RABG09" w:date="2026-05-14T10:57:00Z">
              <w:r w:rsidDel="002E27CE">
                <w:rPr>
                  <w:rFonts w:eastAsia="TimesNewRoman"/>
                  <w:sz w:val="18"/>
                  <w:szCs w:val="18"/>
                  <w:lang w:eastAsia="zh-CN"/>
                </w:rPr>
                <w:delText xml:space="preserve"> </w:delText>
              </w:r>
            </w:del>
            <w:r>
              <w:rPr>
                <w:rFonts w:eastAsia="TimesNewRoman"/>
                <w:sz w:val="18"/>
                <w:szCs w:val="18"/>
                <w:lang w:eastAsia="zh-CN"/>
              </w:rPr>
              <w:t>44 е определено като пациенти в клинична ремисия до седмица 44 сред пациентите в клинична ремисия на изходното ниво на поддържащата фаза.</w:t>
            </w:r>
          </w:p>
          <w:p w14:paraId="109ACBA6" w14:textId="0708324E" w:rsidR="009B3384" w:rsidRDefault="00800862">
            <w:pPr>
              <w:widowControl w:val="0"/>
              <w:ind w:left="284" w:hanging="284"/>
              <w:rPr>
                <w:rFonts w:eastAsia="TimesNewRoman"/>
                <w:sz w:val="18"/>
                <w:szCs w:val="18"/>
                <w:lang w:eastAsia="zh-CN"/>
              </w:rPr>
            </w:pPr>
            <w:r>
              <w:rPr>
                <w:rFonts w:eastAsia="TimesNewRoman"/>
                <w:szCs w:val="18"/>
                <w:vertAlign w:val="superscript"/>
                <w:lang w:eastAsia="zh-CN"/>
              </w:rPr>
              <w:t>€</w:t>
            </w:r>
            <w:r>
              <w:rPr>
                <w:rFonts w:eastAsia="TimesNewRoman"/>
                <w:szCs w:val="18"/>
                <w:vertAlign w:val="superscript"/>
                <w:lang w:eastAsia="zh-CN"/>
              </w:rPr>
              <w:tab/>
            </w:r>
            <w:r>
              <w:rPr>
                <w:rFonts w:eastAsia="TimesNewRoman"/>
                <w:sz w:val="18"/>
                <w:szCs w:val="18"/>
                <w:lang w:eastAsia="zh-CN"/>
              </w:rPr>
              <w:t>Клиничната ремисия без кортикостероид се определя като пациенти в клинична ремисия, които не получават кортикостероиди на седмица 44.</w:t>
            </w:r>
          </w:p>
          <w:p w14:paraId="109ACBA7" w14:textId="54D3D62F"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Продължителната ремисия се определя като частична ремисия по Mayo при ≥</w:t>
            </w:r>
            <w:r>
              <w:rPr>
                <w:sz w:val="18"/>
                <w:szCs w:val="18"/>
                <w:lang w:val="en-AU"/>
              </w:rPr>
              <w:t> </w:t>
            </w:r>
            <w:r>
              <w:rPr>
                <w:sz w:val="18"/>
                <w:szCs w:val="18"/>
              </w:rPr>
              <w:t>80% при всички визити преди седмица</w:t>
            </w:r>
            <w:del w:id="137" w:author="RABG09" w:date="2026-05-14T10:57:00Z">
              <w:r w:rsidDel="002E27CE">
                <w:rPr>
                  <w:sz w:val="18"/>
                  <w:szCs w:val="18"/>
                </w:rPr>
                <w:delText xml:space="preserve"> </w:delText>
              </w:r>
            </w:del>
            <w:ins w:id="138" w:author="RABG09" w:date="2026-05-14T10:57:00Z">
              <w:r w:rsidR="002E27CE">
                <w:rPr>
                  <w:sz w:val="18"/>
                  <w:szCs w:val="18"/>
                </w:rPr>
                <w:t> </w:t>
              </w:r>
            </w:ins>
            <w:r>
              <w:rPr>
                <w:sz w:val="18"/>
                <w:szCs w:val="18"/>
              </w:rPr>
              <w:t>44 и частична ремисия по Mayo при последната визита (седмица</w:t>
            </w:r>
            <w:ins w:id="139" w:author="RABG09" w:date="2026-05-14T10:57:00Z">
              <w:r w:rsidR="002E27CE">
                <w:rPr>
                  <w:sz w:val="18"/>
                  <w:szCs w:val="18"/>
                </w:rPr>
                <w:t> </w:t>
              </w:r>
            </w:ins>
            <w:del w:id="140" w:author="RABG09" w:date="2026-05-14T10:57:00Z">
              <w:r w:rsidDel="002E27CE">
                <w:rPr>
                  <w:sz w:val="18"/>
                  <w:szCs w:val="18"/>
                </w:rPr>
                <w:delText xml:space="preserve"> </w:delText>
              </w:r>
            </w:del>
            <w:r>
              <w:rPr>
                <w:sz w:val="18"/>
                <w:szCs w:val="18"/>
              </w:rPr>
              <w:t>44).</w:t>
            </w:r>
          </w:p>
          <w:p w14:paraId="109ACBA8" w14:textId="340D832B"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Симптоматичната ремисия се определя като </w:t>
            </w:r>
            <w:r w:rsidR="00EA3FF7">
              <w:rPr>
                <w:sz w:val="18"/>
                <w:szCs w:val="18"/>
              </w:rPr>
              <w:t>подскор</w:t>
            </w:r>
            <w:r>
              <w:rPr>
                <w:sz w:val="18"/>
                <w:szCs w:val="18"/>
              </w:rPr>
              <w:t xml:space="preserve"> по </w:t>
            </w:r>
            <w:r>
              <w:rPr>
                <w:sz w:val="18"/>
                <w:szCs w:val="18"/>
                <w:lang w:val="en-US"/>
              </w:rPr>
              <w:t>Mayo</w:t>
            </w:r>
            <w:r>
              <w:rPr>
                <w:sz w:val="18"/>
                <w:szCs w:val="18"/>
              </w:rPr>
              <w:t xml:space="preserve"> за честота на дефекацията </w:t>
            </w:r>
            <w:r>
              <w:rPr>
                <w:rFonts w:eastAsia="TimesNewRoman"/>
                <w:sz w:val="18"/>
                <w:szCs w:val="18"/>
                <w:lang w:eastAsia="zh-CN"/>
              </w:rPr>
              <w:t>0 или 1</w:t>
            </w:r>
            <w:r>
              <w:rPr>
                <w:sz w:val="18"/>
                <w:szCs w:val="18"/>
              </w:rPr>
              <w:t xml:space="preserve"> и </w:t>
            </w:r>
            <w:r w:rsidR="00EA3FF7">
              <w:rPr>
                <w:sz w:val="18"/>
                <w:szCs w:val="18"/>
              </w:rPr>
              <w:t>подскор</w:t>
            </w:r>
            <w:r>
              <w:rPr>
                <w:sz w:val="18"/>
                <w:szCs w:val="18"/>
              </w:rPr>
              <w:t xml:space="preserve"> за ректално кървене 0.</w:t>
            </w:r>
          </w:p>
          <w:p w14:paraId="109ACBA9" w14:textId="5CF602D4" w:rsidR="009B3384" w:rsidRDefault="00800862">
            <w:pPr>
              <w:widowControl w:val="0"/>
              <w:ind w:left="284" w:hanging="284"/>
              <w:rPr>
                <w:sz w:val="18"/>
                <w:szCs w:val="18"/>
              </w:rPr>
            </w:pPr>
            <w:r>
              <w:rPr>
                <w:szCs w:val="18"/>
                <w:vertAlign w:val="superscript"/>
                <w:lang w:val="en-US"/>
              </w:rPr>
              <w:t>⸸</w:t>
            </w:r>
            <w:r>
              <w:rPr>
                <w:szCs w:val="18"/>
                <w:vertAlign w:val="superscript"/>
              </w:rPr>
              <w:tab/>
            </w:r>
            <w:r>
              <w:rPr>
                <w:sz w:val="18"/>
                <w:szCs w:val="18"/>
              </w:rPr>
              <w:t xml:space="preserve">Комбинацията от симптоматична ремисия и лигавично оздравяване се определя като </w:t>
            </w:r>
            <w:r w:rsidR="00EA3FF7">
              <w:rPr>
                <w:sz w:val="18"/>
                <w:szCs w:val="18"/>
              </w:rPr>
              <w:t>подскор</w:t>
            </w:r>
            <w:r>
              <w:rPr>
                <w:sz w:val="18"/>
                <w:szCs w:val="18"/>
              </w:rPr>
              <w:t xml:space="preserve"> за честота на дефекацията </w:t>
            </w:r>
            <w:r>
              <w:rPr>
                <w:rFonts w:eastAsia="TimesNewRoman"/>
                <w:sz w:val="18"/>
                <w:szCs w:val="18"/>
                <w:lang w:eastAsia="zh-CN"/>
              </w:rPr>
              <w:t xml:space="preserve">0 или </w:t>
            </w:r>
            <w:r>
              <w:rPr>
                <w:sz w:val="18"/>
                <w:szCs w:val="18"/>
              </w:rPr>
              <w:t xml:space="preserve">1, </w:t>
            </w:r>
            <w:r w:rsidR="00EA3FF7">
              <w:rPr>
                <w:sz w:val="18"/>
                <w:szCs w:val="18"/>
              </w:rPr>
              <w:t>подскор</w:t>
            </w:r>
            <w:r>
              <w:rPr>
                <w:sz w:val="18"/>
                <w:szCs w:val="18"/>
              </w:rPr>
              <w:t xml:space="preserve"> за ректално кървене 0 и ендоскопски </w:t>
            </w:r>
            <w:r w:rsidR="00EA3FF7">
              <w:rPr>
                <w:sz w:val="18"/>
                <w:szCs w:val="18"/>
              </w:rPr>
              <w:t>подскор</w:t>
            </w:r>
            <w:r>
              <w:rPr>
                <w:sz w:val="18"/>
                <w:szCs w:val="18"/>
              </w:rPr>
              <w:t xml:space="preserve"> 0 или 1.</w:t>
            </w:r>
          </w:p>
          <w:p w14:paraId="109ACBAA"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CBAB" w14:textId="77777777" w:rsidR="009B3384" w:rsidRDefault="00800862">
            <w:pPr>
              <w:widowControl w:val="0"/>
              <w:tabs>
                <w:tab w:val="left" w:pos="288"/>
              </w:tabs>
              <w:ind w:left="284" w:hanging="284"/>
              <w:rPr>
                <w:sz w:val="18"/>
                <w:szCs w:val="18"/>
              </w:rPr>
            </w:pPr>
            <w:r>
              <w:rPr>
                <w:szCs w:val="18"/>
                <w:vertAlign w:val="superscript"/>
              </w:rPr>
              <w:t>б</w:t>
            </w:r>
            <w:r>
              <w:rPr>
                <w:szCs w:val="18"/>
                <w:vertAlign w:val="superscript"/>
              </w:rPr>
              <w:tab/>
            </w:r>
            <w:r>
              <w:rPr>
                <w:sz w:val="18"/>
                <w:szCs w:val="18"/>
              </w:rPr>
              <w:t>p &lt; 0,05</w:t>
            </w:r>
          </w:p>
          <w:p w14:paraId="109ACBAC" w14:textId="77777777" w:rsidR="009B3384" w:rsidRDefault="00800862">
            <w:pPr>
              <w:widowControl w:val="0"/>
              <w:tabs>
                <w:tab w:val="left" w:pos="288"/>
              </w:tabs>
              <w:ind w:left="284" w:hanging="284"/>
              <w:rPr>
                <w:sz w:val="18"/>
                <w:szCs w:val="18"/>
              </w:rPr>
            </w:pPr>
            <w:r>
              <w:rPr>
                <w:szCs w:val="18"/>
                <w:vertAlign w:val="superscript"/>
              </w:rPr>
              <w:t>в</w:t>
            </w:r>
            <w:r>
              <w:rPr>
                <w:szCs w:val="18"/>
                <w:vertAlign w:val="superscript"/>
              </w:rPr>
              <w:tab/>
            </w:r>
            <w:r>
              <w:rPr>
                <w:sz w:val="18"/>
                <w:szCs w:val="18"/>
              </w:rPr>
              <w:t>Номинално значимо (p</w:t>
            </w:r>
            <w:r>
              <w:rPr>
                <w:sz w:val="18"/>
                <w:szCs w:val="18"/>
                <w:lang w:val="en-AU"/>
              </w:rPr>
              <w:t> </w:t>
            </w:r>
            <w:r>
              <w:rPr>
                <w:sz w:val="18"/>
                <w:szCs w:val="18"/>
              </w:rPr>
              <w:t>&lt;</w:t>
            </w:r>
            <w:r>
              <w:rPr>
                <w:sz w:val="18"/>
                <w:szCs w:val="18"/>
                <w:lang w:val="en-AU"/>
              </w:rPr>
              <w:t> </w:t>
            </w:r>
            <w:r>
              <w:rPr>
                <w:sz w:val="18"/>
                <w:szCs w:val="18"/>
              </w:rPr>
              <w:t>0,001)</w:t>
            </w:r>
          </w:p>
          <w:p w14:paraId="109ACBAD" w14:textId="77777777" w:rsidR="009B3384" w:rsidRDefault="00800862">
            <w:pPr>
              <w:widowControl w:val="0"/>
              <w:tabs>
                <w:tab w:val="left" w:pos="288"/>
              </w:tabs>
              <w:ind w:left="284" w:hanging="284"/>
              <w:rPr>
                <w:sz w:val="18"/>
                <w:szCs w:val="18"/>
              </w:rPr>
            </w:pPr>
            <w:r>
              <w:rPr>
                <w:szCs w:val="18"/>
                <w:vertAlign w:val="superscript"/>
              </w:rPr>
              <w:t>г</w:t>
            </w:r>
            <w:r>
              <w:rPr>
                <w:szCs w:val="18"/>
                <w:vertAlign w:val="superscript"/>
              </w:rPr>
              <w:tab/>
            </w:r>
            <w:r>
              <w:rPr>
                <w:sz w:val="18"/>
                <w:szCs w:val="18"/>
              </w:rPr>
              <w:t>Номинално значимо (p</w:t>
            </w:r>
            <w:r>
              <w:rPr>
                <w:sz w:val="18"/>
                <w:szCs w:val="18"/>
                <w:lang w:val="en-AU"/>
              </w:rPr>
              <w:t> </w:t>
            </w:r>
            <w:r>
              <w:rPr>
                <w:sz w:val="18"/>
                <w:szCs w:val="18"/>
              </w:rPr>
              <w:t>&lt;</w:t>
            </w:r>
            <w:r>
              <w:rPr>
                <w:sz w:val="18"/>
                <w:szCs w:val="18"/>
                <w:lang w:val="en-AU"/>
              </w:rPr>
              <w:t> </w:t>
            </w:r>
            <w:r>
              <w:rPr>
                <w:sz w:val="18"/>
                <w:szCs w:val="18"/>
              </w:rPr>
              <w:t>0,05)</w:t>
            </w:r>
          </w:p>
          <w:p w14:paraId="109ACBAE" w14:textId="77777777" w:rsidR="009B3384" w:rsidRDefault="00800862">
            <w:pPr>
              <w:widowControl w:val="0"/>
              <w:tabs>
                <w:tab w:val="left" w:pos="288"/>
              </w:tabs>
              <w:ind w:left="284" w:hanging="284"/>
              <w:rPr>
                <w:sz w:val="18"/>
                <w:szCs w:val="18"/>
              </w:rPr>
            </w:pPr>
            <w:r>
              <w:rPr>
                <w:szCs w:val="18"/>
                <w:vertAlign w:val="superscript"/>
              </w:rPr>
              <w:t>д</w:t>
            </w:r>
            <w:r>
              <w:rPr>
                <w:szCs w:val="18"/>
                <w:vertAlign w:val="superscript"/>
              </w:rPr>
              <w:tab/>
            </w:r>
            <w:r>
              <w:rPr>
                <w:sz w:val="18"/>
                <w:szCs w:val="18"/>
              </w:rPr>
              <w:t>Без статистическа значимост</w:t>
            </w:r>
          </w:p>
        </w:tc>
      </w:tr>
    </w:tbl>
    <w:p w14:paraId="109ACBB0" w14:textId="77777777" w:rsidR="009B3384" w:rsidRDefault="009B3384">
      <w:pPr>
        <w:rPr>
          <w:rFonts w:eastAsia="TimesNewRoman"/>
          <w:lang w:eastAsia="zh-CN"/>
        </w:rPr>
      </w:pPr>
    </w:p>
    <w:p w14:paraId="109ACBB1" w14:textId="77777777" w:rsidR="009B3384" w:rsidRDefault="00800862">
      <w:pPr>
        <w:rPr>
          <w:rFonts w:eastAsia="TimesNewRoman"/>
          <w:lang w:eastAsia="zh-CN"/>
        </w:rPr>
      </w:pPr>
      <w:r>
        <w:rPr>
          <w:rFonts w:eastAsia="TimesNewRoman"/>
          <w:lang w:eastAsia="zh-CN"/>
        </w:rPr>
        <w:t xml:space="preserve">Благоприятният ефект на </w:t>
      </w:r>
      <w:r>
        <w:t xml:space="preserve">устекинумаб </w:t>
      </w:r>
      <w:r>
        <w:rPr>
          <w:rFonts w:eastAsia="TimesNewRoman"/>
          <w:lang w:eastAsia="zh-CN"/>
        </w:rPr>
        <w:t>върху клиничния отговор, лигавичното оздравяване и клиничната ремисия е наблюдаван при индукция и поддържащо лечение както при пациентите с неуспешна конвенционална, но не и биологична терапия, така и при пациентите с най-малко една предшестваща неуспешна терапия с антагонист на TNFα, включително при пациенти, които първично не са се повлияли от терапия с антагонист на TNFα. Благоприятен ефект е наблюдаван също и при индукция при пациенти с най-малко една неуспешна предшестваща терапия с антагонист на TNFα и ведолизумаб, но броят на пациентите в тази подгрупа е твърде малък, за да се направят категорични заключения относно благоприятния ефект по време на поддържащата терапия в тази група.</w:t>
      </w:r>
    </w:p>
    <w:p w14:paraId="109ACBB2" w14:textId="77777777" w:rsidR="009B3384" w:rsidRDefault="009B3384"/>
    <w:p w14:paraId="109ACBB3" w14:textId="73E1260F" w:rsidR="009B3384" w:rsidRDefault="00800862">
      <w:pPr>
        <w:keepNext/>
        <w:rPr>
          <w:i/>
        </w:rPr>
      </w:pPr>
      <w:r>
        <w:rPr>
          <w:i/>
        </w:rPr>
        <w:t>Пациенти, повлияващи се от индукция с устекинумаб на седмица 16</w:t>
      </w:r>
    </w:p>
    <w:p w14:paraId="109ACBB4" w14:textId="1F7DFF1E" w:rsidR="009B3384" w:rsidRDefault="00800862">
      <w:r>
        <w:t>На пациентите, лекувани с устекинумаб, които не са получили отговор на седмица 8 в UNIFI-I, е приложен 90 mg устекинумаб s.c. на седмица 8 (36% от пациентите). От тях 9% от пациентите, които първоначално са рандомизирани за получаване на препоръчителната индукционна доза, постигат клинична ремисия, а 58% постигат клиничен отговор на седмица 16.</w:t>
      </w:r>
    </w:p>
    <w:p w14:paraId="109ACBB5" w14:textId="77777777" w:rsidR="009B3384" w:rsidRDefault="009B3384"/>
    <w:p w14:paraId="109ACBB6" w14:textId="77777777" w:rsidR="009B3384" w:rsidRDefault="00800862">
      <w:pPr>
        <w:rPr>
          <w:szCs w:val="22"/>
        </w:rPr>
      </w:pPr>
      <w:r>
        <w:rPr>
          <w:szCs w:val="22"/>
        </w:rPr>
        <w:t xml:space="preserve">Пациентите без клиничен отговор към индукция с </w:t>
      </w:r>
      <w:r>
        <w:t xml:space="preserve">устекинумаб </w:t>
      </w:r>
      <w:r>
        <w:rPr>
          <w:szCs w:val="22"/>
        </w:rPr>
        <w:t>на седмица 8 в проучването UNFI-I, но с отговор на седмица 16 (157 пациенти), са включени в нерандомизираната част на UNIFI-M и са продължили да получават поддържаща доза на всеки 8 седмици; повечето от тези пациенти (62%) поддържат отговора, а 30% постигат ремисия на седмица 44.</w:t>
      </w:r>
    </w:p>
    <w:p w14:paraId="109ACBB7" w14:textId="77777777" w:rsidR="009B3384" w:rsidRDefault="009B3384">
      <w:pPr>
        <w:suppressAutoHyphens w:val="0"/>
      </w:pPr>
    </w:p>
    <w:p w14:paraId="109ACBB8" w14:textId="77777777" w:rsidR="009B3384" w:rsidRDefault="00800862">
      <w:pPr>
        <w:keepNext/>
        <w:suppressAutoHyphens w:val="0"/>
        <w:rPr>
          <w:i/>
        </w:rPr>
      </w:pPr>
      <w:r>
        <w:rPr>
          <w:i/>
        </w:rPr>
        <w:t>Продължение на проучването</w:t>
      </w:r>
    </w:p>
    <w:p w14:paraId="109ACBB9" w14:textId="77777777" w:rsidR="009B3384" w:rsidRDefault="00800862">
      <w:pPr>
        <w:suppressAutoHyphens w:val="0"/>
        <w:rPr>
          <w:szCs w:val="24"/>
        </w:rPr>
      </w:pPr>
      <w:r>
        <w:rPr>
          <w:szCs w:val="24"/>
        </w:rPr>
        <w:t>В UNIFI пациентите, завършили проучването до седмица 44, са подходящи да продължат лечението в продължение на проучването</w:t>
      </w:r>
      <w:r>
        <w:rPr>
          <w:rFonts w:eastAsia="TimesNewRoman"/>
          <w:szCs w:val="24"/>
        </w:rPr>
        <w:t xml:space="preserve">. </w:t>
      </w:r>
      <w:bookmarkStart w:id="141" w:name="_Hlk42601709"/>
      <w:r>
        <w:rPr>
          <w:rFonts w:eastAsia="TimesNewRoman"/>
          <w:szCs w:val="24"/>
        </w:rPr>
        <w:t xml:space="preserve">Сред 400-те пациенти, които са включени на и лекувани с </w:t>
      </w:r>
      <w:r>
        <w:t>устекинумаб</w:t>
      </w:r>
      <w:r>
        <w:rPr>
          <w:rFonts w:eastAsia="TimesNewRoman"/>
          <w:szCs w:val="24"/>
        </w:rPr>
        <w:t xml:space="preserve"> на всеки 12 или 8 седмици в продължението на проучването, симптоматичната ремисия обикновено се запазва до 200-та седмица при пациенти, </w:t>
      </w:r>
      <w:r>
        <w:rPr>
          <w:szCs w:val="22"/>
        </w:rPr>
        <w:t>с неуспешна конвенционална (но не и биологична терапия)</w:t>
      </w:r>
      <w:r>
        <w:rPr>
          <w:rFonts w:eastAsia="TimesNewRoman"/>
          <w:szCs w:val="24"/>
        </w:rPr>
        <w:t xml:space="preserve"> и тези с неуспешна биологична терапия, включително тези с неуспех както с анти-TNF, така и с ведолизумаб</w:t>
      </w:r>
      <w:bookmarkEnd w:id="141"/>
      <w:r>
        <w:rPr>
          <w:szCs w:val="24"/>
        </w:rPr>
        <w:t>.</w:t>
      </w:r>
      <w:r>
        <w:t xml:space="preserve"> </w:t>
      </w:r>
      <w:r>
        <w:rPr>
          <w:szCs w:val="24"/>
        </w:rPr>
        <w:t xml:space="preserve">Сред пациентите, които са получили 4-годишно лечение с </w:t>
      </w:r>
      <w:r>
        <w:t>устекинумаб</w:t>
      </w:r>
      <w:r>
        <w:rPr>
          <w:szCs w:val="24"/>
        </w:rPr>
        <w:t xml:space="preserve"> и са оценени с помощта на пълния скор по Mayo за поддържане на седмица 200, съответно 74,2% (69/93) и 68,3% (41/60) поддържат заздравяването на лигавицата и клиничната ремисия.</w:t>
      </w:r>
    </w:p>
    <w:p w14:paraId="109ACBBA" w14:textId="77777777" w:rsidR="009B3384" w:rsidRDefault="009B3384">
      <w:pPr>
        <w:suppressAutoHyphens w:val="0"/>
        <w:rPr>
          <w:szCs w:val="24"/>
        </w:rPr>
      </w:pPr>
    </w:p>
    <w:p w14:paraId="109ACBBB" w14:textId="77777777" w:rsidR="009B3384" w:rsidRDefault="00800862">
      <w:pPr>
        <w:suppressAutoHyphens w:val="0"/>
        <w:rPr>
          <w:szCs w:val="24"/>
        </w:rPr>
      </w:pPr>
      <w:r>
        <w:rPr>
          <w:szCs w:val="24"/>
        </w:rPr>
        <w:lastRenderedPageBreak/>
        <w:t>Анализът за безопасност, включващ 457 пациенти (1289,9-пациентогодини), проследени до 220 седмици, показа, че профилът на безопасност между 44 и 220 седмица, е сравним с този, наблюдаван до 44-та седмица.</w:t>
      </w:r>
    </w:p>
    <w:p w14:paraId="109ACBBC" w14:textId="77777777" w:rsidR="009B3384" w:rsidRDefault="009B3384">
      <w:pPr>
        <w:suppressAutoHyphens w:val="0"/>
        <w:rPr>
          <w:szCs w:val="24"/>
        </w:rPr>
      </w:pPr>
    </w:p>
    <w:p w14:paraId="109ACBBD" w14:textId="77777777" w:rsidR="009B3384" w:rsidRDefault="00800862">
      <w:r>
        <w:t>Не са установени нови съображения за безопасност при това продължение на проучването при пациенти с улцерозен колит, лекувани до 4 години.</w:t>
      </w:r>
    </w:p>
    <w:p w14:paraId="109ACBBE" w14:textId="77777777" w:rsidR="009B3384" w:rsidRDefault="009B3384"/>
    <w:p w14:paraId="109ACBBF" w14:textId="77777777" w:rsidR="009B3384" w:rsidRDefault="00800862">
      <w:pPr>
        <w:keepNext/>
        <w:rPr>
          <w:i/>
        </w:rPr>
      </w:pPr>
      <w:r>
        <w:rPr>
          <w:i/>
        </w:rPr>
        <w:t>Ендоскопско нормализиране</w:t>
      </w:r>
    </w:p>
    <w:p w14:paraId="109ACBC0" w14:textId="516A4BB5" w:rsidR="009B3384" w:rsidRDefault="00800862">
      <w:r>
        <w:t xml:space="preserve">Ендоскопското нормализиране е определено като ендоскопски </w:t>
      </w:r>
      <w:r w:rsidR="00EA3FF7">
        <w:t>подскор</w:t>
      </w:r>
      <w:r>
        <w:t xml:space="preserve"> по Mayo 0 и е наблюдавано още на седмица 8 в UNIFI-I. На седмица 44 от UNIFI-M то се постига при 24% и 29% от пациентите, лекувани с устекинумаб съответно на всеки 12 или 8 седмици, в сравнение с 18% от пациентите в групата с плацебо.</w:t>
      </w:r>
    </w:p>
    <w:p w14:paraId="109ACBC1" w14:textId="77777777" w:rsidR="009B3384" w:rsidRDefault="009B3384"/>
    <w:p w14:paraId="109ACBC2" w14:textId="77777777" w:rsidR="009B3384" w:rsidRDefault="00800862">
      <w:pPr>
        <w:keepNext/>
        <w:rPr>
          <w:i/>
        </w:rPr>
      </w:pPr>
      <w:r>
        <w:rPr>
          <w:i/>
        </w:rPr>
        <w:t>Хистологично и хисто-ендоскопско лигавично оздравяване</w:t>
      </w:r>
    </w:p>
    <w:p w14:paraId="109ACBC3" w14:textId="01213115" w:rsidR="009B3384" w:rsidRDefault="00800862">
      <w:r>
        <w:t>Хистологичното оздравяване (определено като неутрофилна инфилтрация в &lt; 5% от криптите, без разрушаване на криптите и без ерозии, улцерации или гранулационна тъкан) е оценявано на седмица 8 в UNIFI-I и на седмица 44 в UNIFI-M. На седмица 8, след еднократна интравенозна индукционна доза, значимо по-голям процент пациенти в групата с препоръчителната доза постигат хистологично оздравяване (36%) в сравнение с пациентите в групата с плацебо (22%). На седмица 44 поддържане на този ефект се наблюдава при значимо повече пациенти с хистологично оздравяване в групите с устекинумаб на всяка12-та седмица (54%) и на всяка 8-ма седмица (59%) в сравнение с плацебо (33%).</w:t>
      </w:r>
    </w:p>
    <w:p w14:paraId="109ACBC4" w14:textId="77777777" w:rsidR="009B3384" w:rsidRDefault="009B3384"/>
    <w:p w14:paraId="109ACBC5" w14:textId="77777777" w:rsidR="009B3384" w:rsidRDefault="00800862">
      <w:r>
        <w:t>Комбинирана крайна точка – хисто-ендоскопско лигавично оздравяване, определено като участници с едновременно лигавично и хистологично оздравяване, е оценена на седмица 8 в UNIFI-I и на седмица 44 в UNIFI-M. Пациентите, получавали устекинумаб в препоръчителната доза, показват значимо подобрение на крайната точка, хисто-ендоскопско лигавично оздравяване на седмица 8, в групата с устекинумаб (18%) в сравнение с групата с плацебо (9%). На седмица 44 поддържане на този ефект се наблюдава при значимо повече пациенти с хисто-ендоскопско лигавично оздравяване в групите с устекинумаб на всяка 12-та седмица (39%) и на всяка 8-ма седмица (46%) в сравнение с плацебо (24%).</w:t>
      </w:r>
    </w:p>
    <w:p w14:paraId="109ACBC6" w14:textId="77777777" w:rsidR="009B3384" w:rsidRDefault="009B3384"/>
    <w:p w14:paraId="109ACBC7" w14:textId="77777777" w:rsidR="009B3384" w:rsidRDefault="00800862">
      <w:pPr>
        <w:keepNext/>
        <w:rPr>
          <w:szCs w:val="24"/>
        </w:rPr>
      </w:pPr>
      <w:r>
        <w:rPr>
          <w:i/>
          <w:szCs w:val="22"/>
        </w:rPr>
        <w:t>Качество на живот, свързано със здравето</w:t>
      </w:r>
    </w:p>
    <w:p w14:paraId="109ACBC8" w14:textId="77777777" w:rsidR="009B3384" w:rsidRDefault="00800862">
      <w:pPr>
        <w:rPr>
          <w:szCs w:val="22"/>
        </w:rPr>
      </w:pPr>
      <w:r>
        <w:rPr>
          <w:szCs w:val="24"/>
        </w:rPr>
        <w:t xml:space="preserve">Качеството на живот, свързано със здравето, е оценявано чрез </w:t>
      </w:r>
      <w:r>
        <w:rPr>
          <w:iCs/>
        </w:rPr>
        <w:t>Въпросник при възпалителни заболявания на червата (</w:t>
      </w:r>
      <w:r>
        <w:rPr>
          <w:szCs w:val="24"/>
        </w:rPr>
        <w:t xml:space="preserve">Inflammatory Bowel Disease Questionnaire, IBDQ) и въпросниците SF-36 и </w:t>
      </w:r>
      <w:proofErr w:type="spellStart"/>
      <w:r>
        <w:rPr>
          <w:szCs w:val="24"/>
          <w:lang w:val="en-US"/>
        </w:rPr>
        <w:t>EuroQoL</w:t>
      </w:r>
      <w:proofErr w:type="spellEnd"/>
      <w:r>
        <w:rPr>
          <w:szCs w:val="24"/>
        </w:rPr>
        <w:t>-5</w:t>
      </w:r>
      <w:r>
        <w:rPr>
          <w:szCs w:val="24"/>
          <w:lang w:val="en-US"/>
        </w:rPr>
        <w:t>D</w:t>
      </w:r>
      <w:r>
        <w:rPr>
          <w:szCs w:val="24"/>
        </w:rPr>
        <w:t xml:space="preserve"> (</w:t>
      </w:r>
      <w:r>
        <w:rPr>
          <w:szCs w:val="24"/>
          <w:lang w:val="en-US"/>
        </w:rPr>
        <w:t>EQ</w:t>
      </w:r>
      <w:r>
        <w:rPr>
          <w:szCs w:val="24"/>
        </w:rPr>
        <w:t>-5</w:t>
      </w:r>
      <w:r>
        <w:rPr>
          <w:szCs w:val="24"/>
          <w:lang w:val="en-US"/>
        </w:rPr>
        <w:t>D</w:t>
      </w:r>
      <w:r>
        <w:rPr>
          <w:szCs w:val="24"/>
        </w:rPr>
        <w:t>).</w:t>
      </w:r>
    </w:p>
    <w:p w14:paraId="109ACBC9" w14:textId="77777777" w:rsidR="009B3384" w:rsidRDefault="009B3384">
      <w:pPr>
        <w:rPr>
          <w:szCs w:val="22"/>
          <w:highlight w:val="green"/>
        </w:rPr>
      </w:pPr>
    </w:p>
    <w:p w14:paraId="109ACBCA" w14:textId="77777777" w:rsidR="009B3384" w:rsidRDefault="00800862">
      <w:pPr>
        <w:rPr>
          <w:szCs w:val="22"/>
        </w:rPr>
      </w:pPr>
      <w:r>
        <w:rPr>
          <w:szCs w:val="22"/>
        </w:rPr>
        <w:t xml:space="preserve">На седмица 8 в UNIFI-I пациентите, получавали </w:t>
      </w:r>
      <w:r>
        <w:t xml:space="preserve">устекинумаб, </w:t>
      </w:r>
      <w:r>
        <w:rPr>
          <w:szCs w:val="22"/>
        </w:rPr>
        <w:t xml:space="preserve">показват значимо по-голямо и клинично значимо подобрение на общия IBDQ скор, </w:t>
      </w:r>
      <w:r>
        <w:rPr>
          <w:szCs w:val="22"/>
          <w:lang w:val="en-US"/>
        </w:rPr>
        <w:t>EQ</w:t>
      </w:r>
      <w:r>
        <w:rPr>
          <w:szCs w:val="22"/>
        </w:rPr>
        <w:t>-5</w:t>
      </w:r>
      <w:r>
        <w:rPr>
          <w:szCs w:val="22"/>
          <w:lang w:val="en-US"/>
        </w:rPr>
        <w:t>D</w:t>
      </w:r>
      <w:r>
        <w:rPr>
          <w:szCs w:val="22"/>
        </w:rPr>
        <w:t xml:space="preserve"> и </w:t>
      </w:r>
      <w:r>
        <w:rPr>
          <w:szCs w:val="22"/>
          <w:lang w:val="en-US"/>
        </w:rPr>
        <w:t>EQ</w:t>
      </w:r>
      <w:r>
        <w:rPr>
          <w:szCs w:val="22"/>
        </w:rPr>
        <w:t>-5</w:t>
      </w:r>
      <w:r>
        <w:rPr>
          <w:szCs w:val="22"/>
          <w:lang w:val="en-US"/>
        </w:rPr>
        <w:t>D</w:t>
      </w:r>
      <w:r>
        <w:rPr>
          <w:szCs w:val="22"/>
        </w:rPr>
        <w:t xml:space="preserve"> </w:t>
      </w:r>
      <w:r>
        <w:rPr>
          <w:szCs w:val="22"/>
          <w:lang w:val="en-US"/>
        </w:rPr>
        <w:t>VAS</w:t>
      </w:r>
      <w:r>
        <w:rPr>
          <w:szCs w:val="22"/>
        </w:rPr>
        <w:t xml:space="preserve">, и SF-36 Mental Component Summary Score и SF-36 Physical Component Summary Score в сравнение с плацебо. Това подобрение се поддържа при пациентите, лекувани с </w:t>
      </w:r>
      <w:r>
        <w:t xml:space="preserve">устекинумаб, </w:t>
      </w:r>
      <w:r>
        <w:rPr>
          <w:szCs w:val="22"/>
        </w:rPr>
        <w:t>в UNIFI-M до седмица 44.</w:t>
      </w:r>
      <w:r>
        <w:rPr>
          <w:iCs/>
        </w:rPr>
        <w:t xml:space="preserve"> Подобрението на качеството на живот, измерено с </w:t>
      </w:r>
      <w:r>
        <w:t>IBDQ и SF-36</w:t>
      </w:r>
      <w:r>
        <w:rPr>
          <w:iCs/>
        </w:rPr>
        <w:t>, обикновено се поддържа през цялото продължение до седмица 200.</w:t>
      </w:r>
    </w:p>
    <w:p w14:paraId="109ACBCB" w14:textId="77777777" w:rsidR="009B3384" w:rsidRDefault="009B3384">
      <w:pPr>
        <w:rPr>
          <w:szCs w:val="22"/>
        </w:rPr>
      </w:pPr>
    </w:p>
    <w:p w14:paraId="109ACBCC" w14:textId="77777777" w:rsidR="009B3384" w:rsidRDefault="00800862">
      <w:pPr>
        <w:rPr>
          <w:szCs w:val="22"/>
        </w:rPr>
      </w:pPr>
      <w:r>
        <w:rPr>
          <w:szCs w:val="22"/>
        </w:rPr>
        <w:t xml:space="preserve">Пациентите, получавали </w:t>
      </w:r>
      <w:r>
        <w:t xml:space="preserve">устекинумаб, </w:t>
      </w:r>
      <w:r>
        <w:rPr>
          <w:szCs w:val="22"/>
        </w:rPr>
        <w:t>имат значимо по-голямо подобрение на продуктивността при работа, оценено чрез по-голямо намаляване на общото нарушение на работата и на нарушаването на активността, оценени чрез въпросника WPAI-GH, отколкото пациентите, получавали плацебо.</w:t>
      </w:r>
    </w:p>
    <w:p w14:paraId="109ACBCD" w14:textId="77777777" w:rsidR="009B3384" w:rsidRDefault="009B3384"/>
    <w:p w14:paraId="109ACBCE" w14:textId="77777777" w:rsidR="009B3384" w:rsidRDefault="00800862">
      <w:pPr>
        <w:keepNext/>
        <w:rPr>
          <w:i/>
        </w:rPr>
      </w:pPr>
      <w:r>
        <w:rPr>
          <w:i/>
        </w:rPr>
        <w:t>Хоспитализации и операции, свързани с улцерозен колит (УК)</w:t>
      </w:r>
    </w:p>
    <w:p w14:paraId="109ACBCF" w14:textId="77777777" w:rsidR="009B3384" w:rsidRDefault="00800862">
      <w:r>
        <w:t>До седмица 8 в UNIFI-I процентът на участниците с хоспитализации, свързани с УК, е значимо по-нисък при участниците в групата с препоръчителната доза устекинумаб (1,6%, 5/322) в сравнение с участниците в групата с плацебо (4,4%, 14/319), като никой от участниците, получавали устекинумаб в препоръчителната индукционна доза, не е подложен на операция, свързана с УК, в сравнение с 0,6% (2/319) от участниците в групата с плацебо.</w:t>
      </w:r>
    </w:p>
    <w:p w14:paraId="109ACBD0" w14:textId="77777777" w:rsidR="009B3384" w:rsidRDefault="009B3384"/>
    <w:p w14:paraId="109ACBD1" w14:textId="77777777" w:rsidR="009B3384" w:rsidRDefault="00800862">
      <w:r>
        <w:lastRenderedPageBreak/>
        <w:t>До седмица 44 в UNIFI-M значимо по-нисък брой хоспитализации, свързани с УК, е наблюдаван при участниците в комбинираната група с устекинумаб (2,0%, 7/348) в сравнение с участниците в групата с плацебо (5,7%, 10/175). Числено по-малък брой участници в групата с устекинумаб (0,6%, 2/348) са подложени на операция, свързана с УК, в сравнение с участниците в групата с плацебо (1,7%, 3/175) до седмица 44.</w:t>
      </w:r>
    </w:p>
    <w:p w14:paraId="109ACBD2" w14:textId="77777777" w:rsidR="009B3384" w:rsidRDefault="009B3384"/>
    <w:p w14:paraId="109ACBD3" w14:textId="77777777" w:rsidR="009B3384" w:rsidRDefault="00800862">
      <w:pPr>
        <w:keepNext/>
        <w:tabs>
          <w:tab w:val="clear" w:pos="567"/>
        </w:tabs>
        <w:rPr>
          <w:bCs/>
        </w:rPr>
      </w:pPr>
      <w:r>
        <w:rPr>
          <w:bCs/>
          <w:u w:val="single"/>
        </w:rPr>
        <w:t>Имуногенност</w:t>
      </w:r>
    </w:p>
    <w:p w14:paraId="109ACBD4" w14:textId="77777777" w:rsidR="009B3384" w:rsidRDefault="00800862">
      <w:r>
        <w:rPr>
          <w:bCs/>
        </w:rPr>
        <w:t xml:space="preserve">По време на лечение с устекинумаб могат да се развият антитела срещу устекинумаб и повечето от тях са неутрализиращи. Образуването на антитела срещу устекинумаб е свързано с повишен клирънс на устекинумаб при пациенти с болест на </w:t>
      </w:r>
      <w:r>
        <w:rPr>
          <w:bCs/>
          <w:lang w:val="en-GB"/>
        </w:rPr>
        <w:t>Crohn</w:t>
      </w:r>
      <w:r>
        <w:rPr>
          <w:bCs/>
        </w:rPr>
        <w:t xml:space="preserve"> или улцерозен колит. Не е наблюдавана намалена ефикасност. Не се наблюдава очевидна зависимост между наличието на антитела срещу устекинумаб и появата на реакции на мястото на инжектиране.</w:t>
      </w:r>
    </w:p>
    <w:p w14:paraId="109ACBD5" w14:textId="77777777" w:rsidR="009B3384" w:rsidRDefault="009B3384">
      <w:pPr>
        <w:rPr>
          <w:szCs w:val="24"/>
        </w:rPr>
      </w:pPr>
    </w:p>
    <w:p w14:paraId="109ACBD9" w14:textId="77777777" w:rsidR="009B3384" w:rsidRPr="00BC6A43" w:rsidRDefault="00800862">
      <w:pPr>
        <w:keepNext/>
        <w:widowControl w:val="0"/>
        <w:rPr>
          <w:i/>
          <w:u w:val="single"/>
        </w:rPr>
      </w:pPr>
      <w:bookmarkStart w:id="142" w:name="_Hlk188368936"/>
      <w:r w:rsidRPr="00BC6A43">
        <w:rPr>
          <w:i/>
          <w:u w:val="single"/>
        </w:rPr>
        <w:t>Болест на Crohn при деца</w:t>
      </w:r>
    </w:p>
    <w:p w14:paraId="109ACBDA" w14:textId="1C8DBE7B" w:rsidR="009B3384" w:rsidRDefault="00800862">
      <w:pPr>
        <w:rPr>
          <w:lang w:eastAsia="en-GB"/>
        </w:rPr>
      </w:pPr>
      <w:r>
        <w:rPr>
          <w:lang w:eastAsia="en-GB"/>
        </w:rPr>
        <w:t>Безопасността и ефикасността на устекинумаб са оценени при 101</w:t>
      </w:r>
      <w:r>
        <w:rPr>
          <w:lang w:val="en-US" w:eastAsia="en-GB"/>
        </w:rPr>
        <w:t> </w:t>
      </w:r>
      <w:r>
        <w:rPr>
          <w:lang w:eastAsia="en-GB"/>
        </w:rPr>
        <w:t xml:space="preserve">педиатрични пациенти </w:t>
      </w:r>
      <w:bookmarkStart w:id="143" w:name="_Hlk219652818"/>
      <w:r>
        <w:rPr>
          <w:lang w:eastAsia="en-GB"/>
        </w:rPr>
        <w:t xml:space="preserve">на 2 и повече години </w:t>
      </w:r>
      <w:bookmarkEnd w:id="143"/>
      <w:r>
        <w:rPr>
          <w:lang w:eastAsia="en-GB"/>
        </w:rPr>
        <w:t>и с тегло най-малко 10</w:t>
      </w:r>
      <w:r>
        <w:rPr>
          <w:lang w:val="en-US" w:eastAsia="en-GB"/>
        </w:rPr>
        <w:t> </w:t>
      </w:r>
      <w:r>
        <w:rPr>
          <w:lang w:eastAsia="en-GB"/>
        </w:rPr>
        <w:t>kg в многоцентрово проучване фаза</w:t>
      </w:r>
      <w:r>
        <w:rPr>
          <w:lang w:val="en-US" w:eastAsia="en-GB"/>
        </w:rPr>
        <w:t> </w:t>
      </w:r>
      <w:r>
        <w:rPr>
          <w:lang w:eastAsia="en-GB"/>
        </w:rPr>
        <w:t>3 (UNITI-Jr) за педиатрични пациенти с умерена до тежка активна болест на Crohn (дефинирана чрез Индекс на активността на болестта на Crohn [PCDAI] &gt;30) в продължение на 48</w:t>
      </w:r>
      <w:r>
        <w:rPr>
          <w:lang w:val="en-US" w:eastAsia="en-GB"/>
        </w:rPr>
        <w:t> </w:t>
      </w:r>
      <w:r>
        <w:rPr>
          <w:lang w:eastAsia="en-GB"/>
        </w:rPr>
        <w:t>седмици лечение (8</w:t>
      </w:r>
      <w:r>
        <w:rPr>
          <w:lang w:val="en-US" w:eastAsia="en-GB"/>
        </w:rPr>
        <w:t> </w:t>
      </w:r>
      <w:r>
        <w:rPr>
          <w:lang w:eastAsia="en-GB"/>
        </w:rPr>
        <w:t>седмици индукционно и 40</w:t>
      </w:r>
      <w:r>
        <w:rPr>
          <w:lang w:val="en-US" w:eastAsia="en-GB"/>
        </w:rPr>
        <w:t> </w:t>
      </w:r>
      <w:r>
        <w:rPr>
          <w:lang w:eastAsia="en-GB"/>
        </w:rPr>
        <w:t>седмици поддържащо лечение). Проучването включва 2 пациенти на възраст между 2 и 5 години и 18 пациенти на възраст между 6 и 11 години, 29 пациенти с тегло под 40</w:t>
      </w:r>
      <w:r>
        <w:rPr>
          <w:lang w:val="en-US" w:eastAsia="en-GB"/>
        </w:rPr>
        <w:t> </w:t>
      </w:r>
      <w:r>
        <w:rPr>
          <w:lang w:eastAsia="en-GB"/>
        </w:rPr>
        <w:t>kg, включително 11 пациенти с тегло под 30</w:t>
      </w:r>
      <w:r>
        <w:rPr>
          <w:lang w:val="en-US" w:eastAsia="en-GB"/>
        </w:rPr>
        <w:t> </w:t>
      </w:r>
      <w:r>
        <w:rPr>
          <w:lang w:eastAsia="en-GB"/>
        </w:rPr>
        <w:t>kg. Пациентите, включени в проучването, или не са имали достатъчен отговор, или са имали непоносимост към предходна биологична или конвенционална терапия за болестта на Crohn. Проучването включва открито индукционно лечение с единична интравенозна доза устекинумаб приблизително 6</w:t>
      </w:r>
      <w:r>
        <w:rPr>
          <w:lang w:val="en-US" w:eastAsia="en-GB"/>
        </w:rPr>
        <w:t> </w:t>
      </w:r>
      <w:r>
        <w:rPr>
          <w:lang w:eastAsia="en-GB"/>
        </w:rPr>
        <w:t xml:space="preserve">mg/kg </w:t>
      </w:r>
      <w:bookmarkStart w:id="144" w:name="_Hlk219653492"/>
      <w:r>
        <w:rPr>
          <w:lang w:eastAsia="en-GB"/>
        </w:rPr>
        <w:t>(пациенти с тегло най-малко 40</w:t>
      </w:r>
      <w:r>
        <w:rPr>
          <w:lang w:val="en-US" w:eastAsia="en-GB"/>
        </w:rPr>
        <w:t> </w:t>
      </w:r>
      <w:r>
        <w:rPr>
          <w:lang w:eastAsia="en-GB"/>
        </w:rPr>
        <w:t>kg) или 250</w:t>
      </w:r>
      <w:r>
        <w:rPr>
          <w:lang w:val="en-US" w:eastAsia="en-GB"/>
        </w:rPr>
        <w:t> </w:t>
      </w:r>
      <w:r>
        <w:rPr>
          <w:lang w:eastAsia="en-GB"/>
        </w:rPr>
        <w:t>mg/m</w:t>
      </w:r>
      <w:r w:rsidRPr="00BC6A43">
        <w:rPr>
          <w:vertAlign w:val="superscript"/>
          <w:lang w:eastAsia="en-GB"/>
        </w:rPr>
        <w:t>2</w:t>
      </w:r>
      <w:r>
        <w:rPr>
          <w:lang w:eastAsia="en-GB"/>
        </w:rPr>
        <w:t xml:space="preserve"> (пациенти с тегло под 40</w:t>
      </w:r>
      <w:r>
        <w:rPr>
          <w:lang w:val="en-US" w:eastAsia="en-GB"/>
        </w:rPr>
        <w:t> </w:t>
      </w:r>
      <w:r>
        <w:rPr>
          <w:lang w:eastAsia="en-GB"/>
        </w:rPr>
        <w:t>kg въз основа на BSA)</w:t>
      </w:r>
      <w:bookmarkEnd w:id="144"/>
      <w:r>
        <w:rPr>
          <w:lang w:eastAsia="en-GB"/>
        </w:rPr>
        <w:t xml:space="preserve"> (вж. точка</w:t>
      </w:r>
      <w:r>
        <w:rPr>
          <w:lang w:val="en-US" w:eastAsia="en-GB"/>
        </w:rPr>
        <w:t> </w:t>
      </w:r>
      <w:r>
        <w:rPr>
          <w:lang w:eastAsia="en-GB"/>
        </w:rPr>
        <w:t>4.2), последвано от рандомизирана двойносляпа поддържаща схема с подкожно приложение на 90</w:t>
      </w:r>
      <w:r>
        <w:rPr>
          <w:lang w:val="en-US" w:eastAsia="en-GB"/>
        </w:rPr>
        <w:t> </w:t>
      </w:r>
      <w:r>
        <w:rPr>
          <w:lang w:eastAsia="en-GB"/>
        </w:rPr>
        <w:t xml:space="preserve">mg устекинумаб </w:t>
      </w:r>
      <w:bookmarkStart w:id="145" w:name="_Hlk219653689"/>
      <w:r>
        <w:rPr>
          <w:lang w:eastAsia="en-GB"/>
        </w:rPr>
        <w:t>(пациенти с тегло най-малко 40</w:t>
      </w:r>
      <w:r>
        <w:rPr>
          <w:lang w:val="en-US" w:eastAsia="en-GB"/>
        </w:rPr>
        <w:t> </w:t>
      </w:r>
      <w:r>
        <w:rPr>
          <w:lang w:eastAsia="en-GB"/>
        </w:rPr>
        <w:t xml:space="preserve">kg) или </w:t>
      </w:r>
      <w:bookmarkStart w:id="146" w:name="_Hlk219654053"/>
      <w:r>
        <w:rPr>
          <w:lang w:eastAsia="en-GB"/>
        </w:rPr>
        <w:t>60</w:t>
      </w:r>
      <w:r>
        <w:rPr>
          <w:lang w:val="en-US" w:eastAsia="en-GB"/>
        </w:rPr>
        <w:t> </w:t>
      </w:r>
      <w:r>
        <w:rPr>
          <w:lang w:eastAsia="en-GB"/>
        </w:rPr>
        <w:t>mg/m</w:t>
      </w:r>
      <w:r>
        <w:rPr>
          <w:vertAlign w:val="superscript"/>
          <w:lang w:eastAsia="en-GB"/>
        </w:rPr>
        <w:t>2</w:t>
      </w:r>
      <w:r>
        <w:rPr>
          <w:lang w:eastAsia="en-GB"/>
        </w:rPr>
        <w:t xml:space="preserve"> </w:t>
      </w:r>
      <w:bookmarkEnd w:id="146"/>
      <w:r>
        <w:rPr>
          <w:lang w:eastAsia="en-GB"/>
        </w:rPr>
        <w:t>(пациенти с тегло под 40</w:t>
      </w:r>
      <w:r>
        <w:rPr>
          <w:lang w:val="en-US" w:eastAsia="en-GB"/>
        </w:rPr>
        <w:t> </w:t>
      </w:r>
      <w:r>
        <w:rPr>
          <w:lang w:eastAsia="en-GB"/>
        </w:rPr>
        <w:t>kg въз основа на BSA) (вж. Точка</w:t>
      </w:r>
      <w:r>
        <w:rPr>
          <w:lang w:val="en-US" w:eastAsia="en-GB"/>
        </w:rPr>
        <w:t> </w:t>
      </w:r>
      <w:r>
        <w:rPr>
          <w:lang w:eastAsia="en-GB"/>
        </w:rPr>
        <w:t>4.2 от КХП на STELARA инжекционен разтвор (флакон) и инжекционен разтвор в предварително напълнена спринцовка)</w:t>
      </w:r>
      <w:bookmarkEnd w:id="145"/>
      <w:r>
        <w:rPr>
          <w:lang w:eastAsia="en-GB"/>
        </w:rPr>
        <w:t xml:space="preserve"> на всеки 8</w:t>
      </w:r>
      <w:r>
        <w:rPr>
          <w:lang w:val="en-US" w:eastAsia="en-GB"/>
        </w:rPr>
        <w:t> </w:t>
      </w:r>
      <w:r>
        <w:rPr>
          <w:lang w:eastAsia="en-GB"/>
        </w:rPr>
        <w:t>седмици или на всеки 12</w:t>
      </w:r>
      <w:r>
        <w:rPr>
          <w:lang w:val="en-US" w:eastAsia="en-GB"/>
        </w:rPr>
        <w:t> </w:t>
      </w:r>
      <w:r>
        <w:rPr>
          <w:lang w:eastAsia="en-GB"/>
        </w:rPr>
        <w:t>седмици.</w:t>
      </w:r>
    </w:p>
    <w:p w14:paraId="109ACBDB" w14:textId="77777777" w:rsidR="009B3384" w:rsidRDefault="009B3384"/>
    <w:p w14:paraId="109ACBDC" w14:textId="77777777" w:rsidR="009B3384" w:rsidRDefault="00800862">
      <w:pPr>
        <w:keepNext/>
        <w:widowControl w:val="0"/>
        <w:rPr>
          <w:i/>
        </w:rPr>
      </w:pPr>
      <w:r>
        <w:rPr>
          <w:i/>
        </w:rPr>
        <w:t>Резултати за ефикасност</w:t>
      </w:r>
    </w:p>
    <w:p w14:paraId="109ACBDD" w14:textId="7EF4A6CB" w:rsidR="009B3384" w:rsidRDefault="00800862">
      <w:pPr>
        <w:rPr>
          <w:lang w:eastAsia="en-GB"/>
        </w:rPr>
      </w:pPr>
      <w:r>
        <w:rPr>
          <w:lang w:eastAsia="en-GB"/>
        </w:rPr>
        <w:t>Първичната крайна точка на проучването е клинична ремисия на седмица</w:t>
      </w:r>
      <w:r>
        <w:rPr>
          <w:lang w:val="en-US" w:eastAsia="en-GB"/>
        </w:rPr>
        <w:t> </w:t>
      </w:r>
      <w:r>
        <w:rPr>
          <w:lang w:eastAsia="en-GB"/>
        </w:rPr>
        <w:t xml:space="preserve">8 от индукцията (дефинирана като скор по PCDAI ≤ 10). Процентът на пациентите, постигнали клинична ремисия, е </w:t>
      </w:r>
      <w:bookmarkStart w:id="147" w:name="_Hlk219653756"/>
      <w:r>
        <w:rPr>
          <w:lang w:eastAsia="en-GB"/>
        </w:rPr>
        <w:t>46,5% (47/101</w:t>
      </w:r>
      <w:bookmarkEnd w:id="147"/>
      <w:r>
        <w:rPr>
          <w:lang w:eastAsia="en-GB"/>
        </w:rPr>
        <w:t>) и е сравним с този, наблюдаван в проучванията фаза</w:t>
      </w:r>
      <w:r>
        <w:rPr>
          <w:lang w:val="en-US" w:eastAsia="en-GB"/>
        </w:rPr>
        <w:t> </w:t>
      </w:r>
      <w:r>
        <w:rPr>
          <w:lang w:eastAsia="en-GB"/>
        </w:rPr>
        <w:t>3 на устекинумаб при възрастни.</w:t>
      </w:r>
    </w:p>
    <w:p w14:paraId="109ACBDE" w14:textId="77777777" w:rsidR="009B3384" w:rsidRDefault="009B3384">
      <w:pPr>
        <w:rPr>
          <w:lang w:eastAsia="en-GB"/>
        </w:rPr>
      </w:pPr>
    </w:p>
    <w:p w14:paraId="109ACBDF" w14:textId="039EBDF3" w:rsidR="009B3384" w:rsidRDefault="00800862">
      <w:pPr>
        <w:rPr>
          <w:lang w:eastAsia="en-GB"/>
        </w:rPr>
      </w:pPr>
      <w:r>
        <w:rPr>
          <w:lang w:eastAsia="en-GB"/>
        </w:rPr>
        <w:t>Клиничен отговор е наблюдаван още на седмица</w:t>
      </w:r>
      <w:r>
        <w:rPr>
          <w:lang w:val="en-US" w:eastAsia="en-GB"/>
        </w:rPr>
        <w:t> </w:t>
      </w:r>
      <w:r>
        <w:rPr>
          <w:lang w:eastAsia="en-GB"/>
        </w:rPr>
        <w:t>3. Процентът на пациентите с клиничен отговор на седмица</w:t>
      </w:r>
      <w:r>
        <w:rPr>
          <w:lang w:val="en-US" w:eastAsia="en-GB"/>
        </w:rPr>
        <w:t> </w:t>
      </w:r>
      <w:r>
        <w:rPr>
          <w:lang w:eastAsia="en-GB"/>
        </w:rPr>
        <w:t>8 (дефиниран като намаление спрямо изходното ниво на общия скор по PCDAI</w:t>
      </w:r>
      <w:r>
        <w:rPr>
          <w:lang w:val="en-US" w:eastAsia="en-GB"/>
        </w:rPr>
        <w:t> </w:t>
      </w:r>
      <w:r>
        <w:rPr>
          <w:lang w:eastAsia="en-GB"/>
        </w:rPr>
        <w:t>&gt;12,5</w:t>
      </w:r>
      <w:r>
        <w:rPr>
          <w:lang w:val="en-US" w:eastAsia="en-GB"/>
        </w:rPr>
        <w:t> </w:t>
      </w:r>
      <w:r>
        <w:rPr>
          <w:lang w:eastAsia="en-GB"/>
        </w:rPr>
        <w:t xml:space="preserve">точки с общ скор по PCDAI не повече от 30) е </w:t>
      </w:r>
      <w:bookmarkStart w:id="148" w:name="_Hlk219653808"/>
      <w:r>
        <w:rPr>
          <w:lang w:eastAsia="en-GB"/>
        </w:rPr>
        <w:t>84,2% (85/101</w:t>
      </w:r>
      <w:bookmarkEnd w:id="148"/>
      <w:r>
        <w:rPr>
          <w:lang w:eastAsia="en-GB"/>
        </w:rPr>
        <w:t>).</w:t>
      </w:r>
    </w:p>
    <w:p w14:paraId="109ACBE0" w14:textId="77777777" w:rsidR="009B3384" w:rsidRDefault="009B3384">
      <w:pPr>
        <w:rPr>
          <w:lang w:eastAsia="en-GB"/>
        </w:rPr>
      </w:pPr>
    </w:p>
    <w:p w14:paraId="109ACBE1" w14:textId="51F53E7A" w:rsidR="009B3384" w:rsidRDefault="00800862">
      <w:pPr>
        <w:rPr>
          <w:lang w:eastAsia="en-GB"/>
        </w:rPr>
      </w:pPr>
      <w:bookmarkStart w:id="149" w:name="_Hlk219653995"/>
      <w:r>
        <w:rPr>
          <w:lang w:eastAsia="en-GB"/>
        </w:rPr>
        <w:t xml:space="preserve">От 101 пациенти, получавали лечение с </w:t>
      </w:r>
      <w:proofErr w:type="spellStart"/>
      <w:r>
        <w:rPr>
          <w:lang w:val="en-US" w:eastAsia="en-GB"/>
        </w:rPr>
        <w:t>i</w:t>
      </w:r>
      <w:proofErr w:type="spellEnd"/>
      <w:r w:rsidRPr="00BC6A43">
        <w:rPr>
          <w:lang w:eastAsia="en-GB"/>
        </w:rPr>
        <w:t>.</w:t>
      </w:r>
      <w:r>
        <w:rPr>
          <w:lang w:val="en-US" w:eastAsia="en-GB"/>
        </w:rPr>
        <w:t>v</w:t>
      </w:r>
      <w:r w:rsidRPr="00BC6A43">
        <w:rPr>
          <w:lang w:eastAsia="en-GB"/>
        </w:rPr>
        <w:t>.</w:t>
      </w:r>
      <w:r>
        <w:rPr>
          <w:lang w:eastAsia="en-GB"/>
        </w:rPr>
        <w:t xml:space="preserve"> индукция, 97 (96,0%) се включват в поддържащия период, като 85 от тях се повлияват от индукцията.</w:t>
      </w:r>
    </w:p>
    <w:bookmarkEnd w:id="149"/>
    <w:p w14:paraId="109ACBE2" w14:textId="77777777" w:rsidR="009B3384" w:rsidRDefault="009B3384">
      <w:pPr>
        <w:rPr>
          <w:lang w:eastAsia="en-GB"/>
        </w:rPr>
      </w:pPr>
    </w:p>
    <w:p w14:paraId="109ACBE3" w14:textId="174CB667" w:rsidR="009B3384" w:rsidRDefault="00800862">
      <w:r>
        <w:rPr>
          <w:lang w:eastAsia="en-GB"/>
        </w:rPr>
        <w:t>В таблица</w:t>
      </w:r>
      <w:r>
        <w:rPr>
          <w:lang w:val="en-US" w:eastAsia="en-GB"/>
        </w:rPr>
        <w:t> </w:t>
      </w:r>
      <w:r w:rsidRPr="00BC6A43">
        <w:rPr>
          <w:lang w:eastAsia="en-GB"/>
        </w:rPr>
        <w:t>9</w:t>
      </w:r>
      <w:r>
        <w:rPr>
          <w:lang w:eastAsia="en-GB"/>
        </w:rPr>
        <w:t xml:space="preserve"> са представени анализите на вторичните крайни точки по време на поддържащата терапия до седмица</w:t>
      </w:r>
      <w:r>
        <w:rPr>
          <w:lang w:val="en-US" w:eastAsia="en-GB"/>
        </w:rPr>
        <w:t> </w:t>
      </w:r>
      <w:r>
        <w:rPr>
          <w:lang w:eastAsia="en-GB"/>
        </w:rPr>
        <w:t>44.</w:t>
      </w:r>
    </w:p>
    <w:p w14:paraId="109ACBE4" w14:textId="77777777" w:rsidR="009B3384" w:rsidRDefault="009B3384"/>
    <w:p w14:paraId="109ACBE5" w14:textId="4002CF4D" w:rsidR="009B3384" w:rsidRDefault="00800862">
      <w:pPr>
        <w:keepNext/>
        <w:ind w:left="1134" w:hanging="1134"/>
        <w:rPr>
          <w:i/>
          <w:iCs/>
        </w:rPr>
      </w:pPr>
      <w:r>
        <w:rPr>
          <w:i/>
          <w:iCs/>
        </w:rPr>
        <w:t>Таблица </w:t>
      </w:r>
      <w:r w:rsidRPr="00BC6A43">
        <w:rPr>
          <w:i/>
          <w:iCs/>
        </w:rPr>
        <w:t>9</w:t>
      </w:r>
      <w:r>
        <w:rPr>
          <w:i/>
          <w:iCs/>
        </w:rPr>
        <w:t>:</w:t>
      </w:r>
      <w:r>
        <w:rPr>
          <w:i/>
          <w:iCs/>
        </w:rPr>
        <w:tab/>
        <w:t>Резюме на вторичните крайни точки по време на поддържащото лечение седмица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9B3384" w14:paraId="109ACBEF" w14:textId="77777777">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CBE6" w14:textId="77777777" w:rsidR="009B3384" w:rsidRDefault="009B3384">
            <w:pPr>
              <w:keepNext/>
              <w:jc w:val="center"/>
              <w:rPr>
                <w:b/>
                <w:bCs/>
              </w:rPr>
            </w:pPr>
          </w:p>
        </w:tc>
        <w:tc>
          <w:tcPr>
            <w:tcW w:w="1836" w:type="dxa"/>
            <w:tcBorders>
              <w:top w:val="single" w:sz="6" w:space="0" w:color="auto"/>
              <w:left w:val="single" w:sz="6" w:space="0" w:color="auto"/>
              <w:bottom w:val="single" w:sz="6" w:space="0" w:color="auto"/>
              <w:right w:val="single" w:sz="6" w:space="0" w:color="auto"/>
            </w:tcBorders>
            <w:hideMark/>
          </w:tcPr>
          <w:p w14:paraId="109ACBE7" w14:textId="6CA7BBD7" w:rsidR="009B3384" w:rsidRDefault="00800862">
            <w:pPr>
              <w:keepNext/>
              <w:tabs>
                <w:tab w:val="clear" w:pos="567"/>
              </w:tabs>
              <w:jc w:val="center"/>
              <w:textAlignment w:val="baseline"/>
              <w:rPr>
                <w:b/>
                <w:bCs/>
                <w:szCs w:val="22"/>
                <w:lang w:eastAsia="en-GB"/>
              </w:rPr>
            </w:pPr>
            <w:r>
              <w:rPr>
                <w:b/>
                <w:bCs/>
                <w:szCs w:val="22"/>
                <w:lang w:eastAsia="en-GB"/>
              </w:rPr>
              <w:t xml:space="preserve">90 mg </w:t>
            </w:r>
            <w:bookmarkStart w:id="150" w:name="_Hlk219654095"/>
            <w:r>
              <w:rPr>
                <w:b/>
                <w:bCs/>
                <w:szCs w:val="22"/>
                <w:lang w:eastAsia="en-GB"/>
              </w:rPr>
              <w:t>или</w:t>
            </w:r>
          </w:p>
          <w:p w14:paraId="109ACBE8" w14:textId="79DE12D9" w:rsidR="009B3384" w:rsidRDefault="00800862">
            <w:pPr>
              <w:keepNext/>
              <w:tabs>
                <w:tab w:val="clear" w:pos="567"/>
              </w:tabs>
              <w:jc w:val="center"/>
              <w:textAlignment w:val="baseline"/>
              <w:rPr>
                <w:b/>
                <w:bCs/>
                <w:szCs w:val="22"/>
                <w:lang w:eastAsia="en-GB"/>
              </w:rPr>
            </w:pPr>
            <w:r>
              <w:rPr>
                <w:b/>
                <w:bCs/>
                <w:szCs w:val="22"/>
                <w:lang w:eastAsia="en-GB"/>
              </w:rPr>
              <w:t>60</w:t>
            </w:r>
            <w:r>
              <w:rPr>
                <w:b/>
                <w:bCs/>
                <w:szCs w:val="22"/>
                <w:lang w:val="en-US" w:eastAsia="en-GB"/>
              </w:rPr>
              <w:t> </w:t>
            </w:r>
            <w:r>
              <w:rPr>
                <w:b/>
                <w:bCs/>
                <w:szCs w:val="22"/>
                <w:lang w:eastAsia="en-GB"/>
              </w:rPr>
              <w:t>mg/m</w:t>
            </w:r>
            <w:r w:rsidRPr="00BC6A43">
              <w:rPr>
                <w:b/>
                <w:bCs/>
                <w:szCs w:val="22"/>
                <w:vertAlign w:val="superscript"/>
                <w:lang w:eastAsia="en-GB"/>
              </w:rPr>
              <w:t>2</w:t>
            </w:r>
            <w:r>
              <w:rPr>
                <w:b/>
                <w:bCs/>
                <w:szCs w:val="22"/>
                <w:lang w:eastAsia="en-GB"/>
              </w:rPr>
              <w:t xml:space="preserve"> </w:t>
            </w:r>
            <w:bookmarkEnd w:id="150"/>
            <w:r>
              <w:rPr>
                <w:b/>
                <w:bCs/>
                <w:szCs w:val="22"/>
                <w:lang w:eastAsia="en-GB"/>
              </w:rPr>
              <w:t>устекинумаб през 8 седмици</w:t>
            </w:r>
          </w:p>
          <w:p w14:paraId="109ACBE9" w14:textId="578616D3" w:rsidR="009B3384" w:rsidRDefault="00800862">
            <w:pPr>
              <w:keepNext/>
              <w:tabs>
                <w:tab w:val="clear" w:pos="567"/>
              </w:tabs>
              <w:jc w:val="center"/>
              <w:textAlignment w:val="baseline"/>
              <w:rPr>
                <w:szCs w:val="22"/>
                <w:lang w:eastAsia="en-GB"/>
              </w:rPr>
            </w:pPr>
            <w:r>
              <w:rPr>
                <w:b/>
                <w:bCs/>
                <w:szCs w:val="22"/>
                <w:lang w:eastAsia="en-GB"/>
              </w:rPr>
              <w:t>N = 41</w:t>
            </w:r>
          </w:p>
        </w:tc>
        <w:tc>
          <w:tcPr>
            <w:tcW w:w="1780" w:type="dxa"/>
            <w:tcBorders>
              <w:top w:val="single" w:sz="6" w:space="0" w:color="auto"/>
              <w:left w:val="single" w:sz="6" w:space="0" w:color="auto"/>
              <w:bottom w:val="single" w:sz="6" w:space="0" w:color="auto"/>
              <w:right w:val="single" w:sz="6" w:space="0" w:color="auto"/>
            </w:tcBorders>
            <w:hideMark/>
          </w:tcPr>
          <w:p w14:paraId="109ACBEA" w14:textId="4E269091" w:rsidR="009B3384" w:rsidRDefault="00800862">
            <w:pPr>
              <w:keepNext/>
              <w:tabs>
                <w:tab w:val="clear" w:pos="567"/>
              </w:tabs>
              <w:jc w:val="center"/>
              <w:textAlignment w:val="baseline"/>
              <w:rPr>
                <w:b/>
                <w:bCs/>
                <w:szCs w:val="22"/>
                <w:lang w:eastAsia="en-GB"/>
              </w:rPr>
            </w:pPr>
            <w:r>
              <w:rPr>
                <w:b/>
                <w:bCs/>
                <w:szCs w:val="22"/>
                <w:lang w:eastAsia="en-GB"/>
              </w:rPr>
              <w:t>90 mg или</w:t>
            </w:r>
          </w:p>
          <w:p w14:paraId="109ACBEB" w14:textId="3884E471" w:rsidR="009B3384" w:rsidRDefault="00800862">
            <w:pPr>
              <w:keepNext/>
              <w:tabs>
                <w:tab w:val="clear" w:pos="567"/>
              </w:tabs>
              <w:jc w:val="center"/>
              <w:textAlignment w:val="baseline"/>
              <w:rPr>
                <w:b/>
                <w:bCs/>
                <w:szCs w:val="22"/>
                <w:lang w:eastAsia="en-GB"/>
              </w:rPr>
            </w:pPr>
            <w:r>
              <w:rPr>
                <w:b/>
                <w:bCs/>
                <w:szCs w:val="22"/>
                <w:lang w:eastAsia="en-GB"/>
              </w:rPr>
              <w:t>60</w:t>
            </w:r>
            <w:r>
              <w:rPr>
                <w:b/>
                <w:bCs/>
                <w:szCs w:val="22"/>
                <w:lang w:val="en-US" w:eastAsia="en-GB"/>
              </w:rPr>
              <w:t> </w:t>
            </w:r>
            <w:r>
              <w:rPr>
                <w:b/>
                <w:bCs/>
                <w:szCs w:val="22"/>
                <w:lang w:eastAsia="en-GB"/>
              </w:rPr>
              <w:t>mg/m</w:t>
            </w:r>
            <w:r>
              <w:rPr>
                <w:b/>
                <w:bCs/>
                <w:szCs w:val="22"/>
                <w:vertAlign w:val="superscript"/>
                <w:lang w:eastAsia="en-GB"/>
              </w:rPr>
              <w:t>2</w:t>
            </w:r>
            <w:r>
              <w:rPr>
                <w:b/>
                <w:bCs/>
                <w:szCs w:val="22"/>
                <w:lang w:eastAsia="en-GB"/>
              </w:rPr>
              <w:t xml:space="preserve"> устекинумаб през 12 седмици</w:t>
            </w:r>
          </w:p>
          <w:p w14:paraId="109ACBEC" w14:textId="5D3C8DC1" w:rsidR="009B3384" w:rsidRDefault="00800862">
            <w:pPr>
              <w:keepNext/>
              <w:tabs>
                <w:tab w:val="clear" w:pos="567"/>
              </w:tabs>
              <w:jc w:val="center"/>
              <w:textAlignment w:val="baseline"/>
              <w:rPr>
                <w:b/>
                <w:bCs/>
                <w:szCs w:val="22"/>
                <w:lang w:eastAsia="en-GB"/>
              </w:rPr>
            </w:pPr>
            <w:r>
              <w:rPr>
                <w:b/>
                <w:bCs/>
                <w:szCs w:val="22"/>
                <w:lang w:eastAsia="en-GB"/>
              </w:rPr>
              <w:t>N = 44</w:t>
            </w:r>
          </w:p>
        </w:tc>
        <w:tc>
          <w:tcPr>
            <w:tcW w:w="2043" w:type="dxa"/>
            <w:gridSpan w:val="2"/>
            <w:tcBorders>
              <w:top w:val="single" w:sz="6" w:space="0" w:color="auto"/>
              <w:left w:val="single" w:sz="6" w:space="0" w:color="auto"/>
              <w:bottom w:val="single" w:sz="6" w:space="0" w:color="auto"/>
              <w:right w:val="single" w:sz="6" w:space="0" w:color="auto"/>
            </w:tcBorders>
            <w:hideMark/>
          </w:tcPr>
          <w:p w14:paraId="109ACBED" w14:textId="77777777" w:rsidR="009B3384" w:rsidRDefault="00800862">
            <w:pPr>
              <w:keepNext/>
              <w:tabs>
                <w:tab w:val="clear" w:pos="567"/>
              </w:tabs>
              <w:jc w:val="center"/>
              <w:textAlignment w:val="baseline"/>
              <w:rPr>
                <w:b/>
                <w:bCs/>
                <w:szCs w:val="22"/>
                <w:lang w:eastAsia="en-GB"/>
              </w:rPr>
            </w:pPr>
            <w:r>
              <w:rPr>
                <w:b/>
                <w:bCs/>
                <w:szCs w:val="22"/>
                <w:lang w:eastAsia="en-GB"/>
              </w:rPr>
              <w:t>Общ брой пациенти</w:t>
            </w:r>
          </w:p>
          <w:p w14:paraId="109ACBEE" w14:textId="7717029F" w:rsidR="009B3384" w:rsidRDefault="00800862">
            <w:pPr>
              <w:keepNext/>
              <w:tabs>
                <w:tab w:val="clear" w:pos="567"/>
              </w:tabs>
              <w:jc w:val="center"/>
              <w:textAlignment w:val="baseline"/>
              <w:rPr>
                <w:b/>
                <w:bCs/>
                <w:szCs w:val="22"/>
                <w:lang w:eastAsia="en-GB"/>
              </w:rPr>
            </w:pPr>
            <w:r>
              <w:rPr>
                <w:b/>
                <w:bCs/>
                <w:szCs w:val="22"/>
                <w:lang w:eastAsia="en-GB"/>
              </w:rPr>
              <w:t>N = 85</w:t>
            </w:r>
          </w:p>
        </w:tc>
      </w:tr>
      <w:tr w:rsidR="009B3384" w14:paraId="109ACBF7"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CBF0" w14:textId="77777777" w:rsidR="009B3384" w:rsidRDefault="00800862">
            <w:pPr>
              <w:tabs>
                <w:tab w:val="clear" w:pos="567"/>
              </w:tabs>
              <w:textAlignment w:val="baseline"/>
              <w:rPr>
                <w:szCs w:val="22"/>
                <w:lang w:eastAsia="en-GB"/>
              </w:rPr>
            </w:pPr>
            <w:r>
              <w:rPr>
                <w:szCs w:val="22"/>
                <w:lang w:eastAsia="en-GB"/>
              </w:rPr>
              <w:t xml:space="preserve">Клинична ремисия </w:t>
            </w:r>
            <w:r>
              <w:rPr>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CBF2" w14:textId="68A3232B" w:rsidR="009B3384" w:rsidRDefault="00800862">
            <w:pPr>
              <w:tabs>
                <w:tab w:val="clear" w:pos="567"/>
              </w:tabs>
              <w:jc w:val="center"/>
              <w:textAlignment w:val="baseline"/>
              <w:rPr>
                <w:szCs w:val="22"/>
                <w:lang w:eastAsia="en-GB"/>
              </w:rPr>
            </w:pPr>
            <w:r>
              <w:rPr>
                <w:szCs w:val="22"/>
                <w:lang w:eastAsia="en-GB"/>
              </w:rPr>
              <w:t>48,8% (20/41)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CBF4" w14:textId="063E42E0" w:rsidR="009B3384" w:rsidRDefault="00800862">
            <w:pPr>
              <w:tabs>
                <w:tab w:val="clear" w:pos="567"/>
              </w:tabs>
              <w:jc w:val="center"/>
              <w:textAlignment w:val="baseline"/>
              <w:rPr>
                <w:szCs w:val="22"/>
                <w:lang w:eastAsia="en-GB"/>
              </w:rPr>
            </w:pPr>
            <w:r>
              <w:rPr>
                <w:szCs w:val="22"/>
                <w:lang w:eastAsia="en-GB"/>
              </w:rPr>
              <w:t>59,1%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CBF6" w14:textId="7695CD02" w:rsidR="009B3384" w:rsidRDefault="00800862">
            <w:pPr>
              <w:tabs>
                <w:tab w:val="clear" w:pos="567"/>
              </w:tabs>
              <w:jc w:val="center"/>
              <w:textAlignment w:val="baseline"/>
              <w:rPr>
                <w:szCs w:val="22"/>
                <w:lang w:eastAsia="en-GB"/>
              </w:rPr>
            </w:pPr>
            <w:bookmarkStart w:id="151" w:name="_Hlk219654288"/>
            <w:r>
              <w:rPr>
                <w:szCs w:val="22"/>
                <w:lang w:val="en-GB" w:eastAsia="en-GB"/>
              </w:rPr>
              <w:t>54</w:t>
            </w:r>
            <w:r>
              <w:rPr>
                <w:szCs w:val="22"/>
                <w:lang w:eastAsia="en-GB"/>
              </w:rPr>
              <w:t>,</w:t>
            </w:r>
            <w:r>
              <w:rPr>
                <w:szCs w:val="22"/>
                <w:lang w:val="en-GB" w:eastAsia="en-GB"/>
              </w:rPr>
              <w:t>1% (46/85)</w:t>
            </w:r>
            <w:bookmarkEnd w:id="151"/>
          </w:p>
        </w:tc>
      </w:tr>
      <w:tr w:rsidR="009B3384" w14:paraId="109ACBFF"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CBF8" w14:textId="77777777" w:rsidR="009B3384" w:rsidRDefault="00800862">
            <w:pPr>
              <w:tabs>
                <w:tab w:val="clear" w:pos="567"/>
              </w:tabs>
              <w:textAlignment w:val="baseline"/>
              <w:rPr>
                <w:szCs w:val="22"/>
                <w:lang w:eastAsia="en-GB"/>
              </w:rPr>
            </w:pPr>
            <w:r>
              <w:rPr>
                <w:szCs w:val="22"/>
                <w:lang w:eastAsia="en-GB"/>
              </w:rPr>
              <w:lastRenderedPageBreak/>
              <w:t>Клинична ремисия</w:t>
            </w:r>
            <w:r>
              <w:rPr>
                <w:szCs w:val="22"/>
                <w:vertAlign w:val="superscript"/>
                <w:lang w:eastAsia="en-GB"/>
              </w:rPr>
              <w:t xml:space="preserve"> </w:t>
            </w:r>
            <w:r>
              <w:rPr>
                <w:szCs w:val="22"/>
                <w:lang w:eastAsia="en-GB"/>
              </w:rPr>
              <w:t>без кортикостероиди</w:t>
            </w:r>
            <w:r>
              <w:rPr>
                <w:szCs w:val="22"/>
                <w:vertAlign w:val="superscript"/>
                <w:lang w:eastAsia="en-GB"/>
              </w:rPr>
              <w:t>§</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CBFA" w14:textId="0E4FB847" w:rsidR="009B3384" w:rsidRDefault="00800862">
            <w:pPr>
              <w:tabs>
                <w:tab w:val="clear" w:pos="567"/>
              </w:tabs>
              <w:jc w:val="center"/>
              <w:textAlignment w:val="baseline"/>
              <w:rPr>
                <w:szCs w:val="22"/>
                <w:lang w:eastAsia="en-GB"/>
              </w:rPr>
            </w:pPr>
            <w:bookmarkStart w:id="152" w:name="_Hlk219654344"/>
            <w:r>
              <w:rPr>
                <w:szCs w:val="22"/>
                <w:lang w:val="en-GB" w:eastAsia="en-GB"/>
              </w:rPr>
              <w:t>46</w:t>
            </w:r>
            <w:r>
              <w:rPr>
                <w:szCs w:val="22"/>
                <w:lang w:eastAsia="en-GB"/>
              </w:rPr>
              <w:t>,</w:t>
            </w:r>
            <w:r>
              <w:rPr>
                <w:szCs w:val="22"/>
                <w:lang w:val="en-GB" w:eastAsia="en-GB"/>
              </w:rPr>
              <w:t>3% (19/41)</w:t>
            </w:r>
            <w:bookmarkEnd w:id="152"/>
          </w:p>
        </w:tc>
        <w:tc>
          <w:tcPr>
            <w:tcW w:w="1780" w:type="dxa"/>
            <w:tcBorders>
              <w:top w:val="single" w:sz="6" w:space="0" w:color="auto"/>
              <w:left w:val="single" w:sz="6" w:space="0" w:color="auto"/>
              <w:bottom w:val="single" w:sz="6" w:space="0" w:color="auto"/>
              <w:right w:val="single" w:sz="6" w:space="0" w:color="auto"/>
            </w:tcBorders>
            <w:vAlign w:val="center"/>
            <w:hideMark/>
          </w:tcPr>
          <w:p w14:paraId="109ACBFC" w14:textId="4BB41BAA" w:rsidR="009B3384" w:rsidRDefault="00800862">
            <w:pPr>
              <w:tabs>
                <w:tab w:val="clear" w:pos="567"/>
              </w:tabs>
              <w:jc w:val="center"/>
              <w:textAlignment w:val="baseline"/>
              <w:rPr>
                <w:szCs w:val="22"/>
                <w:lang w:eastAsia="en-GB"/>
              </w:rPr>
            </w:pPr>
            <w:bookmarkStart w:id="153" w:name="_Hlk219654383"/>
            <w:r>
              <w:rPr>
                <w:szCs w:val="22"/>
                <w:lang w:val="en-GB" w:eastAsia="en-GB"/>
              </w:rPr>
              <w:t>59</w:t>
            </w:r>
            <w:r>
              <w:rPr>
                <w:szCs w:val="22"/>
                <w:lang w:eastAsia="en-GB"/>
              </w:rPr>
              <w:t>,</w:t>
            </w:r>
            <w:r>
              <w:rPr>
                <w:szCs w:val="22"/>
                <w:lang w:val="en-GB" w:eastAsia="en-GB"/>
              </w:rPr>
              <w:t>1% (26/44)</w:t>
            </w:r>
            <w:bookmarkEnd w:id="153"/>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CBFE" w14:textId="37B9C23C" w:rsidR="009B3384" w:rsidRDefault="00800862">
            <w:pPr>
              <w:tabs>
                <w:tab w:val="clear" w:pos="567"/>
              </w:tabs>
              <w:jc w:val="center"/>
              <w:textAlignment w:val="baseline"/>
              <w:rPr>
                <w:szCs w:val="22"/>
                <w:lang w:eastAsia="en-GB"/>
              </w:rPr>
            </w:pPr>
            <w:bookmarkStart w:id="154" w:name="_Hlk219654417"/>
            <w:r>
              <w:rPr>
                <w:szCs w:val="22"/>
                <w:lang w:val="en-GB" w:eastAsia="en-GB"/>
              </w:rPr>
              <w:t>52</w:t>
            </w:r>
            <w:r>
              <w:rPr>
                <w:szCs w:val="22"/>
                <w:lang w:eastAsia="en-GB"/>
              </w:rPr>
              <w:t>,</w:t>
            </w:r>
            <w:r>
              <w:rPr>
                <w:szCs w:val="22"/>
                <w:lang w:val="en-GB" w:eastAsia="en-GB"/>
              </w:rPr>
              <w:t>9% (45/85)</w:t>
            </w:r>
            <w:bookmarkEnd w:id="154"/>
          </w:p>
        </w:tc>
      </w:tr>
      <w:tr w:rsidR="009B3384" w14:paraId="109ACC07"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CC00" w14:textId="77777777" w:rsidR="009B3384" w:rsidRDefault="00800862">
            <w:pPr>
              <w:tabs>
                <w:tab w:val="clear" w:pos="567"/>
              </w:tabs>
              <w:textAlignment w:val="baseline"/>
              <w:rPr>
                <w:szCs w:val="22"/>
                <w:lang w:eastAsia="en-GB"/>
              </w:rPr>
            </w:pPr>
            <w:r>
              <w:rPr>
                <w:szCs w:val="22"/>
                <w:lang w:eastAsia="en-GB"/>
              </w:rPr>
              <w:t>Клинична ремисия при пациенти, които са били в клинична ремисия при индукцията седмица 8</w:t>
            </w:r>
            <w:r>
              <w:rPr>
                <w:szCs w:val="22"/>
                <w:vertAlign w:val="superscript"/>
                <w:lang w:eastAsia="en-GB"/>
              </w:rPr>
              <w:t xml:space="preserve"> *</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CC02" w14:textId="524E34AE" w:rsidR="009B3384" w:rsidRDefault="00800862">
            <w:pPr>
              <w:tabs>
                <w:tab w:val="clear" w:pos="567"/>
              </w:tabs>
              <w:jc w:val="center"/>
              <w:textAlignment w:val="baseline"/>
              <w:rPr>
                <w:szCs w:val="22"/>
                <w:lang w:eastAsia="en-GB"/>
              </w:rPr>
            </w:pPr>
            <w:bookmarkStart w:id="155" w:name="_Hlk219654478"/>
            <w:r>
              <w:rPr>
                <w:szCs w:val="22"/>
                <w:lang w:val="en-GB" w:eastAsia="en-GB"/>
              </w:rPr>
              <w:t>73</w:t>
            </w:r>
            <w:r>
              <w:rPr>
                <w:szCs w:val="22"/>
                <w:lang w:eastAsia="en-GB"/>
              </w:rPr>
              <w:t>,</w:t>
            </w:r>
            <w:r>
              <w:rPr>
                <w:szCs w:val="22"/>
                <w:lang w:val="en-GB" w:eastAsia="en-GB"/>
              </w:rPr>
              <w:t>9% (17/23)</w:t>
            </w:r>
            <w:bookmarkEnd w:id="155"/>
          </w:p>
        </w:tc>
        <w:tc>
          <w:tcPr>
            <w:tcW w:w="1780" w:type="dxa"/>
            <w:tcBorders>
              <w:top w:val="single" w:sz="6" w:space="0" w:color="auto"/>
              <w:left w:val="single" w:sz="6" w:space="0" w:color="auto"/>
              <w:bottom w:val="single" w:sz="6" w:space="0" w:color="auto"/>
              <w:right w:val="single" w:sz="6" w:space="0" w:color="auto"/>
            </w:tcBorders>
            <w:vAlign w:val="center"/>
            <w:hideMark/>
          </w:tcPr>
          <w:p w14:paraId="109ACC04" w14:textId="68E09DBC" w:rsidR="009B3384" w:rsidRDefault="00800862">
            <w:pPr>
              <w:tabs>
                <w:tab w:val="clear" w:pos="567"/>
              </w:tabs>
              <w:jc w:val="center"/>
              <w:textAlignment w:val="baseline"/>
              <w:rPr>
                <w:szCs w:val="22"/>
                <w:lang w:eastAsia="en-GB"/>
              </w:rPr>
            </w:pPr>
            <w:bookmarkStart w:id="156" w:name="_Hlk219654515"/>
            <w:r>
              <w:rPr>
                <w:szCs w:val="22"/>
                <w:lang w:val="en-GB" w:eastAsia="en-GB"/>
              </w:rPr>
              <w:t>62</w:t>
            </w:r>
            <w:r>
              <w:rPr>
                <w:szCs w:val="22"/>
                <w:lang w:eastAsia="en-GB"/>
              </w:rPr>
              <w:t>,</w:t>
            </w:r>
            <w:r>
              <w:rPr>
                <w:szCs w:val="22"/>
                <w:lang w:val="en-GB" w:eastAsia="en-GB"/>
              </w:rPr>
              <w:t>5% (15/24)</w:t>
            </w:r>
            <w:bookmarkEnd w:id="156"/>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CC06" w14:textId="62ED17AC" w:rsidR="009B3384" w:rsidRDefault="00800862">
            <w:pPr>
              <w:tabs>
                <w:tab w:val="clear" w:pos="567"/>
              </w:tabs>
              <w:jc w:val="center"/>
              <w:textAlignment w:val="baseline"/>
              <w:rPr>
                <w:szCs w:val="22"/>
                <w:lang w:eastAsia="en-GB"/>
              </w:rPr>
            </w:pPr>
            <w:bookmarkStart w:id="157" w:name="_Hlk219654550"/>
            <w:r>
              <w:rPr>
                <w:szCs w:val="22"/>
                <w:lang w:val="en-GB" w:eastAsia="en-GB"/>
              </w:rPr>
              <w:t>68</w:t>
            </w:r>
            <w:r>
              <w:rPr>
                <w:szCs w:val="22"/>
                <w:lang w:eastAsia="en-GB"/>
              </w:rPr>
              <w:t>,</w:t>
            </w:r>
            <w:r>
              <w:rPr>
                <w:szCs w:val="22"/>
                <w:lang w:val="en-GB" w:eastAsia="en-GB"/>
              </w:rPr>
              <w:t>1% (32/47)</w:t>
            </w:r>
            <w:bookmarkEnd w:id="157"/>
          </w:p>
        </w:tc>
      </w:tr>
      <w:tr w:rsidR="009B3384" w14:paraId="109ACC0F"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CC08" w14:textId="77777777" w:rsidR="009B3384" w:rsidRDefault="00800862">
            <w:pPr>
              <w:tabs>
                <w:tab w:val="clear" w:pos="567"/>
              </w:tabs>
              <w:textAlignment w:val="baseline"/>
              <w:rPr>
                <w:szCs w:val="22"/>
                <w:lang w:eastAsia="en-GB"/>
              </w:rPr>
            </w:pPr>
            <w:r>
              <w:rPr>
                <w:szCs w:val="22"/>
                <w:lang w:eastAsia="en-GB"/>
              </w:rPr>
              <w:t xml:space="preserve">Клиничен отговор </w:t>
            </w:r>
            <w:r>
              <w:rPr>
                <w:szCs w:val="22"/>
                <w:vertAlign w:val="superscript"/>
                <w:lang w:eastAsia="en-GB"/>
              </w:rPr>
              <w:t>†</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CC0A" w14:textId="16EBC3D2" w:rsidR="009B3384" w:rsidRDefault="00800862">
            <w:pPr>
              <w:tabs>
                <w:tab w:val="clear" w:pos="567"/>
              </w:tabs>
              <w:jc w:val="center"/>
              <w:textAlignment w:val="baseline"/>
              <w:rPr>
                <w:szCs w:val="22"/>
                <w:lang w:eastAsia="en-GB"/>
              </w:rPr>
            </w:pPr>
            <w:r>
              <w:rPr>
                <w:szCs w:val="22"/>
                <w:lang w:val="en-GB" w:eastAsia="en-GB"/>
              </w:rPr>
              <w:t>56</w:t>
            </w:r>
            <w:r>
              <w:rPr>
                <w:szCs w:val="22"/>
                <w:lang w:eastAsia="en-GB"/>
              </w:rPr>
              <w:t>,</w:t>
            </w:r>
            <w:r>
              <w:rPr>
                <w:szCs w:val="22"/>
                <w:lang w:val="en-GB" w:eastAsia="en-GB"/>
              </w:rPr>
              <w:t>1% (23/41)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CC0C" w14:textId="172602C9" w:rsidR="009B3384" w:rsidRDefault="00800862">
            <w:pPr>
              <w:tabs>
                <w:tab w:val="clear" w:pos="567"/>
              </w:tabs>
              <w:jc w:val="center"/>
              <w:textAlignment w:val="baseline"/>
              <w:rPr>
                <w:szCs w:val="22"/>
                <w:lang w:eastAsia="en-GB"/>
              </w:rPr>
            </w:pPr>
            <w:bookmarkStart w:id="158" w:name="_Hlk219654616"/>
            <w:r>
              <w:rPr>
                <w:szCs w:val="22"/>
                <w:lang w:val="en-GB" w:eastAsia="en-GB"/>
              </w:rPr>
              <w:t>63</w:t>
            </w:r>
            <w:r>
              <w:rPr>
                <w:szCs w:val="22"/>
                <w:lang w:eastAsia="en-GB"/>
              </w:rPr>
              <w:t>,</w:t>
            </w:r>
            <w:r>
              <w:rPr>
                <w:szCs w:val="22"/>
                <w:lang w:val="en-GB" w:eastAsia="en-GB"/>
              </w:rPr>
              <w:t>6% (28/44)</w:t>
            </w:r>
            <w:bookmarkEnd w:id="158"/>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CC0E" w14:textId="131F884A" w:rsidR="009B3384" w:rsidRDefault="00800862">
            <w:pPr>
              <w:tabs>
                <w:tab w:val="clear" w:pos="567"/>
              </w:tabs>
              <w:jc w:val="center"/>
              <w:textAlignment w:val="baseline"/>
              <w:rPr>
                <w:szCs w:val="22"/>
                <w:lang w:eastAsia="en-GB"/>
              </w:rPr>
            </w:pPr>
            <w:bookmarkStart w:id="159" w:name="_Hlk219654653"/>
            <w:r>
              <w:rPr>
                <w:szCs w:val="22"/>
                <w:lang w:val="en-GB" w:eastAsia="en-GB"/>
              </w:rPr>
              <w:t>60</w:t>
            </w:r>
            <w:r>
              <w:rPr>
                <w:szCs w:val="22"/>
                <w:lang w:eastAsia="en-GB"/>
              </w:rPr>
              <w:t>,</w:t>
            </w:r>
            <w:r>
              <w:rPr>
                <w:szCs w:val="22"/>
                <w:lang w:val="en-GB" w:eastAsia="en-GB"/>
              </w:rPr>
              <w:t>0% (51/85)</w:t>
            </w:r>
            <w:bookmarkEnd w:id="159"/>
          </w:p>
        </w:tc>
      </w:tr>
      <w:tr w:rsidR="009B3384" w14:paraId="109ACC17"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CC10" w14:textId="77777777" w:rsidR="009B3384" w:rsidRDefault="00800862">
            <w:pPr>
              <w:tabs>
                <w:tab w:val="clear" w:pos="567"/>
              </w:tabs>
              <w:textAlignment w:val="baseline"/>
              <w:rPr>
                <w:szCs w:val="22"/>
                <w:lang w:eastAsia="en-GB"/>
              </w:rPr>
            </w:pPr>
            <w:r>
              <w:rPr>
                <w:szCs w:val="22"/>
                <w:lang w:eastAsia="en-GB"/>
              </w:rPr>
              <w:t xml:space="preserve">Ендоскопски отговор </w:t>
            </w:r>
            <w:r>
              <w:rPr>
                <w:szCs w:val="22"/>
                <w:vertAlign w:val="superscript"/>
                <w:lang w:eastAsia="en-GB"/>
              </w:rPr>
              <w:t>£</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CC12" w14:textId="3EE77974" w:rsidR="009B3384" w:rsidRDefault="00800862">
            <w:pPr>
              <w:tabs>
                <w:tab w:val="clear" w:pos="567"/>
              </w:tabs>
              <w:jc w:val="center"/>
              <w:textAlignment w:val="baseline"/>
              <w:rPr>
                <w:szCs w:val="22"/>
                <w:lang w:eastAsia="en-GB"/>
              </w:rPr>
            </w:pPr>
            <w:bookmarkStart w:id="160" w:name="_Hlk219654686"/>
            <w:r>
              <w:rPr>
                <w:szCs w:val="22"/>
                <w:lang w:val="en-GB" w:eastAsia="en-GB"/>
              </w:rPr>
              <w:t>25</w:t>
            </w:r>
            <w:r>
              <w:rPr>
                <w:szCs w:val="22"/>
                <w:lang w:eastAsia="en-GB"/>
              </w:rPr>
              <w:t>,</w:t>
            </w:r>
            <w:r>
              <w:rPr>
                <w:szCs w:val="22"/>
                <w:lang w:val="en-GB" w:eastAsia="en-GB"/>
              </w:rPr>
              <w:t>0% (10/40)</w:t>
            </w:r>
            <w:bookmarkEnd w:id="160"/>
          </w:p>
        </w:tc>
        <w:tc>
          <w:tcPr>
            <w:tcW w:w="1780" w:type="dxa"/>
            <w:tcBorders>
              <w:top w:val="single" w:sz="6" w:space="0" w:color="auto"/>
              <w:left w:val="single" w:sz="6" w:space="0" w:color="auto"/>
              <w:bottom w:val="single" w:sz="6" w:space="0" w:color="auto"/>
              <w:right w:val="single" w:sz="6" w:space="0" w:color="auto"/>
            </w:tcBorders>
            <w:vAlign w:val="center"/>
            <w:hideMark/>
          </w:tcPr>
          <w:p w14:paraId="109ACC14" w14:textId="02DA49A6" w:rsidR="009B3384" w:rsidRDefault="00800862">
            <w:pPr>
              <w:tabs>
                <w:tab w:val="clear" w:pos="567"/>
              </w:tabs>
              <w:jc w:val="center"/>
              <w:textAlignment w:val="baseline"/>
              <w:rPr>
                <w:szCs w:val="22"/>
                <w:lang w:eastAsia="en-GB"/>
              </w:rPr>
            </w:pPr>
            <w:bookmarkStart w:id="161" w:name="_Hlk219654723"/>
            <w:r>
              <w:rPr>
                <w:szCs w:val="22"/>
                <w:lang w:val="en-GB" w:eastAsia="en-GB"/>
              </w:rPr>
              <w:t>30</w:t>
            </w:r>
            <w:r>
              <w:rPr>
                <w:szCs w:val="22"/>
                <w:lang w:eastAsia="en-GB"/>
              </w:rPr>
              <w:t>,</w:t>
            </w:r>
            <w:r>
              <w:rPr>
                <w:szCs w:val="22"/>
                <w:lang w:val="en-GB" w:eastAsia="en-GB"/>
              </w:rPr>
              <w:t>2% (13/43)</w:t>
            </w:r>
            <w:bookmarkEnd w:id="161"/>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CC16" w14:textId="6A0DA9C2" w:rsidR="009B3384" w:rsidRDefault="00800862">
            <w:pPr>
              <w:tabs>
                <w:tab w:val="clear" w:pos="567"/>
              </w:tabs>
              <w:jc w:val="center"/>
              <w:textAlignment w:val="baseline"/>
              <w:rPr>
                <w:szCs w:val="22"/>
                <w:lang w:eastAsia="en-GB"/>
              </w:rPr>
            </w:pPr>
            <w:bookmarkStart w:id="162" w:name="_Hlk219654766"/>
            <w:r>
              <w:rPr>
                <w:szCs w:val="22"/>
                <w:lang w:val="en-GB" w:eastAsia="en-GB"/>
              </w:rPr>
              <w:t>27</w:t>
            </w:r>
            <w:r>
              <w:rPr>
                <w:szCs w:val="22"/>
                <w:lang w:eastAsia="en-GB"/>
              </w:rPr>
              <w:t>,</w:t>
            </w:r>
            <w:r>
              <w:rPr>
                <w:szCs w:val="22"/>
                <w:lang w:val="en-GB" w:eastAsia="en-GB"/>
              </w:rPr>
              <w:t>7% (23/83)</w:t>
            </w:r>
            <w:bookmarkEnd w:id="162"/>
          </w:p>
        </w:tc>
      </w:tr>
      <w:tr w:rsidR="009B3384" w14:paraId="109ACC1C" w14:textId="77777777">
        <w:trPr>
          <w:gridAfter w:val="1"/>
          <w:wAfter w:w="8" w:type="dxa"/>
          <w:cantSplit/>
          <w:jc w:val="center"/>
        </w:trPr>
        <w:tc>
          <w:tcPr>
            <w:tcW w:w="9072" w:type="dxa"/>
            <w:gridSpan w:val="4"/>
            <w:tcBorders>
              <w:top w:val="single" w:sz="6" w:space="0" w:color="auto"/>
              <w:left w:val="nil"/>
              <w:bottom w:val="nil"/>
              <w:right w:val="nil"/>
            </w:tcBorders>
          </w:tcPr>
          <w:p w14:paraId="109ACC18" w14:textId="77777777" w:rsidR="009B3384" w:rsidRDefault="00800862">
            <w:pPr>
              <w:autoSpaceDE w:val="0"/>
              <w:autoSpaceDN w:val="0"/>
              <w:adjustRightInd w:val="0"/>
              <w:ind w:left="284" w:hanging="284"/>
              <w:rPr>
                <w:sz w:val="18"/>
                <w:szCs w:val="18"/>
              </w:rPr>
            </w:pPr>
            <w:r>
              <w:rPr>
                <w:sz w:val="18"/>
                <w:szCs w:val="18"/>
              </w:rPr>
              <w:t>*</w:t>
            </w:r>
            <w:r>
              <w:rPr>
                <w:sz w:val="18"/>
                <w:szCs w:val="18"/>
              </w:rPr>
              <w:tab/>
              <w:t>Клиничната ремисия е дефинирана като скор по PCDAI ≤10 точки.</w:t>
            </w:r>
          </w:p>
          <w:p w14:paraId="109ACC19" w14:textId="24DF9A52" w:rsidR="009B3384" w:rsidRDefault="00800862">
            <w:pPr>
              <w:autoSpaceDE w:val="0"/>
              <w:autoSpaceDN w:val="0"/>
              <w:adjustRightInd w:val="0"/>
              <w:ind w:left="284" w:hanging="284"/>
              <w:rPr>
                <w:sz w:val="18"/>
                <w:szCs w:val="18"/>
              </w:rPr>
            </w:pPr>
            <w:r>
              <w:rPr>
                <w:szCs w:val="22"/>
                <w:vertAlign w:val="superscript"/>
              </w:rPr>
              <w:t>§</w:t>
            </w:r>
            <w:r>
              <w:rPr>
                <w:sz w:val="18"/>
                <w:szCs w:val="18"/>
              </w:rPr>
              <w:tab/>
              <w:t xml:space="preserve">Ремисия без кортикостероиди е дефинирана като скор по PCDAI ≤10 точки и без прием на кортикостероиди в продължение на поне 90 дни преди </w:t>
            </w:r>
            <w:bookmarkStart w:id="163" w:name="_Hlk219654822"/>
            <w:r>
              <w:rPr>
                <w:sz w:val="18"/>
                <w:szCs w:val="18"/>
              </w:rPr>
              <w:t>поддържането на с</w:t>
            </w:r>
            <w:bookmarkEnd w:id="163"/>
            <w:r>
              <w:rPr>
                <w:sz w:val="18"/>
                <w:szCs w:val="18"/>
              </w:rPr>
              <w:t>едмица -44.</w:t>
            </w:r>
          </w:p>
          <w:p w14:paraId="109ACC1A" w14:textId="77777777" w:rsidR="009B3384" w:rsidRDefault="00800862">
            <w:pPr>
              <w:autoSpaceDE w:val="0"/>
              <w:autoSpaceDN w:val="0"/>
              <w:adjustRightInd w:val="0"/>
              <w:ind w:left="284" w:hanging="284"/>
              <w:rPr>
                <w:sz w:val="18"/>
                <w:szCs w:val="18"/>
              </w:rPr>
            </w:pPr>
            <w:r>
              <w:rPr>
                <w:szCs w:val="22"/>
                <w:vertAlign w:val="superscript"/>
              </w:rPr>
              <w:t>†</w:t>
            </w:r>
            <w:r>
              <w:rPr>
                <w:sz w:val="18"/>
                <w:szCs w:val="18"/>
              </w:rPr>
              <w:tab/>
              <w:t>Клиничният отговор е дефиниран като намаление спрямо изходното ниво на скора по PCDAI ≥12,5 точки с общ скор по PCDAI не повече от 30.</w:t>
            </w:r>
          </w:p>
          <w:p w14:paraId="109ACC1B" w14:textId="77777777" w:rsidR="009B3384" w:rsidRDefault="00800862">
            <w:pPr>
              <w:autoSpaceDE w:val="0"/>
              <w:autoSpaceDN w:val="0"/>
              <w:adjustRightInd w:val="0"/>
              <w:ind w:left="284" w:hanging="284"/>
              <w:rPr>
                <w:szCs w:val="22"/>
                <w:lang w:eastAsia="en-GB"/>
              </w:rPr>
            </w:pPr>
            <w:r>
              <w:rPr>
                <w:szCs w:val="22"/>
                <w:vertAlign w:val="superscript"/>
              </w:rPr>
              <w:t>£</w:t>
            </w:r>
            <w:r>
              <w:rPr>
                <w:sz w:val="18"/>
                <w:szCs w:val="18"/>
              </w:rPr>
              <w:tab/>
              <w:t>Ендоскопският отговор е дефиниран като намаление на скора SES-CD ≥50% или скор SES-CD ≤2 при пациенти с изходен скор SES-CD≥3.</w:t>
            </w:r>
          </w:p>
        </w:tc>
      </w:tr>
    </w:tbl>
    <w:p w14:paraId="109ACC1D" w14:textId="77777777" w:rsidR="009B3384" w:rsidRDefault="009B3384"/>
    <w:p w14:paraId="109ACC1E" w14:textId="77777777" w:rsidR="009B3384" w:rsidRPr="00BC6A43" w:rsidRDefault="00800862" w:rsidP="00BC6A43">
      <w:pPr>
        <w:keepNext/>
        <w:rPr>
          <w:i/>
          <w:iCs/>
        </w:rPr>
      </w:pPr>
      <w:r w:rsidRPr="00BC6A43">
        <w:rPr>
          <w:i/>
          <w:iCs/>
        </w:rPr>
        <w:t>Коригиране на честотата на приложение</w:t>
      </w:r>
    </w:p>
    <w:p w14:paraId="109ACC1F" w14:textId="312FF556" w:rsidR="009B3384" w:rsidRDefault="00800862">
      <w:r>
        <w:t xml:space="preserve">Пациентите, които преминават на поддържащо лечение и имат загуба на отговор </w:t>
      </w:r>
      <w:del w:id="164" w:author="EUCP BE1" w:date="2026-05-19T16:58:00Z">
        <w:r w:rsidDel="00F72194">
          <w:delText xml:space="preserve"> </w:delText>
        </w:r>
      </w:del>
      <w:r>
        <w:t>въз основа на скора по PCDAI, отговарят на условията за коригиране на дозата. Пациентите или преминават от лечение на всеки 12 седмици на всеки 8 седмици, или остават на лечение на всеки 8 седмици (плацебо корекция). 2 пациенти са с коригирана доза към по-краткия интервал на приложение. При тези пациенти клинична ремисия е постигната при 100% (2/2) от пациентите 8 седмици след коригиране на дозата.</w:t>
      </w:r>
    </w:p>
    <w:p w14:paraId="109ACC20" w14:textId="77777777" w:rsidR="009B3384" w:rsidRDefault="009B3384"/>
    <w:p w14:paraId="109ACC21" w14:textId="289A13C4" w:rsidR="009B3384" w:rsidRDefault="00800862">
      <w:bookmarkStart w:id="165" w:name="_Hlk219655472"/>
      <w:r>
        <w:t>Пациентите, лекувани с двете схеми на лечение (лечение на всеки 12</w:t>
      </w:r>
      <w:r>
        <w:rPr>
          <w:lang w:val="en-US"/>
        </w:rPr>
        <w:t> </w:t>
      </w:r>
      <w:r>
        <w:t>седмици или на всеки 8</w:t>
      </w:r>
      <w:r>
        <w:rPr>
          <w:lang w:val="en-US"/>
        </w:rPr>
        <w:t> </w:t>
      </w:r>
      <w:r>
        <w:t>седмици), които не се повлияват от поддържащото лечение до седмица 8 или които имат загуба на отговор и имат ниски нива на устекинумаб (стационарно състояние на седмица 8 при най-ниска концентрация на устекинумаб &lt;1,4</w:t>
      </w:r>
      <w:r>
        <w:rPr>
          <w:lang w:val="en-US"/>
        </w:rPr>
        <w:t> </w:t>
      </w:r>
      <w:r>
        <w:t>µg/ml), са подходящи за включване в доброволно подпроучване за оптимизиране на експозицията. Това е открито подпроучване с продължителност минимум 16</w:t>
      </w:r>
      <w:r>
        <w:rPr>
          <w:lang w:val="en-US"/>
        </w:rPr>
        <w:t> </w:t>
      </w:r>
      <w:r>
        <w:t>седмици с подкожно поддържащо лечение с 90 mg устекинумаб или 60</w:t>
      </w:r>
      <w:r>
        <w:rPr>
          <w:lang w:val="en-US"/>
        </w:rPr>
        <w:t> </w:t>
      </w:r>
      <w:r>
        <w:t>mg/m</w:t>
      </w:r>
      <w:r w:rsidRPr="00BC6A43">
        <w:rPr>
          <w:vertAlign w:val="superscript"/>
        </w:rPr>
        <w:t>2</w:t>
      </w:r>
      <w:r>
        <w:t xml:space="preserve"> (въз основа на BSA), прилаган на всеки 4</w:t>
      </w:r>
      <w:r>
        <w:rPr>
          <w:lang w:val="en-US"/>
        </w:rPr>
        <w:t> </w:t>
      </w:r>
      <w:r>
        <w:t>седмици. Общо 26 пациенти са включени в подпроучването. От участващите пациенти</w:t>
      </w:r>
      <w:del w:id="166" w:author="BG" w:date="2026-06-30T13:41:00Z">
        <w:r w:rsidDel="00081398">
          <w:delText>,</w:delText>
        </w:r>
      </w:del>
      <w:r>
        <w:t xml:space="preserve"> 11 (42,3%) премин</w:t>
      </w:r>
      <w:r>
        <w:rPr>
          <w:lang w:val="en-US"/>
        </w:rPr>
        <w:t>a</w:t>
      </w:r>
      <w:r>
        <w:t xml:space="preserve">ват от </w:t>
      </w:r>
      <w:ins w:id="167" w:author="Reviser" w:date="2026-04-27T19:13:00Z">
        <w:del w:id="168" w:author="BG" w:date="2026-06-30T13:41:00Z">
          <w:r w:rsidR="000E7A0E" w:rsidDel="00081398">
            <w:delText>дозиране</w:delText>
          </w:r>
        </w:del>
      </w:ins>
      <w:ins w:id="169" w:author="BG" w:date="2026-06-30T13:41:00Z">
        <w:r w:rsidR="00081398">
          <w:t>прилагане</w:t>
        </w:r>
      </w:ins>
      <w:ins w:id="170" w:author="Reviser" w:date="2026-04-27T19:13:00Z">
        <w:r w:rsidR="000E7A0E">
          <w:t xml:space="preserve"> в</w:t>
        </w:r>
      </w:ins>
      <w:ins w:id="171" w:author="Reviser" w:date="2026-04-27T19:14:00Z">
        <w:r w:rsidR="000E7A0E">
          <w:t xml:space="preserve">еднъж на </w:t>
        </w:r>
      </w:ins>
      <w:r>
        <w:t>12</w:t>
      </w:r>
      <w:del w:id="172" w:author="Reviser" w:date="2026-04-27T19:14:00Z">
        <w:r w:rsidDel="000E7A0E">
          <w:delText>-</w:delText>
        </w:r>
      </w:del>
      <w:ins w:id="173" w:author="Reviser" w:date="2026-04-27T19:14:00Z">
        <w:r w:rsidR="000E7A0E">
          <w:t xml:space="preserve"> </w:t>
        </w:r>
      </w:ins>
      <w:del w:id="174" w:author="Reviser" w:date="2026-04-27T19:14:00Z">
        <w:r w:rsidDel="000E7A0E">
          <w:delText xml:space="preserve">седмично </w:delText>
        </w:r>
      </w:del>
      <w:ins w:id="175" w:author="Reviser" w:date="2026-04-27T19:14:00Z">
        <w:r w:rsidR="000E7A0E">
          <w:t xml:space="preserve">седмици към веднъж </w:t>
        </w:r>
      </w:ins>
      <w:r>
        <w:t>на 4</w:t>
      </w:r>
      <w:del w:id="176" w:author="Reviser" w:date="2026-04-27T19:14:00Z">
        <w:r w:rsidDel="000E7A0E">
          <w:delText>-</w:delText>
        </w:r>
      </w:del>
      <w:ins w:id="177" w:author="Reviser" w:date="2026-04-27T19:14:00Z">
        <w:r w:rsidR="000E7A0E">
          <w:t xml:space="preserve"> </w:t>
        </w:r>
      </w:ins>
      <w:r>
        <w:t>седми</w:t>
      </w:r>
      <w:del w:id="178" w:author="Reviser" w:date="2026-04-27T19:14:00Z">
        <w:r w:rsidDel="000E7A0E">
          <w:delText>чно</w:delText>
        </w:r>
      </w:del>
      <w:ins w:id="179" w:author="Reviser" w:date="2026-04-27T19:14:00Z">
        <w:r w:rsidR="000E7A0E">
          <w:t>ци</w:t>
        </w:r>
      </w:ins>
      <w:del w:id="180" w:author="Reviser" w:date="2026-04-27T19:13:00Z">
        <w:r w:rsidDel="000E7A0E">
          <w:delText xml:space="preserve"> дозиране</w:delText>
        </w:r>
      </w:del>
      <w:r>
        <w:t xml:space="preserve">, а 15 (57,7%) преминават от </w:t>
      </w:r>
      <w:ins w:id="181" w:author="Reviser" w:date="2026-04-27T19:15:00Z">
        <w:del w:id="182" w:author="BG" w:date="2026-06-30T13:41:00Z">
          <w:r w:rsidR="000E7A0E" w:rsidDel="00081398">
            <w:delText>дозиране</w:delText>
          </w:r>
        </w:del>
      </w:ins>
      <w:ins w:id="183" w:author="BG" w:date="2026-06-30T13:41:00Z">
        <w:r w:rsidR="00081398">
          <w:t>прилагане</w:t>
        </w:r>
      </w:ins>
      <w:ins w:id="184" w:author="Reviser" w:date="2026-04-27T19:15:00Z">
        <w:r w:rsidR="000E7A0E">
          <w:t xml:space="preserve"> веднъж на </w:t>
        </w:r>
      </w:ins>
      <w:r>
        <w:t>8</w:t>
      </w:r>
      <w:del w:id="185" w:author="Reviser" w:date="2026-04-27T19:15:00Z">
        <w:r w:rsidDel="000E7A0E">
          <w:delText>-</w:delText>
        </w:r>
      </w:del>
      <w:ins w:id="186" w:author="Reviser" w:date="2026-04-27T19:15:00Z">
        <w:r w:rsidR="000E7A0E">
          <w:t xml:space="preserve"> </w:t>
        </w:r>
      </w:ins>
      <w:r>
        <w:t>седми</w:t>
      </w:r>
      <w:del w:id="187" w:author="Reviser" w:date="2026-04-27T19:15:00Z">
        <w:r w:rsidDel="000E7A0E">
          <w:delText>чно</w:delText>
        </w:r>
      </w:del>
      <w:ins w:id="188" w:author="Reviser" w:date="2026-04-27T19:15:00Z">
        <w:r w:rsidR="000E7A0E">
          <w:t>ци</w:t>
        </w:r>
      </w:ins>
      <w:ins w:id="189" w:author="Reviser" w:date="2026-04-27T19:16:00Z">
        <w:r w:rsidR="000E7A0E">
          <w:t xml:space="preserve"> към веднъж </w:t>
        </w:r>
      </w:ins>
      <w:del w:id="190" w:author="Reviser" w:date="2026-04-27T19:16:00Z">
        <w:r w:rsidDel="000E7A0E">
          <w:delText xml:space="preserve"> </w:delText>
        </w:r>
      </w:del>
      <w:r>
        <w:t>на 4-седми</w:t>
      </w:r>
      <w:del w:id="191" w:author="Reviser" w:date="2026-04-27T19:16:00Z">
        <w:r w:rsidDel="000E7A0E">
          <w:delText>чно</w:delText>
        </w:r>
      </w:del>
      <w:ins w:id="192" w:author="Reviser" w:date="2026-04-27T19:16:00Z">
        <w:r w:rsidR="000E7A0E">
          <w:t>ци</w:t>
        </w:r>
      </w:ins>
      <w:del w:id="193" w:author="Reviser" w:date="2026-04-27T19:15:00Z">
        <w:r w:rsidDel="000E7A0E">
          <w:delText xml:space="preserve"> дозиране</w:delText>
        </w:r>
      </w:del>
      <w:r>
        <w:t>.</w:t>
      </w:r>
      <w:ins w:id="194" w:author="Reviser" w:date="2026-04-27T19:12:00Z">
        <w:r w:rsidR="000E7A0E">
          <w:t xml:space="preserve"> </w:t>
        </w:r>
      </w:ins>
      <w:r>
        <w:t>На 16</w:t>
      </w:r>
      <w:r>
        <w:rPr>
          <w:lang w:val="en-US"/>
        </w:rPr>
        <w:t> </w:t>
      </w:r>
      <w:r>
        <w:t>седмица след промяна на честотата на приложение, 95,0% (19/20) от пациентите, подходящи за оценка, показват клиничен отговор, а 50,0% (10/20) са в клинична ремисия.</w:t>
      </w:r>
    </w:p>
    <w:bookmarkEnd w:id="165"/>
    <w:p w14:paraId="109ACC23" w14:textId="7D61FBF0" w:rsidR="009B3384" w:rsidRDefault="00800862">
      <w:r>
        <w:t xml:space="preserve">Профилът на безопасност на схемата на индукционно приложение и на двете схеми на поддържащата схема на лечение при педиатричната популация </w:t>
      </w:r>
      <w:bookmarkStart w:id="195" w:name="_Hlk219655523"/>
      <w:r>
        <w:t xml:space="preserve">на 2 и повече години </w:t>
      </w:r>
      <w:bookmarkEnd w:id="195"/>
      <w:r>
        <w:t>е сравним с този, установен при популацията на възрастни с болест на Crohn (вж. точка 4.8).</w:t>
      </w:r>
    </w:p>
    <w:p w14:paraId="109ACC24" w14:textId="77777777" w:rsidR="009B3384" w:rsidRDefault="009B3384"/>
    <w:p w14:paraId="109ACC25" w14:textId="77777777" w:rsidR="009B3384" w:rsidRDefault="00800862">
      <w:pPr>
        <w:keepNext/>
        <w:widowControl w:val="0"/>
        <w:rPr>
          <w:i/>
        </w:rPr>
      </w:pPr>
      <w:r>
        <w:rPr>
          <w:i/>
        </w:rPr>
        <w:t>Серумни и фекални биомаркери на възпалението</w:t>
      </w:r>
    </w:p>
    <w:p w14:paraId="109ACC26" w14:textId="2EEABEB5" w:rsidR="009B3384" w:rsidRDefault="00800862">
      <w:pPr>
        <w:tabs>
          <w:tab w:val="clear" w:pos="567"/>
        </w:tabs>
        <w:textAlignment w:val="baseline"/>
        <w:rPr>
          <w:szCs w:val="22"/>
          <w:lang w:eastAsia="en-GB"/>
        </w:rPr>
      </w:pPr>
      <w:r>
        <w:rPr>
          <w:szCs w:val="22"/>
          <w:lang w:eastAsia="en-GB"/>
        </w:rPr>
        <w:t>Средната (SD) промяна спрямо изходното ниво при поддържащо лечение на седмица</w:t>
      </w:r>
      <w:r>
        <w:rPr>
          <w:szCs w:val="22"/>
          <w:lang w:val="en-US" w:eastAsia="en-GB"/>
        </w:rPr>
        <w:t> </w:t>
      </w:r>
      <w:r>
        <w:rPr>
          <w:szCs w:val="22"/>
          <w:lang w:eastAsia="en-GB"/>
        </w:rPr>
        <w:t>44 на концентрациите на С-реактивен протеин (CRP) и фекален калпротектин е съответно -</w:t>
      </w:r>
      <w:bookmarkStart w:id="196" w:name="_Hlk219655950"/>
      <w:r>
        <w:rPr>
          <w:szCs w:val="22"/>
          <w:lang w:eastAsia="en-GB"/>
        </w:rPr>
        <w:t> 6,65 (18,609) mg/</w:t>
      </w:r>
      <w:r>
        <w:rPr>
          <w:szCs w:val="22"/>
          <w:lang w:val="en-US" w:eastAsia="en-GB"/>
        </w:rPr>
        <w:t>l</w:t>
      </w:r>
      <w:r>
        <w:rPr>
          <w:szCs w:val="22"/>
          <w:lang w:eastAsia="en-GB"/>
        </w:rPr>
        <w:t xml:space="preserve"> и -716,9 (2597,66) </w:t>
      </w:r>
      <w:bookmarkEnd w:id="196"/>
      <w:r>
        <w:rPr>
          <w:szCs w:val="22"/>
          <w:lang w:eastAsia="en-GB"/>
        </w:rPr>
        <w:t>mg/kg (1271,33).</w:t>
      </w:r>
    </w:p>
    <w:p w14:paraId="109ACC27" w14:textId="77777777" w:rsidR="009B3384" w:rsidRDefault="009B3384">
      <w:pPr>
        <w:tabs>
          <w:tab w:val="clear" w:pos="567"/>
        </w:tabs>
        <w:textAlignment w:val="baseline"/>
        <w:rPr>
          <w:szCs w:val="22"/>
          <w:lang w:eastAsia="en-GB"/>
        </w:rPr>
      </w:pPr>
    </w:p>
    <w:p w14:paraId="109ACC28" w14:textId="77777777" w:rsidR="009B3384" w:rsidRDefault="00800862">
      <w:pPr>
        <w:keepNext/>
        <w:widowControl w:val="0"/>
        <w:rPr>
          <w:i/>
        </w:rPr>
      </w:pPr>
      <w:r>
        <w:rPr>
          <w:i/>
        </w:rPr>
        <w:t>Качество на живот, свързано със здравето</w:t>
      </w:r>
    </w:p>
    <w:p w14:paraId="109ACC29" w14:textId="77777777" w:rsidR="009B3384" w:rsidRDefault="00800862">
      <w:pPr>
        <w:tabs>
          <w:tab w:val="clear" w:pos="567"/>
        </w:tabs>
        <w:textAlignment w:val="baseline"/>
        <w:rPr>
          <w:szCs w:val="22"/>
          <w:lang w:eastAsia="en-GB"/>
        </w:rPr>
      </w:pPr>
      <w:r>
        <w:rPr>
          <w:szCs w:val="22"/>
          <w:lang w:eastAsia="en-GB"/>
        </w:rPr>
        <w:t>Общите скорове по IMPACT-III и всички поддомейни (чревни симптоми, системни симптоми, свързани с умора, и благосъстояние) показват клинично значими подобрения след 52</w:t>
      </w:r>
      <w:r>
        <w:rPr>
          <w:szCs w:val="22"/>
          <w:lang w:val="en-US" w:eastAsia="en-GB"/>
        </w:rPr>
        <w:t> </w:t>
      </w:r>
      <w:r>
        <w:rPr>
          <w:szCs w:val="22"/>
          <w:lang w:eastAsia="en-GB"/>
        </w:rPr>
        <w:t>седмици.</w:t>
      </w:r>
    </w:p>
    <w:bookmarkEnd w:id="142"/>
    <w:p w14:paraId="109ACC2B" w14:textId="77777777" w:rsidR="009B3384" w:rsidRDefault="009B3384">
      <w:pPr>
        <w:rPr>
          <w:ins w:id="197" w:author="Reviser" w:date="2026-04-27T19:18:00Z"/>
        </w:rPr>
      </w:pPr>
    </w:p>
    <w:p w14:paraId="7165D43A" w14:textId="0F32FEA3" w:rsidR="000E7A0E" w:rsidRPr="00BC6A43" w:rsidRDefault="00FB35FB" w:rsidP="000E7A0E">
      <w:pPr>
        <w:keepNext/>
        <w:widowControl w:val="0"/>
        <w:rPr>
          <w:ins w:id="198" w:author="Reviser" w:date="2026-04-27T19:18:00Z"/>
          <w:i/>
          <w:u w:val="single"/>
        </w:rPr>
      </w:pPr>
      <w:ins w:id="199" w:author="Reviser" w:date="2026-04-28T16:10:00Z">
        <w:r>
          <w:rPr>
            <w:i/>
            <w:u w:val="single"/>
          </w:rPr>
          <w:t>Улцерозен колит</w:t>
        </w:r>
      </w:ins>
      <w:ins w:id="200" w:author="Reviser" w:date="2026-04-27T19:18:00Z">
        <w:r w:rsidR="000E7A0E" w:rsidRPr="00BC6A43">
          <w:rPr>
            <w:i/>
            <w:u w:val="single"/>
          </w:rPr>
          <w:t xml:space="preserve"> при деца</w:t>
        </w:r>
      </w:ins>
    </w:p>
    <w:p w14:paraId="6A8BB08D" w14:textId="562D2EB2" w:rsidR="000E7A0E" w:rsidRDefault="000E7A0E" w:rsidP="000E7A0E">
      <w:pPr>
        <w:rPr>
          <w:ins w:id="201" w:author="Reviser" w:date="2026-04-27T19:18:00Z"/>
          <w:lang w:eastAsia="en-GB"/>
        </w:rPr>
      </w:pPr>
      <w:ins w:id="202" w:author="Reviser" w:date="2026-04-27T19:18:00Z">
        <w:r>
          <w:rPr>
            <w:lang w:eastAsia="en-GB"/>
          </w:rPr>
          <w:t>Безопасността и ефикасността на устекинумаб са оценени при 11</w:t>
        </w:r>
      </w:ins>
      <w:ins w:id="203" w:author="Reviser" w:date="2026-04-28T16:10:00Z">
        <w:r w:rsidR="00FB35FB">
          <w:rPr>
            <w:lang w:eastAsia="en-GB"/>
          </w:rPr>
          <w:t>2</w:t>
        </w:r>
      </w:ins>
      <w:ins w:id="204" w:author="Reviser" w:date="2026-04-27T19:18:00Z">
        <w:r>
          <w:rPr>
            <w:lang w:val="en-US" w:eastAsia="en-GB"/>
          </w:rPr>
          <w:t> </w:t>
        </w:r>
        <w:r>
          <w:rPr>
            <w:lang w:eastAsia="en-GB"/>
          </w:rPr>
          <w:t>педиатрични пациенти на 2 и повече години в многоцентрово проучване фаза</w:t>
        </w:r>
        <w:r>
          <w:rPr>
            <w:lang w:val="en-US" w:eastAsia="en-GB"/>
          </w:rPr>
          <w:t> </w:t>
        </w:r>
        <w:r>
          <w:rPr>
            <w:lang w:eastAsia="en-GB"/>
          </w:rPr>
          <w:t>3 (UNI</w:t>
        </w:r>
      </w:ins>
      <w:ins w:id="205" w:author="Reviser" w:date="2026-04-28T16:11:00Z">
        <w:r w:rsidR="00FB35FB">
          <w:rPr>
            <w:lang w:val="en-US" w:eastAsia="en-GB"/>
          </w:rPr>
          <w:t>F</w:t>
        </w:r>
      </w:ins>
      <w:ins w:id="206" w:author="Reviser" w:date="2026-04-27T19:18:00Z">
        <w:r>
          <w:rPr>
            <w:lang w:eastAsia="en-GB"/>
          </w:rPr>
          <w:t>I</w:t>
        </w:r>
      </w:ins>
      <w:ins w:id="207" w:author="Reviser" w:date="2026-04-28T16:11:00Z">
        <w:r w:rsidR="00FB35FB">
          <w:rPr>
            <w:lang w:eastAsia="en-GB"/>
          </w:rPr>
          <w:t xml:space="preserve"> </w:t>
        </w:r>
      </w:ins>
      <w:ins w:id="208" w:author="Reviser" w:date="2026-04-27T19:18:00Z">
        <w:r>
          <w:rPr>
            <w:lang w:eastAsia="en-GB"/>
          </w:rPr>
          <w:t xml:space="preserve">Jr) </w:t>
        </w:r>
      </w:ins>
      <w:ins w:id="209" w:author="Reviser" w:date="2026-04-29T18:35:00Z">
        <w:r w:rsidR="009F4AE5">
          <w:rPr>
            <w:lang w:eastAsia="en-GB"/>
          </w:rPr>
          <w:t>при</w:t>
        </w:r>
      </w:ins>
      <w:ins w:id="210" w:author="Reviser" w:date="2026-04-27T19:18:00Z">
        <w:r>
          <w:rPr>
            <w:lang w:eastAsia="en-GB"/>
          </w:rPr>
          <w:t xml:space="preserve"> педиатрични пациенти с умерен до теж</w:t>
        </w:r>
      </w:ins>
      <w:ins w:id="211" w:author="Reviser" w:date="2026-04-28T16:11:00Z">
        <w:r w:rsidR="00FB35FB">
          <w:rPr>
            <w:lang w:eastAsia="en-GB"/>
          </w:rPr>
          <w:t>ъ</w:t>
        </w:r>
      </w:ins>
      <w:ins w:id="212" w:author="Reviser" w:date="2026-04-27T19:18:00Z">
        <w:r>
          <w:rPr>
            <w:lang w:eastAsia="en-GB"/>
          </w:rPr>
          <w:t>к актив</w:t>
        </w:r>
      </w:ins>
      <w:ins w:id="213" w:author="Reviser" w:date="2026-04-28T16:11:00Z">
        <w:r w:rsidR="00FB35FB">
          <w:rPr>
            <w:lang w:eastAsia="en-GB"/>
          </w:rPr>
          <w:t>е</w:t>
        </w:r>
      </w:ins>
      <w:ins w:id="214" w:author="Reviser" w:date="2026-04-27T19:18:00Z">
        <w:r>
          <w:rPr>
            <w:lang w:eastAsia="en-GB"/>
          </w:rPr>
          <w:t xml:space="preserve">н </w:t>
        </w:r>
      </w:ins>
      <w:ins w:id="215" w:author="Reviser" w:date="2026-04-28T16:12:00Z">
        <w:r w:rsidR="00FB35FB">
          <w:rPr>
            <w:lang w:eastAsia="en-GB"/>
          </w:rPr>
          <w:t>улцерозен колит</w:t>
        </w:r>
      </w:ins>
      <w:ins w:id="216" w:author="Reviser" w:date="2026-04-27T19:18:00Z">
        <w:r>
          <w:rPr>
            <w:lang w:eastAsia="en-GB"/>
          </w:rPr>
          <w:t xml:space="preserve">. </w:t>
        </w:r>
      </w:ins>
      <w:ins w:id="217" w:author="Reviser" w:date="2026-04-28T16:13:00Z">
        <w:r w:rsidR="00FB35FB">
          <w:rPr>
            <w:lang w:eastAsia="en-GB"/>
          </w:rPr>
          <w:t xml:space="preserve">Оценката на заболяването се определя на </w:t>
        </w:r>
      </w:ins>
      <w:ins w:id="218" w:author="Reviser" w:date="2026-04-28T16:14:00Z">
        <w:r w:rsidR="00FB35FB">
          <w:rPr>
            <w:lang w:eastAsia="en-GB"/>
          </w:rPr>
          <w:t xml:space="preserve">изходно ниво (седмица 0) </w:t>
        </w:r>
      </w:ins>
      <w:ins w:id="219" w:author="Reviser" w:date="2026-04-28T16:13:00Z">
        <w:r w:rsidR="00FB35FB">
          <w:rPr>
            <w:lang w:eastAsia="en-GB"/>
          </w:rPr>
          <w:t xml:space="preserve">като </w:t>
        </w:r>
      </w:ins>
      <w:ins w:id="220" w:author="Reviser" w:date="2026-04-28T16:14:00Z">
        <w:r w:rsidR="00FB35FB" w:rsidRPr="320C7C1A">
          <w:rPr>
            <w:lang w:val="en-US"/>
          </w:rPr>
          <w:t>Mayo</w:t>
        </w:r>
        <w:r w:rsidR="00FB35FB" w:rsidRPr="00BB130F">
          <w:t xml:space="preserve"> </w:t>
        </w:r>
        <w:r w:rsidR="00FB35FB">
          <w:t>скор</w:t>
        </w:r>
        <w:r w:rsidR="00FB35FB" w:rsidRPr="00BB130F">
          <w:t xml:space="preserve"> 6 </w:t>
        </w:r>
        <w:r w:rsidR="00FB35FB">
          <w:t>до</w:t>
        </w:r>
        <w:r w:rsidR="00FB35FB" w:rsidRPr="00BB130F">
          <w:t xml:space="preserve"> 12, </w:t>
        </w:r>
        <w:r w:rsidR="00FB35FB">
          <w:t>включително</w:t>
        </w:r>
      </w:ins>
      <w:ins w:id="221" w:author="Reviser" w:date="2026-04-28T16:15:00Z">
        <w:r w:rsidR="00FB35FB">
          <w:t xml:space="preserve"> </w:t>
        </w:r>
      </w:ins>
      <w:ins w:id="222" w:author="Reviser" w:date="2026-04-28T16:30:00Z">
        <w:r w:rsidR="00334384">
          <w:t>ендоскопски</w:t>
        </w:r>
        <w:r w:rsidR="00334384" w:rsidRPr="00BB130F">
          <w:t xml:space="preserve"> </w:t>
        </w:r>
      </w:ins>
      <w:ins w:id="223" w:author="Reviser" w:date="2026-04-28T16:15:00Z">
        <w:r w:rsidR="00FB35FB">
          <w:t xml:space="preserve">подскор </w:t>
        </w:r>
      </w:ins>
      <w:ins w:id="224" w:author="Reviser" w:date="2026-04-28T16:14:00Z">
        <w:r w:rsidR="00FB35FB" w:rsidRPr="00BB130F">
          <w:t>≥2</w:t>
        </w:r>
      </w:ins>
      <w:ins w:id="225" w:author="Reviser" w:date="2026-04-28T16:15:00Z">
        <w:r w:rsidR="00FB35FB">
          <w:t>,</w:t>
        </w:r>
      </w:ins>
      <w:ins w:id="226" w:author="Reviser" w:date="2026-04-28T16:14:00Z">
        <w:r w:rsidR="00FB35FB" w:rsidRPr="00BB130F">
          <w:t xml:space="preserve"> </w:t>
        </w:r>
      </w:ins>
      <w:ins w:id="227" w:author="Reviser" w:date="2026-04-28T16:15:00Z">
        <w:r w:rsidR="00FB35FB">
          <w:t>определен чрез централен преглед на видеото</w:t>
        </w:r>
      </w:ins>
      <w:ins w:id="228" w:author="Reviser" w:date="2026-04-28T16:16:00Z">
        <w:r w:rsidR="00FB35FB">
          <w:t xml:space="preserve"> от ендоскопията</w:t>
        </w:r>
      </w:ins>
      <w:ins w:id="229" w:author="Reviser" w:date="2026-04-28T16:14:00Z">
        <w:r w:rsidR="00FB35FB" w:rsidRPr="00BB130F">
          <w:t xml:space="preserve">. </w:t>
        </w:r>
      </w:ins>
      <w:ins w:id="230" w:author="Reviser" w:date="2026-04-27T19:18:00Z">
        <w:r>
          <w:rPr>
            <w:lang w:eastAsia="en-GB"/>
          </w:rPr>
          <w:t xml:space="preserve">Проучването включва </w:t>
        </w:r>
      </w:ins>
      <w:ins w:id="231" w:author="Reviser" w:date="2026-04-28T16:16:00Z">
        <w:r w:rsidR="00FB35FB">
          <w:rPr>
            <w:lang w:eastAsia="en-GB"/>
          </w:rPr>
          <w:t>3</w:t>
        </w:r>
      </w:ins>
      <w:ins w:id="232" w:author="Reviser" w:date="2026-04-27T19:18:00Z">
        <w:r>
          <w:rPr>
            <w:lang w:eastAsia="en-GB"/>
          </w:rPr>
          <w:t xml:space="preserve"> пациенти на възраст между 2 и 5 години и </w:t>
        </w:r>
      </w:ins>
      <w:ins w:id="233" w:author="Reviser" w:date="2026-04-28T16:16:00Z">
        <w:r w:rsidR="00FB35FB">
          <w:rPr>
            <w:lang w:eastAsia="en-GB"/>
          </w:rPr>
          <w:t>27</w:t>
        </w:r>
      </w:ins>
      <w:ins w:id="234" w:author="Reviser" w:date="2026-04-27T19:18:00Z">
        <w:r>
          <w:rPr>
            <w:lang w:eastAsia="en-GB"/>
          </w:rPr>
          <w:t xml:space="preserve"> пациенти на възраст между 6 и 11 години</w:t>
        </w:r>
      </w:ins>
      <w:ins w:id="235" w:author="RABG09" w:date="2026-05-14T11:00:00Z">
        <w:r w:rsidR="00BA7441">
          <w:rPr>
            <w:lang w:eastAsia="en-GB"/>
          </w:rPr>
          <w:t>;</w:t>
        </w:r>
      </w:ins>
      <w:ins w:id="236" w:author="Reviser" w:date="2026-04-27T19:18:00Z">
        <w:r>
          <w:rPr>
            <w:lang w:eastAsia="en-GB"/>
          </w:rPr>
          <w:t xml:space="preserve"> </w:t>
        </w:r>
      </w:ins>
      <w:ins w:id="237" w:author="Reviser" w:date="2026-04-28T16:17:00Z">
        <w:r w:rsidR="00FB35FB">
          <w:rPr>
            <w:lang w:eastAsia="en-GB"/>
          </w:rPr>
          <w:t>34</w:t>
        </w:r>
      </w:ins>
      <w:ins w:id="238" w:author="Reviser" w:date="2026-04-27T19:18:00Z">
        <w:r>
          <w:rPr>
            <w:lang w:eastAsia="en-GB"/>
          </w:rPr>
          <w:t xml:space="preserve"> пациенти с тегло под 40</w:t>
        </w:r>
        <w:r>
          <w:rPr>
            <w:lang w:val="en-US" w:eastAsia="en-GB"/>
          </w:rPr>
          <w:t> </w:t>
        </w:r>
        <w:r>
          <w:rPr>
            <w:lang w:eastAsia="en-GB"/>
          </w:rPr>
          <w:t>kg, включително 1</w:t>
        </w:r>
      </w:ins>
      <w:ins w:id="239" w:author="Reviser" w:date="2026-04-28T16:17:00Z">
        <w:r w:rsidR="00FB35FB">
          <w:rPr>
            <w:lang w:eastAsia="en-GB"/>
          </w:rPr>
          <w:t>6</w:t>
        </w:r>
      </w:ins>
      <w:ins w:id="240" w:author="Reviser" w:date="2026-04-27T19:18:00Z">
        <w:r>
          <w:rPr>
            <w:lang w:eastAsia="en-GB"/>
          </w:rPr>
          <w:t xml:space="preserve"> пациенти с тегло под 30</w:t>
        </w:r>
        <w:r>
          <w:rPr>
            <w:lang w:val="en-US" w:eastAsia="en-GB"/>
          </w:rPr>
          <w:t> </w:t>
        </w:r>
        <w:r>
          <w:rPr>
            <w:lang w:eastAsia="en-GB"/>
          </w:rPr>
          <w:t xml:space="preserve">kg. Пациентите, включени в проучването, </w:t>
        </w:r>
        <w:r>
          <w:rPr>
            <w:lang w:eastAsia="en-GB"/>
          </w:rPr>
          <w:lastRenderedPageBreak/>
          <w:t xml:space="preserve">са имали </w:t>
        </w:r>
      </w:ins>
      <w:ins w:id="241" w:author="Reviser" w:date="2026-04-28T16:18:00Z">
        <w:r w:rsidR="00FB35FB">
          <w:rPr>
            <w:lang w:eastAsia="en-GB"/>
          </w:rPr>
          <w:t>неуспешна терапия с</w:t>
        </w:r>
      </w:ins>
      <w:ins w:id="242" w:author="Reviser" w:date="2026-04-27T19:18:00Z">
        <w:r>
          <w:rPr>
            <w:lang w:eastAsia="en-GB"/>
          </w:rPr>
          <w:t xml:space="preserve"> биологичн</w:t>
        </w:r>
      </w:ins>
      <w:ins w:id="243" w:author="Reviser" w:date="2026-04-28T16:19:00Z">
        <w:r w:rsidR="00FB35FB">
          <w:rPr>
            <w:lang w:eastAsia="en-GB"/>
          </w:rPr>
          <w:t>и средства, кортикостероиди или имуномодулатори</w:t>
        </w:r>
      </w:ins>
      <w:ins w:id="244" w:author="Reviser" w:date="2026-04-27T19:18:00Z">
        <w:r>
          <w:rPr>
            <w:lang w:eastAsia="en-GB"/>
          </w:rPr>
          <w:t>. Проучването включва открито индукционно лечение с единична интравенозна доза устекинумаб приблизително 6</w:t>
        </w:r>
        <w:r>
          <w:rPr>
            <w:lang w:val="en-US" w:eastAsia="en-GB"/>
          </w:rPr>
          <w:t> </w:t>
        </w:r>
        <w:r>
          <w:rPr>
            <w:lang w:eastAsia="en-GB"/>
          </w:rPr>
          <w:t>mg/kg (пациенти с тегло най-малко 40</w:t>
        </w:r>
        <w:r>
          <w:rPr>
            <w:lang w:val="en-US" w:eastAsia="en-GB"/>
          </w:rPr>
          <w:t> </w:t>
        </w:r>
        <w:r>
          <w:rPr>
            <w:lang w:eastAsia="en-GB"/>
          </w:rPr>
          <w:t>kg) или 250</w:t>
        </w:r>
        <w:r>
          <w:rPr>
            <w:lang w:val="en-US" w:eastAsia="en-GB"/>
          </w:rPr>
          <w:t> </w:t>
        </w:r>
        <w:r>
          <w:rPr>
            <w:lang w:eastAsia="en-GB"/>
          </w:rPr>
          <w:t>mg/m</w:t>
        </w:r>
        <w:r w:rsidRPr="00BC6A43">
          <w:rPr>
            <w:vertAlign w:val="superscript"/>
            <w:lang w:eastAsia="en-GB"/>
          </w:rPr>
          <w:t>2</w:t>
        </w:r>
        <w:r>
          <w:rPr>
            <w:lang w:eastAsia="en-GB"/>
          </w:rPr>
          <w:t xml:space="preserve"> (пациенти с тегло под 40</w:t>
        </w:r>
        <w:r>
          <w:rPr>
            <w:lang w:val="en-US" w:eastAsia="en-GB"/>
          </w:rPr>
          <w:t> </w:t>
        </w:r>
        <w:r>
          <w:rPr>
            <w:lang w:eastAsia="en-GB"/>
          </w:rPr>
          <w:t>kg въз основа на BSA) (вж. точка</w:t>
        </w:r>
        <w:r>
          <w:rPr>
            <w:lang w:val="en-US" w:eastAsia="en-GB"/>
          </w:rPr>
          <w:t> </w:t>
        </w:r>
        <w:r>
          <w:rPr>
            <w:lang w:eastAsia="en-GB"/>
          </w:rPr>
          <w:t>4.2), последвано от рандомизирана двойносляпа поддържаща схема с подкожно приложение на 90</w:t>
        </w:r>
        <w:r>
          <w:rPr>
            <w:lang w:val="en-US" w:eastAsia="en-GB"/>
          </w:rPr>
          <w:t> </w:t>
        </w:r>
        <w:r>
          <w:rPr>
            <w:lang w:eastAsia="en-GB"/>
          </w:rPr>
          <w:t>mg устекинумаб (пациенти с тегло най-малко 40</w:t>
        </w:r>
        <w:r>
          <w:rPr>
            <w:lang w:val="en-US" w:eastAsia="en-GB"/>
          </w:rPr>
          <w:t> </w:t>
        </w:r>
        <w:r>
          <w:rPr>
            <w:lang w:eastAsia="en-GB"/>
          </w:rPr>
          <w:t>kg) или 60</w:t>
        </w:r>
        <w:r>
          <w:rPr>
            <w:lang w:val="en-US" w:eastAsia="en-GB"/>
          </w:rPr>
          <w:t> </w:t>
        </w:r>
        <w:r>
          <w:rPr>
            <w:lang w:eastAsia="en-GB"/>
          </w:rPr>
          <w:t>mg/m</w:t>
        </w:r>
        <w:r>
          <w:rPr>
            <w:vertAlign w:val="superscript"/>
            <w:lang w:eastAsia="en-GB"/>
          </w:rPr>
          <w:t>2</w:t>
        </w:r>
        <w:r>
          <w:rPr>
            <w:lang w:eastAsia="en-GB"/>
          </w:rPr>
          <w:t xml:space="preserve"> (пациенти с тегло под 40</w:t>
        </w:r>
        <w:r>
          <w:rPr>
            <w:lang w:val="en-US" w:eastAsia="en-GB"/>
          </w:rPr>
          <w:t> </w:t>
        </w:r>
        <w:r>
          <w:rPr>
            <w:lang w:eastAsia="en-GB"/>
          </w:rPr>
          <w:t xml:space="preserve">kg въз основа на BSA) (вж. </w:t>
        </w:r>
      </w:ins>
      <w:ins w:id="245" w:author="Reviser" w:date="2026-04-28T16:20:00Z">
        <w:r w:rsidR="00334384">
          <w:rPr>
            <w:lang w:eastAsia="en-GB"/>
          </w:rPr>
          <w:t>т</w:t>
        </w:r>
      </w:ins>
      <w:ins w:id="246" w:author="Reviser" w:date="2026-04-27T19:18:00Z">
        <w:r>
          <w:rPr>
            <w:lang w:eastAsia="en-GB"/>
          </w:rPr>
          <w:t>очка</w:t>
        </w:r>
        <w:r>
          <w:rPr>
            <w:lang w:val="en-US" w:eastAsia="en-GB"/>
          </w:rPr>
          <w:t> </w:t>
        </w:r>
        <w:r>
          <w:rPr>
            <w:lang w:eastAsia="en-GB"/>
          </w:rPr>
          <w:t>4.2 от КХП на STELARA инжекционен разтвор (флакон) и инжекционен разтвор в предварително напълнена спринцовка) на всеки 8</w:t>
        </w:r>
        <w:r>
          <w:rPr>
            <w:lang w:val="en-US" w:eastAsia="en-GB"/>
          </w:rPr>
          <w:t> </w:t>
        </w:r>
        <w:r>
          <w:rPr>
            <w:lang w:eastAsia="en-GB"/>
          </w:rPr>
          <w:t>седмици или на всеки 12</w:t>
        </w:r>
        <w:r>
          <w:rPr>
            <w:lang w:val="en-US" w:eastAsia="en-GB"/>
          </w:rPr>
          <w:t> </w:t>
        </w:r>
        <w:r>
          <w:rPr>
            <w:lang w:eastAsia="en-GB"/>
          </w:rPr>
          <w:t>седмици.</w:t>
        </w:r>
      </w:ins>
    </w:p>
    <w:p w14:paraId="0C00F841" w14:textId="77777777" w:rsidR="000E7A0E" w:rsidRDefault="000E7A0E" w:rsidP="000E7A0E">
      <w:pPr>
        <w:rPr>
          <w:ins w:id="247" w:author="Reviser" w:date="2026-04-27T19:18:00Z"/>
        </w:rPr>
      </w:pPr>
    </w:p>
    <w:p w14:paraId="1C407FBA" w14:textId="77777777" w:rsidR="000E7A0E" w:rsidRDefault="000E7A0E" w:rsidP="000E7A0E">
      <w:pPr>
        <w:keepNext/>
        <w:widowControl w:val="0"/>
        <w:rPr>
          <w:ins w:id="248" w:author="Reviser" w:date="2026-04-27T19:18:00Z"/>
          <w:i/>
        </w:rPr>
      </w:pPr>
      <w:ins w:id="249" w:author="Reviser" w:date="2026-04-27T19:18:00Z">
        <w:r>
          <w:rPr>
            <w:i/>
          </w:rPr>
          <w:t>Резултати за ефикасност</w:t>
        </w:r>
      </w:ins>
    </w:p>
    <w:p w14:paraId="7170B931" w14:textId="014EF487" w:rsidR="000E7A0E" w:rsidRDefault="000E7A0E" w:rsidP="000E7A0E">
      <w:pPr>
        <w:rPr>
          <w:ins w:id="250" w:author="Reviser" w:date="2026-04-27T19:18:00Z"/>
          <w:lang w:eastAsia="en-GB"/>
        </w:rPr>
      </w:pPr>
      <w:ins w:id="251" w:author="Reviser" w:date="2026-04-27T19:18:00Z">
        <w:r>
          <w:rPr>
            <w:lang w:eastAsia="en-GB"/>
          </w:rPr>
          <w:t>Първичната крайна точка на проучването е клинична ремисия на седмица</w:t>
        </w:r>
        <w:r>
          <w:rPr>
            <w:lang w:val="en-US" w:eastAsia="en-GB"/>
          </w:rPr>
          <w:t> </w:t>
        </w:r>
        <w:r>
          <w:rPr>
            <w:lang w:eastAsia="en-GB"/>
          </w:rPr>
          <w:t xml:space="preserve">8 от индукцията (дефинирана </w:t>
        </w:r>
        <w:del w:id="252" w:author="BG" w:date="2026-06-30T14:18:00Z">
          <w:r w:rsidDel="000F52A0">
            <w:rPr>
              <w:lang w:eastAsia="en-GB"/>
            </w:rPr>
            <w:delText>като</w:delText>
          </w:r>
        </w:del>
      </w:ins>
      <w:ins w:id="253" w:author="BG" w:date="2026-06-30T14:18:00Z">
        <w:r w:rsidR="000F52A0">
          <w:rPr>
            <w:lang w:eastAsia="en-GB"/>
          </w:rPr>
          <w:t>чрез</w:t>
        </w:r>
      </w:ins>
      <w:ins w:id="254" w:author="Reviser" w:date="2026-04-27T19:18:00Z">
        <w:r>
          <w:rPr>
            <w:lang w:eastAsia="en-GB"/>
          </w:rPr>
          <w:t xml:space="preserve"> </w:t>
        </w:r>
      </w:ins>
      <w:ins w:id="255" w:author="Reviser" w:date="2026-04-28T16:27:00Z">
        <w:r w:rsidR="00334384" w:rsidRPr="00334384">
          <w:rPr>
            <w:lang w:eastAsia="en-GB"/>
          </w:rPr>
          <w:t>подскор</w:t>
        </w:r>
      </w:ins>
      <w:ins w:id="256" w:author="Reviser" w:date="2026-04-28T16:28:00Z">
        <w:r w:rsidR="00334384">
          <w:rPr>
            <w:lang w:eastAsia="en-GB"/>
          </w:rPr>
          <w:t>ове</w:t>
        </w:r>
      </w:ins>
      <w:ins w:id="257" w:author="Reviser" w:date="2026-04-28T16:27:00Z">
        <w:r w:rsidR="00334384" w:rsidRPr="00334384">
          <w:rPr>
            <w:lang w:eastAsia="en-GB"/>
          </w:rPr>
          <w:t xml:space="preserve"> по Mayo както следва: подскор за честота на дефекация 0 или 1, подскор за ректално кървене 0 и </w:t>
        </w:r>
      </w:ins>
      <w:ins w:id="258" w:author="Reviser" w:date="2026-04-28T16:31:00Z">
        <w:r w:rsidR="00E6434C" w:rsidRPr="00334384">
          <w:rPr>
            <w:lang w:eastAsia="en-GB"/>
          </w:rPr>
          <w:t>ендоскоп</w:t>
        </w:r>
        <w:r w:rsidR="00E6434C">
          <w:rPr>
            <w:lang w:eastAsia="en-GB"/>
          </w:rPr>
          <w:t xml:space="preserve">ски </w:t>
        </w:r>
      </w:ins>
      <w:ins w:id="259" w:author="Reviser" w:date="2026-04-28T16:27:00Z">
        <w:r w:rsidR="00334384" w:rsidRPr="00334384">
          <w:rPr>
            <w:lang w:eastAsia="en-GB"/>
          </w:rPr>
          <w:t xml:space="preserve">подскор 0 или 1 без наличие на </w:t>
        </w:r>
      </w:ins>
      <w:ins w:id="260" w:author="Italian LOC" w:date="2026-05-11T17:07:00Z">
        <w:r w:rsidR="000A29CF">
          <w:rPr>
            <w:lang w:eastAsia="en-GB"/>
          </w:rPr>
          <w:t>ранимост</w:t>
        </w:r>
      </w:ins>
      <w:ins w:id="261" w:author="RABG09" w:date="2026-05-14T11:08:00Z">
        <w:r w:rsidR="00076BBF">
          <w:rPr>
            <w:lang w:eastAsia="en-GB"/>
          </w:rPr>
          <w:t xml:space="preserve"> </w:t>
        </w:r>
      </w:ins>
      <w:ins w:id="262" w:author="Reviser" w:date="2026-04-28T16:27:00Z">
        <w:r w:rsidR="00334384" w:rsidRPr="00334384">
          <w:rPr>
            <w:lang w:eastAsia="en-GB"/>
          </w:rPr>
          <w:t>при ендоскопско</w:t>
        </w:r>
      </w:ins>
      <w:ins w:id="263" w:author="BG" w:date="2026-06-30T14:23:00Z">
        <w:r w:rsidR="00E96B96">
          <w:rPr>
            <w:lang w:eastAsia="en-GB"/>
          </w:rPr>
          <w:t>пията</w:t>
        </w:r>
      </w:ins>
      <w:ins w:id="264" w:author="Reviser" w:date="2026-04-28T16:27:00Z">
        <w:del w:id="265" w:author="BG" w:date="2026-06-30T14:23:00Z">
          <w:r w:rsidR="00334384" w:rsidRPr="00334384" w:rsidDel="00E96B96">
            <w:rPr>
              <w:lang w:eastAsia="en-GB"/>
            </w:rPr>
            <w:delText>то изследване</w:delText>
          </w:r>
        </w:del>
        <w:r w:rsidR="00334384" w:rsidRPr="00334384">
          <w:rPr>
            <w:lang w:eastAsia="en-GB"/>
          </w:rPr>
          <w:t>, като подскорът за честота на дефекация не се повишава спрямо изходн</w:t>
        </w:r>
      </w:ins>
      <w:ins w:id="266" w:author="BG" w:date="2026-06-30T13:51:00Z">
        <w:r w:rsidR="00812A19">
          <w:rPr>
            <w:lang w:eastAsia="en-GB"/>
          </w:rPr>
          <w:t xml:space="preserve">ото ниво </w:t>
        </w:r>
      </w:ins>
      <w:ins w:id="267" w:author="BG" w:date="2026-06-30T13:52:00Z">
        <w:r w:rsidR="00812A19">
          <w:rPr>
            <w:lang w:eastAsia="en-GB"/>
          </w:rPr>
          <w:t>при</w:t>
        </w:r>
      </w:ins>
      <w:ins w:id="268" w:author="Reviser" w:date="2026-04-28T16:27:00Z">
        <w:del w:id="269" w:author="BG" w:date="2026-06-30T13:51:00Z">
          <w:r w:rsidR="00334384" w:rsidRPr="00334384" w:rsidDel="00812A19">
            <w:rPr>
              <w:lang w:eastAsia="en-GB"/>
            </w:rPr>
            <w:delText>ите</w:delText>
          </w:r>
        </w:del>
        <w:r w:rsidR="00334384" w:rsidRPr="00334384">
          <w:rPr>
            <w:lang w:eastAsia="en-GB"/>
          </w:rPr>
          <w:t xml:space="preserve"> индукци</w:t>
        </w:r>
      </w:ins>
      <w:ins w:id="270" w:author="BG" w:date="2026-06-30T13:51:00Z">
        <w:r w:rsidR="00812A19">
          <w:rPr>
            <w:lang w:eastAsia="en-GB"/>
          </w:rPr>
          <w:t>я</w:t>
        </w:r>
      </w:ins>
      <w:ins w:id="271" w:author="BG" w:date="2026-06-30T13:52:00Z">
        <w:r w:rsidR="00812A19">
          <w:rPr>
            <w:lang w:eastAsia="en-GB"/>
          </w:rPr>
          <w:t>та</w:t>
        </w:r>
      </w:ins>
      <w:ins w:id="272" w:author="Reviser" w:date="2026-04-28T16:27:00Z">
        <w:del w:id="273" w:author="BG" w:date="2026-06-30T13:51:00Z">
          <w:r w:rsidR="00334384" w:rsidRPr="00334384" w:rsidDel="00812A19">
            <w:rPr>
              <w:lang w:eastAsia="en-GB"/>
            </w:rPr>
            <w:delText>онни стойности</w:delText>
          </w:r>
        </w:del>
      </w:ins>
      <w:ins w:id="274" w:author="Reviser" w:date="2026-04-27T19:18:00Z">
        <w:r>
          <w:rPr>
            <w:lang w:eastAsia="en-GB"/>
          </w:rPr>
          <w:t xml:space="preserve">). Процентът на пациентите, постигнали клинична ремисия, е </w:t>
        </w:r>
      </w:ins>
      <w:ins w:id="275" w:author="Reviser" w:date="2026-04-28T16:22:00Z">
        <w:r w:rsidR="00334384">
          <w:rPr>
            <w:lang w:eastAsia="en-GB"/>
          </w:rPr>
          <w:t>2</w:t>
        </w:r>
      </w:ins>
      <w:ins w:id="276" w:author="Reviser" w:date="2026-04-27T19:18:00Z">
        <w:r>
          <w:rPr>
            <w:lang w:eastAsia="en-GB"/>
          </w:rPr>
          <w:t>5</w:t>
        </w:r>
      </w:ins>
      <w:ins w:id="277" w:author="Reviser" w:date="2026-04-28T16:22:00Z">
        <w:r w:rsidR="00334384">
          <w:rPr>
            <w:lang w:eastAsia="en-GB"/>
          </w:rPr>
          <w:t>,0</w:t>
        </w:r>
      </w:ins>
      <w:ins w:id="278" w:author="Reviser" w:date="2026-04-27T19:18:00Z">
        <w:r>
          <w:rPr>
            <w:lang w:eastAsia="en-GB"/>
          </w:rPr>
          <w:t>% (</w:t>
        </w:r>
      </w:ins>
      <w:ins w:id="279" w:author="Reviser" w:date="2026-04-28T16:22:00Z">
        <w:r w:rsidR="00334384">
          <w:rPr>
            <w:lang w:eastAsia="en-GB"/>
          </w:rPr>
          <w:t>28</w:t>
        </w:r>
      </w:ins>
      <w:ins w:id="280" w:author="Reviser" w:date="2026-04-27T19:18:00Z">
        <w:r>
          <w:rPr>
            <w:lang w:eastAsia="en-GB"/>
          </w:rPr>
          <w:t>/11</w:t>
        </w:r>
      </w:ins>
      <w:ins w:id="281" w:author="Reviser" w:date="2026-04-28T16:22:00Z">
        <w:r w:rsidR="00334384">
          <w:rPr>
            <w:lang w:eastAsia="en-GB"/>
          </w:rPr>
          <w:t>2</w:t>
        </w:r>
      </w:ins>
      <w:ins w:id="282" w:author="Reviser" w:date="2026-04-27T19:18:00Z">
        <w:r>
          <w:rPr>
            <w:lang w:eastAsia="en-GB"/>
          </w:rPr>
          <w:t>) и е сравним с този, наблюдаван в проучванията фаза</w:t>
        </w:r>
        <w:r>
          <w:rPr>
            <w:lang w:val="en-US" w:eastAsia="en-GB"/>
          </w:rPr>
          <w:t> </w:t>
        </w:r>
        <w:r>
          <w:rPr>
            <w:lang w:eastAsia="en-GB"/>
          </w:rPr>
          <w:t>3 на устекинумаб при възрастни.</w:t>
        </w:r>
      </w:ins>
    </w:p>
    <w:p w14:paraId="0C7D769A" w14:textId="77777777" w:rsidR="000E7A0E" w:rsidRDefault="000E7A0E" w:rsidP="000E7A0E">
      <w:pPr>
        <w:rPr>
          <w:ins w:id="283" w:author="Reviser" w:date="2026-04-28T16:36:00Z"/>
          <w:lang w:eastAsia="en-GB"/>
        </w:rPr>
      </w:pPr>
    </w:p>
    <w:p w14:paraId="098A38BF" w14:textId="2F5B771A" w:rsidR="00D353B4" w:rsidRDefault="00D353B4" w:rsidP="00D353B4">
      <w:pPr>
        <w:rPr>
          <w:ins w:id="284" w:author="Reviser" w:date="2026-04-28T16:40:00Z"/>
          <w:lang w:eastAsia="en-GB"/>
        </w:rPr>
      </w:pPr>
      <w:ins w:id="285" w:author="Reviser" w:date="2026-04-28T16:36:00Z">
        <w:r>
          <w:rPr>
            <w:lang w:eastAsia="en-GB"/>
          </w:rPr>
          <w:t xml:space="preserve">Към седмица 8 от индукцията клинична ремисия е постигната при 29,4% от пациентите (20/68) с неуспех на небиологичното лечение в сравнение с 18,2% от пациентите (8/44) с неуспех на биологичното лечение. 54 (48,2%) от 112 пациенти постигат симптоматична ремисия (определена като подскор по Mayo за честота на дефекация 0 или 1 и подскор за ректално кървене 0, при което подскорът за честота на дефекация не се повишава </w:t>
        </w:r>
        <w:r w:rsidRPr="00334384">
          <w:rPr>
            <w:lang w:eastAsia="en-GB"/>
          </w:rPr>
          <w:t>спрямо изходн</w:t>
        </w:r>
      </w:ins>
      <w:ins w:id="286" w:author="BG" w:date="2026-06-30T13:53:00Z">
        <w:r w:rsidR="00812A19">
          <w:rPr>
            <w:lang w:eastAsia="en-GB"/>
          </w:rPr>
          <w:t>ото ниво</w:t>
        </w:r>
      </w:ins>
      <w:ins w:id="287" w:author="Reviser" w:date="2026-04-28T16:36:00Z">
        <w:del w:id="288" w:author="BG" w:date="2026-06-30T13:53:00Z">
          <w:r w:rsidRPr="00334384" w:rsidDel="00812A19">
            <w:rPr>
              <w:lang w:eastAsia="en-GB"/>
            </w:rPr>
            <w:delText>ит</w:delText>
          </w:r>
        </w:del>
      </w:ins>
      <w:ins w:id="289" w:author="BG" w:date="2026-06-30T13:57:00Z">
        <w:r w:rsidR="00812A19">
          <w:rPr>
            <w:lang w:eastAsia="en-GB"/>
          </w:rPr>
          <w:t xml:space="preserve"> при</w:t>
        </w:r>
      </w:ins>
      <w:ins w:id="290" w:author="Reviser" w:date="2026-04-28T16:36:00Z">
        <w:del w:id="291" w:author="BG" w:date="2026-06-30T13:57:00Z">
          <w:r w:rsidRPr="00334384" w:rsidDel="00812A19">
            <w:rPr>
              <w:lang w:eastAsia="en-GB"/>
            </w:rPr>
            <w:delText>е</w:delText>
          </w:r>
        </w:del>
        <w:r w:rsidRPr="00334384">
          <w:rPr>
            <w:lang w:eastAsia="en-GB"/>
          </w:rPr>
          <w:t xml:space="preserve"> индукци</w:t>
        </w:r>
      </w:ins>
      <w:ins w:id="292" w:author="BG" w:date="2026-06-30T13:57:00Z">
        <w:r w:rsidR="00812A19">
          <w:rPr>
            <w:lang w:eastAsia="en-GB"/>
          </w:rPr>
          <w:t>ят</w:t>
        </w:r>
      </w:ins>
      <w:ins w:id="293" w:author="BG" w:date="2026-06-30T14:10:00Z">
        <w:r w:rsidR="0041322B">
          <w:rPr>
            <w:lang w:eastAsia="en-GB"/>
          </w:rPr>
          <w:t>а</w:t>
        </w:r>
      </w:ins>
      <w:ins w:id="294" w:author="Reviser" w:date="2026-04-28T16:36:00Z">
        <w:del w:id="295" w:author="BG" w:date="2026-06-30T13:57:00Z">
          <w:r w:rsidRPr="00334384" w:rsidDel="00812A19">
            <w:rPr>
              <w:lang w:eastAsia="en-GB"/>
            </w:rPr>
            <w:delText>онни стойности</w:delText>
          </w:r>
        </w:del>
        <w:r>
          <w:rPr>
            <w:lang w:eastAsia="en-GB"/>
          </w:rPr>
          <w:t>).</w:t>
        </w:r>
      </w:ins>
    </w:p>
    <w:p w14:paraId="4707BBF8" w14:textId="77777777" w:rsidR="00D353B4" w:rsidRDefault="00D353B4" w:rsidP="00D353B4">
      <w:pPr>
        <w:rPr>
          <w:ins w:id="296" w:author="Reviser" w:date="2026-04-28T16:40:00Z"/>
          <w:lang w:eastAsia="en-GB"/>
        </w:rPr>
      </w:pPr>
    </w:p>
    <w:p w14:paraId="443BB7B4" w14:textId="04D9209A" w:rsidR="000E7A0E" w:rsidRDefault="000E7A0E" w:rsidP="000E7A0E">
      <w:pPr>
        <w:rPr>
          <w:ins w:id="297" w:author="Reviser" w:date="2026-04-27T19:18:00Z"/>
          <w:lang w:eastAsia="en-GB"/>
        </w:rPr>
      </w:pPr>
      <w:ins w:id="298" w:author="Reviser" w:date="2026-04-27T19:18:00Z">
        <w:r>
          <w:rPr>
            <w:lang w:eastAsia="en-GB"/>
          </w:rPr>
          <w:t>Процентът на пациентите с клиничен отговор на седмица</w:t>
        </w:r>
        <w:r>
          <w:rPr>
            <w:lang w:val="en-US" w:eastAsia="en-GB"/>
          </w:rPr>
          <w:t> </w:t>
        </w:r>
        <w:r>
          <w:rPr>
            <w:lang w:eastAsia="en-GB"/>
          </w:rPr>
          <w:t>8</w:t>
        </w:r>
      </w:ins>
      <w:ins w:id="299" w:author="Reviser" w:date="2026-04-28T16:41:00Z">
        <w:r w:rsidR="00D353B4">
          <w:rPr>
            <w:lang w:eastAsia="en-GB"/>
          </w:rPr>
          <w:t xml:space="preserve"> </w:t>
        </w:r>
        <w:r w:rsidR="00D353B4" w:rsidRPr="00D353B4">
          <w:rPr>
            <w:lang w:eastAsia="en-GB"/>
          </w:rPr>
          <w:t>от индукцията</w:t>
        </w:r>
      </w:ins>
      <w:ins w:id="300" w:author="Reviser" w:date="2026-04-27T19:18:00Z">
        <w:r>
          <w:rPr>
            <w:lang w:eastAsia="en-GB"/>
          </w:rPr>
          <w:t xml:space="preserve"> (дефиниран като намаление спрямо изходното ниво на </w:t>
        </w:r>
      </w:ins>
      <w:ins w:id="301" w:author="Reviser" w:date="2026-04-28T16:42:00Z">
        <w:r w:rsidR="00254420">
          <w:rPr>
            <w:lang w:eastAsia="en-GB"/>
          </w:rPr>
          <w:t>модифициран</w:t>
        </w:r>
      </w:ins>
      <w:ins w:id="302" w:author="Reviser" w:date="2026-04-27T19:18:00Z">
        <w:r>
          <w:rPr>
            <w:lang w:eastAsia="en-GB"/>
          </w:rPr>
          <w:t xml:space="preserve">ия скор по </w:t>
        </w:r>
      </w:ins>
      <w:ins w:id="303" w:author="Reviser" w:date="2026-04-28T16:42:00Z">
        <w:r w:rsidR="00254420" w:rsidRPr="00EB01C0">
          <w:rPr>
            <w:szCs w:val="22"/>
            <w:lang w:eastAsia="en-GB"/>
          </w:rPr>
          <w:t xml:space="preserve">Mayo </w:t>
        </w:r>
      </w:ins>
      <w:ins w:id="304" w:author="Reviser" w:date="2026-04-28T16:43:00Z">
        <w:r w:rsidR="00254420">
          <w:rPr>
            <w:szCs w:val="22"/>
            <w:lang w:eastAsia="en-GB"/>
          </w:rPr>
          <w:t xml:space="preserve">с </w:t>
        </w:r>
        <w:r w:rsidR="00254420" w:rsidRPr="00EB01C0">
          <w:rPr>
            <w:szCs w:val="22"/>
            <w:lang w:eastAsia="en-GB"/>
          </w:rPr>
          <w:t xml:space="preserve">≥30% </w:t>
        </w:r>
        <w:r w:rsidR="00254420">
          <w:rPr>
            <w:szCs w:val="22"/>
            <w:lang w:eastAsia="en-GB"/>
          </w:rPr>
          <w:t xml:space="preserve">и </w:t>
        </w:r>
        <w:r w:rsidR="00254420" w:rsidRPr="00EB01C0">
          <w:rPr>
            <w:szCs w:val="22"/>
            <w:lang w:eastAsia="en-GB"/>
          </w:rPr>
          <w:t>≥2</w:t>
        </w:r>
        <w:r w:rsidR="00254420">
          <w:rPr>
            <w:szCs w:val="22"/>
            <w:lang w:eastAsia="en-GB"/>
          </w:rPr>
          <w:t> </w:t>
        </w:r>
      </w:ins>
      <w:ins w:id="305" w:author="Reviser" w:date="2026-04-27T19:18:00Z">
        <w:r>
          <w:rPr>
            <w:lang w:eastAsia="en-GB"/>
          </w:rPr>
          <w:t xml:space="preserve">точки </w:t>
        </w:r>
      </w:ins>
      <w:ins w:id="306" w:author="Reviser" w:date="2026-04-28T16:44:00Z">
        <w:r w:rsidR="00254420">
          <w:rPr>
            <w:lang w:eastAsia="en-GB"/>
          </w:rPr>
          <w:t xml:space="preserve">или </w:t>
        </w:r>
      </w:ins>
      <w:ins w:id="307" w:author="Reviser" w:date="2026-04-28T16:48:00Z">
        <w:r w:rsidR="00254420">
          <w:rPr>
            <w:lang w:eastAsia="en-GB"/>
          </w:rPr>
          <w:t xml:space="preserve">с </w:t>
        </w:r>
      </w:ins>
      <w:ins w:id="308" w:author="Reviser" w:date="2026-04-28T16:45:00Z">
        <w:r w:rsidR="00254420">
          <w:rPr>
            <w:lang w:eastAsia="en-GB"/>
          </w:rPr>
          <w:t xml:space="preserve">намаление спрямо изходното ниво на подскора за ректално кървене с </w:t>
        </w:r>
      </w:ins>
      <w:ins w:id="309" w:author="Reviser" w:date="2026-04-28T16:44:00Z">
        <w:r w:rsidR="00254420" w:rsidRPr="00EB01C0">
          <w:rPr>
            <w:szCs w:val="22"/>
            <w:lang w:eastAsia="en-GB"/>
          </w:rPr>
          <w:t>≥1</w:t>
        </w:r>
      </w:ins>
      <w:ins w:id="310" w:author="Reviser" w:date="2026-04-28T16:47:00Z">
        <w:r w:rsidR="00254420">
          <w:rPr>
            <w:szCs w:val="22"/>
            <w:lang w:eastAsia="en-GB"/>
          </w:rPr>
          <w:t>,</w:t>
        </w:r>
      </w:ins>
      <w:ins w:id="311" w:author="Reviser" w:date="2026-04-28T16:44:00Z">
        <w:r w:rsidR="00254420" w:rsidRPr="00EB01C0">
          <w:rPr>
            <w:szCs w:val="22"/>
            <w:lang w:eastAsia="en-GB"/>
          </w:rPr>
          <w:t xml:space="preserve"> </w:t>
        </w:r>
      </w:ins>
      <w:ins w:id="312" w:author="Reviser" w:date="2026-04-28T16:45:00Z">
        <w:r w:rsidR="00254420">
          <w:rPr>
            <w:szCs w:val="22"/>
            <w:lang w:eastAsia="en-GB"/>
          </w:rPr>
          <w:t xml:space="preserve">или </w:t>
        </w:r>
      </w:ins>
      <w:ins w:id="313" w:author="Reviser" w:date="2026-04-28T16:48:00Z">
        <w:r w:rsidR="00254420">
          <w:rPr>
            <w:szCs w:val="22"/>
            <w:lang w:eastAsia="en-GB"/>
          </w:rPr>
          <w:t xml:space="preserve">с </w:t>
        </w:r>
      </w:ins>
      <w:ins w:id="314" w:author="Reviser" w:date="2026-04-28T16:46:00Z">
        <w:r w:rsidR="00254420">
          <w:rPr>
            <w:lang w:eastAsia="en-GB"/>
          </w:rPr>
          <w:t>подскор за ректално кървене</w:t>
        </w:r>
      </w:ins>
      <w:ins w:id="315" w:author="Reviser" w:date="2026-04-28T16:44:00Z">
        <w:r w:rsidR="00254420" w:rsidRPr="00EB01C0">
          <w:rPr>
            <w:szCs w:val="22"/>
            <w:lang w:eastAsia="en-GB"/>
          </w:rPr>
          <w:t xml:space="preserve"> 0 </w:t>
        </w:r>
      </w:ins>
      <w:ins w:id="316" w:author="Reviser" w:date="2026-04-28T16:46:00Z">
        <w:r w:rsidR="00254420">
          <w:rPr>
            <w:szCs w:val="22"/>
            <w:lang w:eastAsia="en-GB"/>
          </w:rPr>
          <w:t>или</w:t>
        </w:r>
      </w:ins>
      <w:ins w:id="317" w:author="Reviser" w:date="2026-04-28T16:44:00Z">
        <w:r w:rsidR="00254420" w:rsidRPr="00EB01C0">
          <w:rPr>
            <w:szCs w:val="22"/>
            <w:lang w:eastAsia="en-GB"/>
          </w:rPr>
          <w:t xml:space="preserve"> 1) </w:t>
        </w:r>
      </w:ins>
      <w:ins w:id="318" w:author="Reviser" w:date="2026-04-28T16:46:00Z">
        <w:r w:rsidR="00254420">
          <w:rPr>
            <w:szCs w:val="22"/>
            <w:lang w:eastAsia="en-GB"/>
          </w:rPr>
          <w:t>е</w:t>
        </w:r>
      </w:ins>
      <w:ins w:id="319" w:author="Reviser" w:date="2026-04-28T16:44:00Z">
        <w:r w:rsidR="00254420" w:rsidRPr="00EB01C0">
          <w:rPr>
            <w:szCs w:val="22"/>
            <w:lang w:eastAsia="en-GB"/>
          </w:rPr>
          <w:t xml:space="preserve"> 67</w:t>
        </w:r>
      </w:ins>
      <w:ins w:id="320" w:author="Reviser" w:date="2026-04-28T16:46:00Z">
        <w:r w:rsidR="00254420">
          <w:rPr>
            <w:szCs w:val="22"/>
            <w:lang w:eastAsia="en-GB"/>
          </w:rPr>
          <w:t>,</w:t>
        </w:r>
      </w:ins>
      <w:ins w:id="321" w:author="Reviser" w:date="2026-04-28T16:44:00Z">
        <w:r w:rsidR="00254420" w:rsidRPr="00EB01C0">
          <w:rPr>
            <w:szCs w:val="22"/>
            <w:lang w:eastAsia="en-GB"/>
          </w:rPr>
          <w:t xml:space="preserve">0% </w:t>
        </w:r>
      </w:ins>
      <w:ins w:id="322" w:author="Reviser" w:date="2026-04-27T19:18:00Z">
        <w:r>
          <w:rPr>
            <w:lang w:eastAsia="en-GB"/>
          </w:rPr>
          <w:t>(</w:t>
        </w:r>
      </w:ins>
      <w:ins w:id="323" w:author="Reviser" w:date="2026-04-28T16:47:00Z">
        <w:r w:rsidR="00254420">
          <w:rPr>
            <w:lang w:eastAsia="en-GB"/>
          </w:rPr>
          <w:t>7</w:t>
        </w:r>
      </w:ins>
      <w:ins w:id="324" w:author="Reviser" w:date="2026-04-27T19:18:00Z">
        <w:r>
          <w:rPr>
            <w:lang w:eastAsia="en-GB"/>
          </w:rPr>
          <w:t>5/11</w:t>
        </w:r>
      </w:ins>
      <w:ins w:id="325" w:author="Reviser" w:date="2026-04-28T16:47:00Z">
        <w:r w:rsidR="00254420">
          <w:rPr>
            <w:lang w:eastAsia="en-GB"/>
          </w:rPr>
          <w:t>2</w:t>
        </w:r>
      </w:ins>
      <w:ins w:id="326" w:author="Reviser" w:date="2026-04-27T19:18:00Z">
        <w:r>
          <w:rPr>
            <w:lang w:eastAsia="en-GB"/>
          </w:rPr>
          <w:t>).</w:t>
        </w:r>
      </w:ins>
    </w:p>
    <w:p w14:paraId="4203525A" w14:textId="77777777" w:rsidR="000E7A0E" w:rsidRDefault="000E7A0E" w:rsidP="000E7A0E">
      <w:pPr>
        <w:rPr>
          <w:ins w:id="327" w:author="Reviser" w:date="2026-04-27T19:18:00Z"/>
          <w:lang w:eastAsia="en-GB"/>
        </w:rPr>
      </w:pPr>
    </w:p>
    <w:p w14:paraId="147B17FF" w14:textId="196A79B0" w:rsidR="000E7A0E" w:rsidRDefault="000E7A0E" w:rsidP="000E7A0E">
      <w:pPr>
        <w:rPr>
          <w:ins w:id="328" w:author="Reviser" w:date="2026-04-27T19:18:00Z"/>
          <w:lang w:eastAsia="en-GB"/>
        </w:rPr>
      </w:pPr>
      <w:ins w:id="329" w:author="Reviser" w:date="2026-04-27T19:18:00Z">
        <w:r>
          <w:rPr>
            <w:lang w:eastAsia="en-GB"/>
          </w:rPr>
          <w:t>От 11</w:t>
        </w:r>
      </w:ins>
      <w:ins w:id="330" w:author="Reviser" w:date="2026-04-28T16:48:00Z">
        <w:r w:rsidR="00254420">
          <w:rPr>
            <w:lang w:eastAsia="en-GB"/>
          </w:rPr>
          <w:t>2</w:t>
        </w:r>
      </w:ins>
      <w:ins w:id="331" w:author="Reviser" w:date="2026-04-27T19:18:00Z">
        <w:r>
          <w:rPr>
            <w:lang w:eastAsia="en-GB"/>
          </w:rPr>
          <w:t xml:space="preserve"> пациенти, получавали лечение с </w:t>
        </w:r>
        <w:proofErr w:type="spellStart"/>
        <w:r>
          <w:rPr>
            <w:lang w:val="en-US" w:eastAsia="en-GB"/>
          </w:rPr>
          <w:t>i</w:t>
        </w:r>
        <w:proofErr w:type="spellEnd"/>
        <w:r w:rsidRPr="00BC6A43">
          <w:rPr>
            <w:lang w:eastAsia="en-GB"/>
          </w:rPr>
          <w:t>.</w:t>
        </w:r>
        <w:r>
          <w:rPr>
            <w:lang w:val="en-US" w:eastAsia="en-GB"/>
          </w:rPr>
          <w:t>v</w:t>
        </w:r>
        <w:r w:rsidRPr="00BC6A43">
          <w:rPr>
            <w:lang w:eastAsia="en-GB"/>
          </w:rPr>
          <w:t>.</w:t>
        </w:r>
        <w:r>
          <w:rPr>
            <w:lang w:eastAsia="en-GB"/>
          </w:rPr>
          <w:t xml:space="preserve"> индукция, 97</w:t>
        </w:r>
      </w:ins>
      <w:ins w:id="332" w:author="Reviser" w:date="2026-04-28T16:48:00Z">
        <w:r w:rsidR="00254420">
          <w:rPr>
            <w:lang w:eastAsia="en-GB"/>
          </w:rPr>
          <w:t>%</w:t>
        </w:r>
      </w:ins>
      <w:ins w:id="333" w:author="Reviser" w:date="2026-04-27T19:18:00Z">
        <w:r>
          <w:rPr>
            <w:lang w:eastAsia="en-GB"/>
          </w:rPr>
          <w:t xml:space="preserve"> (</w:t>
        </w:r>
      </w:ins>
      <w:ins w:id="334" w:author="Reviser" w:date="2026-04-28T16:48:00Z">
        <w:r w:rsidR="00254420" w:rsidRPr="000A473D">
          <w:rPr>
            <w:szCs w:val="22"/>
          </w:rPr>
          <w:t>109/112</w:t>
        </w:r>
      </w:ins>
      <w:ins w:id="335" w:author="Reviser" w:date="2026-04-27T19:18:00Z">
        <w:r>
          <w:rPr>
            <w:lang w:eastAsia="en-GB"/>
          </w:rPr>
          <w:t xml:space="preserve">) се включват в поддържащия период, като </w:t>
        </w:r>
      </w:ins>
      <w:ins w:id="336" w:author="Reviser" w:date="2026-04-28T16:49:00Z">
        <w:r w:rsidR="00254420">
          <w:rPr>
            <w:lang w:eastAsia="en-GB"/>
          </w:rPr>
          <w:t>7</w:t>
        </w:r>
      </w:ins>
      <w:ins w:id="337" w:author="RABG09" w:date="2026-05-14T11:23:00Z">
        <w:r w:rsidR="0015207C" w:rsidRPr="00BB130F">
          <w:rPr>
            <w:lang w:eastAsia="en-GB"/>
          </w:rPr>
          <w:t>9</w:t>
        </w:r>
      </w:ins>
      <w:ins w:id="338" w:author="Reviser" w:date="2026-04-27T19:18:00Z">
        <w:r>
          <w:rPr>
            <w:lang w:eastAsia="en-GB"/>
          </w:rPr>
          <w:t xml:space="preserve"> от тях </w:t>
        </w:r>
      </w:ins>
      <w:ins w:id="339" w:author="BG" w:date="2026-06-30T13:58:00Z">
        <w:r w:rsidR="00812A19">
          <w:rPr>
            <w:lang w:eastAsia="en-GB"/>
          </w:rPr>
          <w:t xml:space="preserve">са </w:t>
        </w:r>
      </w:ins>
      <w:ins w:id="340" w:author="Reviser" w:date="2026-04-27T19:18:00Z">
        <w:r>
          <w:rPr>
            <w:lang w:eastAsia="en-GB"/>
          </w:rPr>
          <w:t>се повлия</w:t>
        </w:r>
        <w:del w:id="341" w:author="BG" w:date="2026-06-30T13:58:00Z">
          <w:r w:rsidDel="00812A19">
            <w:rPr>
              <w:lang w:eastAsia="en-GB"/>
            </w:rPr>
            <w:delText>ват</w:delText>
          </w:r>
        </w:del>
      </w:ins>
      <w:ins w:id="342" w:author="BG" w:date="2026-06-30T13:58:00Z">
        <w:r w:rsidR="00812A19">
          <w:rPr>
            <w:lang w:eastAsia="en-GB"/>
          </w:rPr>
          <w:t>ли</w:t>
        </w:r>
      </w:ins>
      <w:ins w:id="343" w:author="Reviser" w:date="2026-04-27T19:18:00Z">
        <w:r>
          <w:rPr>
            <w:lang w:eastAsia="en-GB"/>
          </w:rPr>
          <w:t xml:space="preserve"> от индукцията.</w:t>
        </w:r>
      </w:ins>
    </w:p>
    <w:p w14:paraId="5154482F" w14:textId="77777777" w:rsidR="000E7A0E" w:rsidRDefault="000E7A0E" w:rsidP="000E7A0E">
      <w:pPr>
        <w:rPr>
          <w:ins w:id="344" w:author="Reviser" w:date="2026-04-27T19:18:00Z"/>
          <w:lang w:eastAsia="en-GB"/>
        </w:rPr>
      </w:pPr>
    </w:p>
    <w:p w14:paraId="296215E8" w14:textId="1F05C89B" w:rsidR="000E7A0E" w:rsidRDefault="000E7A0E" w:rsidP="000E7A0E">
      <w:pPr>
        <w:rPr>
          <w:ins w:id="345" w:author="Reviser" w:date="2026-04-27T19:18:00Z"/>
        </w:rPr>
      </w:pPr>
      <w:ins w:id="346" w:author="Reviser" w:date="2026-04-27T19:18:00Z">
        <w:r>
          <w:rPr>
            <w:lang w:eastAsia="en-GB"/>
          </w:rPr>
          <w:t>В таблица</w:t>
        </w:r>
        <w:r>
          <w:rPr>
            <w:lang w:val="en-US" w:eastAsia="en-GB"/>
          </w:rPr>
          <w:t> </w:t>
        </w:r>
        <w:r>
          <w:rPr>
            <w:lang w:eastAsia="en-GB"/>
          </w:rPr>
          <w:t>1</w:t>
        </w:r>
      </w:ins>
      <w:ins w:id="347" w:author="RABG09" w:date="2026-06-24T15:45:00Z">
        <w:r w:rsidR="00C52946">
          <w:rPr>
            <w:lang w:eastAsia="en-GB"/>
          </w:rPr>
          <w:t>0</w:t>
        </w:r>
      </w:ins>
      <w:ins w:id="348" w:author="Reviser" w:date="2026-04-28T16:49:00Z">
        <w:del w:id="349" w:author="RABG09" w:date="2026-06-24T15:45:00Z">
          <w:r w:rsidR="00254420" w:rsidDel="00C52946">
            <w:rPr>
              <w:lang w:eastAsia="en-GB"/>
            </w:rPr>
            <w:delText>2</w:delText>
          </w:r>
        </w:del>
      </w:ins>
      <w:ins w:id="350" w:author="Reviser" w:date="2026-04-27T19:18:00Z">
        <w:r>
          <w:rPr>
            <w:lang w:eastAsia="en-GB"/>
          </w:rPr>
          <w:t xml:space="preserve"> са представени анализите на вторичните крайни точки по време на поддържащата терапия до седмица</w:t>
        </w:r>
        <w:r>
          <w:rPr>
            <w:lang w:val="en-US" w:eastAsia="en-GB"/>
          </w:rPr>
          <w:t> </w:t>
        </w:r>
        <w:r>
          <w:rPr>
            <w:lang w:eastAsia="en-GB"/>
          </w:rPr>
          <w:t>44.</w:t>
        </w:r>
      </w:ins>
    </w:p>
    <w:p w14:paraId="32EF2F29" w14:textId="77777777" w:rsidR="000E7A0E" w:rsidRDefault="000E7A0E" w:rsidP="000E7A0E">
      <w:pPr>
        <w:rPr>
          <w:ins w:id="351" w:author="Reviser" w:date="2026-04-27T19:18:00Z"/>
        </w:rPr>
      </w:pPr>
    </w:p>
    <w:p w14:paraId="1CF1157C" w14:textId="29510913" w:rsidR="000E7A0E" w:rsidRDefault="000E7A0E" w:rsidP="000E7A0E">
      <w:pPr>
        <w:keepNext/>
        <w:ind w:left="1134" w:hanging="1134"/>
        <w:rPr>
          <w:ins w:id="352" w:author="Reviser" w:date="2026-04-27T19:18:00Z"/>
          <w:i/>
          <w:iCs/>
        </w:rPr>
      </w:pPr>
      <w:ins w:id="353" w:author="Reviser" w:date="2026-04-27T19:18:00Z">
        <w:r>
          <w:rPr>
            <w:i/>
            <w:iCs/>
          </w:rPr>
          <w:t>Таблица 1</w:t>
        </w:r>
      </w:ins>
      <w:ins w:id="354" w:author="RABG09" w:date="2026-06-24T15:45:00Z">
        <w:r w:rsidR="00C52946">
          <w:rPr>
            <w:i/>
            <w:iCs/>
          </w:rPr>
          <w:t>0</w:t>
        </w:r>
      </w:ins>
      <w:ins w:id="355" w:author="Reviser" w:date="2026-04-28T16:50:00Z">
        <w:del w:id="356" w:author="RABG09" w:date="2026-06-24T15:45:00Z">
          <w:r w:rsidR="00254420" w:rsidDel="00C52946">
            <w:rPr>
              <w:i/>
              <w:iCs/>
            </w:rPr>
            <w:delText>2</w:delText>
          </w:r>
        </w:del>
      </w:ins>
      <w:ins w:id="357" w:author="Reviser" w:date="2026-04-27T19:18:00Z">
        <w:r>
          <w:rPr>
            <w:i/>
            <w:iCs/>
          </w:rPr>
          <w:t>:</w:t>
        </w:r>
        <w:r>
          <w:rPr>
            <w:i/>
            <w:iCs/>
          </w:rPr>
          <w:tab/>
          <w:t>Резюме на вторичните крайни точки по време на поддържащ</w:t>
        </w:r>
      </w:ins>
      <w:ins w:id="358" w:author="BG" w:date="2026-06-30T13:59:00Z">
        <w:r w:rsidR="00812A19">
          <w:rPr>
            <w:i/>
            <w:iCs/>
          </w:rPr>
          <w:t>ата терапия</w:t>
        </w:r>
      </w:ins>
      <w:ins w:id="359" w:author="Reviser" w:date="2026-04-27T19:18:00Z">
        <w:del w:id="360" w:author="BG" w:date="2026-06-30T13:59:00Z">
          <w:r w:rsidDel="00812A19">
            <w:rPr>
              <w:i/>
              <w:iCs/>
            </w:rPr>
            <w:delText>ото</w:delText>
          </w:r>
        </w:del>
        <w:r>
          <w:rPr>
            <w:i/>
            <w:iCs/>
          </w:rPr>
          <w:t xml:space="preserve"> </w:t>
        </w:r>
      </w:ins>
      <w:ins w:id="361" w:author="Reviser" w:date="2026-04-28T16:50:00Z">
        <w:r w:rsidR="00254420">
          <w:rPr>
            <w:i/>
            <w:iCs/>
          </w:rPr>
          <w:t xml:space="preserve">до </w:t>
        </w:r>
      </w:ins>
      <w:ins w:id="362" w:author="Reviser" w:date="2026-04-27T19:18:00Z">
        <w:r>
          <w:rPr>
            <w:i/>
            <w:iCs/>
          </w:rPr>
          <w:t>седмица 44</w:t>
        </w:r>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Change w:id="363" w:author="Reviser" w:date="2026-04-28T16:52:00Z">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PrChange>
      </w:tblPr>
      <w:tblGrid>
        <w:gridCol w:w="3409"/>
        <w:gridCol w:w="1835"/>
        <w:gridCol w:w="1779"/>
        <w:gridCol w:w="2041"/>
        <w:gridCol w:w="8"/>
        <w:tblGridChange w:id="364">
          <w:tblGrid>
            <w:gridCol w:w="3409"/>
            <w:gridCol w:w="1835"/>
            <w:gridCol w:w="1779"/>
            <w:gridCol w:w="2041"/>
            <w:gridCol w:w="8"/>
          </w:tblGrid>
        </w:tblGridChange>
      </w:tblGrid>
      <w:tr w:rsidR="000E7A0E" w14:paraId="1929E791" w14:textId="77777777" w:rsidTr="00F013BD">
        <w:trPr>
          <w:cantSplit/>
          <w:jc w:val="center"/>
          <w:ins w:id="365" w:author="Reviser" w:date="2026-04-27T19:18:00Z"/>
          <w:trPrChange w:id="366" w:author="Reviser" w:date="2026-04-28T16:52: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367" w:author="Reviser" w:date="2026-04-28T16:52:00Z">
              <w:tcPr>
                <w:tcW w:w="3413" w:type="dxa"/>
                <w:tcBorders>
                  <w:top w:val="single" w:sz="6" w:space="0" w:color="auto"/>
                  <w:left w:val="single" w:sz="6" w:space="0" w:color="auto"/>
                  <w:bottom w:val="single" w:sz="6" w:space="0" w:color="auto"/>
                  <w:right w:val="single" w:sz="6" w:space="0" w:color="auto"/>
                </w:tcBorders>
                <w:hideMark/>
              </w:tcPr>
            </w:tcPrChange>
          </w:tcPr>
          <w:p w14:paraId="67D1E480" w14:textId="77777777" w:rsidR="000E7A0E" w:rsidRDefault="000E7A0E" w:rsidP="009B5D7A">
            <w:pPr>
              <w:keepNext/>
              <w:jc w:val="center"/>
              <w:rPr>
                <w:ins w:id="368" w:author="Reviser" w:date="2026-04-27T19:18:00Z"/>
                <w:b/>
                <w:bCs/>
              </w:rPr>
            </w:pPr>
          </w:p>
        </w:tc>
        <w:tc>
          <w:tcPr>
            <w:tcW w:w="1835" w:type="dxa"/>
            <w:tcBorders>
              <w:top w:val="single" w:sz="6" w:space="0" w:color="auto"/>
              <w:left w:val="single" w:sz="6" w:space="0" w:color="auto"/>
              <w:bottom w:val="single" w:sz="6" w:space="0" w:color="auto"/>
              <w:right w:val="single" w:sz="6" w:space="0" w:color="auto"/>
            </w:tcBorders>
            <w:hideMark/>
            <w:tcPrChange w:id="369" w:author="Reviser" w:date="2026-04-28T16:52:00Z">
              <w:tcPr>
                <w:tcW w:w="1836" w:type="dxa"/>
                <w:tcBorders>
                  <w:top w:val="single" w:sz="6" w:space="0" w:color="auto"/>
                  <w:left w:val="single" w:sz="6" w:space="0" w:color="auto"/>
                  <w:bottom w:val="single" w:sz="6" w:space="0" w:color="auto"/>
                  <w:right w:val="single" w:sz="6" w:space="0" w:color="auto"/>
                </w:tcBorders>
                <w:hideMark/>
              </w:tcPr>
            </w:tcPrChange>
          </w:tcPr>
          <w:p w14:paraId="7A37F403" w14:textId="77777777" w:rsidR="000E7A0E" w:rsidRDefault="000E7A0E" w:rsidP="009B5D7A">
            <w:pPr>
              <w:keepNext/>
              <w:tabs>
                <w:tab w:val="clear" w:pos="567"/>
              </w:tabs>
              <w:jc w:val="center"/>
              <w:textAlignment w:val="baseline"/>
              <w:rPr>
                <w:ins w:id="370" w:author="Reviser" w:date="2026-04-27T19:18:00Z"/>
                <w:b/>
                <w:bCs/>
                <w:szCs w:val="22"/>
                <w:lang w:eastAsia="en-GB"/>
              </w:rPr>
            </w:pPr>
            <w:ins w:id="371" w:author="Reviser" w:date="2026-04-27T19:18:00Z">
              <w:r>
                <w:rPr>
                  <w:b/>
                  <w:bCs/>
                  <w:szCs w:val="22"/>
                  <w:lang w:eastAsia="en-GB"/>
                </w:rPr>
                <w:t>90 mg или</w:t>
              </w:r>
            </w:ins>
          </w:p>
          <w:p w14:paraId="4F991E69" w14:textId="0A818140" w:rsidR="000E7A0E" w:rsidRDefault="000E7A0E" w:rsidP="009B5D7A">
            <w:pPr>
              <w:keepNext/>
              <w:tabs>
                <w:tab w:val="clear" w:pos="567"/>
              </w:tabs>
              <w:jc w:val="center"/>
              <w:textAlignment w:val="baseline"/>
              <w:rPr>
                <w:ins w:id="372" w:author="Reviser" w:date="2026-04-27T19:18:00Z"/>
                <w:b/>
                <w:bCs/>
                <w:szCs w:val="22"/>
                <w:lang w:eastAsia="en-GB"/>
              </w:rPr>
            </w:pPr>
            <w:ins w:id="373" w:author="Reviser" w:date="2026-04-27T19:18:00Z">
              <w:r>
                <w:rPr>
                  <w:b/>
                  <w:bCs/>
                  <w:szCs w:val="22"/>
                  <w:lang w:eastAsia="en-GB"/>
                </w:rPr>
                <w:t>60</w:t>
              </w:r>
              <w:r>
                <w:rPr>
                  <w:b/>
                  <w:bCs/>
                  <w:szCs w:val="22"/>
                  <w:lang w:val="en-US" w:eastAsia="en-GB"/>
                </w:rPr>
                <w:t> </w:t>
              </w:r>
              <w:r>
                <w:rPr>
                  <w:b/>
                  <w:bCs/>
                  <w:szCs w:val="22"/>
                  <w:lang w:eastAsia="en-GB"/>
                </w:rPr>
                <w:t>mg/m</w:t>
              </w:r>
              <w:r w:rsidRPr="00BC6A43">
                <w:rPr>
                  <w:b/>
                  <w:bCs/>
                  <w:szCs w:val="22"/>
                  <w:vertAlign w:val="superscript"/>
                  <w:lang w:eastAsia="en-GB"/>
                </w:rPr>
                <w:t>2</w:t>
              </w:r>
              <w:r>
                <w:rPr>
                  <w:b/>
                  <w:bCs/>
                  <w:szCs w:val="22"/>
                  <w:lang w:eastAsia="en-GB"/>
                </w:rPr>
                <w:t xml:space="preserve"> устекинумаб </w:t>
              </w:r>
              <w:del w:id="374" w:author="BG" w:date="2026-06-30T14:00:00Z">
                <w:r w:rsidDel="00812A19">
                  <w:rPr>
                    <w:b/>
                    <w:bCs/>
                    <w:szCs w:val="22"/>
                    <w:lang w:eastAsia="en-GB"/>
                  </w:rPr>
                  <w:delText>през</w:delText>
                </w:r>
              </w:del>
            </w:ins>
            <w:ins w:id="375" w:author="BG" w:date="2026-06-30T14:00:00Z">
              <w:r w:rsidR="00812A19">
                <w:rPr>
                  <w:b/>
                  <w:bCs/>
                  <w:szCs w:val="22"/>
                  <w:lang w:eastAsia="en-GB"/>
                </w:rPr>
                <w:t>на</w:t>
              </w:r>
            </w:ins>
            <w:ins w:id="376" w:author="Reviser" w:date="2026-04-27T19:18:00Z">
              <w:r>
                <w:rPr>
                  <w:b/>
                  <w:bCs/>
                  <w:szCs w:val="22"/>
                  <w:lang w:eastAsia="en-GB"/>
                </w:rPr>
                <w:t xml:space="preserve"> 8 седмици</w:t>
              </w:r>
            </w:ins>
          </w:p>
          <w:p w14:paraId="40307DC8" w14:textId="16D8CD63" w:rsidR="000E7A0E" w:rsidRDefault="000E7A0E" w:rsidP="009B5D7A">
            <w:pPr>
              <w:keepNext/>
              <w:tabs>
                <w:tab w:val="clear" w:pos="567"/>
              </w:tabs>
              <w:jc w:val="center"/>
              <w:textAlignment w:val="baseline"/>
              <w:rPr>
                <w:ins w:id="377" w:author="Reviser" w:date="2026-04-27T19:18:00Z"/>
                <w:szCs w:val="22"/>
                <w:lang w:eastAsia="en-GB"/>
              </w:rPr>
            </w:pPr>
            <w:ins w:id="378" w:author="Reviser" w:date="2026-04-27T19:18:00Z">
              <w:r>
                <w:rPr>
                  <w:b/>
                  <w:bCs/>
                  <w:szCs w:val="22"/>
                  <w:lang w:eastAsia="en-GB"/>
                </w:rPr>
                <w:t xml:space="preserve">N = </w:t>
              </w:r>
            </w:ins>
            <w:ins w:id="379" w:author="Reviser" w:date="2026-04-28T16:50:00Z">
              <w:r w:rsidR="00254420">
                <w:rPr>
                  <w:b/>
                  <w:bCs/>
                  <w:szCs w:val="22"/>
                  <w:lang w:eastAsia="en-GB"/>
                </w:rPr>
                <w:t>39</w:t>
              </w:r>
            </w:ins>
          </w:p>
        </w:tc>
        <w:tc>
          <w:tcPr>
            <w:tcW w:w="1779" w:type="dxa"/>
            <w:tcBorders>
              <w:top w:val="single" w:sz="6" w:space="0" w:color="auto"/>
              <w:left w:val="single" w:sz="6" w:space="0" w:color="auto"/>
              <w:bottom w:val="single" w:sz="6" w:space="0" w:color="auto"/>
              <w:right w:val="single" w:sz="6" w:space="0" w:color="auto"/>
            </w:tcBorders>
            <w:hideMark/>
            <w:tcPrChange w:id="380" w:author="Reviser" w:date="2026-04-28T16:52:00Z">
              <w:tcPr>
                <w:tcW w:w="1780" w:type="dxa"/>
                <w:tcBorders>
                  <w:top w:val="single" w:sz="6" w:space="0" w:color="auto"/>
                  <w:left w:val="single" w:sz="6" w:space="0" w:color="auto"/>
                  <w:bottom w:val="single" w:sz="6" w:space="0" w:color="auto"/>
                  <w:right w:val="single" w:sz="6" w:space="0" w:color="auto"/>
                </w:tcBorders>
                <w:hideMark/>
              </w:tcPr>
            </w:tcPrChange>
          </w:tcPr>
          <w:p w14:paraId="1F56411E" w14:textId="77777777" w:rsidR="000E7A0E" w:rsidRDefault="000E7A0E" w:rsidP="009B5D7A">
            <w:pPr>
              <w:keepNext/>
              <w:tabs>
                <w:tab w:val="clear" w:pos="567"/>
              </w:tabs>
              <w:jc w:val="center"/>
              <w:textAlignment w:val="baseline"/>
              <w:rPr>
                <w:ins w:id="381" w:author="Reviser" w:date="2026-04-27T19:18:00Z"/>
                <w:b/>
                <w:bCs/>
                <w:szCs w:val="22"/>
                <w:lang w:eastAsia="en-GB"/>
              </w:rPr>
            </w:pPr>
            <w:ins w:id="382" w:author="Reviser" w:date="2026-04-27T19:18:00Z">
              <w:r>
                <w:rPr>
                  <w:b/>
                  <w:bCs/>
                  <w:szCs w:val="22"/>
                  <w:lang w:eastAsia="en-GB"/>
                </w:rPr>
                <w:t>90 mg или</w:t>
              </w:r>
            </w:ins>
          </w:p>
          <w:p w14:paraId="4B0CDF1C" w14:textId="1A787188" w:rsidR="000E7A0E" w:rsidRDefault="000E7A0E" w:rsidP="009B5D7A">
            <w:pPr>
              <w:keepNext/>
              <w:tabs>
                <w:tab w:val="clear" w:pos="567"/>
              </w:tabs>
              <w:jc w:val="center"/>
              <w:textAlignment w:val="baseline"/>
              <w:rPr>
                <w:ins w:id="383" w:author="Reviser" w:date="2026-04-27T19:18:00Z"/>
                <w:b/>
                <w:bCs/>
                <w:szCs w:val="22"/>
                <w:lang w:eastAsia="en-GB"/>
              </w:rPr>
            </w:pPr>
            <w:ins w:id="384" w:author="Reviser" w:date="2026-04-27T19:18:00Z">
              <w:r>
                <w:rPr>
                  <w:b/>
                  <w:bCs/>
                  <w:szCs w:val="22"/>
                  <w:lang w:eastAsia="en-GB"/>
                </w:rPr>
                <w:t>60</w:t>
              </w:r>
              <w:r>
                <w:rPr>
                  <w:b/>
                  <w:bCs/>
                  <w:szCs w:val="22"/>
                  <w:lang w:val="en-US" w:eastAsia="en-GB"/>
                </w:rPr>
                <w:t> </w:t>
              </w:r>
              <w:r>
                <w:rPr>
                  <w:b/>
                  <w:bCs/>
                  <w:szCs w:val="22"/>
                  <w:lang w:eastAsia="en-GB"/>
                </w:rPr>
                <w:t>mg/m</w:t>
              </w:r>
              <w:r>
                <w:rPr>
                  <w:b/>
                  <w:bCs/>
                  <w:szCs w:val="22"/>
                  <w:vertAlign w:val="superscript"/>
                  <w:lang w:eastAsia="en-GB"/>
                </w:rPr>
                <w:t>2</w:t>
              </w:r>
              <w:r>
                <w:rPr>
                  <w:b/>
                  <w:bCs/>
                  <w:szCs w:val="22"/>
                  <w:lang w:eastAsia="en-GB"/>
                </w:rPr>
                <w:t xml:space="preserve"> устекинумаб </w:t>
              </w:r>
              <w:del w:id="385" w:author="BG" w:date="2026-06-30T14:00:00Z">
                <w:r w:rsidDel="00812A19">
                  <w:rPr>
                    <w:b/>
                    <w:bCs/>
                    <w:szCs w:val="22"/>
                    <w:lang w:eastAsia="en-GB"/>
                  </w:rPr>
                  <w:delText>през</w:delText>
                </w:r>
              </w:del>
            </w:ins>
            <w:ins w:id="386" w:author="BG" w:date="2026-06-30T14:00:00Z">
              <w:r w:rsidR="00812A19">
                <w:rPr>
                  <w:b/>
                  <w:bCs/>
                  <w:szCs w:val="22"/>
                  <w:lang w:eastAsia="en-GB"/>
                </w:rPr>
                <w:t>на</w:t>
              </w:r>
            </w:ins>
            <w:ins w:id="387" w:author="Reviser" w:date="2026-04-27T19:18:00Z">
              <w:r>
                <w:rPr>
                  <w:b/>
                  <w:bCs/>
                  <w:szCs w:val="22"/>
                  <w:lang w:eastAsia="en-GB"/>
                </w:rPr>
                <w:t xml:space="preserve"> 12 седмици</w:t>
              </w:r>
            </w:ins>
          </w:p>
          <w:p w14:paraId="47D80C63" w14:textId="00174D8A" w:rsidR="000E7A0E" w:rsidRDefault="000E7A0E" w:rsidP="009B5D7A">
            <w:pPr>
              <w:keepNext/>
              <w:tabs>
                <w:tab w:val="clear" w:pos="567"/>
              </w:tabs>
              <w:jc w:val="center"/>
              <w:textAlignment w:val="baseline"/>
              <w:rPr>
                <w:ins w:id="388" w:author="Reviser" w:date="2026-04-27T19:18:00Z"/>
                <w:b/>
                <w:bCs/>
                <w:szCs w:val="22"/>
                <w:lang w:eastAsia="en-GB"/>
              </w:rPr>
            </w:pPr>
            <w:ins w:id="389" w:author="Reviser" w:date="2026-04-27T19:18:00Z">
              <w:r>
                <w:rPr>
                  <w:b/>
                  <w:bCs/>
                  <w:szCs w:val="22"/>
                  <w:lang w:eastAsia="en-GB"/>
                </w:rPr>
                <w:t>N = 4</w:t>
              </w:r>
            </w:ins>
            <w:ins w:id="390" w:author="Reviser" w:date="2026-04-28T16:50:00Z">
              <w:r w:rsidR="00254420">
                <w:rPr>
                  <w:b/>
                  <w:bCs/>
                  <w:szCs w:val="22"/>
                  <w:lang w:eastAsia="en-GB"/>
                </w:rPr>
                <w:t>0</w:t>
              </w:r>
            </w:ins>
          </w:p>
        </w:tc>
        <w:tc>
          <w:tcPr>
            <w:tcW w:w="2049" w:type="dxa"/>
            <w:gridSpan w:val="2"/>
            <w:tcBorders>
              <w:top w:val="single" w:sz="6" w:space="0" w:color="auto"/>
              <w:left w:val="single" w:sz="6" w:space="0" w:color="auto"/>
              <w:bottom w:val="single" w:sz="6" w:space="0" w:color="auto"/>
              <w:right w:val="single" w:sz="6" w:space="0" w:color="auto"/>
            </w:tcBorders>
            <w:hideMark/>
            <w:tcPrChange w:id="391" w:author="Reviser" w:date="2026-04-28T16:52:00Z">
              <w:tcPr>
                <w:tcW w:w="2043" w:type="dxa"/>
                <w:gridSpan w:val="2"/>
                <w:tcBorders>
                  <w:top w:val="single" w:sz="6" w:space="0" w:color="auto"/>
                  <w:left w:val="single" w:sz="6" w:space="0" w:color="auto"/>
                  <w:bottom w:val="single" w:sz="6" w:space="0" w:color="auto"/>
                  <w:right w:val="single" w:sz="6" w:space="0" w:color="auto"/>
                </w:tcBorders>
                <w:hideMark/>
              </w:tcPr>
            </w:tcPrChange>
          </w:tcPr>
          <w:p w14:paraId="46601C4A" w14:textId="77777777" w:rsidR="000E7A0E" w:rsidRDefault="000E7A0E" w:rsidP="009B5D7A">
            <w:pPr>
              <w:keepNext/>
              <w:tabs>
                <w:tab w:val="clear" w:pos="567"/>
              </w:tabs>
              <w:jc w:val="center"/>
              <w:textAlignment w:val="baseline"/>
              <w:rPr>
                <w:ins w:id="392" w:author="Reviser" w:date="2026-04-27T19:18:00Z"/>
                <w:b/>
                <w:bCs/>
                <w:szCs w:val="22"/>
                <w:lang w:eastAsia="en-GB"/>
              </w:rPr>
            </w:pPr>
            <w:ins w:id="393" w:author="Reviser" w:date="2026-04-27T19:18:00Z">
              <w:r>
                <w:rPr>
                  <w:b/>
                  <w:bCs/>
                  <w:szCs w:val="22"/>
                  <w:lang w:eastAsia="en-GB"/>
                </w:rPr>
                <w:t>Общ брой пациенти</w:t>
              </w:r>
            </w:ins>
          </w:p>
          <w:p w14:paraId="702A130E" w14:textId="0B127B05" w:rsidR="000E7A0E" w:rsidRDefault="000E7A0E" w:rsidP="009B5D7A">
            <w:pPr>
              <w:keepNext/>
              <w:tabs>
                <w:tab w:val="clear" w:pos="567"/>
              </w:tabs>
              <w:jc w:val="center"/>
              <w:textAlignment w:val="baseline"/>
              <w:rPr>
                <w:ins w:id="394" w:author="Reviser" w:date="2026-04-27T19:18:00Z"/>
                <w:b/>
                <w:bCs/>
                <w:szCs w:val="22"/>
                <w:lang w:eastAsia="en-GB"/>
              </w:rPr>
            </w:pPr>
            <w:ins w:id="395" w:author="Reviser" w:date="2026-04-27T19:18:00Z">
              <w:r>
                <w:rPr>
                  <w:b/>
                  <w:bCs/>
                  <w:szCs w:val="22"/>
                  <w:lang w:eastAsia="en-GB"/>
                </w:rPr>
                <w:t xml:space="preserve">N = </w:t>
              </w:r>
            </w:ins>
            <w:ins w:id="396" w:author="Reviser" w:date="2026-04-28T16:50:00Z">
              <w:r w:rsidR="00254420">
                <w:rPr>
                  <w:b/>
                  <w:bCs/>
                  <w:szCs w:val="22"/>
                  <w:lang w:eastAsia="en-GB"/>
                </w:rPr>
                <w:t>79</w:t>
              </w:r>
            </w:ins>
          </w:p>
        </w:tc>
      </w:tr>
      <w:tr w:rsidR="00F013BD" w14:paraId="308F29C2" w14:textId="77777777" w:rsidTr="009B5D7A">
        <w:trPr>
          <w:cantSplit/>
          <w:jc w:val="center"/>
          <w:ins w:id="397" w:author="Reviser" w:date="2026-04-27T19:18:00Z"/>
          <w:trPrChange w:id="398" w:author="Reviser" w:date="2026-04-28T16:5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399" w:author="Reviser" w:date="2026-04-28T16:55:00Z">
              <w:tcPr>
                <w:tcW w:w="3413" w:type="dxa"/>
                <w:tcBorders>
                  <w:top w:val="single" w:sz="6" w:space="0" w:color="auto"/>
                  <w:left w:val="single" w:sz="6" w:space="0" w:color="auto"/>
                  <w:bottom w:val="single" w:sz="6" w:space="0" w:color="auto"/>
                  <w:right w:val="single" w:sz="6" w:space="0" w:color="auto"/>
                </w:tcBorders>
                <w:hideMark/>
              </w:tcPr>
            </w:tcPrChange>
          </w:tcPr>
          <w:p w14:paraId="77A5534E" w14:textId="3E99EBDC" w:rsidR="00F013BD" w:rsidRDefault="00F013BD" w:rsidP="00F013BD">
            <w:pPr>
              <w:tabs>
                <w:tab w:val="clear" w:pos="567"/>
              </w:tabs>
              <w:textAlignment w:val="baseline"/>
              <w:rPr>
                <w:ins w:id="400" w:author="Reviser" w:date="2026-04-27T19:18:00Z"/>
                <w:szCs w:val="22"/>
                <w:lang w:eastAsia="en-GB"/>
              </w:rPr>
            </w:pPr>
            <w:ins w:id="401" w:author="Reviser" w:date="2026-04-27T19:18:00Z">
              <w:r>
                <w:rPr>
                  <w:szCs w:val="22"/>
                  <w:lang w:eastAsia="en-GB"/>
                </w:rPr>
                <w:t>Клинична ремисия</w:t>
              </w:r>
            </w:ins>
            <w:ins w:id="402" w:author="Reviser" w:date="2026-04-28T16:51:00Z">
              <w:r w:rsidRPr="00E5333A">
                <w:rPr>
                  <w:szCs w:val="22"/>
                  <w:vertAlign w:val="superscript"/>
                </w:rPr>
                <w:t>†</w:t>
              </w:r>
            </w:ins>
            <w:ins w:id="403" w:author="Reviser" w:date="2026-04-27T19:18:00Z">
              <w:r>
                <w:rPr>
                  <w:szCs w:val="22"/>
                  <w:vertAlign w:val="superscript"/>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Change w:id="404" w:author="Reviser" w:date="2026-04-28T16:55:00Z">
              <w:tcPr>
                <w:tcW w:w="1836" w:type="dxa"/>
                <w:tcBorders>
                  <w:top w:val="single" w:sz="6" w:space="0" w:color="auto"/>
                  <w:left w:val="single" w:sz="6" w:space="0" w:color="auto"/>
                  <w:bottom w:val="single" w:sz="6" w:space="0" w:color="auto"/>
                  <w:right w:val="single" w:sz="6" w:space="0" w:color="auto"/>
                </w:tcBorders>
                <w:vAlign w:val="center"/>
                <w:hideMark/>
              </w:tcPr>
            </w:tcPrChange>
          </w:tcPr>
          <w:p w14:paraId="1C79C8EE" w14:textId="12D9D036" w:rsidR="00F013BD" w:rsidRDefault="00F013BD" w:rsidP="00F013BD">
            <w:pPr>
              <w:tabs>
                <w:tab w:val="clear" w:pos="567"/>
              </w:tabs>
              <w:jc w:val="center"/>
              <w:textAlignment w:val="baseline"/>
              <w:rPr>
                <w:ins w:id="405" w:author="Reviser" w:date="2026-04-27T19:18:00Z"/>
                <w:szCs w:val="22"/>
                <w:lang w:eastAsia="en-GB"/>
              </w:rPr>
            </w:pPr>
            <w:ins w:id="406" w:author="Reviser" w:date="2026-04-28T16:55:00Z">
              <w:r w:rsidRPr="00523DC7">
                <w:rPr>
                  <w:szCs w:val="22"/>
                  <w:lang w:eastAsia="en-GB"/>
                </w:rPr>
                <w:t>48</w:t>
              </w:r>
            </w:ins>
            <w:ins w:id="407" w:author="Reviser" w:date="2026-04-28T16:56:00Z">
              <w:r>
                <w:rPr>
                  <w:szCs w:val="22"/>
                  <w:lang w:eastAsia="en-GB"/>
                </w:rPr>
                <w:t>,</w:t>
              </w:r>
            </w:ins>
            <w:ins w:id="408" w:author="Reviser" w:date="2026-04-28T16:55:00Z">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hideMark/>
            <w:tcPrChange w:id="409" w:author="Reviser" w:date="2026-04-28T16:55:00Z">
              <w:tcPr>
                <w:tcW w:w="1780" w:type="dxa"/>
                <w:tcBorders>
                  <w:top w:val="single" w:sz="6" w:space="0" w:color="auto"/>
                  <w:left w:val="single" w:sz="6" w:space="0" w:color="auto"/>
                  <w:bottom w:val="single" w:sz="6" w:space="0" w:color="auto"/>
                  <w:right w:val="single" w:sz="6" w:space="0" w:color="auto"/>
                </w:tcBorders>
                <w:vAlign w:val="center"/>
                <w:hideMark/>
              </w:tcPr>
            </w:tcPrChange>
          </w:tcPr>
          <w:p w14:paraId="071E1407" w14:textId="4E2B7C56" w:rsidR="00F013BD" w:rsidRDefault="00F013BD" w:rsidP="00F013BD">
            <w:pPr>
              <w:tabs>
                <w:tab w:val="clear" w:pos="567"/>
              </w:tabs>
              <w:jc w:val="center"/>
              <w:textAlignment w:val="baseline"/>
              <w:rPr>
                <w:ins w:id="410" w:author="Reviser" w:date="2026-04-27T19:18:00Z"/>
                <w:szCs w:val="22"/>
                <w:lang w:eastAsia="en-GB"/>
              </w:rPr>
            </w:pPr>
            <w:ins w:id="411" w:author="Reviser" w:date="2026-04-28T16:55:00Z">
              <w:r w:rsidRPr="00523DC7">
                <w:rPr>
                  <w:szCs w:val="22"/>
                  <w:lang w:eastAsia="en-GB"/>
                </w:rPr>
                <w:t>32</w:t>
              </w:r>
            </w:ins>
            <w:ins w:id="412" w:author="Reviser" w:date="2026-04-28T16:57:00Z">
              <w:r>
                <w:rPr>
                  <w:szCs w:val="22"/>
                  <w:lang w:eastAsia="en-GB"/>
                </w:rPr>
                <w:t>,</w:t>
              </w:r>
            </w:ins>
            <w:ins w:id="413" w:author="Reviser" w:date="2026-04-28T16:55:00Z">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hideMark/>
            <w:tcPrChange w:id="414" w:author="Reviser" w:date="2026-04-28T16:55:00Z">
              <w:tcPr>
                <w:tcW w:w="2043" w:type="dxa"/>
                <w:gridSpan w:val="2"/>
                <w:tcBorders>
                  <w:top w:val="single" w:sz="6" w:space="0" w:color="auto"/>
                  <w:left w:val="single" w:sz="6" w:space="0" w:color="auto"/>
                  <w:bottom w:val="single" w:sz="6" w:space="0" w:color="auto"/>
                  <w:right w:val="single" w:sz="6" w:space="0" w:color="auto"/>
                </w:tcBorders>
                <w:vAlign w:val="center"/>
                <w:hideMark/>
              </w:tcPr>
            </w:tcPrChange>
          </w:tcPr>
          <w:p w14:paraId="27F3018C" w14:textId="2C1E34B2" w:rsidR="00F013BD" w:rsidRDefault="00F013BD" w:rsidP="00F013BD">
            <w:pPr>
              <w:tabs>
                <w:tab w:val="clear" w:pos="567"/>
              </w:tabs>
              <w:jc w:val="center"/>
              <w:textAlignment w:val="baseline"/>
              <w:rPr>
                <w:ins w:id="415" w:author="Reviser" w:date="2026-04-27T19:18:00Z"/>
                <w:szCs w:val="22"/>
                <w:lang w:eastAsia="en-GB"/>
              </w:rPr>
            </w:pPr>
            <w:ins w:id="416" w:author="Reviser" w:date="2026-04-28T16:55:00Z">
              <w:r w:rsidRPr="00523DC7">
                <w:rPr>
                  <w:szCs w:val="22"/>
                  <w:lang w:eastAsia="en-GB"/>
                </w:rPr>
                <w:t>40</w:t>
              </w:r>
            </w:ins>
            <w:ins w:id="417" w:author="Reviser" w:date="2026-04-28T16:57:00Z">
              <w:r>
                <w:rPr>
                  <w:szCs w:val="22"/>
                  <w:lang w:eastAsia="en-GB"/>
                </w:rPr>
                <w:t>,</w:t>
              </w:r>
            </w:ins>
            <w:ins w:id="418" w:author="Reviser" w:date="2026-04-28T16:55:00Z">
              <w:r w:rsidRPr="00523DC7">
                <w:rPr>
                  <w:szCs w:val="22"/>
                  <w:lang w:eastAsia="en-GB"/>
                </w:rPr>
                <w:t>5% (32/79)</w:t>
              </w:r>
            </w:ins>
          </w:p>
        </w:tc>
      </w:tr>
      <w:tr w:rsidR="00F013BD" w14:paraId="750D04B2" w14:textId="77777777" w:rsidTr="009B5D7A">
        <w:trPr>
          <w:cantSplit/>
          <w:jc w:val="center"/>
          <w:ins w:id="419" w:author="Reviser" w:date="2026-04-28T16:52:00Z"/>
          <w:trPrChange w:id="420" w:author="Reviser" w:date="2026-04-28T16:5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tcPrChange w:id="421" w:author="Reviser" w:date="2026-04-28T16:55:00Z">
              <w:tcPr>
                <w:tcW w:w="3413" w:type="dxa"/>
                <w:tcBorders>
                  <w:top w:val="single" w:sz="6" w:space="0" w:color="auto"/>
                  <w:left w:val="single" w:sz="6" w:space="0" w:color="auto"/>
                  <w:bottom w:val="single" w:sz="6" w:space="0" w:color="auto"/>
                  <w:right w:val="single" w:sz="6" w:space="0" w:color="auto"/>
                </w:tcBorders>
              </w:tcPr>
            </w:tcPrChange>
          </w:tcPr>
          <w:p w14:paraId="16012EB2" w14:textId="2B1EB232" w:rsidR="00F013BD" w:rsidRPr="00F013BD" w:rsidRDefault="00F013BD" w:rsidP="00F013BD">
            <w:pPr>
              <w:tabs>
                <w:tab w:val="clear" w:pos="567"/>
              </w:tabs>
              <w:textAlignment w:val="baseline"/>
              <w:rPr>
                <w:ins w:id="422" w:author="Reviser" w:date="2026-04-28T16:52:00Z"/>
                <w:szCs w:val="22"/>
                <w:lang w:eastAsia="en-GB"/>
              </w:rPr>
            </w:pPr>
            <w:ins w:id="423" w:author="Reviser" w:date="2026-04-28T16:52:00Z">
              <w:r>
                <w:rPr>
                  <w:szCs w:val="22"/>
                  <w:lang w:eastAsia="en-GB"/>
                </w:rPr>
                <w:t>Симптоматична ремисия</w:t>
              </w:r>
              <w:r w:rsidRPr="00F013BD">
                <w:rPr>
                  <w:szCs w:val="22"/>
                  <w:vertAlign w:val="superscript"/>
                  <w:lang w:val="en-US" w:eastAsia="en-GB"/>
                  <w:rPrChange w:id="424" w:author="Reviser" w:date="2026-04-28T16:52:00Z">
                    <w:rPr>
                      <w:szCs w:val="22"/>
                      <w:lang w:val="en-US" w:eastAsia="en-GB"/>
                    </w:rPr>
                  </w:rPrChange>
                </w:rPr>
                <w:t>**</w:t>
              </w:r>
            </w:ins>
          </w:p>
        </w:tc>
        <w:tc>
          <w:tcPr>
            <w:tcW w:w="1835" w:type="dxa"/>
            <w:tcBorders>
              <w:top w:val="single" w:sz="6" w:space="0" w:color="auto"/>
              <w:left w:val="single" w:sz="6" w:space="0" w:color="auto"/>
              <w:bottom w:val="single" w:sz="6" w:space="0" w:color="auto"/>
              <w:right w:val="single" w:sz="6" w:space="0" w:color="auto"/>
            </w:tcBorders>
            <w:tcPrChange w:id="425" w:author="Reviser" w:date="2026-04-28T16:55:00Z">
              <w:tcPr>
                <w:tcW w:w="1836" w:type="dxa"/>
                <w:tcBorders>
                  <w:top w:val="single" w:sz="6" w:space="0" w:color="auto"/>
                  <w:left w:val="single" w:sz="6" w:space="0" w:color="auto"/>
                  <w:bottom w:val="single" w:sz="6" w:space="0" w:color="auto"/>
                  <w:right w:val="single" w:sz="6" w:space="0" w:color="auto"/>
                </w:tcBorders>
                <w:vAlign w:val="center"/>
              </w:tcPr>
            </w:tcPrChange>
          </w:tcPr>
          <w:p w14:paraId="46692BB8" w14:textId="09F4076F" w:rsidR="00F013BD" w:rsidRDefault="00F013BD" w:rsidP="00F013BD">
            <w:pPr>
              <w:tabs>
                <w:tab w:val="clear" w:pos="567"/>
              </w:tabs>
              <w:jc w:val="center"/>
              <w:textAlignment w:val="baseline"/>
              <w:rPr>
                <w:ins w:id="426" w:author="Reviser" w:date="2026-04-28T16:52:00Z"/>
                <w:szCs w:val="22"/>
                <w:lang w:val="en-GB" w:eastAsia="en-GB"/>
              </w:rPr>
            </w:pPr>
            <w:ins w:id="427" w:author="Reviser" w:date="2026-04-28T16:55:00Z">
              <w:r w:rsidRPr="00523DC7">
                <w:rPr>
                  <w:szCs w:val="22"/>
                  <w:lang w:eastAsia="en-GB"/>
                </w:rPr>
                <w:t>74</w:t>
              </w:r>
            </w:ins>
            <w:ins w:id="428" w:author="Reviser" w:date="2026-04-28T16:56:00Z">
              <w:r>
                <w:rPr>
                  <w:szCs w:val="22"/>
                  <w:lang w:eastAsia="en-GB"/>
                </w:rPr>
                <w:t>,</w:t>
              </w:r>
            </w:ins>
            <w:ins w:id="429" w:author="Reviser" w:date="2026-04-28T16:55:00Z">
              <w:r w:rsidRPr="00523DC7">
                <w:rPr>
                  <w:szCs w:val="22"/>
                  <w:lang w:eastAsia="en-GB"/>
                </w:rPr>
                <w:t>4% (29/39)</w:t>
              </w:r>
            </w:ins>
          </w:p>
        </w:tc>
        <w:tc>
          <w:tcPr>
            <w:tcW w:w="1779" w:type="dxa"/>
            <w:tcBorders>
              <w:top w:val="single" w:sz="6" w:space="0" w:color="auto"/>
              <w:left w:val="single" w:sz="6" w:space="0" w:color="auto"/>
              <w:bottom w:val="single" w:sz="6" w:space="0" w:color="auto"/>
              <w:right w:val="single" w:sz="6" w:space="0" w:color="auto"/>
            </w:tcBorders>
            <w:tcPrChange w:id="430" w:author="Reviser" w:date="2026-04-28T16:55:00Z">
              <w:tcPr>
                <w:tcW w:w="1780" w:type="dxa"/>
                <w:tcBorders>
                  <w:top w:val="single" w:sz="6" w:space="0" w:color="auto"/>
                  <w:left w:val="single" w:sz="6" w:space="0" w:color="auto"/>
                  <w:bottom w:val="single" w:sz="6" w:space="0" w:color="auto"/>
                  <w:right w:val="single" w:sz="6" w:space="0" w:color="auto"/>
                </w:tcBorders>
                <w:vAlign w:val="center"/>
              </w:tcPr>
            </w:tcPrChange>
          </w:tcPr>
          <w:p w14:paraId="4BBF0F81" w14:textId="1C6B7AC6" w:rsidR="00F013BD" w:rsidRDefault="00F013BD" w:rsidP="00F013BD">
            <w:pPr>
              <w:tabs>
                <w:tab w:val="clear" w:pos="567"/>
              </w:tabs>
              <w:jc w:val="center"/>
              <w:textAlignment w:val="baseline"/>
              <w:rPr>
                <w:ins w:id="431" w:author="Reviser" w:date="2026-04-28T16:52:00Z"/>
                <w:szCs w:val="22"/>
                <w:lang w:val="en-GB" w:eastAsia="en-GB"/>
              </w:rPr>
            </w:pPr>
            <w:ins w:id="432" w:author="Reviser" w:date="2026-04-28T16:55:00Z">
              <w:r w:rsidRPr="00523DC7">
                <w:rPr>
                  <w:szCs w:val="22"/>
                  <w:lang w:eastAsia="en-GB"/>
                </w:rPr>
                <w:t>57</w:t>
              </w:r>
            </w:ins>
            <w:ins w:id="433" w:author="Reviser" w:date="2026-04-28T16:57:00Z">
              <w:r>
                <w:rPr>
                  <w:szCs w:val="22"/>
                  <w:lang w:eastAsia="en-GB"/>
                </w:rPr>
                <w:t>,</w:t>
              </w:r>
            </w:ins>
            <w:ins w:id="434" w:author="Reviser" w:date="2026-04-28T16:55:00Z">
              <w:r w:rsidRPr="00523DC7">
                <w:rPr>
                  <w:szCs w:val="22"/>
                  <w:lang w:eastAsia="en-GB"/>
                </w:rPr>
                <w:t>5% (23/40)</w:t>
              </w:r>
            </w:ins>
          </w:p>
        </w:tc>
        <w:tc>
          <w:tcPr>
            <w:tcW w:w="2049" w:type="dxa"/>
            <w:gridSpan w:val="2"/>
            <w:tcBorders>
              <w:top w:val="single" w:sz="6" w:space="0" w:color="auto"/>
              <w:left w:val="single" w:sz="6" w:space="0" w:color="auto"/>
              <w:bottom w:val="single" w:sz="6" w:space="0" w:color="auto"/>
              <w:right w:val="single" w:sz="6" w:space="0" w:color="auto"/>
            </w:tcBorders>
            <w:tcPrChange w:id="435" w:author="Reviser" w:date="2026-04-28T16:55:00Z">
              <w:tcPr>
                <w:tcW w:w="2043" w:type="dxa"/>
                <w:gridSpan w:val="2"/>
                <w:tcBorders>
                  <w:top w:val="single" w:sz="6" w:space="0" w:color="auto"/>
                  <w:left w:val="single" w:sz="6" w:space="0" w:color="auto"/>
                  <w:bottom w:val="single" w:sz="6" w:space="0" w:color="auto"/>
                  <w:right w:val="single" w:sz="6" w:space="0" w:color="auto"/>
                </w:tcBorders>
                <w:vAlign w:val="center"/>
              </w:tcPr>
            </w:tcPrChange>
          </w:tcPr>
          <w:p w14:paraId="7BC2A3A6" w14:textId="1D5EF3FD" w:rsidR="00F013BD" w:rsidRDefault="00F013BD" w:rsidP="00F013BD">
            <w:pPr>
              <w:tabs>
                <w:tab w:val="clear" w:pos="567"/>
              </w:tabs>
              <w:jc w:val="center"/>
              <w:textAlignment w:val="baseline"/>
              <w:rPr>
                <w:ins w:id="436" w:author="Reviser" w:date="2026-04-28T16:52:00Z"/>
                <w:szCs w:val="22"/>
                <w:lang w:val="en-GB" w:eastAsia="en-GB"/>
              </w:rPr>
            </w:pPr>
            <w:ins w:id="437" w:author="Reviser" w:date="2026-04-28T16:55:00Z">
              <w:r w:rsidRPr="00523DC7">
                <w:rPr>
                  <w:szCs w:val="22"/>
                  <w:lang w:eastAsia="en-GB"/>
                </w:rPr>
                <w:t>65</w:t>
              </w:r>
            </w:ins>
            <w:ins w:id="438" w:author="Reviser" w:date="2026-04-28T16:57:00Z">
              <w:r>
                <w:rPr>
                  <w:szCs w:val="22"/>
                  <w:lang w:eastAsia="en-GB"/>
                </w:rPr>
                <w:t>,</w:t>
              </w:r>
            </w:ins>
            <w:ins w:id="439" w:author="Reviser" w:date="2026-04-28T16:55:00Z">
              <w:r w:rsidRPr="00523DC7">
                <w:rPr>
                  <w:szCs w:val="22"/>
                  <w:lang w:eastAsia="en-GB"/>
                </w:rPr>
                <w:t>8% (52/79)</w:t>
              </w:r>
            </w:ins>
          </w:p>
        </w:tc>
      </w:tr>
      <w:tr w:rsidR="00F013BD" w14:paraId="29052187" w14:textId="77777777" w:rsidTr="009B5D7A">
        <w:trPr>
          <w:cantSplit/>
          <w:jc w:val="center"/>
          <w:ins w:id="440" w:author="Reviser" w:date="2026-04-27T19:18:00Z"/>
          <w:trPrChange w:id="441" w:author="Reviser" w:date="2026-04-28T16:5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442" w:author="Reviser" w:date="2026-04-28T16:55:00Z">
              <w:tcPr>
                <w:tcW w:w="3413" w:type="dxa"/>
                <w:tcBorders>
                  <w:top w:val="single" w:sz="6" w:space="0" w:color="auto"/>
                  <w:left w:val="single" w:sz="6" w:space="0" w:color="auto"/>
                  <w:bottom w:val="single" w:sz="6" w:space="0" w:color="auto"/>
                  <w:right w:val="single" w:sz="6" w:space="0" w:color="auto"/>
                </w:tcBorders>
                <w:hideMark/>
              </w:tcPr>
            </w:tcPrChange>
          </w:tcPr>
          <w:p w14:paraId="7F41BF67" w14:textId="77777777" w:rsidR="00F013BD" w:rsidRDefault="00F013BD" w:rsidP="00F013BD">
            <w:pPr>
              <w:tabs>
                <w:tab w:val="clear" w:pos="567"/>
              </w:tabs>
              <w:textAlignment w:val="baseline"/>
              <w:rPr>
                <w:ins w:id="443" w:author="Reviser" w:date="2026-04-27T19:18:00Z"/>
                <w:szCs w:val="22"/>
                <w:lang w:eastAsia="en-GB"/>
              </w:rPr>
            </w:pPr>
            <w:ins w:id="444" w:author="Reviser" w:date="2026-04-27T19:18:00Z">
              <w:r>
                <w:rPr>
                  <w:szCs w:val="22"/>
                  <w:lang w:eastAsia="en-GB"/>
                </w:rPr>
                <w:t>Клинична ремисия</w:t>
              </w:r>
              <w:r>
                <w:rPr>
                  <w:szCs w:val="22"/>
                  <w:vertAlign w:val="superscript"/>
                  <w:lang w:eastAsia="en-GB"/>
                </w:rPr>
                <w:t xml:space="preserve"> </w:t>
              </w:r>
              <w:r>
                <w:rPr>
                  <w:szCs w:val="22"/>
                  <w:lang w:eastAsia="en-GB"/>
                </w:rPr>
                <w:t>без кортикостероиди</w:t>
              </w:r>
              <w:r>
                <w:rPr>
                  <w:szCs w:val="22"/>
                  <w:vertAlign w:val="superscript"/>
                  <w:lang w:eastAsia="en-GB"/>
                </w:rPr>
                <w:t>§</w:t>
              </w:r>
              <w:r>
                <w:rPr>
                  <w:szCs w:val="22"/>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Change w:id="445" w:author="Reviser" w:date="2026-04-28T16:55:00Z">
              <w:tcPr>
                <w:tcW w:w="1836" w:type="dxa"/>
                <w:tcBorders>
                  <w:top w:val="single" w:sz="6" w:space="0" w:color="auto"/>
                  <w:left w:val="single" w:sz="6" w:space="0" w:color="auto"/>
                  <w:bottom w:val="single" w:sz="6" w:space="0" w:color="auto"/>
                  <w:right w:val="single" w:sz="6" w:space="0" w:color="auto"/>
                </w:tcBorders>
                <w:vAlign w:val="center"/>
                <w:hideMark/>
              </w:tcPr>
            </w:tcPrChange>
          </w:tcPr>
          <w:p w14:paraId="1858E102" w14:textId="0DAAE5D1" w:rsidR="00F013BD" w:rsidRDefault="00F013BD" w:rsidP="00F013BD">
            <w:pPr>
              <w:tabs>
                <w:tab w:val="clear" w:pos="567"/>
              </w:tabs>
              <w:jc w:val="center"/>
              <w:textAlignment w:val="baseline"/>
              <w:rPr>
                <w:ins w:id="446" w:author="Reviser" w:date="2026-04-27T19:18:00Z"/>
                <w:szCs w:val="22"/>
                <w:lang w:eastAsia="en-GB"/>
              </w:rPr>
            </w:pPr>
            <w:ins w:id="447" w:author="Reviser" w:date="2026-04-28T16:55:00Z">
              <w:r w:rsidRPr="00523DC7">
                <w:rPr>
                  <w:szCs w:val="22"/>
                  <w:lang w:eastAsia="en-GB"/>
                </w:rPr>
                <w:t>48</w:t>
              </w:r>
            </w:ins>
            <w:ins w:id="448" w:author="Reviser" w:date="2026-04-28T16:56:00Z">
              <w:r>
                <w:rPr>
                  <w:szCs w:val="22"/>
                  <w:lang w:eastAsia="en-GB"/>
                </w:rPr>
                <w:t>,</w:t>
              </w:r>
            </w:ins>
            <w:ins w:id="449" w:author="Reviser" w:date="2026-04-28T16:55:00Z">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hideMark/>
            <w:tcPrChange w:id="450" w:author="Reviser" w:date="2026-04-28T16:55:00Z">
              <w:tcPr>
                <w:tcW w:w="1780" w:type="dxa"/>
                <w:tcBorders>
                  <w:top w:val="single" w:sz="6" w:space="0" w:color="auto"/>
                  <w:left w:val="single" w:sz="6" w:space="0" w:color="auto"/>
                  <w:bottom w:val="single" w:sz="6" w:space="0" w:color="auto"/>
                  <w:right w:val="single" w:sz="6" w:space="0" w:color="auto"/>
                </w:tcBorders>
                <w:vAlign w:val="center"/>
                <w:hideMark/>
              </w:tcPr>
            </w:tcPrChange>
          </w:tcPr>
          <w:p w14:paraId="24BCD6AE" w14:textId="2149783E" w:rsidR="00F013BD" w:rsidRDefault="00F013BD" w:rsidP="00F013BD">
            <w:pPr>
              <w:tabs>
                <w:tab w:val="clear" w:pos="567"/>
              </w:tabs>
              <w:jc w:val="center"/>
              <w:textAlignment w:val="baseline"/>
              <w:rPr>
                <w:ins w:id="451" w:author="Reviser" w:date="2026-04-27T19:18:00Z"/>
                <w:szCs w:val="22"/>
                <w:lang w:eastAsia="en-GB"/>
              </w:rPr>
            </w:pPr>
            <w:ins w:id="452" w:author="Reviser" w:date="2026-04-28T16:55:00Z">
              <w:r w:rsidRPr="00523DC7">
                <w:rPr>
                  <w:szCs w:val="22"/>
                  <w:lang w:eastAsia="en-GB"/>
                </w:rPr>
                <w:t>32</w:t>
              </w:r>
            </w:ins>
            <w:ins w:id="453" w:author="Reviser" w:date="2026-04-28T16:57:00Z">
              <w:r>
                <w:rPr>
                  <w:szCs w:val="22"/>
                  <w:lang w:eastAsia="en-GB"/>
                </w:rPr>
                <w:t>,</w:t>
              </w:r>
            </w:ins>
            <w:ins w:id="454" w:author="Reviser" w:date="2026-04-28T16:55:00Z">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hideMark/>
            <w:tcPrChange w:id="455" w:author="Reviser" w:date="2026-04-28T16:55:00Z">
              <w:tcPr>
                <w:tcW w:w="2043" w:type="dxa"/>
                <w:gridSpan w:val="2"/>
                <w:tcBorders>
                  <w:top w:val="single" w:sz="6" w:space="0" w:color="auto"/>
                  <w:left w:val="single" w:sz="6" w:space="0" w:color="auto"/>
                  <w:bottom w:val="single" w:sz="6" w:space="0" w:color="auto"/>
                  <w:right w:val="single" w:sz="6" w:space="0" w:color="auto"/>
                </w:tcBorders>
                <w:vAlign w:val="center"/>
                <w:hideMark/>
              </w:tcPr>
            </w:tcPrChange>
          </w:tcPr>
          <w:p w14:paraId="7B849997" w14:textId="311046D2" w:rsidR="00F013BD" w:rsidRDefault="00F013BD" w:rsidP="00F013BD">
            <w:pPr>
              <w:tabs>
                <w:tab w:val="clear" w:pos="567"/>
              </w:tabs>
              <w:jc w:val="center"/>
              <w:textAlignment w:val="baseline"/>
              <w:rPr>
                <w:ins w:id="456" w:author="Reviser" w:date="2026-04-27T19:18:00Z"/>
                <w:szCs w:val="22"/>
                <w:lang w:eastAsia="en-GB"/>
              </w:rPr>
            </w:pPr>
            <w:ins w:id="457" w:author="Reviser" w:date="2026-04-28T16:55:00Z">
              <w:r w:rsidRPr="00523DC7">
                <w:rPr>
                  <w:szCs w:val="22"/>
                  <w:lang w:eastAsia="en-GB"/>
                </w:rPr>
                <w:t>40</w:t>
              </w:r>
            </w:ins>
            <w:ins w:id="458" w:author="Reviser" w:date="2026-04-28T16:57:00Z">
              <w:r>
                <w:rPr>
                  <w:szCs w:val="22"/>
                  <w:lang w:eastAsia="en-GB"/>
                </w:rPr>
                <w:t>,</w:t>
              </w:r>
            </w:ins>
            <w:ins w:id="459" w:author="Reviser" w:date="2026-04-28T16:55:00Z">
              <w:r w:rsidRPr="00523DC7">
                <w:rPr>
                  <w:szCs w:val="22"/>
                  <w:lang w:eastAsia="en-GB"/>
                </w:rPr>
                <w:t>5% (32/79)</w:t>
              </w:r>
            </w:ins>
          </w:p>
        </w:tc>
      </w:tr>
      <w:tr w:rsidR="00F013BD" w14:paraId="41441FC4" w14:textId="77777777" w:rsidTr="009B5D7A">
        <w:trPr>
          <w:cantSplit/>
          <w:jc w:val="center"/>
          <w:ins w:id="460" w:author="Reviser" w:date="2026-04-27T19:18:00Z"/>
          <w:trPrChange w:id="461" w:author="Reviser" w:date="2026-04-28T16:5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462" w:author="Reviser" w:date="2026-04-28T16:55:00Z">
              <w:tcPr>
                <w:tcW w:w="3413" w:type="dxa"/>
                <w:tcBorders>
                  <w:top w:val="single" w:sz="6" w:space="0" w:color="auto"/>
                  <w:left w:val="single" w:sz="6" w:space="0" w:color="auto"/>
                  <w:bottom w:val="single" w:sz="6" w:space="0" w:color="auto"/>
                  <w:right w:val="single" w:sz="6" w:space="0" w:color="auto"/>
                </w:tcBorders>
                <w:hideMark/>
              </w:tcPr>
            </w:tcPrChange>
          </w:tcPr>
          <w:p w14:paraId="44E412A2" w14:textId="5C5B88BD" w:rsidR="00F013BD" w:rsidRDefault="00F013BD" w:rsidP="00F013BD">
            <w:pPr>
              <w:tabs>
                <w:tab w:val="clear" w:pos="567"/>
              </w:tabs>
              <w:textAlignment w:val="baseline"/>
              <w:rPr>
                <w:ins w:id="463" w:author="Reviser" w:date="2026-04-27T19:18:00Z"/>
                <w:szCs w:val="22"/>
                <w:lang w:eastAsia="en-GB"/>
              </w:rPr>
            </w:pPr>
            <w:ins w:id="464" w:author="Reviser" w:date="2026-04-27T19:18:00Z">
              <w:r>
                <w:rPr>
                  <w:szCs w:val="22"/>
                  <w:lang w:eastAsia="en-GB"/>
                </w:rPr>
                <w:t xml:space="preserve">Клинична ремисия </w:t>
              </w:r>
            </w:ins>
            <w:ins w:id="465" w:author="Reviser" w:date="2026-04-28T16:53:00Z">
              <w:r>
                <w:rPr>
                  <w:szCs w:val="22"/>
                  <w:lang w:eastAsia="en-GB"/>
                </w:rPr>
                <w:t xml:space="preserve">на седмица 44 </w:t>
              </w:r>
            </w:ins>
            <w:ins w:id="466" w:author="Reviser" w:date="2026-04-27T19:18:00Z">
              <w:r>
                <w:rPr>
                  <w:szCs w:val="22"/>
                  <w:lang w:eastAsia="en-GB"/>
                </w:rPr>
                <w:t xml:space="preserve">при пациенти, които са били в клинична ремисия при индукцията </w:t>
              </w:r>
            </w:ins>
            <w:ins w:id="467" w:author="BG" w:date="2026-06-30T14:01:00Z">
              <w:r w:rsidR="00812A19">
                <w:rPr>
                  <w:szCs w:val="22"/>
                  <w:lang w:eastAsia="en-GB"/>
                </w:rPr>
                <w:t>на</w:t>
              </w:r>
            </w:ins>
            <w:ins w:id="468" w:author="Reviser" w:date="2026-04-28T16:53:00Z">
              <w:del w:id="469" w:author="BG" w:date="2026-06-30T14:01:00Z">
                <w:r w:rsidDel="00812A19">
                  <w:rPr>
                    <w:szCs w:val="22"/>
                    <w:lang w:eastAsia="en-GB"/>
                  </w:rPr>
                  <w:delText>в</w:delText>
                </w:r>
              </w:del>
              <w:r>
                <w:rPr>
                  <w:szCs w:val="22"/>
                  <w:lang w:eastAsia="en-GB"/>
                </w:rPr>
                <w:t xml:space="preserve"> </w:t>
              </w:r>
            </w:ins>
            <w:ins w:id="470" w:author="Reviser" w:date="2026-04-27T19:18:00Z">
              <w:r>
                <w:rPr>
                  <w:szCs w:val="22"/>
                  <w:lang w:eastAsia="en-GB"/>
                </w:rPr>
                <w:t>седмица 8</w:t>
              </w:r>
            </w:ins>
            <w:ins w:id="471" w:author="Reviser" w:date="2026-04-28T16:53:00Z">
              <w:r>
                <w:rPr>
                  <w:szCs w:val="22"/>
                  <w:vertAlign w:val="superscript"/>
                  <w:lang w:eastAsia="en-GB"/>
                </w:rPr>
                <w:t>†</w:t>
              </w:r>
            </w:ins>
            <w:ins w:id="472" w:author="Reviser" w:date="2026-04-27T19:18:00Z">
              <w:r>
                <w:rPr>
                  <w:szCs w:val="22"/>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Change w:id="473" w:author="Reviser" w:date="2026-04-28T16:55:00Z">
              <w:tcPr>
                <w:tcW w:w="1836" w:type="dxa"/>
                <w:tcBorders>
                  <w:top w:val="single" w:sz="6" w:space="0" w:color="auto"/>
                  <w:left w:val="single" w:sz="6" w:space="0" w:color="auto"/>
                  <w:bottom w:val="single" w:sz="6" w:space="0" w:color="auto"/>
                  <w:right w:val="single" w:sz="6" w:space="0" w:color="auto"/>
                </w:tcBorders>
                <w:vAlign w:val="center"/>
                <w:hideMark/>
              </w:tcPr>
            </w:tcPrChange>
          </w:tcPr>
          <w:p w14:paraId="7CAB9B7A" w14:textId="1A0BCA1D" w:rsidR="00F013BD" w:rsidRDefault="00F013BD" w:rsidP="00F013BD">
            <w:pPr>
              <w:tabs>
                <w:tab w:val="clear" w:pos="567"/>
              </w:tabs>
              <w:jc w:val="center"/>
              <w:textAlignment w:val="baseline"/>
              <w:rPr>
                <w:ins w:id="474" w:author="Reviser" w:date="2026-04-27T19:18:00Z"/>
                <w:szCs w:val="22"/>
                <w:lang w:eastAsia="en-GB"/>
              </w:rPr>
            </w:pPr>
            <w:ins w:id="475" w:author="Reviser" w:date="2026-04-28T16:55:00Z">
              <w:r w:rsidRPr="00523DC7">
                <w:rPr>
                  <w:szCs w:val="22"/>
                  <w:lang w:eastAsia="en-GB"/>
                </w:rPr>
                <w:t>56</w:t>
              </w:r>
            </w:ins>
            <w:ins w:id="476" w:author="Reviser" w:date="2026-04-28T16:57:00Z">
              <w:r>
                <w:rPr>
                  <w:szCs w:val="22"/>
                  <w:lang w:eastAsia="en-GB"/>
                </w:rPr>
                <w:t>,</w:t>
              </w:r>
            </w:ins>
            <w:ins w:id="477" w:author="Reviser" w:date="2026-04-28T16:55:00Z">
              <w:r w:rsidRPr="00523DC7">
                <w:rPr>
                  <w:szCs w:val="22"/>
                  <w:lang w:eastAsia="en-GB"/>
                </w:rPr>
                <w:t>3% (9/16)</w:t>
              </w:r>
            </w:ins>
          </w:p>
        </w:tc>
        <w:tc>
          <w:tcPr>
            <w:tcW w:w="1779" w:type="dxa"/>
            <w:tcBorders>
              <w:top w:val="single" w:sz="6" w:space="0" w:color="auto"/>
              <w:left w:val="single" w:sz="6" w:space="0" w:color="auto"/>
              <w:bottom w:val="single" w:sz="6" w:space="0" w:color="auto"/>
              <w:right w:val="single" w:sz="6" w:space="0" w:color="auto"/>
            </w:tcBorders>
            <w:hideMark/>
            <w:tcPrChange w:id="478" w:author="Reviser" w:date="2026-04-28T16:55:00Z">
              <w:tcPr>
                <w:tcW w:w="1780" w:type="dxa"/>
                <w:tcBorders>
                  <w:top w:val="single" w:sz="6" w:space="0" w:color="auto"/>
                  <w:left w:val="single" w:sz="6" w:space="0" w:color="auto"/>
                  <w:bottom w:val="single" w:sz="6" w:space="0" w:color="auto"/>
                  <w:right w:val="single" w:sz="6" w:space="0" w:color="auto"/>
                </w:tcBorders>
                <w:vAlign w:val="center"/>
                <w:hideMark/>
              </w:tcPr>
            </w:tcPrChange>
          </w:tcPr>
          <w:p w14:paraId="5E789439" w14:textId="107FDBEE" w:rsidR="00F013BD" w:rsidRDefault="00F013BD" w:rsidP="00F013BD">
            <w:pPr>
              <w:tabs>
                <w:tab w:val="clear" w:pos="567"/>
              </w:tabs>
              <w:jc w:val="center"/>
              <w:textAlignment w:val="baseline"/>
              <w:rPr>
                <w:ins w:id="479" w:author="Reviser" w:date="2026-04-27T19:18:00Z"/>
                <w:szCs w:val="22"/>
                <w:lang w:eastAsia="en-GB"/>
              </w:rPr>
            </w:pPr>
            <w:ins w:id="480" w:author="Reviser" w:date="2026-04-28T16:55:00Z">
              <w:r w:rsidRPr="00523DC7">
                <w:rPr>
                  <w:szCs w:val="22"/>
                  <w:lang w:eastAsia="en-GB"/>
                </w:rPr>
                <w:t>63</w:t>
              </w:r>
            </w:ins>
            <w:ins w:id="481" w:author="Reviser" w:date="2026-04-28T16:57:00Z">
              <w:r>
                <w:rPr>
                  <w:szCs w:val="22"/>
                  <w:lang w:eastAsia="en-GB"/>
                </w:rPr>
                <w:t>,</w:t>
              </w:r>
            </w:ins>
            <w:ins w:id="482" w:author="Reviser" w:date="2026-04-28T16:55:00Z">
              <w:r w:rsidRPr="00523DC7">
                <w:rPr>
                  <w:szCs w:val="22"/>
                  <w:lang w:eastAsia="en-GB"/>
                </w:rPr>
                <w:t>6% (7/11)</w:t>
              </w:r>
            </w:ins>
          </w:p>
        </w:tc>
        <w:tc>
          <w:tcPr>
            <w:tcW w:w="2049" w:type="dxa"/>
            <w:gridSpan w:val="2"/>
            <w:tcBorders>
              <w:top w:val="single" w:sz="6" w:space="0" w:color="auto"/>
              <w:left w:val="single" w:sz="6" w:space="0" w:color="auto"/>
              <w:bottom w:val="single" w:sz="6" w:space="0" w:color="auto"/>
              <w:right w:val="single" w:sz="6" w:space="0" w:color="auto"/>
            </w:tcBorders>
            <w:hideMark/>
            <w:tcPrChange w:id="483" w:author="Reviser" w:date="2026-04-28T16:55:00Z">
              <w:tcPr>
                <w:tcW w:w="2043" w:type="dxa"/>
                <w:gridSpan w:val="2"/>
                <w:tcBorders>
                  <w:top w:val="single" w:sz="6" w:space="0" w:color="auto"/>
                  <w:left w:val="single" w:sz="6" w:space="0" w:color="auto"/>
                  <w:bottom w:val="single" w:sz="6" w:space="0" w:color="auto"/>
                  <w:right w:val="single" w:sz="6" w:space="0" w:color="auto"/>
                </w:tcBorders>
                <w:vAlign w:val="center"/>
                <w:hideMark/>
              </w:tcPr>
            </w:tcPrChange>
          </w:tcPr>
          <w:p w14:paraId="52DB471E" w14:textId="4071FD69" w:rsidR="00F013BD" w:rsidRDefault="00F013BD" w:rsidP="00F013BD">
            <w:pPr>
              <w:tabs>
                <w:tab w:val="clear" w:pos="567"/>
              </w:tabs>
              <w:jc w:val="center"/>
              <w:textAlignment w:val="baseline"/>
              <w:rPr>
                <w:ins w:id="484" w:author="Reviser" w:date="2026-04-27T19:18:00Z"/>
                <w:szCs w:val="22"/>
                <w:lang w:eastAsia="en-GB"/>
              </w:rPr>
            </w:pPr>
            <w:ins w:id="485" w:author="Reviser" w:date="2026-04-28T16:55:00Z">
              <w:r w:rsidRPr="00523DC7">
                <w:rPr>
                  <w:szCs w:val="22"/>
                  <w:lang w:eastAsia="en-GB"/>
                </w:rPr>
                <w:t>59</w:t>
              </w:r>
            </w:ins>
            <w:ins w:id="486" w:author="Reviser" w:date="2026-04-28T16:57:00Z">
              <w:r>
                <w:rPr>
                  <w:szCs w:val="22"/>
                  <w:lang w:eastAsia="en-GB"/>
                </w:rPr>
                <w:t>,</w:t>
              </w:r>
            </w:ins>
            <w:ins w:id="487" w:author="Reviser" w:date="2026-04-28T16:55:00Z">
              <w:r w:rsidRPr="00523DC7">
                <w:rPr>
                  <w:szCs w:val="22"/>
                  <w:lang w:eastAsia="en-GB"/>
                </w:rPr>
                <w:t>3% (16/27)</w:t>
              </w:r>
            </w:ins>
          </w:p>
        </w:tc>
      </w:tr>
      <w:tr w:rsidR="00F013BD" w14:paraId="1DF9FD17" w14:textId="77777777" w:rsidTr="009B5D7A">
        <w:trPr>
          <w:cantSplit/>
          <w:jc w:val="center"/>
          <w:ins w:id="488" w:author="Reviser" w:date="2026-04-27T19:18:00Z"/>
          <w:trPrChange w:id="489" w:author="Reviser" w:date="2026-04-28T16:5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490" w:author="Reviser" w:date="2026-04-28T16:55:00Z">
              <w:tcPr>
                <w:tcW w:w="3413" w:type="dxa"/>
                <w:tcBorders>
                  <w:top w:val="single" w:sz="6" w:space="0" w:color="auto"/>
                  <w:left w:val="single" w:sz="6" w:space="0" w:color="auto"/>
                  <w:bottom w:val="single" w:sz="6" w:space="0" w:color="auto"/>
                  <w:right w:val="single" w:sz="6" w:space="0" w:color="auto"/>
                </w:tcBorders>
                <w:hideMark/>
              </w:tcPr>
            </w:tcPrChange>
          </w:tcPr>
          <w:p w14:paraId="6D83822F" w14:textId="5EC78632" w:rsidR="00F013BD" w:rsidRDefault="00F013BD" w:rsidP="00F013BD">
            <w:pPr>
              <w:tabs>
                <w:tab w:val="clear" w:pos="567"/>
              </w:tabs>
              <w:textAlignment w:val="baseline"/>
              <w:rPr>
                <w:ins w:id="491" w:author="Reviser" w:date="2026-04-27T19:18:00Z"/>
                <w:szCs w:val="22"/>
                <w:lang w:eastAsia="en-GB"/>
              </w:rPr>
            </w:pPr>
            <w:ins w:id="492" w:author="Reviser" w:date="2026-04-28T16:54:00Z">
              <w:r>
                <w:rPr>
                  <w:szCs w:val="22"/>
                  <w:lang w:eastAsia="en-GB"/>
                </w:rPr>
                <w:t>Ендоскопск</w:t>
              </w:r>
            </w:ins>
            <w:ins w:id="493" w:author="Reviser" w:date="2026-04-28T17:14:00Z">
              <w:r w:rsidR="0035674C">
                <w:rPr>
                  <w:szCs w:val="22"/>
                  <w:lang w:eastAsia="en-GB"/>
                </w:rPr>
                <w:t>о</w:t>
              </w:r>
            </w:ins>
            <w:ins w:id="494" w:author="Reviser" w:date="2026-04-28T16:54:00Z">
              <w:r>
                <w:rPr>
                  <w:szCs w:val="22"/>
                  <w:lang w:eastAsia="en-GB"/>
                </w:rPr>
                <w:t xml:space="preserve"> </w:t>
              </w:r>
            </w:ins>
            <w:ins w:id="495" w:author="Reviser" w:date="2026-04-28T17:15:00Z">
              <w:r w:rsidR="0035674C">
                <w:rPr>
                  <w:szCs w:val="22"/>
                  <w:lang w:eastAsia="en-GB"/>
                </w:rPr>
                <w:t>подобрение</w:t>
              </w:r>
            </w:ins>
            <w:ins w:id="496" w:author="Reviser" w:date="2026-04-28T16:54:00Z">
              <w:r>
                <w:rPr>
                  <w:szCs w:val="22"/>
                  <w:vertAlign w:val="superscript"/>
                  <w:lang w:eastAsia="en-GB"/>
                </w:rPr>
                <w:t>£</w:t>
              </w:r>
              <w:r>
                <w:rPr>
                  <w:szCs w:val="22"/>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Change w:id="497" w:author="Reviser" w:date="2026-04-28T16:55:00Z">
              <w:tcPr>
                <w:tcW w:w="1836" w:type="dxa"/>
                <w:tcBorders>
                  <w:top w:val="single" w:sz="6" w:space="0" w:color="auto"/>
                  <w:left w:val="single" w:sz="6" w:space="0" w:color="auto"/>
                  <w:bottom w:val="single" w:sz="6" w:space="0" w:color="auto"/>
                  <w:right w:val="single" w:sz="6" w:space="0" w:color="auto"/>
                </w:tcBorders>
                <w:vAlign w:val="center"/>
                <w:hideMark/>
              </w:tcPr>
            </w:tcPrChange>
          </w:tcPr>
          <w:p w14:paraId="69263910" w14:textId="4BF2D385" w:rsidR="00F013BD" w:rsidRDefault="00F013BD" w:rsidP="00F013BD">
            <w:pPr>
              <w:tabs>
                <w:tab w:val="clear" w:pos="567"/>
              </w:tabs>
              <w:jc w:val="center"/>
              <w:textAlignment w:val="baseline"/>
              <w:rPr>
                <w:ins w:id="498" w:author="Reviser" w:date="2026-04-27T19:18:00Z"/>
                <w:szCs w:val="22"/>
                <w:lang w:eastAsia="en-GB"/>
              </w:rPr>
            </w:pPr>
            <w:ins w:id="499" w:author="Reviser" w:date="2026-04-28T16:55:00Z">
              <w:r w:rsidRPr="00523DC7">
                <w:rPr>
                  <w:szCs w:val="22"/>
                  <w:lang w:eastAsia="en-GB"/>
                </w:rPr>
                <w:t>48</w:t>
              </w:r>
            </w:ins>
            <w:ins w:id="500" w:author="Reviser" w:date="2026-04-28T16:57:00Z">
              <w:r>
                <w:rPr>
                  <w:szCs w:val="22"/>
                  <w:lang w:eastAsia="en-GB"/>
                </w:rPr>
                <w:t>,</w:t>
              </w:r>
            </w:ins>
            <w:ins w:id="501" w:author="Reviser" w:date="2026-04-28T16:55:00Z">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hideMark/>
            <w:tcPrChange w:id="502" w:author="Reviser" w:date="2026-04-28T16:55:00Z">
              <w:tcPr>
                <w:tcW w:w="1780" w:type="dxa"/>
                <w:tcBorders>
                  <w:top w:val="single" w:sz="6" w:space="0" w:color="auto"/>
                  <w:left w:val="single" w:sz="6" w:space="0" w:color="auto"/>
                  <w:bottom w:val="single" w:sz="6" w:space="0" w:color="auto"/>
                  <w:right w:val="single" w:sz="6" w:space="0" w:color="auto"/>
                </w:tcBorders>
                <w:vAlign w:val="center"/>
                <w:hideMark/>
              </w:tcPr>
            </w:tcPrChange>
          </w:tcPr>
          <w:p w14:paraId="7A67FB8B" w14:textId="4CE2C272" w:rsidR="00F013BD" w:rsidRDefault="00F013BD" w:rsidP="00F013BD">
            <w:pPr>
              <w:tabs>
                <w:tab w:val="clear" w:pos="567"/>
              </w:tabs>
              <w:jc w:val="center"/>
              <w:textAlignment w:val="baseline"/>
              <w:rPr>
                <w:ins w:id="503" w:author="Reviser" w:date="2026-04-27T19:18:00Z"/>
                <w:szCs w:val="22"/>
                <w:lang w:eastAsia="en-GB"/>
              </w:rPr>
            </w:pPr>
            <w:ins w:id="504" w:author="Reviser" w:date="2026-04-28T16:55:00Z">
              <w:r w:rsidRPr="00523DC7">
                <w:rPr>
                  <w:szCs w:val="22"/>
                  <w:lang w:eastAsia="en-GB"/>
                </w:rPr>
                <w:t>32</w:t>
              </w:r>
            </w:ins>
            <w:ins w:id="505" w:author="Reviser" w:date="2026-04-28T16:57:00Z">
              <w:r>
                <w:rPr>
                  <w:szCs w:val="22"/>
                  <w:lang w:eastAsia="en-GB"/>
                </w:rPr>
                <w:t>,</w:t>
              </w:r>
            </w:ins>
            <w:ins w:id="506" w:author="Reviser" w:date="2026-04-28T16:55:00Z">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hideMark/>
            <w:tcPrChange w:id="507" w:author="Reviser" w:date="2026-04-28T16:55:00Z">
              <w:tcPr>
                <w:tcW w:w="2043" w:type="dxa"/>
                <w:gridSpan w:val="2"/>
                <w:tcBorders>
                  <w:top w:val="single" w:sz="6" w:space="0" w:color="auto"/>
                  <w:left w:val="single" w:sz="6" w:space="0" w:color="auto"/>
                  <w:bottom w:val="single" w:sz="6" w:space="0" w:color="auto"/>
                  <w:right w:val="single" w:sz="6" w:space="0" w:color="auto"/>
                </w:tcBorders>
                <w:vAlign w:val="center"/>
                <w:hideMark/>
              </w:tcPr>
            </w:tcPrChange>
          </w:tcPr>
          <w:p w14:paraId="0229F072" w14:textId="28206DFC" w:rsidR="00F013BD" w:rsidRDefault="00F013BD" w:rsidP="00F013BD">
            <w:pPr>
              <w:tabs>
                <w:tab w:val="clear" w:pos="567"/>
              </w:tabs>
              <w:jc w:val="center"/>
              <w:textAlignment w:val="baseline"/>
              <w:rPr>
                <w:ins w:id="508" w:author="Reviser" w:date="2026-04-27T19:18:00Z"/>
                <w:szCs w:val="22"/>
                <w:lang w:eastAsia="en-GB"/>
              </w:rPr>
            </w:pPr>
            <w:ins w:id="509" w:author="Reviser" w:date="2026-04-28T16:55:00Z">
              <w:r w:rsidRPr="00523DC7">
                <w:rPr>
                  <w:szCs w:val="22"/>
                  <w:lang w:eastAsia="en-GB"/>
                </w:rPr>
                <w:t>40</w:t>
              </w:r>
            </w:ins>
            <w:ins w:id="510" w:author="Reviser" w:date="2026-04-28T16:57:00Z">
              <w:r>
                <w:rPr>
                  <w:szCs w:val="22"/>
                  <w:lang w:eastAsia="en-GB"/>
                </w:rPr>
                <w:t>,</w:t>
              </w:r>
            </w:ins>
            <w:ins w:id="511" w:author="Reviser" w:date="2026-04-28T16:55:00Z">
              <w:r w:rsidRPr="00523DC7">
                <w:rPr>
                  <w:szCs w:val="22"/>
                  <w:lang w:eastAsia="en-GB"/>
                </w:rPr>
                <w:t>5% (32/79)</w:t>
              </w:r>
            </w:ins>
          </w:p>
        </w:tc>
      </w:tr>
      <w:tr w:rsidR="00F013BD" w14:paraId="0A69A119" w14:textId="77777777" w:rsidTr="009B5D7A">
        <w:trPr>
          <w:cantSplit/>
          <w:jc w:val="center"/>
          <w:ins w:id="512" w:author="Reviser" w:date="2026-04-27T19:18:00Z"/>
          <w:trPrChange w:id="513" w:author="Reviser" w:date="2026-04-28T16:5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hideMark/>
            <w:tcPrChange w:id="514" w:author="Reviser" w:date="2026-04-28T16:55:00Z">
              <w:tcPr>
                <w:tcW w:w="3413" w:type="dxa"/>
                <w:tcBorders>
                  <w:top w:val="single" w:sz="6" w:space="0" w:color="auto"/>
                  <w:left w:val="single" w:sz="6" w:space="0" w:color="auto"/>
                  <w:bottom w:val="single" w:sz="6" w:space="0" w:color="auto"/>
                  <w:right w:val="single" w:sz="6" w:space="0" w:color="auto"/>
                </w:tcBorders>
                <w:hideMark/>
              </w:tcPr>
            </w:tcPrChange>
          </w:tcPr>
          <w:p w14:paraId="1A6F0D43" w14:textId="00CB87DF" w:rsidR="00F013BD" w:rsidRDefault="00F013BD" w:rsidP="007351EB">
            <w:pPr>
              <w:tabs>
                <w:tab w:val="clear" w:pos="567"/>
              </w:tabs>
              <w:textAlignment w:val="baseline"/>
              <w:rPr>
                <w:ins w:id="515" w:author="Reviser" w:date="2026-04-27T19:18:00Z"/>
                <w:szCs w:val="22"/>
                <w:lang w:eastAsia="en-GB"/>
              </w:rPr>
            </w:pPr>
            <w:ins w:id="516" w:author="Reviser" w:date="2026-04-28T16:54:00Z">
              <w:r>
                <w:rPr>
                  <w:lang w:eastAsia="en-GB"/>
                </w:rPr>
                <w:t>Х</w:t>
              </w:r>
            </w:ins>
            <w:ins w:id="517" w:author="Reviser" w:date="2026-04-28T16:55:00Z">
              <w:r>
                <w:rPr>
                  <w:lang w:eastAsia="en-GB"/>
                </w:rPr>
                <w:t>истологично</w:t>
              </w:r>
            </w:ins>
            <w:ins w:id="518" w:author="Reviser" w:date="2026-04-28T16:54:00Z">
              <w:r w:rsidRPr="00523DC7">
                <w:rPr>
                  <w:lang w:eastAsia="en-GB"/>
                </w:rPr>
                <w:t>-</w:t>
              </w:r>
            </w:ins>
            <w:ins w:id="519" w:author="Reviser" w:date="2026-04-28T16:55:00Z">
              <w:r>
                <w:rPr>
                  <w:lang w:eastAsia="en-GB"/>
                </w:rPr>
                <w:t>ендоскопско</w:t>
              </w:r>
            </w:ins>
            <w:ins w:id="520" w:author="Reviser" w:date="2026-04-28T16:54:00Z">
              <w:r w:rsidRPr="00523DC7">
                <w:rPr>
                  <w:lang w:eastAsia="en-GB"/>
                </w:rPr>
                <w:t xml:space="preserve"> </w:t>
              </w:r>
            </w:ins>
            <w:ins w:id="521" w:author="Reviser" w:date="2026-04-28T16:55:00Z">
              <w:del w:id="522" w:author="BG" w:date="2026-06-30T14:02:00Z">
                <w:r w:rsidDel="007351EB">
                  <w:rPr>
                    <w:lang w:eastAsia="en-GB"/>
                  </w:rPr>
                  <w:delText xml:space="preserve">лигавично </w:delText>
                </w:r>
              </w:del>
              <w:r>
                <w:rPr>
                  <w:lang w:eastAsia="en-GB"/>
                </w:rPr>
                <w:t xml:space="preserve">подобрение </w:t>
              </w:r>
            </w:ins>
            <w:ins w:id="523" w:author="BG" w:date="2026-06-30T14:02:00Z">
              <w:r w:rsidR="007351EB" w:rsidRPr="007351EB">
                <w:rPr>
                  <w:lang w:eastAsia="en-GB"/>
                </w:rPr>
                <w:t xml:space="preserve">по отношение на лигавицата </w:t>
              </w:r>
            </w:ins>
            <w:ins w:id="524" w:author="Reviser" w:date="2026-04-28T16:55:00Z">
              <w:r>
                <w:rPr>
                  <w:lang w:eastAsia="en-GB"/>
                </w:rPr>
                <w:t>въз основа на</w:t>
              </w:r>
            </w:ins>
            <w:ins w:id="525" w:author="Reviser" w:date="2026-04-28T16:54:00Z">
              <w:r w:rsidRPr="00523DC7">
                <w:rPr>
                  <w:lang w:eastAsia="en-GB"/>
                </w:rPr>
                <w:t xml:space="preserve"> GS</w:t>
              </w:r>
              <w:r w:rsidRPr="00E5333A">
                <w:rPr>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hideMark/>
            <w:tcPrChange w:id="526" w:author="Reviser" w:date="2026-04-28T16:55:00Z">
              <w:tcPr>
                <w:tcW w:w="1836" w:type="dxa"/>
                <w:tcBorders>
                  <w:top w:val="single" w:sz="6" w:space="0" w:color="auto"/>
                  <w:left w:val="single" w:sz="6" w:space="0" w:color="auto"/>
                  <w:bottom w:val="single" w:sz="6" w:space="0" w:color="auto"/>
                  <w:right w:val="single" w:sz="6" w:space="0" w:color="auto"/>
                </w:tcBorders>
                <w:vAlign w:val="center"/>
                <w:hideMark/>
              </w:tcPr>
            </w:tcPrChange>
          </w:tcPr>
          <w:p w14:paraId="315C8CC5" w14:textId="2FAFC19F" w:rsidR="00F013BD" w:rsidRDefault="00F013BD" w:rsidP="00F013BD">
            <w:pPr>
              <w:tabs>
                <w:tab w:val="clear" w:pos="567"/>
              </w:tabs>
              <w:jc w:val="center"/>
              <w:textAlignment w:val="baseline"/>
              <w:rPr>
                <w:ins w:id="527" w:author="Reviser" w:date="2026-04-27T19:18:00Z"/>
                <w:szCs w:val="22"/>
                <w:lang w:eastAsia="en-GB"/>
              </w:rPr>
            </w:pPr>
            <w:ins w:id="528" w:author="Reviser" w:date="2026-04-28T16:55:00Z">
              <w:r w:rsidRPr="00523DC7">
                <w:rPr>
                  <w:szCs w:val="22"/>
                  <w:lang w:eastAsia="en-GB"/>
                </w:rPr>
                <w:t>46</w:t>
              </w:r>
            </w:ins>
            <w:ins w:id="529" w:author="Reviser" w:date="2026-04-28T16:57:00Z">
              <w:r>
                <w:rPr>
                  <w:szCs w:val="22"/>
                  <w:lang w:eastAsia="en-GB"/>
                </w:rPr>
                <w:t>,</w:t>
              </w:r>
            </w:ins>
            <w:ins w:id="530" w:author="Reviser" w:date="2026-04-28T16:55:00Z">
              <w:r w:rsidRPr="00523DC7">
                <w:rPr>
                  <w:szCs w:val="22"/>
                  <w:lang w:eastAsia="en-GB"/>
                </w:rPr>
                <w:t>2% (18/39)</w:t>
              </w:r>
            </w:ins>
          </w:p>
        </w:tc>
        <w:tc>
          <w:tcPr>
            <w:tcW w:w="1779" w:type="dxa"/>
            <w:tcBorders>
              <w:top w:val="single" w:sz="6" w:space="0" w:color="auto"/>
              <w:left w:val="single" w:sz="6" w:space="0" w:color="auto"/>
              <w:bottom w:val="single" w:sz="6" w:space="0" w:color="auto"/>
              <w:right w:val="single" w:sz="6" w:space="0" w:color="auto"/>
            </w:tcBorders>
            <w:hideMark/>
            <w:tcPrChange w:id="531" w:author="Reviser" w:date="2026-04-28T16:55:00Z">
              <w:tcPr>
                <w:tcW w:w="1780" w:type="dxa"/>
                <w:tcBorders>
                  <w:top w:val="single" w:sz="6" w:space="0" w:color="auto"/>
                  <w:left w:val="single" w:sz="6" w:space="0" w:color="auto"/>
                  <w:bottom w:val="single" w:sz="6" w:space="0" w:color="auto"/>
                  <w:right w:val="single" w:sz="6" w:space="0" w:color="auto"/>
                </w:tcBorders>
                <w:vAlign w:val="center"/>
                <w:hideMark/>
              </w:tcPr>
            </w:tcPrChange>
          </w:tcPr>
          <w:p w14:paraId="46913BB4" w14:textId="4B65FBFE" w:rsidR="00F013BD" w:rsidRDefault="00F013BD" w:rsidP="00F013BD">
            <w:pPr>
              <w:tabs>
                <w:tab w:val="clear" w:pos="567"/>
              </w:tabs>
              <w:jc w:val="center"/>
              <w:textAlignment w:val="baseline"/>
              <w:rPr>
                <w:ins w:id="532" w:author="Reviser" w:date="2026-04-27T19:18:00Z"/>
                <w:szCs w:val="22"/>
                <w:lang w:eastAsia="en-GB"/>
              </w:rPr>
            </w:pPr>
            <w:ins w:id="533" w:author="Reviser" w:date="2026-04-28T16:55:00Z">
              <w:r w:rsidRPr="00523DC7">
                <w:rPr>
                  <w:szCs w:val="22"/>
                  <w:lang w:eastAsia="en-GB"/>
                </w:rPr>
                <w:t>27</w:t>
              </w:r>
            </w:ins>
            <w:ins w:id="534" w:author="Reviser" w:date="2026-04-28T16:57:00Z">
              <w:r>
                <w:rPr>
                  <w:szCs w:val="22"/>
                  <w:lang w:eastAsia="en-GB"/>
                </w:rPr>
                <w:t>,</w:t>
              </w:r>
            </w:ins>
            <w:ins w:id="535" w:author="Reviser" w:date="2026-04-28T16:55:00Z">
              <w:r w:rsidRPr="00523DC7">
                <w:rPr>
                  <w:szCs w:val="22"/>
                  <w:lang w:eastAsia="en-GB"/>
                </w:rPr>
                <w:t>5% (11/40)</w:t>
              </w:r>
            </w:ins>
          </w:p>
        </w:tc>
        <w:tc>
          <w:tcPr>
            <w:tcW w:w="2049" w:type="dxa"/>
            <w:gridSpan w:val="2"/>
            <w:tcBorders>
              <w:top w:val="single" w:sz="6" w:space="0" w:color="auto"/>
              <w:left w:val="single" w:sz="6" w:space="0" w:color="auto"/>
              <w:bottom w:val="single" w:sz="6" w:space="0" w:color="auto"/>
              <w:right w:val="single" w:sz="6" w:space="0" w:color="auto"/>
            </w:tcBorders>
            <w:hideMark/>
            <w:tcPrChange w:id="536" w:author="Reviser" w:date="2026-04-28T16:55:00Z">
              <w:tcPr>
                <w:tcW w:w="2043" w:type="dxa"/>
                <w:gridSpan w:val="2"/>
                <w:tcBorders>
                  <w:top w:val="single" w:sz="6" w:space="0" w:color="auto"/>
                  <w:left w:val="single" w:sz="6" w:space="0" w:color="auto"/>
                  <w:bottom w:val="single" w:sz="6" w:space="0" w:color="auto"/>
                  <w:right w:val="single" w:sz="6" w:space="0" w:color="auto"/>
                </w:tcBorders>
                <w:vAlign w:val="center"/>
                <w:hideMark/>
              </w:tcPr>
            </w:tcPrChange>
          </w:tcPr>
          <w:p w14:paraId="4CAC55EF" w14:textId="4D8F4629" w:rsidR="00F013BD" w:rsidRDefault="00F013BD" w:rsidP="00F013BD">
            <w:pPr>
              <w:tabs>
                <w:tab w:val="clear" w:pos="567"/>
              </w:tabs>
              <w:jc w:val="center"/>
              <w:textAlignment w:val="baseline"/>
              <w:rPr>
                <w:ins w:id="537" w:author="Reviser" w:date="2026-04-27T19:18:00Z"/>
                <w:szCs w:val="22"/>
                <w:lang w:eastAsia="en-GB"/>
              </w:rPr>
            </w:pPr>
            <w:ins w:id="538" w:author="Reviser" w:date="2026-04-28T16:55:00Z">
              <w:r w:rsidRPr="00523DC7">
                <w:rPr>
                  <w:szCs w:val="22"/>
                  <w:lang w:eastAsia="en-GB"/>
                </w:rPr>
                <w:t>36</w:t>
              </w:r>
            </w:ins>
            <w:ins w:id="539" w:author="Reviser" w:date="2026-04-28T16:58:00Z">
              <w:r>
                <w:rPr>
                  <w:szCs w:val="22"/>
                  <w:lang w:eastAsia="en-GB"/>
                </w:rPr>
                <w:t>,</w:t>
              </w:r>
            </w:ins>
            <w:ins w:id="540" w:author="Reviser" w:date="2026-04-28T16:55:00Z">
              <w:r w:rsidRPr="00523DC7">
                <w:rPr>
                  <w:szCs w:val="22"/>
                  <w:lang w:eastAsia="en-GB"/>
                </w:rPr>
                <w:t>7% (29/79)</w:t>
              </w:r>
            </w:ins>
          </w:p>
        </w:tc>
      </w:tr>
      <w:tr w:rsidR="000E7A0E" w14:paraId="7D6DD8A0" w14:textId="77777777" w:rsidTr="00F013BD">
        <w:trPr>
          <w:gridAfter w:val="1"/>
          <w:wAfter w:w="8" w:type="dxa"/>
          <w:cantSplit/>
          <w:jc w:val="center"/>
          <w:ins w:id="541" w:author="Reviser" w:date="2026-04-27T19:18:00Z"/>
          <w:trPrChange w:id="542" w:author="Reviser" w:date="2026-04-28T16:52:00Z">
            <w:trPr>
              <w:gridAfter w:val="1"/>
              <w:wAfter w:w="8" w:type="dxa"/>
              <w:cantSplit/>
              <w:jc w:val="center"/>
            </w:trPr>
          </w:trPrChange>
        </w:trPr>
        <w:tc>
          <w:tcPr>
            <w:tcW w:w="9064" w:type="dxa"/>
            <w:gridSpan w:val="4"/>
            <w:tcBorders>
              <w:top w:val="single" w:sz="6" w:space="0" w:color="auto"/>
              <w:left w:val="nil"/>
              <w:bottom w:val="nil"/>
              <w:right w:val="nil"/>
            </w:tcBorders>
            <w:tcPrChange w:id="543" w:author="Reviser" w:date="2026-04-28T16:52:00Z">
              <w:tcPr>
                <w:tcW w:w="9072" w:type="dxa"/>
                <w:gridSpan w:val="4"/>
                <w:tcBorders>
                  <w:top w:val="single" w:sz="6" w:space="0" w:color="auto"/>
                  <w:left w:val="nil"/>
                  <w:bottom w:val="nil"/>
                  <w:right w:val="nil"/>
                </w:tcBorders>
              </w:tcPr>
            </w:tcPrChange>
          </w:tcPr>
          <w:p w14:paraId="1155E572" w14:textId="57DFEB6B" w:rsidR="000E7A0E" w:rsidRDefault="00397654" w:rsidP="009B5D7A">
            <w:pPr>
              <w:autoSpaceDE w:val="0"/>
              <w:autoSpaceDN w:val="0"/>
              <w:adjustRightInd w:val="0"/>
              <w:ind w:left="284" w:hanging="284"/>
              <w:rPr>
                <w:ins w:id="544" w:author="Reviser" w:date="2026-04-27T19:18:00Z"/>
                <w:sz w:val="18"/>
                <w:szCs w:val="18"/>
              </w:rPr>
            </w:pPr>
            <w:ins w:id="545" w:author="BG" w:date="2026-06-30T14:14:00Z">
              <w:r w:rsidRPr="00397654">
                <w:rPr>
                  <w:sz w:val="18"/>
                  <w:szCs w:val="18"/>
                </w:rPr>
                <w:lastRenderedPageBreak/>
                <w:t>†</w:t>
              </w:r>
            </w:ins>
            <w:ins w:id="546" w:author="Reviser" w:date="2026-04-27T19:18:00Z">
              <w:del w:id="547" w:author="BG" w:date="2026-06-30T14:14:00Z">
                <w:r w:rsidR="000E7A0E" w:rsidDel="00397654">
                  <w:rPr>
                    <w:sz w:val="18"/>
                    <w:szCs w:val="18"/>
                  </w:rPr>
                  <w:delText>*</w:delText>
                </w:r>
              </w:del>
            </w:ins>
            <w:ins w:id="548" w:author="Reviser" w:date="2026-04-28T16:52:00Z">
              <w:del w:id="549" w:author="BG" w:date="2026-06-30T14:14:00Z">
                <w:r w:rsidR="00F013BD" w:rsidRPr="00BB130F" w:rsidDel="00397654">
                  <w:rPr>
                    <w:sz w:val="18"/>
                    <w:szCs w:val="18"/>
                  </w:rPr>
                  <w:delText>*</w:delText>
                </w:r>
              </w:del>
            </w:ins>
            <w:ins w:id="550" w:author="Reviser" w:date="2026-04-27T19:18:00Z">
              <w:r w:rsidR="000E7A0E">
                <w:rPr>
                  <w:sz w:val="18"/>
                  <w:szCs w:val="18"/>
                </w:rPr>
                <w:tab/>
              </w:r>
            </w:ins>
            <w:ins w:id="551" w:author="BG" w:date="2026-06-30T14:13:00Z">
              <w:r>
                <w:rPr>
                  <w:sz w:val="18"/>
                  <w:szCs w:val="18"/>
                </w:rPr>
                <w:t xml:space="preserve">Клиничната </w:t>
              </w:r>
            </w:ins>
            <w:ins w:id="552" w:author="Reviser" w:date="2026-04-28T16:59:00Z">
              <w:del w:id="553" w:author="BG" w:date="2026-06-30T14:13:00Z">
                <w:r w:rsidR="00F013BD" w:rsidDel="00397654">
                  <w:rPr>
                    <w:sz w:val="18"/>
                    <w:szCs w:val="18"/>
                  </w:rPr>
                  <w:delText>Симптомат</w:delText>
                </w:r>
              </w:del>
            </w:ins>
            <w:ins w:id="554" w:author="Reviser" w:date="2026-04-27T19:18:00Z">
              <w:del w:id="555" w:author="BG" w:date="2026-06-30T14:13:00Z">
                <w:r w:rsidR="000E7A0E" w:rsidDel="00397654">
                  <w:rPr>
                    <w:sz w:val="18"/>
                    <w:szCs w:val="18"/>
                  </w:rPr>
                  <w:delText xml:space="preserve">ичната </w:delText>
                </w:r>
              </w:del>
              <w:r w:rsidR="000E7A0E">
                <w:rPr>
                  <w:sz w:val="18"/>
                  <w:szCs w:val="18"/>
                </w:rPr>
                <w:t xml:space="preserve">ремисия е дефинирана </w:t>
              </w:r>
              <w:del w:id="556" w:author="BG" w:date="2026-06-30T14:19:00Z">
                <w:r w:rsidR="000E7A0E" w:rsidDel="000F52A0">
                  <w:rPr>
                    <w:sz w:val="18"/>
                    <w:szCs w:val="18"/>
                  </w:rPr>
                  <w:delText>като</w:delText>
                </w:r>
              </w:del>
            </w:ins>
            <w:ins w:id="557" w:author="BG" w:date="2026-06-30T14:19:00Z">
              <w:r w:rsidR="000F52A0">
                <w:rPr>
                  <w:sz w:val="18"/>
                  <w:szCs w:val="18"/>
                </w:rPr>
                <w:t>чрез</w:t>
              </w:r>
            </w:ins>
            <w:ins w:id="558" w:author="Reviser" w:date="2026-04-27T19:18:00Z">
              <w:r w:rsidR="000E7A0E">
                <w:rPr>
                  <w:sz w:val="18"/>
                  <w:szCs w:val="18"/>
                </w:rPr>
                <w:t xml:space="preserve"> </w:t>
              </w:r>
            </w:ins>
            <w:ins w:id="559" w:author="Reviser" w:date="2026-04-28T17:03:00Z">
              <w:del w:id="560" w:author="BG" w:date="2026-06-30T14:16:00Z">
                <w:r w:rsidR="007D7E70" w:rsidDel="00397654">
                  <w:rPr>
                    <w:sz w:val="18"/>
                    <w:szCs w:val="18"/>
                  </w:rPr>
                  <w:delText xml:space="preserve">като </w:delText>
                </w:r>
              </w:del>
              <w:del w:id="561" w:author="BG" w:date="2026-06-30T14:25:00Z">
                <w:r w:rsidR="007D7E70" w:rsidDel="00E96B96">
                  <w:rPr>
                    <w:sz w:val="18"/>
                    <w:szCs w:val="18"/>
                  </w:rPr>
                  <w:delText>суб</w:delText>
                </w:r>
              </w:del>
            </w:ins>
            <w:ins w:id="562" w:author="BG" w:date="2026-06-30T14:25:00Z">
              <w:r w:rsidR="00E96B96">
                <w:rPr>
                  <w:sz w:val="18"/>
                  <w:szCs w:val="18"/>
                </w:rPr>
                <w:t>под</w:t>
              </w:r>
            </w:ins>
            <w:ins w:id="563" w:author="Reviser" w:date="2026-04-28T17:03:00Z">
              <w:r w:rsidR="007D7E70">
                <w:rPr>
                  <w:sz w:val="18"/>
                  <w:szCs w:val="18"/>
                </w:rPr>
                <w:t>скор</w:t>
              </w:r>
            </w:ins>
            <w:ins w:id="564" w:author="BG" w:date="2026-06-30T14:19:00Z">
              <w:r w:rsidR="000F52A0">
                <w:rPr>
                  <w:sz w:val="18"/>
                  <w:szCs w:val="18"/>
                </w:rPr>
                <w:t>ов</w:t>
              </w:r>
            </w:ins>
            <w:ins w:id="565" w:author="BG" w:date="2026-06-30T14:21:00Z">
              <w:r w:rsidR="000F52A0">
                <w:rPr>
                  <w:sz w:val="18"/>
                  <w:szCs w:val="18"/>
                </w:rPr>
                <w:t>е</w:t>
              </w:r>
            </w:ins>
            <w:ins w:id="566" w:author="Reviser" w:date="2026-04-28T17:03:00Z">
              <w:r w:rsidR="007D7E70">
                <w:rPr>
                  <w:sz w:val="18"/>
                  <w:szCs w:val="18"/>
                </w:rPr>
                <w:t xml:space="preserve"> по </w:t>
              </w:r>
              <w:r w:rsidR="007D7E70">
                <w:rPr>
                  <w:sz w:val="18"/>
                  <w:szCs w:val="18"/>
                  <w:lang w:val="en-US"/>
                </w:rPr>
                <w:t>Mayo</w:t>
              </w:r>
            </w:ins>
            <w:ins w:id="567" w:author="BG" w:date="2026-06-30T14:19:00Z">
              <w:r w:rsidR="000F52A0">
                <w:rPr>
                  <w:sz w:val="18"/>
                  <w:szCs w:val="18"/>
                </w:rPr>
                <w:t xml:space="preserve"> като:</w:t>
              </w:r>
            </w:ins>
            <w:ins w:id="568" w:author="Reviser" w:date="2026-04-28T17:03:00Z">
              <w:del w:id="569" w:author="BG" w:date="2026-06-30T14:19:00Z">
                <w:r w:rsidR="007D7E70" w:rsidDel="000F52A0">
                  <w:rPr>
                    <w:sz w:val="18"/>
                    <w:szCs w:val="18"/>
                  </w:rPr>
                  <w:delText xml:space="preserve"> за</w:delText>
                </w:r>
              </w:del>
              <w:r w:rsidR="007D7E70">
                <w:rPr>
                  <w:sz w:val="18"/>
                  <w:szCs w:val="18"/>
                </w:rPr>
                <w:t xml:space="preserve"> </w:t>
              </w:r>
            </w:ins>
            <w:ins w:id="570" w:author="BG" w:date="2026-06-30T14:25:00Z">
              <w:r w:rsidR="00E96B96">
                <w:rPr>
                  <w:sz w:val="18"/>
                  <w:szCs w:val="18"/>
                </w:rPr>
                <w:t>под</w:t>
              </w:r>
            </w:ins>
            <w:ins w:id="571" w:author="BG" w:date="2026-06-30T14:20:00Z">
              <w:r w:rsidR="000F52A0">
                <w:rPr>
                  <w:sz w:val="18"/>
                  <w:szCs w:val="18"/>
                </w:rPr>
                <w:t xml:space="preserve">скор за </w:t>
              </w:r>
            </w:ins>
            <w:ins w:id="572" w:author="Reviser" w:date="2026-04-28T17:03:00Z">
              <w:r w:rsidR="007D7E70">
                <w:rPr>
                  <w:sz w:val="18"/>
                  <w:szCs w:val="18"/>
                </w:rPr>
                <w:t>честота на дефекация</w:t>
              </w:r>
              <w:del w:id="573" w:author="BG" w:date="2026-06-30T14:19:00Z">
                <w:r w:rsidR="007D7E70" w:rsidDel="000F52A0">
                  <w:rPr>
                    <w:sz w:val="18"/>
                    <w:szCs w:val="18"/>
                  </w:rPr>
                  <w:delText>та</w:delText>
                </w:r>
              </w:del>
              <w:r w:rsidR="007D7E70">
                <w:rPr>
                  <w:sz w:val="18"/>
                  <w:szCs w:val="18"/>
                </w:rPr>
                <w:t xml:space="preserve"> </w:t>
              </w:r>
              <w:r w:rsidR="007D7E70">
                <w:rPr>
                  <w:rFonts w:eastAsia="TimesNewRoman"/>
                  <w:sz w:val="18"/>
                  <w:szCs w:val="18"/>
                  <w:lang w:eastAsia="zh-CN"/>
                </w:rPr>
                <w:t>0 или 1</w:t>
              </w:r>
            </w:ins>
            <w:ins w:id="574" w:author="BG" w:date="2026-06-30T14:20:00Z">
              <w:r w:rsidR="000F52A0">
                <w:rPr>
                  <w:rFonts w:eastAsia="TimesNewRoman"/>
                  <w:sz w:val="18"/>
                  <w:szCs w:val="18"/>
                  <w:lang w:eastAsia="zh-CN"/>
                </w:rPr>
                <w:t>,</w:t>
              </w:r>
            </w:ins>
            <w:ins w:id="575" w:author="Reviser" w:date="2026-04-28T17:03:00Z">
              <w:del w:id="576" w:author="BG" w:date="2026-06-30T14:20:00Z">
                <w:r w:rsidR="007D7E70" w:rsidDel="000F52A0">
                  <w:rPr>
                    <w:sz w:val="18"/>
                    <w:szCs w:val="18"/>
                  </w:rPr>
                  <w:delText xml:space="preserve"> и</w:delText>
                </w:r>
              </w:del>
              <w:r w:rsidR="007D7E70">
                <w:rPr>
                  <w:sz w:val="18"/>
                  <w:szCs w:val="18"/>
                </w:rPr>
                <w:t xml:space="preserve"> </w:t>
              </w:r>
            </w:ins>
            <w:ins w:id="577" w:author="BG" w:date="2026-06-30T14:25:00Z">
              <w:r w:rsidR="00E96B96">
                <w:rPr>
                  <w:sz w:val="18"/>
                  <w:szCs w:val="18"/>
                </w:rPr>
                <w:t>под</w:t>
              </w:r>
            </w:ins>
            <w:ins w:id="578" w:author="Reviser" w:date="2026-04-28T17:03:00Z">
              <w:del w:id="579" w:author="BG" w:date="2026-06-30T14:25:00Z">
                <w:r w:rsidR="007D7E70" w:rsidDel="00E96B96">
                  <w:rPr>
                    <w:sz w:val="18"/>
                    <w:szCs w:val="18"/>
                  </w:rPr>
                  <w:delText>суб</w:delText>
                </w:r>
              </w:del>
              <w:r w:rsidR="007D7E70">
                <w:rPr>
                  <w:sz w:val="18"/>
                  <w:szCs w:val="18"/>
                </w:rPr>
                <w:t>скор за ректално кървене 0</w:t>
              </w:r>
            </w:ins>
            <w:ins w:id="580" w:author="BG" w:date="2026-06-30T14:23:00Z">
              <w:r w:rsidR="00E96B96">
                <w:rPr>
                  <w:sz w:val="18"/>
                  <w:szCs w:val="18"/>
                </w:rPr>
                <w:t xml:space="preserve"> и ендоскопски </w:t>
              </w:r>
            </w:ins>
            <w:ins w:id="581" w:author="BG" w:date="2026-06-30T14:25:00Z">
              <w:r w:rsidR="00E96B96">
                <w:rPr>
                  <w:sz w:val="18"/>
                  <w:szCs w:val="18"/>
                </w:rPr>
                <w:t>под</w:t>
              </w:r>
            </w:ins>
            <w:ins w:id="582" w:author="BG" w:date="2026-06-30T14:23:00Z">
              <w:r w:rsidR="00E96B96" w:rsidRPr="00E96B96">
                <w:rPr>
                  <w:sz w:val="18"/>
                  <w:szCs w:val="18"/>
                </w:rPr>
                <w:t>скор 0 или 1 без наличие на ранимост при ендоскопскопията</w:t>
              </w:r>
            </w:ins>
            <w:ins w:id="583" w:author="Reviser" w:date="2026-04-28T17:04:00Z">
              <w:r w:rsidR="007D7E70">
                <w:rPr>
                  <w:sz w:val="18"/>
                  <w:szCs w:val="18"/>
                </w:rPr>
                <w:t xml:space="preserve">, </w:t>
              </w:r>
              <w:r w:rsidR="007D7E70" w:rsidRPr="007D7E70">
                <w:rPr>
                  <w:sz w:val="18"/>
                  <w:szCs w:val="18"/>
                </w:rPr>
                <w:t>при което подскорът за честота на дефекация не се повишава спрямо изходн</w:t>
              </w:r>
            </w:ins>
            <w:ins w:id="584" w:author="BG" w:date="2026-06-30T14:09:00Z">
              <w:r w:rsidR="0041322B">
                <w:rPr>
                  <w:sz w:val="18"/>
                  <w:szCs w:val="18"/>
                </w:rPr>
                <w:t>ото ниво при</w:t>
              </w:r>
            </w:ins>
            <w:ins w:id="585" w:author="BG" w:date="2026-06-30T14:10:00Z">
              <w:r w:rsidR="0041322B">
                <w:rPr>
                  <w:sz w:val="18"/>
                  <w:szCs w:val="18"/>
                </w:rPr>
                <w:t xml:space="preserve"> </w:t>
              </w:r>
            </w:ins>
            <w:ins w:id="586" w:author="Reviser" w:date="2026-04-28T17:04:00Z">
              <w:del w:id="587" w:author="BG" w:date="2026-06-30T14:10:00Z">
                <w:r w:rsidR="007D7E70" w:rsidRPr="007D7E70" w:rsidDel="0041322B">
                  <w:rPr>
                    <w:sz w:val="18"/>
                    <w:szCs w:val="18"/>
                  </w:rPr>
                  <w:delText xml:space="preserve">ите </w:delText>
                </w:r>
              </w:del>
              <w:r w:rsidR="007D7E70" w:rsidRPr="007D7E70">
                <w:rPr>
                  <w:sz w:val="18"/>
                  <w:szCs w:val="18"/>
                </w:rPr>
                <w:t>индукци</w:t>
              </w:r>
            </w:ins>
            <w:ins w:id="588" w:author="BG" w:date="2026-06-30T14:10:00Z">
              <w:r w:rsidR="0041322B">
                <w:rPr>
                  <w:sz w:val="18"/>
                  <w:szCs w:val="18"/>
                </w:rPr>
                <w:t>ят</w:t>
              </w:r>
            </w:ins>
            <w:ins w:id="589" w:author="BG" w:date="2026-06-30T14:17:00Z">
              <w:r>
                <w:rPr>
                  <w:sz w:val="18"/>
                  <w:szCs w:val="18"/>
                </w:rPr>
                <w:t>а</w:t>
              </w:r>
            </w:ins>
            <w:ins w:id="590" w:author="BG" w:date="2026-06-30T14:25:00Z">
              <w:r w:rsidR="00E96B96">
                <w:rPr>
                  <w:sz w:val="18"/>
                  <w:szCs w:val="18"/>
                </w:rPr>
                <w:t>.</w:t>
              </w:r>
            </w:ins>
            <w:ins w:id="591" w:author="Reviser" w:date="2026-04-28T17:04:00Z">
              <w:del w:id="592" w:author="BG" w:date="2026-06-30T14:10:00Z">
                <w:r w:rsidR="007D7E70" w:rsidRPr="007D7E70" w:rsidDel="0041322B">
                  <w:rPr>
                    <w:sz w:val="18"/>
                    <w:szCs w:val="18"/>
                  </w:rPr>
                  <w:delText>онни стойности</w:delText>
                </w:r>
              </w:del>
            </w:ins>
            <w:ins w:id="593" w:author="Reviser" w:date="2026-04-27T19:18:00Z">
              <w:del w:id="594" w:author="BG" w:date="2026-06-30T14:17:00Z">
                <w:r w:rsidR="000E7A0E" w:rsidDel="00397654">
                  <w:rPr>
                    <w:sz w:val="18"/>
                    <w:szCs w:val="18"/>
                  </w:rPr>
                  <w:delText>.</w:delText>
                </w:r>
              </w:del>
            </w:ins>
          </w:p>
          <w:p w14:paraId="27500415" w14:textId="73CF4BC5" w:rsidR="000E7A0E" w:rsidRPr="00F9219D" w:rsidRDefault="00397654" w:rsidP="009B5D7A">
            <w:pPr>
              <w:autoSpaceDE w:val="0"/>
              <w:autoSpaceDN w:val="0"/>
              <w:adjustRightInd w:val="0"/>
              <w:ind w:left="284" w:hanging="284"/>
              <w:rPr>
                <w:ins w:id="595" w:author="Reviser" w:date="2026-04-27T19:18:00Z"/>
                <w:sz w:val="18"/>
                <w:szCs w:val="18"/>
              </w:rPr>
            </w:pPr>
            <w:ins w:id="596" w:author="BG" w:date="2026-06-30T14:14:00Z">
              <w:r w:rsidRPr="00397654">
                <w:rPr>
                  <w:szCs w:val="22"/>
                  <w:vertAlign w:val="superscript"/>
                </w:rPr>
                <w:t>**</w:t>
              </w:r>
            </w:ins>
            <w:ins w:id="597" w:author="Reviser" w:date="2026-04-27T19:18:00Z">
              <w:del w:id="598" w:author="BG" w:date="2026-06-30T14:14:00Z">
                <w:r w:rsidR="000E7A0E" w:rsidDel="00397654">
                  <w:rPr>
                    <w:szCs w:val="22"/>
                    <w:vertAlign w:val="superscript"/>
                  </w:rPr>
                  <w:delText>§</w:delText>
                </w:r>
              </w:del>
              <w:r w:rsidR="000E7A0E">
                <w:rPr>
                  <w:sz w:val="18"/>
                  <w:szCs w:val="18"/>
                </w:rPr>
                <w:tab/>
              </w:r>
            </w:ins>
            <w:r w:rsidR="001C434F">
              <w:rPr>
                <w:sz w:val="18"/>
                <w:szCs w:val="18"/>
              </w:rPr>
              <w:t>Симптоматичната</w:t>
            </w:r>
            <w:ins w:id="599" w:author="Reviser" w:date="2026-04-27T19:18:00Z">
              <w:r w:rsidR="001C434F">
                <w:rPr>
                  <w:sz w:val="18"/>
                  <w:szCs w:val="18"/>
                </w:rPr>
                <w:t xml:space="preserve"> </w:t>
              </w:r>
            </w:ins>
            <w:ins w:id="600" w:author="Reviser" w:date="2026-04-28T17:12:00Z">
              <w:r w:rsidR="001C434F">
                <w:rPr>
                  <w:sz w:val="18"/>
                  <w:szCs w:val="18"/>
                </w:rPr>
                <w:t>ремисия</w:t>
              </w:r>
            </w:ins>
            <w:ins w:id="601" w:author="Reviser" w:date="2026-04-27T19:18:00Z">
              <w:r w:rsidR="001C434F">
                <w:rPr>
                  <w:sz w:val="18"/>
                  <w:szCs w:val="18"/>
                </w:rPr>
                <w:t xml:space="preserve"> е дефиниран</w:t>
              </w:r>
            </w:ins>
            <w:ins w:id="602" w:author="Reviser" w:date="2026-04-28T17:12:00Z">
              <w:r w:rsidR="001C434F">
                <w:rPr>
                  <w:sz w:val="18"/>
                  <w:szCs w:val="18"/>
                </w:rPr>
                <w:t>а</w:t>
              </w:r>
            </w:ins>
            <w:ins w:id="603" w:author="Reviser" w:date="2026-04-27T19:18:00Z">
              <w:r w:rsidR="001C434F">
                <w:rPr>
                  <w:sz w:val="18"/>
                  <w:szCs w:val="18"/>
                </w:rPr>
                <w:t xml:space="preserve"> като </w:t>
              </w:r>
            </w:ins>
            <w:ins w:id="604" w:author="Reviser" w:date="2026-04-28T17:13:00Z">
              <w:r w:rsidR="001C434F" w:rsidRPr="0035674C">
                <w:rPr>
                  <w:sz w:val="18"/>
                  <w:szCs w:val="18"/>
                </w:rPr>
                <w:t>подскорове по Mayo като подскор за честота на дефекация 0 или 1</w:t>
              </w:r>
            </w:ins>
            <w:r w:rsidR="00890C3C">
              <w:rPr>
                <w:sz w:val="18"/>
                <w:szCs w:val="18"/>
              </w:rPr>
              <w:t xml:space="preserve"> и</w:t>
            </w:r>
            <w:ins w:id="605" w:author="Reviser" w:date="2026-04-28T17:13:00Z">
              <w:r w:rsidR="001C434F" w:rsidRPr="0035674C">
                <w:rPr>
                  <w:sz w:val="18"/>
                  <w:szCs w:val="18"/>
                </w:rPr>
                <w:t xml:space="preserve"> подскор за ректално кървене 0, </w:t>
              </w:r>
            </w:ins>
            <w:r w:rsidR="008B17B5">
              <w:rPr>
                <w:sz w:val="18"/>
                <w:szCs w:val="18"/>
              </w:rPr>
              <w:t>при което</w:t>
            </w:r>
            <w:ins w:id="606" w:author="Reviser" w:date="2026-04-28T17:13:00Z">
              <w:r w:rsidR="001C434F" w:rsidRPr="0035674C">
                <w:rPr>
                  <w:sz w:val="18"/>
                  <w:szCs w:val="18"/>
                </w:rPr>
                <w:t xml:space="preserve"> подскорът за честота на дефекация не се повишава спрямо изходните индукционни стойности</w:t>
              </w:r>
            </w:ins>
            <w:ins w:id="607" w:author="Reviser" w:date="2026-04-27T19:18:00Z">
              <w:r w:rsidR="001C434F">
                <w:rPr>
                  <w:sz w:val="18"/>
                  <w:szCs w:val="18"/>
                </w:rPr>
                <w:t>.</w:t>
              </w:r>
            </w:ins>
          </w:p>
          <w:p w14:paraId="43B95FE9" w14:textId="1AF9B807" w:rsidR="000E7A0E" w:rsidRDefault="00397654" w:rsidP="009B5D7A">
            <w:pPr>
              <w:autoSpaceDE w:val="0"/>
              <w:autoSpaceDN w:val="0"/>
              <w:adjustRightInd w:val="0"/>
              <w:ind w:left="284" w:hanging="284"/>
              <w:rPr>
                <w:ins w:id="608" w:author="Reviser" w:date="2026-04-27T19:18:00Z"/>
                <w:sz w:val="18"/>
                <w:szCs w:val="18"/>
              </w:rPr>
            </w:pPr>
            <w:ins w:id="609" w:author="BG" w:date="2026-06-30T14:15:00Z">
              <w:r w:rsidRPr="00397654">
                <w:rPr>
                  <w:szCs w:val="22"/>
                  <w:vertAlign w:val="superscript"/>
                </w:rPr>
                <w:t>§</w:t>
              </w:r>
            </w:ins>
            <w:ins w:id="610" w:author="Reviser" w:date="2026-04-27T19:18:00Z">
              <w:del w:id="611" w:author="BG" w:date="2026-06-30T14:15:00Z">
                <w:r w:rsidR="000E7A0E" w:rsidDel="00397654">
                  <w:rPr>
                    <w:szCs w:val="22"/>
                    <w:vertAlign w:val="superscript"/>
                  </w:rPr>
                  <w:delText>†</w:delText>
                </w:r>
              </w:del>
              <w:r w:rsidR="000E7A0E">
                <w:rPr>
                  <w:sz w:val="18"/>
                  <w:szCs w:val="18"/>
                </w:rPr>
                <w:tab/>
              </w:r>
            </w:ins>
            <w:r w:rsidR="00FF71D3">
              <w:rPr>
                <w:sz w:val="18"/>
                <w:szCs w:val="18"/>
              </w:rPr>
              <w:t>Клиничната</w:t>
            </w:r>
            <w:ins w:id="612" w:author="BG" w:date="2026-06-30T14:13:00Z">
              <w:r w:rsidR="001C434F">
                <w:rPr>
                  <w:sz w:val="18"/>
                  <w:szCs w:val="18"/>
                </w:rPr>
                <w:t xml:space="preserve"> </w:t>
              </w:r>
            </w:ins>
            <w:ins w:id="613" w:author="Reviser" w:date="2026-04-28T17:05:00Z">
              <w:del w:id="614" w:author="BG" w:date="2026-06-30T14:13:00Z">
                <w:r w:rsidR="001C434F" w:rsidDel="00397654">
                  <w:rPr>
                    <w:sz w:val="18"/>
                    <w:szCs w:val="18"/>
                  </w:rPr>
                  <w:delText xml:space="preserve">Клинична </w:delText>
                </w:r>
              </w:del>
              <w:r w:rsidR="001C434F">
                <w:rPr>
                  <w:sz w:val="18"/>
                  <w:szCs w:val="18"/>
                </w:rPr>
                <w:t>р</w:t>
              </w:r>
            </w:ins>
            <w:ins w:id="615" w:author="Reviser" w:date="2026-04-27T19:18:00Z">
              <w:r w:rsidR="001C434F">
                <w:rPr>
                  <w:sz w:val="18"/>
                  <w:szCs w:val="18"/>
                </w:rPr>
                <w:t xml:space="preserve">емисия без кортикостероиди е дефинирана като </w:t>
              </w:r>
            </w:ins>
            <w:ins w:id="616" w:author="Reviser" w:date="2026-04-28T17:07:00Z">
              <w:r w:rsidR="001C434F" w:rsidRPr="007D7E70">
                <w:rPr>
                  <w:sz w:val="18"/>
                  <w:szCs w:val="18"/>
                </w:rPr>
                <w:t>подскор по Mayo за честота на дефекация 0 или 1</w:t>
              </w:r>
              <w:r w:rsidR="001C434F">
                <w:rPr>
                  <w:sz w:val="18"/>
                  <w:szCs w:val="18"/>
                </w:rPr>
                <w:t>,</w:t>
              </w:r>
              <w:r w:rsidR="001C434F" w:rsidRPr="007D7E70">
                <w:rPr>
                  <w:sz w:val="18"/>
                  <w:szCs w:val="18"/>
                </w:rPr>
                <w:t xml:space="preserve"> подскор за ректално кървене 0</w:t>
              </w:r>
            </w:ins>
            <w:ins w:id="617" w:author="Reviser" w:date="2026-04-28T17:08:00Z">
              <w:r w:rsidR="001C434F">
                <w:rPr>
                  <w:sz w:val="18"/>
                  <w:szCs w:val="18"/>
                </w:rPr>
                <w:t xml:space="preserve"> и </w:t>
              </w:r>
              <w:r w:rsidR="001C434F" w:rsidRPr="007D7E70">
                <w:rPr>
                  <w:sz w:val="18"/>
                  <w:szCs w:val="18"/>
                </w:rPr>
                <w:t>ендоскопски подскор 0 или 1</w:t>
              </w:r>
            </w:ins>
            <w:ins w:id="618" w:author="Reviser" w:date="2026-04-28T17:09:00Z">
              <w:r w:rsidR="001C434F">
                <w:rPr>
                  <w:sz w:val="18"/>
                  <w:szCs w:val="18"/>
                </w:rPr>
                <w:t xml:space="preserve"> </w:t>
              </w:r>
              <w:r w:rsidR="001C434F" w:rsidRPr="007D7E70">
                <w:rPr>
                  <w:sz w:val="18"/>
                  <w:szCs w:val="18"/>
                </w:rPr>
                <w:t xml:space="preserve">без наличие на </w:t>
              </w:r>
            </w:ins>
            <w:ins w:id="619" w:author="Italian LOC" w:date="2026-05-11T17:08:00Z">
              <w:r w:rsidR="001C434F">
                <w:rPr>
                  <w:sz w:val="18"/>
                  <w:szCs w:val="18"/>
                </w:rPr>
                <w:t>ранимост</w:t>
              </w:r>
            </w:ins>
            <w:ins w:id="620" w:author="Reviser" w:date="2026-04-28T17:09:00Z">
              <w:r w:rsidR="001C434F" w:rsidRPr="007D7E70">
                <w:rPr>
                  <w:sz w:val="18"/>
                  <w:szCs w:val="18"/>
                </w:rPr>
                <w:t xml:space="preserve"> при ендоскопското изследване</w:t>
              </w:r>
            </w:ins>
            <w:ins w:id="621" w:author="Reviser" w:date="2026-04-28T17:07:00Z">
              <w:r w:rsidR="001C434F" w:rsidRPr="007D7E70">
                <w:rPr>
                  <w:sz w:val="18"/>
                  <w:szCs w:val="18"/>
                </w:rPr>
                <w:t>, при което подскорът за честота на дефекация не се повишава спрямо изходните индукционни стойности</w:t>
              </w:r>
            </w:ins>
            <w:r w:rsidR="00100040">
              <w:rPr>
                <w:sz w:val="18"/>
                <w:szCs w:val="18"/>
              </w:rPr>
              <w:t>;</w:t>
            </w:r>
            <w:ins w:id="622" w:author="Reviser" w:date="2026-04-28T17:07:00Z">
              <w:r w:rsidR="001C434F" w:rsidRPr="007D7E70">
                <w:rPr>
                  <w:sz w:val="18"/>
                  <w:szCs w:val="18"/>
                </w:rPr>
                <w:t xml:space="preserve"> </w:t>
              </w:r>
            </w:ins>
            <w:ins w:id="623" w:author="Reviser" w:date="2026-04-27T19:18:00Z">
              <w:r w:rsidR="001C434F">
                <w:rPr>
                  <w:sz w:val="18"/>
                  <w:szCs w:val="18"/>
                </w:rPr>
                <w:t xml:space="preserve">и без прием на кортикостероиди в продължение на поне 90 дни преди </w:t>
              </w:r>
            </w:ins>
            <w:r w:rsidR="009B7AB9" w:rsidRPr="009B7AB9">
              <w:rPr>
                <w:sz w:val="18"/>
                <w:szCs w:val="18"/>
              </w:rPr>
              <w:t>поддържащата терапия до седмица 44</w:t>
            </w:r>
            <w:ins w:id="624" w:author="Reviser" w:date="2026-04-27T19:18:00Z">
              <w:r w:rsidR="001C434F">
                <w:rPr>
                  <w:sz w:val="18"/>
                  <w:szCs w:val="18"/>
                </w:rPr>
                <w:t>.</w:t>
              </w:r>
            </w:ins>
          </w:p>
          <w:p w14:paraId="34BE2722" w14:textId="2B38C79B" w:rsidR="000E7A0E" w:rsidRDefault="000E7A0E" w:rsidP="009B5D7A">
            <w:pPr>
              <w:autoSpaceDE w:val="0"/>
              <w:autoSpaceDN w:val="0"/>
              <w:adjustRightInd w:val="0"/>
              <w:ind w:left="284" w:hanging="284"/>
              <w:rPr>
                <w:ins w:id="625" w:author="Reviser" w:date="2026-04-28T16:56:00Z"/>
                <w:sz w:val="18"/>
                <w:szCs w:val="18"/>
              </w:rPr>
            </w:pPr>
            <w:ins w:id="626" w:author="Reviser" w:date="2026-04-27T19:18:00Z">
              <w:r>
                <w:rPr>
                  <w:szCs w:val="22"/>
                  <w:vertAlign w:val="superscript"/>
                </w:rPr>
                <w:t>£</w:t>
              </w:r>
              <w:r>
                <w:rPr>
                  <w:sz w:val="18"/>
                  <w:szCs w:val="18"/>
                </w:rPr>
                <w:tab/>
                <w:t>Ендоскопск</w:t>
              </w:r>
            </w:ins>
            <w:ins w:id="627" w:author="Reviser" w:date="2026-04-28T17:15:00Z">
              <w:r w:rsidR="0035674C">
                <w:rPr>
                  <w:sz w:val="18"/>
                  <w:szCs w:val="18"/>
                </w:rPr>
                <w:t>ото подобре</w:t>
              </w:r>
            </w:ins>
            <w:ins w:id="628" w:author="Reviser" w:date="2026-04-28T17:16:00Z">
              <w:r w:rsidR="0035674C">
                <w:rPr>
                  <w:sz w:val="18"/>
                  <w:szCs w:val="18"/>
                </w:rPr>
                <w:t xml:space="preserve">ние </w:t>
              </w:r>
            </w:ins>
            <w:ins w:id="629" w:author="Reviser" w:date="2026-04-27T19:18:00Z">
              <w:r>
                <w:rPr>
                  <w:sz w:val="18"/>
                  <w:szCs w:val="18"/>
                </w:rPr>
                <w:t>е дефиниран</w:t>
              </w:r>
            </w:ins>
            <w:ins w:id="630" w:author="Reviser" w:date="2026-04-28T17:16:00Z">
              <w:r w:rsidR="0035674C">
                <w:rPr>
                  <w:sz w:val="18"/>
                  <w:szCs w:val="18"/>
                </w:rPr>
                <w:t>о</w:t>
              </w:r>
            </w:ins>
            <w:ins w:id="631" w:author="Reviser" w:date="2026-04-27T19:18:00Z">
              <w:r>
                <w:rPr>
                  <w:sz w:val="18"/>
                  <w:szCs w:val="18"/>
                </w:rPr>
                <w:t xml:space="preserve"> като </w:t>
              </w:r>
            </w:ins>
            <w:ins w:id="632" w:author="Reviser" w:date="2026-04-28T17:16:00Z">
              <w:r w:rsidR="0035674C" w:rsidRPr="007D7E70">
                <w:rPr>
                  <w:sz w:val="18"/>
                  <w:szCs w:val="18"/>
                </w:rPr>
                <w:t>ендоскопски подскор по Mayo 0 или 1</w:t>
              </w:r>
              <w:r w:rsidR="0035674C">
                <w:rPr>
                  <w:sz w:val="18"/>
                  <w:szCs w:val="18"/>
                </w:rPr>
                <w:t xml:space="preserve"> </w:t>
              </w:r>
              <w:r w:rsidR="0035674C" w:rsidRPr="007D7E70">
                <w:rPr>
                  <w:sz w:val="18"/>
                  <w:szCs w:val="18"/>
                </w:rPr>
                <w:t xml:space="preserve">без наличие на </w:t>
              </w:r>
            </w:ins>
            <w:ins w:id="633" w:author="Italian LOC" w:date="2026-05-11T17:08:00Z">
              <w:r w:rsidR="000A29CF">
                <w:rPr>
                  <w:sz w:val="18"/>
                  <w:szCs w:val="18"/>
                </w:rPr>
                <w:t>ранимост</w:t>
              </w:r>
            </w:ins>
            <w:ins w:id="634" w:author="Reviser" w:date="2026-04-28T17:16:00Z">
              <w:r w:rsidR="0035674C" w:rsidRPr="007D7E70">
                <w:rPr>
                  <w:sz w:val="18"/>
                  <w:szCs w:val="18"/>
                </w:rPr>
                <w:t xml:space="preserve"> при ендоскоп</w:t>
              </w:r>
            </w:ins>
            <w:ins w:id="635" w:author="BG" w:date="2026-06-30T14:32:00Z">
              <w:r w:rsidR="002F5467">
                <w:rPr>
                  <w:sz w:val="18"/>
                  <w:szCs w:val="18"/>
                </w:rPr>
                <w:t>ията</w:t>
              </w:r>
            </w:ins>
            <w:ins w:id="636" w:author="Reviser" w:date="2026-04-28T17:16:00Z">
              <w:del w:id="637" w:author="BG" w:date="2026-06-30T14:32:00Z">
                <w:r w:rsidR="0035674C" w:rsidRPr="007D7E70" w:rsidDel="002F5467">
                  <w:rPr>
                    <w:sz w:val="18"/>
                    <w:szCs w:val="18"/>
                  </w:rPr>
                  <w:delText>ското изследване</w:delText>
                </w:r>
              </w:del>
            </w:ins>
            <w:ins w:id="638" w:author="Reviser" w:date="2026-04-27T19:18:00Z">
              <w:r>
                <w:rPr>
                  <w:sz w:val="18"/>
                  <w:szCs w:val="18"/>
                </w:rPr>
                <w:t>.</w:t>
              </w:r>
            </w:ins>
          </w:p>
          <w:p w14:paraId="39A15605" w14:textId="4206B65E" w:rsidR="00F013BD" w:rsidRDefault="00F013BD" w:rsidP="002F5467">
            <w:pPr>
              <w:autoSpaceDE w:val="0"/>
              <w:autoSpaceDN w:val="0"/>
              <w:adjustRightInd w:val="0"/>
              <w:ind w:left="284" w:hanging="284"/>
              <w:rPr>
                <w:ins w:id="639" w:author="Reviser" w:date="2026-04-27T19:18:00Z"/>
                <w:szCs w:val="22"/>
                <w:lang w:eastAsia="en-GB"/>
              </w:rPr>
            </w:pPr>
            <w:ins w:id="640" w:author="Reviser" w:date="2026-04-28T16:56:00Z">
              <w:r w:rsidRPr="00DE646D">
                <w:rPr>
                  <w:szCs w:val="22"/>
                  <w:vertAlign w:val="superscript"/>
                </w:rPr>
                <w:t>⸸</w:t>
              </w:r>
              <w:r w:rsidRPr="00DE646D">
                <w:rPr>
                  <w:sz w:val="18"/>
                  <w:szCs w:val="18"/>
                </w:rPr>
                <w:tab/>
              </w:r>
            </w:ins>
            <w:ins w:id="641" w:author="Reviser" w:date="2026-04-28T17:18:00Z">
              <w:r w:rsidR="0035674C" w:rsidRPr="0035674C">
                <w:rPr>
                  <w:sz w:val="18"/>
                  <w:szCs w:val="18"/>
                </w:rPr>
                <w:t>Хистологично-ендоскопско</w:t>
              </w:r>
              <w:r w:rsidR="0035674C">
                <w:rPr>
                  <w:sz w:val="18"/>
                  <w:szCs w:val="18"/>
                </w:rPr>
                <w:t>то</w:t>
              </w:r>
              <w:r w:rsidR="0035674C" w:rsidRPr="0035674C">
                <w:rPr>
                  <w:sz w:val="18"/>
                  <w:szCs w:val="18"/>
                </w:rPr>
                <w:t xml:space="preserve"> </w:t>
              </w:r>
              <w:del w:id="642" w:author="BG" w:date="2026-06-30T14:32:00Z">
                <w:r w:rsidR="0035674C" w:rsidRPr="0035674C" w:rsidDel="002F5467">
                  <w:rPr>
                    <w:sz w:val="18"/>
                    <w:szCs w:val="18"/>
                  </w:rPr>
                  <w:delText xml:space="preserve">лигавично </w:delText>
                </w:r>
              </w:del>
              <w:r w:rsidR="0035674C" w:rsidRPr="0035674C">
                <w:rPr>
                  <w:sz w:val="18"/>
                  <w:szCs w:val="18"/>
                </w:rPr>
                <w:t>подобрение</w:t>
              </w:r>
            </w:ins>
            <w:ins w:id="643" w:author="BG" w:date="2026-06-30T14:32:00Z">
              <w:r w:rsidR="002F5467">
                <w:rPr>
                  <w:sz w:val="18"/>
                  <w:szCs w:val="18"/>
                </w:rPr>
                <w:t xml:space="preserve"> по отношение на лигавицата</w:t>
              </w:r>
            </w:ins>
            <w:ins w:id="644" w:author="Reviser" w:date="2026-04-28T17:18:00Z">
              <w:r w:rsidR="0035674C">
                <w:rPr>
                  <w:sz w:val="18"/>
                  <w:szCs w:val="18"/>
                </w:rPr>
                <w:t>,</w:t>
              </w:r>
              <w:r w:rsidR="0035674C" w:rsidRPr="0035674C">
                <w:rPr>
                  <w:sz w:val="18"/>
                  <w:szCs w:val="18"/>
                </w:rPr>
                <w:t xml:space="preserve"> </w:t>
              </w:r>
              <w:r w:rsidR="0035674C">
                <w:rPr>
                  <w:sz w:val="18"/>
                  <w:szCs w:val="18"/>
                </w:rPr>
                <w:t>основано на скор по</w:t>
              </w:r>
            </w:ins>
            <w:ins w:id="645" w:author="Reviser" w:date="2026-04-28T16:56:00Z">
              <w:r w:rsidRPr="00DE646D">
                <w:rPr>
                  <w:sz w:val="18"/>
                  <w:szCs w:val="18"/>
                </w:rPr>
                <w:t xml:space="preserve"> Geboes (GS)</w:t>
              </w:r>
            </w:ins>
            <w:ins w:id="646" w:author="BG" w:date="2026-06-30T14:33:00Z">
              <w:r w:rsidR="002F5467">
                <w:rPr>
                  <w:sz w:val="18"/>
                  <w:szCs w:val="18"/>
                </w:rPr>
                <w:t>,</w:t>
              </w:r>
            </w:ins>
            <w:ins w:id="647" w:author="Reviser" w:date="2026-04-28T16:56:00Z">
              <w:r w:rsidRPr="00DE646D">
                <w:rPr>
                  <w:sz w:val="18"/>
                  <w:szCs w:val="18"/>
                </w:rPr>
                <w:t xml:space="preserve"> </w:t>
              </w:r>
            </w:ins>
            <w:ins w:id="648" w:author="Reviser" w:date="2026-04-28T17:19:00Z">
              <w:r w:rsidR="0035674C">
                <w:rPr>
                  <w:sz w:val="18"/>
                  <w:szCs w:val="18"/>
                </w:rPr>
                <w:t>е дефинирано като постигане на комбинация</w:t>
              </w:r>
            </w:ins>
            <w:ins w:id="649" w:author="Reviser" w:date="2026-04-29T18:42:00Z">
              <w:r w:rsidR="009F4AE5">
                <w:rPr>
                  <w:sz w:val="18"/>
                  <w:szCs w:val="18"/>
                </w:rPr>
                <w:t xml:space="preserve"> о</w:t>
              </w:r>
            </w:ins>
            <w:ins w:id="650" w:author="Reviser" w:date="2026-04-29T18:43:00Z">
              <w:r w:rsidR="009F4AE5">
                <w:rPr>
                  <w:sz w:val="18"/>
                  <w:szCs w:val="18"/>
                </w:rPr>
                <w:t>т</w:t>
              </w:r>
            </w:ins>
            <w:ins w:id="651" w:author="Reviser" w:date="2026-04-28T17:19:00Z">
              <w:r w:rsidR="0035674C">
                <w:rPr>
                  <w:sz w:val="18"/>
                  <w:szCs w:val="18"/>
                </w:rPr>
                <w:t xml:space="preserve"> хистологично</w:t>
              </w:r>
            </w:ins>
            <w:ins w:id="652" w:author="Reviser" w:date="2026-04-28T16:56:00Z">
              <w:r w:rsidRPr="00DE646D">
                <w:rPr>
                  <w:sz w:val="18"/>
                  <w:szCs w:val="18"/>
                </w:rPr>
                <w:t xml:space="preserve"> </w:t>
              </w:r>
            </w:ins>
            <w:ins w:id="653" w:author="Reviser" w:date="2026-04-28T17:19:00Z">
              <w:r w:rsidR="0035674C" w:rsidRPr="0035674C">
                <w:rPr>
                  <w:sz w:val="18"/>
                  <w:szCs w:val="18"/>
                </w:rPr>
                <w:t>подобрение</w:t>
              </w:r>
              <w:r w:rsidR="0035674C" w:rsidRPr="00DE646D">
                <w:rPr>
                  <w:sz w:val="18"/>
                  <w:szCs w:val="18"/>
                </w:rPr>
                <w:t xml:space="preserve"> </w:t>
              </w:r>
            </w:ins>
            <w:ins w:id="654" w:author="Reviser" w:date="2026-04-28T16:56:00Z">
              <w:r w:rsidRPr="00DE646D">
                <w:rPr>
                  <w:sz w:val="18"/>
                  <w:szCs w:val="18"/>
                </w:rPr>
                <w:t>(</w:t>
              </w:r>
            </w:ins>
            <w:ins w:id="655" w:author="Reviser" w:date="2026-04-28T17:19:00Z">
              <w:r w:rsidR="0035674C">
                <w:rPr>
                  <w:sz w:val="18"/>
                  <w:szCs w:val="18"/>
                </w:rPr>
                <w:t>инфилтрация на неутрофили в</w:t>
              </w:r>
            </w:ins>
            <w:ins w:id="656" w:author="Reviser" w:date="2026-04-28T16:56:00Z">
              <w:r w:rsidRPr="00DE646D">
                <w:rPr>
                  <w:sz w:val="18"/>
                  <w:szCs w:val="18"/>
                </w:rPr>
                <w:t xml:space="preserve"> &lt;5% </w:t>
              </w:r>
            </w:ins>
            <w:ins w:id="657" w:author="Reviser" w:date="2026-04-28T17:20:00Z">
              <w:r w:rsidR="0035674C">
                <w:rPr>
                  <w:sz w:val="18"/>
                  <w:szCs w:val="18"/>
                </w:rPr>
                <w:t>от криптите</w:t>
              </w:r>
            </w:ins>
            <w:ins w:id="658" w:author="Reviser" w:date="2026-04-28T16:56:00Z">
              <w:r w:rsidRPr="00DE646D">
                <w:rPr>
                  <w:sz w:val="18"/>
                  <w:szCs w:val="18"/>
                </w:rPr>
                <w:t xml:space="preserve">, </w:t>
              </w:r>
            </w:ins>
            <w:ins w:id="659" w:author="Reviser" w:date="2026-04-28T17:20:00Z">
              <w:r w:rsidR="0035674C">
                <w:rPr>
                  <w:sz w:val="18"/>
                  <w:szCs w:val="18"/>
                </w:rPr>
                <w:t>без разрушаване на криптите и без ерозии</w:t>
              </w:r>
            </w:ins>
            <w:ins w:id="660" w:author="Reviser" w:date="2026-04-28T16:56:00Z">
              <w:r w:rsidRPr="00DE646D">
                <w:rPr>
                  <w:sz w:val="18"/>
                  <w:szCs w:val="18"/>
                </w:rPr>
                <w:t xml:space="preserve">, </w:t>
              </w:r>
            </w:ins>
            <w:ins w:id="661" w:author="Reviser" w:date="2026-04-28T17:20:00Z">
              <w:r w:rsidR="0035674C">
                <w:rPr>
                  <w:sz w:val="18"/>
                  <w:szCs w:val="18"/>
                </w:rPr>
                <w:t>улцерации или гранулационна тъкан</w:t>
              </w:r>
            </w:ins>
            <w:ins w:id="662" w:author="Reviser" w:date="2026-04-28T16:56:00Z">
              <w:r w:rsidRPr="00DE646D">
                <w:rPr>
                  <w:sz w:val="18"/>
                  <w:szCs w:val="18"/>
                </w:rPr>
                <w:t xml:space="preserve"> </w:t>
              </w:r>
            </w:ins>
            <w:ins w:id="663" w:author="Reviser" w:date="2026-04-28T17:21:00Z">
              <w:r w:rsidR="0035674C">
                <w:rPr>
                  <w:sz w:val="18"/>
                  <w:szCs w:val="18"/>
                </w:rPr>
                <w:t>според</w:t>
              </w:r>
            </w:ins>
            <w:ins w:id="664" w:author="Reviser" w:date="2026-04-28T16:56:00Z">
              <w:r w:rsidRPr="00DE646D">
                <w:rPr>
                  <w:sz w:val="18"/>
                  <w:szCs w:val="18"/>
                </w:rPr>
                <w:t xml:space="preserve"> </w:t>
              </w:r>
            </w:ins>
            <w:ins w:id="665" w:author="Reviser" w:date="2026-04-28T17:22:00Z">
              <w:r w:rsidR="009D4997">
                <w:rPr>
                  <w:sz w:val="18"/>
                  <w:szCs w:val="18"/>
                </w:rPr>
                <w:t>с</w:t>
              </w:r>
              <w:r w:rsidR="009D4997" w:rsidRPr="009D4997">
                <w:rPr>
                  <w:sz w:val="18"/>
                  <w:szCs w:val="18"/>
                </w:rPr>
                <w:t>истема</w:t>
              </w:r>
              <w:r w:rsidR="009D4997">
                <w:rPr>
                  <w:sz w:val="18"/>
                  <w:szCs w:val="18"/>
                </w:rPr>
                <w:t>та</w:t>
              </w:r>
              <w:r w:rsidR="009D4997" w:rsidRPr="009D4997">
                <w:rPr>
                  <w:sz w:val="18"/>
                  <w:szCs w:val="18"/>
                </w:rPr>
                <w:t xml:space="preserve"> за класификация на Geboes</w:t>
              </w:r>
            </w:ins>
            <w:ins w:id="666" w:author="Reviser" w:date="2026-04-28T16:56:00Z">
              <w:r w:rsidRPr="00DE646D">
                <w:rPr>
                  <w:sz w:val="18"/>
                  <w:szCs w:val="18"/>
                </w:rPr>
                <w:t xml:space="preserve">) </w:t>
              </w:r>
            </w:ins>
            <w:ins w:id="667" w:author="Reviser" w:date="2026-04-28T17:22:00Z">
              <w:r w:rsidR="009D4997">
                <w:rPr>
                  <w:sz w:val="18"/>
                  <w:szCs w:val="18"/>
                </w:rPr>
                <w:t xml:space="preserve">и </w:t>
              </w:r>
              <w:r w:rsidR="009D4997" w:rsidRPr="0035674C">
                <w:rPr>
                  <w:sz w:val="18"/>
                  <w:szCs w:val="18"/>
                </w:rPr>
                <w:t>ендоскопско</w:t>
              </w:r>
            </w:ins>
            <w:ins w:id="668" w:author="Reviser" w:date="2026-04-28T17:23:00Z">
              <w:r w:rsidR="009D4997">
                <w:rPr>
                  <w:sz w:val="18"/>
                  <w:szCs w:val="18"/>
                </w:rPr>
                <w:t xml:space="preserve"> </w:t>
              </w:r>
            </w:ins>
            <w:ins w:id="669" w:author="Reviser" w:date="2026-04-28T17:22:00Z">
              <w:r w:rsidR="009D4997" w:rsidRPr="0035674C">
                <w:rPr>
                  <w:sz w:val="18"/>
                  <w:szCs w:val="18"/>
                </w:rPr>
                <w:t>подобрение</w:t>
              </w:r>
            </w:ins>
            <w:ins w:id="670" w:author="Reviser" w:date="2026-04-28T16:56:00Z">
              <w:r w:rsidRPr="00DE646D">
                <w:rPr>
                  <w:sz w:val="18"/>
                  <w:szCs w:val="18"/>
                </w:rPr>
                <w:t xml:space="preserve"> (</w:t>
              </w:r>
            </w:ins>
            <w:ins w:id="671" w:author="Reviser" w:date="2026-04-28T17:23:00Z">
              <w:r w:rsidR="009D4997">
                <w:rPr>
                  <w:sz w:val="18"/>
                  <w:szCs w:val="18"/>
                </w:rPr>
                <w:t>ендоскопски подскор по</w:t>
              </w:r>
            </w:ins>
            <w:ins w:id="672" w:author="Reviser" w:date="2026-04-28T16:56:00Z">
              <w:r w:rsidRPr="00DE646D">
                <w:rPr>
                  <w:sz w:val="18"/>
                  <w:szCs w:val="18"/>
                </w:rPr>
                <w:t xml:space="preserve"> Mayo 0 </w:t>
              </w:r>
            </w:ins>
            <w:ins w:id="673" w:author="Reviser" w:date="2026-04-28T17:23:00Z">
              <w:r w:rsidR="009D4997">
                <w:rPr>
                  <w:sz w:val="18"/>
                  <w:szCs w:val="18"/>
                </w:rPr>
                <w:t>или</w:t>
              </w:r>
            </w:ins>
            <w:ins w:id="674" w:author="Reviser" w:date="2026-04-28T16:56:00Z">
              <w:r w:rsidRPr="00DE646D">
                <w:rPr>
                  <w:sz w:val="18"/>
                  <w:szCs w:val="18"/>
                </w:rPr>
                <w:t xml:space="preserve"> 1 </w:t>
              </w:r>
            </w:ins>
            <w:ins w:id="675" w:author="Reviser" w:date="2026-04-28T17:23:00Z">
              <w:r w:rsidR="009D4997" w:rsidRPr="007D7E70">
                <w:rPr>
                  <w:sz w:val="18"/>
                  <w:szCs w:val="18"/>
                </w:rPr>
                <w:t xml:space="preserve">без наличие на </w:t>
              </w:r>
            </w:ins>
            <w:ins w:id="676" w:author="Italian LOC" w:date="2026-05-11T17:08:00Z">
              <w:r w:rsidR="000A29CF">
                <w:rPr>
                  <w:sz w:val="18"/>
                  <w:szCs w:val="18"/>
                </w:rPr>
                <w:t>ранимост</w:t>
              </w:r>
            </w:ins>
            <w:ins w:id="677" w:author="Reviser" w:date="2026-04-28T17:23:00Z">
              <w:r w:rsidR="009D4997" w:rsidRPr="007D7E70">
                <w:rPr>
                  <w:sz w:val="18"/>
                  <w:szCs w:val="18"/>
                </w:rPr>
                <w:t xml:space="preserve"> при ендоскоп</w:t>
              </w:r>
            </w:ins>
            <w:ins w:id="678" w:author="BG" w:date="2026-06-30T14:34:00Z">
              <w:r w:rsidR="002F5467">
                <w:rPr>
                  <w:sz w:val="18"/>
                  <w:szCs w:val="18"/>
                </w:rPr>
                <w:t>ията</w:t>
              </w:r>
            </w:ins>
            <w:ins w:id="679" w:author="Reviser" w:date="2026-04-28T17:23:00Z">
              <w:del w:id="680" w:author="BG" w:date="2026-06-30T14:34:00Z">
                <w:r w:rsidR="009D4997" w:rsidRPr="007D7E70" w:rsidDel="002F5467">
                  <w:rPr>
                    <w:sz w:val="18"/>
                    <w:szCs w:val="18"/>
                  </w:rPr>
                  <w:delText>ското изследване</w:delText>
                </w:r>
              </w:del>
            </w:ins>
            <w:ins w:id="681" w:author="Reviser" w:date="2026-04-28T16:56:00Z">
              <w:r w:rsidRPr="00DE646D">
                <w:rPr>
                  <w:sz w:val="18"/>
                  <w:szCs w:val="18"/>
                </w:rPr>
                <w:t>).</w:t>
              </w:r>
            </w:ins>
          </w:p>
        </w:tc>
      </w:tr>
    </w:tbl>
    <w:p w14:paraId="7A1C7805" w14:textId="77777777" w:rsidR="000E7A0E" w:rsidRDefault="000E7A0E" w:rsidP="000E7A0E">
      <w:pPr>
        <w:rPr>
          <w:ins w:id="682" w:author="Reviser" w:date="2026-04-27T19:18:00Z"/>
        </w:rPr>
      </w:pPr>
    </w:p>
    <w:p w14:paraId="3135486F" w14:textId="77777777" w:rsidR="000E7A0E" w:rsidRPr="00BC6A43" w:rsidRDefault="000E7A0E" w:rsidP="000E7A0E">
      <w:pPr>
        <w:keepNext/>
        <w:rPr>
          <w:ins w:id="683" w:author="Reviser" w:date="2026-04-27T19:18:00Z"/>
          <w:i/>
          <w:iCs/>
        </w:rPr>
      </w:pPr>
      <w:ins w:id="684" w:author="Reviser" w:date="2026-04-27T19:18:00Z">
        <w:r w:rsidRPr="00BC6A43">
          <w:rPr>
            <w:i/>
            <w:iCs/>
          </w:rPr>
          <w:t>Коригиране на честотата на приложение</w:t>
        </w:r>
      </w:ins>
    </w:p>
    <w:p w14:paraId="6428A476" w14:textId="4D243673" w:rsidR="000E7A0E" w:rsidRDefault="000E7A0E" w:rsidP="000E7A0E">
      <w:pPr>
        <w:rPr>
          <w:ins w:id="685" w:author="Reviser" w:date="2026-04-27T19:18:00Z"/>
        </w:rPr>
      </w:pPr>
      <w:ins w:id="686" w:author="Reviser" w:date="2026-04-27T19:18:00Z">
        <w:r>
          <w:t>Пациентите, които преминават на поддържащо лечение</w:t>
        </w:r>
      </w:ins>
      <w:ins w:id="687" w:author="Reviser" w:date="2026-04-29T18:45:00Z">
        <w:r w:rsidR="009F4AE5">
          <w:t>,</w:t>
        </w:r>
      </w:ins>
      <w:ins w:id="688" w:author="Reviser" w:date="2026-04-27T19:18:00Z">
        <w:r>
          <w:t xml:space="preserve"> имат загуба на отговор въз основа на </w:t>
        </w:r>
      </w:ins>
      <w:ins w:id="689" w:author="Reviser" w:date="2026-04-29T17:40:00Z">
        <w:r w:rsidR="000647E1">
          <w:t xml:space="preserve">частичен </w:t>
        </w:r>
      </w:ins>
      <w:ins w:id="690" w:author="Reviser" w:date="2026-04-27T19:18:00Z">
        <w:r>
          <w:t xml:space="preserve">скор по </w:t>
        </w:r>
      </w:ins>
      <w:ins w:id="691" w:author="Reviser" w:date="2026-04-29T17:40:00Z">
        <w:r w:rsidR="000647E1" w:rsidRPr="005F1279">
          <w:rPr>
            <w:szCs w:val="22"/>
            <w:lang w:eastAsia="en-GB"/>
          </w:rPr>
          <w:t>Mayo</w:t>
        </w:r>
      </w:ins>
      <w:ins w:id="692" w:author="Reviser" w:date="2026-04-29T17:41:00Z">
        <w:r w:rsidR="000647E1">
          <w:rPr>
            <w:szCs w:val="22"/>
            <w:lang w:eastAsia="en-GB"/>
          </w:rPr>
          <w:t xml:space="preserve"> и имат нормална експозиция на устекинумаб</w:t>
        </w:r>
      </w:ins>
      <w:ins w:id="693" w:author="Reviser" w:date="2026-04-27T19:18:00Z">
        <w:r>
          <w:t xml:space="preserve">, отговарят на условията за коригиране на дозата. Пациентите или преминават от лечение на всеки 12 седмици </w:t>
        </w:r>
      </w:ins>
      <w:ins w:id="694" w:author="Reviser" w:date="2026-04-29T17:42:00Z">
        <w:r w:rsidR="000647E1">
          <w:t xml:space="preserve">към лечение </w:t>
        </w:r>
      </w:ins>
      <w:ins w:id="695" w:author="Reviser" w:date="2026-04-27T19:18:00Z">
        <w:r>
          <w:t>на всеки 8 седмици</w:t>
        </w:r>
      </w:ins>
      <w:ins w:id="696" w:author="Reviser" w:date="2026-04-29T17:43:00Z">
        <w:r w:rsidR="000647E1">
          <w:t xml:space="preserve"> </w:t>
        </w:r>
        <w:r w:rsidR="000647E1" w:rsidRPr="005F1279">
          <w:rPr>
            <w:szCs w:val="22"/>
            <w:lang w:eastAsia="en-GB"/>
          </w:rPr>
          <w:t>(5/40)</w:t>
        </w:r>
      </w:ins>
      <w:ins w:id="697" w:author="Reviser" w:date="2026-04-27T19:18:00Z">
        <w:r>
          <w:t>, или остават на лечение на всеки 8 седмици (плацебо корекция)</w:t>
        </w:r>
      </w:ins>
      <w:ins w:id="698" w:author="Reviser" w:date="2026-04-29T17:43:00Z">
        <w:r w:rsidR="000647E1">
          <w:t xml:space="preserve"> </w:t>
        </w:r>
        <w:r w:rsidR="000647E1" w:rsidRPr="005F1279">
          <w:rPr>
            <w:szCs w:val="22"/>
            <w:lang w:eastAsia="en-GB"/>
          </w:rPr>
          <w:t>(</w:t>
        </w:r>
        <w:r w:rsidR="000647E1">
          <w:rPr>
            <w:szCs w:val="22"/>
            <w:lang w:eastAsia="en-GB"/>
          </w:rPr>
          <w:t>2</w:t>
        </w:r>
        <w:r w:rsidR="000647E1" w:rsidRPr="005F1279">
          <w:rPr>
            <w:szCs w:val="22"/>
            <w:lang w:eastAsia="en-GB"/>
          </w:rPr>
          <w:t>/</w:t>
        </w:r>
        <w:r w:rsidR="000647E1">
          <w:rPr>
            <w:szCs w:val="22"/>
            <w:lang w:eastAsia="en-GB"/>
          </w:rPr>
          <w:t>39</w:t>
        </w:r>
        <w:r w:rsidR="000647E1" w:rsidRPr="005F1279">
          <w:rPr>
            <w:szCs w:val="22"/>
            <w:lang w:eastAsia="en-GB"/>
          </w:rPr>
          <w:t>)</w:t>
        </w:r>
      </w:ins>
      <w:ins w:id="699" w:author="Reviser" w:date="2026-04-27T19:18:00Z">
        <w:r>
          <w:t xml:space="preserve">. </w:t>
        </w:r>
      </w:ins>
      <w:ins w:id="700" w:author="Reviser" w:date="2026-04-29T18:46:00Z">
        <w:r w:rsidR="00D55605">
          <w:t>Сред</w:t>
        </w:r>
      </w:ins>
      <w:ins w:id="701" w:author="Reviser" w:date="2026-04-27T19:18:00Z">
        <w:r>
          <w:t xml:space="preserve"> пациенти</w:t>
        </w:r>
      </w:ins>
      <w:ins w:id="702" w:author="Reviser" w:date="2026-04-29T18:46:00Z">
        <w:r w:rsidR="00D55605">
          <w:t>те</w:t>
        </w:r>
      </w:ins>
      <w:ins w:id="703" w:author="Reviser" w:date="2026-04-27T19:18:00Z">
        <w:r>
          <w:t xml:space="preserve"> </w:t>
        </w:r>
      </w:ins>
      <w:ins w:id="704" w:author="Reviser" w:date="2026-04-29T17:44:00Z">
        <w:r w:rsidR="000647E1">
          <w:t xml:space="preserve">с коригирана доза </w:t>
        </w:r>
      </w:ins>
      <w:ins w:id="705" w:author="Reviser" w:date="2026-04-27T19:18:00Z">
        <w:r>
          <w:t xml:space="preserve">клинична ремисия е постигната при </w:t>
        </w:r>
      </w:ins>
      <w:ins w:id="706" w:author="Reviser" w:date="2026-04-29T17:45:00Z">
        <w:r w:rsidR="000647E1">
          <w:t>28,6</w:t>
        </w:r>
      </w:ins>
      <w:ins w:id="707" w:author="Reviser" w:date="2026-04-27T19:18:00Z">
        <w:r>
          <w:t>% (2/</w:t>
        </w:r>
      </w:ins>
      <w:ins w:id="708" w:author="Reviser" w:date="2026-04-29T17:45:00Z">
        <w:r w:rsidR="000647E1">
          <w:t>7</w:t>
        </w:r>
      </w:ins>
      <w:ins w:id="709" w:author="Reviser" w:date="2026-04-27T19:18:00Z">
        <w:r>
          <w:t xml:space="preserve">) </w:t>
        </w:r>
      </w:ins>
      <w:ins w:id="710" w:author="Reviser" w:date="2026-04-29T17:45:00Z">
        <w:r w:rsidR="000647E1">
          <w:t xml:space="preserve">към </w:t>
        </w:r>
      </w:ins>
      <w:ins w:id="711" w:author="Reviser" w:date="2026-04-29T17:46:00Z">
        <w:r w:rsidR="000647E1">
          <w:t xml:space="preserve">седмица 44 на </w:t>
        </w:r>
      </w:ins>
      <w:ins w:id="712" w:author="Reviser" w:date="2026-04-29T17:45:00Z">
        <w:r w:rsidR="000647E1">
          <w:t>поддържащ</w:t>
        </w:r>
      </w:ins>
      <w:ins w:id="713" w:author="Reviser" w:date="2026-04-29T17:46:00Z">
        <w:r w:rsidR="000647E1">
          <w:t>о</w:t>
        </w:r>
      </w:ins>
      <w:ins w:id="714" w:author="Reviser" w:date="2026-04-29T18:47:00Z">
        <w:r w:rsidR="00D55605">
          <w:t>то</w:t>
        </w:r>
      </w:ins>
      <w:ins w:id="715" w:author="Reviser" w:date="2026-04-29T17:46:00Z">
        <w:r w:rsidR="000647E1">
          <w:t xml:space="preserve"> лечение</w:t>
        </w:r>
      </w:ins>
      <w:ins w:id="716" w:author="Reviser" w:date="2026-04-27T19:18:00Z">
        <w:r>
          <w:t>.</w:t>
        </w:r>
      </w:ins>
    </w:p>
    <w:p w14:paraId="063A306B" w14:textId="77777777" w:rsidR="000E7A0E" w:rsidRDefault="000E7A0E" w:rsidP="000E7A0E">
      <w:pPr>
        <w:rPr>
          <w:ins w:id="717" w:author="Reviser" w:date="2026-04-27T19:18:00Z"/>
        </w:rPr>
      </w:pPr>
    </w:p>
    <w:p w14:paraId="01601B6B" w14:textId="4065DDDB" w:rsidR="000E7A0E" w:rsidRDefault="000E7A0E" w:rsidP="000E7A0E">
      <w:pPr>
        <w:rPr>
          <w:ins w:id="718" w:author="Reviser" w:date="2026-04-27T19:18:00Z"/>
        </w:rPr>
      </w:pPr>
      <w:ins w:id="719" w:author="Reviser" w:date="2026-04-27T19:18:00Z">
        <w:r>
          <w:t>Пациентите, лекувани с двете схеми на лечение (лечение на всеки 12</w:t>
        </w:r>
        <w:r>
          <w:rPr>
            <w:lang w:val="en-US"/>
          </w:rPr>
          <w:t> </w:t>
        </w:r>
        <w:r>
          <w:t>седмици или на всеки 8</w:t>
        </w:r>
        <w:r>
          <w:rPr>
            <w:lang w:val="en-US"/>
          </w:rPr>
          <w:t> </w:t>
        </w:r>
        <w:r>
          <w:t>седмици), които не се повлияват от поддържащото лечение до седмица 8 или които имат загуба на отговор и имат ниски нива на устекинумаб (стационарно състояние на седмица 8 при най-ниска концентрация на устекинумаб &lt;1,4</w:t>
        </w:r>
        <w:r>
          <w:rPr>
            <w:lang w:val="en-US"/>
          </w:rPr>
          <w:t> </w:t>
        </w:r>
        <w:r>
          <w:t xml:space="preserve">µg/ml), са подходящи за включване в </w:t>
        </w:r>
        <w:del w:id="720" w:author="BG" w:date="2026-06-30T14:40:00Z">
          <w:r w:rsidDel="002A30B6">
            <w:delText>доброволно</w:delText>
          </w:r>
        </w:del>
      </w:ins>
      <w:ins w:id="721" w:author="BG" w:date="2026-06-30T14:40:00Z">
        <w:r w:rsidR="002A30B6">
          <w:t>незадължително</w:t>
        </w:r>
      </w:ins>
      <w:ins w:id="722" w:author="Reviser" w:date="2026-04-27T19:18:00Z">
        <w:r>
          <w:t xml:space="preserve"> подпроучване за оптимизиране на експозицията. Това е открито подпроучване с продължителност минимум 16</w:t>
        </w:r>
        <w:r>
          <w:rPr>
            <w:lang w:val="en-US"/>
          </w:rPr>
          <w:t> </w:t>
        </w:r>
        <w:r>
          <w:t>седмици с подкожно поддържащо лечение с 90 mg устекинумаб или 60</w:t>
        </w:r>
        <w:r>
          <w:rPr>
            <w:lang w:val="en-US"/>
          </w:rPr>
          <w:t> </w:t>
        </w:r>
        <w:r>
          <w:t>mg/m</w:t>
        </w:r>
        <w:r w:rsidRPr="00BC6A43">
          <w:rPr>
            <w:vertAlign w:val="superscript"/>
          </w:rPr>
          <w:t>2</w:t>
        </w:r>
        <w:r>
          <w:t xml:space="preserve"> (въз основа на BSA), прилаган на всеки 4</w:t>
        </w:r>
        <w:r>
          <w:rPr>
            <w:lang w:val="en-US"/>
          </w:rPr>
          <w:t> </w:t>
        </w:r>
        <w:r>
          <w:t>седмици. Общо 2</w:t>
        </w:r>
      </w:ins>
      <w:ins w:id="723" w:author="Reviser" w:date="2026-04-29T17:48:00Z">
        <w:r w:rsidR="003606FD">
          <w:t>2</w:t>
        </w:r>
      </w:ins>
      <w:ins w:id="724" w:author="BG" w:date="2026-06-30T14:41:00Z">
        <w:r w:rsidR="002A30B6">
          <w:t> п</w:t>
        </w:r>
      </w:ins>
      <w:ins w:id="725" w:author="Reviser" w:date="2026-04-27T19:18:00Z">
        <w:del w:id="726" w:author="BG" w:date="2026-06-30T14:41:00Z">
          <w:r w:rsidDel="002A30B6">
            <w:delText>п</w:delText>
          </w:r>
        </w:del>
        <w:r>
          <w:t>ациенти са включени</w:t>
        </w:r>
      </w:ins>
      <w:ins w:id="727" w:author="Reviser" w:date="2026-04-29T17:49:00Z">
        <w:r w:rsidR="003606FD">
          <w:t>, а 21 са лекувани</w:t>
        </w:r>
      </w:ins>
      <w:ins w:id="728" w:author="Reviser" w:date="2026-04-27T19:18:00Z">
        <w:r>
          <w:t xml:space="preserve"> в подпроучването. От участващите пациенти 1</w:t>
        </w:r>
      </w:ins>
      <w:ins w:id="729" w:author="Reviser" w:date="2026-04-29T18:05:00Z">
        <w:r w:rsidR="00D73F7D">
          <w:t>3</w:t>
        </w:r>
      </w:ins>
      <w:ins w:id="730" w:author="Reviser" w:date="2026-04-27T19:18:00Z">
        <w:r>
          <w:t xml:space="preserve"> (</w:t>
        </w:r>
      </w:ins>
      <w:ins w:id="731" w:author="Reviser" w:date="2026-04-29T18:05:00Z">
        <w:r w:rsidR="00D73F7D">
          <w:t>59</w:t>
        </w:r>
      </w:ins>
      <w:ins w:id="732" w:author="Reviser" w:date="2026-04-27T19:18:00Z">
        <w:r>
          <w:t>,</w:t>
        </w:r>
      </w:ins>
      <w:ins w:id="733" w:author="Reviser" w:date="2026-04-29T18:06:00Z">
        <w:r w:rsidR="00D73F7D">
          <w:t>1</w:t>
        </w:r>
      </w:ins>
      <w:ins w:id="734" w:author="Reviser" w:date="2026-04-27T19:18:00Z">
        <w:r>
          <w:t>%) премин</w:t>
        </w:r>
        <w:r>
          <w:rPr>
            <w:lang w:val="en-US"/>
          </w:rPr>
          <w:t>a</w:t>
        </w:r>
        <w:r>
          <w:t xml:space="preserve">ват от </w:t>
        </w:r>
        <w:del w:id="735" w:author="BG" w:date="2026-06-30T14:41:00Z">
          <w:r w:rsidDel="002A30B6">
            <w:delText>дозиране</w:delText>
          </w:r>
        </w:del>
      </w:ins>
      <w:ins w:id="736" w:author="BG" w:date="2026-06-30T14:41:00Z">
        <w:r w:rsidR="002A30B6">
          <w:t>прилагане</w:t>
        </w:r>
      </w:ins>
      <w:ins w:id="737" w:author="Reviser" w:date="2026-04-27T19:18:00Z">
        <w:r>
          <w:t xml:space="preserve"> веднъж на 12 седмици към веднъж на 4 седмици, а </w:t>
        </w:r>
      </w:ins>
      <w:ins w:id="738" w:author="Reviser" w:date="2026-04-29T18:06:00Z">
        <w:r w:rsidR="00D73F7D">
          <w:t>9</w:t>
        </w:r>
      </w:ins>
      <w:ins w:id="739" w:author="Reviser" w:date="2026-04-27T19:18:00Z">
        <w:r>
          <w:t xml:space="preserve"> (</w:t>
        </w:r>
      </w:ins>
      <w:ins w:id="740" w:author="Reviser" w:date="2026-04-29T18:06:00Z">
        <w:r w:rsidR="00D73F7D">
          <w:t>40</w:t>
        </w:r>
      </w:ins>
      <w:ins w:id="741" w:author="Reviser" w:date="2026-04-27T19:18:00Z">
        <w:r>
          <w:t>,</w:t>
        </w:r>
      </w:ins>
      <w:ins w:id="742" w:author="Reviser" w:date="2026-04-29T18:06:00Z">
        <w:r w:rsidR="00D73F7D">
          <w:t>9</w:t>
        </w:r>
      </w:ins>
      <w:ins w:id="743" w:author="Reviser" w:date="2026-04-27T19:18:00Z">
        <w:r>
          <w:t xml:space="preserve">%) преминават от </w:t>
        </w:r>
        <w:del w:id="744" w:author="BG" w:date="2026-06-30T14:41:00Z">
          <w:r w:rsidDel="002A30B6">
            <w:delText>дозиране</w:delText>
          </w:r>
        </w:del>
      </w:ins>
      <w:ins w:id="745" w:author="BG" w:date="2026-06-30T14:41:00Z">
        <w:r w:rsidR="002A30B6">
          <w:t>прилагане</w:t>
        </w:r>
      </w:ins>
      <w:ins w:id="746" w:author="Reviser" w:date="2026-04-27T19:18:00Z">
        <w:r>
          <w:t xml:space="preserve"> веднъж на 8 седмици към веднъж на 4</w:t>
        </w:r>
      </w:ins>
      <w:ins w:id="747" w:author="Reviser" w:date="2026-04-29T18:06:00Z">
        <w:r w:rsidR="00D73F7D">
          <w:t xml:space="preserve"> </w:t>
        </w:r>
      </w:ins>
      <w:ins w:id="748" w:author="Reviser" w:date="2026-04-27T19:18:00Z">
        <w:r>
          <w:t>седмици. На 16</w:t>
        </w:r>
        <w:r>
          <w:rPr>
            <w:lang w:val="en-US"/>
          </w:rPr>
          <w:t> </w:t>
        </w:r>
        <w:r>
          <w:t>седмиц</w:t>
        </w:r>
      </w:ins>
      <w:ins w:id="749" w:author="BG" w:date="2026-06-30T14:41:00Z">
        <w:r w:rsidR="004240DC">
          <w:t>а</w:t>
        </w:r>
      </w:ins>
      <w:ins w:id="750" w:author="Reviser" w:date="2026-04-29T18:07:00Z">
        <w:del w:id="751" w:author="BG" w:date="2026-06-30T14:41:00Z">
          <w:r w:rsidR="00D73F7D" w:rsidDel="004240DC">
            <w:delText>и</w:delText>
          </w:r>
        </w:del>
      </w:ins>
      <w:ins w:id="752" w:author="Reviser" w:date="2026-04-27T19:18:00Z">
        <w:r>
          <w:t xml:space="preserve"> след промяна на честотата на приложение </w:t>
        </w:r>
      </w:ins>
      <w:ins w:id="753" w:author="Reviser" w:date="2026-04-29T18:07:00Z">
        <w:r w:rsidR="00D73F7D">
          <w:t>84</w:t>
        </w:r>
      </w:ins>
      <w:ins w:id="754" w:author="Reviser" w:date="2026-04-27T19:18:00Z">
        <w:r>
          <w:t>,</w:t>
        </w:r>
      </w:ins>
      <w:ins w:id="755" w:author="Reviser" w:date="2026-04-29T18:07:00Z">
        <w:r w:rsidR="00D73F7D">
          <w:t>6</w:t>
        </w:r>
      </w:ins>
      <w:ins w:id="756" w:author="Reviser" w:date="2026-04-27T19:18:00Z">
        <w:r>
          <w:t>% (1</w:t>
        </w:r>
      </w:ins>
      <w:ins w:id="757" w:author="Reviser" w:date="2026-04-29T18:08:00Z">
        <w:r w:rsidR="00D73F7D">
          <w:t>1</w:t>
        </w:r>
      </w:ins>
      <w:ins w:id="758" w:author="Reviser" w:date="2026-04-27T19:18:00Z">
        <w:r>
          <w:t>/</w:t>
        </w:r>
      </w:ins>
      <w:ins w:id="759" w:author="Reviser" w:date="2026-04-29T18:08:00Z">
        <w:r w:rsidR="00D73F7D">
          <w:t>13</w:t>
        </w:r>
      </w:ins>
      <w:ins w:id="760" w:author="Reviser" w:date="2026-04-27T19:18:00Z">
        <w:r>
          <w:t>) от пациентите, подходящи за оценка, показват клиничен отговор</w:t>
        </w:r>
      </w:ins>
      <w:ins w:id="761" w:author="Reviser" w:date="2026-04-29T18:08:00Z">
        <w:r w:rsidR="00D73F7D">
          <w:t xml:space="preserve"> въз основа на </w:t>
        </w:r>
      </w:ins>
      <w:ins w:id="762" w:author="Reviser" w:date="2026-04-29T18:09:00Z">
        <w:r w:rsidR="00D73F7D">
          <w:t xml:space="preserve">частичен скор по </w:t>
        </w:r>
        <w:r w:rsidR="00D73F7D" w:rsidRPr="005F1279">
          <w:rPr>
            <w:szCs w:val="22"/>
            <w:lang w:eastAsia="en-GB"/>
          </w:rPr>
          <w:t>Mayo</w:t>
        </w:r>
      </w:ins>
      <w:ins w:id="763" w:author="Reviser" w:date="2026-04-27T19:18:00Z">
        <w:r>
          <w:t>, а 5</w:t>
        </w:r>
      </w:ins>
      <w:ins w:id="764" w:author="Reviser" w:date="2026-04-29T18:09:00Z">
        <w:r w:rsidR="00D73F7D">
          <w:t>6</w:t>
        </w:r>
      </w:ins>
      <w:ins w:id="765" w:author="Reviser" w:date="2026-04-27T19:18:00Z">
        <w:r>
          <w:t>,</w:t>
        </w:r>
      </w:ins>
      <w:ins w:id="766" w:author="Reviser" w:date="2026-04-29T18:09:00Z">
        <w:r w:rsidR="00D73F7D">
          <w:t>3</w:t>
        </w:r>
      </w:ins>
      <w:ins w:id="767" w:author="Reviser" w:date="2026-04-27T19:18:00Z">
        <w:r>
          <w:t>% (</w:t>
        </w:r>
      </w:ins>
      <w:ins w:id="768" w:author="Reviser" w:date="2026-04-29T18:09:00Z">
        <w:r w:rsidR="00D73F7D">
          <w:t>9</w:t>
        </w:r>
      </w:ins>
      <w:ins w:id="769" w:author="Reviser" w:date="2026-04-27T19:18:00Z">
        <w:r>
          <w:t>/</w:t>
        </w:r>
      </w:ins>
      <w:ins w:id="770" w:author="Reviser" w:date="2026-04-29T18:09:00Z">
        <w:r w:rsidR="00D73F7D">
          <w:t>16</w:t>
        </w:r>
      </w:ins>
      <w:ins w:id="771" w:author="Reviser" w:date="2026-04-27T19:18:00Z">
        <w:r>
          <w:t>) са в клинична ремисия</w:t>
        </w:r>
      </w:ins>
      <w:ins w:id="772" w:author="Reviser" w:date="2026-04-29T18:10:00Z">
        <w:r w:rsidR="00D73F7D">
          <w:t xml:space="preserve"> въз основа на скора по </w:t>
        </w:r>
        <w:r w:rsidR="00D73F7D" w:rsidRPr="00F84FBC">
          <w:rPr>
            <w:lang w:eastAsia="en-GB"/>
          </w:rPr>
          <w:t>PUCAI</w:t>
        </w:r>
      </w:ins>
      <w:ins w:id="773" w:author="Reviser" w:date="2026-04-27T19:18:00Z">
        <w:r>
          <w:t>.</w:t>
        </w:r>
      </w:ins>
    </w:p>
    <w:p w14:paraId="56A256BA" w14:textId="77777777" w:rsidR="00C00899" w:rsidRDefault="00C00899" w:rsidP="000E7A0E">
      <w:pPr>
        <w:rPr>
          <w:ins w:id="774" w:author="Reviser" w:date="2026-04-28T17:24:00Z"/>
        </w:rPr>
      </w:pPr>
    </w:p>
    <w:p w14:paraId="5F08813B" w14:textId="3CF3D047" w:rsidR="000E7A0E" w:rsidRDefault="000E7A0E" w:rsidP="000E7A0E">
      <w:pPr>
        <w:rPr>
          <w:ins w:id="775" w:author="Reviser" w:date="2026-04-27T19:18:00Z"/>
        </w:rPr>
      </w:pPr>
      <w:ins w:id="776" w:author="Reviser" w:date="2026-04-27T19:18:00Z">
        <w:r>
          <w:t>Профилът на безопасност на схемата на индукционно приложение и на двете схеми на поддържащ</w:t>
        </w:r>
      </w:ins>
      <w:ins w:id="777" w:author="Reviser" w:date="2026-04-29T18:11:00Z">
        <w:r w:rsidR="00B07C14">
          <w:t>о</w:t>
        </w:r>
      </w:ins>
      <w:ins w:id="778" w:author="Reviser" w:date="2026-04-27T19:18:00Z">
        <w:r>
          <w:t xml:space="preserve"> лечение при педиатричната популация на 2 и повече години е сравним с този, установен при популацията на възрастни</w:t>
        </w:r>
      </w:ins>
      <w:ins w:id="779" w:author="Reviser" w:date="2026-04-29T18:11:00Z">
        <w:r w:rsidR="00B07C14">
          <w:t>те</w:t>
        </w:r>
      </w:ins>
      <w:ins w:id="780" w:author="Reviser" w:date="2026-04-27T19:18:00Z">
        <w:r>
          <w:t xml:space="preserve"> с </w:t>
        </w:r>
      </w:ins>
      <w:ins w:id="781" w:author="Reviser" w:date="2026-04-29T18:11:00Z">
        <w:r w:rsidR="00B07C14">
          <w:t>улцерозен колит</w:t>
        </w:r>
      </w:ins>
      <w:ins w:id="782" w:author="Reviser" w:date="2026-04-27T19:18:00Z">
        <w:r>
          <w:t xml:space="preserve"> (вж. точка 4.8).</w:t>
        </w:r>
      </w:ins>
    </w:p>
    <w:p w14:paraId="64529876" w14:textId="77777777" w:rsidR="000E7A0E" w:rsidRDefault="000E7A0E" w:rsidP="000E7A0E">
      <w:pPr>
        <w:rPr>
          <w:ins w:id="783" w:author="Reviser" w:date="2026-04-27T19:18:00Z"/>
        </w:rPr>
      </w:pPr>
    </w:p>
    <w:p w14:paraId="4FAFDEFA" w14:textId="77777777" w:rsidR="000E7A0E" w:rsidRDefault="000E7A0E" w:rsidP="000E7A0E">
      <w:pPr>
        <w:keepNext/>
        <w:widowControl w:val="0"/>
        <w:rPr>
          <w:ins w:id="784" w:author="Reviser" w:date="2026-04-27T19:18:00Z"/>
          <w:i/>
        </w:rPr>
      </w:pPr>
      <w:ins w:id="785" w:author="Reviser" w:date="2026-04-27T19:18:00Z">
        <w:r>
          <w:rPr>
            <w:i/>
          </w:rPr>
          <w:t>Серумни и фекални биомаркери на възпалението</w:t>
        </w:r>
      </w:ins>
    </w:p>
    <w:p w14:paraId="2909FD2E" w14:textId="3F08A185" w:rsidR="000E7A0E" w:rsidRDefault="0025579F" w:rsidP="000E7A0E">
      <w:pPr>
        <w:tabs>
          <w:tab w:val="clear" w:pos="567"/>
        </w:tabs>
        <w:textAlignment w:val="baseline"/>
        <w:rPr>
          <w:ins w:id="786" w:author="Reviser" w:date="2026-04-27T19:18:00Z"/>
          <w:szCs w:val="22"/>
          <w:lang w:eastAsia="en-GB"/>
        </w:rPr>
      </w:pPr>
      <w:ins w:id="787" w:author="Reviser" w:date="2026-04-29T18:20:00Z">
        <w:r w:rsidRPr="0025579F">
          <w:rPr>
            <w:szCs w:val="22"/>
            <w:lang w:eastAsia="en-GB"/>
          </w:rPr>
          <w:t>Сред 26-те пациент</w:t>
        </w:r>
      </w:ins>
      <w:ins w:id="788" w:author="Reviser" w:date="2026-04-29T18:21:00Z">
        <w:r>
          <w:rPr>
            <w:szCs w:val="22"/>
            <w:lang w:eastAsia="en-GB"/>
          </w:rPr>
          <w:t>и</w:t>
        </w:r>
      </w:ins>
      <w:ins w:id="789" w:author="Reviser" w:date="2026-04-29T18:20:00Z">
        <w:r w:rsidRPr="0025579F">
          <w:rPr>
            <w:szCs w:val="22"/>
            <w:lang w:eastAsia="en-GB"/>
          </w:rPr>
          <w:t xml:space="preserve"> с повишени нива на CRP на изходно ниво нивата на CRP се нормализират към седмица 44 от поддържащото лечение при 3 (21,4%) от 14 пациент</w:t>
        </w:r>
      </w:ins>
      <w:ins w:id="790" w:author="Reviser" w:date="2026-04-29T18:21:00Z">
        <w:r>
          <w:rPr>
            <w:szCs w:val="22"/>
            <w:lang w:eastAsia="en-GB"/>
          </w:rPr>
          <w:t>и</w:t>
        </w:r>
      </w:ins>
      <w:ins w:id="791" w:author="Reviser" w:date="2026-04-29T18:20:00Z">
        <w:r w:rsidRPr="0025579F">
          <w:rPr>
            <w:szCs w:val="22"/>
            <w:lang w:eastAsia="en-GB"/>
          </w:rPr>
          <w:t xml:space="preserve"> в групата, лекувана на всеки 12 седмици, и при 9 (75,0%) от 12 пациенти в групата, лекувана на всеки 8 седмици.</w:t>
        </w:r>
      </w:ins>
    </w:p>
    <w:p w14:paraId="7F4297D0" w14:textId="77777777" w:rsidR="000E7A0E" w:rsidRDefault="000E7A0E" w:rsidP="000E7A0E">
      <w:pPr>
        <w:tabs>
          <w:tab w:val="clear" w:pos="567"/>
        </w:tabs>
        <w:textAlignment w:val="baseline"/>
        <w:rPr>
          <w:ins w:id="792" w:author="Reviser" w:date="2026-04-29T18:27:00Z"/>
          <w:szCs w:val="22"/>
          <w:lang w:eastAsia="en-GB"/>
        </w:rPr>
      </w:pPr>
    </w:p>
    <w:p w14:paraId="309376ED" w14:textId="351EE888" w:rsidR="00020F75" w:rsidRPr="00020F75" w:rsidRDefault="00020F75" w:rsidP="00020F75">
      <w:pPr>
        <w:tabs>
          <w:tab w:val="clear" w:pos="567"/>
        </w:tabs>
        <w:textAlignment w:val="baseline"/>
        <w:rPr>
          <w:ins w:id="793" w:author="Reviser" w:date="2026-04-29T18:27:00Z"/>
          <w:szCs w:val="22"/>
          <w:lang w:eastAsia="en-GB"/>
        </w:rPr>
      </w:pPr>
      <w:ins w:id="794" w:author="Reviser" w:date="2026-04-29T18:27:00Z">
        <w:r w:rsidRPr="00020F75">
          <w:rPr>
            <w:szCs w:val="22"/>
            <w:lang w:eastAsia="en-GB"/>
          </w:rPr>
          <w:t>Сред 63-мата пациенти</w:t>
        </w:r>
      </w:ins>
      <w:ins w:id="795" w:author="Reviser" w:date="2026-04-29T18:28:00Z">
        <w:r w:rsidRPr="00020F75">
          <w:rPr>
            <w:szCs w:val="22"/>
            <w:lang w:eastAsia="en-GB"/>
          </w:rPr>
          <w:t xml:space="preserve"> с отклонения в нивата на фекалния калпротектин на изходно ниво</w:t>
        </w:r>
      </w:ins>
      <w:ins w:id="796" w:author="Reviser" w:date="2026-04-29T18:27:00Z">
        <w:r w:rsidRPr="00020F75">
          <w:rPr>
            <w:szCs w:val="22"/>
            <w:lang w:eastAsia="en-GB"/>
          </w:rPr>
          <w:t xml:space="preserve">, повлияли се от индукционното лечение, </w:t>
        </w:r>
      </w:ins>
      <w:ins w:id="797" w:author="BG" w:date="2026-06-30T14:46:00Z">
        <w:r w:rsidR="004240DC">
          <w:rPr>
            <w:szCs w:val="22"/>
            <w:lang w:eastAsia="en-GB"/>
          </w:rPr>
          <w:t xml:space="preserve">при </w:t>
        </w:r>
      </w:ins>
      <w:ins w:id="798" w:author="Reviser" w:date="2026-04-29T18:27:00Z">
        <w:r w:rsidRPr="00020F75">
          <w:rPr>
            <w:szCs w:val="22"/>
            <w:lang w:eastAsia="en-GB"/>
          </w:rPr>
          <w:t xml:space="preserve">8 (25,0%) от 32 </w:t>
        </w:r>
        <w:del w:id="799" w:author="BG" w:date="2026-06-30T14:45:00Z">
          <w:r w:rsidRPr="00020F75" w:rsidDel="004240DC">
            <w:rPr>
              <w:szCs w:val="22"/>
              <w:lang w:eastAsia="en-GB"/>
            </w:rPr>
            <w:delText>участници</w:delText>
          </w:r>
        </w:del>
      </w:ins>
      <w:ins w:id="800" w:author="BG" w:date="2026-06-30T14:45:00Z">
        <w:r w:rsidR="004240DC">
          <w:rPr>
            <w:szCs w:val="22"/>
            <w:lang w:eastAsia="en-GB"/>
          </w:rPr>
          <w:t>пациенти</w:t>
        </w:r>
      </w:ins>
      <w:ins w:id="801" w:author="Reviser" w:date="2026-04-29T18:27:00Z">
        <w:r w:rsidRPr="00020F75">
          <w:rPr>
            <w:szCs w:val="22"/>
            <w:lang w:eastAsia="en-GB"/>
          </w:rPr>
          <w:t xml:space="preserve"> в групата </w:t>
        </w:r>
      </w:ins>
      <w:ins w:id="802" w:author="BG" w:date="2026-06-30T14:45:00Z">
        <w:r w:rsidR="004240DC">
          <w:rPr>
            <w:szCs w:val="22"/>
            <w:lang w:eastAsia="en-GB"/>
          </w:rPr>
          <w:t>на</w:t>
        </w:r>
      </w:ins>
      <w:ins w:id="803" w:author="Reviser" w:date="2026-04-29T18:27:00Z">
        <w:del w:id="804" w:author="BG" w:date="2026-06-30T14:45:00Z">
          <w:r w:rsidRPr="00020F75" w:rsidDel="004240DC">
            <w:rPr>
              <w:szCs w:val="22"/>
              <w:lang w:eastAsia="en-GB"/>
            </w:rPr>
            <w:delText>с</w:delText>
          </w:r>
        </w:del>
        <w:r w:rsidRPr="00020F75">
          <w:rPr>
            <w:szCs w:val="22"/>
            <w:lang w:eastAsia="en-GB"/>
          </w:rPr>
          <w:t xml:space="preserve"> лечение на всеки 12 седмици и 16 (51,6%) от 31 пациенти в групата </w:t>
        </w:r>
      </w:ins>
      <w:ins w:id="805" w:author="BG" w:date="2026-06-30T14:45:00Z">
        <w:r w:rsidR="004240DC">
          <w:rPr>
            <w:szCs w:val="22"/>
            <w:lang w:eastAsia="en-GB"/>
          </w:rPr>
          <w:t>на</w:t>
        </w:r>
      </w:ins>
      <w:ins w:id="806" w:author="Reviser" w:date="2026-04-29T18:27:00Z">
        <w:del w:id="807" w:author="BG" w:date="2026-06-30T14:45:00Z">
          <w:r w:rsidRPr="00020F75" w:rsidDel="004240DC">
            <w:rPr>
              <w:szCs w:val="22"/>
              <w:lang w:eastAsia="en-GB"/>
            </w:rPr>
            <w:delText>с</w:delText>
          </w:r>
        </w:del>
        <w:r w:rsidRPr="00020F75">
          <w:rPr>
            <w:szCs w:val="22"/>
            <w:lang w:eastAsia="en-GB"/>
          </w:rPr>
          <w:t xml:space="preserve"> лечение на всеки 8 седмици </w:t>
        </w:r>
        <w:del w:id="808" w:author="BG" w:date="2026-06-30T14:46:00Z">
          <w:r w:rsidRPr="00020F75" w:rsidDel="004240DC">
            <w:rPr>
              <w:szCs w:val="22"/>
              <w:lang w:eastAsia="en-GB"/>
            </w:rPr>
            <w:delText xml:space="preserve">са нормализирали </w:delText>
          </w:r>
        </w:del>
        <w:r w:rsidRPr="00020F75">
          <w:rPr>
            <w:szCs w:val="22"/>
            <w:lang w:eastAsia="en-GB"/>
          </w:rPr>
          <w:t xml:space="preserve">нивата на фекалния калпротектин </w:t>
        </w:r>
      </w:ins>
      <w:ins w:id="809" w:author="BG" w:date="2026-06-30T14:46:00Z">
        <w:r w:rsidR="004240DC" w:rsidRPr="00020F75">
          <w:rPr>
            <w:szCs w:val="22"/>
            <w:lang w:eastAsia="en-GB"/>
          </w:rPr>
          <w:t xml:space="preserve">са </w:t>
        </w:r>
        <w:r w:rsidR="004240DC">
          <w:rPr>
            <w:szCs w:val="22"/>
            <w:lang w:eastAsia="en-GB"/>
          </w:rPr>
          <w:t xml:space="preserve">се </w:t>
        </w:r>
        <w:r w:rsidR="004240DC" w:rsidRPr="00020F75">
          <w:rPr>
            <w:szCs w:val="22"/>
            <w:lang w:eastAsia="en-GB"/>
          </w:rPr>
          <w:t xml:space="preserve">нормализирали </w:t>
        </w:r>
      </w:ins>
      <w:ins w:id="810" w:author="Reviser" w:date="2026-04-29T18:27:00Z">
        <w:del w:id="811" w:author="BG" w:date="2026-06-30T14:46:00Z">
          <w:r w:rsidRPr="00020F75" w:rsidDel="004240DC">
            <w:rPr>
              <w:szCs w:val="22"/>
              <w:lang w:eastAsia="en-GB"/>
            </w:rPr>
            <w:delText>през</w:delText>
          </w:r>
        </w:del>
      </w:ins>
      <w:ins w:id="812" w:author="BG" w:date="2026-06-30T14:46:00Z">
        <w:r w:rsidR="004240DC">
          <w:rPr>
            <w:szCs w:val="22"/>
            <w:lang w:eastAsia="en-GB"/>
          </w:rPr>
          <w:t>на</w:t>
        </w:r>
      </w:ins>
      <w:ins w:id="813" w:author="Reviser" w:date="2026-04-29T18:27:00Z">
        <w:r w:rsidRPr="00020F75">
          <w:rPr>
            <w:szCs w:val="22"/>
            <w:lang w:eastAsia="en-GB"/>
          </w:rPr>
          <w:t xml:space="preserve"> седмица 44 от поддържащото лечение.</w:t>
        </w:r>
      </w:ins>
    </w:p>
    <w:p w14:paraId="24462D41" w14:textId="77777777" w:rsidR="00020F75" w:rsidRPr="00020F75" w:rsidRDefault="00020F75" w:rsidP="00020F75">
      <w:pPr>
        <w:tabs>
          <w:tab w:val="clear" w:pos="567"/>
        </w:tabs>
        <w:textAlignment w:val="baseline"/>
        <w:rPr>
          <w:ins w:id="814" w:author="Reviser" w:date="2026-04-29T18:27:00Z"/>
          <w:szCs w:val="22"/>
          <w:lang w:eastAsia="en-GB"/>
        </w:rPr>
      </w:pPr>
    </w:p>
    <w:p w14:paraId="38C6F90E" w14:textId="77777777" w:rsidR="000E7A0E" w:rsidRDefault="000E7A0E" w:rsidP="000E7A0E">
      <w:pPr>
        <w:keepNext/>
        <w:widowControl w:val="0"/>
        <w:rPr>
          <w:ins w:id="815" w:author="Reviser" w:date="2026-04-27T19:18:00Z"/>
          <w:i/>
        </w:rPr>
      </w:pPr>
      <w:ins w:id="816" w:author="Reviser" w:date="2026-04-27T19:18:00Z">
        <w:r>
          <w:rPr>
            <w:i/>
          </w:rPr>
          <w:t>Качество на живот, свързано със здравето</w:t>
        </w:r>
      </w:ins>
    </w:p>
    <w:p w14:paraId="444D568B" w14:textId="198E1D12" w:rsidR="000E7A0E" w:rsidRDefault="006E6018" w:rsidP="000E7A0E">
      <w:pPr>
        <w:tabs>
          <w:tab w:val="clear" w:pos="567"/>
        </w:tabs>
        <w:textAlignment w:val="baseline"/>
        <w:rPr>
          <w:ins w:id="817" w:author="Reviser" w:date="2026-04-27T19:18:00Z"/>
          <w:szCs w:val="22"/>
          <w:lang w:eastAsia="en-GB"/>
        </w:rPr>
      </w:pPr>
      <w:ins w:id="818" w:author="Reviser" w:date="2026-04-29T18:30:00Z">
        <w:r>
          <w:rPr>
            <w:szCs w:val="22"/>
            <w:lang w:eastAsia="en-GB"/>
          </w:rPr>
          <w:t>При пациентите на възраст</w:t>
        </w:r>
        <w:r w:rsidRPr="00CA0929">
          <w:t xml:space="preserve"> </w:t>
        </w:r>
        <w:r w:rsidRPr="00CA0929">
          <w:rPr>
            <w:szCs w:val="22"/>
            <w:lang w:eastAsia="en-GB"/>
          </w:rPr>
          <w:t>≥10</w:t>
        </w:r>
        <w:r>
          <w:rPr>
            <w:szCs w:val="22"/>
            <w:lang w:eastAsia="en-GB"/>
          </w:rPr>
          <w:t> години, при които е оценен</w:t>
        </w:r>
        <w:r w:rsidRPr="00CA0929">
          <w:rPr>
            <w:szCs w:val="22"/>
            <w:lang w:eastAsia="en-GB"/>
          </w:rPr>
          <w:t xml:space="preserve"> </w:t>
        </w:r>
        <w:r>
          <w:rPr>
            <w:szCs w:val="22"/>
            <w:lang w:eastAsia="en-GB"/>
          </w:rPr>
          <w:t xml:space="preserve">IMPACT-III, </w:t>
        </w:r>
      </w:ins>
      <w:ins w:id="819" w:author="Reviser" w:date="2026-04-29T18:31:00Z">
        <w:r>
          <w:rPr>
            <w:szCs w:val="22"/>
            <w:lang w:eastAsia="en-GB"/>
          </w:rPr>
          <w:t>о</w:t>
        </w:r>
      </w:ins>
      <w:ins w:id="820" w:author="Reviser" w:date="2026-04-27T19:18:00Z">
        <w:r w:rsidR="000E7A0E">
          <w:rPr>
            <w:szCs w:val="22"/>
            <w:lang w:eastAsia="en-GB"/>
          </w:rPr>
          <w:t>бщите скорове и всички поддомейни (</w:t>
        </w:r>
      </w:ins>
      <w:ins w:id="821" w:author="Reviser" w:date="2026-04-29T18:31:00Z">
        <w:r>
          <w:rPr>
            <w:szCs w:val="22"/>
            <w:lang w:eastAsia="en-GB"/>
          </w:rPr>
          <w:t xml:space="preserve">включително </w:t>
        </w:r>
      </w:ins>
      <w:ins w:id="822" w:author="Reviser" w:date="2026-04-27T19:18:00Z">
        <w:r w:rsidR="000E7A0E">
          <w:rPr>
            <w:szCs w:val="22"/>
            <w:lang w:eastAsia="en-GB"/>
          </w:rPr>
          <w:t xml:space="preserve">чревни симптоми, системни симптоми, </w:t>
        </w:r>
      </w:ins>
      <w:ins w:id="823" w:author="Reviser" w:date="2026-04-29T18:32:00Z">
        <w:r>
          <w:rPr>
            <w:szCs w:val="22"/>
            <w:lang w:eastAsia="en-GB"/>
          </w:rPr>
          <w:t xml:space="preserve">емоционално </w:t>
        </w:r>
        <w:r>
          <w:rPr>
            <w:szCs w:val="22"/>
            <w:lang w:eastAsia="en-GB"/>
          </w:rPr>
          <w:lastRenderedPageBreak/>
          <w:t xml:space="preserve">функциониране, </w:t>
        </w:r>
      </w:ins>
      <w:ins w:id="824" w:author="Reviser" w:date="2026-04-29T18:33:00Z">
        <w:r w:rsidRPr="006E6018">
          <w:rPr>
            <w:szCs w:val="22"/>
            <w:lang w:eastAsia="en-GB"/>
          </w:rPr>
          <w:t>социално функциониране и</w:t>
        </w:r>
        <w:r>
          <w:rPr>
            <w:szCs w:val="22"/>
            <w:lang w:eastAsia="en-GB"/>
          </w:rPr>
          <w:t xml:space="preserve"> образни и други изследвания и лечение</w:t>
        </w:r>
      </w:ins>
      <w:ins w:id="825" w:author="Reviser" w:date="2026-04-27T19:18:00Z">
        <w:r w:rsidR="000E7A0E">
          <w:rPr>
            <w:szCs w:val="22"/>
            <w:lang w:eastAsia="en-GB"/>
          </w:rPr>
          <w:t xml:space="preserve">) показват клинично значими подобрения </w:t>
        </w:r>
      </w:ins>
      <w:ins w:id="826" w:author="RABG09" w:date="2026-05-14T11:37:00Z">
        <w:r w:rsidR="00224087">
          <w:rPr>
            <w:szCs w:val="22"/>
            <w:lang w:eastAsia="en-GB"/>
          </w:rPr>
          <w:t>на</w:t>
        </w:r>
      </w:ins>
      <w:ins w:id="827" w:author="Reviser" w:date="2026-04-27T19:18:00Z">
        <w:r w:rsidR="000E7A0E">
          <w:rPr>
            <w:szCs w:val="22"/>
            <w:lang w:eastAsia="en-GB"/>
          </w:rPr>
          <w:t xml:space="preserve"> </w:t>
        </w:r>
      </w:ins>
      <w:ins w:id="828" w:author="BG" w:date="2026-06-30T14:48:00Z">
        <w:r w:rsidR="00343D0B">
          <w:rPr>
            <w:szCs w:val="22"/>
            <w:lang w:eastAsia="en-GB"/>
          </w:rPr>
          <w:t xml:space="preserve">седмица </w:t>
        </w:r>
      </w:ins>
      <w:ins w:id="829" w:author="Reviser" w:date="2026-04-29T18:34:00Z">
        <w:r>
          <w:rPr>
            <w:szCs w:val="22"/>
            <w:lang w:eastAsia="en-GB"/>
          </w:rPr>
          <w:t>44</w:t>
        </w:r>
      </w:ins>
      <w:ins w:id="830" w:author="Reviser" w:date="2026-04-27T19:18:00Z">
        <w:del w:id="831" w:author="BG" w:date="2026-06-30T14:48:00Z">
          <w:r w:rsidR="000E7A0E" w:rsidDel="00343D0B">
            <w:rPr>
              <w:szCs w:val="22"/>
              <w:lang w:val="en-US" w:eastAsia="en-GB"/>
            </w:rPr>
            <w:delText> </w:delText>
          </w:r>
          <w:r w:rsidR="000E7A0E" w:rsidDel="00343D0B">
            <w:rPr>
              <w:szCs w:val="22"/>
              <w:lang w:eastAsia="en-GB"/>
            </w:rPr>
            <w:delText>седмиц</w:delText>
          </w:r>
        </w:del>
      </w:ins>
      <w:ins w:id="832" w:author="RABG09" w:date="2026-05-14T11:37:00Z">
        <w:del w:id="833" w:author="BG" w:date="2026-06-30T14:48:00Z">
          <w:r w:rsidR="00224087" w:rsidDel="00343D0B">
            <w:rPr>
              <w:szCs w:val="22"/>
              <w:lang w:eastAsia="en-GB"/>
            </w:rPr>
            <w:delText>а</w:delText>
          </w:r>
        </w:del>
      </w:ins>
      <w:ins w:id="834" w:author="Reviser" w:date="2026-04-27T19:18:00Z">
        <w:r w:rsidR="000E7A0E">
          <w:rPr>
            <w:szCs w:val="22"/>
            <w:lang w:eastAsia="en-GB"/>
          </w:rPr>
          <w:t>.</w:t>
        </w:r>
      </w:ins>
    </w:p>
    <w:p w14:paraId="4D70C6D5" w14:textId="01AFB962" w:rsidR="000E7A0E" w:rsidDel="00D55605" w:rsidRDefault="000E7A0E">
      <w:pPr>
        <w:rPr>
          <w:del w:id="835" w:author="Reviser" w:date="2026-04-29T18:52:00Z"/>
        </w:rPr>
      </w:pPr>
    </w:p>
    <w:p w14:paraId="109ACC2C" w14:textId="1A6D2701" w:rsidR="009B3384" w:rsidDel="00D55605" w:rsidRDefault="00800862">
      <w:pPr>
        <w:keepNext/>
        <w:rPr>
          <w:del w:id="836" w:author="Reviser" w:date="2026-04-29T18:52:00Z"/>
          <w:szCs w:val="22"/>
          <w:u w:val="single"/>
          <w:lang w:eastAsia="zh-CN"/>
        </w:rPr>
      </w:pPr>
      <w:del w:id="837" w:author="Reviser" w:date="2026-04-29T18:52:00Z">
        <w:r w:rsidDel="00D55605">
          <w:rPr>
            <w:szCs w:val="22"/>
            <w:u w:val="single"/>
          </w:rPr>
          <w:delText>Педиатрична популация</w:delText>
        </w:r>
      </w:del>
    </w:p>
    <w:p w14:paraId="109ACC2D" w14:textId="3E0C895E" w:rsidR="009B3384" w:rsidDel="00D55605" w:rsidRDefault="00800862">
      <w:pPr>
        <w:rPr>
          <w:del w:id="838" w:author="Reviser" w:date="2026-04-29T18:52:00Z"/>
          <w:szCs w:val="24"/>
        </w:rPr>
      </w:pPr>
      <w:del w:id="839" w:author="Reviser" w:date="2026-04-29T18:52:00Z">
        <w:r w:rsidDel="00D55605">
          <w:rPr>
            <w:szCs w:val="24"/>
          </w:rPr>
          <w:delText>Европейската агенция по лекарствата отлага задължението за предоставяне на резултатите от проучванията с устекинумаб в една или повече подгрупи на педиатричната популация при</w:delText>
        </w:r>
        <w:r w:rsidDel="00D55605">
          <w:rPr>
            <w:bCs/>
          </w:rPr>
          <w:delText xml:space="preserve"> улцерозен колит</w:delText>
        </w:r>
        <w:r w:rsidDel="00D55605">
          <w:rPr>
            <w:szCs w:val="24"/>
          </w:rPr>
          <w:delText xml:space="preserve"> (вж. точка 4.2 за информация относно употреба в педиатрията).</w:delText>
        </w:r>
      </w:del>
    </w:p>
    <w:p w14:paraId="109ACC2E" w14:textId="77777777" w:rsidR="009B3384" w:rsidRDefault="009B3384"/>
    <w:p w14:paraId="109ACC2F" w14:textId="77777777" w:rsidR="009B3384" w:rsidRDefault="00800862">
      <w:pPr>
        <w:keepNext/>
        <w:ind w:left="567" w:hanging="567"/>
        <w:outlineLvl w:val="2"/>
        <w:rPr>
          <w:b/>
          <w:bCs/>
        </w:rPr>
      </w:pPr>
      <w:r>
        <w:rPr>
          <w:b/>
          <w:bCs/>
        </w:rPr>
        <w:t>5.2</w:t>
      </w:r>
      <w:r>
        <w:rPr>
          <w:b/>
          <w:bCs/>
        </w:rPr>
        <w:tab/>
        <w:t>Фармакокинетични свойства</w:t>
      </w:r>
    </w:p>
    <w:p w14:paraId="109ACC30" w14:textId="77777777" w:rsidR="009B3384" w:rsidRDefault="009B3384">
      <w:pPr>
        <w:keepNext/>
        <w:rPr>
          <w:bCs/>
        </w:rPr>
      </w:pPr>
    </w:p>
    <w:p w14:paraId="109ACC31" w14:textId="77777777" w:rsidR="009B3384" w:rsidRDefault="00800862">
      <w:pPr>
        <w:rPr>
          <w:iCs/>
        </w:rPr>
      </w:pPr>
      <w:r>
        <w:t>След препоръчителната интравенозна индукционна доза медианата на максималната серумна концентрация на устекинумаб, наблюдавана 1</w:t>
      </w:r>
      <w:r>
        <w:rPr>
          <w:szCs w:val="22"/>
        </w:rPr>
        <w:t> </w:t>
      </w:r>
      <w:r>
        <w:t>час след инфузията, е 126,1 μg/ml при пациентите с болест на Crohn и 127,0 µg/m</w:t>
      </w:r>
      <w:r>
        <w:rPr>
          <w:lang w:val="en-US"/>
        </w:rPr>
        <w:t>l</w:t>
      </w:r>
      <w:r>
        <w:t xml:space="preserve"> при пациентите с </w:t>
      </w:r>
      <w:r>
        <w:rPr>
          <w:bCs/>
        </w:rPr>
        <w:t>улцерозен колит</w:t>
      </w:r>
      <w:r>
        <w:t>.</w:t>
      </w:r>
    </w:p>
    <w:p w14:paraId="109ACC32" w14:textId="77777777" w:rsidR="009B3384" w:rsidRDefault="009B3384">
      <w:pPr>
        <w:keepNext/>
        <w:rPr>
          <w:iCs/>
          <w:u w:val="single"/>
        </w:rPr>
      </w:pPr>
    </w:p>
    <w:p w14:paraId="109ACC33" w14:textId="77777777" w:rsidR="009B3384" w:rsidRDefault="00800862">
      <w:pPr>
        <w:keepNext/>
        <w:rPr>
          <w:iCs/>
          <w:u w:val="single"/>
        </w:rPr>
      </w:pPr>
      <w:r>
        <w:rPr>
          <w:iCs/>
          <w:u w:val="single"/>
        </w:rPr>
        <w:t>Разпределение</w:t>
      </w:r>
    </w:p>
    <w:p w14:paraId="109ACC34" w14:textId="77777777" w:rsidR="009B3384" w:rsidRDefault="00800862">
      <w:pPr>
        <w:rPr>
          <w:iCs/>
        </w:rPr>
      </w:pPr>
      <w:r>
        <w:rPr>
          <w:iCs/>
        </w:rPr>
        <w:t>Медианата на обема на разпределение в терминалната фаза (Vz) след еднократно интравенозно приложение при пациенти с псориазис варира от 57 до 83 ml/kg.</w:t>
      </w:r>
    </w:p>
    <w:p w14:paraId="109ACC35" w14:textId="77777777" w:rsidR="009B3384" w:rsidRDefault="009B3384"/>
    <w:p w14:paraId="109ACC36" w14:textId="77777777" w:rsidR="009B3384" w:rsidRDefault="00800862">
      <w:pPr>
        <w:keepNext/>
        <w:rPr>
          <w:iCs/>
          <w:u w:val="single"/>
        </w:rPr>
      </w:pPr>
      <w:r>
        <w:rPr>
          <w:iCs/>
          <w:u w:val="single"/>
        </w:rPr>
        <w:t>Биотрансформация</w:t>
      </w:r>
    </w:p>
    <w:p w14:paraId="109ACC37" w14:textId="77777777" w:rsidR="009B3384" w:rsidRDefault="00800862">
      <w:pPr>
        <w:rPr>
          <w:iCs/>
        </w:rPr>
      </w:pPr>
      <w:r>
        <w:rPr>
          <w:iCs/>
        </w:rPr>
        <w:t>Точният път на метаболизиране на устекинумаб не е известен.</w:t>
      </w:r>
    </w:p>
    <w:p w14:paraId="109ACC38" w14:textId="77777777" w:rsidR="009B3384" w:rsidRDefault="009B3384"/>
    <w:p w14:paraId="109ACC39" w14:textId="77777777" w:rsidR="009B3384" w:rsidRDefault="00800862">
      <w:pPr>
        <w:keepNext/>
        <w:rPr>
          <w:iCs/>
          <w:u w:val="single"/>
        </w:rPr>
      </w:pPr>
      <w:r>
        <w:rPr>
          <w:iCs/>
          <w:u w:val="single"/>
        </w:rPr>
        <w:t>Елиминиране</w:t>
      </w:r>
    </w:p>
    <w:p w14:paraId="109ACC3A" w14:textId="77777777" w:rsidR="009B3384" w:rsidRDefault="00800862">
      <w:r>
        <w:rPr>
          <w:iCs/>
        </w:rPr>
        <w:t xml:space="preserve">Медианата на системния клирънс (CL) след еднократно интравенозно приложение при пациенти с псориазис варира от 1,99 до 2,34 ml/ден/kg. </w:t>
      </w:r>
      <w:r>
        <w:t>Медианата на полуживота (t</w:t>
      </w:r>
      <w:r>
        <w:rPr>
          <w:vertAlign w:val="subscript"/>
        </w:rPr>
        <w:t>1/2</w:t>
      </w:r>
      <w:r>
        <w:t xml:space="preserve">) на устекинумаб е приблизително 3 седмици при пациенти с </w:t>
      </w:r>
      <w:r>
        <w:rPr>
          <w:bCs/>
        </w:rPr>
        <w:t>улцерозен колит,</w:t>
      </w:r>
      <w:r>
        <w:t xml:space="preserve"> болест на </w:t>
      </w:r>
      <w:r>
        <w:rPr>
          <w:lang w:val="en-GB"/>
        </w:rPr>
        <w:t>Crohn</w:t>
      </w:r>
      <w:r>
        <w:t>, псориазис и/или псориатичен артрит и варира от 15 до 32 дни във всички проучвания на псориазис и псориатичен артрит.</w:t>
      </w:r>
    </w:p>
    <w:p w14:paraId="109ACC3B" w14:textId="77777777" w:rsidR="009B3384" w:rsidRDefault="009B3384">
      <w:pPr>
        <w:rPr>
          <w:iCs/>
        </w:rPr>
      </w:pPr>
    </w:p>
    <w:p w14:paraId="109ACC3C" w14:textId="77777777" w:rsidR="009B3384" w:rsidRDefault="00800862">
      <w:pPr>
        <w:keepNext/>
        <w:rPr>
          <w:u w:val="single"/>
        </w:rPr>
      </w:pPr>
      <w:r>
        <w:rPr>
          <w:u w:val="single"/>
        </w:rPr>
        <w:t>Линейност на дозата</w:t>
      </w:r>
    </w:p>
    <w:p w14:paraId="109ACC3D" w14:textId="77777777" w:rsidR="009B3384" w:rsidRDefault="00800862">
      <w:pPr>
        <w:rPr>
          <w:iCs/>
        </w:rPr>
      </w:pPr>
      <w:r>
        <w:rPr>
          <w:iCs/>
        </w:rPr>
        <w:t>Системната експозиция на устекинумаб (C</w:t>
      </w:r>
      <w:r>
        <w:rPr>
          <w:iCs/>
          <w:vertAlign w:val="subscript"/>
        </w:rPr>
        <w:t>max</w:t>
      </w:r>
      <w:r>
        <w:rPr>
          <w:iCs/>
        </w:rPr>
        <w:t xml:space="preserve"> и AUC) се увеличава по начин, приблизително пропорционален на дозата, след еднократно интравенозно приложение на дози в границата между 0,09 mg/kg и 4,5 mg/kg.</w:t>
      </w:r>
    </w:p>
    <w:p w14:paraId="109ACC3E" w14:textId="77777777" w:rsidR="009B3384" w:rsidRDefault="009B3384">
      <w:pPr>
        <w:rPr>
          <w:iCs/>
        </w:rPr>
      </w:pPr>
    </w:p>
    <w:p w14:paraId="109ACC3F" w14:textId="77777777" w:rsidR="009B3384" w:rsidRDefault="00800862">
      <w:pPr>
        <w:keepNext/>
        <w:rPr>
          <w:iCs/>
          <w:u w:val="single"/>
        </w:rPr>
      </w:pPr>
      <w:r>
        <w:rPr>
          <w:iCs/>
          <w:u w:val="single"/>
        </w:rPr>
        <w:t>Специални популации</w:t>
      </w:r>
    </w:p>
    <w:p w14:paraId="109ACC40" w14:textId="51F13417" w:rsidR="009B3384" w:rsidRDefault="00800862">
      <w:pPr>
        <w:rPr>
          <w:iCs/>
        </w:rPr>
      </w:pPr>
      <w:r>
        <w:rPr>
          <w:iCs/>
        </w:rPr>
        <w:t>Няма налични фармакокинетични данни при пациенти с увредена бъбречна или чернодробна функция. Не са проведени конкретни проучвания с интравенозно приложение на устекинумаб при пациенти в старческа възраст.</w:t>
      </w:r>
    </w:p>
    <w:p w14:paraId="109ACC41" w14:textId="77777777" w:rsidR="009B3384" w:rsidRDefault="009B3384">
      <w:pPr>
        <w:rPr>
          <w:iCs/>
        </w:rPr>
      </w:pPr>
    </w:p>
    <w:p w14:paraId="109ACC42" w14:textId="77777777" w:rsidR="009B3384" w:rsidRDefault="00800862">
      <w:pPr>
        <w:rPr>
          <w:szCs w:val="22"/>
        </w:rPr>
      </w:pPr>
      <w:r>
        <w:rPr>
          <w:szCs w:val="22"/>
        </w:rPr>
        <w:t xml:space="preserve">При пациенти с болест на Crohn </w:t>
      </w:r>
      <w:r>
        <w:rPr>
          <w:bCs/>
        </w:rPr>
        <w:t>и улцерозен колит</w:t>
      </w:r>
      <w:r>
        <w:rPr>
          <w:szCs w:val="22"/>
        </w:rPr>
        <w:t xml:space="preserve"> вариабилността на клирънса на </w:t>
      </w:r>
      <w:r>
        <w:rPr>
          <w:iCs/>
        </w:rPr>
        <w:t>устекинумаб</w:t>
      </w:r>
      <w:r>
        <w:rPr>
          <w:szCs w:val="22"/>
        </w:rPr>
        <w:t xml:space="preserve"> се повлиява от телесното тегло, нивото на серумния албумин, пола и статуса по отношение на антителата срещу </w:t>
      </w:r>
      <w:r>
        <w:rPr>
          <w:iCs/>
        </w:rPr>
        <w:t>устекинумаб, докато телесното тегло е най-значимата ковариата, влияеща върху обема на разпределение</w:t>
      </w:r>
      <w:r>
        <w:rPr>
          <w:szCs w:val="22"/>
        </w:rPr>
        <w:t>. Освен това при болестта на Crohn клирънсът се повлиява от С-реактивния протеин, статуса по отношение на неуспех на лечението с TNF-антагонисти и расата (</w:t>
      </w:r>
      <w:r>
        <w:rPr>
          <w:iCs/>
        </w:rPr>
        <w:t>азиатски спрямо неазиатски произход</w:t>
      </w:r>
      <w:r>
        <w:rPr>
          <w:szCs w:val="22"/>
        </w:rPr>
        <w:t>). Въздействието на тези ковариати е в рамките на ±20% от типичната или референтната стойност на съответния ФK параметър, поради това не е необходима корекция на дозата за тези ковариати.</w:t>
      </w:r>
      <w:r>
        <w:t xml:space="preserve"> </w:t>
      </w:r>
      <w:r>
        <w:rPr>
          <w:szCs w:val="22"/>
        </w:rPr>
        <w:t>Едновременната употреба на имуномодулатори няма значително влияние върху разпределението на устекинумаб.</w:t>
      </w:r>
    </w:p>
    <w:p w14:paraId="109ACC43" w14:textId="77777777" w:rsidR="009B3384" w:rsidRDefault="009B3384">
      <w:pPr>
        <w:rPr>
          <w:iCs/>
        </w:rPr>
      </w:pPr>
    </w:p>
    <w:p w14:paraId="109ACC44" w14:textId="77777777" w:rsidR="009B3384" w:rsidRDefault="00800862">
      <w:pPr>
        <w:keepNext/>
        <w:rPr>
          <w:bCs/>
          <w:iCs/>
          <w:u w:val="single"/>
        </w:rPr>
      </w:pPr>
      <w:r>
        <w:rPr>
          <w:bCs/>
          <w:iCs/>
          <w:u w:val="single"/>
        </w:rPr>
        <w:t>Регулиране на CYP450 ензими</w:t>
      </w:r>
    </w:p>
    <w:p w14:paraId="109ACC45" w14:textId="77777777" w:rsidR="009B3384" w:rsidRDefault="00800862">
      <w:pPr>
        <w:rPr>
          <w:bCs/>
          <w:iCs/>
        </w:rPr>
      </w:pPr>
      <w:r>
        <w:rPr>
          <w:bCs/>
          <w:iCs/>
        </w:rPr>
        <w:t xml:space="preserve">Ефектите на IL-12 или IL-23 върху регулирането на CYP450 ензимите са оценени в </w:t>
      </w:r>
      <w:r>
        <w:rPr>
          <w:bCs/>
          <w:i/>
          <w:iCs/>
        </w:rPr>
        <w:t xml:space="preserve">in vitro </w:t>
      </w:r>
      <w:r>
        <w:rPr>
          <w:bCs/>
          <w:iCs/>
        </w:rPr>
        <w:t>проучване с използване на човешки хепатоцити, което показва, че IL-12 и/или IL-23 с нива от 10 ng/ml не променят активността на човешките CYP450 ензими (CYP1A2, 2B6, 2C9, 2C19, 2D6 или 3А4; вж. точка 4.5).</w:t>
      </w:r>
    </w:p>
    <w:p w14:paraId="109ACC46" w14:textId="77777777" w:rsidR="009B3384" w:rsidRDefault="009B3384">
      <w:bookmarkStart w:id="840" w:name="_Hlk188369438"/>
    </w:p>
    <w:p w14:paraId="109ACC47" w14:textId="77777777" w:rsidR="009B3384" w:rsidRDefault="00800862">
      <w:r>
        <w:t xml:space="preserve">Проведено е открито проучване фаза 1 за лекарствени взаимодействия CNTO1275CRD1003 за оценка на ефекта на </w:t>
      </w:r>
      <w:r>
        <w:rPr>
          <w:szCs w:val="22"/>
        </w:rPr>
        <w:t>устекинумаб</w:t>
      </w:r>
      <w:r>
        <w:t xml:space="preserve"> върху ензимната активност на цитохром Р450 след индукция и поддържащо прилагане при пациенти с активна болест на Crohn (n=18). Не са наблюдавани </w:t>
      </w:r>
      <w:r>
        <w:lastRenderedPageBreak/>
        <w:t>клинично значими промени в експозицията на кофеин (CYP1A2 субстрат), варфарин (CYP2C9 субстрат) омепразол</w:t>
      </w:r>
      <w:r w:rsidRPr="00BC6A43">
        <w:t xml:space="preserve"> (CYP2C19 субстрат), декстрометорфан (CYP2D6 субстрат) или мидазолам (CYP3A субстрат)</w:t>
      </w:r>
      <w:r>
        <w:t xml:space="preserve">, когато се използват съпътстващо с </w:t>
      </w:r>
      <w:r>
        <w:rPr>
          <w:szCs w:val="22"/>
        </w:rPr>
        <w:t>устекинумаб</w:t>
      </w:r>
      <w:r>
        <w:t xml:space="preserve"> при одобрената препоръчителна дозировка при пациенти с болест на Crohn (вж. точка 4.5).</w:t>
      </w:r>
    </w:p>
    <w:p w14:paraId="109ACC48" w14:textId="77777777" w:rsidR="009B3384" w:rsidRDefault="009B3384">
      <w:pPr>
        <w:rPr>
          <w:bCs/>
          <w:iCs/>
        </w:rPr>
      </w:pPr>
    </w:p>
    <w:p w14:paraId="109ACC49" w14:textId="77777777" w:rsidR="009B3384" w:rsidRDefault="00800862">
      <w:pPr>
        <w:keepNext/>
        <w:rPr>
          <w:u w:val="single"/>
        </w:rPr>
      </w:pPr>
      <w:r w:rsidRPr="00BC6A43">
        <w:rPr>
          <w:u w:val="single"/>
        </w:rPr>
        <w:t>Педиатрична популация</w:t>
      </w:r>
    </w:p>
    <w:p w14:paraId="109ACC4A" w14:textId="5664011F" w:rsidR="009B3384" w:rsidDel="00294D29" w:rsidRDefault="00800862">
      <w:pPr>
        <w:rPr>
          <w:ins w:id="841" w:author="Italian LOC" w:date="2026-05-11T17:24:00Z"/>
          <w:del w:id="842" w:author="RABG09" w:date="2026-06-24T15:48:00Z"/>
          <w:iCs/>
        </w:rPr>
      </w:pPr>
      <w:del w:id="843" w:author="RABG09" w:date="2026-06-24T15:48:00Z">
        <w:r w:rsidDel="00294D29">
          <w:rPr>
            <w:iCs/>
          </w:rPr>
          <w:delText xml:space="preserve">Серумните концентрации на устекинумаб при педиатрични пациенти с болест на Crohn </w:delText>
        </w:r>
        <w:r w:rsidDel="00294D29">
          <w:delText>на 2 и повече години</w:delText>
        </w:r>
        <w:r w:rsidDel="00294D29">
          <w:rPr>
            <w:iCs/>
          </w:rPr>
          <w:delText xml:space="preserve"> с тегло най-малко 10</w:delText>
        </w:r>
        <w:r w:rsidDel="00294D29">
          <w:rPr>
            <w:iCs/>
            <w:lang w:val="en-US"/>
          </w:rPr>
          <w:delText> </w:delText>
        </w:r>
        <w:r w:rsidDel="00294D29">
          <w:rPr>
            <w:iCs/>
          </w:rPr>
          <w:delText>kg като цяло са сравними с тези при възрастни пациенти с болест на Crohn</w:delText>
        </w:r>
      </w:del>
      <w:ins w:id="844" w:author="Reviser" w:date="2026-04-29T18:53:00Z">
        <w:del w:id="845" w:author="RABG09" w:date="2026-06-24T15:48:00Z">
          <w:r w:rsidR="00D55605" w:rsidDel="00294D29">
            <w:rPr>
              <w:iCs/>
            </w:rPr>
            <w:delText>.</w:delText>
          </w:r>
        </w:del>
      </w:ins>
    </w:p>
    <w:p w14:paraId="669F3400" w14:textId="558BD5A8" w:rsidR="00FD1814" w:rsidDel="00294D29" w:rsidRDefault="00FD1814">
      <w:pPr>
        <w:rPr>
          <w:ins w:id="846" w:author="Italian LOC" w:date="2026-05-11T17:24:00Z"/>
          <w:del w:id="847" w:author="RABG09" w:date="2026-06-24T15:48:00Z"/>
          <w:iCs/>
        </w:rPr>
      </w:pPr>
    </w:p>
    <w:p w14:paraId="2096BBED" w14:textId="659CAF00" w:rsidR="00D55605" w:rsidRDefault="00FD1814">
      <w:pPr>
        <w:rPr>
          <w:bCs/>
          <w:iCs/>
        </w:rPr>
      </w:pPr>
      <w:ins w:id="848" w:author="Italian LOC" w:date="2026-05-11T17:24:00Z">
        <w:r w:rsidRPr="00BB130F">
          <w:rPr>
            <w:iCs/>
          </w:rPr>
          <w:t xml:space="preserve">Серумните концентрации на устекинумаб при педиатрични пациенти на </w:t>
        </w:r>
      </w:ins>
      <w:ins w:id="849" w:author="RABG09" w:date="2026-05-14T11:41:00Z">
        <w:r w:rsidR="00260275">
          <w:rPr>
            <w:iCs/>
          </w:rPr>
          <w:t xml:space="preserve">възраст </w:t>
        </w:r>
      </w:ins>
      <w:ins w:id="850" w:author="Italian LOC" w:date="2026-05-11T17:24:00Z">
        <w:r w:rsidRPr="00BB130F">
          <w:rPr>
            <w:iCs/>
          </w:rPr>
          <w:t xml:space="preserve">2 </w:t>
        </w:r>
      </w:ins>
      <w:ins w:id="851" w:author="RABG09" w:date="2026-05-14T11:40:00Z">
        <w:r w:rsidR="00D43054">
          <w:rPr>
            <w:iCs/>
          </w:rPr>
          <w:t xml:space="preserve">и повече </w:t>
        </w:r>
      </w:ins>
      <w:ins w:id="852" w:author="Italian LOC" w:date="2026-05-11T17:24:00Z">
        <w:r w:rsidRPr="00BB130F">
          <w:rPr>
            <w:iCs/>
          </w:rPr>
          <w:t xml:space="preserve">години с болест на </w:t>
        </w:r>
        <w:r w:rsidRPr="00FD1814">
          <w:rPr>
            <w:iCs/>
            <w:lang w:val="en-US"/>
          </w:rPr>
          <w:t>Crohn</w:t>
        </w:r>
        <w:r w:rsidRPr="00BB130F">
          <w:rPr>
            <w:iCs/>
          </w:rPr>
          <w:t xml:space="preserve"> или улцерозен колит</w:t>
        </w:r>
      </w:ins>
      <w:ins w:id="853" w:author="BG" w:date="2026-06-30T14:50:00Z">
        <w:r w:rsidR="004717CC">
          <w:rPr>
            <w:iCs/>
          </w:rPr>
          <w:t>,</w:t>
        </w:r>
      </w:ins>
      <w:ins w:id="854" w:author="Italian LOC" w:date="2026-05-11T17:24:00Z">
        <w:r w:rsidRPr="00BB130F">
          <w:rPr>
            <w:iCs/>
          </w:rPr>
          <w:t xml:space="preserve"> </w:t>
        </w:r>
      </w:ins>
      <w:ins w:id="855" w:author="RABG09" w:date="2026-05-14T11:40:00Z">
        <w:r w:rsidR="0082767F">
          <w:rPr>
            <w:iCs/>
          </w:rPr>
          <w:t>с</w:t>
        </w:r>
      </w:ins>
      <w:ins w:id="856" w:author="Italian LOC" w:date="2026-05-11T17:24:00Z">
        <w:r w:rsidRPr="00BB130F">
          <w:rPr>
            <w:iCs/>
          </w:rPr>
          <w:t xml:space="preserve"> тегло </w:t>
        </w:r>
      </w:ins>
      <w:ins w:id="857" w:author="RABG09" w:date="2026-05-14T11:40:00Z">
        <w:r w:rsidR="0082767F">
          <w:rPr>
            <w:iCs/>
          </w:rPr>
          <w:t xml:space="preserve">най-малко </w:t>
        </w:r>
      </w:ins>
      <w:ins w:id="858" w:author="Italian LOC" w:date="2026-05-11T17:24:00Z">
        <w:r w:rsidRPr="00BB130F">
          <w:rPr>
            <w:iCs/>
          </w:rPr>
          <w:t>10</w:t>
        </w:r>
      </w:ins>
      <w:ins w:id="859" w:author="EUCP BE1" w:date="2026-05-19T16:52:00Z">
        <w:r w:rsidR="00A55D4E">
          <w:rPr>
            <w:iCs/>
            <w:lang w:val="en-US"/>
          </w:rPr>
          <w:t> </w:t>
        </w:r>
      </w:ins>
      <w:ins w:id="860" w:author="Italian LOC" w:date="2026-05-11T17:24:00Z">
        <w:r w:rsidRPr="00FD1814">
          <w:rPr>
            <w:iCs/>
            <w:lang w:val="en-US"/>
          </w:rPr>
          <w:t>kg</w:t>
        </w:r>
      </w:ins>
      <w:ins w:id="861" w:author="BG" w:date="2026-06-30T14:51:00Z">
        <w:r w:rsidR="004717CC">
          <w:rPr>
            <w:iCs/>
          </w:rPr>
          <w:t>,</w:t>
        </w:r>
      </w:ins>
      <w:ins w:id="862" w:author="Italian LOC" w:date="2026-05-11T17:24:00Z">
        <w:r w:rsidRPr="00BB130F">
          <w:rPr>
            <w:iCs/>
          </w:rPr>
          <w:t xml:space="preserve"> като цяло са сравними с наблюдаваните при възрастни пациенти.</w:t>
        </w:r>
      </w:ins>
    </w:p>
    <w:bookmarkEnd w:id="840"/>
    <w:p w14:paraId="109ACC4B" w14:textId="77777777" w:rsidR="009B3384" w:rsidRDefault="009B3384"/>
    <w:p w14:paraId="109ACC4C" w14:textId="77777777" w:rsidR="009B3384" w:rsidRDefault="00800862">
      <w:pPr>
        <w:keepNext/>
        <w:ind w:left="567" w:hanging="567"/>
        <w:outlineLvl w:val="2"/>
        <w:rPr>
          <w:b/>
          <w:bCs/>
        </w:rPr>
      </w:pPr>
      <w:r>
        <w:rPr>
          <w:b/>
          <w:bCs/>
        </w:rPr>
        <w:t>5.3</w:t>
      </w:r>
      <w:r>
        <w:rPr>
          <w:b/>
          <w:bCs/>
        </w:rPr>
        <w:tab/>
        <w:t>Предклинични данни за безопасност</w:t>
      </w:r>
    </w:p>
    <w:p w14:paraId="109ACC4D" w14:textId="77777777" w:rsidR="009B3384" w:rsidRDefault="009B3384">
      <w:pPr>
        <w:keepNext/>
      </w:pPr>
    </w:p>
    <w:p w14:paraId="109ACC4E" w14:textId="77777777" w:rsidR="009B3384" w:rsidRDefault="00800862">
      <w:pPr>
        <w:tabs>
          <w:tab w:val="clear" w:pos="567"/>
        </w:tabs>
      </w:pPr>
      <w:r>
        <w:t>Неклиничните данни не показват особен риск (напр. токсичност на органите) за хора на базата на изпитванията за токсичност при многократно прилагане, токсичност за развитието и репродуктивна токсичност, включително и фармакологичните оценки за безопасност. При проучвания за токсичност за развитието и репродуктивна токсичност при дългоопашати макаци не се наблюдават нежелани ефекти върху фертилитета при мъжките, както и вродени дефекти или токсичност за развитието. Не се наблюдават нежелани ефекти върху фертилитета при женските при употребата на аналогично антитяло срещу IL-12/23 при мишки.</w:t>
      </w:r>
    </w:p>
    <w:p w14:paraId="109ACC4F" w14:textId="77777777" w:rsidR="009B3384" w:rsidRDefault="009B3384">
      <w:pPr>
        <w:tabs>
          <w:tab w:val="clear" w:pos="567"/>
          <w:tab w:val="left" w:pos="1592"/>
        </w:tabs>
        <w:rPr>
          <w:bCs/>
        </w:rPr>
      </w:pPr>
    </w:p>
    <w:p w14:paraId="109ACC50" w14:textId="77777777" w:rsidR="009B3384" w:rsidRDefault="00800862">
      <w:pPr>
        <w:tabs>
          <w:tab w:val="clear" w:pos="567"/>
        </w:tabs>
      </w:pPr>
      <w:bookmarkStart w:id="863" w:name="OLE_LINK7"/>
      <w:r>
        <w:t>Дозовите нива в проучвания при животни са близо 45 пъти по-високи от най-високата еквивалентна доза, предвиждана за приложение при пациенти с псориазис, и водят до максимални серумни концентрации при маймуни, които са над 100 пъти по-високи от концентрациите, наблюдавани при хора.</w:t>
      </w:r>
      <w:bookmarkEnd w:id="863"/>
    </w:p>
    <w:p w14:paraId="109ACC51" w14:textId="77777777" w:rsidR="009B3384" w:rsidRDefault="009B3384">
      <w:pPr>
        <w:tabs>
          <w:tab w:val="clear" w:pos="567"/>
        </w:tabs>
        <w:rPr>
          <w:bCs/>
        </w:rPr>
      </w:pPr>
    </w:p>
    <w:p w14:paraId="109ACC52" w14:textId="77777777" w:rsidR="009B3384" w:rsidRDefault="00800862">
      <w:pPr>
        <w:tabs>
          <w:tab w:val="clear" w:pos="567"/>
        </w:tabs>
        <w:rPr>
          <w:bCs/>
        </w:rPr>
      </w:pPr>
      <w:r>
        <w:rPr>
          <w:bCs/>
        </w:rPr>
        <w:t>Не са провеждани проучвания за карциногенност с устекинумаб поради липсата на подходящи модели за антитяло без кръстосана реактивност към IL-12/23 p40 на гризачи.</w:t>
      </w:r>
    </w:p>
    <w:p w14:paraId="109ACC53" w14:textId="77777777" w:rsidR="009B3384" w:rsidRDefault="009B3384">
      <w:pPr>
        <w:tabs>
          <w:tab w:val="clear" w:pos="567"/>
        </w:tabs>
      </w:pPr>
    </w:p>
    <w:p w14:paraId="109ACC54" w14:textId="77777777" w:rsidR="009B3384" w:rsidRDefault="009B3384">
      <w:pPr>
        <w:tabs>
          <w:tab w:val="clear" w:pos="567"/>
        </w:tabs>
      </w:pPr>
    </w:p>
    <w:p w14:paraId="109ACC55" w14:textId="77777777" w:rsidR="009B3384" w:rsidRDefault="00800862">
      <w:pPr>
        <w:keepNext/>
        <w:tabs>
          <w:tab w:val="clear" w:pos="567"/>
        </w:tabs>
        <w:ind w:left="567" w:hanging="567"/>
        <w:outlineLvl w:val="1"/>
        <w:rPr>
          <w:b/>
        </w:rPr>
      </w:pPr>
      <w:r>
        <w:rPr>
          <w:b/>
        </w:rPr>
        <w:t>6.</w:t>
      </w:r>
      <w:r>
        <w:rPr>
          <w:b/>
        </w:rPr>
        <w:tab/>
        <w:t>ФАРМАЦЕВТИЧНИ ДАННИ</w:t>
      </w:r>
    </w:p>
    <w:p w14:paraId="109ACC56" w14:textId="77777777" w:rsidR="009B3384" w:rsidRDefault="009B3384">
      <w:pPr>
        <w:keepNext/>
        <w:tabs>
          <w:tab w:val="clear" w:pos="567"/>
        </w:tabs>
      </w:pPr>
    </w:p>
    <w:p w14:paraId="109ACC57" w14:textId="77777777" w:rsidR="009B3384" w:rsidRDefault="00800862">
      <w:pPr>
        <w:keepNext/>
        <w:ind w:left="567" w:hanging="567"/>
        <w:outlineLvl w:val="2"/>
        <w:rPr>
          <w:b/>
          <w:bCs/>
        </w:rPr>
      </w:pPr>
      <w:r>
        <w:rPr>
          <w:b/>
          <w:bCs/>
        </w:rPr>
        <w:t>6.1</w:t>
      </w:r>
      <w:r>
        <w:rPr>
          <w:b/>
          <w:bCs/>
        </w:rPr>
        <w:tab/>
        <w:t>Списък на помощните вещества</w:t>
      </w:r>
    </w:p>
    <w:p w14:paraId="109ACC58" w14:textId="77777777" w:rsidR="009B3384" w:rsidRDefault="009B3384">
      <w:pPr>
        <w:keepNext/>
      </w:pPr>
    </w:p>
    <w:p w14:paraId="109ACC59" w14:textId="70E74172" w:rsidR="009B3384" w:rsidRDefault="00800862">
      <w:pPr>
        <w:tabs>
          <w:tab w:val="clear" w:pos="567"/>
        </w:tabs>
        <w:rPr>
          <w:iCs/>
        </w:rPr>
      </w:pPr>
      <w:r>
        <w:rPr>
          <w:iCs/>
          <w:lang w:val="en-GB"/>
        </w:rPr>
        <w:t>EDTA</w:t>
      </w:r>
      <w:r>
        <w:rPr>
          <w:iCs/>
        </w:rPr>
        <w:t xml:space="preserve"> динатриева сол дихидрат</w:t>
      </w:r>
    </w:p>
    <w:p w14:paraId="109ACC5A" w14:textId="77777777" w:rsidR="009B3384" w:rsidRDefault="00800862">
      <w:pPr>
        <w:tabs>
          <w:tab w:val="clear" w:pos="567"/>
        </w:tabs>
        <w:rPr>
          <w:iCs/>
        </w:rPr>
      </w:pPr>
      <w:r>
        <w:rPr>
          <w:iCs/>
        </w:rPr>
        <w:t>L-хистидин</w:t>
      </w:r>
    </w:p>
    <w:p w14:paraId="109ACC5B" w14:textId="77777777" w:rsidR="009B3384" w:rsidRDefault="00800862">
      <w:pPr>
        <w:tabs>
          <w:tab w:val="clear" w:pos="567"/>
        </w:tabs>
        <w:rPr>
          <w:iCs/>
        </w:rPr>
      </w:pPr>
      <w:r>
        <w:rPr>
          <w:iCs/>
        </w:rPr>
        <w:t>L-хистидинов монохидрохлорид монохидрат</w:t>
      </w:r>
    </w:p>
    <w:p w14:paraId="109ACC5C" w14:textId="77777777" w:rsidR="009B3384" w:rsidRDefault="00800862">
      <w:pPr>
        <w:tabs>
          <w:tab w:val="clear" w:pos="567"/>
        </w:tabs>
        <w:rPr>
          <w:iCs/>
        </w:rPr>
      </w:pPr>
      <w:r>
        <w:rPr>
          <w:iCs/>
        </w:rPr>
        <w:t>L-метионин</w:t>
      </w:r>
    </w:p>
    <w:p w14:paraId="109ACC5D" w14:textId="77777777" w:rsidR="009B3384" w:rsidRDefault="00800862">
      <w:pPr>
        <w:tabs>
          <w:tab w:val="clear" w:pos="567"/>
        </w:tabs>
        <w:rPr>
          <w:iCs/>
        </w:rPr>
      </w:pPr>
      <w:r>
        <w:rPr>
          <w:iCs/>
        </w:rPr>
        <w:t>Полисорбат 80 (E433)</w:t>
      </w:r>
    </w:p>
    <w:p w14:paraId="109ACC5E" w14:textId="77777777" w:rsidR="009B3384" w:rsidRDefault="00800862">
      <w:pPr>
        <w:tabs>
          <w:tab w:val="clear" w:pos="567"/>
        </w:tabs>
        <w:rPr>
          <w:iCs/>
        </w:rPr>
      </w:pPr>
      <w:r>
        <w:rPr>
          <w:iCs/>
        </w:rPr>
        <w:t>Захароза</w:t>
      </w:r>
    </w:p>
    <w:p w14:paraId="109ACC5F" w14:textId="77777777" w:rsidR="009B3384" w:rsidRDefault="00800862">
      <w:r>
        <w:t>Вода за инжекции</w:t>
      </w:r>
    </w:p>
    <w:p w14:paraId="109ACC60" w14:textId="77777777" w:rsidR="009B3384" w:rsidRDefault="009B3384">
      <w:pPr>
        <w:tabs>
          <w:tab w:val="clear" w:pos="567"/>
        </w:tabs>
      </w:pPr>
    </w:p>
    <w:p w14:paraId="109ACC61" w14:textId="77777777" w:rsidR="009B3384" w:rsidRDefault="00800862">
      <w:pPr>
        <w:keepNext/>
        <w:ind w:left="567" w:hanging="567"/>
        <w:outlineLvl w:val="2"/>
        <w:rPr>
          <w:b/>
          <w:bCs/>
        </w:rPr>
      </w:pPr>
      <w:r>
        <w:rPr>
          <w:b/>
          <w:bCs/>
        </w:rPr>
        <w:t>6.2</w:t>
      </w:r>
      <w:r>
        <w:rPr>
          <w:b/>
          <w:bCs/>
        </w:rPr>
        <w:tab/>
        <w:t>Несъвместимости</w:t>
      </w:r>
    </w:p>
    <w:p w14:paraId="109ACC62" w14:textId="77777777" w:rsidR="009B3384" w:rsidRDefault="009B3384">
      <w:pPr>
        <w:keepNext/>
        <w:tabs>
          <w:tab w:val="clear" w:pos="567"/>
        </w:tabs>
      </w:pPr>
    </w:p>
    <w:p w14:paraId="109ACC63" w14:textId="77777777" w:rsidR="009B3384" w:rsidRDefault="00800862">
      <w:r>
        <w:t xml:space="preserve">При липса на проучвания за несъвместимости, този лекарствен продукт не трябва да се смесва с други лекарствени продукти. </w:t>
      </w:r>
      <w:r>
        <w:rPr>
          <w:lang w:val="en-GB"/>
        </w:rPr>
        <w:t>STELARA</w:t>
      </w:r>
      <w:r>
        <w:t xml:space="preserve"> трябва да се разрежда само с разтвор на натриев хлорид 9 mg/m</w:t>
      </w:r>
      <w:r>
        <w:rPr>
          <w:lang w:val="en-US"/>
        </w:rPr>
        <w:t>l</w:t>
      </w:r>
      <w:r>
        <w:t xml:space="preserve"> (0,9%). </w:t>
      </w:r>
      <w:r>
        <w:rPr>
          <w:lang w:val="en-GB"/>
        </w:rPr>
        <w:t>STELARA</w:t>
      </w:r>
      <w:r>
        <w:t xml:space="preserve"> не трябва да се прилага едновременно чрез една и съща интравенозна система с други лекарствени продукти.</w:t>
      </w:r>
    </w:p>
    <w:p w14:paraId="109ACC64" w14:textId="77777777" w:rsidR="009B3384" w:rsidRDefault="009B3384">
      <w:pPr>
        <w:tabs>
          <w:tab w:val="clear" w:pos="567"/>
        </w:tabs>
      </w:pPr>
    </w:p>
    <w:p w14:paraId="109ACC65" w14:textId="77777777" w:rsidR="009B3384" w:rsidRDefault="00800862">
      <w:pPr>
        <w:keepNext/>
        <w:ind w:left="567" w:hanging="567"/>
        <w:outlineLvl w:val="2"/>
        <w:rPr>
          <w:b/>
          <w:bCs/>
        </w:rPr>
      </w:pPr>
      <w:r>
        <w:rPr>
          <w:b/>
          <w:bCs/>
        </w:rPr>
        <w:t>6.3</w:t>
      </w:r>
      <w:r>
        <w:rPr>
          <w:b/>
          <w:bCs/>
        </w:rPr>
        <w:tab/>
        <w:t>Срок на годност</w:t>
      </w:r>
    </w:p>
    <w:p w14:paraId="109ACC66" w14:textId="77777777" w:rsidR="009B3384" w:rsidRDefault="009B3384">
      <w:pPr>
        <w:keepNext/>
        <w:tabs>
          <w:tab w:val="clear" w:pos="567"/>
        </w:tabs>
      </w:pPr>
    </w:p>
    <w:p w14:paraId="109ACC67" w14:textId="77777777" w:rsidR="009B3384" w:rsidRDefault="00800862">
      <w:pPr>
        <w:tabs>
          <w:tab w:val="clear" w:pos="567"/>
        </w:tabs>
      </w:pPr>
      <w:r>
        <w:t>3</w:t>
      </w:r>
      <w:r>
        <w:rPr>
          <w:lang w:val="nl-BE"/>
        </w:rPr>
        <w:t> </w:t>
      </w:r>
      <w:r>
        <w:t>години</w:t>
      </w:r>
    </w:p>
    <w:p w14:paraId="109ACC68" w14:textId="77777777" w:rsidR="009B3384" w:rsidRDefault="00800862">
      <w:pPr>
        <w:tabs>
          <w:tab w:val="clear" w:pos="567"/>
        </w:tabs>
      </w:pPr>
      <w:r>
        <w:t>Да не се замразява.</w:t>
      </w:r>
    </w:p>
    <w:p w14:paraId="109ACC69" w14:textId="77777777" w:rsidR="009B3384" w:rsidRDefault="009B3384">
      <w:pPr>
        <w:tabs>
          <w:tab w:val="clear" w:pos="567"/>
        </w:tabs>
      </w:pPr>
    </w:p>
    <w:p w14:paraId="109ACC6A" w14:textId="77777777" w:rsidR="009B3384" w:rsidRDefault="00800862">
      <w:pPr>
        <w:tabs>
          <w:tab w:val="clear" w:pos="567"/>
        </w:tabs>
      </w:pPr>
      <w:r>
        <w:lastRenderedPageBreak/>
        <w:t>Доказана е химична и физична стабилност по време на употреба за 8</w:t>
      </w:r>
      <w:r>
        <w:rPr>
          <w:lang w:val="en-GB"/>
        </w:rPr>
        <w:t> </w:t>
      </w:r>
      <w:r>
        <w:t>часа при 15-25°</w:t>
      </w:r>
      <w:r>
        <w:rPr>
          <w:lang w:val="en-GB"/>
        </w:rPr>
        <w:t>C</w:t>
      </w:r>
      <w:r>
        <w:t>.</w:t>
      </w:r>
    </w:p>
    <w:p w14:paraId="109ACC6B" w14:textId="77777777" w:rsidR="009B3384" w:rsidRDefault="009B3384">
      <w:pPr>
        <w:tabs>
          <w:tab w:val="clear" w:pos="567"/>
        </w:tabs>
      </w:pPr>
    </w:p>
    <w:p w14:paraId="109ACC6C" w14:textId="77777777" w:rsidR="009B3384" w:rsidRDefault="00800862">
      <w:pPr>
        <w:tabs>
          <w:tab w:val="clear" w:pos="567"/>
        </w:tabs>
      </w:pPr>
      <w:r>
        <w:t xml:space="preserve">От микробиологична гледна точка </w:t>
      </w:r>
      <w:r>
        <w:rPr>
          <w:szCs w:val="22"/>
        </w:rPr>
        <w:t>продуктът трябва да се употреби незабавно</w:t>
      </w:r>
      <w:r>
        <w:t xml:space="preserve">, освен ако методът на разреждане изключва риск от микробно замърсяване. </w:t>
      </w:r>
      <w:r>
        <w:rPr>
          <w:szCs w:val="22"/>
        </w:rPr>
        <w:t>Ако не се употреби незабавно, периодът на използване и условията на съхранение преди употреба са отговорност на потребителя</w:t>
      </w:r>
      <w:r>
        <w:t>.</w:t>
      </w:r>
    </w:p>
    <w:p w14:paraId="109ACC6D" w14:textId="77777777" w:rsidR="009B3384" w:rsidRDefault="009B3384">
      <w:pPr>
        <w:tabs>
          <w:tab w:val="clear" w:pos="567"/>
        </w:tabs>
      </w:pPr>
    </w:p>
    <w:p w14:paraId="109ACC6E" w14:textId="77777777" w:rsidR="009B3384" w:rsidRDefault="00800862">
      <w:pPr>
        <w:keepNext/>
        <w:ind w:left="567" w:hanging="567"/>
        <w:outlineLvl w:val="2"/>
        <w:rPr>
          <w:b/>
          <w:bCs/>
        </w:rPr>
      </w:pPr>
      <w:r>
        <w:rPr>
          <w:b/>
          <w:bCs/>
        </w:rPr>
        <w:t>6.4</w:t>
      </w:r>
      <w:r>
        <w:rPr>
          <w:b/>
          <w:bCs/>
        </w:rPr>
        <w:tab/>
        <w:t>Специални условия на съхранение</w:t>
      </w:r>
    </w:p>
    <w:p w14:paraId="109ACC6F" w14:textId="77777777" w:rsidR="009B3384" w:rsidRDefault="009B3384">
      <w:pPr>
        <w:keepNext/>
        <w:tabs>
          <w:tab w:val="clear" w:pos="567"/>
        </w:tabs>
      </w:pPr>
    </w:p>
    <w:p w14:paraId="109ACC70" w14:textId="77777777" w:rsidR="009B3384" w:rsidRDefault="00800862">
      <w:r>
        <w:t>Да се съхранява в хладилник (2</w:t>
      </w:r>
      <w:r>
        <w:rPr>
          <w:rFonts w:eastAsia="Symbol"/>
        </w:rPr>
        <w:t>°</w:t>
      </w:r>
      <w:r>
        <w:t>C – 8</w:t>
      </w:r>
      <w:r>
        <w:rPr>
          <w:rFonts w:eastAsia="Symbol"/>
        </w:rPr>
        <w:t>°</w:t>
      </w:r>
      <w:r>
        <w:t>C). Да не се замразява.</w:t>
      </w:r>
    </w:p>
    <w:p w14:paraId="109ACC71" w14:textId="77777777" w:rsidR="009B3384" w:rsidRDefault="00800862">
      <w:r>
        <w:t>Съхранявайте флакона в картонената опаковка, за да се предпази от светлина.</w:t>
      </w:r>
    </w:p>
    <w:p w14:paraId="109ACC72" w14:textId="77777777" w:rsidR="009B3384" w:rsidRDefault="009B3384">
      <w:pPr>
        <w:tabs>
          <w:tab w:val="clear" w:pos="567"/>
        </w:tabs>
      </w:pPr>
    </w:p>
    <w:p w14:paraId="109ACC73" w14:textId="77777777" w:rsidR="009B3384" w:rsidRDefault="00800862">
      <w:pPr>
        <w:widowControl w:val="0"/>
      </w:pPr>
      <w:r>
        <w:t>За условията на съхранение след разреждане на лекарствения продукт вижте точка</w:t>
      </w:r>
      <w:r>
        <w:rPr>
          <w:szCs w:val="22"/>
        </w:rPr>
        <w:t> </w:t>
      </w:r>
      <w:r>
        <w:t>6.3.</w:t>
      </w:r>
    </w:p>
    <w:p w14:paraId="109ACC74" w14:textId="77777777" w:rsidR="009B3384" w:rsidRDefault="009B3384">
      <w:pPr>
        <w:tabs>
          <w:tab w:val="clear" w:pos="567"/>
        </w:tabs>
      </w:pPr>
    </w:p>
    <w:p w14:paraId="109ACC75" w14:textId="77777777" w:rsidR="009B3384" w:rsidRDefault="00800862">
      <w:pPr>
        <w:keepNext/>
        <w:ind w:left="567" w:hanging="567"/>
        <w:outlineLvl w:val="2"/>
        <w:rPr>
          <w:b/>
          <w:bCs/>
        </w:rPr>
      </w:pPr>
      <w:r>
        <w:rPr>
          <w:b/>
          <w:bCs/>
        </w:rPr>
        <w:t>6.5</w:t>
      </w:r>
      <w:r>
        <w:rPr>
          <w:b/>
          <w:bCs/>
        </w:rPr>
        <w:tab/>
        <w:t>Вид и съдържание на опаковката</w:t>
      </w:r>
    </w:p>
    <w:p w14:paraId="109ACC76" w14:textId="77777777" w:rsidR="009B3384" w:rsidRDefault="009B3384">
      <w:pPr>
        <w:keepNext/>
        <w:tabs>
          <w:tab w:val="clear" w:pos="567"/>
        </w:tabs>
      </w:pPr>
    </w:p>
    <w:p w14:paraId="109ACC77" w14:textId="77777777" w:rsidR="009B3384" w:rsidRDefault="00800862">
      <w:pPr>
        <w:tabs>
          <w:tab w:val="clear" w:pos="567"/>
        </w:tabs>
        <w:rPr>
          <w:iCs/>
        </w:rPr>
      </w:pPr>
      <w:r>
        <w:rPr>
          <w:iCs/>
        </w:rPr>
        <w:t>26</w:t>
      </w:r>
      <w:r>
        <w:rPr>
          <w:iCs/>
          <w:lang w:val="en-US"/>
        </w:rPr>
        <w:t> ml</w:t>
      </w:r>
      <w:r>
        <w:rPr>
          <w:iCs/>
        </w:rPr>
        <w:t xml:space="preserve"> разтвор във флакон от стъкло тип I 30 ml, затворен със запушалка от бутилова гума с покритие. STELARA се разпространява в опаковка по 1 флакон.</w:t>
      </w:r>
    </w:p>
    <w:p w14:paraId="109ACC78" w14:textId="77777777" w:rsidR="009B3384" w:rsidRDefault="009B3384">
      <w:pPr>
        <w:tabs>
          <w:tab w:val="clear" w:pos="567"/>
        </w:tabs>
      </w:pPr>
    </w:p>
    <w:p w14:paraId="109ACC79" w14:textId="77777777" w:rsidR="009B3384" w:rsidRDefault="00800862">
      <w:pPr>
        <w:keepNext/>
        <w:ind w:left="567" w:hanging="567"/>
        <w:outlineLvl w:val="2"/>
        <w:rPr>
          <w:b/>
          <w:bCs/>
        </w:rPr>
      </w:pPr>
      <w:r>
        <w:rPr>
          <w:b/>
          <w:bCs/>
        </w:rPr>
        <w:t>6.6</w:t>
      </w:r>
      <w:r>
        <w:rPr>
          <w:b/>
          <w:bCs/>
        </w:rPr>
        <w:tab/>
        <w:t>Специални предпазни мерки при изхвърляне и работа</w:t>
      </w:r>
    </w:p>
    <w:p w14:paraId="109ACC7A" w14:textId="77777777" w:rsidR="009B3384" w:rsidRDefault="009B3384">
      <w:pPr>
        <w:keepNext/>
        <w:tabs>
          <w:tab w:val="clear" w:pos="567"/>
        </w:tabs>
      </w:pPr>
    </w:p>
    <w:p w14:paraId="109ACC7B" w14:textId="297CD7ED" w:rsidR="009B3384" w:rsidRDefault="00800862">
      <w:r>
        <w:rPr>
          <w:bCs/>
        </w:rPr>
        <w:t>Флаконът не трябва да се разклаща. Разтворът трябва да се провери визуално за наличието на твърди частици или промяна на цвета, преди да се приложи. Разтворът е бистър</w:t>
      </w:r>
      <w:r>
        <w:rPr>
          <w:szCs w:val="22"/>
        </w:rPr>
        <w:t xml:space="preserve">, безцветен до бледожълт. </w:t>
      </w:r>
      <w:r>
        <w:t>Лекарственият продукт не трябва да се употребява, ако разтворът е с променен цвят или мътен или ако в него се забелязват видими чужди частици.</w:t>
      </w:r>
    </w:p>
    <w:p w14:paraId="109ACC7C" w14:textId="77777777" w:rsidR="009B3384" w:rsidRDefault="009B3384">
      <w:pPr>
        <w:tabs>
          <w:tab w:val="clear" w:pos="567"/>
        </w:tabs>
      </w:pPr>
    </w:p>
    <w:p w14:paraId="109ACC7D" w14:textId="77777777" w:rsidR="009B3384" w:rsidRDefault="00800862">
      <w:pPr>
        <w:keepNext/>
        <w:widowControl w:val="0"/>
        <w:rPr>
          <w:bCs/>
          <w:u w:val="single"/>
        </w:rPr>
      </w:pPr>
      <w:r>
        <w:rPr>
          <w:bCs/>
          <w:u w:val="single"/>
        </w:rPr>
        <w:t>Разреждане</w:t>
      </w:r>
    </w:p>
    <w:p w14:paraId="109ACC7E" w14:textId="77777777" w:rsidR="009B3384" w:rsidRDefault="00800862">
      <w:r>
        <w:t>STELARA концентрат за инфузионен разтвор трябва да се разреди и да се подготви от медицински специалист с помощта на асептична техника.</w:t>
      </w:r>
    </w:p>
    <w:p w14:paraId="109ACC7F" w14:textId="77777777" w:rsidR="009B3384" w:rsidRDefault="009B3384"/>
    <w:p w14:paraId="109ACC80" w14:textId="18E5A6D5" w:rsidR="009B3384" w:rsidRPr="00F9219D" w:rsidRDefault="00800862">
      <w:pPr>
        <w:ind w:left="567" w:hanging="567"/>
      </w:pPr>
      <w:r>
        <w:t>1.</w:t>
      </w:r>
      <w:r>
        <w:tab/>
        <w:t>За възрастни пациенти и педиатрични пациенти с тегло най-малко 40</w:t>
      </w:r>
      <w:r>
        <w:rPr>
          <w:lang w:val="en-US"/>
        </w:rPr>
        <w:t> </w:t>
      </w:r>
      <w:r>
        <w:t>kg, изчислете дозата и броя на необходимите флакони STELARA въз основа на теглото на пациента (вж. точка</w:t>
      </w:r>
      <w:r>
        <w:rPr>
          <w:szCs w:val="22"/>
        </w:rPr>
        <w:t> </w:t>
      </w:r>
      <w:r>
        <w:t>4.2, Таблица</w:t>
      </w:r>
      <w:r>
        <w:rPr>
          <w:szCs w:val="22"/>
        </w:rPr>
        <w:t> </w:t>
      </w:r>
      <w:r>
        <w:t>1</w:t>
      </w:r>
      <w:bookmarkStart w:id="864" w:name="_Hlk219657081"/>
      <w:ins w:id="865" w:author="RABG09" w:date="2026-06-24T15:49:00Z">
        <w:r w:rsidR="001C309E">
          <w:t xml:space="preserve"> и</w:t>
        </w:r>
      </w:ins>
      <w:del w:id="866" w:author="RABG09" w:date="2026-06-24T15:49:00Z">
        <w:r w:rsidDel="001C309E">
          <w:delText>,</w:delText>
        </w:r>
      </w:del>
      <w:r>
        <w:t xml:space="preserve"> Таблица 3</w:t>
      </w:r>
      <w:ins w:id="867" w:author="Reviser" w:date="2026-04-29T18:55:00Z">
        <w:del w:id="868" w:author="RABG09" w:date="2026-06-24T15:49:00Z">
          <w:r w:rsidR="008B1951" w:rsidDel="001C309E">
            <w:delText xml:space="preserve"> и</w:delText>
          </w:r>
        </w:del>
      </w:ins>
      <w:ins w:id="869" w:author="Reviser" w:date="2026-04-29T18:56:00Z">
        <w:del w:id="870" w:author="RABG09" w:date="2026-06-24T15:49:00Z">
          <w:r w:rsidR="008B1951" w:rsidDel="001C309E">
            <w:delText xml:space="preserve"> Таблица 5</w:delText>
          </w:r>
        </w:del>
      </w:ins>
      <w:r>
        <w:t>) или за педиатрични пациенти, които тежат по-малко от 40 </w:t>
      </w:r>
      <w:r>
        <w:rPr>
          <w:lang w:val="en-US"/>
        </w:rPr>
        <w:t>kg</w:t>
      </w:r>
      <w:r>
        <w:t xml:space="preserve">, изчислете дозата и броят на необходимите флакони </w:t>
      </w:r>
      <w:del w:id="871" w:author="Reviser" w:date="2026-04-29T18:56:00Z">
        <w:r w:rsidDel="008B1951">
          <w:rPr>
            <w:lang w:val="en-US"/>
          </w:rPr>
          <w:delText>S</w:delText>
        </w:r>
        <w:r w:rsidDel="008B1951">
          <w:delText xml:space="preserve">TELARA </w:delText>
        </w:r>
      </w:del>
      <w:r>
        <w:t>въз основа на телесната повърхност на пациента</w:t>
      </w:r>
      <w:r w:rsidRPr="00BC6A43">
        <w:t xml:space="preserve"> (</w:t>
      </w:r>
      <w:r>
        <w:rPr>
          <w:lang w:val="en-GB"/>
        </w:rPr>
        <w:t>BSA</w:t>
      </w:r>
      <w:r w:rsidRPr="00BC6A43">
        <w:t>)</w:t>
      </w:r>
      <w:bookmarkEnd w:id="864"/>
      <w:ins w:id="872" w:author="Reviser" w:date="2026-04-29T18:57:00Z">
        <w:r w:rsidR="008B1951">
          <w:t xml:space="preserve"> (вж. точка</w:t>
        </w:r>
      </w:ins>
      <w:ins w:id="873" w:author="EUCP BE1" w:date="2026-05-19T16:52:00Z">
        <w:r w:rsidR="00A55D4E">
          <w:rPr>
            <w:lang w:val="en-US"/>
          </w:rPr>
          <w:t> </w:t>
        </w:r>
      </w:ins>
      <w:ins w:id="874" w:author="Reviser" w:date="2026-04-29T18:57:00Z">
        <w:r w:rsidR="008B1951">
          <w:t>4.2, Таблица</w:t>
        </w:r>
      </w:ins>
      <w:ins w:id="875" w:author="EUCP BE1" w:date="2026-05-19T16:53:00Z">
        <w:r w:rsidR="00A55D4E">
          <w:rPr>
            <w:lang w:val="en-US"/>
          </w:rPr>
          <w:t> </w:t>
        </w:r>
      </w:ins>
      <w:ins w:id="876" w:author="Reviser" w:date="2026-04-29T18:57:00Z">
        <w:r w:rsidR="008B1951">
          <w:t>2)</w:t>
        </w:r>
      </w:ins>
      <w:r>
        <w:t>. Всеки флакон STELARA от 26</w:t>
      </w:r>
      <w:r>
        <w:rPr>
          <w:szCs w:val="22"/>
        </w:rPr>
        <w:t> </w:t>
      </w:r>
      <w:r>
        <w:t>ml съдържа 130</w:t>
      </w:r>
      <w:r>
        <w:rPr>
          <w:szCs w:val="22"/>
        </w:rPr>
        <w:t> </w:t>
      </w:r>
      <w:r>
        <w:t>mg устекинумаб.</w:t>
      </w:r>
      <w:del w:id="877" w:author="EUCP BE1" w:date="2026-05-19T16:59:00Z">
        <w:r w:rsidDel="00F72194">
          <w:delText xml:space="preserve"> </w:delText>
        </w:r>
      </w:del>
    </w:p>
    <w:p w14:paraId="109ACC81" w14:textId="1AE949DA" w:rsidR="009B3384" w:rsidRDefault="00800862">
      <w:pPr>
        <w:ind w:left="567" w:hanging="567"/>
      </w:pPr>
      <w:r>
        <w:t>2.</w:t>
      </w:r>
      <w:r>
        <w:tab/>
        <w:t xml:space="preserve">Изтеглете и </w:t>
      </w:r>
      <w:ins w:id="878" w:author="RABG09" w:date="2026-06-24T15:50:00Z">
        <w:r w:rsidR="009D10B3">
          <w:t xml:space="preserve">след това </w:t>
        </w:r>
      </w:ins>
      <w:r>
        <w:t>изхвърлете от инфузионния сак от 250</w:t>
      </w:r>
      <w:r>
        <w:rPr>
          <w:szCs w:val="22"/>
        </w:rPr>
        <w:t> </w:t>
      </w:r>
      <w:r>
        <w:t>ml обем от разтвор на натриев хлорид 9 mg/m</w:t>
      </w:r>
      <w:r>
        <w:rPr>
          <w:lang w:val="en-US"/>
        </w:rPr>
        <w:t>l</w:t>
      </w:r>
      <w:r>
        <w:t xml:space="preserve"> (0,9%), равен на обема STELARA, който трябва да се добави</w:t>
      </w:r>
      <w:del w:id="879" w:author="RABG09" w:date="2026-06-24T15:52:00Z">
        <w:r w:rsidDel="00D95ADA">
          <w:delText>.</w:delText>
        </w:r>
      </w:del>
      <w:r>
        <w:t xml:space="preserve"> (изхвърлете 26</w:t>
      </w:r>
      <w:r>
        <w:rPr>
          <w:szCs w:val="22"/>
        </w:rPr>
        <w:t> </w:t>
      </w:r>
      <w:r>
        <w:t>ml натриев хлорид за всеки необходим флакон STELARA, за 2</w:t>
      </w:r>
      <w:r>
        <w:rPr>
          <w:szCs w:val="22"/>
        </w:rPr>
        <w:t> </w:t>
      </w:r>
      <w:r>
        <w:t>флакона изхвърлете 52</w:t>
      </w:r>
      <w:r>
        <w:rPr>
          <w:szCs w:val="22"/>
        </w:rPr>
        <w:t> </w:t>
      </w:r>
      <w:r>
        <w:t>ml, за 3</w:t>
      </w:r>
      <w:r>
        <w:rPr>
          <w:szCs w:val="22"/>
        </w:rPr>
        <w:t> </w:t>
      </w:r>
      <w:r>
        <w:t>флакона изхвърлете 78</w:t>
      </w:r>
      <w:r>
        <w:rPr>
          <w:szCs w:val="22"/>
        </w:rPr>
        <w:t> </w:t>
      </w:r>
      <w:r>
        <w:t>ml, за 4</w:t>
      </w:r>
      <w:r>
        <w:rPr>
          <w:szCs w:val="22"/>
        </w:rPr>
        <w:t> </w:t>
      </w:r>
      <w:r>
        <w:t>флакона изхвърлете 104</w:t>
      </w:r>
      <w:r>
        <w:rPr>
          <w:szCs w:val="22"/>
        </w:rPr>
        <w:t> </w:t>
      </w:r>
      <w:r>
        <w:t>ml)</w:t>
      </w:r>
      <w:ins w:id="880" w:author="RABG09" w:date="2026-06-24T15:52:00Z">
        <w:r w:rsidR="00BC09A4">
          <w:t>.</w:t>
        </w:r>
      </w:ins>
    </w:p>
    <w:p w14:paraId="109ACC82" w14:textId="77777777" w:rsidR="009B3384" w:rsidRDefault="00800862">
      <w:pPr>
        <w:ind w:left="567" w:hanging="567"/>
      </w:pPr>
      <w:r>
        <w:t>3.</w:t>
      </w:r>
      <w:r>
        <w:tab/>
        <w:t>Изтеглете 26</w:t>
      </w:r>
      <w:r>
        <w:rPr>
          <w:szCs w:val="22"/>
        </w:rPr>
        <w:t> </w:t>
      </w:r>
      <w:r>
        <w:t>ml STELARA от всеки необходим флакон и ги добавете към инфузионния сак от 250</w:t>
      </w:r>
      <w:r>
        <w:rPr>
          <w:szCs w:val="22"/>
        </w:rPr>
        <w:t> </w:t>
      </w:r>
      <w:r>
        <w:t>ml. Крайният обем в инфузионния сак трябва да бъде 250</w:t>
      </w:r>
      <w:r>
        <w:rPr>
          <w:szCs w:val="22"/>
        </w:rPr>
        <w:t> </w:t>
      </w:r>
      <w:r>
        <w:t>ml. Внимателно смесете.</w:t>
      </w:r>
    </w:p>
    <w:p w14:paraId="109ACC83" w14:textId="0D3D02AB" w:rsidR="009B3384" w:rsidRDefault="00800862">
      <w:pPr>
        <w:ind w:left="567" w:hanging="567"/>
      </w:pPr>
      <w:bookmarkStart w:id="881" w:name="_Hlk219658633"/>
      <w:r>
        <w:t>4.</w:t>
      </w:r>
      <w:r w:rsidRPr="00BC6A43">
        <w:tab/>
      </w:r>
      <w:r>
        <w:t xml:space="preserve">При педиатрични пациенти с болестта на Crohn </w:t>
      </w:r>
      <w:ins w:id="882" w:author="Reviser" w:date="2026-04-29T18:58:00Z">
        <w:r w:rsidR="008B1951">
          <w:t xml:space="preserve">или улцерозен колит </w:t>
        </w:r>
      </w:ins>
      <w:r>
        <w:t>с тегло под 40</w:t>
      </w:r>
      <w:r w:rsidRPr="00BC6A43">
        <w:t> </w:t>
      </w:r>
      <w:r>
        <w:t>kg дозата е изчислена въз основа на BSA на пациента, като еднократна интравенозна (i.v.) доза STELARA. От инфузионeн сак от 100</w:t>
      </w:r>
      <w:r w:rsidRPr="00BC6A43">
        <w:t> </w:t>
      </w:r>
      <w:r>
        <w:t>ml с разтвор на натриев хлорид 9</w:t>
      </w:r>
      <w:r w:rsidRPr="00BC6A43">
        <w:t> </w:t>
      </w:r>
      <w:r>
        <w:t>mg/ml (0,9%) изтеглете и изхвърлете обем, равен на обема STELARA, който ще се добави. Изтеглете необходимия обем STELARA от всеки флакон и го добавете към инфузионeн сак от 100 ml. Крайният обем в инфузионния сак трябва да бъде 100</w:t>
      </w:r>
      <w:r w:rsidRPr="00BC6A43">
        <w:t> </w:t>
      </w:r>
      <w:r>
        <w:t>ml. Смесете внимателно.</w:t>
      </w:r>
    </w:p>
    <w:bookmarkEnd w:id="881"/>
    <w:p w14:paraId="109ACC84" w14:textId="45114D1F" w:rsidR="009B3384" w:rsidRDefault="00800862">
      <w:pPr>
        <w:ind w:left="567" w:hanging="567"/>
      </w:pPr>
      <w:r>
        <w:t>5.</w:t>
      </w:r>
      <w:r>
        <w:tab/>
        <w:t>Преди приложението проверете визуално разредения разтвор. Не го употребявайте, ако се наблюдават визуално непрозрачни частици, промяна на цвета или чужди частици.</w:t>
      </w:r>
    </w:p>
    <w:p w14:paraId="109ACC85" w14:textId="43C881B1" w:rsidR="009B3384" w:rsidRDefault="00800862">
      <w:pPr>
        <w:ind w:left="567" w:hanging="567"/>
      </w:pPr>
      <w:r>
        <w:t>6.</w:t>
      </w:r>
      <w:r>
        <w:tab/>
        <w:t>Приложете разредения разтвор за период от най-малко един час. След като се разреди, прилагането на инфузионният разтвор трябва да се извърши в рамките на осем часа след разреждането в инфузионния сак.</w:t>
      </w:r>
    </w:p>
    <w:p w14:paraId="109ACC86" w14:textId="7E243E8F" w:rsidR="009B3384" w:rsidRDefault="00800862">
      <w:pPr>
        <w:ind w:left="567" w:hanging="567"/>
      </w:pPr>
      <w:r>
        <w:t>7.</w:t>
      </w:r>
      <w:r>
        <w:tab/>
        <w:t>Използвайте само набор за инфузия с вграден, стерилен, апирогенен филтър със слабо свързване на протеини (размер на порите 0,2</w:t>
      </w:r>
      <w:r>
        <w:rPr>
          <w:szCs w:val="22"/>
        </w:rPr>
        <w:t> </w:t>
      </w:r>
      <w:r>
        <w:t>микрометра).</w:t>
      </w:r>
    </w:p>
    <w:p w14:paraId="109ACC87" w14:textId="4F80FD4B" w:rsidR="009B3384" w:rsidRDefault="00800862">
      <w:pPr>
        <w:ind w:left="567" w:hanging="567"/>
      </w:pPr>
      <w:r>
        <w:lastRenderedPageBreak/>
        <w:t>8.</w:t>
      </w:r>
      <w:r>
        <w:tab/>
        <w:t>Всеки флакон е само за еднократно приложение и неизползваният лекарствен продукт трябва да се изхвърли в съответствие с местните изисквания.</w:t>
      </w:r>
    </w:p>
    <w:p w14:paraId="109ACC88" w14:textId="77777777" w:rsidR="009B3384" w:rsidRDefault="009B3384">
      <w:pPr>
        <w:tabs>
          <w:tab w:val="clear" w:pos="567"/>
        </w:tabs>
      </w:pPr>
    </w:p>
    <w:p w14:paraId="109ACC89" w14:textId="77777777" w:rsidR="009B3384" w:rsidRDefault="009B3384">
      <w:pPr>
        <w:tabs>
          <w:tab w:val="clear" w:pos="567"/>
        </w:tabs>
      </w:pPr>
    </w:p>
    <w:p w14:paraId="109ACC8A" w14:textId="77777777" w:rsidR="009B3384" w:rsidRDefault="00800862">
      <w:pPr>
        <w:keepNext/>
        <w:ind w:left="567" w:hanging="567"/>
        <w:outlineLvl w:val="1"/>
        <w:rPr>
          <w:b/>
          <w:bCs/>
        </w:rPr>
      </w:pPr>
      <w:r>
        <w:rPr>
          <w:b/>
          <w:bCs/>
        </w:rPr>
        <w:t>7.</w:t>
      </w:r>
      <w:r>
        <w:rPr>
          <w:b/>
          <w:bCs/>
        </w:rPr>
        <w:tab/>
        <w:t>ПРИТЕЖАТЕЛ НА РАЗРЕШЕНИЕТО ЗА УПОТРЕБА</w:t>
      </w:r>
    </w:p>
    <w:p w14:paraId="109ACC8B" w14:textId="77777777" w:rsidR="009B3384" w:rsidRDefault="009B3384">
      <w:pPr>
        <w:keepNext/>
      </w:pPr>
    </w:p>
    <w:p w14:paraId="109ACC8C" w14:textId="77777777" w:rsidR="009B3384" w:rsidRDefault="00800862">
      <w:pPr>
        <w:rPr>
          <w:szCs w:val="13"/>
        </w:rPr>
      </w:pPr>
      <w:r>
        <w:rPr>
          <w:szCs w:val="13"/>
        </w:rPr>
        <w:t>Janssen-Cilag International NV</w:t>
      </w:r>
    </w:p>
    <w:p w14:paraId="109ACC8D" w14:textId="77777777" w:rsidR="009B3384" w:rsidRDefault="00800862">
      <w:pPr>
        <w:rPr>
          <w:szCs w:val="13"/>
        </w:rPr>
      </w:pPr>
      <w:proofErr w:type="spellStart"/>
      <w:r>
        <w:rPr>
          <w:szCs w:val="13"/>
          <w:lang w:val="en-GB"/>
        </w:rPr>
        <w:t>Turnhoutseweg</w:t>
      </w:r>
      <w:proofErr w:type="spellEnd"/>
      <w:r>
        <w:rPr>
          <w:szCs w:val="13"/>
        </w:rPr>
        <w:t xml:space="preserve"> 30</w:t>
      </w:r>
    </w:p>
    <w:p w14:paraId="109ACC8E" w14:textId="77777777" w:rsidR="009B3384" w:rsidRDefault="00800862">
      <w:pPr>
        <w:rPr>
          <w:szCs w:val="13"/>
        </w:rPr>
      </w:pPr>
      <w:r>
        <w:rPr>
          <w:szCs w:val="13"/>
          <w:lang w:val="en-US"/>
        </w:rPr>
        <w:t>B</w:t>
      </w:r>
      <w:r>
        <w:rPr>
          <w:szCs w:val="13"/>
        </w:rPr>
        <w:t xml:space="preserve">-2340 </w:t>
      </w:r>
      <w:r>
        <w:rPr>
          <w:szCs w:val="13"/>
          <w:lang w:val="en-GB"/>
        </w:rPr>
        <w:t>Beerse</w:t>
      </w:r>
    </w:p>
    <w:p w14:paraId="109ACC8F" w14:textId="77777777" w:rsidR="009B3384" w:rsidRDefault="00800862">
      <w:r>
        <w:rPr>
          <w:szCs w:val="13"/>
        </w:rPr>
        <w:t>Белгия</w:t>
      </w:r>
    </w:p>
    <w:p w14:paraId="109ACC90" w14:textId="77777777" w:rsidR="009B3384" w:rsidRDefault="009B3384"/>
    <w:p w14:paraId="109ACC91" w14:textId="77777777" w:rsidR="009B3384" w:rsidRDefault="009B3384"/>
    <w:p w14:paraId="109ACC92" w14:textId="77777777" w:rsidR="009B3384" w:rsidRDefault="00800862">
      <w:pPr>
        <w:keepNext/>
        <w:ind w:left="567" w:hanging="567"/>
        <w:outlineLvl w:val="1"/>
        <w:rPr>
          <w:b/>
        </w:rPr>
      </w:pPr>
      <w:r>
        <w:rPr>
          <w:b/>
        </w:rPr>
        <w:t>8.</w:t>
      </w:r>
      <w:r>
        <w:rPr>
          <w:b/>
        </w:rPr>
        <w:tab/>
        <w:t>НОМЕР(А) НА РАЗРЕШЕНИЕТО ЗА УПОТРЕБА</w:t>
      </w:r>
    </w:p>
    <w:p w14:paraId="109ACC93" w14:textId="77777777" w:rsidR="009B3384" w:rsidRDefault="009B3384">
      <w:pPr>
        <w:keepNext/>
      </w:pPr>
    </w:p>
    <w:p w14:paraId="109ACC94" w14:textId="77777777" w:rsidR="009B3384" w:rsidRDefault="00800862">
      <w:r>
        <w:t>EU/1/08/494/</w:t>
      </w:r>
      <w:r>
        <w:rPr>
          <w:szCs w:val="21"/>
        </w:rPr>
        <w:t>005</w:t>
      </w:r>
    </w:p>
    <w:p w14:paraId="109ACC95" w14:textId="77777777" w:rsidR="009B3384" w:rsidRDefault="009B3384"/>
    <w:p w14:paraId="109ACC96" w14:textId="77777777" w:rsidR="009B3384" w:rsidRDefault="009B3384"/>
    <w:p w14:paraId="109ACC97" w14:textId="77777777" w:rsidR="009B3384" w:rsidRDefault="00800862">
      <w:pPr>
        <w:keepNext/>
        <w:ind w:left="567" w:hanging="567"/>
        <w:outlineLvl w:val="1"/>
        <w:rPr>
          <w:b/>
        </w:rPr>
      </w:pPr>
      <w:r>
        <w:rPr>
          <w:b/>
        </w:rPr>
        <w:t>9.</w:t>
      </w:r>
      <w:r>
        <w:rPr>
          <w:b/>
        </w:rPr>
        <w:tab/>
        <w:t>ДАТА НА ПЪРВО РАЗРЕШАВАНЕ/ПОДНОВЯВАНЕ НА РАЗРЕШЕНИЕТО ЗА УПОТРЕБА</w:t>
      </w:r>
    </w:p>
    <w:p w14:paraId="109ACC98" w14:textId="77777777" w:rsidR="009B3384" w:rsidRDefault="009B3384">
      <w:pPr>
        <w:keepNext/>
        <w:rPr>
          <w:bCs/>
        </w:rPr>
      </w:pPr>
    </w:p>
    <w:p w14:paraId="109ACC99" w14:textId="77777777" w:rsidR="009B3384" w:rsidRDefault="00800862">
      <w:r>
        <w:t>Дата на първо разрешаване: 16 януари 2009 г.</w:t>
      </w:r>
    </w:p>
    <w:p w14:paraId="109ACC9A" w14:textId="77777777" w:rsidR="009B3384" w:rsidRDefault="00800862">
      <w:pPr>
        <w:rPr>
          <w:iCs/>
        </w:rPr>
      </w:pPr>
      <w:r>
        <w:rPr>
          <w:iCs/>
        </w:rPr>
        <w:t>Дата на последно подновяване: 19 септември 2013 г.</w:t>
      </w:r>
    </w:p>
    <w:p w14:paraId="109ACC9B" w14:textId="77777777" w:rsidR="009B3384" w:rsidRDefault="009B3384">
      <w:pPr>
        <w:rPr>
          <w:iCs/>
        </w:rPr>
      </w:pPr>
    </w:p>
    <w:p w14:paraId="109ACC9C" w14:textId="77777777" w:rsidR="009B3384" w:rsidRDefault="009B3384"/>
    <w:p w14:paraId="109ACC9D" w14:textId="77777777" w:rsidR="009B3384" w:rsidRDefault="00800862">
      <w:pPr>
        <w:keepNext/>
        <w:ind w:left="567" w:hanging="567"/>
        <w:outlineLvl w:val="1"/>
        <w:rPr>
          <w:b/>
        </w:rPr>
      </w:pPr>
      <w:r>
        <w:rPr>
          <w:b/>
        </w:rPr>
        <w:t>10.</w:t>
      </w:r>
      <w:r>
        <w:rPr>
          <w:b/>
        </w:rPr>
        <w:tab/>
        <w:t>ДАТА НА АКТУАЛИЗИРАНЕ НА ТЕКСТА</w:t>
      </w:r>
    </w:p>
    <w:p w14:paraId="109ACC9E" w14:textId="77777777" w:rsidR="009B3384" w:rsidRDefault="009B3384">
      <w:pPr>
        <w:keepNext/>
      </w:pPr>
    </w:p>
    <w:p w14:paraId="109ACC9F" w14:textId="77777777" w:rsidR="009B3384" w:rsidRDefault="009B3384"/>
    <w:p w14:paraId="109ACCA0" w14:textId="77777777" w:rsidR="009B3384" w:rsidRDefault="009B3384"/>
    <w:p w14:paraId="109ACCA1" w14:textId="77777777" w:rsidR="009B3384" w:rsidRDefault="009B3384"/>
    <w:p w14:paraId="109ACCA2" w14:textId="77777777" w:rsidR="009B3384" w:rsidRDefault="00800862">
      <w: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r>
        <w:br w:type="page"/>
      </w:r>
      <w:bookmarkStart w:id="883" w:name="_Hlk135640482"/>
    </w:p>
    <w:p w14:paraId="109ACCA3" w14:textId="77777777" w:rsidR="009B3384" w:rsidRDefault="00800862">
      <w:pPr>
        <w:keepNext/>
        <w:ind w:left="567" w:hanging="567"/>
        <w:outlineLvl w:val="1"/>
        <w:rPr>
          <w:b/>
          <w:bCs/>
        </w:rPr>
      </w:pPr>
      <w:r>
        <w:rPr>
          <w:b/>
          <w:bCs/>
        </w:rPr>
        <w:lastRenderedPageBreak/>
        <w:t>1.</w:t>
      </w:r>
      <w:r>
        <w:rPr>
          <w:b/>
          <w:bCs/>
        </w:rPr>
        <w:tab/>
        <w:t>ИМЕ НА ЛЕКАРСТВЕНИЯ ПРОДУКТ</w:t>
      </w:r>
    </w:p>
    <w:p w14:paraId="109ACCA4" w14:textId="77777777" w:rsidR="009B3384" w:rsidRDefault="009B3384">
      <w:pPr>
        <w:keepNext/>
        <w:tabs>
          <w:tab w:val="clear" w:pos="567"/>
        </w:tabs>
      </w:pPr>
    </w:p>
    <w:p w14:paraId="109ACCA5" w14:textId="77777777" w:rsidR="009B3384" w:rsidRDefault="00800862">
      <w:pPr>
        <w:widowControl w:val="0"/>
        <w:tabs>
          <w:tab w:val="clear" w:pos="567"/>
        </w:tabs>
        <w:rPr>
          <w:szCs w:val="22"/>
        </w:rPr>
      </w:pPr>
      <w:r>
        <w:rPr>
          <w:szCs w:val="22"/>
          <w:lang w:val="en-GB"/>
        </w:rPr>
        <w:t>STELARA</w:t>
      </w:r>
      <w:r>
        <w:rPr>
          <w:szCs w:val="22"/>
        </w:rPr>
        <w:t xml:space="preserve"> 45</w:t>
      </w:r>
      <w:r>
        <w:rPr>
          <w:szCs w:val="22"/>
          <w:lang w:val="en-GB"/>
        </w:rPr>
        <w:t> mg</w:t>
      </w:r>
      <w:r>
        <w:rPr>
          <w:szCs w:val="22"/>
        </w:rPr>
        <w:t xml:space="preserve"> инжекционен разтвор</w:t>
      </w:r>
    </w:p>
    <w:p w14:paraId="109ACCA6" w14:textId="77777777" w:rsidR="009B3384" w:rsidRDefault="00800862">
      <w:pPr>
        <w:widowControl w:val="0"/>
        <w:tabs>
          <w:tab w:val="clear" w:pos="567"/>
        </w:tabs>
      </w:pPr>
      <w:r>
        <w:rPr>
          <w:lang w:val="en-GB"/>
        </w:rPr>
        <w:t>STELARA</w:t>
      </w:r>
      <w:r>
        <w:t xml:space="preserve"> 45</w:t>
      </w:r>
      <w:r>
        <w:rPr>
          <w:lang w:val="en-GB"/>
        </w:rPr>
        <w:t> mg</w:t>
      </w:r>
      <w:r>
        <w:t xml:space="preserve"> инжекционен разтвор в предварително напълнена спринцовка</w:t>
      </w:r>
    </w:p>
    <w:p w14:paraId="109ACCA7" w14:textId="77777777" w:rsidR="009B3384" w:rsidRDefault="00800862">
      <w:pPr>
        <w:widowControl w:val="0"/>
        <w:tabs>
          <w:tab w:val="clear" w:pos="567"/>
        </w:tabs>
      </w:pPr>
      <w:r>
        <w:rPr>
          <w:lang w:val="en-GB"/>
        </w:rPr>
        <w:t>STELARA</w:t>
      </w:r>
      <w:r>
        <w:t xml:space="preserve"> 90</w:t>
      </w:r>
      <w:r>
        <w:rPr>
          <w:lang w:val="en-GB"/>
        </w:rPr>
        <w:t> mg</w:t>
      </w:r>
      <w:r>
        <w:t xml:space="preserve"> инжекционен разтвор в предварително напълнена спринцовка</w:t>
      </w:r>
    </w:p>
    <w:p w14:paraId="109ACCA8" w14:textId="77777777" w:rsidR="009B3384" w:rsidRDefault="009B3384">
      <w:pPr>
        <w:widowControl w:val="0"/>
        <w:tabs>
          <w:tab w:val="clear" w:pos="567"/>
        </w:tabs>
      </w:pPr>
    </w:p>
    <w:p w14:paraId="109ACCA9" w14:textId="77777777" w:rsidR="009B3384" w:rsidRDefault="009B3384">
      <w:pPr>
        <w:widowControl w:val="0"/>
        <w:tabs>
          <w:tab w:val="clear" w:pos="567"/>
        </w:tabs>
      </w:pPr>
    </w:p>
    <w:p w14:paraId="109ACCAA" w14:textId="77777777" w:rsidR="009B3384" w:rsidRDefault="00800862">
      <w:pPr>
        <w:keepNext/>
        <w:ind w:left="567" w:hanging="567"/>
        <w:outlineLvl w:val="1"/>
        <w:rPr>
          <w:b/>
          <w:bCs/>
        </w:rPr>
      </w:pPr>
      <w:r>
        <w:rPr>
          <w:b/>
          <w:bCs/>
        </w:rPr>
        <w:t>2.</w:t>
      </w:r>
      <w:r>
        <w:rPr>
          <w:b/>
          <w:bCs/>
        </w:rPr>
        <w:tab/>
        <w:t>КАЧЕСТВЕН И КОЛИЧЕСТВЕН СЪСТАВ</w:t>
      </w:r>
    </w:p>
    <w:p w14:paraId="109ACCAB" w14:textId="77777777" w:rsidR="009B3384" w:rsidRDefault="009B3384">
      <w:pPr>
        <w:keepNext/>
        <w:widowControl w:val="0"/>
        <w:tabs>
          <w:tab w:val="clear" w:pos="567"/>
        </w:tabs>
      </w:pPr>
    </w:p>
    <w:p w14:paraId="109ACCAC" w14:textId="77777777" w:rsidR="009B3384" w:rsidRDefault="00800862">
      <w:pPr>
        <w:keepNext/>
        <w:widowControl w:val="0"/>
        <w:rPr>
          <w:u w:val="single"/>
        </w:rPr>
      </w:pPr>
      <w:r>
        <w:rPr>
          <w:szCs w:val="22"/>
          <w:u w:val="single"/>
        </w:rPr>
        <w:t>STELARA 45 mg инжекционен разтвор</w:t>
      </w:r>
    </w:p>
    <w:p w14:paraId="109ACCAD" w14:textId="77777777" w:rsidR="009B3384" w:rsidRDefault="00800862">
      <w:pPr>
        <w:keepNext/>
        <w:widowControl w:val="0"/>
        <w:tabs>
          <w:tab w:val="clear" w:pos="567"/>
        </w:tabs>
      </w:pPr>
      <w:r>
        <w:t>Всеки флакон съдържа 45 mg устекинумаб (ustekinumab) в 0,5 ml.</w:t>
      </w:r>
    </w:p>
    <w:p w14:paraId="109ACCAE" w14:textId="77777777" w:rsidR="009B3384" w:rsidRDefault="009B3384">
      <w:pPr>
        <w:tabs>
          <w:tab w:val="clear" w:pos="567"/>
        </w:tabs>
      </w:pPr>
    </w:p>
    <w:p w14:paraId="109ACCAF" w14:textId="77777777" w:rsidR="009B3384" w:rsidRDefault="00800862">
      <w:pPr>
        <w:keepNext/>
        <w:tabs>
          <w:tab w:val="clear" w:pos="567"/>
        </w:tabs>
        <w:rPr>
          <w:u w:val="single"/>
        </w:rPr>
      </w:pPr>
      <w:r>
        <w:rPr>
          <w:u w:val="single"/>
          <w:lang w:val="en-GB"/>
        </w:rPr>
        <w:t>STELARA</w:t>
      </w:r>
      <w:r>
        <w:rPr>
          <w:u w:val="single"/>
        </w:rPr>
        <w:t xml:space="preserve"> 45</w:t>
      </w:r>
      <w:r>
        <w:rPr>
          <w:u w:val="single"/>
          <w:lang w:val="en-GB"/>
        </w:rPr>
        <w:t> mg</w:t>
      </w:r>
      <w:r>
        <w:rPr>
          <w:u w:val="single"/>
        </w:rPr>
        <w:t xml:space="preserve"> инжекционен разтвор в предварително напълнена спринцовка</w:t>
      </w:r>
    </w:p>
    <w:p w14:paraId="109ACCB0" w14:textId="77777777" w:rsidR="009B3384" w:rsidRDefault="00800862">
      <w:pPr>
        <w:tabs>
          <w:tab w:val="clear" w:pos="567"/>
        </w:tabs>
      </w:pPr>
      <w:r>
        <w:t>Всяка предварително напълнена спринцовка съдържа 45</w:t>
      </w:r>
      <w:r>
        <w:rPr>
          <w:lang w:val="en-GB"/>
        </w:rPr>
        <w:t> mg</w:t>
      </w:r>
      <w:r>
        <w:t xml:space="preserve"> устекинумаб в 0,5</w:t>
      </w:r>
      <w:r>
        <w:rPr>
          <w:lang w:val="en-GB"/>
        </w:rPr>
        <w:t> ml</w:t>
      </w:r>
      <w:r>
        <w:t>.</w:t>
      </w:r>
    </w:p>
    <w:p w14:paraId="109ACCB1" w14:textId="77777777" w:rsidR="009B3384" w:rsidRDefault="009B3384">
      <w:pPr>
        <w:tabs>
          <w:tab w:val="clear" w:pos="567"/>
        </w:tabs>
      </w:pPr>
    </w:p>
    <w:p w14:paraId="109ACCB2" w14:textId="77777777" w:rsidR="009B3384" w:rsidRDefault="00800862">
      <w:pPr>
        <w:keepNext/>
        <w:tabs>
          <w:tab w:val="clear" w:pos="567"/>
        </w:tabs>
        <w:rPr>
          <w:u w:val="single"/>
        </w:rPr>
      </w:pPr>
      <w:r>
        <w:rPr>
          <w:u w:val="single"/>
          <w:lang w:val="en-GB"/>
        </w:rPr>
        <w:t>STELARA</w:t>
      </w:r>
      <w:r>
        <w:rPr>
          <w:u w:val="single"/>
        </w:rPr>
        <w:t xml:space="preserve"> 90</w:t>
      </w:r>
      <w:r>
        <w:rPr>
          <w:u w:val="single"/>
          <w:lang w:val="en-GB"/>
        </w:rPr>
        <w:t> mg</w:t>
      </w:r>
      <w:r>
        <w:rPr>
          <w:u w:val="single"/>
        </w:rPr>
        <w:t xml:space="preserve"> инжекционен разтвор в предварително напълнена спринцовка</w:t>
      </w:r>
    </w:p>
    <w:p w14:paraId="109ACCB3" w14:textId="77777777" w:rsidR="009B3384" w:rsidRDefault="00800862">
      <w:pPr>
        <w:tabs>
          <w:tab w:val="clear" w:pos="567"/>
        </w:tabs>
      </w:pPr>
      <w:r>
        <w:t>Всяка предварително напълнена спринцовка съдържа 90</w:t>
      </w:r>
      <w:r>
        <w:rPr>
          <w:lang w:val="en-GB"/>
        </w:rPr>
        <w:t> mg</w:t>
      </w:r>
      <w:r>
        <w:t xml:space="preserve"> устекинумаб в 1</w:t>
      </w:r>
      <w:r>
        <w:rPr>
          <w:lang w:val="en-GB"/>
        </w:rPr>
        <w:t> ml</w:t>
      </w:r>
      <w:r>
        <w:t>.</w:t>
      </w:r>
    </w:p>
    <w:p w14:paraId="109ACCB4" w14:textId="77777777" w:rsidR="009B3384" w:rsidRDefault="009B3384">
      <w:pPr>
        <w:tabs>
          <w:tab w:val="clear" w:pos="567"/>
        </w:tabs>
      </w:pPr>
    </w:p>
    <w:p w14:paraId="109ACCB5" w14:textId="2281FE24" w:rsidR="009B3384" w:rsidRDefault="00800862">
      <w:pPr>
        <w:tabs>
          <w:tab w:val="clear" w:pos="567"/>
        </w:tabs>
      </w:pPr>
      <w:r>
        <w:t>Устекинумаб е изцяло човешко IgG1κ моноклонално антитяло, произведено в миеломна клетъчна линия на мишки с помощта на рекомбинантна ДНК технология.</w:t>
      </w:r>
    </w:p>
    <w:p w14:paraId="109ACCB6" w14:textId="77777777" w:rsidR="009B3384" w:rsidRDefault="009B3384">
      <w:pPr>
        <w:widowControl w:val="0"/>
      </w:pPr>
    </w:p>
    <w:p w14:paraId="109ACCB7" w14:textId="77777777" w:rsidR="009B3384" w:rsidRDefault="00800862">
      <w:pPr>
        <w:widowControl w:val="0"/>
      </w:pPr>
      <w:r>
        <w:t>За пълния списък на помощните вещества вижте точка 6.1.</w:t>
      </w:r>
    </w:p>
    <w:p w14:paraId="109ACCB8" w14:textId="77777777" w:rsidR="009B3384" w:rsidRDefault="009B3384">
      <w:pPr>
        <w:tabs>
          <w:tab w:val="clear" w:pos="567"/>
        </w:tabs>
      </w:pPr>
    </w:p>
    <w:p w14:paraId="109ACCB9" w14:textId="77777777" w:rsidR="009B3384" w:rsidRDefault="009B3384">
      <w:pPr>
        <w:tabs>
          <w:tab w:val="clear" w:pos="567"/>
        </w:tabs>
      </w:pPr>
    </w:p>
    <w:p w14:paraId="109ACCBA" w14:textId="77777777" w:rsidR="009B3384" w:rsidRDefault="00800862">
      <w:pPr>
        <w:keepNext/>
        <w:ind w:left="567" w:hanging="567"/>
        <w:outlineLvl w:val="1"/>
        <w:rPr>
          <w:b/>
          <w:bCs/>
        </w:rPr>
      </w:pPr>
      <w:r>
        <w:rPr>
          <w:b/>
          <w:bCs/>
        </w:rPr>
        <w:t>3.</w:t>
      </w:r>
      <w:r>
        <w:rPr>
          <w:b/>
          <w:bCs/>
        </w:rPr>
        <w:tab/>
        <w:t>ЛЕКАРСТВЕНА ФОРМА</w:t>
      </w:r>
    </w:p>
    <w:p w14:paraId="109ACCBB" w14:textId="77777777" w:rsidR="009B3384" w:rsidRDefault="009B3384">
      <w:pPr>
        <w:keepNext/>
      </w:pPr>
    </w:p>
    <w:p w14:paraId="109ACCBD" w14:textId="77777777" w:rsidR="009B3384" w:rsidRDefault="00800862">
      <w:pPr>
        <w:rPr>
          <w:szCs w:val="22"/>
        </w:rPr>
      </w:pPr>
      <w:r>
        <w:rPr>
          <w:szCs w:val="22"/>
        </w:rPr>
        <w:t>Инжекционен разтвор (инжекция)</w:t>
      </w:r>
    </w:p>
    <w:p w14:paraId="109ACCC4" w14:textId="77777777" w:rsidR="009B3384" w:rsidRDefault="009B3384">
      <w:pPr>
        <w:rPr>
          <w:szCs w:val="22"/>
        </w:rPr>
      </w:pPr>
    </w:p>
    <w:p w14:paraId="109ACCC5" w14:textId="6A513F52" w:rsidR="009B3384" w:rsidRDefault="00800862">
      <w:pPr>
        <w:rPr>
          <w:szCs w:val="22"/>
        </w:rPr>
      </w:pPr>
      <w:r>
        <w:rPr>
          <w:szCs w:val="22"/>
        </w:rPr>
        <w:t>Разтворът е бистър до леко опалесцентен, безцветен до бледожълт</w:t>
      </w:r>
      <w:r>
        <w:t xml:space="preserve">, с целево pH 6,0 и приблизителен осмолалитет </w:t>
      </w:r>
      <w:r w:rsidRPr="00BC6A43">
        <w:t>314</w:t>
      </w:r>
      <w:r>
        <w:t> mOsm/kg</w:t>
      </w:r>
      <w:r>
        <w:rPr>
          <w:szCs w:val="22"/>
        </w:rPr>
        <w:t>.</w:t>
      </w:r>
    </w:p>
    <w:p w14:paraId="109ACCC6" w14:textId="77777777" w:rsidR="009B3384" w:rsidRDefault="009B3384"/>
    <w:p w14:paraId="109ACCC7" w14:textId="77777777" w:rsidR="009B3384" w:rsidRDefault="009B3384">
      <w:pPr>
        <w:tabs>
          <w:tab w:val="clear" w:pos="567"/>
        </w:tabs>
      </w:pPr>
    </w:p>
    <w:p w14:paraId="109ACCC8" w14:textId="77777777" w:rsidR="009B3384" w:rsidRDefault="00800862">
      <w:pPr>
        <w:keepNext/>
        <w:ind w:left="567" w:hanging="567"/>
        <w:outlineLvl w:val="1"/>
        <w:rPr>
          <w:b/>
          <w:bCs/>
        </w:rPr>
      </w:pPr>
      <w:r>
        <w:rPr>
          <w:b/>
          <w:bCs/>
        </w:rPr>
        <w:t>4.</w:t>
      </w:r>
      <w:r>
        <w:rPr>
          <w:b/>
          <w:bCs/>
        </w:rPr>
        <w:tab/>
        <w:t>КЛИНИЧНИ ДАННИ</w:t>
      </w:r>
    </w:p>
    <w:p w14:paraId="109ACCC9" w14:textId="77777777" w:rsidR="009B3384" w:rsidRDefault="009B3384">
      <w:pPr>
        <w:keepNext/>
        <w:tabs>
          <w:tab w:val="clear" w:pos="567"/>
        </w:tabs>
      </w:pPr>
    </w:p>
    <w:p w14:paraId="109ACCCA" w14:textId="77777777" w:rsidR="009B3384" w:rsidRDefault="00800862">
      <w:pPr>
        <w:keepNext/>
        <w:ind w:left="567" w:hanging="567"/>
        <w:outlineLvl w:val="2"/>
        <w:rPr>
          <w:b/>
          <w:bCs/>
        </w:rPr>
      </w:pPr>
      <w:r>
        <w:rPr>
          <w:b/>
          <w:bCs/>
        </w:rPr>
        <w:t>4.1</w:t>
      </w:r>
      <w:r>
        <w:rPr>
          <w:b/>
          <w:bCs/>
        </w:rPr>
        <w:tab/>
        <w:t>Терапевтични показания</w:t>
      </w:r>
    </w:p>
    <w:p w14:paraId="109ACCCB" w14:textId="77777777" w:rsidR="009B3384" w:rsidRDefault="009B3384">
      <w:pPr>
        <w:keepNext/>
        <w:tabs>
          <w:tab w:val="clear" w:pos="567"/>
        </w:tabs>
      </w:pPr>
    </w:p>
    <w:p w14:paraId="109ACCCC" w14:textId="77777777" w:rsidR="009B3384" w:rsidRDefault="00800862">
      <w:pPr>
        <w:keepNext/>
        <w:tabs>
          <w:tab w:val="clear" w:pos="567"/>
        </w:tabs>
        <w:rPr>
          <w:u w:val="single"/>
        </w:rPr>
      </w:pPr>
      <w:r>
        <w:rPr>
          <w:u w:val="single"/>
        </w:rPr>
        <w:t>Плаков псориазис</w:t>
      </w:r>
    </w:p>
    <w:p w14:paraId="109ACCCD" w14:textId="77777777" w:rsidR="009B3384" w:rsidRDefault="009B3384">
      <w:pPr>
        <w:keepNext/>
        <w:tabs>
          <w:tab w:val="clear" w:pos="567"/>
        </w:tabs>
      </w:pPr>
    </w:p>
    <w:p w14:paraId="109ACCCE" w14:textId="77777777" w:rsidR="009B3384" w:rsidRDefault="00800862">
      <w:pPr>
        <w:tabs>
          <w:tab w:val="clear" w:pos="567"/>
        </w:tabs>
      </w:pPr>
      <w:r>
        <w:t>STELARA е показан за лечение на умерен до тежък плаков псориазис при възрастни, които не са се повлияли, имат противопоказания или непоносимост към други системни терапии, включващи циклоспорин, метотрексат (МТХ) или ПУВА (псорален и ултравиолетови А лъчи) терапия (вж. точка 5.1).</w:t>
      </w:r>
    </w:p>
    <w:p w14:paraId="109ACCCF" w14:textId="77777777" w:rsidR="009B3384" w:rsidRDefault="009B3384">
      <w:pPr>
        <w:tabs>
          <w:tab w:val="clear" w:pos="567"/>
        </w:tabs>
      </w:pPr>
    </w:p>
    <w:p w14:paraId="109ACCD0" w14:textId="77777777" w:rsidR="009B3384" w:rsidRDefault="00800862">
      <w:pPr>
        <w:keepNext/>
        <w:tabs>
          <w:tab w:val="clear" w:pos="567"/>
        </w:tabs>
        <w:rPr>
          <w:u w:val="single"/>
        </w:rPr>
      </w:pPr>
      <w:r>
        <w:rPr>
          <w:u w:val="single"/>
        </w:rPr>
        <w:t>Плаков псориазис при педиатрични пациенти</w:t>
      </w:r>
    </w:p>
    <w:p w14:paraId="109ACCD1" w14:textId="77777777" w:rsidR="009B3384" w:rsidRDefault="009B3384">
      <w:pPr>
        <w:keepNext/>
      </w:pPr>
    </w:p>
    <w:p w14:paraId="109ACCD2" w14:textId="77777777" w:rsidR="009B3384" w:rsidRDefault="00800862">
      <w:r>
        <w:t>STELARA е показан за лечение на умерен до тежък плаков псориазис при деца и пациенти в юношеска възраст на 6 години и по-големи, при които има недостатъчен контрол или непоносимост към други системни терапии или фототерапии (вж. точка 5.1).</w:t>
      </w:r>
    </w:p>
    <w:p w14:paraId="109ACCD3" w14:textId="77777777" w:rsidR="009B3384" w:rsidRDefault="009B3384"/>
    <w:p w14:paraId="109ACCD4" w14:textId="77777777" w:rsidR="009B3384" w:rsidRDefault="00800862">
      <w:pPr>
        <w:keepNext/>
        <w:rPr>
          <w:u w:val="single"/>
        </w:rPr>
      </w:pPr>
      <w:r>
        <w:rPr>
          <w:u w:val="single"/>
        </w:rPr>
        <w:t>Псориатичен артрит (P</w:t>
      </w:r>
      <w:r>
        <w:rPr>
          <w:u w:val="single"/>
          <w:lang w:val="en-US"/>
        </w:rPr>
        <w:t>s</w:t>
      </w:r>
      <w:r>
        <w:rPr>
          <w:u w:val="single"/>
        </w:rPr>
        <w:t>A)</w:t>
      </w:r>
    </w:p>
    <w:p w14:paraId="109ACCD5" w14:textId="77777777" w:rsidR="009B3384" w:rsidRDefault="009B3384">
      <w:pPr>
        <w:keepNext/>
      </w:pPr>
    </w:p>
    <w:p w14:paraId="109ACCD6" w14:textId="77777777" w:rsidR="009B3384" w:rsidRDefault="00800862">
      <w:r>
        <w:t xml:space="preserve">STELARA, самостоятелно или в комбинация с MTX, е показан за лечение на активен псориатичен артрит при възрастни пациенти, при които отговорът към предшестващо лечение с небиологични </w:t>
      </w:r>
      <w:r>
        <w:rPr>
          <w:iCs/>
        </w:rPr>
        <w:t xml:space="preserve">модифициращи болестта антиревматоидни лекарства </w:t>
      </w:r>
      <w:r>
        <w:t>(DMARD) е бил недостатъчен (вж. точка 5.1).</w:t>
      </w:r>
    </w:p>
    <w:p w14:paraId="109ACCD7" w14:textId="77777777" w:rsidR="009B3384" w:rsidRDefault="009B3384"/>
    <w:p w14:paraId="109ACCD8" w14:textId="77777777" w:rsidR="009B3384" w:rsidRDefault="00800862">
      <w:pPr>
        <w:keepNext/>
        <w:keepLines/>
        <w:widowControl w:val="0"/>
        <w:pPrChange w:id="884" w:author="RABG09" w:date="2026-05-14T11:48:00Z">
          <w:pPr>
            <w:keepLines/>
            <w:widowControl w:val="0"/>
          </w:pPr>
        </w:pPrChange>
      </w:pPr>
      <w:r>
        <w:rPr>
          <w:szCs w:val="22"/>
          <w:u w:val="single"/>
        </w:rPr>
        <w:lastRenderedPageBreak/>
        <w:t>Болест на Crohn при възрастни</w:t>
      </w:r>
    </w:p>
    <w:p w14:paraId="109ACCD9" w14:textId="77777777" w:rsidR="009B3384" w:rsidRDefault="009B3384" w:rsidP="003E6BDC">
      <w:pPr>
        <w:keepNext/>
      </w:pPr>
    </w:p>
    <w:p w14:paraId="109ACCDA" w14:textId="77777777" w:rsidR="009B3384" w:rsidRDefault="00800862" w:rsidP="00A55D4E">
      <w:r>
        <w:rPr>
          <w:lang w:val="en-GB"/>
        </w:rPr>
        <w:t>STELARA</w:t>
      </w:r>
      <w:r>
        <w:t xml:space="preserve"> е показан за лечение на възрастни пациенти с умерена до тежка активна болест на </w:t>
      </w:r>
      <w:r>
        <w:rPr>
          <w:lang w:val="en-GB"/>
        </w:rPr>
        <w:t>Crohn</w:t>
      </w:r>
      <w:r>
        <w:t xml:space="preserve">, които са се повлияли недостатъчно, вече не се повлияват или имат непоносимост към конвенционалната терапия или към антагонист на </w:t>
      </w:r>
      <w:r>
        <w:rPr>
          <w:lang w:val="en-GB"/>
        </w:rPr>
        <w:t>TNFα</w:t>
      </w:r>
      <w:r>
        <w:t>.</w:t>
      </w:r>
    </w:p>
    <w:p w14:paraId="109ACCDB" w14:textId="77777777" w:rsidR="009B3384" w:rsidRDefault="009B3384"/>
    <w:p w14:paraId="109ACCDC" w14:textId="77777777" w:rsidR="009B3384" w:rsidRDefault="00800862">
      <w:pPr>
        <w:keepNext/>
      </w:pPr>
      <w:r>
        <w:rPr>
          <w:u w:val="single"/>
        </w:rPr>
        <w:t xml:space="preserve">Болест на </w:t>
      </w:r>
      <w:r>
        <w:rPr>
          <w:u w:val="single"/>
          <w:lang w:val="en-GB"/>
        </w:rPr>
        <w:t>Crohn</w:t>
      </w:r>
      <w:r>
        <w:rPr>
          <w:u w:val="single"/>
        </w:rPr>
        <w:t xml:space="preserve"> при деца</w:t>
      </w:r>
    </w:p>
    <w:p w14:paraId="109ACCDD" w14:textId="77777777" w:rsidR="009B3384" w:rsidRDefault="009B3384">
      <w:pPr>
        <w:keepNext/>
        <w:widowControl w:val="0"/>
      </w:pPr>
    </w:p>
    <w:p w14:paraId="109ACCDE" w14:textId="25BA752B" w:rsidR="009B3384" w:rsidRDefault="00800862">
      <w:pPr>
        <w:widowControl w:val="0"/>
      </w:pPr>
      <w:r>
        <w:t xml:space="preserve">STELARA е показан за лечение на умерена до тежка активна болест на </w:t>
      </w:r>
      <w:r>
        <w:rPr>
          <w:lang w:val="en-GB"/>
        </w:rPr>
        <w:t>Crohn</w:t>
      </w:r>
      <w:r>
        <w:t xml:space="preserve"> при педиатрични пациенти на възраст 2 и повече години, които са имали недостатъчен отговор или имат непоносимост към конвенционална или към биологична терапия.</w:t>
      </w:r>
    </w:p>
    <w:p w14:paraId="109ACCDF" w14:textId="77777777" w:rsidR="009B3384" w:rsidRDefault="009B3384"/>
    <w:p w14:paraId="109ACCE0" w14:textId="5DE01CB8" w:rsidR="009B3384" w:rsidRDefault="00800862">
      <w:pPr>
        <w:keepNext/>
        <w:rPr>
          <w:u w:val="single"/>
        </w:rPr>
      </w:pPr>
      <w:r>
        <w:rPr>
          <w:u w:val="single"/>
        </w:rPr>
        <w:t>Улцерозен колит</w:t>
      </w:r>
      <w:ins w:id="885" w:author="Reviser" w:date="2026-04-29T19:00:00Z">
        <w:r w:rsidR="008B1951">
          <w:rPr>
            <w:u w:val="single"/>
          </w:rPr>
          <w:t xml:space="preserve"> при възрастни</w:t>
        </w:r>
      </w:ins>
    </w:p>
    <w:p w14:paraId="109ACCE1" w14:textId="77777777" w:rsidR="009B3384" w:rsidRPr="00BB130F" w:rsidRDefault="009B3384">
      <w:pPr>
        <w:keepNext/>
        <w:widowControl w:val="0"/>
      </w:pPr>
    </w:p>
    <w:p w14:paraId="109ACCE2" w14:textId="77777777" w:rsidR="009B3384" w:rsidRDefault="00800862">
      <w:pPr>
        <w:widowControl w:val="0"/>
      </w:pPr>
      <w:r>
        <w:t>STELARA е показан за лечение на възрастни пациенти с умерен до тежък активен улцерозен колит, които са се повлияли недостатъчно, вече не се повлияват или имат непоносимост към конвенционалната терапия или към биологичен лекарствен продукт.</w:t>
      </w:r>
    </w:p>
    <w:p w14:paraId="109ACCE3" w14:textId="77777777" w:rsidR="009B3384" w:rsidRPr="00BB130F" w:rsidRDefault="009B3384">
      <w:pPr>
        <w:rPr>
          <w:ins w:id="886" w:author="Reviser" w:date="2026-04-29T19:54:00Z"/>
          <w:rPrChange w:id="887" w:author="EUCP BE1" w:date="2026-05-19T16:38:00Z">
            <w:rPr>
              <w:ins w:id="888" w:author="Reviser" w:date="2026-04-29T19:54:00Z"/>
              <w:lang w:val="en-US"/>
            </w:rPr>
          </w:rPrChange>
        </w:rPr>
      </w:pPr>
    </w:p>
    <w:p w14:paraId="568A6452" w14:textId="77777777" w:rsidR="009423BB" w:rsidRPr="00171077" w:rsidRDefault="009423BB" w:rsidP="009423BB">
      <w:pPr>
        <w:keepNext/>
        <w:rPr>
          <w:ins w:id="889" w:author="Reviser" w:date="2026-04-29T19:54:00Z"/>
          <w:u w:val="single"/>
        </w:rPr>
      </w:pPr>
      <w:ins w:id="890" w:author="Reviser" w:date="2026-04-29T19:54:00Z">
        <w:r>
          <w:rPr>
            <w:u w:val="single"/>
          </w:rPr>
          <w:t>Улцерозен колит</w:t>
        </w:r>
        <w:r w:rsidRPr="00BB130F">
          <w:rPr>
            <w:u w:val="single"/>
            <w:rPrChange w:id="891" w:author="EUCP BE1" w:date="2026-05-19T16:38:00Z">
              <w:rPr>
                <w:u w:val="single"/>
                <w:lang w:val="en-US"/>
              </w:rPr>
            </w:rPrChange>
          </w:rPr>
          <w:t xml:space="preserve"> </w:t>
        </w:r>
        <w:r>
          <w:rPr>
            <w:u w:val="single"/>
          </w:rPr>
          <w:t>при деца</w:t>
        </w:r>
      </w:ins>
    </w:p>
    <w:p w14:paraId="16378831" w14:textId="77777777" w:rsidR="009423BB" w:rsidRDefault="009423BB">
      <w:pPr>
        <w:keepNext/>
        <w:widowControl w:val="0"/>
        <w:rPr>
          <w:ins w:id="892" w:author="Reviser" w:date="2026-04-29T19:54:00Z"/>
        </w:rPr>
        <w:pPrChange w:id="893" w:author="EUCP BE1" w:date="2026-05-19T16:53:00Z">
          <w:pPr>
            <w:widowControl w:val="0"/>
          </w:pPr>
        </w:pPrChange>
      </w:pPr>
    </w:p>
    <w:p w14:paraId="6B707094" w14:textId="2804EF0B" w:rsidR="009423BB" w:rsidRDefault="009423BB" w:rsidP="009423BB">
      <w:pPr>
        <w:widowControl w:val="0"/>
        <w:rPr>
          <w:ins w:id="894" w:author="Reviser" w:date="2026-04-29T19:54:00Z"/>
        </w:rPr>
      </w:pPr>
      <w:ins w:id="895" w:author="Reviser" w:date="2026-04-29T19:54:00Z">
        <w:r>
          <w:t>STELARA е показан за лечение на умерен до тежък активен улцерозен колит</w:t>
        </w:r>
        <w:r w:rsidRPr="00171077">
          <w:t xml:space="preserve"> </w:t>
        </w:r>
        <w:r>
          <w:t xml:space="preserve">при педиатрични пациенти на възраст 2 и повече години, които са </w:t>
        </w:r>
      </w:ins>
      <w:ins w:id="896" w:author="RABG09" w:date="2026-05-14T11:49:00Z">
        <w:r w:rsidR="00AF166D">
          <w:t>имали недостатъчен отговор</w:t>
        </w:r>
      </w:ins>
      <w:ins w:id="897" w:author="Reviser" w:date="2026-04-29T19:54:00Z">
        <w:r>
          <w:t xml:space="preserve"> или имат непоносимост към конвенционалната терапия или към биологичен лекарствен продукт.</w:t>
        </w:r>
      </w:ins>
    </w:p>
    <w:p w14:paraId="22F07F5A" w14:textId="77777777" w:rsidR="009423BB" w:rsidRPr="00BB130F" w:rsidRDefault="009423BB"/>
    <w:p w14:paraId="109ACCE4" w14:textId="77777777" w:rsidR="009B3384" w:rsidRDefault="00800862">
      <w:pPr>
        <w:keepNext/>
        <w:ind w:left="567" w:hanging="567"/>
        <w:outlineLvl w:val="2"/>
        <w:rPr>
          <w:b/>
          <w:bCs/>
        </w:rPr>
      </w:pPr>
      <w:r>
        <w:rPr>
          <w:b/>
          <w:bCs/>
        </w:rPr>
        <w:t>4.2</w:t>
      </w:r>
      <w:r>
        <w:rPr>
          <w:b/>
          <w:bCs/>
        </w:rPr>
        <w:tab/>
        <w:t>Дозировка и начин на приложение</w:t>
      </w:r>
    </w:p>
    <w:p w14:paraId="109ACCE5" w14:textId="77777777" w:rsidR="009B3384" w:rsidRDefault="009B3384">
      <w:pPr>
        <w:keepNext/>
        <w:tabs>
          <w:tab w:val="clear" w:pos="567"/>
        </w:tabs>
        <w:rPr>
          <w:bCs/>
        </w:rPr>
      </w:pPr>
    </w:p>
    <w:p w14:paraId="109ACCE6" w14:textId="77777777" w:rsidR="009B3384" w:rsidRDefault="00800862">
      <w:pPr>
        <w:tabs>
          <w:tab w:val="clear" w:pos="567"/>
        </w:tabs>
        <w:rPr>
          <w:bCs/>
        </w:rPr>
      </w:pPr>
      <w:r>
        <w:rPr>
          <w:bCs/>
        </w:rPr>
        <w:t xml:space="preserve">STELARA е предназначен за употреба под ръководството и надзора на лекар с опит в диагностицирането и лечението на заболявания, за които </w:t>
      </w:r>
      <w:r>
        <w:rPr>
          <w:bCs/>
          <w:lang w:val="en-GB"/>
        </w:rPr>
        <w:t>STELARA</w:t>
      </w:r>
      <w:r>
        <w:rPr>
          <w:bCs/>
        </w:rPr>
        <w:t xml:space="preserve"> е показан.</w:t>
      </w:r>
    </w:p>
    <w:p w14:paraId="109ACCE7" w14:textId="77777777" w:rsidR="009B3384" w:rsidRDefault="009B3384">
      <w:pPr>
        <w:tabs>
          <w:tab w:val="clear" w:pos="567"/>
        </w:tabs>
        <w:rPr>
          <w:bCs/>
        </w:rPr>
      </w:pPr>
    </w:p>
    <w:p w14:paraId="109ACCE8" w14:textId="77777777" w:rsidR="009B3384" w:rsidRDefault="00800862">
      <w:pPr>
        <w:keepNext/>
        <w:tabs>
          <w:tab w:val="clear" w:pos="567"/>
        </w:tabs>
        <w:rPr>
          <w:u w:val="single"/>
        </w:rPr>
      </w:pPr>
      <w:r>
        <w:rPr>
          <w:u w:val="single"/>
        </w:rPr>
        <w:t>Дозировка</w:t>
      </w:r>
    </w:p>
    <w:p w14:paraId="109ACCE9" w14:textId="77777777" w:rsidR="009B3384" w:rsidRDefault="009B3384">
      <w:pPr>
        <w:keepNext/>
        <w:tabs>
          <w:tab w:val="clear" w:pos="567"/>
        </w:tabs>
        <w:rPr>
          <w:bCs/>
        </w:rPr>
      </w:pPr>
    </w:p>
    <w:p w14:paraId="109ACCEA" w14:textId="77777777" w:rsidR="009B3384" w:rsidRPr="00BC6A43" w:rsidRDefault="00800862">
      <w:pPr>
        <w:keepNext/>
        <w:tabs>
          <w:tab w:val="clear" w:pos="567"/>
        </w:tabs>
        <w:rPr>
          <w:i/>
          <w:iCs/>
          <w:u w:val="single"/>
        </w:rPr>
      </w:pPr>
      <w:r w:rsidRPr="00BC6A43">
        <w:rPr>
          <w:i/>
          <w:iCs/>
          <w:u w:val="single"/>
        </w:rPr>
        <w:t>Плаков псориазис</w:t>
      </w:r>
    </w:p>
    <w:p w14:paraId="109ACCEB" w14:textId="77777777" w:rsidR="009B3384" w:rsidRDefault="00800862">
      <w:pPr>
        <w:tabs>
          <w:tab w:val="clear" w:pos="567"/>
        </w:tabs>
        <w:rPr>
          <w:bCs/>
        </w:rPr>
      </w:pPr>
      <w:r>
        <w:rPr>
          <w:bCs/>
        </w:rPr>
        <w:t>Препоръчителната дозировка на STELARA е начална доза 45 mg, приложена подкожно, последвана от доза 45 mg 4 седмици по-късно и след това на всеки 12 седмици.</w:t>
      </w:r>
    </w:p>
    <w:p w14:paraId="109ACCEC" w14:textId="77777777" w:rsidR="009B3384" w:rsidRDefault="009B3384">
      <w:pPr>
        <w:tabs>
          <w:tab w:val="clear" w:pos="567"/>
        </w:tabs>
        <w:rPr>
          <w:bCs/>
        </w:rPr>
      </w:pPr>
    </w:p>
    <w:p w14:paraId="109ACCED" w14:textId="77777777" w:rsidR="009B3384" w:rsidRDefault="00800862">
      <w:pPr>
        <w:tabs>
          <w:tab w:val="clear" w:pos="567"/>
        </w:tabs>
        <w:rPr>
          <w:bCs/>
        </w:rPr>
      </w:pPr>
      <w:r>
        <w:rPr>
          <w:bCs/>
        </w:rPr>
        <w:t>При пациенти, които не са се повлияли от лечението до 28 седмици трябва да се обмисли прекратяване на терапията.</w:t>
      </w:r>
    </w:p>
    <w:p w14:paraId="109ACCEE" w14:textId="77777777" w:rsidR="009B3384" w:rsidRDefault="009B3384">
      <w:pPr>
        <w:tabs>
          <w:tab w:val="clear" w:pos="567"/>
        </w:tabs>
        <w:rPr>
          <w:bCs/>
        </w:rPr>
      </w:pPr>
    </w:p>
    <w:p w14:paraId="109ACCEF" w14:textId="77777777" w:rsidR="009B3384" w:rsidRDefault="00800862">
      <w:pPr>
        <w:keepNext/>
        <w:tabs>
          <w:tab w:val="clear" w:pos="567"/>
        </w:tabs>
        <w:rPr>
          <w:bCs/>
          <w:i/>
          <w:iCs/>
        </w:rPr>
      </w:pPr>
      <w:r>
        <w:rPr>
          <w:bCs/>
          <w:i/>
          <w:iCs/>
        </w:rPr>
        <w:t>Пациенти с телесно тегло &gt;</w:t>
      </w:r>
      <w:r>
        <w:rPr>
          <w:bCs/>
          <w:i/>
          <w:iCs/>
          <w:lang w:val="nl-BE"/>
        </w:rPr>
        <w:t> </w:t>
      </w:r>
      <w:r>
        <w:rPr>
          <w:bCs/>
          <w:i/>
          <w:iCs/>
        </w:rPr>
        <w:t>100 kg</w:t>
      </w:r>
    </w:p>
    <w:p w14:paraId="109ACCF0" w14:textId="596FEC39" w:rsidR="009B3384" w:rsidRDefault="00800862">
      <w:pPr>
        <w:tabs>
          <w:tab w:val="clear" w:pos="567"/>
        </w:tabs>
        <w:rPr>
          <w:bCs/>
        </w:rPr>
      </w:pPr>
      <w:r>
        <w:rPr>
          <w:bCs/>
        </w:rPr>
        <w:t>За пациенти с телесно тегло &gt;</w:t>
      </w:r>
      <w:r>
        <w:rPr>
          <w:bCs/>
          <w:lang w:val="nl-BE"/>
        </w:rPr>
        <w:t> </w:t>
      </w:r>
      <w:r>
        <w:rPr>
          <w:bCs/>
        </w:rPr>
        <w:t>100 kg първоначалната доза е 90 mg, приложена подкожно, последвана от доза 90 mg 4 седмици по-късно и след това на всеки 12 седмици. При тези пациенти дозата от 45 mg също е ефикасна, но по-голяма ефикасност има дозата от 90 mg (вж. точка 5.1, таблица </w:t>
      </w:r>
      <w:ins w:id="898" w:author="RABG09" w:date="2026-06-24T15:53:00Z">
        <w:r w:rsidR="00646706">
          <w:rPr>
            <w:bCs/>
          </w:rPr>
          <w:t>5</w:t>
        </w:r>
      </w:ins>
      <w:del w:id="899" w:author="RABG09" w:date="2026-05-14T11:50:00Z">
        <w:r w:rsidDel="00316087">
          <w:rPr>
            <w:bCs/>
          </w:rPr>
          <w:delText>5</w:delText>
        </w:r>
      </w:del>
      <w:r>
        <w:rPr>
          <w:bCs/>
        </w:rPr>
        <w:t>).</w:t>
      </w:r>
    </w:p>
    <w:p w14:paraId="109ACCF1" w14:textId="77777777" w:rsidR="009B3384" w:rsidRDefault="009B3384"/>
    <w:p w14:paraId="109ACCF2" w14:textId="77777777" w:rsidR="009B3384" w:rsidRPr="00BC6A43" w:rsidRDefault="00800862">
      <w:pPr>
        <w:keepNext/>
        <w:rPr>
          <w:i/>
          <w:iCs/>
          <w:u w:val="single"/>
        </w:rPr>
      </w:pPr>
      <w:r w:rsidRPr="00BC6A43">
        <w:rPr>
          <w:i/>
          <w:iCs/>
          <w:u w:val="single"/>
        </w:rPr>
        <w:t>Псориатичен артрит (P</w:t>
      </w:r>
      <w:r w:rsidRPr="00BC6A43">
        <w:rPr>
          <w:i/>
          <w:iCs/>
          <w:u w:val="single"/>
          <w:lang w:val="en-US"/>
        </w:rPr>
        <w:t>s</w:t>
      </w:r>
      <w:r w:rsidRPr="00BC6A43">
        <w:rPr>
          <w:i/>
          <w:iCs/>
          <w:u w:val="single"/>
        </w:rPr>
        <w:t>A)</w:t>
      </w:r>
    </w:p>
    <w:p w14:paraId="109ACCF3" w14:textId="77777777" w:rsidR="009B3384" w:rsidRDefault="00800862">
      <w:r>
        <w:t xml:space="preserve">Препоръчваната дозировка на STELARA е начална доза </w:t>
      </w:r>
      <w:r>
        <w:rPr>
          <w:bCs/>
        </w:rPr>
        <w:t>45 mg, приложена</w:t>
      </w:r>
      <w:r>
        <w:t xml:space="preserve"> подкожно, последвана от доза </w:t>
      </w:r>
      <w:r>
        <w:rPr>
          <w:bCs/>
        </w:rPr>
        <w:t>45 mg</w:t>
      </w:r>
      <w:r>
        <w:t xml:space="preserve"> 4 седмици по-късно и след това на всеки 12 седмици. Алтернативно, при пациенти с телесно тегло &gt; 100 kg, може да се използват 90 mg.</w:t>
      </w:r>
    </w:p>
    <w:p w14:paraId="109ACCF4" w14:textId="77777777" w:rsidR="009B3384" w:rsidRDefault="009B3384"/>
    <w:p w14:paraId="109ACCF5" w14:textId="77777777" w:rsidR="009B3384" w:rsidRDefault="00800862">
      <w:r>
        <w:t>При пациенти, които не са се повлияли от лечението до 28 седмици трябва да се обмисли преустановяване на лечението.</w:t>
      </w:r>
    </w:p>
    <w:p w14:paraId="109ACCF6" w14:textId="77777777" w:rsidR="009B3384" w:rsidRDefault="009B3384"/>
    <w:p w14:paraId="109ACCF7" w14:textId="2C506AFA" w:rsidR="009B3384" w:rsidRDefault="00800862">
      <w:pPr>
        <w:keepNext/>
        <w:tabs>
          <w:tab w:val="clear" w:pos="567"/>
        </w:tabs>
        <w:rPr>
          <w:bCs/>
          <w:i/>
          <w:iCs/>
        </w:rPr>
      </w:pPr>
      <w:r>
        <w:rPr>
          <w:bCs/>
          <w:i/>
          <w:iCs/>
        </w:rPr>
        <w:t>Старческа възраст</w:t>
      </w:r>
    </w:p>
    <w:p w14:paraId="109ACCF8" w14:textId="2F402248" w:rsidR="009B3384" w:rsidRDefault="00800862">
      <w:pPr>
        <w:tabs>
          <w:tab w:val="clear" w:pos="567"/>
        </w:tabs>
        <w:rPr>
          <w:bCs/>
        </w:rPr>
      </w:pPr>
      <w:r>
        <w:rPr>
          <w:bCs/>
        </w:rPr>
        <w:t>Не е необходимо адаптиране на дозата при пациенти в старческа възраст</w:t>
      </w:r>
      <w:r w:rsidRPr="00BC6A43">
        <w:rPr>
          <w:bCs/>
        </w:rPr>
        <w:t xml:space="preserve"> </w:t>
      </w:r>
      <w:r>
        <w:rPr>
          <w:bCs/>
        </w:rPr>
        <w:t>(≥</w:t>
      </w:r>
      <w:r>
        <w:rPr>
          <w:bCs/>
          <w:lang w:val="en-US"/>
        </w:rPr>
        <w:t> </w:t>
      </w:r>
      <w:r>
        <w:rPr>
          <w:bCs/>
        </w:rPr>
        <w:t>65</w:t>
      </w:r>
      <w:r>
        <w:rPr>
          <w:bCs/>
          <w:lang w:val="en-US"/>
        </w:rPr>
        <w:t> </w:t>
      </w:r>
      <w:r>
        <w:rPr>
          <w:bCs/>
        </w:rPr>
        <w:t>години) (вж. точка 4.4).</w:t>
      </w:r>
    </w:p>
    <w:p w14:paraId="109ACCF9" w14:textId="77777777" w:rsidR="009B3384" w:rsidRDefault="009B3384">
      <w:pPr>
        <w:tabs>
          <w:tab w:val="clear" w:pos="567"/>
        </w:tabs>
        <w:rPr>
          <w:bCs/>
        </w:rPr>
      </w:pPr>
    </w:p>
    <w:p w14:paraId="109ACCFA" w14:textId="77777777" w:rsidR="009B3384" w:rsidRDefault="00800862">
      <w:pPr>
        <w:keepNext/>
        <w:tabs>
          <w:tab w:val="clear" w:pos="567"/>
        </w:tabs>
        <w:rPr>
          <w:i/>
          <w:iCs/>
        </w:rPr>
      </w:pPr>
      <w:r>
        <w:rPr>
          <w:i/>
          <w:iCs/>
        </w:rPr>
        <w:lastRenderedPageBreak/>
        <w:t>Бъбречно и чернодробно увреждане</w:t>
      </w:r>
    </w:p>
    <w:p w14:paraId="109ACCFB" w14:textId="77777777" w:rsidR="009B3384" w:rsidRDefault="00800862">
      <w:pPr>
        <w:tabs>
          <w:tab w:val="clear" w:pos="567"/>
        </w:tabs>
        <w:rPr>
          <w:bCs/>
        </w:rPr>
      </w:pPr>
      <w:r>
        <w:rPr>
          <w:bCs/>
        </w:rPr>
        <w:t>Не са провеждани проучвания със STELARA при тези популации пациенти. Не може да се даде препоръка за дозата.</w:t>
      </w:r>
    </w:p>
    <w:p w14:paraId="109ACCFC" w14:textId="77777777" w:rsidR="009B3384" w:rsidRDefault="009B3384">
      <w:pPr>
        <w:tabs>
          <w:tab w:val="clear" w:pos="567"/>
        </w:tabs>
        <w:rPr>
          <w:bCs/>
        </w:rPr>
      </w:pPr>
    </w:p>
    <w:p w14:paraId="109ACCFD" w14:textId="77777777" w:rsidR="009B3384" w:rsidRPr="00BC6A43" w:rsidRDefault="00800862">
      <w:pPr>
        <w:keepNext/>
        <w:tabs>
          <w:tab w:val="clear" w:pos="567"/>
        </w:tabs>
        <w:rPr>
          <w:bCs/>
          <w:iCs/>
          <w:u w:val="single"/>
        </w:rPr>
      </w:pPr>
      <w:r w:rsidRPr="00BC6A43">
        <w:rPr>
          <w:bCs/>
          <w:iCs/>
          <w:u w:val="single"/>
        </w:rPr>
        <w:t>Педиатрична популация</w:t>
      </w:r>
    </w:p>
    <w:p w14:paraId="109ACCFE" w14:textId="77777777" w:rsidR="009B3384" w:rsidRDefault="00800862">
      <w:pPr>
        <w:tabs>
          <w:tab w:val="clear" w:pos="567"/>
        </w:tabs>
        <w:rPr>
          <w:bCs/>
        </w:rPr>
      </w:pPr>
      <w:r>
        <w:rPr>
          <w:bCs/>
        </w:rPr>
        <w:t>Безопасността и ефикасността на STELARA при деца с псориазис на възраст под 6 години или при деца с псориатичен артрит под 18-годишна възраст все още не са установени.</w:t>
      </w:r>
    </w:p>
    <w:p w14:paraId="109ACCFF" w14:textId="77777777" w:rsidR="009B3384" w:rsidRDefault="009B3384">
      <w:pPr>
        <w:tabs>
          <w:tab w:val="clear" w:pos="567"/>
        </w:tabs>
        <w:rPr>
          <w:bCs/>
        </w:rPr>
      </w:pPr>
    </w:p>
    <w:p w14:paraId="109ACD00" w14:textId="77777777" w:rsidR="009B3384" w:rsidRPr="00BC6A43" w:rsidRDefault="00800862">
      <w:pPr>
        <w:keepNext/>
        <w:tabs>
          <w:tab w:val="clear" w:pos="567"/>
        </w:tabs>
        <w:rPr>
          <w:bCs/>
          <w:i/>
          <w:iCs/>
          <w:u w:val="single"/>
        </w:rPr>
      </w:pPr>
      <w:r w:rsidRPr="00BC6A43">
        <w:rPr>
          <w:i/>
          <w:iCs/>
          <w:u w:val="single"/>
        </w:rPr>
        <w:t>Плаков псориазис при педиатрични пациенти</w:t>
      </w:r>
      <w:r w:rsidRPr="00BC6A43">
        <w:rPr>
          <w:bCs/>
          <w:i/>
          <w:iCs/>
          <w:u w:val="single"/>
        </w:rPr>
        <w:t xml:space="preserve"> (6 години и по-големи)</w:t>
      </w:r>
    </w:p>
    <w:p w14:paraId="109ACD01" w14:textId="77777777" w:rsidR="009B3384" w:rsidRDefault="00800862">
      <w:pPr>
        <w:tabs>
          <w:tab w:val="clear" w:pos="567"/>
        </w:tabs>
        <w:rPr>
          <w:bCs/>
        </w:rPr>
      </w:pPr>
      <w:r>
        <w:rPr>
          <w:bCs/>
        </w:rPr>
        <w:t>Препоръчителната доза на STELARA според телесното тегло е показана по-долу (таблици 1 и 2).</w:t>
      </w:r>
    </w:p>
    <w:p w14:paraId="109ACD02" w14:textId="77777777" w:rsidR="009B3384" w:rsidRDefault="00800862">
      <w:pPr>
        <w:tabs>
          <w:tab w:val="clear" w:pos="567"/>
        </w:tabs>
        <w:rPr>
          <w:bCs/>
        </w:rPr>
      </w:pPr>
      <w:r>
        <w:rPr>
          <w:bCs/>
        </w:rPr>
        <w:t>STELARA трябва да се прилага на седмици 0 и 4, след това на всеки 12 седмици.</w:t>
      </w:r>
    </w:p>
    <w:p w14:paraId="109ACD03" w14:textId="77777777" w:rsidR="009B3384" w:rsidRDefault="009B3384">
      <w:pPr>
        <w:tabs>
          <w:tab w:val="clear" w:pos="567"/>
        </w:tabs>
        <w:rPr>
          <w:bCs/>
        </w:rPr>
      </w:pPr>
    </w:p>
    <w:p w14:paraId="109ACD04" w14:textId="77777777" w:rsidR="009B3384" w:rsidRDefault="00800862">
      <w:pPr>
        <w:keepNext/>
        <w:tabs>
          <w:tab w:val="clear" w:pos="567"/>
        </w:tabs>
        <w:rPr>
          <w:bCs/>
        </w:rPr>
      </w:pPr>
      <w:r>
        <w:rPr>
          <w:bCs/>
          <w:i/>
        </w:rPr>
        <w:t>Таблица 1:</w:t>
      </w:r>
      <w:r>
        <w:rPr>
          <w:bCs/>
          <w:i/>
        </w:rPr>
        <w:tab/>
        <w:t>Препоръчителна доза STELARA при педиатрични пациенти с псориазис</w:t>
      </w:r>
    </w:p>
    <w:tbl>
      <w:tblPr>
        <w:tblW w:w="9072" w:type="dxa"/>
        <w:jc w:val="center"/>
        <w:tblLayout w:type="fixed"/>
        <w:tblLook w:val="0000" w:firstRow="0" w:lastRow="0" w:firstColumn="0" w:lastColumn="0" w:noHBand="0" w:noVBand="0"/>
      </w:tblPr>
      <w:tblGrid>
        <w:gridCol w:w="5067"/>
        <w:gridCol w:w="4005"/>
      </w:tblGrid>
      <w:tr w:rsidR="009B3384" w14:paraId="109ACD07" w14:textId="77777777">
        <w:trPr>
          <w:cantSplit/>
          <w:jc w:val="center"/>
        </w:trPr>
        <w:tc>
          <w:tcPr>
            <w:tcW w:w="5066" w:type="dxa"/>
            <w:tcBorders>
              <w:top w:val="single" w:sz="4" w:space="0" w:color="000000"/>
              <w:left w:val="single" w:sz="4" w:space="0" w:color="000000"/>
              <w:bottom w:val="single" w:sz="4" w:space="0" w:color="000000"/>
              <w:right w:val="single" w:sz="4" w:space="0" w:color="000000"/>
            </w:tcBorders>
          </w:tcPr>
          <w:p w14:paraId="109ACD05" w14:textId="77777777" w:rsidR="009B3384" w:rsidRDefault="00800862">
            <w:pPr>
              <w:keepNext/>
              <w:widowControl w:val="0"/>
              <w:jc w:val="center"/>
              <w:rPr>
                <w:szCs w:val="24"/>
              </w:rPr>
            </w:pPr>
            <w:r>
              <w:rPr>
                <w:b/>
                <w:bCs/>
                <w:szCs w:val="24"/>
              </w:rPr>
              <w:t>Телесно тегло към момента на прилагане</w:t>
            </w:r>
          </w:p>
        </w:tc>
        <w:tc>
          <w:tcPr>
            <w:tcW w:w="4005" w:type="dxa"/>
            <w:tcBorders>
              <w:top w:val="single" w:sz="4" w:space="0" w:color="000000"/>
              <w:left w:val="single" w:sz="4" w:space="0" w:color="000000"/>
              <w:bottom w:val="single" w:sz="4" w:space="0" w:color="000000"/>
              <w:right w:val="single" w:sz="4" w:space="0" w:color="000000"/>
            </w:tcBorders>
          </w:tcPr>
          <w:p w14:paraId="109ACD06" w14:textId="77777777" w:rsidR="009B3384" w:rsidRDefault="00800862">
            <w:pPr>
              <w:keepNext/>
              <w:widowControl w:val="0"/>
              <w:jc w:val="center"/>
              <w:rPr>
                <w:szCs w:val="24"/>
              </w:rPr>
            </w:pPr>
            <w:r>
              <w:rPr>
                <w:b/>
                <w:bCs/>
                <w:szCs w:val="24"/>
              </w:rPr>
              <w:t>Препоръчителна доза</w:t>
            </w:r>
          </w:p>
        </w:tc>
      </w:tr>
      <w:tr w:rsidR="009B3384" w14:paraId="109ACD0A" w14:textId="77777777">
        <w:trPr>
          <w:cantSplit/>
          <w:jc w:val="center"/>
        </w:trPr>
        <w:tc>
          <w:tcPr>
            <w:tcW w:w="5066" w:type="dxa"/>
            <w:tcBorders>
              <w:top w:val="single" w:sz="4" w:space="0" w:color="000000"/>
              <w:left w:val="single" w:sz="4" w:space="0" w:color="000000"/>
              <w:bottom w:val="single" w:sz="4" w:space="0" w:color="000000"/>
              <w:right w:val="single" w:sz="4" w:space="0" w:color="000000"/>
            </w:tcBorders>
          </w:tcPr>
          <w:p w14:paraId="109ACD08" w14:textId="77777777" w:rsidR="009B3384" w:rsidRDefault="00800862">
            <w:pPr>
              <w:widowControl w:val="0"/>
              <w:jc w:val="center"/>
              <w:rPr>
                <w:szCs w:val="24"/>
              </w:rPr>
            </w:pPr>
            <w:r>
              <w:rPr>
                <w:szCs w:val="24"/>
              </w:rPr>
              <w:t>&lt; 60 kg</w:t>
            </w:r>
          </w:p>
        </w:tc>
        <w:tc>
          <w:tcPr>
            <w:tcW w:w="4005" w:type="dxa"/>
            <w:tcBorders>
              <w:top w:val="single" w:sz="4" w:space="0" w:color="000000"/>
              <w:left w:val="single" w:sz="4" w:space="0" w:color="000000"/>
              <w:bottom w:val="single" w:sz="4" w:space="0" w:color="000000"/>
              <w:right w:val="single" w:sz="4" w:space="0" w:color="000000"/>
            </w:tcBorders>
          </w:tcPr>
          <w:p w14:paraId="109ACD09" w14:textId="77777777" w:rsidR="009B3384" w:rsidRDefault="00800862">
            <w:pPr>
              <w:widowControl w:val="0"/>
              <w:jc w:val="center"/>
              <w:rPr>
                <w:szCs w:val="24"/>
              </w:rPr>
            </w:pPr>
            <w:r>
              <w:rPr>
                <w:szCs w:val="24"/>
              </w:rPr>
              <w:t>0,75 mg/kg</w:t>
            </w:r>
          </w:p>
        </w:tc>
      </w:tr>
      <w:tr w:rsidR="009B3384" w14:paraId="109ACD0D" w14:textId="77777777">
        <w:trPr>
          <w:cantSplit/>
          <w:jc w:val="center"/>
        </w:trPr>
        <w:tc>
          <w:tcPr>
            <w:tcW w:w="5066" w:type="dxa"/>
            <w:tcBorders>
              <w:top w:val="single" w:sz="4" w:space="0" w:color="000000"/>
              <w:left w:val="single" w:sz="4" w:space="0" w:color="000000"/>
              <w:bottom w:val="single" w:sz="4" w:space="0" w:color="000000"/>
              <w:right w:val="single" w:sz="4" w:space="0" w:color="000000"/>
            </w:tcBorders>
          </w:tcPr>
          <w:p w14:paraId="109ACD0B" w14:textId="77777777" w:rsidR="009B3384" w:rsidRDefault="00800862">
            <w:pPr>
              <w:widowControl w:val="0"/>
              <w:jc w:val="center"/>
              <w:rPr>
                <w:szCs w:val="24"/>
              </w:rPr>
            </w:pPr>
            <w:r>
              <w:rPr>
                <w:szCs w:val="24"/>
              </w:rPr>
              <w:t>≥ 60</w:t>
            </w:r>
            <w:r>
              <w:t>-</w:t>
            </w:r>
            <w:r>
              <w:rPr>
                <w:szCs w:val="24"/>
              </w:rPr>
              <w:t>≤ 100 </w:t>
            </w:r>
            <w:r>
              <w:t>k</w:t>
            </w:r>
            <w:r>
              <w:rPr>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109ACD0C" w14:textId="77777777" w:rsidR="009B3384" w:rsidRDefault="00800862">
            <w:pPr>
              <w:widowControl w:val="0"/>
              <w:jc w:val="center"/>
              <w:rPr>
                <w:szCs w:val="24"/>
              </w:rPr>
            </w:pPr>
            <w:r>
              <w:rPr>
                <w:szCs w:val="24"/>
              </w:rPr>
              <w:t>45 mg</w:t>
            </w:r>
          </w:p>
        </w:tc>
      </w:tr>
      <w:tr w:rsidR="009B3384" w14:paraId="109ACD10" w14:textId="77777777">
        <w:trPr>
          <w:cantSplit/>
          <w:jc w:val="center"/>
        </w:trPr>
        <w:tc>
          <w:tcPr>
            <w:tcW w:w="5066" w:type="dxa"/>
            <w:tcBorders>
              <w:top w:val="single" w:sz="4" w:space="0" w:color="000000"/>
              <w:left w:val="single" w:sz="4" w:space="0" w:color="000000"/>
              <w:bottom w:val="single" w:sz="4" w:space="0" w:color="000000"/>
              <w:right w:val="single" w:sz="4" w:space="0" w:color="000000"/>
            </w:tcBorders>
          </w:tcPr>
          <w:p w14:paraId="109ACD0E" w14:textId="77777777" w:rsidR="009B3384" w:rsidRDefault="00800862">
            <w:pPr>
              <w:widowControl w:val="0"/>
              <w:jc w:val="center"/>
              <w:rPr>
                <w:szCs w:val="24"/>
              </w:rPr>
            </w:pPr>
            <w:r>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109ACD0F" w14:textId="77777777" w:rsidR="009B3384" w:rsidRDefault="00800862">
            <w:pPr>
              <w:widowControl w:val="0"/>
              <w:jc w:val="center"/>
              <w:rPr>
                <w:szCs w:val="24"/>
              </w:rPr>
            </w:pPr>
            <w:r>
              <w:rPr>
                <w:szCs w:val="24"/>
              </w:rPr>
              <w:t>90 mg</w:t>
            </w:r>
          </w:p>
        </w:tc>
      </w:tr>
    </w:tbl>
    <w:p w14:paraId="109ACD11" w14:textId="77777777" w:rsidR="009B3384" w:rsidRDefault="009B3384">
      <w:pPr>
        <w:tabs>
          <w:tab w:val="clear" w:pos="567"/>
        </w:tabs>
        <w:rPr>
          <w:bCs/>
        </w:rPr>
      </w:pPr>
    </w:p>
    <w:p w14:paraId="109ACD12" w14:textId="77777777" w:rsidR="009B3384" w:rsidRDefault="00800862">
      <w:pPr>
        <w:tabs>
          <w:tab w:val="clear" w:pos="567"/>
        </w:tabs>
        <w:rPr>
          <w:bCs/>
        </w:rPr>
      </w:pPr>
      <w:r>
        <w:rPr>
          <w:bCs/>
        </w:rPr>
        <w:t>За изчисляване на обема на инжектиране (ml) за пациенти &lt;</w:t>
      </w:r>
      <w:r>
        <w:rPr>
          <w:bCs/>
          <w:lang w:val="en-US"/>
        </w:rPr>
        <w:t> </w:t>
      </w:r>
      <w:r>
        <w:rPr>
          <w:bCs/>
        </w:rPr>
        <w:t>60</w:t>
      </w:r>
      <w:r>
        <w:rPr>
          <w:bCs/>
          <w:lang w:val="en-US"/>
        </w:rPr>
        <w:t> </w:t>
      </w:r>
      <w:r>
        <w:rPr>
          <w:bCs/>
        </w:rPr>
        <w:t>kg използвайте следната формула: телесно тегло (kg) x 0,0083 (ml/kg) или вижте таблица</w:t>
      </w:r>
      <w:r>
        <w:rPr>
          <w:bCs/>
          <w:lang w:val="en-US"/>
        </w:rPr>
        <w:t> </w:t>
      </w:r>
      <w:r>
        <w:rPr>
          <w:bCs/>
        </w:rPr>
        <w:t>2. Изчисленият обем трябва да се закръгли до 0,01</w:t>
      </w:r>
      <w:r>
        <w:rPr>
          <w:bCs/>
          <w:lang w:val="en-US"/>
        </w:rPr>
        <w:t> </w:t>
      </w:r>
      <w:r>
        <w:rPr>
          <w:bCs/>
        </w:rPr>
        <w:t>ml и да се прилага с градуирана спринцовка от 1</w:t>
      </w:r>
      <w:r>
        <w:rPr>
          <w:bCs/>
          <w:lang w:val="en-US"/>
        </w:rPr>
        <w:t> </w:t>
      </w:r>
      <w:r>
        <w:rPr>
          <w:bCs/>
        </w:rPr>
        <w:t>ml. Наличен е флакон от 45</w:t>
      </w:r>
      <w:r>
        <w:rPr>
          <w:bCs/>
          <w:lang w:val="en-US"/>
        </w:rPr>
        <w:t> </w:t>
      </w:r>
      <w:r>
        <w:rPr>
          <w:bCs/>
        </w:rPr>
        <w:t>mg за педиатрични пациенти, които трябва да получават по-малко от цялата доза 45</w:t>
      </w:r>
      <w:r>
        <w:rPr>
          <w:bCs/>
          <w:lang w:val="en-US"/>
        </w:rPr>
        <w:t> </w:t>
      </w:r>
      <w:r>
        <w:rPr>
          <w:bCs/>
        </w:rPr>
        <w:t>mg.</w:t>
      </w:r>
    </w:p>
    <w:p w14:paraId="109ACD13" w14:textId="77777777" w:rsidR="009B3384" w:rsidRDefault="009B3384">
      <w:pPr>
        <w:tabs>
          <w:tab w:val="clear" w:pos="567"/>
        </w:tabs>
        <w:rPr>
          <w:bCs/>
        </w:rPr>
      </w:pPr>
    </w:p>
    <w:p w14:paraId="109ACD14" w14:textId="77777777" w:rsidR="009B3384" w:rsidRDefault="00800862">
      <w:pPr>
        <w:keepNext/>
        <w:tabs>
          <w:tab w:val="clear" w:pos="567"/>
        </w:tabs>
        <w:ind w:left="1134" w:hanging="1134"/>
        <w:rPr>
          <w:i/>
          <w:szCs w:val="24"/>
        </w:rPr>
      </w:pPr>
      <w:r>
        <w:rPr>
          <w:bCs/>
          <w:i/>
        </w:rPr>
        <w:t>Таблица 2:</w:t>
      </w:r>
      <w:r>
        <w:rPr>
          <w:bCs/>
          <w:i/>
        </w:rPr>
        <w:tab/>
        <w:t xml:space="preserve">Обеми на инжектиране на STELARA при педиатрични пациенти с псориазис </w:t>
      </w:r>
      <w:r>
        <w:rPr>
          <w:i/>
          <w:szCs w:val="24"/>
        </w:rPr>
        <w:t>&lt; 60 kg</w:t>
      </w:r>
    </w:p>
    <w:tbl>
      <w:tblPr>
        <w:tblW w:w="9072" w:type="dxa"/>
        <w:jc w:val="center"/>
        <w:tblLayout w:type="fixed"/>
        <w:tblLook w:val="04A0" w:firstRow="1" w:lastRow="0" w:firstColumn="1" w:lastColumn="0" w:noHBand="0" w:noVBand="1"/>
      </w:tblPr>
      <w:tblGrid>
        <w:gridCol w:w="3119"/>
        <w:gridCol w:w="2558"/>
        <w:gridCol w:w="3395"/>
      </w:tblGrid>
      <w:tr w:rsidR="009B3384" w14:paraId="109ACD1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15" w14:textId="77777777" w:rsidR="009B3384" w:rsidRDefault="00800862">
            <w:pPr>
              <w:keepNext/>
              <w:widowControl w:val="0"/>
              <w:tabs>
                <w:tab w:val="clear" w:pos="567"/>
              </w:tabs>
              <w:jc w:val="center"/>
              <w:rPr>
                <w:b/>
              </w:rPr>
            </w:pPr>
            <w:r>
              <w:rPr>
                <w:b/>
                <w:bCs/>
                <w:szCs w:val="24"/>
              </w:rPr>
              <w:t xml:space="preserve">Телесно тегло по време на дозиране </w:t>
            </w:r>
            <w:r>
              <w:rPr>
                <w:b/>
              </w:rPr>
              <w:t>(kg)</w:t>
            </w:r>
          </w:p>
        </w:tc>
        <w:tc>
          <w:tcPr>
            <w:tcW w:w="2558" w:type="dxa"/>
            <w:tcBorders>
              <w:top w:val="single" w:sz="4" w:space="0" w:color="000000"/>
              <w:left w:val="single" w:sz="4" w:space="0" w:color="000000"/>
              <w:bottom w:val="single" w:sz="4" w:space="0" w:color="000000"/>
              <w:right w:val="single" w:sz="4" w:space="0" w:color="000000"/>
            </w:tcBorders>
            <w:vAlign w:val="center"/>
          </w:tcPr>
          <w:p w14:paraId="109ACD16" w14:textId="77777777" w:rsidR="009B3384" w:rsidRDefault="00800862">
            <w:pPr>
              <w:keepNext/>
              <w:widowControl w:val="0"/>
              <w:tabs>
                <w:tab w:val="clear" w:pos="567"/>
              </w:tabs>
              <w:jc w:val="center"/>
              <w:rPr>
                <w:b/>
              </w:rPr>
            </w:pPr>
            <w:r>
              <w:rPr>
                <w:b/>
              </w:rPr>
              <w:t>Доза (mg)</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17" w14:textId="77777777" w:rsidR="009B3384" w:rsidRDefault="00800862">
            <w:pPr>
              <w:keepNext/>
              <w:widowControl w:val="0"/>
              <w:tabs>
                <w:tab w:val="clear" w:pos="567"/>
              </w:tabs>
              <w:jc w:val="center"/>
              <w:rPr>
                <w:b/>
              </w:rPr>
            </w:pPr>
            <w:r>
              <w:rPr>
                <w:b/>
              </w:rPr>
              <w:t>Обем на инжектиране (m</w:t>
            </w:r>
            <w:r>
              <w:rPr>
                <w:b/>
                <w:lang w:val="en-US"/>
              </w:rPr>
              <w:t>l</w:t>
            </w:r>
            <w:r>
              <w:rPr>
                <w:b/>
              </w:rPr>
              <w:t>)</w:t>
            </w:r>
          </w:p>
        </w:tc>
      </w:tr>
      <w:tr w:rsidR="009B3384" w14:paraId="109ACD1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19" w14:textId="77777777" w:rsidR="009B3384" w:rsidRDefault="00800862">
            <w:pPr>
              <w:widowControl w:val="0"/>
              <w:tabs>
                <w:tab w:val="clear" w:pos="567"/>
              </w:tabs>
              <w:jc w:val="center"/>
            </w:pPr>
            <w:r>
              <w:rPr>
                <w:lang w:val="en-US"/>
              </w:rPr>
              <w:t>15</w:t>
            </w:r>
          </w:p>
        </w:tc>
        <w:tc>
          <w:tcPr>
            <w:tcW w:w="2558" w:type="dxa"/>
            <w:tcBorders>
              <w:top w:val="single" w:sz="4" w:space="0" w:color="000000"/>
              <w:left w:val="single" w:sz="4" w:space="0" w:color="000000"/>
              <w:bottom w:val="single" w:sz="4" w:space="0" w:color="000000"/>
              <w:right w:val="single" w:sz="4" w:space="0" w:color="000000"/>
            </w:tcBorders>
          </w:tcPr>
          <w:p w14:paraId="109ACD1A" w14:textId="77777777" w:rsidR="009B3384" w:rsidRDefault="00800862">
            <w:pPr>
              <w:widowControl w:val="0"/>
              <w:tabs>
                <w:tab w:val="clear" w:pos="567"/>
              </w:tabs>
              <w:jc w:val="center"/>
            </w:pPr>
            <w:r>
              <w:t>11,3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1B" w14:textId="77777777" w:rsidR="009B3384" w:rsidRDefault="00800862">
            <w:pPr>
              <w:widowControl w:val="0"/>
              <w:tabs>
                <w:tab w:val="clear" w:pos="567"/>
              </w:tabs>
              <w:jc w:val="center"/>
            </w:pPr>
            <w:r>
              <w:t>0,12</w:t>
            </w:r>
          </w:p>
        </w:tc>
      </w:tr>
      <w:tr w:rsidR="009B3384" w14:paraId="109ACD2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1D" w14:textId="77777777" w:rsidR="009B3384" w:rsidRDefault="00800862">
            <w:pPr>
              <w:widowControl w:val="0"/>
              <w:tabs>
                <w:tab w:val="clear" w:pos="567"/>
              </w:tabs>
              <w:jc w:val="center"/>
            </w:pPr>
            <w:r>
              <w:t>16</w:t>
            </w:r>
          </w:p>
        </w:tc>
        <w:tc>
          <w:tcPr>
            <w:tcW w:w="2558" w:type="dxa"/>
            <w:tcBorders>
              <w:top w:val="single" w:sz="4" w:space="0" w:color="000000"/>
              <w:left w:val="single" w:sz="4" w:space="0" w:color="000000"/>
              <w:bottom w:val="single" w:sz="4" w:space="0" w:color="000000"/>
              <w:right w:val="single" w:sz="4" w:space="0" w:color="000000"/>
            </w:tcBorders>
          </w:tcPr>
          <w:p w14:paraId="109ACD1E" w14:textId="77777777" w:rsidR="009B3384" w:rsidRDefault="00800862">
            <w:pPr>
              <w:widowControl w:val="0"/>
              <w:tabs>
                <w:tab w:val="clear" w:pos="567"/>
              </w:tabs>
              <w:jc w:val="center"/>
            </w:pPr>
            <w:r>
              <w:t>12,0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1F" w14:textId="77777777" w:rsidR="009B3384" w:rsidRDefault="00800862">
            <w:pPr>
              <w:widowControl w:val="0"/>
              <w:tabs>
                <w:tab w:val="clear" w:pos="567"/>
              </w:tabs>
              <w:jc w:val="center"/>
            </w:pPr>
            <w:r>
              <w:t>0,13</w:t>
            </w:r>
          </w:p>
        </w:tc>
      </w:tr>
      <w:tr w:rsidR="009B3384" w14:paraId="109ACD2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21" w14:textId="77777777" w:rsidR="009B3384" w:rsidRDefault="00800862">
            <w:pPr>
              <w:widowControl w:val="0"/>
              <w:tabs>
                <w:tab w:val="clear" w:pos="567"/>
              </w:tabs>
              <w:jc w:val="center"/>
            </w:pPr>
            <w:r>
              <w:t>17</w:t>
            </w:r>
          </w:p>
        </w:tc>
        <w:tc>
          <w:tcPr>
            <w:tcW w:w="2558" w:type="dxa"/>
            <w:tcBorders>
              <w:top w:val="single" w:sz="4" w:space="0" w:color="000000"/>
              <w:left w:val="single" w:sz="4" w:space="0" w:color="000000"/>
              <w:bottom w:val="single" w:sz="4" w:space="0" w:color="000000"/>
              <w:right w:val="single" w:sz="4" w:space="0" w:color="000000"/>
            </w:tcBorders>
          </w:tcPr>
          <w:p w14:paraId="109ACD22" w14:textId="77777777" w:rsidR="009B3384" w:rsidRDefault="00800862">
            <w:pPr>
              <w:widowControl w:val="0"/>
              <w:tabs>
                <w:tab w:val="clear" w:pos="567"/>
              </w:tabs>
              <w:jc w:val="center"/>
            </w:pPr>
            <w:r>
              <w:t>12,8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23" w14:textId="77777777" w:rsidR="009B3384" w:rsidRDefault="00800862">
            <w:pPr>
              <w:widowControl w:val="0"/>
              <w:tabs>
                <w:tab w:val="clear" w:pos="567"/>
              </w:tabs>
              <w:jc w:val="center"/>
            </w:pPr>
            <w:r>
              <w:t>0,14</w:t>
            </w:r>
          </w:p>
        </w:tc>
      </w:tr>
      <w:tr w:rsidR="009B3384" w14:paraId="109ACD2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25" w14:textId="77777777" w:rsidR="009B3384" w:rsidRDefault="00800862">
            <w:pPr>
              <w:widowControl w:val="0"/>
              <w:tabs>
                <w:tab w:val="clear" w:pos="567"/>
              </w:tabs>
              <w:jc w:val="center"/>
            </w:pPr>
            <w:r>
              <w:t>18</w:t>
            </w:r>
          </w:p>
        </w:tc>
        <w:tc>
          <w:tcPr>
            <w:tcW w:w="2558" w:type="dxa"/>
            <w:tcBorders>
              <w:top w:val="single" w:sz="4" w:space="0" w:color="000000"/>
              <w:left w:val="single" w:sz="4" w:space="0" w:color="000000"/>
              <w:bottom w:val="single" w:sz="4" w:space="0" w:color="000000"/>
              <w:right w:val="single" w:sz="4" w:space="0" w:color="000000"/>
            </w:tcBorders>
          </w:tcPr>
          <w:p w14:paraId="109ACD26" w14:textId="77777777" w:rsidR="009B3384" w:rsidRDefault="00800862">
            <w:pPr>
              <w:widowControl w:val="0"/>
              <w:tabs>
                <w:tab w:val="clear" w:pos="567"/>
              </w:tabs>
              <w:jc w:val="center"/>
            </w:pPr>
            <w:r>
              <w:t>13,5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27" w14:textId="77777777" w:rsidR="009B3384" w:rsidRDefault="00800862">
            <w:pPr>
              <w:widowControl w:val="0"/>
              <w:tabs>
                <w:tab w:val="clear" w:pos="567"/>
              </w:tabs>
              <w:jc w:val="center"/>
            </w:pPr>
            <w:r>
              <w:t>0,15</w:t>
            </w:r>
          </w:p>
        </w:tc>
      </w:tr>
      <w:tr w:rsidR="009B3384" w14:paraId="109ACD2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29" w14:textId="77777777" w:rsidR="009B3384" w:rsidRDefault="00800862">
            <w:pPr>
              <w:widowControl w:val="0"/>
              <w:tabs>
                <w:tab w:val="clear" w:pos="567"/>
              </w:tabs>
              <w:jc w:val="center"/>
            </w:pPr>
            <w:r>
              <w:t>19</w:t>
            </w:r>
          </w:p>
        </w:tc>
        <w:tc>
          <w:tcPr>
            <w:tcW w:w="2558" w:type="dxa"/>
            <w:tcBorders>
              <w:top w:val="single" w:sz="4" w:space="0" w:color="000000"/>
              <w:left w:val="single" w:sz="4" w:space="0" w:color="000000"/>
              <w:bottom w:val="single" w:sz="4" w:space="0" w:color="000000"/>
              <w:right w:val="single" w:sz="4" w:space="0" w:color="000000"/>
            </w:tcBorders>
          </w:tcPr>
          <w:p w14:paraId="109ACD2A" w14:textId="77777777" w:rsidR="009B3384" w:rsidRDefault="00800862">
            <w:pPr>
              <w:widowControl w:val="0"/>
              <w:tabs>
                <w:tab w:val="clear" w:pos="567"/>
              </w:tabs>
              <w:jc w:val="center"/>
            </w:pPr>
            <w:r>
              <w:t>14,3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2B" w14:textId="77777777" w:rsidR="009B3384" w:rsidRDefault="00800862">
            <w:pPr>
              <w:widowControl w:val="0"/>
              <w:tabs>
                <w:tab w:val="clear" w:pos="567"/>
              </w:tabs>
              <w:jc w:val="center"/>
            </w:pPr>
            <w:r>
              <w:t>0,16</w:t>
            </w:r>
          </w:p>
        </w:tc>
      </w:tr>
      <w:tr w:rsidR="009B3384" w14:paraId="109ACD3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2D" w14:textId="77777777" w:rsidR="009B3384" w:rsidRDefault="00800862">
            <w:pPr>
              <w:widowControl w:val="0"/>
              <w:tabs>
                <w:tab w:val="clear" w:pos="567"/>
              </w:tabs>
              <w:jc w:val="center"/>
            </w:pPr>
            <w:r>
              <w:t>20</w:t>
            </w:r>
          </w:p>
        </w:tc>
        <w:tc>
          <w:tcPr>
            <w:tcW w:w="2558" w:type="dxa"/>
            <w:tcBorders>
              <w:top w:val="single" w:sz="4" w:space="0" w:color="000000"/>
              <w:left w:val="single" w:sz="4" w:space="0" w:color="000000"/>
              <w:bottom w:val="single" w:sz="4" w:space="0" w:color="000000"/>
              <w:right w:val="single" w:sz="4" w:space="0" w:color="000000"/>
            </w:tcBorders>
          </w:tcPr>
          <w:p w14:paraId="109ACD2E" w14:textId="77777777" w:rsidR="009B3384" w:rsidRDefault="00800862">
            <w:pPr>
              <w:widowControl w:val="0"/>
              <w:tabs>
                <w:tab w:val="clear" w:pos="567"/>
              </w:tabs>
              <w:jc w:val="center"/>
            </w:pPr>
            <w:r>
              <w:t>15,0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2F" w14:textId="77777777" w:rsidR="009B3384" w:rsidRDefault="00800862">
            <w:pPr>
              <w:widowControl w:val="0"/>
              <w:tabs>
                <w:tab w:val="clear" w:pos="567"/>
              </w:tabs>
              <w:jc w:val="center"/>
            </w:pPr>
            <w:r>
              <w:t>0,17</w:t>
            </w:r>
          </w:p>
        </w:tc>
      </w:tr>
      <w:tr w:rsidR="009B3384" w14:paraId="109ACD3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31" w14:textId="77777777" w:rsidR="009B3384" w:rsidRDefault="00800862">
            <w:pPr>
              <w:widowControl w:val="0"/>
              <w:tabs>
                <w:tab w:val="clear" w:pos="567"/>
              </w:tabs>
              <w:jc w:val="center"/>
            </w:pPr>
            <w:r>
              <w:t>21</w:t>
            </w:r>
          </w:p>
        </w:tc>
        <w:tc>
          <w:tcPr>
            <w:tcW w:w="2558" w:type="dxa"/>
            <w:tcBorders>
              <w:top w:val="single" w:sz="4" w:space="0" w:color="000000"/>
              <w:left w:val="single" w:sz="4" w:space="0" w:color="000000"/>
              <w:bottom w:val="single" w:sz="4" w:space="0" w:color="000000"/>
              <w:right w:val="single" w:sz="4" w:space="0" w:color="000000"/>
            </w:tcBorders>
          </w:tcPr>
          <w:p w14:paraId="109ACD32" w14:textId="77777777" w:rsidR="009B3384" w:rsidRDefault="00800862">
            <w:pPr>
              <w:widowControl w:val="0"/>
              <w:tabs>
                <w:tab w:val="clear" w:pos="567"/>
              </w:tabs>
              <w:jc w:val="center"/>
            </w:pPr>
            <w:r>
              <w:t>15,8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33" w14:textId="77777777" w:rsidR="009B3384" w:rsidRDefault="00800862">
            <w:pPr>
              <w:widowControl w:val="0"/>
              <w:tabs>
                <w:tab w:val="clear" w:pos="567"/>
              </w:tabs>
              <w:jc w:val="center"/>
            </w:pPr>
            <w:r>
              <w:t>0,17</w:t>
            </w:r>
          </w:p>
        </w:tc>
      </w:tr>
      <w:tr w:rsidR="009B3384" w14:paraId="109ACD3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35" w14:textId="77777777" w:rsidR="009B3384" w:rsidRDefault="00800862">
            <w:pPr>
              <w:widowControl w:val="0"/>
              <w:tabs>
                <w:tab w:val="clear" w:pos="567"/>
              </w:tabs>
              <w:jc w:val="center"/>
            </w:pPr>
            <w:r>
              <w:t>22</w:t>
            </w:r>
          </w:p>
        </w:tc>
        <w:tc>
          <w:tcPr>
            <w:tcW w:w="2558" w:type="dxa"/>
            <w:tcBorders>
              <w:top w:val="single" w:sz="4" w:space="0" w:color="000000"/>
              <w:left w:val="single" w:sz="4" w:space="0" w:color="000000"/>
              <w:bottom w:val="single" w:sz="4" w:space="0" w:color="000000"/>
              <w:right w:val="single" w:sz="4" w:space="0" w:color="000000"/>
            </w:tcBorders>
          </w:tcPr>
          <w:p w14:paraId="109ACD36" w14:textId="77777777" w:rsidR="009B3384" w:rsidRDefault="00800862">
            <w:pPr>
              <w:widowControl w:val="0"/>
              <w:tabs>
                <w:tab w:val="clear" w:pos="567"/>
              </w:tabs>
              <w:jc w:val="center"/>
            </w:pPr>
            <w:r>
              <w:t>16,5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37" w14:textId="77777777" w:rsidR="009B3384" w:rsidRDefault="00800862">
            <w:pPr>
              <w:widowControl w:val="0"/>
              <w:tabs>
                <w:tab w:val="clear" w:pos="567"/>
              </w:tabs>
              <w:jc w:val="center"/>
            </w:pPr>
            <w:r>
              <w:t>0,18</w:t>
            </w:r>
          </w:p>
        </w:tc>
      </w:tr>
      <w:tr w:rsidR="009B3384" w14:paraId="109ACD3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39" w14:textId="77777777" w:rsidR="009B3384" w:rsidRDefault="00800862">
            <w:pPr>
              <w:widowControl w:val="0"/>
              <w:tabs>
                <w:tab w:val="clear" w:pos="567"/>
              </w:tabs>
              <w:jc w:val="center"/>
            </w:pPr>
            <w:r>
              <w:t>23</w:t>
            </w:r>
          </w:p>
        </w:tc>
        <w:tc>
          <w:tcPr>
            <w:tcW w:w="2558" w:type="dxa"/>
            <w:tcBorders>
              <w:top w:val="single" w:sz="4" w:space="0" w:color="000000"/>
              <w:left w:val="single" w:sz="4" w:space="0" w:color="000000"/>
              <w:bottom w:val="single" w:sz="4" w:space="0" w:color="000000"/>
              <w:right w:val="single" w:sz="4" w:space="0" w:color="000000"/>
            </w:tcBorders>
          </w:tcPr>
          <w:p w14:paraId="109ACD3A" w14:textId="77777777" w:rsidR="009B3384" w:rsidRDefault="00800862">
            <w:pPr>
              <w:widowControl w:val="0"/>
              <w:tabs>
                <w:tab w:val="clear" w:pos="567"/>
              </w:tabs>
              <w:jc w:val="center"/>
            </w:pPr>
            <w:r>
              <w:t>17,3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3B" w14:textId="77777777" w:rsidR="009B3384" w:rsidRDefault="00800862">
            <w:pPr>
              <w:widowControl w:val="0"/>
              <w:tabs>
                <w:tab w:val="clear" w:pos="567"/>
              </w:tabs>
              <w:jc w:val="center"/>
            </w:pPr>
            <w:r>
              <w:t>0,19</w:t>
            </w:r>
          </w:p>
        </w:tc>
      </w:tr>
      <w:tr w:rsidR="009B3384" w14:paraId="109ACD4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3D" w14:textId="77777777" w:rsidR="009B3384" w:rsidRDefault="00800862">
            <w:pPr>
              <w:widowControl w:val="0"/>
              <w:tabs>
                <w:tab w:val="clear" w:pos="567"/>
              </w:tabs>
              <w:jc w:val="center"/>
            </w:pPr>
            <w:r>
              <w:t>24</w:t>
            </w:r>
          </w:p>
        </w:tc>
        <w:tc>
          <w:tcPr>
            <w:tcW w:w="2558" w:type="dxa"/>
            <w:tcBorders>
              <w:top w:val="single" w:sz="4" w:space="0" w:color="000000"/>
              <w:left w:val="single" w:sz="4" w:space="0" w:color="000000"/>
              <w:bottom w:val="single" w:sz="4" w:space="0" w:color="000000"/>
              <w:right w:val="single" w:sz="4" w:space="0" w:color="000000"/>
            </w:tcBorders>
          </w:tcPr>
          <w:p w14:paraId="109ACD3E" w14:textId="77777777" w:rsidR="009B3384" w:rsidRDefault="00800862">
            <w:pPr>
              <w:widowControl w:val="0"/>
              <w:tabs>
                <w:tab w:val="clear" w:pos="567"/>
              </w:tabs>
              <w:jc w:val="center"/>
            </w:pPr>
            <w:r>
              <w:t>18,0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3F" w14:textId="77777777" w:rsidR="009B3384" w:rsidRDefault="00800862">
            <w:pPr>
              <w:widowControl w:val="0"/>
              <w:tabs>
                <w:tab w:val="clear" w:pos="567"/>
              </w:tabs>
              <w:jc w:val="center"/>
            </w:pPr>
            <w:r>
              <w:t>0,20</w:t>
            </w:r>
          </w:p>
        </w:tc>
      </w:tr>
      <w:tr w:rsidR="009B3384" w14:paraId="109ACD4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41" w14:textId="77777777" w:rsidR="009B3384" w:rsidRDefault="00800862">
            <w:pPr>
              <w:widowControl w:val="0"/>
              <w:tabs>
                <w:tab w:val="clear" w:pos="567"/>
              </w:tabs>
              <w:jc w:val="center"/>
            </w:pPr>
            <w:r>
              <w:t>25</w:t>
            </w:r>
          </w:p>
        </w:tc>
        <w:tc>
          <w:tcPr>
            <w:tcW w:w="2558" w:type="dxa"/>
            <w:tcBorders>
              <w:top w:val="single" w:sz="4" w:space="0" w:color="000000"/>
              <w:left w:val="single" w:sz="4" w:space="0" w:color="000000"/>
              <w:bottom w:val="single" w:sz="4" w:space="0" w:color="000000"/>
              <w:right w:val="single" w:sz="4" w:space="0" w:color="000000"/>
            </w:tcBorders>
          </w:tcPr>
          <w:p w14:paraId="109ACD42" w14:textId="77777777" w:rsidR="009B3384" w:rsidRDefault="00800862">
            <w:pPr>
              <w:widowControl w:val="0"/>
              <w:tabs>
                <w:tab w:val="clear" w:pos="567"/>
              </w:tabs>
              <w:jc w:val="center"/>
            </w:pPr>
            <w:r>
              <w:t>18,8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43" w14:textId="77777777" w:rsidR="009B3384" w:rsidRDefault="00800862">
            <w:pPr>
              <w:widowControl w:val="0"/>
              <w:tabs>
                <w:tab w:val="clear" w:pos="567"/>
              </w:tabs>
              <w:jc w:val="center"/>
            </w:pPr>
            <w:r>
              <w:t>0,21</w:t>
            </w:r>
          </w:p>
        </w:tc>
      </w:tr>
      <w:tr w:rsidR="009B3384" w14:paraId="109ACD4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45" w14:textId="77777777" w:rsidR="009B3384" w:rsidRDefault="00800862">
            <w:pPr>
              <w:widowControl w:val="0"/>
              <w:tabs>
                <w:tab w:val="clear" w:pos="567"/>
              </w:tabs>
              <w:jc w:val="center"/>
            </w:pPr>
            <w:r>
              <w:t>26</w:t>
            </w:r>
          </w:p>
        </w:tc>
        <w:tc>
          <w:tcPr>
            <w:tcW w:w="2558" w:type="dxa"/>
            <w:tcBorders>
              <w:top w:val="single" w:sz="4" w:space="0" w:color="000000"/>
              <w:left w:val="single" w:sz="4" w:space="0" w:color="000000"/>
              <w:bottom w:val="single" w:sz="4" w:space="0" w:color="000000"/>
              <w:right w:val="single" w:sz="4" w:space="0" w:color="000000"/>
            </w:tcBorders>
          </w:tcPr>
          <w:p w14:paraId="109ACD46" w14:textId="77777777" w:rsidR="009B3384" w:rsidRDefault="00800862">
            <w:pPr>
              <w:widowControl w:val="0"/>
              <w:tabs>
                <w:tab w:val="clear" w:pos="567"/>
              </w:tabs>
              <w:jc w:val="center"/>
            </w:pPr>
            <w:r>
              <w:t>19,5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47" w14:textId="77777777" w:rsidR="009B3384" w:rsidRDefault="00800862">
            <w:pPr>
              <w:widowControl w:val="0"/>
              <w:tabs>
                <w:tab w:val="clear" w:pos="567"/>
              </w:tabs>
              <w:jc w:val="center"/>
            </w:pPr>
            <w:r>
              <w:t>0,22</w:t>
            </w:r>
          </w:p>
        </w:tc>
      </w:tr>
      <w:tr w:rsidR="009B3384" w14:paraId="109ACD4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49" w14:textId="77777777" w:rsidR="009B3384" w:rsidRDefault="00800862">
            <w:pPr>
              <w:widowControl w:val="0"/>
              <w:tabs>
                <w:tab w:val="clear" w:pos="567"/>
              </w:tabs>
              <w:jc w:val="center"/>
            </w:pPr>
            <w:r>
              <w:t>27</w:t>
            </w:r>
          </w:p>
        </w:tc>
        <w:tc>
          <w:tcPr>
            <w:tcW w:w="2558" w:type="dxa"/>
            <w:tcBorders>
              <w:top w:val="single" w:sz="4" w:space="0" w:color="000000"/>
              <w:left w:val="single" w:sz="4" w:space="0" w:color="000000"/>
              <w:bottom w:val="single" w:sz="4" w:space="0" w:color="000000"/>
              <w:right w:val="single" w:sz="4" w:space="0" w:color="000000"/>
            </w:tcBorders>
          </w:tcPr>
          <w:p w14:paraId="109ACD4A" w14:textId="77777777" w:rsidR="009B3384" w:rsidRDefault="00800862">
            <w:pPr>
              <w:widowControl w:val="0"/>
              <w:tabs>
                <w:tab w:val="clear" w:pos="567"/>
              </w:tabs>
              <w:jc w:val="center"/>
            </w:pPr>
            <w:r>
              <w:t>20,3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4B" w14:textId="77777777" w:rsidR="009B3384" w:rsidRDefault="00800862">
            <w:pPr>
              <w:widowControl w:val="0"/>
              <w:tabs>
                <w:tab w:val="clear" w:pos="567"/>
              </w:tabs>
              <w:jc w:val="center"/>
            </w:pPr>
            <w:r>
              <w:t>0,22</w:t>
            </w:r>
          </w:p>
        </w:tc>
      </w:tr>
      <w:tr w:rsidR="009B3384" w14:paraId="109ACD5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4D" w14:textId="77777777" w:rsidR="009B3384" w:rsidRDefault="00800862">
            <w:pPr>
              <w:widowControl w:val="0"/>
              <w:tabs>
                <w:tab w:val="clear" w:pos="567"/>
              </w:tabs>
              <w:jc w:val="center"/>
            </w:pPr>
            <w:r>
              <w:t>28</w:t>
            </w:r>
          </w:p>
        </w:tc>
        <w:tc>
          <w:tcPr>
            <w:tcW w:w="2558" w:type="dxa"/>
            <w:tcBorders>
              <w:top w:val="single" w:sz="4" w:space="0" w:color="000000"/>
              <w:left w:val="single" w:sz="4" w:space="0" w:color="000000"/>
              <w:bottom w:val="single" w:sz="4" w:space="0" w:color="000000"/>
              <w:right w:val="single" w:sz="4" w:space="0" w:color="000000"/>
            </w:tcBorders>
          </w:tcPr>
          <w:p w14:paraId="109ACD4E" w14:textId="77777777" w:rsidR="009B3384" w:rsidRDefault="00800862">
            <w:pPr>
              <w:widowControl w:val="0"/>
              <w:tabs>
                <w:tab w:val="clear" w:pos="567"/>
              </w:tabs>
              <w:jc w:val="center"/>
            </w:pPr>
            <w:r>
              <w:t>21,0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4F" w14:textId="77777777" w:rsidR="009B3384" w:rsidRDefault="00800862">
            <w:pPr>
              <w:widowControl w:val="0"/>
              <w:tabs>
                <w:tab w:val="clear" w:pos="567"/>
              </w:tabs>
              <w:jc w:val="center"/>
            </w:pPr>
            <w:r>
              <w:t>0,23</w:t>
            </w:r>
          </w:p>
        </w:tc>
      </w:tr>
      <w:tr w:rsidR="009B3384" w14:paraId="109ACD5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51" w14:textId="77777777" w:rsidR="009B3384" w:rsidRDefault="00800862">
            <w:pPr>
              <w:widowControl w:val="0"/>
              <w:tabs>
                <w:tab w:val="clear" w:pos="567"/>
              </w:tabs>
              <w:jc w:val="center"/>
            </w:pPr>
            <w:r>
              <w:t>29</w:t>
            </w:r>
          </w:p>
        </w:tc>
        <w:tc>
          <w:tcPr>
            <w:tcW w:w="2558" w:type="dxa"/>
            <w:tcBorders>
              <w:top w:val="single" w:sz="4" w:space="0" w:color="000000"/>
              <w:left w:val="single" w:sz="4" w:space="0" w:color="000000"/>
              <w:bottom w:val="single" w:sz="4" w:space="0" w:color="000000"/>
              <w:right w:val="single" w:sz="4" w:space="0" w:color="000000"/>
            </w:tcBorders>
          </w:tcPr>
          <w:p w14:paraId="109ACD52" w14:textId="77777777" w:rsidR="009B3384" w:rsidRDefault="00800862">
            <w:pPr>
              <w:widowControl w:val="0"/>
              <w:tabs>
                <w:tab w:val="clear" w:pos="567"/>
              </w:tabs>
              <w:jc w:val="center"/>
            </w:pPr>
            <w:r>
              <w:t>21,8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53" w14:textId="77777777" w:rsidR="009B3384" w:rsidRDefault="00800862">
            <w:pPr>
              <w:widowControl w:val="0"/>
              <w:tabs>
                <w:tab w:val="clear" w:pos="567"/>
              </w:tabs>
              <w:jc w:val="center"/>
            </w:pPr>
            <w:r>
              <w:t>0,24</w:t>
            </w:r>
          </w:p>
        </w:tc>
      </w:tr>
      <w:tr w:rsidR="009B3384" w14:paraId="109ACD5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55" w14:textId="77777777" w:rsidR="009B3384" w:rsidRDefault="00800862">
            <w:pPr>
              <w:widowControl w:val="0"/>
              <w:tabs>
                <w:tab w:val="clear" w:pos="567"/>
              </w:tabs>
              <w:jc w:val="center"/>
            </w:pPr>
            <w:r>
              <w:t>30</w:t>
            </w:r>
          </w:p>
        </w:tc>
        <w:tc>
          <w:tcPr>
            <w:tcW w:w="2558" w:type="dxa"/>
            <w:tcBorders>
              <w:top w:val="single" w:sz="4" w:space="0" w:color="000000"/>
              <w:left w:val="single" w:sz="4" w:space="0" w:color="000000"/>
              <w:bottom w:val="single" w:sz="4" w:space="0" w:color="000000"/>
              <w:right w:val="single" w:sz="4" w:space="0" w:color="000000"/>
            </w:tcBorders>
          </w:tcPr>
          <w:p w14:paraId="109ACD56" w14:textId="77777777" w:rsidR="009B3384" w:rsidRDefault="00800862">
            <w:pPr>
              <w:widowControl w:val="0"/>
              <w:tabs>
                <w:tab w:val="clear" w:pos="567"/>
              </w:tabs>
              <w:jc w:val="center"/>
            </w:pPr>
            <w:r>
              <w:t>22,5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57" w14:textId="77777777" w:rsidR="009B3384" w:rsidRDefault="00800862">
            <w:pPr>
              <w:widowControl w:val="0"/>
              <w:tabs>
                <w:tab w:val="clear" w:pos="567"/>
              </w:tabs>
              <w:jc w:val="center"/>
            </w:pPr>
            <w:r>
              <w:t>0,25</w:t>
            </w:r>
          </w:p>
        </w:tc>
      </w:tr>
      <w:tr w:rsidR="009B3384" w14:paraId="109ACD5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59" w14:textId="77777777" w:rsidR="009B3384" w:rsidRDefault="00800862">
            <w:pPr>
              <w:widowControl w:val="0"/>
              <w:tabs>
                <w:tab w:val="clear" w:pos="567"/>
              </w:tabs>
              <w:jc w:val="center"/>
            </w:pPr>
            <w:r>
              <w:t>31</w:t>
            </w:r>
          </w:p>
        </w:tc>
        <w:tc>
          <w:tcPr>
            <w:tcW w:w="2558" w:type="dxa"/>
            <w:tcBorders>
              <w:top w:val="single" w:sz="4" w:space="0" w:color="000000"/>
              <w:left w:val="single" w:sz="4" w:space="0" w:color="000000"/>
              <w:bottom w:val="single" w:sz="4" w:space="0" w:color="000000"/>
              <w:right w:val="single" w:sz="4" w:space="0" w:color="000000"/>
            </w:tcBorders>
          </w:tcPr>
          <w:p w14:paraId="109ACD5A" w14:textId="77777777" w:rsidR="009B3384" w:rsidRDefault="00800862">
            <w:pPr>
              <w:widowControl w:val="0"/>
              <w:tabs>
                <w:tab w:val="clear" w:pos="567"/>
              </w:tabs>
              <w:jc w:val="center"/>
            </w:pPr>
            <w:r>
              <w:t>23,3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5B" w14:textId="77777777" w:rsidR="009B3384" w:rsidRDefault="00800862">
            <w:pPr>
              <w:widowControl w:val="0"/>
              <w:tabs>
                <w:tab w:val="clear" w:pos="567"/>
              </w:tabs>
              <w:jc w:val="center"/>
            </w:pPr>
            <w:r>
              <w:t>0,26</w:t>
            </w:r>
          </w:p>
        </w:tc>
      </w:tr>
      <w:tr w:rsidR="009B3384" w14:paraId="109ACD6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5D" w14:textId="77777777" w:rsidR="009B3384" w:rsidRDefault="00800862">
            <w:pPr>
              <w:widowControl w:val="0"/>
              <w:tabs>
                <w:tab w:val="clear" w:pos="567"/>
              </w:tabs>
              <w:jc w:val="center"/>
            </w:pPr>
            <w:r>
              <w:t>32</w:t>
            </w:r>
          </w:p>
        </w:tc>
        <w:tc>
          <w:tcPr>
            <w:tcW w:w="2558" w:type="dxa"/>
            <w:tcBorders>
              <w:top w:val="single" w:sz="4" w:space="0" w:color="000000"/>
              <w:left w:val="single" w:sz="4" w:space="0" w:color="000000"/>
              <w:bottom w:val="single" w:sz="4" w:space="0" w:color="000000"/>
              <w:right w:val="single" w:sz="4" w:space="0" w:color="000000"/>
            </w:tcBorders>
          </w:tcPr>
          <w:p w14:paraId="109ACD5E" w14:textId="77777777" w:rsidR="009B3384" w:rsidRDefault="00800862">
            <w:pPr>
              <w:widowControl w:val="0"/>
              <w:tabs>
                <w:tab w:val="clear" w:pos="567"/>
              </w:tabs>
              <w:jc w:val="center"/>
            </w:pPr>
            <w:r>
              <w:t>24,0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5F" w14:textId="77777777" w:rsidR="009B3384" w:rsidRDefault="00800862">
            <w:pPr>
              <w:widowControl w:val="0"/>
              <w:tabs>
                <w:tab w:val="clear" w:pos="567"/>
              </w:tabs>
              <w:jc w:val="center"/>
            </w:pPr>
            <w:r>
              <w:t>0,27</w:t>
            </w:r>
          </w:p>
        </w:tc>
      </w:tr>
      <w:tr w:rsidR="009B3384" w14:paraId="109ACD6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61" w14:textId="77777777" w:rsidR="009B3384" w:rsidRDefault="00800862">
            <w:pPr>
              <w:widowControl w:val="0"/>
              <w:tabs>
                <w:tab w:val="clear" w:pos="567"/>
              </w:tabs>
              <w:jc w:val="center"/>
            </w:pPr>
            <w:r>
              <w:t>33</w:t>
            </w:r>
          </w:p>
        </w:tc>
        <w:tc>
          <w:tcPr>
            <w:tcW w:w="2558" w:type="dxa"/>
            <w:tcBorders>
              <w:top w:val="single" w:sz="4" w:space="0" w:color="000000"/>
              <w:left w:val="single" w:sz="4" w:space="0" w:color="000000"/>
              <w:bottom w:val="single" w:sz="4" w:space="0" w:color="000000"/>
              <w:right w:val="single" w:sz="4" w:space="0" w:color="000000"/>
            </w:tcBorders>
          </w:tcPr>
          <w:p w14:paraId="109ACD62" w14:textId="77777777" w:rsidR="009B3384" w:rsidRDefault="00800862">
            <w:pPr>
              <w:widowControl w:val="0"/>
              <w:tabs>
                <w:tab w:val="clear" w:pos="567"/>
              </w:tabs>
              <w:jc w:val="center"/>
            </w:pPr>
            <w:r>
              <w:t>24,8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63" w14:textId="77777777" w:rsidR="009B3384" w:rsidRDefault="00800862">
            <w:pPr>
              <w:widowControl w:val="0"/>
              <w:tabs>
                <w:tab w:val="clear" w:pos="567"/>
              </w:tabs>
              <w:jc w:val="center"/>
            </w:pPr>
            <w:r>
              <w:t>0,27</w:t>
            </w:r>
          </w:p>
        </w:tc>
      </w:tr>
      <w:tr w:rsidR="009B3384" w14:paraId="109ACD6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65" w14:textId="77777777" w:rsidR="009B3384" w:rsidRDefault="00800862">
            <w:pPr>
              <w:widowControl w:val="0"/>
              <w:tabs>
                <w:tab w:val="clear" w:pos="567"/>
              </w:tabs>
              <w:jc w:val="center"/>
            </w:pPr>
            <w:r>
              <w:t>34</w:t>
            </w:r>
          </w:p>
        </w:tc>
        <w:tc>
          <w:tcPr>
            <w:tcW w:w="2558" w:type="dxa"/>
            <w:tcBorders>
              <w:top w:val="single" w:sz="4" w:space="0" w:color="000000"/>
              <w:left w:val="single" w:sz="4" w:space="0" w:color="000000"/>
              <w:bottom w:val="single" w:sz="4" w:space="0" w:color="000000"/>
              <w:right w:val="single" w:sz="4" w:space="0" w:color="000000"/>
            </w:tcBorders>
          </w:tcPr>
          <w:p w14:paraId="109ACD66" w14:textId="77777777" w:rsidR="009B3384" w:rsidRDefault="00800862">
            <w:pPr>
              <w:widowControl w:val="0"/>
              <w:tabs>
                <w:tab w:val="clear" w:pos="567"/>
              </w:tabs>
              <w:jc w:val="center"/>
            </w:pPr>
            <w:r>
              <w:t>25,5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67" w14:textId="77777777" w:rsidR="009B3384" w:rsidRDefault="00800862">
            <w:pPr>
              <w:widowControl w:val="0"/>
              <w:tabs>
                <w:tab w:val="clear" w:pos="567"/>
              </w:tabs>
              <w:jc w:val="center"/>
            </w:pPr>
            <w:r>
              <w:t>0,28</w:t>
            </w:r>
          </w:p>
        </w:tc>
      </w:tr>
      <w:tr w:rsidR="009B3384" w14:paraId="109ACD6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69" w14:textId="77777777" w:rsidR="009B3384" w:rsidRDefault="00800862">
            <w:pPr>
              <w:widowControl w:val="0"/>
              <w:tabs>
                <w:tab w:val="clear" w:pos="567"/>
              </w:tabs>
              <w:jc w:val="center"/>
            </w:pPr>
            <w:r>
              <w:t>35</w:t>
            </w:r>
          </w:p>
        </w:tc>
        <w:tc>
          <w:tcPr>
            <w:tcW w:w="2558" w:type="dxa"/>
            <w:tcBorders>
              <w:top w:val="single" w:sz="4" w:space="0" w:color="000000"/>
              <w:left w:val="single" w:sz="4" w:space="0" w:color="000000"/>
              <w:bottom w:val="single" w:sz="4" w:space="0" w:color="000000"/>
              <w:right w:val="single" w:sz="4" w:space="0" w:color="000000"/>
            </w:tcBorders>
          </w:tcPr>
          <w:p w14:paraId="109ACD6A" w14:textId="77777777" w:rsidR="009B3384" w:rsidRDefault="00800862">
            <w:pPr>
              <w:widowControl w:val="0"/>
              <w:tabs>
                <w:tab w:val="clear" w:pos="567"/>
              </w:tabs>
              <w:jc w:val="center"/>
            </w:pPr>
            <w:r>
              <w:t>26,3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6B" w14:textId="77777777" w:rsidR="009B3384" w:rsidRDefault="00800862">
            <w:pPr>
              <w:widowControl w:val="0"/>
              <w:tabs>
                <w:tab w:val="clear" w:pos="567"/>
              </w:tabs>
              <w:jc w:val="center"/>
            </w:pPr>
            <w:r>
              <w:t>0,29</w:t>
            </w:r>
          </w:p>
        </w:tc>
      </w:tr>
      <w:tr w:rsidR="009B3384" w14:paraId="109ACD7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6D" w14:textId="77777777" w:rsidR="009B3384" w:rsidRDefault="00800862">
            <w:pPr>
              <w:widowControl w:val="0"/>
              <w:tabs>
                <w:tab w:val="clear" w:pos="567"/>
              </w:tabs>
              <w:jc w:val="center"/>
            </w:pPr>
            <w:r>
              <w:t>36</w:t>
            </w:r>
          </w:p>
        </w:tc>
        <w:tc>
          <w:tcPr>
            <w:tcW w:w="2558" w:type="dxa"/>
            <w:tcBorders>
              <w:top w:val="single" w:sz="4" w:space="0" w:color="000000"/>
              <w:left w:val="single" w:sz="4" w:space="0" w:color="000000"/>
              <w:bottom w:val="single" w:sz="4" w:space="0" w:color="000000"/>
              <w:right w:val="single" w:sz="4" w:space="0" w:color="000000"/>
            </w:tcBorders>
          </w:tcPr>
          <w:p w14:paraId="109ACD6E" w14:textId="77777777" w:rsidR="009B3384" w:rsidRDefault="00800862">
            <w:pPr>
              <w:widowControl w:val="0"/>
              <w:tabs>
                <w:tab w:val="clear" w:pos="567"/>
              </w:tabs>
              <w:jc w:val="center"/>
            </w:pPr>
            <w:r>
              <w:t>27,0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6F" w14:textId="77777777" w:rsidR="009B3384" w:rsidRDefault="00800862">
            <w:pPr>
              <w:widowControl w:val="0"/>
              <w:tabs>
                <w:tab w:val="clear" w:pos="567"/>
              </w:tabs>
              <w:jc w:val="center"/>
            </w:pPr>
            <w:r>
              <w:t>0,30</w:t>
            </w:r>
          </w:p>
        </w:tc>
      </w:tr>
      <w:tr w:rsidR="009B3384" w14:paraId="109ACD7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71" w14:textId="77777777" w:rsidR="009B3384" w:rsidRDefault="00800862">
            <w:pPr>
              <w:widowControl w:val="0"/>
              <w:tabs>
                <w:tab w:val="clear" w:pos="567"/>
              </w:tabs>
              <w:jc w:val="center"/>
            </w:pPr>
            <w:r>
              <w:t>37</w:t>
            </w:r>
          </w:p>
        </w:tc>
        <w:tc>
          <w:tcPr>
            <w:tcW w:w="2558" w:type="dxa"/>
            <w:tcBorders>
              <w:top w:val="single" w:sz="4" w:space="0" w:color="000000"/>
              <w:left w:val="single" w:sz="4" w:space="0" w:color="000000"/>
              <w:bottom w:val="single" w:sz="4" w:space="0" w:color="000000"/>
              <w:right w:val="single" w:sz="4" w:space="0" w:color="000000"/>
            </w:tcBorders>
          </w:tcPr>
          <w:p w14:paraId="109ACD72" w14:textId="77777777" w:rsidR="009B3384" w:rsidRDefault="00800862">
            <w:pPr>
              <w:widowControl w:val="0"/>
              <w:tabs>
                <w:tab w:val="clear" w:pos="567"/>
              </w:tabs>
              <w:jc w:val="center"/>
            </w:pPr>
            <w:r>
              <w:t>27,8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73" w14:textId="77777777" w:rsidR="009B3384" w:rsidRDefault="00800862">
            <w:pPr>
              <w:widowControl w:val="0"/>
              <w:tabs>
                <w:tab w:val="clear" w:pos="567"/>
              </w:tabs>
              <w:jc w:val="center"/>
            </w:pPr>
            <w:r>
              <w:t>0,31</w:t>
            </w:r>
          </w:p>
        </w:tc>
      </w:tr>
      <w:tr w:rsidR="009B3384" w14:paraId="109ACD7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75" w14:textId="77777777" w:rsidR="009B3384" w:rsidRDefault="00800862">
            <w:pPr>
              <w:widowControl w:val="0"/>
              <w:tabs>
                <w:tab w:val="clear" w:pos="567"/>
              </w:tabs>
              <w:jc w:val="center"/>
            </w:pPr>
            <w:r>
              <w:t>38</w:t>
            </w:r>
          </w:p>
        </w:tc>
        <w:tc>
          <w:tcPr>
            <w:tcW w:w="2558" w:type="dxa"/>
            <w:tcBorders>
              <w:top w:val="single" w:sz="4" w:space="0" w:color="000000"/>
              <w:left w:val="single" w:sz="4" w:space="0" w:color="000000"/>
              <w:bottom w:val="single" w:sz="4" w:space="0" w:color="000000"/>
              <w:right w:val="single" w:sz="4" w:space="0" w:color="000000"/>
            </w:tcBorders>
          </w:tcPr>
          <w:p w14:paraId="109ACD76" w14:textId="77777777" w:rsidR="009B3384" w:rsidRDefault="00800862">
            <w:pPr>
              <w:widowControl w:val="0"/>
              <w:tabs>
                <w:tab w:val="clear" w:pos="567"/>
              </w:tabs>
              <w:jc w:val="center"/>
            </w:pPr>
            <w:r>
              <w:t>28,5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77" w14:textId="77777777" w:rsidR="009B3384" w:rsidRDefault="00800862">
            <w:pPr>
              <w:widowControl w:val="0"/>
              <w:tabs>
                <w:tab w:val="clear" w:pos="567"/>
              </w:tabs>
              <w:jc w:val="center"/>
            </w:pPr>
            <w:r>
              <w:t>0,32</w:t>
            </w:r>
          </w:p>
        </w:tc>
      </w:tr>
      <w:tr w:rsidR="009B3384" w14:paraId="109ACD7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79" w14:textId="77777777" w:rsidR="009B3384" w:rsidRDefault="00800862">
            <w:pPr>
              <w:widowControl w:val="0"/>
              <w:tabs>
                <w:tab w:val="clear" w:pos="567"/>
              </w:tabs>
              <w:jc w:val="center"/>
            </w:pPr>
            <w:r>
              <w:t>39</w:t>
            </w:r>
          </w:p>
        </w:tc>
        <w:tc>
          <w:tcPr>
            <w:tcW w:w="2558" w:type="dxa"/>
            <w:tcBorders>
              <w:top w:val="single" w:sz="4" w:space="0" w:color="000000"/>
              <w:left w:val="single" w:sz="4" w:space="0" w:color="000000"/>
              <w:bottom w:val="single" w:sz="4" w:space="0" w:color="000000"/>
              <w:right w:val="single" w:sz="4" w:space="0" w:color="000000"/>
            </w:tcBorders>
          </w:tcPr>
          <w:p w14:paraId="109ACD7A" w14:textId="77777777" w:rsidR="009B3384" w:rsidRDefault="00800862">
            <w:pPr>
              <w:widowControl w:val="0"/>
              <w:tabs>
                <w:tab w:val="clear" w:pos="567"/>
              </w:tabs>
              <w:jc w:val="center"/>
            </w:pPr>
            <w:r>
              <w:t>29,3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7B" w14:textId="77777777" w:rsidR="009B3384" w:rsidRDefault="00800862">
            <w:pPr>
              <w:widowControl w:val="0"/>
              <w:tabs>
                <w:tab w:val="clear" w:pos="567"/>
              </w:tabs>
              <w:jc w:val="center"/>
            </w:pPr>
            <w:r>
              <w:t>0,32</w:t>
            </w:r>
          </w:p>
        </w:tc>
      </w:tr>
      <w:tr w:rsidR="009B3384" w14:paraId="109ACD8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7D" w14:textId="77777777" w:rsidR="009B3384" w:rsidRDefault="00800862">
            <w:pPr>
              <w:widowControl w:val="0"/>
              <w:tabs>
                <w:tab w:val="clear" w:pos="567"/>
              </w:tabs>
              <w:jc w:val="center"/>
            </w:pPr>
            <w:r>
              <w:t>40</w:t>
            </w:r>
          </w:p>
        </w:tc>
        <w:tc>
          <w:tcPr>
            <w:tcW w:w="2558" w:type="dxa"/>
            <w:tcBorders>
              <w:top w:val="single" w:sz="4" w:space="0" w:color="000000"/>
              <w:left w:val="single" w:sz="4" w:space="0" w:color="000000"/>
              <w:bottom w:val="single" w:sz="4" w:space="0" w:color="000000"/>
              <w:right w:val="single" w:sz="4" w:space="0" w:color="000000"/>
            </w:tcBorders>
          </w:tcPr>
          <w:p w14:paraId="109ACD7E" w14:textId="77777777" w:rsidR="009B3384" w:rsidRDefault="00800862">
            <w:pPr>
              <w:widowControl w:val="0"/>
              <w:tabs>
                <w:tab w:val="clear" w:pos="567"/>
              </w:tabs>
              <w:jc w:val="center"/>
            </w:pPr>
            <w:r>
              <w:t>30,0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7F" w14:textId="77777777" w:rsidR="009B3384" w:rsidRDefault="00800862">
            <w:pPr>
              <w:widowControl w:val="0"/>
              <w:tabs>
                <w:tab w:val="clear" w:pos="567"/>
              </w:tabs>
              <w:jc w:val="center"/>
            </w:pPr>
            <w:r>
              <w:t>0,33</w:t>
            </w:r>
          </w:p>
        </w:tc>
      </w:tr>
      <w:tr w:rsidR="009B3384" w14:paraId="109ACD8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81" w14:textId="77777777" w:rsidR="009B3384" w:rsidRDefault="00800862">
            <w:pPr>
              <w:widowControl w:val="0"/>
              <w:tabs>
                <w:tab w:val="clear" w:pos="567"/>
              </w:tabs>
              <w:jc w:val="center"/>
            </w:pPr>
            <w:r>
              <w:t>41</w:t>
            </w:r>
          </w:p>
        </w:tc>
        <w:tc>
          <w:tcPr>
            <w:tcW w:w="2558" w:type="dxa"/>
            <w:tcBorders>
              <w:top w:val="single" w:sz="4" w:space="0" w:color="000000"/>
              <w:left w:val="single" w:sz="4" w:space="0" w:color="000000"/>
              <w:bottom w:val="single" w:sz="4" w:space="0" w:color="000000"/>
              <w:right w:val="single" w:sz="4" w:space="0" w:color="000000"/>
            </w:tcBorders>
          </w:tcPr>
          <w:p w14:paraId="109ACD82" w14:textId="77777777" w:rsidR="009B3384" w:rsidRDefault="00800862">
            <w:pPr>
              <w:widowControl w:val="0"/>
              <w:tabs>
                <w:tab w:val="clear" w:pos="567"/>
              </w:tabs>
              <w:jc w:val="center"/>
            </w:pPr>
            <w:r>
              <w:t>30,8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83" w14:textId="77777777" w:rsidR="009B3384" w:rsidRDefault="00800862">
            <w:pPr>
              <w:widowControl w:val="0"/>
              <w:tabs>
                <w:tab w:val="clear" w:pos="567"/>
              </w:tabs>
              <w:jc w:val="center"/>
            </w:pPr>
            <w:r>
              <w:t>0,34</w:t>
            </w:r>
          </w:p>
        </w:tc>
      </w:tr>
      <w:tr w:rsidR="009B3384" w14:paraId="109ACD8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85" w14:textId="77777777" w:rsidR="009B3384" w:rsidRDefault="00800862">
            <w:pPr>
              <w:widowControl w:val="0"/>
              <w:tabs>
                <w:tab w:val="clear" w:pos="567"/>
              </w:tabs>
              <w:jc w:val="center"/>
            </w:pPr>
            <w:r>
              <w:t>42</w:t>
            </w:r>
          </w:p>
        </w:tc>
        <w:tc>
          <w:tcPr>
            <w:tcW w:w="2558" w:type="dxa"/>
            <w:tcBorders>
              <w:top w:val="single" w:sz="4" w:space="0" w:color="000000"/>
              <w:left w:val="single" w:sz="4" w:space="0" w:color="000000"/>
              <w:bottom w:val="single" w:sz="4" w:space="0" w:color="000000"/>
              <w:right w:val="single" w:sz="4" w:space="0" w:color="000000"/>
            </w:tcBorders>
          </w:tcPr>
          <w:p w14:paraId="109ACD86" w14:textId="77777777" w:rsidR="009B3384" w:rsidRDefault="00800862">
            <w:pPr>
              <w:widowControl w:val="0"/>
              <w:tabs>
                <w:tab w:val="clear" w:pos="567"/>
              </w:tabs>
              <w:jc w:val="center"/>
            </w:pPr>
            <w:r>
              <w:t>31,5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87" w14:textId="77777777" w:rsidR="009B3384" w:rsidRDefault="00800862">
            <w:pPr>
              <w:widowControl w:val="0"/>
              <w:tabs>
                <w:tab w:val="clear" w:pos="567"/>
              </w:tabs>
              <w:jc w:val="center"/>
            </w:pPr>
            <w:r>
              <w:t>0,35</w:t>
            </w:r>
          </w:p>
        </w:tc>
      </w:tr>
      <w:tr w:rsidR="009B3384" w14:paraId="109ACD8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89" w14:textId="77777777" w:rsidR="009B3384" w:rsidRDefault="00800862">
            <w:pPr>
              <w:widowControl w:val="0"/>
              <w:tabs>
                <w:tab w:val="clear" w:pos="567"/>
              </w:tabs>
              <w:jc w:val="center"/>
            </w:pPr>
            <w:r>
              <w:lastRenderedPageBreak/>
              <w:t>43</w:t>
            </w:r>
          </w:p>
        </w:tc>
        <w:tc>
          <w:tcPr>
            <w:tcW w:w="2558" w:type="dxa"/>
            <w:tcBorders>
              <w:top w:val="single" w:sz="4" w:space="0" w:color="000000"/>
              <w:left w:val="single" w:sz="4" w:space="0" w:color="000000"/>
              <w:bottom w:val="single" w:sz="4" w:space="0" w:color="000000"/>
              <w:right w:val="single" w:sz="4" w:space="0" w:color="000000"/>
            </w:tcBorders>
          </w:tcPr>
          <w:p w14:paraId="109ACD8A" w14:textId="77777777" w:rsidR="009B3384" w:rsidRDefault="00800862">
            <w:pPr>
              <w:widowControl w:val="0"/>
              <w:tabs>
                <w:tab w:val="clear" w:pos="567"/>
              </w:tabs>
              <w:jc w:val="center"/>
            </w:pPr>
            <w:r>
              <w:t>32,3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8B" w14:textId="77777777" w:rsidR="009B3384" w:rsidRDefault="00800862">
            <w:pPr>
              <w:widowControl w:val="0"/>
              <w:tabs>
                <w:tab w:val="clear" w:pos="567"/>
              </w:tabs>
              <w:jc w:val="center"/>
            </w:pPr>
            <w:r>
              <w:t>0,36</w:t>
            </w:r>
          </w:p>
        </w:tc>
      </w:tr>
      <w:tr w:rsidR="009B3384" w14:paraId="109ACD9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8D" w14:textId="77777777" w:rsidR="009B3384" w:rsidRDefault="00800862">
            <w:pPr>
              <w:widowControl w:val="0"/>
              <w:tabs>
                <w:tab w:val="clear" w:pos="567"/>
              </w:tabs>
              <w:jc w:val="center"/>
            </w:pPr>
            <w:r>
              <w:t>44</w:t>
            </w:r>
          </w:p>
        </w:tc>
        <w:tc>
          <w:tcPr>
            <w:tcW w:w="2558" w:type="dxa"/>
            <w:tcBorders>
              <w:top w:val="single" w:sz="4" w:space="0" w:color="000000"/>
              <w:left w:val="single" w:sz="4" w:space="0" w:color="000000"/>
              <w:bottom w:val="single" w:sz="4" w:space="0" w:color="000000"/>
              <w:right w:val="single" w:sz="4" w:space="0" w:color="000000"/>
            </w:tcBorders>
          </w:tcPr>
          <w:p w14:paraId="109ACD8E" w14:textId="77777777" w:rsidR="009B3384" w:rsidRDefault="00800862">
            <w:pPr>
              <w:widowControl w:val="0"/>
              <w:tabs>
                <w:tab w:val="clear" w:pos="567"/>
              </w:tabs>
              <w:jc w:val="center"/>
            </w:pPr>
            <w:r>
              <w:t>33,0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8F" w14:textId="77777777" w:rsidR="009B3384" w:rsidRDefault="00800862">
            <w:pPr>
              <w:widowControl w:val="0"/>
              <w:tabs>
                <w:tab w:val="clear" w:pos="567"/>
              </w:tabs>
              <w:jc w:val="center"/>
            </w:pPr>
            <w:r>
              <w:t>0,37</w:t>
            </w:r>
          </w:p>
        </w:tc>
      </w:tr>
      <w:tr w:rsidR="009B3384" w14:paraId="109ACD9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91" w14:textId="77777777" w:rsidR="009B3384" w:rsidRDefault="00800862">
            <w:pPr>
              <w:widowControl w:val="0"/>
              <w:tabs>
                <w:tab w:val="clear" w:pos="567"/>
              </w:tabs>
              <w:jc w:val="center"/>
            </w:pPr>
            <w:r>
              <w:t>45</w:t>
            </w:r>
          </w:p>
        </w:tc>
        <w:tc>
          <w:tcPr>
            <w:tcW w:w="2558" w:type="dxa"/>
            <w:tcBorders>
              <w:top w:val="single" w:sz="4" w:space="0" w:color="000000"/>
              <w:left w:val="single" w:sz="4" w:space="0" w:color="000000"/>
              <w:bottom w:val="single" w:sz="4" w:space="0" w:color="000000"/>
              <w:right w:val="single" w:sz="4" w:space="0" w:color="000000"/>
            </w:tcBorders>
          </w:tcPr>
          <w:p w14:paraId="109ACD92" w14:textId="77777777" w:rsidR="009B3384" w:rsidRDefault="00800862">
            <w:pPr>
              <w:widowControl w:val="0"/>
              <w:tabs>
                <w:tab w:val="clear" w:pos="567"/>
              </w:tabs>
              <w:jc w:val="center"/>
            </w:pPr>
            <w:r>
              <w:t>33,8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93" w14:textId="77777777" w:rsidR="009B3384" w:rsidRDefault="00800862">
            <w:pPr>
              <w:widowControl w:val="0"/>
              <w:tabs>
                <w:tab w:val="clear" w:pos="567"/>
              </w:tabs>
              <w:jc w:val="center"/>
            </w:pPr>
            <w:r>
              <w:t>0,37</w:t>
            </w:r>
          </w:p>
        </w:tc>
      </w:tr>
      <w:tr w:rsidR="009B3384" w14:paraId="109ACD9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95" w14:textId="77777777" w:rsidR="009B3384" w:rsidRDefault="00800862">
            <w:pPr>
              <w:widowControl w:val="0"/>
              <w:tabs>
                <w:tab w:val="clear" w:pos="567"/>
              </w:tabs>
              <w:jc w:val="center"/>
            </w:pPr>
            <w:r>
              <w:t>46</w:t>
            </w:r>
          </w:p>
        </w:tc>
        <w:tc>
          <w:tcPr>
            <w:tcW w:w="2558" w:type="dxa"/>
            <w:tcBorders>
              <w:top w:val="single" w:sz="4" w:space="0" w:color="000000"/>
              <w:left w:val="single" w:sz="4" w:space="0" w:color="000000"/>
              <w:bottom w:val="single" w:sz="4" w:space="0" w:color="000000"/>
              <w:right w:val="single" w:sz="4" w:space="0" w:color="000000"/>
            </w:tcBorders>
          </w:tcPr>
          <w:p w14:paraId="109ACD96" w14:textId="77777777" w:rsidR="009B3384" w:rsidRDefault="00800862">
            <w:pPr>
              <w:widowControl w:val="0"/>
              <w:tabs>
                <w:tab w:val="clear" w:pos="567"/>
              </w:tabs>
              <w:jc w:val="center"/>
            </w:pPr>
            <w:r>
              <w:t>34,5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97" w14:textId="77777777" w:rsidR="009B3384" w:rsidRDefault="00800862">
            <w:pPr>
              <w:widowControl w:val="0"/>
              <w:tabs>
                <w:tab w:val="clear" w:pos="567"/>
              </w:tabs>
              <w:jc w:val="center"/>
            </w:pPr>
            <w:r>
              <w:t>0,38</w:t>
            </w:r>
          </w:p>
        </w:tc>
      </w:tr>
      <w:tr w:rsidR="009B3384" w14:paraId="109ACD9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99" w14:textId="77777777" w:rsidR="009B3384" w:rsidRDefault="00800862">
            <w:pPr>
              <w:widowControl w:val="0"/>
              <w:tabs>
                <w:tab w:val="clear" w:pos="567"/>
              </w:tabs>
              <w:jc w:val="center"/>
            </w:pPr>
            <w:r>
              <w:t>47</w:t>
            </w:r>
          </w:p>
        </w:tc>
        <w:tc>
          <w:tcPr>
            <w:tcW w:w="2558" w:type="dxa"/>
            <w:tcBorders>
              <w:top w:val="single" w:sz="4" w:space="0" w:color="000000"/>
              <w:left w:val="single" w:sz="4" w:space="0" w:color="000000"/>
              <w:bottom w:val="single" w:sz="4" w:space="0" w:color="000000"/>
              <w:right w:val="single" w:sz="4" w:space="0" w:color="000000"/>
            </w:tcBorders>
          </w:tcPr>
          <w:p w14:paraId="109ACD9A" w14:textId="77777777" w:rsidR="009B3384" w:rsidRDefault="00800862">
            <w:pPr>
              <w:widowControl w:val="0"/>
              <w:tabs>
                <w:tab w:val="clear" w:pos="567"/>
              </w:tabs>
              <w:jc w:val="center"/>
            </w:pPr>
            <w:r>
              <w:t>35,3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9B" w14:textId="77777777" w:rsidR="009B3384" w:rsidRDefault="00800862">
            <w:pPr>
              <w:widowControl w:val="0"/>
              <w:tabs>
                <w:tab w:val="clear" w:pos="567"/>
              </w:tabs>
              <w:jc w:val="center"/>
            </w:pPr>
            <w:r>
              <w:t>0,39</w:t>
            </w:r>
          </w:p>
        </w:tc>
      </w:tr>
      <w:tr w:rsidR="009B3384" w14:paraId="109ACDA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9D" w14:textId="77777777" w:rsidR="009B3384" w:rsidRDefault="00800862">
            <w:pPr>
              <w:widowControl w:val="0"/>
              <w:tabs>
                <w:tab w:val="clear" w:pos="567"/>
              </w:tabs>
              <w:jc w:val="center"/>
            </w:pPr>
            <w:r>
              <w:t>48</w:t>
            </w:r>
          </w:p>
        </w:tc>
        <w:tc>
          <w:tcPr>
            <w:tcW w:w="2558" w:type="dxa"/>
            <w:tcBorders>
              <w:top w:val="single" w:sz="4" w:space="0" w:color="000000"/>
              <w:left w:val="single" w:sz="4" w:space="0" w:color="000000"/>
              <w:bottom w:val="single" w:sz="4" w:space="0" w:color="000000"/>
              <w:right w:val="single" w:sz="4" w:space="0" w:color="000000"/>
            </w:tcBorders>
          </w:tcPr>
          <w:p w14:paraId="109ACD9E" w14:textId="77777777" w:rsidR="009B3384" w:rsidRDefault="00800862">
            <w:pPr>
              <w:widowControl w:val="0"/>
              <w:tabs>
                <w:tab w:val="clear" w:pos="567"/>
              </w:tabs>
              <w:jc w:val="center"/>
            </w:pPr>
            <w:r>
              <w:t>36,0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9F" w14:textId="77777777" w:rsidR="009B3384" w:rsidRDefault="00800862">
            <w:pPr>
              <w:widowControl w:val="0"/>
              <w:tabs>
                <w:tab w:val="clear" w:pos="567"/>
              </w:tabs>
              <w:jc w:val="center"/>
            </w:pPr>
            <w:r>
              <w:t>0,40</w:t>
            </w:r>
          </w:p>
        </w:tc>
      </w:tr>
      <w:tr w:rsidR="009B3384" w14:paraId="109ACDA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A1" w14:textId="77777777" w:rsidR="009B3384" w:rsidRDefault="00800862">
            <w:pPr>
              <w:widowControl w:val="0"/>
              <w:tabs>
                <w:tab w:val="clear" w:pos="567"/>
              </w:tabs>
              <w:jc w:val="center"/>
            </w:pPr>
            <w:r>
              <w:t>49</w:t>
            </w:r>
          </w:p>
        </w:tc>
        <w:tc>
          <w:tcPr>
            <w:tcW w:w="2558" w:type="dxa"/>
            <w:tcBorders>
              <w:top w:val="single" w:sz="4" w:space="0" w:color="000000"/>
              <w:left w:val="single" w:sz="4" w:space="0" w:color="000000"/>
              <w:bottom w:val="single" w:sz="4" w:space="0" w:color="000000"/>
              <w:right w:val="single" w:sz="4" w:space="0" w:color="000000"/>
            </w:tcBorders>
          </w:tcPr>
          <w:p w14:paraId="109ACDA2" w14:textId="77777777" w:rsidR="009B3384" w:rsidRDefault="00800862">
            <w:pPr>
              <w:widowControl w:val="0"/>
              <w:tabs>
                <w:tab w:val="clear" w:pos="567"/>
              </w:tabs>
              <w:jc w:val="center"/>
            </w:pPr>
            <w:r>
              <w:t>36,8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A3" w14:textId="77777777" w:rsidR="009B3384" w:rsidRDefault="00800862">
            <w:pPr>
              <w:widowControl w:val="0"/>
              <w:tabs>
                <w:tab w:val="clear" w:pos="567"/>
              </w:tabs>
              <w:jc w:val="center"/>
            </w:pPr>
            <w:r>
              <w:t>0,41</w:t>
            </w:r>
          </w:p>
        </w:tc>
      </w:tr>
      <w:tr w:rsidR="009B3384" w14:paraId="109ACDA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A5" w14:textId="77777777" w:rsidR="009B3384" w:rsidRDefault="00800862">
            <w:pPr>
              <w:widowControl w:val="0"/>
              <w:tabs>
                <w:tab w:val="clear" w:pos="567"/>
              </w:tabs>
              <w:jc w:val="center"/>
            </w:pPr>
            <w:r>
              <w:t>50</w:t>
            </w:r>
          </w:p>
        </w:tc>
        <w:tc>
          <w:tcPr>
            <w:tcW w:w="2558" w:type="dxa"/>
            <w:tcBorders>
              <w:top w:val="single" w:sz="4" w:space="0" w:color="000000"/>
              <w:left w:val="single" w:sz="4" w:space="0" w:color="000000"/>
              <w:bottom w:val="single" w:sz="4" w:space="0" w:color="000000"/>
              <w:right w:val="single" w:sz="4" w:space="0" w:color="000000"/>
            </w:tcBorders>
          </w:tcPr>
          <w:p w14:paraId="109ACDA6" w14:textId="77777777" w:rsidR="009B3384" w:rsidRDefault="00800862">
            <w:pPr>
              <w:widowControl w:val="0"/>
              <w:tabs>
                <w:tab w:val="clear" w:pos="567"/>
              </w:tabs>
              <w:jc w:val="center"/>
            </w:pPr>
            <w:r>
              <w:t>37,5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A7" w14:textId="77777777" w:rsidR="009B3384" w:rsidRDefault="00800862">
            <w:pPr>
              <w:widowControl w:val="0"/>
              <w:tabs>
                <w:tab w:val="clear" w:pos="567"/>
              </w:tabs>
              <w:jc w:val="center"/>
            </w:pPr>
            <w:r>
              <w:t>0,42</w:t>
            </w:r>
          </w:p>
        </w:tc>
      </w:tr>
      <w:tr w:rsidR="009B3384" w14:paraId="109ACDA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A9" w14:textId="77777777" w:rsidR="009B3384" w:rsidRDefault="00800862">
            <w:pPr>
              <w:widowControl w:val="0"/>
              <w:tabs>
                <w:tab w:val="clear" w:pos="567"/>
              </w:tabs>
              <w:jc w:val="center"/>
            </w:pPr>
            <w:r>
              <w:t>51</w:t>
            </w:r>
          </w:p>
        </w:tc>
        <w:tc>
          <w:tcPr>
            <w:tcW w:w="2558" w:type="dxa"/>
            <w:tcBorders>
              <w:top w:val="single" w:sz="4" w:space="0" w:color="000000"/>
              <w:left w:val="single" w:sz="4" w:space="0" w:color="000000"/>
              <w:bottom w:val="single" w:sz="4" w:space="0" w:color="000000"/>
              <w:right w:val="single" w:sz="4" w:space="0" w:color="000000"/>
            </w:tcBorders>
          </w:tcPr>
          <w:p w14:paraId="109ACDAA" w14:textId="77777777" w:rsidR="009B3384" w:rsidRDefault="00800862">
            <w:pPr>
              <w:widowControl w:val="0"/>
              <w:tabs>
                <w:tab w:val="clear" w:pos="567"/>
              </w:tabs>
              <w:jc w:val="center"/>
            </w:pPr>
            <w:r>
              <w:t>38,3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AB" w14:textId="77777777" w:rsidR="009B3384" w:rsidRDefault="00800862">
            <w:pPr>
              <w:widowControl w:val="0"/>
              <w:tabs>
                <w:tab w:val="clear" w:pos="567"/>
              </w:tabs>
              <w:jc w:val="center"/>
            </w:pPr>
            <w:r>
              <w:t>0,42</w:t>
            </w:r>
          </w:p>
        </w:tc>
      </w:tr>
      <w:tr w:rsidR="009B3384" w14:paraId="109ACDB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AD" w14:textId="77777777" w:rsidR="009B3384" w:rsidRDefault="00800862">
            <w:pPr>
              <w:widowControl w:val="0"/>
              <w:tabs>
                <w:tab w:val="clear" w:pos="567"/>
              </w:tabs>
              <w:jc w:val="center"/>
            </w:pPr>
            <w:r>
              <w:t>52</w:t>
            </w:r>
          </w:p>
        </w:tc>
        <w:tc>
          <w:tcPr>
            <w:tcW w:w="2558" w:type="dxa"/>
            <w:tcBorders>
              <w:top w:val="single" w:sz="4" w:space="0" w:color="000000"/>
              <w:left w:val="single" w:sz="4" w:space="0" w:color="000000"/>
              <w:bottom w:val="single" w:sz="4" w:space="0" w:color="000000"/>
              <w:right w:val="single" w:sz="4" w:space="0" w:color="000000"/>
            </w:tcBorders>
          </w:tcPr>
          <w:p w14:paraId="109ACDAE" w14:textId="77777777" w:rsidR="009B3384" w:rsidRDefault="00800862">
            <w:pPr>
              <w:widowControl w:val="0"/>
              <w:tabs>
                <w:tab w:val="clear" w:pos="567"/>
              </w:tabs>
              <w:jc w:val="center"/>
            </w:pPr>
            <w:r>
              <w:t>39,0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AF" w14:textId="77777777" w:rsidR="009B3384" w:rsidRDefault="00800862">
            <w:pPr>
              <w:widowControl w:val="0"/>
              <w:tabs>
                <w:tab w:val="clear" w:pos="567"/>
              </w:tabs>
              <w:jc w:val="center"/>
            </w:pPr>
            <w:r>
              <w:t>0,43</w:t>
            </w:r>
          </w:p>
        </w:tc>
      </w:tr>
      <w:tr w:rsidR="009B3384" w14:paraId="109ACDB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B1" w14:textId="77777777" w:rsidR="009B3384" w:rsidRDefault="00800862">
            <w:pPr>
              <w:widowControl w:val="0"/>
              <w:tabs>
                <w:tab w:val="clear" w:pos="567"/>
              </w:tabs>
              <w:jc w:val="center"/>
            </w:pPr>
            <w:r>
              <w:t>53</w:t>
            </w:r>
          </w:p>
        </w:tc>
        <w:tc>
          <w:tcPr>
            <w:tcW w:w="2558" w:type="dxa"/>
            <w:tcBorders>
              <w:top w:val="single" w:sz="4" w:space="0" w:color="000000"/>
              <w:left w:val="single" w:sz="4" w:space="0" w:color="000000"/>
              <w:bottom w:val="single" w:sz="4" w:space="0" w:color="000000"/>
              <w:right w:val="single" w:sz="4" w:space="0" w:color="000000"/>
            </w:tcBorders>
          </w:tcPr>
          <w:p w14:paraId="109ACDB2" w14:textId="77777777" w:rsidR="009B3384" w:rsidRDefault="00800862">
            <w:pPr>
              <w:widowControl w:val="0"/>
              <w:tabs>
                <w:tab w:val="clear" w:pos="567"/>
              </w:tabs>
              <w:jc w:val="center"/>
            </w:pPr>
            <w:r>
              <w:t>39,8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B3" w14:textId="77777777" w:rsidR="009B3384" w:rsidRDefault="00800862">
            <w:pPr>
              <w:widowControl w:val="0"/>
              <w:tabs>
                <w:tab w:val="clear" w:pos="567"/>
              </w:tabs>
              <w:jc w:val="center"/>
            </w:pPr>
            <w:r>
              <w:t>0,44</w:t>
            </w:r>
          </w:p>
        </w:tc>
      </w:tr>
      <w:tr w:rsidR="009B3384" w14:paraId="109ACDB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B5" w14:textId="77777777" w:rsidR="009B3384" w:rsidRDefault="00800862">
            <w:pPr>
              <w:widowControl w:val="0"/>
              <w:tabs>
                <w:tab w:val="clear" w:pos="567"/>
              </w:tabs>
              <w:jc w:val="center"/>
            </w:pPr>
            <w:r>
              <w:t>54</w:t>
            </w:r>
          </w:p>
        </w:tc>
        <w:tc>
          <w:tcPr>
            <w:tcW w:w="2558" w:type="dxa"/>
            <w:tcBorders>
              <w:top w:val="single" w:sz="4" w:space="0" w:color="000000"/>
              <w:left w:val="single" w:sz="4" w:space="0" w:color="000000"/>
              <w:bottom w:val="single" w:sz="4" w:space="0" w:color="000000"/>
              <w:right w:val="single" w:sz="4" w:space="0" w:color="000000"/>
            </w:tcBorders>
          </w:tcPr>
          <w:p w14:paraId="109ACDB6" w14:textId="77777777" w:rsidR="009B3384" w:rsidRDefault="00800862">
            <w:pPr>
              <w:widowControl w:val="0"/>
              <w:tabs>
                <w:tab w:val="clear" w:pos="567"/>
              </w:tabs>
              <w:jc w:val="center"/>
            </w:pPr>
            <w:r>
              <w:t>40,5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B7" w14:textId="77777777" w:rsidR="009B3384" w:rsidRDefault="00800862">
            <w:pPr>
              <w:widowControl w:val="0"/>
              <w:tabs>
                <w:tab w:val="clear" w:pos="567"/>
              </w:tabs>
              <w:jc w:val="center"/>
            </w:pPr>
            <w:r>
              <w:t>0,45</w:t>
            </w:r>
          </w:p>
        </w:tc>
      </w:tr>
      <w:tr w:rsidR="009B3384" w14:paraId="109ACDB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B9" w14:textId="77777777" w:rsidR="009B3384" w:rsidRDefault="00800862">
            <w:pPr>
              <w:widowControl w:val="0"/>
              <w:tabs>
                <w:tab w:val="clear" w:pos="567"/>
              </w:tabs>
              <w:jc w:val="center"/>
            </w:pPr>
            <w:r>
              <w:t>55</w:t>
            </w:r>
          </w:p>
        </w:tc>
        <w:tc>
          <w:tcPr>
            <w:tcW w:w="2558" w:type="dxa"/>
            <w:tcBorders>
              <w:top w:val="single" w:sz="4" w:space="0" w:color="000000"/>
              <w:left w:val="single" w:sz="4" w:space="0" w:color="000000"/>
              <w:bottom w:val="single" w:sz="4" w:space="0" w:color="000000"/>
              <w:right w:val="single" w:sz="4" w:space="0" w:color="000000"/>
            </w:tcBorders>
          </w:tcPr>
          <w:p w14:paraId="109ACDBA" w14:textId="77777777" w:rsidR="009B3384" w:rsidRDefault="00800862">
            <w:pPr>
              <w:widowControl w:val="0"/>
              <w:tabs>
                <w:tab w:val="clear" w:pos="567"/>
              </w:tabs>
              <w:jc w:val="center"/>
            </w:pPr>
            <w:r>
              <w:t>41,3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BB" w14:textId="77777777" w:rsidR="009B3384" w:rsidRDefault="00800862">
            <w:pPr>
              <w:widowControl w:val="0"/>
              <w:tabs>
                <w:tab w:val="clear" w:pos="567"/>
              </w:tabs>
              <w:jc w:val="center"/>
            </w:pPr>
            <w:r>
              <w:t>0,46</w:t>
            </w:r>
          </w:p>
        </w:tc>
      </w:tr>
      <w:tr w:rsidR="009B3384" w14:paraId="109ACDC0"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BD" w14:textId="77777777" w:rsidR="009B3384" w:rsidRDefault="00800862">
            <w:pPr>
              <w:widowControl w:val="0"/>
              <w:tabs>
                <w:tab w:val="clear" w:pos="567"/>
              </w:tabs>
              <w:jc w:val="center"/>
            </w:pPr>
            <w:r>
              <w:t>56</w:t>
            </w:r>
          </w:p>
        </w:tc>
        <w:tc>
          <w:tcPr>
            <w:tcW w:w="2558" w:type="dxa"/>
            <w:tcBorders>
              <w:top w:val="single" w:sz="4" w:space="0" w:color="000000"/>
              <w:left w:val="single" w:sz="4" w:space="0" w:color="000000"/>
              <w:bottom w:val="single" w:sz="4" w:space="0" w:color="000000"/>
              <w:right w:val="single" w:sz="4" w:space="0" w:color="000000"/>
            </w:tcBorders>
          </w:tcPr>
          <w:p w14:paraId="109ACDBE" w14:textId="77777777" w:rsidR="009B3384" w:rsidRDefault="00800862">
            <w:pPr>
              <w:widowControl w:val="0"/>
              <w:tabs>
                <w:tab w:val="clear" w:pos="567"/>
              </w:tabs>
              <w:jc w:val="center"/>
            </w:pPr>
            <w:r>
              <w:t>42,0</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BF" w14:textId="77777777" w:rsidR="009B3384" w:rsidRDefault="00800862">
            <w:pPr>
              <w:widowControl w:val="0"/>
              <w:tabs>
                <w:tab w:val="clear" w:pos="567"/>
              </w:tabs>
              <w:jc w:val="center"/>
            </w:pPr>
            <w:r>
              <w:t>0,46</w:t>
            </w:r>
          </w:p>
        </w:tc>
      </w:tr>
      <w:tr w:rsidR="009B3384" w14:paraId="109ACDC4"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C1" w14:textId="77777777" w:rsidR="009B3384" w:rsidRDefault="00800862">
            <w:pPr>
              <w:widowControl w:val="0"/>
              <w:tabs>
                <w:tab w:val="clear" w:pos="567"/>
              </w:tabs>
              <w:jc w:val="center"/>
            </w:pPr>
            <w:r>
              <w:t>57</w:t>
            </w:r>
          </w:p>
        </w:tc>
        <w:tc>
          <w:tcPr>
            <w:tcW w:w="2558" w:type="dxa"/>
            <w:tcBorders>
              <w:top w:val="single" w:sz="4" w:space="0" w:color="000000"/>
              <w:left w:val="single" w:sz="4" w:space="0" w:color="000000"/>
              <w:bottom w:val="single" w:sz="4" w:space="0" w:color="000000"/>
              <w:right w:val="single" w:sz="4" w:space="0" w:color="000000"/>
            </w:tcBorders>
          </w:tcPr>
          <w:p w14:paraId="109ACDC2" w14:textId="77777777" w:rsidR="009B3384" w:rsidRDefault="00800862">
            <w:pPr>
              <w:widowControl w:val="0"/>
              <w:tabs>
                <w:tab w:val="clear" w:pos="567"/>
              </w:tabs>
              <w:jc w:val="center"/>
            </w:pPr>
            <w:r>
              <w:t>42,8</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C3" w14:textId="77777777" w:rsidR="009B3384" w:rsidRDefault="00800862">
            <w:pPr>
              <w:widowControl w:val="0"/>
              <w:tabs>
                <w:tab w:val="clear" w:pos="567"/>
              </w:tabs>
              <w:jc w:val="center"/>
            </w:pPr>
            <w:r>
              <w:t>0,47</w:t>
            </w:r>
          </w:p>
        </w:tc>
      </w:tr>
      <w:tr w:rsidR="009B3384" w14:paraId="109ACDC8"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C5" w14:textId="77777777" w:rsidR="009B3384" w:rsidRDefault="00800862">
            <w:pPr>
              <w:widowControl w:val="0"/>
              <w:tabs>
                <w:tab w:val="clear" w:pos="567"/>
              </w:tabs>
              <w:jc w:val="center"/>
            </w:pPr>
            <w:r>
              <w:t>58</w:t>
            </w:r>
          </w:p>
        </w:tc>
        <w:tc>
          <w:tcPr>
            <w:tcW w:w="2558" w:type="dxa"/>
            <w:tcBorders>
              <w:top w:val="single" w:sz="4" w:space="0" w:color="000000"/>
              <w:left w:val="single" w:sz="4" w:space="0" w:color="000000"/>
              <w:bottom w:val="single" w:sz="4" w:space="0" w:color="000000"/>
              <w:right w:val="single" w:sz="4" w:space="0" w:color="000000"/>
            </w:tcBorders>
          </w:tcPr>
          <w:p w14:paraId="109ACDC6" w14:textId="77777777" w:rsidR="009B3384" w:rsidRDefault="00800862">
            <w:pPr>
              <w:widowControl w:val="0"/>
              <w:tabs>
                <w:tab w:val="clear" w:pos="567"/>
              </w:tabs>
              <w:jc w:val="center"/>
            </w:pPr>
            <w:r>
              <w:t>43,5</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C7" w14:textId="77777777" w:rsidR="009B3384" w:rsidRDefault="00800862">
            <w:pPr>
              <w:widowControl w:val="0"/>
              <w:tabs>
                <w:tab w:val="clear" w:pos="567"/>
              </w:tabs>
              <w:jc w:val="center"/>
            </w:pPr>
            <w:r>
              <w:t>0,48</w:t>
            </w:r>
          </w:p>
        </w:tc>
      </w:tr>
      <w:tr w:rsidR="009B3384" w14:paraId="109ACDCC" w14:textId="77777777">
        <w:trPr>
          <w:cantSplit/>
          <w:jc w:val="center"/>
        </w:trPr>
        <w:tc>
          <w:tcPr>
            <w:tcW w:w="3119" w:type="dxa"/>
            <w:tcBorders>
              <w:top w:val="single" w:sz="4" w:space="0" w:color="000000"/>
              <w:left w:val="single" w:sz="4" w:space="0" w:color="000000"/>
              <w:bottom w:val="single" w:sz="4" w:space="0" w:color="000000"/>
              <w:right w:val="single" w:sz="4" w:space="0" w:color="000000"/>
            </w:tcBorders>
            <w:vAlign w:val="center"/>
          </w:tcPr>
          <w:p w14:paraId="109ACDC9" w14:textId="77777777" w:rsidR="009B3384" w:rsidRDefault="00800862">
            <w:pPr>
              <w:widowControl w:val="0"/>
              <w:tabs>
                <w:tab w:val="clear" w:pos="567"/>
              </w:tabs>
              <w:jc w:val="center"/>
            </w:pPr>
            <w:r>
              <w:t>59</w:t>
            </w:r>
          </w:p>
        </w:tc>
        <w:tc>
          <w:tcPr>
            <w:tcW w:w="2558" w:type="dxa"/>
            <w:tcBorders>
              <w:top w:val="single" w:sz="4" w:space="0" w:color="000000"/>
              <w:left w:val="single" w:sz="4" w:space="0" w:color="000000"/>
              <w:bottom w:val="single" w:sz="4" w:space="0" w:color="000000"/>
              <w:right w:val="single" w:sz="4" w:space="0" w:color="000000"/>
            </w:tcBorders>
          </w:tcPr>
          <w:p w14:paraId="109ACDCA" w14:textId="77777777" w:rsidR="009B3384" w:rsidRDefault="00800862">
            <w:pPr>
              <w:widowControl w:val="0"/>
              <w:tabs>
                <w:tab w:val="clear" w:pos="567"/>
              </w:tabs>
              <w:jc w:val="center"/>
            </w:pPr>
            <w:r>
              <w:t>44,3</w:t>
            </w:r>
          </w:p>
        </w:tc>
        <w:tc>
          <w:tcPr>
            <w:tcW w:w="3395" w:type="dxa"/>
            <w:tcBorders>
              <w:top w:val="single" w:sz="4" w:space="0" w:color="000000"/>
              <w:left w:val="single" w:sz="4" w:space="0" w:color="000000"/>
              <w:bottom w:val="single" w:sz="4" w:space="0" w:color="000000"/>
              <w:right w:val="single" w:sz="4" w:space="0" w:color="000000"/>
            </w:tcBorders>
            <w:vAlign w:val="center"/>
          </w:tcPr>
          <w:p w14:paraId="109ACDCB" w14:textId="77777777" w:rsidR="009B3384" w:rsidRDefault="00800862">
            <w:pPr>
              <w:widowControl w:val="0"/>
              <w:tabs>
                <w:tab w:val="clear" w:pos="567"/>
              </w:tabs>
              <w:jc w:val="center"/>
            </w:pPr>
            <w:r>
              <w:t>0,49</w:t>
            </w:r>
          </w:p>
        </w:tc>
      </w:tr>
    </w:tbl>
    <w:p w14:paraId="109ACDCD" w14:textId="77777777" w:rsidR="009B3384" w:rsidRDefault="009B3384"/>
    <w:p w14:paraId="109ACDCE" w14:textId="77777777" w:rsidR="009B3384" w:rsidRDefault="00800862">
      <w:r>
        <w:t>При пациенти, които не са се повлияли от лечението до 28 седмици, трябва да се обмисли преустановяване на лечението.</w:t>
      </w:r>
    </w:p>
    <w:p w14:paraId="109ACDCF" w14:textId="77777777" w:rsidR="009B3384" w:rsidRDefault="009B3384">
      <w:pPr>
        <w:tabs>
          <w:tab w:val="clear" w:pos="567"/>
        </w:tabs>
        <w:rPr>
          <w:bCs/>
        </w:rPr>
      </w:pPr>
    </w:p>
    <w:p w14:paraId="109ACDD1" w14:textId="77777777" w:rsidR="009B3384" w:rsidRDefault="00800862">
      <w:pPr>
        <w:keepNext/>
        <w:keepLines/>
        <w:rPr>
          <w:bCs/>
          <w:u w:val="single"/>
        </w:rPr>
      </w:pPr>
      <w:r>
        <w:rPr>
          <w:szCs w:val="22"/>
          <w:u w:val="single"/>
        </w:rPr>
        <w:t>Болест на Crohn</w:t>
      </w:r>
      <w:r>
        <w:rPr>
          <w:u w:val="single"/>
        </w:rPr>
        <w:t xml:space="preserve"> </w:t>
      </w:r>
      <w:r>
        <w:rPr>
          <w:szCs w:val="22"/>
          <w:u w:val="single"/>
        </w:rPr>
        <w:t>и улцерозен колит</w:t>
      </w:r>
    </w:p>
    <w:p w14:paraId="109ACDD2" w14:textId="77777777" w:rsidR="009B3384" w:rsidRDefault="00800862">
      <w:pPr>
        <w:widowControl w:val="0"/>
        <w:rPr>
          <w:szCs w:val="22"/>
        </w:rPr>
      </w:pPr>
      <w:r>
        <w:rPr>
          <w:szCs w:val="22"/>
        </w:rPr>
        <w:t xml:space="preserve">В схемата на лечение първата доза на </w:t>
      </w:r>
      <w:r>
        <w:rPr>
          <w:szCs w:val="22"/>
          <w:lang w:val="en-US"/>
        </w:rPr>
        <w:t>STELARA</w:t>
      </w:r>
      <w:r>
        <w:rPr>
          <w:szCs w:val="22"/>
        </w:rPr>
        <w:t xml:space="preserve"> се прилага интравенозно. За дозировката при </w:t>
      </w:r>
      <w:r>
        <w:t>интравенозна</w:t>
      </w:r>
      <w:r>
        <w:rPr>
          <w:szCs w:val="22"/>
        </w:rPr>
        <w:t xml:space="preserve"> схема на прилагане вижте точка</w:t>
      </w:r>
      <w:r>
        <w:rPr>
          <w:szCs w:val="22"/>
          <w:lang w:val="en-US"/>
        </w:rPr>
        <w:t> </w:t>
      </w:r>
      <w:r>
        <w:rPr>
          <w:szCs w:val="22"/>
        </w:rPr>
        <w:t xml:space="preserve">4.2 от КХП на </w:t>
      </w:r>
      <w:r>
        <w:rPr>
          <w:szCs w:val="22"/>
          <w:lang w:val="en-US"/>
        </w:rPr>
        <w:t>STELARA</w:t>
      </w:r>
      <w:r>
        <w:rPr>
          <w:szCs w:val="22"/>
        </w:rPr>
        <w:t xml:space="preserve"> 130 </w:t>
      </w:r>
      <w:r>
        <w:rPr>
          <w:szCs w:val="22"/>
          <w:lang w:val="en-US"/>
        </w:rPr>
        <w:t>mg</w:t>
      </w:r>
      <w:r>
        <w:rPr>
          <w:szCs w:val="22"/>
        </w:rPr>
        <w:t xml:space="preserve"> концентрат за инфузионен разтвор.</w:t>
      </w:r>
    </w:p>
    <w:p w14:paraId="109ACDD3" w14:textId="77777777" w:rsidR="009B3384" w:rsidRDefault="009B3384">
      <w:pPr>
        <w:widowControl w:val="0"/>
        <w:rPr>
          <w:szCs w:val="22"/>
        </w:rPr>
      </w:pPr>
    </w:p>
    <w:p w14:paraId="109ACDD4" w14:textId="77777777" w:rsidR="009B3384" w:rsidRDefault="00800862">
      <w:pPr>
        <w:widowControl w:val="0"/>
        <w:rPr>
          <w:szCs w:val="22"/>
        </w:rPr>
      </w:pPr>
      <w:r>
        <w:rPr>
          <w:szCs w:val="22"/>
        </w:rPr>
        <w:t>Първото подкожно приложение на 90 </w:t>
      </w:r>
      <w:r>
        <w:rPr>
          <w:szCs w:val="22"/>
          <w:lang w:val="en-US"/>
        </w:rPr>
        <w:t>mg</w:t>
      </w:r>
      <w:r>
        <w:rPr>
          <w:szCs w:val="22"/>
        </w:rPr>
        <w:t xml:space="preserve"> </w:t>
      </w:r>
      <w:r>
        <w:rPr>
          <w:szCs w:val="22"/>
          <w:lang w:val="en-US"/>
        </w:rPr>
        <w:t>STELARA</w:t>
      </w:r>
      <w:r>
        <w:rPr>
          <w:szCs w:val="22"/>
        </w:rPr>
        <w:t xml:space="preserve"> трябва да се извърши на </w:t>
      </w:r>
      <w:r>
        <w:t>седмица</w:t>
      </w:r>
      <w:r>
        <w:rPr>
          <w:szCs w:val="22"/>
        </w:rPr>
        <w:t xml:space="preserve"> 8 след </w:t>
      </w:r>
      <w:r>
        <w:t>интравенозната</w:t>
      </w:r>
      <w:r>
        <w:rPr>
          <w:szCs w:val="22"/>
        </w:rPr>
        <w:t xml:space="preserve"> доза. След това, се препоръчва приложение през 12 седмици.</w:t>
      </w:r>
    </w:p>
    <w:p w14:paraId="109ACDD5" w14:textId="77777777" w:rsidR="009B3384" w:rsidRDefault="009B3384">
      <w:pPr>
        <w:widowControl w:val="0"/>
        <w:rPr>
          <w:bCs/>
        </w:rPr>
      </w:pPr>
    </w:p>
    <w:p w14:paraId="109ACDD6" w14:textId="77777777" w:rsidR="009B3384" w:rsidRDefault="00800862">
      <w:pPr>
        <w:widowControl w:val="0"/>
        <w:rPr>
          <w:bCs/>
        </w:rPr>
      </w:pPr>
      <w:r>
        <w:rPr>
          <w:bCs/>
        </w:rPr>
        <w:t>Пациенти, които не се повлияват достатъчно до 8 седмици след първата подкожна доза, може да получат втора подкожна доза по това време (вж. точка 5.1).</w:t>
      </w:r>
    </w:p>
    <w:p w14:paraId="109ACDD7" w14:textId="77777777" w:rsidR="009B3384" w:rsidRDefault="009B3384">
      <w:pPr>
        <w:widowControl w:val="0"/>
        <w:rPr>
          <w:bCs/>
        </w:rPr>
      </w:pPr>
    </w:p>
    <w:p w14:paraId="109ACDD8" w14:textId="24BDE239" w:rsidR="009B3384" w:rsidRDefault="00800862">
      <w:pPr>
        <w:widowControl w:val="0"/>
        <w:rPr>
          <w:bCs/>
        </w:rPr>
      </w:pPr>
      <w:r>
        <w:rPr>
          <w:bCs/>
        </w:rPr>
        <w:t>Пациенти, при които има загуба на отговор при прилагане през 12 седмици, може да имат полза от повишение на честотата на приложение през 8 седмици (вж. точка 5.1</w:t>
      </w:r>
      <w:ins w:id="900" w:author="RABG09" w:date="2026-06-24T15:54:00Z">
        <w:r w:rsidR="00F36A37">
          <w:rPr>
            <w:bCs/>
          </w:rPr>
          <w:t xml:space="preserve"> </w:t>
        </w:r>
      </w:ins>
      <w:del w:id="901" w:author="RABG09" w:date="2026-06-24T15:54:00Z">
        <w:r w:rsidDel="00F36A37">
          <w:rPr>
            <w:bCs/>
          </w:rPr>
          <w:delText>,</w:delText>
        </w:r>
      </w:del>
      <w:ins w:id="902" w:author="RABG09" w:date="2026-06-24T15:54:00Z">
        <w:r w:rsidR="001E6947">
          <w:rPr>
            <w:bCs/>
          </w:rPr>
          <w:t>и</w:t>
        </w:r>
      </w:ins>
      <w:r>
        <w:rPr>
          <w:bCs/>
        </w:rPr>
        <w:t xml:space="preserve"> точка</w:t>
      </w:r>
      <w:r>
        <w:rPr>
          <w:bCs/>
          <w:lang w:val="en-US"/>
        </w:rPr>
        <w:t> </w:t>
      </w:r>
      <w:r>
        <w:rPr>
          <w:bCs/>
        </w:rPr>
        <w:t>5.2).</w:t>
      </w:r>
    </w:p>
    <w:p w14:paraId="109ACDD9" w14:textId="77777777" w:rsidR="009B3384" w:rsidRDefault="009B3384">
      <w:pPr>
        <w:widowControl w:val="0"/>
        <w:rPr>
          <w:bCs/>
        </w:rPr>
      </w:pPr>
    </w:p>
    <w:p w14:paraId="109ACDDA" w14:textId="77777777" w:rsidR="009B3384" w:rsidRDefault="00800862">
      <w:pPr>
        <w:widowControl w:val="0"/>
        <w:rPr>
          <w:bCs/>
        </w:rPr>
      </w:pPr>
      <w:r>
        <w:rPr>
          <w:bCs/>
        </w:rPr>
        <w:t xml:space="preserve">Впоследствие дозата може да се прилага на пациентите през 8 седмици или през 12 седмици </w:t>
      </w:r>
      <w:r>
        <w:rPr>
          <w:szCs w:val="22"/>
        </w:rPr>
        <w:t xml:space="preserve">въз основа на клинична преценка </w:t>
      </w:r>
      <w:r>
        <w:rPr>
          <w:bCs/>
        </w:rPr>
        <w:t>(вж. точка 5.1).</w:t>
      </w:r>
    </w:p>
    <w:p w14:paraId="109ACDDB" w14:textId="77777777" w:rsidR="009B3384" w:rsidRDefault="009B3384">
      <w:pPr>
        <w:widowControl w:val="0"/>
        <w:rPr>
          <w:bCs/>
        </w:rPr>
      </w:pPr>
    </w:p>
    <w:p w14:paraId="109ACDDC" w14:textId="77777777" w:rsidR="009B3384" w:rsidRDefault="00800862">
      <w:pPr>
        <w:widowControl w:val="0"/>
        <w:rPr>
          <w:bCs/>
        </w:rPr>
      </w:pPr>
      <w:r>
        <w:rPr>
          <w:bCs/>
        </w:rPr>
        <w:t>Трябва да се обмисли преустановяване на лечението при пациенти, които не показват данни за терапевтична полза 16 </w:t>
      </w:r>
      <w:r>
        <w:t xml:space="preserve">седмици след </w:t>
      </w:r>
      <w:proofErr w:type="spellStart"/>
      <w:r>
        <w:rPr>
          <w:lang w:val="en-US"/>
        </w:rPr>
        <w:t>i</w:t>
      </w:r>
      <w:proofErr w:type="spellEnd"/>
      <w:r>
        <w:t>.</w:t>
      </w:r>
      <w:r>
        <w:rPr>
          <w:lang w:val="en-US"/>
        </w:rPr>
        <w:t>v</w:t>
      </w:r>
      <w:r>
        <w:t>. индукционна доза</w:t>
      </w:r>
      <w:r>
        <w:rPr>
          <w:bCs/>
        </w:rPr>
        <w:t xml:space="preserve"> или 16 седмици след преминаване към прилагане на поддържаща доза през 8 седмици.</w:t>
      </w:r>
    </w:p>
    <w:p w14:paraId="109ACDDD" w14:textId="77777777" w:rsidR="009B3384" w:rsidRDefault="009B3384">
      <w:pPr>
        <w:widowControl w:val="0"/>
        <w:rPr>
          <w:bCs/>
        </w:rPr>
      </w:pPr>
    </w:p>
    <w:p w14:paraId="109ACDDE" w14:textId="77777777" w:rsidR="009B3384" w:rsidRDefault="00800862">
      <w:pPr>
        <w:widowControl w:val="0"/>
        <w:rPr>
          <w:szCs w:val="24"/>
        </w:rPr>
      </w:pPr>
      <w:r>
        <w:rPr>
          <w:szCs w:val="24"/>
        </w:rPr>
        <w:t>Приложението на имуномодулатори и/или кортикостероиди може да продължи по време на лечението със STELARA. При пациентите,</w:t>
      </w:r>
      <w:r>
        <w:rPr>
          <w:bCs/>
        </w:rPr>
        <w:t xml:space="preserve"> които са се повлияли от лечението със STELARA, приложението на кортикостероиди може да се намали или да се преустанови в съответствие със стандарта на лечение.</w:t>
      </w:r>
    </w:p>
    <w:p w14:paraId="109ACDDF" w14:textId="77777777" w:rsidR="009B3384" w:rsidRDefault="009B3384">
      <w:pPr>
        <w:widowControl w:val="0"/>
        <w:rPr>
          <w:bCs/>
        </w:rPr>
      </w:pPr>
    </w:p>
    <w:p w14:paraId="109ACDE0" w14:textId="77777777" w:rsidR="009B3384" w:rsidRDefault="00800862">
      <w:pPr>
        <w:widowControl w:val="0"/>
        <w:rPr>
          <w:bCs/>
        </w:rPr>
      </w:pPr>
      <w:r>
        <w:rPr>
          <w:bCs/>
        </w:rPr>
        <w:t xml:space="preserve">При </w:t>
      </w:r>
      <w:r>
        <w:t xml:space="preserve">болест на Crohn или улцерозен колит, </w:t>
      </w:r>
      <w:r>
        <w:rPr>
          <w:bCs/>
        </w:rPr>
        <w:t>ако терапията се прекъсне, подновяването на лечението с подкожно приложение през 8 седмици е безопасно и ефективно.</w:t>
      </w:r>
    </w:p>
    <w:p w14:paraId="109ACDE1" w14:textId="77777777" w:rsidR="009B3384" w:rsidRDefault="009B3384">
      <w:pPr>
        <w:widowControl w:val="0"/>
        <w:rPr>
          <w:bCs/>
        </w:rPr>
      </w:pPr>
    </w:p>
    <w:p w14:paraId="109ACDE2" w14:textId="33F9238D" w:rsidR="009B3384" w:rsidRDefault="00800862">
      <w:pPr>
        <w:keepNext/>
        <w:widowControl w:val="0"/>
        <w:rPr>
          <w:bCs/>
          <w:i/>
          <w:iCs/>
        </w:rPr>
      </w:pPr>
      <w:r>
        <w:rPr>
          <w:bCs/>
          <w:i/>
          <w:iCs/>
        </w:rPr>
        <w:t>Старческа възраст</w:t>
      </w:r>
    </w:p>
    <w:p w14:paraId="109ACDE3" w14:textId="5848AD95" w:rsidR="009B3384" w:rsidRDefault="00800862">
      <w:pPr>
        <w:widowControl w:val="0"/>
        <w:rPr>
          <w:bCs/>
        </w:rPr>
      </w:pPr>
      <w:r>
        <w:rPr>
          <w:bCs/>
        </w:rPr>
        <w:t>Не е необходимо коригиране на дозата при пациенти в старческа възраст (≥</w:t>
      </w:r>
      <w:r>
        <w:rPr>
          <w:bCs/>
          <w:lang w:val="en-US"/>
        </w:rPr>
        <w:t> </w:t>
      </w:r>
      <w:r>
        <w:rPr>
          <w:bCs/>
        </w:rPr>
        <w:t>65</w:t>
      </w:r>
      <w:r>
        <w:rPr>
          <w:bCs/>
          <w:lang w:val="en-US"/>
        </w:rPr>
        <w:t> </w:t>
      </w:r>
      <w:r>
        <w:rPr>
          <w:bCs/>
        </w:rPr>
        <w:t>години) (вж. точка 4.4).</w:t>
      </w:r>
    </w:p>
    <w:p w14:paraId="109ACDE4" w14:textId="77777777" w:rsidR="009B3384" w:rsidRDefault="009B3384">
      <w:pPr>
        <w:widowControl w:val="0"/>
        <w:rPr>
          <w:bCs/>
        </w:rPr>
      </w:pPr>
    </w:p>
    <w:p w14:paraId="109ACDE5" w14:textId="77777777" w:rsidR="009B3384" w:rsidRDefault="00800862">
      <w:pPr>
        <w:keepNext/>
        <w:widowControl w:val="0"/>
        <w:rPr>
          <w:i/>
          <w:iCs/>
        </w:rPr>
      </w:pPr>
      <w:r>
        <w:rPr>
          <w:bCs/>
          <w:i/>
          <w:iCs/>
        </w:rPr>
        <w:lastRenderedPageBreak/>
        <w:t>Бъбречно и чернодробно увреждане</w:t>
      </w:r>
    </w:p>
    <w:p w14:paraId="109ACDE6" w14:textId="77777777" w:rsidR="009B3384" w:rsidRDefault="00800862">
      <w:r>
        <w:t>STELARA не е проучван при тези популации пациенти. Не могат да се направят препоръки за дозиране.</w:t>
      </w:r>
    </w:p>
    <w:p w14:paraId="109ACDE7" w14:textId="77777777" w:rsidR="009B3384" w:rsidRDefault="009B3384"/>
    <w:p w14:paraId="109ACDE8" w14:textId="77777777" w:rsidR="009B3384" w:rsidRPr="00BC6A43" w:rsidRDefault="00800862">
      <w:pPr>
        <w:keepNext/>
        <w:rPr>
          <w:iCs/>
          <w:u w:val="single"/>
        </w:rPr>
      </w:pPr>
      <w:r w:rsidRPr="00BC6A43">
        <w:rPr>
          <w:iCs/>
          <w:u w:val="single"/>
        </w:rPr>
        <w:t>Педиатрична популация</w:t>
      </w:r>
    </w:p>
    <w:p w14:paraId="109ACDE9" w14:textId="77777777" w:rsidR="009B3384" w:rsidRPr="00BC6A43" w:rsidRDefault="009B3384">
      <w:pPr>
        <w:keepNext/>
        <w:rPr>
          <w:u w:val="single"/>
        </w:rPr>
      </w:pPr>
      <w:bookmarkStart w:id="903" w:name="_Hlk188378398"/>
    </w:p>
    <w:p w14:paraId="109ACDEA" w14:textId="3798E07F" w:rsidR="009B3384" w:rsidRDefault="00800862">
      <w:pPr>
        <w:keepNext/>
        <w:rPr>
          <w:u w:val="single"/>
        </w:rPr>
      </w:pPr>
      <w:r w:rsidRPr="00BC6A43">
        <w:rPr>
          <w:i/>
          <w:iCs/>
          <w:u w:val="single"/>
        </w:rPr>
        <w:t xml:space="preserve">Болест на Crohn </w:t>
      </w:r>
      <w:ins w:id="904" w:author="RABG09" w:date="2026-06-24T15:55:00Z">
        <w:r w:rsidR="001E6947">
          <w:rPr>
            <w:i/>
            <w:iCs/>
            <w:u w:val="single"/>
          </w:rPr>
          <w:t xml:space="preserve">и улцерозен колит </w:t>
        </w:r>
      </w:ins>
      <w:r w:rsidRPr="00BC6A43">
        <w:rPr>
          <w:i/>
          <w:iCs/>
          <w:u w:val="single"/>
        </w:rPr>
        <w:t>при деца (2 и повече години</w:t>
      </w:r>
      <w:r>
        <w:rPr>
          <w:u w:val="single"/>
        </w:rPr>
        <w:t>)</w:t>
      </w:r>
    </w:p>
    <w:p w14:paraId="109ACDEB" w14:textId="77777777" w:rsidR="009B3384" w:rsidRDefault="00800862">
      <w:pPr>
        <w:widowControl w:val="0"/>
      </w:pPr>
      <w:r>
        <w:t>В схемата на лечение първата доза STELARA се прилага интравенозно. За дозировката при схемата на интравенозно приложение вижте точка</w:t>
      </w:r>
      <w:r>
        <w:rPr>
          <w:lang w:val="en-US"/>
        </w:rPr>
        <w:t> </w:t>
      </w:r>
      <w:r>
        <w:t>4.2 от КХП на STELARA 130</w:t>
      </w:r>
      <w:r>
        <w:rPr>
          <w:lang w:val="en-US"/>
        </w:rPr>
        <w:t> </w:t>
      </w:r>
      <w:r>
        <w:t>mg концентрат за инфузионен разтвор.</w:t>
      </w:r>
    </w:p>
    <w:p w14:paraId="109ACDEC" w14:textId="77777777" w:rsidR="009B3384" w:rsidRDefault="009B3384">
      <w:pPr>
        <w:widowControl w:val="0"/>
      </w:pPr>
    </w:p>
    <w:p w14:paraId="109ACDED" w14:textId="77777777" w:rsidR="009B3384" w:rsidRDefault="00800862">
      <w:pPr>
        <w:keepNext/>
        <w:rPr>
          <w:i/>
          <w:iCs/>
        </w:rPr>
      </w:pPr>
      <w:r>
        <w:rPr>
          <w:i/>
          <w:iCs/>
        </w:rPr>
        <w:t xml:space="preserve">Пациенти с тегло под 40 kg (дозиране въз основа на </w:t>
      </w:r>
      <w:r>
        <w:rPr>
          <w:lang w:val="en-GB"/>
        </w:rPr>
        <w:t>BSA</w:t>
      </w:r>
      <w:r>
        <w:rPr>
          <w:i/>
          <w:iCs/>
        </w:rPr>
        <w:t>)</w:t>
      </w:r>
    </w:p>
    <w:p w14:paraId="109ACDEE" w14:textId="110D59C4" w:rsidR="009B3384" w:rsidRDefault="00800862">
      <w:r>
        <w:t xml:space="preserve">При педиатрични пациенти </w:t>
      </w:r>
      <w:del w:id="905" w:author="RABG09" w:date="2026-06-24T15:55:00Z">
        <w:r w:rsidDel="002E397D">
          <w:delText xml:space="preserve">с болест на Crohn </w:delText>
        </w:r>
      </w:del>
      <w:r>
        <w:t xml:space="preserve">с тегло под 40 kg препоръчителната поддържаща доза се прилага подкожно въз </w:t>
      </w:r>
      <w:r>
        <w:rPr>
          <w:bCs/>
        </w:rPr>
        <w:t xml:space="preserve">основа на </w:t>
      </w:r>
      <w:r>
        <w:rPr>
          <w:lang w:val="en-GB"/>
        </w:rPr>
        <w:t>BSA</w:t>
      </w:r>
      <w:r>
        <w:rPr>
          <w:bCs/>
        </w:rPr>
        <w:t xml:space="preserve"> на пациента, виж</w:t>
      </w:r>
      <w:r w:rsidR="00956480">
        <w:rPr>
          <w:bCs/>
        </w:rPr>
        <w:t>те</w:t>
      </w:r>
      <w:r>
        <w:rPr>
          <w:bCs/>
        </w:rPr>
        <w:t xml:space="preserve"> Таблица</w:t>
      </w:r>
      <w:r>
        <w:rPr>
          <w:bCs/>
          <w:lang w:val="en-US"/>
        </w:rPr>
        <w:t> </w:t>
      </w:r>
      <w:r w:rsidRPr="00BC6A43">
        <w:rPr>
          <w:bCs/>
        </w:rPr>
        <w:t>3</w:t>
      </w:r>
      <w:r>
        <w:rPr>
          <w:bCs/>
        </w:rPr>
        <w:t xml:space="preserve">. </w:t>
      </w:r>
      <w:r>
        <w:t>Изчисленият обем трябва да се закръгли към най-близката стойност от 0,1</w:t>
      </w:r>
      <w:r>
        <w:rPr>
          <w:lang w:val="en-GB"/>
        </w:rPr>
        <w:t> ml</w:t>
      </w:r>
      <w:r>
        <w:t xml:space="preserve"> и да се приложи с помощта на градуирана спринцовка от 1</w:t>
      </w:r>
      <w:r>
        <w:rPr>
          <w:lang w:val="en-GB"/>
        </w:rPr>
        <w:t> ml</w:t>
      </w:r>
      <w:r>
        <w:t>.</w:t>
      </w:r>
    </w:p>
    <w:p w14:paraId="109ACDEF" w14:textId="77777777" w:rsidR="009B3384" w:rsidRDefault="009B3384"/>
    <w:p w14:paraId="109ACDF0" w14:textId="0177955D" w:rsidR="009B3384" w:rsidRDefault="00800862">
      <w:pPr>
        <w:keepNext/>
        <w:tabs>
          <w:tab w:val="left" w:pos="851"/>
        </w:tabs>
        <w:ind w:left="1134" w:hanging="1134"/>
        <w:rPr>
          <w:i/>
          <w:iCs/>
        </w:rPr>
      </w:pPr>
      <w:r>
        <w:rPr>
          <w:i/>
          <w:iCs/>
        </w:rPr>
        <w:t>Таблица</w:t>
      </w:r>
      <w:r>
        <w:rPr>
          <w:i/>
          <w:iCs/>
          <w:lang w:val="en-GB"/>
        </w:rPr>
        <w:t> </w:t>
      </w:r>
      <w:r>
        <w:rPr>
          <w:i/>
          <w:iCs/>
        </w:rPr>
        <w:t>3</w:t>
      </w:r>
      <w:ins w:id="906" w:author="RABG09" w:date="2026-06-24T15:55:00Z">
        <w:r w:rsidR="002E397D">
          <w:rPr>
            <w:i/>
            <w:iCs/>
          </w:rPr>
          <w:t>:</w:t>
        </w:r>
      </w:ins>
      <w:r>
        <w:rPr>
          <w:i/>
          <w:iCs/>
        </w:rPr>
        <w:t xml:space="preserve"> </w:t>
      </w:r>
      <w:r>
        <w:rPr>
          <w:i/>
          <w:iCs/>
        </w:rPr>
        <w:tab/>
      </w:r>
      <w:r>
        <w:rPr>
          <w:i/>
          <w:iCs/>
        </w:rPr>
        <w:tab/>
        <w:t>Инжекционни обеми при педиатрични пациенти</w:t>
      </w:r>
      <w:del w:id="907" w:author="RABG09" w:date="2026-06-24T15:55:00Z">
        <w:r w:rsidDel="002E397D">
          <w:rPr>
            <w:i/>
            <w:iCs/>
          </w:rPr>
          <w:delText xml:space="preserve"> с</w:delText>
        </w:r>
      </w:del>
      <w:del w:id="908" w:author="RABG09" w:date="2026-06-24T15:56:00Z">
        <w:r w:rsidDel="002E397D">
          <w:rPr>
            <w:i/>
            <w:iCs/>
          </w:rPr>
          <w:delText xml:space="preserve"> болест на </w:delText>
        </w:r>
        <w:r w:rsidDel="002E397D">
          <w:rPr>
            <w:i/>
            <w:iCs/>
            <w:lang w:val="en-GB"/>
          </w:rPr>
          <w:delText>Crohn</w:delText>
        </w:r>
      </w:del>
      <w:r>
        <w:rPr>
          <w:i/>
          <w:iCs/>
        </w:rPr>
        <w:t xml:space="preserve"> с тегло под 40 </w:t>
      </w:r>
      <w:r>
        <w:rPr>
          <w:i/>
          <w:iCs/>
          <w:lang w:val="en-GB"/>
        </w:rPr>
        <w:t>kg</w:t>
      </w:r>
    </w:p>
    <w:tbl>
      <w:tblPr>
        <w:tblStyle w:val="TableGrid"/>
        <w:tblW w:w="9072" w:type="dxa"/>
        <w:jc w:val="center"/>
        <w:tblLook w:val="04A0" w:firstRow="1" w:lastRow="0" w:firstColumn="1" w:lastColumn="0" w:noHBand="0" w:noVBand="1"/>
      </w:tblPr>
      <w:tblGrid>
        <w:gridCol w:w="3259"/>
        <w:gridCol w:w="1937"/>
        <w:gridCol w:w="1938"/>
        <w:gridCol w:w="1938"/>
      </w:tblGrid>
      <w:tr w:rsidR="00A55D4E" w14:paraId="19F470AF" w14:textId="77777777" w:rsidTr="00A55D4E">
        <w:trPr>
          <w:jc w:val="center"/>
        </w:trPr>
        <w:tc>
          <w:tcPr>
            <w:tcW w:w="3259" w:type="dxa"/>
            <w:tcBorders>
              <w:bottom w:val="single" w:sz="4" w:space="0" w:color="auto"/>
              <w:right w:val="nil"/>
            </w:tcBorders>
          </w:tcPr>
          <w:p w14:paraId="0E1CC1C9" w14:textId="77777777" w:rsidR="00A55D4E" w:rsidRPr="00A55D4E" w:rsidRDefault="00A55D4E" w:rsidP="00A55D4E">
            <w:pPr>
              <w:keepNext/>
              <w:tabs>
                <w:tab w:val="left" w:pos="851"/>
              </w:tabs>
              <w:rPr>
                <w:b/>
                <w:bCs/>
                <w:szCs w:val="22"/>
              </w:rPr>
            </w:pPr>
            <w:r w:rsidRPr="00A55D4E">
              <w:rPr>
                <w:b/>
                <w:bCs/>
              </w:rPr>
              <w:t xml:space="preserve">Диапазон на </w:t>
            </w:r>
            <w:r w:rsidRPr="00A55D4E">
              <w:rPr>
                <w:b/>
                <w:bCs/>
                <w:lang w:val="en-GB"/>
              </w:rPr>
              <w:t>BSA</w:t>
            </w:r>
            <w:r w:rsidRPr="00A55D4E">
              <w:rPr>
                <w:b/>
                <w:bCs/>
              </w:rPr>
              <w:t xml:space="preserve"> </w:t>
            </w:r>
            <w:r w:rsidRPr="00A55D4E">
              <w:rPr>
                <w:b/>
                <w:bCs/>
                <w:szCs w:val="22"/>
              </w:rPr>
              <w:t>(m2)</w:t>
            </w:r>
            <w:r w:rsidRPr="00A55D4E">
              <w:rPr>
                <w:b/>
                <w:bCs/>
              </w:rPr>
              <w:t xml:space="preserve"> по време на приложението</w:t>
            </w:r>
          </w:p>
          <w:p w14:paraId="1419AFC1" w14:textId="0042FEB6" w:rsidR="00A55D4E" w:rsidRDefault="00A55D4E" w:rsidP="00A55D4E">
            <w:pPr>
              <w:keepNext/>
              <w:widowControl w:val="0"/>
              <w:rPr>
                <w:lang w:val="en-US"/>
              </w:rPr>
            </w:pPr>
            <w:r w:rsidRPr="00A55D4E">
              <w:rPr>
                <w:b/>
                <w:bCs/>
                <w:szCs w:val="22"/>
              </w:rPr>
              <w:t>Телесно тегло &lt; 40 kg</w:t>
            </w:r>
          </w:p>
        </w:tc>
        <w:tc>
          <w:tcPr>
            <w:tcW w:w="1937" w:type="dxa"/>
            <w:tcBorders>
              <w:left w:val="nil"/>
              <w:bottom w:val="single" w:sz="4" w:space="0" w:color="auto"/>
              <w:right w:val="nil"/>
            </w:tcBorders>
          </w:tcPr>
          <w:p w14:paraId="38782CAC" w14:textId="526EF866" w:rsidR="00A55D4E" w:rsidRPr="00A55D4E" w:rsidRDefault="00A55D4E" w:rsidP="00A55D4E">
            <w:pPr>
              <w:keepNext/>
              <w:widowControl w:val="0"/>
              <w:jc w:val="center"/>
              <w:rPr>
                <w:b/>
                <w:bCs/>
                <w:lang w:val="en-US"/>
              </w:rPr>
            </w:pPr>
            <w:r w:rsidRPr="00A55D4E">
              <w:rPr>
                <w:b/>
                <w:bCs/>
                <w:szCs w:val="22"/>
              </w:rPr>
              <w:t>Препоръчителна доза (mg)</w:t>
            </w:r>
          </w:p>
        </w:tc>
        <w:tc>
          <w:tcPr>
            <w:tcW w:w="1938" w:type="dxa"/>
            <w:tcBorders>
              <w:left w:val="nil"/>
              <w:bottom w:val="single" w:sz="4" w:space="0" w:color="auto"/>
              <w:right w:val="nil"/>
            </w:tcBorders>
          </w:tcPr>
          <w:p w14:paraId="755686BE" w14:textId="063C4FE1" w:rsidR="00A55D4E" w:rsidRPr="00A55D4E" w:rsidRDefault="00A55D4E" w:rsidP="00A55D4E">
            <w:pPr>
              <w:keepNext/>
              <w:widowControl w:val="0"/>
              <w:jc w:val="center"/>
              <w:rPr>
                <w:b/>
                <w:bCs/>
                <w:lang w:val="en-US"/>
              </w:rPr>
            </w:pPr>
            <w:r w:rsidRPr="00A55D4E">
              <w:rPr>
                <w:b/>
                <w:bCs/>
                <w:szCs w:val="22"/>
              </w:rPr>
              <w:t>Общ инжекционен обем (m</w:t>
            </w:r>
            <w:r w:rsidRPr="00A55D4E">
              <w:rPr>
                <w:b/>
                <w:bCs/>
                <w:szCs w:val="22"/>
                <w:lang w:val="en-US"/>
              </w:rPr>
              <w:t>l</w:t>
            </w:r>
            <w:r w:rsidRPr="00A55D4E">
              <w:rPr>
                <w:b/>
                <w:bCs/>
                <w:szCs w:val="22"/>
              </w:rPr>
              <w:t>)</w:t>
            </w:r>
          </w:p>
        </w:tc>
        <w:tc>
          <w:tcPr>
            <w:tcW w:w="1938" w:type="dxa"/>
            <w:tcBorders>
              <w:left w:val="nil"/>
              <w:bottom w:val="single" w:sz="4" w:space="0" w:color="auto"/>
            </w:tcBorders>
          </w:tcPr>
          <w:p w14:paraId="52D110A7" w14:textId="77777777" w:rsidR="00A55D4E" w:rsidRPr="00A55D4E" w:rsidRDefault="00A55D4E" w:rsidP="00A55D4E">
            <w:pPr>
              <w:keepNext/>
              <w:tabs>
                <w:tab w:val="left" w:pos="851"/>
              </w:tabs>
              <w:jc w:val="center"/>
              <w:rPr>
                <w:b/>
                <w:bCs/>
                <w:szCs w:val="22"/>
              </w:rPr>
            </w:pPr>
            <w:r w:rsidRPr="00A55D4E">
              <w:rPr>
                <w:b/>
                <w:bCs/>
                <w:szCs w:val="22"/>
              </w:rPr>
              <w:t>Брой флакони от</w:t>
            </w:r>
          </w:p>
          <w:p w14:paraId="137C1313" w14:textId="3978AD10" w:rsidR="00A55D4E" w:rsidRPr="00A55D4E" w:rsidRDefault="00A55D4E" w:rsidP="00A55D4E">
            <w:pPr>
              <w:keepNext/>
              <w:widowControl w:val="0"/>
              <w:jc w:val="center"/>
              <w:rPr>
                <w:b/>
                <w:bCs/>
                <w:lang w:val="en-US"/>
              </w:rPr>
            </w:pPr>
            <w:r w:rsidRPr="00A55D4E">
              <w:rPr>
                <w:b/>
                <w:bCs/>
                <w:szCs w:val="22"/>
              </w:rPr>
              <w:t>45</w:t>
            </w:r>
            <w:r w:rsidRPr="00A55D4E">
              <w:rPr>
                <w:b/>
                <w:bCs/>
                <w:szCs w:val="22"/>
                <w:lang w:val="en-US"/>
              </w:rPr>
              <w:t> </w:t>
            </w:r>
            <w:r w:rsidRPr="00A55D4E">
              <w:rPr>
                <w:b/>
                <w:bCs/>
                <w:szCs w:val="22"/>
              </w:rPr>
              <w:t>mg/0,5</w:t>
            </w:r>
            <w:r w:rsidRPr="00A55D4E">
              <w:rPr>
                <w:b/>
                <w:bCs/>
                <w:szCs w:val="22"/>
                <w:lang w:val="en-US"/>
              </w:rPr>
              <w:t> </w:t>
            </w:r>
            <w:r w:rsidRPr="00A55D4E">
              <w:rPr>
                <w:b/>
                <w:bCs/>
                <w:szCs w:val="22"/>
              </w:rPr>
              <w:t>ml</w:t>
            </w:r>
          </w:p>
        </w:tc>
      </w:tr>
      <w:tr w:rsidR="00A55D4E" w14:paraId="47F2992D" w14:textId="77777777" w:rsidTr="00A55D4E">
        <w:trPr>
          <w:jc w:val="center"/>
        </w:trPr>
        <w:tc>
          <w:tcPr>
            <w:tcW w:w="3259" w:type="dxa"/>
            <w:tcBorders>
              <w:bottom w:val="nil"/>
              <w:right w:val="nil"/>
            </w:tcBorders>
          </w:tcPr>
          <w:p w14:paraId="5193A691" w14:textId="1420F84B" w:rsidR="00A55D4E" w:rsidRDefault="00A55D4E" w:rsidP="00A55D4E">
            <w:pPr>
              <w:widowControl w:val="0"/>
              <w:rPr>
                <w:lang w:val="en-US"/>
              </w:rPr>
            </w:pPr>
            <w:r w:rsidRPr="003D1562">
              <w:rPr>
                <w:szCs w:val="22"/>
              </w:rPr>
              <w:t>0</w:t>
            </w:r>
            <w:r w:rsidRPr="003D1562">
              <w:rPr>
                <w:szCs w:val="22"/>
                <w:lang w:val="en-US"/>
              </w:rPr>
              <w:t>,</w:t>
            </w:r>
            <w:r w:rsidRPr="003D1562">
              <w:rPr>
                <w:szCs w:val="22"/>
              </w:rPr>
              <w:t>40 до &lt;0</w:t>
            </w:r>
            <w:r w:rsidRPr="003D1562">
              <w:rPr>
                <w:szCs w:val="22"/>
                <w:lang w:val="en-US"/>
              </w:rPr>
              <w:t>,</w:t>
            </w:r>
            <w:r w:rsidRPr="003D1562">
              <w:rPr>
                <w:szCs w:val="22"/>
              </w:rPr>
              <w:t>62</w:t>
            </w:r>
          </w:p>
        </w:tc>
        <w:tc>
          <w:tcPr>
            <w:tcW w:w="1937" w:type="dxa"/>
            <w:tcBorders>
              <w:left w:val="nil"/>
              <w:bottom w:val="nil"/>
              <w:right w:val="nil"/>
            </w:tcBorders>
          </w:tcPr>
          <w:p w14:paraId="2869DCF9" w14:textId="1660DA81" w:rsidR="00A55D4E" w:rsidRDefault="00A55D4E" w:rsidP="00A55D4E">
            <w:pPr>
              <w:widowControl w:val="0"/>
              <w:jc w:val="center"/>
              <w:rPr>
                <w:lang w:val="en-US"/>
              </w:rPr>
            </w:pPr>
            <w:r w:rsidRPr="003D1562">
              <w:t>36 mg</w:t>
            </w:r>
          </w:p>
        </w:tc>
        <w:tc>
          <w:tcPr>
            <w:tcW w:w="1938" w:type="dxa"/>
            <w:tcBorders>
              <w:left w:val="nil"/>
              <w:bottom w:val="nil"/>
              <w:right w:val="nil"/>
            </w:tcBorders>
          </w:tcPr>
          <w:p w14:paraId="004EFD33" w14:textId="1CAB3732" w:rsidR="00A55D4E" w:rsidRDefault="00A55D4E" w:rsidP="00A55D4E">
            <w:pPr>
              <w:widowControl w:val="0"/>
              <w:jc w:val="center"/>
              <w:rPr>
                <w:lang w:val="en-US"/>
              </w:rPr>
            </w:pPr>
            <w:r w:rsidRPr="003D1562">
              <w:t>0,4</w:t>
            </w:r>
          </w:p>
        </w:tc>
        <w:tc>
          <w:tcPr>
            <w:tcW w:w="1938" w:type="dxa"/>
            <w:tcBorders>
              <w:left w:val="nil"/>
              <w:bottom w:val="nil"/>
            </w:tcBorders>
          </w:tcPr>
          <w:p w14:paraId="71543E9A" w14:textId="6F7132B5" w:rsidR="00A55D4E" w:rsidRDefault="00A55D4E" w:rsidP="00A55D4E">
            <w:pPr>
              <w:widowControl w:val="0"/>
              <w:jc w:val="center"/>
              <w:rPr>
                <w:lang w:val="en-US"/>
              </w:rPr>
            </w:pPr>
            <w:r w:rsidRPr="003D1562">
              <w:t>1 флакон</w:t>
            </w:r>
          </w:p>
        </w:tc>
      </w:tr>
      <w:tr w:rsidR="00A55D4E" w14:paraId="596CB33F" w14:textId="77777777" w:rsidTr="00A55D4E">
        <w:trPr>
          <w:jc w:val="center"/>
        </w:trPr>
        <w:tc>
          <w:tcPr>
            <w:tcW w:w="3259" w:type="dxa"/>
            <w:tcBorders>
              <w:top w:val="nil"/>
              <w:bottom w:val="nil"/>
              <w:right w:val="nil"/>
            </w:tcBorders>
          </w:tcPr>
          <w:p w14:paraId="40EB258B" w14:textId="4FE20F3D" w:rsidR="00A55D4E" w:rsidRDefault="00A55D4E" w:rsidP="00A55D4E">
            <w:pPr>
              <w:widowControl w:val="0"/>
              <w:rPr>
                <w:lang w:val="en-US"/>
              </w:rPr>
            </w:pPr>
            <w:r w:rsidRPr="003D1562">
              <w:rPr>
                <w:szCs w:val="22"/>
              </w:rPr>
              <w:t>0</w:t>
            </w:r>
            <w:r w:rsidRPr="003D1562">
              <w:rPr>
                <w:szCs w:val="22"/>
                <w:lang w:val="en-US"/>
              </w:rPr>
              <w:t>,</w:t>
            </w:r>
            <w:r w:rsidRPr="003D1562">
              <w:rPr>
                <w:szCs w:val="22"/>
              </w:rPr>
              <w:t>62 до &lt;0</w:t>
            </w:r>
            <w:r w:rsidRPr="003D1562">
              <w:rPr>
                <w:szCs w:val="22"/>
                <w:lang w:val="en-US"/>
              </w:rPr>
              <w:t>,</w:t>
            </w:r>
            <w:r w:rsidRPr="003D1562">
              <w:rPr>
                <w:szCs w:val="22"/>
              </w:rPr>
              <w:t>95</w:t>
            </w:r>
          </w:p>
        </w:tc>
        <w:tc>
          <w:tcPr>
            <w:tcW w:w="1937" w:type="dxa"/>
            <w:tcBorders>
              <w:top w:val="nil"/>
              <w:left w:val="nil"/>
              <w:bottom w:val="nil"/>
              <w:right w:val="nil"/>
            </w:tcBorders>
          </w:tcPr>
          <w:p w14:paraId="180C294E" w14:textId="64B336C6" w:rsidR="00A55D4E" w:rsidRDefault="00A55D4E" w:rsidP="00A55D4E">
            <w:pPr>
              <w:widowControl w:val="0"/>
              <w:jc w:val="center"/>
              <w:rPr>
                <w:lang w:val="en-US"/>
              </w:rPr>
            </w:pPr>
            <w:r w:rsidRPr="003D1562">
              <w:t>45 mg</w:t>
            </w:r>
          </w:p>
        </w:tc>
        <w:tc>
          <w:tcPr>
            <w:tcW w:w="1938" w:type="dxa"/>
            <w:tcBorders>
              <w:top w:val="nil"/>
              <w:left w:val="nil"/>
              <w:bottom w:val="nil"/>
              <w:right w:val="nil"/>
            </w:tcBorders>
          </w:tcPr>
          <w:p w14:paraId="259946B7" w14:textId="4A492EDC" w:rsidR="00A55D4E" w:rsidRDefault="00A55D4E" w:rsidP="00A55D4E">
            <w:pPr>
              <w:widowControl w:val="0"/>
              <w:jc w:val="center"/>
              <w:rPr>
                <w:lang w:val="en-US"/>
              </w:rPr>
            </w:pPr>
            <w:r w:rsidRPr="003D1562">
              <w:t>0,5</w:t>
            </w:r>
          </w:p>
        </w:tc>
        <w:tc>
          <w:tcPr>
            <w:tcW w:w="1938" w:type="dxa"/>
            <w:tcBorders>
              <w:top w:val="nil"/>
              <w:left w:val="nil"/>
              <w:bottom w:val="nil"/>
            </w:tcBorders>
          </w:tcPr>
          <w:p w14:paraId="043AA8DC" w14:textId="74977B18" w:rsidR="00A55D4E" w:rsidRDefault="00A55D4E" w:rsidP="00A55D4E">
            <w:pPr>
              <w:widowControl w:val="0"/>
              <w:jc w:val="center"/>
              <w:rPr>
                <w:lang w:val="en-US"/>
              </w:rPr>
            </w:pPr>
            <w:r w:rsidRPr="003D1562">
              <w:t>1 флакон*</w:t>
            </w:r>
          </w:p>
        </w:tc>
      </w:tr>
      <w:tr w:rsidR="00A55D4E" w14:paraId="3F446C9F" w14:textId="77777777" w:rsidTr="00A55D4E">
        <w:trPr>
          <w:jc w:val="center"/>
        </w:trPr>
        <w:tc>
          <w:tcPr>
            <w:tcW w:w="3259" w:type="dxa"/>
            <w:tcBorders>
              <w:top w:val="nil"/>
              <w:bottom w:val="nil"/>
              <w:right w:val="nil"/>
            </w:tcBorders>
          </w:tcPr>
          <w:p w14:paraId="3A2561FC" w14:textId="2E6F87A1" w:rsidR="00A55D4E" w:rsidRDefault="00A55D4E" w:rsidP="00A55D4E">
            <w:pPr>
              <w:widowControl w:val="0"/>
              <w:rPr>
                <w:lang w:val="en-US"/>
              </w:rPr>
            </w:pPr>
            <w:r w:rsidRPr="003D1562">
              <w:rPr>
                <w:szCs w:val="22"/>
              </w:rPr>
              <w:t>0</w:t>
            </w:r>
            <w:r w:rsidRPr="003D1562">
              <w:rPr>
                <w:szCs w:val="22"/>
                <w:lang w:val="en-US"/>
              </w:rPr>
              <w:t>,</w:t>
            </w:r>
            <w:r w:rsidRPr="003D1562">
              <w:rPr>
                <w:szCs w:val="22"/>
              </w:rPr>
              <w:t>95 до &lt;1</w:t>
            </w:r>
            <w:r w:rsidRPr="003D1562">
              <w:rPr>
                <w:szCs w:val="22"/>
                <w:lang w:val="en-US"/>
              </w:rPr>
              <w:t>,</w:t>
            </w:r>
            <w:r w:rsidRPr="003D1562">
              <w:rPr>
                <w:szCs w:val="22"/>
              </w:rPr>
              <w:t>25</w:t>
            </w:r>
          </w:p>
        </w:tc>
        <w:tc>
          <w:tcPr>
            <w:tcW w:w="1937" w:type="dxa"/>
            <w:tcBorders>
              <w:top w:val="nil"/>
              <w:left w:val="nil"/>
              <w:bottom w:val="nil"/>
              <w:right w:val="nil"/>
            </w:tcBorders>
          </w:tcPr>
          <w:p w14:paraId="472CE22E" w14:textId="725A4B5D" w:rsidR="00A55D4E" w:rsidRDefault="00A55D4E" w:rsidP="00A55D4E">
            <w:pPr>
              <w:widowControl w:val="0"/>
              <w:jc w:val="center"/>
              <w:rPr>
                <w:lang w:val="en-US"/>
              </w:rPr>
            </w:pPr>
            <w:r w:rsidRPr="003D1562">
              <w:t>63 mg</w:t>
            </w:r>
          </w:p>
        </w:tc>
        <w:tc>
          <w:tcPr>
            <w:tcW w:w="1938" w:type="dxa"/>
            <w:tcBorders>
              <w:top w:val="nil"/>
              <w:left w:val="nil"/>
              <w:bottom w:val="nil"/>
              <w:right w:val="nil"/>
            </w:tcBorders>
          </w:tcPr>
          <w:p w14:paraId="1FEDCC30" w14:textId="0D0A3489" w:rsidR="00A55D4E" w:rsidRDefault="00A55D4E" w:rsidP="00A55D4E">
            <w:pPr>
              <w:widowControl w:val="0"/>
              <w:jc w:val="center"/>
              <w:rPr>
                <w:lang w:val="en-US"/>
              </w:rPr>
            </w:pPr>
            <w:r w:rsidRPr="003D1562">
              <w:t>0,7</w:t>
            </w:r>
          </w:p>
        </w:tc>
        <w:tc>
          <w:tcPr>
            <w:tcW w:w="1938" w:type="dxa"/>
            <w:tcBorders>
              <w:top w:val="nil"/>
              <w:left w:val="nil"/>
              <w:bottom w:val="nil"/>
            </w:tcBorders>
          </w:tcPr>
          <w:p w14:paraId="00BF203D" w14:textId="5B8E2816" w:rsidR="00A55D4E" w:rsidRDefault="00A55D4E" w:rsidP="00A55D4E">
            <w:pPr>
              <w:widowControl w:val="0"/>
              <w:jc w:val="center"/>
              <w:rPr>
                <w:lang w:val="en-US"/>
              </w:rPr>
            </w:pPr>
            <w:r w:rsidRPr="003D1562">
              <w:t>2 флакона</w:t>
            </w:r>
          </w:p>
        </w:tc>
      </w:tr>
      <w:tr w:rsidR="00A55D4E" w14:paraId="5147EEC2" w14:textId="77777777" w:rsidTr="00A55D4E">
        <w:trPr>
          <w:jc w:val="center"/>
        </w:trPr>
        <w:tc>
          <w:tcPr>
            <w:tcW w:w="3259" w:type="dxa"/>
            <w:tcBorders>
              <w:top w:val="nil"/>
              <w:bottom w:val="single" w:sz="4" w:space="0" w:color="auto"/>
              <w:right w:val="nil"/>
            </w:tcBorders>
          </w:tcPr>
          <w:p w14:paraId="3F07ECE6" w14:textId="07B2F79F" w:rsidR="00A55D4E" w:rsidRDefault="00A55D4E" w:rsidP="00A55D4E">
            <w:pPr>
              <w:widowControl w:val="0"/>
              <w:rPr>
                <w:lang w:val="en-US"/>
              </w:rPr>
            </w:pPr>
            <w:r w:rsidRPr="003D1562">
              <w:rPr>
                <w:szCs w:val="22"/>
              </w:rPr>
              <w:t>≥1,25</w:t>
            </w:r>
          </w:p>
        </w:tc>
        <w:tc>
          <w:tcPr>
            <w:tcW w:w="1937" w:type="dxa"/>
            <w:tcBorders>
              <w:top w:val="nil"/>
              <w:left w:val="nil"/>
              <w:bottom w:val="single" w:sz="4" w:space="0" w:color="auto"/>
              <w:right w:val="nil"/>
            </w:tcBorders>
          </w:tcPr>
          <w:p w14:paraId="2E181064" w14:textId="77A4B64C" w:rsidR="00A55D4E" w:rsidRDefault="00A55D4E" w:rsidP="00A55D4E">
            <w:pPr>
              <w:widowControl w:val="0"/>
              <w:jc w:val="center"/>
              <w:rPr>
                <w:lang w:val="en-US"/>
              </w:rPr>
            </w:pPr>
            <w:r w:rsidRPr="003D1562">
              <w:t>90 mg</w:t>
            </w:r>
          </w:p>
        </w:tc>
        <w:tc>
          <w:tcPr>
            <w:tcW w:w="1938" w:type="dxa"/>
            <w:tcBorders>
              <w:top w:val="nil"/>
              <w:left w:val="nil"/>
              <w:bottom w:val="single" w:sz="4" w:space="0" w:color="auto"/>
              <w:right w:val="nil"/>
            </w:tcBorders>
          </w:tcPr>
          <w:p w14:paraId="6C39A830" w14:textId="04F26771" w:rsidR="00A55D4E" w:rsidRDefault="00A55D4E" w:rsidP="00A55D4E">
            <w:pPr>
              <w:widowControl w:val="0"/>
              <w:jc w:val="center"/>
              <w:rPr>
                <w:lang w:val="en-US"/>
              </w:rPr>
            </w:pPr>
            <w:r w:rsidRPr="003D1562">
              <w:t>1,0</w:t>
            </w:r>
          </w:p>
        </w:tc>
        <w:tc>
          <w:tcPr>
            <w:tcW w:w="1938" w:type="dxa"/>
            <w:tcBorders>
              <w:top w:val="nil"/>
              <w:left w:val="nil"/>
              <w:bottom w:val="single" w:sz="4" w:space="0" w:color="auto"/>
            </w:tcBorders>
          </w:tcPr>
          <w:p w14:paraId="7AF62DCC" w14:textId="627707D5" w:rsidR="00A55D4E" w:rsidRDefault="00A55D4E" w:rsidP="00A55D4E">
            <w:pPr>
              <w:widowControl w:val="0"/>
              <w:jc w:val="center"/>
              <w:rPr>
                <w:lang w:val="en-US"/>
              </w:rPr>
            </w:pPr>
            <w:r w:rsidRPr="003D1562">
              <w:t>2 флакона*</w:t>
            </w:r>
          </w:p>
        </w:tc>
      </w:tr>
      <w:tr w:rsidR="00A55D4E" w14:paraId="37206B22" w14:textId="77777777" w:rsidTr="00A55D4E">
        <w:trPr>
          <w:jc w:val="center"/>
        </w:trPr>
        <w:tc>
          <w:tcPr>
            <w:tcW w:w="9072" w:type="dxa"/>
            <w:gridSpan w:val="4"/>
            <w:tcBorders>
              <w:left w:val="nil"/>
              <w:bottom w:val="nil"/>
              <w:right w:val="nil"/>
            </w:tcBorders>
          </w:tcPr>
          <w:p w14:paraId="31EB9E30" w14:textId="374A1F9A" w:rsidR="00A55D4E" w:rsidRPr="00F9219D" w:rsidRDefault="00A55D4E" w:rsidP="00A55D4E">
            <w:pPr>
              <w:widowControl w:val="0"/>
              <w:ind w:left="284" w:hanging="284"/>
            </w:pPr>
            <w:r w:rsidRPr="00BC6A43">
              <w:rPr>
                <w:sz w:val="18"/>
                <w:szCs w:val="18"/>
              </w:rPr>
              <w:t>*</w:t>
            </w:r>
            <w:r w:rsidRPr="00BC6A43">
              <w:rPr>
                <w:vertAlign w:val="superscript"/>
              </w:rPr>
              <w:tab/>
            </w:r>
            <w:r w:rsidRPr="00BC6A43">
              <w:rPr>
                <w:sz w:val="18"/>
                <w:szCs w:val="18"/>
              </w:rPr>
              <w:t>Предварително напълнена спринцовка (</w:t>
            </w:r>
            <w:r w:rsidRPr="00BC6A43">
              <w:rPr>
                <w:sz w:val="18"/>
                <w:szCs w:val="18"/>
                <w:lang w:val="en-US"/>
              </w:rPr>
              <w:t>PFS</w:t>
            </w:r>
            <w:r w:rsidRPr="00BC6A43">
              <w:rPr>
                <w:sz w:val="18"/>
                <w:szCs w:val="18"/>
              </w:rPr>
              <w:t>) може да се използва като алтернатива на флакона от 45</w:t>
            </w:r>
            <w:r w:rsidRPr="00011BA0">
              <w:rPr>
                <w:sz w:val="18"/>
                <w:szCs w:val="18"/>
                <w:lang w:val="en-US"/>
              </w:rPr>
              <w:t> </w:t>
            </w:r>
            <w:r w:rsidRPr="00BC6A43">
              <w:rPr>
                <w:sz w:val="18"/>
                <w:szCs w:val="18"/>
                <w:lang w:val="en-US"/>
              </w:rPr>
              <w:t>mg</w:t>
            </w:r>
            <w:r w:rsidRPr="00BC6A43">
              <w:rPr>
                <w:sz w:val="18"/>
                <w:szCs w:val="18"/>
              </w:rPr>
              <w:t>/0,5</w:t>
            </w:r>
            <w:r w:rsidRPr="00011BA0">
              <w:rPr>
                <w:sz w:val="18"/>
                <w:szCs w:val="18"/>
                <w:lang w:val="en-US"/>
              </w:rPr>
              <w:t> </w:t>
            </w:r>
            <w:r w:rsidRPr="00BC6A43">
              <w:rPr>
                <w:sz w:val="18"/>
                <w:szCs w:val="18"/>
                <w:lang w:val="en-US"/>
              </w:rPr>
              <w:t>ml</w:t>
            </w:r>
            <w:r w:rsidRPr="00BC6A43">
              <w:rPr>
                <w:sz w:val="18"/>
                <w:szCs w:val="18"/>
              </w:rPr>
              <w:t xml:space="preserve"> за прилагане на необходимата доза.</w:t>
            </w:r>
          </w:p>
        </w:tc>
      </w:tr>
    </w:tbl>
    <w:p w14:paraId="18691EFD" w14:textId="77777777" w:rsidR="00A55D4E" w:rsidRPr="00F9219D" w:rsidRDefault="00A55D4E">
      <w:pPr>
        <w:widowControl w:val="0"/>
      </w:pPr>
    </w:p>
    <w:p w14:paraId="109ACE11" w14:textId="7893E794" w:rsidR="009B3384" w:rsidRPr="00BC6A43" w:rsidRDefault="00800862">
      <w:pPr>
        <w:keepNext/>
        <w:keepLines/>
        <w:rPr>
          <w:i/>
          <w:iCs/>
        </w:rPr>
      </w:pPr>
      <w:bookmarkStart w:id="909" w:name="_Hlk219892447"/>
      <w:r w:rsidRPr="00BC6A43">
        <w:rPr>
          <w:i/>
          <w:iCs/>
        </w:rPr>
        <w:t xml:space="preserve">Пациенти с тегло </w:t>
      </w:r>
      <w:r>
        <w:rPr>
          <w:i/>
          <w:iCs/>
        </w:rPr>
        <w:t>най-малко</w:t>
      </w:r>
      <w:r w:rsidRPr="00BC6A43">
        <w:rPr>
          <w:i/>
          <w:iCs/>
        </w:rPr>
        <w:t xml:space="preserve"> 40</w:t>
      </w:r>
      <w:r>
        <w:rPr>
          <w:i/>
          <w:iCs/>
          <w:lang w:val="en-US"/>
        </w:rPr>
        <w:t> </w:t>
      </w:r>
      <w:r>
        <w:rPr>
          <w:i/>
          <w:iCs/>
          <w:lang w:val="en-GB"/>
        </w:rPr>
        <w:t>kg</w:t>
      </w:r>
      <w:r>
        <w:rPr>
          <w:i/>
          <w:iCs/>
        </w:rPr>
        <w:t xml:space="preserve"> (дозиране въз основа на теглото)</w:t>
      </w:r>
    </w:p>
    <w:p w14:paraId="109ACE12" w14:textId="4156A875" w:rsidR="009B3384" w:rsidRPr="00BC6A43" w:rsidRDefault="00800862">
      <w:r>
        <w:t xml:space="preserve">При педиатрични пациенти </w:t>
      </w:r>
      <w:del w:id="910" w:author="RABG09" w:date="2026-06-24T15:56:00Z">
        <w:r w:rsidDel="00F74DF4">
          <w:delText>с болест на</w:delText>
        </w:r>
        <w:r w:rsidRPr="00BC6A43" w:rsidDel="00F74DF4">
          <w:delText xml:space="preserve"> </w:delText>
        </w:r>
        <w:r w:rsidDel="00F74DF4">
          <w:rPr>
            <w:lang w:val="en-GB"/>
          </w:rPr>
          <w:delText>Crohn</w:delText>
        </w:r>
        <w:r w:rsidRPr="00BC6A43" w:rsidDel="00F74DF4">
          <w:delText xml:space="preserve"> </w:delText>
        </w:r>
      </w:del>
      <w:r>
        <w:t>с тегло най-малко</w:t>
      </w:r>
      <w:r w:rsidRPr="00BC6A43">
        <w:t xml:space="preserve"> 40</w:t>
      </w:r>
      <w:r>
        <w:rPr>
          <w:lang w:val="en-GB"/>
        </w:rPr>
        <w:t> kg</w:t>
      </w:r>
      <w:r>
        <w:t xml:space="preserve"> препоръчителната поддържаща доза е </w:t>
      </w:r>
      <w:r w:rsidRPr="00BC6A43">
        <w:t>90</w:t>
      </w:r>
      <w:r>
        <w:rPr>
          <w:lang w:val="en-GB"/>
        </w:rPr>
        <w:t> mg</w:t>
      </w:r>
      <w:r w:rsidRPr="00BC6A43">
        <w:t xml:space="preserve"> </w:t>
      </w:r>
      <w:r>
        <w:t>подкожно</w:t>
      </w:r>
      <w:r w:rsidRPr="00BC6A43">
        <w:t>.</w:t>
      </w:r>
    </w:p>
    <w:p w14:paraId="109ACE43" w14:textId="77777777" w:rsidR="009B3384" w:rsidRPr="00BC6A43" w:rsidRDefault="009B3384"/>
    <w:p w14:paraId="109ACE45" w14:textId="190F2E47" w:rsidR="009B3384" w:rsidRPr="00BC6A43" w:rsidRDefault="00800862" w:rsidP="00BC6A43">
      <w:pPr>
        <w:keepNext/>
        <w:rPr>
          <w:i/>
          <w:iCs/>
        </w:rPr>
      </w:pPr>
      <w:r>
        <w:rPr>
          <w:i/>
          <w:iCs/>
        </w:rPr>
        <w:t>Честота на приложение при педиатрични пациенти</w:t>
      </w:r>
      <w:r w:rsidRPr="00BC6A43">
        <w:rPr>
          <w:i/>
          <w:iCs/>
        </w:rPr>
        <w:t xml:space="preserve"> (</w:t>
      </w:r>
      <w:r>
        <w:rPr>
          <w:i/>
          <w:iCs/>
        </w:rPr>
        <w:t>2 и повече години</w:t>
      </w:r>
      <w:r w:rsidRPr="00BC6A43">
        <w:rPr>
          <w:i/>
          <w:iCs/>
        </w:rPr>
        <w:t>)</w:t>
      </w:r>
    </w:p>
    <w:bookmarkEnd w:id="909"/>
    <w:p w14:paraId="109ACE46" w14:textId="7B2FFA85" w:rsidR="009B3384" w:rsidRDefault="00800862">
      <w:pPr>
        <w:widowControl w:val="0"/>
      </w:pPr>
      <w:r>
        <w:t>Първото подкожно приложение на STELARA трябва да се извърши на седмица</w:t>
      </w:r>
      <w:r>
        <w:rPr>
          <w:lang w:val="en-US"/>
        </w:rPr>
        <w:t> </w:t>
      </w:r>
      <w:r>
        <w:t>8 след интравенозната доза. След това се препоръчва приложение на всеки 12</w:t>
      </w:r>
      <w:r>
        <w:rPr>
          <w:lang w:val="en-US"/>
        </w:rPr>
        <w:t> </w:t>
      </w:r>
      <w:r>
        <w:t>седмици.</w:t>
      </w:r>
    </w:p>
    <w:p w14:paraId="109ACE47" w14:textId="122AD2A4" w:rsidR="009B3384" w:rsidDel="00D206C2" w:rsidRDefault="009B3384">
      <w:pPr>
        <w:widowControl w:val="0"/>
        <w:rPr>
          <w:del w:id="911" w:author="RABG09" w:date="2026-06-26T14:46:00Z"/>
        </w:rPr>
      </w:pPr>
    </w:p>
    <w:p w14:paraId="109ACE48" w14:textId="5F9089A5" w:rsidR="009B3384" w:rsidDel="00D206C2" w:rsidRDefault="00800862">
      <w:pPr>
        <w:widowControl w:val="0"/>
        <w:rPr>
          <w:del w:id="912" w:author="RABG09" w:date="2026-06-26T14:46:00Z"/>
        </w:rPr>
      </w:pPr>
      <w:del w:id="913" w:author="RABG09" w:date="2026-06-26T14:46:00Z">
        <w:r w:rsidDel="00D206C2">
          <w:delText>Пациентите, които имат загуба на отговор при приложение на всеки 12</w:delText>
        </w:r>
        <w:r w:rsidDel="00D206C2">
          <w:rPr>
            <w:lang w:val="en-US"/>
          </w:rPr>
          <w:delText> </w:delText>
        </w:r>
        <w:r w:rsidDel="00D206C2">
          <w:delText>седмици, може да се повлияят благоприятно от увеличаване на честотата на приложение на всеки 8</w:delText>
        </w:r>
        <w:r w:rsidDel="00D206C2">
          <w:rPr>
            <w:lang w:val="en-US"/>
          </w:rPr>
          <w:delText> </w:delText>
        </w:r>
        <w:r w:rsidDel="00D206C2">
          <w:delText>седмици (вж. точка</w:delText>
        </w:r>
        <w:r w:rsidDel="00D206C2">
          <w:rPr>
            <w:lang w:val="en-US"/>
          </w:rPr>
          <w:delText> </w:delText>
        </w:r>
        <w:r w:rsidDel="00D206C2">
          <w:delText>5.1</w:delText>
        </w:r>
      </w:del>
      <w:del w:id="914" w:author="RABG09" w:date="2026-06-24T15:56:00Z">
        <w:r w:rsidDel="00F74DF4">
          <w:delText>,</w:delText>
        </w:r>
      </w:del>
      <w:del w:id="915" w:author="RABG09" w:date="2026-06-26T14:46:00Z">
        <w:r w:rsidDel="00D206C2">
          <w:delText xml:space="preserve"> точка</w:delText>
        </w:r>
        <w:r w:rsidDel="00D206C2">
          <w:rPr>
            <w:lang w:val="en-US"/>
          </w:rPr>
          <w:delText> </w:delText>
        </w:r>
        <w:r w:rsidDel="00D206C2">
          <w:delText>5.2).</w:delText>
        </w:r>
      </w:del>
    </w:p>
    <w:p w14:paraId="109ACE49" w14:textId="77777777" w:rsidR="009B3384" w:rsidRDefault="009B3384">
      <w:pPr>
        <w:widowControl w:val="0"/>
      </w:pPr>
    </w:p>
    <w:p w14:paraId="109ACE4A" w14:textId="77777777" w:rsidR="009B3384" w:rsidRDefault="00800862">
      <w:pPr>
        <w:widowControl w:val="0"/>
      </w:pPr>
      <w:r>
        <w:t>Впоследствие пациентите може да получават доза на всеки 8</w:t>
      </w:r>
      <w:r>
        <w:rPr>
          <w:lang w:val="en-US"/>
        </w:rPr>
        <w:t> </w:t>
      </w:r>
      <w:r>
        <w:t>седмици или на всеки 12</w:t>
      </w:r>
      <w:r>
        <w:rPr>
          <w:lang w:val="en-US"/>
        </w:rPr>
        <w:t> </w:t>
      </w:r>
      <w:r>
        <w:t>седмици според клиничната преценка (вж. точка</w:t>
      </w:r>
      <w:r>
        <w:rPr>
          <w:lang w:val="en-US"/>
        </w:rPr>
        <w:t> </w:t>
      </w:r>
      <w:r>
        <w:t>5.1).</w:t>
      </w:r>
    </w:p>
    <w:p w14:paraId="109ACE4B" w14:textId="77777777" w:rsidR="009B3384" w:rsidRDefault="009B3384">
      <w:pPr>
        <w:widowControl w:val="0"/>
      </w:pPr>
    </w:p>
    <w:p w14:paraId="109ACE4C" w14:textId="4CF3571A" w:rsidR="009B3384" w:rsidRDefault="00800862">
      <w:bookmarkStart w:id="916" w:name="_Hlk219893385"/>
      <w:r>
        <w:t>При пациенти, които са загубили отговор по време на приложение на всеки 12 седмици, може да се увеличи честотата на приложение на всеки 8 седмици (виж. точки 5.1 и 5.2). Пациентите с приложение на всеки 12 или 8 седмици, които са загубили отговор и имат най-ниски нива на устекинумаб (&lt;1,4 μg/</w:t>
      </w:r>
      <w:r>
        <w:rPr>
          <w:lang w:val="en-GB"/>
        </w:rPr>
        <w:t>ml</w:t>
      </w:r>
      <w:r>
        <w:t xml:space="preserve"> чрез валидиран тест метод ECLIA или ELISA или сравним анализ), може да имат полза от намаляване на интервала на приложение на веднъж на всеки 4 седмици, ако е клинично показано</w:t>
      </w:r>
      <w:del w:id="917" w:author="EUCP BE1" w:date="2026-05-19T16:58:00Z">
        <w:r w:rsidDel="00F72194">
          <w:delText xml:space="preserve"> </w:delText>
        </w:r>
      </w:del>
      <w:r>
        <w:t>.</w:t>
      </w:r>
    </w:p>
    <w:p w14:paraId="109ACE4D" w14:textId="2CE7D770" w:rsidR="009B3384" w:rsidRDefault="00800862">
      <w:r>
        <w:t>Повторно трябва да се измери най-ниското ниво на 12 или 16 седмица след адаптирането на дозата с прилагане на всеки 4 седмици. Ако най-ниските нива са &gt;7,2 µg/</w:t>
      </w:r>
      <w:r>
        <w:rPr>
          <w:lang w:val="en-GB"/>
        </w:rPr>
        <w:t>ml</w:t>
      </w:r>
      <w:r w:rsidRPr="00BC6A43">
        <w:t xml:space="preserve"> </w:t>
      </w:r>
      <w:r>
        <w:t>и пациентът е постигнал отговор и го поддържа, интервалът на приложение може да се смени на всеки 8 седмици.</w:t>
      </w:r>
    </w:p>
    <w:bookmarkEnd w:id="916"/>
    <w:p w14:paraId="109ACE4E" w14:textId="77777777" w:rsidR="009B3384" w:rsidRDefault="009B3384">
      <w:pPr>
        <w:widowControl w:val="0"/>
      </w:pPr>
    </w:p>
    <w:p w14:paraId="109ACE4F" w14:textId="77777777" w:rsidR="009B3384" w:rsidRDefault="00800862">
      <w:pPr>
        <w:widowControl w:val="0"/>
      </w:pPr>
      <w:r>
        <w:t xml:space="preserve">Трябва да се помисли за преустановяване на лечението при пациенти, които не показват данни за терапевтична полза 16 седмици след интравенозната индукционна доза или 16 седмици след </w:t>
      </w:r>
      <w:r>
        <w:lastRenderedPageBreak/>
        <w:t>коригиране на дозата.</w:t>
      </w:r>
    </w:p>
    <w:p w14:paraId="109ACE50" w14:textId="77777777" w:rsidR="009B3384" w:rsidRDefault="009B3384">
      <w:pPr>
        <w:widowControl w:val="0"/>
      </w:pPr>
    </w:p>
    <w:p w14:paraId="109ACE51" w14:textId="77777777" w:rsidR="009B3384" w:rsidRDefault="00800862">
      <w:pPr>
        <w:widowControl w:val="0"/>
      </w:pPr>
      <w:r>
        <w:t>По време на лечението със STELARA може да се продължи употребата на имуномодулатори, съединения на 5-аминосалицилат (5-ASA), антибиотици и/или кортикостероиди. При пациенти, които са се повлияли от лечението със STELARA, тези лекарства може да се намалят или да се преустановят в съответствие със стандартното лечение.</w:t>
      </w:r>
    </w:p>
    <w:bookmarkEnd w:id="903"/>
    <w:p w14:paraId="109ACE52" w14:textId="77777777" w:rsidR="009B3384" w:rsidRPr="00BB130F" w:rsidRDefault="009B3384">
      <w:pPr>
        <w:widowControl w:val="0"/>
        <w:rPr>
          <w:ins w:id="918" w:author="Reviser" w:date="2026-04-29T19:57:00Z"/>
          <w:rPrChange w:id="919" w:author="EUCP BE1" w:date="2026-05-19T16:38:00Z">
            <w:rPr>
              <w:ins w:id="920" w:author="Reviser" w:date="2026-04-29T19:57:00Z"/>
              <w:lang w:val="en-US"/>
            </w:rPr>
          </w:rPrChange>
        </w:rPr>
      </w:pPr>
    </w:p>
    <w:p w14:paraId="6ACE819D" w14:textId="0C087D8A" w:rsidR="009423BB" w:rsidRPr="00BC6A43" w:rsidRDefault="009423BB" w:rsidP="009423BB">
      <w:pPr>
        <w:keepNext/>
        <w:tabs>
          <w:tab w:val="clear" w:pos="567"/>
        </w:tabs>
        <w:rPr>
          <w:ins w:id="921" w:author="Reviser" w:date="2026-04-29T19:57:00Z"/>
          <w:bCs/>
          <w:i/>
          <w:iCs/>
          <w:u w:val="single"/>
        </w:rPr>
      </w:pPr>
      <w:ins w:id="922" w:author="Reviser" w:date="2026-04-29T19:57:00Z">
        <w:r>
          <w:rPr>
            <w:bCs/>
            <w:i/>
            <w:iCs/>
            <w:u w:val="single"/>
          </w:rPr>
          <w:t>Педиатрична популация</w:t>
        </w:r>
      </w:ins>
    </w:p>
    <w:p w14:paraId="4E5B1836" w14:textId="0F4F65AA" w:rsidR="009423BB" w:rsidRPr="00BB130F" w:rsidRDefault="009423BB" w:rsidP="009423BB">
      <w:pPr>
        <w:widowControl w:val="0"/>
      </w:pPr>
      <w:ins w:id="923" w:author="Reviser" w:date="2026-04-29T19:57:00Z">
        <w:r>
          <w:rPr>
            <w:bCs/>
          </w:rPr>
          <w:t xml:space="preserve">Безопасността и ефикасността на STELARA при педиатрични пациенти с болест на </w:t>
        </w:r>
        <w:r>
          <w:rPr>
            <w:bCs/>
            <w:lang w:val="en-GB"/>
          </w:rPr>
          <w:t>Crohn</w:t>
        </w:r>
        <w:r>
          <w:rPr>
            <w:bCs/>
          </w:rPr>
          <w:t xml:space="preserve"> или улцерозен колит под 2 години и под </w:t>
        </w:r>
        <w:r w:rsidRPr="00344E42">
          <w:t>10 kg</w:t>
        </w:r>
        <w:r>
          <w:rPr>
            <w:bCs/>
          </w:rPr>
          <w:t xml:space="preserve"> все още не са установени. Липсват данни.</w:t>
        </w:r>
      </w:ins>
    </w:p>
    <w:p w14:paraId="109ACE53" w14:textId="7F5EDEB6" w:rsidR="009B3384" w:rsidDel="006F5B3F" w:rsidRDefault="00800862">
      <w:pPr>
        <w:widowControl w:val="0"/>
        <w:rPr>
          <w:del w:id="924" w:author="Reviser" w:date="2026-04-29T20:20:00Z"/>
        </w:rPr>
      </w:pPr>
      <w:del w:id="925" w:author="Reviser" w:date="2026-04-29T20:20:00Z">
        <w:r w:rsidDel="006F5B3F">
          <w:delText xml:space="preserve">Безопасността и ефикасността на STELARA при лечение на болест на Crohn </w:delText>
        </w:r>
        <w:r w:rsidDel="006F5B3F">
          <w:rPr>
            <w:bCs/>
          </w:rPr>
          <w:delText>при педиатрични пациенти под 2 години и с тегло под 10 </w:delText>
        </w:r>
        <w:r w:rsidDel="006F5B3F">
          <w:rPr>
            <w:bCs/>
            <w:lang w:val="en-US"/>
          </w:rPr>
          <w:delText>kg</w:delText>
        </w:r>
        <w:r w:rsidDel="006F5B3F">
          <w:rPr>
            <w:bCs/>
          </w:rPr>
          <w:delText xml:space="preserve"> </w:delText>
        </w:r>
        <w:r w:rsidDel="006F5B3F">
          <w:delText>не са установени. Липсват данни.</w:delText>
        </w:r>
      </w:del>
    </w:p>
    <w:p w14:paraId="109ACE54" w14:textId="7592F801" w:rsidR="009B3384" w:rsidDel="006F5B3F" w:rsidRDefault="009B3384">
      <w:pPr>
        <w:tabs>
          <w:tab w:val="clear" w:pos="567"/>
        </w:tabs>
        <w:rPr>
          <w:del w:id="926" w:author="Reviser" w:date="2026-04-29T20:20:00Z"/>
          <w:bCs/>
        </w:rPr>
      </w:pPr>
    </w:p>
    <w:p w14:paraId="109ACE55" w14:textId="3CC20A25" w:rsidR="009B3384" w:rsidDel="006F5B3F" w:rsidRDefault="00800862" w:rsidP="00BC6A43">
      <w:pPr>
        <w:keepNext/>
        <w:rPr>
          <w:del w:id="927" w:author="Reviser" w:date="2026-04-29T20:20:00Z"/>
          <w:bCs/>
          <w:i/>
          <w:iCs/>
          <w:u w:val="single"/>
        </w:rPr>
      </w:pPr>
      <w:del w:id="928" w:author="Reviser" w:date="2026-04-29T20:20:00Z">
        <w:r w:rsidDel="006F5B3F">
          <w:rPr>
            <w:bCs/>
            <w:i/>
            <w:iCs/>
            <w:u w:val="single"/>
          </w:rPr>
          <w:delText>Улцерозен колит при деца</w:delText>
        </w:r>
      </w:del>
    </w:p>
    <w:p w14:paraId="109ACE56" w14:textId="1932334D" w:rsidR="009B3384" w:rsidDel="006F5B3F" w:rsidRDefault="00800862">
      <w:pPr>
        <w:rPr>
          <w:del w:id="929" w:author="Reviser" w:date="2026-04-29T20:20:00Z"/>
          <w:bCs/>
        </w:rPr>
      </w:pPr>
      <w:del w:id="930" w:author="Reviser" w:date="2026-04-29T20:20:00Z">
        <w:r w:rsidDel="006F5B3F">
          <w:rPr>
            <w:bCs/>
          </w:rPr>
          <w:delText>Безопасността и ефикасността на STELARA при лечение на улцерозен колит при педиатрични пациенти под 18 години все още не са установени. Липсват данни.</w:delText>
        </w:r>
      </w:del>
    </w:p>
    <w:p w14:paraId="109ACE57" w14:textId="77777777" w:rsidR="009B3384" w:rsidRDefault="009B3384">
      <w:pPr>
        <w:tabs>
          <w:tab w:val="clear" w:pos="567"/>
        </w:tabs>
        <w:rPr>
          <w:bCs/>
        </w:rPr>
      </w:pPr>
    </w:p>
    <w:p w14:paraId="109ACE58" w14:textId="77777777" w:rsidR="009B3384" w:rsidRDefault="00800862">
      <w:pPr>
        <w:keepNext/>
        <w:tabs>
          <w:tab w:val="clear" w:pos="567"/>
        </w:tabs>
        <w:rPr>
          <w:bCs/>
          <w:u w:val="single"/>
        </w:rPr>
      </w:pPr>
      <w:r>
        <w:rPr>
          <w:bCs/>
          <w:u w:val="single"/>
        </w:rPr>
        <w:t>Начин на приложение</w:t>
      </w:r>
    </w:p>
    <w:p w14:paraId="109ACE59" w14:textId="77777777" w:rsidR="009B3384" w:rsidRDefault="00800862">
      <w:pPr>
        <w:tabs>
          <w:tab w:val="clear" w:pos="567"/>
        </w:tabs>
        <w:rPr>
          <w:bCs/>
        </w:rPr>
      </w:pPr>
      <w:r>
        <w:rPr>
          <w:bCs/>
        </w:rPr>
        <w:t>STELARA 45</w:t>
      </w:r>
      <w:r>
        <w:rPr>
          <w:bCs/>
          <w:lang w:val="en-GB"/>
        </w:rPr>
        <w:t> mg</w:t>
      </w:r>
      <w:r>
        <w:rPr>
          <w:bCs/>
        </w:rPr>
        <w:t xml:space="preserve"> флакони или 45</w:t>
      </w:r>
      <w:r>
        <w:rPr>
          <w:bCs/>
          <w:lang w:val="en-GB"/>
        </w:rPr>
        <w:t> mg</w:t>
      </w:r>
      <w:r>
        <w:rPr>
          <w:bCs/>
        </w:rPr>
        <w:t xml:space="preserve"> и 90</w:t>
      </w:r>
      <w:r>
        <w:rPr>
          <w:bCs/>
          <w:lang w:val="en-GB"/>
        </w:rPr>
        <w:t> mg</w:t>
      </w:r>
      <w:r>
        <w:rPr>
          <w:bCs/>
        </w:rPr>
        <w:t xml:space="preserve"> предварително напълнени спринцовки са само за подкожно инжектиране. По възможност кожните участъци с изявен псориазис трябва да се избягват като място на инжектиране.</w:t>
      </w:r>
    </w:p>
    <w:p w14:paraId="109ACE5A" w14:textId="77777777" w:rsidR="009B3384" w:rsidRDefault="009B3384">
      <w:pPr>
        <w:tabs>
          <w:tab w:val="clear" w:pos="567"/>
        </w:tabs>
        <w:rPr>
          <w:bCs/>
        </w:rPr>
      </w:pPr>
    </w:p>
    <w:p w14:paraId="109ACE5B" w14:textId="77777777" w:rsidR="009B3384" w:rsidRDefault="00800862">
      <w:pPr>
        <w:tabs>
          <w:tab w:val="clear" w:pos="567"/>
        </w:tabs>
        <w:rPr>
          <w:bCs/>
        </w:rPr>
      </w:pPr>
      <w:r>
        <w:rPr>
          <w:bCs/>
        </w:rPr>
        <w:t>След подходящо обучение за техниката на подкожно инжектиране пациентите или техните болногледачи могат да инжектират STELARA, ако лекарят реши, че това е уместно. Все пак лекарят трябва да осигури подходящо проследяване на пациентите. Пациентите или техните болногледачи трябва да бъдат инструктирани да инжектират предписаното количество STELARA съгласно указанията в листовката. Подробни указания за приложение са дадени в листовката.</w:t>
      </w:r>
    </w:p>
    <w:p w14:paraId="109ACE5C" w14:textId="77777777" w:rsidR="009B3384" w:rsidRDefault="009B3384"/>
    <w:p w14:paraId="109ACE5D" w14:textId="77777777" w:rsidR="009B3384" w:rsidRDefault="00800862">
      <w:pPr>
        <w:tabs>
          <w:tab w:val="clear" w:pos="567"/>
        </w:tabs>
        <w:rPr>
          <w:bCs/>
        </w:rPr>
      </w:pPr>
      <w:r>
        <w:rPr>
          <w:bCs/>
        </w:rPr>
        <w:t>За по-нататъшни указания за приготвяне и специални предпазни мерки при работа вижте точка 6.6.</w:t>
      </w:r>
    </w:p>
    <w:p w14:paraId="109ACE5E" w14:textId="77777777" w:rsidR="009B3384" w:rsidRDefault="009B3384">
      <w:pPr>
        <w:tabs>
          <w:tab w:val="clear" w:pos="567"/>
        </w:tabs>
        <w:rPr>
          <w:bCs/>
        </w:rPr>
      </w:pPr>
    </w:p>
    <w:p w14:paraId="109ACE5F" w14:textId="77777777" w:rsidR="009B3384" w:rsidRDefault="00800862">
      <w:pPr>
        <w:keepNext/>
        <w:ind w:left="567" w:hanging="567"/>
        <w:outlineLvl w:val="2"/>
        <w:rPr>
          <w:b/>
          <w:bCs/>
        </w:rPr>
      </w:pPr>
      <w:r>
        <w:rPr>
          <w:b/>
          <w:bCs/>
        </w:rPr>
        <w:t>4.3</w:t>
      </w:r>
      <w:r>
        <w:rPr>
          <w:b/>
          <w:bCs/>
        </w:rPr>
        <w:tab/>
        <w:t>Противопоказания</w:t>
      </w:r>
    </w:p>
    <w:p w14:paraId="109ACE60" w14:textId="77777777" w:rsidR="009B3384" w:rsidRDefault="009B3384">
      <w:pPr>
        <w:keepNext/>
        <w:tabs>
          <w:tab w:val="clear" w:pos="567"/>
        </w:tabs>
      </w:pPr>
    </w:p>
    <w:p w14:paraId="109ACE61" w14:textId="77777777" w:rsidR="009B3384" w:rsidRDefault="00800862">
      <w:r>
        <w:t>Свръхчувствителност към активното вещество или към някое от помощните вещества, изброени в точка 6.1.</w:t>
      </w:r>
    </w:p>
    <w:p w14:paraId="109ACE62" w14:textId="77777777" w:rsidR="009B3384" w:rsidRDefault="009B3384"/>
    <w:p w14:paraId="109ACE63" w14:textId="77777777" w:rsidR="009B3384" w:rsidRDefault="00800862">
      <w:r>
        <w:t>Клинично значима, активна инфекция (напр. активна туберкулоза, вж. точка 4.4).</w:t>
      </w:r>
    </w:p>
    <w:p w14:paraId="109ACE64" w14:textId="77777777" w:rsidR="009B3384" w:rsidRDefault="009B3384">
      <w:pPr>
        <w:tabs>
          <w:tab w:val="clear" w:pos="567"/>
        </w:tabs>
      </w:pPr>
    </w:p>
    <w:p w14:paraId="109ACE65" w14:textId="77777777" w:rsidR="009B3384" w:rsidRDefault="00800862">
      <w:pPr>
        <w:keepNext/>
        <w:ind w:left="567" w:hanging="567"/>
        <w:outlineLvl w:val="2"/>
        <w:rPr>
          <w:b/>
          <w:bCs/>
        </w:rPr>
      </w:pPr>
      <w:r>
        <w:rPr>
          <w:b/>
          <w:bCs/>
        </w:rPr>
        <w:t>4.4</w:t>
      </w:r>
      <w:r>
        <w:rPr>
          <w:b/>
          <w:bCs/>
        </w:rPr>
        <w:tab/>
        <w:t>Специални предупреждения и предпазни мерки при употреба</w:t>
      </w:r>
    </w:p>
    <w:p w14:paraId="109ACE66" w14:textId="77777777" w:rsidR="009B3384" w:rsidRDefault="009B3384">
      <w:pPr>
        <w:keepNext/>
        <w:tabs>
          <w:tab w:val="clear" w:pos="567"/>
        </w:tabs>
      </w:pPr>
    </w:p>
    <w:p w14:paraId="109ACE67" w14:textId="77777777" w:rsidR="009B3384" w:rsidRDefault="00800862">
      <w:pPr>
        <w:keepNext/>
        <w:rPr>
          <w:u w:val="single"/>
        </w:rPr>
      </w:pPr>
      <w:r>
        <w:rPr>
          <w:u w:val="single"/>
        </w:rPr>
        <w:t>Проследимост</w:t>
      </w:r>
    </w:p>
    <w:p w14:paraId="109ACE68" w14:textId="77777777" w:rsidR="009B3384" w:rsidRDefault="00800862">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109ACE69" w14:textId="77777777" w:rsidR="009B3384" w:rsidRDefault="009B3384"/>
    <w:p w14:paraId="109ACE6A" w14:textId="77777777" w:rsidR="009B3384" w:rsidRDefault="00800862">
      <w:pPr>
        <w:keepNext/>
        <w:tabs>
          <w:tab w:val="clear" w:pos="567"/>
        </w:tabs>
        <w:rPr>
          <w:u w:val="single"/>
        </w:rPr>
      </w:pPr>
      <w:r>
        <w:rPr>
          <w:u w:val="single"/>
        </w:rPr>
        <w:t>Инфекции</w:t>
      </w:r>
    </w:p>
    <w:p w14:paraId="109ACE6B" w14:textId="77777777" w:rsidR="009B3384" w:rsidRDefault="00800862">
      <w:pPr>
        <w:tabs>
          <w:tab w:val="clear" w:pos="567"/>
        </w:tabs>
      </w:pPr>
      <w:r>
        <w:t>Устекинумаб може да има потенциал да увеличава риска от инфекции и да реактивира латентни инфекции. При клинични проучвания и постмаркетингово обсервационно проучване при пациенти с псориазис се наблюдават сериозни бактериални, гъбични и вирусни инфекции при пациенти, приемащи STELARA (вж. точка 4.8).</w:t>
      </w:r>
    </w:p>
    <w:p w14:paraId="109ACE6C" w14:textId="77777777" w:rsidR="009B3384" w:rsidRDefault="009B3384">
      <w:pPr>
        <w:tabs>
          <w:tab w:val="clear" w:pos="567"/>
        </w:tabs>
      </w:pPr>
    </w:p>
    <w:p w14:paraId="109ACE6D" w14:textId="77777777" w:rsidR="009B3384" w:rsidRDefault="00800862">
      <w:pPr>
        <w:tabs>
          <w:tab w:val="clear" w:pos="567"/>
        </w:tabs>
      </w:pPr>
      <w:r>
        <w:t xml:space="preserve">При пациенти, лекувани с устекинумаб, се съобщава за опортюнистични инфекции, включващи реактивиране на туберкулоза, други опортюнистични бактериални инфекции (включително атипична микобактериална инфекция, менингит, причинен от </w:t>
      </w:r>
      <w:r>
        <w:rPr>
          <w:lang w:val="en-US"/>
        </w:rPr>
        <w:t>L</w:t>
      </w:r>
      <w:r>
        <w:t xml:space="preserve">isteria, пневмония, причинена от </w:t>
      </w:r>
      <w:r>
        <w:rPr>
          <w:lang w:val="en-US"/>
        </w:rPr>
        <w:t>L</w:t>
      </w:r>
      <w:r>
        <w:t>egionella, и нокардиоза), опортюнистични микотични инфекции, опортюнистични вирусни инфекции (включително енцефалит, причинен от херпес симплекс</w:t>
      </w:r>
      <w:r>
        <w:rPr>
          <w:lang w:val="nl-BE"/>
        </w:rPr>
        <w:t> </w:t>
      </w:r>
      <w:r>
        <w:t>2) и паразитни инфекции (включително очна токсоплазмоза).</w:t>
      </w:r>
    </w:p>
    <w:p w14:paraId="109ACE6E" w14:textId="77777777" w:rsidR="009B3384" w:rsidRDefault="009B3384">
      <w:pPr>
        <w:tabs>
          <w:tab w:val="clear" w:pos="567"/>
        </w:tabs>
      </w:pPr>
    </w:p>
    <w:p w14:paraId="109ACE6F" w14:textId="77777777" w:rsidR="009B3384" w:rsidRDefault="00800862">
      <w:pPr>
        <w:tabs>
          <w:tab w:val="clear" w:pos="567"/>
        </w:tabs>
      </w:pPr>
      <w:r>
        <w:t>Трябва да се подхожда с повишено внимание, когато се обсъжда приложението на STELARA при пациенти с хронични инфекции или анамнеза за рецидивираща инфекция (вж. точка 4.3).</w:t>
      </w:r>
    </w:p>
    <w:p w14:paraId="109ACE70" w14:textId="77777777" w:rsidR="009B3384" w:rsidRDefault="009B3384">
      <w:pPr>
        <w:tabs>
          <w:tab w:val="clear" w:pos="567"/>
        </w:tabs>
        <w:rPr>
          <w:bCs/>
        </w:rPr>
      </w:pPr>
    </w:p>
    <w:p w14:paraId="109ACE71" w14:textId="77777777" w:rsidR="009B3384" w:rsidRDefault="00800862">
      <w:pPr>
        <w:tabs>
          <w:tab w:val="clear" w:pos="567"/>
        </w:tabs>
      </w:pPr>
      <w:r>
        <w:rPr>
          <w:bCs/>
        </w:rPr>
        <w:t xml:space="preserve">Преди започването на лечение със STELARA пациентите трябва да се изследват за туберкулозна инфекция. </w:t>
      </w:r>
      <w:r>
        <w:t>STELARA не трябва да се прилага при пациенти с активна туберкулоза (вж. точка 4.3). Лечението на латентна туберкулозна инфекция трябва да започне преди приложението на STELARA. Антитуберкулозната терапия също трябва да бъде обсъдена преди началото на лечение със STELARA при пациенти с анамнеза за латентна или активна туберкулоза, при които не може да се потвърди адекватен курс на лечение. Пациентите, приемащи STELARA, трябва да се наблюдават внимателно за признаци и симптоми на активна туберкулоза по време на лечението и след него.</w:t>
      </w:r>
    </w:p>
    <w:p w14:paraId="109ACE72" w14:textId="77777777" w:rsidR="009B3384" w:rsidRDefault="009B3384">
      <w:pPr>
        <w:tabs>
          <w:tab w:val="clear" w:pos="567"/>
        </w:tabs>
      </w:pPr>
    </w:p>
    <w:p w14:paraId="109ACE73" w14:textId="77777777" w:rsidR="009B3384" w:rsidRDefault="00800862">
      <w:pPr>
        <w:tabs>
          <w:tab w:val="clear" w:pos="567"/>
        </w:tabs>
      </w:pPr>
      <w:r>
        <w:t>Пациентите трябва да бъдат инструктирани да потърсят лекарски съвет, ако се появят признаци или симптоми, предполагащи инфекция. Ако пациент развие сериозна инфекция, състоянието му трябва внимателно да се следи и STELARA не трябва да се прилага, докато инфекцията не бъде овладяна.</w:t>
      </w:r>
    </w:p>
    <w:p w14:paraId="109ACE74" w14:textId="77777777" w:rsidR="009B3384" w:rsidRDefault="009B3384">
      <w:pPr>
        <w:tabs>
          <w:tab w:val="clear" w:pos="567"/>
        </w:tabs>
      </w:pPr>
    </w:p>
    <w:p w14:paraId="109ACE75" w14:textId="77777777" w:rsidR="009B3384" w:rsidRDefault="00800862">
      <w:pPr>
        <w:keepNext/>
        <w:tabs>
          <w:tab w:val="clear" w:pos="567"/>
        </w:tabs>
        <w:rPr>
          <w:u w:val="single"/>
        </w:rPr>
      </w:pPr>
      <w:r>
        <w:rPr>
          <w:u w:val="single"/>
        </w:rPr>
        <w:t>Злокачествени заболявания</w:t>
      </w:r>
    </w:p>
    <w:p w14:paraId="109ACE76" w14:textId="77777777" w:rsidR="009B3384" w:rsidRDefault="00800862">
      <w:pPr>
        <w:tabs>
          <w:tab w:val="clear" w:pos="567"/>
        </w:tabs>
      </w:pPr>
      <w:r>
        <w:t>Имуносупресори като устекинумаб имат потенциал да увеличават риска от злокачествени заболявания. Някои пациенти, които са приемали STELARA в клинични проучвания и в постмаркетингово обсервационно проучване при пациенти с псориазис, са развили кожни и некожни злокачествени заболявания (вж. точка 4.8). Рискът от злокачествени заболявания може да е по-висок при пациенти с псориазис, които са лекувани с други биологични лекарства в хода на заболяването.</w:t>
      </w:r>
    </w:p>
    <w:p w14:paraId="109ACE77" w14:textId="77777777" w:rsidR="009B3384" w:rsidRDefault="009B3384">
      <w:pPr>
        <w:tabs>
          <w:tab w:val="clear" w:pos="567"/>
        </w:tabs>
      </w:pPr>
    </w:p>
    <w:p w14:paraId="109ACE78" w14:textId="77777777" w:rsidR="009B3384" w:rsidRDefault="00800862">
      <w:pPr>
        <w:tabs>
          <w:tab w:val="clear" w:pos="567"/>
        </w:tabs>
      </w:pPr>
      <w:r>
        <w:t>Не са провеждани проучвания, в които участват пациенти с анамнеза за злокачествени заболявания или в които продължава лечението на пациенти, развили злокачествено заболяване по време на приема на STELARA. Затова трябва да се подхожда с повишено внимание, когато се обсъжда приложението на STELARA при тези пациенти.</w:t>
      </w:r>
    </w:p>
    <w:p w14:paraId="109ACE79" w14:textId="77777777" w:rsidR="009B3384" w:rsidRDefault="009B3384">
      <w:pPr>
        <w:tabs>
          <w:tab w:val="clear" w:pos="567"/>
        </w:tabs>
      </w:pPr>
    </w:p>
    <w:p w14:paraId="109ACE7A" w14:textId="77777777" w:rsidR="009B3384" w:rsidRDefault="00800862">
      <w:pPr>
        <w:tabs>
          <w:tab w:val="clear" w:pos="567"/>
        </w:tabs>
      </w:pPr>
      <w:r>
        <w:t>Всички пациенти, по-специално тези над 60 години, пациенти с анамнеза за продължителна имуносупресивна терапия или такива с анамнеза за ПУВА-терапия, трябва да се наблюдават за поява на рак на кожата (вж. точка 4.8).</w:t>
      </w:r>
    </w:p>
    <w:p w14:paraId="109ACE7B" w14:textId="77777777" w:rsidR="009B3384" w:rsidRDefault="009B3384">
      <w:pPr>
        <w:tabs>
          <w:tab w:val="clear" w:pos="567"/>
        </w:tabs>
      </w:pPr>
    </w:p>
    <w:p w14:paraId="109ACE7C" w14:textId="77777777" w:rsidR="009B3384" w:rsidRDefault="00800862">
      <w:pPr>
        <w:keepNext/>
        <w:tabs>
          <w:tab w:val="clear" w:pos="567"/>
        </w:tabs>
        <w:rPr>
          <w:u w:val="single"/>
        </w:rPr>
      </w:pPr>
      <w:r>
        <w:rPr>
          <w:u w:val="single"/>
        </w:rPr>
        <w:t>Системни и респираторни реакции на свръхчувствителност</w:t>
      </w:r>
    </w:p>
    <w:p w14:paraId="109ACE7E" w14:textId="77777777" w:rsidR="009B3384" w:rsidRDefault="00800862">
      <w:pPr>
        <w:tabs>
          <w:tab w:val="clear" w:pos="567"/>
        </w:tabs>
      </w:pPr>
      <w:r>
        <w:t>Сериозни реакции на свръхчувствителност са докладвани в постмаркетингови условия, в някои случаи няколко дни след лечението. Има случаи на анафилаксия и ангиоедем. Ако се появи анафилактична или друга сериозна реакция на свръхчувствителност, трябва да се назначи подходяща терапия и приложението на STELARA трябва да се преустанови (вж. точка 4.8).</w:t>
      </w:r>
    </w:p>
    <w:p w14:paraId="109ACE7F" w14:textId="77777777" w:rsidR="009B3384" w:rsidRDefault="009B3384">
      <w:pPr>
        <w:tabs>
          <w:tab w:val="clear" w:pos="567"/>
        </w:tabs>
      </w:pPr>
    </w:p>
    <w:p w14:paraId="109ACE81" w14:textId="77777777" w:rsidR="009B3384" w:rsidRDefault="00800862">
      <w:pPr>
        <w:widowControl w:val="0"/>
      </w:pPr>
      <w:r>
        <w:t>Случаи на алергичен алвеолит, еозинофилна пневмония и неинфекциозна организираща пневмония са съобщени по време на постмаркетинговата употреба на устекинумаб. Клиничните прояви включват кашлица, диспнея и интерстициални инфилтрати след една до три дози. Сериозните последици включват дихателна недостатъчност и продължителна хоспитализация. Подобрение е съобщавано след преустановяване на лечението с устекинумаб и в някои случаи при приложение на кортикостероиди. Ако бъде изключена инфекция и диагнозата се потвърди, приложението на устекинумаб трябва да се преустанови и да се започне подходящо лечение (вж. точка 4.8).</w:t>
      </w:r>
    </w:p>
    <w:p w14:paraId="109ACE82" w14:textId="77777777" w:rsidR="009B3384" w:rsidRDefault="009B3384">
      <w:pPr>
        <w:tabs>
          <w:tab w:val="clear" w:pos="567"/>
        </w:tabs>
      </w:pPr>
    </w:p>
    <w:p w14:paraId="109ACE83" w14:textId="77777777" w:rsidR="009B3384" w:rsidRDefault="00800862">
      <w:pPr>
        <w:keepNext/>
        <w:tabs>
          <w:tab w:val="clear" w:pos="567"/>
        </w:tabs>
        <w:rPr>
          <w:u w:val="single"/>
        </w:rPr>
      </w:pPr>
      <w:r>
        <w:rPr>
          <w:u w:val="single"/>
        </w:rPr>
        <w:t>Сърдечно-съдови събития</w:t>
      </w:r>
    </w:p>
    <w:p w14:paraId="109ACE84" w14:textId="77777777" w:rsidR="009B3384" w:rsidRDefault="00800862">
      <w:pPr>
        <w:tabs>
          <w:tab w:val="clear" w:pos="567"/>
        </w:tabs>
      </w:pPr>
      <w:r>
        <w:t>При пациенти с псориазис, с експозиция на STELARA, в постмаркетингово обсервационно проучване са наблюдавани сърдечно-съдови събития, включително инфаркт на миокарда и мозъчно-съдов инцидент. Рисковите фактори за сърдечносъдово заболяване трябва да се оценяват редовно по време на лечението със STELARA.</w:t>
      </w:r>
    </w:p>
    <w:p w14:paraId="109ACE85" w14:textId="77777777" w:rsidR="009B3384" w:rsidRDefault="009B3384">
      <w:pPr>
        <w:tabs>
          <w:tab w:val="clear" w:pos="567"/>
        </w:tabs>
      </w:pPr>
    </w:p>
    <w:p w14:paraId="109ACE86" w14:textId="77777777" w:rsidR="009B3384" w:rsidRPr="00BC6A43" w:rsidRDefault="00800862">
      <w:pPr>
        <w:keepNext/>
        <w:tabs>
          <w:tab w:val="clear" w:pos="567"/>
        </w:tabs>
        <w:rPr>
          <w:u w:val="single"/>
        </w:rPr>
      </w:pPr>
      <w:r w:rsidRPr="00BC6A43">
        <w:rPr>
          <w:u w:val="single"/>
        </w:rPr>
        <w:lastRenderedPageBreak/>
        <w:t>Чувствителност към латекс</w:t>
      </w:r>
    </w:p>
    <w:p w14:paraId="109ACE87" w14:textId="77777777" w:rsidR="009B3384" w:rsidRDefault="00800862">
      <w:pPr>
        <w:tabs>
          <w:tab w:val="clear" w:pos="567"/>
        </w:tabs>
      </w:pPr>
      <w:r>
        <w:t xml:space="preserve">Предпазителят на иглата на </w:t>
      </w:r>
      <w:r>
        <w:rPr>
          <w:lang w:val="en-GB"/>
        </w:rPr>
        <w:t>STELARA</w:t>
      </w:r>
      <w:r>
        <w:t xml:space="preserve"> предварително напълнена спринцовка е произведен от сух естествен каучук (производно на латекс), който може да предизвика алергични реакции при хора, чувствителни към латекс.</w:t>
      </w:r>
    </w:p>
    <w:p w14:paraId="109ACE88" w14:textId="77777777" w:rsidR="009B3384" w:rsidRDefault="009B3384">
      <w:pPr>
        <w:tabs>
          <w:tab w:val="clear" w:pos="567"/>
        </w:tabs>
        <w:rPr>
          <w:u w:val="single"/>
        </w:rPr>
      </w:pPr>
    </w:p>
    <w:p w14:paraId="109ACE89" w14:textId="77777777" w:rsidR="009B3384" w:rsidRDefault="00800862">
      <w:pPr>
        <w:keepNext/>
        <w:tabs>
          <w:tab w:val="clear" w:pos="567"/>
        </w:tabs>
        <w:rPr>
          <w:u w:val="single"/>
        </w:rPr>
      </w:pPr>
      <w:r>
        <w:rPr>
          <w:u w:val="single"/>
        </w:rPr>
        <w:t>Ваксинации</w:t>
      </w:r>
    </w:p>
    <w:p w14:paraId="109ACE8A" w14:textId="77777777" w:rsidR="009B3384" w:rsidRDefault="00800862">
      <w:pPr>
        <w:tabs>
          <w:tab w:val="clear" w:pos="567"/>
        </w:tabs>
      </w:pPr>
      <w:r>
        <w:t>Препоръчва се да не се прилагат живи вирусни или живи бактериални ваксини (като БЦЖ) едновременно със STELARA. Не са провеждани конкретни проучвания при пациенти, върху които наскоро е прилагана жива вирусна или жива бактериална ваксина. Няма данни за вторично предаване на инфекция чрез живи ваксини при пациенти, получаващи STELARA. Лечението със STELARA трябва да се преустанови най-малко за 15 седмици след последната доза преди поставянето на жива вирусна или жива бактериална ваксина и може да се възобнови най-малко 2 седмици след ваксинирането. Лекарите, предписващи лекарството, трябва да направят справка с Кратката характеристика на продукта за конкретната ваксина за допълнителна информация и указания за едновременната употреба на имуносупресивни лекарства след ваксиниране.</w:t>
      </w:r>
    </w:p>
    <w:p w14:paraId="109ACE8B" w14:textId="77777777" w:rsidR="009B3384" w:rsidRDefault="009B3384">
      <w:pPr>
        <w:tabs>
          <w:tab w:val="clear" w:pos="567"/>
        </w:tabs>
      </w:pPr>
    </w:p>
    <w:p w14:paraId="109ACE8C" w14:textId="77777777" w:rsidR="009B3384" w:rsidRDefault="00800862">
      <w:pPr>
        <w:tabs>
          <w:tab w:val="clear" w:pos="567"/>
        </w:tabs>
      </w:pPr>
      <w:r>
        <w:t xml:space="preserve">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4.5 и 4.6).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CE8D" w14:textId="77777777" w:rsidR="009B3384" w:rsidRDefault="009B3384">
      <w:pPr>
        <w:tabs>
          <w:tab w:val="clear" w:pos="567"/>
        </w:tabs>
      </w:pPr>
    </w:p>
    <w:p w14:paraId="109ACE8E" w14:textId="77777777" w:rsidR="009B3384" w:rsidRDefault="00800862">
      <w:pPr>
        <w:tabs>
          <w:tab w:val="clear" w:pos="567"/>
        </w:tabs>
      </w:pPr>
      <w:r>
        <w:t>Пациентите, които употребяват STELARA, може да получат едновременно инактивирани или убити ваксини.</w:t>
      </w:r>
    </w:p>
    <w:p w14:paraId="109ACE8F" w14:textId="77777777" w:rsidR="009B3384" w:rsidRDefault="009B3384">
      <w:pPr>
        <w:tabs>
          <w:tab w:val="clear" w:pos="567"/>
        </w:tabs>
      </w:pPr>
    </w:p>
    <w:p w14:paraId="109ACE90" w14:textId="77777777" w:rsidR="009B3384" w:rsidRDefault="00800862">
      <w:pPr>
        <w:tabs>
          <w:tab w:val="clear" w:pos="567"/>
        </w:tabs>
      </w:pPr>
      <w:r>
        <w:t>Дългосрочното лечение със STELARA не потиска хуморалния имунен отговор към пневмококовите полизахаридни ваксини или към ваксините срещу тетанус (вж. точка 5.1).</w:t>
      </w:r>
    </w:p>
    <w:p w14:paraId="109ACE91" w14:textId="77777777" w:rsidR="009B3384" w:rsidRDefault="009B3384">
      <w:pPr>
        <w:tabs>
          <w:tab w:val="clear" w:pos="567"/>
        </w:tabs>
      </w:pPr>
    </w:p>
    <w:p w14:paraId="109ACE92" w14:textId="77777777" w:rsidR="009B3384" w:rsidRDefault="00800862">
      <w:pPr>
        <w:keepNext/>
        <w:tabs>
          <w:tab w:val="clear" w:pos="567"/>
        </w:tabs>
        <w:rPr>
          <w:u w:val="single"/>
        </w:rPr>
      </w:pPr>
      <w:r>
        <w:rPr>
          <w:u w:val="single"/>
        </w:rPr>
        <w:t>Едновременна имуносупресивна терапия</w:t>
      </w:r>
    </w:p>
    <w:p w14:paraId="109ACE93" w14:textId="77777777" w:rsidR="009B3384" w:rsidRDefault="00800862">
      <w:pPr>
        <w:tabs>
          <w:tab w:val="clear" w:pos="567"/>
        </w:tabs>
      </w:pPr>
      <w:r>
        <w:t xml:space="preserve">При проучвания при псориазис не са оценявани безопасността и ефикасността на STELARA в комбинация с имуносупресори, включително биологични продукти или фототерапия. При проучвания при псориатичен артрит, едновременната употреба на MTX не повлиява безопасността и ефикасността на STELARA. В проучванията при болест на </w:t>
      </w:r>
      <w:r>
        <w:rPr>
          <w:lang w:val="en-GB"/>
        </w:rPr>
        <w:t>Crohn</w:t>
      </w:r>
      <w:r>
        <w:t xml:space="preserve"> </w:t>
      </w:r>
      <w:r>
        <w:rPr>
          <w:bCs/>
        </w:rPr>
        <w:t xml:space="preserve">и </w:t>
      </w:r>
      <w:r>
        <w:t xml:space="preserve">улцерозен колит едновременната употреба на имуносупресори или кортикостероиди изглежда не повлиява безопасността или ефикасността на </w:t>
      </w:r>
      <w:r>
        <w:rPr>
          <w:lang w:val="en-GB"/>
        </w:rPr>
        <w:t>STELARA</w:t>
      </w:r>
      <w:r>
        <w:t>.Трябва да се подхожда с повишено внимание, когато се обсъжда едновременната употреба на други имуносупресори и STELARA или при преминаването към лечение с други биологични имуносупресори (вж. точка 4.5).</w:t>
      </w:r>
    </w:p>
    <w:p w14:paraId="109ACE94" w14:textId="77777777" w:rsidR="009B3384" w:rsidRDefault="009B3384">
      <w:pPr>
        <w:tabs>
          <w:tab w:val="clear" w:pos="567"/>
        </w:tabs>
      </w:pPr>
    </w:p>
    <w:p w14:paraId="109ACE95" w14:textId="77777777" w:rsidR="009B3384" w:rsidRDefault="00800862">
      <w:pPr>
        <w:keepNext/>
        <w:tabs>
          <w:tab w:val="clear" w:pos="567"/>
        </w:tabs>
        <w:rPr>
          <w:u w:val="single"/>
        </w:rPr>
      </w:pPr>
      <w:r>
        <w:rPr>
          <w:u w:val="single"/>
        </w:rPr>
        <w:t>Имунотерапия</w:t>
      </w:r>
    </w:p>
    <w:p w14:paraId="109ACE96" w14:textId="77777777" w:rsidR="009B3384" w:rsidRDefault="00800862">
      <w:pPr>
        <w:tabs>
          <w:tab w:val="clear" w:pos="567"/>
        </w:tabs>
      </w:pPr>
      <w:r>
        <w:t>STELARA не е оценяван при пациенти, които са подлагани на имунотерапия за алергии. Не е известно дали STELARA може да се отрази на имунотерапията при алергии.</w:t>
      </w:r>
    </w:p>
    <w:p w14:paraId="109ACE97" w14:textId="77777777" w:rsidR="009B3384" w:rsidRDefault="009B3384">
      <w:pPr>
        <w:tabs>
          <w:tab w:val="clear" w:pos="567"/>
        </w:tabs>
      </w:pPr>
    </w:p>
    <w:p w14:paraId="109ACE98" w14:textId="77777777" w:rsidR="009B3384" w:rsidRDefault="00800862">
      <w:pPr>
        <w:keepNext/>
        <w:widowControl w:val="0"/>
        <w:rPr>
          <w:u w:val="single"/>
        </w:rPr>
      </w:pPr>
      <w:r>
        <w:rPr>
          <w:u w:val="single"/>
        </w:rPr>
        <w:t>Сериозни кожни заболявания</w:t>
      </w:r>
    </w:p>
    <w:p w14:paraId="109ACE99" w14:textId="77777777" w:rsidR="009B3384" w:rsidRDefault="00800862">
      <w:pPr>
        <w:widowControl w:val="0"/>
      </w:pPr>
      <w:r>
        <w:t>При пациенти с псориазис се съобщава за случаи на ексфолиативен дерматит след лечение с устекинумаб (вж. точка 4.8). Пациентите с псориазис с плаки може да развият еритродермичен псориазис като част от естествения ход на заболяването със симптоми, които може от клинична гледна точка да не се отличават от ексфолиативния дерматит. Лекарите трябва да внимават за симптоми на еритродермичен псориазис или ексфолиативен дерматит като част от мониторирането на псориазиса при пациента. Ако тези симптоми се появят, трябва да се започне подходящо лечение. Приемът на STELARA трябва да се преустанови, ако има съмнения за лекарствена реакция.</w:t>
      </w:r>
    </w:p>
    <w:p w14:paraId="109ACE9A" w14:textId="77777777" w:rsidR="009B3384" w:rsidRDefault="009B3384">
      <w:pPr>
        <w:tabs>
          <w:tab w:val="clear" w:pos="567"/>
        </w:tabs>
      </w:pPr>
    </w:p>
    <w:p w14:paraId="109ACE9B" w14:textId="77777777" w:rsidR="009B3384" w:rsidRDefault="00800862">
      <w:pPr>
        <w:keepNext/>
        <w:widowControl w:val="0"/>
        <w:rPr>
          <w:szCs w:val="22"/>
          <w:u w:val="single"/>
        </w:rPr>
      </w:pPr>
      <w:r>
        <w:rPr>
          <w:szCs w:val="22"/>
          <w:u w:val="single"/>
        </w:rPr>
        <w:t>Заболявания, свързани с лупус</w:t>
      </w:r>
    </w:p>
    <w:p w14:paraId="109ACE9C" w14:textId="77777777" w:rsidR="009B3384" w:rsidRDefault="00800862">
      <w:pPr>
        <w:widowControl w:val="0"/>
        <w:rPr>
          <w:szCs w:val="22"/>
        </w:rPr>
      </w:pPr>
      <w:r>
        <w:rPr>
          <w:szCs w:val="22"/>
        </w:rPr>
        <w:t xml:space="preserve">Случаи на заболявания, свързани с лупус, се съобщават при пациенти, лекувани с </w:t>
      </w:r>
      <w:r>
        <w:t>устекинумаб</w:t>
      </w:r>
      <w:r>
        <w:rPr>
          <w:szCs w:val="22"/>
        </w:rPr>
        <w:t xml:space="preserve">, включително кожен лупус еритематодес и лупус-подобен синдром. При възникване на лезии, </w:t>
      </w:r>
      <w:r>
        <w:rPr>
          <w:szCs w:val="22"/>
        </w:rPr>
        <w:lastRenderedPageBreak/>
        <w:t xml:space="preserve">особено на изложените на слънце участъци на кожата, или ако те се съпътстват от артралгия, пациентът трябва да потърси незабавно лекарска помощ. Ако се потвърдят заболявания, свързани с лупус, </w:t>
      </w:r>
      <w:r>
        <w:t>устекинумаб</w:t>
      </w:r>
      <w:r>
        <w:rPr>
          <w:szCs w:val="22"/>
        </w:rPr>
        <w:t xml:space="preserve"> трябва да се преустанови и да се започне подходящо лечение</w:t>
      </w:r>
      <w:r>
        <w:rPr>
          <w:bCs/>
          <w:szCs w:val="22"/>
        </w:rPr>
        <w:t>.</w:t>
      </w:r>
    </w:p>
    <w:p w14:paraId="109ACE9D" w14:textId="77777777" w:rsidR="009B3384" w:rsidRDefault="009B3384">
      <w:pPr>
        <w:tabs>
          <w:tab w:val="clear" w:pos="567"/>
        </w:tabs>
      </w:pPr>
    </w:p>
    <w:p w14:paraId="109ACE9E" w14:textId="77777777" w:rsidR="009B3384" w:rsidRDefault="00800862">
      <w:pPr>
        <w:keepNext/>
        <w:tabs>
          <w:tab w:val="clear" w:pos="567"/>
        </w:tabs>
        <w:rPr>
          <w:u w:val="single"/>
        </w:rPr>
      </w:pPr>
      <w:r>
        <w:rPr>
          <w:u w:val="single"/>
        </w:rPr>
        <w:t>Специални популации</w:t>
      </w:r>
    </w:p>
    <w:p w14:paraId="109ACE9F" w14:textId="77777777" w:rsidR="009B3384" w:rsidRDefault="009B3384">
      <w:pPr>
        <w:keepNext/>
        <w:tabs>
          <w:tab w:val="clear" w:pos="567"/>
        </w:tabs>
        <w:rPr>
          <w:u w:val="single"/>
        </w:rPr>
      </w:pPr>
    </w:p>
    <w:p w14:paraId="109ACEA0" w14:textId="2FBEED3C" w:rsidR="009B3384" w:rsidRDefault="00800862">
      <w:pPr>
        <w:keepNext/>
        <w:tabs>
          <w:tab w:val="clear" w:pos="567"/>
        </w:tabs>
        <w:rPr>
          <w:bCs/>
          <w:i/>
          <w:iCs/>
        </w:rPr>
      </w:pPr>
      <w:r w:rsidRPr="00BC6A43">
        <w:rPr>
          <w:bCs/>
          <w:i/>
          <w:iCs/>
          <w:u w:val="single"/>
        </w:rPr>
        <w:t>Старческа възраст</w:t>
      </w:r>
    </w:p>
    <w:p w14:paraId="109ACEA1" w14:textId="77777777" w:rsidR="009B3384" w:rsidRDefault="00800862">
      <w:pPr>
        <w:tabs>
          <w:tab w:val="clear" w:pos="567"/>
        </w:tabs>
      </w:pPr>
      <w:r>
        <w:t>В клиничните изпитвания при одобрените показания не се наблюдават съществени различия в ефикасността или безопасността при пациенти на 65</w:t>
      </w:r>
      <w:r>
        <w:noBreakHyphen/>
        <w:t>годишна възраст и по-големи, които получават STELARA, в сравнение с по-млади пациенти. Броят на пациентите на възраст 65 години и по-големи обаче не е достатъчен, за да се определи дали се повлияват различно от по-младите пациенти. Тъй като разпространението на инфекции сред старческата популация като цяло е по-голямо, лечението при пациенти в старческа възраст трябва да се прилага внимателно.</w:t>
      </w:r>
    </w:p>
    <w:p w14:paraId="109ACEA2" w14:textId="77777777" w:rsidR="009B3384" w:rsidRDefault="009B3384">
      <w:pPr>
        <w:widowControl w:val="0"/>
      </w:pPr>
    </w:p>
    <w:p w14:paraId="109ACEA3" w14:textId="77777777" w:rsidR="009B3384" w:rsidRPr="00BC6A43" w:rsidRDefault="00800862" w:rsidP="00BC6A43">
      <w:pPr>
        <w:keepNext/>
        <w:widowControl w:val="0"/>
        <w:rPr>
          <w:u w:val="single"/>
        </w:rPr>
      </w:pPr>
      <w:r w:rsidRPr="00BC6A43">
        <w:rPr>
          <w:u w:val="single"/>
        </w:rPr>
        <w:t>Помощни вещества с известно действие</w:t>
      </w:r>
    </w:p>
    <w:p w14:paraId="109ACEA4" w14:textId="77777777" w:rsidR="009B3384" w:rsidRDefault="009B3384">
      <w:pPr>
        <w:keepNext/>
        <w:widowControl w:val="0"/>
        <w:rPr>
          <w:ins w:id="931" w:author="Reviser" w:date="2026-04-29T20:22:00Z"/>
          <w:u w:val="single"/>
        </w:rPr>
      </w:pPr>
    </w:p>
    <w:p w14:paraId="56B9D187" w14:textId="767E76F8" w:rsidR="006F5B3F" w:rsidRPr="006F5B3F" w:rsidDel="006F5B3F" w:rsidRDefault="006F5B3F">
      <w:pPr>
        <w:keepNext/>
        <w:widowControl w:val="0"/>
        <w:rPr>
          <w:del w:id="932" w:author="Reviser" w:date="2026-04-29T20:23:00Z"/>
          <w:i/>
          <w:iCs/>
          <w:rPrChange w:id="933" w:author="Reviser" w:date="2026-04-29T20:23:00Z">
            <w:rPr>
              <w:del w:id="934" w:author="Reviser" w:date="2026-04-29T20:23:00Z"/>
              <w:u w:val="single"/>
            </w:rPr>
          </w:rPrChange>
        </w:rPr>
      </w:pPr>
      <w:ins w:id="935" w:author="Reviser" w:date="2026-04-29T20:22:00Z">
        <w:r w:rsidRPr="00E46A30">
          <w:rPr>
            <w:i/>
            <w:iCs/>
          </w:rPr>
          <w:t>Съдържание на полисорбат 80</w:t>
        </w:r>
      </w:ins>
    </w:p>
    <w:p w14:paraId="109ACEA6" w14:textId="77777777" w:rsidR="009B3384" w:rsidRDefault="00800862">
      <w:pPr>
        <w:widowControl w:val="0"/>
      </w:pPr>
      <w:r>
        <w:t>Stelara съдържа 0,04 mg (90 mg/1,0 ml) или 0,02 mg (45 mg/0,5 ml) полисорбат 80 (E433) във всяка доза, която е еквивалентна на 0,40 mg/ml. Полисорбатите могат да причинят алергични реакции.</w:t>
      </w:r>
    </w:p>
    <w:p w14:paraId="109ACEA7" w14:textId="77777777" w:rsidR="009B3384" w:rsidRDefault="009B3384">
      <w:pPr>
        <w:tabs>
          <w:tab w:val="clear" w:pos="567"/>
        </w:tabs>
      </w:pPr>
    </w:p>
    <w:p w14:paraId="109ACEA8" w14:textId="77777777" w:rsidR="009B3384" w:rsidRDefault="00800862">
      <w:pPr>
        <w:keepNext/>
        <w:ind w:left="567" w:hanging="567"/>
        <w:outlineLvl w:val="2"/>
        <w:rPr>
          <w:b/>
          <w:bCs/>
        </w:rPr>
      </w:pPr>
      <w:r>
        <w:rPr>
          <w:b/>
          <w:bCs/>
        </w:rPr>
        <w:t>4.5</w:t>
      </w:r>
      <w:r>
        <w:rPr>
          <w:b/>
          <w:bCs/>
        </w:rPr>
        <w:tab/>
        <w:t>Взаимодействие с други лекарствени продукти и други форми на взаимодействие</w:t>
      </w:r>
    </w:p>
    <w:p w14:paraId="109ACEA9" w14:textId="77777777" w:rsidR="009B3384" w:rsidRDefault="009B3384">
      <w:pPr>
        <w:keepNext/>
        <w:tabs>
          <w:tab w:val="clear" w:pos="567"/>
        </w:tabs>
      </w:pPr>
    </w:p>
    <w:p w14:paraId="109ACEAA" w14:textId="77777777" w:rsidR="009B3384" w:rsidRDefault="00800862">
      <w:pPr>
        <w:tabs>
          <w:tab w:val="clear" w:pos="567"/>
        </w:tabs>
      </w:pPr>
      <w:r>
        <w:t>Живи ваксини не трябва да се прилагат едновременно със STELARA.</w:t>
      </w:r>
    </w:p>
    <w:p w14:paraId="109ACEAB" w14:textId="77777777" w:rsidR="009B3384" w:rsidRDefault="009B3384">
      <w:pPr>
        <w:tabs>
          <w:tab w:val="clear" w:pos="567"/>
        </w:tabs>
      </w:pPr>
    </w:p>
    <w:p w14:paraId="109ACEAC" w14:textId="77777777" w:rsidR="009B3384" w:rsidRDefault="00800862">
      <w:pPr>
        <w:tabs>
          <w:tab w:val="clear" w:pos="567"/>
        </w:tabs>
      </w:pPr>
      <w:r>
        <w:t xml:space="preserve">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4.4 и 4.6).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CEAD" w14:textId="77777777" w:rsidR="009B3384" w:rsidRDefault="009B3384">
      <w:pPr>
        <w:tabs>
          <w:tab w:val="clear" w:pos="567"/>
        </w:tabs>
      </w:pPr>
    </w:p>
    <w:p w14:paraId="109ACEAE" w14:textId="77777777" w:rsidR="009B3384" w:rsidRDefault="00800862">
      <w:pPr>
        <w:tabs>
          <w:tab w:val="clear" w:pos="567"/>
        </w:tabs>
      </w:pPr>
      <w:r>
        <w:t>При фармакокинетични анализи на популацията, направени в проучвания фаза </w:t>
      </w:r>
      <w:r>
        <w:rPr>
          <w:iCs/>
        </w:rPr>
        <w:t>3, е изследван ефектът на най-често едновременно приемани лекарствени продукти при пациенти с псориазис (включително и парацетамол, ибупрофен, ацетилсалицилова киселина, метформин, аторвастатин, левотироксин) върху фармакокинетиката на устекинумаб. Не са наблюдавани признаци на взаимодействие с тези едновременно приемани лекарствени продукти. Основа на този анализ е фактът, че най-малко 100 пациенти (&gt;</w:t>
      </w:r>
      <w:r>
        <w:rPr>
          <w:iCs/>
          <w:lang w:val="nl-BE"/>
        </w:rPr>
        <w:t> </w:t>
      </w:r>
      <w:r>
        <w:rPr>
          <w:iCs/>
        </w:rPr>
        <w:t>5% от изследваната популация) са лекувани едновременно с тези лекарствени продукти през поне 90% от периода на проучването.</w:t>
      </w:r>
      <w:r>
        <w:t xml:space="preserve"> </w:t>
      </w:r>
      <w:r>
        <w:rPr>
          <w:iCs/>
        </w:rPr>
        <w:t xml:space="preserve">Фармакокинетиката на устекинумаб не се е повлияла от едновременната употреба на MTX, НСПВС, 6-меркаптопурин, азатиоприн и перорални кортикостероиди при пациенти с псориатичен артрит, </w:t>
      </w:r>
      <w:r>
        <w:t xml:space="preserve">болест на </w:t>
      </w:r>
      <w:r>
        <w:rPr>
          <w:lang w:val="en-GB"/>
        </w:rPr>
        <w:t>Crohn</w:t>
      </w:r>
      <w:r>
        <w:t xml:space="preserve"> </w:t>
      </w:r>
      <w:r>
        <w:rPr>
          <w:bCs/>
        </w:rPr>
        <w:t xml:space="preserve">или </w:t>
      </w:r>
      <w:r>
        <w:t>улцерозен колит</w:t>
      </w:r>
      <w:r>
        <w:rPr>
          <w:iCs/>
        </w:rPr>
        <w:t>, или от предшестваща експозиция на анти-TNF</w:t>
      </w:r>
      <w:r>
        <w:t>α</w:t>
      </w:r>
      <w:r>
        <w:rPr>
          <w:iCs/>
        </w:rPr>
        <w:t xml:space="preserve"> средства, при пациенти с псориатичен артрит или болест на </w:t>
      </w:r>
      <w:r>
        <w:rPr>
          <w:iCs/>
          <w:lang w:val="en-GB"/>
        </w:rPr>
        <w:t>Crohn</w:t>
      </w:r>
      <w:r>
        <w:rPr>
          <w:iCs/>
        </w:rPr>
        <w:t>, или от предшестваща експозиция на биологични лекарствени продукти (т.е. анти-TNF</w:t>
      </w:r>
      <w:r>
        <w:t>α</w:t>
      </w:r>
      <w:r>
        <w:rPr>
          <w:iCs/>
        </w:rPr>
        <w:t xml:space="preserve"> средства и/или ведолизумаб) при пациенти с </w:t>
      </w:r>
      <w:r>
        <w:t>улцерозен колит</w:t>
      </w:r>
      <w:r>
        <w:rPr>
          <w:iCs/>
        </w:rPr>
        <w:t>.</w:t>
      </w:r>
    </w:p>
    <w:p w14:paraId="109ACEAF" w14:textId="77777777" w:rsidR="009B3384" w:rsidRDefault="009B3384">
      <w:pPr>
        <w:tabs>
          <w:tab w:val="clear" w:pos="567"/>
        </w:tabs>
      </w:pPr>
    </w:p>
    <w:p w14:paraId="109ACEB0" w14:textId="77777777" w:rsidR="009B3384" w:rsidRDefault="00800862">
      <w:pPr>
        <w:tabs>
          <w:tab w:val="clear" w:pos="567"/>
        </w:tabs>
      </w:pPr>
      <w:r>
        <w:t xml:space="preserve">Резултатите от проучване </w:t>
      </w:r>
      <w:r>
        <w:rPr>
          <w:i/>
        </w:rPr>
        <w:t xml:space="preserve">in vitro </w:t>
      </w:r>
      <w:r>
        <w:rPr>
          <w:iCs/>
        </w:rPr>
        <w:t xml:space="preserve">и от проучване фаза 1 при участници с активна болест на </w:t>
      </w:r>
      <w:r>
        <w:rPr>
          <w:bCs/>
          <w:u w:val="single"/>
          <w:lang w:val="en-GB"/>
        </w:rPr>
        <w:t>Crohn</w:t>
      </w:r>
      <w:r>
        <w:t xml:space="preserve"> не предполагат необходимост от адаптиране на дозата при пациенти, които получават едновременно CYP450 субстрати (вж. точка 5.2).</w:t>
      </w:r>
    </w:p>
    <w:p w14:paraId="109ACEB1" w14:textId="77777777" w:rsidR="009B3384" w:rsidRDefault="009B3384">
      <w:pPr>
        <w:tabs>
          <w:tab w:val="clear" w:pos="567"/>
        </w:tabs>
      </w:pPr>
    </w:p>
    <w:p w14:paraId="109ACEB2" w14:textId="77777777" w:rsidR="009B3384" w:rsidRDefault="00800862">
      <w:pPr>
        <w:tabs>
          <w:tab w:val="clear" w:pos="567"/>
        </w:tabs>
      </w:pPr>
      <w:r>
        <w:t xml:space="preserve">При проучвания при псориазис не са оценявани безопасността и ефикасността на STELARA в комбинация с имуносупресори, включително биологични средства или фототерапия. При проучвания при псориатичен артрит, едновременната употреба на MTX не повлиява безопасността и ефикасността на STELARA В проучванията при болест на </w:t>
      </w:r>
      <w:r>
        <w:rPr>
          <w:lang w:val="en-GB"/>
        </w:rPr>
        <w:t>Crohn</w:t>
      </w:r>
      <w:r>
        <w:t xml:space="preserve"> </w:t>
      </w:r>
      <w:r>
        <w:rPr>
          <w:bCs/>
        </w:rPr>
        <w:t xml:space="preserve">и </w:t>
      </w:r>
      <w:r>
        <w:t xml:space="preserve">улцерозен колит едновременната употреба на имуносупресори или кортикостероиди изглежда не повлиява безопасността или ефикасността на </w:t>
      </w:r>
      <w:r>
        <w:rPr>
          <w:lang w:val="en-GB"/>
        </w:rPr>
        <w:t>STELARA</w:t>
      </w:r>
      <w:r>
        <w:t>. (вж. точка 4.4).</w:t>
      </w:r>
    </w:p>
    <w:p w14:paraId="109ACEB3" w14:textId="77777777" w:rsidR="009B3384" w:rsidRDefault="009B3384">
      <w:pPr>
        <w:tabs>
          <w:tab w:val="clear" w:pos="567"/>
        </w:tabs>
      </w:pPr>
    </w:p>
    <w:p w14:paraId="109ACEB4" w14:textId="77777777" w:rsidR="009B3384" w:rsidRDefault="00800862">
      <w:pPr>
        <w:keepNext/>
        <w:ind w:left="567" w:hanging="567"/>
        <w:outlineLvl w:val="2"/>
        <w:rPr>
          <w:b/>
        </w:rPr>
      </w:pPr>
      <w:r>
        <w:rPr>
          <w:b/>
        </w:rPr>
        <w:t>4.6</w:t>
      </w:r>
      <w:r>
        <w:rPr>
          <w:b/>
        </w:rPr>
        <w:tab/>
        <w:t>Фертилитет, бременност и кърмене</w:t>
      </w:r>
    </w:p>
    <w:p w14:paraId="109ACEB5" w14:textId="77777777" w:rsidR="009B3384" w:rsidRDefault="009B3384">
      <w:pPr>
        <w:keepNext/>
      </w:pPr>
    </w:p>
    <w:p w14:paraId="109ACEB6" w14:textId="77777777" w:rsidR="009B3384" w:rsidRDefault="00800862">
      <w:pPr>
        <w:keepNext/>
        <w:rPr>
          <w:u w:val="single"/>
        </w:rPr>
      </w:pPr>
      <w:r>
        <w:rPr>
          <w:u w:val="single"/>
        </w:rPr>
        <w:t>Жени с детероден потенциал</w:t>
      </w:r>
    </w:p>
    <w:p w14:paraId="109ACEB7" w14:textId="77777777" w:rsidR="009B3384" w:rsidRDefault="00800862">
      <w:r>
        <w:t>Жени с детероден потенциал трябва да използват ефективни методи на контрацепция по време</w:t>
      </w:r>
    </w:p>
    <w:p w14:paraId="109ACEB8" w14:textId="77777777" w:rsidR="009B3384" w:rsidRDefault="00800862">
      <w:r>
        <w:t>на лечение и до 15 седмици след лечението.</w:t>
      </w:r>
    </w:p>
    <w:p w14:paraId="109ACEB9" w14:textId="77777777" w:rsidR="009B3384" w:rsidRDefault="009B3384">
      <w:pPr>
        <w:rPr>
          <w:iCs/>
        </w:rPr>
      </w:pPr>
    </w:p>
    <w:p w14:paraId="109ACEBA" w14:textId="77777777" w:rsidR="009B3384" w:rsidRDefault="00800862">
      <w:pPr>
        <w:keepNext/>
        <w:rPr>
          <w:bCs/>
        </w:rPr>
      </w:pPr>
      <w:r>
        <w:rPr>
          <w:u w:val="single"/>
        </w:rPr>
        <w:t>Бременност</w:t>
      </w:r>
    </w:p>
    <w:p w14:paraId="109ACEBB" w14:textId="77777777" w:rsidR="009B3384" w:rsidRDefault="00800862">
      <w:r>
        <w:t>Проспективни данни от неголям брой случаи на бременност след експозиция на STELARA с известен изход, включително повече от 450 случая на бременност с експозиция през първия триместър, не показват повишен риск от големи вродени малформации при новороденото.</w:t>
      </w:r>
    </w:p>
    <w:p w14:paraId="109ACEBC" w14:textId="77777777" w:rsidR="009B3384" w:rsidRDefault="009B3384"/>
    <w:p w14:paraId="109ACEBD" w14:textId="77777777" w:rsidR="009B3384" w:rsidRDefault="00800862">
      <w:r>
        <w:t>Проучванията при животни не показват преки или непреки вредни ефекти, свързани с бременността, ембрионалното/феталното развитие, раждането или постнаталното развитие (вж. точка 5.3).</w:t>
      </w:r>
    </w:p>
    <w:p w14:paraId="109ACEBE" w14:textId="77777777" w:rsidR="009B3384" w:rsidRDefault="009B3384"/>
    <w:p w14:paraId="109ACEBF" w14:textId="77777777" w:rsidR="009B3384" w:rsidRDefault="00800862">
      <w:r>
        <w:t>Наличният клиничен опит обаче е ограничен. Като предпазна мярка е за предпочитане да се избягва употребата на STELARA по време на бременност.</w:t>
      </w:r>
    </w:p>
    <w:p w14:paraId="109ACEC0" w14:textId="77777777" w:rsidR="009B3384" w:rsidRDefault="009B3384"/>
    <w:p w14:paraId="109ACEC1" w14:textId="77777777" w:rsidR="009B3384" w:rsidRDefault="00800862">
      <w:r>
        <w:t xml:space="preserve">Устекинумаб преминава през плацентата и се открива в серума на кърмачета, родени от жени, лекувани с устекинумаб по време на бременността. Клиничното въздействие на този факт не е известно, но рискът от инфекция при кърмачета, с експозиция на устекинумаб </w:t>
      </w:r>
      <w:r>
        <w:rPr>
          <w:i/>
          <w:iCs/>
        </w:rPr>
        <w:t>in utero</w:t>
      </w:r>
      <w:r>
        <w:t xml:space="preserve"> може да бъде повишен след раждането. 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4.4 и 4.5).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CEC2" w14:textId="77777777" w:rsidR="009B3384" w:rsidRDefault="009B3384"/>
    <w:p w14:paraId="109ACEC3" w14:textId="77777777" w:rsidR="009B3384" w:rsidRDefault="00800862">
      <w:pPr>
        <w:keepNext/>
        <w:tabs>
          <w:tab w:val="clear" w:pos="567"/>
        </w:tabs>
        <w:rPr>
          <w:u w:val="single"/>
        </w:rPr>
      </w:pPr>
      <w:r>
        <w:rPr>
          <w:u w:val="single"/>
        </w:rPr>
        <w:t>Кърмене</w:t>
      </w:r>
    </w:p>
    <w:p w14:paraId="109ACEC4" w14:textId="77777777" w:rsidR="009B3384" w:rsidRDefault="00800862">
      <w:pPr>
        <w:tabs>
          <w:tab w:val="clear" w:pos="567"/>
        </w:tabs>
      </w:pPr>
      <w:r>
        <w:t>Ограничени данни, публикувани в литературата, показват, че устекинумаб се екскретира в човешката кърма в много малки количества. Не е известно дали устекинумаб се абсорбира системно след поглъщане. Поради потенциала за проява на нежелани лекарствени реакции към устекинумаб при кърмачетата, трябва да се вземе решение дали да се преустанови кърменето по време на лечение и до 15 седмици след лечението, или да се преустанови терапията със STELARA, като се вземат предвид ползата от кърменето за детето и ползата от терапията със STELARA за жената.</w:t>
      </w:r>
    </w:p>
    <w:p w14:paraId="109ACEC5" w14:textId="77777777" w:rsidR="009B3384" w:rsidRDefault="009B3384">
      <w:pPr>
        <w:tabs>
          <w:tab w:val="clear" w:pos="567"/>
        </w:tabs>
      </w:pPr>
    </w:p>
    <w:p w14:paraId="109ACEC6" w14:textId="77777777" w:rsidR="009B3384" w:rsidRDefault="00800862">
      <w:pPr>
        <w:keepNext/>
        <w:tabs>
          <w:tab w:val="clear" w:pos="567"/>
        </w:tabs>
        <w:rPr>
          <w:u w:val="single"/>
        </w:rPr>
      </w:pPr>
      <w:r>
        <w:rPr>
          <w:u w:val="single"/>
        </w:rPr>
        <w:t>Фертилитет</w:t>
      </w:r>
    </w:p>
    <w:p w14:paraId="109ACEC7" w14:textId="77777777" w:rsidR="009B3384" w:rsidRDefault="00800862">
      <w:pPr>
        <w:tabs>
          <w:tab w:val="clear" w:pos="567"/>
        </w:tabs>
      </w:pPr>
      <w:r>
        <w:t>Ефектът на устекинумаб върху фертилитета при хора не е оценен (вж. точка 5.3).</w:t>
      </w:r>
    </w:p>
    <w:p w14:paraId="109ACEC8" w14:textId="77777777" w:rsidR="009B3384" w:rsidRDefault="009B3384">
      <w:pPr>
        <w:tabs>
          <w:tab w:val="clear" w:pos="567"/>
        </w:tabs>
      </w:pPr>
    </w:p>
    <w:p w14:paraId="109ACEC9" w14:textId="77777777" w:rsidR="009B3384" w:rsidRDefault="00800862">
      <w:pPr>
        <w:keepNext/>
        <w:ind w:left="567" w:hanging="567"/>
        <w:outlineLvl w:val="2"/>
        <w:rPr>
          <w:b/>
          <w:bCs/>
        </w:rPr>
      </w:pPr>
      <w:r>
        <w:rPr>
          <w:b/>
          <w:bCs/>
        </w:rPr>
        <w:t>4.7</w:t>
      </w:r>
      <w:r>
        <w:rPr>
          <w:b/>
          <w:bCs/>
        </w:rPr>
        <w:tab/>
        <w:t>Ефекти върху способността за шофиране и работа с машини</w:t>
      </w:r>
    </w:p>
    <w:p w14:paraId="109ACECA" w14:textId="77777777" w:rsidR="009B3384" w:rsidRDefault="009B3384">
      <w:pPr>
        <w:keepNext/>
        <w:tabs>
          <w:tab w:val="clear" w:pos="567"/>
        </w:tabs>
      </w:pPr>
    </w:p>
    <w:p w14:paraId="109ACECB" w14:textId="77777777" w:rsidR="009B3384" w:rsidRDefault="00800862">
      <w:r>
        <w:t>STELARA не повлиява или повлиява пренебрежимо способността за шофиране и работа с машини.</w:t>
      </w:r>
    </w:p>
    <w:p w14:paraId="109ACECC" w14:textId="77777777" w:rsidR="009B3384" w:rsidRDefault="009B3384"/>
    <w:p w14:paraId="109ACECD" w14:textId="77777777" w:rsidR="009B3384" w:rsidRDefault="00800862">
      <w:pPr>
        <w:keepNext/>
        <w:ind w:left="567" w:hanging="567"/>
        <w:outlineLvl w:val="2"/>
        <w:rPr>
          <w:b/>
          <w:bCs/>
        </w:rPr>
      </w:pPr>
      <w:r>
        <w:rPr>
          <w:b/>
          <w:bCs/>
        </w:rPr>
        <w:t>4.8</w:t>
      </w:r>
      <w:r>
        <w:rPr>
          <w:b/>
          <w:bCs/>
        </w:rPr>
        <w:tab/>
        <w:t>Нежелани лекарствени реакции</w:t>
      </w:r>
    </w:p>
    <w:p w14:paraId="109ACECE" w14:textId="77777777" w:rsidR="009B3384" w:rsidRDefault="009B3384">
      <w:pPr>
        <w:keepNext/>
        <w:rPr>
          <w:iCs/>
        </w:rPr>
      </w:pPr>
    </w:p>
    <w:p w14:paraId="109ACECF" w14:textId="77777777" w:rsidR="009B3384" w:rsidRDefault="00800862">
      <w:pPr>
        <w:keepNext/>
        <w:tabs>
          <w:tab w:val="clear" w:pos="567"/>
        </w:tabs>
        <w:rPr>
          <w:bCs/>
          <w:u w:val="single"/>
        </w:rPr>
      </w:pPr>
      <w:r>
        <w:rPr>
          <w:bCs/>
          <w:u w:val="single"/>
        </w:rPr>
        <w:t>Обобщение на профила на безопасност</w:t>
      </w:r>
    </w:p>
    <w:p w14:paraId="109ACED0" w14:textId="0C9B37A1" w:rsidR="009B3384" w:rsidRDefault="00800862">
      <w:pPr>
        <w:tabs>
          <w:tab w:val="clear" w:pos="567"/>
        </w:tabs>
      </w:pPr>
      <w:r>
        <w:rPr>
          <w:bCs/>
        </w:rPr>
        <w:t>Най-честите нежелани лекарствени реакции в контролираните периоди от клиничните проучвания при възрастни са назофарингит (възникващ при 6,9% от пациентите, лекувани с устекинумаб, и при 5,4% от пациентите на плацебо) и главоболие (възникващо при 7,0% от пациентите, лекувани с устекинумаб, и при 5,2% от пациентите на плацебо). Най-сериозната нежелана лекарствена реакция, която е съобщавана за STELARA, е сериозна реакция на свръхчувствителност, включително анафилаксия (вж. точка 4.4). Общият профил на безопасност е подобен при</w:t>
      </w:r>
      <w:r>
        <w:t xml:space="preserve"> пациенти с псориазис, псориатичен артрит, болест на Crohn </w:t>
      </w:r>
      <w:r>
        <w:rPr>
          <w:bCs/>
        </w:rPr>
        <w:t xml:space="preserve">и </w:t>
      </w:r>
      <w:r>
        <w:t>улцерозен колит.</w:t>
      </w:r>
    </w:p>
    <w:p w14:paraId="109ACED1" w14:textId="77777777" w:rsidR="009B3384" w:rsidRDefault="009B3384">
      <w:pPr>
        <w:tabs>
          <w:tab w:val="clear" w:pos="567"/>
        </w:tabs>
        <w:rPr>
          <w:bCs/>
        </w:rPr>
      </w:pPr>
    </w:p>
    <w:p w14:paraId="109ACED2" w14:textId="77777777" w:rsidR="009B3384" w:rsidRDefault="00800862">
      <w:pPr>
        <w:keepNext/>
        <w:tabs>
          <w:tab w:val="clear" w:pos="567"/>
        </w:tabs>
        <w:rPr>
          <w:bCs/>
          <w:u w:val="single"/>
        </w:rPr>
      </w:pPr>
      <w:r>
        <w:rPr>
          <w:bCs/>
          <w:u w:val="single"/>
        </w:rPr>
        <w:t>Табличен списък на нежеланите реакции</w:t>
      </w:r>
    </w:p>
    <w:p w14:paraId="109ACED3" w14:textId="77777777" w:rsidR="009B3384" w:rsidRDefault="00800862">
      <w:pPr>
        <w:tabs>
          <w:tab w:val="clear" w:pos="567"/>
        </w:tabs>
        <w:rPr>
          <w:bCs/>
        </w:rPr>
      </w:pPr>
      <w:r>
        <w:rPr>
          <w:bCs/>
        </w:rPr>
        <w:t>Данните за безопасност, предоставени по-долу, са получени след експозиция на устекинумаб при възрастни в 14 проучвания фаза</w:t>
      </w:r>
      <w:r>
        <w:rPr>
          <w:bCs/>
          <w:lang w:val="en-US"/>
        </w:rPr>
        <w:t> </w:t>
      </w:r>
      <w:r>
        <w:rPr>
          <w:bCs/>
        </w:rPr>
        <w:t>2 и фаза</w:t>
      </w:r>
      <w:r>
        <w:rPr>
          <w:bCs/>
          <w:lang w:val="en-US"/>
        </w:rPr>
        <w:t> </w:t>
      </w:r>
      <w:r>
        <w:rPr>
          <w:bCs/>
        </w:rPr>
        <w:t>3 при 6 710</w:t>
      </w:r>
      <w:r>
        <w:rPr>
          <w:bCs/>
          <w:lang w:val="en-US"/>
        </w:rPr>
        <w:t> </w:t>
      </w:r>
      <w:r>
        <w:rPr>
          <w:bCs/>
        </w:rPr>
        <w:t xml:space="preserve">пациенти (4 135 с псориазис и/или </w:t>
      </w:r>
      <w:r>
        <w:t xml:space="preserve">псориатичен артрит, </w:t>
      </w:r>
      <w:r>
        <w:rPr>
          <w:bCs/>
        </w:rPr>
        <w:t xml:space="preserve">1 749 с болест на </w:t>
      </w:r>
      <w:r>
        <w:rPr>
          <w:bCs/>
          <w:lang w:val="en-GB"/>
        </w:rPr>
        <w:t>Crohn</w:t>
      </w:r>
      <w:r>
        <w:rPr>
          <w:bCs/>
        </w:rPr>
        <w:t xml:space="preserve"> и 826 пациенти с </w:t>
      </w:r>
      <w:r>
        <w:t>улцерозен колит)</w:t>
      </w:r>
      <w:r>
        <w:rPr>
          <w:bCs/>
        </w:rPr>
        <w:t xml:space="preserve">. Това включва експозиция на </w:t>
      </w:r>
      <w:r>
        <w:rPr>
          <w:bCs/>
          <w:lang w:val="en-GB"/>
        </w:rPr>
        <w:t>STELARA</w:t>
      </w:r>
      <w:r>
        <w:rPr>
          <w:bCs/>
        </w:rPr>
        <w:t xml:space="preserve"> в контролираните и неконтролираните периоди на клиничните проучвания при пациенти с псориазис, псориатичен артрит, болест на </w:t>
      </w:r>
      <w:r w:rsidRPr="00BC6A43">
        <w:rPr>
          <w:bCs/>
          <w:lang w:val="en-GB"/>
        </w:rPr>
        <w:t>Crohn</w:t>
      </w:r>
      <w:r>
        <w:rPr>
          <w:bCs/>
        </w:rPr>
        <w:t xml:space="preserve"> или улцерозен колит в продължение на най-малко 6</w:t>
      </w:r>
      <w:r>
        <w:rPr>
          <w:bCs/>
          <w:lang w:val="en-GB"/>
        </w:rPr>
        <w:t> </w:t>
      </w:r>
      <w:r>
        <w:rPr>
          <w:bCs/>
        </w:rPr>
        <w:t>месеца (4</w:t>
      </w:r>
      <w:r>
        <w:rPr>
          <w:bCs/>
          <w:lang w:val="en-US"/>
        </w:rPr>
        <w:t> </w:t>
      </w:r>
      <w:r>
        <w:rPr>
          <w:bCs/>
        </w:rPr>
        <w:t>577 пациенти) или поне 1 година (3 648</w:t>
      </w:r>
      <w:r>
        <w:rPr>
          <w:bCs/>
          <w:lang w:val="en-GB"/>
        </w:rPr>
        <w:t> </w:t>
      </w:r>
      <w:r>
        <w:rPr>
          <w:bCs/>
        </w:rPr>
        <w:t xml:space="preserve">пациенти). 2 194 пациенти с псориазис, болест на </w:t>
      </w:r>
      <w:r w:rsidRPr="00BC6A43">
        <w:rPr>
          <w:bCs/>
          <w:lang w:val="en-GB"/>
        </w:rPr>
        <w:t>Crohn</w:t>
      </w:r>
      <w:r w:rsidRPr="00BC6A43">
        <w:rPr>
          <w:bCs/>
        </w:rPr>
        <w:t xml:space="preserve"> или улцерозен колит са с експозиция за поне 4 години, докато 1 148 пациенти с псориазис или болест на </w:t>
      </w:r>
      <w:r w:rsidRPr="00BC6A43">
        <w:rPr>
          <w:bCs/>
          <w:lang w:val="en-GB"/>
        </w:rPr>
        <w:t>Crohn</w:t>
      </w:r>
      <w:r w:rsidRPr="00BC6A43">
        <w:rPr>
          <w:bCs/>
        </w:rPr>
        <w:t xml:space="preserve"> са с експозиция за поне</w:t>
      </w:r>
      <w:r>
        <w:rPr>
          <w:bCs/>
        </w:rPr>
        <w:t xml:space="preserve"> 5 години.</w:t>
      </w:r>
    </w:p>
    <w:p w14:paraId="109ACED4" w14:textId="77777777" w:rsidR="009B3384" w:rsidRDefault="009B3384">
      <w:pPr>
        <w:tabs>
          <w:tab w:val="clear" w:pos="567"/>
        </w:tabs>
        <w:rPr>
          <w:bCs/>
        </w:rPr>
      </w:pPr>
    </w:p>
    <w:p w14:paraId="109ACED5" w14:textId="19B3CF96" w:rsidR="009B3384" w:rsidRDefault="00800862">
      <w:pPr>
        <w:tabs>
          <w:tab w:val="clear" w:pos="567"/>
        </w:tabs>
      </w:pPr>
      <w:r>
        <w:rPr>
          <w:bCs/>
        </w:rPr>
        <w:t>В таблица </w:t>
      </w:r>
      <w:del w:id="936" w:author="Reviser" w:date="2026-04-29T20:23:00Z">
        <w:r w:rsidDel="006F5B3F">
          <w:rPr>
            <w:bCs/>
          </w:rPr>
          <w:delText>4</w:delText>
        </w:r>
      </w:del>
      <w:ins w:id="937" w:author="RABG09" w:date="2026-06-24T15:58:00Z">
        <w:r w:rsidR="006C765F">
          <w:rPr>
            <w:bCs/>
          </w:rPr>
          <w:t>4</w:t>
        </w:r>
      </w:ins>
      <w:del w:id="938" w:author="Reviser" w:date="2026-04-29T20:23:00Z">
        <w:r w:rsidDel="006F5B3F">
          <w:rPr>
            <w:bCs/>
          </w:rPr>
          <w:delText xml:space="preserve"> </w:delText>
        </w:r>
      </w:del>
      <w:ins w:id="939" w:author="Reviser" w:date="2026-04-29T20:23:00Z">
        <w:del w:id="940" w:author="RABG09" w:date="2026-06-24T15:58:00Z">
          <w:r w:rsidR="006F5B3F" w:rsidDel="006C765F">
            <w:rPr>
              <w:bCs/>
            </w:rPr>
            <w:delText>5</w:delText>
          </w:r>
        </w:del>
        <w:r w:rsidR="006F5B3F">
          <w:rPr>
            <w:bCs/>
          </w:rPr>
          <w:t xml:space="preserve"> </w:t>
        </w:r>
      </w:ins>
      <w:r>
        <w:rPr>
          <w:bCs/>
        </w:rPr>
        <w:t xml:space="preserve">е показан списък с нежеланите лекарствени реакции от клинични проучвания при възрастни с псориазис, </w:t>
      </w:r>
      <w:r>
        <w:t>псориатичен артрит,</w:t>
      </w:r>
      <w:r>
        <w:rPr>
          <w:bCs/>
        </w:rPr>
        <w:t xml:space="preserve"> болест на </w:t>
      </w:r>
      <w:r>
        <w:rPr>
          <w:bCs/>
          <w:lang w:val="en-GB"/>
        </w:rPr>
        <w:t>Crohn</w:t>
      </w:r>
      <w:r>
        <w:rPr>
          <w:bCs/>
        </w:rPr>
        <w:t xml:space="preserve"> и с </w:t>
      </w:r>
      <w:r>
        <w:t>улцерозен колит</w:t>
      </w:r>
      <w:r>
        <w:rPr>
          <w:bCs/>
        </w:rPr>
        <w:t>, както и нежеланите реакции от постмаркетинговата употреба. Нежеланите реакции са класифицирани по системо-органни класове и честота съгласно следната конвенция: Много чести (≥ 1/10), Чести (≥ 1/100 до &lt; 1/10), Нечести (≥ 1/1 000 до &lt; 1/100), Редки (≥ 1/10 000 до &lt; 1/</w:t>
      </w:r>
      <w:r>
        <w:rPr>
          <w:szCs w:val="22"/>
        </w:rPr>
        <w:t>1 000), Много редки (&lt; 1/10 000), с неизвестна честота (от наличните</w:t>
      </w:r>
      <w:r>
        <w:t xml:space="preserve"> данни не може да бъде направена оценка). При всяко групиране в зависимост от честотата нежеланите </w:t>
      </w:r>
      <w:r>
        <w:rPr>
          <w:bCs/>
        </w:rPr>
        <w:t xml:space="preserve">лекарствени реакции </w:t>
      </w:r>
      <w:r>
        <w:t>се изброяват в низходящ ред по отношение на тяхната сериозност.</w:t>
      </w:r>
    </w:p>
    <w:p w14:paraId="109ACED6" w14:textId="77777777" w:rsidR="009B3384" w:rsidRDefault="009B3384"/>
    <w:p w14:paraId="109ACED7" w14:textId="76B9BC90" w:rsidR="009B3384" w:rsidRDefault="00800862">
      <w:pPr>
        <w:keepNext/>
        <w:tabs>
          <w:tab w:val="clear" w:pos="567"/>
        </w:tabs>
        <w:rPr>
          <w:i/>
        </w:rPr>
      </w:pPr>
      <w:r>
        <w:rPr>
          <w:i/>
        </w:rPr>
        <w:t>Таблица </w:t>
      </w:r>
      <w:del w:id="941" w:author="Reviser" w:date="2026-04-29T20:23:00Z">
        <w:r w:rsidDel="006F5B3F">
          <w:rPr>
            <w:i/>
          </w:rPr>
          <w:delText>4</w:delText>
        </w:r>
      </w:del>
      <w:ins w:id="942" w:author="Reviser" w:date="2026-04-29T20:23:00Z">
        <w:del w:id="943" w:author="RABG09" w:date="2026-06-24T15:58:00Z">
          <w:r w:rsidR="006F5B3F" w:rsidDel="006C765F">
            <w:rPr>
              <w:i/>
            </w:rPr>
            <w:delText>5</w:delText>
          </w:r>
        </w:del>
      </w:ins>
      <w:ins w:id="944" w:author="RABG09" w:date="2026-06-24T15:58:00Z">
        <w:r w:rsidR="006C765F">
          <w:rPr>
            <w:i/>
          </w:rPr>
          <w:t>4:</w:t>
        </w:r>
      </w:ins>
      <w:r>
        <w:rPr>
          <w:i/>
        </w:rPr>
        <w:tab/>
      </w:r>
      <w:r>
        <w:rPr>
          <w:i/>
          <w:iCs/>
        </w:rPr>
        <w:t>Списък на нежелани реакции</w:t>
      </w:r>
    </w:p>
    <w:tbl>
      <w:tblPr>
        <w:tblW w:w="9072" w:type="dxa"/>
        <w:jc w:val="center"/>
        <w:tblLayout w:type="fixed"/>
        <w:tblLook w:val="0000" w:firstRow="0" w:lastRow="0" w:firstColumn="0" w:lastColumn="0" w:noHBand="0" w:noVBand="0"/>
      </w:tblPr>
      <w:tblGrid>
        <w:gridCol w:w="2698"/>
        <w:gridCol w:w="6374"/>
      </w:tblGrid>
      <w:tr w:rsidR="009B3384" w14:paraId="109ACEDA" w14:textId="77777777">
        <w:trPr>
          <w:cantSplit/>
          <w:jc w:val="center"/>
        </w:trPr>
        <w:tc>
          <w:tcPr>
            <w:tcW w:w="2698" w:type="dxa"/>
            <w:tcBorders>
              <w:top w:val="single" w:sz="4" w:space="0" w:color="000000"/>
              <w:left w:val="single" w:sz="4" w:space="0" w:color="000000"/>
              <w:bottom w:val="single" w:sz="4" w:space="0" w:color="000000"/>
            </w:tcBorders>
          </w:tcPr>
          <w:p w14:paraId="109ACED8" w14:textId="77777777" w:rsidR="009B3384" w:rsidRDefault="00800862">
            <w:pPr>
              <w:keepNext/>
              <w:widowControl w:val="0"/>
              <w:rPr>
                <w:b/>
                <w:bCs/>
              </w:rPr>
            </w:pPr>
            <w:r>
              <w:rPr>
                <w:b/>
                <w:bCs/>
              </w:rPr>
              <w:t>Системо-органни класове</w:t>
            </w:r>
          </w:p>
        </w:tc>
        <w:tc>
          <w:tcPr>
            <w:tcW w:w="6373" w:type="dxa"/>
            <w:tcBorders>
              <w:top w:val="single" w:sz="4" w:space="0" w:color="000000"/>
              <w:bottom w:val="single" w:sz="4" w:space="0" w:color="000000"/>
              <w:right w:val="single" w:sz="4" w:space="0" w:color="000000"/>
            </w:tcBorders>
          </w:tcPr>
          <w:p w14:paraId="109ACED9" w14:textId="77777777" w:rsidR="009B3384" w:rsidRDefault="00800862">
            <w:pPr>
              <w:keepNext/>
              <w:widowControl w:val="0"/>
              <w:rPr>
                <w:b/>
                <w:bCs/>
              </w:rPr>
            </w:pPr>
            <w:r>
              <w:rPr>
                <w:b/>
                <w:bCs/>
              </w:rPr>
              <w:t>Честота: Нежелани реакции</w:t>
            </w:r>
          </w:p>
        </w:tc>
      </w:tr>
      <w:tr w:rsidR="009B3384" w14:paraId="109ACEDF" w14:textId="77777777">
        <w:trPr>
          <w:cantSplit/>
          <w:jc w:val="center"/>
        </w:trPr>
        <w:tc>
          <w:tcPr>
            <w:tcW w:w="2698" w:type="dxa"/>
            <w:tcBorders>
              <w:top w:val="single" w:sz="4" w:space="0" w:color="000000"/>
              <w:left w:val="single" w:sz="4" w:space="0" w:color="000000"/>
              <w:bottom w:val="single" w:sz="4" w:space="0" w:color="000000"/>
            </w:tcBorders>
          </w:tcPr>
          <w:p w14:paraId="109ACEDB" w14:textId="77777777" w:rsidR="009B3384" w:rsidRDefault="00800862">
            <w:pPr>
              <w:widowControl w:val="0"/>
              <w:rPr>
                <w:sz w:val="20"/>
              </w:rPr>
            </w:pPr>
            <w:r>
              <w:t>Инфекции и инфестации</w:t>
            </w:r>
          </w:p>
        </w:tc>
        <w:tc>
          <w:tcPr>
            <w:tcW w:w="6373" w:type="dxa"/>
            <w:tcBorders>
              <w:top w:val="single" w:sz="4" w:space="0" w:color="000000"/>
              <w:bottom w:val="single" w:sz="4" w:space="0" w:color="000000"/>
              <w:right w:val="single" w:sz="4" w:space="0" w:color="000000"/>
            </w:tcBorders>
          </w:tcPr>
          <w:p w14:paraId="109ACEDC" w14:textId="77777777" w:rsidR="009B3384" w:rsidRDefault="00800862">
            <w:pPr>
              <w:widowControl w:val="0"/>
            </w:pPr>
            <w:r>
              <w:t>Чести: инфекция на горните дихателни пътища, назофарингит, синузит</w:t>
            </w:r>
          </w:p>
          <w:p w14:paraId="109ACEDD" w14:textId="77777777" w:rsidR="009B3384" w:rsidRDefault="00800862">
            <w:pPr>
              <w:widowControl w:val="0"/>
            </w:pPr>
            <w:r>
              <w:t>Нечести: целулит, дентални инфекции, херпес зостер, инфекция на долните дихателни пътища, вирусни инфекции на горните дихателни пътища, вулвовагинална микотична инфекция</w:t>
            </w:r>
          </w:p>
          <w:p w14:paraId="109ACEDE" w14:textId="77777777" w:rsidR="009B3384" w:rsidRDefault="009B3384">
            <w:pPr>
              <w:widowControl w:val="0"/>
            </w:pPr>
          </w:p>
        </w:tc>
      </w:tr>
      <w:tr w:rsidR="009B3384" w14:paraId="109ACEE4" w14:textId="77777777">
        <w:trPr>
          <w:cantSplit/>
          <w:jc w:val="center"/>
        </w:trPr>
        <w:tc>
          <w:tcPr>
            <w:tcW w:w="2698" w:type="dxa"/>
            <w:tcBorders>
              <w:top w:val="single" w:sz="4" w:space="0" w:color="000000"/>
              <w:left w:val="single" w:sz="4" w:space="0" w:color="000000"/>
              <w:bottom w:val="single" w:sz="4" w:space="0" w:color="000000"/>
            </w:tcBorders>
          </w:tcPr>
          <w:p w14:paraId="109ACEE0" w14:textId="77777777" w:rsidR="009B3384" w:rsidRDefault="00800862">
            <w:pPr>
              <w:widowControl w:val="0"/>
            </w:pPr>
            <w:r>
              <w:t>Нарушения на имунната система</w:t>
            </w:r>
          </w:p>
        </w:tc>
        <w:tc>
          <w:tcPr>
            <w:tcW w:w="6373" w:type="dxa"/>
            <w:tcBorders>
              <w:top w:val="single" w:sz="4" w:space="0" w:color="000000"/>
              <w:bottom w:val="single" w:sz="4" w:space="0" w:color="000000"/>
              <w:right w:val="single" w:sz="4" w:space="0" w:color="000000"/>
            </w:tcBorders>
          </w:tcPr>
          <w:p w14:paraId="109ACEE1" w14:textId="77777777" w:rsidR="009B3384" w:rsidRDefault="00800862">
            <w:pPr>
              <w:widowControl w:val="0"/>
            </w:pPr>
            <w:r>
              <w:t>Нечести: реакции на свръхчувствителност (включително обрив, уртикария)</w:t>
            </w:r>
          </w:p>
          <w:p w14:paraId="109ACEE2" w14:textId="77777777" w:rsidR="009B3384" w:rsidRDefault="00800862">
            <w:pPr>
              <w:widowControl w:val="0"/>
            </w:pPr>
            <w:r>
              <w:t>Редки: сериозни реакции на свръхчувствителност (включително анафилаксия, ангиоедем)</w:t>
            </w:r>
          </w:p>
          <w:p w14:paraId="109ACEE3" w14:textId="77777777" w:rsidR="009B3384" w:rsidRDefault="009B3384">
            <w:pPr>
              <w:widowControl w:val="0"/>
            </w:pPr>
          </w:p>
        </w:tc>
      </w:tr>
      <w:tr w:rsidR="009B3384" w14:paraId="109ACEE8" w14:textId="77777777">
        <w:trPr>
          <w:cantSplit/>
          <w:jc w:val="center"/>
        </w:trPr>
        <w:tc>
          <w:tcPr>
            <w:tcW w:w="2698" w:type="dxa"/>
            <w:tcBorders>
              <w:top w:val="single" w:sz="4" w:space="0" w:color="000000"/>
              <w:left w:val="single" w:sz="4" w:space="0" w:color="000000"/>
              <w:bottom w:val="single" w:sz="4" w:space="0" w:color="000000"/>
            </w:tcBorders>
          </w:tcPr>
          <w:p w14:paraId="109ACEE5" w14:textId="77777777" w:rsidR="009B3384" w:rsidRDefault="00800862">
            <w:pPr>
              <w:widowControl w:val="0"/>
              <w:rPr>
                <w:sz w:val="20"/>
              </w:rPr>
            </w:pPr>
            <w:r>
              <w:t>Психични нарушения</w:t>
            </w:r>
          </w:p>
        </w:tc>
        <w:tc>
          <w:tcPr>
            <w:tcW w:w="6373" w:type="dxa"/>
            <w:tcBorders>
              <w:top w:val="single" w:sz="4" w:space="0" w:color="000000"/>
              <w:bottom w:val="single" w:sz="4" w:space="0" w:color="000000"/>
              <w:right w:val="single" w:sz="4" w:space="0" w:color="000000"/>
            </w:tcBorders>
          </w:tcPr>
          <w:p w14:paraId="109ACEE6" w14:textId="77777777" w:rsidR="009B3384" w:rsidRDefault="00800862">
            <w:pPr>
              <w:widowControl w:val="0"/>
            </w:pPr>
            <w:r>
              <w:t>Нечести: депресия</w:t>
            </w:r>
          </w:p>
          <w:p w14:paraId="109ACEE7" w14:textId="77777777" w:rsidR="009B3384" w:rsidRDefault="009B3384">
            <w:pPr>
              <w:widowControl w:val="0"/>
            </w:pPr>
          </w:p>
        </w:tc>
      </w:tr>
      <w:tr w:rsidR="009B3384" w14:paraId="109ACEED" w14:textId="77777777">
        <w:trPr>
          <w:cantSplit/>
          <w:jc w:val="center"/>
        </w:trPr>
        <w:tc>
          <w:tcPr>
            <w:tcW w:w="2698" w:type="dxa"/>
            <w:tcBorders>
              <w:top w:val="single" w:sz="4" w:space="0" w:color="000000"/>
              <w:left w:val="single" w:sz="4" w:space="0" w:color="000000"/>
              <w:bottom w:val="single" w:sz="4" w:space="0" w:color="000000"/>
            </w:tcBorders>
          </w:tcPr>
          <w:p w14:paraId="109ACEE9" w14:textId="77777777" w:rsidR="009B3384" w:rsidRDefault="00800862">
            <w:pPr>
              <w:widowControl w:val="0"/>
              <w:rPr>
                <w:sz w:val="20"/>
              </w:rPr>
            </w:pPr>
            <w:r>
              <w:rPr>
                <w:bCs/>
              </w:rPr>
              <w:t>Нарушения на нервната система</w:t>
            </w:r>
          </w:p>
        </w:tc>
        <w:tc>
          <w:tcPr>
            <w:tcW w:w="6373" w:type="dxa"/>
            <w:tcBorders>
              <w:top w:val="single" w:sz="4" w:space="0" w:color="000000"/>
              <w:bottom w:val="single" w:sz="4" w:space="0" w:color="000000"/>
              <w:right w:val="single" w:sz="4" w:space="0" w:color="000000"/>
            </w:tcBorders>
          </w:tcPr>
          <w:p w14:paraId="109ACEEA" w14:textId="77777777" w:rsidR="009B3384" w:rsidRDefault="00800862">
            <w:pPr>
              <w:widowControl w:val="0"/>
            </w:pPr>
            <w:r>
              <w:t>Чести: замайване, главоболие</w:t>
            </w:r>
          </w:p>
          <w:p w14:paraId="109ACEEB" w14:textId="77777777" w:rsidR="009B3384" w:rsidRDefault="00800862">
            <w:pPr>
              <w:widowControl w:val="0"/>
            </w:pPr>
            <w:r>
              <w:t>Нечести: лицева парализа</w:t>
            </w:r>
          </w:p>
          <w:p w14:paraId="109ACEEC" w14:textId="77777777" w:rsidR="009B3384" w:rsidRDefault="009B3384">
            <w:pPr>
              <w:widowControl w:val="0"/>
            </w:pPr>
          </w:p>
        </w:tc>
      </w:tr>
      <w:tr w:rsidR="009B3384" w14:paraId="109ACEF4" w14:textId="77777777">
        <w:trPr>
          <w:cantSplit/>
          <w:jc w:val="center"/>
        </w:trPr>
        <w:tc>
          <w:tcPr>
            <w:tcW w:w="2698" w:type="dxa"/>
            <w:tcBorders>
              <w:top w:val="single" w:sz="4" w:space="0" w:color="000000"/>
              <w:left w:val="single" w:sz="4" w:space="0" w:color="000000"/>
              <w:bottom w:val="single" w:sz="4" w:space="0" w:color="000000"/>
            </w:tcBorders>
          </w:tcPr>
          <w:p w14:paraId="109ACEEE" w14:textId="77777777" w:rsidR="009B3384" w:rsidRDefault="00800862">
            <w:pPr>
              <w:widowControl w:val="0"/>
              <w:rPr>
                <w:sz w:val="20"/>
              </w:rPr>
            </w:pPr>
            <w:r>
              <w:t>Респираторни, гръдни и медиастинални нарушения</w:t>
            </w:r>
          </w:p>
        </w:tc>
        <w:tc>
          <w:tcPr>
            <w:tcW w:w="6373" w:type="dxa"/>
            <w:tcBorders>
              <w:top w:val="single" w:sz="4" w:space="0" w:color="000000"/>
              <w:bottom w:val="single" w:sz="4" w:space="0" w:color="000000"/>
              <w:right w:val="single" w:sz="4" w:space="0" w:color="000000"/>
            </w:tcBorders>
          </w:tcPr>
          <w:p w14:paraId="109ACEEF" w14:textId="77777777" w:rsidR="009B3384" w:rsidRDefault="00800862">
            <w:pPr>
              <w:widowControl w:val="0"/>
            </w:pPr>
            <w:r>
              <w:t>Чести: орофарингеална болка</w:t>
            </w:r>
          </w:p>
          <w:p w14:paraId="109ACEF0" w14:textId="77777777" w:rsidR="009B3384" w:rsidRDefault="00800862">
            <w:pPr>
              <w:widowControl w:val="0"/>
            </w:pPr>
            <w:r>
              <w:t>Нечести: назална конгестия</w:t>
            </w:r>
          </w:p>
          <w:p w14:paraId="109ACEF1" w14:textId="77777777" w:rsidR="009B3384" w:rsidRDefault="00800862">
            <w:pPr>
              <w:widowControl w:val="0"/>
            </w:pPr>
            <w:r>
              <w:t>Редки: алергичен алвеолит, еозинофилна пневмония</w:t>
            </w:r>
          </w:p>
          <w:p w14:paraId="109ACEF2" w14:textId="77777777" w:rsidR="009B3384" w:rsidRDefault="00800862">
            <w:pPr>
              <w:widowControl w:val="0"/>
            </w:pPr>
            <w:r>
              <w:t>Много редки: организираща пневмония*</w:t>
            </w:r>
          </w:p>
          <w:p w14:paraId="109ACEF3" w14:textId="77777777" w:rsidR="009B3384" w:rsidRDefault="009B3384">
            <w:pPr>
              <w:widowControl w:val="0"/>
            </w:pPr>
          </w:p>
        </w:tc>
      </w:tr>
      <w:tr w:rsidR="009B3384" w14:paraId="109ACEF8" w14:textId="77777777">
        <w:trPr>
          <w:cantSplit/>
          <w:jc w:val="center"/>
        </w:trPr>
        <w:tc>
          <w:tcPr>
            <w:tcW w:w="2698" w:type="dxa"/>
            <w:tcBorders>
              <w:top w:val="single" w:sz="4" w:space="0" w:color="000000"/>
              <w:left w:val="single" w:sz="4" w:space="0" w:color="000000"/>
              <w:bottom w:val="single" w:sz="4" w:space="0" w:color="000000"/>
            </w:tcBorders>
          </w:tcPr>
          <w:p w14:paraId="109ACEF5" w14:textId="77777777" w:rsidR="009B3384" w:rsidRDefault="00800862">
            <w:pPr>
              <w:widowControl w:val="0"/>
            </w:pPr>
            <w:r>
              <w:t>Стомашно-чревни нарушения</w:t>
            </w:r>
          </w:p>
        </w:tc>
        <w:tc>
          <w:tcPr>
            <w:tcW w:w="6373" w:type="dxa"/>
            <w:tcBorders>
              <w:top w:val="single" w:sz="4" w:space="0" w:color="000000"/>
              <w:bottom w:val="single" w:sz="4" w:space="0" w:color="000000"/>
              <w:right w:val="single" w:sz="4" w:space="0" w:color="000000"/>
            </w:tcBorders>
          </w:tcPr>
          <w:p w14:paraId="109ACEF6" w14:textId="77777777" w:rsidR="009B3384" w:rsidRDefault="00800862">
            <w:pPr>
              <w:widowControl w:val="0"/>
            </w:pPr>
            <w:r>
              <w:t>Чести: диария, гадене, повръщане</w:t>
            </w:r>
          </w:p>
          <w:p w14:paraId="109ACEF7" w14:textId="77777777" w:rsidR="009B3384" w:rsidRDefault="009B3384">
            <w:pPr>
              <w:widowControl w:val="0"/>
            </w:pPr>
          </w:p>
        </w:tc>
      </w:tr>
      <w:tr w:rsidR="009B3384" w14:paraId="109ACEFF" w14:textId="77777777">
        <w:trPr>
          <w:cantSplit/>
          <w:jc w:val="center"/>
        </w:trPr>
        <w:tc>
          <w:tcPr>
            <w:tcW w:w="2698" w:type="dxa"/>
            <w:tcBorders>
              <w:top w:val="single" w:sz="4" w:space="0" w:color="000000"/>
              <w:left w:val="single" w:sz="4" w:space="0" w:color="000000"/>
              <w:bottom w:val="single" w:sz="4" w:space="0" w:color="000000"/>
            </w:tcBorders>
          </w:tcPr>
          <w:p w14:paraId="109ACEF9" w14:textId="77777777" w:rsidR="009B3384" w:rsidRDefault="00800862">
            <w:pPr>
              <w:widowControl w:val="0"/>
              <w:rPr>
                <w:sz w:val="20"/>
              </w:rPr>
            </w:pPr>
            <w:r>
              <w:t>Нарушения на кожата и подкожната тъкан</w:t>
            </w:r>
          </w:p>
        </w:tc>
        <w:tc>
          <w:tcPr>
            <w:tcW w:w="6373" w:type="dxa"/>
            <w:tcBorders>
              <w:top w:val="single" w:sz="4" w:space="0" w:color="000000"/>
              <w:bottom w:val="single" w:sz="4" w:space="0" w:color="000000"/>
              <w:right w:val="single" w:sz="4" w:space="0" w:color="000000"/>
            </w:tcBorders>
          </w:tcPr>
          <w:p w14:paraId="109ACEFA" w14:textId="77777777" w:rsidR="009B3384" w:rsidRDefault="00800862">
            <w:pPr>
              <w:widowControl w:val="0"/>
            </w:pPr>
            <w:r>
              <w:t>Чести: сърбеж</w:t>
            </w:r>
          </w:p>
          <w:p w14:paraId="109ACEFB" w14:textId="77777777" w:rsidR="009B3384" w:rsidRDefault="00800862">
            <w:pPr>
              <w:widowControl w:val="0"/>
              <w:rPr>
                <w:bCs/>
              </w:rPr>
            </w:pPr>
            <w:r>
              <w:rPr>
                <w:bCs/>
              </w:rPr>
              <w:t>Нечести: пустулозен псориазис, ексфолиация на кожата, акне</w:t>
            </w:r>
          </w:p>
          <w:p w14:paraId="109ACEFC" w14:textId="77777777" w:rsidR="009B3384" w:rsidRDefault="00800862">
            <w:pPr>
              <w:widowControl w:val="0"/>
              <w:rPr>
                <w:bCs/>
              </w:rPr>
            </w:pPr>
            <w:r>
              <w:rPr>
                <w:bCs/>
              </w:rPr>
              <w:t>Редки: ексфолиативен дерматит, хиперсензитивен васкулит</w:t>
            </w:r>
          </w:p>
          <w:p w14:paraId="109ACEFD" w14:textId="77777777" w:rsidR="009B3384" w:rsidRDefault="00800862">
            <w:pPr>
              <w:widowControl w:val="0"/>
            </w:pPr>
            <w:r>
              <w:t xml:space="preserve">Много редки: булозен пемфигоид, </w:t>
            </w:r>
            <w:r>
              <w:rPr>
                <w:szCs w:val="22"/>
              </w:rPr>
              <w:t>кожен лупус еритематодес</w:t>
            </w:r>
          </w:p>
          <w:p w14:paraId="109ACEFE" w14:textId="77777777" w:rsidR="009B3384" w:rsidRDefault="009B3384">
            <w:pPr>
              <w:widowControl w:val="0"/>
            </w:pPr>
          </w:p>
        </w:tc>
      </w:tr>
      <w:tr w:rsidR="009B3384" w14:paraId="109ACF03" w14:textId="77777777">
        <w:trPr>
          <w:cantSplit/>
          <w:jc w:val="center"/>
        </w:trPr>
        <w:tc>
          <w:tcPr>
            <w:tcW w:w="2698" w:type="dxa"/>
            <w:tcBorders>
              <w:top w:val="single" w:sz="4" w:space="0" w:color="000000"/>
              <w:left w:val="single" w:sz="4" w:space="0" w:color="000000"/>
              <w:bottom w:val="single" w:sz="4" w:space="0" w:color="000000"/>
            </w:tcBorders>
          </w:tcPr>
          <w:p w14:paraId="109ACF00" w14:textId="77777777" w:rsidR="009B3384" w:rsidRDefault="00800862">
            <w:pPr>
              <w:widowControl w:val="0"/>
              <w:rPr>
                <w:sz w:val="20"/>
              </w:rPr>
            </w:pPr>
            <w:r>
              <w:t>Нарушения на мускулно-скелетната система и съединителната тъкан</w:t>
            </w:r>
          </w:p>
        </w:tc>
        <w:tc>
          <w:tcPr>
            <w:tcW w:w="6373" w:type="dxa"/>
            <w:tcBorders>
              <w:top w:val="single" w:sz="4" w:space="0" w:color="000000"/>
              <w:bottom w:val="single" w:sz="4" w:space="0" w:color="000000"/>
              <w:right w:val="single" w:sz="4" w:space="0" w:color="000000"/>
            </w:tcBorders>
          </w:tcPr>
          <w:p w14:paraId="109ACF01" w14:textId="77777777" w:rsidR="009B3384" w:rsidRDefault="00800862">
            <w:pPr>
              <w:widowControl w:val="0"/>
            </w:pPr>
            <w:r>
              <w:t>Чести: болки в гърба, миалгия, артралгия</w:t>
            </w:r>
          </w:p>
          <w:p w14:paraId="109ACF02" w14:textId="77777777" w:rsidR="009B3384" w:rsidRDefault="00800862">
            <w:pPr>
              <w:widowControl w:val="0"/>
            </w:pPr>
            <w:r>
              <w:t xml:space="preserve">Много редки: </w:t>
            </w:r>
            <w:r>
              <w:rPr>
                <w:szCs w:val="22"/>
              </w:rPr>
              <w:t>лупус-подобен синдром</w:t>
            </w:r>
          </w:p>
        </w:tc>
      </w:tr>
      <w:tr w:rsidR="009B3384" w14:paraId="109ACF08" w14:textId="77777777">
        <w:trPr>
          <w:cantSplit/>
          <w:jc w:val="center"/>
        </w:trPr>
        <w:tc>
          <w:tcPr>
            <w:tcW w:w="2698" w:type="dxa"/>
            <w:tcBorders>
              <w:top w:val="single" w:sz="4" w:space="0" w:color="000000"/>
              <w:left w:val="single" w:sz="4" w:space="0" w:color="000000"/>
              <w:bottom w:val="single" w:sz="4" w:space="0" w:color="000000"/>
            </w:tcBorders>
          </w:tcPr>
          <w:p w14:paraId="109ACF04" w14:textId="77777777" w:rsidR="009B3384" w:rsidRDefault="00800862">
            <w:pPr>
              <w:widowControl w:val="0"/>
            </w:pPr>
            <w:r>
              <w:lastRenderedPageBreak/>
              <w:t>Общи нарушения и ефекти на мястото на приложение</w:t>
            </w:r>
          </w:p>
        </w:tc>
        <w:tc>
          <w:tcPr>
            <w:tcW w:w="6373" w:type="dxa"/>
            <w:tcBorders>
              <w:top w:val="single" w:sz="4" w:space="0" w:color="000000"/>
              <w:bottom w:val="single" w:sz="4" w:space="0" w:color="000000"/>
              <w:right w:val="single" w:sz="4" w:space="0" w:color="000000"/>
            </w:tcBorders>
          </w:tcPr>
          <w:p w14:paraId="109ACF05" w14:textId="77777777" w:rsidR="009B3384" w:rsidRDefault="00800862">
            <w:pPr>
              <w:widowControl w:val="0"/>
            </w:pPr>
            <w:r>
              <w:t>Чести: умора, еритема на мястото на инжектиране, болка на мястото на инжектиране</w:t>
            </w:r>
          </w:p>
          <w:p w14:paraId="109ACF06" w14:textId="77777777" w:rsidR="009B3384" w:rsidRDefault="00800862">
            <w:pPr>
              <w:widowControl w:val="0"/>
            </w:pPr>
            <w:r>
              <w:t xml:space="preserve">Нечести: реакции на мястото на инжектиране (включително </w:t>
            </w:r>
            <w:r>
              <w:rPr>
                <w:bCs/>
              </w:rPr>
              <w:t>кръвоизлив, хематом, втвърдяване, подуване</w:t>
            </w:r>
            <w:r>
              <w:t xml:space="preserve"> и сърбеж), астения</w:t>
            </w:r>
          </w:p>
          <w:p w14:paraId="109ACF07" w14:textId="77777777" w:rsidR="009B3384" w:rsidRDefault="009B3384">
            <w:pPr>
              <w:widowControl w:val="0"/>
            </w:pPr>
          </w:p>
        </w:tc>
      </w:tr>
      <w:tr w:rsidR="009B3384" w14:paraId="109ACF0A" w14:textId="77777777">
        <w:trPr>
          <w:cantSplit/>
          <w:jc w:val="center"/>
        </w:trPr>
        <w:tc>
          <w:tcPr>
            <w:tcW w:w="9071" w:type="dxa"/>
            <w:gridSpan w:val="2"/>
            <w:tcBorders>
              <w:top w:val="single" w:sz="4" w:space="0" w:color="000000"/>
            </w:tcBorders>
          </w:tcPr>
          <w:p w14:paraId="109ACF09" w14:textId="77777777" w:rsidR="009B3384" w:rsidRDefault="00800862">
            <w:pPr>
              <w:widowControl w:val="0"/>
              <w:ind w:left="284" w:hanging="284"/>
            </w:pPr>
            <w:r>
              <w:rPr>
                <w:bCs/>
                <w:sz w:val="18"/>
                <w:szCs w:val="18"/>
              </w:rPr>
              <w:t>*</w:t>
            </w:r>
            <w:r>
              <w:rPr>
                <w:bCs/>
                <w:sz w:val="18"/>
                <w:szCs w:val="18"/>
              </w:rPr>
              <w:tab/>
              <w:t>Вижте точка</w:t>
            </w:r>
            <w:r>
              <w:rPr>
                <w:bCs/>
                <w:sz w:val="18"/>
                <w:szCs w:val="18"/>
                <w:lang w:val="en-AU"/>
              </w:rPr>
              <w:t> </w:t>
            </w:r>
            <w:r>
              <w:rPr>
                <w:bCs/>
                <w:sz w:val="18"/>
                <w:szCs w:val="18"/>
              </w:rPr>
              <w:t>4.4, Системни и респираторни реакции на свръхчувствителност.</w:t>
            </w:r>
          </w:p>
        </w:tc>
      </w:tr>
    </w:tbl>
    <w:p w14:paraId="109ACF0B" w14:textId="77777777" w:rsidR="009B3384" w:rsidRDefault="009B3384">
      <w:pPr>
        <w:tabs>
          <w:tab w:val="clear" w:pos="567"/>
        </w:tabs>
        <w:rPr>
          <w:bCs/>
        </w:rPr>
      </w:pPr>
    </w:p>
    <w:p w14:paraId="109ACF0C" w14:textId="77777777" w:rsidR="009B3384" w:rsidRDefault="00800862">
      <w:pPr>
        <w:keepNext/>
        <w:tabs>
          <w:tab w:val="clear" w:pos="567"/>
        </w:tabs>
        <w:rPr>
          <w:bCs/>
          <w:u w:val="single"/>
        </w:rPr>
      </w:pPr>
      <w:r>
        <w:rPr>
          <w:bCs/>
          <w:u w:val="single"/>
        </w:rPr>
        <w:t>Описание на избрани нежелани лекарствени реакции</w:t>
      </w:r>
    </w:p>
    <w:p w14:paraId="109ACF0D" w14:textId="77777777" w:rsidR="009B3384" w:rsidRDefault="009B3384">
      <w:pPr>
        <w:keepNext/>
        <w:tabs>
          <w:tab w:val="clear" w:pos="567"/>
        </w:tabs>
        <w:rPr>
          <w:bCs/>
          <w:u w:val="single"/>
        </w:rPr>
      </w:pPr>
    </w:p>
    <w:p w14:paraId="109ACF0E" w14:textId="77777777" w:rsidR="009B3384" w:rsidRPr="00BC6A43" w:rsidRDefault="00800862">
      <w:pPr>
        <w:keepNext/>
        <w:tabs>
          <w:tab w:val="clear" w:pos="567"/>
        </w:tabs>
        <w:rPr>
          <w:bCs/>
          <w:i/>
          <w:iCs/>
          <w:u w:val="single"/>
        </w:rPr>
      </w:pPr>
      <w:r w:rsidRPr="00BC6A43">
        <w:rPr>
          <w:bCs/>
          <w:i/>
          <w:iCs/>
          <w:u w:val="single"/>
        </w:rPr>
        <w:t>Инфекции</w:t>
      </w:r>
    </w:p>
    <w:p w14:paraId="109ACF0F" w14:textId="77777777" w:rsidR="009B3384" w:rsidRDefault="00800862">
      <w:pPr>
        <w:tabs>
          <w:tab w:val="clear" w:pos="567"/>
        </w:tabs>
        <w:rPr>
          <w:bCs/>
        </w:rPr>
      </w:pPr>
      <w:r>
        <w:rPr>
          <w:bCs/>
        </w:rPr>
        <w:t xml:space="preserve">В плацебо-контролирани проучвания при пациенти с псориазис, псориатичен артрит, болест на </w:t>
      </w:r>
      <w:r>
        <w:rPr>
          <w:bCs/>
          <w:lang w:val="en-GB"/>
        </w:rPr>
        <w:t>Crohn</w:t>
      </w:r>
      <w:r>
        <w:rPr>
          <w:bCs/>
        </w:rPr>
        <w:t xml:space="preserve"> и с </w:t>
      </w:r>
      <w:r>
        <w:t>улцерозен колит</w:t>
      </w:r>
      <w:r>
        <w:rPr>
          <w:bCs/>
        </w:rPr>
        <w:t xml:space="preserve"> процентът на инфекциите или сериозните инфекции е сходен при пациентите, лекувани с устекинумаб, и при лекуваните с плацебо. В плацебо-контролирания период на тези клинични проучвания честотата на инфекциите е 1,36 за пациентогодина проследяване при пациенти, лекувани с устекинумаб, и 1,34 – при пациенти, лекувани с плацебо. Появилите се сериозни инфекции са с честота от 0,03 за пациентогодина проследяване при пациенти, лекувани с устекинумаб (30 сериозни инфекции за 930 пациентогодини проследяване), и 0,03 – при пациенти, лекувани с плацебо (15 сериозни инфекции за 434 пациентогодини проследяване) (вж. точка 4.4).</w:t>
      </w:r>
    </w:p>
    <w:p w14:paraId="109ACF10" w14:textId="77777777" w:rsidR="009B3384" w:rsidRDefault="009B3384">
      <w:pPr>
        <w:tabs>
          <w:tab w:val="clear" w:pos="567"/>
        </w:tabs>
        <w:rPr>
          <w:bCs/>
        </w:rPr>
      </w:pPr>
    </w:p>
    <w:p w14:paraId="109ACF11" w14:textId="77777777" w:rsidR="009B3384" w:rsidRDefault="00800862">
      <w:pPr>
        <w:tabs>
          <w:tab w:val="clear" w:pos="567"/>
        </w:tabs>
        <w:rPr>
          <w:bCs/>
        </w:rPr>
      </w:pPr>
      <w:r>
        <w:rPr>
          <w:bCs/>
        </w:rPr>
        <w:t xml:space="preserve">В контролираните и неконтролираните периоди на клиничните проучвания при псориазис, псориатичен артрит, болест на </w:t>
      </w:r>
      <w:r>
        <w:rPr>
          <w:bCs/>
          <w:lang w:val="en-GB"/>
        </w:rPr>
        <w:t>Crohn</w:t>
      </w:r>
      <w:r>
        <w:rPr>
          <w:bCs/>
        </w:rPr>
        <w:t xml:space="preserve"> и </w:t>
      </w:r>
      <w:r>
        <w:t>улцерозен колит</w:t>
      </w:r>
      <w:r>
        <w:rPr>
          <w:bCs/>
        </w:rPr>
        <w:t>, представляващи 15</w:t>
      </w:r>
      <w:r>
        <w:rPr>
          <w:bCs/>
          <w:lang w:val="en-US"/>
        </w:rPr>
        <w:t> </w:t>
      </w:r>
      <w:r>
        <w:rPr>
          <w:bCs/>
        </w:rPr>
        <w:t>227 пациентогодини експозиция с устекинумаб при 6</w:t>
      </w:r>
      <w:r>
        <w:rPr>
          <w:bCs/>
          <w:lang w:val="en-US"/>
        </w:rPr>
        <w:t> </w:t>
      </w:r>
      <w:r>
        <w:rPr>
          <w:bCs/>
        </w:rPr>
        <w:t xml:space="preserve">710 пациенти, медианата на времето на проследяване е 1,2 години; 1,7 години за проучванията при псориазис, 0,6 години за проучванията при болест на </w:t>
      </w:r>
      <w:r>
        <w:rPr>
          <w:bCs/>
          <w:lang w:val="en-GB"/>
        </w:rPr>
        <w:t>Crohn</w:t>
      </w:r>
      <w:r>
        <w:rPr>
          <w:bCs/>
        </w:rPr>
        <w:t xml:space="preserve"> и 2,3 години за проучванията с </w:t>
      </w:r>
      <w:r>
        <w:t>улцерозен колит</w:t>
      </w:r>
      <w:r>
        <w:rPr>
          <w:bCs/>
        </w:rPr>
        <w:t>. Процентът на инфекциите е 0,85</w:t>
      </w:r>
      <w:r>
        <w:rPr>
          <w:bCs/>
          <w:lang w:val="en-US"/>
        </w:rPr>
        <w:t> </w:t>
      </w:r>
      <w:r>
        <w:rPr>
          <w:bCs/>
        </w:rPr>
        <w:t>за пациентогодина проследяване при пациенти, лекувани с устекинумаб, а процентът на сериозните инфекции при тях е 0,02 за пациентогодина проследяване (289 сериозни инфекции за 15 227 пациентогодини проследяване) и са докладвани сериозни инфекции, включително пневмония, анален абсцес, целулит, дивертикулит, гастроентерит и вирусни инфекции.</w:t>
      </w:r>
    </w:p>
    <w:p w14:paraId="109ACF12" w14:textId="77777777" w:rsidR="009B3384" w:rsidRDefault="009B3384">
      <w:pPr>
        <w:tabs>
          <w:tab w:val="clear" w:pos="567"/>
        </w:tabs>
        <w:rPr>
          <w:bCs/>
        </w:rPr>
      </w:pPr>
    </w:p>
    <w:p w14:paraId="109ACF13" w14:textId="77777777" w:rsidR="009B3384" w:rsidRDefault="00800862">
      <w:pPr>
        <w:tabs>
          <w:tab w:val="clear" w:pos="567"/>
        </w:tabs>
        <w:rPr>
          <w:bCs/>
        </w:rPr>
      </w:pPr>
      <w:r>
        <w:rPr>
          <w:bCs/>
        </w:rPr>
        <w:t>В проведени клинични проучвания пациенти с латентна туберкулоза, които са били едновременно лекувани с изониазид, не са развили туберкулоза.</w:t>
      </w:r>
    </w:p>
    <w:p w14:paraId="109ACF14" w14:textId="77777777" w:rsidR="009B3384" w:rsidRDefault="009B3384">
      <w:pPr>
        <w:tabs>
          <w:tab w:val="clear" w:pos="567"/>
        </w:tabs>
        <w:rPr>
          <w:bCs/>
        </w:rPr>
      </w:pPr>
    </w:p>
    <w:p w14:paraId="109ACF15" w14:textId="77777777" w:rsidR="009B3384" w:rsidRPr="00BC6A43" w:rsidRDefault="00800862">
      <w:pPr>
        <w:keepNext/>
        <w:tabs>
          <w:tab w:val="clear" w:pos="567"/>
        </w:tabs>
        <w:rPr>
          <w:bCs/>
          <w:i/>
          <w:iCs/>
          <w:u w:val="single"/>
        </w:rPr>
      </w:pPr>
      <w:r w:rsidRPr="00BC6A43">
        <w:rPr>
          <w:bCs/>
          <w:i/>
          <w:iCs/>
          <w:u w:val="single"/>
        </w:rPr>
        <w:t>Злокачествени заболявания</w:t>
      </w:r>
    </w:p>
    <w:p w14:paraId="109ACF16" w14:textId="77777777" w:rsidR="009B3384" w:rsidRDefault="00800862">
      <w:pPr>
        <w:tabs>
          <w:tab w:val="clear" w:pos="567"/>
        </w:tabs>
        <w:rPr>
          <w:bCs/>
        </w:rPr>
      </w:pPr>
      <w:r>
        <w:rPr>
          <w:bCs/>
        </w:rPr>
        <w:t xml:space="preserve">В плацебо-контролирания период на клинични проучвания при псориазис, псориатичен артрит, болест на </w:t>
      </w:r>
      <w:r>
        <w:rPr>
          <w:bCs/>
          <w:lang w:val="en-GB"/>
        </w:rPr>
        <w:t>Crohn</w:t>
      </w:r>
      <w:r>
        <w:rPr>
          <w:bCs/>
        </w:rPr>
        <w:t xml:space="preserve"> и </w:t>
      </w:r>
      <w:r>
        <w:t>улцерозен колит</w:t>
      </w:r>
      <w:r>
        <w:rPr>
          <w:bCs/>
        </w:rPr>
        <w:t xml:space="preserve"> честотата на злокачествените заболявания, с изключение на немеланомен рак на кожата, е 0,11 за 100 пациентогодини проследяване при пациенти, лекувани с устекинумаб (1 пациент за 929 пациентогодини проследяване) в сравнение с 0,23 при пациентите, лекувани с плацебо (1 пациент за 434 пациентогодини проследяване). Честотата на немеланомен рак на кожата е 0,43 за 100 пациентогодини проследяване за пациентите, лекувани с устекинумаб (4 пациенти за 929 пациентогодини проследяване) в сравнение с 0,46 при пациентите, лекувани с плацебо (2 пациенти за 433 пациентогодини проследяване).</w:t>
      </w:r>
    </w:p>
    <w:p w14:paraId="109ACF17" w14:textId="77777777" w:rsidR="009B3384" w:rsidRDefault="009B3384">
      <w:pPr>
        <w:tabs>
          <w:tab w:val="clear" w:pos="567"/>
        </w:tabs>
        <w:rPr>
          <w:bCs/>
        </w:rPr>
      </w:pPr>
    </w:p>
    <w:p w14:paraId="109ACF18" w14:textId="77777777" w:rsidR="009B3384" w:rsidRDefault="00800862">
      <w:pPr>
        <w:tabs>
          <w:tab w:val="clear" w:pos="567"/>
        </w:tabs>
        <w:rPr>
          <w:bCs/>
        </w:rPr>
      </w:pPr>
      <w:r>
        <w:rPr>
          <w:bCs/>
        </w:rPr>
        <w:t xml:space="preserve">В контролираните и неконтролираните периоди на клиничните проучвания при псориазис, псориатичен артрит, болест на </w:t>
      </w:r>
      <w:r>
        <w:rPr>
          <w:bCs/>
          <w:lang w:val="en-GB"/>
        </w:rPr>
        <w:t>Crohn</w:t>
      </w:r>
      <w:r>
        <w:rPr>
          <w:bCs/>
        </w:rPr>
        <w:t xml:space="preserve"> и </w:t>
      </w:r>
      <w:r>
        <w:t>улцерозен колит</w:t>
      </w:r>
      <w:r>
        <w:rPr>
          <w:bCs/>
        </w:rPr>
        <w:t>, представляващи 15 </w:t>
      </w:r>
      <w:r>
        <w:t>205</w:t>
      </w:r>
      <w:r>
        <w:rPr>
          <w:bCs/>
        </w:rPr>
        <w:t> пациентогодини експозиция с устекинумаб при 6 710 пациенти, медианата на времето на проследяване е 1,2</w:t>
      </w:r>
      <w:r>
        <w:t> </w:t>
      </w:r>
      <w:r>
        <w:rPr>
          <w:bCs/>
        </w:rPr>
        <w:t xml:space="preserve">година; 1,7 години за проучванията при псориазис, 0,6 години за проучванията при болест на </w:t>
      </w:r>
      <w:r>
        <w:rPr>
          <w:bCs/>
          <w:lang w:val="en-GB"/>
        </w:rPr>
        <w:t>Crohn</w:t>
      </w:r>
      <w:r>
        <w:rPr>
          <w:bCs/>
        </w:rPr>
        <w:t xml:space="preserve"> и 2,3 години за проучванията с </w:t>
      </w:r>
      <w:r>
        <w:t>улцерозен колит</w:t>
      </w:r>
      <w:r>
        <w:rPr>
          <w:bCs/>
        </w:rPr>
        <w:t>. Злокачествени заболявания, с изключение на немеланомен рак на кожата, са докладвани при 76 пациенти за 15 205 пациентогодини на проследяване (честота от 0,50 на 100 пациентогодини на проследяване при пациенти лекувани с устекинумаб). Тези случаи на злокачествени заболявания, съобщени при пациенти, лекувани с устекинумаб, са сравними с очакваните случаи в общата популация (стандартизиран коефициент на честота</w:t>
      </w:r>
      <w:r>
        <w:rPr>
          <w:bCs/>
          <w:lang w:val="nl-BE"/>
        </w:rPr>
        <w:t> </w:t>
      </w:r>
      <w:r>
        <w:rPr>
          <w:bCs/>
        </w:rPr>
        <w:t>=</w:t>
      </w:r>
      <w:r>
        <w:rPr>
          <w:bCs/>
          <w:lang w:val="nl-BE"/>
        </w:rPr>
        <w:t> </w:t>
      </w:r>
      <w:r>
        <w:rPr>
          <w:bCs/>
        </w:rPr>
        <w:t xml:space="preserve">0,94 [95% доверителен интервал: 0,73, 1,18], коригиран за възраст, пол и раса). Най-често наблюдаваните злокачествени заболявания, различни от немеланомния карцином на кожата, са карцином на </w:t>
      </w:r>
      <w:r>
        <w:rPr>
          <w:bCs/>
        </w:rPr>
        <w:lastRenderedPageBreak/>
        <w:t>простатата, меланом, колоректален карцином и карцином на гърдата. Случаите на немеланомен карцином на кожата са 0,46 на 100 пациентогодини на проследяване при пациенти, лекувани с устекинумаб (69 пациенти за 15 165 пациентогодини на проследяване). Съотношението на пациенти с базален спрямо сквамозноклетъчен карцином на кожата (3:1) е сравнимо със съотношението в общата популация (вж. точка 4.4).</w:t>
      </w:r>
    </w:p>
    <w:p w14:paraId="109ACF19" w14:textId="77777777" w:rsidR="009B3384" w:rsidRDefault="009B3384">
      <w:pPr>
        <w:tabs>
          <w:tab w:val="clear" w:pos="567"/>
        </w:tabs>
        <w:rPr>
          <w:bCs/>
        </w:rPr>
      </w:pPr>
    </w:p>
    <w:p w14:paraId="109ACF1A" w14:textId="77777777" w:rsidR="009B3384" w:rsidRPr="00BC6A43" w:rsidRDefault="00800862">
      <w:pPr>
        <w:keepNext/>
        <w:tabs>
          <w:tab w:val="clear" w:pos="567"/>
        </w:tabs>
        <w:rPr>
          <w:bCs/>
          <w:i/>
          <w:iCs/>
          <w:u w:val="single"/>
        </w:rPr>
      </w:pPr>
      <w:r w:rsidRPr="00BC6A43">
        <w:rPr>
          <w:bCs/>
          <w:i/>
          <w:iCs/>
          <w:u w:val="single"/>
        </w:rPr>
        <w:t>Реакции на свръхчувствителност</w:t>
      </w:r>
    </w:p>
    <w:p w14:paraId="109ACF1B" w14:textId="77777777" w:rsidR="009B3384" w:rsidRDefault="00800862">
      <w:pPr>
        <w:tabs>
          <w:tab w:val="clear" w:pos="567"/>
        </w:tabs>
        <w:rPr>
          <w:bCs/>
        </w:rPr>
      </w:pPr>
      <w:r>
        <w:rPr>
          <w:bCs/>
        </w:rPr>
        <w:t>В контролираните периоди на клинични проучвания при псориазис и псориатичен артрит на устекинумаб обрив и уртикария са наблюдавани при &lt;</w:t>
      </w:r>
      <w:r>
        <w:rPr>
          <w:bCs/>
          <w:lang w:val="en-US"/>
        </w:rPr>
        <w:t> </w:t>
      </w:r>
      <w:r>
        <w:rPr>
          <w:bCs/>
        </w:rPr>
        <w:t>1% от пациентите (вж. точка 4.4).</w:t>
      </w:r>
    </w:p>
    <w:p w14:paraId="109ACF1C" w14:textId="77777777" w:rsidR="009B3384" w:rsidRDefault="009B3384">
      <w:pPr>
        <w:tabs>
          <w:tab w:val="clear" w:pos="567"/>
        </w:tabs>
        <w:rPr>
          <w:bCs/>
        </w:rPr>
      </w:pPr>
    </w:p>
    <w:p w14:paraId="109ACF1D" w14:textId="77777777" w:rsidR="009B3384" w:rsidRDefault="00800862">
      <w:pPr>
        <w:keepNext/>
        <w:tabs>
          <w:tab w:val="clear" w:pos="567"/>
        </w:tabs>
        <w:rPr>
          <w:iCs/>
          <w:u w:val="single"/>
        </w:rPr>
      </w:pPr>
      <w:r>
        <w:rPr>
          <w:iCs/>
          <w:u w:val="single"/>
        </w:rPr>
        <w:t>Педиатрична популация</w:t>
      </w:r>
    </w:p>
    <w:p w14:paraId="109ACF1E" w14:textId="77777777" w:rsidR="009B3384" w:rsidRDefault="009B3384" w:rsidP="00BC6A43">
      <w:pPr>
        <w:keepNext/>
        <w:tabs>
          <w:tab w:val="clear" w:pos="567"/>
        </w:tabs>
        <w:rPr>
          <w:i/>
          <w:iCs/>
        </w:rPr>
      </w:pPr>
    </w:p>
    <w:p w14:paraId="109ACF1F" w14:textId="77777777" w:rsidR="009B3384" w:rsidRPr="00BC6A43" w:rsidRDefault="00800862" w:rsidP="00BC6A43">
      <w:pPr>
        <w:keepNext/>
        <w:tabs>
          <w:tab w:val="clear" w:pos="567"/>
        </w:tabs>
        <w:rPr>
          <w:i/>
          <w:iCs/>
          <w:u w:val="single"/>
        </w:rPr>
      </w:pPr>
      <w:r w:rsidRPr="00BC6A43">
        <w:rPr>
          <w:i/>
          <w:iCs/>
          <w:u w:val="single"/>
        </w:rPr>
        <w:t>Педиатрични пациенти на 6 години и по-големи с плаков псориазис</w:t>
      </w:r>
    </w:p>
    <w:p w14:paraId="109ACF20" w14:textId="77777777" w:rsidR="009B3384" w:rsidRDefault="00800862">
      <w:pPr>
        <w:tabs>
          <w:tab w:val="clear" w:pos="567"/>
        </w:tabs>
      </w:pPr>
      <w:r>
        <w:t>Безопасността на устекинумаб е проучена в две проучвания фаза 3 при педиатрични пациенти с умерен до тежък плаков псориазис. Първото проучване е при 110 пациенти на възраст от 12 до 17 години, лекувани в продължение на 60 седмици, а второто проучване е при 44</w:t>
      </w:r>
      <w:r>
        <w:rPr>
          <w:lang w:val="en-US"/>
        </w:rPr>
        <w:t> </w:t>
      </w:r>
      <w:r>
        <w:t>пациенти на възраст от 6 до 11</w:t>
      </w:r>
      <w:r>
        <w:rPr>
          <w:lang w:val="en-US"/>
        </w:rPr>
        <w:t> </w:t>
      </w:r>
      <w:r>
        <w:t>години, лекувани в продължение на 56 седмици. Като цяло съобщените нежелани събития в тези две проучвания с данни за безопасност до 1</w:t>
      </w:r>
      <w:r>
        <w:rPr>
          <w:lang w:val="en-US"/>
        </w:rPr>
        <w:t> </w:t>
      </w:r>
      <w:r>
        <w:t>година са подобни на тези, наблюдавани в предишни проучвания при възрастни с плаков псориазис.</w:t>
      </w:r>
    </w:p>
    <w:p w14:paraId="109ACF21" w14:textId="77777777" w:rsidR="009B3384" w:rsidRDefault="009B3384">
      <w:pPr>
        <w:tabs>
          <w:tab w:val="clear" w:pos="567"/>
        </w:tabs>
      </w:pPr>
    </w:p>
    <w:p w14:paraId="109ACF22" w14:textId="34726E4D" w:rsidR="009B3384" w:rsidRPr="00BC6A43" w:rsidRDefault="00800862">
      <w:pPr>
        <w:keepNext/>
        <w:tabs>
          <w:tab w:val="clear" w:pos="567"/>
        </w:tabs>
        <w:rPr>
          <w:i/>
          <w:u w:val="single"/>
        </w:rPr>
      </w:pPr>
      <w:r w:rsidRPr="00BC6A43">
        <w:rPr>
          <w:i/>
          <w:u w:val="single"/>
        </w:rPr>
        <w:t>Педиатрични пациенти</w:t>
      </w:r>
      <w:r>
        <w:t xml:space="preserve"> </w:t>
      </w:r>
      <w:r>
        <w:rPr>
          <w:i/>
          <w:u w:val="single"/>
        </w:rPr>
        <w:t>на 2 и повече години</w:t>
      </w:r>
      <w:r w:rsidRPr="00BC6A43">
        <w:rPr>
          <w:i/>
          <w:u w:val="single"/>
        </w:rPr>
        <w:t xml:space="preserve"> с болест на </w:t>
      </w:r>
      <w:r w:rsidRPr="00BC6A43">
        <w:rPr>
          <w:i/>
          <w:iCs/>
          <w:u w:val="single"/>
          <w:lang w:val="en-US"/>
        </w:rPr>
        <w:t>Crohn</w:t>
      </w:r>
    </w:p>
    <w:p w14:paraId="109ACF23" w14:textId="3D4EFE42" w:rsidR="009B3384" w:rsidRDefault="00800862">
      <w:r>
        <w:t>Безопасността на устекинумаб е проучена в едно проучване фаза</w:t>
      </w:r>
      <w:r>
        <w:rPr>
          <w:lang w:val="en-US"/>
        </w:rPr>
        <w:t> </w:t>
      </w:r>
      <w:r>
        <w:t>1 и едно проучване фаза</w:t>
      </w:r>
      <w:r>
        <w:rPr>
          <w:lang w:val="en-US"/>
        </w:rPr>
        <w:t> </w:t>
      </w:r>
      <w:r>
        <w:t>3 при педиатрични пациенти с умерена до тежка активна болест на Crohn. 34 пациенти в проучването фаза</w:t>
      </w:r>
      <w:r>
        <w:rPr>
          <w:lang w:val="en-US"/>
        </w:rPr>
        <w:t> </w:t>
      </w:r>
      <w:r>
        <w:t>1 и 101 пациенти в проучването фаза</w:t>
      </w:r>
      <w:r>
        <w:rPr>
          <w:lang w:val="en-US"/>
        </w:rPr>
        <w:t> </w:t>
      </w:r>
      <w:r>
        <w:t>3 са проследявани съответно до 240 седмици</w:t>
      </w:r>
      <w:r>
        <w:rPr>
          <w:lang w:val="en-US"/>
        </w:rPr>
        <w:t> </w:t>
      </w:r>
      <w:r>
        <w:t>и 68 седмици. Като цяло профилът на безопасност е подобен на този, наблюдаван в предишни проучвания при възрастни с болестта на Crohn.</w:t>
      </w:r>
    </w:p>
    <w:p w14:paraId="109ACF24" w14:textId="77777777" w:rsidR="009B3384" w:rsidRDefault="009B3384">
      <w:pPr>
        <w:tabs>
          <w:tab w:val="clear" w:pos="567"/>
        </w:tabs>
        <w:rPr>
          <w:ins w:id="945" w:author="Reviser" w:date="2026-04-29T20:25:00Z"/>
        </w:rPr>
      </w:pPr>
    </w:p>
    <w:p w14:paraId="779FCCB7" w14:textId="77777777" w:rsidR="006F5B3F" w:rsidRDefault="006F5B3F" w:rsidP="006F5B3F">
      <w:pPr>
        <w:keepNext/>
        <w:tabs>
          <w:tab w:val="clear" w:pos="567"/>
        </w:tabs>
        <w:rPr>
          <w:ins w:id="946" w:author="Reviser" w:date="2026-04-29T20:25:00Z"/>
          <w:i/>
        </w:rPr>
      </w:pPr>
      <w:ins w:id="947" w:author="Reviser" w:date="2026-04-29T20:25:00Z">
        <w:r>
          <w:rPr>
            <w:i/>
          </w:rPr>
          <w:t>Педиатрични пациенти на 2 и повече години с улцерозен колит</w:t>
        </w:r>
      </w:ins>
    </w:p>
    <w:p w14:paraId="487D7B58" w14:textId="77777777" w:rsidR="006F5B3F" w:rsidRDefault="006F5B3F" w:rsidP="006F5B3F">
      <w:pPr>
        <w:tabs>
          <w:tab w:val="clear" w:pos="567"/>
        </w:tabs>
        <w:rPr>
          <w:ins w:id="948" w:author="Reviser" w:date="2026-04-29T20:25:00Z"/>
        </w:rPr>
      </w:pPr>
      <w:ins w:id="949" w:author="Reviser" w:date="2026-04-29T20:25:00Z">
        <w:r>
          <w:t>Безопасността на устекинумаб е проучена в едно проучване фаза</w:t>
        </w:r>
        <w:r>
          <w:rPr>
            <w:lang w:val="en-US"/>
          </w:rPr>
          <w:t> </w:t>
        </w:r>
        <w:r>
          <w:t xml:space="preserve">3 при педиатрични пациенти с умерен до тежък активен </w:t>
        </w:r>
        <w:r w:rsidRPr="00487E15">
          <w:t>улцерозен колит</w:t>
        </w:r>
        <w:r>
          <w:t xml:space="preserve">. В това проучване 112 пациенти са проследявани до 68 седмици. Като цяло профилът на безопасност е подобен на този, наблюдаван в предишни проучвания при възрастни с </w:t>
        </w:r>
        <w:r w:rsidRPr="00487E15">
          <w:t>улцерозен колит</w:t>
        </w:r>
        <w:r>
          <w:t>.</w:t>
        </w:r>
      </w:ins>
    </w:p>
    <w:p w14:paraId="701828B3" w14:textId="77777777" w:rsidR="006F5B3F" w:rsidRDefault="006F5B3F">
      <w:pPr>
        <w:tabs>
          <w:tab w:val="clear" w:pos="567"/>
        </w:tabs>
      </w:pPr>
    </w:p>
    <w:p w14:paraId="109ACF25" w14:textId="77777777" w:rsidR="009B3384" w:rsidRDefault="00800862">
      <w:pPr>
        <w:keepNext/>
        <w:tabs>
          <w:tab w:val="clear" w:pos="567"/>
          <w:tab w:val="left" w:pos="720"/>
        </w:tabs>
        <w:rPr>
          <w:szCs w:val="22"/>
          <w:u w:val="single"/>
        </w:rPr>
      </w:pPr>
      <w:r>
        <w:rPr>
          <w:szCs w:val="22"/>
          <w:u w:val="single"/>
        </w:rPr>
        <w:t>Съобщаване на подозирани нежелани реакции</w:t>
      </w:r>
    </w:p>
    <w:p w14:paraId="109ACF26" w14:textId="77777777" w:rsidR="009B3384" w:rsidRDefault="00800862">
      <w:pPr>
        <w:tabs>
          <w:tab w:val="clear" w:pos="567"/>
        </w:tabs>
        <w:rPr>
          <w:szCs w:val="22"/>
        </w:rPr>
      </w:pPr>
      <w:r>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Cs w:val="22"/>
          <w:highlight w:val="lightGray"/>
        </w:rPr>
        <w:t xml:space="preserve">национална система за съобщаване, посочена в </w:t>
      </w:r>
      <w:r>
        <w:fldChar w:fldCharType="begin"/>
      </w:r>
      <w:r>
        <w:instrText>HYPERLINK "https://www.ema.europa.eu/en/documents/template-form/qrd-appendix-v-adverse-drug-reaction-reporting-details_en.docx"</w:instrText>
      </w:r>
      <w:r>
        <w:fldChar w:fldCharType="separate"/>
      </w:r>
      <w:r>
        <w:rPr>
          <w:rStyle w:val="Hyperlink"/>
          <w:noProof/>
          <w:szCs w:val="22"/>
          <w:highlight w:val="lightGray"/>
        </w:rPr>
        <w:t>Приложение V</w:t>
      </w:r>
      <w:r>
        <w:fldChar w:fldCharType="end"/>
      </w:r>
      <w:r>
        <w:rPr>
          <w:szCs w:val="22"/>
        </w:rPr>
        <w:t>.</w:t>
      </w:r>
    </w:p>
    <w:p w14:paraId="109ACF27" w14:textId="77777777" w:rsidR="009B3384" w:rsidRDefault="009B3384">
      <w:pPr>
        <w:tabs>
          <w:tab w:val="clear" w:pos="567"/>
        </w:tabs>
      </w:pPr>
    </w:p>
    <w:p w14:paraId="109ACF28" w14:textId="77777777" w:rsidR="009B3384" w:rsidRDefault="00800862">
      <w:pPr>
        <w:keepNext/>
        <w:ind w:left="567" w:hanging="567"/>
        <w:outlineLvl w:val="2"/>
        <w:rPr>
          <w:b/>
          <w:bCs/>
        </w:rPr>
      </w:pPr>
      <w:r>
        <w:rPr>
          <w:b/>
          <w:bCs/>
        </w:rPr>
        <w:t>4.9</w:t>
      </w:r>
      <w:r>
        <w:rPr>
          <w:b/>
          <w:bCs/>
        </w:rPr>
        <w:tab/>
        <w:t>Предозиране</w:t>
      </w:r>
    </w:p>
    <w:p w14:paraId="109ACF29" w14:textId="77777777" w:rsidR="009B3384" w:rsidRDefault="009B3384">
      <w:pPr>
        <w:keepNext/>
      </w:pPr>
    </w:p>
    <w:p w14:paraId="109ACF2A" w14:textId="77777777" w:rsidR="009B3384" w:rsidRDefault="00800862">
      <w:pPr>
        <w:tabs>
          <w:tab w:val="clear" w:pos="567"/>
        </w:tabs>
      </w:pPr>
      <w:r>
        <w:t>Единични дози до 6 mg/kg са прилагани интравенозно в клинични проучвания без ограничаваща дозата токсичност. В случай на предозиране се препоръчва пациентите да се наблюдават за признаци или симптоми на нежелани реакции и незабавно да се приложи подходящо симптоматично лечение.</w:t>
      </w:r>
    </w:p>
    <w:p w14:paraId="109ACF2B" w14:textId="77777777" w:rsidR="009B3384" w:rsidRDefault="009B3384">
      <w:pPr>
        <w:tabs>
          <w:tab w:val="clear" w:pos="567"/>
        </w:tabs>
      </w:pPr>
    </w:p>
    <w:p w14:paraId="109ACF2C" w14:textId="77777777" w:rsidR="009B3384" w:rsidRDefault="009B3384">
      <w:pPr>
        <w:tabs>
          <w:tab w:val="clear" w:pos="567"/>
        </w:tabs>
      </w:pPr>
    </w:p>
    <w:p w14:paraId="109ACF2D" w14:textId="77777777" w:rsidR="009B3384" w:rsidRDefault="00800862">
      <w:pPr>
        <w:keepNext/>
        <w:ind w:left="567" w:hanging="567"/>
        <w:outlineLvl w:val="1"/>
        <w:rPr>
          <w:b/>
          <w:bCs/>
        </w:rPr>
      </w:pPr>
      <w:r>
        <w:rPr>
          <w:b/>
          <w:bCs/>
        </w:rPr>
        <w:t>5.</w:t>
      </w:r>
      <w:r>
        <w:rPr>
          <w:b/>
          <w:bCs/>
        </w:rPr>
        <w:tab/>
        <w:t>ФАРМАКОЛОГИЧНИ СВОЙСТВА</w:t>
      </w:r>
    </w:p>
    <w:p w14:paraId="109ACF2E" w14:textId="77777777" w:rsidR="009B3384" w:rsidRDefault="009B3384">
      <w:pPr>
        <w:keepNext/>
        <w:rPr>
          <w:bCs/>
        </w:rPr>
      </w:pPr>
    </w:p>
    <w:p w14:paraId="109ACF2F" w14:textId="77777777" w:rsidR="009B3384" w:rsidRDefault="00800862">
      <w:pPr>
        <w:keepNext/>
        <w:ind w:left="567" w:hanging="567"/>
        <w:outlineLvl w:val="2"/>
        <w:rPr>
          <w:b/>
          <w:bCs/>
        </w:rPr>
      </w:pPr>
      <w:r>
        <w:rPr>
          <w:b/>
          <w:bCs/>
        </w:rPr>
        <w:t>5.1</w:t>
      </w:r>
      <w:r>
        <w:rPr>
          <w:b/>
          <w:bCs/>
        </w:rPr>
        <w:tab/>
        <w:t>Фармакодинамични свойства</w:t>
      </w:r>
    </w:p>
    <w:p w14:paraId="109ACF30" w14:textId="77777777" w:rsidR="009B3384" w:rsidRDefault="009B3384">
      <w:pPr>
        <w:keepNext/>
        <w:tabs>
          <w:tab w:val="clear" w:pos="567"/>
        </w:tabs>
      </w:pPr>
    </w:p>
    <w:p w14:paraId="109ACF31" w14:textId="77777777" w:rsidR="009B3384" w:rsidRDefault="00800862">
      <w:r>
        <w:t>Фармакотерапевтична група: Имуносупресори, инхибитори на интерлевкина, ATC код: L04AC05</w:t>
      </w:r>
    </w:p>
    <w:p w14:paraId="109ACF32" w14:textId="77777777" w:rsidR="009B3384" w:rsidRDefault="009B3384">
      <w:pPr>
        <w:tabs>
          <w:tab w:val="clear" w:pos="567"/>
        </w:tabs>
      </w:pPr>
    </w:p>
    <w:p w14:paraId="109ACF33" w14:textId="77777777" w:rsidR="009B3384" w:rsidRDefault="00800862">
      <w:pPr>
        <w:keepNext/>
        <w:rPr>
          <w:bCs/>
          <w:iCs/>
        </w:rPr>
      </w:pPr>
      <w:r>
        <w:rPr>
          <w:u w:val="single"/>
        </w:rPr>
        <w:lastRenderedPageBreak/>
        <w:t>Механизъм на действие</w:t>
      </w:r>
    </w:p>
    <w:p w14:paraId="109ACF34" w14:textId="77777777" w:rsidR="009B3384" w:rsidRDefault="00800862">
      <w:pPr>
        <w:rPr>
          <w:szCs w:val="22"/>
        </w:rPr>
      </w:pPr>
      <w:r>
        <w:rPr>
          <w:iCs/>
        </w:rPr>
        <w:t xml:space="preserve">Устекинумаб е изцяло човешко IgG1κ моноклонално антитяло, което се свързва със специфичност към общата протеинова субединица p40 на човешки цитокини интерлевкин (IL)-12 и IL-23. Устекинумаб потиска биоактивността на човешките IL-12 и IL-23, като предотвратява свързването на </w:t>
      </w:r>
      <w:r>
        <w:rPr>
          <w:iCs/>
          <w:lang w:val="en-US"/>
        </w:rPr>
        <w:t>p</w:t>
      </w:r>
      <w:r>
        <w:rPr>
          <w:iCs/>
        </w:rPr>
        <w:t>40 с IL-12R</w:t>
      </w:r>
      <w:r>
        <w:rPr>
          <w:rFonts w:eastAsia="Symbol"/>
        </w:rPr>
        <w:t>β</w:t>
      </w:r>
      <w:r>
        <w:rPr>
          <w:iCs/>
        </w:rPr>
        <w:t>1 рецепторен протеин, разположен на повърхността на имунните клетки. Устекинумаб не може да се свърже с IL-12 или с IL-23, които вече са свързани с IL-12R</w:t>
      </w:r>
      <w:r>
        <w:rPr>
          <w:rFonts w:eastAsia="Symbol"/>
        </w:rPr>
        <w:t>β</w:t>
      </w:r>
      <w:r>
        <w:rPr>
          <w:iCs/>
        </w:rPr>
        <w:t xml:space="preserve">1 рецептори по клетъчната повърхност. Следователно е малко вероятно устекинумаб да участва в комплемент- или </w:t>
      </w:r>
      <w:r>
        <w:t>антитяло-</w:t>
      </w:r>
      <w:r>
        <w:rPr>
          <w:iCs/>
        </w:rPr>
        <w:t xml:space="preserve">медиираната </w:t>
      </w:r>
      <w:r>
        <w:t>цитотоксичност</w:t>
      </w:r>
      <w:r>
        <w:rPr>
          <w:iCs/>
        </w:rPr>
        <w:t xml:space="preserve"> на клетките с рецептори за IL-12 и/или IL-23. IL-12 и IL-23 са хетеродимерни цитокини, секретирани от активирани антиген</w:t>
      </w:r>
      <w:r>
        <w:rPr>
          <w:iCs/>
        </w:rPr>
        <w:noBreakHyphen/>
        <w:t xml:space="preserve">представящи клетки, например макрофаги и дендритни клетки </w:t>
      </w:r>
      <w:r>
        <w:rPr>
          <w:szCs w:val="22"/>
        </w:rPr>
        <w:t xml:space="preserve">и двата цитокина участват в имунните функции; IL-12 стимулира естествените клетки убийци (NK) и предизвиква диференциацията на CD4 + Т клетките към Т 1 хелперен (Th1) фенотип, IL-23 индуцира пътя на Т 17 хелперите (Th17). </w:t>
      </w:r>
      <w:r>
        <w:rPr>
          <w:iCs/>
          <w:szCs w:val="22"/>
        </w:rPr>
        <w:t>Абнормната регулация на IL-12 и IL-23 обаче се свързва с имунномедиирани заболявания като псориазис,</w:t>
      </w:r>
      <w:r>
        <w:rPr>
          <w:szCs w:val="22"/>
        </w:rPr>
        <w:t xml:space="preserve"> псориатичен артрит, болест на </w:t>
      </w:r>
      <w:r>
        <w:rPr>
          <w:szCs w:val="22"/>
          <w:lang w:val="en-GB"/>
        </w:rPr>
        <w:t>Crohn</w:t>
      </w:r>
      <w:r>
        <w:rPr>
          <w:szCs w:val="22"/>
        </w:rPr>
        <w:t xml:space="preserve"> и </w:t>
      </w:r>
      <w:r>
        <w:t>улцерозен колит</w:t>
      </w:r>
      <w:r>
        <w:rPr>
          <w:szCs w:val="22"/>
        </w:rPr>
        <w:t>.</w:t>
      </w:r>
    </w:p>
    <w:p w14:paraId="109ACF35" w14:textId="77777777" w:rsidR="009B3384" w:rsidRDefault="009B3384">
      <w:pPr>
        <w:rPr>
          <w:szCs w:val="22"/>
        </w:rPr>
      </w:pPr>
    </w:p>
    <w:p w14:paraId="109ACF36" w14:textId="77777777" w:rsidR="009B3384" w:rsidRDefault="00800862">
      <w:pPr>
        <w:rPr>
          <w:iCs/>
        </w:rPr>
      </w:pPr>
      <w:r>
        <w:rPr>
          <w:iCs/>
        </w:rPr>
        <w:t xml:space="preserve">Чрез свързване на общата субединица р40 на IL-12 и IL-23, устекинумаб може да оказва своите клинични ефекти при псориазис, псориатичен артрит, болест на </w:t>
      </w:r>
      <w:r>
        <w:rPr>
          <w:iCs/>
          <w:lang w:val="en-GB"/>
        </w:rPr>
        <w:t>Crohn</w:t>
      </w:r>
      <w:r>
        <w:rPr>
          <w:iCs/>
        </w:rPr>
        <w:t xml:space="preserve"> </w:t>
      </w:r>
      <w:r>
        <w:rPr>
          <w:szCs w:val="22"/>
        </w:rPr>
        <w:t xml:space="preserve">и </w:t>
      </w:r>
      <w:r>
        <w:t>улцерозен колит</w:t>
      </w:r>
      <w:r>
        <w:rPr>
          <w:iCs/>
        </w:rPr>
        <w:t xml:space="preserve"> чрез прекъсване на пътищата на Th1 и Th17 цитокини, които са в основата на патологията на тези заболявания.</w:t>
      </w:r>
    </w:p>
    <w:p w14:paraId="109ACF37" w14:textId="77777777" w:rsidR="009B3384" w:rsidRDefault="009B3384"/>
    <w:p w14:paraId="109ACF38" w14:textId="77777777" w:rsidR="009B3384" w:rsidRDefault="00800862">
      <w:r>
        <w:rPr>
          <w:bCs/>
        </w:rPr>
        <w:t>При пациенти с болест на Crohn лечението с устекинумаб води до намаление на възпалителните маркери, включително C-реактивен протеин (CRP) и фекален калпротектин по време на индукционната фаза, което след това се поддържа през цялата поддържаща фаза</w:t>
      </w:r>
      <w:r>
        <w:t>. CRP е оценен по време на продължението на проучването и намаленията, наблюдавани по време на поддържащата фаза, обикновено се запазват до 252 седмица.</w:t>
      </w:r>
    </w:p>
    <w:p w14:paraId="109ACF39" w14:textId="77777777" w:rsidR="009B3384" w:rsidRDefault="009B3384"/>
    <w:p w14:paraId="109ACF3A" w14:textId="77777777" w:rsidR="009B3384" w:rsidRDefault="00800862">
      <w:r>
        <w:t>При пациенти с улцерозен колит лечението с устекинумаб води до намаление на възпалителните маркери, включително CRP и фекален калпротектин по време на индукционната фаза, което се поддържа през цялата поддържаща фаза и продължението на проучването до седмица 200.</w:t>
      </w:r>
    </w:p>
    <w:p w14:paraId="109ACF3B" w14:textId="77777777" w:rsidR="009B3384" w:rsidRDefault="009B3384"/>
    <w:p w14:paraId="109ACF3C" w14:textId="77777777" w:rsidR="009B3384" w:rsidRDefault="00800862">
      <w:pPr>
        <w:keepNext/>
        <w:widowControl w:val="0"/>
        <w:rPr>
          <w:iCs/>
          <w:u w:val="single"/>
        </w:rPr>
      </w:pPr>
      <w:r>
        <w:rPr>
          <w:iCs/>
          <w:u w:val="single"/>
        </w:rPr>
        <w:t>Имунизации</w:t>
      </w:r>
    </w:p>
    <w:p w14:paraId="109ACF3D" w14:textId="77777777" w:rsidR="009B3384" w:rsidRDefault="00800862">
      <w:r>
        <w:t xml:space="preserve">По време на дългосрочното продължение на </w:t>
      </w:r>
      <w:r>
        <w:rPr>
          <w:iCs/>
        </w:rPr>
        <w:t>проучване при псориазис</w:t>
      </w:r>
      <w:r>
        <w:t> </w:t>
      </w:r>
      <w:r>
        <w:rPr>
          <w:iCs/>
        </w:rPr>
        <w:t>2 (PHOENIX 2), възрастните</w:t>
      </w:r>
      <w:r>
        <w:t xml:space="preserve"> пациенти, лекувани със STELARA за най-малко 3,5 години, са дали антитяло-отговори на пневмококови полизахаридни ваксини и ваксини срещу тетанус, сходни с тези при контролната група пациенти, получаващи несистемно лечение на псориазис. Сходен процент от възрастните пациенти, лекувани със STELARA и тези в контролната група, са развили защитни нива на антипневмококови и антитетанични антитела, и титрите на антителата им са сходни.</w:t>
      </w:r>
    </w:p>
    <w:p w14:paraId="109ACF3E" w14:textId="77777777" w:rsidR="009B3384" w:rsidRDefault="009B3384"/>
    <w:p w14:paraId="109ACF3F" w14:textId="77777777" w:rsidR="009B3384" w:rsidRDefault="00800862">
      <w:pPr>
        <w:keepNext/>
        <w:rPr>
          <w:u w:val="single"/>
        </w:rPr>
      </w:pPr>
      <w:r>
        <w:rPr>
          <w:u w:val="single"/>
        </w:rPr>
        <w:t>Клинична ефикасност</w:t>
      </w:r>
    </w:p>
    <w:p w14:paraId="109ACF40" w14:textId="77777777" w:rsidR="009B3384" w:rsidRDefault="009B3384">
      <w:pPr>
        <w:keepNext/>
      </w:pPr>
    </w:p>
    <w:p w14:paraId="109ACF41" w14:textId="77777777" w:rsidR="009B3384" w:rsidRPr="00BC6A43" w:rsidRDefault="00800862">
      <w:pPr>
        <w:keepNext/>
        <w:rPr>
          <w:i/>
          <w:iCs/>
          <w:u w:val="single"/>
        </w:rPr>
      </w:pPr>
      <w:r w:rsidRPr="00BC6A43">
        <w:rPr>
          <w:i/>
          <w:iCs/>
          <w:u w:val="single"/>
        </w:rPr>
        <w:t>Плаков псориазис (възрастни пациенти)</w:t>
      </w:r>
    </w:p>
    <w:p w14:paraId="109ACF42" w14:textId="77777777" w:rsidR="009B3384" w:rsidRDefault="00800862">
      <w:pPr>
        <w:rPr>
          <w:iCs/>
        </w:rPr>
      </w:pPr>
      <w:r>
        <w:rPr>
          <w:iCs/>
        </w:rPr>
        <w:t xml:space="preserve">Безопасността и ефикасността на устекинумаб са оценени при 1 996 пациенти в две рандомизирани, двойно-слепи, плацебо контролирани проучвания при пациенти с умерен до тежък плаков псориазис, кандидати за фототерапия или системна терапия. </w:t>
      </w:r>
      <w:r>
        <w:t>Освен това в едно рандомизирано, активно контролирано проучване със заслепен оценител е сравнено действието на устекинумаб и етанерцепт при пациенти с умерен до тежък плаков псориазис, които не са се повлияли, проявили са непоносимост или са имали противопоказание към циклоспорин, МТХ или ПУВА терапия.</w:t>
      </w:r>
    </w:p>
    <w:p w14:paraId="109ACF43" w14:textId="77777777" w:rsidR="009B3384" w:rsidRDefault="009B3384">
      <w:pPr>
        <w:rPr>
          <w:iCs/>
        </w:rPr>
      </w:pPr>
    </w:p>
    <w:p w14:paraId="109ACF44" w14:textId="77777777" w:rsidR="009B3384" w:rsidRDefault="00800862">
      <w:pPr>
        <w:rPr>
          <w:iCs/>
        </w:rPr>
      </w:pPr>
      <w:r>
        <w:rPr>
          <w:iCs/>
        </w:rPr>
        <w:t xml:space="preserve">В проучване при псориазис 1 (PHOENIX 1) са оценени 766 пациенти. 53% от тях не са се повлияли, проявили са непоносимост или са имали противопоказание към друга системна терапия. Пациентите, рандомизирани за лечение с устекинумаб, са приели дози от 45 mg или 90 mg в седмици 0 и 4 и са продължили да приемат същата доза на всеки 12 седмици. Пациентите, рандомизирани за лечение с плацебо в седмици 0 и 4, са преминали към лечение с устекинумаб (45 mg или 90 mg) в седмици 12 и 16, след което са продължили да приемат </w:t>
      </w:r>
      <w:r>
        <w:rPr>
          <w:iCs/>
        </w:rPr>
        <w:lastRenderedPageBreak/>
        <w:t xml:space="preserve">същата доза на всеки 12 седмици. Пациенти, първоначално рандомизирани за лечение с устекинумаб, които са достигнали ниво на повлияване 75 по </w:t>
      </w:r>
      <w:r>
        <w:t xml:space="preserve">индекса за област и тежест на псориазис (PASI) </w:t>
      </w:r>
      <w:r>
        <w:rPr>
          <w:iCs/>
        </w:rPr>
        <w:t>(подобрение по PASI от минимум 75% в сравнение с изходните стойности) в седмици 28 и 40, са повторно рандомизирани за лечение с устекинумаб на всеки 12 седмици или с плацебо (т.е. оттегляне от терапията). Пациентите, повторно рандомизирани за лечение с плацебо в седмица 40, са възобновили терапията със STELARA в първоначалната си схема на дозиране, след като подобрението им по PASI в седмица 40 е намаляло с минимум 50%. Всички пациенти са проследени за период до 76 седмици след първото приложение на изследваното лечение.</w:t>
      </w:r>
    </w:p>
    <w:p w14:paraId="109ACF45" w14:textId="77777777" w:rsidR="009B3384" w:rsidRDefault="009B3384">
      <w:pPr>
        <w:rPr>
          <w:iCs/>
        </w:rPr>
      </w:pPr>
    </w:p>
    <w:p w14:paraId="109ACF46" w14:textId="77777777" w:rsidR="009B3384" w:rsidRDefault="00800862">
      <w:pPr>
        <w:rPr>
          <w:iCs/>
        </w:rPr>
      </w:pPr>
      <w:r>
        <w:rPr>
          <w:iCs/>
        </w:rPr>
        <w:t>В проучване при псориазис 2 (PHOENIX 2) са оценени 1 230 пациенти. 61% от тях не са се повлияли, проявили са непоносимост или са имали противопоказание към друга системна терапия. Пациентите, рандомизирани за лечение с устекинумаб, са приели дози от 45 mg или 90 mg в седмици 0 и 4, последвани от допълнителна доза в седмица 16. Пациентите, рандомизирани за лечение с плацебо в седмици 0 и 4, са преминали към лечение с устекинумаб (45 mg или 90 mg) в седмици 12 и 16. Всички пациенти са проследени за период до 52 седмици след първото приложение на изследваното лечение.</w:t>
      </w:r>
    </w:p>
    <w:p w14:paraId="109ACF47" w14:textId="77777777" w:rsidR="009B3384" w:rsidRDefault="009B3384">
      <w:pPr>
        <w:rPr>
          <w:iCs/>
        </w:rPr>
      </w:pPr>
    </w:p>
    <w:p w14:paraId="109ACF48" w14:textId="77777777" w:rsidR="009B3384" w:rsidRDefault="00800862">
      <w:r>
        <w:t>В проучване при псориазис 3 (ACCEPT) са оценени 903 пациенти с умерен до тежък псориазис, които не са се повлияли, проявили са непоносимост или са имали противопоказание към друга системна терапия. Сравнена е ефикасността на устекинумаб с тази на етанерцепт и е оценена безопасността на устекинумаб и етанерцепт. По време на 12-седмичната активно контролирана част от проучването пациентите са рандомизирани да приемат етанерцепт (50 mg два пъти седмично), устекинумаб 45 mg в седмици 0 и 4 или устекинумаб 90 mg в седмици 0 и 4.</w:t>
      </w:r>
    </w:p>
    <w:p w14:paraId="109ACF49" w14:textId="77777777" w:rsidR="009B3384" w:rsidRDefault="009B3384">
      <w:pPr>
        <w:rPr>
          <w:iCs/>
        </w:rPr>
      </w:pPr>
    </w:p>
    <w:p w14:paraId="109ACF4A" w14:textId="77777777" w:rsidR="009B3384" w:rsidRDefault="00800862">
      <w:pPr>
        <w:rPr>
          <w:iCs/>
        </w:rPr>
      </w:pPr>
      <w:r>
        <w:rPr>
          <w:iCs/>
        </w:rPr>
        <w:t>Изходните характеристики на заболяването са принципно последователни във всички групи на лечение в проучване при псориазис 1 и 2 с медиана на PASI скора на изходно ниво от 17 до 18, с медиана на телесна повърхност (BSA) на изходно ниво ≥</w:t>
      </w:r>
      <w:r>
        <w:rPr>
          <w:iCs/>
          <w:lang w:val="en-GB"/>
        </w:rPr>
        <w:t> </w:t>
      </w:r>
      <w:r>
        <w:rPr>
          <w:iCs/>
        </w:rPr>
        <w:t>20 и с медиана на дерматологичен индекс за качество на живот (DLQI) в границите от 10 до 12. Близо една трета (проучване при псориазис 1) и една четвърт (проучване при псориазис 2) от пациентите имат псориатичен артрит (PsA). Подобна тежест на заболяването се наблюдава и при проучване при псориазис 3.</w:t>
      </w:r>
    </w:p>
    <w:p w14:paraId="109ACF4B" w14:textId="77777777" w:rsidR="009B3384" w:rsidRDefault="009B3384">
      <w:pPr>
        <w:rPr>
          <w:iCs/>
        </w:rPr>
      </w:pPr>
    </w:p>
    <w:p w14:paraId="109ACF4C" w14:textId="6EEBC4F3" w:rsidR="009B3384" w:rsidRDefault="00800862">
      <w:pPr>
        <w:rPr>
          <w:iCs/>
        </w:rPr>
      </w:pPr>
      <w:r>
        <w:rPr>
          <w:iCs/>
        </w:rPr>
        <w:t xml:space="preserve">Първичната крайна точка в тези проучвания е съотношението на пациентите, достигнали ниво на повлияване по PASI 75 спрямо изходните стойности в седмица 12 (вж. таблици </w:t>
      </w:r>
      <w:r w:rsidRPr="00BC6A43">
        <w:rPr>
          <w:iCs/>
        </w:rPr>
        <w:t>5</w:t>
      </w:r>
      <w:r>
        <w:rPr>
          <w:iCs/>
        </w:rPr>
        <w:t xml:space="preserve"> и </w:t>
      </w:r>
      <w:r w:rsidRPr="00BC6A43">
        <w:rPr>
          <w:iCs/>
        </w:rPr>
        <w:t>6</w:t>
      </w:r>
      <w:r>
        <w:rPr>
          <w:iCs/>
        </w:rPr>
        <w:t>).</w:t>
      </w:r>
    </w:p>
    <w:p w14:paraId="109ACF4D" w14:textId="77777777" w:rsidR="009B3384" w:rsidRDefault="009B3384">
      <w:pPr>
        <w:rPr>
          <w:iCs/>
        </w:rPr>
      </w:pPr>
    </w:p>
    <w:p w14:paraId="109ACF4E" w14:textId="3B5716F3" w:rsidR="009B3384" w:rsidRDefault="00800862">
      <w:pPr>
        <w:keepNext/>
        <w:ind w:left="1134" w:hanging="1134"/>
        <w:rPr>
          <w:i/>
          <w:iCs/>
        </w:rPr>
      </w:pPr>
      <w:r>
        <w:rPr>
          <w:i/>
          <w:iCs/>
        </w:rPr>
        <w:t>Таблица </w:t>
      </w:r>
      <w:r w:rsidRPr="00BC6A43">
        <w:rPr>
          <w:i/>
          <w:iCs/>
        </w:rPr>
        <w:t>5</w:t>
      </w:r>
      <w:ins w:id="950" w:author="RABG09" w:date="2026-06-24T15:59:00Z">
        <w:r w:rsidR="00C949CD">
          <w:rPr>
            <w:i/>
            <w:iCs/>
          </w:rPr>
          <w:t>:</w:t>
        </w:r>
      </w:ins>
      <w:del w:id="951" w:author="RABG09" w:date="2026-06-24T15:59:00Z">
        <w:r w:rsidDel="00C949CD">
          <w:rPr>
            <w:i/>
            <w:iCs/>
          </w:rPr>
          <w:delText>.</w:delText>
        </w:r>
      </w:del>
      <w:r>
        <w:rPr>
          <w:i/>
          <w:iCs/>
        </w:rPr>
        <w:tab/>
        <w:t>Обобщение на клиничното повлияване в проучване при псориазис 1 (PHOENIX 1) и проучване при псориазис 2 (PHOENIX 2)</w:t>
      </w:r>
    </w:p>
    <w:tbl>
      <w:tblPr>
        <w:tblW w:w="9072" w:type="dxa"/>
        <w:jc w:val="center"/>
        <w:tblLayout w:type="fixed"/>
        <w:tblLook w:val="0000" w:firstRow="0" w:lastRow="0" w:firstColumn="0" w:lastColumn="0" w:noHBand="0" w:noVBand="0"/>
      </w:tblPr>
      <w:tblGrid>
        <w:gridCol w:w="2118"/>
        <w:gridCol w:w="1391"/>
        <w:gridCol w:w="1390"/>
        <w:gridCol w:w="1284"/>
        <w:gridCol w:w="1499"/>
        <w:gridCol w:w="1390"/>
      </w:tblGrid>
      <w:tr w:rsidR="009B3384" w14:paraId="109ACF54"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4F" w14:textId="77777777" w:rsidR="009B3384" w:rsidRDefault="009B3384">
            <w:pPr>
              <w:keepNext/>
              <w:widowControl w:val="0"/>
            </w:pPr>
          </w:p>
        </w:tc>
        <w:tc>
          <w:tcPr>
            <w:tcW w:w="4065" w:type="dxa"/>
            <w:gridSpan w:val="3"/>
            <w:tcBorders>
              <w:top w:val="single" w:sz="4" w:space="0" w:color="000000"/>
              <w:left w:val="single" w:sz="4" w:space="0" w:color="000000"/>
              <w:bottom w:val="single" w:sz="4" w:space="0" w:color="000000"/>
              <w:right w:val="single" w:sz="4" w:space="0" w:color="000000"/>
            </w:tcBorders>
          </w:tcPr>
          <w:p w14:paraId="109ACF50" w14:textId="77777777" w:rsidR="009B3384" w:rsidRDefault="00800862">
            <w:pPr>
              <w:keepNext/>
              <w:widowControl w:val="0"/>
              <w:jc w:val="center"/>
              <w:rPr>
                <w:iCs/>
              </w:rPr>
            </w:pPr>
            <w:r>
              <w:rPr>
                <w:iCs/>
              </w:rPr>
              <w:t>Седмица 12</w:t>
            </w:r>
          </w:p>
          <w:p w14:paraId="109ACF51" w14:textId="77777777" w:rsidR="009B3384" w:rsidRDefault="00800862">
            <w:pPr>
              <w:keepNext/>
              <w:widowControl w:val="0"/>
              <w:jc w:val="center"/>
              <w:rPr>
                <w:iCs/>
              </w:rPr>
            </w:pPr>
            <w:r>
              <w:rPr>
                <w:iCs/>
              </w:rPr>
              <w:t>2 дози (седмица 0 и седмица 4)</w:t>
            </w:r>
          </w:p>
        </w:tc>
        <w:tc>
          <w:tcPr>
            <w:tcW w:w="2889" w:type="dxa"/>
            <w:gridSpan w:val="2"/>
            <w:tcBorders>
              <w:top w:val="single" w:sz="4" w:space="0" w:color="000000"/>
              <w:left w:val="single" w:sz="4" w:space="0" w:color="000000"/>
              <w:bottom w:val="single" w:sz="4" w:space="0" w:color="000000"/>
              <w:right w:val="single" w:sz="4" w:space="0" w:color="000000"/>
            </w:tcBorders>
          </w:tcPr>
          <w:p w14:paraId="109ACF52" w14:textId="77777777" w:rsidR="009B3384" w:rsidRDefault="00800862">
            <w:pPr>
              <w:keepNext/>
              <w:widowControl w:val="0"/>
              <w:jc w:val="center"/>
              <w:rPr>
                <w:iCs/>
              </w:rPr>
            </w:pPr>
            <w:r>
              <w:rPr>
                <w:iCs/>
              </w:rPr>
              <w:t>Седмица 28</w:t>
            </w:r>
          </w:p>
          <w:p w14:paraId="109ACF53" w14:textId="77777777" w:rsidR="009B3384" w:rsidRDefault="00800862">
            <w:pPr>
              <w:keepNext/>
              <w:widowControl w:val="0"/>
              <w:jc w:val="center"/>
              <w:rPr>
                <w:iCs/>
              </w:rPr>
            </w:pPr>
            <w:r>
              <w:rPr>
                <w:iCs/>
              </w:rPr>
              <w:t>3 дози (седмица 0, седмица 4 и седмица 16)</w:t>
            </w:r>
          </w:p>
        </w:tc>
      </w:tr>
      <w:tr w:rsidR="009B3384" w14:paraId="109ACF5B"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55" w14:textId="77777777" w:rsidR="009B3384" w:rsidRDefault="009B3384">
            <w:pPr>
              <w:keepNext/>
              <w:widowControl w:val="0"/>
            </w:pPr>
          </w:p>
        </w:tc>
        <w:tc>
          <w:tcPr>
            <w:tcW w:w="1391" w:type="dxa"/>
            <w:tcBorders>
              <w:top w:val="single" w:sz="4" w:space="0" w:color="000000"/>
              <w:left w:val="single" w:sz="4" w:space="0" w:color="000000"/>
              <w:bottom w:val="single" w:sz="4" w:space="0" w:color="000000"/>
              <w:right w:val="single" w:sz="4" w:space="0" w:color="000000"/>
            </w:tcBorders>
          </w:tcPr>
          <w:p w14:paraId="109ACF56" w14:textId="77777777" w:rsidR="009B3384" w:rsidRDefault="00800862">
            <w:pPr>
              <w:keepNext/>
              <w:widowControl w:val="0"/>
              <w:jc w:val="center"/>
              <w:rPr>
                <w:iCs/>
              </w:rPr>
            </w:pPr>
            <w:r>
              <w:rPr>
                <w:iCs/>
              </w:rPr>
              <w:t>Плацебо</w:t>
            </w:r>
          </w:p>
        </w:tc>
        <w:tc>
          <w:tcPr>
            <w:tcW w:w="1390" w:type="dxa"/>
            <w:tcBorders>
              <w:top w:val="single" w:sz="4" w:space="0" w:color="000000"/>
              <w:left w:val="single" w:sz="4" w:space="0" w:color="000000"/>
              <w:bottom w:val="single" w:sz="4" w:space="0" w:color="000000"/>
              <w:right w:val="single" w:sz="4" w:space="0" w:color="000000"/>
            </w:tcBorders>
          </w:tcPr>
          <w:p w14:paraId="109ACF57" w14:textId="77777777" w:rsidR="009B3384" w:rsidRDefault="00800862">
            <w:pPr>
              <w:keepNext/>
              <w:widowControl w:val="0"/>
              <w:jc w:val="center"/>
              <w:rPr>
                <w:iCs/>
              </w:rPr>
            </w:pPr>
            <w:r>
              <w:rPr>
                <w:iCs/>
              </w:rPr>
              <w:t>45 mg</w:t>
            </w:r>
          </w:p>
        </w:tc>
        <w:tc>
          <w:tcPr>
            <w:tcW w:w="1284" w:type="dxa"/>
            <w:tcBorders>
              <w:top w:val="single" w:sz="4" w:space="0" w:color="000000"/>
              <w:left w:val="single" w:sz="4" w:space="0" w:color="000000"/>
              <w:bottom w:val="single" w:sz="4" w:space="0" w:color="000000"/>
              <w:right w:val="single" w:sz="4" w:space="0" w:color="000000"/>
            </w:tcBorders>
          </w:tcPr>
          <w:p w14:paraId="109ACF58" w14:textId="77777777" w:rsidR="009B3384" w:rsidRDefault="00800862">
            <w:pPr>
              <w:keepNext/>
              <w:widowControl w:val="0"/>
              <w:jc w:val="center"/>
              <w:rPr>
                <w:iCs/>
              </w:rPr>
            </w:pPr>
            <w:r>
              <w:rPr>
                <w:iCs/>
              </w:rPr>
              <w:t>90 mg</w:t>
            </w:r>
          </w:p>
        </w:tc>
        <w:tc>
          <w:tcPr>
            <w:tcW w:w="1499" w:type="dxa"/>
            <w:tcBorders>
              <w:top w:val="single" w:sz="4" w:space="0" w:color="000000"/>
              <w:left w:val="single" w:sz="4" w:space="0" w:color="000000"/>
              <w:bottom w:val="single" w:sz="4" w:space="0" w:color="000000"/>
              <w:right w:val="single" w:sz="4" w:space="0" w:color="000000"/>
            </w:tcBorders>
          </w:tcPr>
          <w:p w14:paraId="109ACF59" w14:textId="77777777" w:rsidR="009B3384" w:rsidRDefault="00800862">
            <w:pPr>
              <w:keepNext/>
              <w:widowControl w:val="0"/>
              <w:jc w:val="center"/>
              <w:rPr>
                <w:iCs/>
              </w:rPr>
            </w:pPr>
            <w:r>
              <w:rPr>
                <w:iCs/>
              </w:rPr>
              <w:t>45 mg</w:t>
            </w:r>
          </w:p>
        </w:tc>
        <w:tc>
          <w:tcPr>
            <w:tcW w:w="1390" w:type="dxa"/>
            <w:tcBorders>
              <w:top w:val="single" w:sz="4" w:space="0" w:color="000000"/>
              <w:left w:val="single" w:sz="4" w:space="0" w:color="000000"/>
              <w:bottom w:val="single" w:sz="4" w:space="0" w:color="000000"/>
              <w:right w:val="single" w:sz="4" w:space="0" w:color="000000"/>
            </w:tcBorders>
          </w:tcPr>
          <w:p w14:paraId="109ACF5A" w14:textId="77777777" w:rsidR="009B3384" w:rsidRDefault="00800862">
            <w:pPr>
              <w:keepNext/>
              <w:widowControl w:val="0"/>
              <w:jc w:val="center"/>
              <w:rPr>
                <w:iCs/>
              </w:rPr>
            </w:pPr>
            <w:r>
              <w:rPr>
                <w:iCs/>
              </w:rPr>
              <w:t>90 mg</w:t>
            </w:r>
          </w:p>
        </w:tc>
      </w:tr>
      <w:tr w:rsidR="009B3384" w14:paraId="109ACF62"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5C" w14:textId="77777777" w:rsidR="009B3384" w:rsidRDefault="00800862">
            <w:pPr>
              <w:keepNext/>
              <w:widowControl w:val="0"/>
              <w:rPr>
                <w:b/>
                <w:bCs/>
                <w:iCs/>
              </w:rPr>
            </w:pPr>
            <w:r>
              <w:rPr>
                <w:b/>
                <w:bCs/>
                <w:iCs/>
              </w:rPr>
              <w:t>Проучване при псориазис 1</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5D"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CF5E" w14:textId="77777777" w:rsidR="009B3384" w:rsidRDefault="009B3384">
            <w:pPr>
              <w:keepNext/>
              <w:widowControl w:val="0"/>
              <w:jc w:val="center"/>
              <w:rPr>
                <w:iCs/>
              </w:rPr>
            </w:pPr>
          </w:p>
        </w:tc>
        <w:tc>
          <w:tcPr>
            <w:tcW w:w="1284" w:type="dxa"/>
            <w:tcBorders>
              <w:top w:val="single" w:sz="4" w:space="0" w:color="000000"/>
              <w:left w:val="single" w:sz="4" w:space="0" w:color="000000"/>
              <w:bottom w:val="single" w:sz="4" w:space="0" w:color="000000"/>
              <w:right w:val="single" w:sz="4" w:space="0" w:color="000000"/>
            </w:tcBorders>
            <w:vAlign w:val="center"/>
          </w:tcPr>
          <w:p w14:paraId="109ACF5F" w14:textId="77777777" w:rsidR="009B3384" w:rsidRDefault="009B3384">
            <w:pPr>
              <w:keepNext/>
              <w:widowControl w:val="0"/>
              <w:jc w:val="center"/>
              <w:rPr>
                <w:iCs/>
              </w:rPr>
            </w:pPr>
          </w:p>
        </w:tc>
        <w:tc>
          <w:tcPr>
            <w:tcW w:w="1499" w:type="dxa"/>
            <w:tcBorders>
              <w:top w:val="single" w:sz="4" w:space="0" w:color="000000"/>
              <w:left w:val="single" w:sz="4" w:space="0" w:color="000000"/>
              <w:bottom w:val="single" w:sz="4" w:space="0" w:color="000000"/>
              <w:right w:val="single" w:sz="4" w:space="0" w:color="000000"/>
            </w:tcBorders>
            <w:vAlign w:val="center"/>
          </w:tcPr>
          <w:p w14:paraId="109ACF60"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CF61" w14:textId="77777777" w:rsidR="009B3384" w:rsidRDefault="009B3384">
            <w:pPr>
              <w:keepNext/>
              <w:widowControl w:val="0"/>
              <w:jc w:val="center"/>
              <w:rPr>
                <w:iCs/>
              </w:rPr>
            </w:pPr>
          </w:p>
        </w:tc>
      </w:tr>
      <w:tr w:rsidR="009B3384" w14:paraId="109ACF69"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63" w14:textId="77777777" w:rsidR="009B3384" w:rsidRDefault="00800862">
            <w:pPr>
              <w:widowControl w:val="0"/>
              <w:rPr>
                <w:iCs/>
              </w:rPr>
            </w:pPr>
            <w:r>
              <w:t>Брой рандомизирани пациенти</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64" w14:textId="77777777" w:rsidR="009B3384" w:rsidRDefault="00800862">
            <w:pPr>
              <w:widowControl w:val="0"/>
              <w:jc w:val="center"/>
              <w:rPr>
                <w:iCs/>
              </w:rPr>
            </w:pPr>
            <w:r>
              <w:t>255</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65" w14:textId="77777777" w:rsidR="009B3384" w:rsidRDefault="00800862">
            <w:pPr>
              <w:widowControl w:val="0"/>
              <w:jc w:val="center"/>
              <w:rPr>
                <w:iCs/>
              </w:rPr>
            </w:pPr>
            <w:r>
              <w:t>255</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66" w14:textId="77777777" w:rsidR="009B3384" w:rsidRDefault="00800862">
            <w:pPr>
              <w:widowControl w:val="0"/>
              <w:jc w:val="center"/>
              <w:rPr>
                <w:iCs/>
              </w:rPr>
            </w:pPr>
            <w:r>
              <w:t>256</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67" w14:textId="77777777" w:rsidR="009B3384" w:rsidRDefault="00800862">
            <w:pPr>
              <w:widowControl w:val="0"/>
              <w:jc w:val="center"/>
              <w:rPr>
                <w:iCs/>
              </w:rPr>
            </w:pPr>
            <w:r>
              <w:t>250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68" w14:textId="77777777" w:rsidR="009B3384" w:rsidRDefault="00800862">
            <w:pPr>
              <w:widowControl w:val="0"/>
              <w:jc w:val="center"/>
              <w:rPr>
                <w:iCs/>
              </w:rPr>
            </w:pPr>
            <w:r>
              <w:t>243</w:t>
            </w:r>
          </w:p>
        </w:tc>
      </w:tr>
      <w:tr w:rsidR="009B3384" w14:paraId="109ACF70"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CF6A" w14:textId="77777777" w:rsidR="009B3384" w:rsidRDefault="00800862">
            <w:pPr>
              <w:widowControl w:val="0"/>
              <w:rPr>
                <w:iCs/>
              </w:rPr>
            </w:pPr>
            <w:r>
              <w:t xml:space="preserve">Повлияване по PASI 50,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6B" w14:textId="77777777" w:rsidR="009B3384" w:rsidRDefault="00800862">
            <w:pPr>
              <w:widowControl w:val="0"/>
              <w:jc w:val="center"/>
              <w:rPr>
                <w:iCs/>
              </w:rPr>
            </w:pPr>
            <w:r>
              <w:t>26 (10%)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6C" w14:textId="77777777" w:rsidR="009B3384" w:rsidRDefault="00800862">
            <w:pPr>
              <w:widowControl w:val="0"/>
              <w:jc w:val="center"/>
              <w:rPr>
                <w:iCs/>
              </w:rPr>
            </w:pPr>
            <w:r>
              <w:t>213 (84%)</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6D" w14:textId="77777777" w:rsidR="009B3384" w:rsidRDefault="00800862">
            <w:pPr>
              <w:widowControl w:val="0"/>
              <w:jc w:val="center"/>
              <w:rPr>
                <w:iCs/>
              </w:rPr>
            </w:pPr>
            <w:r>
              <w:t>220 (86%)</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6E" w14:textId="77777777" w:rsidR="009B3384" w:rsidRDefault="00800862">
            <w:pPr>
              <w:widowControl w:val="0"/>
              <w:jc w:val="center"/>
              <w:rPr>
                <w:iCs/>
              </w:rPr>
            </w:pPr>
            <w:r>
              <w:t>228 (91%)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6F" w14:textId="77777777" w:rsidR="009B3384" w:rsidRDefault="00800862">
            <w:pPr>
              <w:widowControl w:val="0"/>
              <w:jc w:val="center"/>
              <w:rPr>
                <w:iCs/>
              </w:rPr>
            </w:pPr>
            <w:r>
              <w:t>234 (96%)</w:t>
            </w:r>
          </w:p>
        </w:tc>
      </w:tr>
      <w:tr w:rsidR="009B3384" w14:paraId="109ACF77"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CF71" w14:textId="77777777" w:rsidR="009B3384" w:rsidRDefault="00800862">
            <w:pPr>
              <w:widowControl w:val="0"/>
              <w:rPr>
                <w:iCs/>
              </w:rPr>
            </w:pPr>
            <w:r>
              <w:t xml:space="preserve">Повлияване по PASI 75,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72" w14:textId="77777777" w:rsidR="009B3384" w:rsidRDefault="00800862">
            <w:pPr>
              <w:widowControl w:val="0"/>
              <w:jc w:val="center"/>
              <w:rPr>
                <w:iCs/>
              </w:rPr>
            </w:pPr>
            <w:r>
              <w:t>8 (3%)</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73" w14:textId="77777777" w:rsidR="009B3384" w:rsidRDefault="00800862">
            <w:pPr>
              <w:widowControl w:val="0"/>
              <w:jc w:val="center"/>
              <w:rPr>
                <w:iCs/>
              </w:rPr>
            </w:pPr>
            <w:r>
              <w:t>171 (67%)</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74" w14:textId="77777777" w:rsidR="009B3384" w:rsidRDefault="00800862">
            <w:pPr>
              <w:widowControl w:val="0"/>
              <w:jc w:val="center"/>
              <w:rPr>
                <w:iCs/>
              </w:rPr>
            </w:pPr>
            <w:r>
              <w:t>170 (66%)</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75" w14:textId="77777777" w:rsidR="009B3384" w:rsidRDefault="00800862">
            <w:pPr>
              <w:widowControl w:val="0"/>
              <w:jc w:val="center"/>
              <w:rPr>
                <w:iCs/>
              </w:rPr>
            </w:pPr>
            <w:r>
              <w:t>178 (71%)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76" w14:textId="77777777" w:rsidR="009B3384" w:rsidRDefault="00800862">
            <w:pPr>
              <w:widowControl w:val="0"/>
              <w:jc w:val="center"/>
              <w:rPr>
                <w:iCs/>
              </w:rPr>
            </w:pPr>
            <w:r>
              <w:t>191 (79%)</w:t>
            </w:r>
          </w:p>
        </w:tc>
      </w:tr>
      <w:tr w:rsidR="009B3384" w14:paraId="109ACF7E"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78" w14:textId="77777777" w:rsidR="009B3384" w:rsidRDefault="00800862">
            <w:pPr>
              <w:widowControl w:val="0"/>
              <w:rPr>
                <w:iCs/>
              </w:rPr>
            </w:pPr>
            <w:r>
              <w:rPr>
                <w:iCs/>
              </w:rPr>
              <w:t>Повлияване по PASI 90</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79" w14:textId="77777777" w:rsidR="009B3384" w:rsidRDefault="00800862">
            <w:pPr>
              <w:widowControl w:val="0"/>
              <w:jc w:val="center"/>
            </w:pPr>
            <w:r>
              <w:t>5 (2%)</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7A" w14:textId="77777777" w:rsidR="009B3384" w:rsidRDefault="00800862">
            <w:pPr>
              <w:widowControl w:val="0"/>
              <w:jc w:val="center"/>
            </w:pPr>
            <w:r>
              <w:t>106 (42%)</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7B" w14:textId="77777777" w:rsidR="009B3384" w:rsidRDefault="00800862">
            <w:pPr>
              <w:widowControl w:val="0"/>
              <w:jc w:val="center"/>
            </w:pPr>
            <w:r>
              <w:t>94 (37%)</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7C" w14:textId="77777777" w:rsidR="009B3384" w:rsidRDefault="00800862">
            <w:pPr>
              <w:widowControl w:val="0"/>
              <w:jc w:val="center"/>
            </w:pPr>
            <w:r>
              <w:t>123 (49%)</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7D" w14:textId="77777777" w:rsidR="009B3384" w:rsidRDefault="00800862">
            <w:pPr>
              <w:widowControl w:val="0"/>
              <w:jc w:val="center"/>
            </w:pPr>
            <w:r>
              <w:t>135 (56%)</w:t>
            </w:r>
          </w:p>
        </w:tc>
      </w:tr>
      <w:tr w:rsidR="009B3384" w14:paraId="109ACF85"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7F" w14:textId="77777777" w:rsidR="009B3384" w:rsidRDefault="00800862">
            <w:pPr>
              <w:widowControl w:val="0"/>
              <w:rPr>
                <w:iCs/>
              </w:rPr>
            </w:pPr>
            <w:r>
              <w:rPr>
                <w:iCs/>
              </w:rPr>
              <w:t>ООЛ</w:t>
            </w:r>
            <w:r>
              <w:rPr>
                <w:iCs/>
                <w:vertAlign w:val="superscript"/>
              </w:rPr>
              <w:t>б</w:t>
            </w:r>
            <w:r>
              <w:rPr>
                <w:iCs/>
              </w:rPr>
              <w:t xml:space="preserve"> за изчистени или минимални</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80" w14:textId="77777777" w:rsidR="009B3384" w:rsidRDefault="00800862">
            <w:pPr>
              <w:widowControl w:val="0"/>
              <w:jc w:val="center"/>
              <w:rPr>
                <w:iCs/>
              </w:rPr>
            </w:pPr>
            <w:r>
              <w:t>10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81" w14:textId="77777777" w:rsidR="009B3384" w:rsidRDefault="00800862">
            <w:pPr>
              <w:widowControl w:val="0"/>
              <w:jc w:val="center"/>
              <w:rPr>
                <w:iCs/>
              </w:rPr>
            </w:pPr>
            <w:r>
              <w:t>151 (59%)</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82" w14:textId="77777777" w:rsidR="009B3384" w:rsidRDefault="00800862">
            <w:pPr>
              <w:widowControl w:val="0"/>
              <w:jc w:val="center"/>
              <w:rPr>
                <w:iCs/>
              </w:rPr>
            </w:pPr>
            <w:r>
              <w:t>156 (61%)</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83" w14:textId="77777777" w:rsidR="009B3384" w:rsidRDefault="00800862">
            <w:pPr>
              <w:widowControl w:val="0"/>
              <w:jc w:val="center"/>
              <w:rPr>
                <w:iCs/>
              </w:rPr>
            </w:pPr>
            <w:r>
              <w:t>146 (58%)</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84" w14:textId="77777777" w:rsidR="009B3384" w:rsidRDefault="00800862">
            <w:pPr>
              <w:widowControl w:val="0"/>
              <w:jc w:val="center"/>
              <w:rPr>
                <w:iCs/>
              </w:rPr>
            </w:pPr>
            <w:r>
              <w:t>160 (66%)</w:t>
            </w:r>
          </w:p>
        </w:tc>
      </w:tr>
      <w:tr w:rsidR="009B3384" w14:paraId="109ACF8C"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86" w14:textId="77777777" w:rsidR="009B3384" w:rsidRDefault="00800862">
            <w:pPr>
              <w:widowControl w:val="0"/>
              <w:rPr>
                <w:iCs/>
              </w:rPr>
            </w:pPr>
            <w:r>
              <w:rPr>
                <w:iCs/>
              </w:rPr>
              <w:t xml:space="preserve">Брой пациенти </w:t>
            </w:r>
            <w:r>
              <w:t>≤ 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87" w14:textId="77777777" w:rsidR="009B3384" w:rsidRDefault="00800862">
            <w:pPr>
              <w:widowControl w:val="0"/>
              <w:jc w:val="center"/>
              <w:rPr>
                <w:iCs/>
              </w:rPr>
            </w:pPr>
            <w:r>
              <w:rPr>
                <w:iCs/>
              </w:rPr>
              <w:t>166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88" w14:textId="77777777" w:rsidR="009B3384" w:rsidRDefault="00800862">
            <w:pPr>
              <w:widowControl w:val="0"/>
              <w:jc w:val="center"/>
              <w:rPr>
                <w:iCs/>
              </w:rPr>
            </w:pPr>
            <w:r>
              <w:rPr>
                <w:iCs/>
              </w:rPr>
              <w:t>168</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89" w14:textId="77777777" w:rsidR="009B3384" w:rsidRDefault="00800862">
            <w:pPr>
              <w:widowControl w:val="0"/>
              <w:jc w:val="center"/>
              <w:rPr>
                <w:iCs/>
              </w:rPr>
            </w:pPr>
            <w:r>
              <w:rPr>
                <w:iCs/>
              </w:rPr>
              <w:t>164</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8A" w14:textId="77777777" w:rsidR="009B3384" w:rsidRDefault="00800862">
            <w:pPr>
              <w:widowControl w:val="0"/>
              <w:jc w:val="center"/>
              <w:rPr>
                <w:iCs/>
              </w:rPr>
            </w:pPr>
            <w:r>
              <w:rPr>
                <w:iCs/>
              </w:rPr>
              <w:t>164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8B" w14:textId="77777777" w:rsidR="009B3384" w:rsidRDefault="00800862">
            <w:pPr>
              <w:widowControl w:val="0"/>
              <w:jc w:val="center"/>
              <w:rPr>
                <w:iCs/>
              </w:rPr>
            </w:pPr>
            <w:r>
              <w:rPr>
                <w:iCs/>
              </w:rPr>
              <w:t>153</w:t>
            </w:r>
          </w:p>
        </w:tc>
      </w:tr>
      <w:tr w:rsidR="009B3384" w14:paraId="109ACF93"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8D" w14:textId="77777777" w:rsidR="009B3384" w:rsidRDefault="00800862">
            <w:pPr>
              <w:widowControl w:val="0"/>
              <w:ind w:left="284"/>
              <w:rPr>
                <w:iCs/>
              </w:rPr>
            </w:pPr>
            <w:r>
              <w:rPr>
                <w:iCs/>
              </w:rPr>
              <w:lastRenderedPageBreak/>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8E" w14:textId="77777777" w:rsidR="009B3384" w:rsidRDefault="00800862">
            <w:pPr>
              <w:widowControl w:val="0"/>
              <w:jc w:val="center"/>
              <w:rPr>
                <w:iCs/>
              </w:rPr>
            </w:pPr>
            <w:r>
              <w:rPr>
                <w:iCs/>
              </w:rPr>
              <w:t>6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8F" w14:textId="77777777" w:rsidR="009B3384" w:rsidRDefault="00800862">
            <w:pPr>
              <w:widowControl w:val="0"/>
              <w:jc w:val="center"/>
              <w:rPr>
                <w:iCs/>
              </w:rPr>
            </w:pPr>
            <w:r>
              <w:rPr>
                <w:iCs/>
              </w:rPr>
              <w:t>124 (74%)</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90" w14:textId="77777777" w:rsidR="009B3384" w:rsidRDefault="00800862">
            <w:pPr>
              <w:widowControl w:val="0"/>
              <w:jc w:val="center"/>
              <w:rPr>
                <w:iCs/>
              </w:rPr>
            </w:pPr>
            <w:r>
              <w:rPr>
                <w:iCs/>
              </w:rPr>
              <w:t>107 (65%)</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91" w14:textId="77777777" w:rsidR="009B3384" w:rsidRDefault="00800862">
            <w:pPr>
              <w:widowControl w:val="0"/>
              <w:jc w:val="center"/>
              <w:rPr>
                <w:iCs/>
              </w:rPr>
            </w:pPr>
            <w:r>
              <w:rPr>
                <w:iCs/>
              </w:rPr>
              <w:t>130 (79%)</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92" w14:textId="77777777" w:rsidR="009B3384" w:rsidRDefault="00800862">
            <w:pPr>
              <w:widowControl w:val="0"/>
              <w:jc w:val="center"/>
              <w:rPr>
                <w:iCs/>
              </w:rPr>
            </w:pPr>
            <w:r>
              <w:rPr>
                <w:iCs/>
              </w:rPr>
              <w:t>124 (81%)</w:t>
            </w:r>
          </w:p>
        </w:tc>
      </w:tr>
      <w:tr w:rsidR="009B3384" w14:paraId="109ACF9A"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94" w14:textId="77777777" w:rsidR="009B3384" w:rsidRDefault="00800862">
            <w:pPr>
              <w:widowControl w:val="0"/>
              <w:rPr>
                <w:iCs/>
              </w:rPr>
            </w:pPr>
            <w:r>
              <w:rPr>
                <w:iCs/>
              </w:rPr>
              <w:t>Брой пациенти &gt;</w:t>
            </w:r>
            <w:r>
              <w:rPr>
                <w:iCs/>
                <w:lang w:val="nl-BE"/>
              </w:rPr>
              <w:t> </w:t>
            </w:r>
            <w:r>
              <w:t>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95" w14:textId="77777777" w:rsidR="009B3384" w:rsidRDefault="00800862">
            <w:pPr>
              <w:widowControl w:val="0"/>
              <w:jc w:val="center"/>
              <w:rPr>
                <w:iCs/>
              </w:rPr>
            </w:pPr>
            <w:r>
              <w:rPr>
                <w:iCs/>
              </w:rPr>
              <w:t>89</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96" w14:textId="77777777" w:rsidR="009B3384" w:rsidRDefault="00800862">
            <w:pPr>
              <w:widowControl w:val="0"/>
              <w:jc w:val="center"/>
              <w:rPr>
                <w:iCs/>
              </w:rPr>
            </w:pPr>
            <w:r>
              <w:rPr>
                <w:iCs/>
              </w:rPr>
              <w:t>87</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97" w14:textId="77777777" w:rsidR="009B3384" w:rsidRDefault="00800862">
            <w:pPr>
              <w:widowControl w:val="0"/>
              <w:jc w:val="center"/>
              <w:rPr>
                <w:iCs/>
              </w:rPr>
            </w:pPr>
            <w:r>
              <w:rPr>
                <w:iCs/>
              </w:rPr>
              <w:t>92</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98" w14:textId="77777777" w:rsidR="009B3384" w:rsidRDefault="00800862">
            <w:pPr>
              <w:widowControl w:val="0"/>
              <w:jc w:val="center"/>
              <w:rPr>
                <w:iCs/>
              </w:rPr>
            </w:pPr>
            <w:r>
              <w:rPr>
                <w:iCs/>
              </w:rPr>
              <w:t>86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99" w14:textId="77777777" w:rsidR="009B3384" w:rsidRDefault="00800862">
            <w:pPr>
              <w:widowControl w:val="0"/>
              <w:jc w:val="center"/>
              <w:rPr>
                <w:iCs/>
              </w:rPr>
            </w:pPr>
            <w:r>
              <w:rPr>
                <w:iCs/>
              </w:rPr>
              <w:t>90</w:t>
            </w:r>
          </w:p>
        </w:tc>
      </w:tr>
      <w:tr w:rsidR="009B3384" w14:paraId="109ACFA1"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9B"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9C" w14:textId="77777777" w:rsidR="009B3384" w:rsidRDefault="00800862">
            <w:pPr>
              <w:widowControl w:val="0"/>
              <w:jc w:val="center"/>
              <w:rPr>
                <w:iCs/>
              </w:rPr>
            </w:pPr>
            <w:r>
              <w:rPr>
                <w:iCs/>
              </w:rPr>
              <w:t>2 (2%)</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9D" w14:textId="77777777" w:rsidR="009B3384" w:rsidRDefault="00800862">
            <w:pPr>
              <w:widowControl w:val="0"/>
              <w:jc w:val="center"/>
              <w:rPr>
                <w:iCs/>
              </w:rPr>
            </w:pPr>
            <w:r>
              <w:rPr>
                <w:iCs/>
              </w:rPr>
              <w:t>47 (54%)</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9E" w14:textId="77777777" w:rsidR="009B3384" w:rsidRDefault="00800862">
            <w:pPr>
              <w:widowControl w:val="0"/>
              <w:jc w:val="center"/>
              <w:rPr>
                <w:iCs/>
              </w:rPr>
            </w:pPr>
            <w:r>
              <w:rPr>
                <w:iCs/>
              </w:rPr>
              <w:t>63 (68%)</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9F" w14:textId="77777777" w:rsidR="009B3384" w:rsidRDefault="00800862">
            <w:pPr>
              <w:widowControl w:val="0"/>
              <w:jc w:val="center"/>
              <w:rPr>
                <w:iCs/>
              </w:rPr>
            </w:pPr>
            <w:r>
              <w:rPr>
                <w:iCs/>
              </w:rPr>
              <w:t>48 (56%)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A0" w14:textId="77777777" w:rsidR="009B3384" w:rsidRDefault="00800862">
            <w:pPr>
              <w:widowControl w:val="0"/>
              <w:jc w:val="center"/>
              <w:rPr>
                <w:iCs/>
              </w:rPr>
            </w:pPr>
            <w:r>
              <w:rPr>
                <w:iCs/>
              </w:rPr>
              <w:t>67 (74%)</w:t>
            </w:r>
          </w:p>
        </w:tc>
      </w:tr>
      <w:tr w:rsidR="009B3384" w14:paraId="109ACFA8"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A2" w14:textId="77777777" w:rsidR="009B3384" w:rsidRDefault="009B3384">
            <w:pPr>
              <w:widowControl w:val="0"/>
              <w:rPr>
                <w:iCs/>
              </w:rPr>
            </w:pPr>
          </w:p>
        </w:tc>
        <w:tc>
          <w:tcPr>
            <w:tcW w:w="1391" w:type="dxa"/>
            <w:tcBorders>
              <w:top w:val="single" w:sz="4" w:space="0" w:color="000000"/>
              <w:left w:val="single" w:sz="4" w:space="0" w:color="000000"/>
              <w:bottom w:val="single" w:sz="4" w:space="0" w:color="000000"/>
              <w:right w:val="single" w:sz="4" w:space="0" w:color="000000"/>
            </w:tcBorders>
            <w:vAlign w:val="center"/>
          </w:tcPr>
          <w:p w14:paraId="109ACFA3" w14:textId="77777777" w:rsidR="009B3384" w:rsidRDefault="009B3384">
            <w:pPr>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CFA4" w14:textId="77777777" w:rsidR="009B3384" w:rsidRDefault="009B3384">
            <w:pPr>
              <w:widowControl w:val="0"/>
              <w:jc w:val="center"/>
              <w:rPr>
                <w:iCs/>
              </w:rPr>
            </w:pPr>
          </w:p>
        </w:tc>
        <w:tc>
          <w:tcPr>
            <w:tcW w:w="1284" w:type="dxa"/>
            <w:tcBorders>
              <w:top w:val="single" w:sz="4" w:space="0" w:color="000000"/>
              <w:left w:val="single" w:sz="4" w:space="0" w:color="000000"/>
              <w:bottom w:val="single" w:sz="4" w:space="0" w:color="000000"/>
              <w:right w:val="single" w:sz="4" w:space="0" w:color="000000"/>
            </w:tcBorders>
            <w:vAlign w:val="center"/>
          </w:tcPr>
          <w:p w14:paraId="109ACFA5" w14:textId="77777777" w:rsidR="009B3384" w:rsidRDefault="009B3384">
            <w:pPr>
              <w:widowControl w:val="0"/>
              <w:jc w:val="center"/>
              <w:rPr>
                <w:iCs/>
              </w:rPr>
            </w:pPr>
          </w:p>
        </w:tc>
        <w:tc>
          <w:tcPr>
            <w:tcW w:w="1499" w:type="dxa"/>
            <w:tcBorders>
              <w:top w:val="single" w:sz="4" w:space="0" w:color="000000"/>
              <w:left w:val="single" w:sz="4" w:space="0" w:color="000000"/>
              <w:bottom w:val="single" w:sz="4" w:space="0" w:color="000000"/>
              <w:right w:val="single" w:sz="4" w:space="0" w:color="000000"/>
            </w:tcBorders>
            <w:vAlign w:val="center"/>
          </w:tcPr>
          <w:p w14:paraId="109ACFA6" w14:textId="77777777" w:rsidR="009B3384" w:rsidRDefault="009B3384">
            <w:pPr>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CFA7" w14:textId="77777777" w:rsidR="009B3384" w:rsidRDefault="009B3384">
            <w:pPr>
              <w:widowControl w:val="0"/>
              <w:jc w:val="center"/>
              <w:rPr>
                <w:iCs/>
              </w:rPr>
            </w:pPr>
          </w:p>
        </w:tc>
      </w:tr>
      <w:tr w:rsidR="009B3384" w14:paraId="109ACFAF"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A9" w14:textId="77777777" w:rsidR="009B3384" w:rsidRDefault="00800862">
            <w:pPr>
              <w:keepNext/>
              <w:widowControl w:val="0"/>
              <w:rPr>
                <w:b/>
                <w:bCs/>
                <w:iCs/>
              </w:rPr>
            </w:pPr>
            <w:r>
              <w:rPr>
                <w:b/>
                <w:bCs/>
                <w:iCs/>
              </w:rPr>
              <w:t>Проучване при псориазис 2</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AA"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CFAB" w14:textId="77777777" w:rsidR="009B3384" w:rsidRDefault="009B3384">
            <w:pPr>
              <w:keepNext/>
              <w:widowControl w:val="0"/>
              <w:jc w:val="center"/>
              <w:rPr>
                <w:iCs/>
              </w:rPr>
            </w:pPr>
          </w:p>
        </w:tc>
        <w:tc>
          <w:tcPr>
            <w:tcW w:w="1284" w:type="dxa"/>
            <w:tcBorders>
              <w:top w:val="single" w:sz="4" w:space="0" w:color="000000"/>
              <w:left w:val="single" w:sz="4" w:space="0" w:color="000000"/>
              <w:bottom w:val="single" w:sz="4" w:space="0" w:color="000000"/>
              <w:right w:val="single" w:sz="4" w:space="0" w:color="000000"/>
            </w:tcBorders>
            <w:vAlign w:val="center"/>
          </w:tcPr>
          <w:p w14:paraId="109ACFAC" w14:textId="77777777" w:rsidR="009B3384" w:rsidRDefault="009B3384">
            <w:pPr>
              <w:keepNext/>
              <w:widowControl w:val="0"/>
              <w:jc w:val="center"/>
              <w:rPr>
                <w:iCs/>
              </w:rPr>
            </w:pPr>
          </w:p>
        </w:tc>
        <w:tc>
          <w:tcPr>
            <w:tcW w:w="1499" w:type="dxa"/>
            <w:tcBorders>
              <w:top w:val="single" w:sz="4" w:space="0" w:color="000000"/>
              <w:left w:val="single" w:sz="4" w:space="0" w:color="000000"/>
              <w:bottom w:val="single" w:sz="4" w:space="0" w:color="000000"/>
              <w:right w:val="single" w:sz="4" w:space="0" w:color="000000"/>
            </w:tcBorders>
            <w:vAlign w:val="center"/>
          </w:tcPr>
          <w:p w14:paraId="109ACFAD"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CFAE" w14:textId="77777777" w:rsidR="009B3384" w:rsidRDefault="009B3384">
            <w:pPr>
              <w:keepNext/>
              <w:widowControl w:val="0"/>
              <w:jc w:val="center"/>
              <w:rPr>
                <w:iCs/>
              </w:rPr>
            </w:pPr>
          </w:p>
        </w:tc>
      </w:tr>
      <w:tr w:rsidR="009B3384" w14:paraId="109ACFB6"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B0" w14:textId="77777777" w:rsidR="009B3384" w:rsidRDefault="00800862">
            <w:pPr>
              <w:widowControl w:val="0"/>
              <w:rPr>
                <w:color w:val="000000"/>
                <w:sz w:val="20"/>
              </w:rPr>
            </w:pPr>
            <w:r>
              <w:t>Брой рандомизирани пациенти</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B1" w14:textId="77777777" w:rsidR="009B3384" w:rsidRDefault="00800862">
            <w:pPr>
              <w:widowControl w:val="0"/>
              <w:jc w:val="center"/>
              <w:rPr>
                <w:iCs/>
              </w:rPr>
            </w:pPr>
            <w:r>
              <w:t>410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B2" w14:textId="77777777" w:rsidR="009B3384" w:rsidRDefault="00800862">
            <w:pPr>
              <w:widowControl w:val="0"/>
              <w:jc w:val="center"/>
              <w:rPr>
                <w:iCs/>
              </w:rPr>
            </w:pPr>
            <w:r>
              <w:t>409</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B3" w14:textId="77777777" w:rsidR="009B3384" w:rsidRDefault="00800862">
            <w:pPr>
              <w:widowControl w:val="0"/>
              <w:jc w:val="center"/>
              <w:rPr>
                <w:iCs/>
              </w:rPr>
            </w:pPr>
            <w:r>
              <w:t>411</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B4" w14:textId="77777777" w:rsidR="009B3384" w:rsidRDefault="00800862">
            <w:pPr>
              <w:widowControl w:val="0"/>
              <w:jc w:val="center"/>
              <w:rPr>
                <w:iCs/>
              </w:rPr>
            </w:pPr>
            <w:r>
              <w:t>397</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B5" w14:textId="77777777" w:rsidR="009B3384" w:rsidRDefault="00800862">
            <w:pPr>
              <w:widowControl w:val="0"/>
              <w:jc w:val="center"/>
              <w:rPr>
                <w:iCs/>
              </w:rPr>
            </w:pPr>
            <w:r>
              <w:t>400</w:t>
            </w:r>
          </w:p>
        </w:tc>
      </w:tr>
      <w:tr w:rsidR="009B3384" w14:paraId="109ACFBD"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CFB7" w14:textId="77777777" w:rsidR="009B3384" w:rsidRDefault="00800862">
            <w:pPr>
              <w:widowControl w:val="0"/>
              <w:rPr>
                <w:iCs/>
              </w:rPr>
            </w:pPr>
            <w:r>
              <w:t xml:space="preserve">Повлияване по PASI 50,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B8" w14:textId="77777777" w:rsidR="009B3384" w:rsidRDefault="00800862">
            <w:pPr>
              <w:widowControl w:val="0"/>
              <w:jc w:val="center"/>
              <w:rPr>
                <w:iCs/>
              </w:rPr>
            </w:pPr>
            <w:r>
              <w:t>41 (10%)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B9" w14:textId="77777777" w:rsidR="009B3384" w:rsidRDefault="00800862">
            <w:pPr>
              <w:widowControl w:val="0"/>
              <w:jc w:val="center"/>
              <w:rPr>
                <w:iCs/>
              </w:rPr>
            </w:pPr>
            <w:r>
              <w:t>342 (84%)</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BA" w14:textId="77777777" w:rsidR="009B3384" w:rsidRDefault="00800862">
            <w:pPr>
              <w:widowControl w:val="0"/>
              <w:jc w:val="center"/>
              <w:rPr>
                <w:iCs/>
              </w:rPr>
            </w:pPr>
            <w:r>
              <w:t>367 (89%)</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BB" w14:textId="77777777" w:rsidR="009B3384" w:rsidRDefault="00800862">
            <w:pPr>
              <w:widowControl w:val="0"/>
              <w:jc w:val="center"/>
              <w:rPr>
                <w:iCs/>
              </w:rPr>
            </w:pPr>
            <w:r>
              <w:t>369 (93%)</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BC" w14:textId="77777777" w:rsidR="009B3384" w:rsidRDefault="00800862">
            <w:pPr>
              <w:widowControl w:val="0"/>
              <w:jc w:val="center"/>
              <w:rPr>
                <w:iCs/>
              </w:rPr>
            </w:pPr>
            <w:r>
              <w:t>380 (95%)</w:t>
            </w:r>
          </w:p>
        </w:tc>
      </w:tr>
      <w:tr w:rsidR="009B3384" w14:paraId="109ACFC4"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CFBE" w14:textId="77777777" w:rsidR="009B3384" w:rsidRDefault="00800862">
            <w:pPr>
              <w:widowControl w:val="0"/>
              <w:rPr>
                <w:iCs/>
              </w:rPr>
            </w:pPr>
            <w:r>
              <w:t xml:space="preserve">Повлияване по PASI 75,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BF" w14:textId="77777777" w:rsidR="009B3384" w:rsidRDefault="00800862">
            <w:pPr>
              <w:widowControl w:val="0"/>
              <w:jc w:val="center"/>
              <w:rPr>
                <w:iCs/>
              </w:rPr>
            </w:pPr>
            <w:r>
              <w:t>15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C0" w14:textId="77777777" w:rsidR="009B3384" w:rsidRDefault="00800862">
            <w:pPr>
              <w:widowControl w:val="0"/>
              <w:jc w:val="center"/>
              <w:rPr>
                <w:iCs/>
              </w:rPr>
            </w:pPr>
            <w:r>
              <w:t>273 (67%)</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C1" w14:textId="77777777" w:rsidR="009B3384" w:rsidRDefault="00800862">
            <w:pPr>
              <w:widowControl w:val="0"/>
              <w:jc w:val="center"/>
              <w:rPr>
                <w:iCs/>
              </w:rPr>
            </w:pPr>
            <w:r>
              <w:t>311 (76%)</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C2" w14:textId="77777777" w:rsidR="009B3384" w:rsidRDefault="00800862">
            <w:pPr>
              <w:widowControl w:val="0"/>
              <w:jc w:val="center"/>
              <w:rPr>
                <w:iCs/>
              </w:rPr>
            </w:pPr>
            <w:r>
              <w:t>276 (70%)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C3" w14:textId="77777777" w:rsidR="009B3384" w:rsidRDefault="00800862">
            <w:pPr>
              <w:widowControl w:val="0"/>
              <w:jc w:val="center"/>
              <w:rPr>
                <w:iCs/>
              </w:rPr>
            </w:pPr>
            <w:r>
              <w:t>314 (79%)</w:t>
            </w:r>
          </w:p>
        </w:tc>
      </w:tr>
      <w:tr w:rsidR="009B3384" w14:paraId="109ACFCB"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C5" w14:textId="77777777" w:rsidR="009B3384" w:rsidRDefault="00800862">
            <w:pPr>
              <w:widowControl w:val="0"/>
              <w:rPr>
                <w:iCs/>
              </w:rPr>
            </w:pPr>
            <w:r>
              <w:t>Повлияване</w:t>
            </w:r>
            <w:r>
              <w:rPr>
                <w:iCs/>
              </w:rPr>
              <w:t xml:space="preserve"> по PASI 90</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C6" w14:textId="77777777" w:rsidR="009B3384" w:rsidRDefault="00800862">
            <w:pPr>
              <w:widowControl w:val="0"/>
              <w:jc w:val="center"/>
            </w:pPr>
            <w:r>
              <w:t>3 (1%)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C7" w14:textId="77777777" w:rsidR="009B3384" w:rsidRDefault="00800862">
            <w:pPr>
              <w:widowControl w:val="0"/>
              <w:jc w:val="center"/>
            </w:pPr>
            <w:r>
              <w:t>173 (42%)</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C8" w14:textId="77777777" w:rsidR="009B3384" w:rsidRDefault="00800862">
            <w:pPr>
              <w:widowControl w:val="0"/>
              <w:jc w:val="center"/>
            </w:pPr>
            <w:r>
              <w:t>209 (51%)</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C9" w14:textId="77777777" w:rsidR="009B3384" w:rsidRDefault="00800862">
            <w:pPr>
              <w:widowControl w:val="0"/>
              <w:jc w:val="center"/>
            </w:pPr>
            <w:r>
              <w:t>178 (45%)</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CA" w14:textId="77777777" w:rsidR="009B3384" w:rsidRDefault="00800862">
            <w:pPr>
              <w:widowControl w:val="0"/>
              <w:jc w:val="center"/>
            </w:pPr>
            <w:r>
              <w:t>217 (54%)</w:t>
            </w:r>
          </w:p>
        </w:tc>
      </w:tr>
      <w:tr w:rsidR="009B3384" w14:paraId="109ACFD2"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CC" w14:textId="77777777" w:rsidR="009B3384" w:rsidRDefault="00800862">
            <w:pPr>
              <w:widowControl w:val="0"/>
              <w:rPr>
                <w:iCs/>
              </w:rPr>
            </w:pPr>
            <w:r>
              <w:rPr>
                <w:iCs/>
              </w:rPr>
              <w:t>ООЛ</w:t>
            </w:r>
            <w:r>
              <w:rPr>
                <w:iCs/>
                <w:vertAlign w:val="superscript"/>
              </w:rPr>
              <w:t>б</w:t>
            </w:r>
            <w:r>
              <w:rPr>
                <w:iCs/>
              </w:rPr>
              <w:t xml:space="preserve"> за изчистени или минимални</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CD" w14:textId="77777777" w:rsidR="009B3384" w:rsidRDefault="00800862">
            <w:pPr>
              <w:widowControl w:val="0"/>
              <w:jc w:val="center"/>
              <w:rPr>
                <w:iCs/>
              </w:rPr>
            </w:pPr>
            <w:r>
              <w:t>18(4%)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CE" w14:textId="77777777" w:rsidR="009B3384" w:rsidRDefault="00800862">
            <w:pPr>
              <w:widowControl w:val="0"/>
              <w:jc w:val="center"/>
              <w:rPr>
                <w:iCs/>
              </w:rPr>
            </w:pPr>
            <w:r>
              <w:t>277 (68%)</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CF" w14:textId="77777777" w:rsidR="009B3384" w:rsidRDefault="00800862">
            <w:pPr>
              <w:widowControl w:val="0"/>
              <w:jc w:val="center"/>
              <w:rPr>
                <w:iCs/>
              </w:rPr>
            </w:pPr>
            <w:r>
              <w:t>300 (73%)</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D0" w14:textId="77777777" w:rsidR="009B3384" w:rsidRDefault="00800862">
            <w:pPr>
              <w:widowControl w:val="0"/>
              <w:jc w:val="center"/>
              <w:rPr>
                <w:iCs/>
              </w:rPr>
            </w:pPr>
            <w:r>
              <w:t>241 (61%)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D1" w14:textId="77777777" w:rsidR="009B3384" w:rsidRDefault="00800862">
            <w:pPr>
              <w:widowControl w:val="0"/>
              <w:jc w:val="center"/>
              <w:rPr>
                <w:iCs/>
              </w:rPr>
            </w:pPr>
            <w:r>
              <w:t>279 (70%)</w:t>
            </w:r>
          </w:p>
        </w:tc>
      </w:tr>
      <w:tr w:rsidR="009B3384" w14:paraId="109ACFD9"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D3" w14:textId="77777777" w:rsidR="009B3384" w:rsidRDefault="00800862">
            <w:pPr>
              <w:widowControl w:val="0"/>
              <w:rPr>
                <w:iCs/>
              </w:rPr>
            </w:pPr>
            <w:r>
              <w:rPr>
                <w:iCs/>
              </w:rPr>
              <w:t xml:space="preserve">Брой пациенти </w:t>
            </w:r>
            <w:r>
              <w:t>≤ 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D4" w14:textId="77777777" w:rsidR="009B3384" w:rsidRDefault="00800862">
            <w:pPr>
              <w:widowControl w:val="0"/>
              <w:jc w:val="center"/>
            </w:pPr>
            <w:r>
              <w:t>290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D5" w14:textId="77777777" w:rsidR="009B3384" w:rsidRDefault="00800862">
            <w:pPr>
              <w:widowControl w:val="0"/>
              <w:jc w:val="center"/>
            </w:pPr>
            <w:r>
              <w:t>297</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D6" w14:textId="77777777" w:rsidR="009B3384" w:rsidRDefault="00800862">
            <w:pPr>
              <w:widowControl w:val="0"/>
              <w:jc w:val="center"/>
            </w:pPr>
            <w:r>
              <w:t>289</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D7" w14:textId="77777777" w:rsidR="009B3384" w:rsidRDefault="00800862">
            <w:pPr>
              <w:widowControl w:val="0"/>
              <w:jc w:val="center"/>
            </w:pPr>
            <w:r>
              <w:t>287</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D8" w14:textId="77777777" w:rsidR="009B3384" w:rsidRDefault="00800862">
            <w:pPr>
              <w:widowControl w:val="0"/>
              <w:jc w:val="center"/>
            </w:pPr>
            <w:r>
              <w:t>280</w:t>
            </w:r>
          </w:p>
        </w:tc>
      </w:tr>
      <w:tr w:rsidR="009B3384" w14:paraId="109ACFE0"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DA"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DB" w14:textId="77777777" w:rsidR="009B3384" w:rsidRDefault="00800862">
            <w:pPr>
              <w:widowControl w:val="0"/>
              <w:jc w:val="center"/>
            </w:pPr>
            <w:r>
              <w:t>12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DC" w14:textId="77777777" w:rsidR="009B3384" w:rsidRDefault="00800862">
            <w:pPr>
              <w:widowControl w:val="0"/>
              <w:jc w:val="center"/>
            </w:pPr>
            <w:r>
              <w:t>218 (73%)</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DD" w14:textId="77777777" w:rsidR="009B3384" w:rsidRDefault="00800862">
            <w:pPr>
              <w:widowControl w:val="0"/>
              <w:jc w:val="center"/>
            </w:pPr>
            <w:r>
              <w:t>225 (78%)</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DE" w14:textId="77777777" w:rsidR="009B3384" w:rsidRDefault="00800862">
            <w:pPr>
              <w:widowControl w:val="0"/>
              <w:jc w:val="center"/>
            </w:pPr>
            <w:r>
              <w:t>217 (76%)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DF" w14:textId="77777777" w:rsidR="009B3384" w:rsidRDefault="00800862">
            <w:pPr>
              <w:widowControl w:val="0"/>
              <w:jc w:val="center"/>
            </w:pPr>
            <w:r>
              <w:t>226 (81%)</w:t>
            </w:r>
          </w:p>
        </w:tc>
      </w:tr>
      <w:tr w:rsidR="009B3384" w14:paraId="109ACFE7"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E1" w14:textId="77777777" w:rsidR="009B3384" w:rsidRDefault="00800862">
            <w:pPr>
              <w:widowControl w:val="0"/>
              <w:rPr>
                <w:iCs/>
              </w:rPr>
            </w:pPr>
            <w:r>
              <w:rPr>
                <w:iCs/>
              </w:rPr>
              <w:t>Брой пациенти &gt;</w:t>
            </w:r>
            <w:r>
              <w:rPr>
                <w:iCs/>
                <w:lang w:val="nl-BE"/>
              </w:rPr>
              <w:t> </w:t>
            </w:r>
            <w:r>
              <w:t>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E2" w14:textId="77777777" w:rsidR="009B3384" w:rsidRDefault="00800862">
            <w:pPr>
              <w:widowControl w:val="0"/>
              <w:jc w:val="center"/>
            </w:pPr>
            <w:r>
              <w:t>120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E3" w14:textId="77777777" w:rsidR="009B3384" w:rsidRDefault="00800862">
            <w:pPr>
              <w:widowControl w:val="0"/>
              <w:jc w:val="center"/>
            </w:pPr>
            <w:r>
              <w:t>112</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E4" w14:textId="77777777" w:rsidR="009B3384" w:rsidRDefault="00800862">
            <w:pPr>
              <w:widowControl w:val="0"/>
              <w:jc w:val="center"/>
            </w:pPr>
            <w:r>
              <w:t>121</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E5" w14:textId="77777777" w:rsidR="009B3384" w:rsidRDefault="00800862">
            <w:pPr>
              <w:widowControl w:val="0"/>
              <w:jc w:val="center"/>
            </w:pPr>
            <w:r>
              <w:t>110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E6" w14:textId="77777777" w:rsidR="009B3384" w:rsidRDefault="00800862">
            <w:pPr>
              <w:widowControl w:val="0"/>
              <w:jc w:val="center"/>
            </w:pPr>
            <w:r>
              <w:t>119</w:t>
            </w:r>
          </w:p>
        </w:tc>
      </w:tr>
      <w:tr w:rsidR="009B3384" w14:paraId="109ACFEE"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CFE8"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CFE9" w14:textId="77777777" w:rsidR="009B3384" w:rsidRDefault="00800862">
            <w:pPr>
              <w:widowControl w:val="0"/>
              <w:jc w:val="center"/>
            </w:pPr>
            <w:r>
              <w:t>3 (3%)</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EA" w14:textId="77777777" w:rsidR="009B3384" w:rsidRDefault="00800862">
            <w:pPr>
              <w:widowControl w:val="0"/>
              <w:jc w:val="center"/>
            </w:pPr>
            <w:r>
              <w:t>55 (49%)</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CFEB" w14:textId="77777777" w:rsidR="009B3384" w:rsidRDefault="00800862">
            <w:pPr>
              <w:widowControl w:val="0"/>
              <w:jc w:val="center"/>
            </w:pPr>
            <w:r>
              <w:t>86 (71%)</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CFEC" w14:textId="77777777" w:rsidR="009B3384" w:rsidRDefault="00800862">
            <w:pPr>
              <w:widowControl w:val="0"/>
              <w:jc w:val="center"/>
            </w:pPr>
            <w:r>
              <w:t>59 (54%)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CFED" w14:textId="77777777" w:rsidR="009B3384" w:rsidRDefault="00800862">
            <w:pPr>
              <w:widowControl w:val="0"/>
              <w:jc w:val="center"/>
            </w:pPr>
            <w:r>
              <w:t>88 (74%)</w:t>
            </w:r>
          </w:p>
        </w:tc>
      </w:tr>
      <w:tr w:rsidR="009B3384" w14:paraId="109ACFF1" w14:textId="77777777">
        <w:trPr>
          <w:cantSplit/>
          <w:jc w:val="center"/>
        </w:trPr>
        <w:tc>
          <w:tcPr>
            <w:tcW w:w="9071" w:type="dxa"/>
            <w:gridSpan w:val="6"/>
            <w:tcBorders>
              <w:top w:val="single" w:sz="4" w:space="0" w:color="000000"/>
            </w:tcBorders>
          </w:tcPr>
          <w:p w14:paraId="109ACFEF" w14:textId="77777777" w:rsidR="009B3384" w:rsidRDefault="00800862">
            <w:pPr>
              <w:widowControl w:val="0"/>
              <w:ind w:left="284" w:hanging="284"/>
              <w:rPr>
                <w:sz w:val="18"/>
                <w:szCs w:val="24"/>
              </w:rPr>
            </w:pPr>
            <w:r>
              <w:rPr>
                <w:szCs w:val="24"/>
                <w:vertAlign w:val="superscript"/>
              </w:rPr>
              <w:t>a</w:t>
            </w:r>
            <w:r>
              <w:rPr>
                <w:szCs w:val="24"/>
              </w:rPr>
              <w:tab/>
            </w:r>
            <w:r>
              <w:rPr>
                <w:sz w:val="18"/>
                <w:szCs w:val="24"/>
              </w:rPr>
              <w:t>p</w:t>
            </w:r>
            <w:r>
              <w:rPr>
                <w:sz w:val="18"/>
                <w:szCs w:val="24"/>
                <w:lang w:val="nl-BE"/>
              </w:rPr>
              <w:t> </w:t>
            </w:r>
            <w:r>
              <w:rPr>
                <w:sz w:val="18"/>
                <w:szCs w:val="24"/>
              </w:rPr>
              <w:t>&lt;</w:t>
            </w:r>
            <w:r>
              <w:rPr>
                <w:sz w:val="18"/>
                <w:szCs w:val="24"/>
                <w:lang w:val="nl-BE"/>
              </w:rPr>
              <w:t> </w:t>
            </w:r>
            <w:r>
              <w:rPr>
                <w:sz w:val="18"/>
                <w:szCs w:val="24"/>
              </w:rPr>
              <w:t>0,001 за устекинумаб 45 mg или 90 mg в сравнение с плацебо (РВО)</w:t>
            </w:r>
          </w:p>
          <w:p w14:paraId="109ACFF0" w14:textId="77777777" w:rsidR="009B3384" w:rsidRDefault="00800862">
            <w:pPr>
              <w:widowControl w:val="0"/>
              <w:ind w:left="284" w:hanging="284"/>
            </w:pPr>
            <w:r>
              <w:rPr>
                <w:vertAlign w:val="superscript"/>
              </w:rPr>
              <w:t>б</w:t>
            </w:r>
            <w:r>
              <w:rPr>
                <w:vertAlign w:val="superscript"/>
              </w:rPr>
              <w:tab/>
            </w:r>
            <w:r>
              <w:rPr>
                <w:sz w:val="18"/>
              </w:rPr>
              <w:t>ООЛ</w:t>
            </w:r>
            <w:r>
              <w:rPr>
                <w:sz w:val="18"/>
                <w:lang w:val="nl-BE"/>
              </w:rPr>
              <w:t> </w:t>
            </w:r>
            <w:r>
              <w:rPr>
                <w:sz w:val="18"/>
              </w:rPr>
              <w:t>=</w:t>
            </w:r>
            <w:r>
              <w:rPr>
                <w:sz w:val="18"/>
                <w:lang w:val="nl-BE"/>
              </w:rPr>
              <w:t> </w:t>
            </w:r>
            <w:r>
              <w:rPr>
                <w:sz w:val="18"/>
              </w:rPr>
              <w:t>Обща оценка на лекаря</w:t>
            </w:r>
          </w:p>
        </w:tc>
      </w:tr>
    </w:tbl>
    <w:p w14:paraId="109ACFF2" w14:textId="77777777" w:rsidR="009B3384" w:rsidRDefault="009B3384"/>
    <w:p w14:paraId="109ACFF3" w14:textId="3C6499F2" w:rsidR="009B3384" w:rsidRDefault="00800862">
      <w:pPr>
        <w:keepNext/>
        <w:ind w:left="1134" w:hanging="1134"/>
        <w:rPr>
          <w:i/>
        </w:rPr>
      </w:pPr>
      <w:r>
        <w:rPr>
          <w:i/>
        </w:rPr>
        <w:t>Таблица </w:t>
      </w:r>
      <w:r w:rsidRPr="00BC6A43">
        <w:rPr>
          <w:i/>
        </w:rPr>
        <w:t>6</w:t>
      </w:r>
      <w:ins w:id="952" w:author="RABG09" w:date="2026-06-24T15:59:00Z">
        <w:r w:rsidR="00C949CD">
          <w:rPr>
            <w:i/>
          </w:rPr>
          <w:t>:</w:t>
        </w:r>
      </w:ins>
      <w:r>
        <w:rPr>
          <w:i/>
        </w:rPr>
        <w:tab/>
      </w:r>
      <w:r>
        <w:rPr>
          <w:i/>
          <w:iCs/>
        </w:rPr>
        <w:t xml:space="preserve">Обобщение на клиничното повлияване в проучване при псориазис 3 </w:t>
      </w:r>
      <w:r>
        <w:rPr>
          <w:i/>
        </w:rPr>
        <w:t xml:space="preserve">(ACCEPT) </w:t>
      </w:r>
      <w:r>
        <w:rPr>
          <w:i/>
          <w:iCs/>
        </w:rPr>
        <w:t>на седмица 12</w:t>
      </w:r>
    </w:p>
    <w:tbl>
      <w:tblPr>
        <w:tblW w:w="9072" w:type="dxa"/>
        <w:jc w:val="center"/>
        <w:tblLayout w:type="fixed"/>
        <w:tblLook w:val="0000" w:firstRow="0" w:lastRow="0" w:firstColumn="0" w:lastColumn="0" w:noHBand="0" w:noVBand="0"/>
      </w:tblPr>
      <w:tblGrid>
        <w:gridCol w:w="3263"/>
        <w:gridCol w:w="1983"/>
        <w:gridCol w:w="1912"/>
        <w:gridCol w:w="1914"/>
      </w:tblGrid>
      <w:tr w:rsidR="009B3384" w14:paraId="109ACFF6" w14:textId="77777777">
        <w:trPr>
          <w:cantSplit/>
          <w:jc w:val="center"/>
        </w:trPr>
        <w:tc>
          <w:tcPr>
            <w:tcW w:w="3262" w:type="dxa"/>
            <w:vMerge w:val="restart"/>
            <w:tcBorders>
              <w:top w:val="single" w:sz="4" w:space="0" w:color="000000"/>
              <w:left w:val="single" w:sz="4" w:space="0" w:color="000000"/>
              <w:bottom w:val="single" w:sz="4" w:space="0" w:color="000000"/>
              <w:right w:val="single" w:sz="4" w:space="0" w:color="000000"/>
            </w:tcBorders>
          </w:tcPr>
          <w:p w14:paraId="109ACFF4" w14:textId="77777777" w:rsidR="009B3384" w:rsidRDefault="009B3384">
            <w:pPr>
              <w:keepNext/>
              <w:widowControl w:val="0"/>
            </w:pPr>
          </w:p>
        </w:tc>
        <w:tc>
          <w:tcPr>
            <w:tcW w:w="5809" w:type="dxa"/>
            <w:gridSpan w:val="3"/>
            <w:tcBorders>
              <w:top w:val="single" w:sz="4" w:space="0" w:color="000000"/>
              <w:left w:val="single" w:sz="4" w:space="0" w:color="000000"/>
              <w:bottom w:val="single" w:sz="4" w:space="0" w:color="000000"/>
              <w:right w:val="single" w:sz="4" w:space="0" w:color="000000"/>
            </w:tcBorders>
          </w:tcPr>
          <w:p w14:paraId="109ACFF5" w14:textId="77777777" w:rsidR="009B3384" w:rsidRDefault="00800862">
            <w:pPr>
              <w:keepNext/>
              <w:widowControl w:val="0"/>
              <w:jc w:val="center"/>
              <w:rPr>
                <w:b/>
                <w:bCs/>
              </w:rPr>
            </w:pPr>
            <w:r>
              <w:rPr>
                <w:b/>
                <w:bCs/>
              </w:rPr>
              <w:t>Проучване при псориазис 3</w:t>
            </w:r>
          </w:p>
        </w:tc>
      </w:tr>
      <w:tr w:rsidR="009B3384" w14:paraId="109ACFFD" w14:textId="77777777">
        <w:trPr>
          <w:cantSplit/>
          <w:jc w:val="center"/>
        </w:trPr>
        <w:tc>
          <w:tcPr>
            <w:tcW w:w="3262" w:type="dxa"/>
            <w:vMerge/>
            <w:tcBorders>
              <w:top w:val="single" w:sz="4" w:space="0" w:color="000000"/>
              <w:left w:val="single" w:sz="4" w:space="0" w:color="000000"/>
              <w:bottom w:val="single" w:sz="4" w:space="0" w:color="000000"/>
              <w:right w:val="single" w:sz="4" w:space="0" w:color="000000"/>
            </w:tcBorders>
          </w:tcPr>
          <w:p w14:paraId="109ACFF7" w14:textId="77777777" w:rsidR="009B3384" w:rsidRDefault="009B3384">
            <w:pPr>
              <w:keepNext/>
              <w:widowControl w:val="0"/>
            </w:pPr>
          </w:p>
        </w:tc>
        <w:tc>
          <w:tcPr>
            <w:tcW w:w="1983" w:type="dxa"/>
            <w:vMerge w:val="restart"/>
            <w:tcBorders>
              <w:top w:val="single" w:sz="4" w:space="0" w:color="000000"/>
              <w:left w:val="single" w:sz="4" w:space="0" w:color="000000"/>
              <w:bottom w:val="single" w:sz="4" w:space="0" w:color="000000"/>
              <w:right w:val="single" w:sz="4" w:space="0" w:color="000000"/>
            </w:tcBorders>
          </w:tcPr>
          <w:p w14:paraId="109ACFF8" w14:textId="77777777" w:rsidR="009B3384" w:rsidRDefault="00800862">
            <w:pPr>
              <w:keepNext/>
              <w:widowControl w:val="0"/>
              <w:jc w:val="center"/>
            </w:pPr>
            <w:r>
              <w:t>Етанерцепт</w:t>
            </w:r>
          </w:p>
          <w:p w14:paraId="109ACFF9" w14:textId="77777777" w:rsidR="009B3384" w:rsidRDefault="00800862">
            <w:pPr>
              <w:keepNext/>
              <w:widowControl w:val="0"/>
              <w:jc w:val="center"/>
            </w:pPr>
            <w:r>
              <w:t>24 дози</w:t>
            </w:r>
          </w:p>
          <w:p w14:paraId="109ACFFA" w14:textId="77777777" w:rsidR="009B3384" w:rsidRDefault="00800862">
            <w:pPr>
              <w:keepNext/>
              <w:widowControl w:val="0"/>
              <w:jc w:val="center"/>
            </w:pPr>
            <w:r>
              <w:t>(50 mg два пъти седмично)</w:t>
            </w:r>
          </w:p>
        </w:tc>
        <w:tc>
          <w:tcPr>
            <w:tcW w:w="3826" w:type="dxa"/>
            <w:gridSpan w:val="2"/>
            <w:tcBorders>
              <w:top w:val="single" w:sz="4" w:space="0" w:color="000000"/>
              <w:left w:val="single" w:sz="4" w:space="0" w:color="000000"/>
              <w:bottom w:val="single" w:sz="4" w:space="0" w:color="000000"/>
              <w:right w:val="single" w:sz="4" w:space="0" w:color="000000"/>
            </w:tcBorders>
          </w:tcPr>
          <w:p w14:paraId="109ACFFB" w14:textId="77777777" w:rsidR="009B3384" w:rsidRDefault="00800862">
            <w:pPr>
              <w:keepNext/>
              <w:widowControl w:val="0"/>
              <w:jc w:val="center"/>
            </w:pPr>
            <w:r>
              <w:t>Устекинумаб</w:t>
            </w:r>
          </w:p>
          <w:p w14:paraId="109ACFFC" w14:textId="77777777" w:rsidR="009B3384" w:rsidRDefault="00800862">
            <w:pPr>
              <w:keepNext/>
              <w:widowControl w:val="0"/>
              <w:jc w:val="center"/>
            </w:pPr>
            <w:r>
              <w:t>2 дози (седмица 0 и седмица 4)</w:t>
            </w:r>
          </w:p>
        </w:tc>
      </w:tr>
      <w:tr w:rsidR="009B3384" w14:paraId="109AD002" w14:textId="77777777">
        <w:trPr>
          <w:cantSplit/>
          <w:jc w:val="center"/>
        </w:trPr>
        <w:tc>
          <w:tcPr>
            <w:tcW w:w="3262" w:type="dxa"/>
            <w:vMerge/>
            <w:tcBorders>
              <w:top w:val="single" w:sz="4" w:space="0" w:color="000000"/>
              <w:left w:val="single" w:sz="4" w:space="0" w:color="000000"/>
              <w:bottom w:val="single" w:sz="4" w:space="0" w:color="000000"/>
              <w:right w:val="single" w:sz="4" w:space="0" w:color="000000"/>
            </w:tcBorders>
          </w:tcPr>
          <w:p w14:paraId="109ACFFE" w14:textId="77777777" w:rsidR="009B3384" w:rsidRDefault="009B3384">
            <w:pPr>
              <w:keepNext/>
              <w:widowControl w:val="0"/>
            </w:pPr>
          </w:p>
        </w:tc>
        <w:tc>
          <w:tcPr>
            <w:tcW w:w="1983" w:type="dxa"/>
            <w:vMerge/>
            <w:tcBorders>
              <w:top w:val="single" w:sz="4" w:space="0" w:color="000000"/>
              <w:left w:val="single" w:sz="4" w:space="0" w:color="000000"/>
              <w:bottom w:val="single" w:sz="4" w:space="0" w:color="000000"/>
              <w:right w:val="single" w:sz="4" w:space="0" w:color="000000"/>
            </w:tcBorders>
          </w:tcPr>
          <w:p w14:paraId="109ACFFF" w14:textId="77777777" w:rsidR="009B3384" w:rsidRDefault="009B3384">
            <w:pPr>
              <w:keepNext/>
              <w:widowControl w:val="0"/>
            </w:pPr>
          </w:p>
        </w:tc>
        <w:tc>
          <w:tcPr>
            <w:tcW w:w="1912" w:type="dxa"/>
            <w:tcBorders>
              <w:top w:val="single" w:sz="4" w:space="0" w:color="000000"/>
              <w:left w:val="single" w:sz="4" w:space="0" w:color="000000"/>
              <w:bottom w:val="single" w:sz="4" w:space="0" w:color="000000"/>
              <w:right w:val="single" w:sz="4" w:space="0" w:color="000000"/>
            </w:tcBorders>
          </w:tcPr>
          <w:p w14:paraId="109AD000" w14:textId="77777777" w:rsidR="009B3384" w:rsidRDefault="00800862">
            <w:pPr>
              <w:keepNext/>
              <w:widowControl w:val="0"/>
              <w:jc w:val="center"/>
            </w:pPr>
            <w:r>
              <w:t>45 mg</w:t>
            </w:r>
          </w:p>
        </w:tc>
        <w:tc>
          <w:tcPr>
            <w:tcW w:w="1914" w:type="dxa"/>
            <w:tcBorders>
              <w:top w:val="single" w:sz="4" w:space="0" w:color="000000"/>
              <w:left w:val="single" w:sz="4" w:space="0" w:color="000000"/>
              <w:bottom w:val="single" w:sz="4" w:space="0" w:color="000000"/>
              <w:right w:val="single" w:sz="4" w:space="0" w:color="000000"/>
            </w:tcBorders>
          </w:tcPr>
          <w:p w14:paraId="109AD001" w14:textId="77777777" w:rsidR="009B3384" w:rsidRDefault="00800862">
            <w:pPr>
              <w:keepNext/>
              <w:widowControl w:val="0"/>
              <w:jc w:val="center"/>
            </w:pPr>
            <w:r>
              <w:t>90 mg</w:t>
            </w:r>
          </w:p>
        </w:tc>
      </w:tr>
      <w:tr w:rsidR="009B3384" w14:paraId="109AD007"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003" w14:textId="77777777" w:rsidR="009B3384" w:rsidRDefault="00800862">
            <w:pPr>
              <w:keepNext/>
              <w:widowControl w:val="0"/>
            </w:pPr>
            <w:r>
              <w:t>Брой рандомизирани пациенти</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04" w14:textId="77777777" w:rsidR="009B3384" w:rsidRDefault="00800862">
            <w:pPr>
              <w:widowControl w:val="0"/>
              <w:jc w:val="center"/>
            </w:pPr>
            <w:r>
              <w:t>347</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05" w14:textId="77777777" w:rsidR="009B3384" w:rsidRDefault="00800862">
            <w:pPr>
              <w:widowControl w:val="0"/>
              <w:jc w:val="center"/>
            </w:pPr>
            <w:r>
              <w:t>209</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06" w14:textId="77777777" w:rsidR="009B3384" w:rsidRDefault="00800862">
            <w:pPr>
              <w:widowControl w:val="0"/>
              <w:jc w:val="center"/>
            </w:pPr>
            <w:r>
              <w:t>347</w:t>
            </w:r>
          </w:p>
        </w:tc>
      </w:tr>
      <w:tr w:rsidR="009B3384" w14:paraId="109AD00C"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008" w14:textId="77777777" w:rsidR="009B3384" w:rsidRDefault="00800862">
            <w:pPr>
              <w:widowControl w:val="0"/>
              <w:rPr>
                <w:vertAlign w:val="superscript"/>
              </w:rPr>
            </w:pPr>
            <w:r>
              <w:t>Повлияване по PASI 50,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09" w14:textId="77777777" w:rsidR="009B3384" w:rsidRDefault="00800862">
            <w:pPr>
              <w:widowControl w:val="0"/>
              <w:jc w:val="center"/>
            </w:pPr>
            <w:r>
              <w:t>286 (82%)</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0A" w14:textId="77777777" w:rsidR="009B3384" w:rsidRDefault="00800862">
            <w:pPr>
              <w:widowControl w:val="0"/>
              <w:jc w:val="center"/>
            </w:pPr>
            <w:r>
              <w:t>181 (87%)</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0B" w14:textId="77777777" w:rsidR="009B3384" w:rsidRDefault="00800862">
            <w:pPr>
              <w:widowControl w:val="0"/>
              <w:jc w:val="center"/>
              <w:rPr>
                <w:vertAlign w:val="superscript"/>
              </w:rPr>
            </w:pPr>
            <w:r>
              <w:t>320 (92%)</w:t>
            </w:r>
            <w:r>
              <w:rPr>
                <w:vertAlign w:val="superscript"/>
              </w:rPr>
              <w:t>a</w:t>
            </w:r>
          </w:p>
        </w:tc>
      </w:tr>
      <w:tr w:rsidR="009B3384" w14:paraId="109AD011"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00D" w14:textId="77777777" w:rsidR="009B3384" w:rsidRDefault="00800862">
            <w:pPr>
              <w:widowControl w:val="0"/>
              <w:rPr>
                <w:vertAlign w:val="superscript"/>
              </w:rPr>
            </w:pPr>
            <w:r>
              <w:t>Повлияване по PASI 75,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0E" w14:textId="77777777" w:rsidR="009B3384" w:rsidRDefault="00800862">
            <w:pPr>
              <w:widowControl w:val="0"/>
              <w:jc w:val="center"/>
            </w:pPr>
            <w:r>
              <w:t>197 (57%)</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0F" w14:textId="77777777" w:rsidR="009B3384" w:rsidRDefault="00800862">
            <w:pPr>
              <w:widowControl w:val="0"/>
              <w:jc w:val="center"/>
              <w:rPr>
                <w:vertAlign w:val="superscript"/>
              </w:rPr>
            </w:pPr>
            <w:r>
              <w:t>141 (67%)</w:t>
            </w:r>
            <w:r>
              <w:rPr>
                <w:vertAlign w:val="superscript"/>
              </w:rPr>
              <w:t>b</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10" w14:textId="77777777" w:rsidR="009B3384" w:rsidRDefault="00800862">
            <w:pPr>
              <w:widowControl w:val="0"/>
              <w:jc w:val="center"/>
              <w:rPr>
                <w:vertAlign w:val="superscript"/>
              </w:rPr>
            </w:pPr>
            <w:r>
              <w:t>256 (74%)</w:t>
            </w:r>
            <w:r>
              <w:rPr>
                <w:vertAlign w:val="superscript"/>
              </w:rPr>
              <w:t>a</w:t>
            </w:r>
          </w:p>
        </w:tc>
      </w:tr>
      <w:tr w:rsidR="009B3384" w14:paraId="109AD016"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012" w14:textId="77777777" w:rsidR="009B3384" w:rsidRDefault="00800862">
            <w:pPr>
              <w:widowControl w:val="0"/>
              <w:rPr>
                <w:vertAlign w:val="superscript"/>
              </w:rPr>
            </w:pPr>
            <w:r>
              <w:t>Повлияване</w:t>
            </w:r>
            <w:r>
              <w:rPr>
                <w:iCs/>
              </w:rPr>
              <w:t xml:space="preserve"> по PASI 90</w:t>
            </w:r>
            <w:r>
              <w:t>, бр.</w:t>
            </w:r>
            <w:r>
              <w:rPr>
                <w:iCs/>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13" w14:textId="77777777" w:rsidR="009B3384" w:rsidRDefault="00800862">
            <w:pPr>
              <w:widowControl w:val="0"/>
              <w:jc w:val="center"/>
            </w:pPr>
            <w:r>
              <w:t>80 (23%)</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14" w14:textId="77777777" w:rsidR="009B3384" w:rsidRDefault="00800862">
            <w:pPr>
              <w:widowControl w:val="0"/>
              <w:jc w:val="center"/>
              <w:rPr>
                <w:vertAlign w:val="superscript"/>
              </w:rPr>
            </w:pPr>
            <w:r>
              <w:t>76 (36%)</w:t>
            </w:r>
            <w:r>
              <w:rPr>
                <w:vertAlign w:val="superscript"/>
              </w:rPr>
              <w:t>a</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15" w14:textId="77777777" w:rsidR="009B3384" w:rsidRDefault="00800862">
            <w:pPr>
              <w:widowControl w:val="0"/>
              <w:jc w:val="center"/>
              <w:rPr>
                <w:vertAlign w:val="superscript"/>
              </w:rPr>
            </w:pPr>
            <w:r>
              <w:t>155 (45%)</w:t>
            </w:r>
            <w:r>
              <w:rPr>
                <w:vertAlign w:val="superscript"/>
              </w:rPr>
              <w:t>a</w:t>
            </w:r>
          </w:p>
        </w:tc>
      </w:tr>
      <w:tr w:rsidR="009B3384" w14:paraId="109AD01B"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017" w14:textId="77777777" w:rsidR="009B3384" w:rsidRDefault="00800862">
            <w:pPr>
              <w:widowControl w:val="0"/>
              <w:rPr>
                <w:vertAlign w:val="superscript"/>
              </w:rPr>
            </w:pPr>
            <w:r>
              <w:rPr>
                <w:iCs/>
              </w:rPr>
              <w:t>ООЛ за изчистени или минимални</w:t>
            </w:r>
            <w:r>
              <w:t>, бр.</w:t>
            </w:r>
            <w:r>
              <w:rPr>
                <w:iCs/>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18" w14:textId="77777777" w:rsidR="009B3384" w:rsidRDefault="00800862">
            <w:pPr>
              <w:widowControl w:val="0"/>
              <w:jc w:val="center"/>
              <w:rPr>
                <w:szCs w:val="19"/>
              </w:rPr>
            </w:pPr>
            <w:r>
              <w:rPr>
                <w:szCs w:val="19"/>
              </w:rPr>
              <w:t>170 (49%)</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19" w14:textId="77777777" w:rsidR="009B3384" w:rsidRDefault="00800862">
            <w:pPr>
              <w:widowControl w:val="0"/>
              <w:jc w:val="center"/>
              <w:rPr>
                <w:color w:val="000000"/>
                <w:szCs w:val="19"/>
                <w:vertAlign w:val="superscript"/>
              </w:rPr>
            </w:pPr>
            <w:r>
              <w:rPr>
                <w:szCs w:val="19"/>
              </w:rPr>
              <w:t>136 (65%)</w:t>
            </w:r>
            <w:r>
              <w:rPr>
                <w:szCs w:val="19"/>
                <w:vertAlign w:val="superscript"/>
              </w:rPr>
              <w:t>a</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1A" w14:textId="77777777" w:rsidR="009B3384" w:rsidRDefault="00800862">
            <w:pPr>
              <w:widowControl w:val="0"/>
              <w:jc w:val="center"/>
              <w:rPr>
                <w:color w:val="000000"/>
                <w:szCs w:val="19"/>
                <w:vertAlign w:val="superscript"/>
              </w:rPr>
            </w:pPr>
            <w:r>
              <w:rPr>
                <w:szCs w:val="19"/>
              </w:rPr>
              <w:t>245 (71%)</w:t>
            </w:r>
            <w:r>
              <w:rPr>
                <w:szCs w:val="19"/>
                <w:vertAlign w:val="superscript"/>
              </w:rPr>
              <w:t>a</w:t>
            </w:r>
          </w:p>
        </w:tc>
      </w:tr>
      <w:tr w:rsidR="009B3384" w14:paraId="109AD020"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01C" w14:textId="77777777" w:rsidR="009B3384" w:rsidRDefault="00800862">
            <w:pPr>
              <w:widowControl w:val="0"/>
              <w:rPr>
                <w:b/>
                <w:bCs/>
              </w:rPr>
            </w:pPr>
            <w:r>
              <w:rPr>
                <w:iCs/>
              </w:rPr>
              <w:t xml:space="preserve">Брой пациенти </w:t>
            </w:r>
            <w:r>
              <w:t>≤ 100 kg</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1D" w14:textId="77777777" w:rsidR="009B3384" w:rsidRDefault="00800862">
            <w:pPr>
              <w:widowControl w:val="0"/>
              <w:jc w:val="center"/>
              <w:rPr>
                <w:color w:val="000000"/>
                <w:szCs w:val="19"/>
              </w:rPr>
            </w:pPr>
            <w:r>
              <w:t>251</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1E" w14:textId="77777777" w:rsidR="009B3384" w:rsidRDefault="00800862">
            <w:pPr>
              <w:widowControl w:val="0"/>
              <w:jc w:val="center"/>
              <w:rPr>
                <w:color w:val="000000"/>
                <w:szCs w:val="19"/>
              </w:rPr>
            </w:pPr>
            <w:r>
              <w:t>151</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1F" w14:textId="77777777" w:rsidR="009B3384" w:rsidRDefault="00800862">
            <w:pPr>
              <w:widowControl w:val="0"/>
              <w:jc w:val="center"/>
              <w:rPr>
                <w:color w:val="000000"/>
                <w:szCs w:val="19"/>
              </w:rPr>
            </w:pPr>
            <w:r>
              <w:t>244</w:t>
            </w:r>
          </w:p>
        </w:tc>
      </w:tr>
      <w:tr w:rsidR="009B3384" w14:paraId="109AD025"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021" w14:textId="77777777" w:rsidR="009B3384" w:rsidRDefault="00800862">
            <w:pPr>
              <w:widowControl w:val="0"/>
              <w:ind w:left="284"/>
              <w:rPr>
                <w:b/>
                <w:bCs/>
              </w:rPr>
            </w:pPr>
            <w:r>
              <w:rPr>
                <w:iCs/>
              </w:rPr>
              <w:t>Повлияване по PASI 75,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22" w14:textId="77777777" w:rsidR="009B3384" w:rsidRDefault="00800862">
            <w:pPr>
              <w:widowControl w:val="0"/>
              <w:jc w:val="center"/>
              <w:rPr>
                <w:color w:val="000000"/>
                <w:szCs w:val="19"/>
              </w:rPr>
            </w:pPr>
            <w:r>
              <w:t>154 (61%)</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23" w14:textId="77777777" w:rsidR="009B3384" w:rsidRDefault="00800862">
            <w:pPr>
              <w:widowControl w:val="0"/>
              <w:jc w:val="center"/>
              <w:rPr>
                <w:color w:val="000000"/>
                <w:szCs w:val="19"/>
              </w:rPr>
            </w:pPr>
            <w:r>
              <w:t>109 (72%)</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24" w14:textId="77777777" w:rsidR="009B3384" w:rsidRDefault="00800862">
            <w:pPr>
              <w:widowControl w:val="0"/>
              <w:jc w:val="center"/>
              <w:rPr>
                <w:color w:val="000000"/>
                <w:szCs w:val="19"/>
              </w:rPr>
            </w:pPr>
            <w:r>
              <w:t>189 (77%)</w:t>
            </w:r>
          </w:p>
        </w:tc>
      </w:tr>
      <w:tr w:rsidR="009B3384" w14:paraId="109AD02A"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026" w14:textId="77777777" w:rsidR="009B3384" w:rsidRDefault="00800862">
            <w:pPr>
              <w:keepNext/>
              <w:widowControl w:val="0"/>
              <w:rPr>
                <w:b/>
                <w:bCs/>
              </w:rPr>
            </w:pPr>
            <w:r>
              <w:rPr>
                <w:iCs/>
              </w:rPr>
              <w:t>Брой пациенти &gt;</w:t>
            </w:r>
            <w:r>
              <w:rPr>
                <w:iCs/>
                <w:lang w:val="nl-BE"/>
              </w:rPr>
              <w:t> </w:t>
            </w:r>
            <w:r>
              <w:t>100 kg</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27" w14:textId="77777777" w:rsidR="009B3384" w:rsidRDefault="00800862">
            <w:pPr>
              <w:widowControl w:val="0"/>
              <w:jc w:val="center"/>
              <w:rPr>
                <w:color w:val="000000"/>
                <w:szCs w:val="19"/>
              </w:rPr>
            </w:pPr>
            <w:r>
              <w:t>96</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28" w14:textId="77777777" w:rsidR="009B3384" w:rsidRDefault="00800862">
            <w:pPr>
              <w:widowControl w:val="0"/>
              <w:jc w:val="center"/>
              <w:rPr>
                <w:color w:val="000000"/>
                <w:szCs w:val="19"/>
              </w:rPr>
            </w:pPr>
            <w:r>
              <w:t>58</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29" w14:textId="77777777" w:rsidR="009B3384" w:rsidRDefault="00800862">
            <w:pPr>
              <w:widowControl w:val="0"/>
              <w:jc w:val="center"/>
              <w:rPr>
                <w:color w:val="000000"/>
                <w:szCs w:val="19"/>
              </w:rPr>
            </w:pPr>
            <w:r>
              <w:t>103</w:t>
            </w:r>
          </w:p>
        </w:tc>
      </w:tr>
      <w:tr w:rsidR="009B3384" w14:paraId="109AD02F"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02B" w14:textId="77777777" w:rsidR="009B3384" w:rsidRDefault="00800862">
            <w:pPr>
              <w:widowControl w:val="0"/>
              <w:ind w:left="284"/>
              <w:rPr>
                <w:b/>
                <w:bCs/>
              </w:rPr>
            </w:pPr>
            <w:r>
              <w:rPr>
                <w:iCs/>
              </w:rPr>
              <w:t>Повлияване по PASI 75,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02C" w14:textId="77777777" w:rsidR="009B3384" w:rsidRDefault="00800862">
            <w:pPr>
              <w:widowControl w:val="0"/>
              <w:jc w:val="center"/>
              <w:rPr>
                <w:color w:val="000000"/>
                <w:szCs w:val="19"/>
              </w:rPr>
            </w:pPr>
            <w:r>
              <w:t>43 (45%)</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02D" w14:textId="77777777" w:rsidR="009B3384" w:rsidRDefault="00800862">
            <w:pPr>
              <w:widowControl w:val="0"/>
              <w:jc w:val="center"/>
              <w:rPr>
                <w:color w:val="000000"/>
                <w:szCs w:val="19"/>
              </w:rPr>
            </w:pPr>
            <w:r>
              <w:t>32 (55%)</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02E" w14:textId="77777777" w:rsidR="009B3384" w:rsidRDefault="00800862">
            <w:pPr>
              <w:widowControl w:val="0"/>
              <w:jc w:val="center"/>
              <w:rPr>
                <w:color w:val="000000"/>
                <w:szCs w:val="19"/>
              </w:rPr>
            </w:pPr>
            <w:r>
              <w:t>67 (65%)</w:t>
            </w:r>
          </w:p>
        </w:tc>
      </w:tr>
      <w:tr w:rsidR="009B3384" w14:paraId="109AD032" w14:textId="77777777">
        <w:trPr>
          <w:cantSplit/>
          <w:jc w:val="center"/>
        </w:trPr>
        <w:tc>
          <w:tcPr>
            <w:tcW w:w="9071" w:type="dxa"/>
            <w:gridSpan w:val="4"/>
            <w:tcBorders>
              <w:top w:val="single" w:sz="4" w:space="0" w:color="000000"/>
            </w:tcBorders>
            <w:vAlign w:val="bottom"/>
          </w:tcPr>
          <w:p w14:paraId="109AD030" w14:textId="77777777" w:rsidR="009B3384" w:rsidRDefault="00800862">
            <w:pPr>
              <w:widowControl w:val="0"/>
              <w:tabs>
                <w:tab w:val="clear" w:pos="567"/>
                <w:tab w:val="left" w:pos="284"/>
              </w:tabs>
              <w:rPr>
                <w:sz w:val="18"/>
                <w:szCs w:val="18"/>
              </w:rPr>
            </w:pPr>
            <w:r>
              <w:rPr>
                <w:szCs w:val="22"/>
                <w:vertAlign w:val="superscript"/>
              </w:rPr>
              <w:t>а</w:t>
            </w:r>
            <w:r>
              <w:rPr>
                <w:szCs w:val="22"/>
                <w:vertAlign w:val="superscript"/>
              </w:rPr>
              <w:tab/>
            </w:r>
            <w:r>
              <w:rPr>
                <w:sz w:val="18"/>
                <w:szCs w:val="18"/>
              </w:rPr>
              <w:t>p</w:t>
            </w:r>
            <w:r>
              <w:rPr>
                <w:sz w:val="18"/>
                <w:szCs w:val="18"/>
                <w:lang w:val="nl-BE"/>
              </w:rPr>
              <w:t> </w:t>
            </w:r>
            <w:r>
              <w:rPr>
                <w:sz w:val="18"/>
                <w:szCs w:val="18"/>
              </w:rPr>
              <w:t>&lt;</w:t>
            </w:r>
            <w:r>
              <w:rPr>
                <w:sz w:val="18"/>
                <w:szCs w:val="18"/>
                <w:lang w:val="nl-BE"/>
              </w:rPr>
              <w:t> </w:t>
            </w:r>
            <w:r>
              <w:rPr>
                <w:sz w:val="18"/>
                <w:szCs w:val="18"/>
              </w:rPr>
              <w:t>0,001 за устекинумаб 45 mg или 90 mg в сравнение с етанерцепт.</w:t>
            </w:r>
          </w:p>
          <w:p w14:paraId="109AD031" w14:textId="77777777" w:rsidR="009B3384" w:rsidRDefault="00800862">
            <w:pPr>
              <w:widowControl w:val="0"/>
              <w:tabs>
                <w:tab w:val="clear" w:pos="567"/>
                <w:tab w:val="left" w:pos="284"/>
              </w:tabs>
            </w:pPr>
            <w:r>
              <w:rPr>
                <w:szCs w:val="22"/>
                <w:vertAlign w:val="superscript"/>
              </w:rPr>
              <w:t>б</w:t>
            </w:r>
            <w:r>
              <w:rPr>
                <w:sz w:val="18"/>
                <w:szCs w:val="18"/>
              </w:rPr>
              <w:tab/>
              <w:t>p</w:t>
            </w:r>
            <w:r>
              <w:rPr>
                <w:sz w:val="18"/>
                <w:szCs w:val="18"/>
                <w:lang w:val="nl-BE"/>
              </w:rPr>
              <w:t> </w:t>
            </w:r>
            <w:r>
              <w:rPr>
                <w:sz w:val="18"/>
                <w:szCs w:val="18"/>
              </w:rPr>
              <w:t>= 0,012 за устекинумаб 45 mg в сравнение с етанерцепт.</w:t>
            </w:r>
          </w:p>
        </w:tc>
      </w:tr>
    </w:tbl>
    <w:p w14:paraId="109AD033" w14:textId="77777777" w:rsidR="009B3384" w:rsidRDefault="009B3384">
      <w:pPr>
        <w:rPr>
          <w:bCs/>
        </w:rPr>
      </w:pPr>
    </w:p>
    <w:p w14:paraId="109AD034" w14:textId="77777777" w:rsidR="009B3384" w:rsidRDefault="00800862">
      <w:pPr>
        <w:rPr>
          <w:iCs/>
        </w:rPr>
      </w:pPr>
      <w:r>
        <w:rPr>
          <w:iCs/>
        </w:rPr>
        <w:t xml:space="preserve">В проучване при псориазис 1 поддържането на </w:t>
      </w:r>
      <w:r>
        <w:rPr>
          <w:szCs w:val="13"/>
        </w:rPr>
        <w:t>PASI 75 е значително по-високо при продължително лечение, в сравнение с това при оттегляне от лечението (p &lt;</w:t>
      </w:r>
      <w:r>
        <w:rPr>
          <w:szCs w:val="13"/>
          <w:lang w:val="nl-BE"/>
        </w:rPr>
        <w:t> </w:t>
      </w:r>
      <w:r>
        <w:rPr>
          <w:szCs w:val="13"/>
        </w:rPr>
        <w:t xml:space="preserve">0,001). Подобни </w:t>
      </w:r>
      <w:r>
        <w:rPr>
          <w:szCs w:val="13"/>
        </w:rPr>
        <w:lastRenderedPageBreak/>
        <w:t>резултати се наблюдават при всяка доза устекинумаб</w:t>
      </w:r>
      <w:r>
        <w:rPr>
          <w:iCs/>
        </w:rPr>
        <w:t>. На 1</w:t>
      </w:r>
      <w:r>
        <w:rPr>
          <w:iCs/>
          <w:vertAlign w:val="superscript"/>
        </w:rPr>
        <w:t>вата</w:t>
      </w:r>
      <w:r>
        <w:rPr>
          <w:iCs/>
        </w:rPr>
        <w:t xml:space="preserve"> година (седмица 52) 89% от пациентите, повторно рандомизирани за поддържащо лечение, са се повлияли по PASI 75, в сравнение с 63% от пациентите, повторно рандомизирани за плацебо (оттегляне от лечението) (p</w:t>
      </w:r>
      <w:r>
        <w:rPr>
          <w:iCs/>
          <w:lang w:val="nl-BE"/>
        </w:rPr>
        <w:t> </w:t>
      </w:r>
      <w:r>
        <w:rPr>
          <w:iCs/>
        </w:rPr>
        <w:t>&lt;</w:t>
      </w:r>
      <w:r>
        <w:rPr>
          <w:iCs/>
          <w:lang w:val="nl-BE"/>
        </w:rPr>
        <w:t> </w:t>
      </w:r>
      <w:r>
        <w:rPr>
          <w:iCs/>
        </w:rPr>
        <w:t>0,001). На 18</w:t>
      </w:r>
      <w:r>
        <w:rPr>
          <w:iCs/>
          <w:vertAlign w:val="superscript"/>
        </w:rPr>
        <w:t>тия</w:t>
      </w:r>
      <w:r>
        <w:rPr>
          <w:iCs/>
        </w:rPr>
        <w:t xml:space="preserve"> месец (седмица 76) 84% от пациентите, повторно рандомизирани за поддържащо лечение, са се повлияли по PASI 75, в сравнение с 19% от пациентите, повторно рандомизирани за плацебо (оттегляне от лечението). На 3</w:t>
      </w:r>
      <w:r>
        <w:rPr>
          <w:iCs/>
          <w:vertAlign w:val="superscript"/>
        </w:rPr>
        <w:t>та</w:t>
      </w:r>
      <w:r>
        <w:rPr>
          <w:iCs/>
        </w:rPr>
        <w:t xml:space="preserve"> година (седмица 148), 82% от пациентите, повторно рандомизирани за подържащо лечение, са се повлияли по PASI 75. На 5</w:t>
      </w:r>
      <w:r>
        <w:rPr>
          <w:iCs/>
        </w:rPr>
        <w:noBreakHyphen/>
        <w:t>та година (седмица 244) 80% от пациентите, повторно рандомизирани на подържащо лечение, са се повлияли по PASI 75.</w:t>
      </w:r>
    </w:p>
    <w:p w14:paraId="109AD035" w14:textId="77777777" w:rsidR="009B3384" w:rsidRDefault="009B3384">
      <w:pPr>
        <w:rPr>
          <w:iCs/>
        </w:rPr>
      </w:pPr>
    </w:p>
    <w:p w14:paraId="109AD036" w14:textId="77777777" w:rsidR="009B3384" w:rsidRDefault="00800862">
      <w:pPr>
        <w:rPr>
          <w:iCs/>
        </w:rPr>
      </w:pPr>
      <w:r>
        <w:rPr>
          <w:iCs/>
        </w:rPr>
        <w:t>При пациентите, повторно рандомизирани за плацебо, които отново са преминали към първоначалната си схема на лечение с устекинумаб след загубата на ≥ 50% подобрение по PASI, 85% са възстановили повлияването по PASI 75 в рамките на 12 седмици след възобновяване на терапията.</w:t>
      </w:r>
    </w:p>
    <w:p w14:paraId="109AD037" w14:textId="77777777" w:rsidR="009B3384" w:rsidRDefault="009B3384">
      <w:pPr>
        <w:rPr>
          <w:b/>
          <w:bCs/>
          <w:iCs/>
        </w:rPr>
      </w:pPr>
    </w:p>
    <w:p w14:paraId="109AD038" w14:textId="77777777" w:rsidR="009B3384" w:rsidRDefault="00800862">
      <w:pPr>
        <w:rPr>
          <w:b/>
          <w:bCs/>
          <w:iCs/>
        </w:rPr>
      </w:pPr>
      <w:r>
        <w:rPr>
          <w:iCs/>
        </w:rPr>
        <w:t xml:space="preserve">В проучване при псориазис 1 в седмица 2 и седмица 12 се наблюдава значително подобрение спрямо изходните стойности на DLQI във всяка от групите на лечение с устекинумаб в сравнение с плацебо. Подобрението се запазва до седмица 28. Подобно значително подобрение се наблюдава в проучване при псориазис 2 в седмици 4 и 12, което се запазва до седмица 24. В проучване при псориазис 1 подобренията в нокътния псориазис (индекс за тежестта на нокътен псориазис), в общата оценка на физическото и емоционалното състояние по SF-36 и във визуално-аналоговата скала за определяне на стойността на болката при сърбеж (VAS) също са значителни при всяка група на лечение с устекинумаб в сравнение с плацебо. В проучване при псориазис 2 </w:t>
      </w:r>
      <w:r>
        <w:t>клиничната скала за тревожност и депресия</w:t>
      </w:r>
      <w:r>
        <w:rPr>
          <w:iCs/>
        </w:rPr>
        <w:t xml:space="preserve"> (HADS) и въпросникът за работни ограничения (WLQ) също показват значително подобрение във всяка от групите на лечение с устекинумаб в сравнение с плацебо.</w:t>
      </w:r>
    </w:p>
    <w:p w14:paraId="109AD039" w14:textId="77777777" w:rsidR="009B3384" w:rsidRDefault="009B3384"/>
    <w:p w14:paraId="109AD03A" w14:textId="77777777" w:rsidR="009B3384" w:rsidRPr="00BC6A43" w:rsidRDefault="00800862">
      <w:pPr>
        <w:keepNext/>
        <w:rPr>
          <w:i/>
          <w:iCs/>
          <w:u w:val="single"/>
        </w:rPr>
      </w:pPr>
      <w:r w:rsidRPr="00BC6A43">
        <w:rPr>
          <w:i/>
          <w:iCs/>
          <w:u w:val="single"/>
        </w:rPr>
        <w:t>Псориатичен артрит (P</w:t>
      </w:r>
      <w:r w:rsidRPr="00BC6A43">
        <w:rPr>
          <w:i/>
          <w:iCs/>
          <w:u w:val="single"/>
          <w:lang w:val="en-US"/>
        </w:rPr>
        <w:t>s</w:t>
      </w:r>
      <w:r w:rsidRPr="00BC6A43">
        <w:rPr>
          <w:i/>
          <w:iCs/>
          <w:u w:val="single"/>
        </w:rPr>
        <w:t>A) (възрастни пациенти)</w:t>
      </w:r>
    </w:p>
    <w:p w14:paraId="109AD03B" w14:textId="77777777" w:rsidR="009B3384" w:rsidRDefault="00800862">
      <w:r>
        <w:t>Доказано е, че устекинумаб подобрява признаците и симптомите, физическото състояние и свързаното със здравето качество на живот и намалява степента на прогресия на периферното ставно увреждане при възрастни пациенти с активен PsA.</w:t>
      </w:r>
    </w:p>
    <w:p w14:paraId="109AD03C" w14:textId="77777777" w:rsidR="009B3384" w:rsidRDefault="009B3384"/>
    <w:p w14:paraId="109AD03D" w14:textId="77777777" w:rsidR="009B3384" w:rsidRDefault="00800862">
      <w:r>
        <w:t xml:space="preserve">Безопасността и ефикасността на устекинумаб са оценени при 927 пациенти в две рандомизирани, двойнослепи, плацебо-контролирани проучвания при пациенти с активен PsA (≥ 5 подути стави и ≥ 5 болезнени стави) въпреки употребата на нестероидни противовъзпалителни средства (НСПВС) или модифициращи болестта антиревматоидни лекарства (DMARD). Пациентите в тези проучвания са имали поставена диагноза PsA най-малко от 6 месеца. Включени са пациенти с всякакъв подтип на PsA, включително полиартикуларен артрит без данни за ревматоидни възли (39%), спондилит с периферен артрит (28%), асиметричен периферен артрит (21%), с участие на </w:t>
      </w:r>
      <w:r>
        <w:rPr>
          <w:iCs/>
        </w:rPr>
        <w:t>дистална интерфалангеална</w:t>
      </w:r>
      <w:r>
        <w:t xml:space="preserve"> става (12%) и инвалидизиращ артрит (0,5%). Над 70% и 40% от пациентите в двете проучвания са имали съответно ентезит и дактилит на изходно ниво. Пациентите са рандомизирани да получат лечение с устекинумаб 45</w:t>
      </w:r>
      <w:r>
        <w:rPr>
          <w:lang w:val="en-US"/>
        </w:rPr>
        <w:t> mg</w:t>
      </w:r>
      <w:r>
        <w:t>, 90</w:t>
      </w:r>
      <w:r>
        <w:rPr>
          <w:lang w:val="en-US"/>
        </w:rPr>
        <w:t> mg</w:t>
      </w:r>
      <w:r>
        <w:t>, или плацебо подкожно на седмици 0 и 4, последвани от прилагане на всеки 12 седмици (q12w). Приблизително 50% от пациентите са продължили на постоянна доза MTX (≤ 25</w:t>
      </w:r>
      <w:r>
        <w:rPr>
          <w:lang w:val="en-US"/>
        </w:rPr>
        <w:t> mg</w:t>
      </w:r>
      <w:r>
        <w:t>/седмица).</w:t>
      </w:r>
    </w:p>
    <w:p w14:paraId="109AD03E" w14:textId="77777777" w:rsidR="009B3384" w:rsidRDefault="009B3384"/>
    <w:p w14:paraId="109AD03F" w14:textId="77777777" w:rsidR="009B3384" w:rsidRDefault="00800862">
      <w:r>
        <w:t xml:space="preserve">В PsA проучване 1 (PSUMMIT I) и PsA проучване 2 (PSUMMIT II), съответно 80% и 86% от пациентите, са били лекувани с DMARD. В проучване 1 не е било позволено предишно лечение с антагонист на тумор-некротизиращ фактор алфа (TNF)α. В проучване 2, повечето пациенти </w:t>
      </w:r>
      <w:r>
        <w:rPr>
          <w:lang w:val="ru-RU"/>
        </w:rPr>
        <w:t xml:space="preserve">(58%, </w:t>
      </w:r>
      <w:r>
        <w:rPr>
          <w:lang w:val="en-GB"/>
        </w:rPr>
        <w:t>n </w:t>
      </w:r>
      <w:r>
        <w:rPr>
          <w:lang w:val="ru-RU"/>
        </w:rPr>
        <w:t>=</w:t>
      </w:r>
      <w:r>
        <w:rPr>
          <w:lang w:val="en-GB"/>
        </w:rPr>
        <w:t> </w:t>
      </w:r>
      <w:r>
        <w:rPr>
          <w:lang w:val="ru-RU"/>
        </w:rPr>
        <w:t>180)</w:t>
      </w:r>
      <w:r>
        <w:t xml:space="preserve"> са били лекувани с едно или повече анти-TNFα средство(а), като от тях над 70% са преустановили своето анти-TNFα лечение, поради липса на ефикасност или непоносимост, по всяко време.</w:t>
      </w:r>
    </w:p>
    <w:p w14:paraId="109AD040" w14:textId="77777777" w:rsidR="009B3384" w:rsidRDefault="009B3384"/>
    <w:p w14:paraId="109AD041" w14:textId="77777777" w:rsidR="009B3384" w:rsidRDefault="00800862">
      <w:pPr>
        <w:keepNext/>
        <w:rPr>
          <w:i/>
        </w:rPr>
      </w:pPr>
      <w:r>
        <w:rPr>
          <w:i/>
        </w:rPr>
        <w:t>Признаци и симптоми</w:t>
      </w:r>
    </w:p>
    <w:p w14:paraId="109AD042" w14:textId="3C1230E0" w:rsidR="009B3384" w:rsidRDefault="00800862">
      <w:r>
        <w:t xml:space="preserve">Лечението с устекинумаб води до значителни подобрения в измерителите за активност на заболяването в сравнение с плацебо на седмица 24. Първичната крайна точка е процентът на пациентите, постигнали отговор 20 по критериите на Американския колеж по ревматология </w:t>
      </w:r>
      <w:r>
        <w:lastRenderedPageBreak/>
        <w:t>(</w:t>
      </w:r>
      <w:r>
        <w:rPr>
          <w:szCs w:val="22"/>
        </w:rPr>
        <w:t xml:space="preserve">American College of Rheumatology, </w:t>
      </w:r>
      <w:r>
        <w:t>ACR) на седмица 24. Основните резултати за ефикасност са представени в таблица </w:t>
      </w:r>
      <w:r w:rsidRPr="00BC6A43">
        <w:t>7</w:t>
      </w:r>
      <w:r>
        <w:t xml:space="preserve"> по-долу.</w:t>
      </w:r>
    </w:p>
    <w:p w14:paraId="109AD043" w14:textId="77777777" w:rsidR="009B3384" w:rsidRDefault="009B3384"/>
    <w:p w14:paraId="109AD044" w14:textId="5B2B9EB2" w:rsidR="009B3384" w:rsidRDefault="00800862">
      <w:pPr>
        <w:keepNext/>
        <w:ind w:left="1134" w:hanging="1134"/>
        <w:rPr>
          <w:i/>
        </w:rPr>
      </w:pPr>
      <w:r>
        <w:rPr>
          <w:i/>
        </w:rPr>
        <w:t>Таблица </w:t>
      </w:r>
      <w:r w:rsidRPr="00BC6A43">
        <w:rPr>
          <w:i/>
        </w:rPr>
        <w:t>7</w:t>
      </w:r>
      <w:ins w:id="953" w:author="RABG09" w:date="2026-06-24T16:00:00Z">
        <w:r w:rsidR="00C949CD">
          <w:rPr>
            <w:i/>
          </w:rPr>
          <w:t>:</w:t>
        </w:r>
      </w:ins>
      <w:r>
        <w:rPr>
          <w:i/>
        </w:rPr>
        <w:tab/>
        <w:t>Брой на пациентите, постигнали клиничен отговор при псориатичен артрит Проучване 1 (PSUMMIT I) и Проучване 2 (PSUMMIT II) на седмица 24</w:t>
      </w:r>
    </w:p>
    <w:tbl>
      <w:tblPr>
        <w:tblW w:w="9072" w:type="dxa"/>
        <w:jc w:val="center"/>
        <w:tblLayout w:type="fixed"/>
        <w:tblLook w:val="0000" w:firstRow="0" w:lastRow="0" w:firstColumn="0" w:lastColumn="0" w:noHBand="0" w:noVBand="0"/>
      </w:tblPr>
      <w:tblGrid>
        <w:gridCol w:w="1987"/>
        <w:gridCol w:w="1081"/>
        <w:gridCol w:w="1201"/>
        <w:gridCol w:w="1265"/>
        <w:gridCol w:w="1138"/>
        <w:gridCol w:w="1201"/>
        <w:gridCol w:w="1199"/>
      </w:tblGrid>
      <w:tr w:rsidR="009B3384" w14:paraId="109AD04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45" w14:textId="77777777" w:rsidR="009B3384" w:rsidRDefault="009B3384">
            <w:pPr>
              <w:keepNext/>
              <w:widowControl w:val="0"/>
            </w:pPr>
          </w:p>
        </w:tc>
        <w:tc>
          <w:tcPr>
            <w:tcW w:w="3547" w:type="dxa"/>
            <w:gridSpan w:val="3"/>
            <w:tcBorders>
              <w:top w:val="single" w:sz="4" w:space="0" w:color="000000"/>
              <w:left w:val="single" w:sz="4" w:space="0" w:color="000000"/>
              <w:bottom w:val="single" w:sz="4" w:space="0" w:color="000000"/>
              <w:right w:val="single" w:sz="4" w:space="0" w:color="000000"/>
            </w:tcBorders>
            <w:vAlign w:val="center"/>
          </w:tcPr>
          <w:p w14:paraId="109AD046" w14:textId="77777777" w:rsidR="009B3384" w:rsidRDefault="00800862">
            <w:pPr>
              <w:keepNext/>
              <w:widowControl w:val="0"/>
              <w:jc w:val="center"/>
              <w:rPr>
                <w:b/>
                <w:lang w:val="en-GB"/>
              </w:rPr>
            </w:pPr>
            <w:r>
              <w:rPr>
                <w:b/>
              </w:rPr>
              <w:t>Проучване при псориатичен артрит</w:t>
            </w:r>
            <w:r>
              <w:rPr>
                <w:b/>
                <w:lang w:val="en-GB"/>
              </w:rPr>
              <w:t> 1</w:t>
            </w:r>
          </w:p>
        </w:tc>
        <w:tc>
          <w:tcPr>
            <w:tcW w:w="3538" w:type="dxa"/>
            <w:gridSpan w:val="3"/>
            <w:tcBorders>
              <w:top w:val="single" w:sz="4" w:space="0" w:color="000000"/>
              <w:left w:val="single" w:sz="4" w:space="0" w:color="000000"/>
              <w:bottom w:val="single" w:sz="4" w:space="0" w:color="000000"/>
              <w:right w:val="single" w:sz="4" w:space="0" w:color="000000"/>
            </w:tcBorders>
            <w:vAlign w:val="center"/>
          </w:tcPr>
          <w:p w14:paraId="109AD047" w14:textId="77777777" w:rsidR="009B3384" w:rsidRDefault="00800862">
            <w:pPr>
              <w:keepNext/>
              <w:widowControl w:val="0"/>
              <w:jc w:val="center"/>
              <w:rPr>
                <w:b/>
                <w:lang w:val="en-GB"/>
              </w:rPr>
            </w:pPr>
            <w:r>
              <w:rPr>
                <w:b/>
              </w:rPr>
              <w:t>Проучване при псориатичен артрит</w:t>
            </w:r>
            <w:r>
              <w:rPr>
                <w:b/>
                <w:lang w:val="en-GB"/>
              </w:rPr>
              <w:t> 2</w:t>
            </w:r>
          </w:p>
        </w:tc>
      </w:tr>
      <w:tr w:rsidR="009B3384" w14:paraId="109AD05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49" w14:textId="77777777" w:rsidR="009B3384" w:rsidRDefault="009B3384">
            <w:pPr>
              <w:keepNext/>
              <w:widowControl w:val="0"/>
              <w:rPr>
                <w:lang w:val="en-GB"/>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109AD04A" w14:textId="77777777" w:rsidR="009B3384" w:rsidRDefault="00800862">
            <w:pPr>
              <w:keepNext/>
              <w:widowControl w:val="0"/>
              <w:jc w:val="center"/>
              <w:rPr>
                <w:b/>
              </w:rPr>
            </w:pPr>
            <w:r>
              <w:rPr>
                <w:b/>
              </w:rPr>
              <w:t>Плацебо</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4B" w14:textId="77777777" w:rsidR="009B3384" w:rsidRDefault="00800862">
            <w:pPr>
              <w:keepNext/>
              <w:widowControl w:val="0"/>
              <w:jc w:val="center"/>
              <w:rPr>
                <w:b/>
                <w:lang w:val="en-GB"/>
              </w:rPr>
            </w:pPr>
            <w:r>
              <w:rPr>
                <w:b/>
                <w:lang w:val="en-GB"/>
              </w:rPr>
              <w:t>45 mg</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4C" w14:textId="77777777" w:rsidR="009B3384" w:rsidRDefault="00800862">
            <w:pPr>
              <w:keepNext/>
              <w:widowControl w:val="0"/>
              <w:jc w:val="center"/>
              <w:rPr>
                <w:b/>
                <w:lang w:val="en-GB"/>
              </w:rPr>
            </w:pPr>
            <w:r>
              <w:rPr>
                <w:b/>
                <w:lang w:val="en-GB"/>
              </w:rPr>
              <w:t>90 mg</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4D" w14:textId="77777777" w:rsidR="009B3384" w:rsidRDefault="00800862">
            <w:pPr>
              <w:keepNext/>
              <w:widowControl w:val="0"/>
              <w:jc w:val="center"/>
              <w:rPr>
                <w:b/>
              </w:rPr>
            </w:pPr>
            <w:r>
              <w:rPr>
                <w:b/>
              </w:rPr>
              <w:t>Плацебо</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4E" w14:textId="77777777" w:rsidR="009B3384" w:rsidRDefault="00800862">
            <w:pPr>
              <w:keepNext/>
              <w:widowControl w:val="0"/>
              <w:jc w:val="center"/>
              <w:rPr>
                <w:b/>
                <w:lang w:val="en-GB"/>
              </w:rPr>
            </w:pPr>
            <w:r>
              <w:rPr>
                <w:b/>
                <w:lang w:val="en-GB"/>
              </w:rPr>
              <w:t>45 mg</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4F" w14:textId="77777777" w:rsidR="009B3384" w:rsidRDefault="00800862">
            <w:pPr>
              <w:keepNext/>
              <w:widowControl w:val="0"/>
              <w:jc w:val="center"/>
              <w:rPr>
                <w:b/>
                <w:lang w:val="en-GB"/>
              </w:rPr>
            </w:pPr>
            <w:r>
              <w:rPr>
                <w:b/>
                <w:lang w:val="en-GB"/>
              </w:rPr>
              <w:t>90 mg</w:t>
            </w:r>
          </w:p>
        </w:tc>
      </w:tr>
      <w:tr w:rsidR="009B3384" w14:paraId="109AD05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51" w14:textId="77777777" w:rsidR="009B3384" w:rsidRDefault="00800862">
            <w:pPr>
              <w:keepNext/>
              <w:widowControl w:val="0"/>
              <w:rPr>
                <w:b/>
              </w:rPr>
            </w:pPr>
            <w:r>
              <w:rPr>
                <w:b/>
              </w:rPr>
              <w:t>Брой рандомизирани пациенти</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52" w14:textId="77777777" w:rsidR="009B3384" w:rsidRDefault="00800862">
            <w:pPr>
              <w:keepNext/>
              <w:widowControl w:val="0"/>
              <w:jc w:val="center"/>
              <w:rPr>
                <w:b/>
                <w:lang w:val="en-GB"/>
              </w:rPr>
            </w:pPr>
            <w:r>
              <w:rPr>
                <w:b/>
                <w:lang w:val="en-GB"/>
              </w:rPr>
              <w:t>206</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53" w14:textId="77777777" w:rsidR="009B3384" w:rsidRDefault="00800862">
            <w:pPr>
              <w:keepNext/>
              <w:widowControl w:val="0"/>
              <w:jc w:val="center"/>
              <w:rPr>
                <w:b/>
                <w:lang w:val="en-GB"/>
              </w:rPr>
            </w:pPr>
            <w:r>
              <w:rPr>
                <w:b/>
                <w:lang w:val="en-GB"/>
              </w:rPr>
              <w:t>205</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54" w14:textId="77777777" w:rsidR="009B3384" w:rsidRDefault="00800862">
            <w:pPr>
              <w:keepNext/>
              <w:widowControl w:val="0"/>
              <w:jc w:val="center"/>
              <w:rPr>
                <w:b/>
                <w:lang w:val="en-GB"/>
              </w:rPr>
            </w:pPr>
            <w:r>
              <w:rPr>
                <w:b/>
                <w:lang w:val="en-GB"/>
              </w:rPr>
              <w:t>204</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55" w14:textId="77777777" w:rsidR="009B3384" w:rsidRDefault="00800862">
            <w:pPr>
              <w:keepNext/>
              <w:widowControl w:val="0"/>
              <w:jc w:val="center"/>
              <w:rPr>
                <w:b/>
                <w:lang w:val="en-GB"/>
              </w:rPr>
            </w:pPr>
            <w:r>
              <w:rPr>
                <w:b/>
                <w:lang w:val="en-GB"/>
              </w:rPr>
              <w:t>104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56" w14:textId="77777777" w:rsidR="009B3384" w:rsidRDefault="00800862">
            <w:pPr>
              <w:keepNext/>
              <w:widowControl w:val="0"/>
              <w:jc w:val="center"/>
              <w:rPr>
                <w:b/>
                <w:lang w:val="en-GB"/>
              </w:rPr>
            </w:pPr>
            <w:r>
              <w:rPr>
                <w:b/>
                <w:lang w:val="en-GB"/>
              </w:rPr>
              <w:t>103</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57" w14:textId="77777777" w:rsidR="009B3384" w:rsidRDefault="00800862">
            <w:pPr>
              <w:keepNext/>
              <w:widowControl w:val="0"/>
              <w:jc w:val="center"/>
              <w:rPr>
                <w:b/>
                <w:lang w:val="en-GB"/>
              </w:rPr>
            </w:pPr>
            <w:r>
              <w:rPr>
                <w:b/>
                <w:lang w:val="en-GB"/>
              </w:rPr>
              <w:t>105</w:t>
            </w:r>
          </w:p>
        </w:tc>
      </w:tr>
      <w:tr w:rsidR="009B3384" w14:paraId="109AD06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59" w14:textId="77777777" w:rsidR="009B3384" w:rsidRDefault="00800862">
            <w:pPr>
              <w:widowControl w:val="0"/>
              <w:ind w:left="284"/>
              <w:rPr>
                <w:lang w:val="en-GB"/>
              </w:rPr>
            </w:pPr>
            <w:r>
              <w:rPr>
                <w:lang w:val="en-GB"/>
              </w:rPr>
              <w:t xml:space="preserve">ACR 20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5A" w14:textId="77777777" w:rsidR="009B3384" w:rsidRDefault="00800862">
            <w:pPr>
              <w:widowControl w:val="0"/>
              <w:jc w:val="center"/>
              <w:rPr>
                <w:lang w:val="en-GB"/>
              </w:rPr>
            </w:pPr>
            <w:r>
              <w:rPr>
                <w:lang w:val="en-GB"/>
              </w:rPr>
              <w:t>47 (23%)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5B" w14:textId="77777777" w:rsidR="009B3384" w:rsidRDefault="00800862">
            <w:pPr>
              <w:widowControl w:val="0"/>
              <w:jc w:val="center"/>
              <w:rPr>
                <w:lang w:val="en-GB"/>
              </w:rPr>
            </w:pPr>
            <w:r>
              <w:rPr>
                <w:lang w:val="en-GB"/>
              </w:rPr>
              <w:t>87 (42</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05C" w14:textId="77777777" w:rsidR="009B3384" w:rsidRDefault="00800862">
            <w:pPr>
              <w:widowControl w:val="0"/>
              <w:jc w:val="center"/>
              <w:rPr>
                <w:lang w:val="en-GB"/>
              </w:rPr>
            </w:pPr>
            <w:r>
              <w:rPr>
                <w:lang w:val="en-GB"/>
              </w:rPr>
              <w:t>101 (50</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05D" w14:textId="77777777" w:rsidR="009B3384" w:rsidRDefault="00800862">
            <w:pPr>
              <w:widowControl w:val="0"/>
              <w:jc w:val="center"/>
              <w:rPr>
                <w:lang w:val="en-GB"/>
              </w:rPr>
            </w:pPr>
            <w:r>
              <w:rPr>
                <w:lang w:val="en-GB"/>
              </w:rPr>
              <w:t>21 (20%)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5E" w14:textId="77777777" w:rsidR="009B3384" w:rsidRDefault="00800862">
            <w:pPr>
              <w:widowControl w:val="0"/>
              <w:jc w:val="center"/>
              <w:rPr>
                <w:lang w:val="en-GB"/>
              </w:rPr>
            </w:pPr>
            <w:r>
              <w:rPr>
                <w:lang w:val="en-GB"/>
              </w:rPr>
              <w:t>45 (44</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05F" w14:textId="77777777" w:rsidR="009B3384" w:rsidRDefault="00800862">
            <w:pPr>
              <w:widowControl w:val="0"/>
              <w:jc w:val="center"/>
              <w:rPr>
                <w:lang w:val="en-GB"/>
              </w:rPr>
            </w:pPr>
            <w:r>
              <w:rPr>
                <w:lang w:val="en-GB"/>
              </w:rPr>
              <w:t>46 (44</w:t>
            </w:r>
            <w:proofErr w:type="gramStart"/>
            <w:r>
              <w:rPr>
                <w:lang w:val="en-GB"/>
              </w:rPr>
              <w:t>%)</w:t>
            </w:r>
            <w:r>
              <w:rPr>
                <w:vertAlign w:val="superscript"/>
                <w:lang w:val="en-GB"/>
              </w:rPr>
              <w:t>a</w:t>
            </w:r>
            <w:proofErr w:type="gramEnd"/>
          </w:p>
        </w:tc>
      </w:tr>
      <w:tr w:rsidR="009B3384" w14:paraId="109AD06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61" w14:textId="77777777" w:rsidR="009B3384" w:rsidRDefault="00800862">
            <w:pPr>
              <w:widowControl w:val="0"/>
              <w:ind w:left="284"/>
              <w:rPr>
                <w:lang w:val="en-GB"/>
              </w:rPr>
            </w:pPr>
            <w:r>
              <w:rPr>
                <w:lang w:val="en-GB"/>
              </w:rPr>
              <w:t xml:space="preserve">ACR 50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62" w14:textId="77777777" w:rsidR="009B3384" w:rsidRDefault="00800862">
            <w:pPr>
              <w:widowControl w:val="0"/>
              <w:jc w:val="center"/>
              <w:rPr>
                <w:lang w:val="en-GB"/>
              </w:rPr>
            </w:pPr>
            <w:r>
              <w:rPr>
                <w:lang w:val="en-GB"/>
              </w:rPr>
              <w:t>18 (9%)</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63" w14:textId="77777777" w:rsidR="009B3384" w:rsidRDefault="00800862">
            <w:pPr>
              <w:widowControl w:val="0"/>
              <w:jc w:val="center"/>
              <w:rPr>
                <w:lang w:val="en-GB"/>
              </w:rPr>
            </w:pPr>
            <w:r>
              <w:rPr>
                <w:lang w:val="en-GB"/>
              </w:rPr>
              <w:t>51 (25</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064" w14:textId="77777777" w:rsidR="009B3384" w:rsidRDefault="00800862">
            <w:pPr>
              <w:widowControl w:val="0"/>
              <w:jc w:val="center"/>
              <w:rPr>
                <w:lang w:val="en-GB"/>
              </w:rPr>
            </w:pPr>
            <w:r>
              <w:rPr>
                <w:lang w:val="en-GB"/>
              </w:rPr>
              <w:t>57 (28</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065" w14:textId="77777777" w:rsidR="009B3384" w:rsidRDefault="00800862">
            <w:pPr>
              <w:widowControl w:val="0"/>
              <w:jc w:val="center"/>
              <w:rPr>
                <w:lang w:val="en-GB"/>
              </w:rPr>
            </w:pPr>
            <w:r>
              <w:rPr>
                <w:lang w:val="en-GB"/>
              </w:rPr>
              <w:t>7 (7%)</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66" w14:textId="77777777" w:rsidR="009B3384" w:rsidRDefault="00800862">
            <w:pPr>
              <w:widowControl w:val="0"/>
              <w:jc w:val="center"/>
            </w:pPr>
            <w:r>
              <w:rPr>
                <w:lang w:val="en-GB"/>
              </w:rPr>
              <w:t>18 (17</w:t>
            </w:r>
            <w:proofErr w:type="gramStart"/>
            <w:r>
              <w:rPr>
                <w:lang w:val="en-GB"/>
              </w:rPr>
              <w:t>%)</w:t>
            </w:r>
            <w:r>
              <w:rPr>
                <w:vertAlign w:val="superscript"/>
              </w:rPr>
              <w:t>б</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067" w14:textId="77777777" w:rsidR="009B3384" w:rsidRDefault="00800862">
            <w:pPr>
              <w:widowControl w:val="0"/>
              <w:jc w:val="center"/>
              <w:rPr>
                <w:lang w:val="en-GB"/>
              </w:rPr>
            </w:pPr>
            <w:r>
              <w:rPr>
                <w:lang w:val="en-GB"/>
              </w:rPr>
              <w:t>24 (23</w:t>
            </w:r>
            <w:proofErr w:type="gramStart"/>
            <w:r>
              <w:rPr>
                <w:lang w:val="en-GB"/>
              </w:rPr>
              <w:t>%)</w:t>
            </w:r>
            <w:r>
              <w:rPr>
                <w:vertAlign w:val="superscript"/>
                <w:lang w:val="en-GB"/>
              </w:rPr>
              <w:t>a</w:t>
            </w:r>
            <w:proofErr w:type="gramEnd"/>
          </w:p>
        </w:tc>
      </w:tr>
      <w:tr w:rsidR="009B3384" w14:paraId="109AD07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69" w14:textId="77777777" w:rsidR="009B3384" w:rsidRDefault="00800862">
            <w:pPr>
              <w:widowControl w:val="0"/>
              <w:ind w:left="284"/>
              <w:rPr>
                <w:lang w:val="en-GB"/>
              </w:rPr>
            </w:pPr>
            <w:r>
              <w:rPr>
                <w:lang w:val="en-GB"/>
              </w:rPr>
              <w:t xml:space="preserve">ACR 70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6A" w14:textId="77777777" w:rsidR="009B3384" w:rsidRDefault="00800862">
            <w:pPr>
              <w:widowControl w:val="0"/>
              <w:jc w:val="center"/>
              <w:rPr>
                <w:lang w:val="en-GB"/>
              </w:rPr>
            </w:pPr>
            <w:r>
              <w:rPr>
                <w:lang w:val="en-GB"/>
              </w:rPr>
              <w:t>5 (2%)</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6B" w14:textId="77777777" w:rsidR="009B3384" w:rsidRDefault="00800862">
            <w:pPr>
              <w:widowControl w:val="0"/>
              <w:jc w:val="center"/>
              <w:rPr>
                <w:lang w:val="en-GB"/>
              </w:rPr>
            </w:pPr>
            <w:r>
              <w:rPr>
                <w:lang w:val="en-GB"/>
              </w:rPr>
              <w:t>25 (12</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06C" w14:textId="77777777" w:rsidR="009B3384" w:rsidRDefault="00800862">
            <w:pPr>
              <w:widowControl w:val="0"/>
              <w:jc w:val="center"/>
              <w:rPr>
                <w:lang w:val="en-GB"/>
              </w:rPr>
            </w:pPr>
            <w:r>
              <w:rPr>
                <w:lang w:val="en-GB"/>
              </w:rPr>
              <w:t>29 (14</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06D" w14:textId="77777777" w:rsidR="009B3384" w:rsidRDefault="00800862">
            <w:pPr>
              <w:widowControl w:val="0"/>
              <w:jc w:val="center"/>
              <w:rPr>
                <w:lang w:val="en-GB"/>
              </w:rPr>
            </w:pPr>
            <w:r>
              <w:rPr>
                <w:lang w:val="en-GB"/>
              </w:rPr>
              <w:t>3 (3%)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6E" w14:textId="77777777" w:rsidR="009B3384" w:rsidRDefault="00800862">
            <w:pPr>
              <w:widowControl w:val="0"/>
              <w:jc w:val="center"/>
            </w:pPr>
            <w:r>
              <w:rPr>
                <w:lang w:val="en-GB"/>
              </w:rPr>
              <w:t>7 (7</w:t>
            </w:r>
            <w:proofErr w:type="gramStart"/>
            <w:r>
              <w:rPr>
                <w:lang w:val="en-GB"/>
              </w:rPr>
              <w:t>%)</w:t>
            </w:r>
            <w:r>
              <w:rPr>
                <w:vertAlign w:val="superscript"/>
              </w:rPr>
              <w:t>в</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06F" w14:textId="77777777" w:rsidR="009B3384" w:rsidRDefault="00800862">
            <w:pPr>
              <w:widowControl w:val="0"/>
              <w:jc w:val="center"/>
            </w:pPr>
            <w:r>
              <w:rPr>
                <w:lang w:val="en-GB"/>
              </w:rPr>
              <w:t>9 (9</w:t>
            </w:r>
            <w:proofErr w:type="gramStart"/>
            <w:r>
              <w:rPr>
                <w:lang w:val="en-GB"/>
              </w:rPr>
              <w:t>%)</w:t>
            </w:r>
            <w:r>
              <w:rPr>
                <w:vertAlign w:val="superscript"/>
              </w:rPr>
              <w:t>в</w:t>
            </w:r>
            <w:proofErr w:type="gramEnd"/>
          </w:p>
        </w:tc>
      </w:tr>
      <w:tr w:rsidR="009B3384" w14:paraId="109AD07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71" w14:textId="77777777" w:rsidR="009B3384" w:rsidRDefault="00800862">
            <w:pPr>
              <w:widowControl w:val="0"/>
              <w:rPr>
                <w:i/>
                <w:lang w:val="en-GB"/>
              </w:rPr>
            </w:pPr>
            <w:r>
              <w:rPr>
                <w:i/>
              </w:rPr>
              <w:t>Брой пациенти с</w:t>
            </w:r>
            <w:r>
              <w:rPr>
                <w:i/>
                <w:lang w:val="en-GB"/>
              </w:rPr>
              <w:t xml:space="preserve"> ≥ 3% BSA</w:t>
            </w:r>
            <w:r>
              <w:rPr>
                <w:szCs w:val="18"/>
                <w:vertAlign w:val="superscript"/>
              </w:rPr>
              <w:t>г</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72" w14:textId="77777777" w:rsidR="009B3384" w:rsidRDefault="00800862">
            <w:pPr>
              <w:widowControl w:val="0"/>
              <w:jc w:val="center"/>
              <w:rPr>
                <w:lang w:val="en-GB"/>
              </w:rPr>
            </w:pPr>
            <w:r>
              <w:rPr>
                <w:lang w:val="en-GB"/>
              </w:rPr>
              <w:t>146</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73" w14:textId="77777777" w:rsidR="009B3384" w:rsidRDefault="00800862">
            <w:pPr>
              <w:widowControl w:val="0"/>
              <w:jc w:val="center"/>
              <w:rPr>
                <w:lang w:val="en-GB"/>
              </w:rPr>
            </w:pPr>
            <w:r>
              <w:rPr>
                <w:lang w:val="en-GB"/>
              </w:rPr>
              <w:t>145</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74" w14:textId="77777777" w:rsidR="009B3384" w:rsidRDefault="00800862">
            <w:pPr>
              <w:widowControl w:val="0"/>
              <w:jc w:val="center"/>
              <w:rPr>
                <w:lang w:val="en-GB"/>
              </w:rPr>
            </w:pPr>
            <w:r>
              <w:rPr>
                <w:lang w:val="en-GB"/>
              </w:rPr>
              <w:t>149</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75" w14:textId="77777777" w:rsidR="009B3384" w:rsidRDefault="00800862">
            <w:pPr>
              <w:widowControl w:val="0"/>
              <w:jc w:val="center"/>
              <w:rPr>
                <w:lang w:val="en-GB"/>
              </w:rPr>
            </w:pPr>
            <w:r>
              <w:rPr>
                <w:lang w:val="en-GB"/>
              </w:rPr>
              <w:t>80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76" w14:textId="77777777" w:rsidR="009B3384" w:rsidRDefault="00800862">
            <w:pPr>
              <w:widowControl w:val="0"/>
              <w:jc w:val="center"/>
              <w:rPr>
                <w:lang w:val="en-GB"/>
              </w:rPr>
            </w:pPr>
            <w:r>
              <w:rPr>
                <w:lang w:val="en-GB"/>
              </w:rPr>
              <w:t>80</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77" w14:textId="77777777" w:rsidR="009B3384" w:rsidRDefault="00800862">
            <w:pPr>
              <w:widowControl w:val="0"/>
              <w:jc w:val="center"/>
              <w:rPr>
                <w:lang w:val="en-GB"/>
              </w:rPr>
            </w:pPr>
            <w:r>
              <w:rPr>
                <w:lang w:val="en-GB"/>
              </w:rPr>
              <w:t>81</w:t>
            </w:r>
          </w:p>
        </w:tc>
      </w:tr>
      <w:tr w:rsidR="009B3384" w14:paraId="109AD08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79" w14:textId="77777777" w:rsidR="009B3384" w:rsidRDefault="00800862">
            <w:pPr>
              <w:widowControl w:val="0"/>
              <w:ind w:left="284"/>
              <w:rPr>
                <w:lang w:val="en-GB"/>
              </w:rPr>
            </w:pPr>
            <w:r>
              <w:rPr>
                <w:lang w:val="en-GB"/>
              </w:rPr>
              <w:t xml:space="preserve">PASI 75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7A" w14:textId="77777777" w:rsidR="009B3384" w:rsidRDefault="00800862">
            <w:pPr>
              <w:widowControl w:val="0"/>
              <w:jc w:val="center"/>
              <w:rPr>
                <w:lang w:val="en-GB"/>
              </w:rPr>
            </w:pPr>
            <w:r>
              <w:rPr>
                <w:lang w:val="en-GB"/>
              </w:rPr>
              <w:t>16 (11%)</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7B" w14:textId="77777777" w:rsidR="009B3384" w:rsidRDefault="00800862">
            <w:pPr>
              <w:widowControl w:val="0"/>
              <w:jc w:val="center"/>
              <w:rPr>
                <w:lang w:val="en-GB"/>
              </w:rPr>
            </w:pPr>
            <w:r>
              <w:rPr>
                <w:lang w:val="en-GB"/>
              </w:rPr>
              <w:t>83 (57</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07C" w14:textId="77777777" w:rsidR="009B3384" w:rsidRDefault="00800862">
            <w:pPr>
              <w:widowControl w:val="0"/>
              <w:jc w:val="center"/>
              <w:rPr>
                <w:lang w:val="en-GB"/>
              </w:rPr>
            </w:pPr>
            <w:r>
              <w:rPr>
                <w:lang w:val="en-GB"/>
              </w:rPr>
              <w:t>93 (62</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07D" w14:textId="77777777" w:rsidR="009B3384" w:rsidRDefault="00800862">
            <w:pPr>
              <w:widowControl w:val="0"/>
              <w:jc w:val="center"/>
              <w:rPr>
                <w:lang w:val="en-GB"/>
              </w:rPr>
            </w:pPr>
            <w:r>
              <w:rPr>
                <w:lang w:val="en-GB"/>
              </w:rPr>
              <w:t>4 (5%)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7E" w14:textId="77777777" w:rsidR="009B3384" w:rsidRDefault="00800862">
            <w:pPr>
              <w:widowControl w:val="0"/>
              <w:jc w:val="center"/>
              <w:rPr>
                <w:lang w:val="en-GB"/>
              </w:rPr>
            </w:pPr>
            <w:r>
              <w:rPr>
                <w:lang w:val="en-GB"/>
              </w:rPr>
              <w:t>41 (51</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07F" w14:textId="77777777" w:rsidR="009B3384" w:rsidRDefault="00800862">
            <w:pPr>
              <w:widowControl w:val="0"/>
              <w:jc w:val="center"/>
              <w:rPr>
                <w:lang w:val="en-GB"/>
              </w:rPr>
            </w:pPr>
            <w:r>
              <w:rPr>
                <w:lang w:val="en-GB"/>
              </w:rPr>
              <w:t>45 (56</w:t>
            </w:r>
            <w:proofErr w:type="gramStart"/>
            <w:r>
              <w:rPr>
                <w:lang w:val="en-GB"/>
              </w:rPr>
              <w:t>%)</w:t>
            </w:r>
            <w:r>
              <w:rPr>
                <w:vertAlign w:val="superscript"/>
                <w:lang w:val="en-GB"/>
              </w:rPr>
              <w:t>a</w:t>
            </w:r>
            <w:proofErr w:type="gramEnd"/>
          </w:p>
        </w:tc>
      </w:tr>
      <w:tr w:rsidR="009B3384" w14:paraId="109AD08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81" w14:textId="77777777" w:rsidR="009B3384" w:rsidRDefault="00800862">
            <w:pPr>
              <w:widowControl w:val="0"/>
              <w:ind w:left="284"/>
              <w:rPr>
                <w:lang w:val="en-GB"/>
              </w:rPr>
            </w:pPr>
            <w:r>
              <w:rPr>
                <w:lang w:val="en-GB"/>
              </w:rPr>
              <w:t xml:space="preserve">PASI 90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82" w14:textId="77777777" w:rsidR="009B3384" w:rsidRDefault="00800862">
            <w:pPr>
              <w:widowControl w:val="0"/>
              <w:jc w:val="center"/>
              <w:rPr>
                <w:lang w:val="en-GB"/>
              </w:rPr>
            </w:pPr>
            <w:r>
              <w:rPr>
                <w:lang w:val="en-GB"/>
              </w:rPr>
              <w:t>4 (3%)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83" w14:textId="77777777" w:rsidR="009B3384" w:rsidRDefault="00800862">
            <w:pPr>
              <w:widowControl w:val="0"/>
              <w:jc w:val="center"/>
              <w:rPr>
                <w:lang w:val="en-GB"/>
              </w:rPr>
            </w:pPr>
            <w:r>
              <w:rPr>
                <w:lang w:val="en-GB"/>
              </w:rPr>
              <w:t>60 (41</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084" w14:textId="77777777" w:rsidR="009B3384" w:rsidRDefault="00800862">
            <w:pPr>
              <w:widowControl w:val="0"/>
              <w:jc w:val="center"/>
              <w:rPr>
                <w:lang w:val="en-GB"/>
              </w:rPr>
            </w:pPr>
            <w:r>
              <w:rPr>
                <w:lang w:val="en-GB"/>
              </w:rPr>
              <w:t>65 (44</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085" w14:textId="77777777" w:rsidR="009B3384" w:rsidRDefault="00800862">
            <w:pPr>
              <w:widowControl w:val="0"/>
              <w:jc w:val="center"/>
              <w:rPr>
                <w:lang w:val="en-GB"/>
              </w:rPr>
            </w:pPr>
            <w:r>
              <w:rPr>
                <w:lang w:val="en-GB"/>
              </w:rPr>
              <w:t>3 (4%)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86" w14:textId="77777777" w:rsidR="009B3384" w:rsidRDefault="00800862">
            <w:pPr>
              <w:widowControl w:val="0"/>
              <w:jc w:val="center"/>
              <w:rPr>
                <w:lang w:val="en-GB"/>
              </w:rPr>
            </w:pPr>
            <w:r>
              <w:rPr>
                <w:lang w:val="en-GB"/>
              </w:rPr>
              <w:t>24 (30</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087" w14:textId="77777777" w:rsidR="009B3384" w:rsidRDefault="00800862">
            <w:pPr>
              <w:widowControl w:val="0"/>
              <w:jc w:val="center"/>
              <w:rPr>
                <w:lang w:val="en-GB"/>
              </w:rPr>
            </w:pPr>
            <w:r>
              <w:rPr>
                <w:lang w:val="en-GB"/>
              </w:rPr>
              <w:t>36 (44</w:t>
            </w:r>
            <w:proofErr w:type="gramStart"/>
            <w:r>
              <w:rPr>
                <w:lang w:val="en-GB"/>
              </w:rPr>
              <w:t>%)</w:t>
            </w:r>
            <w:r>
              <w:rPr>
                <w:vertAlign w:val="superscript"/>
                <w:lang w:val="en-GB"/>
              </w:rPr>
              <w:t>a</w:t>
            </w:r>
            <w:proofErr w:type="gramEnd"/>
          </w:p>
        </w:tc>
      </w:tr>
      <w:tr w:rsidR="009B3384" w14:paraId="109AD09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89" w14:textId="77777777" w:rsidR="009B3384" w:rsidRDefault="00800862">
            <w:pPr>
              <w:widowControl w:val="0"/>
              <w:ind w:left="284"/>
            </w:pPr>
            <w:r>
              <w:t xml:space="preserve">Комбиниран </w:t>
            </w:r>
            <w:r>
              <w:rPr>
                <w:lang w:val="en-GB"/>
              </w:rPr>
              <w:t>PASI </w:t>
            </w:r>
            <w:r>
              <w:t xml:space="preserve">75 и </w:t>
            </w:r>
            <w:r>
              <w:rPr>
                <w:lang w:val="en-GB"/>
              </w:rPr>
              <w:t>ACR </w:t>
            </w:r>
            <w:r>
              <w:t xml:space="preserve">20 отговор, </w:t>
            </w:r>
            <w:r>
              <w:rPr>
                <w:lang w:val="en-GB"/>
              </w:rPr>
              <w:t>N</w:t>
            </w: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8A" w14:textId="77777777" w:rsidR="009B3384" w:rsidRDefault="00800862">
            <w:pPr>
              <w:widowControl w:val="0"/>
              <w:jc w:val="center"/>
              <w:rPr>
                <w:lang w:val="en-GB"/>
              </w:rPr>
            </w:pPr>
            <w:r>
              <w:rPr>
                <w:lang w:val="en-GB"/>
              </w:rPr>
              <w:t>8 (5%)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8B" w14:textId="77777777" w:rsidR="009B3384" w:rsidRDefault="00800862">
            <w:pPr>
              <w:widowControl w:val="0"/>
              <w:jc w:val="center"/>
              <w:rPr>
                <w:lang w:val="en-GB"/>
              </w:rPr>
            </w:pPr>
            <w:r>
              <w:rPr>
                <w:lang w:val="en-GB"/>
              </w:rPr>
              <w:t>40 (28</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08C" w14:textId="77777777" w:rsidR="009B3384" w:rsidRDefault="00800862">
            <w:pPr>
              <w:widowControl w:val="0"/>
              <w:jc w:val="center"/>
              <w:rPr>
                <w:lang w:val="en-GB"/>
              </w:rPr>
            </w:pPr>
            <w:r>
              <w:rPr>
                <w:lang w:val="en-GB"/>
              </w:rPr>
              <w:t>62 (42</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08D" w14:textId="77777777" w:rsidR="009B3384" w:rsidRDefault="00800862">
            <w:pPr>
              <w:widowControl w:val="0"/>
              <w:jc w:val="center"/>
              <w:rPr>
                <w:lang w:val="en-GB"/>
              </w:rPr>
            </w:pPr>
            <w:r>
              <w:rPr>
                <w:lang w:val="en-GB"/>
              </w:rPr>
              <w:t>2 (3%)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8E" w14:textId="77777777" w:rsidR="009B3384" w:rsidRDefault="00800862">
            <w:pPr>
              <w:widowControl w:val="0"/>
              <w:jc w:val="center"/>
              <w:rPr>
                <w:lang w:val="en-GB"/>
              </w:rPr>
            </w:pPr>
            <w:r>
              <w:rPr>
                <w:lang w:val="en-GB"/>
              </w:rPr>
              <w:t>24 (30</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08F" w14:textId="77777777" w:rsidR="009B3384" w:rsidRDefault="00800862">
            <w:pPr>
              <w:widowControl w:val="0"/>
              <w:jc w:val="center"/>
              <w:rPr>
                <w:lang w:val="en-GB"/>
              </w:rPr>
            </w:pPr>
            <w:r>
              <w:rPr>
                <w:lang w:val="en-GB"/>
              </w:rPr>
              <w:t>31 (38</w:t>
            </w:r>
            <w:proofErr w:type="gramStart"/>
            <w:r>
              <w:rPr>
                <w:lang w:val="en-GB"/>
              </w:rPr>
              <w:t>%)</w:t>
            </w:r>
            <w:r>
              <w:rPr>
                <w:vertAlign w:val="superscript"/>
                <w:lang w:val="en-GB"/>
              </w:rPr>
              <w:t>a</w:t>
            </w:r>
            <w:proofErr w:type="gramEnd"/>
          </w:p>
        </w:tc>
      </w:tr>
      <w:tr w:rsidR="009B3384" w14:paraId="109AD09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91" w14:textId="77777777" w:rsidR="009B3384" w:rsidRDefault="009B3384">
            <w:pPr>
              <w:widowControl w:val="0"/>
              <w:rPr>
                <w:i/>
                <w:lang w:val="en-GB"/>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109AD092" w14:textId="77777777" w:rsidR="009B3384" w:rsidRDefault="009B3384">
            <w:pPr>
              <w:widowControl w:val="0"/>
              <w:jc w:val="center"/>
              <w:rPr>
                <w:lang w:val="en-GB"/>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109AD093" w14:textId="77777777" w:rsidR="009B3384" w:rsidRDefault="009B3384">
            <w:pPr>
              <w:widowControl w:val="0"/>
              <w:jc w:val="center"/>
              <w:rPr>
                <w:lang w:val="en-GB"/>
              </w:rPr>
            </w:pPr>
          </w:p>
        </w:tc>
        <w:tc>
          <w:tcPr>
            <w:tcW w:w="1265" w:type="dxa"/>
            <w:tcBorders>
              <w:top w:val="single" w:sz="4" w:space="0" w:color="000000"/>
              <w:left w:val="single" w:sz="4" w:space="0" w:color="000000"/>
              <w:bottom w:val="single" w:sz="4" w:space="0" w:color="000000"/>
              <w:right w:val="single" w:sz="4" w:space="0" w:color="000000"/>
            </w:tcBorders>
            <w:vAlign w:val="center"/>
          </w:tcPr>
          <w:p w14:paraId="109AD094" w14:textId="77777777" w:rsidR="009B3384" w:rsidRDefault="009B3384">
            <w:pPr>
              <w:widowControl w:val="0"/>
              <w:jc w:val="center"/>
              <w:rPr>
                <w:lang w:val="en-GB"/>
              </w:rPr>
            </w:pPr>
          </w:p>
        </w:tc>
        <w:tc>
          <w:tcPr>
            <w:tcW w:w="1138" w:type="dxa"/>
            <w:tcBorders>
              <w:top w:val="single" w:sz="4" w:space="0" w:color="000000"/>
              <w:left w:val="single" w:sz="4" w:space="0" w:color="000000"/>
              <w:bottom w:val="single" w:sz="4" w:space="0" w:color="000000"/>
              <w:right w:val="single" w:sz="4" w:space="0" w:color="000000"/>
            </w:tcBorders>
            <w:vAlign w:val="center"/>
          </w:tcPr>
          <w:p w14:paraId="109AD095" w14:textId="77777777" w:rsidR="009B3384" w:rsidRDefault="009B3384">
            <w:pPr>
              <w:widowControl w:val="0"/>
              <w:jc w:val="center"/>
              <w:rPr>
                <w:lang w:val="en-GB"/>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109AD096" w14:textId="77777777" w:rsidR="009B3384" w:rsidRDefault="009B3384">
            <w:pPr>
              <w:widowControl w:val="0"/>
              <w:jc w:val="center"/>
              <w:rPr>
                <w:lang w:val="en-GB"/>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109AD097" w14:textId="77777777" w:rsidR="009B3384" w:rsidRDefault="009B3384">
            <w:pPr>
              <w:widowControl w:val="0"/>
              <w:jc w:val="center"/>
              <w:rPr>
                <w:lang w:val="en-GB"/>
              </w:rPr>
            </w:pPr>
          </w:p>
        </w:tc>
      </w:tr>
      <w:tr w:rsidR="009B3384" w14:paraId="109AD0A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99" w14:textId="77777777" w:rsidR="009B3384" w:rsidRDefault="00800862">
            <w:pPr>
              <w:widowControl w:val="0"/>
              <w:rPr>
                <w:b/>
                <w:lang w:val="en-GB"/>
              </w:rPr>
            </w:pPr>
            <w:r>
              <w:rPr>
                <w:b/>
              </w:rPr>
              <w:t>Брой пациенти</w:t>
            </w:r>
            <w:r>
              <w:rPr>
                <w:b/>
                <w:lang w:val="en-GB"/>
              </w:rPr>
              <w:t xml:space="preserve"> ≤ 100 kg</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9A" w14:textId="77777777" w:rsidR="009B3384" w:rsidRDefault="00800862">
            <w:pPr>
              <w:widowControl w:val="0"/>
              <w:jc w:val="center"/>
              <w:rPr>
                <w:lang w:val="en-GB"/>
              </w:rPr>
            </w:pPr>
            <w:r>
              <w:rPr>
                <w:lang w:val="en-GB"/>
              </w:rPr>
              <w:t>154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9B" w14:textId="77777777" w:rsidR="009B3384" w:rsidRDefault="00800862">
            <w:pPr>
              <w:widowControl w:val="0"/>
              <w:jc w:val="center"/>
              <w:rPr>
                <w:lang w:val="en-GB"/>
              </w:rPr>
            </w:pPr>
            <w:r>
              <w:rPr>
                <w:lang w:val="en-GB"/>
              </w:rPr>
              <w:t>153</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9C" w14:textId="77777777" w:rsidR="009B3384" w:rsidRDefault="00800862">
            <w:pPr>
              <w:widowControl w:val="0"/>
              <w:jc w:val="center"/>
              <w:rPr>
                <w:lang w:val="en-GB"/>
              </w:rPr>
            </w:pPr>
            <w:r>
              <w:rPr>
                <w:lang w:val="en-GB"/>
              </w:rPr>
              <w:t>154</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9D" w14:textId="77777777" w:rsidR="009B3384" w:rsidRDefault="00800862">
            <w:pPr>
              <w:widowControl w:val="0"/>
              <w:jc w:val="center"/>
              <w:rPr>
                <w:lang w:val="en-GB"/>
              </w:rPr>
            </w:pPr>
            <w:r>
              <w:rPr>
                <w:lang w:val="en-GB"/>
              </w:rPr>
              <w:t>74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9E" w14:textId="77777777" w:rsidR="009B3384" w:rsidRDefault="00800862">
            <w:pPr>
              <w:widowControl w:val="0"/>
              <w:jc w:val="center"/>
              <w:rPr>
                <w:lang w:val="en-GB"/>
              </w:rPr>
            </w:pPr>
            <w:r>
              <w:rPr>
                <w:lang w:val="en-GB"/>
              </w:rPr>
              <w:t>74</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9F" w14:textId="77777777" w:rsidR="009B3384" w:rsidRDefault="00800862">
            <w:pPr>
              <w:widowControl w:val="0"/>
              <w:jc w:val="center"/>
              <w:rPr>
                <w:lang w:val="en-GB"/>
              </w:rPr>
            </w:pPr>
            <w:r>
              <w:rPr>
                <w:lang w:val="en-GB"/>
              </w:rPr>
              <w:t>73</w:t>
            </w:r>
          </w:p>
        </w:tc>
      </w:tr>
      <w:tr w:rsidR="009B3384" w14:paraId="109AD0A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A1" w14:textId="77777777" w:rsidR="009B3384" w:rsidRDefault="00800862">
            <w:pPr>
              <w:widowControl w:val="0"/>
              <w:ind w:left="284"/>
              <w:rPr>
                <w:lang w:val="en-GB"/>
              </w:rPr>
            </w:pPr>
            <w:r>
              <w:rPr>
                <w:lang w:val="en-GB"/>
              </w:rPr>
              <w:t xml:space="preserve">ACR 20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A2" w14:textId="77777777" w:rsidR="009B3384" w:rsidRDefault="00800862">
            <w:pPr>
              <w:widowControl w:val="0"/>
              <w:jc w:val="center"/>
              <w:rPr>
                <w:lang w:val="en-GB"/>
              </w:rPr>
            </w:pPr>
            <w:r>
              <w:rPr>
                <w:lang w:val="en-GB"/>
              </w:rPr>
              <w:t>39 (25%)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A3" w14:textId="77777777" w:rsidR="009B3384" w:rsidRDefault="00800862">
            <w:pPr>
              <w:widowControl w:val="0"/>
              <w:jc w:val="center"/>
              <w:rPr>
                <w:lang w:val="en-GB"/>
              </w:rPr>
            </w:pPr>
            <w:r>
              <w:rPr>
                <w:lang w:val="en-GB"/>
              </w:rPr>
              <w:t>67 (44%)</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A4" w14:textId="77777777" w:rsidR="009B3384" w:rsidRDefault="00800862">
            <w:pPr>
              <w:widowControl w:val="0"/>
              <w:jc w:val="center"/>
              <w:rPr>
                <w:lang w:val="en-GB"/>
              </w:rPr>
            </w:pPr>
            <w:r>
              <w:rPr>
                <w:lang w:val="en-GB"/>
              </w:rPr>
              <w:t>78 (51%)</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A5" w14:textId="77777777" w:rsidR="009B3384" w:rsidRDefault="00800862">
            <w:pPr>
              <w:widowControl w:val="0"/>
              <w:jc w:val="center"/>
              <w:rPr>
                <w:lang w:val="en-GB"/>
              </w:rPr>
            </w:pPr>
            <w:r>
              <w:rPr>
                <w:lang w:val="en-GB"/>
              </w:rPr>
              <w:t>17 (23%)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A6" w14:textId="77777777" w:rsidR="009B3384" w:rsidRDefault="00800862">
            <w:pPr>
              <w:widowControl w:val="0"/>
              <w:jc w:val="center"/>
              <w:rPr>
                <w:lang w:val="en-GB"/>
              </w:rPr>
            </w:pPr>
            <w:r>
              <w:rPr>
                <w:lang w:val="en-GB"/>
              </w:rPr>
              <w:t>32 (43%)</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A7" w14:textId="77777777" w:rsidR="009B3384" w:rsidRDefault="00800862">
            <w:pPr>
              <w:widowControl w:val="0"/>
              <w:jc w:val="center"/>
              <w:rPr>
                <w:lang w:val="en-GB"/>
              </w:rPr>
            </w:pPr>
            <w:r>
              <w:rPr>
                <w:lang w:val="en-GB"/>
              </w:rPr>
              <w:t>34 (47%)</w:t>
            </w:r>
          </w:p>
        </w:tc>
      </w:tr>
      <w:tr w:rsidR="009B3384" w14:paraId="109AD0B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A9" w14:textId="77777777" w:rsidR="009B3384" w:rsidRDefault="00800862">
            <w:pPr>
              <w:widowControl w:val="0"/>
              <w:rPr>
                <w:i/>
                <w:lang w:val="en-GB"/>
              </w:rPr>
            </w:pPr>
            <w:r>
              <w:rPr>
                <w:i/>
              </w:rPr>
              <w:t>Брой пациенти с</w:t>
            </w:r>
            <w:r>
              <w:rPr>
                <w:i/>
                <w:lang w:val="en-GB"/>
              </w:rPr>
              <w:t xml:space="preserve"> ≥ 3% BSA</w:t>
            </w:r>
            <w:r>
              <w:rPr>
                <w:szCs w:val="18"/>
                <w:vertAlign w:val="superscript"/>
              </w:rPr>
              <w:t>г</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AA" w14:textId="77777777" w:rsidR="009B3384" w:rsidRDefault="00800862">
            <w:pPr>
              <w:widowControl w:val="0"/>
              <w:jc w:val="center"/>
              <w:rPr>
                <w:lang w:val="en-GB"/>
              </w:rPr>
            </w:pPr>
            <w:r>
              <w:rPr>
                <w:lang w:val="en-GB"/>
              </w:rPr>
              <w:t>105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AB" w14:textId="77777777" w:rsidR="009B3384" w:rsidRDefault="00800862">
            <w:pPr>
              <w:widowControl w:val="0"/>
              <w:jc w:val="center"/>
              <w:rPr>
                <w:lang w:val="en-GB"/>
              </w:rPr>
            </w:pPr>
            <w:r>
              <w:rPr>
                <w:lang w:val="en-GB"/>
              </w:rPr>
              <w:t>105</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AC" w14:textId="77777777" w:rsidR="009B3384" w:rsidRDefault="00800862">
            <w:pPr>
              <w:widowControl w:val="0"/>
              <w:jc w:val="center"/>
              <w:rPr>
                <w:lang w:val="en-GB"/>
              </w:rPr>
            </w:pPr>
            <w:r>
              <w:rPr>
                <w:lang w:val="en-GB"/>
              </w:rPr>
              <w:t>111</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AD" w14:textId="77777777" w:rsidR="009B3384" w:rsidRDefault="00800862">
            <w:pPr>
              <w:widowControl w:val="0"/>
              <w:jc w:val="center"/>
              <w:rPr>
                <w:lang w:val="en-GB"/>
              </w:rPr>
            </w:pPr>
            <w:r>
              <w:rPr>
                <w:lang w:val="en-GB"/>
              </w:rPr>
              <w:t>54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AE" w14:textId="77777777" w:rsidR="009B3384" w:rsidRDefault="00800862">
            <w:pPr>
              <w:widowControl w:val="0"/>
              <w:jc w:val="center"/>
              <w:rPr>
                <w:lang w:val="en-GB"/>
              </w:rPr>
            </w:pPr>
            <w:r>
              <w:rPr>
                <w:lang w:val="en-GB"/>
              </w:rPr>
              <w:t>58</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AF" w14:textId="77777777" w:rsidR="009B3384" w:rsidRDefault="00800862">
            <w:pPr>
              <w:widowControl w:val="0"/>
              <w:jc w:val="center"/>
              <w:rPr>
                <w:lang w:val="en-GB"/>
              </w:rPr>
            </w:pPr>
            <w:r>
              <w:rPr>
                <w:lang w:val="en-GB"/>
              </w:rPr>
              <w:t>57</w:t>
            </w:r>
          </w:p>
        </w:tc>
      </w:tr>
      <w:tr w:rsidR="009B3384" w14:paraId="109AD0B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B1" w14:textId="77777777" w:rsidR="009B3384" w:rsidRDefault="00800862">
            <w:pPr>
              <w:widowControl w:val="0"/>
              <w:ind w:left="284"/>
              <w:rPr>
                <w:lang w:val="en-GB"/>
              </w:rPr>
            </w:pPr>
            <w:r>
              <w:rPr>
                <w:lang w:val="en-GB"/>
              </w:rPr>
              <w:t xml:space="preserve">PASI 75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B2" w14:textId="77777777" w:rsidR="009B3384" w:rsidRDefault="00800862">
            <w:pPr>
              <w:widowControl w:val="0"/>
              <w:jc w:val="center"/>
              <w:rPr>
                <w:lang w:val="en-GB"/>
              </w:rPr>
            </w:pPr>
            <w:r>
              <w:rPr>
                <w:lang w:val="en-GB"/>
              </w:rPr>
              <w:t>14 (13%)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B3" w14:textId="77777777" w:rsidR="009B3384" w:rsidRDefault="00800862">
            <w:pPr>
              <w:widowControl w:val="0"/>
              <w:jc w:val="center"/>
              <w:rPr>
                <w:lang w:val="en-GB"/>
              </w:rPr>
            </w:pPr>
            <w:r>
              <w:rPr>
                <w:lang w:val="en-GB"/>
              </w:rPr>
              <w:t>64 (61%)</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B4" w14:textId="77777777" w:rsidR="009B3384" w:rsidRDefault="00800862">
            <w:pPr>
              <w:widowControl w:val="0"/>
              <w:jc w:val="center"/>
              <w:rPr>
                <w:lang w:val="en-GB"/>
              </w:rPr>
            </w:pPr>
            <w:r>
              <w:rPr>
                <w:lang w:val="en-GB"/>
              </w:rPr>
              <w:t>73 (66%)</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B5" w14:textId="77777777" w:rsidR="009B3384" w:rsidRDefault="00800862">
            <w:pPr>
              <w:widowControl w:val="0"/>
              <w:jc w:val="center"/>
              <w:rPr>
                <w:lang w:val="en-GB"/>
              </w:rPr>
            </w:pPr>
            <w:r>
              <w:rPr>
                <w:lang w:val="en-GB"/>
              </w:rPr>
              <w:t>4 (7%)</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B6" w14:textId="77777777" w:rsidR="009B3384" w:rsidRDefault="00800862">
            <w:pPr>
              <w:widowControl w:val="0"/>
              <w:jc w:val="center"/>
              <w:rPr>
                <w:lang w:val="en-GB"/>
              </w:rPr>
            </w:pPr>
            <w:r>
              <w:rPr>
                <w:lang w:val="en-GB"/>
              </w:rPr>
              <w:t>31 (53%)</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B7" w14:textId="77777777" w:rsidR="009B3384" w:rsidRDefault="00800862">
            <w:pPr>
              <w:widowControl w:val="0"/>
              <w:jc w:val="center"/>
              <w:rPr>
                <w:lang w:val="en-GB"/>
              </w:rPr>
            </w:pPr>
            <w:r>
              <w:rPr>
                <w:lang w:val="en-GB"/>
              </w:rPr>
              <w:t>32 (56%)</w:t>
            </w:r>
          </w:p>
        </w:tc>
      </w:tr>
      <w:tr w:rsidR="009B3384" w14:paraId="109AD0C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B9" w14:textId="77777777" w:rsidR="009B3384" w:rsidRDefault="00800862">
            <w:pPr>
              <w:widowControl w:val="0"/>
              <w:rPr>
                <w:b/>
                <w:lang w:val="en-GB"/>
              </w:rPr>
            </w:pPr>
            <w:r>
              <w:rPr>
                <w:b/>
              </w:rPr>
              <w:t>Брой пациенти</w:t>
            </w:r>
            <w:r>
              <w:rPr>
                <w:b/>
                <w:lang w:val="en-GB"/>
              </w:rPr>
              <w:t xml:space="preserve"> &gt; 100 kg</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BA" w14:textId="77777777" w:rsidR="009B3384" w:rsidRDefault="00800862">
            <w:pPr>
              <w:widowControl w:val="0"/>
              <w:jc w:val="center"/>
              <w:rPr>
                <w:lang w:val="en-GB"/>
              </w:rPr>
            </w:pPr>
            <w:r>
              <w:rPr>
                <w:lang w:val="en-GB"/>
              </w:rPr>
              <w:t>52</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BB" w14:textId="77777777" w:rsidR="009B3384" w:rsidRDefault="00800862">
            <w:pPr>
              <w:widowControl w:val="0"/>
              <w:jc w:val="center"/>
              <w:rPr>
                <w:lang w:val="en-GB"/>
              </w:rPr>
            </w:pPr>
            <w:r>
              <w:rPr>
                <w:lang w:val="en-GB"/>
              </w:rPr>
              <w:t>52</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BC" w14:textId="77777777" w:rsidR="009B3384" w:rsidRDefault="00800862">
            <w:pPr>
              <w:widowControl w:val="0"/>
              <w:jc w:val="center"/>
              <w:rPr>
                <w:lang w:val="en-GB"/>
              </w:rPr>
            </w:pPr>
            <w:r>
              <w:rPr>
                <w:lang w:val="en-GB"/>
              </w:rPr>
              <w:t>50</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BD" w14:textId="77777777" w:rsidR="009B3384" w:rsidRDefault="00800862">
            <w:pPr>
              <w:widowControl w:val="0"/>
              <w:jc w:val="center"/>
              <w:rPr>
                <w:lang w:val="en-GB"/>
              </w:rPr>
            </w:pPr>
            <w:r>
              <w:rPr>
                <w:lang w:val="en-GB"/>
              </w:rPr>
              <w:t>30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BE" w14:textId="77777777" w:rsidR="009B3384" w:rsidRDefault="00800862">
            <w:pPr>
              <w:widowControl w:val="0"/>
              <w:jc w:val="center"/>
              <w:rPr>
                <w:lang w:val="en-GB"/>
              </w:rPr>
            </w:pPr>
            <w:r>
              <w:rPr>
                <w:lang w:val="en-GB"/>
              </w:rPr>
              <w:t>29</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BF" w14:textId="77777777" w:rsidR="009B3384" w:rsidRDefault="00800862">
            <w:pPr>
              <w:widowControl w:val="0"/>
              <w:jc w:val="center"/>
              <w:rPr>
                <w:lang w:val="en-GB"/>
              </w:rPr>
            </w:pPr>
            <w:r>
              <w:rPr>
                <w:lang w:val="en-GB"/>
              </w:rPr>
              <w:t>31</w:t>
            </w:r>
          </w:p>
        </w:tc>
      </w:tr>
      <w:tr w:rsidR="009B3384" w14:paraId="109AD0C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C1" w14:textId="77777777" w:rsidR="009B3384" w:rsidRDefault="00800862">
            <w:pPr>
              <w:widowControl w:val="0"/>
              <w:ind w:left="284"/>
              <w:rPr>
                <w:lang w:val="en-GB"/>
              </w:rPr>
            </w:pPr>
            <w:r>
              <w:rPr>
                <w:lang w:val="en-GB"/>
              </w:rPr>
              <w:t xml:space="preserve">ACR 20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C2" w14:textId="77777777" w:rsidR="009B3384" w:rsidRDefault="00800862">
            <w:pPr>
              <w:widowControl w:val="0"/>
              <w:jc w:val="center"/>
              <w:rPr>
                <w:lang w:val="en-GB"/>
              </w:rPr>
            </w:pPr>
            <w:r>
              <w:rPr>
                <w:lang w:val="en-GB"/>
              </w:rPr>
              <w:t>8 (15%)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C3" w14:textId="77777777" w:rsidR="009B3384" w:rsidRDefault="00800862">
            <w:pPr>
              <w:widowControl w:val="0"/>
              <w:jc w:val="center"/>
              <w:rPr>
                <w:lang w:val="en-GB"/>
              </w:rPr>
            </w:pPr>
            <w:r>
              <w:rPr>
                <w:lang w:val="en-GB"/>
              </w:rPr>
              <w:t>20 (38%)</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C4" w14:textId="77777777" w:rsidR="009B3384" w:rsidRDefault="00800862">
            <w:pPr>
              <w:widowControl w:val="0"/>
              <w:jc w:val="center"/>
              <w:rPr>
                <w:lang w:val="en-GB"/>
              </w:rPr>
            </w:pPr>
            <w:r>
              <w:rPr>
                <w:lang w:val="en-GB"/>
              </w:rPr>
              <w:t>23 (46%)</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C5" w14:textId="77777777" w:rsidR="009B3384" w:rsidRDefault="00800862">
            <w:pPr>
              <w:widowControl w:val="0"/>
              <w:jc w:val="center"/>
              <w:rPr>
                <w:lang w:val="en-GB"/>
              </w:rPr>
            </w:pPr>
            <w:r>
              <w:rPr>
                <w:lang w:val="en-GB"/>
              </w:rPr>
              <w:t>4 (13%)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C6" w14:textId="77777777" w:rsidR="009B3384" w:rsidRDefault="00800862">
            <w:pPr>
              <w:widowControl w:val="0"/>
              <w:jc w:val="center"/>
              <w:rPr>
                <w:lang w:val="en-GB"/>
              </w:rPr>
            </w:pPr>
            <w:r>
              <w:rPr>
                <w:lang w:val="en-GB"/>
              </w:rPr>
              <w:t>13 (45%)</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C7" w14:textId="77777777" w:rsidR="009B3384" w:rsidRDefault="00800862">
            <w:pPr>
              <w:widowControl w:val="0"/>
              <w:jc w:val="center"/>
              <w:rPr>
                <w:lang w:val="en-GB"/>
              </w:rPr>
            </w:pPr>
            <w:r>
              <w:rPr>
                <w:lang w:val="en-GB"/>
              </w:rPr>
              <w:t>12 (39%)</w:t>
            </w:r>
          </w:p>
        </w:tc>
      </w:tr>
      <w:tr w:rsidR="009B3384" w14:paraId="109AD0D0"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C9" w14:textId="77777777" w:rsidR="009B3384" w:rsidRDefault="00800862">
            <w:pPr>
              <w:widowControl w:val="0"/>
              <w:rPr>
                <w:i/>
                <w:lang w:val="en-GB"/>
              </w:rPr>
            </w:pPr>
            <w:r>
              <w:rPr>
                <w:i/>
              </w:rPr>
              <w:t>Брой пациенти с</w:t>
            </w:r>
            <w:r>
              <w:rPr>
                <w:i/>
                <w:lang w:val="en-GB"/>
              </w:rPr>
              <w:t xml:space="preserve"> ≥ 3% BSA</w:t>
            </w:r>
            <w:r>
              <w:rPr>
                <w:szCs w:val="18"/>
                <w:vertAlign w:val="superscript"/>
              </w:rPr>
              <w:t>г</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CA" w14:textId="77777777" w:rsidR="009B3384" w:rsidRDefault="00800862">
            <w:pPr>
              <w:widowControl w:val="0"/>
              <w:jc w:val="center"/>
              <w:rPr>
                <w:lang w:val="en-GB"/>
              </w:rPr>
            </w:pPr>
            <w:r>
              <w:rPr>
                <w:lang w:val="en-GB"/>
              </w:rPr>
              <w:t>41</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CB" w14:textId="77777777" w:rsidR="009B3384" w:rsidRDefault="00800862">
            <w:pPr>
              <w:widowControl w:val="0"/>
              <w:jc w:val="center"/>
              <w:rPr>
                <w:lang w:val="en-GB"/>
              </w:rPr>
            </w:pPr>
            <w:r>
              <w:rPr>
                <w:lang w:val="en-GB"/>
              </w:rPr>
              <w:t>40</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CC" w14:textId="77777777" w:rsidR="009B3384" w:rsidRDefault="00800862">
            <w:pPr>
              <w:widowControl w:val="0"/>
              <w:jc w:val="center"/>
              <w:rPr>
                <w:lang w:val="en-GB"/>
              </w:rPr>
            </w:pPr>
            <w:r>
              <w:rPr>
                <w:lang w:val="en-GB"/>
              </w:rPr>
              <w:t>38</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CD" w14:textId="77777777" w:rsidR="009B3384" w:rsidRDefault="00800862">
            <w:pPr>
              <w:widowControl w:val="0"/>
              <w:jc w:val="center"/>
              <w:rPr>
                <w:lang w:val="en-GB"/>
              </w:rPr>
            </w:pPr>
            <w:r>
              <w:rPr>
                <w:lang w:val="en-GB"/>
              </w:rPr>
              <w:t>26</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CE" w14:textId="77777777" w:rsidR="009B3384" w:rsidRDefault="00800862">
            <w:pPr>
              <w:widowControl w:val="0"/>
              <w:jc w:val="center"/>
              <w:rPr>
                <w:lang w:val="en-GB"/>
              </w:rPr>
            </w:pPr>
            <w:r>
              <w:rPr>
                <w:lang w:val="en-GB"/>
              </w:rPr>
              <w:t>22</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CF" w14:textId="77777777" w:rsidR="009B3384" w:rsidRDefault="00800862">
            <w:pPr>
              <w:widowControl w:val="0"/>
              <w:jc w:val="center"/>
              <w:rPr>
                <w:lang w:val="en-GB"/>
              </w:rPr>
            </w:pPr>
            <w:r>
              <w:rPr>
                <w:lang w:val="en-GB"/>
              </w:rPr>
              <w:t>24</w:t>
            </w:r>
          </w:p>
        </w:tc>
      </w:tr>
      <w:tr w:rsidR="009B3384" w14:paraId="109AD0D8"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0D1" w14:textId="77777777" w:rsidR="009B3384" w:rsidRDefault="00800862">
            <w:pPr>
              <w:widowControl w:val="0"/>
              <w:ind w:left="284"/>
              <w:rPr>
                <w:lang w:val="en-GB"/>
              </w:rPr>
            </w:pPr>
            <w:r>
              <w:rPr>
                <w:lang w:val="en-GB"/>
              </w:rPr>
              <w:t xml:space="preserve">PASI 75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0D2" w14:textId="77777777" w:rsidR="009B3384" w:rsidRDefault="00800862">
            <w:pPr>
              <w:widowControl w:val="0"/>
              <w:jc w:val="center"/>
              <w:rPr>
                <w:lang w:val="en-GB"/>
              </w:rPr>
            </w:pPr>
            <w:r>
              <w:rPr>
                <w:lang w:val="en-GB"/>
              </w:rPr>
              <w:t>2 (5%)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D3" w14:textId="77777777" w:rsidR="009B3384" w:rsidRDefault="00800862">
            <w:pPr>
              <w:widowControl w:val="0"/>
              <w:jc w:val="center"/>
              <w:rPr>
                <w:lang w:val="en-GB"/>
              </w:rPr>
            </w:pPr>
            <w:r>
              <w:rPr>
                <w:lang w:val="en-GB"/>
              </w:rPr>
              <w:t>19 (48%)</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0D4" w14:textId="77777777" w:rsidR="009B3384" w:rsidRDefault="00800862">
            <w:pPr>
              <w:widowControl w:val="0"/>
              <w:jc w:val="center"/>
              <w:rPr>
                <w:lang w:val="en-GB"/>
              </w:rPr>
            </w:pPr>
            <w:r>
              <w:rPr>
                <w:lang w:val="en-GB"/>
              </w:rPr>
              <w:t>20 (53%)</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0D5" w14:textId="77777777" w:rsidR="009B3384" w:rsidRDefault="00800862">
            <w:pPr>
              <w:widowControl w:val="0"/>
              <w:jc w:val="center"/>
              <w:rPr>
                <w:lang w:val="en-GB"/>
              </w:rPr>
            </w:pPr>
            <w:r>
              <w:rPr>
                <w:lang w:val="en-GB"/>
              </w:rPr>
              <w:t>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0D6" w14:textId="77777777" w:rsidR="009B3384" w:rsidRDefault="00800862">
            <w:pPr>
              <w:widowControl w:val="0"/>
              <w:jc w:val="center"/>
              <w:rPr>
                <w:lang w:val="en-GB"/>
              </w:rPr>
            </w:pPr>
            <w:r>
              <w:rPr>
                <w:lang w:val="en-GB"/>
              </w:rPr>
              <w:t>10 (45%)</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0D7" w14:textId="77777777" w:rsidR="009B3384" w:rsidRDefault="00800862">
            <w:pPr>
              <w:widowControl w:val="0"/>
              <w:jc w:val="center"/>
              <w:rPr>
                <w:lang w:val="en-GB"/>
              </w:rPr>
            </w:pPr>
            <w:r>
              <w:rPr>
                <w:lang w:val="en-GB"/>
              </w:rPr>
              <w:t>13 (54%)</w:t>
            </w:r>
          </w:p>
        </w:tc>
      </w:tr>
      <w:tr w:rsidR="009B3384" w14:paraId="109AD0DD" w14:textId="77777777">
        <w:trPr>
          <w:cantSplit/>
          <w:jc w:val="center"/>
        </w:trPr>
        <w:tc>
          <w:tcPr>
            <w:tcW w:w="9071" w:type="dxa"/>
            <w:gridSpan w:val="7"/>
            <w:tcBorders>
              <w:top w:val="single" w:sz="4" w:space="0" w:color="000000"/>
            </w:tcBorders>
            <w:vAlign w:val="center"/>
          </w:tcPr>
          <w:p w14:paraId="109AD0D9" w14:textId="77777777" w:rsidR="009B3384" w:rsidRDefault="00800862">
            <w:pPr>
              <w:widowControl w:val="0"/>
              <w:ind w:left="284" w:hanging="284"/>
              <w:rPr>
                <w:sz w:val="18"/>
                <w:szCs w:val="18"/>
              </w:rPr>
            </w:pPr>
            <w:r>
              <w:rPr>
                <w:szCs w:val="18"/>
                <w:vertAlign w:val="superscript"/>
                <w:lang w:val="en-GB"/>
              </w:rPr>
              <w:t>a</w:t>
            </w:r>
            <w:r>
              <w:rPr>
                <w:szCs w:val="18"/>
                <w:vertAlign w:val="superscript"/>
              </w:rPr>
              <w:tab/>
            </w:r>
            <w:r>
              <w:rPr>
                <w:sz w:val="18"/>
                <w:szCs w:val="18"/>
                <w:lang w:val="en-GB"/>
              </w:rPr>
              <w:t>p </w:t>
            </w:r>
            <w:r>
              <w:rPr>
                <w:sz w:val="18"/>
                <w:szCs w:val="18"/>
              </w:rPr>
              <w:t>&lt;</w:t>
            </w:r>
            <w:r>
              <w:rPr>
                <w:sz w:val="18"/>
                <w:szCs w:val="18"/>
                <w:lang w:val="en-GB"/>
              </w:rPr>
              <w:t> </w:t>
            </w:r>
            <w:r>
              <w:rPr>
                <w:sz w:val="18"/>
                <w:szCs w:val="18"/>
              </w:rPr>
              <w:t>0,001</w:t>
            </w:r>
          </w:p>
          <w:p w14:paraId="109AD0DA" w14:textId="77777777" w:rsidR="009B3384" w:rsidRDefault="00800862">
            <w:pPr>
              <w:widowControl w:val="0"/>
              <w:ind w:left="284" w:hanging="284"/>
              <w:rPr>
                <w:sz w:val="18"/>
                <w:szCs w:val="18"/>
              </w:rPr>
            </w:pPr>
            <w:r>
              <w:rPr>
                <w:szCs w:val="18"/>
                <w:vertAlign w:val="superscript"/>
              </w:rPr>
              <w:t>б</w:t>
            </w:r>
            <w:r>
              <w:rPr>
                <w:szCs w:val="18"/>
                <w:vertAlign w:val="superscript"/>
              </w:rPr>
              <w:tab/>
            </w:r>
            <w:r>
              <w:rPr>
                <w:sz w:val="18"/>
                <w:szCs w:val="18"/>
                <w:lang w:val="en-GB"/>
              </w:rPr>
              <w:t>p </w:t>
            </w:r>
            <w:r>
              <w:rPr>
                <w:sz w:val="18"/>
                <w:szCs w:val="18"/>
              </w:rPr>
              <w:t>&lt;</w:t>
            </w:r>
            <w:r>
              <w:rPr>
                <w:sz w:val="18"/>
                <w:szCs w:val="18"/>
                <w:lang w:val="en-GB"/>
              </w:rPr>
              <w:t> </w:t>
            </w:r>
            <w:r>
              <w:rPr>
                <w:sz w:val="18"/>
                <w:szCs w:val="18"/>
              </w:rPr>
              <w:t>0,05</w:t>
            </w:r>
          </w:p>
          <w:p w14:paraId="109AD0DB" w14:textId="77777777" w:rsidR="009B3384" w:rsidRDefault="00800862">
            <w:pPr>
              <w:widowControl w:val="0"/>
              <w:ind w:left="284" w:hanging="284"/>
              <w:rPr>
                <w:sz w:val="18"/>
                <w:szCs w:val="18"/>
              </w:rPr>
            </w:pPr>
            <w:r>
              <w:rPr>
                <w:szCs w:val="18"/>
                <w:vertAlign w:val="superscript"/>
              </w:rPr>
              <w:t>в</w:t>
            </w:r>
            <w:r>
              <w:rPr>
                <w:szCs w:val="18"/>
                <w:vertAlign w:val="superscript"/>
              </w:rPr>
              <w:tab/>
            </w:r>
            <w:r>
              <w:rPr>
                <w:sz w:val="18"/>
                <w:szCs w:val="18"/>
                <w:lang w:val="en-GB"/>
              </w:rPr>
              <w:t>p </w:t>
            </w:r>
            <w:r>
              <w:rPr>
                <w:sz w:val="18"/>
                <w:szCs w:val="18"/>
              </w:rPr>
              <w:t>=</w:t>
            </w:r>
            <w:r>
              <w:rPr>
                <w:sz w:val="18"/>
                <w:szCs w:val="18"/>
                <w:lang w:val="en-GB"/>
              </w:rPr>
              <w:t> NS</w:t>
            </w:r>
          </w:p>
          <w:p w14:paraId="109AD0DC" w14:textId="77777777" w:rsidR="009B3384" w:rsidRDefault="00800862">
            <w:pPr>
              <w:widowControl w:val="0"/>
              <w:ind w:left="284" w:hanging="284"/>
            </w:pPr>
            <w:r>
              <w:rPr>
                <w:szCs w:val="18"/>
                <w:vertAlign w:val="superscript"/>
              </w:rPr>
              <w:t>г</w:t>
            </w:r>
            <w:r>
              <w:rPr>
                <w:szCs w:val="18"/>
                <w:vertAlign w:val="superscript"/>
              </w:rPr>
              <w:tab/>
            </w:r>
            <w:r>
              <w:rPr>
                <w:sz w:val="18"/>
                <w:szCs w:val="18"/>
              </w:rPr>
              <w:t>Брой пациенти с ≥</w:t>
            </w:r>
            <w:r>
              <w:rPr>
                <w:sz w:val="18"/>
                <w:szCs w:val="18"/>
                <w:lang w:val="en-GB"/>
              </w:rPr>
              <w:t> </w:t>
            </w:r>
            <w:r>
              <w:rPr>
                <w:sz w:val="18"/>
                <w:szCs w:val="18"/>
              </w:rPr>
              <w:t xml:space="preserve">3% </w:t>
            </w:r>
            <w:r>
              <w:rPr>
                <w:sz w:val="18"/>
                <w:szCs w:val="18"/>
                <w:lang w:val="en-GB"/>
              </w:rPr>
              <w:t>BSA</w:t>
            </w:r>
            <w:r>
              <w:rPr>
                <w:sz w:val="18"/>
                <w:szCs w:val="18"/>
              </w:rPr>
              <w:t xml:space="preserve"> засегната псориатична кожа на изходно ниво</w:t>
            </w:r>
          </w:p>
        </w:tc>
      </w:tr>
    </w:tbl>
    <w:p w14:paraId="109AD0DE" w14:textId="77777777" w:rsidR="009B3384" w:rsidRDefault="009B3384"/>
    <w:p w14:paraId="109AD0DF" w14:textId="77777777" w:rsidR="009B3384" w:rsidRDefault="00800862">
      <w:r>
        <w:t xml:space="preserve">ACR 20, 50 и 70 отговори продължават да се подобряват или се поддържат до седмица 52 (PsA Проучване 1 и 2) и седмица 100 (PsA Проучване 1). В PsA Проучване 1, ACR 20 отговори на седмица 100 са постигнати при 57% и 64%, съответно за </w:t>
      </w:r>
      <w:r>
        <w:rPr>
          <w:lang w:val="ru-RU"/>
        </w:rPr>
        <w:t>45</w:t>
      </w:r>
      <w:r>
        <w:rPr>
          <w:lang w:val="en-GB"/>
        </w:rPr>
        <w:t> mg</w:t>
      </w:r>
      <w:r>
        <w:rPr>
          <w:lang w:val="ru-RU"/>
        </w:rPr>
        <w:t xml:space="preserve"> </w:t>
      </w:r>
      <w:r>
        <w:t>и</w:t>
      </w:r>
      <w:r>
        <w:rPr>
          <w:lang w:val="ru-RU"/>
        </w:rPr>
        <w:t xml:space="preserve"> 90</w:t>
      </w:r>
      <w:r>
        <w:rPr>
          <w:lang w:val="en-GB"/>
        </w:rPr>
        <w:t> mg</w:t>
      </w:r>
      <w:r>
        <w:t xml:space="preserve">. В PsA Проучване 2, ACR 20 отговори на седмица 52 са постигнати при 47% и 48%, съответно за </w:t>
      </w:r>
      <w:r>
        <w:rPr>
          <w:lang w:val="ru-RU"/>
        </w:rPr>
        <w:t>45</w:t>
      </w:r>
      <w:r>
        <w:rPr>
          <w:lang w:val="en-GB"/>
        </w:rPr>
        <w:t> mg</w:t>
      </w:r>
      <w:r>
        <w:rPr>
          <w:lang w:val="ru-RU"/>
        </w:rPr>
        <w:t xml:space="preserve"> </w:t>
      </w:r>
      <w:r>
        <w:t>и</w:t>
      </w:r>
      <w:r>
        <w:rPr>
          <w:lang w:val="ru-RU"/>
        </w:rPr>
        <w:t xml:space="preserve"> 90</w:t>
      </w:r>
      <w:r>
        <w:rPr>
          <w:lang w:val="en-GB"/>
        </w:rPr>
        <w:t> mg</w:t>
      </w:r>
      <w:r>
        <w:t>.</w:t>
      </w:r>
    </w:p>
    <w:p w14:paraId="109AD0E0" w14:textId="77777777" w:rsidR="009B3384" w:rsidRDefault="009B3384">
      <w:pPr>
        <w:rPr>
          <w:lang w:val="ru-RU"/>
        </w:rPr>
      </w:pPr>
    </w:p>
    <w:p w14:paraId="109AD0E1" w14:textId="77777777" w:rsidR="009B3384" w:rsidRDefault="00800862">
      <w:r>
        <w:t>Процентът на пациентите, постигнали отговор по модифицирани PsA критерии на отговор (</w:t>
      </w:r>
      <w:proofErr w:type="spellStart"/>
      <w:r>
        <w:rPr>
          <w:lang w:val="en-GB"/>
        </w:rPr>
        <w:t>PsARC</w:t>
      </w:r>
      <w:proofErr w:type="spellEnd"/>
      <w:r>
        <w:t xml:space="preserve">) също е значително по-голям при групите на устекинумаб, в сравнение с плацебо на </w:t>
      </w:r>
      <w:r>
        <w:lastRenderedPageBreak/>
        <w:t>седмица 24. Отговори</w:t>
      </w:r>
      <w:r>
        <w:rPr>
          <w:lang w:val="ru-RU"/>
        </w:rPr>
        <w:t xml:space="preserve"> </w:t>
      </w:r>
      <w:proofErr w:type="spellStart"/>
      <w:r>
        <w:rPr>
          <w:lang w:val="en-GB"/>
        </w:rPr>
        <w:t>PsARC</w:t>
      </w:r>
      <w:proofErr w:type="spellEnd"/>
      <w:r>
        <w:t xml:space="preserve"> се поддържат по време на седмици 52 и 100. По-голям процент от пациентите, лекувани с устекинумаб, които са имали спондилит с периферен артрит като основна диагноза, показват 50 и 70 процентно подобрение в скора по Бат индекс за активност на заболяването при анкилозиращ спондилит (</w:t>
      </w:r>
      <w:r>
        <w:rPr>
          <w:szCs w:val="24"/>
        </w:rPr>
        <w:t>Bath Ankylosing Spondylitis Disease Activity Index,</w:t>
      </w:r>
      <w:r>
        <w:t xml:space="preserve"> BASDAI) в сравнение с плацебо на седмица 24.</w:t>
      </w:r>
    </w:p>
    <w:p w14:paraId="109AD0E2" w14:textId="77777777" w:rsidR="009B3384" w:rsidRDefault="009B3384"/>
    <w:p w14:paraId="109AD0E3" w14:textId="77777777" w:rsidR="009B3384" w:rsidRDefault="00800862">
      <w:r>
        <w:t>Отговорите, наблюдавани при групите, лекувани с устекинумаб, са сходни при пациентите, които получават или не получават едновременно MTX и се поддържат по време на седмици 52 и 100. Пациентите, лекувани преди това с анти-TNFα средства, които са получили устекинумаб, са постигнали по-голям отговор на седмица 24 в сравнение с пациентите, получавали плацебо (ACR 20 отговор на седмица 24 за 45</w:t>
      </w:r>
      <w:r>
        <w:rPr>
          <w:lang w:val="en-US"/>
        </w:rPr>
        <w:t> mg</w:t>
      </w:r>
      <w:r>
        <w:t xml:space="preserve"> и 90</w:t>
      </w:r>
      <w:r>
        <w:rPr>
          <w:lang w:val="en-US"/>
        </w:rPr>
        <w:t> mg</w:t>
      </w:r>
      <w:r>
        <w:t xml:space="preserve"> е съответно 37% и 34% в сравнение с плацебо 15%; р &lt; 0,05) и отговорите се поддържат по време на седмица 52.</w:t>
      </w:r>
    </w:p>
    <w:p w14:paraId="109AD0E4" w14:textId="77777777" w:rsidR="009B3384" w:rsidRDefault="009B3384"/>
    <w:p w14:paraId="109AD0E5" w14:textId="77777777" w:rsidR="009B3384" w:rsidRDefault="00800862">
      <w:r>
        <w:t>При пациенти с ентезит и/или дактилит на изходно ниво, при PsA Проучване 1 се наблюдава значимо подобрение в скоровет</w:t>
      </w:r>
      <w:r>
        <w:rPr>
          <w:lang w:val="en-US"/>
        </w:rPr>
        <w:t>e</w:t>
      </w:r>
      <w:r>
        <w:t xml:space="preserve"> за ентезит и дактилит при групите на устекинумаб в сравнение с плацебо на седмица 24. В PsA Проучване 2 се наблюдава значимо подобрение в скора за ентезит и числено подобрение (не е статистически значимо) в скора за дактилит при групата на устекинумаб 90</w:t>
      </w:r>
      <w:r>
        <w:rPr>
          <w:lang w:val="en-US"/>
        </w:rPr>
        <w:t> mg</w:t>
      </w:r>
      <w:r>
        <w:t xml:space="preserve"> в сравнение с плацебо на седмица 24. Подобренията в скора за ентезит и в скора за дактилит са поддържани по време на седмици 52 и 100.</w:t>
      </w:r>
    </w:p>
    <w:p w14:paraId="109AD0E6" w14:textId="77777777" w:rsidR="009B3384" w:rsidRDefault="009B3384"/>
    <w:p w14:paraId="109AD0E7" w14:textId="77777777" w:rsidR="009B3384" w:rsidRDefault="00800862">
      <w:pPr>
        <w:keepNext/>
        <w:rPr>
          <w:i/>
        </w:rPr>
      </w:pPr>
      <w:r>
        <w:rPr>
          <w:i/>
        </w:rPr>
        <w:t>Радиографски отговор</w:t>
      </w:r>
    </w:p>
    <w:p w14:paraId="109AD0E8" w14:textId="77777777" w:rsidR="009B3384" w:rsidRDefault="00800862">
      <w:r>
        <w:t xml:space="preserve">Структурно увреждане в двете ръце и краката се изразява като промяна спрямо изходното ниво в общия </w:t>
      </w:r>
      <w:r>
        <w:rPr>
          <w:lang w:val="en-GB"/>
        </w:rPr>
        <w:t>van</w:t>
      </w:r>
      <w:r>
        <w:rPr>
          <w:lang w:val="ru-RU"/>
        </w:rPr>
        <w:t xml:space="preserve"> </w:t>
      </w:r>
      <w:r>
        <w:rPr>
          <w:lang w:val="en-GB"/>
        </w:rPr>
        <w:t>der</w:t>
      </w:r>
      <w:r>
        <w:rPr>
          <w:lang w:val="ru-RU"/>
        </w:rPr>
        <w:t xml:space="preserve"> </w:t>
      </w:r>
      <w:r>
        <w:rPr>
          <w:lang w:val="en-GB"/>
        </w:rPr>
        <w:t>Heijde</w:t>
      </w:r>
      <w:r>
        <w:rPr>
          <w:lang w:val="ru-RU"/>
        </w:rPr>
        <w:t>-</w:t>
      </w:r>
      <w:r>
        <w:rPr>
          <w:lang w:val="en-GB"/>
        </w:rPr>
        <w:t>Sharp</w:t>
      </w:r>
      <w:r>
        <w:t xml:space="preserve"> скор (</w:t>
      </w:r>
      <w:proofErr w:type="spellStart"/>
      <w:r>
        <w:rPr>
          <w:lang w:val="en-GB"/>
        </w:rPr>
        <w:t>vdH</w:t>
      </w:r>
      <w:proofErr w:type="spellEnd"/>
      <w:r>
        <w:rPr>
          <w:lang w:val="ru-RU"/>
        </w:rPr>
        <w:t>-</w:t>
      </w:r>
      <w:r>
        <w:rPr>
          <w:lang w:val="en-GB"/>
        </w:rPr>
        <w:t>S</w:t>
      </w:r>
      <w:r>
        <w:rPr>
          <w:lang w:val="ru-RU"/>
        </w:rPr>
        <w:t xml:space="preserve"> </w:t>
      </w:r>
      <w:r>
        <w:t xml:space="preserve">скор), модифициран за PsA чрез добавяне на дисталните интерфалангеални стави на ръцете. Проведен е предварително дефиниран интегриран анализ на комбинирани данни от 927 пациенти в двете PsA Проучвания 1 и 2. Устекинумаб показва статистически значимо намаление в степента на прогресия на структурното увреждане в сравнение с плацебо, измерено чрез промяна спрямо изходното ниво до 24 седмица в общия модифициран </w:t>
      </w:r>
      <w:proofErr w:type="spellStart"/>
      <w:r>
        <w:rPr>
          <w:lang w:val="en-GB"/>
        </w:rPr>
        <w:t>vdH</w:t>
      </w:r>
      <w:proofErr w:type="spellEnd"/>
      <w:r>
        <w:rPr>
          <w:lang w:val="ru-RU"/>
        </w:rPr>
        <w:t>-</w:t>
      </w:r>
      <w:r>
        <w:rPr>
          <w:lang w:val="en-GB"/>
        </w:rPr>
        <w:t>S</w:t>
      </w:r>
      <w:r>
        <w:rPr>
          <w:lang w:val="ru-RU"/>
        </w:rPr>
        <w:t xml:space="preserve"> </w:t>
      </w:r>
      <w:r>
        <w:t>скор (среден ± SD скор е 0,97</w:t>
      </w:r>
      <w:r>
        <w:rPr>
          <w:lang w:val="nl-BE"/>
        </w:rPr>
        <w:t> </w:t>
      </w:r>
      <w:r>
        <w:t>±</w:t>
      </w:r>
      <w:r>
        <w:rPr>
          <w:lang w:val="nl-BE"/>
        </w:rPr>
        <w:t> </w:t>
      </w:r>
      <w:r>
        <w:t>3,85 в групата на плацебо, в сравнение с 0,40</w:t>
      </w:r>
      <w:r>
        <w:rPr>
          <w:lang w:val="nl-BE"/>
        </w:rPr>
        <w:t> </w:t>
      </w:r>
      <w:r>
        <w:t>±</w:t>
      </w:r>
      <w:r>
        <w:rPr>
          <w:lang w:val="nl-BE"/>
        </w:rPr>
        <w:t> </w:t>
      </w:r>
      <w:r>
        <w:t>2,11 и 0,39</w:t>
      </w:r>
      <w:r>
        <w:rPr>
          <w:lang w:val="nl-BE"/>
        </w:rPr>
        <w:t> </w:t>
      </w:r>
      <w:r>
        <w:t>±</w:t>
      </w:r>
      <w:r>
        <w:rPr>
          <w:lang w:val="nl-BE"/>
        </w:rPr>
        <w:t> </w:t>
      </w:r>
      <w:r>
        <w:t xml:space="preserve">2,40 при съответно устекинумаб групи </w:t>
      </w:r>
      <w:r>
        <w:rPr>
          <w:lang w:val="ru-RU"/>
        </w:rPr>
        <w:t>45</w:t>
      </w:r>
      <w:r>
        <w:rPr>
          <w:lang w:val="en-GB"/>
        </w:rPr>
        <w:t> mg</w:t>
      </w:r>
      <w:r>
        <w:rPr>
          <w:lang w:val="ru-RU"/>
        </w:rPr>
        <w:t xml:space="preserve"> </w:t>
      </w:r>
      <w:r>
        <w:t>(</w:t>
      </w:r>
      <w:r>
        <w:rPr>
          <w:lang w:val="en-GB"/>
        </w:rPr>
        <w:t>p </w:t>
      </w:r>
      <w:r>
        <w:rPr>
          <w:lang w:val="ru-RU"/>
        </w:rPr>
        <w:t>&lt;</w:t>
      </w:r>
      <w:r>
        <w:rPr>
          <w:lang w:val="en-GB"/>
        </w:rPr>
        <w:t> </w:t>
      </w:r>
      <w:r>
        <w:rPr>
          <w:lang w:val="ru-RU"/>
        </w:rPr>
        <w:t>0</w:t>
      </w:r>
      <w:r>
        <w:t>,</w:t>
      </w:r>
      <w:r>
        <w:rPr>
          <w:lang w:val="ru-RU"/>
        </w:rPr>
        <w:t>05</w:t>
      </w:r>
      <w:r>
        <w:t xml:space="preserve">) и </w:t>
      </w:r>
      <w:r>
        <w:rPr>
          <w:lang w:val="ru-RU"/>
        </w:rPr>
        <w:t>90</w:t>
      </w:r>
      <w:r>
        <w:rPr>
          <w:lang w:val="en-GB"/>
        </w:rPr>
        <w:t> mg</w:t>
      </w:r>
      <w:r>
        <w:rPr>
          <w:lang w:val="ru-RU"/>
        </w:rPr>
        <w:t xml:space="preserve"> (</w:t>
      </w:r>
      <w:r>
        <w:rPr>
          <w:lang w:val="en-GB"/>
        </w:rPr>
        <w:t>p </w:t>
      </w:r>
      <w:r>
        <w:rPr>
          <w:lang w:val="ru-RU"/>
        </w:rPr>
        <w:t>&lt;</w:t>
      </w:r>
      <w:r>
        <w:rPr>
          <w:lang w:val="en-GB"/>
        </w:rPr>
        <w:t> </w:t>
      </w:r>
      <w:r>
        <w:rPr>
          <w:lang w:val="ru-RU"/>
        </w:rPr>
        <w:t>0</w:t>
      </w:r>
      <w:r>
        <w:t>,</w:t>
      </w:r>
      <w:r>
        <w:rPr>
          <w:lang w:val="ru-RU"/>
        </w:rPr>
        <w:t>001)</w:t>
      </w:r>
      <w:r>
        <w:t>. Този ефект се дължи на PsA Проучване 1. Ефектът се счита за доказан, независимо от едновременната употреба на MTX и се поддържа по време на седмици 52 (интегриран анализ) и 100 (PsA Проучване 1).</w:t>
      </w:r>
    </w:p>
    <w:p w14:paraId="109AD0E9" w14:textId="77777777" w:rsidR="009B3384" w:rsidRDefault="009B3384"/>
    <w:p w14:paraId="109AD0EA" w14:textId="77777777" w:rsidR="009B3384" w:rsidRDefault="00800862">
      <w:pPr>
        <w:keepNext/>
        <w:rPr>
          <w:i/>
        </w:rPr>
      </w:pPr>
      <w:r>
        <w:rPr>
          <w:i/>
        </w:rPr>
        <w:t>Физическо състояние и свързано със здравето качество на живот</w:t>
      </w:r>
    </w:p>
    <w:p w14:paraId="109AD0EB" w14:textId="77777777" w:rsidR="009B3384" w:rsidRDefault="00800862">
      <w:r>
        <w:t>Пациенти, лекувани с устекинумаб, са показали значително подобрение на физическото състояние, както е оценено по индекса за инвалидност от въпросника за оценка на здравето (</w:t>
      </w:r>
      <w:r>
        <w:rPr>
          <w:szCs w:val="22"/>
        </w:rPr>
        <w:t>Disability Index of the Health Assessment Questionnaire,</w:t>
      </w:r>
      <w:r>
        <w:t xml:space="preserve"> </w:t>
      </w:r>
      <w:r>
        <w:rPr>
          <w:lang w:val="en-GB"/>
        </w:rPr>
        <w:t>HAQ</w:t>
      </w:r>
      <w:r>
        <w:t>-</w:t>
      </w:r>
      <w:r>
        <w:rPr>
          <w:lang w:val="en-GB"/>
        </w:rPr>
        <w:t>DI</w:t>
      </w:r>
      <w:r>
        <w:t>) на седмица 24. Процентът на пациентите, постигнали клинично значимо ≥ 0,3 подобрение на HAQ-DI скора спрямо изходните стойности, също е значително по-голям при групите на устекинумаб, в сравнение с плацебо. Подобрение на HAQ-DI скор спрямо изходното ниво се поддържа по време на седмици 52 и 100.</w:t>
      </w:r>
    </w:p>
    <w:p w14:paraId="109AD0EC" w14:textId="77777777" w:rsidR="009B3384" w:rsidRDefault="009B3384"/>
    <w:p w14:paraId="109AD0ED" w14:textId="77777777" w:rsidR="009B3384" w:rsidRDefault="00800862">
      <w:r>
        <w:t>Има значително подобрение в DLQI скоровете при групите на устекинумаб, в сравнение с плацебо на седмица 24, което се поддържа по време на седмици 52 и 100. В PsA Проучване 2 има значително подобрение в скоровете за функционална оценка на терапията за хронично заболяване - умора (Functional Assessment of Chronic Illness Therapy – Fatigue, FACIT-F) при групите на устекинумаб, в сравнение с плацебо на седмица 24. Процентът на пациентите, достигнали клинично значимо подобрение на умората (4 точки по FACIT-F) също е значително по-голям при групите на устекинумаб, в сравнение с плацебо. Подобренията на FACIT-F скор се поддържат по време на седмица 52.</w:t>
      </w:r>
    </w:p>
    <w:p w14:paraId="109AD0EE" w14:textId="77777777" w:rsidR="009B3384" w:rsidRDefault="009B3384"/>
    <w:p w14:paraId="109AD18A" w14:textId="77777777" w:rsidR="009B3384" w:rsidRDefault="00800862">
      <w:pPr>
        <w:keepNext/>
        <w:rPr>
          <w:szCs w:val="22"/>
          <w:u w:val="single"/>
        </w:rPr>
      </w:pPr>
      <w:r>
        <w:rPr>
          <w:szCs w:val="22"/>
          <w:u w:val="single"/>
        </w:rPr>
        <w:t>Болест на Crohn</w:t>
      </w:r>
    </w:p>
    <w:p w14:paraId="109AD18B" w14:textId="77777777" w:rsidR="009B3384" w:rsidRDefault="00800862">
      <w:r>
        <w:t xml:space="preserve">Безопасността и ефикасността на устекинумаб са оценени в три рандомизирани, двойно-слепи, плацебо-контролирани, многоцентрови проучвания при възрастни пациенти с умерена до тежка активна болест на Crohn, с Индекс на активността на болестта на </w:t>
      </w:r>
      <w:r>
        <w:rPr>
          <w:lang w:val="en-US"/>
        </w:rPr>
        <w:t>Crohn</w:t>
      </w:r>
      <w:r>
        <w:t xml:space="preserve"> (</w:t>
      </w:r>
      <w:r>
        <w:rPr>
          <w:lang w:val="en-GB"/>
        </w:rPr>
        <w:t>Crohn</w:t>
      </w:r>
      <w:r>
        <w:t>’</w:t>
      </w:r>
      <w:r>
        <w:rPr>
          <w:lang w:val="en-GB"/>
        </w:rPr>
        <w:t>s</w:t>
      </w:r>
      <w:r>
        <w:t xml:space="preserve"> </w:t>
      </w:r>
      <w:r w:rsidRPr="00BC6A43">
        <w:rPr>
          <w:szCs w:val="22"/>
          <w:lang w:val="en-GB"/>
        </w:rPr>
        <w:t>Disease</w:t>
      </w:r>
      <w:r w:rsidRPr="00BC6A43">
        <w:rPr>
          <w:szCs w:val="22"/>
        </w:rPr>
        <w:t xml:space="preserve"> </w:t>
      </w:r>
      <w:r>
        <w:t>Activity Index, CDAI) ≥</w:t>
      </w:r>
      <w:r>
        <w:rPr>
          <w:szCs w:val="22"/>
        </w:rPr>
        <w:t> </w:t>
      </w:r>
      <w:r>
        <w:t>220 и ≤</w:t>
      </w:r>
      <w:r>
        <w:rPr>
          <w:szCs w:val="22"/>
        </w:rPr>
        <w:t> </w:t>
      </w:r>
      <w:r>
        <w:t>450). Програмата за клинично разработване се състои от две 8-седмични проучвания с интравенозна индукция (UNITI-1 и UNITI-2), последвани от 44</w:t>
      </w:r>
      <w:r>
        <w:rPr>
          <w:szCs w:val="22"/>
        </w:rPr>
        <w:t>-</w:t>
      </w:r>
      <w:r>
        <w:lastRenderedPageBreak/>
        <w:t>седмично рандомизирано проучване с подкожно приложение на поддържаща доза (IM-UNITI), представляващи 52</w:t>
      </w:r>
      <w:r>
        <w:rPr>
          <w:szCs w:val="22"/>
        </w:rPr>
        <w:t>-</w:t>
      </w:r>
      <w:r>
        <w:t>седмична терапия.</w:t>
      </w:r>
    </w:p>
    <w:p w14:paraId="109AD18C" w14:textId="77777777" w:rsidR="009B3384" w:rsidRDefault="009B3384">
      <w:pPr>
        <w:rPr>
          <w:iCs/>
        </w:rPr>
      </w:pPr>
    </w:p>
    <w:p w14:paraId="109AD18D" w14:textId="77777777" w:rsidR="009B3384" w:rsidRDefault="00800862">
      <w:pPr>
        <w:rPr>
          <w:szCs w:val="24"/>
        </w:rPr>
      </w:pPr>
      <w:r>
        <w:t>Проучванията с индукция включват 1409 (UNITI-1, n</w:t>
      </w:r>
      <w:r>
        <w:rPr>
          <w:szCs w:val="22"/>
        </w:rPr>
        <w:t> </w:t>
      </w:r>
      <w:r>
        <w:t>=</w:t>
      </w:r>
      <w:r>
        <w:rPr>
          <w:szCs w:val="22"/>
        </w:rPr>
        <w:t> </w:t>
      </w:r>
      <w:r>
        <w:t>769; UNITI-2 n</w:t>
      </w:r>
      <w:r>
        <w:rPr>
          <w:szCs w:val="22"/>
        </w:rPr>
        <w:t> </w:t>
      </w:r>
      <w:r>
        <w:t>=</w:t>
      </w:r>
      <w:r>
        <w:rPr>
          <w:szCs w:val="22"/>
        </w:rPr>
        <w:t> </w:t>
      </w:r>
      <w:r>
        <w:t>640) пациенти. Първичната крайна точка за двете индукционни проучвания е процентът на участниците с клиничен отговор (определен като намаление на CDAI скора с ≥</w:t>
      </w:r>
      <w:r>
        <w:rPr>
          <w:szCs w:val="22"/>
        </w:rPr>
        <w:t> </w:t>
      </w:r>
      <w:r>
        <w:t>100</w:t>
      </w:r>
      <w:r>
        <w:rPr>
          <w:szCs w:val="22"/>
        </w:rPr>
        <w:t> </w:t>
      </w:r>
      <w:r>
        <w:t>точки) на седмица</w:t>
      </w:r>
      <w:r>
        <w:rPr>
          <w:szCs w:val="22"/>
        </w:rPr>
        <w:t> </w:t>
      </w:r>
      <w:r>
        <w:t>6</w:t>
      </w:r>
      <w:r>
        <w:rPr>
          <w:szCs w:val="24"/>
        </w:rPr>
        <w:t xml:space="preserve">. </w:t>
      </w:r>
      <w:r>
        <w:t>Данните за ефикасност се събират и анализират до седмица</w:t>
      </w:r>
      <w:r>
        <w:rPr>
          <w:szCs w:val="22"/>
        </w:rPr>
        <w:t> </w:t>
      </w:r>
      <w:r>
        <w:t xml:space="preserve">8 за двете проучвания. </w:t>
      </w:r>
      <w:r>
        <w:rPr>
          <w:szCs w:val="22"/>
        </w:rPr>
        <w:t xml:space="preserve">Едновременното приложение на перорални кортикостероиди, имуномодулатори, аминосалицилати и антибиотици е разрешено и 75% от пациентите продължават да получават най-малко едно от тези лекарства. В двете проучвания пациентите </w:t>
      </w:r>
      <w:r>
        <w:rPr>
          <w:szCs w:val="24"/>
        </w:rPr>
        <w:t>са рандомизирани да получат еднократно интравенозно препоръчителната доза от приблизително 6</w:t>
      </w:r>
      <w:r>
        <w:rPr>
          <w:szCs w:val="22"/>
        </w:rPr>
        <w:t> </w:t>
      </w:r>
      <w:r>
        <w:rPr>
          <w:szCs w:val="24"/>
        </w:rPr>
        <w:t>mg/kg в зависимост от телесното тегло (вж. Таблица</w:t>
      </w:r>
      <w:r>
        <w:rPr>
          <w:szCs w:val="22"/>
        </w:rPr>
        <w:t> </w:t>
      </w:r>
      <w:r>
        <w:rPr>
          <w:szCs w:val="24"/>
        </w:rPr>
        <w:t>1, точка</w:t>
      </w:r>
      <w:r>
        <w:rPr>
          <w:szCs w:val="22"/>
        </w:rPr>
        <w:t> </w:t>
      </w:r>
      <w:r>
        <w:rPr>
          <w:szCs w:val="24"/>
        </w:rPr>
        <w:t>4.2), фиксирана доза 130</w:t>
      </w:r>
      <w:r>
        <w:rPr>
          <w:szCs w:val="22"/>
        </w:rPr>
        <w:t> </w:t>
      </w:r>
      <w:r>
        <w:rPr>
          <w:szCs w:val="24"/>
        </w:rPr>
        <w:t xml:space="preserve">mg устекинумаб или плацебо на </w:t>
      </w:r>
      <w:r>
        <w:t>седмица</w:t>
      </w:r>
      <w:r>
        <w:rPr>
          <w:szCs w:val="22"/>
        </w:rPr>
        <w:t> </w:t>
      </w:r>
      <w:r>
        <w:rPr>
          <w:szCs w:val="24"/>
        </w:rPr>
        <w:t>0.</w:t>
      </w:r>
    </w:p>
    <w:p w14:paraId="109AD18E" w14:textId="77777777" w:rsidR="009B3384" w:rsidRDefault="009B3384"/>
    <w:p w14:paraId="109AD18F" w14:textId="77777777" w:rsidR="009B3384" w:rsidRDefault="00800862">
      <w:r>
        <w:t>Пациентите в UNITI-1 са лекувани неуспешно или имат непоносимост към предшестваща анти-TNFα терапия. Приблизително 48% от пациентите са лекувани неуспешно с 1 предшестваща анти-TNF</w:t>
      </w:r>
      <w:r>
        <w:rPr>
          <w:rFonts w:eastAsia="Symbol"/>
        </w:rPr>
        <w:t>α</w:t>
      </w:r>
      <w:r>
        <w:t xml:space="preserve"> терапия, а 52% са лекувани неуспешно с 2 или 3 предшестващи анти-TNFα терапии. В това проучване 29,1% от пациентите имат недостатъчен начален отговор (първични нереспондери), 69,4% са се повлияли, но са престанали да се повлияват (вторични нереспондери), а 36,4% имат непоносимост към анти-TNF</w:t>
      </w:r>
      <w:r>
        <w:rPr>
          <w:szCs w:val="22"/>
          <w:lang w:val="en-US"/>
        </w:rPr>
        <w:t>α</w:t>
      </w:r>
      <w:r>
        <w:t xml:space="preserve"> терапии.</w:t>
      </w:r>
    </w:p>
    <w:p w14:paraId="109AD190" w14:textId="77777777" w:rsidR="009B3384" w:rsidRDefault="009B3384">
      <w:pPr>
        <w:rPr>
          <w:szCs w:val="24"/>
        </w:rPr>
      </w:pPr>
    </w:p>
    <w:p w14:paraId="109AD191" w14:textId="77777777" w:rsidR="009B3384" w:rsidRDefault="00800862">
      <w:r>
        <w:t>Пациентите в UNITI-2 са лекувани неуспешно най-малко с една конвенционална терапия, включително кортикостероиди или имуномодулатори, като или не са лекувани досега с анти-TNF-α терапия (68,6%), или са получавали преди това анти-TNFα терапия, но тя е била неуспешна (31,4%).</w:t>
      </w:r>
    </w:p>
    <w:p w14:paraId="109AD192" w14:textId="77777777" w:rsidR="009B3384" w:rsidRDefault="009B3384"/>
    <w:p w14:paraId="109AD193" w14:textId="01F1803D" w:rsidR="009B3384" w:rsidRDefault="00800862">
      <w:pPr>
        <w:rPr>
          <w:szCs w:val="24"/>
        </w:rPr>
      </w:pPr>
      <w:r>
        <w:t>В двете UNITI-1 и UNITI-2 значимо по-голям процент от пациентите в групата, лекувана с устекинумаб, са с клиничен отговор и ремисия</w:t>
      </w:r>
      <w:r>
        <w:rPr>
          <w:szCs w:val="24"/>
        </w:rPr>
        <w:t xml:space="preserve"> в сравнение с плацебо (Таблица</w:t>
      </w:r>
      <w:r>
        <w:rPr>
          <w:szCs w:val="22"/>
        </w:rPr>
        <w:t> </w:t>
      </w:r>
      <w:r w:rsidRPr="00BC6A43">
        <w:rPr>
          <w:szCs w:val="24"/>
        </w:rPr>
        <w:t>8</w:t>
      </w:r>
      <w:r>
        <w:rPr>
          <w:szCs w:val="24"/>
        </w:rPr>
        <w:t>).</w:t>
      </w:r>
      <w:r>
        <w:t xml:space="preserve"> Клиничният отговор</w:t>
      </w:r>
      <w:r>
        <w:rPr>
          <w:szCs w:val="24"/>
        </w:rPr>
        <w:t xml:space="preserve"> и ремисията са значими още на </w:t>
      </w:r>
      <w:r>
        <w:t>седмица</w:t>
      </w:r>
      <w:r>
        <w:rPr>
          <w:szCs w:val="22"/>
        </w:rPr>
        <w:t> </w:t>
      </w:r>
      <w:r>
        <w:rPr>
          <w:szCs w:val="24"/>
        </w:rPr>
        <w:t xml:space="preserve">3 при пациентите, лекувани с устекинумаб, и те продължват да се подобряват до </w:t>
      </w:r>
      <w:r>
        <w:t>седмица</w:t>
      </w:r>
      <w:r>
        <w:rPr>
          <w:szCs w:val="22"/>
        </w:rPr>
        <w:t> </w:t>
      </w:r>
      <w:r>
        <w:rPr>
          <w:szCs w:val="24"/>
        </w:rPr>
        <w:t>8. В тези проучвания с индукция ефикасността е по-висока и се поддържа по-добре в групата с доза в зависимост от телесното тегло, в сравнение с групата с доза 130</w:t>
      </w:r>
      <w:r>
        <w:rPr>
          <w:szCs w:val="22"/>
        </w:rPr>
        <w:t> </w:t>
      </w:r>
      <w:r>
        <w:rPr>
          <w:szCs w:val="24"/>
        </w:rPr>
        <w:t xml:space="preserve">mg и поради това при </w:t>
      </w:r>
      <w:r>
        <w:t>интравенозна</w:t>
      </w:r>
      <w:r>
        <w:rPr>
          <w:szCs w:val="24"/>
        </w:rPr>
        <w:t xml:space="preserve"> индукция се препоръчва дозирането в зависимост от телесното тегло.</w:t>
      </w:r>
    </w:p>
    <w:p w14:paraId="109AD194" w14:textId="77777777" w:rsidR="009B3384" w:rsidRDefault="009B3384">
      <w:pPr>
        <w:rPr>
          <w:szCs w:val="24"/>
        </w:rPr>
      </w:pPr>
    </w:p>
    <w:p w14:paraId="109AD195" w14:textId="335B0273" w:rsidR="009B3384" w:rsidRDefault="00800862">
      <w:pPr>
        <w:keepNext/>
        <w:ind w:left="1134" w:hanging="1134"/>
        <w:rPr>
          <w:i/>
          <w:iCs/>
        </w:rPr>
      </w:pPr>
      <w:r>
        <w:rPr>
          <w:i/>
          <w:iCs/>
          <w:szCs w:val="22"/>
        </w:rPr>
        <w:t>Таблица </w:t>
      </w:r>
      <w:r w:rsidRPr="00BC6A43">
        <w:rPr>
          <w:i/>
          <w:iCs/>
          <w:szCs w:val="22"/>
        </w:rPr>
        <w:t>8</w:t>
      </w:r>
      <w:r>
        <w:rPr>
          <w:i/>
          <w:iCs/>
          <w:szCs w:val="22"/>
        </w:rPr>
        <w:t>:</w:t>
      </w:r>
      <w:r>
        <w:rPr>
          <w:i/>
          <w:iCs/>
          <w:szCs w:val="22"/>
        </w:rPr>
        <w:tab/>
        <w:t>Индукция на клиничен отговор и ремисия в UNITI-1 и UNITI 2</w:t>
      </w:r>
    </w:p>
    <w:tbl>
      <w:tblPr>
        <w:tblW w:w="9072" w:type="dxa"/>
        <w:jc w:val="center"/>
        <w:tblLayout w:type="fixed"/>
        <w:tblLook w:val="0000" w:firstRow="0" w:lastRow="0" w:firstColumn="0" w:lastColumn="0" w:noHBand="0" w:noVBand="0"/>
      </w:tblPr>
      <w:tblGrid>
        <w:gridCol w:w="3505"/>
        <w:gridCol w:w="1391"/>
        <w:gridCol w:w="1392"/>
        <w:gridCol w:w="1392"/>
        <w:gridCol w:w="1392"/>
      </w:tblGrid>
      <w:tr w:rsidR="009B3384" w14:paraId="109AD199"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96" w14:textId="77777777" w:rsidR="009B3384" w:rsidRDefault="009B3384">
            <w:pPr>
              <w:keepNext/>
              <w:widowControl w:val="0"/>
              <w:tabs>
                <w:tab w:val="clear" w:pos="567"/>
              </w:tabs>
              <w:rPr>
                <w:szCs w:val="22"/>
              </w:rPr>
            </w:pPr>
          </w:p>
        </w:tc>
        <w:tc>
          <w:tcPr>
            <w:tcW w:w="2783" w:type="dxa"/>
            <w:gridSpan w:val="2"/>
            <w:tcBorders>
              <w:top w:val="single" w:sz="4" w:space="0" w:color="000000"/>
              <w:left w:val="single" w:sz="4" w:space="0" w:color="000000"/>
              <w:bottom w:val="single" w:sz="4" w:space="0" w:color="000000"/>
              <w:right w:val="single" w:sz="4" w:space="0" w:color="000000"/>
            </w:tcBorders>
          </w:tcPr>
          <w:p w14:paraId="109AD197" w14:textId="77777777" w:rsidR="009B3384" w:rsidRDefault="00800862">
            <w:pPr>
              <w:keepNext/>
              <w:widowControl w:val="0"/>
              <w:tabs>
                <w:tab w:val="clear" w:pos="567"/>
              </w:tabs>
              <w:jc w:val="center"/>
              <w:rPr>
                <w:b/>
                <w:bCs/>
                <w:szCs w:val="22"/>
                <w:lang w:val="en-US"/>
              </w:rPr>
            </w:pPr>
            <w:r>
              <w:rPr>
                <w:b/>
                <w:bCs/>
                <w:szCs w:val="22"/>
                <w:lang w:val="en-US"/>
              </w:rPr>
              <w:t>UNITI-1</w:t>
            </w:r>
            <w:r>
              <w:rPr>
                <w:i/>
              </w:rPr>
              <w:t>*</w:t>
            </w:r>
          </w:p>
        </w:tc>
        <w:tc>
          <w:tcPr>
            <w:tcW w:w="2784" w:type="dxa"/>
            <w:gridSpan w:val="2"/>
            <w:tcBorders>
              <w:top w:val="single" w:sz="4" w:space="0" w:color="000000"/>
              <w:left w:val="single" w:sz="4" w:space="0" w:color="000000"/>
              <w:bottom w:val="single" w:sz="4" w:space="0" w:color="000000"/>
              <w:right w:val="single" w:sz="4" w:space="0" w:color="000000"/>
            </w:tcBorders>
          </w:tcPr>
          <w:p w14:paraId="109AD198" w14:textId="77777777" w:rsidR="009B3384" w:rsidRDefault="00800862">
            <w:pPr>
              <w:keepNext/>
              <w:widowControl w:val="0"/>
              <w:tabs>
                <w:tab w:val="clear" w:pos="567"/>
              </w:tabs>
              <w:jc w:val="center"/>
              <w:rPr>
                <w:b/>
                <w:bCs/>
                <w:szCs w:val="22"/>
                <w:lang w:val="en-US"/>
              </w:rPr>
            </w:pPr>
            <w:r>
              <w:rPr>
                <w:b/>
                <w:bCs/>
                <w:szCs w:val="22"/>
                <w:lang w:val="en-US"/>
              </w:rPr>
              <w:t>UNITI-2</w:t>
            </w:r>
            <w:r>
              <w:rPr>
                <w:i/>
              </w:rPr>
              <w:t>**</w:t>
            </w:r>
          </w:p>
        </w:tc>
      </w:tr>
      <w:tr w:rsidR="009B3384" w14:paraId="109AD1A3"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9A" w14:textId="77777777" w:rsidR="009B3384" w:rsidRDefault="009B3384">
            <w:pPr>
              <w:keepNext/>
              <w:widowControl w:val="0"/>
              <w:tabs>
                <w:tab w:val="clear" w:pos="567"/>
              </w:tabs>
              <w:rPr>
                <w:szCs w:val="22"/>
              </w:rPr>
            </w:pPr>
          </w:p>
        </w:tc>
        <w:tc>
          <w:tcPr>
            <w:tcW w:w="139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19B" w14:textId="77777777" w:rsidR="009B3384" w:rsidRDefault="00800862">
            <w:pPr>
              <w:keepNext/>
              <w:widowControl w:val="0"/>
              <w:tabs>
                <w:tab w:val="clear" w:pos="567"/>
              </w:tabs>
              <w:jc w:val="center"/>
              <w:rPr>
                <w:b/>
                <w:bCs/>
                <w:szCs w:val="22"/>
                <w:lang w:val="en-US"/>
              </w:rPr>
            </w:pPr>
            <w:proofErr w:type="spellStart"/>
            <w:r>
              <w:rPr>
                <w:b/>
                <w:bCs/>
                <w:szCs w:val="22"/>
                <w:lang w:val="en-US"/>
              </w:rPr>
              <w:t>Плацебо</w:t>
            </w:r>
            <w:proofErr w:type="spellEnd"/>
          </w:p>
          <w:p w14:paraId="109AD19C"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247</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19D" w14:textId="77777777" w:rsidR="009B3384" w:rsidRDefault="00800862">
            <w:pPr>
              <w:keepNext/>
              <w:widowControl w:val="0"/>
              <w:tabs>
                <w:tab w:val="clear" w:pos="567"/>
              </w:tabs>
              <w:jc w:val="center"/>
              <w:rPr>
                <w:b/>
                <w:bCs/>
                <w:szCs w:val="22"/>
              </w:rPr>
            </w:pPr>
            <w:proofErr w:type="spellStart"/>
            <w:r>
              <w:rPr>
                <w:b/>
                <w:bCs/>
                <w:szCs w:val="22"/>
                <w:lang w:val="en-US"/>
              </w:rPr>
              <w:t>Препоръчителна</w:t>
            </w:r>
            <w:proofErr w:type="spellEnd"/>
            <w:r>
              <w:rPr>
                <w:b/>
                <w:bCs/>
                <w:szCs w:val="22"/>
                <w:lang w:val="en-US"/>
              </w:rPr>
              <w:t xml:space="preserve"> </w:t>
            </w:r>
            <w:proofErr w:type="spellStart"/>
            <w:r>
              <w:rPr>
                <w:b/>
                <w:bCs/>
                <w:szCs w:val="22"/>
                <w:lang w:val="en-US"/>
              </w:rPr>
              <w:t>доза</w:t>
            </w:r>
            <w:proofErr w:type="spellEnd"/>
            <w:r>
              <w:rPr>
                <w:b/>
                <w:bCs/>
                <w:szCs w:val="22"/>
                <w:lang w:val="en-US"/>
              </w:rPr>
              <w:t xml:space="preserve"> </w:t>
            </w:r>
            <w:r>
              <w:rPr>
                <w:b/>
                <w:bCs/>
                <w:szCs w:val="22"/>
              </w:rPr>
              <w:t>устекинумаб</w:t>
            </w:r>
          </w:p>
          <w:p w14:paraId="109AD19E" w14:textId="77777777" w:rsidR="009B3384" w:rsidRDefault="00800862">
            <w:pPr>
              <w:keepNext/>
              <w:widowControl w:val="0"/>
              <w:tabs>
                <w:tab w:val="clear" w:pos="567"/>
              </w:tabs>
              <w:jc w:val="center"/>
              <w:rPr>
                <w:b/>
                <w:bCs/>
                <w:szCs w:val="22"/>
                <w:lang w:val="en-US"/>
              </w:rPr>
            </w:pPr>
            <w:r>
              <w:rPr>
                <w:b/>
                <w:bCs/>
                <w:szCs w:val="22"/>
                <w:lang w:val="en-US"/>
              </w:rPr>
              <w:t>N</w:t>
            </w:r>
            <w:r>
              <w:rPr>
                <w:szCs w:val="22"/>
              </w:rPr>
              <w:t> </w:t>
            </w:r>
            <w:r>
              <w:rPr>
                <w:b/>
                <w:bCs/>
                <w:szCs w:val="22"/>
                <w:lang w:val="en-US"/>
              </w:rPr>
              <w:t>=</w:t>
            </w:r>
            <w:r>
              <w:rPr>
                <w:szCs w:val="22"/>
              </w:rPr>
              <w:t> </w:t>
            </w:r>
            <w:r>
              <w:rPr>
                <w:b/>
                <w:bCs/>
                <w:szCs w:val="22"/>
                <w:lang w:val="en-US"/>
              </w:rPr>
              <w:t>249</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19F" w14:textId="77777777" w:rsidR="009B3384" w:rsidRDefault="00800862">
            <w:pPr>
              <w:keepNext/>
              <w:widowControl w:val="0"/>
              <w:tabs>
                <w:tab w:val="clear" w:pos="567"/>
              </w:tabs>
              <w:jc w:val="center"/>
              <w:rPr>
                <w:b/>
                <w:bCs/>
                <w:szCs w:val="22"/>
                <w:lang w:val="en-US"/>
              </w:rPr>
            </w:pPr>
            <w:proofErr w:type="spellStart"/>
            <w:r>
              <w:rPr>
                <w:b/>
                <w:bCs/>
                <w:szCs w:val="22"/>
                <w:lang w:val="en-US"/>
              </w:rPr>
              <w:t>Плацебо</w:t>
            </w:r>
            <w:proofErr w:type="spellEnd"/>
          </w:p>
          <w:p w14:paraId="109AD1A0"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209</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1A1" w14:textId="77777777" w:rsidR="009B3384" w:rsidRDefault="00800862">
            <w:pPr>
              <w:keepNext/>
              <w:widowControl w:val="0"/>
              <w:tabs>
                <w:tab w:val="clear" w:pos="567"/>
              </w:tabs>
              <w:jc w:val="center"/>
              <w:rPr>
                <w:b/>
                <w:bCs/>
                <w:szCs w:val="22"/>
                <w:lang w:val="en-US"/>
              </w:rPr>
            </w:pPr>
            <w:proofErr w:type="spellStart"/>
            <w:r>
              <w:rPr>
                <w:b/>
                <w:bCs/>
                <w:szCs w:val="22"/>
                <w:lang w:val="en-US"/>
              </w:rPr>
              <w:t>Препоръчителна</w:t>
            </w:r>
            <w:proofErr w:type="spellEnd"/>
            <w:r>
              <w:rPr>
                <w:b/>
                <w:bCs/>
                <w:szCs w:val="22"/>
                <w:lang w:val="en-US"/>
              </w:rPr>
              <w:t xml:space="preserve"> </w:t>
            </w:r>
            <w:proofErr w:type="spellStart"/>
            <w:r>
              <w:rPr>
                <w:b/>
                <w:bCs/>
                <w:szCs w:val="22"/>
                <w:lang w:val="en-US"/>
              </w:rPr>
              <w:t>доза</w:t>
            </w:r>
            <w:proofErr w:type="spellEnd"/>
            <w:r>
              <w:rPr>
                <w:b/>
                <w:bCs/>
                <w:szCs w:val="22"/>
                <w:lang w:val="en-US"/>
              </w:rPr>
              <w:t xml:space="preserve"> </w:t>
            </w:r>
            <w:r>
              <w:rPr>
                <w:b/>
                <w:bCs/>
                <w:szCs w:val="22"/>
              </w:rPr>
              <w:t>устекинумаб</w:t>
            </w:r>
          </w:p>
          <w:p w14:paraId="109AD1A2"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209</w:t>
            </w:r>
          </w:p>
        </w:tc>
      </w:tr>
      <w:tr w:rsidR="009B3384" w14:paraId="109AD1A9"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A4" w14:textId="77777777" w:rsidR="009B3384" w:rsidRDefault="00800862">
            <w:pPr>
              <w:widowControl w:val="0"/>
              <w:tabs>
                <w:tab w:val="clear" w:pos="567"/>
              </w:tabs>
              <w:rPr>
                <w:szCs w:val="22"/>
                <w:lang w:val="en-US"/>
              </w:rPr>
            </w:pPr>
            <w:r>
              <w:rPr>
                <w:szCs w:val="22"/>
              </w:rPr>
              <w:t xml:space="preserve">Клинична ремисия, </w:t>
            </w:r>
            <w:r>
              <w:t>седмица</w:t>
            </w:r>
            <w:r>
              <w:rPr>
                <w:szCs w:val="22"/>
              </w:rPr>
              <w:t> 8</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1A5" w14:textId="77777777" w:rsidR="009B3384" w:rsidRDefault="00800862">
            <w:pPr>
              <w:widowControl w:val="0"/>
              <w:tabs>
                <w:tab w:val="clear" w:pos="567"/>
              </w:tabs>
              <w:jc w:val="center"/>
              <w:rPr>
                <w:szCs w:val="22"/>
                <w:lang w:val="en-US"/>
              </w:rPr>
            </w:pPr>
            <w:r>
              <w:rPr>
                <w:szCs w:val="22"/>
              </w:rPr>
              <w:t>18 (7,3%)</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A6" w14:textId="77777777" w:rsidR="009B3384" w:rsidRDefault="00800862">
            <w:pPr>
              <w:widowControl w:val="0"/>
              <w:tabs>
                <w:tab w:val="clear" w:pos="567"/>
              </w:tabs>
              <w:jc w:val="center"/>
              <w:rPr>
                <w:szCs w:val="22"/>
                <w:lang w:val="en-US"/>
              </w:rPr>
            </w:pPr>
            <w:r>
              <w:rPr>
                <w:szCs w:val="22"/>
              </w:rPr>
              <w:t>52 (20,9%)</w:t>
            </w:r>
            <w:r>
              <w:rPr>
                <w:szCs w:val="22"/>
                <w:vertAlign w:val="superscript"/>
              </w:rPr>
              <w:t>a</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A7" w14:textId="77777777" w:rsidR="009B3384" w:rsidRDefault="00800862">
            <w:pPr>
              <w:widowControl w:val="0"/>
              <w:tabs>
                <w:tab w:val="clear" w:pos="567"/>
              </w:tabs>
              <w:jc w:val="center"/>
              <w:rPr>
                <w:szCs w:val="22"/>
                <w:lang w:val="en-US"/>
              </w:rPr>
            </w:pPr>
            <w:r>
              <w:rPr>
                <w:szCs w:val="22"/>
              </w:rPr>
              <w:t>41 (19,6%)</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A8" w14:textId="77777777" w:rsidR="009B3384" w:rsidRDefault="00800862">
            <w:pPr>
              <w:widowControl w:val="0"/>
              <w:tabs>
                <w:tab w:val="clear" w:pos="567"/>
              </w:tabs>
              <w:jc w:val="center"/>
              <w:rPr>
                <w:szCs w:val="22"/>
                <w:lang w:val="en-US"/>
              </w:rPr>
            </w:pPr>
            <w:r>
              <w:rPr>
                <w:szCs w:val="22"/>
              </w:rPr>
              <w:t>84 (40,2%)</w:t>
            </w:r>
            <w:r>
              <w:rPr>
                <w:szCs w:val="22"/>
                <w:vertAlign w:val="superscript"/>
              </w:rPr>
              <w:t>a</w:t>
            </w:r>
          </w:p>
        </w:tc>
      </w:tr>
      <w:tr w:rsidR="009B3384" w14:paraId="109AD1AF"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AA" w14:textId="77777777" w:rsidR="009B3384" w:rsidRDefault="00800862">
            <w:pPr>
              <w:widowControl w:val="0"/>
              <w:tabs>
                <w:tab w:val="clear" w:pos="567"/>
              </w:tabs>
              <w:rPr>
                <w:szCs w:val="22"/>
                <w:lang w:val="en-US"/>
              </w:rPr>
            </w:pPr>
            <w:r>
              <w:rPr>
                <w:szCs w:val="22"/>
              </w:rPr>
              <w:t xml:space="preserve">Клиничен отговор (100 точки), </w:t>
            </w:r>
            <w:r>
              <w:t>седмица</w:t>
            </w:r>
            <w:r>
              <w:rPr>
                <w:szCs w:val="22"/>
              </w:rPr>
              <w:t> 6</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1AB" w14:textId="77777777" w:rsidR="009B3384" w:rsidRDefault="00800862">
            <w:pPr>
              <w:widowControl w:val="0"/>
              <w:tabs>
                <w:tab w:val="clear" w:pos="567"/>
              </w:tabs>
              <w:jc w:val="center"/>
              <w:rPr>
                <w:szCs w:val="22"/>
                <w:lang w:val="en-US"/>
              </w:rPr>
            </w:pPr>
            <w:r>
              <w:rPr>
                <w:szCs w:val="22"/>
              </w:rPr>
              <w:t>53 (21,5%)</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AC" w14:textId="77777777" w:rsidR="009B3384" w:rsidRDefault="00800862">
            <w:pPr>
              <w:widowControl w:val="0"/>
              <w:tabs>
                <w:tab w:val="clear" w:pos="567"/>
              </w:tabs>
              <w:jc w:val="center"/>
              <w:rPr>
                <w:szCs w:val="22"/>
                <w:lang w:val="en-US"/>
              </w:rPr>
            </w:pPr>
            <w:r>
              <w:rPr>
                <w:szCs w:val="22"/>
              </w:rPr>
              <w:t>84 (33,7%)</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AD" w14:textId="77777777" w:rsidR="009B3384" w:rsidRDefault="00800862">
            <w:pPr>
              <w:widowControl w:val="0"/>
              <w:tabs>
                <w:tab w:val="clear" w:pos="567"/>
              </w:tabs>
              <w:jc w:val="center"/>
              <w:rPr>
                <w:szCs w:val="22"/>
                <w:lang w:val="en-US"/>
              </w:rPr>
            </w:pPr>
            <w:r>
              <w:rPr>
                <w:szCs w:val="22"/>
              </w:rPr>
              <w:t>60 (28,7%)</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AE" w14:textId="77777777" w:rsidR="009B3384" w:rsidRDefault="00800862">
            <w:pPr>
              <w:widowControl w:val="0"/>
              <w:tabs>
                <w:tab w:val="clear" w:pos="567"/>
              </w:tabs>
              <w:jc w:val="center"/>
              <w:rPr>
                <w:szCs w:val="22"/>
                <w:lang w:val="en-US"/>
              </w:rPr>
            </w:pPr>
            <w:r>
              <w:rPr>
                <w:szCs w:val="22"/>
              </w:rPr>
              <w:t>116 (55,5%)</w:t>
            </w:r>
            <w:r>
              <w:rPr>
                <w:szCs w:val="22"/>
                <w:vertAlign w:val="superscript"/>
              </w:rPr>
              <w:t>a</w:t>
            </w:r>
          </w:p>
        </w:tc>
      </w:tr>
      <w:tr w:rsidR="009B3384" w14:paraId="109AD1B5"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B0" w14:textId="77777777" w:rsidR="009B3384" w:rsidRDefault="00800862">
            <w:pPr>
              <w:widowControl w:val="0"/>
              <w:tabs>
                <w:tab w:val="clear" w:pos="567"/>
              </w:tabs>
              <w:rPr>
                <w:szCs w:val="22"/>
                <w:lang w:val="en-US"/>
              </w:rPr>
            </w:pPr>
            <w:r>
              <w:rPr>
                <w:szCs w:val="22"/>
              </w:rPr>
              <w:t xml:space="preserve">Клиничен отговор (100 точки), </w:t>
            </w:r>
            <w:r>
              <w:t>седмица</w:t>
            </w:r>
            <w:r>
              <w:rPr>
                <w:szCs w:val="22"/>
              </w:rPr>
              <w:t> 8</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1B1" w14:textId="77777777" w:rsidR="009B3384" w:rsidRDefault="00800862">
            <w:pPr>
              <w:widowControl w:val="0"/>
              <w:tabs>
                <w:tab w:val="clear" w:pos="567"/>
              </w:tabs>
              <w:jc w:val="center"/>
              <w:rPr>
                <w:szCs w:val="22"/>
                <w:lang w:val="en-US"/>
              </w:rPr>
            </w:pPr>
            <w:r>
              <w:rPr>
                <w:szCs w:val="22"/>
              </w:rPr>
              <w:t>50 (20,2%)</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2" w14:textId="77777777" w:rsidR="009B3384" w:rsidRDefault="00800862">
            <w:pPr>
              <w:widowControl w:val="0"/>
              <w:tabs>
                <w:tab w:val="clear" w:pos="567"/>
              </w:tabs>
              <w:jc w:val="center"/>
              <w:rPr>
                <w:szCs w:val="22"/>
                <w:lang w:val="en-US"/>
              </w:rPr>
            </w:pPr>
            <w:r>
              <w:rPr>
                <w:szCs w:val="22"/>
              </w:rPr>
              <w:t>94 (37,8%)</w:t>
            </w:r>
            <w:r>
              <w:rPr>
                <w:szCs w:val="22"/>
                <w:vertAlign w:val="superscript"/>
              </w:rPr>
              <w:t>a</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3" w14:textId="77777777" w:rsidR="009B3384" w:rsidRDefault="00800862">
            <w:pPr>
              <w:widowControl w:val="0"/>
              <w:tabs>
                <w:tab w:val="clear" w:pos="567"/>
              </w:tabs>
              <w:jc w:val="center"/>
              <w:rPr>
                <w:szCs w:val="22"/>
                <w:lang w:val="en-US"/>
              </w:rPr>
            </w:pPr>
            <w:r>
              <w:rPr>
                <w:szCs w:val="22"/>
              </w:rPr>
              <w:t>67 (32,1%)</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4" w14:textId="77777777" w:rsidR="009B3384" w:rsidRDefault="00800862">
            <w:pPr>
              <w:widowControl w:val="0"/>
              <w:tabs>
                <w:tab w:val="clear" w:pos="567"/>
              </w:tabs>
              <w:jc w:val="center"/>
              <w:rPr>
                <w:szCs w:val="22"/>
                <w:lang w:val="en-US"/>
              </w:rPr>
            </w:pPr>
            <w:r>
              <w:rPr>
                <w:szCs w:val="22"/>
              </w:rPr>
              <w:t>121 (57,9%)</w:t>
            </w:r>
            <w:r>
              <w:rPr>
                <w:szCs w:val="22"/>
                <w:vertAlign w:val="superscript"/>
              </w:rPr>
              <w:t>a</w:t>
            </w:r>
          </w:p>
        </w:tc>
      </w:tr>
      <w:tr w:rsidR="009B3384" w14:paraId="109AD1BB"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B6" w14:textId="77777777" w:rsidR="009B3384" w:rsidRDefault="00800862">
            <w:pPr>
              <w:widowControl w:val="0"/>
              <w:tabs>
                <w:tab w:val="clear" w:pos="567"/>
              </w:tabs>
              <w:rPr>
                <w:szCs w:val="22"/>
                <w:lang w:val="en-US"/>
              </w:rPr>
            </w:pPr>
            <w:r>
              <w:rPr>
                <w:szCs w:val="22"/>
              </w:rPr>
              <w:t xml:space="preserve">70-точков отговор, </w:t>
            </w:r>
            <w:r>
              <w:t>седмица</w:t>
            </w:r>
            <w:r>
              <w:rPr>
                <w:szCs w:val="22"/>
              </w:rPr>
              <w:t> 3</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1B7" w14:textId="77777777" w:rsidR="009B3384" w:rsidRDefault="00800862">
            <w:pPr>
              <w:widowControl w:val="0"/>
              <w:tabs>
                <w:tab w:val="clear" w:pos="567"/>
              </w:tabs>
              <w:jc w:val="center"/>
              <w:rPr>
                <w:szCs w:val="22"/>
                <w:lang w:val="en-US"/>
              </w:rPr>
            </w:pPr>
            <w:r>
              <w:rPr>
                <w:szCs w:val="22"/>
              </w:rPr>
              <w:t>67 (27,1%)</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8" w14:textId="77777777" w:rsidR="009B3384" w:rsidRDefault="00800862">
            <w:pPr>
              <w:widowControl w:val="0"/>
              <w:tabs>
                <w:tab w:val="clear" w:pos="567"/>
              </w:tabs>
              <w:jc w:val="center"/>
              <w:rPr>
                <w:szCs w:val="22"/>
                <w:lang w:val="en-US"/>
              </w:rPr>
            </w:pPr>
            <w:r>
              <w:rPr>
                <w:szCs w:val="22"/>
              </w:rPr>
              <w:t>101 (40,6%)</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9" w14:textId="77777777" w:rsidR="009B3384" w:rsidRDefault="00800862">
            <w:pPr>
              <w:widowControl w:val="0"/>
              <w:tabs>
                <w:tab w:val="clear" w:pos="567"/>
              </w:tabs>
              <w:jc w:val="center"/>
              <w:rPr>
                <w:szCs w:val="22"/>
                <w:lang w:val="en-US"/>
              </w:rPr>
            </w:pPr>
            <w:r>
              <w:rPr>
                <w:szCs w:val="22"/>
              </w:rPr>
              <w:t>66 (31,6%)</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A" w14:textId="77777777" w:rsidR="009B3384" w:rsidRDefault="00800862">
            <w:pPr>
              <w:widowControl w:val="0"/>
              <w:tabs>
                <w:tab w:val="clear" w:pos="567"/>
              </w:tabs>
              <w:jc w:val="center"/>
              <w:rPr>
                <w:szCs w:val="22"/>
                <w:lang w:val="en-US"/>
              </w:rPr>
            </w:pPr>
            <w:r>
              <w:rPr>
                <w:szCs w:val="22"/>
              </w:rPr>
              <w:t>106 (50,7%)</w:t>
            </w:r>
            <w:r>
              <w:rPr>
                <w:szCs w:val="22"/>
                <w:vertAlign w:val="superscript"/>
              </w:rPr>
              <w:t>a</w:t>
            </w:r>
          </w:p>
        </w:tc>
      </w:tr>
      <w:tr w:rsidR="009B3384" w14:paraId="109AD1C1"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1BC" w14:textId="77777777" w:rsidR="009B3384" w:rsidRDefault="00800862">
            <w:pPr>
              <w:widowControl w:val="0"/>
              <w:tabs>
                <w:tab w:val="clear" w:pos="567"/>
              </w:tabs>
              <w:rPr>
                <w:szCs w:val="22"/>
                <w:lang w:val="en-US"/>
              </w:rPr>
            </w:pPr>
            <w:r>
              <w:rPr>
                <w:szCs w:val="22"/>
              </w:rPr>
              <w:t xml:space="preserve">70-точков отговор, </w:t>
            </w:r>
            <w:r>
              <w:t>седмица</w:t>
            </w:r>
            <w:r>
              <w:rPr>
                <w:szCs w:val="22"/>
              </w:rPr>
              <w:t> 6</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1BD" w14:textId="77777777" w:rsidR="009B3384" w:rsidRDefault="00800862">
            <w:pPr>
              <w:widowControl w:val="0"/>
              <w:tabs>
                <w:tab w:val="clear" w:pos="567"/>
              </w:tabs>
              <w:jc w:val="center"/>
              <w:rPr>
                <w:szCs w:val="22"/>
                <w:lang w:val="en-US"/>
              </w:rPr>
            </w:pPr>
            <w:r>
              <w:rPr>
                <w:szCs w:val="22"/>
              </w:rPr>
              <w:t>75 (30,4%)</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E" w14:textId="77777777" w:rsidR="009B3384" w:rsidRDefault="00800862">
            <w:pPr>
              <w:widowControl w:val="0"/>
              <w:tabs>
                <w:tab w:val="clear" w:pos="567"/>
              </w:tabs>
              <w:jc w:val="center"/>
              <w:rPr>
                <w:szCs w:val="22"/>
                <w:lang w:val="en-US"/>
              </w:rPr>
            </w:pPr>
            <w:r>
              <w:rPr>
                <w:szCs w:val="22"/>
              </w:rPr>
              <w:t>109 (43,8%)</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BF" w14:textId="77777777" w:rsidR="009B3384" w:rsidRDefault="00800862">
            <w:pPr>
              <w:widowControl w:val="0"/>
              <w:tabs>
                <w:tab w:val="clear" w:pos="567"/>
              </w:tabs>
              <w:jc w:val="center"/>
              <w:rPr>
                <w:szCs w:val="22"/>
                <w:lang w:val="en-US"/>
              </w:rPr>
            </w:pPr>
            <w:r>
              <w:rPr>
                <w:szCs w:val="22"/>
              </w:rPr>
              <w:t>81 (38,8%)</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1C0" w14:textId="77777777" w:rsidR="009B3384" w:rsidRDefault="00800862">
            <w:pPr>
              <w:widowControl w:val="0"/>
              <w:tabs>
                <w:tab w:val="clear" w:pos="567"/>
              </w:tabs>
              <w:jc w:val="center"/>
              <w:rPr>
                <w:szCs w:val="22"/>
                <w:lang w:val="en-US"/>
              </w:rPr>
            </w:pPr>
            <w:r>
              <w:rPr>
                <w:szCs w:val="22"/>
              </w:rPr>
              <w:t>135 (64,6%)</w:t>
            </w:r>
            <w:r>
              <w:rPr>
                <w:szCs w:val="22"/>
                <w:vertAlign w:val="superscript"/>
              </w:rPr>
              <w:t>a</w:t>
            </w:r>
          </w:p>
        </w:tc>
      </w:tr>
      <w:tr w:rsidR="009B3384" w14:paraId="109AD1C8" w14:textId="77777777">
        <w:trPr>
          <w:cantSplit/>
          <w:jc w:val="center"/>
        </w:trPr>
        <w:tc>
          <w:tcPr>
            <w:tcW w:w="9072" w:type="dxa"/>
            <w:gridSpan w:val="5"/>
            <w:tcBorders>
              <w:top w:val="single" w:sz="4" w:space="0" w:color="000000"/>
            </w:tcBorders>
          </w:tcPr>
          <w:p w14:paraId="109AD1C2" w14:textId="77777777" w:rsidR="009B3384" w:rsidRDefault="00800862">
            <w:pPr>
              <w:widowControl w:val="0"/>
              <w:rPr>
                <w:sz w:val="18"/>
                <w:szCs w:val="18"/>
              </w:rPr>
            </w:pPr>
            <w:r>
              <w:rPr>
                <w:sz w:val="18"/>
                <w:szCs w:val="18"/>
              </w:rPr>
              <w:t>Клиничната ремисия е определена като CDAI скор &lt; 150; Клиничният отговор е определен като намаление на CDAI скор с най-малко 100 точки или състояние в клинична ремисия</w:t>
            </w:r>
          </w:p>
          <w:p w14:paraId="109AD1C3" w14:textId="77777777" w:rsidR="009B3384" w:rsidRDefault="00800862">
            <w:pPr>
              <w:widowControl w:val="0"/>
              <w:rPr>
                <w:sz w:val="18"/>
                <w:szCs w:val="18"/>
              </w:rPr>
            </w:pPr>
            <w:r>
              <w:rPr>
                <w:sz w:val="18"/>
                <w:szCs w:val="18"/>
              </w:rPr>
              <w:t>70-точковият отговор е определен като намаление на CDAI скор с най-малко 70 точки</w:t>
            </w:r>
          </w:p>
          <w:p w14:paraId="109AD1C4" w14:textId="77777777" w:rsidR="009B3384" w:rsidRDefault="00800862">
            <w:pPr>
              <w:widowControl w:val="0"/>
              <w:ind w:left="284" w:hanging="284"/>
              <w:rPr>
                <w:sz w:val="18"/>
                <w:szCs w:val="18"/>
              </w:rPr>
            </w:pPr>
            <w:r>
              <w:rPr>
                <w:sz w:val="18"/>
                <w:szCs w:val="18"/>
              </w:rPr>
              <w:t>*</w:t>
            </w:r>
            <w:r>
              <w:rPr>
                <w:sz w:val="18"/>
                <w:szCs w:val="18"/>
              </w:rPr>
              <w:tab/>
              <w:t>Неуспех на анти-TNFα терапия</w:t>
            </w:r>
          </w:p>
          <w:p w14:paraId="109AD1C5" w14:textId="77777777" w:rsidR="009B3384" w:rsidRDefault="00800862">
            <w:pPr>
              <w:widowControl w:val="0"/>
              <w:ind w:left="284" w:hanging="284"/>
              <w:rPr>
                <w:sz w:val="18"/>
                <w:szCs w:val="18"/>
              </w:rPr>
            </w:pPr>
            <w:r>
              <w:rPr>
                <w:sz w:val="18"/>
                <w:szCs w:val="18"/>
              </w:rPr>
              <w:t>**</w:t>
            </w:r>
            <w:r>
              <w:rPr>
                <w:sz w:val="18"/>
                <w:szCs w:val="18"/>
              </w:rPr>
              <w:tab/>
              <w:t>Неуспех на конвенционалната терапия</w:t>
            </w:r>
          </w:p>
          <w:p w14:paraId="109AD1C6"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D1C7" w14:textId="77777777" w:rsidR="009B3384" w:rsidRDefault="00800862">
            <w:pPr>
              <w:widowControl w:val="0"/>
              <w:tabs>
                <w:tab w:val="clear" w:pos="567"/>
                <w:tab w:val="left" w:pos="288"/>
              </w:tabs>
              <w:ind w:left="284" w:hanging="284"/>
              <w:rPr>
                <w:sz w:val="20"/>
                <w:lang w:val="en-US"/>
              </w:rPr>
            </w:pPr>
            <w:r>
              <w:rPr>
                <w:szCs w:val="18"/>
                <w:vertAlign w:val="superscript"/>
              </w:rPr>
              <w:t>б</w:t>
            </w:r>
            <w:r>
              <w:rPr>
                <w:szCs w:val="18"/>
                <w:vertAlign w:val="superscript"/>
              </w:rPr>
              <w:tab/>
            </w:r>
            <w:r>
              <w:rPr>
                <w:sz w:val="18"/>
                <w:szCs w:val="18"/>
              </w:rPr>
              <w:t>p &lt; 0,01</w:t>
            </w:r>
          </w:p>
        </w:tc>
      </w:tr>
    </w:tbl>
    <w:p w14:paraId="109AD1C9" w14:textId="77777777" w:rsidR="009B3384" w:rsidRDefault="009B3384"/>
    <w:p w14:paraId="109AD1CA" w14:textId="77777777" w:rsidR="009B3384" w:rsidRDefault="00800862">
      <w:pPr>
        <w:tabs>
          <w:tab w:val="clear" w:pos="567"/>
        </w:tabs>
        <w:rPr>
          <w:szCs w:val="24"/>
        </w:rPr>
      </w:pPr>
      <w:r>
        <w:t xml:space="preserve">В проучването с поддържаща терапия (IM-UNITI) са оценени 388 пациенти, които достигат 100-точков клиничен отговор на седмица 8 от индукцията с устекинумаб в проучвания UNITI-1 и UNITI-2. Пациентите са рандомизирани на схема на поддържащо лечение с подкожно </w:t>
      </w:r>
      <w:r>
        <w:lastRenderedPageBreak/>
        <w:t>приложение на 90 mg устекинумаб през 8 седмици, 90 mg устекинумаб през 12 седмици или плацебо в продължение на 44 седмици (за препоръчителната поддържаща доза вж. точка </w:t>
      </w:r>
      <w:r>
        <w:rPr>
          <w:szCs w:val="24"/>
        </w:rPr>
        <w:t>4.2).</w:t>
      </w:r>
    </w:p>
    <w:p w14:paraId="109AD1CB" w14:textId="77777777" w:rsidR="009B3384" w:rsidRDefault="009B3384">
      <w:pPr>
        <w:tabs>
          <w:tab w:val="clear" w:pos="567"/>
        </w:tabs>
        <w:rPr>
          <w:szCs w:val="24"/>
        </w:rPr>
      </w:pPr>
    </w:p>
    <w:p w14:paraId="109AD1CC" w14:textId="39B461CF" w:rsidR="009B3384" w:rsidRDefault="00800862">
      <w:r>
        <w:t>Значимо по-голям процент пациенти в групите, лекувани с устекинумаб, поддържат клинична ремисия и отговор на седмица</w:t>
      </w:r>
      <w:r>
        <w:rPr>
          <w:szCs w:val="22"/>
        </w:rPr>
        <w:t> </w:t>
      </w:r>
      <w:r>
        <w:t>44 в сравнение с групата на плацебо (вж. Таблица</w:t>
      </w:r>
      <w:r>
        <w:rPr>
          <w:szCs w:val="22"/>
        </w:rPr>
        <w:t> </w:t>
      </w:r>
      <w:r w:rsidRPr="00BC6A43">
        <w:t>9</w:t>
      </w:r>
      <w:r>
        <w:t>).</w:t>
      </w:r>
    </w:p>
    <w:p w14:paraId="109AD1CD" w14:textId="77777777" w:rsidR="009B3384" w:rsidRDefault="009B3384"/>
    <w:p w14:paraId="109AD1CE" w14:textId="6A814405" w:rsidR="009B3384" w:rsidRDefault="00800862">
      <w:pPr>
        <w:keepNext/>
        <w:ind w:left="1134" w:hanging="1134"/>
        <w:rPr>
          <w:i/>
          <w:iCs/>
        </w:rPr>
      </w:pPr>
      <w:r>
        <w:rPr>
          <w:i/>
          <w:iCs/>
          <w:szCs w:val="22"/>
        </w:rPr>
        <w:t>Таблица </w:t>
      </w:r>
      <w:r w:rsidRPr="00BC6A43">
        <w:rPr>
          <w:i/>
          <w:iCs/>
          <w:szCs w:val="22"/>
        </w:rPr>
        <w:t>9</w:t>
      </w:r>
      <w:r>
        <w:rPr>
          <w:i/>
          <w:iCs/>
          <w:szCs w:val="22"/>
        </w:rPr>
        <w:t>:</w:t>
      </w:r>
      <w:r>
        <w:rPr>
          <w:i/>
          <w:iCs/>
          <w:szCs w:val="22"/>
        </w:rPr>
        <w:tab/>
      </w:r>
      <w:r>
        <w:rPr>
          <w:i/>
          <w:iCs/>
        </w:rPr>
        <w:t>Поддържане на клиничния отговор и ремисия в IM-UNITI (седмица</w:t>
      </w:r>
      <w:r>
        <w:rPr>
          <w:i/>
          <w:szCs w:val="22"/>
        </w:rPr>
        <w:t> </w:t>
      </w:r>
      <w:r>
        <w:rPr>
          <w:i/>
          <w:iCs/>
        </w:rPr>
        <w:t>44; 52</w:t>
      </w:r>
      <w:r>
        <w:rPr>
          <w:i/>
          <w:szCs w:val="22"/>
        </w:rPr>
        <w:t> </w:t>
      </w:r>
      <w:r>
        <w:rPr>
          <w:i/>
          <w:iCs/>
        </w:rPr>
        <w:t>седмици от започване с индукционната доза)</w:t>
      </w:r>
    </w:p>
    <w:tbl>
      <w:tblPr>
        <w:tblW w:w="9072" w:type="dxa"/>
        <w:jc w:val="center"/>
        <w:tblLayout w:type="fixed"/>
        <w:tblLook w:val="04A0" w:firstRow="1" w:lastRow="0" w:firstColumn="1" w:lastColumn="0" w:noHBand="0" w:noVBand="1"/>
      </w:tblPr>
      <w:tblGrid>
        <w:gridCol w:w="4527"/>
        <w:gridCol w:w="1399"/>
        <w:gridCol w:w="1573"/>
        <w:gridCol w:w="1573"/>
      </w:tblGrid>
      <w:tr w:rsidR="009B3384" w14:paraId="109AD1DA" w14:textId="77777777">
        <w:trPr>
          <w:cantSplit/>
          <w:jc w:val="center"/>
        </w:trPr>
        <w:tc>
          <w:tcPr>
            <w:tcW w:w="4526" w:type="dxa"/>
            <w:tcBorders>
              <w:top w:val="single" w:sz="4" w:space="0" w:color="000000"/>
              <w:left w:val="single" w:sz="4" w:space="0" w:color="000000"/>
              <w:bottom w:val="single" w:sz="4" w:space="0" w:color="000000"/>
              <w:right w:val="single" w:sz="8" w:space="0" w:color="000000"/>
            </w:tcBorders>
          </w:tcPr>
          <w:p w14:paraId="109AD1CF" w14:textId="77777777" w:rsidR="009B3384" w:rsidRDefault="009B3384">
            <w:pPr>
              <w:keepNext/>
              <w:widowControl w:val="0"/>
              <w:jc w:val="center"/>
              <w:rPr>
                <w:b/>
                <w:szCs w:val="22"/>
              </w:rPr>
            </w:pPr>
          </w:p>
        </w:tc>
        <w:tc>
          <w:tcPr>
            <w:tcW w:w="1399" w:type="dxa"/>
            <w:tcBorders>
              <w:top w:val="single" w:sz="4" w:space="0" w:color="000000"/>
              <w:bottom w:val="single" w:sz="4" w:space="0" w:color="000000"/>
              <w:right w:val="single" w:sz="8" w:space="0" w:color="000000"/>
            </w:tcBorders>
          </w:tcPr>
          <w:p w14:paraId="109AD1D0" w14:textId="77777777" w:rsidR="009B3384" w:rsidRDefault="00800862">
            <w:pPr>
              <w:keepNext/>
              <w:widowControl w:val="0"/>
              <w:jc w:val="center"/>
              <w:rPr>
                <w:b/>
                <w:szCs w:val="22"/>
              </w:rPr>
            </w:pPr>
            <w:r>
              <w:rPr>
                <w:b/>
                <w:szCs w:val="22"/>
              </w:rPr>
              <w:t>Плацебо*</w:t>
            </w:r>
          </w:p>
          <w:p w14:paraId="109AD1D1" w14:textId="77777777" w:rsidR="009B3384" w:rsidRDefault="009B3384">
            <w:pPr>
              <w:keepNext/>
              <w:widowControl w:val="0"/>
              <w:jc w:val="center"/>
              <w:rPr>
                <w:b/>
                <w:szCs w:val="22"/>
              </w:rPr>
            </w:pPr>
          </w:p>
          <w:p w14:paraId="109AD1D2" w14:textId="77777777" w:rsidR="009B3384" w:rsidRDefault="009B3384">
            <w:pPr>
              <w:keepNext/>
              <w:widowControl w:val="0"/>
              <w:jc w:val="center"/>
              <w:rPr>
                <w:b/>
                <w:szCs w:val="22"/>
              </w:rPr>
            </w:pPr>
          </w:p>
          <w:p w14:paraId="109AD1D3" w14:textId="77777777" w:rsidR="009B3384" w:rsidRDefault="009B3384">
            <w:pPr>
              <w:keepNext/>
              <w:widowControl w:val="0"/>
              <w:jc w:val="center"/>
              <w:rPr>
                <w:b/>
                <w:szCs w:val="22"/>
              </w:rPr>
            </w:pPr>
          </w:p>
          <w:p w14:paraId="109AD1D4"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131</w:t>
            </w:r>
            <w:r>
              <w:rPr>
                <w:b/>
                <w:szCs w:val="22"/>
                <w:vertAlign w:val="superscript"/>
              </w:rPr>
              <w:t>†</w:t>
            </w:r>
          </w:p>
        </w:tc>
        <w:tc>
          <w:tcPr>
            <w:tcW w:w="1573" w:type="dxa"/>
            <w:tcBorders>
              <w:top w:val="single" w:sz="4" w:space="0" w:color="000000"/>
              <w:bottom w:val="single" w:sz="4" w:space="0" w:color="000000"/>
              <w:right w:val="single" w:sz="8" w:space="0" w:color="000000"/>
            </w:tcBorders>
          </w:tcPr>
          <w:p w14:paraId="109AD1D5" w14:textId="77777777" w:rsidR="009B3384" w:rsidRDefault="00800862">
            <w:pPr>
              <w:keepNext/>
              <w:widowControl w:val="0"/>
              <w:jc w:val="center"/>
              <w:rPr>
                <w:b/>
                <w:szCs w:val="22"/>
              </w:rPr>
            </w:pPr>
            <w:r>
              <w:rPr>
                <w:b/>
                <w:szCs w:val="22"/>
              </w:rPr>
              <w:t>90</w:t>
            </w:r>
            <w:r>
              <w:rPr>
                <w:szCs w:val="22"/>
              </w:rPr>
              <w:t> </w:t>
            </w:r>
            <w:r>
              <w:rPr>
                <w:b/>
                <w:szCs w:val="22"/>
              </w:rPr>
              <w:t>mg устекинумаб през 8</w:t>
            </w:r>
            <w:r>
              <w:rPr>
                <w:szCs w:val="22"/>
              </w:rPr>
              <w:t> </w:t>
            </w:r>
            <w:r>
              <w:rPr>
                <w:b/>
                <w:szCs w:val="22"/>
              </w:rPr>
              <w:t>седмици</w:t>
            </w:r>
          </w:p>
          <w:p w14:paraId="109AD1D6" w14:textId="77777777" w:rsidR="009B3384" w:rsidRDefault="009B3384">
            <w:pPr>
              <w:keepNext/>
              <w:widowControl w:val="0"/>
              <w:jc w:val="center"/>
              <w:rPr>
                <w:b/>
                <w:szCs w:val="22"/>
              </w:rPr>
            </w:pPr>
          </w:p>
          <w:p w14:paraId="109AD1D7"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128</w:t>
            </w:r>
            <w:r>
              <w:rPr>
                <w:b/>
                <w:szCs w:val="22"/>
                <w:vertAlign w:val="superscript"/>
              </w:rPr>
              <w:t>†</w:t>
            </w:r>
          </w:p>
        </w:tc>
        <w:tc>
          <w:tcPr>
            <w:tcW w:w="1573" w:type="dxa"/>
            <w:tcBorders>
              <w:top w:val="single" w:sz="4" w:space="0" w:color="000000"/>
              <w:bottom w:val="single" w:sz="4" w:space="0" w:color="000000"/>
              <w:right w:val="single" w:sz="4" w:space="0" w:color="000000"/>
            </w:tcBorders>
          </w:tcPr>
          <w:p w14:paraId="109AD1D8" w14:textId="77777777" w:rsidR="009B3384" w:rsidRDefault="00800862">
            <w:pPr>
              <w:keepNext/>
              <w:widowControl w:val="0"/>
              <w:jc w:val="center"/>
              <w:rPr>
                <w:b/>
                <w:szCs w:val="22"/>
              </w:rPr>
            </w:pPr>
            <w:r>
              <w:rPr>
                <w:b/>
                <w:szCs w:val="22"/>
              </w:rPr>
              <w:t>90</w:t>
            </w:r>
            <w:r>
              <w:rPr>
                <w:szCs w:val="22"/>
              </w:rPr>
              <w:t> </w:t>
            </w:r>
            <w:r>
              <w:rPr>
                <w:b/>
                <w:szCs w:val="22"/>
              </w:rPr>
              <w:t>mg устекинумаб през 12</w:t>
            </w:r>
            <w:r>
              <w:rPr>
                <w:szCs w:val="22"/>
              </w:rPr>
              <w:t> </w:t>
            </w:r>
            <w:r>
              <w:rPr>
                <w:b/>
                <w:szCs w:val="22"/>
              </w:rPr>
              <w:t>седмици</w:t>
            </w:r>
          </w:p>
          <w:p w14:paraId="109AD1D9"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129</w:t>
            </w:r>
            <w:r>
              <w:rPr>
                <w:b/>
                <w:szCs w:val="22"/>
                <w:vertAlign w:val="superscript"/>
              </w:rPr>
              <w:t>†</w:t>
            </w:r>
          </w:p>
        </w:tc>
      </w:tr>
      <w:tr w:rsidR="009B3384" w14:paraId="109AD1DF" w14:textId="77777777">
        <w:trPr>
          <w:cantSplit/>
          <w:jc w:val="center"/>
        </w:trPr>
        <w:tc>
          <w:tcPr>
            <w:tcW w:w="4526" w:type="dxa"/>
            <w:tcBorders>
              <w:top w:val="single" w:sz="4" w:space="0" w:color="000000"/>
              <w:left w:val="single" w:sz="4" w:space="0" w:color="000000"/>
              <w:bottom w:val="single" w:sz="4" w:space="0" w:color="000000"/>
              <w:right w:val="single" w:sz="8" w:space="0" w:color="000000"/>
            </w:tcBorders>
          </w:tcPr>
          <w:p w14:paraId="109AD1DB" w14:textId="77777777" w:rsidR="009B3384" w:rsidRDefault="00800862">
            <w:pPr>
              <w:widowControl w:val="0"/>
              <w:rPr>
                <w:rFonts w:eastAsia="Calibri"/>
              </w:rPr>
            </w:pPr>
            <w:r>
              <w:t>Клинична ремисия</w:t>
            </w:r>
          </w:p>
        </w:tc>
        <w:tc>
          <w:tcPr>
            <w:tcW w:w="1399" w:type="dxa"/>
            <w:tcBorders>
              <w:top w:val="single" w:sz="4" w:space="0" w:color="000000"/>
              <w:bottom w:val="single" w:sz="4" w:space="0" w:color="000000"/>
              <w:right w:val="single" w:sz="8" w:space="0" w:color="000000"/>
            </w:tcBorders>
            <w:vAlign w:val="center"/>
          </w:tcPr>
          <w:p w14:paraId="109AD1DC" w14:textId="77777777" w:rsidR="009B3384" w:rsidRDefault="00800862">
            <w:pPr>
              <w:widowControl w:val="0"/>
              <w:jc w:val="center"/>
              <w:rPr>
                <w:szCs w:val="22"/>
              </w:rPr>
            </w:pPr>
            <w:r>
              <w:rPr>
                <w:szCs w:val="22"/>
              </w:rPr>
              <w:t>36%</w:t>
            </w:r>
          </w:p>
        </w:tc>
        <w:tc>
          <w:tcPr>
            <w:tcW w:w="1573" w:type="dxa"/>
            <w:tcBorders>
              <w:top w:val="single" w:sz="4" w:space="0" w:color="000000"/>
              <w:bottom w:val="single" w:sz="4" w:space="0" w:color="000000"/>
              <w:right w:val="single" w:sz="8" w:space="0" w:color="000000"/>
            </w:tcBorders>
            <w:vAlign w:val="center"/>
          </w:tcPr>
          <w:p w14:paraId="109AD1DD" w14:textId="77777777" w:rsidR="009B3384" w:rsidRDefault="00800862">
            <w:pPr>
              <w:widowControl w:val="0"/>
              <w:jc w:val="center"/>
              <w:rPr>
                <w:szCs w:val="22"/>
              </w:rPr>
            </w:pPr>
            <w:r>
              <w:rPr>
                <w:szCs w:val="22"/>
              </w:rPr>
              <w:t>53%</w:t>
            </w:r>
            <w:r>
              <w:rPr>
                <w:szCs w:val="22"/>
                <w:vertAlign w:val="superscript"/>
              </w:rPr>
              <w:t>a</w:t>
            </w:r>
          </w:p>
        </w:tc>
        <w:tc>
          <w:tcPr>
            <w:tcW w:w="1573" w:type="dxa"/>
            <w:tcBorders>
              <w:top w:val="single" w:sz="4" w:space="0" w:color="000000"/>
              <w:bottom w:val="single" w:sz="4" w:space="0" w:color="000000"/>
              <w:right w:val="single" w:sz="4" w:space="0" w:color="000000"/>
            </w:tcBorders>
            <w:vAlign w:val="center"/>
          </w:tcPr>
          <w:p w14:paraId="109AD1DE" w14:textId="77777777" w:rsidR="009B3384" w:rsidRDefault="00800862">
            <w:pPr>
              <w:widowControl w:val="0"/>
              <w:jc w:val="center"/>
              <w:rPr>
                <w:szCs w:val="22"/>
              </w:rPr>
            </w:pPr>
            <w:r>
              <w:rPr>
                <w:szCs w:val="22"/>
              </w:rPr>
              <w:t>49%</w:t>
            </w:r>
            <w:r>
              <w:rPr>
                <w:szCs w:val="22"/>
                <w:vertAlign w:val="superscript"/>
              </w:rPr>
              <w:t>б</w:t>
            </w:r>
          </w:p>
        </w:tc>
      </w:tr>
      <w:tr w:rsidR="009B3384" w14:paraId="109AD1E4"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1E0" w14:textId="77777777" w:rsidR="009B3384" w:rsidRDefault="00800862">
            <w:pPr>
              <w:widowControl w:val="0"/>
              <w:rPr>
                <w:rFonts w:eastAsia="Calibri"/>
              </w:rPr>
            </w:pPr>
            <w:r>
              <w:t>Клиничен отговор</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1E1" w14:textId="77777777" w:rsidR="009B3384" w:rsidRDefault="00800862">
            <w:pPr>
              <w:widowControl w:val="0"/>
              <w:jc w:val="center"/>
              <w:rPr>
                <w:szCs w:val="22"/>
              </w:rPr>
            </w:pPr>
            <w:r>
              <w:rPr>
                <w:szCs w:val="22"/>
              </w:rPr>
              <w:t>44%</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E2" w14:textId="77777777" w:rsidR="009B3384" w:rsidRDefault="00800862">
            <w:pPr>
              <w:widowControl w:val="0"/>
              <w:jc w:val="center"/>
              <w:rPr>
                <w:szCs w:val="22"/>
              </w:rPr>
            </w:pPr>
            <w:r>
              <w:rPr>
                <w:szCs w:val="22"/>
              </w:rPr>
              <w:t>59%</w:t>
            </w:r>
            <w:r>
              <w:rPr>
                <w:szCs w:val="22"/>
                <w:vertAlign w:val="superscript"/>
              </w:rPr>
              <w:t>б</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E3" w14:textId="77777777" w:rsidR="009B3384" w:rsidRDefault="00800862">
            <w:pPr>
              <w:widowControl w:val="0"/>
              <w:jc w:val="center"/>
              <w:rPr>
                <w:szCs w:val="22"/>
              </w:rPr>
            </w:pPr>
            <w:r>
              <w:rPr>
                <w:szCs w:val="22"/>
              </w:rPr>
              <w:t>58%</w:t>
            </w:r>
            <w:r>
              <w:rPr>
                <w:szCs w:val="22"/>
                <w:vertAlign w:val="superscript"/>
              </w:rPr>
              <w:t>б</w:t>
            </w:r>
          </w:p>
        </w:tc>
      </w:tr>
      <w:tr w:rsidR="009B3384" w14:paraId="109AD1E9"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1E5" w14:textId="77777777" w:rsidR="009B3384" w:rsidRDefault="00800862">
            <w:pPr>
              <w:widowControl w:val="0"/>
              <w:rPr>
                <w:rFonts w:eastAsia="Calibri"/>
              </w:rPr>
            </w:pPr>
            <w:r>
              <w:t xml:space="preserve">Клинична ремисия без кортикостероиди </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1E6" w14:textId="77777777" w:rsidR="009B3384" w:rsidRDefault="00800862">
            <w:pPr>
              <w:widowControl w:val="0"/>
              <w:jc w:val="center"/>
              <w:rPr>
                <w:szCs w:val="22"/>
              </w:rPr>
            </w:pPr>
            <w:r>
              <w:rPr>
                <w:szCs w:val="22"/>
              </w:rPr>
              <w:t>30%</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E7" w14:textId="77777777" w:rsidR="009B3384" w:rsidRDefault="00800862">
            <w:pPr>
              <w:widowControl w:val="0"/>
              <w:jc w:val="center"/>
              <w:rPr>
                <w:szCs w:val="22"/>
              </w:rPr>
            </w:pPr>
            <w:r>
              <w:rPr>
                <w:szCs w:val="22"/>
              </w:rPr>
              <w:t>47%</w:t>
            </w:r>
            <w:r>
              <w:rPr>
                <w:szCs w:val="22"/>
                <w:vertAlign w:val="superscript"/>
              </w:rPr>
              <w:t>a</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E8" w14:textId="77777777" w:rsidR="009B3384" w:rsidRDefault="00800862">
            <w:pPr>
              <w:widowControl w:val="0"/>
              <w:jc w:val="center"/>
              <w:rPr>
                <w:szCs w:val="22"/>
              </w:rPr>
            </w:pPr>
            <w:r>
              <w:rPr>
                <w:szCs w:val="22"/>
              </w:rPr>
              <w:t>43%</w:t>
            </w:r>
            <w:r>
              <w:rPr>
                <w:szCs w:val="22"/>
                <w:vertAlign w:val="superscript"/>
              </w:rPr>
              <w:t>в</w:t>
            </w:r>
          </w:p>
        </w:tc>
      </w:tr>
      <w:tr w:rsidR="009B3384" w14:paraId="109AD1EE"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1EA" w14:textId="77777777" w:rsidR="009B3384" w:rsidRDefault="00800862">
            <w:pPr>
              <w:widowControl w:val="0"/>
              <w:rPr>
                <w:rFonts w:eastAsia="Calibri"/>
                <w:b/>
                <w:bCs/>
              </w:rPr>
            </w:pPr>
            <w:r>
              <w:t>Клинична ремисия при пациенти:</w:t>
            </w:r>
            <w:r>
              <w:rPr>
                <w:b/>
                <w:bCs/>
              </w:rPr>
              <w:t xml:space="preserve"> </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1EB" w14:textId="77777777" w:rsidR="009B3384" w:rsidRDefault="009B3384">
            <w:pPr>
              <w:widowControl w:val="0"/>
              <w:jc w:val="center"/>
              <w:rPr>
                <w:szCs w:val="22"/>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109AD1EC" w14:textId="77777777" w:rsidR="009B3384" w:rsidRDefault="009B3384">
            <w:pPr>
              <w:widowControl w:val="0"/>
              <w:jc w:val="center"/>
              <w:rPr>
                <w:szCs w:val="22"/>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109AD1ED" w14:textId="77777777" w:rsidR="009B3384" w:rsidRDefault="009B3384">
            <w:pPr>
              <w:widowControl w:val="0"/>
              <w:jc w:val="center"/>
              <w:rPr>
                <w:szCs w:val="22"/>
              </w:rPr>
            </w:pPr>
          </w:p>
        </w:tc>
      </w:tr>
      <w:tr w:rsidR="009B3384" w14:paraId="109AD1F3"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1EF" w14:textId="77777777" w:rsidR="009B3384" w:rsidRDefault="00800862">
            <w:pPr>
              <w:widowControl w:val="0"/>
              <w:tabs>
                <w:tab w:val="clear" w:pos="567"/>
              </w:tabs>
              <w:ind w:left="567"/>
              <w:rPr>
                <w:rFonts w:eastAsia="Calibri"/>
                <w:szCs w:val="22"/>
              </w:rPr>
            </w:pPr>
            <w:r>
              <w:rPr>
                <w:szCs w:val="22"/>
              </w:rPr>
              <w:t>в ремисия в началото на поддържащата терапия</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1F0" w14:textId="77777777" w:rsidR="009B3384" w:rsidRDefault="00800862">
            <w:pPr>
              <w:widowControl w:val="0"/>
              <w:jc w:val="center"/>
              <w:rPr>
                <w:szCs w:val="22"/>
              </w:rPr>
            </w:pPr>
            <w:r>
              <w:rPr>
                <w:szCs w:val="22"/>
              </w:rPr>
              <w:t>46% (36/79)</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F1" w14:textId="77777777" w:rsidR="009B3384" w:rsidRDefault="00800862">
            <w:pPr>
              <w:widowControl w:val="0"/>
              <w:jc w:val="center"/>
              <w:rPr>
                <w:szCs w:val="22"/>
              </w:rPr>
            </w:pPr>
            <w:r>
              <w:rPr>
                <w:szCs w:val="22"/>
              </w:rPr>
              <w:t>67% (52/78)</w:t>
            </w:r>
            <w:r>
              <w:rPr>
                <w:szCs w:val="22"/>
                <w:vertAlign w:val="superscript"/>
              </w:rPr>
              <w:t>a</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F2" w14:textId="77777777" w:rsidR="009B3384" w:rsidRDefault="00800862">
            <w:pPr>
              <w:widowControl w:val="0"/>
              <w:jc w:val="center"/>
              <w:rPr>
                <w:szCs w:val="22"/>
              </w:rPr>
            </w:pPr>
            <w:r>
              <w:rPr>
                <w:szCs w:val="22"/>
              </w:rPr>
              <w:t>56% (44/78)</w:t>
            </w:r>
          </w:p>
        </w:tc>
      </w:tr>
      <w:tr w:rsidR="009B3384" w14:paraId="109AD1F8"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1F4" w14:textId="77777777" w:rsidR="009B3384" w:rsidRDefault="00800862">
            <w:pPr>
              <w:widowControl w:val="0"/>
              <w:tabs>
                <w:tab w:val="clear" w:pos="567"/>
              </w:tabs>
              <w:ind w:left="567"/>
              <w:rPr>
                <w:rFonts w:eastAsia="Calibri"/>
                <w:szCs w:val="22"/>
              </w:rPr>
            </w:pPr>
            <w:r>
              <w:rPr>
                <w:szCs w:val="22"/>
              </w:rPr>
              <w:t xml:space="preserve">които се включват от проучване </w:t>
            </w:r>
            <w:r>
              <w:rPr>
                <w:szCs w:val="22"/>
                <w:lang w:val="en-US"/>
              </w:rPr>
              <w:t>CRD</w:t>
            </w:r>
            <w:r>
              <w:rPr>
                <w:szCs w:val="22"/>
              </w:rPr>
              <w:t>3002</w:t>
            </w:r>
            <w:r>
              <w:rPr>
                <w:vertAlign w:val="superscript"/>
              </w:rPr>
              <w:t>‡</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1F5" w14:textId="77777777" w:rsidR="009B3384" w:rsidRDefault="00800862">
            <w:pPr>
              <w:widowControl w:val="0"/>
              <w:jc w:val="center"/>
              <w:rPr>
                <w:szCs w:val="22"/>
              </w:rPr>
            </w:pPr>
            <w:r>
              <w:rPr>
                <w:szCs w:val="22"/>
              </w:rPr>
              <w:t>44% (31/70)</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F6" w14:textId="77777777" w:rsidR="009B3384" w:rsidRDefault="00800862">
            <w:pPr>
              <w:widowControl w:val="0"/>
              <w:jc w:val="center"/>
              <w:rPr>
                <w:szCs w:val="22"/>
              </w:rPr>
            </w:pPr>
            <w:r>
              <w:rPr>
                <w:szCs w:val="22"/>
              </w:rPr>
              <w:t>63% (45/72)</w:t>
            </w:r>
            <w:r>
              <w:rPr>
                <w:szCs w:val="22"/>
                <w:vertAlign w:val="superscript"/>
              </w:rPr>
              <w:t>в</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F7" w14:textId="77777777" w:rsidR="009B3384" w:rsidRDefault="00800862">
            <w:pPr>
              <w:widowControl w:val="0"/>
              <w:jc w:val="center"/>
              <w:rPr>
                <w:szCs w:val="22"/>
              </w:rPr>
            </w:pPr>
            <w:r>
              <w:rPr>
                <w:szCs w:val="22"/>
              </w:rPr>
              <w:t>57% (41/72)</w:t>
            </w:r>
          </w:p>
        </w:tc>
      </w:tr>
      <w:tr w:rsidR="009B3384" w14:paraId="109AD1FD"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1F9" w14:textId="77777777" w:rsidR="009B3384" w:rsidRDefault="00800862">
            <w:pPr>
              <w:widowControl w:val="0"/>
              <w:tabs>
                <w:tab w:val="clear" w:pos="567"/>
              </w:tabs>
              <w:ind w:left="567"/>
              <w:rPr>
                <w:rFonts w:eastAsia="Calibri"/>
                <w:szCs w:val="22"/>
              </w:rPr>
            </w:pPr>
            <w:r>
              <w:rPr>
                <w:szCs w:val="22"/>
              </w:rPr>
              <w:t>които не са лекувани досега с анти-</w:t>
            </w:r>
            <w:r>
              <w:rPr>
                <w:szCs w:val="22"/>
                <w:lang w:val="en-US"/>
              </w:rPr>
              <w:t>TNFα</w:t>
            </w:r>
            <w:r>
              <w:rPr>
                <w:szCs w:val="22"/>
              </w:rPr>
              <w:t xml:space="preserve"> терапия</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1FA" w14:textId="77777777" w:rsidR="009B3384" w:rsidRDefault="00800862">
            <w:pPr>
              <w:widowControl w:val="0"/>
              <w:jc w:val="center"/>
              <w:rPr>
                <w:szCs w:val="22"/>
              </w:rPr>
            </w:pPr>
            <w:r>
              <w:rPr>
                <w:szCs w:val="22"/>
              </w:rPr>
              <w:t>49% (25/51)</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FB" w14:textId="77777777" w:rsidR="009B3384" w:rsidRDefault="00800862">
            <w:pPr>
              <w:widowControl w:val="0"/>
              <w:jc w:val="center"/>
              <w:rPr>
                <w:szCs w:val="22"/>
              </w:rPr>
            </w:pPr>
            <w:r>
              <w:rPr>
                <w:szCs w:val="22"/>
              </w:rPr>
              <w:t>65% (34/52)</w:t>
            </w:r>
            <w:r>
              <w:rPr>
                <w:szCs w:val="22"/>
                <w:vertAlign w:val="superscript"/>
              </w:rPr>
              <w:t>в</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1FC" w14:textId="77777777" w:rsidR="009B3384" w:rsidRDefault="00800862">
            <w:pPr>
              <w:widowControl w:val="0"/>
              <w:jc w:val="center"/>
              <w:rPr>
                <w:szCs w:val="22"/>
              </w:rPr>
            </w:pPr>
            <w:r>
              <w:rPr>
                <w:szCs w:val="22"/>
              </w:rPr>
              <w:t>57% (30/53)</w:t>
            </w:r>
          </w:p>
        </w:tc>
      </w:tr>
      <w:tr w:rsidR="009B3384" w14:paraId="109AD202" w14:textId="77777777">
        <w:trPr>
          <w:cantSplit/>
          <w:jc w:val="center"/>
        </w:trPr>
        <w:tc>
          <w:tcPr>
            <w:tcW w:w="4526" w:type="dxa"/>
            <w:tcBorders>
              <w:top w:val="single" w:sz="4" w:space="0" w:color="000000"/>
              <w:left w:val="single" w:sz="4" w:space="0" w:color="000000"/>
              <w:bottom w:val="single" w:sz="8" w:space="0" w:color="000000"/>
              <w:right w:val="single" w:sz="8" w:space="0" w:color="000000"/>
            </w:tcBorders>
          </w:tcPr>
          <w:p w14:paraId="109AD1FE" w14:textId="77777777" w:rsidR="009B3384" w:rsidRDefault="00800862">
            <w:pPr>
              <w:widowControl w:val="0"/>
              <w:tabs>
                <w:tab w:val="clear" w:pos="567"/>
              </w:tabs>
              <w:ind w:left="567"/>
              <w:rPr>
                <w:szCs w:val="22"/>
              </w:rPr>
            </w:pPr>
            <w:r>
              <w:rPr>
                <w:szCs w:val="22"/>
              </w:rPr>
              <w:t xml:space="preserve">които се включват от проучване </w:t>
            </w:r>
            <w:r>
              <w:rPr>
                <w:szCs w:val="22"/>
                <w:lang w:val="en-US"/>
              </w:rPr>
              <w:t>CRD</w:t>
            </w:r>
            <w:r>
              <w:rPr>
                <w:szCs w:val="22"/>
              </w:rPr>
              <w:t>3001</w:t>
            </w:r>
            <w:r>
              <w:rPr>
                <w:vertAlign w:val="superscript"/>
              </w:rPr>
              <w:t>§</w:t>
            </w:r>
          </w:p>
        </w:tc>
        <w:tc>
          <w:tcPr>
            <w:tcW w:w="1399" w:type="dxa"/>
            <w:tcBorders>
              <w:top w:val="single" w:sz="4" w:space="0" w:color="000000"/>
              <w:bottom w:val="single" w:sz="8" w:space="0" w:color="000000"/>
              <w:right w:val="single" w:sz="8" w:space="0" w:color="000000"/>
            </w:tcBorders>
            <w:vAlign w:val="center"/>
          </w:tcPr>
          <w:p w14:paraId="109AD1FF" w14:textId="77777777" w:rsidR="009B3384" w:rsidRDefault="00800862">
            <w:pPr>
              <w:widowControl w:val="0"/>
              <w:jc w:val="center"/>
              <w:rPr>
                <w:szCs w:val="22"/>
              </w:rPr>
            </w:pPr>
            <w:r>
              <w:rPr>
                <w:szCs w:val="22"/>
              </w:rPr>
              <w:t>26% (16/61)</w:t>
            </w:r>
          </w:p>
        </w:tc>
        <w:tc>
          <w:tcPr>
            <w:tcW w:w="1573" w:type="dxa"/>
            <w:tcBorders>
              <w:top w:val="single" w:sz="4" w:space="0" w:color="000000"/>
              <w:bottom w:val="single" w:sz="8" w:space="0" w:color="000000"/>
              <w:right w:val="single" w:sz="8" w:space="0" w:color="000000"/>
            </w:tcBorders>
            <w:vAlign w:val="center"/>
          </w:tcPr>
          <w:p w14:paraId="109AD200" w14:textId="77777777" w:rsidR="009B3384" w:rsidRDefault="00800862">
            <w:pPr>
              <w:widowControl w:val="0"/>
              <w:jc w:val="center"/>
              <w:rPr>
                <w:szCs w:val="22"/>
              </w:rPr>
            </w:pPr>
            <w:r>
              <w:rPr>
                <w:szCs w:val="22"/>
              </w:rPr>
              <w:t>41% (23/56)</w:t>
            </w:r>
          </w:p>
        </w:tc>
        <w:tc>
          <w:tcPr>
            <w:tcW w:w="1573" w:type="dxa"/>
            <w:tcBorders>
              <w:top w:val="single" w:sz="4" w:space="0" w:color="000000"/>
              <w:bottom w:val="single" w:sz="8" w:space="0" w:color="000000"/>
              <w:right w:val="single" w:sz="4" w:space="0" w:color="000000"/>
            </w:tcBorders>
            <w:vAlign w:val="center"/>
          </w:tcPr>
          <w:p w14:paraId="109AD201" w14:textId="77777777" w:rsidR="009B3384" w:rsidRDefault="00800862">
            <w:pPr>
              <w:widowControl w:val="0"/>
              <w:jc w:val="center"/>
              <w:rPr>
                <w:szCs w:val="22"/>
              </w:rPr>
            </w:pPr>
            <w:r>
              <w:rPr>
                <w:szCs w:val="22"/>
              </w:rPr>
              <w:t>39% (22/57)</w:t>
            </w:r>
          </w:p>
        </w:tc>
      </w:tr>
      <w:tr w:rsidR="009B3384" w14:paraId="109AD20B" w14:textId="77777777">
        <w:trPr>
          <w:cantSplit/>
          <w:jc w:val="center"/>
        </w:trPr>
        <w:tc>
          <w:tcPr>
            <w:tcW w:w="9071" w:type="dxa"/>
            <w:gridSpan w:val="4"/>
            <w:tcBorders>
              <w:top w:val="single" w:sz="8" w:space="0" w:color="000000"/>
            </w:tcBorders>
          </w:tcPr>
          <w:p w14:paraId="109AD203" w14:textId="77777777" w:rsidR="009B3384" w:rsidRDefault="00800862">
            <w:pPr>
              <w:widowControl w:val="0"/>
              <w:tabs>
                <w:tab w:val="clear" w:pos="567"/>
              </w:tabs>
              <w:ind w:left="284" w:hanging="284"/>
              <w:rPr>
                <w:sz w:val="18"/>
                <w:szCs w:val="18"/>
              </w:rPr>
            </w:pPr>
            <w:r>
              <w:rPr>
                <w:sz w:val="18"/>
                <w:szCs w:val="18"/>
              </w:rPr>
              <w:t xml:space="preserve">Клиничната ремисия е определена като </w:t>
            </w:r>
            <w:r>
              <w:rPr>
                <w:sz w:val="18"/>
                <w:szCs w:val="18"/>
                <w:lang w:val="en-US"/>
              </w:rPr>
              <w:t>CDAI</w:t>
            </w:r>
            <w:r>
              <w:rPr>
                <w:sz w:val="18"/>
                <w:szCs w:val="18"/>
              </w:rPr>
              <w:t xml:space="preserve"> скор &lt; 150; Клиничният отговор е определен като намаление на </w:t>
            </w:r>
            <w:r>
              <w:rPr>
                <w:sz w:val="18"/>
                <w:szCs w:val="18"/>
                <w:lang w:val="en-US"/>
              </w:rPr>
              <w:t>CDAI</w:t>
            </w:r>
            <w:r>
              <w:rPr>
                <w:sz w:val="18"/>
                <w:szCs w:val="18"/>
              </w:rPr>
              <w:t xml:space="preserve"> скор с най-малко 100 точки или състояние в клинична ремисия</w:t>
            </w:r>
          </w:p>
          <w:p w14:paraId="109AD204" w14:textId="77777777" w:rsidR="009B3384" w:rsidRDefault="00800862">
            <w:pPr>
              <w:widowControl w:val="0"/>
              <w:tabs>
                <w:tab w:val="clear" w:pos="567"/>
              </w:tabs>
              <w:ind w:left="284" w:hanging="284"/>
              <w:rPr>
                <w:rFonts w:cs="Calibri"/>
                <w:sz w:val="18"/>
                <w:szCs w:val="18"/>
              </w:rPr>
            </w:pPr>
            <w:r>
              <w:rPr>
                <w:sz w:val="18"/>
                <w:szCs w:val="18"/>
              </w:rPr>
              <w:t>*</w:t>
            </w:r>
            <w:r>
              <w:rPr>
                <w:sz w:val="18"/>
                <w:szCs w:val="18"/>
              </w:rPr>
              <w:tab/>
              <w:t>Групата на плацебо се състои от пациенти, които са се повлияли от устекинумаб и са рандомизирани да получават плацебо в началото на поддържащата терапия.</w:t>
            </w:r>
          </w:p>
          <w:p w14:paraId="109AD205" w14:textId="77777777" w:rsidR="009B3384" w:rsidRDefault="00800862">
            <w:pPr>
              <w:widowControl w:val="0"/>
              <w:tabs>
                <w:tab w:val="clear" w:pos="567"/>
              </w:tabs>
              <w:ind w:left="284" w:hanging="284"/>
              <w:rPr>
                <w:sz w:val="18"/>
                <w:szCs w:val="18"/>
              </w:rPr>
            </w:pPr>
            <w:r>
              <w:rPr>
                <w:sz w:val="18"/>
                <w:szCs w:val="18"/>
              </w:rPr>
              <w:t>†</w:t>
            </w:r>
            <w:r>
              <w:rPr>
                <w:sz w:val="18"/>
                <w:szCs w:val="18"/>
              </w:rPr>
              <w:tab/>
              <w:t>Пациенти, които имат 100-точков клиничен отговор към устекинумаб в началото на поддържащата терапия</w:t>
            </w:r>
          </w:p>
          <w:p w14:paraId="109AD206" w14:textId="77777777" w:rsidR="009B3384" w:rsidRDefault="00800862">
            <w:pPr>
              <w:widowControl w:val="0"/>
              <w:tabs>
                <w:tab w:val="clear" w:pos="567"/>
              </w:tabs>
              <w:ind w:left="284" w:hanging="284"/>
              <w:rPr>
                <w:sz w:val="18"/>
                <w:szCs w:val="18"/>
              </w:rPr>
            </w:pPr>
            <w:r>
              <w:rPr>
                <w:vertAlign w:val="superscript"/>
              </w:rPr>
              <w:t>‡</w:t>
            </w:r>
            <w:r>
              <w:rPr>
                <w:vertAlign w:val="superscript"/>
              </w:rPr>
              <w:tab/>
            </w:r>
            <w:r>
              <w:rPr>
                <w:sz w:val="18"/>
                <w:szCs w:val="18"/>
              </w:rPr>
              <w:t>Пациенти, които не са се повлияли от конвенционалната терапия, но не анти-TNFα терапия</w:t>
            </w:r>
          </w:p>
          <w:p w14:paraId="109AD207" w14:textId="77777777" w:rsidR="009B3384" w:rsidRDefault="00800862">
            <w:pPr>
              <w:widowControl w:val="0"/>
              <w:tabs>
                <w:tab w:val="clear" w:pos="567"/>
              </w:tabs>
              <w:ind w:left="284" w:hanging="284"/>
              <w:rPr>
                <w:sz w:val="18"/>
                <w:szCs w:val="18"/>
              </w:rPr>
            </w:pPr>
            <w:r>
              <w:rPr>
                <w:vertAlign w:val="superscript"/>
              </w:rPr>
              <w:t>§</w:t>
            </w:r>
            <w:r>
              <w:rPr>
                <w:vertAlign w:val="superscript"/>
              </w:rPr>
              <w:tab/>
            </w:r>
            <w:r>
              <w:rPr>
                <w:sz w:val="18"/>
                <w:szCs w:val="18"/>
              </w:rPr>
              <w:t>Пациенти, които са рефрактерни или имат непоносимост към анти-TNFα терапия</w:t>
            </w:r>
          </w:p>
          <w:p w14:paraId="109AD208" w14:textId="77777777" w:rsidR="009B3384" w:rsidRDefault="00800862">
            <w:pPr>
              <w:widowControl w:val="0"/>
              <w:tabs>
                <w:tab w:val="clear" w:pos="567"/>
              </w:tabs>
              <w:ind w:left="284" w:hanging="284"/>
              <w:rPr>
                <w:sz w:val="18"/>
                <w:szCs w:val="18"/>
              </w:rPr>
            </w:pPr>
            <w:r>
              <w:rPr>
                <w:szCs w:val="18"/>
                <w:vertAlign w:val="superscript"/>
                <w:lang w:val="en-US"/>
              </w:rPr>
              <w:t>a</w:t>
            </w:r>
            <w:r>
              <w:rPr>
                <w:sz w:val="18"/>
                <w:szCs w:val="18"/>
              </w:rPr>
              <w:tab/>
            </w:r>
            <w:r>
              <w:rPr>
                <w:sz w:val="18"/>
                <w:szCs w:val="18"/>
                <w:lang w:val="en-US"/>
              </w:rPr>
              <w:t>p</w:t>
            </w:r>
            <w:r>
              <w:rPr>
                <w:sz w:val="18"/>
                <w:szCs w:val="18"/>
              </w:rPr>
              <w:t> &lt; 0,01</w:t>
            </w:r>
          </w:p>
          <w:p w14:paraId="109AD209" w14:textId="77777777" w:rsidR="009B3384" w:rsidRDefault="00800862">
            <w:pPr>
              <w:widowControl w:val="0"/>
              <w:tabs>
                <w:tab w:val="clear" w:pos="567"/>
                <w:tab w:val="left" w:pos="288"/>
              </w:tabs>
              <w:ind w:left="284" w:hanging="284"/>
              <w:rPr>
                <w:sz w:val="18"/>
                <w:szCs w:val="18"/>
              </w:rPr>
            </w:pPr>
            <w:r>
              <w:rPr>
                <w:szCs w:val="18"/>
                <w:vertAlign w:val="superscript"/>
              </w:rPr>
              <w:t>б</w:t>
            </w:r>
            <w:r>
              <w:rPr>
                <w:sz w:val="18"/>
                <w:szCs w:val="18"/>
              </w:rPr>
              <w:tab/>
            </w:r>
            <w:r>
              <w:rPr>
                <w:sz w:val="18"/>
                <w:szCs w:val="18"/>
                <w:lang w:val="en-US"/>
              </w:rPr>
              <w:t>p</w:t>
            </w:r>
            <w:r>
              <w:rPr>
                <w:sz w:val="18"/>
                <w:szCs w:val="18"/>
              </w:rPr>
              <w:t> &lt; 0,05</w:t>
            </w:r>
          </w:p>
          <w:p w14:paraId="109AD20A" w14:textId="77777777" w:rsidR="009B3384" w:rsidRDefault="00800862">
            <w:pPr>
              <w:widowControl w:val="0"/>
              <w:tabs>
                <w:tab w:val="clear" w:pos="567"/>
                <w:tab w:val="left" w:pos="288"/>
              </w:tabs>
              <w:ind w:left="284" w:hanging="284"/>
              <w:rPr>
                <w:szCs w:val="22"/>
              </w:rPr>
            </w:pPr>
            <w:r>
              <w:rPr>
                <w:szCs w:val="18"/>
                <w:vertAlign w:val="superscript"/>
              </w:rPr>
              <w:t>в</w:t>
            </w:r>
            <w:r>
              <w:rPr>
                <w:sz w:val="18"/>
                <w:szCs w:val="18"/>
              </w:rPr>
              <w:tab/>
              <w:t>номинално значима (</w:t>
            </w:r>
            <w:r>
              <w:rPr>
                <w:sz w:val="18"/>
                <w:szCs w:val="18"/>
                <w:lang w:val="en-US"/>
              </w:rPr>
              <w:t>p</w:t>
            </w:r>
            <w:r>
              <w:rPr>
                <w:sz w:val="18"/>
                <w:szCs w:val="18"/>
              </w:rPr>
              <w:t> &lt; 0,05)</w:t>
            </w:r>
          </w:p>
        </w:tc>
      </w:tr>
    </w:tbl>
    <w:p w14:paraId="109AD20C" w14:textId="77777777" w:rsidR="009B3384" w:rsidRDefault="009B3384"/>
    <w:p w14:paraId="109AD20D" w14:textId="77777777" w:rsidR="009B3384" w:rsidRDefault="00800862">
      <w:r>
        <w:t>В IM-UNITI 29 от 129</w:t>
      </w:r>
      <w:r>
        <w:rPr>
          <w:szCs w:val="22"/>
        </w:rPr>
        <w:t> </w:t>
      </w:r>
      <w:r>
        <w:t>пациенти не поддържат отговора към устекинумаб при приложение през 12</w:t>
      </w:r>
      <w:r>
        <w:rPr>
          <w:szCs w:val="22"/>
        </w:rPr>
        <w:t> </w:t>
      </w:r>
      <w:r>
        <w:t>седмици и е позволено коригиране на дозата така, че да получават устекинумаб през 8</w:t>
      </w:r>
      <w:r>
        <w:rPr>
          <w:szCs w:val="22"/>
        </w:rPr>
        <w:t> </w:t>
      </w:r>
      <w:r>
        <w:t>седмици. Загубата на отговор е определена като CDAI скор ≥</w:t>
      </w:r>
      <w:r>
        <w:rPr>
          <w:szCs w:val="22"/>
        </w:rPr>
        <w:t> </w:t>
      </w:r>
      <w:r>
        <w:t>220</w:t>
      </w:r>
      <w:r>
        <w:rPr>
          <w:szCs w:val="22"/>
        </w:rPr>
        <w:t> точки</w:t>
      </w:r>
      <w:r>
        <w:t xml:space="preserve"> и ≥</w:t>
      </w:r>
      <w:r>
        <w:rPr>
          <w:szCs w:val="22"/>
        </w:rPr>
        <w:t> </w:t>
      </w:r>
      <w:r>
        <w:t>100</w:t>
      </w:r>
      <w:r>
        <w:rPr>
          <w:szCs w:val="22"/>
        </w:rPr>
        <w:t> точки</w:t>
      </w:r>
      <w:r>
        <w:t xml:space="preserve"> повишение спрямо изходния CDAI скор.При тези пациенти клинична ремисия се постига при 41,4% от пациентите 16</w:t>
      </w:r>
      <w:r>
        <w:rPr>
          <w:szCs w:val="22"/>
        </w:rPr>
        <w:t> </w:t>
      </w:r>
      <w:r>
        <w:t>седмици след коригиране на дозата.</w:t>
      </w:r>
    </w:p>
    <w:p w14:paraId="109AD20E" w14:textId="77777777" w:rsidR="009B3384" w:rsidRDefault="009B3384"/>
    <w:p w14:paraId="109AD20F" w14:textId="77777777" w:rsidR="009B3384" w:rsidRDefault="00800862">
      <w:r>
        <w:t>Пациентите, които не са постигнали клиничен отговор към индукция с устекинумаб на седмица</w:t>
      </w:r>
      <w:r>
        <w:rPr>
          <w:szCs w:val="22"/>
        </w:rPr>
        <w:t> </w:t>
      </w:r>
      <w:r>
        <w:t>8 от проучванията с индукция UNITI-1 и UNITI-2 (476</w:t>
      </w:r>
      <w:r>
        <w:rPr>
          <w:szCs w:val="22"/>
        </w:rPr>
        <w:t> </w:t>
      </w:r>
      <w:r>
        <w:t>пациенти), са включени в нерандомизираната част от проучването с поддържаща терапия (IM-UNITI) и са получили подкожна инжекция с устекинумаб 90</w:t>
      </w:r>
      <w:r>
        <w:rPr>
          <w:szCs w:val="22"/>
        </w:rPr>
        <w:t> </w:t>
      </w:r>
      <w:r>
        <w:t>mg по това време. След осем</w:t>
      </w:r>
      <w:r>
        <w:rPr>
          <w:szCs w:val="22"/>
        </w:rPr>
        <w:t> </w:t>
      </w:r>
      <w:r>
        <w:t>седмици 50,5% от пациентите са постигнали клиничен отговор и са продължили да получават поддържаща терапия през 8</w:t>
      </w:r>
      <w:r>
        <w:rPr>
          <w:szCs w:val="22"/>
        </w:rPr>
        <w:t> </w:t>
      </w:r>
      <w:r>
        <w:t>седмици. Повечето от тези пациенти с продължителна поддържаща терапия поддържат отговор (68,1%) и постигат ремисия (50,2%) на седмица</w:t>
      </w:r>
      <w:r>
        <w:rPr>
          <w:szCs w:val="22"/>
        </w:rPr>
        <w:t> </w:t>
      </w:r>
      <w:r>
        <w:t>44, като процентът им е подобен на този при пациентите, които първоначално са се повлияли от индукция с устекинумаб.</w:t>
      </w:r>
    </w:p>
    <w:p w14:paraId="109AD210" w14:textId="77777777" w:rsidR="009B3384" w:rsidRDefault="009B3384"/>
    <w:p w14:paraId="109AD211" w14:textId="77777777" w:rsidR="009B3384" w:rsidRDefault="00800862">
      <w:r>
        <w:t>От 131</w:t>
      </w:r>
      <w:r>
        <w:rPr>
          <w:szCs w:val="22"/>
        </w:rPr>
        <w:t> </w:t>
      </w:r>
      <w:r>
        <w:t>пациенти, които са се повлияли от индукция с устекинумаб и са рандомизирани в групата на плацебо в началото на проучването с поддържаща терапия, 51 впоследствие са загубили отговора си и са получили 90</w:t>
      </w:r>
      <w:r>
        <w:rPr>
          <w:szCs w:val="22"/>
        </w:rPr>
        <w:t> </w:t>
      </w:r>
      <w:r>
        <w:t xml:space="preserve">mg устекинумаб подкожно през 8 седмици. </w:t>
      </w:r>
      <w:r>
        <w:rPr>
          <w:szCs w:val="22"/>
        </w:rPr>
        <w:t>Повечето от пациентите, загубили отговора си и подновили лечението с устекинумаб, са го направили в рамките на 24 седмици от индукционната инфузия.</w:t>
      </w:r>
      <w:r>
        <w:t xml:space="preserve"> От тези 51</w:t>
      </w:r>
      <w:r>
        <w:rPr>
          <w:szCs w:val="22"/>
        </w:rPr>
        <w:t> </w:t>
      </w:r>
      <w:r>
        <w:t xml:space="preserve">пациенти 70,6% постигат </w:t>
      </w:r>
      <w:r>
        <w:lastRenderedPageBreak/>
        <w:t>клиничен отговор и 39,2% постигат клинична ремисия 16</w:t>
      </w:r>
      <w:r>
        <w:rPr>
          <w:szCs w:val="22"/>
        </w:rPr>
        <w:t> </w:t>
      </w:r>
      <w:r>
        <w:t>седмици след получаването на първата подкожна доза устекинумаб.</w:t>
      </w:r>
    </w:p>
    <w:p w14:paraId="109AD212" w14:textId="77777777" w:rsidR="009B3384" w:rsidRDefault="009B3384"/>
    <w:p w14:paraId="109AD213" w14:textId="77777777" w:rsidR="009B3384" w:rsidRDefault="00800862">
      <w:r>
        <w:t>В IM-UNITI пациентите, завършили проучването до седмица 44, са подходящи да продължат лечението в продължение на проучването. При всичките 567 пациенти, включени на и лекувани с устекинумаб в продължението на проучването, клиничната ремисия и отговорът обикновено се поддържат до седмица 252, както при болните с неуспех на TNF-терапиите, така и при пациентите с неуспех на конвенционалните терапии.</w:t>
      </w:r>
    </w:p>
    <w:p w14:paraId="109AD214" w14:textId="77777777" w:rsidR="009B3384" w:rsidRDefault="009B3384"/>
    <w:p w14:paraId="109AD215" w14:textId="77777777" w:rsidR="009B3384" w:rsidRDefault="00800862">
      <w:r>
        <w:t>Не са установени нови съображения за безопасност при удължаване на това проучване до 5 години на лечение при пациенти с болест на Crohn.</w:t>
      </w:r>
    </w:p>
    <w:p w14:paraId="109AD216" w14:textId="77777777" w:rsidR="009B3384" w:rsidRDefault="009B3384"/>
    <w:p w14:paraId="109AD217" w14:textId="77777777" w:rsidR="009B3384" w:rsidRDefault="00800862">
      <w:pPr>
        <w:keepNext/>
        <w:rPr>
          <w:i/>
          <w:iCs/>
          <w:szCs w:val="22"/>
        </w:rPr>
      </w:pPr>
      <w:r>
        <w:rPr>
          <w:i/>
          <w:szCs w:val="22"/>
        </w:rPr>
        <w:t>Ендоскопия</w:t>
      </w:r>
    </w:p>
    <w:p w14:paraId="109AD218" w14:textId="77777777" w:rsidR="009B3384" w:rsidRDefault="00800862">
      <w:r>
        <w:t>Външният вид на лигавицата е оценен ендоскопски при 252</w:t>
      </w:r>
      <w:r>
        <w:rPr>
          <w:szCs w:val="22"/>
        </w:rPr>
        <w:t> </w:t>
      </w:r>
      <w:r>
        <w:t xml:space="preserve">пациенти с подходяща изходна ендоскопска активност на заболяването в едно подпроучване. Първичната крайна точка е промяна от изходното ниво на Опростения ендоскопски скор при болест на </w:t>
      </w:r>
      <w:r>
        <w:rPr>
          <w:lang w:val="en-US"/>
        </w:rPr>
        <w:t>Crohn</w:t>
      </w:r>
      <w:r>
        <w:t xml:space="preserve"> (Simplified Endoscopic Disease Severity </w:t>
      </w:r>
      <w:r>
        <w:rPr>
          <w:lang w:val="en-GB"/>
        </w:rPr>
        <w:t>Score</w:t>
      </w:r>
      <w:r>
        <w:t xml:space="preserve"> </w:t>
      </w:r>
      <w:r>
        <w:rPr>
          <w:lang w:val="en-GB"/>
        </w:rPr>
        <w:t>for</w:t>
      </w:r>
      <w:r>
        <w:t xml:space="preserve"> </w:t>
      </w:r>
      <w:r>
        <w:rPr>
          <w:lang w:val="en-GB"/>
        </w:rPr>
        <w:t>Crohn</w:t>
      </w:r>
      <w:r>
        <w:t>’</w:t>
      </w:r>
      <w:r>
        <w:rPr>
          <w:lang w:val="en-GB"/>
        </w:rPr>
        <w:t>s</w:t>
      </w:r>
      <w:r>
        <w:t xml:space="preserve"> Disease, SES-CD), съставен скор от 5 илео-колонни сегмента за наличие/размер на язвите, процент на лигавичната повърхност, покрита от язви, процент на лигавичната повърхност, засегната от други лезии, и наличие/вид на стесняванията/стриктурите. На седмица</w:t>
      </w:r>
      <w:r>
        <w:rPr>
          <w:szCs w:val="22"/>
        </w:rPr>
        <w:t> </w:t>
      </w:r>
      <w:r>
        <w:t>8, след единична интравенозна индукционна доза, промяната в SES-CD скора е по-голяма в групата на устекинумаб (n = 155, средна промяна = </w:t>
      </w:r>
      <w:r>
        <w:noBreakHyphen/>
        <w:t>2,8) отколкото в групата на плацебо (n = 97, средна промяна = </w:t>
      </w:r>
      <w:r>
        <w:noBreakHyphen/>
        <w:t>0,7, p = 0,012).</w:t>
      </w:r>
    </w:p>
    <w:p w14:paraId="109AD219" w14:textId="77777777" w:rsidR="009B3384" w:rsidRDefault="009B3384"/>
    <w:p w14:paraId="109AD21A" w14:textId="77777777" w:rsidR="009B3384" w:rsidRDefault="00800862">
      <w:pPr>
        <w:keepNext/>
        <w:rPr>
          <w:i/>
          <w:szCs w:val="22"/>
        </w:rPr>
      </w:pPr>
      <w:r>
        <w:rPr>
          <w:i/>
          <w:szCs w:val="22"/>
        </w:rPr>
        <w:t>Повлияване на фистулите</w:t>
      </w:r>
    </w:p>
    <w:p w14:paraId="109AD21B" w14:textId="77777777" w:rsidR="009B3384" w:rsidRDefault="00800862">
      <w:r>
        <w:t>В една подгрупа пациенти с дрениращи фистули на изходно ниво (8,8%; n = 26), фистулите на 12/15 (80%) от лекуваните с устекинумаб пациенти се повлияват в продължение на 44 седмици (определено като ≥ 50% намаление от изходно ниво в проучването с индукция на броя на дрениращите фистули) в сравнение с 5/11 (45,5%) с плацебо.</w:t>
      </w:r>
    </w:p>
    <w:p w14:paraId="109AD21C" w14:textId="77777777" w:rsidR="009B3384" w:rsidRDefault="009B3384"/>
    <w:p w14:paraId="109AD21D" w14:textId="77777777" w:rsidR="009B3384" w:rsidRDefault="00800862">
      <w:pPr>
        <w:keepNext/>
        <w:rPr>
          <w:szCs w:val="24"/>
        </w:rPr>
      </w:pPr>
      <w:r>
        <w:rPr>
          <w:i/>
          <w:szCs w:val="22"/>
        </w:rPr>
        <w:t>Качество на живот, свързано със здравето</w:t>
      </w:r>
    </w:p>
    <w:p w14:paraId="109AD21E" w14:textId="77777777" w:rsidR="009B3384" w:rsidRDefault="00800862">
      <w:pPr>
        <w:rPr>
          <w:szCs w:val="24"/>
        </w:rPr>
      </w:pPr>
      <w:r>
        <w:rPr>
          <w:iCs/>
        </w:rPr>
        <w:t xml:space="preserve">Качеството на живот, свързано със здравето, е оценено посредством Въпросник при възпалителни заболявания на червата (Inflammatory Bowel Disease Questionnaire, IBDQ) и въпросници SF-36. На </w:t>
      </w:r>
      <w:r>
        <w:t>седмица</w:t>
      </w:r>
      <w:r>
        <w:rPr>
          <w:szCs w:val="22"/>
        </w:rPr>
        <w:t> </w:t>
      </w:r>
      <w:r>
        <w:rPr>
          <w:iCs/>
        </w:rPr>
        <w:t xml:space="preserve">8 пациентите, получаващи устекинумаб, показват статистически значимо по-голямо и клинично значимо подобрение на общия IBDQ скор и на SF-36 Mental Component Summary </w:t>
      </w:r>
      <w:r>
        <w:rPr>
          <w:iCs/>
          <w:lang w:val="en-GB"/>
        </w:rPr>
        <w:t>Score</w:t>
      </w:r>
      <w:r>
        <w:rPr>
          <w:iCs/>
        </w:rPr>
        <w:t xml:space="preserve"> в UNITI-1 и UNITI-2 и на SF-36 Physical Component Summary </w:t>
      </w:r>
      <w:r>
        <w:rPr>
          <w:iCs/>
          <w:lang w:val="en-GB"/>
        </w:rPr>
        <w:t>Score</w:t>
      </w:r>
      <w:r>
        <w:rPr>
          <w:iCs/>
        </w:rPr>
        <w:t xml:space="preserve"> в UNITI-2 в сравнение с плацебо. В проучването IM-UNITI до </w:t>
      </w:r>
      <w:r>
        <w:t>седмица</w:t>
      </w:r>
      <w:r>
        <w:rPr>
          <w:szCs w:val="22"/>
        </w:rPr>
        <w:t> </w:t>
      </w:r>
      <w:r>
        <w:rPr>
          <w:iCs/>
        </w:rPr>
        <w:t>44 тези подобрения обикновено се поддържат по-добре при лекувани с устекинумаб пациенти в сравнение с плацебо. Подобрението на качеството на живот, свързано със здравето, обикновено се поддържа през цялото продължение до седмица 252.</w:t>
      </w:r>
    </w:p>
    <w:p w14:paraId="109AD21F" w14:textId="77777777" w:rsidR="009B3384" w:rsidRDefault="009B3384"/>
    <w:p w14:paraId="109AD220" w14:textId="77777777" w:rsidR="009B3384" w:rsidRPr="00BC6A43" w:rsidRDefault="00800862">
      <w:pPr>
        <w:keepNext/>
        <w:rPr>
          <w:i/>
          <w:iCs/>
          <w:szCs w:val="22"/>
          <w:u w:val="single"/>
        </w:rPr>
      </w:pPr>
      <w:r w:rsidRPr="00BC6A43">
        <w:rPr>
          <w:i/>
          <w:iCs/>
          <w:szCs w:val="22"/>
          <w:u w:val="single"/>
        </w:rPr>
        <w:t>Улцерозен колит</w:t>
      </w:r>
    </w:p>
    <w:p w14:paraId="109AD221" w14:textId="79FE8DD3" w:rsidR="009B3384" w:rsidRDefault="00800862">
      <w:r>
        <w:t xml:space="preserve">Безопасността и ефикасността на устекинумаб са оценени в две рандомизирани, двойнослепи, плацебо-контролирани, многоцентрови проучвания при възрастни пациенти с умерен до тежък активен улцерозен колит (скор по Mayo 6 до 12; ендоскопски </w:t>
      </w:r>
      <w:r w:rsidR="00EA3FF7">
        <w:t>подскор</w:t>
      </w:r>
      <w:r>
        <w:t xml:space="preserve"> ≥ 2). Програмата за клинично разработване се състои от едно проучване с интравенозна индукция (наречено UNIFI</w:t>
      </w:r>
      <w:r>
        <w:noBreakHyphen/>
        <w:t>I) с лечение до 16 седмици, последвано от 44</w:t>
      </w:r>
      <w:r>
        <w:rPr>
          <w:szCs w:val="22"/>
        </w:rPr>
        <w:noBreakHyphen/>
      </w:r>
      <w:r>
        <w:t>седмично проучване с поддържащо лечение с подкожно приложение, с рандомизирано спиране на лечението (наречено UNIFI-M), което представлява най-малко 52</w:t>
      </w:r>
      <w:r>
        <w:rPr>
          <w:szCs w:val="22"/>
        </w:rPr>
        <w:t> </w:t>
      </w:r>
      <w:r>
        <w:t>седмици на терапия.</w:t>
      </w:r>
    </w:p>
    <w:p w14:paraId="109AD222" w14:textId="77777777" w:rsidR="009B3384" w:rsidRDefault="009B3384">
      <w:pPr>
        <w:rPr>
          <w:szCs w:val="24"/>
        </w:rPr>
      </w:pPr>
    </w:p>
    <w:p w14:paraId="109AD223" w14:textId="77777777" w:rsidR="009B3384" w:rsidRDefault="00800862">
      <w:pPr>
        <w:rPr>
          <w:szCs w:val="24"/>
        </w:rPr>
      </w:pPr>
      <w:r>
        <w:rPr>
          <w:szCs w:val="24"/>
        </w:rPr>
        <w:t>Представените резултати за ефикасност от UNIFI-I и UNIFI-M се основават на централен преглед на ендоскопиите.</w:t>
      </w:r>
    </w:p>
    <w:p w14:paraId="109AD224" w14:textId="77777777" w:rsidR="009B3384" w:rsidRDefault="009B3384"/>
    <w:p w14:paraId="109AD225" w14:textId="77777777" w:rsidR="009B3384" w:rsidRDefault="00800862">
      <w:pPr>
        <w:rPr>
          <w:szCs w:val="24"/>
        </w:rPr>
      </w:pPr>
      <w:r>
        <w:t>UNIFI-I включва 961 пациенти. Първичната крайна точка в проучването с индукция е процентът на участниците в клинична ремисия на седмица</w:t>
      </w:r>
      <w:r>
        <w:rPr>
          <w:szCs w:val="22"/>
        </w:rPr>
        <w:t> </w:t>
      </w:r>
      <w:r>
        <w:t>8</w:t>
      </w:r>
      <w:r>
        <w:rPr>
          <w:szCs w:val="24"/>
        </w:rPr>
        <w:t xml:space="preserve">. </w:t>
      </w:r>
      <w:r>
        <w:rPr>
          <w:szCs w:val="22"/>
        </w:rPr>
        <w:t xml:space="preserve">Пациентите са рандомизирани да получат еднократно интравенозно </w:t>
      </w:r>
      <w:r>
        <w:rPr>
          <w:szCs w:val="24"/>
        </w:rPr>
        <w:t>препоръчителната диференцирана доза 6</w:t>
      </w:r>
      <w:r>
        <w:rPr>
          <w:szCs w:val="22"/>
        </w:rPr>
        <w:t> </w:t>
      </w:r>
      <w:r>
        <w:rPr>
          <w:szCs w:val="24"/>
        </w:rPr>
        <w:t>mg/kg (вж. Таблица</w:t>
      </w:r>
      <w:r>
        <w:rPr>
          <w:szCs w:val="22"/>
        </w:rPr>
        <w:t> </w:t>
      </w:r>
      <w:r>
        <w:rPr>
          <w:szCs w:val="24"/>
        </w:rPr>
        <w:t>1, точка</w:t>
      </w:r>
      <w:r>
        <w:rPr>
          <w:szCs w:val="22"/>
        </w:rPr>
        <w:t> </w:t>
      </w:r>
      <w:r>
        <w:rPr>
          <w:szCs w:val="24"/>
        </w:rPr>
        <w:t>4.2), фиксирана доза 130</w:t>
      </w:r>
      <w:r>
        <w:rPr>
          <w:szCs w:val="22"/>
        </w:rPr>
        <w:t> </w:t>
      </w:r>
      <w:r>
        <w:rPr>
          <w:szCs w:val="24"/>
        </w:rPr>
        <w:t xml:space="preserve">mg устекинумаб или плацебо на </w:t>
      </w:r>
      <w:r>
        <w:t>седмица</w:t>
      </w:r>
      <w:r>
        <w:rPr>
          <w:szCs w:val="22"/>
        </w:rPr>
        <w:t> </w:t>
      </w:r>
      <w:r>
        <w:rPr>
          <w:szCs w:val="24"/>
        </w:rPr>
        <w:t>0.</w:t>
      </w:r>
    </w:p>
    <w:p w14:paraId="109AD226" w14:textId="77777777" w:rsidR="009B3384" w:rsidRDefault="009B3384">
      <w:pPr>
        <w:rPr>
          <w:szCs w:val="22"/>
        </w:rPr>
      </w:pPr>
    </w:p>
    <w:p w14:paraId="109AD227" w14:textId="77777777" w:rsidR="009B3384" w:rsidRDefault="00800862">
      <w:pPr>
        <w:rPr>
          <w:szCs w:val="13"/>
        </w:rPr>
      </w:pPr>
      <w:r>
        <w:rPr>
          <w:szCs w:val="22"/>
        </w:rPr>
        <w:lastRenderedPageBreak/>
        <w:t xml:space="preserve">Разрешено е едновременно приложение на перорални кортикостероиди, имуномодулатори и аминосалицилати, като 90% от пациентите продължават да получават най-малко едно от тези лекарства. </w:t>
      </w:r>
      <w:r>
        <w:rPr>
          <w:szCs w:val="24"/>
        </w:rPr>
        <w:t>Включените пациенти трябва да са преминали неуспешна конвенционална терапия (</w:t>
      </w:r>
      <w:r>
        <w:rPr>
          <w:szCs w:val="22"/>
        </w:rPr>
        <w:t>кортикостероиди или имуномодулатори</w:t>
      </w:r>
      <w:r>
        <w:rPr>
          <w:szCs w:val="24"/>
        </w:rPr>
        <w:t xml:space="preserve">) или лечение с най-малко едно биологично лекарствено средство (антагонист на TNFα и/или ведолизумаб). При </w:t>
      </w:r>
      <w:r>
        <w:t>49% от пациентите конвенционалната терапия е неуспешна, но не и лечението с биологично лекарствено средство (от които 94% не са лекувани досега с биологични лекарствени продукти). 51% от пациентите са лекувани неуспешно или имат непоносимост към биологично лекарствено средство. Приблизително 50% от пациентите са лекувани неуспешно с най-малко 1 предшестваща анти-TNF</w:t>
      </w:r>
      <w:r>
        <w:rPr>
          <w:rFonts w:eastAsia="Symbol"/>
        </w:rPr>
        <w:t>α</w:t>
      </w:r>
      <w:r>
        <w:t xml:space="preserve"> терапия (от които 48% първично не са се повлияли), </w:t>
      </w:r>
      <w:r>
        <w:rPr>
          <w:szCs w:val="13"/>
        </w:rPr>
        <w:t>а 17% са имали най-малко 1 терапия с анти-TNFα средство и ведолизумаб.</w:t>
      </w:r>
    </w:p>
    <w:p w14:paraId="109AD228" w14:textId="77777777" w:rsidR="009B3384" w:rsidRDefault="009B3384">
      <w:pPr>
        <w:rPr>
          <w:szCs w:val="22"/>
        </w:rPr>
      </w:pPr>
    </w:p>
    <w:p w14:paraId="109AD229" w14:textId="061F3CEF" w:rsidR="009B3384" w:rsidRDefault="00800862">
      <w:pPr>
        <w:rPr>
          <w:iCs/>
          <w:szCs w:val="22"/>
        </w:rPr>
      </w:pPr>
      <w:r>
        <w:rPr>
          <w:szCs w:val="22"/>
        </w:rPr>
        <w:t>В UNIFI-I значимо по-голям процент от пациентите са в клинична ремисия в групата, лекувана с устекинумаб, в сравнение с плацебо на седмица 8 (Таблица 1</w:t>
      </w:r>
      <w:r w:rsidRPr="00BC6A43">
        <w:rPr>
          <w:szCs w:val="22"/>
        </w:rPr>
        <w:t>0</w:t>
      </w:r>
      <w:r>
        <w:rPr>
          <w:szCs w:val="22"/>
        </w:rPr>
        <w:t xml:space="preserve">). </w:t>
      </w:r>
      <w:r>
        <w:rPr>
          <w:iCs/>
          <w:szCs w:val="22"/>
        </w:rPr>
        <w:t>Още на седмица</w:t>
      </w:r>
      <w:r>
        <w:rPr>
          <w:iCs/>
          <w:szCs w:val="22"/>
          <w:lang w:val="en-US"/>
        </w:rPr>
        <w:t> </w:t>
      </w:r>
      <w:r>
        <w:rPr>
          <w:iCs/>
          <w:szCs w:val="22"/>
        </w:rPr>
        <w:t xml:space="preserve">2, най-ранната планирана визита в проучването, и при всяка визита след това по-голям процент пациенти с </w:t>
      </w:r>
      <w:r>
        <w:t xml:space="preserve">устекинумаб нямат </w:t>
      </w:r>
      <w:r>
        <w:rPr>
          <w:iCs/>
          <w:szCs w:val="22"/>
        </w:rPr>
        <w:t xml:space="preserve">ректално кървене или постигат нормална честота на дефекация в сравнение с пациентите на плацебо. Наблюдавани са значими разлики между </w:t>
      </w:r>
      <w:r>
        <w:t xml:space="preserve">устекинумаб </w:t>
      </w:r>
      <w:r>
        <w:rPr>
          <w:iCs/>
          <w:szCs w:val="22"/>
        </w:rPr>
        <w:t xml:space="preserve">и плацебо в частичния скор по </w:t>
      </w:r>
      <w:r>
        <w:rPr>
          <w:iCs/>
          <w:szCs w:val="22"/>
          <w:lang w:val="en-US"/>
        </w:rPr>
        <w:t>Mayo</w:t>
      </w:r>
      <w:r>
        <w:rPr>
          <w:iCs/>
          <w:szCs w:val="22"/>
        </w:rPr>
        <w:t xml:space="preserve"> и симптоматичната ремисия още на седмица</w:t>
      </w:r>
      <w:r>
        <w:rPr>
          <w:iCs/>
          <w:szCs w:val="22"/>
          <w:lang w:val="en-US"/>
        </w:rPr>
        <w:t> </w:t>
      </w:r>
      <w:r>
        <w:rPr>
          <w:iCs/>
          <w:szCs w:val="22"/>
        </w:rPr>
        <w:t>2.</w:t>
      </w:r>
    </w:p>
    <w:p w14:paraId="109AD22A" w14:textId="77777777" w:rsidR="009B3384" w:rsidRDefault="009B3384">
      <w:pPr>
        <w:rPr>
          <w:szCs w:val="24"/>
        </w:rPr>
      </w:pPr>
    </w:p>
    <w:p w14:paraId="109AD22B" w14:textId="77777777" w:rsidR="009B3384" w:rsidRDefault="00800862">
      <w:pPr>
        <w:rPr>
          <w:szCs w:val="24"/>
        </w:rPr>
      </w:pPr>
      <w:r>
        <w:rPr>
          <w:szCs w:val="24"/>
        </w:rPr>
        <w:t>Ефикасността е по-висока в групата с диференцираната доза (6 mg/kg) в сравнение с групата с доза 130</w:t>
      </w:r>
      <w:r>
        <w:rPr>
          <w:szCs w:val="22"/>
        </w:rPr>
        <w:t> </w:t>
      </w:r>
      <w:r>
        <w:rPr>
          <w:szCs w:val="24"/>
        </w:rPr>
        <w:t>mg по отношение на избрани крайни точки и поради това диференцираното дозиране се препоръчва като доза за интравенозната индукция.</w:t>
      </w:r>
    </w:p>
    <w:p w14:paraId="109AD22C" w14:textId="77777777" w:rsidR="009B3384" w:rsidRDefault="009B3384">
      <w:pPr>
        <w:rPr>
          <w:szCs w:val="24"/>
        </w:rPr>
      </w:pPr>
    </w:p>
    <w:p w14:paraId="109AD22D" w14:textId="24B2B078" w:rsidR="009B3384" w:rsidRDefault="00800862">
      <w:pPr>
        <w:keepNext/>
        <w:ind w:left="1134" w:hanging="1134"/>
        <w:rPr>
          <w:i/>
          <w:iCs/>
        </w:rPr>
      </w:pPr>
      <w:r>
        <w:rPr>
          <w:i/>
          <w:iCs/>
        </w:rPr>
        <w:t>Таблица 10:</w:t>
      </w:r>
      <w:r>
        <w:rPr>
          <w:i/>
          <w:iCs/>
        </w:rPr>
        <w:tab/>
        <w:t>Резюме на основните резултати за ефикасност в UNIFI-I (седмица 8)</w:t>
      </w:r>
    </w:p>
    <w:tbl>
      <w:tblPr>
        <w:tblW w:w="9072" w:type="dxa"/>
        <w:jc w:val="center"/>
        <w:tblLayout w:type="fixed"/>
        <w:tblCellMar>
          <w:left w:w="28" w:type="dxa"/>
          <w:right w:w="28" w:type="dxa"/>
        </w:tblCellMar>
        <w:tblLook w:val="0000" w:firstRow="0" w:lastRow="0" w:firstColumn="0" w:lastColumn="0" w:noHBand="0" w:noVBand="0"/>
      </w:tblPr>
      <w:tblGrid>
        <w:gridCol w:w="5114"/>
        <w:gridCol w:w="1876"/>
        <w:gridCol w:w="2082"/>
      </w:tblGrid>
      <w:tr w:rsidR="009B3384" w14:paraId="109AD233"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2E" w14:textId="77777777" w:rsidR="009B3384" w:rsidRDefault="009B3384">
            <w:pPr>
              <w:keepNext/>
              <w:widowControl w:val="0"/>
              <w:tabs>
                <w:tab w:val="clear" w:pos="567"/>
              </w:tabs>
              <w:rPr>
                <w:szCs w:val="22"/>
              </w:rPr>
            </w:pPr>
          </w:p>
        </w:tc>
        <w:tc>
          <w:tcPr>
            <w:tcW w:w="1876" w:type="dxa"/>
            <w:tcBorders>
              <w:top w:val="single" w:sz="4" w:space="0" w:color="000000"/>
              <w:left w:val="single" w:sz="4" w:space="0" w:color="000000"/>
              <w:bottom w:val="single" w:sz="4" w:space="0" w:color="000000"/>
              <w:right w:val="single" w:sz="4" w:space="0" w:color="000000"/>
            </w:tcBorders>
          </w:tcPr>
          <w:p w14:paraId="109AD22F" w14:textId="77777777" w:rsidR="009B3384" w:rsidRDefault="00800862">
            <w:pPr>
              <w:keepNext/>
              <w:widowControl w:val="0"/>
              <w:tabs>
                <w:tab w:val="clear" w:pos="567"/>
              </w:tabs>
              <w:jc w:val="center"/>
              <w:rPr>
                <w:b/>
                <w:bCs/>
                <w:szCs w:val="22"/>
              </w:rPr>
            </w:pPr>
            <w:r>
              <w:rPr>
                <w:b/>
                <w:bCs/>
                <w:szCs w:val="22"/>
              </w:rPr>
              <w:t>Плацебо</w:t>
            </w:r>
          </w:p>
          <w:p w14:paraId="109AD230"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319</w:t>
            </w:r>
          </w:p>
        </w:tc>
        <w:tc>
          <w:tcPr>
            <w:tcW w:w="2082" w:type="dxa"/>
            <w:tcBorders>
              <w:top w:val="single" w:sz="4" w:space="0" w:color="000000"/>
              <w:left w:val="single" w:sz="4" w:space="0" w:color="000000"/>
              <w:bottom w:val="single" w:sz="4" w:space="0" w:color="000000"/>
              <w:right w:val="single" w:sz="4" w:space="0" w:color="000000"/>
            </w:tcBorders>
          </w:tcPr>
          <w:p w14:paraId="109AD231" w14:textId="77777777" w:rsidR="009B3384" w:rsidRDefault="00800862">
            <w:pPr>
              <w:keepNext/>
              <w:widowControl w:val="0"/>
              <w:tabs>
                <w:tab w:val="clear" w:pos="567"/>
              </w:tabs>
              <w:jc w:val="center"/>
              <w:rPr>
                <w:b/>
                <w:bCs/>
                <w:szCs w:val="22"/>
                <w:lang w:val="en-US"/>
              </w:rPr>
            </w:pPr>
            <w:r>
              <w:rPr>
                <w:b/>
                <w:bCs/>
                <w:szCs w:val="22"/>
              </w:rPr>
              <w:t>Препоръчителна доза устекинумаб</w:t>
            </w:r>
            <w:r>
              <w:rPr>
                <w:b/>
                <w:szCs w:val="18"/>
                <w:vertAlign w:val="superscript"/>
              </w:rPr>
              <w:t>£</w:t>
            </w:r>
          </w:p>
          <w:p w14:paraId="109AD232" w14:textId="77777777" w:rsidR="009B3384" w:rsidRDefault="00800862">
            <w:pPr>
              <w:keepNext/>
              <w:widowControl w:val="0"/>
              <w:tabs>
                <w:tab w:val="clear" w:pos="567"/>
              </w:tabs>
              <w:jc w:val="center"/>
              <w:rPr>
                <w:b/>
                <w:bCs/>
                <w:szCs w:val="22"/>
                <w:lang w:val="en-US"/>
              </w:rPr>
            </w:pPr>
            <w:r>
              <w:rPr>
                <w:b/>
                <w:bCs/>
                <w:szCs w:val="22"/>
                <w:lang w:val="en-US"/>
              </w:rPr>
              <w:t>N</w:t>
            </w:r>
            <w:r>
              <w:rPr>
                <w:szCs w:val="22"/>
              </w:rPr>
              <w:t> </w:t>
            </w:r>
            <w:r>
              <w:rPr>
                <w:b/>
                <w:bCs/>
                <w:szCs w:val="22"/>
                <w:lang w:val="en-US"/>
              </w:rPr>
              <w:t>=</w:t>
            </w:r>
            <w:r>
              <w:rPr>
                <w:b/>
                <w:bCs/>
                <w:szCs w:val="22"/>
              </w:rPr>
              <w:t> </w:t>
            </w:r>
            <w:r>
              <w:rPr>
                <w:b/>
                <w:bCs/>
                <w:szCs w:val="22"/>
                <w:lang w:val="en-US"/>
              </w:rPr>
              <w:t>322</w:t>
            </w:r>
          </w:p>
        </w:tc>
      </w:tr>
      <w:tr w:rsidR="009B3384" w14:paraId="109AD237"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34" w14:textId="77777777" w:rsidR="009B3384" w:rsidRDefault="00800862">
            <w:pPr>
              <w:widowControl w:val="0"/>
              <w:tabs>
                <w:tab w:val="clear" w:pos="567"/>
              </w:tabs>
              <w:rPr>
                <w:szCs w:val="22"/>
                <w:vertAlign w:val="superscript"/>
                <w:lang w:val="en-US"/>
              </w:rPr>
            </w:pPr>
            <w:r>
              <w:rPr>
                <w:szCs w:val="22"/>
              </w:rPr>
              <w:t>Клинична ремисия*</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35" w14:textId="77777777" w:rsidR="009B3384" w:rsidRDefault="00800862">
            <w:pPr>
              <w:widowControl w:val="0"/>
              <w:tabs>
                <w:tab w:val="clear" w:pos="567"/>
              </w:tabs>
              <w:jc w:val="center"/>
              <w:rPr>
                <w:szCs w:val="22"/>
                <w:lang w:val="en-US"/>
              </w:rPr>
            </w:pPr>
            <w:r>
              <w:rPr>
                <w:szCs w:val="22"/>
                <w:lang w:val="en-US"/>
              </w:rPr>
              <w:t>5%</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36" w14:textId="77777777" w:rsidR="009B3384" w:rsidRDefault="00800862">
            <w:pPr>
              <w:widowControl w:val="0"/>
              <w:tabs>
                <w:tab w:val="clear" w:pos="567"/>
              </w:tabs>
              <w:jc w:val="center"/>
              <w:rPr>
                <w:szCs w:val="22"/>
                <w:vertAlign w:val="superscript"/>
                <w:lang w:val="en-US"/>
              </w:rPr>
            </w:pPr>
            <w:r>
              <w:rPr>
                <w:szCs w:val="22"/>
                <w:lang w:val="en-US"/>
              </w:rPr>
              <w:t>16%</w:t>
            </w:r>
            <w:r>
              <w:rPr>
                <w:szCs w:val="22"/>
                <w:vertAlign w:val="superscript"/>
                <w:lang w:val="en-US"/>
              </w:rPr>
              <w:t>a</w:t>
            </w:r>
          </w:p>
        </w:tc>
      </w:tr>
      <w:tr w:rsidR="009B3384" w14:paraId="109AD23B"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38" w14:textId="77777777" w:rsidR="009B3384" w:rsidRDefault="00800862">
            <w:pPr>
              <w:widowControl w:val="0"/>
              <w:tabs>
                <w:tab w:val="clear" w:pos="567"/>
              </w:tabs>
              <w:ind w:left="284"/>
              <w:rPr>
                <w:rFonts w:eastAsia="Calibri"/>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39" w14:textId="77777777" w:rsidR="009B3384" w:rsidRDefault="00800862">
            <w:pPr>
              <w:widowControl w:val="0"/>
              <w:tabs>
                <w:tab w:val="clear" w:pos="567"/>
              </w:tabs>
              <w:jc w:val="center"/>
              <w:rPr>
                <w:szCs w:val="22"/>
                <w:lang w:val="en-US"/>
              </w:rPr>
            </w:pPr>
            <w:r>
              <w:rPr>
                <w:szCs w:val="22"/>
                <w:lang w:val="en-US"/>
              </w:rPr>
              <w:t>9% (15/158)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3A" w14:textId="77777777" w:rsidR="009B3384" w:rsidRDefault="00800862">
            <w:pPr>
              <w:widowControl w:val="0"/>
              <w:tabs>
                <w:tab w:val="clear" w:pos="567"/>
              </w:tabs>
              <w:jc w:val="center"/>
              <w:rPr>
                <w:szCs w:val="22"/>
                <w:vertAlign w:val="superscript"/>
              </w:rPr>
            </w:pPr>
            <w:r>
              <w:rPr>
                <w:szCs w:val="22"/>
                <w:lang w:val="en-US"/>
              </w:rPr>
              <w:t>19% (29/</w:t>
            </w:r>
            <w:proofErr w:type="gramStart"/>
            <w:r>
              <w:rPr>
                <w:szCs w:val="22"/>
                <w:lang w:val="en-US"/>
              </w:rPr>
              <w:t>156)</w:t>
            </w:r>
            <w:r>
              <w:rPr>
                <w:szCs w:val="22"/>
                <w:vertAlign w:val="superscript"/>
              </w:rPr>
              <w:t>в</w:t>
            </w:r>
            <w:proofErr w:type="gramEnd"/>
          </w:p>
        </w:tc>
      </w:tr>
      <w:tr w:rsidR="009B3384" w14:paraId="109AD23F"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3C" w14:textId="77777777" w:rsidR="009B3384" w:rsidRDefault="00800862">
            <w:pPr>
              <w:widowControl w:val="0"/>
              <w:tabs>
                <w:tab w:val="clear" w:pos="567"/>
              </w:tabs>
              <w:ind w:left="284"/>
              <w:rPr>
                <w:rFonts w:eastAsia="Calibri"/>
                <w:szCs w:val="22"/>
              </w:rPr>
            </w:pPr>
            <w:r>
              <w:rPr>
                <w:szCs w:val="22"/>
              </w:rPr>
              <w:t>При пациенти с неуспешна биологична терапия</w:t>
            </w:r>
            <w:r>
              <w:rPr>
                <w:szCs w:val="22"/>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3D" w14:textId="77777777" w:rsidR="009B3384" w:rsidRDefault="00800862">
            <w:pPr>
              <w:widowControl w:val="0"/>
              <w:tabs>
                <w:tab w:val="clear" w:pos="567"/>
              </w:tabs>
              <w:jc w:val="center"/>
              <w:rPr>
                <w:szCs w:val="22"/>
                <w:lang w:val="en-US"/>
              </w:rPr>
            </w:pPr>
            <w:r>
              <w:rPr>
                <w:szCs w:val="22"/>
                <w:lang w:val="en-US"/>
              </w:rPr>
              <w:t>1% (2/161)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3E" w14:textId="77777777" w:rsidR="009B3384" w:rsidRDefault="00800862">
            <w:pPr>
              <w:widowControl w:val="0"/>
              <w:tabs>
                <w:tab w:val="clear" w:pos="567"/>
              </w:tabs>
              <w:jc w:val="center"/>
              <w:rPr>
                <w:szCs w:val="22"/>
                <w:vertAlign w:val="superscript"/>
              </w:rPr>
            </w:pPr>
            <w:r>
              <w:rPr>
                <w:szCs w:val="22"/>
                <w:lang w:val="en-US"/>
              </w:rPr>
              <w:t>13% (21/</w:t>
            </w:r>
            <w:proofErr w:type="gramStart"/>
            <w:r>
              <w:rPr>
                <w:szCs w:val="22"/>
                <w:lang w:val="en-US"/>
              </w:rPr>
              <w:t>166)</w:t>
            </w:r>
            <w:r>
              <w:rPr>
                <w:szCs w:val="22"/>
                <w:vertAlign w:val="superscript"/>
              </w:rPr>
              <w:t>б</w:t>
            </w:r>
            <w:proofErr w:type="gramEnd"/>
          </w:p>
        </w:tc>
      </w:tr>
      <w:tr w:rsidR="009B3384" w14:paraId="109AD243"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40" w14:textId="77777777" w:rsidR="009B3384" w:rsidRDefault="00800862">
            <w:pPr>
              <w:widowControl w:val="0"/>
              <w:tabs>
                <w:tab w:val="clear" w:pos="567"/>
              </w:tabs>
              <w:ind w:left="284"/>
              <w:rPr>
                <w:szCs w:val="22"/>
              </w:rPr>
            </w:pPr>
            <w:r>
              <w:rPr>
                <w:szCs w:val="22"/>
              </w:rPr>
              <w:t>При пациенти с неуспешна терапия както с TNF, така и с ведолизумаб</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41" w14:textId="77777777" w:rsidR="009B3384" w:rsidRDefault="00800862">
            <w:pPr>
              <w:widowControl w:val="0"/>
              <w:tabs>
                <w:tab w:val="clear" w:pos="567"/>
              </w:tabs>
              <w:jc w:val="center"/>
              <w:rPr>
                <w:szCs w:val="22"/>
                <w:lang w:val="en-US"/>
              </w:rPr>
            </w:pPr>
            <w:r>
              <w:rPr>
                <w:szCs w:val="22"/>
                <w:lang w:val="en-US"/>
              </w:rPr>
              <w:t>0% (0/47)</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42" w14:textId="77777777" w:rsidR="009B3384" w:rsidRDefault="00800862">
            <w:pPr>
              <w:widowControl w:val="0"/>
              <w:tabs>
                <w:tab w:val="clear" w:pos="567"/>
              </w:tabs>
              <w:jc w:val="center"/>
              <w:rPr>
                <w:szCs w:val="22"/>
              </w:rPr>
            </w:pPr>
            <w:r>
              <w:rPr>
                <w:szCs w:val="22"/>
                <w:lang w:val="en-US"/>
              </w:rPr>
              <w:t>10% (6/</w:t>
            </w:r>
            <w:proofErr w:type="gramStart"/>
            <w:r>
              <w:rPr>
                <w:szCs w:val="22"/>
                <w:lang w:val="en-US"/>
              </w:rPr>
              <w:t>58)</w:t>
            </w:r>
            <w:r>
              <w:rPr>
                <w:szCs w:val="22"/>
                <w:vertAlign w:val="superscript"/>
              </w:rPr>
              <w:t>в</w:t>
            </w:r>
            <w:proofErr w:type="gramEnd"/>
          </w:p>
        </w:tc>
      </w:tr>
      <w:tr w:rsidR="009B3384" w14:paraId="109AD247"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44" w14:textId="77777777" w:rsidR="009B3384" w:rsidRDefault="00800862">
            <w:pPr>
              <w:widowControl w:val="0"/>
              <w:tabs>
                <w:tab w:val="clear" w:pos="567"/>
              </w:tabs>
              <w:rPr>
                <w:szCs w:val="22"/>
                <w:lang w:val="en-US"/>
              </w:rPr>
            </w:pPr>
            <w:r>
              <w:rPr>
                <w:szCs w:val="22"/>
              </w:rPr>
              <w:t>Клиничен отговор</w:t>
            </w:r>
            <w:r>
              <w:rPr>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45" w14:textId="77777777" w:rsidR="009B3384" w:rsidRDefault="00800862">
            <w:pPr>
              <w:widowControl w:val="0"/>
              <w:tabs>
                <w:tab w:val="clear" w:pos="567"/>
              </w:tabs>
              <w:jc w:val="center"/>
              <w:rPr>
                <w:szCs w:val="22"/>
                <w:lang w:val="en-US"/>
              </w:rPr>
            </w:pPr>
            <w:r>
              <w:rPr>
                <w:szCs w:val="22"/>
                <w:lang w:val="en-US"/>
              </w:rPr>
              <w:t>31%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46" w14:textId="77777777" w:rsidR="009B3384" w:rsidRDefault="00800862">
            <w:pPr>
              <w:widowControl w:val="0"/>
              <w:tabs>
                <w:tab w:val="clear" w:pos="567"/>
              </w:tabs>
              <w:jc w:val="center"/>
              <w:rPr>
                <w:szCs w:val="22"/>
                <w:lang w:val="en-US"/>
              </w:rPr>
            </w:pPr>
            <w:r>
              <w:rPr>
                <w:szCs w:val="22"/>
                <w:lang w:val="en-US"/>
              </w:rPr>
              <w:t>62%</w:t>
            </w:r>
            <w:r>
              <w:rPr>
                <w:szCs w:val="22"/>
                <w:vertAlign w:val="superscript"/>
                <w:lang w:val="en-US"/>
              </w:rPr>
              <w:t>a</w:t>
            </w:r>
          </w:p>
        </w:tc>
      </w:tr>
      <w:tr w:rsidR="009B3384" w14:paraId="109AD24B"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48" w14:textId="77777777" w:rsidR="009B3384" w:rsidRDefault="00800862">
            <w:pPr>
              <w:widowControl w:val="0"/>
              <w:tabs>
                <w:tab w:val="clear" w:pos="567"/>
              </w:tabs>
              <w:ind w:left="284"/>
              <w:rPr>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49" w14:textId="77777777" w:rsidR="009B3384" w:rsidRDefault="00800862">
            <w:pPr>
              <w:widowControl w:val="0"/>
              <w:tabs>
                <w:tab w:val="clear" w:pos="567"/>
              </w:tabs>
              <w:jc w:val="center"/>
              <w:rPr>
                <w:szCs w:val="22"/>
                <w:lang w:val="en-US"/>
              </w:rPr>
            </w:pPr>
            <w:r>
              <w:rPr>
                <w:szCs w:val="22"/>
                <w:lang w:val="en-US"/>
              </w:rPr>
              <w:t>35% (56/158)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4A" w14:textId="77777777" w:rsidR="009B3384" w:rsidRDefault="00800862">
            <w:pPr>
              <w:widowControl w:val="0"/>
              <w:tabs>
                <w:tab w:val="clear" w:pos="567"/>
              </w:tabs>
              <w:jc w:val="center"/>
              <w:rPr>
                <w:szCs w:val="22"/>
                <w:vertAlign w:val="superscript"/>
              </w:rPr>
            </w:pPr>
            <w:r>
              <w:rPr>
                <w:szCs w:val="22"/>
                <w:lang w:val="en-US"/>
              </w:rPr>
              <w:t>67% (104/</w:t>
            </w:r>
            <w:proofErr w:type="gramStart"/>
            <w:r>
              <w:rPr>
                <w:szCs w:val="22"/>
                <w:lang w:val="en-US"/>
              </w:rPr>
              <w:t>156)</w:t>
            </w:r>
            <w:r>
              <w:rPr>
                <w:szCs w:val="22"/>
                <w:vertAlign w:val="superscript"/>
              </w:rPr>
              <w:t>б</w:t>
            </w:r>
            <w:proofErr w:type="gramEnd"/>
          </w:p>
        </w:tc>
      </w:tr>
      <w:tr w:rsidR="009B3384" w14:paraId="109AD24F"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4C" w14:textId="77777777" w:rsidR="009B3384" w:rsidRDefault="00800862">
            <w:pPr>
              <w:widowControl w:val="0"/>
              <w:tabs>
                <w:tab w:val="clear" w:pos="567"/>
              </w:tabs>
              <w:ind w:left="284"/>
              <w:rPr>
                <w:szCs w:val="22"/>
              </w:rPr>
            </w:pPr>
            <w:r>
              <w:rPr>
                <w:szCs w:val="22"/>
              </w:rPr>
              <w:t>При пациенти с неуспешна биологична терапия</w:t>
            </w:r>
            <w:r>
              <w:rPr>
                <w:szCs w:val="22"/>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4D" w14:textId="77777777" w:rsidR="009B3384" w:rsidRDefault="00800862">
            <w:pPr>
              <w:widowControl w:val="0"/>
              <w:tabs>
                <w:tab w:val="clear" w:pos="567"/>
              </w:tabs>
              <w:jc w:val="center"/>
              <w:rPr>
                <w:szCs w:val="22"/>
                <w:lang w:val="en-US"/>
              </w:rPr>
            </w:pPr>
            <w:r>
              <w:rPr>
                <w:szCs w:val="22"/>
                <w:lang w:val="en-US"/>
              </w:rPr>
              <w:t>27% (44/161)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4E" w14:textId="77777777" w:rsidR="009B3384" w:rsidRDefault="00800862">
            <w:pPr>
              <w:widowControl w:val="0"/>
              <w:tabs>
                <w:tab w:val="clear" w:pos="567"/>
              </w:tabs>
              <w:jc w:val="center"/>
              <w:rPr>
                <w:szCs w:val="22"/>
                <w:vertAlign w:val="superscript"/>
              </w:rPr>
            </w:pPr>
            <w:r>
              <w:rPr>
                <w:szCs w:val="22"/>
                <w:lang w:val="en-US"/>
              </w:rPr>
              <w:t>57% (95/</w:t>
            </w:r>
            <w:proofErr w:type="gramStart"/>
            <w:r>
              <w:rPr>
                <w:szCs w:val="22"/>
                <w:lang w:val="en-US"/>
              </w:rPr>
              <w:t>166)</w:t>
            </w:r>
            <w:r>
              <w:rPr>
                <w:szCs w:val="22"/>
                <w:vertAlign w:val="superscript"/>
              </w:rPr>
              <w:t>б</w:t>
            </w:r>
            <w:proofErr w:type="gramEnd"/>
          </w:p>
        </w:tc>
      </w:tr>
      <w:tr w:rsidR="009B3384" w14:paraId="109AD253"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50" w14:textId="77777777" w:rsidR="009B3384" w:rsidRDefault="00800862">
            <w:pPr>
              <w:widowControl w:val="0"/>
              <w:tabs>
                <w:tab w:val="clear" w:pos="567"/>
              </w:tabs>
              <w:ind w:left="284"/>
              <w:rPr>
                <w:szCs w:val="22"/>
              </w:rPr>
            </w:pPr>
            <w:r>
              <w:rPr>
                <w:szCs w:val="22"/>
              </w:rPr>
              <w:t>При пациенти с неуспешна терапия както с TNF, така и с ведолизумаб</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51" w14:textId="77777777" w:rsidR="009B3384" w:rsidRDefault="00800862">
            <w:pPr>
              <w:widowControl w:val="0"/>
              <w:tabs>
                <w:tab w:val="clear" w:pos="567"/>
              </w:tabs>
              <w:jc w:val="center"/>
              <w:rPr>
                <w:szCs w:val="22"/>
                <w:lang w:val="en-US"/>
              </w:rPr>
            </w:pPr>
            <w:r>
              <w:rPr>
                <w:szCs w:val="22"/>
                <w:lang w:val="en-US"/>
              </w:rPr>
              <w:t>28% (13/47)</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52" w14:textId="77777777" w:rsidR="009B3384" w:rsidRDefault="00800862">
            <w:pPr>
              <w:widowControl w:val="0"/>
              <w:tabs>
                <w:tab w:val="clear" w:pos="567"/>
              </w:tabs>
              <w:jc w:val="center"/>
              <w:rPr>
                <w:szCs w:val="22"/>
              </w:rPr>
            </w:pPr>
            <w:r>
              <w:rPr>
                <w:szCs w:val="22"/>
                <w:lang w:val="en-US"/>
              </w:rPr>
              <w:t>52% (30/</w:t>
            </w:r>
            <w:proofErr w:type="gramStart"/>
            <w:r>
              <w:rPr>
                <w:szCs w:val="22"/>
                <w:lang w:val="en-US"/>
              </w:rPr>
              <w:t>58)</w:t>
            </w:r>
            <w:r>
              <w:rPr>
                <w:szCs w:val="22"/>
                <w:vertAlign w:val="superscript"/>
              </w:rPr>
              <w:t>в</w:t>
            </w:r>
            <w:proofErr w:type="gramEnd"/>
          </w:p>
        </w:tc>
      </w:tr>
      <w:tr w:rsidR="009B3384" w14:paraId="109AD257"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54" w14:textId="77777777" w:rsidR="009B3384" w:rsidRDefault="00800862">
            <w:pPr>
              <w:widowControl w:val="0"/>
              <w:tabs>
                <w:tab w:val="clear" w:pos="567"/>
              </w:tabs>
              <w:rPr>
                <w:szCs w:val="22"/>
                <w:lang w:val="en-US"/>
              </w:rPr>
            </w:pPr>
            <w:r>
              <w:rPr>
                <w:szCs w:val="22"/>
              </w:rPr>
              <w:t>Лигавично оздравяване</w:t>
            </w:r>
            <w:r>
              <w:rPr>
                <w:szCs w:val="18"/>
                <w:vertAlign w:val="superscript"/>
                <w:lang w:val="en-US"/>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55" w14:textId="77777777" w:rsidR="009B3384" w:rsidRDefault="00800862">
            <w:pPr>
              <w:widowControl w:val="0"/>
              <w:tabs>
                <w:tab w:val="clear" w:pos="567"/>
              </w:tabs>
              <w:jc w:val="center"/>
              <w:rPr>
                <w:szCs w:val="22"/>
                <w:lang w:val="en-US"/>
              </w:rPr>
            </w:pPr>
            <w:r>
              <w:rPr>
                <w:szCs w:val="22"/>
                <w:lang w:val="en-US"/>
              </w:rPr>
              <w:t>14%</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56" w14:textId="77777777" w:rsidR="009B3384" w:rsidRDefault="00800862">
            <w:pPr>
              <w:widowControl w:val="0"/>
              <w:tabs>
                <w:tab w:val="clear" w:pos="567"/>
              </w:tabs>
              <w:jc w:val="center"/>
              <w:rPr>
                <w:szCs w:val="22"/>
                <w:vertAlign w:val="superscript"/>
                <w:lang w:val="en-US"/>
              </w:rPr>
            </w:pPr>
            <w:r>
              <w:rPr>
                <w:szCs w:val="22"/>
                <w:lang w:val="en-US"/>
              </w:rPr>
              <w:t>27%</w:t>
            </w:r>
            <w:r>
              <w:rPr>
                <w:szCs w:val="22"/>
                <w:vertAlign w:val="superscript"/>
                <w:lang w:val="en-US"/>
              </w:rPr>
              <w:t>a</w:t>
            </w:r>
          </w:p>
        </w:tc>
      </w:tr>
      <w:tr w:rsidR="009B3384" w14:paraId="109AD25B"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58" w14:textId="77777777" w:rsidR="009B3384" w:rsidRDefault="00800862">
            <w:pPr>
              <w:widowControl w:val="0"/>
              <w:tabs>
                <w:tab w:val="clear" w:pos="567"/>
              </w:tabs>
              <w:ind w:left="284"/>
              <w:rPr>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59" w14:textId="77777777" w:rsidR="009B3384" w:rsidRDefault="00800862">
            <w:pPr>
              <w:widowControl w:val="0"/>
              <w:tabs>
                <w:tab w:val="clear" w:pos="567"/>
              </w:tabs>
              <w:jc w:val="center"/>
              <w:rPr>
                <w:szCs w:val="22"/>
                <w:lang w:val="en-US"/>
              </w:rPr>
            </w:pPr>
            <w:r>
              <w:rPr>
                <w:szCs w:val="22"/>
              </w:rPr>
              <w:t>21% (33/158)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5A" w14:textId="77777777" w:rsidR="009B3384" w:rsidRDefault="00800862">
            <w:pPr>
              <w:widowControl w:val="0"/>
              <w:tabs>
                <w:tab w:val="clear" w:pos="567"/>
              </w:tabs>
              <w:jc w:val="center"/>
              <w:rPr>
                <w:szCs w:val="22"/>
                <w:lang w:val="en-US"/>
              </w:rPr>
            </w:pPr>
            <w:r>
              <w:rPr>
                <w:szCs w:val="22"/>
              </w:rPr>
              <w:t>33% (52/156)</w:t>
            </w:r>
            <w:r>
              <w:rPr>
                <w:szCs w:val="22"/>
                <w:vertAlign w:val="superscript"/>
              </w:rPr>
              <w:t>в</w:t>
            </w:r>
          </w:p>
        </w:tc>
      </w:tr>
      <w:tr w:rsidR="009B3384" w14:paraId="109AD25F"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5C" w14:textId="77777777" w:rsidR="009B3384" w:rsidRDefault="00800862">
            <w:pPr>
              <w:widowControl w:val="0"/>
              <w:tabs>
                <w:tab w:val="clear" w:pos="567"/>
              </w:tabs>
              <w:ind w:left="284"/>
              <w:rPr>
                <w:szCs w:val="22"/>
              </w:rPr>
            </w:pPr>
            <w:r>
              <w:rPr>
                <w:szCs w:val="22"/>
              </w:rPr>
              <w:t>При пациенти с неуспешна биологична терапия</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5D" w14:textId="77777777" w:rsidR="009B3384" w:rsidRDefault="00800862">
            <w:pPr>
              <w:widowControl w:val="0"/>
              <w:tabs>
                <w:tab w:val="clear" w:pos="567"/>
              </w:tabs>
              <w:jc w:val="center"/>
              <w:rPr>
                <w:szCs w:val="22"/>
                <w:lang w:val="en-US"/>
              </w:rPr>
            </w:pPr>
            <w:r>
              <w:rPr>
                <w:szCs w:val="22"/>
              </w:rPr>
              <w:t>7% (11/161)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5E" w14:textId="77777777" w:rsidR="009B3384" w:rsidRDefault="00800862">
            <w:pPr>
              <w:widowControl w:val="0"/>
              <w:tabs>
                <w:tab w:val="clear" w:pos="567"/>
              </w:tabs>
              <w:jc w:val="center"/>
              <w:rPr>
                <w:szCs w:val="22"/>
                <w:vertAlign w:val="superscript"/>
                <w:lang w:val="en-US"/>
              </w:rPr>
            </w:pPr>
            <w:r>
              <w:rPr>
                <w:szCs w:val="22"/>
              </w:rPr>
              <w:t>21% (35/166)</w:t>
            </w:r>
            <w:r>
              <w:rPr>
                <w:szCs w:val="22"/>
                <w:vertAlign w:val="superscript"/>
              </w:rPr>
              <w:t>б</w:t>
            </w:r>
          </w:p>
        </w:tc>
      </w:tr>
      <w:tr w:rsidR="009B3384" w14:paraId="109AD263"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60" w14:textId="77777777" w:rsidR="009B3384" w:rsidRDefault="00800862">
            <w:pPr>
              <w:widowControl w:val="0"/>
              <w:tabs>
                <w:tab w:val="clear" w:pos="567"/>
              </w:tabs>
              <w:rPr>
                <w:szCs w:val="22"/>
                <w:lang w:val="en-US"/>
              </w:rPr>
            </w:pPr>
            <w:r>
              <w:rPr>
                <w:szCs w:val="22"/>
              </w:rPr>
              <w:t>Симптоматична ремисия</w:t>
            </w:r>
            <w:r>
              <w:rPr>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61" w14:textId="77777777" w:rsidR="009B3384" w:rsidRDefault="00800862">
            <w:pPr>
              <w:widowControl w:val="0"/>
              <w:tabs>
                <w:tab w:val="clear" w:pos="567"/>
              </w:tabs>
              <w:jc w:val="center"/>
              <w:rPr>
                <w:szCs w:val="22"/>
                <w:lang w:val="en-US"/>
              </w:rPr>
            </w:pPr>
            <w:r>
              <w:rPr>
                <w:szCs w:val="22"/>
                <w:lang w:val="en-US"/>
              </w:rPr>
              <w:t>23%</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62" w14:textId="77777777" w:rsidR="009B3384" w:rsidRDefault="00800862">
            <w:pPr>
              <w:widowControl w:val="0"/>
              <w:tabs>
                <w:tab w:val="clear" w:pos="567"/>
              </w:tabs>
              <w:jc w:val="center"/>
              <w:rPr>
                <w:szCs w:val="22"/>
              </w:rPr>
            </w:pPr>
            <w:r>
              <w:rPr>
                <w:szCs w:val="22"/>
                <w:lang w:val="en-US"/>
              </w:rPr>
              <w:t>45%</w:t>
            </w:r>
            <w:r>
              <w:rPr>
                <w:szCs w:val="22"/>
                <w:vertAlign w:val="superscript"/>
              </w:rPr>
              <w:t>б</w:t>
            </w:r>
          </w:p>
        </w:tc>
      </w:tr>
      <w:tr w:rsidR="009B3384" w14:paraId="109AD267"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264" w14:textId="77777777" w:rsidR="009B3384" w:rsidRDefault="00800862">
            <w:pPr>
              <w:widowControl w:val="0"/>
              <w:tabs>
                <w:tab w:val="clear" w:pos="567"/>
              </w:tabs>
              <w:rPr>
                <w:szCs w:val="22"/>
              </w:rPr>
            </w:pPr>
            <w:r>
              <w:rPr>
                <w:szCs w:val="22"/>
              </w:rPr>
              <w:t>Комбинирано симптоматична ремисия и лигавично оздравяване</w:t>
            </w:r>
            <w:r>
              <w:rPr>
                <w:szCs w:val="18"/>
                <w:vertAlign w:val="superscript"/>
                <w:lang w:val="en-US"/>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265" w14:textId="77777777" w:rsidR="009B3384" w:rsidRDefault="00800862">
            <w:pPr>
              <w:widowControl w:val="0"/>
              <w:tabs>
                <w:tab w:val="clear" w:pos="567"/>
              </w:tabs>
              <w:jc w:val="center"/>
              <w:rPr>
                <w:szCs w:val="22"/>
                <w:lang w:val="en-US"/>
              </w:rPr>
            </w:pPr>
            <w:r>
              <w:rPr>
                <w:szCs w:val="22"/>
                <w:lang w:val="en-US"/>
              </w:rPr>
              <w:t>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266" w14:textId="77777777" w:rsidR="009B3384" w:rsidRDefault="00800862">
            <w:pPr>
              <w:widowControl w:val="0"/>
              <w:tabs>
                <w:tab w:val="clear" w:pos="567"/>
              </w:tabs>
              <w:jc w:val="center"/>
              <w:rPr>
                <w:szCs w:val="22"/>
                <w:vertAlign w:val="superscript"/>
              </w:rPr>
            </w:pPr>
            <w:r>
              <w:rPr>
                <w:szCs w:val="22"/>
                <w:lang w:val="en-US"/>
              </w:rPr>
              <w:t>21%</w:t>
            </w:r>
            <w:r>
              <w:rPr>
                <w:szCs w:val="22"/>
                <w:vertAlign w:val="superscript"/>
              </w:rPr>
              <w:t>б</w:t>
            </w:r>
          </w:p>
        </w:tc>
      </w:tr>
      <w:tr w:rsidR="009B3384" w14:paraId="109AD272" w14:textId="77777777">
        <w:trPr>
          <w:cantSplit/>
          <w:jc w:val="center"/>
        </w:trPr>
        <w:tc>
          <w:tcPr>
            <w:tcW w:w="9072" w:type="dxa"/>
            <w:gridSpan w:val="3"/>
            <w:tcBorders>
              <w:top w:val="single" w:sz="4" w:space="0" w:color="000000"/>
            </w:tcBorders>
          </w:tcPr>
          <w:p w14:paraId="109AD268" w14:textId="57A386C2" w:rsidR="009B3384" w:rsidRDefault="00800862">
            <w:pPr>
              <w:widowControl w:val="0"/>
              <w:tabs>
                <w:tab w:val="left" w:pos="864"/>
              </w:tabs>
              <w:ind w:left="284" w:hanging="284"/>
              <w:rPr>
                <w:sz w:val="18"/>
                <w:szCs w:val="18"/>
              </w:rPr>
            </w:pPr>
            <w:r>
              <w:rPr>
                <w:szCs w:val="18"/>
                <w:vertAlign w:val="superscript"/>
              </w:rPr>
              <w:lastRenderedPageBreak/>
              <w:t>£</w:t>
            </w:r>
            <w:r>
              <w:rPr>
                <w:szCs w:val="18"/>
                <w:vertAlign w:val="superscript"/>
              </w:rPr>
              <w:tab/>
            </w:r>
            <w:r>
              <w:rPr>
                <w:sz w:val="18"/>
                <w:szCs w:val="18"/>
              </w:rPr>
              <w:t xml:space="preserve">Доза за инфузия на устекинумаб при използване на схема на прилагане въз основа на телесното тегло, указана в </w:t>
            </w:r>
            <w:r>
              <w:rPr>
                <w:i/>
                <w:sz w:val="18"/>
                <w:szCs w:val="18"/>
              </w:rPr>
              <w:t>Таблица</w:t>
            </w:r>
            <w:r>
              <w:rPr>
                <w:i/>
                <w:sz w:val="18"/>
                <w:szCs w:val="18"/>
                <w:lang w:val="en-US"/>
              </w:rPr>
              <w:t> </w:t>
            </w:r>
            <w:r>
              <w:rPr>
                <w:i/>
                <w:sz w:val="18"/>
                <w:szCs w:val="18"/>
              </w:rPr>
              <w:t>1</w:t>
            </w:r>
            <w:r>
              <w:rPr>
                <w:sz w:val="18"/>
                <w:szCs w:val="18"/>
              </w:rPr>
              <w:t>.</w:t>
            </w:r>
          </w:p>
          <w:p w14:paraId="109AD269" w14:textId="26505AC5" w:rsidR="009B3384" w:rsidRDefault="00800862">
            <w:pPr>
              <w:widowControl w:val="0"/>
              <w:ind w:left="284" w:hanging="284"/>
              <w:rPr>
                <w:sz w:val="18"/>
                <w:szCs w:val="18"/>
              </w:rPr>
            </w:pPr>
            <w:r>
              <w:rPr>
                <w:sz w:val="18"/>
                <w:szCs w:val="18"/>
              </w:rPr>
              <w:t>*</w:t>
            </w:r>
            <w:r>
              <w:rPr>
                <w:sz w:val="18"/>
                <w:szCs w:val="18"/>
              </w:rPr>
              <w:tab/>
              <w:t xml:space="preserve">Клиничната ремисия се определя като скор по Mayo ≤ 2 пункта, без индивидуален </w:t>
            </w:r>
            <w:r w:rsidR="00EA3FF7">
              <w:rPr>
                <w:sz w:val="18"/>
                <w:szCs w:val="18"/>
              </w:rPr>
              <w:t>подскор</w:t>
            </w:r>
            <w:r>
              <w:rPr>
                <w:sz w:val="18"/>
                <w:szCs w:val="18"/>
              </w:rPr>
              <w:t xml:space="preserve"> &gt; 1.</w:t>
            </w:r>
          </w:p>
          <w:p w14:paraId="109AD26A" w14:textId="4D672F8A"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Клиничният отговор се определя като намаляване спрямо изходното ниво на скора по </w:t>
            </w:r>
            <w:r>
              <w:rPr>
                <w:sz w:val="18"/>
                <w:szCs w:val="18"/>
                <w:lang w:val="en-US"/>
              </w:rPr>
              <w:t>Mayo</w:t>
            </w:r>
            <w:r>
              <w:rPr>
                <w:sz w:val="18"/>
                <w:szCs w:val="18"/>
              </w:rPr>
              <w:t xml:space="preserve"> с ≥ 30% и ≥ 3 пункта, с намаляване спрямо изходното ниво на </w:t>
            </w:r>
            <w:r w:rsidR="00EA3FF7">
              <w:rPr>
                <w:sz w:val="18"/>
                <w:szCs w:val="18"/>
              </w:rPr>
              <w:t>подскор</w:t>
            </w:r>
            <w:r>
              <w:rPr>
                <w:sz w:val="18"/>
                <w:szCs w:val="18"/>
              </w:rPr>
              <w:t xml:space="preserve">а за ректално кървене ≥ 1 или </w:t>
            </w:r>
            <w:r w:rsidR="00EA3FF7">
              <w:rPr>
                <w:sz w:val="18"/>
                <w:szCs w:val="18"/>
              </w:rPr>
              <w:t>подскор</w:t>
            </w:r>
            <w:r>
              <w:rPr>
                <w:sz w:val="18"/>
                <w:szCs w:val="18"/>
              </w:rPr>
              <w:t xml:space="preserve"> за ректално кървене 0 или 1.</w:t>
            </w:r>
          </w:p>
          <w:p w14:paraId="109AD26B" w14:textId="77777777" w:rsidR="009B3384" w:rsidRDefault="00800862">
            <w:pPr>
              <w:widowControl w:val="0"/>
              <w:ind w:left="284" w:hanging="284"/>
              <w:rPr>
                <w:sz w:val="18"/>
                <w:szCs w:val="18"/>
              </w:rPr>
            </w:pPr>
            <w:r>
              <w:rPr>
                <w:szCs w:val="22"/>
                <w:vertAlign w:val="superscript"/>
              </w:rPr>
              <w:t>¥</w:t>
            </w:r>
            <w:r>
              <w:rPr>
                <w:szCs w:val="22"/>
                <w:vertAlign w:val="superscript"/>
              </w:rPr>
              <w:tab/>
            </w:r>
            <w:r>
              <w:rPr>
                <w:sz w:val="18"/>
                <w:szCs w:val="18"/>
              </w:rPr>
              <w:t>Антагонист на TNFα и/или ведолизумаб.</w:t>
            </w:r>
          </w:p>
          <w:p w14:paraId="109AD26C" w14:textId="66217290" w:rsidR="009B3384" w:rsidRDefault="00800862">
            <w:pPr>
              <w:widowControl w:val="0"/>
              <w:ind w:left="284" w:hanging="284"/>
              <w:rPr>
                <w:rFonts w:eastAsia="TimesNewRoman"/>
                <w:sz w:val="18"/>
                <w:szCs w:val="18"/>
                <w:lang w:eastAsia="zh-CN"/>
              </w:rPr>
            </w:pPr>
            <w:r>
              <w:rPr>
                <w:szCs w:val="18"/>
                <w:vertAlign w:val="superscript"/>
              </w:rPr>
              <w:t>†</w:t>
            </w:r>
            <w:r>
              <w:rPr>
                <w:szCs w:val="18"/>
                <w:vertAlign w:val="superscript"/>
              </w:rPr>
              <w:tab/>
            </w:r>
            <w:r>
              <w:rPr>
                <w:rFonts w:eastAsia="TimesNewRoman"/>
                <w:sz w:val="18"/>
                <w:szCs w:val="18"/>
                <w:lang w:eastAsia="zh-CN"/>
              </w:rPr>
              <w:t xml:space="preserve">Лигавичното оздравяване се определя като ендоскопски </w:t>
            </w:r>
            <w:r w:rsidR="00EA3FF7">
              <w:rPr>
                <w:rFonts w:eastAsia="TimesNewRoman"/>
                <w:sz w:val="18"/>
                <w:szCs w:val="18"/>
                <w:lang w:eastAsia="zh-CN"/>
              </w:rPr>
              <w:t>подскор</w:t>
            </w:r>
            <w:r>
              <w:rPr>
                <w:rFonts w:eastAsia="TimesNewRoman"/>
                <w:sz w:val="18"/>
                <w:szCs w:val="18"/>
                <w:lang w:eastAsia="zh-CN"/>
              </w:rPr>
              <w:t xml:space="preserve"> по Mayo 0 или 1.</w:t>
            </w:r>
          </w:p>
          <w:p w14:paraId="109AD26D" w14:textId="4729DFA7"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Симптоматичната ремисия се определя като </w:t>
            </w:r>
            <w:r w:rsidR="00EA3FF7">
              <w:rPr>
                <w:sz w:val="18"/>
                <w:szCs w:val="18"/>
              </w:rPr>
              <w:t>подскор</w:t>
            </w:r>
            <w:r>
              <w:rPr>
                <w:sz w:val="18"/>
                <w:szCs w:val="18"/>
              </w:rPr>
              <w:t xml:space="preserve"> по </w:t>
            </w:r>
            <w:r>
              <w:rPr>
                <w:sz w:val="18"/>
                <w:szCs w:val="18"/>
                <w:lang w:val="en-US"/>
              </w:rPr>
              <w:t>Mayo</w:t>
            </w:r>
            <w:r>
              <w:rPr>
                <w:sz w:val="18"/>
                <w:szCs w:val="18"/>
              </w:rPr>
              <w:t xml:space="preserve"> за честота на дефекацията </w:t>
            </w:r>
            <w:r>
              <w:rPr>
                <w:rFonts w:eastAsia="TimesNewRoman"/>
                <w:sz w:val="18"/>
                <w:szCs w:val="18"/>
                <w:lang w:eastAsia="zh-CN"/>
              </w:rPr>
              <w:t>0 или 1</w:t>
            </w:r>
            <w:r>
              <w:rPr>
                <w:sz w:val="18"/>
                <w:szCs w:val="18"/>
              </w:rPr>
              <w:t xml:space="preserve"> и </w:t>
            </w:r>
            <w:r w:rsidR="00EA3FF7">
              <w:rPr>
                <w:sz w:val="18"/>
                <w:szCs w:val="18"/>
              </w:rPr>
              <w:t>подскор</w:t>
            </w:r>
            <w:r>
              <w:rPr>
                <w:sz w:val="18"/>
                <w:szCs w:val="18"/>
              </w:rPr>
              <w:t xml:space="preserve"> за ректално кървене 0.</w:t>
            </w:r>
          </w:p>
          <w:p w14:paraId="109AD26E" w14:textId="6FDAF7F1" w:rsidR="009B3384" w:rsidRDefault="00800862">
            <w:pPr>
              <w:widowControl w:val="0"/>
              <w:ind w:left="284" w:hanging="284"/>
              <w:rPr>
                <w:sz w:val="18"/>
                <w:szCs w:val="18"/>
              </w:rPr>
            </w:pPr>
            <w:r>
              <w:rPr>
                <w:szCs w:val="18"/>
                <w:vertAlign w:val="superscript"/>
                <w:lang w:val="en-US"/>
              </w:rPr>
              <w:t>⸸</w:t>
            </w:r>
            <w:r>
              <w:rPr>
                <w:szCs w:val="18"/>
                <w:vertAlign w:val="superscript"/>
              </w:rPr>
              <w:tab/>
            </w:r>
            <w:r>
              <w:rPr>
                <w:sz w:val="18"/>
                <w:szCs w:val="18"/>
              </w:rPr>
              <w:t xml:space="preserve">Комбинацията от симптоматична ремисия и лигавично оздравяване се определя като </w:t>
            </w:r>
            <w:r w:rsidR="00EA3FF7">
              <w:rPr>
                <w:sz w:val="18"/>
                <w:szCs w:val="18"/>
              </w:rPr>
              <w:t>подскор</w:t>
            </w:r>
            <w:r>
              <w:rPr>
                <w:sz w:val="18"/>
                <w:szCs w:val="18"/>
              </w:rPr>
              <w:t xml:space="preserve"> за честота на дефекацията </w:t>
            </w:r>
            <w:r>
              <w:rPr>
                <w:rFonts w:eastAsia="TimesNewRoman"/>
                <w:sz w:val="18"/>
                <w:szCs w:val="18"/>
                <w:lang w:eastAsia="zh-CN"/>
              </w:rPr>
              <w:t xml:space="preserve">0 или </w:t>
            </w:r>
            <w:r>
              <w:rPr>
                <w:sz w:val="18"/>
                <w:szCs w:val="18"/>
              </w:rPr>
              <w:t xml:space="preserve">1, </w:t>
            </w:r>
            <w:r w:rsidR="00EA3FF7">
              <w:rPr>
                <w:sz w:val="18"/>
                <w:szCs w:val="18"/>
              </w:rPr>
              <w:t>подскор</w:t>
            </w:r>
            <w:r>
              <w:rPr>
                <w:sz w:val="18"/>
                <w:szCs w:val="18"/>
              </w:rPr>
              <w:t xml:space="preserve"> за ректално кървене 0 и ендоскопски </w:t>
            </w:r>
            <w:r w:rsidR="00EA3FF7">
              <w:rPr>
                <w:sz w:val="18"/>
                <w:szCs w:val="18"/>
              </w:rPr>
              <w:t>подскор</w:t>
            </w:r>
            <w:r>
              <w:rPr>
                <w:sz w:val="18"/>
                <w:szCs w:val="18"/>
              </w:rPr>
              <w:t xml:space="preserve"> 0 или 1.</w:t>
            </w:r>
          </w:p>
          <w:p w14:paraId="109AD26F"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D270" w14:textId="77777777" w:rsidR="009B3384" w:rsidRDefault="00800862">
            <w:pPr>
              <w:widowControl w:val="0"/>
              <w:ind w:left="284" w:hanging="284"/>
              <w:rPr>
                <w:sz w:val="18"/>
                <w:szCs w:val="18"/>
              </w:rPr>
            </w:pPr>
            <w:r>
              <w:rPr>
                <w:szCs w:val="18"/>
                <w:vertAlign w:val="superscript"/>
              </w:rPr>
              <w:t>б</w:t>
            </w:r>
            <w:r>
              <w:rPr>
                <w:szCs w:val="18"/>
                <w:vertAlign w:val="superscript"/>
              </w:rPr>
              <w:tab/>
            </w:r>
            <w:r>
              <w:rPr>
                <w:sz w:val="18"/>
                <w:szCs w:val="18"/>
              </w:rPr>
              <w:t>Номинално значимо (p &lt; 0,001)</w:t>
            </w:r>
          </w:p>
          <w:p w14:paraId="109AD271" w14:textId="77777777" w:rsidR="009B3384" w:rsidRDefault="00800862">
            <w:pPr>
              <w:widowControl w:val="0"/>
              <w:ind w:left="284" w:hanging="284"/>
              <w:rPr>
                <w:sz w:val="18"/>
                <w:szCs w:val="18"/>
              </w:rPr>
            </w:pPr>
            <w:r>
              <w:rPr>
                <w:szCs w:val="18"/>
                <w:vertAlign w:val="superscript"/>
              </w:rPr>
              <w:t>в</w:t>
            </w:r>
            <w:r>
              <w:rPr>
                <w:szCs w:val="18"/>
                <w:vertAlign w:val="superscript"/>
              </w:rPr>
              <w:tab/>
            </w:r>
            <w:r>
              <w:rPr>
                <w:sz w:val="18"/>
                <w:szCs w:val="18"/>
              </w:rPr>
              <w:t>Номинално значимо (p &lt; 0,05)</w:t>
            </w:r>
          </w:p>
        </w:tc>
      </w:tr>
    </w:tbl>
    <w:p w14:paraId="109AD273" w14:textId="77777777" w:rsidR="009B3384" w:rsidRDefault="009B3384">
      <w:pPr>
        <w:tabs>
          <w:tab w:val="clear" w:pos="567"/>
        </w:tabs>
      </w:pPr>
    </w:p>
    <w:p w14:paraId="109AD274" w14:textId="77777777" w:rsidR="009B3384" w:rsidRDefault="00800862">
      <w:pPr>
        <w:tabs>
          <w:tab w:val="clear" w:pos="567"/>
        </w:tabs>
        <w:rPr>
          <w:szCs w:val="24"/>
        </w:rPr>
      </w:pPr>
      <w:r>
        <w:t>В UNIFI-M са оценени 523</w:t>
      </w:r>
      <w:r>
        <w:rPr>
          <w:szCs w:val="22"/>
        </w:rPr>
        <w:t> </w:t>
      </w:r>
      <w:r>
        <w:t>пациенти, постигнали клиничен отговор с еднократно i.v. приложение на устекинумаб в UNIFI-I</w:t>
      </w:r>
      <w:r>
        <w:rPr>
          <w:szCs w:val="24"/>
        </w:rPr>
        <w:t>. Пациентите са рандомизирани за получаване на поддържаща схема с 90</w:t>
      </w:r>
      <w:r>
        <w:rPr>
          <w:szCs w:val="22"/>
        </w:rPr>
        <w:t> </w:t>
      </w:r>
      <w:r>
        <w:rPr>
          <w:szCs w:val="24"/>
        </w:rPr>
        <w:t xml:space="preserve">mg </w:t>
      </w:r>
      <w:r>
        <w:t xml:space="preserve">устекинумаб </w:t>
      </w:r>
      <w:r>
        <w:rPr>
          <w:szCs w:val="24"/>
        </w:rPr>
        <w:t>подкожно на всеки 8</w:t>
      </w:r>
      <w:r>
        <w:rPr>
          <w:szCs w:val="22"/>
        </w:rPr>
        <w:t> </w:t>
      </w:r>
      <w:r>
        <w:rPr>
          <w:szCs w:val="24"/>
        </w:rPr>
        <w:t>седмици, 90</w:t>
      </w:r>
      <w:r>
        <w:rPr>
          <w:szCs w:val="22"/>
        </w:rPr>
        <w:t> </w:t>
      </w:r>
      <w:r>
        <w:rPr>
          <w:szCs w:val="24"/>
        </w:rPr>
        <w:t xml:space="preserve">mg </w:t>
      </w:r>
      <w:r>
        <w:t xml:space="preserve">устекинумаб </w:t>
      </w:r>
      <w:r>
        <w:rPr>
          <w:szCs w:val="24"/>
        </w:rPr>
        <w:t>на всеки 12</w:t>
      </w:r>
      <w:r>
        <w:rPr>
          <w:szCs w:val="22"/>
        </w:rPr>
        <w:t> </w:t>
      </w:r>
      <w:r>
        <w:rPr>
          <w:szCs w:val="24"/>
        </w:rPr>
        <w:t>седмици или плацебо в продължение на 44</w:t>
      </w:r>
      <w:r>
        <w:rPr>
          <w:szCs w:val="22"/>
        </w:rPr>
        <w:t> </w:t>
      </w:r>
      <w:r>
        <w:rPr>
          <w:szCs w:val="24"/>
        </w:rPr>
        <w:t>седмици (за препоръчителната поддържаща доза вижте точка</w:t>
      </w:r>
      <w:r>
        <w:rPr>
          <w:szCs w:val="22"/>
        </w:rPr>
        <w:t> </w:t>
      </w:r>
      <w:r>
        <w:rPr>
          <w:szCs w:val="24"/>
        </w:rPr>
        <w:t>4.2 на КХП на STELARA инжекционен разтвор (флакон) и инжекционен разтвор в предварително напълнена спринцовка или в предварително напълнена писалка).</w:t>
      </w:r>
    </w:p>
    <w:p w14:paraId="109AD275" w14:textId="77777777" w:rsidR="009B3384" w:rsidRDefault="009B3384">
      <w:pPr>
        <w:tabs>
          <w:tab w:val="clear" w:pos="567"/>
        </w:tabs>
        <w:rPr>
          <w:szCs w:val="24"/>
        </w:rPr>
      </w:pPr>
    </w:p>
    <w:p w14:paraId="109AD276" w14:textId="67E89FD9" w:rsidR="009B3384" w:rsidRDefault="00800862">
      <w:r>
        <w:t>Значимо по-голям процент пациенти са в клинична ремисия в двете групи, лекувани с устекинумаб, в сравнение с групата с плацебо на седмица</w:t>
      </w:r>
      <w:r>
        <w:rPr>
          <w:szCs w:val="22"/>
        </w:rPr>
        <w:t> </w:t>
      </w:r>
      <w:r>
        <w:t>44 (вж. Таблица</w:t>
      </w:r>
      <w:r>
        <w:rPr>
          <w:szCs w:val="22"/>
        </w:rPr>
        <w:t> </w:t>
      </w:r>
      <w:r>
        <w:t>11).</w:t>
      </w:r>
    </w:p>
    <w:p w14:paraId="109AD277" w14:textId="77777777" w:rsidR="009B3384" w:rsidRDefault="009B3384"/>
    <w:p w14:paraId="109AD278" w14:textId="15EB3193" w:rsidR="009B3384" w:rsidRDefault="00800862">
      <w:pPr>
        <w:keepNext/>
        <w:ind w:left="1134" w:hanging="1134"/>
        <w:rPr>
          <w:i/>
          <w:iCs/>
          <w:szCs w:val="22"/>
        </w:rPr>
      </w:pPr>
      <w:r>
        <w:rPr>
          <w:i/>
          <w:iCs/>
          <w:szCs w:val="22"/>
        </w:rPr>
        <w:t>Таблица 11:</w:t>
      </w:r>
      <w:r>
        <w:rPr>
          <w:i/>
          <w:iCs/>
          <w:szCs w:val="22"/>
        </w:rPr>
        <w:tab/>
      </w:r>
      <w:r>
        <w:rPr>
          <w:i/>
          <w:iCs/>
        </w:rPr>
        <w:t xml:space="preserve">Резюме на основните измерители за ефикасност в </w:t>
      </w:r>
      <w:r>
        <w:rPr>
          <w:i/>
          <w:iCs/>
          <w:szCs w:val="22"/>
        </w:rPr>
        <w:t>UNIFI-M (седмица</w:t>
      </w:r>
      <w:r>
        <w:rPr>
          <w:i/>
          <w:szCs w:val="22"/>
        </w:rPr>
        <w:t> </w:t>
      </w:r>
      <w:r>
        <w:rPr>
          <w:i/>
          <w:iCs/>
          <w:szCs w:val="22"/>
        </w:rPr>
        <w:t>44; 52</w:t>
      </w:r>
      <w:r>
        <w:rPr>
          <w:i/>
          <w:szCs w:val="22"/>
        </w:rPr>
        <w:t> </w:t>
      </w:r>
      <w:r>
        <w:rPr>
          <w:i/>
          <w:iCs/>
          <w:szCs w:val="22"/>
        </w:rPr>
        <w:t>седмици от започване на индукционната доза)</w:t>
      </w:r>
    </w:p>
    <w:tbl>
      <w:tblPr>
        <w:tblW w:w="9075" w:type="dxa"/>
        <w:jc w:val="center"/>
        <w:tblLayout w:type="fixed"/>
        <w:tblLook w:val="04A0" w:firstRow="1" w:lastRow="0" w:firstColumn="1" w:lastColumn="0" w:noHBand="0" w:noVBand="1"/>
      </w:tblPr>
      <w:tblGrid>
        <w:gridCol w:w="4177"/>
        <w:gridCol w:w="1710"/>
        <w:gridCol w:w="1621"/>
        <w:gridCol w:w="1567"/>
      </w:tblGrid>
      <w:tr w:rsidR="009B3384" w14:paraId="109AD280"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79" w14:textId="77777777" w:rsidR="009B3384" w:rsidRDefault="009B3384">
            <w:pPr>
              <w:keepNext/>
              <w:widowControl w:val="0"/>
              <w:jc w:val="center"/>
              <w:rPr>
                <w:b/>
                <w:szCs w:val="22"/>
              </w:rPr>
            </w:pPr>
          </w:p>
        </w:tc>
        <w:tc>
          <w:tcPr>
            <w:tcW w:w="1710" w:type="dxa"/>
            <w:tcBorders>
              <w:top w:val="single" w:sz="4" w:space="0" w:color="000000"/>
              <w:left w:val="single" w:sz="4" w:space="0" w:color="000000"/>
              <w:bottom w:val="single" w:sz="4" w:space="0" w:color="000000"/>
              <w:right w:val="single" w:sz="4" w:space="0" w:color="000000"/>
            </w:tcBorders>
          </w:tcPr>
          <w:p w14:paraId="109AD27A" w14:textId="77777777" w:rsidR="009B3384" w:rsidRDefault="00800862">
            <w:pPr>
              <w:keepNext/>
              <w:widowControl w:val="0"/>
              <w:jc w:val="center"/>
              <w:rPr>
                <w:b/>
                <w:szCs w:val="22"/>
              </w:rPr>
            </w:pPr>
            <w:r>
              <w:rPr>
                <w:b/>
                <w:szCs w:val="22"/>
              </w:rPr>
              <w:t>Плацебо*</w:t>
            </w:r>
          </w:p>
          <w:p w14:paraId="109AD27B" w14:textId="77777777" w:rsidR="009B3384" w:rsidRDefault="00800862">
            <w:pPr>
              <w:keepNext/>
              <w:widowControl w:val="0"/>
              <w:jc w:val="center"/>
              <w:rPr>
                <w:b/>
                <w:szCs w:val="22"/>
              </w:rPr>
            </w:pPr>
            <w:r>
              <w:rPr>
                <w:b/>
                <w:szCs w:val="22"/>
              </w:rPr>
              <w:t>N</w:t>
            </w:r>
            <w:r>
              <w:rPr>
                <w:szCs w:val="22"/>
              </w:rPr>
              <w:t> </w:t>
            </w:r>
            <w:r>
              <w:rPr>
                <w:b/>
                <w:szCs w:val="22"/>
              </w:rPr>
              <w:t>=</w:t>
            </w:r>
            <w:r>
              <w:rPr>
                <w:szCs w:val="22"/>
              </w:rPr>
              <w:t> 175</w:t>
            </w:r>
            <w:r>
              <w:rPr>
                <w:b/>
                <w:szCs w:val="22"/>
                <w:vertAlign w:val="superscript"/>
              </w:rPr>
              <w:t xml:space="preserve"> </w:t>
            </w:r>
          </w:p>
        </w:tc>
        <w:tc>
          <w:tcPr>
            <w:tcW w:w="1621" w:type="dxa"/>
            <w:tcBorders>
              <w:top w:val="single" w:sz="4" w:space="0" w:color="000000"/>
              <w:left w:val="single" w:sz="4" w:space="0" w:color="000000"/>
              <w:bottom w:val="single" w:sz="4" w:space="0" w:color="000000"/>
              <w:right w:val="single" w:sz="4" w:space="0" w:color="000000"/>
            </w:tcBorders>
          </w:tcPr>
          <w:p w14:paraId="109AD27C" w14:textId="77777777" w:rsidR="009B3384" w:rsidRDefault="00800862">
            <w:pPr>
              <w:keepNext/>
              <w:widowControl w:val="0"/>
              <w:jc w:val="center"/>
              <w:rPr>
                <w:b/>
                <w:szCs w:val="22"/>
              </w:rPr>
            </w:pPr>
            <w:r>
              <w:rPr>
                <w:b/>
                <w:szCs w:val="22"/>
              </w:rPr>
              <w:t>90 mg устекинумаб</w:t>
            </w:r>
            <w:r>
              <w:rPr>
                <w:szCs w:val="22"/>
              </w:rPr>
              <w:t xml:space="preserve"> </w:t>
            </w:r>
            <w:r>
              <w:rPr>
                <w:b/>
                <w:szCs w:val="22"/>
              </w:rPr>
              <w:t>през 8</w:t>
            </w:r>
            <w:r>
              <w:rPr>
                <w:szCs w:val="22"/>
              </w:rPr>
              <w:t> </w:t>
            </w:r>
            <w:r>
              <w:rPr>
                <w:b/>
                <w:szCs w:val="22"/>
              </w:rPr>
              <w:t>седмици</w:t>
            </w:r>
          </w:p>
          <w:p w14:paraId="109AD27D" w14:textId="77777777" w:rsidR="009B3384" w:rsidRDefault="00800862">
            <w:pPr>
              <w:keepNext/>
              <w:widowControl w:val="0"/>
              <w:jc w:val="center"/>
              <w:rPr>
                <w:b/>
                <w:szCs w:val="22"/>
              </w:rPr>
            </w:pPr>
            <w:r>
              <w:rPr>
                <w:b/>
                <w:szCs w:val="22"/>
              </w:rPr>
              <w:t>N</w:t>
            </w:r>
            <w:r>
              <w:rPr>
                <w:szCs w:val="22"/>
              </w:rPr>
              <w:t> </w:t>
            </w:r>
            <w:r>
              <w:rPr>
                <w:b/>
                <w:szCs w:val="22"/>
              </w:rPr>
              <w:t>=</w:t>
            </w:r>
            <w:r>
              <w:rPr>
                <w:szCs w:val="22"/>
              </w:rPr>
              <w:t> 176</w:t>
            </w:r>
          </w:p>
        </w:tc>
        <w:tc>
          <w:tcPr>
            <w:tcW w:w="1567" w:type="dxa"/>
            <w:tcBorders>
              <w:top w:val="single" w:sz="4" w:space="0" w:color="000000"/>
              <w:left w:val="single" w:sz="4" w:space="0" w:color="000000"/>
              <w:bottom w:val="single" w:sz="4" w:space="0" w:color="000000"/>
              <w:right w:val="single" w:sz="4" w:space="0" w:color="000000"/>
            </w:tcBorders>
          </w:tcPr>
          <w:p w14:paraId="109AD27E" w14:textId="77777777" w:rsidR="009B3384" w:rsidRDefault="00800862">
            <w:pPr>
              <w:keepNext/>
              <w:widowControl w:val="0"/>
              <w:jc w:val="center"/>
              <w:rPr>
                <w:b/>
                <w:szCs w:val="22"/>
              </w:rPr>
            </w:pPr>
            <w:r>
              <w:rPr>
                <w:b/>
                <w:szCs w:val="22"/>
              </w:rPr>
              <w:t>90</w:t>
            </w:r>
            <w:r>
              <w:rPr>
                <w:szCs w:val="22"/>
              </w:rPr>
              <w:t> </w:t>
            </w:r>
            <w:r>
              <w:rPr>
                <w:b/>
                <w:szCs w:val="22"/>
              </w:rPr>
              <w:t>mg устекинумаб през 12</w:t>
            </w:r>
            <w:r>
              <w:rPr>
                <w:szCs w:val="22"/>
              </w:rPr>
              <w:t> </w:t>
            </w:r>
            <w:r>
              <w:rPr>
                <w:b/>
                <w:szCs w:val="22"/>
              </w:rPr>
              <w:t>седмици</w:t>
            </w:r>
          </w:p>
          <w:p w14:paraId="109AD27F" w14:textId="77777777" w:rsidR="009B3384" w:rsidRDefault="00800862">
            <w:pPr>
              <w:keepNext/>
              <w:widowControl w:val="0"/>
              <w:jc w:val="center"/>
              <w:rPr>
                <w:b/>
                <w:szCs w:val="22"/>
              </w:rPr>
            </w:pPr>
            <w:r>
              <w:rPr>
                <w:b/>
                <w:szCs w:val="22"/>
              </w:rPr>
              <w:t>N</w:t>
            </w:r>
            <w:r>
              <w:rPr>
                <w:szCs w:val="22"/>
              </w:rPr>
              <w:t> </w:t>
            </w:r>
            <w:r>
              <w:rPr>
                <w:b/>
                <w:szCs w:val="22"/>
              </w:rPr>
              <w:t>=</w:t>
            </w:r>
            <w:r>
              <w:rPr>
                <w:szCs w:val="22"/>
              </w:rPr>
              <w:t> 172</w:t>
            </w:r>
            <w:r>
              <w:rPr>
                <w:b/>
                <w:szCs w:val="22"/>
                <w:vertAlign w:val="superscript"/>
              </w:rPr>
              <w:t xml:space="preserve"> </w:t>
            </w:r>
          </w:p>
        </w:tc>
      </w:tr>
      <w:tr w:rsidR="009B3384" w14:paraId="109AD285"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81" w14:textId="77777777" w:rsidR="009B3384" w:rsidRDefault="00800862">
            <w:pPr>
              <w:widowControl w:val="0"/>
              <w:rPr>
                <w:rFonts w:eastAsia="Calibri"/>
                <w:lang w:val="en-US"/>
              </w:rPr>
            </w:pPr>
            <w:r>
              <w:rPr>
                <w:szCs w:val="22"/>
              </w:rPr>
              <w:t>Клинична ремисия**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82" w14:textId="77777777" w:rsidR="009B3384" w:rsidRDefault="00800862">
            <w:pPr>
              <w:widowControl w:val="0"/>
              <w:jc w:val="center"/>
              <w:rPr>
                <w:szCs w:val="22"/>
              </w:rPr>
            </w:pPr>
            <w:r>
              <w:rPr>
                <w:szCs w:val="22"/>
              </w:rPr>
              <w:t>24%</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83" w14:textId="77777777" w:rsidR="009B3384" w:rsidRDefault="00800862">
            <w:pPr>
              <w:widowControl w:val="0"/>
              <w:jc w:val="center"/>
              <w:rPr>
                <w:szCs w:val="22"/>
              </w:rPr>
            </w:pPr>
            <w:r>
              <w:rPr>
                <w:szCs w:val="22"/>
              </w:rPr>
              <w:t>44%</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84" w14:textId="77777777" w:rsidR="009B3384" w:rsidRDefault="00800862">
            <w:pPr>
              <w:widowControl w:val="0"/>
              <w:jc w:val="center"/>
              <w:rPr>
                <w:szCs w:val="22"/>
              </w:rPr>
            </w:pPr>
            <w:r>
              <w:rPr>
                <w:szCs w:val="22"/>
              </w:rPr>
              <w:t>38%</w:t>
            </w:r>
            <w:r>
              <w:rPr>
                <w:szCs w:val="22"/>
                <w:vertAlign w:val="superscript"/>
              </w:rPr>
              <w:t xml:space="preserve"> б</w:t>
            </w:r>
          </w:p>
        </w:tc>
      </w:tr>
      <w:tr w:rsidR="009B3384" w14:paraId="109AD28A"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86" w14:textId="77777777" w:rsidR="009B3384" w:rsidRDefault="00800862">
            <w:pPr>
              <w:widowControl w:val="0"/>
              <w:ind w:left="284"/>
              <w:rPr>
                <w:szCs w:val="22"/>
              </w:rPr>
            </w:pPr>
            <w:r>
              <w:rPr>
                <w:szCs w:val="22"/>
              </w:rPr>
              <w:t>При пациенти с неуспешна конвенционална, но не и биологична терапия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87" w14:textId="77777777" w:rsidR="009B3384" w:rsidRDefault="00800862">
            <w:pPr>
              <w:widowControl w:val="0"/>
              <w:jc w:val="center"/>
              <w:rPr>
                <w:szCs w:val="22"/>
              </w:rPr>
            </w:pPr>
            <w:r>
              <w:rPr>
                <w:szCs w:val="22"/>
              </w:rPr>
              <w:t>31% (27/87)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88" w14:textId="77777777" w:rsidR="009B3384" w:rsidRDefault="00800862">
            <w:pPr>
              <w:widowControl w:val="0"/>
              <w:jc w:val="center"/>
              <w:rPr>
                <w:szCs w:val="22"/>
              </w:rPr>
            </w:pPr>
            <w:r>
              <w:rPr>
                <w:szCs w:val="22"/>
              </w:rPr>
              <w:t>48% (41/85)</w:t>
            </w:r>
            <w:r>
              <w:rPr>
                <w:szCs w:val="22"/>
                <w:vertAlign w:val="superscript"/>
              </w:rPr>
              <w:t>г</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89" w14:textId="77777777" w:rsidR="009B3384" w:rsidRDefault="00800862">
            <w:pPr>
              <w:widowControl w:val="0"/>
              <w:jc w:val="center"/>
              <w:rPr>
                <w:szCs w:val="22"/>
              </w:rPr>
            </w:pPr>
            <w:r>
              <w:rPr>
                <w:szCs w:val="22"/>
              </w:rPr>
              <w:t>49% (50/102)</w:t>
            </w:r>
            <w:r>
              <w:rPr>
                <w:szCs w:val="22"/>
                <w:vertAlign w:val="superscript"/>
              </w:rPr>
              <w:t xml:space="preserve"> г</w:t>
            </w:r>
          </w:p>
        </w:tc>
      </w:tr>
      <w:tr w:rsidR="009B3384" w14:paraId="109AD28F"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8B" w14:textId="77777777" w:rsidR="009B3384" w:rsidRDefault="00800862">
            <w:pPr>
              <w:widowControl w:val="0"/>
              <w:ind w:left="284"/>
              <w:rPr>
                <w:szCs w:val="22"/>
              </w:rPr>
            </w:pPr>
            <w:r>
              <w:rPr>
                <w:szCs w:val="22"/>
              </w:rPr>
              <w:t>При пациенти с неуспешна биологична терапия</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8C" w14:textId="77777777" w:rsidR="009B3384" w:rsidRDefault="00800862">
            <w:pPr>
              <w:widowControl w:val="0"/>
              <w:jc w:val="center"/>
              <w:rPr>
                <w:szCs w:val="22"/>
              </w:rPr>
            </w:pPr>
            <w:r>
              <w:rPr>
                <w:szCs w:val="22"/>
              </w:rPr>
              <w:t>17% (15/88)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8D" w14:textId="77777777" w:rsidR="009B3384" w:rsidRDefault="00800862">
            <w:pPr>
              <w:widowControl w:val="0"/>
              <w:jc w:val="center"/>
              <w:rPr>
                <w:szCs w:val="22"/>
              </w:rPr>
            </w:pPr>
            <w:r>
              <w:rPr>
                <w:szCs w:val="22"/>
              </w:rPr>
              <w:t>40% (36/91)</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8E" w14:textId="77777777" w:rsidR="009B3384" w:rsidRDefault="00800862">
            <w:pPr>
              <w:widowControl w:val="0"/>
              <w:jc w:val="center"/>
              <w:rPr>
                <w:szCs w:val="22"/>
              </w:rPr>
            </w:pPr>
            <w:r>
              <w:rPr>
                <w:szCs w:val="22"/>
              </w:rPr>
              <w:t>23% (16/70)</w:t>
            </w:r>
            <w:r>
              <w:rPr>
                <w:szCs w:val="22"/>
                <w:vertAlign w:val="superscript"/>
              </w:rPr>
              <w:t xml:space="preserve"> г</w:t>
            </w:r>
          </w:p>
        </w:tc>
      </w:tr>
      <w:tr w:rsidR="009B3384" w14:paraId="109AD294"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90" w14:textId="77777777" w:rsidR="009B3384" w:rsidRDefault="00800862">
            <w:pPr>
              <w:widowControl w:val="0"/>
              <w:ind w:left="284"/>
              <w:rPr>
                <w:szCs w:val="22"/>
              </w:rPr>
            </w:pPr>
            <w:r>
              <w:rPr>
                <w:szCs w:val="22"/>
              </w:rPr>
              <w:t>При пациенти с неуспешна терапия както с TNF, така и с ведолизумаб</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91" w14:textId="77777777" w:rsidR="009B3384" w:rsidRDefault="00800862">
            <w:pPr>
              <w:widowControl w:val="0"/>
              <w:jc w:val="center"/>
              <w:rPr>
                <w:szCs w:val="22"/>
              </w:rPr>
            </w:pPr>
            <w:r>
              <w:rPr>
                <w:szCs w:val="22"/>
              </w:rPr>
              <w:t>15% (4/27)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92" w14:textId="77777777" w:rsidR="009B3384" w:rsidRDefault="00800862">
            <w:pPr>
              <w:widowControl w:val="0"/>
              <w:jc w:val="center"/>
              <w:rPr>
                <w:szCs w:val="22"/>
              </w:rPr>
            </w:pPr>
            <w:r>
              <w:rPr>
                <w:szCs w:val="22"/>
              </w:rPr>
              <w:t>33% (7/21)</w:t>
            </w:r>
            <w:r>
              <w:rPr>
                <w:szCs w:val="22"/>
                <w:vertAlign w:val="superscript"/>
              </w:rPr>
              <w:t>д</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93" w14:textId="77777777" w:rsidR="009B3384" w:rsidRDefault="00800862">
            <w:pPr>
              <w:widowControl w:val="0"/>
              <w:jc w:val="center"/>
              <w:rPr>
                <w:szCs w:val="22"/>
              </w:rPr>
            </w:pPr>
            <w:r>
              <w:rPr>
                <w:szCs w:val="22"/>
              </w:rPr>
              <w:t>23% (5/22)</w:t>
            </w:r>
            <w:r>
              <w:rPr>
                <w:szCs w:val="22"/>
                <w:vertAlign w:val="superscript"/>
              </w:rPr>
              <w:t>д</w:t>
            </w:r>
          </w:p>
        </w:tc>
      </w:tr>
      <w:tr w:rsidR="009B3384" w14:paraId="109AD299"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95" w14:textId="3AD24F6D" w:rsidR="009B3384" w:rsidRDefault="00800862">
            <w:pPr>
              <w:widowControl w:val="0"/>
              <w:rPr>
                <w:szCs w:val="22"/>
              </w:rPr>
            </w:pPr>
            <w:r>
              <w:rPr>
                <w:szCs w:val="22"/>
              </w:rPr>
              <w:t>Поддържане на клиничен отговор до седмица</w:t>
            </w:r>
            <w:ins w:id="954" w:author="RABG09" w:date="2026-05-14T12:05:00Z">
              <w:r w:rsidR="003006F7">
                <w:rPr>
                  <w:szCs w:val="22"/>
                </w:rPr>
                <w:t> </w:t>
              </w:r>
            </w:ins>
            <w:del w:id="955" w:author="RABG09" w:date="2026-05-14T12:05:00Z">
              <w:r w:rsidDel="003006F7">
                <w:rPr>
                  <w:szCs w:val="22"/>
                </w:rPr>
                <w:delText xml:space="preserve"> </w:delText>
              </w:r>
            </w:del>
            <w:r>
              <w:rPr>
                <w:szCs w:val="22"/>
              </w:rPr>
              <w:t>44</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96" w14:textId="77777777" w:rsidR="009B3384" w:rsidRDefault="00800862">
            <w:pPr>
              <w:widowControl w:val="0"/>
              <w:jc w:val="center"/>
              <w:rPr>
                <w:szCs w:val="22"/>
              </w:rPr>
            </w:pPr>
            <w:r>
              <w:rPr>
                <w:szCs w:val="22"/>
              </w:rPr>
              <w:t>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97" w14:textId="77777777" w:rsidR="009B3384" w:rsidRDefault="00800862">
            <w:pPr>
              <w:widowControl w:val="0"/>
              <w:jc w:val="center"/>
              <w:rPr>
                <w:szCs w:val="22"/>
              </w:rPr>
            </w:pPr>
            <w:r>
              <w:rPr>
                <w:szCs w:val="22"/>
              </w:rPr>
              <w:t>71%</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98" w14:textId="77777777" w:rsidR="009B3384" w:rsidRDefault="00800862">
            <w:pPr>
              <w:widowControl w:val="0"/>
              <w:jc w:val="center"/>
              <w:rPr>
                <w:szCs w:val="22"/>
              </w:rPr>
            </w:pPr>
            <w:r>
              <w:rPr>
                <w:szCs w:val="22"/>
              </w:rPr>
              <w:t>68%</w:t>
            </w:r>
            <w:r>
              <w:rPr>
                <w:szCs w:val="22"/>
                <w:vertAlign w:val="superscript"/>
              </w:rPr>
              <w:t xml:space="preserve"> a</w:t>
            </w:r>
          </w:p>
        </w:tc>
      </w:tr>
      <w:tr w:rsidR="009B3384" w14:paraId="109AD29E"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9A" w14:textId="77777777" w:rsidR="009B3384" w:rsidRDefault="00800862">
            <w:pPr>
              <w:widowControl w:val="0"/>
              <w:ind w:left="284"/>
              <w:rPr>
                <w:szCs w:val="22"/>
              </w:rPr>
            </w:pPr>
            <w:r>
              <w:rPr>
                <w:szCs w:val="22"/>
              </w:rPr>
              <w:t>При пациенти с неуспешна конвенционална, но не и биологична терапия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9B" w14:textId="77777777" w:rsidR="009B3384" w:rsidRDefault="00800862">
            <w:pPr>
              <w:widowControl w:val="0"/>
              <w:jc w:val="center"/>
              <w:rPr>
                <w:szCs w:val="22"/>
              </w:rPr>
            </w:pPr>
            <w:r>
              <w:rPr>
                <w:szCs w:val="22"/>
              </w:rPr>
              <w:t>51% (44/87)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9C" w14:textId="77777777" w:rsidR="009B3384" w:rsidRDefault="00800862">
            <w:pPr>
              <w:widowControl w:val="0"/>
              <w:jc w:val="center"/>
              <w:rPr>
                <w:szCs w:val="22"/>
              </w:rPr>
            </w:pPr>
            <w:r>
              <w:rPr>
                <w:szCs w:val="22"/>
              </w:rPr>
              <w:t>78% (66/85)</w:t>
            </w:r>
            <w:r>
              <w:rPr>
                <w:szCs w:val="22"/>
                <w:vertAlign w:val="superscript"/>
              </w:rPr>
              <w:t>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9D" w14:textId="77777777" w:rsidR="009B3384" w:rsidRDefault="00800862">
            <w:pPr>
              <w:widowControl w:val="0"/>
              <w:jc w:val="center"/>
              <w:rPr>
                <w:szCs w:val="22"/>
              </w:rPr>
            </w:pPr>
            <w:r>
              <w:rPr>
                <w:szCs w:val="22"/>
              </w:rPr>
              <w:t>77% (78/102)</w:t>
            </w:r>
            <w:r>
              <w:rPr>
                <w:szCs w:val="22"/>
                <w:vertAlign w:val="superscript"/>
              </w:rPr>
              <w:t>в</w:t>
            </w:r>
          </w:p>
        </w:tc>
      </w:tr>
      <w:tr w:rsidR="009B3384" w14:paraId="109AD2A3"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9F" w14:textId="77777777" w:rsidR="009B3384" w:rsidRDefault="00800862">
            <w:pPr>
              <w:widowControl w:val="0"/>
              <w:ind w:left="284"/>
              <w:rPr>
                <w:szCs w:val="22"/>
              </w:rPr>
            </w:pPr>
            <w:r>
              <w:rPr>
                <w:szCs w:val="22"/>
              </w:rPr>
              <w:t>При пациенти с неуспешна биологична терапия</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A0" w14:textId="77777777" w:rsidR="009B3384" w:rsidRDefault="00800862">
            <w:pPr>
              <w:widowControl w:val="0"/>
              <w:jc w:val="center"/>
              <w:rPr>
                <w:szCs w:val="22"/>
              </w:rPr>
            </w:pPr>
            <w:r>
              <w:rPr>
                <w:szCs w:val="22"/>
              </w:rPr>
              <w:t>39% (34/88)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A1" w14:textId="77777777" w:rsidR="009B3384" w:rsidRDefault="00800862">
            <w:pPr>
              <w:widowControl w:val="0"/>
              <w:jc w:val="center"/>
              <w:rPr>
                <w:szCs w:val="22"/>
              </w:rPr>
            </w:pPr>
            <w:r>
              <w:rPr>
                <w:szCs w:val="22"/>
              </w:rPr>
              <w:t>65% (59/91)</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A2" w14:textId="77777777" w:rsidR="009B3384" w:rsidRDefault="00800862">
            <w:pPr>
              <w:widowControl w:val="0"/>
              <w:jc w:val="center"/>
              <w:rPr>
                <w:szCs w:val="22"/>
              </w:rPr>
            </w:pPr>
            <w:r>
              <w:rPr>
                <w:szCs w:val="22"/>
              </w:rPr>
              <w:t>56% (39/70)</w:t>
            </w:r>
            <w:r>
              <w:rPr>
                <w:szCs w:val="22"/>
                <w:vertAlign w:val="superscript"/>
              </w:rPr>
              <w:t xml:space="preserve"> г</w:t>
            </w:r>
          </w:p>
        </w:tc>
      </w:tr>
      <w:tr w:rsidR="009B3384" w14:paraId="109AD2A8"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A4" w14:textId="77777777" w:rsidR="009B3384" w:rsidRDefault="00800862">
            <w:pPr>
              <w:widowControl w:val="0"/>
              <w:ind w:left="284"/>
              <w:rPr>
                <w:szCs w:val="22"/>
              </w:rPr>
            </w:pPr>
            <w:r>
              <w:rPr>
                <w:szCs w:val="22"/>
              </w:rPr>
              <w:t>При пациенти с неуспешна терапия както с TNF, така и с ведолизумаб</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A5" w14:textId="77777777" w:rsidR="009B3384" w:rsidRDefault="00800862">
            <w:pPr>
              <w:widowControl w:val="0"/>
              <w:jc w:val="center"/>
              <w:rPr>
                <w:szCs w:val="22"/>
              </w:rPr>
            </w:pPr>
            <w:r>
              <w:rPr>
                <w:szCs w:val="22"/>
              </w:rPr>
              <w:t>41% (11/27)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A6" w14:textId="77777777" w:rsidR="009B3384" w:rsidRDefault="00800862">
            <w:pPr>
              <w:widowControl w:val="0"/>
              <w:jc w:val="center"/>
              <w:rPr>
                <w:szCs w:val="22"/>
              </w:rPr>
            </w:pPr>
            <w:r>
              <w:rPr>
                <w:szCs w:val="22"/>
              </w:rPr>
              <w:t>67% (14/21)</w:t>
            </w:r>
            <w:r>
              <w:rPr>
                <w:szCs w:val="22"/>
                <w:vertAlign w:val="superscript"/>
              </w:rPr>
              <w:t>д</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A7" w14:textId="77777777" w:rsidR="009B3384" w:rsidRDefault="00800862">
            <w:pPr>
              <w:widowControl w:val="0"/>
              <w:jc w:val="center"/>
              <w:rPr>
                <w:szCs w:val="22"/>
              </w:rPr>
            </w:pPr>
            <w:r>
              <w:rPr>
                <w:szCs w:val="22"/>
              </w:rPr>
              <w:t>50% (11/22)</w:t>
            </w:r>
            <w:r>
              <w:rPr>
                <w:szCs w:val="22"/>
                <w:vertAlign w:val="superscript"/>
              </w:rPr>
              <w:t>д</w:t>
            </w:r>
          </w:p>
        </w:tc>
      </w:tr>
      <w:tr w:rsidR="009B3384" w14:paraId="109AD2AD"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A9" w14:textId="77777777" w:rsidR="009B3384" w:rsidRDefault="00800862">
            <w:pPr>
              <w:widowControl w:val="0"/>
              <w:rPr>
                <w:szCs w:val="22"/>
              </w:rPr>
            </w:pPr>
            <w:r>
              <w:rPr>
                <w:szCs w:val="22"/>
              </w:rPr>
              <w:t>Лигавично оздравяване</w:t>
            </w:r>
            <w:r>
              <w:rPr>
                <w:szCs w:val="18"/>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AA" w14:textId="77777777" w:rsidR="009B3384" w:rsidRDefault="00800862">
            <w:pPr>
              <w:widowControl w:val="0"/>
              <w:jc w:val="center"/>
              <w:rPr>
                <w:szCs w:val="22"/>
              </w:rPr>
            </w:pPr>
            <w:r>
              <w:rPr>
                <w:szCs w:val="22"/>
              </w:rPr>
              <w:t>29%</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AB" w14:textId="77777777" w:rsidR="009B3384" w:rsidRDefault="00800862">
            <w:pPr>
              <w:widowControl w:val="0"/>
              <w:jc w:val="center"/>
              <w:rPr>
                <w:szCs w:val="22"/>
              </w:rPr>
            </w:pPr>
            <w:r>
              <w:rPr>
                <w:szCs w:val="22"/>
              </w:rPr>
              <w:t>51%</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AC" w14:textId="77777777" w:rsidR="009B3384" w:rsidRDefault="00800862">
            <w:pPr>
              <w:widowControl w:val="0"/>
              <w:jc w:val="center"/>
              <w:rPr>
                <w:szCs w:val="22"/>
              </w:rPr>
            </w:pPr>
            <w:r>
              <w:rPr>
                <w:szCs w:val="22"/>
              </w:rPr>
              <w:t>44%</w:t>
            </w:r>
            <w:r>
              <w:rPr>
                <w:szCs w:val="22"/>
                <w:vertAlign w:val="superscript"/>
              </w:rPr>
              <w:t xml:space="preserve"> б</w:t>
            </w:r>
          </w:p>
        </w:tc>
      </w:tr>
      <w:tr w:rsidR="009B3384" w14:paraId="109AD2B2"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AE" w14:textId="1FF31AF3" w:rsidR="009B3384" w:rsidRDefault="00800862">
            <w:pPr>
              <w:widowControl w:val="0"/>
              <w:rPr>
                <w:szCs w:val="22"/>
              </w:rPr>
            </w:pPr>
            <w:r>
              <w:rPr>
                <w:szCs w:val="22"/>
              </w:rPr>
              <w:t>Поддържане на клинична ремисия до седмица</w:t>
            </w:r>
            <w:del w:id="956" w:author="RABG09" w:date="2026-05-14T12:05:00Z">
              <w:r w:rsidDel="004C53D8">
                <w:rPr>
                  <w:szCs w:val="22"/>
                </w:rPr>
                <w:delText xml:space="preserve"> </w:delText>
              </w:r>
            </w:del>
            <w:ins w:id="957" w:author="RABG09" w:date="2026-05-14T12:05:00Z">
              <w:r w:rsidR="004C53D8">
                <w:rPr>
                  <w:szCs w:val="22"/>
                </w:rPr>
                <w:t> </w:t>
              </w:r>
            </w:ins>
            <w:r>
              <w:rPr>
                <w:szCs w:val="22"/>
              </w:rPr>
              <w:t>44</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AF" w14:textId="77777777" w:rsidR="009B3384" w:rsidRDefault="00800862">
            <w:pPr>
              <w:widowControl w:val="0"/>
              <w:jc w:val="center"/>
              <w:rPr>
                <w:szCs w:val="22"/>
              </w:rPr>
            </w:pPr>
            <w:r>
              <w:rPr>
                <w:szCs w:val="22"/>
              </w:rPr>
              <w:t>38% (17/45)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B0" w14:textId="77777777" w:rsidR="009B3384" w:rsidRDefault="00800862">
            <w:pPr>
              <w:widowControl w:val="0"/>
              <w:jc w:val="center"/>
              <w:rPr>
                <w:szCs w:val="22"/>
              </w:rPr>
            </w:pPr>
            <w:r>
              <w:rPr>
                <w:szCs w:val="22"/>
              </w:rPr>
              <w:t>58% (22/38)</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B1" w14:textId="77777777" w:rsidR="009B3384" w:rsidRDefault="00800862">
            <w:pPr>
              <w:widowControl w:val="0"/>
              <w:jc w:val="center"/>
              <w:rPr>
                <w:szCs w:val="22"/>
              </w:rPr>
            </w:pPr>
            <w:r>
              <w:rPr>
                <w:szCs w:val="22"/>
              </w:rPr>
              <w:t>65% (26/40)</w:t>
            </w:r>
            <w:r>
              <w:rPr>
                <w:szCs w:val="22"/>
                <w:vertAlign w:val="superscript"/>
              </w:rPr>
              <w:t xml:space="preserve"> в</w:t>
            </w:r>
          </w:p>
        </w:tc>
      </w:tr>
      <w:tr w:rsidR="009B3384" w14:paraId="109AD2B7"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B3" w14:textId="77777777" w:rsidR="009B3384" w:rsidRDefault="00800862">
            <w:pPr>
              <w:widowControl w:val="0"/>
              <w:rPr>
                <w:szCs w:val="22"/>
              </w:rPr>
            </w:pPr>
            <w:r>
              <w:rPr>
                <w:szCs w:val="22"/>
              </w:rPr>
              <w:t>Клинична ремисия без кортикостероид</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B4" w14:textId="77777777" w:rsidR="009B3384" w:rsidRDefault="00800862">
            <w:pPr>
              <w:widowControl w:val="0"/>
              <w:jc w:val="center"/>
              <w:rPr>
                <w:szCs w:val="22"/>
              </w:rPr>
            </w:pPr>
            <w:r>
              <w:rPr>
                <w:szCs w:val="22"/>
              </w:rPr>
              <w:t>23%</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B5" w14:textId="77777777" w:rsidR="009B3384" w:rsidRDefault="00800862">
            <w:pPr>
              <w:widowControl w:val="0"/>
              <w:jc w:val="center"/>
              <w:rPr>
                <w:szCs w:val="22"/>
              </w:rPr>
            </w:pPr>
            <w:r>
              <w:rPr>
                <w:szCs w:val="22"/>
              </w:rPr>
              <w:t>42%</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B6" w14:textId="77777777" w:rsidR="009B3384" w:rsidRDefault="00800862">
            <w:pPr>
              <w:widowControl w:val="0"/>
              <w:jc w:val="center"/>
              <w:rPr>
                <w:szCs w:val="22"/>
              </w:rPr>
            </w:pPr>
            <w:r>
              <w:rPr>
                <w:szCs w:val="22"/>
              </w:rPr>
              <w:t>38%</w:t>
            </w:r>
            <w:r>
              <w:rPr>
                <w:szCs w:val="22"/>
                <w:vertAlign w:val="superscript"/>
              </w:rPr>
              <w:t>б</w:t>
            </w:r>
          </w:p>
        </w:tc>
      </w:tr>
      <w:tr w:rsidR="009B3384" w14:paraId="109AD2BC"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B8" w14:textId="77777777" w:rsidR="009B3384" w:rsidRDefault="00800862">
            <w:pPr>
              <w:widowControl w:val="0"/>
              <w:rPr>
                <w:szCs w:val="22"/>
                <w:lang w:val="en-US"/>
              </w:rPr>
            </w:pPr>
            <w:r>
              <w:rPr>
                <w:szCs w:val="22"/>
              </w:rPr>
              <w:t>Продължителна ремисия</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B9" w14:textId="77777777" w:rsidR="009B3384" w:rsidRDefault="00800862">
            <w:pPr>
              <w:widowControl w:val="0"/>
              <w:jc w:val="center"/>
              <w:rPr>
                <w:szCs w:val="22"/>
              </w:rPr>
            </w:pPr>
            <w:r>
              <w:rPr>
                <w:szCs w:val="22"/>
              </w:rPr>
              <w:t>35%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BA" w14:textId="77777777" w:rsidR="009B3384" w:rsidRDefault="00800862">
            <w:pPr>
              <w:widowControl w:val="0"/>
              <w:jc w:val="center"/>
              <w:rPr>
                <w:szCs w:val="22"/>
              </w:rPr>
            </w:pPr>
            <w:r>
              <w:rPr>
                <w:szCs w:val="22"/>
              </w:rPr>
              <w:t>57%</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BB" w14:textId="77777777" w:rsidR="009B3384" w:rsidRDefault="00800862">
            <w:pPr>
              <w:widowControl w:val="0"/>
              <w:jc w:val="center"/>
              <w:rPr>
                <w:szCs w:val="22"/>
              </w:rPr>
            </w:pPr>
            <w:r>
              <w:rPr>
                <w:szCs w:val="22"/>
              </w:rPr>
              <w:t>48%</w:t>
            </w:r>
            <w:r>
              <w:rPr>
                <w:szCs w:val="22"/>
                <w:vertAlign w:val="superscript"/>
              </w:rPr>
              <w:t xml:space="preserve"> г</w:t>
            </w:r>
          </w:p>
        </w:tc>
      </w:tr>
      <w:tr w:rsidR="009B3384" w14:paraId="109AD2C1"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BD" w14:textId="77777777" w:rsidR="009B3384" w:rsidRDefault="00800862">
            <w:pPr>
              <w:widowControl w:val="0"/>
              <w:rPr>
                <w:szCs w:val="22"/>
              </w:rPr>
            </w:pPr>
            <w:r>
              <w:rPr>
                <w:szCs w:val="22"/>
              </w:rPr>
              <w:t>Симптоматична ремисия</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BE" w14:textId="77777777" w:rsidR="009B3384" w:rsidRDefault="00800862">
            <w:pPr>
              <w:widowControl w:val="0"/>
              <w:jc w:val="center"/>
              <w:rPr>
                <w:szCs w:val="22"/>
              </w:rPr>
            </w:pPr>
            <w:r>
              <w:rPr>
                <w:szCs w:val="22"/>
              </w:rPr>
              <w:t>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BF" w14:textId="77777777" w:rsidR="009B3384" w:rsidRDefault="00800862">
            <w:pPr>
              <w:widowControl w:val="0"/>
              <w:jc w:val="center"/>
              <w:rPr>
                <w:szCs w:val="22"/>
              </w:rPr>
            </w:pPr>
            <w:r>
              <w:rPr>
                <w:szCs w:val="22"/>
              </w:rPr>
              <w:t>68%</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C0" w14:textId="77777777" w:rsidR="009B3384" w:rsidRDefault="00800862">
            <w:pPr>
              <w:widowControl w:val="0"/>
              <w:jc w:val="center"/>
              <w:rPr>
                <w:szCs w:val="22"/>
              </w:rPr>
            </w:pPr>
            <w:r>
              <w:rPr>
                <w:szCs w:val="22"/>
              </w:rPr>
              <w:t>62%</w:t>
            </w:r>
            <w:r>
              <w:rPr>
                <w:szCs w:val="22"/>
                <w:vertAlign w:val="superscript"/>
              </w:rPr>
              <w:t xml:space="preserve"> г</w:t>
            </w:r>
          </w:p>
        </w:tc>
      </w:tr>
      <w:tr w:rsidR="009B3384" w14:paraId="109AD2C6"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2C2" w14:textId="77777777" w:rsidR="009B3384" w:rsidRDefault="00800862">
            <w:pPr>
              <w:widowControl w:val="0"/>
            </w:pPr>
            <w:r>
              <w:rPr>
                <w:szCs w:val="22"/>
              </w:rPr>
              <w:lastRenderedPageBreak/>
              <w:t>Комбинирано симптоматична ремисия и лигавично оздравяване</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2C3" w14:textId="77777777" w:rsidR="009B3384" w:rsidRDefault="00800862">
            <w:pPr>
              <w:widowControl w:val="0"/>
              <w:jc w:val="center"/>
              <w:rPr>
                <w:szCs w:val="22"/>
              </w:rPr>
            </w:pPr>
            <w:r>
              <w:rPr>
                <w:szCs w:val="22"/>
              </w:rPr>
              <w:t>28%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2C4" w14:textId="77777777" w:rsidR="009B3384" w:rsidRDefault="00800862">
            <w:pPr>
              <w:widowControl w:val="0"/>
              <w:jc w:val="center"/>
              <w:rPr>
                <w:szCs w:val="22"/>
              </w:rPr>
            </w:pPr>
            <w:r>
              <w:rPr>
                <w:szCs w:val="22"/>
              </w:rPr>
              <w:t>48%</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2C5" w14:textId="77777777" w:rsidR="009B3384" w:rsidRDefault="00800862">
            <w:pPr>
              <w:widowControl w:val="0"/>
              <w:jc w:val="center"/>
              <w:rPr>
                <w:szCs w:val="22"/>
              </w:rPr>
            </w:pPr>
            <w:r>
              <w:rPr>
                <w:szCs w:val="22"/>
              </w:rPr>
              <w:t>41%</w:t>
            </w:r>
            <w:r>
              <w:rPr>
                <w:szCs w:val="22"/>
                <w:vertAlign w:val="superscript"/>
              </w:rPr>
              <w:t xml:space="preserve"> г</w:t>
            </w:r>
          </w:p>
        </w:tc>
      </w:tr>
      <w:tr w:rsidR="009B3384" w14:paraId="109AD2D6" w14:textId="77777777">
        <w:trPr>
          <w:cantSplit/>
          <w:jc w:val="center"/>
        </w:trPr>
        <w:tc>
          <w:tcPr>
            <w:tcW w:w="9074" w:type="dxa"/>
            <w:gridSpan w:val="4"/>
            <w:tcBorders>
              <w:top w:val="single" w:sz="4" w:space="0" w:color="000000"/>
            </w:tcBorders>
          </w:tcPr>
          <w:p w14:paraId="109AD2C7" w14:textId="77777777" w:rsidR="009B3384" w:rsidRDefault="00800862">
            <w:pPr>
              <w:widowControl w:val="0"/>
              <w:ind w:left="284" w:hanging="284"/>
              <w:rPr>
                <w:sz w:val="18"/>
                <w:szCs w:val="18"/>
              </w:rPr>
            </w:pPr>
            <w:r>
              <w:rPr>
                <w:sz w:val="18"/>
                <w:szCs w:val="18"/>
              </w:rPr>
              <w:t>*</w:t>
            </w:r>
            <w:r>
              <w:rPr>
                <w:sz w:val="18"/>
                <w:szCs w:val="18"/>
              </w:rPr>
              <w:tab/>
              <w:t>След повлияване от i.v. устекинумаб.</w:t>
            </w:r>
          </w:p>
          <w:p w14:paraId="109AD2C8" w14:textId="07C30600" w:rsidR="009B3384" w:rsidRDefault="00800862">
            <w:pPr>
              <w:widowControl w:val="0"/>
              <w:ind w:left="284" w:hanging="284"/>
              <w:rPr>
                <w:sz w:val="18"/>
                <w:szCs w:val="18"/>
              </w:rPr>
            </w:pPr>
            <w:r>
              <w:rPr>
                <w:sz w:val="18"/>
                <w:szCs w:val="18"/>
              </w:rPr>
              <w:t>**</w:t>
            </w:r>
            <w:r>
              <w:rPr>
                <w:sz w:val="18"/>
                <w:szCs w:val="18"/>
              </w:rPr>
              <w:tab/>
              <w:t xml:space="preserve">Клиничната ремисия се определя като скор по Mayo ≤ 2 пункта, без индивидуален </w:t>
            </w:r>
            <w:r w:rsidR="00EA3FF7">
              <w:rPr>
                <w:sz w:val="18"/>
                <w:szCs w:val="18"/>
              </w:rPr>
              <w:t>подскор</w:t>
            </w:r>
            <w:r>
              <w:rPr>
                <w:sz w:val="18"/>
                <w:szCs w:val="18"/>
              </w:rPr>
              <w:t xml:space="preserve"> &gt; 1.</w:t>
            </w:r>
          </w:p>
          <w:p w14:paraId="109AD2C9" w14:textId="11CD1126"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Клиничният отговор се определя като намаляване спрямо изходното ниво на скора по </w:t>
            </w:r>
            <w:r>
              <w:rPr>
                <w:sz w:val="18"/>
                <w:szCs w:val="18"/>
                <w:lang w:val="en-US"/>
              </w:rPr>
              <w:t>Mayo</w:t>
            </w:r>
            <w:r>
              <w:rPr>
                <w:sz w:val="18"/>
                <w:szCs w:val="18"/>
              </w:rPr>
              <w:t xml:space="preserve"> с ≥ 30% и ≥ 3 пункта, с намаляване спрямо изходното ниво на </w:t>
            </w:r>
            <w:r w:rsidR="00EA3FF7">
              <w:rPr>
                <w:sz w:val="18"/>
                <w:szCs w:val="18"/>
              </w:rPr>
              <w:t>подскор</w:t>
            </w:r>
            <w:r>
              <w:rPr>
                <w:sz w:val="18"/>
                <w:szCs w:val="18"/>
              </w:rPr>
              <w:t xml:space="preserve">а за ректално кървене ≥ 1 или </w:t>
            </w:r>
            <w:r w:rsidR="00EA3FF7">
              <w:rPr>
                <w:sz w:val="18"/>
                <w:szCs w:val="18"/>
              </w:rPr>
              <w:t>подскор</w:t>
            </w:r>
            <w:r>
              <w:rPr>
                <w:sz w:val="18"/>
                <w:szCs w:val="18"/>
              </w:rPr>
              <w:t xml:space="preserve"> за ректално кървене 0 или 1.</w:t>
            </w:r>
          </w:p>
          <w:p w14:paraId="109AD2CA" w14:textId="77777777" w:rsidR="009B3384" w:rsidRDefault="00800862">
            <w:pPr>
              <w:widowControl w:val="0"/>
              <w:ind w:left="284" w:hanging="284"/>
              <w:rPr>
                <w:sz w:val="18"/>
                <w:szCs w:val="18"/>
              </w:rPr>
            </w:pPr>
            <w:r>
              <w:rPr>
                <w:szCs w:val="22"/>
                <w:vertAlign w:val="superscript"/>
              </w:rPr>
              <w:t>¥</w:t>
            </w:r>
            <w:r>
              <w:rPr>
                <w:szCs w:val="22"/>
                <w:vertAlign w:val="superscript"/>
              </w:rPr>
              <w:tab/>
            </w:r>
            <w:r>
              <w:rPr>
                <w:sz w:val="18"/>
                <w:szCs w:val="18"/>
              </w:rPr>
              <w:t>Антагонист на TNFα и/или ведолизумаб.</w:t>
            </w:r>
          </w:p>
          <w:p w14:paraId="109AD2CB" w14:textId="6551A4B3" w:rsidR="009B3384" w:rsidRDefault="00800862">
            <w:pPr>
              <w:widowControl w:val="0"/>
              <w:ind w:left="284" w:hanging="284"/>
              <w:rPr>
                <w:rFonts w:eastAsia="TimesNewRoman"/>
                <w:sz w:val="18"/>
                <w:szCs w:val="18"/>
                <w:lang w:eastAsia="zh-CN"/>
              </w:rPr>
            </w:pPr>
            <w:r>
              <w:rPr>
                <w:szCs w:val="18"/>
                <w:vertAlign w:val="superscript"/>
              </w:rPr>
              <w:t>†</w:t>
            </w:r>
            <w:r>
              <w:rPr>
                <w:szCs w:val="18"/>
                <w:vertAlign w:val="superscript"/>
              </w:rPr>
              <w:tab/>
            </w:r>
            <w:r>
              <w:rPr>
                <w:rFonts w:eastAsia="TimesNewRoman"/>
                <w:sz w:val="18"/>
                <w:szCs w:val="18"/>
                <w:lang w:eastAsia="zh-CN"/>
              </w:rPr>
              <w:t xml:space="preserve">Лигавичното оздравяване се определя като ендоскопски </w:t>
            </w:r>
            <w:r w:rsidR="00EA3FF7">
              <w:rPr>
                <w:rFonts w:eastAsia="TimesNewRoman"/>
                <w:sz w:val="18"/>
                <w:szCs w:val="18"/>
                <w:lang w:eastAsia="zh-CN"/>
              </w:rPr>
              <w:t>подскор</w:t>
            </w:r>
            <w:r>
              <w:rPr>
                <w:rFonts w:eastAsia="TimesNewRoman"/>
                <w:sz w:val="18"/>
                <w:szCs w:val="18"/>
                <w:lang w:eastAsia="zh-CN"/>
              </w:rPr>
              <w:t xml:space="preserve"> по Mayo 0 или 1.</w:t>
            </w:r>
          </w:p>
          <w:p w14:paraId="109AD2CC" w14:textId="5158915C" w:rsidR="009B3384" w:rsidRDefault="00800862">
            <w:pPr>
              <w:widowControl w:val="0"/>
              <w:ind w:left="284" w:hanging="284"/>
              <w:rPr>
                <w:rFonts w:eastAsia="TimesNewRoman"/>
                <w:sz w:val="18"/>
                <w:szCs w:val="18"/>
                <w:lang w:eastAsia="zh-CN"/>
              </w:rPr>
            </w:pPr>
            <w:r>
              <w:rPr>
                <w:rFonts w:eastAsia="TimesNewRoman"/>
                <w:szCs w:val="18"/>
                <w:vertAlign w:val="superscript"/>
                <w:lang w:eastAsia="zh-CN"/>
              </w:rPr>
              <w:t>£</w:t>
            </w:r>
            <w:r>
              <w:rPr>
                <w:rFonts w:eastAsia="TimesNewRoman"/>
                <w:szCs w:val="18"/>
                <w:vertAlign w:val="superscript"/>
                <w:lang w:eastAsia="zh-CN"/>
              </w:rPr>
              <w:tab/>
            </w:r>
            <w:r>
              <w:rPr>
                <w:rFonts w:eastAsia="TimesNewRoman"/>
                <w:sz w:val="18"/>
                <w:szCs w:val="18"/>
                <w:lang w:eastAsia="zh-CN"/>
              </w:rPr>
              <w:t>Поддържането на клинична ремисия до седмица 44 е определено като пациенти в клинична ремисия до Седмица 44 сред пациентите в клинична ремисия на изходното ниво на поддържащата фаза.</w:t>
            </w:r>
          </w:p>
          <w:p w14:paraId="109AD2CD" w14:textId="4DCD4672" w:rsidR="009B3384" w:rsidRDefault="00800862">
            <w:pPr>
              <w:widowControl w:val="0"/>
              <w:ind w:left="284" w:hanging="284"/>
              <w:rPr>
                <w:rFonts w:eastAsia="TimesNewRoman"/>
                <w:sz w:val="18"/>
                <w:szCs w:val="18"/>
                <w:lang w:eastAsia="zh-CN"/>
              </w:rPr>
            </w:pPr>
            <w:r>
              <w:rPr>
                <w:rFonts w:eastAsia="TimesNewRoman"/>
                <w:szCs w:val="18"/>
                <w:vertAlign w:val="superscript"/>
                <w:lang w:eastAsia="zh-CN"/>
              </w:rPr>
              <w:t>€</w:t>
            </w:r>
            <w:r>
              <w:rPr>
                <w:rFonts w:eastAsia="TimesNewRoman"/>
                <w:szCs w:val="18"/>
                <w:vertAlign w:val="superscript"/>
                <w:lang w:eastAsia="zh-CN"/>
              </w:rPr>
              <w:tab/>
            </w:r>
            <w:r>
              <w:rPr>
                <w:rFonts w:eastAsia="TimesNewRoman"/>
                <w:sz w:val="18"/>
                <w:szCs w:val="18"/>
                <w:lang w:eastAsia="zh-CN"/>
              </w:rPr>
              <w:t>Клиничната ремисия без кортикостероид се определя като пациенти в клинична ремисия, които не получават кортикостероиди на седмица 44.</w:t>
            </w:r>
          </w:p>
          <w:p w14:paraId="109AD2CE" w14:textId="433ED8CD"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Продължителната ремисия се определя като частична ремисия по Mayo при ≥ 80% при всички визити преди седмица 44 и частична ремисия по Mayo при последната визита (седмица 44).</w:t>
            </w:r>
          </w:p>
          <w:p w14:paraId="109AD2CF" w14:textId="7E46B0CF"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Симптоматичната ремисия се определя като </w:t>
            </w:r>
            <w:r w:rsidR="00EA3FF7">
              <w:rPr>
                <w:sz w:val="18"/>
                <w:szCs w:val="18"/>
              </w:rPr>
              <w:t>подскор</w:t>
            </w:r>
            <w:r>
              <w:rPr>
                <w:sz w:val="18"/>
                <w:szCs w:val="18"/>
              </w:rPr>
              <w:t xml:space="preserve"> по </w:t>
            </w:r>
            <w:r>
              <w:rPr>
                <w:sz w:val="18"/>
                <w:szCs w:val="18"/>
                <w:lang w:val="en-US"/>
              </w:rPr>
              <w:t>Mayo</w:t>
            </w:r>
            <w:r>
              <w:rPr>
                <w:sz w:val="18"/>
                <w:szCs w:val="18"/>
              </w:rPr>
              <w:t xml:space="preserve"> за честота на дефекацията </w:t>
            </w:r>
            <w:r>
              <w:rPr>
                <w:rFonts w:eastAsia="TimesNewRoman"/>
                <w:sz w:val="18"/>
                <w:szCs w:val="18"/>
                <w:lang w:eastAsia="zh-CN"/>
              </w:rPr>
              <w:t>0 или 1</w:t>
            </w:r>
            <w:r>
              <w:rPr>
                <w:sz w:val="18"/>
                <w:szCs w:val="18"/>
              </w:rPr>
              <w:t xml:space="preserve"> и </w:t>
            </w:r>
            <w:r w:rsidR="00EA3FF7">
              <w:rPr>
                <w:sz w:val="18"/>
                <w:szCs w:val="18"/>
              </w:rPr>
              <w:t>подскор</w:t>
            </w:r>
            <w:r>
              <w:rPr>
                <w:sz w:val="18"/>
                <w:szCs w:val="18"/>
              </w:rPr>
              <w:t xml:space="preserve"> за ректално кървене 0.</w:t>
            </w:r>
          </w:p>
          <w:p w14:paraId="109AD2D0" w14:textId="44CECE81" w:rsidR="009B3384" w:rsidRDefault="00800862">
            <w:pPr>
              <w:widowControl w:val="0"/>
              <w:ind w:left="284" w:hanging="284"/>
              <w:rPr>
                <w:sz w:val="18"/>
                <w:szCs w:val="18"/>
              </w:rPr>
            </w:pPr>
            <w:r>
              <w:rPr>
                <w:szCs w:val="18"/>
                <w:vertAlign w:val="superscript"/>
                <w:lang w:val="en-US"/>
              </w:rPr>
              <w:t>⸸</w:t>
            </w:r>
            <w:r>
              <w:rPr>
                <w:szCs w:val="18"/>
                <w:vertAlign w:val="superscript"/>
              </w:rPr>
              <w:tab/>
            </w:r>
            <w:r>
              <w:rPr>
                <w:sz w:val="18"/>
                <w:szCs w:val="18"/>
              </w:rPr>
              <w:t xml:space="preserve">Комбинацията от симптоматична ремисия и лигавично оздравяване се определя като </w:t>
            </w:r>
            <w:r w:rsidR="00EA3FF7">
              <w:rPr>
                <w:sz w:val="18"/>
                <w:szCs w:val="18"/>
              </w:rPr>
              <w:t>подскор</w:t>
            </w:r>
            <w:r>
              <w:rPr>
                <w:sz w:val="18"/>
                <w:szCs w:val="18"/>
              </w:rPr>
              <w:t xml:space="preserve"> за честота на дефекацията </w:t>
            </w:r>
            <w:r>
              <w:rPr>
                <w:rFonts w:eastAsia="TimesNewRoman"/>
                <w:sz w:val="18"/>
                <w:szCs w:val="18"/>
                <w:lang w:eastAsia="zh-CN"/>
              </w:rPr>
              <w:t xml:space="preserve">0 или </w:t>
            </w:r>
            <w:r>
              <w:rPr>
                <w:sz w:val="18"/>
                <w:szCs w:val="18"/>
              </w:rPr>
              <w:t xml:space="preserve">1, </w:t>
            </w:r>
            <w:r w:rsidR="00EA3FF7">
              <w:rPr>
                <w:sz w:val="18"/>
                <w:szCs w:val="18"/>
              </w:rPr>
              <w:t>подскор</w:t>
            </w:r>
            <w:r>
              <w:rPr>
                <w:sz w:val="18"/>
                <w:szCs w:val="18"/>
              </w:rPr>
              <w:t xml:space="preserve"> за ректално кървене 0 и ендоскопски </w:t>
            </w:r>
            <w:r w:rsidR="00EA3FF7">
              <w:rPr>
                <w:sz w:val="18"/>
                <w:szCs w:val="18"/>
              </w:rPr>
              <w:t>подскор</w:t>
            </w:r>
            <w:r>
              <w:rPr>
                <w:sz w:val="18"/>
                <w:szCs w:val="18"/>
              </w:rPr>
              <w:t xml:space="preserve"> 0 или 1.</w:t>
            </w:r>
          </w:p>
          <w:p w14:paraId="109AD2D1"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D2D2" w14:textId="77777777" w:rsidR="009B3384" w:rsidRDefault="00800862">
            <w:pPr>
              <w:widowControl w:val="0"/>
              <w:tabs>
                <w:tab w:val="left" w:pos="288"/>
              </w:tabs>
              <w:ind w:left="284" w:hanging="284"/>
              <w:rPr>
                <w:sz w:val="18"/>
                <w:szCs w:val="18"/>
              </w:rPr>
            </w:pPr>
            <w:r>
              <w:rPr>
                <w:szCs w:val="18"/>
                <w:vertAlign w:val="superscript"/>
              </w:rPr>
              <w:t>б</w:t>
            </w:r>
            <w:r>
              <w:rPr>
                <w:szCs w:val="18"/>
                <w:vertAlign w:val="superscript"/>
              </w:rPr>
              <w:tab/>
            </w:r>
            <w:r>
              <w:rPr>
                <w:sz w:val="18"/>
                <w:szCs w:val="18"/>
              </w:rPr>
              <w:t>p &lt; 0,05</w:t>
            </w:r>
          </w:p>
          <w:p w14:paraId="109AD2D3" w14:textId="77777777" w:rsidR="009B3384" w:rsidRDefault="00800862">
            <w:pPr>
              <w:widowControl w:val="0"/>
              <w:tabs>
                <w:tab w:val="left" w:pos="288"/>
              </w:tabs>
              <w:ind w:left="284" w:hanging="284"/>
              <w:rPr>
                <w:sz w:val="18"/>
                <w:szCs w:val="18"/>
              </w:rPr>
            </w:pPr>
            <w:r>
              <w:rPr>
                <w:szCs w:val="18"/>
                <w:vertAlign w:val="superscript"/>
              </w:rPr>
              <w:t>в</w:t>
            </w:r>
            <w:r>
              <w:rPr>
                <w:szCs w:val="18"/>
                <w:vertAlign w:val="superscript"/>
              </w:rPr>
              <w:tab/>
            </w:r>
            <w:r>
              <w:rPr>
                <w:sz w:val="18"/>
                <w:szCs w:val="18"/>
              </w:rPr>
              <w:t>Номинално значимо (p &lt; 0,001)</w:t>
            </w:r>
          </w:p>
          <w:p w14:paraId="109AD2D4" w14:textId="77777777" w:rsidR="009B3384" w:rsidRDefault="00800862">
            <w:pPr>
              <w:widowControl w:val="0"/>
              <w:tabs>
                <w:tab w:val="left" w:pos="288"/>
              </w:tabs>
              <w:ind w:left="284" w:hanging="284"/>
              <w:rPr>
                <w:sz w:val="18"/>
                <w:szCs w:val="18"/>
              </w:rPr>
            </w:pPr>
            <w:r>
              <w:rPr>
                <w:szCs w:val="18"/>
                <w:vertAlign w:val="superscript"/>
              </w:rPr>
              <w:t>г</w:t>
            </w:r>
            <w:r>
              <w:rPr>
                <w:szCs w:val="18"/>
                <w:vertAlign w:val="superscript"/>
              </w:rPr>
              <w:tab/>
            </w:r>
            <w:r>
              <w:rPr>
                <w:sz w:val="18"/>
                <w:szCs w:val="18"/>
              </w:rPr>
              <w:t>Номинално значимо (p &lt; 0,05)</w:t>
            </w:r>
          </w:p>
          <w:p w14:paraId="109AD2D5" w14:textId="77777777" w:rsidR="009B3384" w:rsidRDefault="00800862">
            <w:pPr>
              <w:widowControl w:val="0"/>
              <w:tabs>
                <w:tab w:val="left" w:pos="288"/>
              </w:tabs>
              <w:ind w:left="284" w:hanging="284"/>
              <w:rPr>
                <w:sz w:val="18"/>
                <w:szCs w:val="18"/>
              </w:rPr>
            </w:pPr>
            <w:r>
              <w:rPr>
                <w:szCs w:val="18"/>
                <w:vertAlign w:val="superscript"/>
              </w:rPr>
              <w:t>д</w:t>
            </w:r>
            <w:r>
              <w:rPr>
                <w:szCs w:val="18"/>
                <w:vertAlign w:val="superscript"/>
              </w:rPr>
              <w:tab/>
            </w:r>
            <w:r>
              <w:rPr>
                <w:sz w:val="18"/>
                <w:szCs w:val="18"/>
              </w:rPr>
              <w:t>Без статистическа значимост</w:t>
            </w:r>
          </w:p>
        </w:tc>
      </w:tr>
    </w:tbl>
    <w:p w14:paraId="109AD2D7" w14:textId="77777777" w:rsidR="009B3384" w:rsidRDefault="009B3384">
      <w:pPr>
        <w:rPr>
          <w:rFonts w:eastAsia="TimesNewRoman"/>
          <w:lang w:eastAsia="zh-CN"/>
        </w:rPr>
      </w:pPr>
    </w:p>
    <w:p w14:paraId="109AD2D8" w14:textId="77777777" w:rsidR="009B3384" w:rsidRDefault="00800862">
      <w:pPr>
        <w:rPr>
          <w:rFonts w:eastAsia="TimesNewRoman"/>
          <w:lang w:eastAsia="zh-CN"/>
        </w:rPr>
      </w:pPr>
      <w:r>
        <w:rPr>
          <w:rFonts w:eastAsia="TimesNewRoman"/>
          <w:lang w:eastAsia="zh-CN"/>
        </w:rPr>
        <w:t xml:space="preserve">Благоприятният ефект на </w:t>
      </w:r>
      <w:r>
        <w:t xml:space="preserve">устекинумаб </w:t>
      </w:r>
      <w:r>
        <w:rPr>
          <w:rFonts w:eastAsia="TimesNewRoman"/>
          <w:lang w:eastAsia="zh-CN"/>
        </w:rPr>
        <w:t>върху клиничния отговор, лигавичното оздравяване и клиничната ремисия е наблюдаван при индукция и поддържащо лечение както при пациентите с неуспешна конвенционална, но не и биологична терапия, така и при пациентите с най-малко една предшестваща неуспешна терапия с антагонист на TNFα, включително при пациенти, които първично не са се повлияли от терапия с антагонист на TNFα. Благоприятен ефект е наблюдаван също и при индукция при пациенти с най-малко една неуспешна предшестваща терапия с антагонист на TNFα и ведолизумаб, но броят на пациентите в тази подгрупа е твърде малък, за да се направят категорични заключения относно благоприятния ефект по време на поддържащата терапия в тази група.</w:t>
      </w:r>
    </w:p>
    <w:p w14:paraId="109AD2D9" w14:textId="77777777" w:rsidR="009B3384" w:rsidRDefault="009B3384"/>
    <w:p w14:paraId="109AD2DA" w14:textId="5D101A58" w:rsidR="009B3384" w:rsidRDefault="00800862">
      <w:pPr>
        <w:keepNext/>
        <w:rPr>
          <w:i/>
        </w:rPr>
      </w:pPr>
      <w:r>
        <w:rPr>
          <w:i/>
        </w:rPr>
        <w:t>Пациенти, повлияващи се от индукция с устекинумаб на седмица 16</w:t>
      </w:r>
    </w:p>
    <w:p w14:paraId="109AD2DB" w14:textId="4DCF950F" w:rsidR="009B3384" w:rsidRDefault="00800862">
      <w:r>
        <w:t>На пациентите, лекувани с устекинумаб, които не са получили отговор на седмица 8 в UNIFI-I, е приложен 90 mg устекинумаб s.c. на седмица 8 (36% от пациентите). От тях 9% от пациентите, които първоначално са рандомизирани за получаване на препоръчителната индукционна доза, постигат клинична ремисия, а 58% постигат клиничен отговор на седмица 16.</w:t>
      </w:r>
    </w:p>
    <w:p w14:paraId="109AD2DC" w14:textId="77777777" w:rsidR="009B3384" w:rsidRDefault="009B3384"/>
    <w:p w14:paraId="109AD2DD" w14:textId="77777777" w:rsidR="009B3384" w:rsidRDefault="00800862">
      <w:pPr>
        <w:rPr>
          <w:szCs w:val="22"/>
        </w:rPr>
      </w:pPr>
      <w:r>
        <w:rPr>
          <w:szCs w:val="22"/>
        </w:rPr>
        <w:t xml:space="preserve">Пациентите без клиничен отговор към индукция с </w:t>
      </w:r>
      <w:r>
        <w:t xml:space="preserve">устекинумаб </w:t>
      </w:r>
      <w:r>
        <w:rPr>
          <w:szCs w:val="22"/>
        </w:rPr>
        <w:t>на седмица 8 в проучването UNFI-I, но с отговор на седмица 16 (157 пациенти), са включени в нерандомизираната част на UNIFI-M и са продължили да получават поддържаща доза на всеки 8 седмици; повечето от тези пациенти (62%) поддържат отговора, а 30% постигат ремисия на седмица 44.</w:t>
      </w:r>
    </w:p>
    <w:p w14:paraId="109AD2DE" w14:textId="77777777" w:rsidR="009B3384" w:rsidRDefault="009B3384">
      <w:pPr>
        <w:suppressAutoHyphens w:val="0"/>
      </w:pPr>
    </w:p>
    <w:p w14:paraId="109AD2DF" w14:textId="77777777" w:rsidR="009B3384" w:rsidRDefault="00800862">
      <w:pPr>
        <w:keepNext/>
        <w:suppressAutoHyphens w:val="0"/>
        <w:rPr>
          <w:i/>
        </w:rPr>
      </w:pPr>
      <w:r>
        <w:rPr>
          <w:i/>
        </w:rPr>
        <w:t>Продължение на проучването</w:t>
      </w:r>
    </w:p>
    <w:p w14:paraId="109AD2E0" w14:textId="77777777" w:rsidR="009B3384" w:rsidRDefault="00800862">
      <w:pPr>
        <w:suppressAutoHyphens w:val="0"/>
        <w:rPr>
          <w:szCs w:val="24"/>
        </w:rPr>
      </w:pPr>
      <w:r>
        <w:rPr>
          <w:szCs w:val="24"/>
        </w:rPr>
        <w:t>В UNIFI пациентите, завършили проучването до седмица 44, са подходящи да продължат лечението в продължение на проучването</w:t>
      </w:r>
      <w:r>
        <w:rPr>
          <w:rFonts w:eastAsia="TimesNewRoman"/>
          <w:szCs w:val="24"/>
        </w:rPr>
        <w:t xml:space="preserve">. Сред 400-те пациенти, които са включени на и лекувани с </w:t>
      </w:r>
      <w:r>
        <w:t>устекинумаб</w:t>
      </w:r>
      <w:r>
        <w:rPr>
          <w:rFonts w:eastAsia="TimesNewRoman"/>
          <w:szCs w:val="24"/>
        </w:rPr>
        <w:t xml:space="preserve"> на всеки 12 или 8 седмици в продължението на проучването, симптоматичната ремисия обикновено се запазва до 200-та седмица при пациенти, </w:t>
      </w:r>
      <w:r>
        <w:rPr>
          <w:szCs w:val="22"/>
        </w:rPr>
        <w:t>с неуспешна конвенционална (но не и биологична терапия)</w:t>
      </w:r>
      <w:r>
        <w:rPr>
          <w:rFonts w:eastAsia="TimesNewRoman"/>
          <w:szCs w:val="24"/>
        </w:rPr>
        <w:t xml:space="preserve"> и тези с неуспешна биологична терапия, включително тези с неуспех както с анти-TNF, така и с ведолизумаб</w:t>
      </w:r>
      <w:r>
        <w:rPr>
          <w:szCs w:val="24"/>
        </w:rPr>
        <w:t xml:space="preserve">. Сред пациентите, които са получили 4-годишно лечение с </w:t>
      </w:r>
      <w:r>
        <w:t>устекинумаб</w:t>
      </w:r>
      <w:r>
        <w:rPr>
          <w:szCs w:val="24"/>
        </w:rPr>
        <w:t xml:space="preserve"> и са оценени с помощта на пълния скор по </w:t>
      </w:r>
      <w:r>
        <w:rPr>
          <w:szCs w:val="24"/>
          <w:lang w:val="en-GB"/>
        </w:rPr>
        <w:t>Mayo</w:t>
      </w:r>
      <w:r>
        <w:rPr>
          <w:szCs w:val="24"/>
        </w:rPr>
        <w:t xml:space="preserve"> за поддържане на седмица 200, съответно 74,2% (69/93) и 68,3% (41/60) поддържат заздравяването на лигавицата и клиничната ремисия.</w:t>
      </w:r>
    </w:p>
    <w:p w14:paraId="109AD2E1" w14:textId="77777777" w:rsidR="009B3384" w:rsidRDefault="009B3384">
      <w:pPr>
        <w:suppressAutoHyphens w:val="0"/>
        <w:rPr>
          <w:szCs w:val="24"/>
        </w:rPr>
      </w:pPr>
    </w:p>
    <w:p w14:paraId="109AD2E2" w14:textId="77777777" w:rsidR="009B3384" w:rsidRDefault="00800862">
      <w:pPr>
        <w:suppressAutoHyphens w:val="0"/>
        <w:rPr>
          <w:szCs w:val="24"/>
        </w:rPr>
      </w:pPr>
      <w:r>
        <w:rPr>
          <w:szCs w:val="24"/>
        </w:rPr>
        <w:lastRenderedPageBreak/>
        <w:t>Анализът за безопасност, включващ 457 пациенти (1289,9-пациентогодини), проследени до 220 седмици, показа, че профилът на безопасност между 44 и 220 седмица, е сравним с този, наблюдаван до 44-та седмица.</w:t>
      </w:r>
    </w:p>
    <w:p w14:paraId="109AD2E3" w14:textId="77777777" w:rsidR="009B3384" w:rsidRDefault="009B3384">
      <w:pPr>
        <w:suppressAutoHyphens w:val="0"/>
        <w:rPr>
          <w:szCs w:val="24"/>
        </w:rPr>
      </w:pPr>
    </w:p>
    <w:p w14:paraId="109AD2E4" w14:textId="77777777" w:rsidR="009B3384" w:rsidRDefault="00800862">
      <w:r>
        <w:t>Не са установени нови съображения за безопасност при това продължение на проучването при пациенти с улцерозен колит, лекувани до 4 години.</w:t>
      </w:r>
    </w:p>
    <w:p w14:paraId="109AD2E5" w14:textId="77777777" w:rsidR="009B3384" w:rsidRDefault="009B3384"/>
    <w:p w14:paraId="109AD2E6" w14:textId="77777777" w:rsidR="009B3384" w:rsidRDefault="00800862">
      <w:pPr>
        <w:keepNext/>
        <w:rPr>
          <w:i/>
        </w:rPr>
      </w:pPr>
      <w:r>
        <w:rPr>
          <w:i/>
        </w:rPr>
        <w:t>Ендоскопско нормализиране</w:t>
      </w:r>
    </w:p>
    <w:p w14:paraId="109AD2E7" w14:textId="72DB96A2" w:rsidR="009B3384" w:rsidRDefault="00800862">
      <w:r>
        <w:t xml:space="preserve">Ендоскопското нормализиране е определено като ендоскопски </w:t>
      </w:r>
      <w:r w:rsidR="00EA3FF7">
        <w:t>подскор</w:t>
      </w:r>
      <w:r>
        <w:t xml:space="preserve"> по Mayo 0 и е наблюдавано още на седмица 8 в UNIFI-I. На седмица 44 от UNIFI-M то се постига при 24% и 29% от пациентите, лекувани с устекинумаб съответно на всеки 12 или 8 седмици, в сравнение с 18% от пациентите в групата с плацебо.</w:t>
      </w:r>
    </w:p>
    <w:p w14:paraId="109AD2E8" w14:textId="77777777" w:rsidR="009B3384" w:rsidRDefault="009B3384"/>
    <w:p w14:paraId="109AD2E9" w14:textId="77777777" w:rsidR="009B3384" w:rsidRDefault="00800862">
      <w:pPr>
        <w:keepNext/>
        <w:rPr>
          <w:i/>
        </w:rPr>
      </w:pPr>
      <w:r>
        <w:rPr>
          <w:i/>
        </w:rPr>
        <w:t>Хистологично и хисто-ендоскопско лигавично оздравяване</w:t>
      </w:r>
    </w:p>
    <w:p w14:paraId="109AD2EA" w14:textId="3146FA8E" w:rsidR="009B3384" w:rsidRDefault="00800862">
      <w:r>
        <w:t>Хистологичното оздравяване (определено като неутрофилна инфилтрация в &lt; 5% от криптите, без разрушаване на криптите и без ерозии, улцерации или гранулационна тъкан) е оценявано на седмица 8 в UNIFI-I и на седмица 44 в UNIFI-M. На седмица 8, след еднократна интравенозна индукционна доза, значимо по-голям процент пациенти в групата с препоръчителната доза постигат хистологично оздравяване (36%) в сравнение с пациентите в групата с плацебо (22%). На седмица 44 поддържане на този ефект се наблюдава при значимо повече пациенти с хистологично оздравяване в групите с устекинумаб на всяка12-та седмица (54%) и на всяка 8-ма седмица (59%) в сравнение с плацебо (33%).</w:t>
      </w:r>
    </w:p>
    <w:p w14:paraId="109AD2EB" w14:textId="77777777" w:rsidR="009B3384" w:rsidRDefault="009B3384"/>
    <w:p w14:paraId="109AD2EC" w14:textId="77777777" w:rsidR="009B3384" w:rsidRDefault="00800862">
      <w:r>
        <w:t>Комбинирана крайна точка – хисто-ендоскопско лигавично оздравяване, определено като участници с едновременно лигавично и хистологично оздравяване, е оценена на седмица 8 в UNIFI-I и на седмица 44 в UNIFI-M. Пациентите, получавали устекинумаб в препоръчителната доза, показват значимо подобрение на крайната точка, хисто-ендоскопско лигавично оздравяване на седмица 8, в групата с устекинумаб (18%) в сравнение с групата с плацебо (9%). На седмица 44 поддържане на този ефект се наблюдава при значимо повече пациенти с хисто-ендоскопско лигавично оздравяване в групите с устекинумаб на всяка 12-та седмица (39%) и на всяка 8-ма седмица (46%) в сравнение с плацебо (24%).</w:t>
      </w:r>
    </w:p>
    <w:p w14:paraId="109AD2ED" w14:textId="77777777" w:rsidR="009B3384" w:rsidRDefault="009B3384"/>
    <w:p w14:paraId="109AD2EE" w14:textId="77777777" w:rsidR="009B3384" w:rsidRDefault="00800862">
      <w:pPr>
        <w:keepNext/>
        <w:rPr>
          <w:szCs w:val="24"/>
        </w:rPr>
      </w:pPr>
      <w:r>
        <w:rPr>
          <w:i/>
          <w:szCs w:val="22"/>
        </w:rPr>
        <w:t>Качество на живот, свързано със здравето</w:t>
      </w:r>
    </w:p>
    <w:p w14:paraId="109AD2EF" w14:textId="77777777" w:rsidR="009B3384" w:rsidRDefault="00800862">
      <w:pPr>
        <w:rPr>
          <w:szCs w:val="22"/>
        </w:rPr>
      </w:pPr>
      <w:r>
        <w:rPr>
          <w:szCs w:val="24"/>
        </w:rPr>
        <w:t xml:space="preserve">Качеството на живот, свързано със здравето, е оценявано чрез </w:t>
      </w:r>
      <w:r>
        <w:rPr>
          <w:iCs/>
        </w:rPr>
        <w:t>Въпросник при възпалителни заболявания на червата (</w:t>
      </w:r>
      <w:r>
        <w:rPr>
          <w:szCs w:val="24"/>
        </w:rPr>
        <w:t xml:space="preserve">Inflammatory Bowel Disease Questionnaire, IBDQ) и въпросниците SF-36 и </w:t>
      </w:r>
      <w:proofErr w:type="spellStart"/>
      <w:r>
        <w:rPr>
          <w:szCs w:val="24"/>
          <w:lang w:val="en-US"/>
        </w:rPr>
        <w:t>EuroQoL</w:t>
      </w:r>
      <w:proofErr w:type="spellEnd"/>
      <w:r>
        <w:rPr>
          <w:szCs w:val="24"/>
        </w:rPr>
        <w:t>-5</w:t>
      </w:r>
      <w:r>
        <w:rPr>
          <w:szCs w:val="24"/>
          <w:lang w:val="en-US"/>
        </w:rPr>
        <w:t>D</w:t>
      </w:r>
      <w:r>
        <w:rPr>
          <w:szCs w:val="24"/>
        </w:rPr>
        <w:t xml:space="preserve"> (</w:t>
      </w:r>
      <w:r>
        <w:rPr>
          <w:szCs w:val="24"/>
          <w:lang w:val="en-US"/>
        </w:rPr>
        <w:t>EQ</w:t>
      </w:r>
      <w:r>
        <w:rPr>
          <w:szCs w:val="24"/>
        </w:rPr>
        <w:t>-5</w:t>
      </w:r>
      <w:r>
        <w:rPr>
          <w:szCs w:val="24"/>
          <w:lang w:val="en-US"/>
        </w:rPr>
        <w:t>D</w:t>
      </w:r>
      <w:r>
        <w:rPr>
          <w:szCs w:val="24"/>
        </w:rPr>
        <w:t>).</w:t>
      </w:r>
    </w:p>
    <w:p w14:paraId="109AD2F0" w14:textId="77777777" w:rsidR="009B3384" w:rsidRDefault="009B3384">
      <w:pPr>
        <w:rPr>
          <w:szCs w:val="22"/>
          <w:highlight w:val="green"/>
        </w:rPr>
      </w:pPr>
    </w:p>
    <w:p w14:paraId="109AD2F1" w14:textId="77777777" w:rsidR="009B3384" w:rsidRDefault="00800862">
      <w:pPr>
        <w:rPr>
          <w:szCs w:val="22"/>
        </w:rPr>
      </w:pPr>
      <w:r>
        <w:rPr>
          <w:szCs w:val="22"/>
        </w:rPr>
        <w:t xml:space="preserve">На седмица 8 в UNIFI-I пациентите, получавали </w:t>
      </w:r>
      <w:r>
        <w:t xml:space="preserve">устекинумаб, </w:t>
      </w:r>
      <w:r>
        <w:rPr>
          <w:szCs w:val="22"/>
        </w:rPr>
        <w:t xml:space="preserve">показват значимо по-голямо и клинично значимо подобрение на общия IBDQ скор, </w:t>
      </w:r>
      <w:r>
        <w:rPr>
          <w:szCs w:val="22"/>
          <w:lang w:val="en-US"/>
        </w:rPr>
        <w:t>EQ</w:t>
      </w:r>
      <w:r>
        <w:rPr>
          <w:szCs w:val="22"/>
        </w:rPr>
        <w:t>-5</w:t>
      </w:r>
      <w:r>
        <w:rPr>
          <w:szCs w:val="22"/>
          <w:lang w:val="en-US"/>
        </w:rPr>
        <w:t>D</w:t>
      </w:r>
      <w:r>
        <w:rPr>
          <w:szCs w:val="22"/>
        </w:rPr>
        <w:t xml:space="preserve"> и </w:t>
      </w:r>
      <w:r>
        <w:rPr>
          <w:szCs w:val="22"/>
          <w:lang w:val="en-US"/>
        </w:rPr>
        <w:t>EQ</w:t>
      </w:r>
      <w:r>
        <w:rPr>
          <w:szCs w:val="22"/>
        </w:rPr>
        <w:t>-5</w:t>
      </w:r>
      <w:r>
        <w:rPr>
          <w:szCs w:val="22"/>
          <w:lang w:val="en-US"/>
        </w:rPr>
        <w:t>D</w:t>
      </w:r>
      <w:r>
        <w:rPr>
          <w:szCs w:val="22"/>
        </w:rPr>
        <w:t xml:space="preserve"> </w:t>
      </w:r>
      <w:r>
        <w:rPr>
          <w:szCs w:val="22"/>
          <w:lang w:val="en-US"/>
        </w:rPr>
        <w:t>VAS</w:t>
      </w:r>
      <w:r>
        <w:rPr>
          <w:szCs w:val="22"/>
        </w:rPr>
        <w:t xml:space="preserve">, и SF-36 Mental Component Summary Score и SF-36 Physical Component Summary Score в сравнение с плацебо. Това подобрение се поддържа при пациентите, лекувани с </w:t>
      </w:r>
      <w:r>
        <w:t xml:space="preserve">устекинумаб, </w:t>
      </w:r>
      <w:r>
        <w:rPr>
          <w:szCs w:val="22"/>
        </w:rPr>
        <w:t>в UNIFI-M до седмица 44.</w:t>
      </w:r>
      <w:r>
        <w:rPr>
          <w:iCs/>
        </w:rPr>
        <w:t xml:space="preserve"> Подобрението на качеството на живот, измерено с </w:t>
      </w:r>
      <w:r>
        <w:t>IBDQ и SF-36</w:t>
      </w:r>
      <w:r>
        <w:rPr>
          <w:iCs/>
        </w:rPr>
        <w:t>, обикновено се поддържа през цялото продължение до седмица 200.</w:t>
      </w:r>
    </w:p>
    <w:p w14:paraId="109AD2F2" w14:textId="77777777" w:rsidR="009B3384" w:rsidRDefault="009B3384">
      <w:pPr>
        <w:rPr>
          <w:szCs w:val="22"/>
        </w:rPr>
      </w:pPr>
    </w:p>
    <w:p w14:paraId="109AD2F3" w14:textId="77777777" w:rsidR="009B3384" w:rsidRDefault="00800862">
      <w:pPr>
        <w:rPr>
          <w:szCs w:val="22"/>
        </w:rPr>
      </w:pPr>
      <w:r>
        <w:rPr>
          <w:szCs w:val="22"/>
        </w:rPr>
        <w:t xml:space="preserve">Пациентите, получавали </w:t>
      </w:r>
      <w:r>
        <w:t xml:space="preserve">устекинумаб, </w:t>
      </w:r>
      <w:r>
        <w:rPr>
          <w:szCs w:val="22"/>
        </w:rPr>
        <w:t>имат значимо по-голямо подобрение на продуктивността при работа, оценено чрез по-голямо намаляване на общото нарушение на работата и на нарушаването на активността, оценени чрез въпросника WPAI-GH, отколкото пациентите, получавали плацебо.</w:t>
      </w:r>
    </w:p>
    <w:p w14:paraId="109AD2F4" w14:textId="77777777" w:rsidR="009B3384" w:rsidRDefault="009B3384"/>
    <w:p w14:paraId="109AD2F5" w14:textId="77777777" w:rsidR="009B3384" w:rsidRDefault="00800862">
      <w:pPr>
        <w:keepNext/>
        <w:rPr>
          <w:i/>
        </w:rPr>
      </w:pPr>
      <w:r>
        <w:rPr>
          <w:i/>
        </w:rPr>
        <w:t>Хоспитализации и операции, свързани с улцерозен колит (УК)</w:t>
      </w:r>
    </w:p>
    <w:p w14:paraId="109AD2F6" w14:textId="77777777" w:rsidR="009B3384" w:rsidRDefault="00800862">
      <w:r>
        <w:t>До седмица 8 в UNIFI-I процентът на участниците с хоспитализации, свързани с УК, е значимо по-нисък при участниците в групата с препоръчителната доза устекинумаб (1,6%, 5/322) в сравнение с участниците в групата с плацебо (4,4%, 14/319), като никой от участниците, получавали устекинумаб в препоръчителната индукционна доза, не е подложен на операция, свързана с УК, в сравнение с 0,6% (2/319) от участниците в групата с плацебо.</w:t>
      </w:r>
    </w:p>
    <w:p w14:paraId="109AD2F7" w14:textId="77777777" w:rsidR="009B3384" w:rsidRDefault="009B3384"/>
    <w:p w14:paraId="109AD2F8" w14:textId="77777777" w:rsidR="009B3384" w:rsidRDefault="00800862">
      <w:r>
        <w:lastRenderedPageBreak/>
        <w:t>До седмица 44 в UNIFI-M значимо по-нисък брой хоспитализации, свързани с УК, е наблюдаван при участниците в комбинираната група с устекинумаб (2,0%, 7/348) в сравнение с участниците в групата с плацебо (5,7%, 10/175). Числено по-малък брой участници в групата с устекинумаб (0,6%, 2/348) са подложени на операция, свързана с УК, в сравнение с участниците в групата с плацебо (1,7%, 3/175) до седмица 44.</w:t>
      </w:r>
    </w:p>
    <w:p w14:paraId="109AD2F9" w14:textId="77777777" w:rsidR="009B3384" w:rsidRDefault="009B3384"/>
    <w:p w14:paraId="109AD2FA" w14:textId="77777777" w:rsidR="009B3384" w:rsidRDefault="00800862">
      <w:pPr>
        <w:keepNext/>
        <w:tabs>
          <w:tab w:val="clear" w:pos="567"/>
        </w:tabs>
        <w:rPr>
          <w:bCs/>
        </w:rPr>
      </w:pPr>
      <w:r>
        <w:rPr>
          <w:bCs/>
          <w:u w:val="single"/>
        </w:rPr>
        <w:t>Имуногенност</w:t>
      </w:r>
    </w:p>
    <w:p w14:paraId="109AD2FB" w14:textId="77777777" w:rsidR="009B3384" w:rsidRDefault="00800862">
      <w:r>
        <w:rPr>
          <w:bCs/>
        </w:rPr>
        <w:t xml:space="preserve">По време на лечение с устекинумаб могат да се развият антитела срещу устекинумаб и повечето от тях са неутрализиращи. Образуването на антитела срещу устекинумаб е свързано с повишен клирънс на устекинумаб при пациенти с болест на </w:t>
      </w:r>
      <w:r>
        <w:rPr>
          <w:bCs/>
          <w:lang w:val="en-GB"/>
        </w:rPr>
        <w:t>Crohn</w:t>
      </w:r>
      <w:r>
        <w:rPr>
          <w:bCs/>
        </w:rPr>
        <w:t xml:space="preserve"> или улцерозен колит. Не е наблюдавана намалена ефикасност. Не се наблюдава очевидна зависимост между наличието на антитела срещу устекинумаб и появата на реакции на мястото на инжектиране.</w:t>
      </w:r>
    </w:p>
    <w:p w14:paraId="109AD2FC" w14:textId="77777777" w:rsidR="009B3384" w:rsidRDefault="009B3384">
      <w:pPr>
        <w:rPr>
          <w:szCs w:val="24"/>
        </w:rPr>
      </w:pPr>
    </w:p>
    <w:p w14:paraId="109AD2FF" w14:textId="77777777" w:rsidR="009B3384" w:rsidRDefault="00800862">
      <w:pPr>
        <w:keepNext/>
        <w:rPr>
          <w:i/>
        </w:rPr>
      </w:pPr>
      <w:r>
        <w:rPr>
          <w:i/>
          <w:u w:val="single"/>
        </w:rPr>
        <w:t>Плаков псориазис при деца</w:t>
      </w:r>
    </w:p>
    <w:p w14:paraId="109AD300" w14:textId="77777777" w:rsidR="009B3384" w:rsidRDefault="00800862">
      <w:r>
        <w:t>Доказано е, че устекинумаб подобрява признаците и симптомите и свързаното със здравето качество на живот при педиатрични пациенти на 6 години и по-големи с плаков псориазис.</w:t>
      </w:r>
    </w:p>
    <w:p w14:paraId="109AD301" w14:textId="77777777" w:rsidR="009B3384" w:rsidRDefault="009B3384"/>
    <w:p w14:paraId="109AD302" w14:textId="77777777" w:rsidR="009B3384" w:rsidRDefault="00800862">
      <w:pPr>
        <w:keepNext/>
        <w:rPr>
          <w:i/>
        </w:rPr>
      </w:pPr>
      <w:r>
        <w:rPr>
          <w:i/>
        </w:rPr>
        <w:t>Пациенти в юношеска възраст (12-17</w:t>
      </w:r>
      <w:r>
        <w:rPr>
          <w:i/>
          <w:lang w:val="en-AU"/>
        </w:rPr>
        <w:t> </w:t>
      </w:r>
      <w:r>
        <w:rPr>
          <w:i/>
        </w:rPr>
        <w:t>години)</w:t>
      </w:r>
    </w:p>
    <w:p w14:paraId="109AD303" w14:textId="214CD979" w:rsidR="009B3384" w:rsidRDefault="00800862">
      <w:r>
        <w:t>Ефикасността на устекинумаб е проучена при 110 педиатрични пациенти на възраст от 12 до 17 години с умерен до тежък плаков псориазис в многоцентрово, рандомизирано, двойно-сляпо, плацебо-контролирано проучване фаза 3 (</w:t>
      </w:r>
      <w:r>
        <w:rPr>
          <w:lang w:val="en-US"/>
        </w:rPr>
        <w:t>CADMUS</w:t>
      </w:r>
      <w:r>
        <w:t>). Пациентите са рандомизирани да получават плацебо (</w:t>
      </w:r>
      <w:r>
        <w:rPr>
          <w:lang w:val="en-US"/>
        </w:rPr>
        <w:t>n</w:t>
      </w:r>
      <w:r>
        <w:t xml:space="preserve"> = 37), препоръчителната доза устекинумаб (вж. точка 4.2; </w:t>
      </w:r>
      <w:r>
        <w:rPr>
          <w:lang w:val="en-US"/>
        </w:rPr>
        <w:t>n</w:t>
      </w:r>
      <w:r>
        <w:t> = 36) или половината от препоръчителната доза устекинумаб (</w:t>
      </w:r>
      <w:r>
        <w:rPr>
          <w:lang w:val="en-US"/>
        </w:rPr>
        <w:t>n</w:t>
      </w:r>
      <w:r>
        <w:t> = 37) чрез подкожно инжектиране на седмици 0 и 4, след това прилагане на всеки 12 седмици (</w:t>
      </w:r>
      <w:r>
        <w:rPr>
          <w:lang w:val="en-US"/>
        </w:rPr>
        <w:t>q</w:t>
      </w:r>
      <w:r>
        <w:t>12</w:t>
      </w:r>
      <w:r>
        <w:rPr>
          <w:lang w:val="en-US"/>
        </w:rPr>
        <w:t>w</w:t>
      </w:r>
      <w:r>
        <w:t>). На седмица 12 пациентите, лекувани с плацебо, са преминали на лечение с устекинумаб.</w:t>
      </w:r>
    </w:p>
    <w:p w14:paraId="109AD304" w14:textId="77777777" w:rsidR="009B3384" w:rsidRDefault="009B3384"/>
    <w:p w14:paraId="109AD305" w14:textId="77777777" w:rsidR="009B3384" w:rsidRDefault="00800862">
      <w:r>
        <w:t xml:space="preserve">Пациенти с </w:t>
      </w:r>
      <w:r>
        <w:rPr>
          <w:lang w:val="en-US"/>
        </w:rPr>
        <w:t>PASI</w:t>
      </w:r>
      <w:r>
        <w:t xml:space="preserve"> ≥ 12, </w:t>
      </w:r>
      <w:r>
        <w:rPr>
          <w:lang w:val="en-US"/>
        </w:rPr>
        <w:t>PGA</w:t>
      </w:r>
      <w:r>
        <w:t> ≥ 3 и засегната BSA поне 10%, които са кандидати за системна терапия или фототерапия, отговарят на условията на проучването. Приблизително 60% от пациентите са били подложени на предшестваща конвенционална системна терапия или фототерапия. Приблизително 11% от пациентите имат предшестваща терапия с биологични средства.</w:t>
      </w:r>
    </w:p>
    <w:p w14:paraId="109AD306" w14:textId="77777777" w:rsidR="009B3384" w:rsidRDefault="009B3384"/>
    <w:p w14:paraId="109AD307" w14:textId="1B92AA32" w:rsidR="009B3384" w:rsidRDefault="00800862">
      <w:r>
        <w:rPr>
          <w:iCs/>
        </w:rPr>
        <w:t xml:space="preserve">Първичната крайна точка е съотношението на пациентите, които са достигнали </w:t>
      </w:r>
      <w:r>
        <w:rPr>
          <w:iCs/>
          <w:lang w:val="en-US"/>
        </w:rPr>
        <w:t>PG</w:t>
      </w:r>
      <w:r>
        <w:rPr>
          <w:iCs/>
        </w:rPr>
        <w:t xml:space="preserve">А оценка на изчистени (0) или минимални (1) плаки на седмица 12. Вторичните крайни точки включват </w:t>
      </w:r>
      <w:r>
        <w:rPr>
          <w:iCs/>
          <w:lang w:val="en-US"/>
        </w:rPr>
        <w:t>PASI </w:t>
      </w:r>
      <w:r>
        <w:rPr>
          <w:iCs/>
        </w:rPr>
        <w:t xml:space="preserve">75, </w:t>
      </w:r>
      <w:r>
        <w:rPr>
          <w:iCs/>
          <w:lang w:val="en-US"/>
        </w:rPr>
        <w:t>PASI </w:t>
      </w:r>
      <w:r>
        <w:rPr>
          <w:iCs/>
        </w:rPr>
        <w:t>90, промяна спрямо изходното ниво на Дерматологичен индекс за качество на живот при деца (</w:t>
      </w:r>
      <w:r>
        <w:t>Children’s Dermatology Life Quality Index, CDLQI), промяна спрямо изходното ниво на общата оценка по скалата на Въпросник за качество на живот при деца (Paediatric Quality of Life Inventory, PedsQL) на седмица 12. На седмица 12 пациентите, лекувани с устекинумаб, показват значимо по-голямо подобрение на псориазиса и свързаното със здравето качество на живот в сравнение с плацебо (таблица 12).</w:t>
      </w:r>
    </w:p>
    <w:p w14:paraId="109AD308" w14:textId="77777777" w:rsidR="009B3384" w:rsidRDefault="009B3384"/>
    <w:p w14:paraId="109AD309" w14:textId="2ACC2F80" w:rsidR="009B3384" w:rsidRDefault="00800862">
      <w:pPr>
        <w:rPr>
          <w:iCs/>
        </w:rPr>
      </w:pPr>
      <w:r>
        <w:t xml:space="preserve">Всички пациенти са проследявани за ефикасност до 52 седмици след първото приложение на изпитвания лекарствен продукт. Процентът на пациентите с </w:t>
      </w:r>
      <w:r>
        <w:rPr>
          <w:iCs/>
          <w:lang w:val="en-US"/>
        </w:rPr>
        <w:t>PG</w:t>
      </w:r>
      <w:r>
        <w:rPr>
          <w:iCs/>
        </w:rPr>
        <w:t xml:space="preserve">А оценка на изчистени (0) или минимални (1) плаки и </w:t>
      </w:r>
      <w:r>
        <w:t>процентът на постигналите</w:t>
      </w:r>
      <w:r>
        <w:rPr>
          <w:iCs/>
        </w:rPr>
        <w:t xml:space="preserve"> PASI 75 показва разлика между групата, лекувана с устекинумаб, и групата с плацебо на първата визита на седмица 4 след изходното ниво, достигайки максимум до седмица 12. Подобренията в </w:t>
      </w:r>
      <w:r>
        <w:rPr>
          <w:iCs/>
          <w:lang w:val="en-US"/>
        </w:rPr>
        <w:t>PGA</w:t>
      </w:r>
      <w:r>
        <w:rPr>
          <w:iCs/>
        </w:rPr>
        <w:t xml:space="preserve">, </w:t>
      </w:r>
      <w:r>
        <w:rPr>
          <w:iCs/>
          <w:lang w:val="en-US"/>
        </w:rPr>
        <w:t>PASI</w:t>
      </w:r>
      <w:r>
        <w:rPr>
          <w:iCs/>
        </w:rPr>
        <w:t xml:space="preserve">, </w:t>
      </w:r>
      <w:r>
        <w:rPr>
          <w:iCs/>
          <w:lang w:val="en-US"/>
        </w:rPr>
        <w:t>CDLQI</w:t>
      </w:r>
      <w:r>
        <w:rPr>
          <w:iCs/>
        </w:rPr>
        <w:t xml:space="preserve"> и </w:t>
      </w:r>
      <w:proofErr w:type="spellStart"/>
      <w:r>
        <w:rPr>
          <w:iCs/>
          <w:lang w:val="en-US"/>
        </w:rPr>
        <w:t>PedsQL</w:t>
      </w:r>
      <w:proofErr w:type="spellEnd"/>
      <w:r>
        <w:rPr>
          <w:iCs/>
        </w:rPr>
        <w:t xml:space="preserve"> се поддържат до седмица 52 (таблица 12).</w:t>
      </w:r>
    </w:p>
    <w:p w14:paraId="109AD30A" w14:textId="77777777" w:rsidR="009B3384" w:rsidRDefault="009B3384">
      <w:pPr>
        <w:rPr>
          <w:iCs/>
        </w:rPr>
      </w:pPr>
    </w:p>
    <w:p w14:paraId="109AD30B" w14:textId="49C2E41D" w:rsidR="009B3384" w:rsidRDefault="00800862">
      <w:pPr>
        <w:keepNext/>
        <w:ind w:left="1134" w:hanging="1134"/>
        <w:rPr>
          <w:i/>
          <w:iCs/>
        </w:rPr>
      </w:pPr>
      <w:r>
        <w:rPr>
          <w:i/>
          <w:iCs/>
        </w:rPr>
        <w:t>Таблица 12:</w:t>
      </w:r>
      <w:r>
        <w:rPr>
          <w:i/>
          <w:iCs/>
        </w:rPr>
        <w:tab/>
        <w:t>Обобщение на първичните и вторичните крайни точки на седмица 12 и седмица 52</w:t>
      </w:r>
    </w:p>
    <w:tbl>
      <w:tblPr>
        <w:tblW w:w="9072" w:type="dxa"/>
        <w:jc w:val="center"/>
        <w:tblLayout w:type="fixed"/>
        <w:tblLook w:val="0000" w:firstRow="0" w:lastRow="0" w:firstColumn="0" w:lastColumn="0" w:noHBand="0" w:noVBand="0"/>
      </w:tblPr>
      <w:tblGrid>
        <w:gridCol w:w="2791"/>
        <w:gridCol w:w="2094"/>
        <w:gridCol w:w="2087"/>
        <w:gridCol w:w="7"/>
        <w:gridCol w:w="2093"/>
      </w:tblGrid>
      <w:tr w:rsidR="009B3384" w14:paraId="109AD30D" w14:textId="77777777">
        <w:trPr>
          <w:cantSplit/>
          <w:jc w:val="center"/>
        </w:trPr>
        <w:tc>
          <w:tcPr>
            <w:tcW w:w="9071" w:type="dxa"/>
            <w:gridSpan w:val="5"/>
            <w:tcBorders>
              <w:top w:val="single" w:sz="4" w:space="0" w:color="000000"/>
              <w:left w:val="single" w:sz="4" w:space="0" w:color="000000"/>
              <w:bottom w:val="single" w:sz="4" w:space="0" w:color="000000"/>
              <w:right w:val="single" w:sz="4" w:space="0" w:color="000000"/>
            </w:tcBorders>
            <w:vAlign w:val="bottom"/>
          </w:tcPr>
          <w:p w14:paraId="109AD30C" w14:textId="77777777" w:rsidR="009B3384" w:rsidRDefault="00800862">
            <w:pPr>
              <w:keepNext/>
              <w:widowControl w:val="0"/>
              <w:jc w:val="center"/>
              <w:rPr>
                <w:b/>
                <w:bCs/>
                <w:szCs w:val="24"/>
              </w:rPr>
            </w:pPr>
            <w:r>
              <w:rPr>
                <w:b/>
                <w:bCs/>
                <w:szCs w:val="24"/>
              </w:rPr>
              <w:t xml:space="preserve">Педиатрично проучване при псориазис </w:t>
            </w:r>
            <w:r>
              <w:rPr>
                <w:b/>
                <w:szCs w:val="24"/>
                <w:u w:val="single"/>
              </w:rPr>
              <w:t>(CADMUS) (Възраст 12-17</w:t>
            </w:r>
            <w:r>
              <w:rPr>
                <w:b/>
                <w:szCs w:val="24"/>
                <w:u w:val="single"/>
                <w:lang w:val="en-US"/>
              </w:rPr>
              <w:t> </w:t>
            </w:r>
            <w:r>
              <w:rPr>
                <w:b/>
                <w:szCs w:val="24"/>
                <w:u w:val="single"/>
              </w:rPr>
              <w:t>г.)</w:t>
            </w:r>
          </w:p>
        </w:tc>
      </w:tr>
      <w:tr w:rsidR="009B3384" w14:paraId="109AD311" w14:textId="77777777">
        <w:trPr>
          <w:cantSplit/>
          <w:jc w:val="center"/>
        </w:trPr>
        <w:tc>
          <w:tcPr>
            <w:tcW w:w="2790" w:type="dxa"/>
            <w:vMerge w:val="restart"/>
            <w:tcBorders>
              <w:top w:val="single" w:sz="4" w:space="0" w:color="000000"/>
              <w:left w:val="single" w:sz="4" w:space="0" w:color="000000"/>
              <w:bottom w:val="single" w:sz="4" w:space="0" w:color="000000"/>
              <w:right w:val="single" w:sz="4" w:space="0" w:color="000000"/>
            </w:tcBorders>
            <w:vAlign w:val="bottom"/>
          </w:tcPr>
          <w:p w14:paraId="109AD30E" w14:textId="77777777" w:rsidR="009B3384" w:rsidRDefault="009B3384">
            <w:pPr>
              <w:keepNext/>
              <w:widowControl w:val="0"/>
            </w:pPr>
          </w:p>
        </w:tc>
        <w:tc>
          <w:tcPr>
            <w:tcW w:w="4181" w:type="dxa"/>
            <w:gridSpan w:val="2"/>
            <w:tcBorders>
              <w:top w:val="single" w:sz="4" w:space="0" w:color="000000"/>
              <w:left w:val="single" w:sz="4" w:space="0" w:color="000000"/>
              <w:bottom w:val="single" w:sz="4" w:space="0" w:color="000000"/>
              <w:right w:val="single" w:sz="4" w:space="0" w:color="000000"/>
            </w:tcBorders>
            <w:vAlign w:val="center"/>
          </w:tcPr>
          <w:p w14:paraId="109AD30F" w14:textId="77777777" w:rsidR="009B3384" w:rsidRDefault="00800862">
            <w:pPr>
              <w:keepNext/>
              <w:keepLines/>
              <w:widowControl w:val="0"/>
              <w:jc w:val="center"/>
              <w:rPr>
                <w:b/>
                <w:szCs w:val="24"/>
              </w:rPr>
            </w:pPr>
            <w:r>
              <w:rPr>
                <w:b/>
                <w:szCs w:val="24"/>
              </w:rPr>
              <w:t>Седмица 12</w:t>
            </w:r>
          </w:p>
        </w:tc>
        <w:tc>
          <w:tcPr>
            <w:tcW w:w="2100" w:type="dxa"/>
            <w:gridSpan w:val="2"/>
            <w:tcBorders>
              <w:top w:val="single" w:sz="4" w:space="0" w:color="000000"/>
              <w:left w:val="single" w:sz="4" w:space="0" w:color="000000"/>
              <w:bottom w:val="single" w:sz="4" w:space="0" w:color="000000"/>
              <w:right w:val="single" w:sz="4" w:space="0" w:color="000000"/>
            </w:tcBorders>
            <w:vAlign w:val="center"/>
          </w:tcPr>
          <w:p w14:paraId="109AD310" w14:textId="77777777" w:rsidR="009B3384" w:rsidRDefault="00800862">
            <w:pPr>
              <w:keepNext/>
              <w:keepLines/>
              <w:widowControl w:val="0"/>
              <w:jc w:val="center"/>
              <w:rPr>
                <w:b/>
                <w:szCs w:val="24"/>
              </w:rPr>
            </w:pPr>
            <w:r>
              <w:rPr>
                <w:b/>
                <w:szCs w:val="24"/>
              </w:rPr>
              <w:t>Седмица 52</w:t>
            </w:r>
          </w:p>
        </w:tc>
      </w:tr>
      <w:tr w:rsidR="009B3384" w14:paraId="109AD316" w14:textId="77777777">
        <w:trPr>
          <w:cantSplit/>
          <w:jc w:val="center"/>
        </w:trPr>
        <w:tc>
          <w:tcPr>
            <w:tcW w:w="2790" w:type="dxa"/>
            <w:vMerge/>
            <w:tcBorders>
              <w:left w:val="single" w:sz="4" w:space="0" w:color="000000"/>
              <w:right w:val="single" w:sz="4" w:space="0" w:color="000000"/>
            </w:tcBorders>
            <w:vAlign w:val="bottom"/>
          </w:tcPr>
          <w:p w14:paraId="109AD312" w14:textId="77777777" w:rsidR="009B3384" w:rsidRDefault="009B3384">
            <w:pPr>
              <w:keepNext/>
              <w:widowControl w:val="0"/>
            </w:pPr>
          </w:p>
        </w:tc>
        <w:tc>
          <w:tcPr>
            <w:tcW w:w="2094" w:type="dxa"/>
            <w:tcBorders>
              <w:top w:val="single" w:sz="4" w:space="0" w:color="000000"/>
              <w:left w:val="single" w:sz="4" w:space="0" w:color="000000"/>
              <w:bottom w:val="single" w:sz="4" w:space="0" w:color="000000"/>
              <w:right w:val="single" w:sz="4" w:space="0" w:color="000000"/>
            </w:tcBorders>
            <w:vAlign w:val="center"/>
          </w:tcPr>
          <w:p w14:paraId="109AD313" w14:textId="77777777" w:rsidR="009B3384" w:rsidRDefault="00800862">
            <w:pPr>
              <w:keepNext/>
              <w:keepLines/>
              <w:widowControl w:val="0"/>
              <w:jc w:val="center"/>
              <w:rPr>
                <w:szCs w:val="24"/>
              </w:rPr>
            </w:pPr>
            <w:r>
              <w:rPr>
                <w:szCs w:val="24"/>
              </w:rPr>
              <w:t>Плацебо</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14" w14:textId="77777777" w:rsidR="009B3384" w:rsidRDefault="00800862">
            <w:pPr>
              <w:keepNext/>
              <w:keepLines/>
              <w:widowControl w:val="0"/>
              <w:jc w:val="center"/>
              <w:rPr>
                <w:szCs w:val="24"/>
              </w:rPr>
            </w:pPr>
            <w:r>
              <w:rPr>
                <w:szCs w:val="24"/>
              </w:rPr>
              <w:t>Препоръчителна доза устекинумаб</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15" w14:textId="77777777" w:rsidR="009B3384" w:rsidRDefault="00800862">
            <w:pPr>
              <w:keepNext/>
              <w:keepLines/>
              <w:widowControl w:val="0"/>
              <w:jc w:val="center"/>
              <w:rPr>
                <w:szCs w:val="24"/>
              </w:rPr>
            </w:pPr>
            <w:r>
              <w:rPr>
                <w:szCs w:val="24"/>
              </w:rPr>
              <w:t>Препоръчителна доза устекинумаб</w:t>
            </w:r>
          </w:p>
        </w:tc>
      </w:tr>
      <w:tr w:rsidR="009B3384" w14:paraId="109AD31B" w14:textId="77777777">
        <w:trPr>
          <w:cantSplit/>
          <w:jc w:val="center"/>
        </w:trPr>
        <w:tc>
          <w:tcPr>
            <w:tcW w:w="2790" w:type="dxa"/>
            <w:vMerge/>
            <w:tcBorders>
              <w:left w:val="single" w:sz="4" w:space="0" w:color="000000"/>
              <w:bottom w:val="single" w:sz="4" w:space="0" w:color="000000"/>
              <w:right w:val="single" w:sz="4" w:space="0" w:color="000000"/>
            </w:tcBorders>
            <w:vAlign w:val="bottom"/>
          </w:tcPr>
          <w:p w14:paraId="109AD317" w14:textId="77777777" w:rsidR="009B3384" w:rsidRDefault="009B3384">
            <w:pPr>
              <w:keepNext/>
              <w:widowControl w:val="0"/>
            </w:pPr>
          </w:p>
        </w:tc>
        <w:tc>
          <w:tcPr>
            <w:tcW w:w="2094" w:type="dxa"/>
            <w:tcBorders>
              <w:top w:val="single" w:sz="4" w:space="0" w:color="000000"/>
              <w:left w:val="single" w:sz="4" w:space="0" w:color="000000"/>
              <w:bottom w:val="single" w:sz="4" w:space="0" w:color="000000"/>
              <w:right w:val="single" w:sz="4" w:space="0" w:color="000000"/>
            </w:tcBorders>
            <w:vAlign w:val="center"/>
          </w:tcPr>
          <w:p w14:paraId="109AD318" w14:textId="77777777" w:rsidR="009B3384" w:rsidRDefault="00800862">
            <w:pPr>
              <w:keepNext/>
              <w:keepLines/>
              <w:widowControl w:val="0"/>
              <w:jc w:val="center"/>
              <w:rPr>
                <w:szCs w:val="24"/>
              </w:rPr>
            </w:pPr>
            <w:r>
              <w:rPr>
                <w:szCs w:val="24"/>
                <w:lang w:val="en-US"/>
              </w:rPr>
              <w:t>N</w:t>
            </w:r>
            <w:r>
              <w:rPr>
                <w:szCs w:val="24"/>
              </w:rPr>
              <w:t xml:space="preserve"> (%)</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19" w14:textId="77777777" w:rsidR="009B3384" w:rsidRDefault="00800862">
            <w:pPr>
              <w:keepNext/>
              <w:keepLines/>
              <w:widowControl w:val="0"/>
              <w:jc w:val="center"/>
              <w:rPr>
                <w:szCs w:val="24"/>
              </w:rPr>
            </w:pPr>
            <w:r>
              <w:rPr>
                <w:szCs w:val="24"/>
                <w:lang w:val="en-US"/>
              </w:rPr>
              <w:t>N</w:t>
            </w:r>
            <w:r>
              <w:rPr>
                <w:szCs w:val="24"/>
              </w:rPr>
              <w:t xml:space="preserve"> (%)</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1A" w14:textId="77777777" w:rsidR="009B3384" w:rsidRDefault="00800862">
            <w:pPr>
              <w:keepNext/>
              <w:keepLines/>
              <w:widowControl w:val="0"/>
              <w:jc w:val="center"/>
              <w:rPr>
                <w:szCs w:val="24"/>
              </w:rPr>
            </w:pPr>
            <w:r>
              <w:rPr>
                <w:szCs w:val="24"/>
                <w:lang w:val="en-US"/>
              </w:rPr>
              <w:t>N</w:t>
            </w:r>
            <w:r>
              <w:rPr>
                <w:szCs w:val="24"/>
              </w:rPr>
              <w:t xml:space="preserve"> (%)</w:t>
            </w:r>
          </w:p>
        </w:tc>
      </w:tr>
      <w:tr w:rsidR="009B3384" w14:paraId="109AD320"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1C" w14:textId="77777777" w:rsidR="009B3384" w:rsidRDefault="00800862">
            <w:pPr>
              <w:widowControl w:val="0"/>
            </w:pPr>
            <w:r>
              <w:t>Рандомизирани пациенти</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1D" w14:textId="77777777" w:rsidR="009B3384" w:rsidRDefault="00800862">
            <w:pPr>
              <w:widowControl w:val="0"/>
              <w:jc w:val="center"/>
              <w:rPr>
                <w:szCs w:val="24"/>
              </w:rPr>
            </w:pPr>
            <w:r>
              <w:rPr>
                <w:szCs w:val="24"/>
              </w:rPr>
              <w:t>37</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1E" w14:textId="77777777" w:rsidR="009B3384" w:rsidRDefault="00800862">
            <w:pPr>
              <w:widowControl w:val="0"/>
              <w:jc w:val="center"/>
              <w:rPr>
                <w:szCs w:val="24"/>
              </w:rPr>
            </w:pPr>
            <w:r>
              <w:rPr>
                <w:szCs w:val="24"/>
              </w:rPr>
              <w:t>36</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1F" w14:textId="77777777" w:rsidR="009B3384" w:rsidRDefault="00800862">
            <w:pPr>
              <w:widowControl w:val="0"/>
              <w:jc w:val="center"/>
              <w:rPr>
                <w:szCs w:val="24"/>
              </w:rPr>
            </w:pPr>
            <w:r>
              <w:rPr>
                <w:szCs w:val="24"/>
              </w:rPr>
              <w:t>35</w:t>
            </w:r>
          </w:p>
        </w:tc>
      </w:tr>
      <w:tr w:rsidR="009B3384" w14:paraId="109AD322" w14:textId="77777777">
        <w:trPr>
          <w:cantSplit/>
          <w:jc w:val="center"/>
        </w:trPr>
        <w:tc>
          <w:tcPr>
            <w:tcW w:w="9071" w:type="dxa"/>
            <w:gridSpan w:val="5"/>
            <w:tcBorders>
              <w:top w:val="single" w:sz="4" w:space="0" w:color="000000"/>
              <w:left w:val="single" w:sz="4" w:space="0" w:color="000000"/>
              <w:bottom w:val="single" w:sz="4" w:space="0" w:color="000000"/>
              <w:right w:val="single" w:sz="4" w:space="0" w:color="000000"/>
            </w:tcBorders>
            <w:vAlign w:val="bottom"/>
          </w:tcPr>
          <w:p w14:paraId="109AD321" w14:textId="77777777" w:rsidR="009B3384" w:rsidRDefault="00800862">
            <w:pPr>
              <w:keepNext/>
              <w:widowControl w:val="0"/>
              <w:rPr>
                <w:b/>
                <w:szCs w:val="24"/>
              </w:rPr>
            </w:pPr>
            <w:r>
              <w:rPr>
                <w:b/>
                <w:szCs w:val="24"/>
              </w:rPr>
              <w:lastRenderedPageBreak/>
              <w:t>PGA</w:t>
            </w:r>
          </w:p>
        </w:tc>
      </w:tr>
      <w:tr w:rsidR="009B3384" w14:paraId="109AD327"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23" w14:textId="77777777" w:rsidR="009B3384" w:rsidRDefault="00800862">
            <w:pPr>
              <w:widowControl w:val="0"/>
              <w:rPr>
                <w:b/>
                <w:szCs w:val="24"/>
              </w:rPr>
            </w:pPr>
            <w:r>
              <w:rPr>
                <w:szCs w:val="24"/>
              </w:rPr>
              <w:t>PGA на изчистени (0) или минимални (1)</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24" w14:textId="77777777" w:rsidR="009B3384" w:rsidRDefault="00800862">
            <w:pPr>
              <w:widowControl w:val="0"/>
              <w:jc w:val="center"/>
              <w:rPr>
                <w:szCs w:val="24"/>
              </w:rPr>
            </w:pPr>
            <w:r>
              <w:rPr>
                <w:szCs w:val="24"/>
              </w:rPr>
              <w:t>2 (5,4%)</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25" w14:textId="77777777" w:rsidR="009B3384" w:rsidRDefault="00800862">
            <w:pPr>
              <w:widowControl w:val="0"/>
              <w:jc w:val="center"/>
              <w:rPr>
                <w:szCs w:val="24"/>
              </w:rPr>
            </w:pPr>
            <w:r>
              <w:rPr>
                <w:szCs w:val="24"/>
              </w:rPr>
              <w:t>25 (69,4%)</w:t>
            </w:r>
            <w:r>
              <w:rPr>
                <w:szCs w:val="24"/>
                <w:vertAlign w:val="superscript"/>
              </w:rPr>
              <w:t>a</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26" w14:textId="77777777" w:rsidR="009B3384" w:rsidRDefault="00800862">
            <w:pPr>
              <w:widowControl w:val="0"/>
              <w:jc w:val="center"/>
              <w:rPr>
                <w:szCs w:val="24"/>
              </w:rPr>
            </w:pPr>
            <w:r>
              <w:rPr>
                <w:szCs w:val="24"/>
              </w:rPr>
              <w:t>20 (57,1%)</w:t>
            </w:r>
          </w:p>
        </w:tc>
      </w:tr>
      <w:tr w:rsidR="009B3384" w14:paraId="109AD32C"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28" w14:textId="77777777" w:rsidR="009B3384" w:rsidRDefault="00800862">
            <w:pPr>
              <w:widowControl w:val="0"/>
              <w:rPr>
                <w:szCs w:val="24"/>
              </w:rPr>
            </w:pPr>
            <w:r>
              <w:rPr>
                <w:szCs w:val="24"/>
              </w:rPr>
              <w:t>PGA на изчистени (0)</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29" w14:textId="77777777" w:rsidR="009B3384" w:rsidRDefault="00800862">
            <w:pPr>
              <w:widowControl w:val="0"/>
              <w:jc w:val="center"/>
              <w:rPr>
                <w:szCs w:val="24"/>
              </w:rPr>
            </w:pPr>
            <w:r>
              <w:rPr>
                <w:szCs w:val="24"/>
              </w:rPr>
              <w:t>1 (2,7%)</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2A" w14:textId="77777777" w:rsidR="009B3384" w:rsidRDefault="00800862">
            <w:pPr>
              <w:widowControl w:val="0"/>
              <w:jc w:val="center"/>
              <w:rPr>
                <w:szCs w:val="24"/>
              </w:rPr>
            </w:pPr>
            <w:r>
              <w:rPr>
                <w:szCs w:val="24"/>
              </w:rPr>
              <w:t>17 (47,2%)</w:t>
            </w:r>
            <w:r>
              <w:rPr>
                <w:szCs w:val="24"/>
                <w:vertAlign w:val="superscript"/>
              </w:rPr>
              <w:t>a</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2B" w14:textId="77777777" w:rsidR="009B3384" w:rsidRDefault="00800862">
            <w:pPr>
              <w:widowControl w:val="0"/>
              <w:jc w:val="center"/>
              <w:rPr>
                <w:szCs w:val="24"/>
              </w:rPr>
            </w:pPr>
            <w:r>
              <w:rPr>
                <w:szCs w:val="24"/>
              </w:rPr>
              <w:t>13 (37,1%)</w:t>
            </w:r>
          </w:p>
        </w:tc>
      </w:tr>
      <w:tr w:rsidR="009B3384" w14:paraId="109AD32E" w14:textId="77777777">
        <w:trPr>
          <w:cantSplit/>
          <w:jc w:val="center"/>
        </w:trPr>
        <w:tc>
          <w:tcPr>
            <w:tcW w:w="9071" w:type="dxa"/>
            <w:gridSpan w:val="5"/>
            <w:tcBorders>
              <w:top w:val="single" w:sz="4" w:space="0" w:color="000000"/>
              <w:left w:val="single" w:sz="4" w:space="0" w:color="000000"/>
              <w:bottom w:val="single" w:sz="4" w:space="0" w:color="000000"/>
              <w:right w:val="single" w:sz="4" w:space="0" w:color="000000"/>
            </w:tcBorders>
            <w:vAlign w:val="center"/>
          </w:tcPr>
          <w:p w14:paraId="109AD32D" w14:textId="77777777" w:rsidR="009B3384" w:rsidRDefault="00800862">
            <w:pPr>
              <w:keepNext/>
              <w:widowControl w:val="0"/>
              <w:rPr>
                <w:szCs w:val="24"/>
              </w:rPr>
            </w:pPr>
            <w:r>
              <w:rPr>
                <w:b/>
                <w:szCs w:val="24"/>
              </w:rPr>
              <w:t>PASI</w:t>
            </w:r>
          </w:p>
        </w:tc>
      </w:tr>
      <w:tr w:rsidR="009B3384" w14:paraId="109AD333"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2F" w14:textId="77777777" w:rsidR="009B3384" w:rsidRDefault="00800862">
            <w:pPr>
              <w:widowControl w:val="0"/>
              <w:rPr>
                <w:b/>
                <w:szCs w:val="24"/>
              </w:rPr>
            </w:pPr>
            <w:r>
              <w:rPr>
                <w:szCs w:val="24"/>
              </w:rPr>
              <w:t>PASI 75 респондери</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30" w14:textId="77777777" w:rsidR="009B3384" w:rsidRDefault="00800862">
            <w:pPr>
              <w:widowControl w:val="0"/>
              <w:jc w:val="center"/>
              <w:rPr>
                <w:szCs w:val="24"/>
              </w:rPr>
            </w:pPr>
            <w:r>
              <w:rPr>
                <w:szCs w:val="24"/>
              </w:rPr>
              <w:t>4 (10,8%)</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31" w14:textId="77777777" w:rsidR="009B3384" w:rsidRDefault="00800862">
            <w:pPr>
              <w:widowControl w:val="0"/>
              <w:jc w:val="center"/>
              <w:rPr>
                <w:szCs w:val="24"/>
              </w:rPr>
            </w:pPr>
            <w:r>
              <w:rPr>
                <w:szCs w:val="24"/>
              </w:rPr>
              <w:t>29 (80,6%)</w:t>
            </w:r>
            <w:r>
              <w:rPr>
                <w:szCs w:val="24"/>
                <w:vertAlign w:val="superscript"/>
              </w:rPr>
              <w:t>a</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32" w14:textId="77777777" w:rsidR="009B3384" w:rsidRDefault="00800862">
            <w:pPr>
              <w:widowControl w:val="0"/>
              <w:jc w:val="center"/>
              <w:rPr>
                <w:szCs w:val="24"/>
              </w:rPr>
            </w:pPr>
            <w:r>
              <w:rPr>
                <w:szCs w:val="22"/>
              </w:rPr>
              <w:t>28 (80,0%)</w:t>
            </w:r>
          </w:p>
        </w:tc>
      </w:tr>
      <w:tr w:rsidR="009B3384" w14:paraId="109AD338"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34" w14:textId="77777777" w:rsidR="009B3384" w:rsidRDefault="00800862">
            <w:pPr>
              <w:widowControl w:val="0"/>
              <w:rPr>
                <w:szCs w:val="24"/>
              </w:rPr>
            </w:pPr>
            <w:r>
              <w:rPr>
                <w:szCs w:val="24"/>
              </w:rPr>
              <w:t>PASI 90 респондери</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35" w14:textId="77777777" w:rsidR="009B3384" w:rsidRDefault="00800862">
            <w:pPr>
              <w:widowControl w:val="0"/>
              <w:jc w:val="center"/>
              <w:rPr>
                <w:szCs w:val="24"/>
              </w:rPr>
            </w:pPr>
            <w:r>
              <w:rPr>
                <w:szCs w:val="24"/>
              </w:rPr>
              <w:t>2 (5,4%)</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36" w14:textId="77777777" w:rsidR="009B3384" w:rsidRDefault="00800862">
            <w:pPr>
              <w:widowControl w:val="0"/>
              <w:jc w:val="center"/>
              <w:rPr>
                <w:szCs w:val="24"/>
              </w:rPr>
            </w:pPr>
            <w:r>
              <w:rPr>
                <w:szCs w:val="24"/>
              </w:rPr>
              <w:t>22 (61,1%)</w:t>
            </w:r>
            <w:r>
              <w:rPr>
                <w:szCs w:val="24"/>
                <w:vertAlign w:val="superscript"/>
              </w:rPr>
              <w:t>a</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37" w14:textId="77777777" w:rsidR="009B3384" w:rsidRDefault="00800862">
            <w:pPr>
              <w:widowControl w:val="0"/>
              <w:jc w:val="center"/>
              <w:rPr>
                <w:szCs w:val="24"/>
              </w:rPr>
            </w:pPr>
            <w:r>
              <w:t>23 (65,7%)</w:t>
            </w:r>
          </w:p>
        </w:tc>
      </w:tr>
      <w:tr w:rsidR="009B3384" w14:paraId="109AD33D"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39" w14:textId="77777777" w:rsidR="009B3384" w:rsidRDefault="00800862">
            <w:pPr>
              <w:widowControl w:val="0"/>
              <w:rPr>
                <w:szCs w:val="24"/>
              </w:rPr>
            </w:pPr>
            <w:r>
              <w:rPr>
                <w:szCs w:val="24"/>
              </w:rPr>
              <w:t>PASI 100 респондери</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3A" w14:textId="77777777" w:rsidR="009B3384" w:rsidRDefault="00800862">
            <w:pPr>
              <w:widowControl w:val="0"/>
              <w:jc w:val="center"/>
              <w:rPr>
                <w:szCs w:val="24"/>
              </w:rPr>
            </w:pPr>
            <w:r>
              <w:rPr>
                <w:szCs w:val="24"/>
              </w:rPr>
              <w:t>1 (2,7%)</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3B" w14:textId="77777777" w:rsidR="009B3384" w:rsidRDefault="00800862">
            <w:pPr>
              <w:widowControl w:val="0"/>
              <w:jc w:val="center"/>
              <w:rPr>
                <w:szCs w:val="24"/>
              </w:rPr>
            </w:pPr>
            <w:r>
              <w:rPr>
                <w:szCs w:val="24"/>
              </w:rPr>
              <w:t>14 (38,9%)</w:t>
            </w:r>
            <w:r>
              <w:rPr>
                <w:szCs w:val="24"/>
                <w:vertAlign w:val="superscript"/>
              </w:rPr>
              <w:t>a</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3C" w14:textId="77777777" w:rsidR="009B3384" w:rsidRDefault="00800862">
            <w:pPr>
              <w:widowControl w:val="0"/>
              <w:jc w:val="center"/>
              <w:rPr>
                <w:szCs w:val="24"/>
              </w:rPr>
            </w:pPr>
            <w:r>
              <w:t>13 (37,1%)</w:t>
            </w:r>
          </w:p>
        </w:tc>
      </w:tr>
      <w:tr w:rsidR="009B3384" w14:paraId="109AD33F" w14:textId="77777777">
        <w:trPr>
          <w:cantSplit/>
          <w:jc w:val="center"/>
        </w:trPr>
        <w:tc>
          <w:tcPr>
            <w:tcW w:w="9071" w:type="dxa"/>
            <w:gridSpan w:val="5"/>
            <w:tcBorders>
              <w:top w:val="single" w:sz="4" w:space="0" w:color="000000"/>
              <w:left w:val="single" w:sz="4" w:space="0" w:color="000000"/>
              <w:bottom w:val="single" w:sz="4" w:space="0" w:color="000000"/>
              <w:right w:val="single" w:sz="4" w:space="0" w:color="000000"/>
            </w:tcBorders>
          </w:tcPr>
          <w:p w14:paraId="109AD33E" w14:textId="77777777" w:rsidR="009B3384" w:rsidRDefault="00800862">
            <w:pPr>
              <w:keepNext/>
              <w:widowControl w:val="0"/>
              <w:rPr>
                <w:b/>
                <w:szCs w:val="24"/>
              </w:rPr>
            </w:pPr>
            <w:r>
              <w:rPr>
                <w:b/>
                <w:szCs w:val="24"/>
              </w:rPr>
              <w:t>CDLQI</w:t>
            </w:r>
          </w:p>
        </w:tc>
      </w:tr>
      <w:tr w:rsidR="009B3384" w14:paraId="109AD344"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40" w14:textId="77777777" w:rsidR="009B3384" w:rsidRDefault="00800862">
            <w:pPr>
              <w:widowControl w:val="0"/>
            </w:pPr>
            <w:r>
              <w:rPr>
                <w:szCs w:val="24"/>
              </w:rPr>
              <w:t>CDLQI от 0 или 1</w:t>
            </w:r>
            <w:r>
              <w:rPr>
                <w:szCs w:val="24"/>
                <w:vertAlign w:val="superscript"/>
              </w:rPr>
              <w:t>б</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41" w14:textId="77777777" w:rsidR="009B3384" w:rsidRDefault="00800862">
            <w:pPr>
              <w:widowControl w:val="0"/>
              <w:jc w:val="center"/>
              <w:rPr>
                <w:szCs w:val="24"/>
              </w:rPr>
            </w:pPr>
            <w:r>
              <w:rPr>
                <w:szCs w:val="24"/>
              </w:rPr>
              <w:t>6 (16,2%)</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42" w14:textId="77777777" w:rsidR="009B3384" w:rsidRDefault="00800862">
            <w:pPr>
              <w:widowControl w:val="0"/>
              <w:jc w:val="center"/>
              <w:rPr>
                <w:szCs w:val="24"/>
              </w:rPr>
            </w:pPr>
            <w:r>
              <w:rPr>
                <w:szCs w:val="24"/>
              </w:rPr>
              <w:t>18 (50,0%)</w:t>
            </w:r>
            <w:r>
              <w:rPr>
                <w:szCs w:val="24"/>
                <w:vertAlign w:val="superscript"/>
              </w:rPr>
              <w:t>в</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43" w14:textId="77777777" w:rsidR="009B3384" w:rsidRDefault="00800862">
            <w:pPr>
              <w:widowControl w:val="0"/>
              <w:jc w:val="center"/>
              <w:rPr>
                <w:szCs w:val="24"/>
              </w:rPr>
            </w:pPr>
            <w:r>
              <w:rPr>
                <w:szCs w:val="22"/>
              </w:rPr>
              <w:t>20 (57,1%)</w:t>
            </w:r>
          </w:p>
        </w:tc>
      </w:tr>
      <w:tr w:rsidR="009B3384" w14:paraId="109AD346" w14:textId="77777777">
        <w:trPr>
          <w:cantSplit/>
          <w:jc w:val="center"/>
        </w:trPr>
        <w:tc>
          <w:tcPr>
            <w:tcW w:w="9071" w:type="dxa"/>
            <w:gridSpan w:val="5"/>
            <w:tcBorders>
              <w:top w:val="single" w:sz="4" w:space="0" w:color="000000"/>
              <w:left w:val="single" w:sz="4" w:space="0" w:color="000000"/>
              <w:bottom w:val="single" w:sz="4" w:space="0" w:color="000000"/>
              <w:right w:val="single" w:sz="4" w:space="0" w:color="000000"/>
            </w:tcBorders>
            <w:vAlign w:val="bottom"/>
          </w:tcPr>
          <w:p w14:paraId="109AD345" w14:textId="77777777" w:rsidR="009B3384" w:rsidRDefault="00800862">
            <w:pPr>
              <w:keepNext/>
              <w:widowControl w:val="0"/>
              <w:rPr>
                <w:b/>
                <w:szCs w:val="24"/>
              </w:rPr>
            </w:pPr>
            <w:r>
              <w:rPr>
                <w:b/>
                <w:szCs w:val="24"/>
              </w:rPr>
              <w:t>PedsQL</w:t>
            </w:r>
          </w:p>
        </w:tc>
      </w:tr>
      <w:tr w:rsidR="009B3384" w14:paraId="109AD34C" w14:textId="77777777">
        <w:trPr>
          <w:cantSplit/>
          <w:jc w:val="center"/>
        </w:trPr>
        <w:tc>
          <w:tcPr>
            <w:tcW w:w="2790" w:type="dxa"/>
            <w:tcBorders>
              <w:top w:val="single" w:sz="4" w:space="0" w:color="000000"/>
              <w:left w:val="single" w:sz="4" w:space="0" w:color="000000"/>
              <w:bottom w:val="single" w:sz="4" w:space="0" w:color="000000"/>
              <w:right w:val="single" w:sz="4" w:space="0" w:color="000000"/>
            </w:tcBorders>
            <w:vAlign w:val="bottom"/>
          </w:tcPr>
          <w:p w14:paraId="109AD347" w14:textId="77777777" w:rsidR="009B3384" w:rsidRDefault="00800862">
            <w:pPr>
              <w:widowControl w:val="0"/>
              <w:rPr>
                <w:szCs w:val="24"/>
              </w:rPr>
            </w:pPr>
            <w:r>
              <w:rPr>
                <w:szCs w:val="24"/>
              </w:rPr>
              <w:t>Промяна спрямо изходно ниво</w:t>
            </w:r>
          </w:p>
          <w:p w14:paraId="109AD348" w14:textId="77777777" w:rsidR="009B3384" w:rsidRDefault="00800862">
            <w:pPr>
              <w:widowControl w:val="0"/>
              <w:rPr>
                <w:szCs w:val="24"/>
              </w:rPr>
            </w:pPr>
            <w:r>
              <w:rPr>
                <w:szCs w:val="24"/>
              </w:rPr>
              <w:t>Средно (SD)</w:t>
            </w:r>
            <w:r>
              <w:rPr>
                <w:szCs w:val="24"/>
                <w:vertAlign w:val="superscript"/>
              </w:rPr>
              <w:t>г</w:t>
            </w:r>
          </w:p>
        </w:tc>
        <w:tc>
          <w:tcPr>
            <w:tcW w:w="2094" w:type="dxa"/>
            <w:tcBorders>
              <w:top w:val="single" w:sz="4" w:space="0" w:color="000000"/>
              <w:left w:val="single" w:sz="4" w:space="0" w:color="000000"/>
              <w:bottom w:val="single" w:sz="4" w:space="0" w:color="000000"/>
              <w:right w:val="single" w:sz="4" w:space="0" w:color="000000"/>
            </w:tcBorders>
            <w:vAlign w:val="center"/>
          </w:tcPr>
          <w:p w14:paraId="109AD349" w14:textId="77777777" w:rsidR="009B3384" w:rsidRDefault="00800862">
            <w:pPr>
              <w:widowControl w:val="0"/>
              <w:jc w:val="center"/>
              <w:rPr>
                <w:szCs w:val="24"/>
              </w:rPr>
            </w:pPr>
            <w:r>
              <w:rPr>
                <w:szCs w:val="24"/>
              </w:rPr>
              <w:t>3,35 (10,04)</w:t>
            </w:r>
          </w:p>
        </w:tc>
        <w:tc>
          <w:tcPr>
            <w:tcW w:w="2094" w:type="dxa"/>
            <w:gridSpan w:val="2"/>
            <w:tcBorders>
              <w:top w:val="single" w:sz="4" w:space="0" w:color="000000"/>
              <w:left w:val="single" w:sz="4" w:space="0" w:color="000000"/>
              <w:bottom w:val="single" w:sz="4" w:space="0" w:color="000000"/>
              <w:right w:val="single" w:sz="4" w:space="0" w:color="000000"/>
            </w:tcBorders>
            <w:vAlign w:val="center"/>
          </w:tcPr>
          <w:p w14:paraId="109AD34A" w14:textId="77777777" w:rsidR="009B3384" w:rsidRDefault="00800862">
            <w:pPr>
              <w:widowControl w:val="0"/>
              <w:jc w:val="center"/>
              <w:rPr>
                <w:szCs w:val="24"/>
              </w:rPr>
            </w:pPr>
            <w:r>
              <w:rPr>
                <w:szCs w:val="24"/>
              </w:rPr>
              <w:t>8,03 (10,44)</w:t>
            </w:r>
            <w:r>
              <w:rPr>
                <w:szCs w:val="24"/>
                <w:vertAlign w:val="superscript"/>
              </w:rPr>
              <w:t>д</w:t>
            </w:r>
          </w:p>
        </w:tc>
        <w:tc>
          <w:tcPr>
            <w:tcW w:w="2093" w:type="dxa"/>
            <w:tcBorders>
              <w:top w:val="single" w:sz="4" w:space="0" w:color="000000"/>
              <w:left w:val="single" w:sz="4" w:space="0" w:color="000000"/>
              <w:bottom w:val="single" w:sz="4" w:space="0" w:color="000000"/>
              <w:right w:val="single" w:sz="4" w:space="0" w:color="000000"/>
            </w:tcBorders>
            <w:vAlign w:val="center"/>
          </w:tcPr>
          <w:p w14:paraId="109AD34B" w14:textId="77777777" w:rsidR="009B3384" w:rsidRDefault="00800862">
            <w:pPr>
              <w:widowControl w:val="0"/>
              <w:jc w:val="center"/>
              <w:rPr>
                <w:szCs w:val="24"/>
              </w:rPr>
            </w:pPr>
            <w:r>
              <w:rPr>
                <w:szCs w:val="24"/>
              </w:rPr>
              <w:t>7,26 (10,92)</w:t>
            </w:r>
          </w:p>
        </w:tc>
      </w:tr>
      <w:tr w:rsidR="009B3384" w14:paraId="109AD352" w14:textId="77777777">
        <w:trPr>
          <w:cantSplit/>
          <w:jc w:val="center"/>
        </w:trPr>
        <w:tc>
          <w:tcPr>
            <w:tcW w:w="9071" w:type="dxa"/>
            <w:gridSpan w:val="5"/>
            <w:tcBorders>
              <w:top w:val="single" w:sz="4" w:space="0" w:color="000000"/>
            </w:tcBorders>
          </w:tcPr>
          <w:p w14:paraId="109AD34D" w14:textId="77777777" w:rsidR="009B3384" w:rsidRDefault="00800862">
            <w:pPr>
              <w:widowControl w:val="0"/>
              <w:tabs>
                <w:tab w:val="left" w:pos="284"/>
              </w:tabs>
              <w:ind w:left="284" w:hanging="284"/>
              <w:rPr>
                <w:sz w:val="18"/>
                <w:szCs w:val="18"/>
              </w:rPr>
            </w:pPr>
            <w:r>
              <w:rPr>
                <w:szCs w:val="22"/>
                <w:vertAlign w:val="superscript"/>
              </w:rPr>
              <w:t>а</w:t>
            </w:r>
            <w:r>
              <w:rPr>
                <w:sz w:val="18"/>
                <w:szCs w:val="18"/>
              </w:rPr>
              <w:tab/>
              <w:t>p &lt; 0,001</w:t>
            </w:r>
          </w:p>
          <w:p w14:paraId="109AD34E" w14:textId="77777777" w:rsidR="009B3384" w:rsidRDefault="00800862">
            <w:pPr>
              <w:widowControl w:val="0"/>
              <w:tabs>
                <w:tab w:val="left" w:pos="284"/>
              </w:tabs>
              <w:ind w:left="284" w:hanging="284"/>
              <w:rPr>
                <w:sz w:val="18"/>
                <w:szCs w:val="18"/>
              </w:rPr>
            </w:pPr>
            <w:r>
              <w:rPr>
                <w:szCs w:val="22"/>
                <w:vertAlign w:val="superscript"/>
              </w:rPr>
              <w:t>б</w:t>
            </w:r>
            <w:r>
              <w:rPr>
                <w:szCs w:val="22"/>
                <w:vertAlign w:val="superscript"/>
              </w:rPr>
              <w:tab/>
            </w:r>
            <w:r>
              <w:rPr>
                <w:sz w:val="18"/>
                <w:szCs w:val="18"/>
              </w:rPr>
              <w:t>CDLQI: CDLQI е дерматологичен инструмент за измерване на ефекта на кожния проблем върху свързаното със здравето качество на живот при педиатричната популация. CDLQI от 0 или 1 показва, че няма ефект върху качеството на живот на детето.</w:t>
            </w:r>
          </w:p>
          <w:p w14:paraId="109AD34F" w14:textId="77777777" w:rsidR="009B3384" w:rsidRDefault="00800862">
            <w:pPr>
              <w:widowControl w:val="0"/>
              <w:tabs>
                <w:tab w:val="left" w:pos="284"/>
              </w:tabs>
              <w:ind w:left="284" w:hanging="284"/>
              <w:rPr>
                <w:sz w:val="18"/>
                <w:szCs w:val="18"/>
              </w:rPr>
            </w:pPr>
            <w:r>
              <w:rPr>
                <w:szCs w:val="22"/>
                <w:vertAlign w:val="superscript"/>
              </w:rPr>
              <w:t>в</w:t>
            </w:r>
            <w:r>
              <w:rPr>
                <w:sz w:val="18"/>
                <w:szCs w:val="18"/>
              </w:rPr>
              <w:tab/>
              <w:t>p = 0,002</w:t>
            </w:r>
          </w:p>
          <w:p w14:paraId="109AD350" w14:textId="77777777" w:rsidR="009B3384" w:rsidRDefault="00800862">
            <w:pPr>
              <w:widowControl w:val="0"/>
              <w:ind w:left="284" w:hanging="284"/>
              <w:rPr>
                <w:sz w:val="18"/>
                <w:szCs w:val="18"/>
              </w:rPr>
            </w:pPr>
            <w:r>
              <w:rPr>
                <w:szCs w:val="22"/>
                <w:vertAlign w:val="superscript"/>
              </w:rPr>
              <w:t>г</w:t>
            </w:r>
            <w:r>
              <w:rPr>
                <w:sz w:val="18"/>
                <w:szCs w:val="18"/>
              </w:rPr>
              <w:tab/>
              <w:t xml:space="preserve">PedsQL: PedsQL е обща скала за измерване на свързаното със здравето качество на живот, разработена за употреба в популациите на деца и юноши. За плацебо групата на седмица 12, </w:t>
            </w:r>
            <w:r>
              <w:rPr>
                <w:sz w:val="18"/>
                <w:szCs w:val="18"/>
                <w:lang w:val="en-US"/>
              </w:rPr>
              <w:t>N </w:t>
            </w:r>
            <w:r>
              <w:rPr>
                <w:sz w:val="18"/>
                <w:szCs w:val="18"/>
              </w:rPr>
              <w:t>=</w:t>
            </w:r>
            <w:r>
              <w:rPr>
                <w:sz w:val="18"/>
                <w:szCs w:val="18"/>
                <w:lang w:val="en-US"/>
              </w:rPr>
              <w:t> </w:t>
            </w:r>
            <w:r>
              <w:rPr>
                <w:sz w:val="18"/>
                <w:szCs w:val="18"/>
              </w:rPr>
              <w:t>36</w:t>
            </w:r>
          </w:p>
          <w:p w14:paraId="109AD351" w14:textId="77777777" w:rsidR="009B3384" w:rsidRDefault="00800862">
            <w:pPr>
              <w:widowControl w:val="0"/>
              <w:ind w:left="284" w:hanging="284"/>
              <w:rPr>
                <w:sz w:val="18"/>
                <w:szCs w:val="18"/>
              </w:rPr>
            </w:pPr>
            <w:r>
              <w:rPr>
                <w:szCs w:val="22"/>
                <w:vertAlign w:val="superscript"/>
              </w:rPr>
              <w:t>д</w:t>
            </w:r>
            <w:r>
              <w:rPr>
                <w:sz w:val="18"/>
                <w:szCs w:val="18"/>
              </w:rPr>
              <w:tab/>
              <w:t>p = 0,028</w:t>
            </w:r>
          </w:p>
        </w:tc>
      </w:tr>
    </w:tbl>
    <w:p w14:paraId="109AD353" w14:textId="77777777" w:rsidR="009B3384" w:rsidRDefault="009B3384"/>
    <w:p w14:paraId="109AD354" w14:textId="77777777" w:rsidR="009B3384" w:rsidRDefault="00800862">
      <w:r>
        <w:t xml:space="preserve">По време на плацебо-контролирания период до седмица 12 ефикасността на двете дозови групи, препоръчителната и половината от препоръчителната, като цяло е сравнима в първичната крайна точка (съответно 69,4% и 67,6%), въпреки че има данни на дозов отговор за по-високи стойности на критериите за ефикасност (напр. </w:t>
      </w:r>
      <w:r>
        <w:rPr>
          <w:szCs w:val="24"/>
        </w:rPr>
        <w:t xml:space="preserve">PGA на изчистени (0), </w:t>
      </w:r>
      <w:r>
        <w:rPr>
          <w:szCs w:val="24"/>
          <w:lang w:val="en-US"/>
        </w:rPr>
        <w:t>PASI</w:t>
      </w:r>
      <w:r>
        <w:rPr>
          <w:szCs w:val="24"/>
        </w:rPr>
        <w:t xml:space="preserve"> 90). След седмица 12 ефикасността като цяло е по-висока и по-продължителна при групата с препоръчителна доза в сравнение с групата на половината от препоръчителната доза, при която се наблюдава по-често умерена загуба на ефикасност в края на всеки 12-седмичен дозов интервал. Профилите на безопасност на препоръчителната доза и на половината от препоръчителната доза са сравними.</w:t>
      </w:r>
    </w:p>
    <w:p w14:paraId="109AD355" w14:textId="77777777" w:rsidR="009B3384" w:rsidRDefault="009B3384"/>
    <w:p w14:paraId="109AD356" w14:textId="77777777" w:rsidR="009B3384" w:rsidRDefault="00800862">
      <w:pPr>
        <w:keepNext/>
        <w:tabs>
          <w:tab w:val="clear" w:pos="567"/>
        </w:tabs>
        <w:rPr>
          <w:i/>
          <w:szCs w:val="22"/>
        </w:rPr>
      </w:pPr>
      <w:r>
        <w:rPr>
          <w:i/>
          <w:szCs w:val="22"/>
        </w:rPr>
        <w:t>Деца (6-11 години)</w:t>
      </w:r>
    </w:p>
    <w:p w14:paraId="109AD357" w14:textId="77777777" w:rsidR="009B3384" w:rsidRDefault="00800862">
      <w:pPr>
        <w:tabs>
          <w:tab w:val="clear" w:pos="567"/>
        </w:tabs>
      </w:pPr>
      <w:r>
        <w:rPr>
          <w:szCs w:val="22"/>
        </w:rPr>
        <w:t>Ефикасността на устекинумаб е проучена при 44 педиатрични пациенти на възраст от 6 до 11 години с умерен до тежък плаков псориазис в открито, многоцентрово проучване фаза 3 с едно рамо (CADMUS Jr.). Пациентите са лекувани с препоръчителната доза устекинумаб (вж. точка 4.2; n = 44) чрез подкожна инжекция в седмици 0 и 4, последвано от прилагане веднъж на всеки 12 седмици (q12w).</w:t>
      </w:r>
    </w:p>
    <w:p w14:paraId="109AD358" w14:textId="77777777" w:rsidR="009B3384" w:rsidRDefault="009B3384">
      <w:pPr>
        <w:rPr>
          <w:highlight w:val="yellow"/>
        </w:rPr>
      </w:pPr>
    </w:p>
    <w:p w14:paraId="109AD359" w14:textId="77777777" w:rsidR="009B3384" w:rsidRDefault="00800862">
      <w:pPr>
        <w:rPr>
          <w:highlight w:val="yellow"/>
        </w:rPr>
      </w:pPr>
      <w:r>
        <w:t>Пациенти с PASI</w:t>
      </w:r>
      <w:r>
        <w:rPr>
          <w:szCs w:val="24"/>
        </w:rPr>
        <w:t> </w:t>
      </w:r>
      <w:r>
        <w:t>≥</w:t>
      </w:r>
      <w:r>
        <w:rPr>
          <w:szCs w:val="24"/>
        </w:rPr>
        <w:t> </w:t>
      </w:r>
      <w:r>
        <w:t>12, PGA</w:t>
      </w:r>
      <w:r>
        <w:rPr>
          <w:szCs w:val="24"/>
        </w:rPr>
        <w:t> </w:t>
      </w:r>
      <w:r>
        <w:t>≥</w:t>
      </w:r>
      <w:r>
        <w:rPr>
          <w:szCs w:val="24"/>
        </w:rPr>
        <w:t> </w:t>
      </w:r>
      <w:r>
        <w:t>3 и със засегната BSA най-малко 10%, които са кандидати за системна терапия или фототерапия, са подходящи за проучването. Приблизително 43% от пациентите имат предшестваща експозиция на конвенционална системна терапия или фототерапия. Приблизително 5% от пациентите имат предшестваща експозиция на биологични средства.</w:t>
      </w:r>
    </w:p>
    <w:p w14:paraId="109AD35A" w14:textId="77777777" w:rsidR="009B3384" w:rsidRDefault="009B3384">
      <w:pPr>
        <w:rPr>
          <w:highlight w:val="yellow"/>
        </w:rPr>
      </w:pPr>
    </w:p>
    <w:p w14:paraId="109AD35B" w14:textId="7F1B8BE8" w:rsidR="009B3384" w:rsidRDefault="00800862">
      <w:pPr>
        <w:rPr>
          <w:highlight w:val="yellow"/>
        </w:rPr>
      </w:pPr>
      <w:r>
        <w:t>Първичната крайна точка е процентът пациенти, постигнали скор на PGA изчистени (0) или минимални (1) на седмица</w:t>
      </w:r>
      <w:r>
        <w:rPr>
          <w:szCs w:val="24"/>
        </w:rPr>
        <w:t> </w:t>
      </w:r>
      <w:r>
        <w:t>12. Вторичните крайни точки включват PASI</w:t>
      </w:r>
      <w:r>
        <w:rPr>
          <w:szCs w:val="24"/>
        </w:rPr>
        <w:t> </w:t>
      </w:r>
      <w:r>
        <w:t>75, PASI</w:t>
      </w:r>
      <w:r>
        <w:rPr>
          <w:szCs w:val="24"/>
        </w:rPr>
        <w:t> </w:t>
      </w:r>
      <w:r>
        <w:t xml:space="preserve">90 и промяна спрямо изходното ниво на </w:t>
      </w:r>
      <w:r>
        <w:rPr>
          <w:iCs/>
        </w:rPr>
        <w:t>Дерматологичния индекс за качество на живот при деца</w:t>
      </w:r>
      <w:r>
        <w:t xml:space="preserve"> (Children’s Dermatology Life Quality Index, CDLQI) на седмица</w:t>
      </w:r>
      <w:r>
        <w:rPr>
          <w:szCs w:val="24"/>
        </w:rPr>
        <w:t> </w:t>
      </w:r>
      <w:r>
        <w:t>12. На седмица</w:t>
      </w:r>
      <w:r>
        <w:rPr>
          <w:szCs w:val="24"/>
        </w:rPr>
        <w:t> </w:t>
      </w:r>
      <w:r>
        <w:t>12 пациентите, лекувани с</w:t>
      </w:r>
      <w:r>
        <w:rPr>
          <w:szCs w:val="22"/>
        </w:rPr>
        <w:t xml:space="preserve"> устекинумаб</w:t>
      </w:r>
      <w:r>
        <w:t>, показват клинично значимо подобрение на псориазиса и свързаното със здравето качество на живот (таблица</w:t>
      </w:r>
      <w:r>
        <w:rPr>
          <w:szCs w:val="24"/>
        </w:rPr>
        <w:t> 13</w:t>
      </w:r>
      <w:r>
        <w:t>).</w:t>
      </w:r>
    </w:p>
    <w:p w14:paraId="109AD35C" w14:textId="77777777" w:rsidR="009B3384" w:rsidRDefault="009B3384">
      <w:pPr>
        <w:rPr>
          <w:highlight w:val="yellow"/>
        </w:rPr>
      </w:pPr>
    </w:p>
    <w:p w14:paraId="109AD35D" w14:textId="2614E31B" w:rsidR="009B3384" w:rsidRDefault="00800862">
      <w:pPr>
        <w:rPr>
          <w:highlight w:val="yellow"/>
        </w:rPr>
      </w:pPr>
      <w:r>
        <w:t>Всички пациенти са проследявани за ефикасност до 52</w:t>
      </w:r>
      <w:r>
        <w:rPr>
          <w:szCs w:val="22"/>
        </w:rPr>
        <w:t> </w:t>
      </w:r>
      <w:r>
        <w:t>седмици след първото приложение на проучваното лекарство. Процентът на пациентите със скор на PGA изчистени (0) или минимални (1) на седмица 12 е 77,3%. Ефикасност (определена като PGA 0 или 1) е наблюдавана още при първото посещение след изходното ниво на седмица</w:t>
      </w:r>
      <w:r>
        <w:rPr>
          <w:szCs w:val="22"/>
        </w:rPr>
        <w:t> </w:t>
      </w:r>
      <w:r>
        <w:t xml:space="preserve">4, а процентът на </w:t>
      </w:r>
      <w:r>
        <w:lastRenderedPageBreak/>
        <w:t>пациентите, достигнали скор на PGA 0 или 1, се повишава до седмица 16, като след това остава относително стабилен до седмица 52. Подобренията на PGA, PASI и CDLQI се поддържат до седмица</w:t>
      </w:r>
      <w:r>
        <w:rPr>
          <w:szCs w:val="22"/>
        </w:rPr>
        <w:t> </w:t>
      </w:r>
      <w:r>
        <w:t>52 (таблица 13).</w:t>
      </w:r>
    </w:p>
    <w:p w14:paraId="109AD35E" w14:textId="77777777" w:rsidR="009B3384" w:rsidRDefault="009B3384">
      <w:pPr>
        <w:rPr>
          <w:highlight w:val="yellow"/>
        </w:rPr>
      </w:pPr>
    </w:p>
    <w:p w14:paraId="109AD35F" w14:textId="1E950271" w:rsidR="009B3384" w:rsidRDefault="00800862">
      <w:pPr>
        <w:keepNext/>
        <w:ind w:left="1134" w:hanging="1134"/>
        <w:rPr>
          <w:i/>
          <w:iCs/>
        </w:rPr>
      </w:pPr>
      <w:r>
        <w:rPr>
          <w:i/>
          <w:iCs/>
          <w:szCs w:val="22"/>
        </w:rPr>
        <w:t>Таблица 13</w:t>
      </w:r>
      <w:r>
        <w:rPr>
          <w:i/>
          <w:iCs/>
          <w:szCs w:val="22"/>
        </w:rPr>
        <w:tab/>
        <w:t>Обобщение на първичната и вторичните крайни точки на седмица</w:t>
      </w:r>
      <w:r>
        <w:rPr>
          <w:i/>
          <w:iCs/>
          <w:szCs w:val="24"/>
        </w:rPr>
        <w:t> </w:t>
      </w:r>
      <w:r>
        <w:rPr>
          <w:i/>
          <w:iCs/>
          <w:szCs w:val="22"/>
        </w:rPr>
        <w:t>12 и на седмица 52</w:t>
      </w:r>
    </w:p>
    <w:tbl>
      <w:tblPr>
        <w:tblW w:w="9072" w:type="dxa"/>
        <w:jc w:val="center"/>
        <w:tblLayout w:type="fixed"/>
        <w:tblLook w:val="0000" w:firstRow="0" w:lastRow="0" w:firstColumn="0" w:lastColumn="0" w:noHBand="0" w:noVBand="0"/>
      </w:tblPr>
      <w:tblGrid>
        <w:gridCol w:w="3094"/>
        <w:gridCol w:w="2596"/>
        <w:gridCol w:w="3382"/>
      </w:tblGrid>
      <w:tr w:rsidR="009B3384" w14:paraId="109AD361" w14:textId="77777777">
        <w:trPr>
          <w:cantSplit/>
          <w:jc w:val="center"/>
        </w:trPr>
        <w:tc>
          <w:tcPr>
            <w:tcW w:w="8970" w:type="dxa"/>
            <w:gridSpan w:val="3"/>
            <w:tcBorders>
              <w:top w:val="single" w:sz="4" w:space="0" w:color="000000"/>
              <w:left w:val="single" w:sz="4" w:space="0" w:color="000000"/>
              <w:bottom w:val="single" w:sz="4" w:space="0" w:color="000000"/>
              <w:right w:val="single" w:sz="4" w:space="0" w:color="000000"/>
            </w:tcBorders>
            <w:vAlign w:val="bottom"/>
          </w:tcPr>
          <w:p w14:paraId="109AD360" w14:textId="77777777" w:rsidR="009B3384" w:rsidRDefault="00800862">
            <w:pPr>
              <w:keepNext/>
              <w:widowControl w:val="0"/>
              <w:jc w:val="center"/>
            </w:pPr>
            <w:r>
              <w:rPr>
                <w:b/>
                <w:bCs/>
                <w:szCs w:val="24"/>
              </w:rPr>
              <w:t>Педиатрично проучване при псориазис (CADMUS Jr.) (</w:t>
            </w:r>
            <w:r>
              <w:rPr>
                <w:rFonts w:cs="Arial"/>
                <w:b/>
                <w:bCs/>
              </w:rPr>
              <w:t>Възраст 6-11 г.</w:t>
            </w:r>
            <w:r>
              <w:rPr>
                <w:b/>
                <w:bCs/>
                <w:szCs w:val="24"/>
              </w:rPr>
              <w:t>)</w:t>
            </w:r>
          </w:p>
        </w:tc>
      </w:tr>
      <w:tr w:rsidR="009B3384" w14:paraId="109AD365" w14:textId="77777777">
        <w:trPr>
          <w:cantSplit/>
          <w:trHeight w:val="413"/>
          <w:jc w:val="center"/>
        </w:trPr>
        <w:tc>
          <w:tcPr>
            <w:tcW w:w="3059" w:type="dxa"/>
            <w:vMerge w:val="restart"/>
            <w:tcBorders>
              <w:top w:val="single" w:sz="4" w:space="0" w:color="000000"/>
              <w:left w:val="single" w:sz="4" w:space="0" w:color="000000"/>
              <w:bottom w:val="single" w:sz="4" w:space="0" w:color="000000"/>
              <w:right w:val="single" w:sz="4" w:space="0" w:color="000000"/>
            </w:tcBorders>
            <w:vAlign w:val="bottom"/>
          </w:tcPr>
          <w:p w14:paraId="109AD362" w14:textId="77777777" w:rsidR="009B3384" w:rsidRDefault="009B3384">
            <w:pPr>
              <w:keepNext/>
              <w:widowControl w:val="0"/>
              <w:rPr>
                <w:highlight w:val="yellow"/>
              </w:rPr>
            </w:pPr>
          </w:p>
        </w:tc>
        <w:tc>
          <w:tcPr>
            <w:tcW w:w="2567" w:type="dxa"/>
            <w:tcBorders>
              <w:top w:val="single" w:sz="4" w:space="0" w:color="000000"/>
              <w:left w:val="single" w:sz="4" w:space="0" w:color="000000"/>
              <w:bottom w:val="single" w:sz="4" w:space="0" w:color="000000"/>
              <w:right w:val="single" w:sz="4" w:space="0" w:color="000000"/>
            </w:tcBorders>
            <w:vAlign w:val="center"/>
          </w:tcPr>
          <w:p w14:paraId="109AD363" w14:textId="77777777" w:rsidR="009B3384" w:rsidRDefault="00800862">
            <w:pPr>
              <w:keepNext/>
              <w:keepLines/>
              <w:widowControl w:val="0"/>
              <w:jc w:val="center"/>
              <w:rPr>
                <w:b/>
                <w:szCs w:val="24"/>
              </w:rPr>
            </w:pPr>
            <w:r>
              <w:rPr>
                <w:b/>
                <w:szCs w:val="24"/>
              </w:rPr>
              <w:t>Седмица 12</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64" w14:textId="77777777" w:rsidR="009B3384" w:rsidRDefault="00800862">
            <w:pPr>
              <w:widowControl w:val="0"/>
              <w:jc w:val="center"/>
            </w:pPr>
            <w:r>
              <w:rPr>
                <w:b/>
                <w:szCs w:val="24"/>
              </w:rPr>
              <w:t>Седмица 52</w:t>
            </w:r>
          </w:p>
        </w:tc>
      </w:tr>
      <w:tr w:rsidR="009B3384" w14:paraId="109AD369" w14:textId="77777777">
        <w:trPr>
          <w:cantSplit/>
          <w:jc w:val="center"/>
        </w:trPr>
        <w:tc>
          <w:tcPr>
            <w:tcW w:w="3059" w:type="dxa"/>
            <w:vMerge/>
            <w:tcBorders>
              <w:left w:val="single" w:sz="4" w:space="0" w:color="000000"/>
              <w:right w:val="single" w:sz="4" w:space="0" w:color="000000"/>
            </w:tcBorders>
            <w:vAlign w:val="bottom"/>
          </w:tcPr>
          <w:p w14:paraId="109AD366" w14:textId="77777777" w:rsidR="009B3384" w:rsidRDefault="009B3384">
            <w:pPr>
              <w:widowControl w:val="0"/>
              <w:rPr>
                <w:highlight w:val="yellow"/>
              </w:rPr>
            </w:pPr>
          </w:p>
        </w:tc>
        <w:tc>
          <w:tcPr>
            <w:tcW w:w="2567" w:type="dxa"/>
            <w:tcBorders>
              <w:top w:val="single" w:sz="4" w:space="0" w:color="000000"/>
              <w:left w:val="single" w:sz="4" w:space="0" w:color="000000"/>
              <w:bottom w:val="single" w:sz="4" w:space="0" w:color="000000"/>
              <w:right w:val="single" w:sz="4" w:space="0" w:color="000000"/>
            </w:tcBorders>
            <w:vAlign w:val="center"/>
          </w:tcPr>
          <w:p w14:paraId="109AD367" w14:textId="77777777" w:rsidR="009B3384" w:rsidRDefault="00800862">
            <w:pPr>
              <w:keepNext/>
              <w:keepLines/>
              <w:widowControl w:val="0"/>
              <w:jc w:val="center"/>
              <w:rPr>
                <w:szCs w:val="24"/>
              </w:rPr>
            </w:pPr>
            <w:r>
              <w:rPr>
                <w:szCs w:val="24"/>
              </w:rPr>
              <w:t>Препоръчителна доза устекинумаб</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68" w14:textId="77777777" w:rsidR="009B3384" w:rsidRDefault="00800862">
            <w:pPr>
              <w:widowControl w:val="0"/>
              <w:jc w:val="center"/>
            </w:pPr>
            <w:r>
              <w:rPr>
                <w:szCs w:val="24"/>
              </w:rPr>
              <w:t>Препоръчителна доза устекинумаб</w:t>
            </w:r>
          </w:p>
        </w:tc>
      </w:tr>
      <w:tr w:rsidR="009B3384" w14:paraId="109AD36D" w14:textId="77777777">
        <w:trPr>
          <w:cantSplit/>
          <w:jc w:val="center"/>
        </w:trPr>
        <w:tc>
          <w:tcPr>
            <w:tcW w:w="3059" w:type="dxa"/>
            <w:vMerge/>
            <w:tcBorders>
              <w:left w:val="single" w:sz="4" w:space="0" w:color="000000"/>
              <w:bottom w:val="single" w:sz="4" w:space="0" w:color="000000"/>
              <w:right w:val="single" w:sz="4" w:space="0" w:color="000000"/>
            </w:tcBorders>
            <w:vAlign w:val="bottom"/>
          </w:tcPr>
          <w:p w14:paraId="109AD36A" w14:textId="77777777" w:rsidR="009B3384" w:rsidRDefault="009B3384">
            <w:pPr>
              <w:widowControl w:val="0"/>
              <w:rPr>
                <w:highlight w:val="yellow"/>
              </w:rPr>
            </w:pPr>
          </w:p>
        </w:tc>
        <w:tc>
          <w:tcPr>
            <w:tcW w:w="2567" w:type="dxa"/>
            <w:tcBorders>
              <w:top w:val="single" w:sz="4" w:space="0" w:color="000000"/>
              <w:left w:val="single" w:sz="4" w:space="0" w:color="000000"/>
              <w:bottom w:val="single" w:sz="4" w:space="0" w:color="000000"/>
              <w:right w:val="single" w:sz="4" w:space="0" w:color="000000"/>
            </w:tcBorders>
            <w:vAlign w:val="center"/>
          </w:tcPr>
          <w:p w14:paraId="109AD36B" w14:textId="77777777" w:rsidR="009B3384" w:rsidRDefault="00800862">
            <w:pPr>
              <w:keepNext/>
              <w:keepLines/>
              <w:widowControl w:val="0"/>
              <w:jc w:val="center"/>
              <w:rPr>
                <w:szCs w:val="24"/>
              </w:rPr>
            </w:pPr>
            <w:r>
              <w:rPr>
                <w:szCs w:val="24"/>
              </w:rPr>
              <w:t>N (%)</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6C" w14:textId="77777777" w:rsidR="009B3384" w:rsidRDefault="00800862">
            <w:pPr>
              <w:widowControl w:val="0"/>
              <w:jc w:val="center"/>
            </w:pPr>
            <w:r>
              <w:rPr>
                <w:szCs w:val="24"/>
              </w:rPr>
              <w:t>N (%)</w:t>
            </w:r>
          </w:p>
        </w:tc>
      </w:tr>
      <w:tr w:rsidR="009B3384" w14:paraId="109AD371"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6E" w14:textId="77777777" w:rsidR="009B3384" w:rsidRDefault="00800862">
            <w:pPr>
              <w:widowControl w:val="0"/>
              <w:rPr>
                <w:highlight w:val="yellow"/>
              </w:rPr>
            </w:pPr>
            <w:r>
              <w:t xml:space="preserve">Включени пациенти </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6F" w14:textId="77777777" w:rsidR="009B3384" w:rsidRDefault="00800862">
            <w:pPr>
              <w:widowControl w:val="0"/>
              <w:jc w:val="center"/>
              <w:rPr>
                <w:szCs w:val="24"/>
              </w:rPr>
            </w:pPr>
            <w:r>
              <w:rPr>
                <w:szCs w:val="24"/>
              </w:rPr>
              <w:t>44</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70" w14:textId="77777777" w:rsidR="009B3384" w:rsidRDefault="00800862">
            <w:pPr>
              <w:widowControl w:val="0"/>
              <w:jc w:val="center"/>
            </w:pPr>
            <w:r>
              <w:rPr>
                <w:szCs w:val="24"/>
              </w:rPr>
              <w:t>41</w:t>
            </w:r>
          </w:p>
        </w:tc>
      </w:tr>
      <w:tr w:rsidR="009B3384" w14:paraId="109AD373" w14:textId="77777777">
        <w:trPr>
          <w:cantSplit/>
          <w:jc w:val="center"/>
        </w:trPr>
        <w:tc>
          <w:tcPr>
            <w:tcW w:w="8970" w:type="dxa"/>
            <w:gridSpan w:val="3"/>
            <w:tcBorders>
              <w:top w:val="single" w:sz="4" w:space="0" w:color="000000"/>
              <w:left w:val="single" w:sz="4" w:space="0" w:color="000000"/>
              <w:bottom w:val="single" w:sz="4" w:space="0" w:color="000000"/>
              <w:right w:val="single" w:sz="4" w:space="0" w:color="000000"/>
            </w:tcBorders>
            <w:vAlign w:val="bottom"/>
          </w:tcPr>
          <w:p w14:paraId="109AD372" w14:textId="77777777" w:rsidR="009B3384" w:rsidRDefault="00800862">
            <w:pPr>
              <w:keepNext/>
              <w:widowControl w:val="0"/>
            </w:pPr>
            <w:r>
              <w:rPr>
                <w:b/>
                <w:szCs w:val="24"/>
              </w:rPr>
              <w:t>PGA</w:t>
            </w:r>
          </w:p>
        </w:tc>
      </w:tr>
      <w:tr w:rsidR="009B3384" w14:paraId="109AD377"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74" w14:textId="77777777" w:rsidR="009B3384" w:rsidRDefault="00800862">
            <w:pPr>
              <w:widowControl w:val="0"/>
              <w:rPr>
                <w:b/>
                <w:szCs w:val="24"/>
              </w:rPr>
            </w:pPr>
            <w:r>
              <w:rPr>
                <w:szCs w:val="24"/>
              </w:rPr>
              <w:t xml:space="preserve">PGA на изчистени (0) </w:t>
            </w:r>
            <w:r>
              <w:t xml:space="preserve">или минимални </w:t>
            </w:r>
            <w:r>
              <w:rPr>
                <w:szCs w:val="24"/>
              </w:rPr>
              <w:t>(1)</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75" w14:textId="77777777" w:rsidR="009B3384" w:rsidRDefault="00800862">
            <w:pPr>
              <w:widowControl w:val="0"/>
              <w:jc w:val="center"/>
              <w:rPr>
                <w:szCs w:val="24"/>
              </w:rPr>
            </w:pPr>
            <w:r>
              <w:rPr>
                <w:szCs w:val="24"/>
              </w:rPr>
              <w:t>34 (77,3%)</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76" w14:textId="77777777" w:rsidR="009B3384" w:rsidRDefault="00800862">
            <w:pPr>
              <w:widowControl w:val="0"/>
              <w:jc w:val="center"/>
            </w:pPr>
            <w:r>
              <w:rPr>
                <w:szCs w:val="24"/>
              </w:rPr>
              <w:t>31 (75,6%)</w:t>
            </w:r>
          </w:p>
        </w:tc>
      </w:tr>
      <w:tr w:rsidR="009B3384" w14:paraId="109AD37B"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78" w14:textId="77777777" w:rsidR="009B3384" w:rsidRDefault="00800862">
            <w:pPr>
              <w:widowControl w:val="0"/>
              <w:rPr>
                <w:szCs w:val="24"/>
                <w:highlight w:val="yellow"/>
              </w:rPr>
            </w:pPr>
            <w:r>
              <w:rPr>
                <w:szCs w:val="24"/>
              </w:rPr>
              <w:t>PGA на изчистени (0)</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79" w14:textId="77777777" w:rsidR="009B3384" w:rsidRDefault="00800862">
            <w:pPr>
              <w:widowControl w:val="0"/>
              <w:jc w:val="center"/>
              <w:rPr>
                <w:strike/>
                <w:szCs w:val="24"/>
              </w:rPr>
            </w:pPr>
            <w:r>
              <w:t>17 (38,6%)</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7A" w14:textId="77777777" w:rsidR="009B3384" w:rsidRDefault="00800862">
            <w:pPr>
              <w:widowControl w:val="0"/>
              <w:jc w:val="center"/>
            </w:pPr>
            <w:r>
              <w:t>23 (56,1%)</w:t>
            </w:r>
          </w:p>
        </w:tc>
      </w:tr>
      <w:tr w:rsidR="009B3384" w14:paraId="109AD37D" w14:textId="77777777">
        <w:trPr>
          <w:cantSplit/>
          <w:jc w:val="center"/>
        </w:trPr>
        <w:tc>
          <w:tcPr>
            <w:tcW w:w="8970" w:type="dxa"/>
            <w:gridSpan w:val="3"/>
            <w:tcBorders>
              <w:top w:val="single" w:sz="4" w:space="0" w:color="000000"/>
              <w:left w:val="single" w:sz="4" w:space="0" w:color="000000"/>
              <w:bottom w:val="single" w:sz="4" w:space="0" w:color="000000"/>
              <w:right w:val="single" w:sz="4" w:space="0" w:color="000000"/>
            </w:tcBorders>
            <w:vAlign w:val="center"/>
          </w:tcPr>
          <w:p w14:paraId="109AD37C" w14:textId="77777777" w:rsidR="009B3384" w:rsidRDefault="00800862">
            <w:pPr>
              <w:keepNext/>
              <w:widowControl w:val="0"/>
            </w:pPr>
            <w:r>
              <w:rPr>
                <w:b/>
                <w:szCs w:val="24"/>
              </w:rPr>
              <w:t>PASI</w:t>
            </w:r>
          </w:p>
        </w:tc>
      </w:tr>
      <w:tr w:rsidR="009B3384" w14:paraId="109AD381"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7E" w14:textId="77777777" w:rsidR="009B3384" w:rsidRDefault="00800862">
            <w:pPr>
              <w:widowControl w:val="0"/>
              <w:rPr>
                <w:b/>
                <w:szCs w:val="24"/>
              </w:rPr>
            </w:pPr>
            <w:r>
              <w:rPr>
                <w:szCs w:val="24"/>
              </w:rPr>
              <w:t xml:space="preserve">PASI 75 респондери </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7F" w14:textId="77777777" w:rsidR="009B3384" w:rsidRDefault="00800862">
            <w:pPr>
              <w:widowControl w:val="0"/>
              <w:jc w:val="center"/>
              <w:rPr>
                <w:szCs w:val="22"/>
              </w:rPr>
            </w:pPr>
            <w:r>
              <w:rPr>
                <w:szCs w:val="24"/>
              </w:rPr>
              <w:t>37 (84,1%)</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80" w14:textId="77777777" w:rsidR="009B3384" w:rsidRDefault="00800862">
            <w:pPr>
              <w:widowControl w:val="0"/>
              <w:jc w:val="center"/>
            </w:pPr>
            <w:r>
              <w:rPr>
                <w:szCs w:val="24"/>
              </w:rPr>
              <w:t>36 (87,8%)</w:t>
            </w:r>
          </w:p>
        </w:tc>
      </w:tr>
      <w:tr w:rsidR="009B3384" w14:paraId="109AD385"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82" w14:textId="77777777" w:rsidR="009B3384" w:rsidRDefault="00800862">
            <w:pPr>
              <w:widowControl w:val="0"/>
              <w:rPr>
                <w:szCs w:val="24"/>
              </w:rPr>
            </w:pPr>
            <w:r>
              <w:rPr>
                <w:szCs w:val="24"/>
              </w:rPr>
              <w:t>PASI 90 респондери</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83" w14:textId="77777777" w:rsidR="009B3384" w:rsidRDefault="00800862">
            <w:pPr>
              <w:widowControl w:val="0"/>
              <w:jc w:val="center"/>
            </w:pPr>
            <w:r>
              <w:t>28 (63,6%)</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84" w14:textId="77777777" w:rsidR="009B3384" w:rsidRDefault="00800862">
            <w:pPr>
              <w:widowControl w:val="0"/>
              <w:jc w:val="center"/>
            </w:pPr>
            <w:r>
              <w:t>29 (70,7%)</w:t>
            </w:r>
          </w:p>
        </w:tc>
      </w:tr>
      <w:tr w:rsidR="009B3384" w14:paraId="109AD389"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86" w14:textId="77777777" w:rsidR="009B3384" w:rsidRDefault="00800862">
            <w:pPr>
              <w:widowControl w:val="0"/>
              <w:rPr>
                <w:szCs w:val="24"/>
                <w:highlight w:val="yellow"/>
              </w:rPr>
            </w:pPr>
            <w:r>
              <w:rPr>
                <w:szCs w:val="24"/>
              </w:rPr>
              <w:t>PASI 100 респондери</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87" w14:textId="77777777" w:rsidR="009B3384" w:rsidRDefault="00800862">
            <w:pPr>
              <w:widowControl w:val="0"/>
              <w:jc w:val="center"/>
            </w:pPr>
            <w:r>
              <w:t>15 (34,1%)</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88" w14:textId="77777777" w:rsidR="009B3384" w:rsidRDefault="00800862">
            <w:pPr>
              <w:widowControl w:val="0"/>
              <w:jc w:val="center"/>
            </w:pPr>
            <w:r>
              <w:t>22 (53,7%)</w:t>
            </w:r>
          </w:p>
        </w:tc>
      </w:tr>
      <w:tr w:rsidR="009B3384" w14:paraId="109AD38B" w14:textId="77777777">
        <w:trPr>
          <w:cantSplit/>
          <w:jc w:val="center"/>
        </w:trPr>
        <w:tc>
          <w:tcPr>
            <w:tcW w:w="8970" w:type="dxa"/>
            <w:gridSpan w:val="3"/>
            <w:tcBorders>
              <w:top w:val="single" w:sz="4" w:space="0" w:color="000000"/>
              <w:left w:val="single" w:sz="4" w:space="0" w:color="000000"/>
              <w:bottom w:val="single" w:sz="4" w:space="0" w:color="000000"/>
              <w:right w:val="single" w:sz="4" w:space="0" w:color="000000"/>
            </w:tcBorders>
          </w:tcPr>
          <w:p w14:paraId="109AD38A" w14:textId="77777777" w:rsidR="009B3384" w:rsidRDefault="00800862">
            <w:pPr>
              <w:keepNext/>
              <w:widowControl w:val="0"/>
            </w:pPr>
            <w:r>
              <w:rPr>
                <w:b/>
                <w:szCs w:val="24"/>
              </w:rPr>
              <w:t>CDLQI</w:t>
            </w:r>
            <w:r>
              <w:rPr>
                <w:szCs w:val="22"/>
                <w:vertAlign w:val="superscript"/>
              </w:rPr>
              <w:t>a</w:t>
            </w:r>
          </w:p>
        </w:tc>
      </w:tr>
      <w:tr w:rsidR="009B3384" w14:paraId="109AD38F"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8C" w14:textId="77777777" w:rsidR="009B3384" w:rsidRDefault="00800862">
            <w:pPr>
              <w:widowControl w:val="0"/>
            </w:pPr>
            <w:r>
              <w:rPr>
                <w:szCs w:val="24"/>
              </w:rPr>
              <w:t>Пациенти с CDLQI &gt; 1 на изходно ниво</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8D" w14:textId="77777777" w:rsidR="009B3384" w:rsidRDefault="00800862">
            <w:pPr>
              <w:widowControl w:val="0"/>
              <w:jc w:val="center"/>
              <w:rPr>
                <w:szCs w:val="22"/>
              </w:rPr>
            </w:pPr>
            <w:r>
              <w:rPr>
                <w:szCs w:val="22"/>
              </w:rPr>
              <w:t>(N=39)</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8E" w14:textId="77777777" w:rsidR="009B3384" w:rsidRDefault="00800862">
            <w:pPr>
              <w:widowControl w:val="0"/>
              <w:jc w:val="center"/>
            </w:pPr>
            <w:r>
              <w:rPr>
                <w:szCs w:val="22"/>
              </w:rPr>
              <w:t>(N=36)</w:t>
            </w:r>
          </w:p>
        </w:tc>
      </w:tr>
      <w:tr w:rsidR="009B3384" w14:paraId="109AD393" w14:textId="77777777">
        <w:trPr>
          <w:cantSplit/>
          <w:jc w:val="center"/>
        </w:trPr>
        <w:tc>
          <w:tcPr>
            <w:tcW w:w="3059" w:type="dxa"/>
            <w:tcBorders>
              <w:top w:val="single" w:sz="4" w:space="0" w:color="000000"/>
              <w:left w:val="single" w:sz="4" w:space="0" w:color="000000"/>
              <w:bottom w:val="single" w:sz="4" w:space="0" w:color="000000"/>
              <w:right w:val="single" w:sz="4" w:space="0" w:color="000000"/>
            </w:tcBorders>
            <w:vAlign w:val="bottom"/>
          </w:tcPr>
          <w:p w14:paraId="109AD390" w14:textId="77777777" w:rsidR="009B3384" w:rsidRDefault="00800862">
            <w:pPr>
              <w:widowControl w:val="0"/>
              <w:rPr>
                <w:szCs w:val="24"/>
              </w:rPr>
            </w:pPr>
            <w:r>
              <w:rPr>
                <w:szCs w:val="24"/>
              </w:rPr>
              <w:t>CDLQI 0 или 1</w:t>
            </w:r>
          </w:p>
        </w:tc>
        <w:tc>
          <w:tcPr>
            <w:tcW w:w="2567" w:type="dxa"/>
            <w:tcBorders>
              <w:top w:val="single" w:sz="4" w:space="0" w:color="000000"/>
              <w:left w:val="single" w:sz="4" w:space="0" w:color="000000"/>
              <w:bottom w:val="single" w:sz="4" w:space="0" w:color="000000"/>
              <w:right w:val="single" w:sz="4" w:space="0" w:color="000000"/>
            </w:tcBorders>
            <w:vAlign w:val="center"/>
          </w:tcPr>
          <w:p w14:paraId="109AD391" w14:textId="77777777" w:rsidR="009B3384" w:rsidRDefault="00800862">
            <w:pPr>
              <w:widowControl w:val="0"/>
              <w:jc w:val="center"/>
              <w:rPr>
                <w:szCs w:val="22"/>
              </w:rPr>
            </w:pPr>
            <w:r>
              <w:t>24 (61,5%)</w:t>
            </w:r>
          </w:p>
        </w:tc>
        <w:tc>
          <w:tcPr>
            <w:tcW w:w="3344" w:type="dxa"/>
            <w:tcBorders>
              <w:top w:val="single" w:sz="4" w:space="0" w:color="000000"/>
              <w:left w:val="single" w:sz="4" w:space="0" w:color="000000"/>
              <w:bottom w:val="single" w:sz="4" w:space="0" w:color="000000"/>
              <w:right w:val="single" w:sz="4" w:space="0" w:color="000000"/>
            </w:tcBorders>
            <w:vAlign w:val="center"/>
          </w:tcPr>
          <w:p w14:paraId="109AD392" w14:textId="77777777" w:rsidR="009B3384" w:rsidRDefault="00800862">
            <w:pPr>
              <w:widowControl w:val="0"/>
              <w:jc w:val="center"/>
            </w:pPr>
            <w:r>
              <w:t>21 (58,3%)</w:t>
            </w:r>
          </w:p>
        </w:tc>
      </w:tr>
      <w:tr w:rsidR="009B3384" w14:paraId="109AD395" w14:textId="77777777">
        <w:trPr>
          <w:cantSplit/>
          <w:jc w:val="center"/>
        </w:trPr>
        <w:tc>
          <w:tcPr>
            <w:tcW w:w="8970" w:type="dxa"/>
            <w:gridSpan w:val="3"/>
            <w:tcBorders>
              <w:top w:val="single" w:sz="4" w:space="0" w:color="000000"/>
            </w:tcBorders>
          </w:tcPr>
          <w:p w14:paraId="109AD394" w14:textId="77777777" w:rsidR="009B3384" w:rsidRDefault="00800862">
            <w:pPr>
              <w:widowControl w:val="0"/>
              <w:tabs>
                <w:tab w:val="left" w:pos="284"/>
              </w:tabs>
              <w:ind w:left="284" w:hanging="284"/>
              <w:rPr>
                <w:sz w:val="18"/>
                <w:szCs w:val="18"/>
              </w:rPr>
            </w:pPr>
            <w:r>
              <w:rPr>
                <w:szCs w:val="22"/>
                <w:vertAlign w:val="superscript"/>
              </w:rPr>
              <w:t>a</w:t>
            </w:r>
            <w:r>
              <w:rPr>
                <w:sz w:val="18"/>
                <w:szCs w:val="18"/>
              </w:rPr>
              <w:tab/>
              <w:t>CDLQI: CDLQI е дерматологичен инструмент за оценка на ефекта на кожния проблем върху свързаното със здравето качество на живот при педиатричната популация. CDLQI 0 или 1 показва, че няма ефект върху качеството на живот на детето.</w:t>
            </w:r>
          </w:p>
        </w:tc>
      </w:tr>
    </w:tbl>
    <w:p w14:paraId="109AD396" w14:textId="77777777" w:rsidR="009B3384" w:rsidRDefault="009B3384"/>
    <w:p w14:paraId="109AD397" w14:textId="77777777" w:rsidR="009B3384" w:rsidRDefault="00800862">
      <w:pPr>
        <w:keepNext/>
        <w:widowControl w:val="0"/>
        <w:rPr>
          <w:i/>
        </w:rPr>
      </w:pPr>
      <w:r>
        <w:rPr>
          <w:i/>
        </w:rPr>
        <w:t>Болест на Crohn при деца</w:t>
      </w:r>
    </w:p>
    <w:p w14:paraId="109AD398" w14:textId="233A303F" w:rsidR="009B3384" w:rsidRDefault="00800862">
      <w:pPr>
        <w:rPr>
          <w:lang w:eastAsia="en-GB"/>
        </w:rPr>
      </w:pPr>
      <w:r>
        <w:rPr>
          <w:lang w:eastAsia="en-GB"/>
        </w:rPr>
        <w:t xml:space="preserve">Безопасността и ефикасността на устекинумаб са оценени при 101 педиатрични пациенти </w:t>
      </w:r>
      <w:r>
        <w:t>на възраст 2 и повече години</w:t>
      </w:r>
      <w:r>
        <w:rPr>
          <w:lang w:eastAsia="en-GB"/>
        </w:rPr>
        <w:t xml:space="preserve"> и с тегло най-малко 10 kg в многоцентрово проучване фаза 3 (UNITI-Jr) за педиатрични пациенти с умерена до тежка активна болест на Crohn (дефинирана чрез Индекс на активността на болестта на Crohn [PCDAI] &gt;30) в продължение на 48 седмици лечение (8 седмици индукционно и 40 седмици поддържащо лечение). Проучването включва 2 пациент</w:t>
      </w:r>
      <w:r w:rsidR="004733FC">
        <w:rPr>
          <w:lang w:eastAsia="en-GB"/>
        </w:rPr>
        <w:t>а</w:t>
      </w:r>
      <w:r>
        <w:rPr>
          <w:lang w:eastAsia="en-GB"/>
        </w:rPr>
        <w:t xml:space="preserve"> на възраст от 2 до 5 години и 18 пациенти на възраст от 6 до 11 години; 29 пациенти с тегло под 40</w:t>
      </w:r>
      <w:r>
        <w:rPr>
          <w:lang w:val="en-US" w:eastAsia="en-GB"/>
        </w:rPr>
        <w:t> </w:t>
      </w:r>
      <w:r>
        <w:rPr>
          <w:lang w:eastAsia="en-GB"/>
        </w:rPr>
        <w:t>kg, включително 11 пациенти с тегло под 30</w:t>
      </w:r>
      <w:r>
        <w:rPr>
          <w:lang w:val="en-US" w:eastAsia="en-GB"/>
        </w:rPr>
        <w:t> </w:t>
      </w:r>
      <w:r>
        <w:rPr>
          <w:lang w:eastAsia="en-GB"/>
        </w:rPr>
        <w:t>kg. Пациентите, включени в проучването, или не са имали достатъчен отговор, или са имали непоносимост към предходна биологична или конвенционална терапия за болестта на Crohn. Проучването включва открито индукционно лечение с единична интравенозна доза устекинумаб приблизително 6 mg/kg (пациенти с тегло най-малко 40</w:t>
      </w:r>
      <w:r>
        <w:rPr>
          <w:lang w:val="en-US" w:eastAsia="en-GB"/>
        </w:rPr>
        <w:t> </w:t>
      </w:r>
      <w:r>
        <w:rPr>
          <w:lang w:eastAsia="en-GB"/>
        </w:rPr>
        <w:t>kg) или 250</w:t>
      </w:r>
      <w:r>
        <w:rPr>
          <w:lang w:val="en-US" w:eastAsia="en-GB"/>
        </w:rPr>
        <w:t> </w:t>
      </w:r>
      <w:r>
        <w:rPr>
          <w:lang w:eastAsia="en-GB"/>
        </w:rPr>
        <w:t>mg/m</w:t>
      </w:r>
      <w:r>
        <w:rPr>
          <w:vertAlign w:val="superscript"/>
          <w:lang w:eastAsia="en-GB"/>
        </w:rPr>
        <w:t>2</w:t>
      </w:r>
      <w:r>
        <w:rPr>
          <w:lang w:eastAsia="en-GB"/>
        </w:rPr>
        <w:t xml:space="preserve"> (пациенти с тегло под 40</w:t>
      </w:r>
      <w:r>
        <w:rPr>
          <w:lang w:val="en-US" w:eastAsia="en-GB"/>
        </w:rPr>
        <w:t> </w:t>
      </w:r>
      <w:r>
        <w:rPr>
          <w:lang w:eastAsia="en-GB"/>
        </w:rPr>
        <w:t>kg въз основа на BSA) (вж. точка 4.2), последвано от рандомизирана двойносляпа поддържаща схема с подкожно приложение на 90 mg устекинумаб (пациенти с тегло най-малко 40</w:t>
      </w:r>
      <w:r>
        <w:rPr>
          <w:lang w:val="en-US" w:eastAsia="en-GB"/>
        </w:rPr>
        <w:t> </w:t>
      </w:r>
      <w:r>
        <w:rPr>
          <w:lang w:eastAsia="en-GB"/>
        </w:rPr>
        <w:t>kg) или 60</w:t>
      </w:r>
      <w:r>
        <w:rPr>
          <w:lang w:val="en-US" w:eastAsia="en-GB"/>
        </w:rPr>
        <w:t> </w:t>
      </w:r>
      <w:r>
        <w:rPr>
          <w:lang w:eastAsia="en-GB"/>
        </w:rPr>
        <w:t>mg/m</w:t>
      </w:r>
      <w:r>
        <w:rPr>
          <w:vertAlign w:val="superscript"/>
          <w:lang w:eastAsia="en-GB"/>
        </w:rPr>
        <w:t>2</w:t>
      </w:r>
      <w:r>
        <w:rPr>
          <w:lang w:eastAsia="en-GB"/>
        </w:rPr>
        <w:t xml:space="preserve"> (пациенти с тегло под 40</w:t>
      </w:r>
      <w:r>
        <w:rPr>
          <w:lang w:val="en-US" w:eastAsia="en-GB"/>
        </w:rPr>
        <w:t> </w:t>
      </w:r>
      <w:r>
        <w:rPr>
          <w:lang w:eastAsia="en-GB"/>
        </w:rPr>
        <w:t>kg въз основа на BSA) (вж. точка</w:t>
      </w:r>
      <w:r>
        <w:rPr>
          <w:lang w:val="en-US" w:eastAsia="en-GB"/>
        </w:rPr>
        <w:t> </w:t>
      </w:r>
      <w:r>
        <w:rPr>
          <w:lang w:eastAsia="en-GB"/>
        </w:rPr>
        <w:t>4.2 от КХП на STELARA инжекционен разтвор (флакон) и инжекционен разтвор в предварително напълнена спринцовка) на всеки 8 седмици или на всеки 12 седмици.</w:t>
      </w:r>
    </w:p>
    <w:p w14:paraId="109AD399" w14:textId="77777777" w:rsidR="009B3384" w:rsidRDefault="009B3384"/>
    <w:p w14:paraId="109AD39A" w14:textId="77777777" w:rsidR="009B3384" w:rsidRDefault="00800862">
      <w:pPr>
        <w:keepNext/>
        <w:widowControl w:val="0"/>
        <w:rPr>
          <w:i/>
        </w:rPr>
      </w:pPr>
      <w:r>
        <w:rPr>
          <w:i/>
        </w:rPr>
        <w:t>Резултати за ефикасност</w:t>
      </w:r>
    </w:p>
    <w:p w14:paraId="109AD39B" w14:textId="2640D111" w:rsidR="009B3384" w:rsidRDefault="00800862">
      <w:pPr>
        <w:rPr>
          <w:lang w:eastAsia="en-GB"/>
        </w:rPr>
      </w:pPr>
      <w:r>
        <w:rPr>
          <w:lang w:eastAsia="en-GB"/>
        </w:rPr>
        <w:t>Първичната крайна точка на проучването е клинична ремисия на седмица 8 от индукцията (дефинирана като скор по PCDAI ≤ 10). Процентът на пациентите, постигнали клинична ремисия, е 46,5% (47/101) и е сравним с този, наблюдаван в проучванията фаза 3 на устекинумаб при възрастни.</w:t>
      </w:r>
    </w:p>
    <w:p w14:paraId="109AD39C" w14:textId="77777777" w:rsidR="009B3384" w:rsidRDefault="009B3384">
      <w:pPr>
        <w:rPr>
          <w:lang w:eastAsia="en-GB"/>
        </w:rPr>
      </w:pPr>
    </w:p>
    <w:p w14:paraId="109AD39D" w14:textId="05AAEF4D" w:rsidR="009B3384" w:rsidRDefault="00800862">
      <w:pPr>
        <w:rPr>
          <w:lang w:eastAsia="en-GB"/>
        </w:rPr>
      </w:pPr>
      <w:r>
        <w:rPr>
          <w:lang w:eastAsia="en-GB"/>
        </w:rPr>
        <w:t>Клиничен отговор е наблюдаван още на седмица 3. Процентът на пациентите с клиничен отговор на седмица 8 (дефиниран като намаление спрямо изходното ниво на общия скор по PCDAI &gt;12,5 точки с общ скор по PCDAI не повече от 30) е 84,2% (85/10145).</w:t>
      </w:r>
    </w:p>
    <w:p w14:paraId="109AD39E" w14:textId="77777777" w:rsidR="009B3384" w:rsidRDefault="009B3384">
      <w:pPr>
        <w:rPr>
          <w:lang w:eastAsia="en-GB"/>
        </w:rPr>
      </w:pPr>
    </w:p>
    <w:p w14:paraId="109AD39F" w14:textId="77777777" w:rsidR="009B3384" w:rsidRDefault="00800862">
      <w:pPr>
        <w:rPr>
          <w:lang w:eastAsia="en-GB"/>
        </w:rPr>
      </w:pPr>
      <w:r>
        <w:rPr>
          <w:lang w:eastAsia="en-GB"/>
        </w:rPr>
        <w:lastRenderedPageBreak/>
        <w:t xml:space="preserve">От 101 пациенти, получили лечение с </w:t>
      </w:r>
      <w:proofErr w:type="spellStart"/>
      <w:r>
        <w:rPr>
          <w:lang w:val="en-US" w:eastAsia="en-GB"/>
        </w:rPr>
        <w:t>i</w:t>
      </w:r>
      <w:proofErr w:type="spellEnd"/>
      <w:r w:rsidRPr="00BC6A43">
        <w:rPr>
          <w:lang w:eastAsia="en-GB"/>
        </w:rPr>
        <w:t>.</w:t>
      </w:r>
      <w:r>
        <w:rPr>
          <w:lang w:val="en-US" w:eastAsia="en-GB"/>
        </w:rPr>
        <w:t>v</w:t>
      </w:r>
      <w:r w:rsidRPr="00BC6A43">
        <w:rPr>
          <w:lang w:eastAsia="en-GB"/>
        </w:rPr>
        <w:t>.</w:t>
      </w:r>
      <w:r>
        <w:rPr>
          <w:lang w:eastAsia="en-GB"/>
        </w:rPr>
        <w:t xml:space="preserve"> индукция, 97 (96,0%) се включват в поддържащия период, като 85 от тях са се повлияли от индукцията.</w:t>
      </w:r>
    </w:p>
    <w:p w14:paraId="109AD3A0" w14:textId="77777777" w:rsidR="009B3384" w:rsidRDefault="009B3384">
      <w:pPr>
        <w:rPr>
          <w:lang w:eastAsia="en-GB"/>
        </w:rPr>
      </w:pPr>
    </w:p>
    <w:p w14:paraId="109AD3A1" w14:textId="45A0CF86" w:rsidR="009B3384" w:rsidRDefault="00800862">
      <w:r>
        <w:rPr>
          <w:lang w:eastAsia="en-GB"/>
        </w:rPr>
        <w:t>В таблица 14 са представени анализите на вторичните крайни точки по време на поддържащата терапия до седмица 44.</w:t>
      </w:r>
    </w:p>
    <w:p w14:paraId="109AD3A2" w14:textId="77777777" w:rsidR="009B3384" w:rsidRDefault="009B3384"/>
    <w:p w14:paraId="109AD3A3" w14:textId="21D6839E" w:rsidR="009B3384" w:rsidRDefault="00800862">
      <w:pPr>
        <w:keepNext/>
        <w:ind w:left="1134" w:hanging="1134"/>
        <w:rPr>
          <w:i/>
          <w:iCs/>
        </w:rPr>
      </w:pPr>
      <w:r>
        <w:rPr>
          <w:i/>
          <w:iCs/>
        </w:rPr>
        <w:t>Таблица 14:</w:t>
      </w:r>
      <w:r>
        <w:rPr>
          <w:i/>
          <w:iCs/>
        </w:rPr>
        <w:tab/>
        <w:t>Резюме на вторичните крайни точки по време на поддържащото лечение седмица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9B3384" w14:paraId="109AD3AB" w14:textId="77777777">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D3A4" w14:textId="77777777" w:rsidR="009B3384" w:rsidRDefault="009B3384">
            <w:pPr>
              <w:keepNext/>
              <w:jc w:val="center"/>
              <w:rPr>
                <w:b/>
                <w:bCs/>
              </w:rPr>
            </w:pPr>
          </w:p>
        </w:tc>
        <w:tc>
          <w:tcPr>
            <w:tcW w:w="1836" w:type="dxa"/>
            <w:tcBorders>
              <w:top w:val="single" w:sz="6" w:space="0" w:color="auto"/>
              <w:left w:val="single" w:sz="6" w:space="0" w:color="auto"/>
              <w:bottom w:val="single" w:sz="6" w:space="0" w:color="auto"/>
              <w:right w:val="single" w:sz="6" w:space="0" w:color="auto"/>
            </w:tcBorders>
            <w:hideMark/>
          </w:tcPr>
          <w:p w14:paraId="109AD3A5" w14:textId="5EC1C36D" w:rsidR="009B3384" w:rsidRDefault="00800862">
            <w:pPr>
              <w:keepNext/>
              <w:tabs>
                <w:tab w:val="clear" w:pos="567"/>
              </w:tabs>
              <w:jc w:val="center"/>
              <w:textAlignment w:val="baseline"/>
              <w:rPr>
                <w:b/>
                <w:bCs/>
                <w:szCs w:val="22"/>
                <w:lang w:eastAsia="en-GB"/>
              </w:rPr>
            </w:pPr>
            <w:r>
              <w:rPr>
                <w:b/>
                <w:bCs/>
                <w:szCs w:val="22"/>
                <w:lang w:eastAsia="en-GB"/>
              </w:rPr>
              <w:t xml:space="preserve">90 mg </w:t>
            </w:r>
            <w:r>
              <w:rPr>
                <w:b/>
                <w:bCs/>
                <w:lang w:eastAsia="en-GB"/>
              </w:rPr>
              <w:t>или 60</w:t>
            </w:r>
            <w:r>
              <w:rPr>
                <w:b/>
                <w:bCs/>
                <w:lang w:val="en-US" w:eastAsia="en-GB"/>
              </w:rPr>
              <w:t> </w:t>
            </w:r>
            <w:r>
              <w:rPr>
                <w:b/>
                <w:bCs/>
                <w:lang w:eastAsia="en-GB"/>
              </w:rPr>
              <w:t>mg/m</w:t>
            </w:r>
            <w:r>
              <w:rPr>
                <w:b/>
                <w:bCs/>
                <w:vertAlign w:val="superscript"/>
                <w:lang w:eastAsia="en-GB"/>
              </w:rPr>
              <w:t xml:space="preserve">2 </w:t>
            </w:r>
            <w:r>
              <w:rPr>
                <w:b/>
                <w:bCs/>
                <w:szCs w:val="22"/>
                <w:lang w:eastAsia="en-GB"/>
              </w:rPr>
              <w:t>устекинумаб през 8 седмици</w:t>
            </w:r>
          </w:p>
          <w:p w14:paraId="109AD3A6" w14:textId="4A7320F6" w:rsidR="009B3384" w:rsidRDefault="00800862">
            <w:pPr>
              <w:keepNext/>
              <w:tabs>
                <w:tab w:val="clear" w:pos="567"/>
              </w:tabs>
              <w:jc w:val="center"/>
              <w:textAlignment w:val="baseline"/>
              <w:rPr>
                <w:szCs w:val="22"/>
                <w:lang w:eastAsia="en-GB"/>
              </w:rPr>
            </w:pPr>
            <w:r>
              <w:rPr>
                <w:b/>
                <w:bCs/>
                <w:szCs w:val="22"/>
                <w:lang w:eastAsia="en-GB"/>
              </w:rPr>
              <w:t>N = 41</w:t>
            </w:r>
          </w:p>
        </w:tc>
        <w:tc>
          <w:tcPr>
            <w:tcW w:w="1780" w:type="dxa"/>
            <w:tcBorders>
              <w:top w:val="single" w:sz="6" w:space="0" w:color="auto"/>
              <w:left w:val="single" w:sz="6" w:space="0" w:color="auto"/>
              <w:bottom w:val="single" w:sz="6" w:space="0" w:color="auto"/>
              <w:right w:val="single" w:sz="6" w:space="0" w:color="auto"/>
            </w:tcBorders>
            <w:hideMark/>
          </w:tcPr>
          <w:p w14:paraId="109AD3A7" w14:textId="3DC4660B" w:rsidR="009B3384" w:rsidRDefault="00800862">
            <w:pPr>
              <w:keepNext/>
              <w:tabs>
                <w:tab w:val="clear" w:pos="567"/>
              </w:tabs>
              <w:jc w:val="center"/>
              <w:textAlignment w:val="baseline"/>
              <w:rPr>
                <w:b/>
                <w:bCs/>
                <w:szCs w:val="22"/>
                <w:lang w:eastAsia="en-GB"/>
              </w:rPr>
            </w:pPr>
            <w:r>
              <w:rPr>
                <w:b/>
                <w:bCs/>
                <w:szCs w:val="22"/>
                <w:lang w:eastAsia="en-GB"/>
              </w:rPr>
              <w:t xml:space="preserve">90 mg </w:t>
            </w:r>
            <w:r>
              <w:rPr>
                <w:b/>
                <w:bCs/>
                <w:lang w:eastAsia="en-GB"/>
              </w:rPr>
              <w:t>или 60</w:t>
            </w:r>
            <w:r>
              <w:rPr>
                <w:b/>
                <w:bCs/>
                <w:lang w:val="en-US" w:eastAsia="en-GB"/>
              </w:rPr>
              <w:t> </w:t>
            </w:r>
            <w:r>
              <w:rPr>
                <w:b/>
                <w:bCs/>
                <w:lang w:eastAsia="en-GB"/>
              </w:rPr>
              <w:t>mg/m</w:t>
            </w:r>
            <w:r>
              <w:rPr>
                <w:b/>
                <w:bCs/>
                <w:vertAlign w:val="superscript"/>
                <w:lang w:eastAsia="en-GB"/>
              </w:rPr>
              <w:t xml:space="preserve">2 </w:t>
            </w:r>
            <w:r>
              <w:rPr>
                <w:b/>
                <w:bCs/>
                <w:szCs w:val="22"/>
                <w:lang w:eastAsia="en-GB"/>
              </w:rPr>
              <w:t>устекинумаб през 12 седмици</w:t>
            </w:r>
          </w:p>
          <w:p w14:paraId="109AD3A8" w14:textId="328B8452" w:rsidR="009B3384" w:rsidRDefault="00800862">
            <w:pPr>
              <w:keepNext/>
              <w:tabs>
                <w:tab w:val="clear" w:pos="567"/>
              </w:tabs>
              <w:jc w:val="center"/>
              <w:textAlignment w:val="baseline"/>
              <w:rPr>
                <w:b/>
                <w:bCs/>
                <w:szCs w:val="22"/>
                <w:lang w:eastAsia="en-GB"/>
              </w:rPr>
            </w:pPr>
            <w:r>
              <w:rPr>
                <w:b/>
                <w:bCs/>
                <w:szCs w:val="22"/>
                <w:lang w:eastAsia="en-GB"/>
              </w:rPr>
              <w:t>N = 44</w:t>
            </w:r>
          </w:p>
        </w:tc>
        <w:tc>
          <w:tcPr>
            <w:tcW w:w="2043" w:type="dxa"/>
            <w:gridSpan w:val="2"/>
            <w:tcBorders>
              <w:top w:val="single" w:sz="6" w:space="0" w:color="auto"/>
              <w:left w:val="single" w:sz="6" w:space="0" w:color="auto"/>
              <w:bottom w:val="single" w:sz="6" w:space="0" w:color="auto"/>
              <w:right w:val="single" w:sz="6" w:space="0" w:color="auto"/>
            </w:tcBorders>
            <w:hideMark/>
          </w:tcPr>
          <w:p w14:paraId="109AD3A9" w14:textId="77777777" w:rsidR="009B3384" w:rsidRDefault="00800862">
            <w:pPr>
              <w:keepNext/>
              <w:tabs>
                <w:tab w:val="clear" w:pos="567"/>
              </w:tabs>
              <w:jc w:val="center"/>
              <w:textAlignment w:val="baseline"/>
              <w:rPr>
                <w:b/>
                <w:bCs/>
                <w:szCs w:val="22"/>
                <w:lang w:eastAsia="en-GB"/>
              </w:rPr>
            </w:pPr>
            <w:r>
              <w:rPr>
                <w:b/>
                <w:bCs/>
                <w:szCs w:val="22"/>
                <w:lang w:eastAsia="en-GB"/>
              </w:rPr>
              <w:t>Общ брой пациенти</w:t>
            </w:r>
          </w:p>
          <w:p w14:paraId="109AD3AA" w14:textId="2D600CD7" w:rsidR="009B3384" w:rsidRDefault="00800862">
            <w:pPr>
              <w:keepNext/>
              <w:tabs>
                <w:tab w:val="clear" w:pos="567"/>
              </w:tabs>
              <w:jc w:val="center"/>
              <w:textAlignment w:val="baseline"/>
              <w:rPr>
                <w:b/>
                <w:bCs/>
                <w:szCs w:val="22"/>
                <w:lang w:eastAsia="en-GB"/>
              </w:rPr>
            </w:pPr>
            <w:r>
              <w:rPr>
                <w:b/>
                <w:bCs/>
                <w:szCs w:val="22"/>
                <w:lang w:eastAsia="en-GB"/>
              </w:rPr>
              <w:t>N = 85</w:t>
            </w:r>
          </w:p>
        </w:tc>
      </w:tr>
      <w:tr w:rsidR="009B3384" w14:paraId="109AD3B3"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D3AC" w14:textId="77777777" w:rsidR="009B3384" w:rsidRDefault="00800862">
            <w:pPr>
              <w:tabs>
                <w:tab w:val="clear" w:pos="567"/>
              </w:tabs>
              <w:textAlignment w:val="baseline"/>
              <w:rPr>
                <w:szCs w:val="22"/>
                <w:lang w:eastAsia="en-GB"/>
              </w:rPr>
            </w:pPr>
            <w:r>
              <w:rPr>
                <w:szCs w:val="22"/>
                <w:lang w:eastAsia="en-GB"/>
              </w:rPr>
              <w:t xml:space="preserve">Клинична ремисия </w:t>
            </w:r>
            <w:r>
              <w:rPr>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D3AE" w14:textId="263C6708" w:rsidR="009B3384" w:rsidRDefault="00800862">
            <w:pPr>
              <w:tabs>
                <w:tab w:val="clear" w:pos="567"/>
              </w:tabs>
              <w:jc w:val="center"/>
              <w:textAlignment w:val="baseline"/>
              <w:rPr>
                <w:szCs w:val="22"/>
                <w:lang w:eastAsia="en-GB"/>
              </w:rPr>
            </w:pPr>
            <w:r>
              <w:rPr>
                <w:lang w:val="en-GB" w:eastAsia="en-GB"/>
              </w:rPr>
              <w:t>48</w:t>
            </w:r>
            <w:r>
              <w:rPr>
                <w:lang w:eastAsia="en-GB"/>
              </w:rPr>
              <w:t>,</w:t>
            </w:r>
            <w:r>
              <w:rPr>
                <w:lang w:val="en-GB" w:eastAsia="en-GB"/>
              </w:rPr>
              <w:t>8% (20/41)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D3B0" w14:textId="77703B00" w:rsidR="009B3384" w:rsidRDefault="00800862">
            <w:pPr>
              <w:tabs>
                <w:tab w:val="clear" w:pos="567"/>
              </w:tabs>
              <w:jc w:val="center"/>
              <w:textAlignment w:val="baseline"/>
              <w:rPr>
                <w:szCs w:val="22"/>
                <w:lang w:eastAsia="en-GB"/>
              </w:rPr>
            </w:pPr>
            <w:r>
              <w:rPr>
                <w:lang w:eastAsia="en-GB"/>
              </w:rPr>
              <w:t>59,1%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D3B2" w14:textId="0463F0AD" w:rsidR="009B3384" w:rsidRDefault="00800862">
            <w:pPr>
              <w:tabs>
                <w:tab w:val="clear" w:pos="567"/>
              </w:tabs>
              <w:jc w:val="center"/>
              <w:textAlignment w:val="baseline"/>
              <w:rPr>
                <w:szCs w:val="22"/>
                <w:lang w:eastAsia="en-GB"/>
              </w:rPr>
            </w:pPr>
            <w:r>
              <w:rPr>
                <w:lang w:val="en-GB" w:eastAsia="en-GB"/>
              </w:rPr>
              <w:t>54</w:t>
            </w:r>
            <w:r>
              <w:rPr>
                <w:lang w:eastAsia="en-GB"/>
              </w:rPr>
              <w:t>,</w:t>
            </w:r>
            <w:r>
              <w:rPr>
                <w:lang w:val="en-GB" w:eastAsia="en-GB"/>
              </w:rPr>
              <w:t>1% (46/85)</w:t>
            </w:r>
          </w:p>
        </w:tc>
      </w:tr>
      <w:tr w:rsidR="009B3384" w14:paraId="109AD3BA"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D3B4" w14:textId="77777777" w:rsidR="009B3384" w:rsidRDefault="00800862">
            <w:pPr>
              <w:tabs>
                <w:tab w:val="clear" w:pos="567"/>
              </w:tabs>
              <w:textAlignment w:val="baseline"/>
              <w:rPr>
                <w:szCs w:val="22"/>
                <w:lang w:eastAsia="en-GB"/>
              </w:rPr>
            </w:pPr>
            <w:r>
              <w:rPr>
                <w:szCs w:val="22"/>
                <w:lang w:eastAsia="en-GB"/>
              </w:rPr>
              <w:t>Клинична ремисия</w:t>
            </w:r>
            <w:r>
              <w:rPr>
                <w:szCs w:val="22"/>
                <w:vertAlign w:val="superscript"/>
                <w:lang w:eastAsia="en-GB"/>
              </w:rPr>
              <w:t xml:space="preserve"> </w:t>
            </w:r>
            <w:r>
              <w:rPr>
                <w:szCs w:val="22"/>
                <w:lang w:eastAsia="en-GB"/>
              </w:rPr>
              <w:t>без кортикостероиди</w:t>
            </w:r>
            <w:r>
              <w:rPr>
                <w:szCs w:val="22"/>
                <w:vertAlign w:val="superscript"/>
                <w:lang w:eastAsia="en-GB"/>
              </w:rPr>
              <w:t>§</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D3B6" w14:textId="7EB3EFE1" w:rsidR="009B3384" w:rsidRDefault="00800862">
            <w:pPr>
              <w:tabs>
                <w:tab w:val="clear" w:pos="567"/>
              </w:tabs>
              <w:jc w:val="center"/>
              <w:textAlignment w:val="baseline"/>
              <w:rPr>
                <w:szCs w:val="22"/>
                <w:lang w:eastAsia="en-GB"/>
              </w:rPr>
            </w:pPr>
            <w:r>
              <w:rPr>
                <w:lang w:val="en-GB" w:eastAsia="en-GB"/>
              </w:rPr>
              <w:t>46</w:t>
            </w:r>
            <w:r>
              <w:rPr>
                <w:lang w:eastAsia="en-GB"/>
              </w:rPr>
              <w:t>,</w:t>
            </w:r>
            <w:r>
              <w:rPr>
                <w:lang w:val="en-GB" w:eastAsia="en-GB"/>
              </w:rPr>
              <w:t>3% (19/41)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D3B7" w14:textId="1037D844" w:rsidR="009B3384" w:rsidRDefault="00800862">
            <w:pPr>
              <w:tabs>
                <w:tab w:val="clear" w:pos="567"/>
              </w:tabs>
              <w:jc w:val="center"/>
              <w:textAlignment w:val="baseline"/>
              <w:rPr>
                <w:szCs w:val="22"/>
                <w:lang w:eastAsia="en-GB"/>
              </w:rPr>
            </w:pPr>
            <w:r>
              <w:rPr>
                <w:lang w:val="en-GB" w:eastAsia="en-GB"/>
              </w:rPr>
              <w:t>59</w:t>
            </w:r>
            <w:r>
              <w:rPr>
                <w:lang w:eastAsia="en-GB"/>
              </w:rPr>
              <w:t>,</w:t>
            </w:r>
            <w:r>
              <w:rPr>
                <w:lang w:val="en-GB" w:eastAsia="en-GB"/>
              </w:rPr>
              <w:t>1%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D3B9" w14:textId="7805B170" w:rsidR="009B3384" w:rsidRDefault="00800862">
            <w:pPr>
              <w:tabs>
                <w:tab w:val="clear" w:pos="567"/>
              </w:tabs>
              <w:jc w:val="center"/>
              <w:textAlignment w:val="baseline"/>
              <w:rPr>
                <w:szCs w:val="22"/>
                <w:lang w:eastAsia="en-GB"/>
              </w:rPr>
            </w:pPr>
            <w:r>
              <w:rPr>
                <w:lang w:val="en-GB" w:eastAsia="en-GB"/>
              </w:rPr>
              <w:t>52</w:t>
            </w:r>
            <w:r>
              <w:rPr>
                <w:lang w:eastAsia="en-GB"/>
              </w:rPr>
              <w:t>,</w:t>
            </w:r>
            <w:r>
              <w:rPr>
                <w:lang w:val="en-GB" w:eastAsia="en-GB"/>
              </w:rPr>
              <w:t>9% (45/85)</w:t>
            </w:r>
          </w:p>
        </w:tc>
      </w:tr>
      <w:tr w:rsidR="009B3384" w14:paraId="109AD3C2"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D3BB" w14:textId="77777777" w:rsidR="009B3384" w:rsidRDefault="00800862">
            <w:pPr>
              <w:tabs>
                <w:tab w:val="clear" w:pos="567"/>
              </w:tabs>
              <w:textAlignment w:val="baseline"/>
              <w:rPr>
                <w:szCs w:val="22"/>
                <w:lang w:eastAsia="en-GB"/>
              </w:rPr>
            </w:pPr>
            <w:r>
              <w:rPr>
                <w:szCs w:val="22"/>
                <w:lang w:eastAsia="en-GB"/>
              </w:rPr>
              <w:t>Клинична ремисия при пациенти, които са били в клинична ремисия при индукцията седмица 8</w:t>
            </w:r>
            <w:r>
              <w:rPr>
                <w:szCs w:val="22"/>
                <w:vertAlign w:val="superscript"/>
                <w:lang w:eastAsia="en-GB"/>
              </w:rPr>
              <w:t xml:space="preserve"> *</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D3BD" w14:textId="5F5A030F" w:rsidR="009B3384" w:rsidRPr="00BC6A43" w:rsidRDefault="00800862">
            <w:pPr>
              <w:tabs>
                <w:tab w:val="clear" w:pos="567"/>
              </w:tabs>
              <w:jc w:val="center"/>
              <w:textAlignment w:val="baseline"/>
              <w:rPr>
                <w:szCs w:val="22"/>
                <w:lang w:val="en-US" w:eastAsia="en-GB"/>
              </w:rPr>
            </w:pPr>
            <w:r>
              <w:rPr>
                <w:lang w:val="en-GB" w:eastAsia="en-GB"/>
              </w:rPr>
              <w:t>73</w:t>
            </w:r>
            <w:r>
              <w:rPr>
                <w:lang w:eastAsia="en-GB"/>
              </w:rPr>
              <w:t>,</w:t>
            </w:r>
            <w:r>
              <w:rPr>
                <w:lang w:val="en-GB" w:eastAsia="en-GB"/>
              </w:rPr>
              <w:t>9% (17/23)</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D3BF" w14:textId="3FAB5056" w:rsidR="009B3384" w:rsidRDefault="00800862">
            <w:pPr>
              <w:tabs>
                <w:tab w:val="clear" w:pos="567"/>
              </w:tabs>
              <w:jc w:val="center"/>
              <w:textAlignment w:val="baseline"/>
              <w:rPr>
                <w:szCs w:val="22"/>
                <w:lang w:eastAsia="en-GB"/>
              </w:rPr>
            </w:pPr>
            <w:r>
              <w:rPr>
                <w:lang w:val="en-GB" w:eastAsia="en-GB"/>
              </w:rPr>
              <w:t>62</w:t>
            </w:r>
            <w:r>
              <w:rPr>
                <w:lang w:eastAsia="en-GB"/>
              </w:rPr>
              <w:t>,</w:t>
            </w:r>
            <w:r>
              <w:rPr>
                <w:lang w:val="en-GB" w:eastAsia="en-GB"/>
              </w:rPr>
              <w:t>5% (15/24)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D3C1" w14:textId="6A9F6C1B" w:rsidR="009B3384" w:rsidRDefault="00800862">
            <w:pPr>
              <w:tabs>
                <w:tab w:val="clear" w:pos="567"/>
              </w:tabs>
              <w:jc w:val="center"/>
              <w:textAlignment w:val="baseline"/>
              <w:rPr>
                <w:szCs w:val="22"/>
                <w:lang w:eastAsia="en-GB"/>
              </w:rPr>
            </w:pPr>
            <w:r>
              <w:rPr>
                <w:lang w:val="en-GB" w:eastAsia="en-GB"/>
              </w:rPr>
              <w:t>68</w:t>
            </w:r>
            <w:r>
              <w:rPr>
                <w:lang w:eastAsia="en-GB"/>
              </w:rPr>
              <w:t>,</w:t>
            </w:r>
            <w:r>
              <w:rPr>
                <w:lang w:val="en-GB" w:eastAsia="en-GB"/>
              </w:rPr>
              <w:t>1% (32/47)</w:t>
            </w:r>
          </w:p>
        </w:tc>
      </w:tr>
      <w:tr w:rsidR="009B3384" w14:paraId="109AD3CA"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D3C3" w14:textId="77777777" w:rsidR="009B3384" w:rsidRDefault="00800862">
            <w:pPr>
              <w:tabs>
                <w:tab w:val="clear" w:pos="567"/>
              </w:tabs>
              <w:textAlignment w:val="baseline"/>
              <w:rPr>
                <w:szCs w:val="22"/>
                <w:lang w:eastAsia="en-GB"/>
              </w:rPr>
            </w:pPr>
            <w:r>
              <w:rPr>
                <w:szCs w:val="22"/>
                <w:lang w:eastAsia="en-GB"/>
              </w:rPr>
              <w:t xml:space="preserve">Клиничен отговор </w:t>
            </w:r>
            <w:r>
              <w:rPr>
                <w:szCs w:val="22"/>
                <w:vertAlign w:val="superscript"/>
                <w:lang w:eastAsia="en-GB"/>
              </w:rPr>
              <w:t>†</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D3C5" w14:textId="70AA496A" w:rsidR="009B3384" w:rsidRDefault="00800862">
            <w:pPr>
              <w:tabs>
                <w:tab w:val="clear" w:pos="567"/>
              </w:tabs>
              <w:jc w:val="center"/>
              <w:textAlignment w:val="baseline"/>
              <w:rPr>
                <w:szCs w:val="22"/>
                <w:lang w:eastAsia="en-GB"/>
              </w:rPr>
            </w:pPr>
            <w:r>
              <w:rPr>
                <w:szCs w:val="22"/>
                <w:lang w:eastAsia="en-GB"/>
              </w:rPr>
              <w:t>56,1% (23/41)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D3C7" w14:textId="5F2A1819" w:rsidR="009B3384" w:rsidRDefault="00800862">
            <w:pPr>
              <w:tabs>
                <w:tab w:val="clear" w:pos="567"/>
              </w:tabs>
              <w:jc w:val="center"/>
              <w:textAlignment w:val="baseline"/>
              <w:rPr>
                <w:szCs w:val="22"/>
                <w:lang w:eastAsia="en-GB"/>
              </w:rPr>
            </w:pPr>
            <w:r>
              <w:rPr>
                <w:lang w:val="en-GB" w:eastAsia="en-GB"/>
              </w:rPr>
              <w:t>63</w:t>
            </w:r>
            <w:r>
              <w:rPr>
                <w:lang w:eastAsia="en-GB"/>
              </w:rPr>
              <w:t>,</w:t>
            </w:r>
            <w:r>
              <w:rPr>
                <w:lang w:val="en-GB" w:eastAsia="en-GB"/>
              </w:rPr>
              <w:t>6% (28/44)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D3C9" w14:textId="1E54F3D3" w:rsidR="009B3384" w:rsidRDefault="00800862">
            <w:pPr>
              <w:tabs>
                <w:tab w:val="clear" w:pos="567"/>
              </w:tabs>
              <w:jc w:val="center"/>
              <w:textAlignment w:val="baseline"/>
              <w:rPr>
                <w:szCs w:val="22"/>
                <w:lang w:eastAsia="en-GB"/>
              </w:rPr>
            </w:pPr>
            <w:r>
              <w:rPr>
                <w:lang w:val="en-GB" w:eastAsia="en-GB"/>
              </w:rPr>
              <w:t>60</w:t>
            </w:r>
            <w:r>
              <w:rPr>
                <w:lang w:eastAsia="en-GB"/>
              </w:rPr>
              <w:t>,</w:t>
            </w:r>
            <w:r>
              <w:rPr>
                <w:lang w:val="en-GB" w:eastAsia="en-GB"/>
              </w:rPr>
              <w:t>0% (51/85)</w:t>
            </w:r>
          </w:p>
        </w:tc>
      </w:tr>
      <w:tr w:rsidR="009B3384" w14:paraId="109AD3D2" w14:textId="77777777" w:rsidTr="00BC6A43">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109AD3CB" w14:textId="77777777" w:rsidR="009B3384" w:rsidRDefault="00800862">
            <w:pPr>
              <w:tabs>
                <w:tab w:val="clear" w:pos="567"/>
              </w:tabs>
              <w:textAlignment w:val="baseline"/>
              <w:rPr>
                <w:szCs w:val="22"/>
                <w:lang w:eastAsia="en-GB"/>
              </w:rPr>
            </w:pPr>
            <w:r>
              <w:rPr>
                <w:szCs w:val="22"/>
                <w:lang w:eastAsia="en-GB"/>
              </w:rPr>
              <w:t xml:space="preserve">Ендоскопски отговор </w:t>
            </w:r>
            <w:r>
              <w:rPr>
                <w:szCs w:val="22"/>
                <w:vertAlign w:val="superscript"/>
                <w:lang w:eastAsia="en-GB"/>
              </w:rPr>
              <w:t>£</w:t>
            </w:r>
            <w:r>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109AD3CD" w14:textId="67FAA469" w:rsidR="009B3384" w:rsidRDefault="00800862">
            <w:pPr>
              <w:tabs>
                <w:tab w:val="clear" w:pos="567"/>
              </w:tabs>
              <w:jc w:val="center"/>
              <w:textAlignment w:val="baseline"/>
              <w:rPr>
                <w:szCs w:val="22"/>
                <w:lang w:eastAsia="en-GB"/>
              </w:rPr>
            </w:pPr>
            <w:r>
              <w:rPr>
                <w:lang w:val="en-GB" w:eastAsia="en-GB"/>
              </w:rPr>
              <w:t>25</w:t>
            </w:r>
            <w:r>
              <w:rPr>
                <w:lang w:eastAsia="en-GB"/>
              </w:rPr>
              <w:t>,</w:t>
            </w:r>
            <w:r>
              <w:rPr>
                <w:lang w:val="en-GB" w:eastAsia="en-GB"/>
              </w:rPr>
              <w:t>0% (10/40)</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09AD3CF" w14:textId="40F5932A" w:rsidR="009B3384" w:rsidRDefault="00800862">
            <w:pPr>
              <w:tabs>
                <w:tab w:val="clear" w:pos="567"/>
              </w:tabs>
              <w:jc w:val="center"/>
              <w:textAlignment w:val="baseline"/>
              <w:rPr>
                <w:szCs w:val="22"/>
                <w:lang w:eastAsia="en-GB"/>
              </w:rPr>
            </w:pPr>
            <w:r>
              <w:rPr>
                <w:lang w:val="en-GB" w:eastAsia="en-GB"/>
              </w:rPr>
              <w:t>30</w:t>
            </w:r>
            <w:r>
              <w:rPr>
                <w:lang w:eastAsia="en-GB"/>
              </w:rPr>
              <w:t>,</w:t>
            </w:r>
            <w:r>
              <w:rPr>
                <w:lang w:val="en-GB" w:eastAsia="en-GB"/>
              </w:rPr>
              <w:t>2% (13/43)</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109AD3D1" w14:textId="413F8AC2" w:rsidR="009B3384" w:rsidRDefault="00800862">
            <w:pPr>
              <w:tabs>
                <w:tab w:val="clear" w:pos="567"/>
              </w:tabs>
              <w:jc w:val="center"/>
              <w:textAlignment w:val="baseline"/>
              <w:rPr>
                <w:szCs w:val="22"/>
                <w:lang w:eastAsia="en-GB"/>
              </w:rPr>
            </w:pPr>
            <w:r>
              <w:rPr>
                <w:lang w:val="en-GB" w:eastAsia="en-GB"/>
              </w:rPr>
              <w:t>27</w:t>
            </w:r>
            <w:r>
              <w:rPr>
                <w:lang w:eastAsia="en-GB"/>
              </w:rPr>
              <w:t>,</w:t>
            </w:r>
            <w:r>
              <w:rPr>
                <w:lang w:val="en-GB" w:eastAsia="en-GB"/>
              </w:rPr>
              <w:t>7% (23/83)</w:t>
            </w:r>
          </w:p>
        </w:tc>
      </w:tr>
      <w:tr w:rsidR="009B3384" w14:paraId="109AD3D7" w14:textId="77777777">
        <w:trPr>
          <w:gridAfter w:val="1"/>
          <w:wAfter w:w="8" w:type="dxa"/>
          <w:cantSplit/>
          <w:jc w:val="center"/>
        </w:trPr>
        <w:tc>
          <w:tcPr>
            <w:tcW w:w="9072" w:type="dxa"/>
            <w:gridSpan w:val="4"/>
            <w:tcBorders>
              <w:top w:val="single" w:sz="6" w:space="0" w:color="auto"/>
              <w:left w:val="nil"/>
              <w:bottom w:val="nil"/>
              <w:right w:val="nil"/>
            </w:tcBorders>
          </w:tcPr>
          <w:p w14:paraId="109AD3D3" w14:textId="77777777" w:rsidR="009B3384" w:rsidRDefault="00800862">
            <w:pPr>
              <w:autoSpaceDE w:val="0"/>
              <w:autoSpaceDN w:val="0"/>
              <w:adjustRightInd w:val="0"/>
              <w:ind w:left="284" w:hanging="284"/>
              <w:rPr>
                <w:sz w:val="18"/>
                <w:szCs w:val="18"/>
              </w:rPr>
            </w:pPr>
            <w:r>
              <w:rPr>
                <w:sz w:val="18"/>
                <w:szCs w:val="18"/>
              </w:rPr>
              <w:t>*</w:t>
            </w:r>
            <w:r>
              <w:rPr>
                <w:sz w:val="18"/>
                <w:szCs w:val="18"/>
              </w:rPr>
              <w:tab/>
              <w:t>Клиничната ремисия е дефинирана като скор по PCDAI ≤10 точки.</w:t>
            </w:r>
          </w:p>
          <w:p w14:paraId="109AD3D4" w14:textId="4B9CD10C" w:rsidR="009B3384" w:rsidRDefault="00800862">
            <w:pPr>
              <w:autoSpaceDE w:val="0"/>
              <w:autoSpaceDN w:val="0"/>
              <w:adjustRightInd w:val="0"/>
              <w:ind w:left="284" w:hanging="284"/>
              <w:rPr>
                <w:sz w:val="18"/>
                <w:szCs w:val="18"/>
              </w:rPr>
            </w:pPr>
            <w:r>
              <w:rPr>
                <w:szCs w:val="22"/>
                <w:vertAlign w:val="superscript"/>
              </w:rPr>
              <w:t>§</w:t>
            </w:r>
            <w:r>
              <w:rPr>
                <w:sz w:val="18"/>
                <w:szCs w:val="18"/>
              </w:rPr>
              <w:tab/>
              <w:t>Ремисия без кортикостероиди е дефинирана като скор по PCDAI ≤10 точки и без прием на кортикостероиди в продължение на поне 90 дни преди поддържането на седмица 44.</w:t>
            </w:r>
          </w:p>
          <w:p w14:paraId="109AD3D5" w14:textId="77777777" w:rsidR="009B3384" w:rsidRDefault="00800862">
            <w:pPr>
              <w:autoSpaceDE w:val="0"/>
              <w:autoSpaceDN w:val="0"/>
              <w:adjustRightInd w:val="0"/>
              <w:ind w:left="284" w:hanging="284"/>
              <w:rPr>
                <w:sz w:val="18"/>
                <w:szCs w:val="18"/>
              </w:rPr>
            </w:pPr>
            <w:r>
              <w:rPr>
                <w:szCs w:val="22"/>
                <w:vertAlign w:val="superscript"/>
              </w:rPr>
              <w:t>†</w:t>
            </w:r>
            <w:r>
              <w:rPr>
                <w:sz w:val="18"/>
                <w:szCs w:val="18"/>
              </w:rPr>
              <w:tab/>
              <w:t>Клиничният отговор е дефиниран като намаление спрямо изходното ниво на скор по PCDAI ≥12,5 точки с общ скор по PCDAI не повече от 30.</w:t>
            </w:r>
          </w:p>
          <w:p w14:paraId="109AD3D6" w14:textId="77777777" w:rsidR="009B3384" w:rsidRDefault="00800862">
            <w:pPr>
              <w:autoSpaceDE w:val="0"/>
              <w:autoSpaceDN w:val="0"/>
              <w:adjustRightInd w:val="0"/>
              <w:ind w:left="284" w:hanging="284"/>
              <w:rPr>
                <w:szCs w:val="22"/>
                <w:lang w:eastAsia="en-GB"/>
              </w:rPr>
            </w:pPr>
            <w:r>
              <w:rPr>
                <w:szCs w:val="22"/>
                <w:vertAlign w:val="superscript"/>
              </w:rPr>
              <w:t>£</w:t>
            </w:r>
            <w:r>
              <w:rPr>
                <w:sz w:val="18"/>
                <w:szCs w:val="18"/>
              </w:rPr>
              <w:tab/>
              <w:t>Ендоскопският отговор е дефиниран като намаление на скора SES-CD ≥50% или скор SES-CD ≤2 при пациенти с изходен скор SES-CD≥3.</w:t>
            </w:r>
          </w:p>
        </w:tc>
      </w:tr>
    </w:tbl>
    <w:p w14:paraId="109AD3D8" w14:textId="77777777" w:rsidR="009B3384" w:rsidRDefault="009B3384"/>
    <w:p w14:paraId="109AD3D9" w14:textId="77777777" w:rsidR="009B3384" w:rsidRPr="00BC6A43" w:rsidRDefault="00800862">
      <w:pPr>
        <w:rPr>
          <w:i/>
          <w:iCs/>
        </w:rPr>
      </w:pPr>
      <w:r w:rsidRPr="00BC6A43">
        <w:rPr>
          <w:i/>
          <w:iCs/>
        </w:rPr>
        <w:t>Коригиране на честотата на приложение</w:t>
      </w:r>
    </w:p>
    <w:p w14:paraId="109AD3DA" w14:textId="5A0C9080" w:rsidR="009B3384" w:rsidRDefault="00800862">
      <w:r>
        <w:t xml:space="preserve">Пациентите, които преминават на поддържащо лечение и имат загуба на отговор </w:t>
      </w:r>
      <w:del w:id="958" w:author="EUCP BE1" w:date="2026-05-19T16:58:00Z">
        <w:r w:rsidDel="00F72194">
          <w:delText xml:space="preserve"> </w:delText>
        </w:r>
      </w:del>
      <w:r>
        <w:t>въз основа на скора по PCDAI, отговарят на условията за коригиране на дозата. Пациентите или преминават от лечение на всеки 12 седмици на всеки 8 седмици, или остават на лечение на всеки 8 седмици (плацебо корекция). 2 пациенти са с коригирана доза към по-краткия интервал на приложение. При тези пациенти клинична ремисия е постигната при 100% (2/2) от пациентите 8 седмици след коригиране на дозата.</w:t>
      </w:r>
    </w:p>
    <w:p w14:paraId="109AD3DB" w14:textId="77777777" w:rsidR="009B3384" w:rsidRDefault="009B3384"/>
    <w:p w14:paraId="109AD3DC" w14:textId="2C2FD612" w:rsidR="009B3384" w:rsidRDefault="00800862">
      <w:r>
        <w:t>Пациентите, лекувани с двете схеми на лечение (лечение на всеки 12 седмици или на всеки 8 седмици), които не се повлияват от поддържащото лечение до седмица 8 или които имат загуба на отговор и имат ниски нива на устекинумаб (стационарно състояние на седмица 8 при най-ниска концентрация на устекинумаб &lt;1,4</w:t>
      </w:r>
      <w:r>
        <w:rPr>
          <w:lang w:val="en-US"/>
        </w:rPr>
        <w:t> </w:t>
      </w:r>
      <w:r>
        <w:t>µg/ml), са подходящи за включване в доброволно подпроучване за оптимизиране на експозицията. Това е открито подпроучване с продължителност минимум 16 седмици с подкожно поддържащо лечение с 90</w:t>
      </w:r>
      <w:r>
        <w:rPr>
          <w:lang w:val="en-US"/>
        </w:rPr>
        <w:t> </w:t>
      </w:r>
      <w:r>
        <w:t>mg устекинумаб или 60</w:t>
      </w:r>
      <w:r>
        <w:rPr>
          <w:lang w:val="en-US"/>
        </w:rPr>
        <w:t> </w:t>
      </w:r>
      <w:r>
        <w:t>mg/m</w:t>
      </w:r>
      <w:r>
        <w:rPr>
          <w:vertAlign w:val="superscript"/>
        </w:rPr>
        <w:t>2</w:t>
      </w:r>
      <w:r>
        <w:t xml:space="preserve"> (въз основа на BSA), прилаган на всеки 4 седмици. Общо 26 пациенти са включени в подпроучването. От участващите пациенти, 11 (42,3%) премин</w:t>
      </w:r>
      <w:r>
        <w:rPr>
          <w:lang w:val="en-US"/>
        </w:rPr>
        <w:t>a</w:t>
      </w:r>
      <w:r>
        <w:t xml:space="preserve">ват от </w:t>
      </w:r>
      <w:ins w:id="959" w:author="Reviser" w:date="2026-04-29T20:32:00Z">
        <w:del w:id="960" w:author="RABG09" w:date="2026-07-15T12:44:00Z" w16du:dateUtc="2026-07-15T09:44:00Z">
          <w:r w:rsidR="00E259ED" w:rsidDel="00294263">
            <w:delText>дозиране на всеки</w:delText>
          </w:r>
        </w:del>
      </w:ins>
      <w:ins w:id="961" w:author="RABG09" w:date="2026-07-15T12:44:00Z" w16du:dateUtc="2026-07-15T09:44:00Z">
        <w:r w:rsidR="00294263">
          <w:t>прилагане веднъж на</w:t>
        </w:r>
      </w:ins>
      <w:ins w:id="962" w:author="Reviser" w:date="2026-04-29T20:32:00Z">
        <w:r w:rsidR="00E259ED">
          <w:t xml:space="preserve"> </w:t>
        </w:r>
      </w:ins>
      <w:r>
        <w:t>12</w:t>
      </w:r>
      <w:del w:id="963" w:author="Reviser" w:date="2026-04-29T20:32:00Z">
        <w:r w:rsidDel="00E259ED">
          <w:delText>-</w:delText>
        </w:r>
      </w:del>
      <w:ins w:id="964" w:author="Reviser" w:date="2026-04-29T20:32:00Z">
        <w:r w:rsidR="00E259ED">
          <w:t xml:space="preserve"> </w:t>
        </w:r>
      </w:ins>
      <w:r>
        <w:t>седми</w:t>
      </w:r>
      <w:del w:id="965" w:author="Reviser" w:date="2026-04-29T20:32:00Z">
        <w:r w:rsidDel="00E259ED">
          <w:delText>чно</w:delText>
        </w:r>
      </w:del>
      <w:ins w:id="966" w:author="Reviser" w:date="2026-04-29T20:32:00Z">
        <w:r w:rsidR="00E259ED">
          <w:t>ци</w:t>
        </w:r>
      </w:ins>
      <w:r>
        <w:t xml:space="preserve"> </w:t>
      </w:r>
      <w:ins w:id="967" w:author="Reviser" w:date="2026-04-29T20:32:00Z">
        <w:r w:rsidR="00E259ED">
          <w:t xml:space="preserve">към </w:t>
        </w:r>
      </w:ins>
      <w:ins w:id="968" w:author="Reviser" w:date="2026-04-29T20:33:00Z">
        <w:del w:id="969" w:author="RABG09" w:date="2026-07-15T12:45:00Z" w16du:dateUtc="2026-07-15T09:45:00Z">
          <w:r w:rsidR="00E259ED" w:rsidDel="00DE1C36">
            <w:delText>дозиране</w:delText>
          </w:r>
        </w:del>
      </w:ins>
      <w:ins w:id="970" w:author="RABG09" w:date="2026-07-15T12:45:00Z" w16du:dateUtc="2026-07-15T09:45:00Z">
        <w:r w:rsidR="00DE1C36">
          <w:t>веднъж</w:t>
        </w:r>
      </w:ins>
      <w:ins w:id="971" w:author="Reviser" w:date="2026-04-29T20:33:00Z">
        <w:r w:rsidR="00E259ED">
          <w:t xml:space="preserve"> на </w:t>
        </w:r>
        <w:del w:id="972" w:author="RABG09" w:date="2026-07-15T12:45:00Z" w16du:dateUtc="2026-07-15T09:45:00Z">
          <w:r w:rsidR="00E259ED" w:rsidDel="00DE1C36">
            <w:delText xml:space="preserve">всеки </w:delText>
          </w:r>
        </w:del>
      </w:ins>
      <w:del w:id="973" w:author="RABG09" w:date="2026-07-15T12:45:00Z" w16du:dateUtc="2026-07-15T09:45:00Z">
        <w:r w:rsidDel="00DE1C36">
          <w:delText>н</w:delText>
        </w:r>
      </w:del>
      <w:del w:id="974" w:author="Reviser" w:date="2026-04-29T20:33:00Z">
        <w:r w:rsidDel="00E259ED">
          <w:delText xml:space="preserve">а </w:delText>
        </w:r>
      </w:del>
      <w:r>
        <w:t>4</w:t>
      </w:r>
      <w:del w:id="975" w:author="Reviser" w:date="2026-04-29T20:33:00Z">
        <w:r w:rsidDel="00E259ED">
          <w:delText>-</w:delText>
        </w:r>
      </w:del>
      <w:ins w:id="976" w:author="Reviser" w:date="2026-04-29T20:33:00Z">
        <w:r w:rsidR="00E259ED">
          <w:t xml:space="preserve"> </w:t>
        </w:r>
      </w:ins>
      <w:r>
        <w:t>седми</w:t>
      </w:r>
      <w:del w:id="977" w:author="Reviser" w:date="2026-04-29T20:33:00Z">
        <w:r w:rsidDel="00E259ED">
          <w:delText>чно</w:delText>
        </w:r>
      </w:del>
      <w:ins w:id="978" w:author="Reviser" w:date="2026-04-29T20:33:00Z">
        <w:r w:rsidR="00E259ED">
          <w:t>ци</w:t>
        </w:r>
      </w:ins>
      <w:del w:id="979" w:author="Reviser" w:date="2026-04-29T20:32:00Z">
        <w:r w:rsidDel="00E259ED">
          <w:delText xml:space="preserve"> дозиране</w:delText>
        </w:r>
      </w:del>
      <w:r>
        <w:t xml:space="preserve">, а 15 (57,7%) преминават от </w:t>
      </w:r>
      <w:ins w:id="980" w:author="Reviser" w:date="2026-04-29T20:34:00Z">
        <w:del w:id="981" w:author="RABG09" w:date="2026-07-15T12:45:00Z" w16du:dateUtc="2026-07-15T09:45:00Z">
          <w:r w:rsidR="00E259ED" w:rsidDel="00066480">
            <w:delText>дозиране</w:delText>
          </w:r>
        </w:del>
      </w:ins>
      <w:ins w:id="982" w:author="RABG09" w:date="2026-07-15T12:45:00Z" w16du:dateUtc="2026-07-15T09:45:00Z">
        <w:r w:rsidR="00066480">
          <w:t>прилагане</w:t>
        </w:r>
      </w:ins>
      <w:ins w:id="983" w:author="Reviser" w:date="2026-04-29T20:34:00Z">
        <w:r w:rsidR="00E259ED">
          <w:t xml:space="preserve"> </w:t>
        </w:r>
      </w:ins>
      <w:ins w:id="984" w:author="RABG09" w:date="2026-07-15T12:45:00Z" w16du:dateUtc="2026-07-15T09:45:00Z">
        <w:r w:rsidR="00066480">
          <w:t xml:space="preserve">веднъж </w:t>
        </w:r>
      </w:ins>
      <w:ins w:id="985" w:author="Reviser" w:date="2026-04-29T20:34:00Z">
        <w:r w:rsidR="00E259ED">
          <w:t xml:space="preserve">на </w:t>
        </w:r>
        <w:del w:id="986" w:author="RABG09" w:date="2026-07-15T12:46:00Z" w16du:dateUtc="2026-07-15T09:46:00Z">
          <w:r w:rsidR="00E259ED" w:rsidDel="00066480">
            <w:delText xml:space="preserve">всеки </w:delText>
          </w:r>
        </w:del>
      </w:ins>
      <w:r>
        <w:t>8</w:t>
      </w:r>
      <w:ins w:id="987" w:author="RABG09" w:date="2026-07-15T12:47:00Z" w16du:dateUtc="2026-07-15T09:47:00Z">
        <w:r w:rsidR="00095C02">
          <w:t xml:space="preserve"> </w:t>
        </w:r>
      </w:ins>
      <w:del w:id="988" w:author="RABG09" w:date="2026-07-15T12:47:00Z" w16du:dateUtc="2026-07-15T09:47:00Z">
        <w:r w:rsidDel="00095C02">
          <w:delText>-</w:delText>
        </w:r>
      </w:del>
      <w:r>
        <w:t>седми</w:t>
      </w:r>
      <w:del w:id="989" w:author="Reviser" w:date="2026-04-29T20:34:00Z">
        <w:r w:rsidDel="00E259ED">
          <w:delText>чно</w:delText>
        </w:r>
      </w:del>
      <w:ins w:id="990" w:author="Reviser" w:date="2026-04-29T20:34:00Z">
        <w:r w:rsidR="00E259ED">
          <w:t>ци</w:t>
        </w:r>
      </w:ins>
      <w:r>
        <w:t xml:space="preserve"> </w:t>
      </w:r>
      <w:ins w:id="991" w:author="Reviser" w:date="2026-04-29T20:35:00Z">
        <w:r w:rsidR="00E259ED">
          <w:t xml:space="preserve">към </w:t>
        </w:r>
      </w:ins>
      <w:ins w:id="992" w:author="RABG09" w:date="2026-07-15T12:46:00Z" w16du:dateUtc="2026-07-15T09:46:00Z">
        <w:r w:rsidR="0051388A">
          <w:t>веднъж</w:t>
        </w:r>
      </w:ins>
      <w:ins w:id="993" w:author="Reviser" w:date="2026-04-29T20:35:00Z">
        <w:del w:id="994" w:author="RABG09" w:date="2026-07-15T12:46:00Z" w16du:dateUtc="2026-07-15T09:46:00Z">
          <w:r w:rsidR="00E259ED" w:rsidDel="0051388A">
            <w:delText>дозиран</w:delText>
          </w:r>
        </w:del>
        <w:r w:rsidR="00E259ED">
          <w:t xml:space="preserve">е на </w:t>
        </w:r>
        <w:del w:id="995" w:author="RABG09" w:date="2026-07-15T12:46:00Z" w16du:dateUtc="2026-07-15T09:46:00Z">
          <w:r w:rsidR="00E259ED" w:rsidDel="0051388A">
            <w:delText xml:space="preserve">всеки </w:delText>
          </w:r>
        </w:del>
      </w:ins>
      <w:del w:id="996" w:author="RABG09" w:date="2026-07-15T12:46:00Z" w16du:dateUtc="2026-07-15T09:46:00Z">
        <w:r w:rsidDel="0051388A">
          <w:delText>н</w:delText>
        </w:r>
      </w:del>
      <w:del w:id="997" w:author="Reviser" w:date="2026-04-29T20:35:00Z">
        <w:r w:rsidDel="00E259ED">
          <w:delText xml:space="preserve">а </w:delText>
        </w:r>
      </w:del>
      <w:r>
        <w:t>4</w:t>
      </w:r>
      <w:del w:id="998" w:author="Reviser" w:date="2026-04-29T20:35:00Z">
        <w:r w:rsidDel="00E259ED">
          <w:delText>-</w:delText>
        </w:r>
      </w:del>
      <w:ins w:id="999" w:author="Reviser" w:date="2026-04-29T20:35:00Z">
        <w:r w:rsidR="00E259ED">
          <w:t xml:space="preserve"> </w:t>
        </w:r>
      </w:ins>
      <w:r>
        <w:t>седми</w:t>
      </w:r>
      <w:del w:id="1000" w:author="Reviser" w:date="2026-04-29T20:35:00Z">
        <w:r w:rsidDel="00E259ED">
          <w:delText>чно</w:delText>
        </w:r>
      </w:del>
      <w:ins w:id="1001" w:author="Reviser" w:date="2026-04-29T20:35:00Z">
        <w:r w:rsidR="00E259ED">
          <w:t>ци</w:t>
        </w:r>
      </w:ins>
      <w:del w:id="1002" w:author="Reviser" w:date="2026-04-29T20:34:00Z">
        <w:r w:rsidDel="00E259ED">
          <w:delText xml:space="preserve"> дозиране</w:delText>
        </w:r>
      </w:del>
      <w:r>
        <w:t>. След 16</w:t>
      </w:r>
      <w:r>
        <w:rPr>
          <w:lang w:val="en-US"/>
        </w:rPr>
        <w:t> </w:t>
      </w:r>
      <w:r>
        <w:t>седмици, след промяна на честотата на приложение, 95,0% (19/20) от пациентите, подходящи за оценка, показват клиничен отговор, а 50,0% (10/20) са в клинична ремисия.</w:t>
      </w:r>
    </w:p>
    <w:p w14:paraId="109AD3DD" w14:textId="77777777" w:rsidR="009B3384" w:rsidRDefault="009B3384"/>
    <w:p w14:paraId="109AD3DE" w14:textId="4553434D" w:rsidR="009B3384" w:rsidRDefault="00800862">
      <w:r>
        <w:t>Профилът на безопасност на схемата на индукционно приложение и на двете схеми на поддържащата схема на лечение при педиатричната популация на 2 и повече години е сравним с този, установен при популацията на възрастни с болест на Crohn (вж. точка 4.8).</w:t>
      </w:r>
    </w:p>
    <w:p w14:paraId="109AD3DF" w14:textId="77777777" w:rsidR="009B3384" w:rsidRDefault="009B3384"/>
    <w:p w14:paraId="109AD3E0" w14:textId="77777777" w:rsidR="009B3384" w:rsidRDefault="00800862">
      <w:pPr>
        <w:keepNext/>
        <w:widowControl w:val="0"/>
        <w:rPr>
          <w:i/>
        </w:rPr>
      </w:pPr>
      <w:r>
        <w:rPr>
          <w:i/>
        </w:rPr>
        <w:lastRenderedPageBreak/>
        <w:t>Серумни и фекални биомаркери на възпалението</w:t>
      </w:r>
    </w:p>
    <w:p w14:paraId="109AD3E2" w14:textId="4180828F" w:rsidR="009B3384" w:rsidRDefault="00800862" w:rsidP="00BC6A43">
      <w:pPr>
        <w:textAlignment w:val="baseline"/>
        <w:rPr>
          <w:szCs w:val="22"/>
          <w:lang w:eastAsia="en-GB"/>
        </w:rPr>
      </w:pPr>
      <w:r>
        <w:rPr>
          <w:szCs w:val="22"/>
          <w:lang w:eastAsia="en-GB"/>
        </w:rPr>
        <w:t>Средната промяна (SD) спрямо изходното ниво при поддържащо лечение на седмица 44 на концентрациите на С-реактивен протеин (CRP) и фекален калпротектин е съответно - </w:t>
      </w:r>
      <w:r>
        <w:rPr>
          <w:lang w:eastAsia="en-GB"/>
        </w:rPr>
        <w:t>6,65 (18,609) mg/</w:t>
      </w:r>
      <w:r>
        <w:rPr>
          <w:lang w:val="en-US" w:eastAsia="en-GB"/>
        </w:rPr>
        <w:t>l</w:t>
      </w:r>
      <w:r>
        <w:rPr>
          <w:lang w:eastAsia="en-GB"/>
        </w:rPr>
        <w:t xml:space="preserve"> </w:t>
      </w:r>
      <w:del w:id="1003" w:author="EUCP BE1" w:date="2026-05-19T16:58:00Z">
        <w:r w:rsidDel="00F72194">
          <w:rPr>
            <w:szCs w:val="22"/>
            <w:lang w:eastAsia="en-GB"/>
          </w:rPr>
          <w:delText xml:space="preserve"> </w:delText>
        </w:r>
      </w:del>
      <w:r>
        <w:rPr>
          <w:szCs w:val="22"/>
          <w:lang w:eastAsia="en-GB"/>
        </w:rPr>
        <w:t xml:space="preserve">и </w:t>
      </w:r>
      <w:r>
        <w:rPr>
          <w:lang w:eastAsia="en-GB"/>
        </w:rPr>
        <w:t>-716,9 (2597,66) mg/kg</w:t>
      </w:r>
      <w:r>
        <w:rPr>
          <w:szCs w:val="22"/>
          <w:lang w:eastAsia="en-GB"/>
        </w:rPr>
        <w:t>.</w:t>
      </w:r>
    </w:p>
    <w:p w14:paraId="109AD3E3" w14:textId="77777777" w:rsidR="009B3384" w:rsidRDefault="009B3384">
      <w:pPr>
        <w:tabs>
          <w:tab w:val="clear" w:pos="567"/>
        </w:tabs>
        <w:textAlignment w:val="baseline"/>
        <w:rPr>
          <w:szCs w:val="22"/>
          <w:lang w:eastAsia="en-GB"/>
        </w:rPr>
      </w:pPr>
    </w:p>
    <w:p w14:paraId="109AD3E4" w14:textId="77777777" w:rsidR="009B3384" w:rsidRDefault="00800862">
      <w:pPr>
        <w:keepNext/>
        <w:widowControl w:val="0"/>
        <w:rPr>
          <w:i/>
        </w:rPr>
      </w:pPr>
      <w:r>
        <w:rPr>
          <w:i/>
        </w:rPr>
        <w:t>Качество на живот, свързано със здравето</w:t>
      </w:r>
    </w:p>
    <w:p w14:paraId="109AD3E5" w14:textId="77777777" w:rsidR="009B3384" w:rsidRDefault="00800862">
      <w:pPr>
        <w:rPr>
          <w:szCs w:val="22"/>
          <w:lang w:eastAsia="en-GB"/>
        </w:rPr>
      </w:pPr>
      <w:r>
        <w:rPr>
          <w:szCs w:val="22"/>
          <w:lang w:eastAsia="en-GB"/>
        </w:rPr>
        <w:t>Общите скорове по IMPACT-III и всички поддомейни (чревни симптоми, системни симптоми, свързани с умора, и благосъстояние) показват клинично значими подобрения след 52 седмици.</w:t>
      </w:r>
    </w:p>
    <w:p w14:paraId="109AD3E6" w14:textId="77777777" w:rsidR="009B3384" w:rsidRDefault="009B3384">
      <w:pPr>
        <w:rPr>
          <w:ins w:id="1004" w:author="Reviser" w:date="2026-04-29T20:37:00Z"/>
        </w:rPr>
      </w:pPr>
    </w:p>
    <w:p w14:paraId="782EB6EE" w14:textId="77777777" w:rsidR="00E259ED" w:rsidRPr="00BC6A43" w:rsidRDefault="00E259ED" w:rsidP="00E259ED">
      <w:pPr>
        <w:keepNext/>
        <w:widowControl w:val="0"/>
        <w:rPr>
          <w:ins w:id="1005" w:author="Reviser" w:date="2026-04-29T20:37:00Z"/>
          <w:i/>
          <w:u w:val="single"/>
        </w:rPr>
      </w:pPr>
      <w:ins w:id="1006" w:author="Reviser" w:date="2026-04-29T20:37:00Z">
        <w:r>
          <w:rPr>
            <w:i/>
            <w:u w:val="single"/>
          </w:rPr>
          <w:t>Улцерозен колит</w:t>
        </w:r>
        <w:r w:rsidRPr="00BC6A43">
          <w:rPr>
            <w:i/>
            <w:u w:val="single"/>
          </w:rPr>
          <w:t xml:space="preserve"> при деца</w:t>
        </w:r>
      </w:ins>
    </w:p>
    <w:p w14:paraId="1B89B304" w14:textId="77777777" w:rsidR="00E259ED" w:rsidRDefault="00E259ED">
      <w:pPr>
        <w:keepNext/>
        <w:rPr>
          <w:ins w:id="1007" w:author="Reviser" w:date="2026-04-29T20:38:00Z"/>
          <w:lang w:eastAsia="en-GB"/>
        </w:rPr>
        <w:pPrChange w:id="1008" w:author="EUCP BE1" w:date="2026-05-19T16:55:00Z">
          <w:pPr/>
        </w:pPrChange>
      </w:pPr>
    </w:p>
    <w:p w14:paraId="332CD374" w14:textId="35297800" w:rsidR="00E259ED" w:rsidRDefault="00E259ED" w:rsidP="00E259ED">
      <w:pPr>
        <w:rPr>
          <w:ins w:id="1009" w:author="Reviser" w:date="2026-04-29T20:37:00Z"/>
          <w:lang w:eastAsia="en-GB"/>
        </w:rPr>
      </w:pPr>
      <w:ins w:id="1010" w:author="Reviser" w:date="2026-04-29T20:37:00Z">
        <w:r>
          <w:rPr>
            <w:lang w:eastAsia="en-GB"/>
          </w:rPr>
          <w:t>Безопасността и ефикасността на устекинумаб са оценени при 112</w:t>
        </w:r>
        <w:r>
          <w:rPr>
            <w:lang w:val="en-US" w:eastAsia="en-GB"/>
          </w:rPr>
          <w:t> </w:t>
        </w:r>
        <w:r>
          <w:rPr>
            <w:lang w:eastAsia="en-GB"/>
          </w:rPr>
          <w:t>педиатрични пациенти на 2 и повече години в многоцентрово проучване фаза</w:t>
        </w:r>
        <w:r>
          <w:rPr>
            <w:lang w:val="en-US" w:eastAsia="en-GB"/>
          </w:rPr>
          <w:t> </w:t>
        </w:r>
        <w:r>
          <w:rPr>
            <w:lang w:eastAsia="en-GB"/>
          </w:rPr>
          <w:t>3 (UNI</w:t>
        </w:r>
        <w:r>
          <w:rPr>
            <w:lang w:val="en-US" w:eastAsia="en-GB"/>
          </w:rPr>
          <w:t>F</w:t>
        </w:r>
        <w:r>
          <w:rPr>
            <w:lang w:eastAsia="en-GB"/>
          </w:rPr>
          <w:t xml:space="preserve">I Jr) при педиатрични пациенти с умерен до тежък активен улцерозен колит. Оценката на заболяването се определя на изходно ниво (седмица 0) като </w:t>
        </w:r>
        <w:r>
          <w:t>скор</w:t>
        </w:r>
        <w:r w:rsidRPr="00BB130F">
          <w:t xml:space="preserve"> </w:t>
        </w:r>
      </w:ins>
      <w:ins w:id="1011" w:author="Reviser" w:date="2026-04-29T20:38:00Z">
        <w:r w:rsidR="00306C55">
          <w:t xml:space="preserve">по </w:t>
        </w:r>
        <w:r w:rsidR="00306C55" w:rsidRPr="320C7C1A">
          <w:rPr>
            <w:lang w:val="en-US"/>
          </w:rPr>
          <w:t>Mayo</w:t>
        </w:r>
        <w:r w:rsidR="00306C55" w:rsidRPr="00BB130F">
          <w:t xml:space="preserve"> </w:t>
        </w:r>
      </w:ins>
      <w:ins w:id="1012" w:author="Reviser" w:date="2026-04-29T20:37:00Z">
        <w:r w:rsidRPr="00BB130F">
          <w:t xml:space="preserve">6 </w:t>
        </w:r>
        <w:r>
          <w:t>до</w:t>
        </w:r>
        <w:r w:rsidRPr="00BB130F">
          <w:t xml:space="preserve"> 12, </w:t>
        </w:r>
        <w:r>
          <w:t>включително ендоскопски</w:t>
        </w:r>
        <w:r w:rsidRPr="00BB130F">
          <w:t xml:space="preserve"> </w:t>
        </w:r>
        <w:r>
          <w:t xml:space="preserve">подскор </w:t>
        </w:r>
        <w:r w:rsidRPr="00BB130F">
          <w:t>≥2</w:t>
        </w:r>
        <w:r>
          <w:t>,</w:t>
        </w:r>
        <w:r w:rsidRPr="00BB130F">
          <w:t xml:space="preserve"> </w:t>
        </w:r>
        <w:r>
          <w:t>определен чрез централен преглед на видеото от ендоскопията</w:t>
        </w:r>
        <w:r w:rsidRPr="00BB130F">
          <w:t xml:space="preserve">. </w:t>
        </w:r>
        <w:r>
          <w:rPr>
            <w:lang w:eastAsia="en-GB"/>
          </w:rPr>
          <w:t>Проучването включва 3 пациенти на възраст между 2 и 5 години и 27 пациенти на възраст между 6 и 11 години, 34 пациенти с тегло под 40</w:t>
        </w:r>
        <w:r>
          <w:rPr>
            <w:lang w:val="en-US" w:eastAsia="en-GB"/>
          </w:rPr>
          <w:t> </w:t>
        </w:r>
        <w:r>
          <w:rPr>
            <w:lang w:eastAsia="en-GB"/>
          </w:rPr>
          <w:t>kg, включително 16 пациенти с тегло под 30</w:t>
        </w:r>
        <w:r>
          <w:rPr>
            <w:lang w:val="en-US" w:eastAsia="en-GB"/>
          </w:rPr>
          <w:t> </w:t>
        </w:r>
        <w:r>
          <w:rPr>
            <w:lang w:eastAsia="en-GB"/>
          </w:rPr>
          <w:t>kg. Пациентите, включени в проучването, са имали неуспешна терапия с биологични средства, кортикостероиди или имуномодулатори. Проучването включва открито индукционно лечение с единична интравенозна доза устекинумаб приблизително 6</w:t>
        </w:r>
        <w:r>
          <w:rPr>
            <w:lang w:val="en-US" w:eastAsia="en-GB"/>
          </w:rPr>
          <w:t> </w:t>
        </w:r>
        <w:r>
          <w:rPr>
            <w:lang w:eastAsia="en-GB"/>
          </w:rPr>
          <w:t>mg/kg (пациенти с тегло най-малко 40</w:t>
        </w:r>
        <w:r>
          <w:rPr>
            <w:lang w:val="en-US" w:eastAsia="en-GB"/>
          </w:rPr>
          <w:t> </w:t>
        </w:r>
        <w:r>
          <w:rPr>
            <w:lang w:eastAsia="en-GB"/>
          </w:rPr>
          <w:t>kg) или 250</w:t>
        </w:r>
        <w:r>
          <w:rPr>
            <w:lang w:val="en-US" w:eastAsia="en-GB"/>
          </w:rPr>
          <w:t> </w:t>
        </w:r>
        <w:r>
          <w:rPr>
            <w:lang w:eastAsia="en-GB"/>
          </w:rPr>
          <w:t>mg/m</w:t>
        </w:r>
        <w:r w:rsidRPr="00BC6A43">
          <w:rPr>
            <w:vertAlign w:val="superscript"/>
            <w:lang w:eastAsia="en-GB"/>
          </w:rPr>
          <w:t>2</w:t>
        </w:r>
        <w:r>
          <w:rPr>
            <w:lang w:eastAsia="en-GB"/>
          </w:rPr>
          <w:t xml:space="preserve"> (пациенти с тегло под 40</w:t>
        </w:r>
        <w:r>
          <w:rPr>
            <w:lang w:val="en-US" w:eastAsia="en-GB"/>
          </w:rPr>
          <w:t> </w:t>
        </w:r>
        <w:r>
          <w:rPr>
            <w:lang w:eastAsia="en-GB"/>
          </w:rPr>
          <w:t>kg въз основа на BSA) (вж. точка</w:t>
        </w:r>
        <w:r>
          <w:rPr>
            <w:lang w:val="en-US" w:eastAsia="en-GB"/>
          </w:rPr>
          <w:t> </w:t>
        </w:r>
        <w:r>
          <w:rPr>
            <w:lang w:eastAsia="en-GB"/>
          </w:rPr>
          <w:t>4.2</w:t>
        </w:r>
      </w:ins>
      <w:ins w:id="1013" w:author="Reviser" w:date="2026-04-29T20:41:00Z">
        <w:r w:rsidR="00306C55">
          <w:rPr>
            <w:lang w:eastAsia="en-GB"/>
          </w:rPr>
          <w:t xml:space="preserve"> от КХП на </w:t>
        </w:r>
        <w:r w:rsidR="00306C55" w:rsidRPr="00752E8A">
          <w:rPr>
            <w:noProof/>
            <w:szCs w:val="22"/>
            <w:lang w:eastAsia="en-GB"/>
          </w:rPr>
          <w:t>STELARA 130 mg</w:t>
        </w:r>
        <w:r w:rsidR="00306C55">
          <w:rPr>
            <w:noProof/>
            <w:szCs w:val="22"/>
            <w:lang w:eastAsia="en-GB"/>
          </w:rPr>
          <w:t xml:space="preserve"> концентрат за инфузионен </w:t>
        </w:r>
      </w:ins>
      <w:ins w:id="1014" w:author="Reviser" w:date="2026-04-29T20:42:00Z">
        <w:r w:rsidR="00306C55">
          <w:rPr>
            <w:noProof/>
            <w:szCs w:val="22"/>
            <w:lang w:eastAsia="en-GB"/>
          </w:rPr>
          <w:t>разтвор</w:t>
        </w:r>
      </w:ins>
      <w:ins w:id="1015" w:author="Reviser" w:date="2026-04-29T20:37:00Z">
        <w:r>
          <w:rPr>
            <w:lang w:eastAsia="en-GB"/>
          </w:rPr>
          <w:t>), последвано от рандомизирана двойносляпа поддържаща схема с подкожно приложение на 90</w:t>
        </w:r>
        <w:r>
          <w:rPr>
            <w:lang w:val="en-US" w:eastAsia="en-GB"/>
          </w:rPr>
          <w:t> </w:t>
        </w:r>
        <w:r>
          <w:rPr>
            <w:lang w:eastAsia="en-GB"/>
          </w:rPr>
          <w:t>mg устекинумаб (пациенти с тегло най-малко 40</w:t>
        </w:r>
        <w:r>
          <w:rPr>
            <w:lang w:val="en-US" w:eastAsia="en-GB"/>
          </w:rPr>
          <w:t> </w:t>
        </w:r>
        <w:r>
          <w:rPr>
            <w:lang w:eastAsia="en-GB"/>
          </w:rPr>
          <w:t>kg) или 60</w:t>
        </w:r>
        <w:r>
          <w:rPr>
            <w:lang w:val="en-US" w:eastAsia="en-GB"/>
          </w:rPr>
          <w:t> </w:t>
        </w:r>
        <w:r>
          <w:rPr>
            <w:lang w:eastAsia="en-GB"/>
          </w:rPr>
          <w:t>mg/m</w:t>
        </w:r>
        <w:r>
          <w:rPr>
            <w:vertAlign w:val="superscript"/>
            <w:lang w:eastAsia="en-GB"/>
          </w:rPr>
          <w:t>2</w:t>
        </w:r>
        <w:r>
          <w:rPr>
            <w:lang w:eastAsia="en-GB"/>
          </w:rPr>
          <w:t xml:space="preserve"> (пациенти с тегло под 40</w:t>
        </w:r>
        <w:r>
          <w:rPr>
            <w:lang w:val="en-US" w:eastAsia="en-GB"/>
          </w:rPr>
          <w:t> </w:t>
        </w:r>
        <w:r>
          <w:rPr>
            <w:lang w:eastAsia="en-GB"/>
          </w:rPr>
          <w:t>kg въз основа на BSA) (вж. точка</w:t>
        </w:r>
        <w:r>
          <w:rPr>
            <w:lang w:val="en-US" w:eastAsia="en-GB"/>
          </w:rPr>
          <w:t> </w:t>
        </w:r>
        <w:r>
          <w:rPr>
            <w:lang w:eastAsia="en-GB"/>
          </w:rPr>
          <w:t>4.2) на всеки 8</w:t>
        </w:r>
        <w:r>
          <w:rPr>
            <w:lang w:val="en-US" w:eastAsia="en-GB"/>
          </w:rPr>
          <w:t> </w:t>
        </w:r>
        <w:r>
          <w:rPr>
            <w:lang w:eastAsia="en-GB"/>
          </w:rPr>
          <w:t>седмици или на всеки 12</w:t>
        </w:r>
        <w:r>
          <w:rPr>
            <w:lang w:val="en-US" w:eastAsia="en-GB"/>
          </w:rPr>
          <w:t> </w:t>
        </w:r>
        <w:r>
          <w:rPr>
            <w:lang w:eastAsia="en-GB"/>
          </w:rPr>
          <w:t>седмици.</w:t>
        </w:r>
      </w:ins>
    </w:p>
    <w:p w14:paraId="59B8E0E1" w14:textId="77777777" w:rsidR="00E259ED" w:rsidRDefault="00E259ED" w:rsidP="00E259ED">
      <w:pPr>
        <w:rPr>
          <w:ins w:id="1016" w:author="Reviser" w:date="2026-04-29T20:37:00Z"/>
        </w:rPr>
      </w:pPr>
    </w:p>
    <w:p w14:paraId="24980C7B" w14:textId="77777777" w:rsidR="00E259ED" w:rsidRDefault="00E259ED" w:rsidP="00E259ED">
      <w:pPr>
        <w:keepNext/>
        <w:widowControl w:val="0"/>
        <w:rPr>
          <w:ins w:id="1017" w:author="Reviser" w:date="2026-04-29T20:37:00Z"/>
          <w:i/>
        </w:rPr>
      </w:pPr>
      <w:ins w:id="1018" w:author="Reviser" w:date="2026-04-29T20:37:00Z">
        <w:r>
          <w:rPr>
            <w:i/>
          </w:rPr>
          <w:t>Резултати за ефикасност</w:t>
        </w:r>
      </w:ins>
    </w:p>
    <w:p w14:paraId="78237E02" w14:textId="7313387B" w:rsidR="00E259ED" w:rsidRDefault="00E259ED" w:rsidP="00E259ED">
      <w:pPr>
        <w:rPr>
          <w:ins w:id="1019" w:author="Reviser" w:date="2026-04-29T20:37:00Z"/>
          <w:lang w:eastAsia="en-GB"/>
        </w:rPr>
      </w:pPr>
      <w:ins w:id="1020" w:author="Reviser" w:date="2026-04-29T20:37:00Z">
        <w:r>
          <w:rPr>
            <w:lang w:eastAsia="en-GB"/>
          </w:rPr>
          <w:t>Първичната крайна точка на проучването е клинична ремисия на седмица</w:t>
        </w:r>
        <w:r>
          <w:rPr>
            <w:lang w:val="en-US" w:eastAsia="en-GB"/>
          </w:rPr>
          <w:t> </w:t>
        </w:r>
        <w:r>
          <w:rPr>
            <w:lang w:eastAsia="en-GB"/>
          </w:rPr>
          <w:t xml:space="preserve">8 от индукцията (дефинирана </w:t>
        </w:r>
        <w:del w:id="1021" w:author="RABG09" w:date="2026-07-15T12:47:00Z" w16du:dateUtc="2026-07-15T09:47:00Z">
          <w:r w:rsidDel="009437D1">
            <w:rPr>
              <w:lang w:eastAsia="en-GB"/>
            </w:rPr>
            <w:delText>като</w:delText>
          </w:r>
        </w:del>
      </w:ins>
      <w:ins w:id="1022" w:author="RABG09" w:date="2026-07-15T12:47:00Z" w16du:dateUtc="2026-07-15T09:47:00Z">
        <w:r w:rsidR="009437D1">
          <w:rPr>
            <w:lang w:eastAsia="en-GB"/>
          </w:rPr>
          <w:t>чрез</w:t>
        </w:r>
      </w:ins>
      <w:ins w:id="1023" w:author="Reviser" w:date="2026-04-29T20:37:00Z">
        <w:r>
          <w:rPr>
            <w:lang w:eastAsia="en-GB"/>
          </w:rPr>
          <w:t xml:space="preserve"> </w:t>
        </w:r>
        <w:r w:rsidRPr="00334384">
          <w:rPr>
            <w:lang w:eastAsia="en-GB"/>
          </w:rPr>
          <w:t>подскор</w:t>
        </w:r>
        <w:r>
          <w:rPr>
            <w:lang w:eastAsia="en-GB"/>
          </w:rPr>
          <w:t>ове</w:t>
        </w:r>
        <w:r w:rsidRPr="00334384">
          <w:rPr>
            <w:lang w:eastAsia="en-GB"/>
          </w:rPr>
          <w:t xml:space="preserve"> по Mayo както следва: подскор за честота на дефекация 0 или 1, подскор за ректално кървене 0 и ендоскоп</w:t>
        </w:r>
        <w:r>
          <w:rPr>
            <w:lang w:eastAsia="en-GB"/>
          </w:rPr>
          <w:t xml:space="preserve">ски </w:t>
        </w:r>
        <w:r w:rsidRPr="00334384">
          <w:rPr>
            <w:lang w:eastAsia="en-GB"/>
          </w:rPr>
          <w:t xml:space="preserve">подскор 0 или 1 без наличие на </w:t>
        </w:r>
      </w:ins>
      <w:ins w:id="1024" w:author="Italian LOC" w:date="2026-05-11T17:08:00Z">
        <w:r w:rsidR="000A29CF">
          <w:rPr>
            <w:lang w:eastAsia="en-GB"/>
          </w:rPr>
          <w:t>ранимост</w:t>
        </w:r>
      </w:ins>
      <w:ins w:id="1025" w:author="Reviser" w:date="2026-04-29T20:37:00Z">
        <w:r w:rsidRPr="00334384">
          <w:rPr>
            <w:lang w:eastAsia="en-GB"/>
          </w:rPr>
          <w:t xml:space="preserve"> при ендоскопско</w:t>
        </w:r>
      </w:ins>
      <w:ins w:id="1026" w:author="RABG09" w:date="2026-07-15T12:48:00Z" w16du:dateUtc="2026-07-15T09:48:00Z">
        <w:r w:rsidR="008B0C50">
          <w:rPr>
            <w:lang w:eastAsia="en-GB"/>
          </w:rPr>
          <w:t>пията</w:t>
        </w:r>
      </w:ins>
      <w:ins w:id="1027" w:author="Reviser" w:date="2026-04-29T20:37:00Z">
        <w:del w:id="1028" w:author="RABG09" w:date="2026-07-15T12:48:00Z" w16du:dateUtc="2026-07-15T09:48:00Z">
          <w:r w:rsidRPr="00334384" w:rsidDel="008B0C50">
            <w:rPr>
              <w:lang w:eastAsia="en-GB"/>
            </w:rPr>
            <w:delText>то изследване</w:delText>
          </w:r>
        </w:del>
        <w:r w:rsidRPr="00334384">
          <w:rPr>
            <w:lang w:eastAsia="en-GB"/>
          </w:rPr>
          <w:t>, като подскорът за честота на дефекация не се повишава спрямо изходн</w:t>
        </w:r>
      </w:ins>
      <w:ins w:id="1029" w:author="RABG09" w:date="2026-07-15T12:48:00Z" w16du:dateUtc="2026-07-15T09:48:00Z">
        <w:r w:rsidR="009A6854">
          <w:rPr>
            <w:lang w:eastAsia="en-GB"/>
          </w:rPr>
          <w:t>ото ниво</w:t>
        </w:r>
      </w:ins>
      <w:ins w:id="1030" w:author="Reviser" w:date="2026-04-29T20:37:00Z">
        <w:del w:id="1031" w:author="RABG09" w:date="2026-07-15T12:48:00Z" w16du:dateUtc="2026-07-15T09:48:00Z">
          <w:r w:rsidRPr="00334384" w:rsidDel="009A6854">
            <w:rPr>
              <w:lang w:eastAsia="en-GB"/>
            </w:rPr>
            <w:delText>ите</w:delText>
          </w:r>
        </w:del>
        <w:r w:rsidRPr="00334384">
          <w:rPr>
            <w:lang w:eastAsia="en-GB"/>
          </w:rPr>
          <w:t xml:space="preserve"> </w:t>
        </w:r>
      </w:ins>
      <w:ins w:id="1032" w:author="RABG09" w:date="2026-07-15T12:48:00Z" w16du:dateUtc="2026-07-15T09:48:00Z">
        <w:r w:rsidR="009A6854">
          <w:rPr>
            <w:lang w:eastAsia="en-GB"/>
          </w:rPr>
          <w:t xml:space="preserve">при </w:t>
        </w:r>
      </w:ins>
      <w:ins w:id="1033" w:author="Reviser" w:date="2026-04-29T20:37:00Z">
        <w:r w:rsidRPr="00334384">
          <w:rPr>
            <w:lang w:eastAsia="en-GB"/>
          </w:rPr>
          <w:t>индукци</w:t>
        </w:r>
      </w:ins>
      <w:ins w:id="1034" w:author="RABG09" w:date="2026-07-15T12:48:00Z" w16du:dateUtc="2026-07-15T09:48:00Z">
        <w:r w:rsidR="009A6854">
          <w:rPr>
            <w:lang w:eastAsia="en-GB"/>
          </w:rPr>
          <w:t>ята</w:t>
        </w:r>
      </w:ins>
      <w:ins w:id="1035" w:author="Reviser" w:date="2026-04-29T20:37:00Z">
        <w:del w:id="1036" w:author="RABG09" w:date="2026-07-15T12:48:00Z" w16du:dateUtc="2026-07-15T09:48:00Z">
          <w:r w:rsidRPr="00334384" w:rsidDel="009A6854">
            <w:rPr>
              <w:lang w:eastAsia="en-GB"/>
            </w:rPr>
            <w:delText>онни стойности</w:delText>
          </w:r>
        </w:del>
        <w:r>
          <w:rPr>
            <w:lang w:eastAsia="en-GB"/>
          </w:rPr>
          <w:t>). Процентът на пациентите, постигнали клинична ремисия, е 25,0% (28/112) и е сравним с този, наблюдаван в проучванията фаза</w:t>
        </w:r>
        <w:r>
          <w:rPr>
            <w:lang w:val="en-US" w:eastAsia="en-GB"/>
          </w:rPr>
          <w:t> </w:t>
        </w:r>
        <w:r>
          <w:rPr>
            <w:lang w:eastAsia="en-GB"/>
          </w:rPr>
          <w:t>3 на устекинумаб при възрастни.</w:t>
        </w:r>
      </w:ins>
    </w:p>
    <w:p w14:paraId="04A5FCD4" w14:textId="77777777" w:rsidR="00E259ED" w:rsidRDefault="00E259ED" w:rsidP="00E259ED">
      <w:pPr>
        <w:rPr>
          <w:ins w:id="1037" w:author="Reviser" w:date="2026-04-29T20:37:00Z"/>
          <w:lang w:eastAsia="en-GB"/>
        </w:rPr>
      </w:pPr>
    </w:p>
    <w:p w14:paraId="6EE10C48" w14:textId="4CB3CFC3" w:rsidR="00E259ED" w:rsidRDefault="00E259ED" w:rsidP="00E259ED">
      <w:pPr>
        <w:rPr>
          <w:ins w:id="1038" w:author="Reviser" w:date="2026-04-29T20:37:00Z"/>
          <w:lang w:eastAsia="en-GB"/>
        </w:rPr>
      </w:pPr>
      <w:ins w:id="1039" w:author="Reviser" w:date="2026-04-29T20:37:00Z">
        <w:r>
          <w:rPr>
            <w:lang w:eastAsia="en-GB"/>
          </w:rPr>
          <w:t xml:space="preserve">Към седмица 8 от индукцията клинична ремисия е постигната при 29,4% от пациентите (20/68) с неуспех на небиологичното лечение в сравнение с 18,2% от пациентите (8/44) с неуспех на биологичното лечение. 54 (48,2%) от 112 пациенти постигат симптоматична ремисия (определена като подскор по Mayo за честота на дефекация 0 или 1 и подскор за ректално кървене 0, при което подскорът за честота на дефекация не се повишава </w:t>
        </w:r>
        <w:r w:rsidRPr="00334384">
          <w:rPr>
            <w:lang w:eastAsia="en-GB"/>
          </w:rPr>
          <w:t>спрямо изходн</w:t>
        </w:r>
      </w:ins>
      <w:ins w:id="1040" w:author="RABG09" w:date="2026-07-15T12:49:00Z" w16du:dateUtc="2026-07-15T09:49:00Z">
        <w:r w:rsidR="009A6854">
          <w:rPr>
            <w:lang w:eastAsia="en-GB"/>
          </w:rPr>
          <w:t>ото ниво</w:t>
        </w:r>
      </w:ins>
      <w:ins w:id="1041" w:author="Reviser" w:date="2026-04-29T20:37:00Z">
        <w:del w:id="1042" w:author="RABG09" w:date="2026-07-15T12:49:00Z" w16du:dateUtc="2026-07-15T09:49:00Z">
          <w:r w:rsidRPr="00334384" w:rsidDel="009A6854">
            <w:rPr>
              <w:lang w:eastAsia="en-GB"/>
            </w:rPr>
            <w:delText>ите</w:delText>
          </w:r>
        </w:del>
        <w:r w:rsidRPr="00334384">
          <w:rPr>
            <w:lang w:eastAsia="en-GB"/>
          </w:rPr>
          <w:t xml:space="preserve"> </w:t>
        </w:r>
      </w:ins>
      <w:ins w:id="1043" w:author="RABG09" w:date="2026-07-15T12:49:00Z" w16du:dateUtc="2026-07-15T09:49:00Z">
        <w:r w:rsidR="009A6854">
          <w:rPr>
            <w:lang w:eastAsia="en-GB"/>
          </w:rPr>
          <w:t xml:space="preserve">при </w:t>
        </w:r>
      </w:ins>
      <w:ins w:id="1044" w:author="Reviser" w:date="2026-04-29T20:37:00Z">
        <w:r w:rsidRPr="00334384">
          <w:rPr>
            <w:lang w:eastAsia="en-GB"/>
          </w:rPr>
          <w:t>индукци</w:t>
        </w:r>
      </w:ins>
      <w:ins w:id="1045" w:author="RABG09" w:date="2026-07-15T12:49:00Z" w16du:dateUtc="2026-07-15T09:49:00Z">
        <w:r w:rsidR="009A6854">
          <w:rPr>
            <w:lang w:eastAsia="en-GB"/>
          </w:rPr>
          <w:t>ята</w:t>
        </w:r>
      </w:ins>
      <w:ins w:id="1046" w:author="Reviser" w:date="2026-04-29T20:37:00Z">
        <w:del w:id="1047" w:author="RABG09" w:date="2026-07-15T12:49:00Z" w16du:dateUtc="2026-07-15T09:49:00Z">
          <w:r w:rsidRPr="00334384" w:rsidDel="009A6854">
            <w:rPr>
              <w:lang w:eastAsia="en-GB"/>
            </w:rPr>
            <w:delText>онни стойности</w:delText>
          </w:r>
        </w:del>
        <w:r>
          <w:rPr>
            <w:lang w:eastAsia="en-GB"/>
          </w:rPr>
          <w:t>).</w:t>
        </w:r>
      </w:ins>
    </w:p>
    <w:p w14:paraId="3EF516E4" w14:textId="77777777" w:rsidR="00E259ED" w:rsidRDefault="00E259ED" w:rsidP="00E259ED">
      <w:pPr>
        <w:rPr>
          <w:ins w:id="1048" w:author="Reviser" w:date="2026-04-29T20:37:00Z"/>
          <w:lang w:eastAsia="en-GB"/>
        </w:rPr>
      </w:pPr>
    </w:p>
    <w:p w14:paraId="5B7BFDB8" w14:textId="77777777" w:rsidR="00E259ED" w:rsidRDefault="00E259ED" w:rsidP="00E259ED">
      <w:pPr>
        <w:rPr>
          <w:ins w:id="1049" w:author="Reviser" w:date="2026-04-29T20:37:00Z"/>
          <w:lang w:eastAsia="en-GB"/>
        </w:rPr>
      </w:pPr>
      <w:ins w:id="1050" w:author="Reviser" w:date="2026-04-29T20:37:00Z">
        <w:r>
          <w:rPr>
            <w:lang w:eastAsia="en-GB"/>
          </w:rPr>
          <w:t>Процентът на пациентите с клиничен отговор на седмица</w:t>
        </w:r>
        <w:r>
          <w:rPr>
            <w:lang w:val="en-US" w:eastAsia="en-GB"/>
          </w:rPr>
          <w:t> </w:t>
        </w:r>
        <w:r>
          <w:rPr>
            <w:lang w:eastAsia="en-GB"/>
          </w:rPr>
          <w:t xml:space="preserve">8 </w:t>
        </w:r>
        <w:r w:rsidRPr="00D353B4">
          <w:rPr>
            <w:lang w:eastAsia="en-GB"/>
          </w:rPr>
          <w:t>от индукцията</w:t>
        </w:r>
        <w:r>
          <w:rPr>
            <w:lang w:eastAsia="en-GB"/>
          </w:rPr>
          <w:t xml:space="preserve"> (дефиниран като намаление спрямо изходното ниво на модифицирания скор по </w:t>
        </w:r>
        <w:r w:rsidRPr="00EB01C0">
          <w:rPr>
            <w:szCs w:val="22"/>
            <w:lang w:eastAsia="en-GB"/>
          </w:rPr>
          <w:t xml:space="preserve">Mayo </w:t>
        </w:r>
        <w:r>
          <w:rPr>
            <w:szCs w:val="22"/>
            <w:lang w:eastAsia="en-GB"/>
          </w:rPr>
          <w:t xml:space="preserve">с </w:t>
        </w:r>
        <w:r w:rsidRPr="00EB01C0">
          <w:rPr>
            <w:szCs w:val="22"/>
            <w:lang w:eastAsia="en-GB"/>
          </w:rPr>
          <w:t xml:space="preserve">≥30% </w:t>
        </w:r>
        <w:r>
          <w:rPr>
            <w:szCs w:val="22"/>
            <w:lang w:eastAsia="en-GB"/>
          </w:rPr>
          <w:t xml:space="preserve">и </w:t>
        </w:r>
        <w:r w:rsidRPr="00EB01C0">
          <w:rPr>
            <w:szCs w:val="22"/>
            <w:lang w:eastAsia="en-GB"/>
          </w:rPr>
          <w:t>≥2</w:t>
        </w:r>
        <w:r>
          <w:rPr>
            <w:szCs w:val="22"/>
            <w:lang w:eastAsia="en-GB"/>
          </w:rPr>
          <w:t> </w:t>
        </w:r>
        <w:r>
          <w:rPr>
            <w:lang w:eastAsia="en-GB"/>
          </w:rPr>
          <w:t xml:space="preserve">точки или с намаление спрямо изходното ниво на подскора за ректално кървене с </w:t>
        </w:r>
        <w:r w:rsidRPr="00EB01C0">
          <w:rPr>
            <w:szCs w:val="22"/>
            <w:lang w:eastAsia="en-GB"/>
          </w:rPr>
          <w:t>≥1</w:t>
        </w:r>
        <w:r>
          <w:rPr>
            <w:szCs w:val="22"/>
            <w:lang w:eastAsia="en-GB"/>
          </w:rPr>
          <w:t>,</w:t>
        </w:r>
        <w:r w:rsidRPr="00EB01C0">
          <w:rPr>
            <w:szCs w:val="22"/>
            <w:lang w:eastAsia="en-GB"/>
          </w:rPr>
          <w:t xml:space="preserve"> </w:t>
        </w:r>
        <w:r>
          <w:rPr>
            <w:szCs w:val="22"/>
            <w:lang w:eastAsia="en-GB"/>
          </w:rPr>
          <w:t xml:space="preserve">или с </w:t>
        </w:r>
        <w:r>
          <w:rPr>
            <w:lang w:eastAsia="en-GB"/>
          </w:rPr>
          <w:t>подскор за ректално кървене</w:t>
        </w:r>
        <w:r w:rsidRPr="00EB01C0">
          <w:rPr>
            <w:szCs w:val="22"/>
            <w:lang w:eastAsia="en-GB"/>
          </w:rPr>
          <w:t xml:space="preserve"> 0 </w:t>
        </w:r>
        <w:r>
          <w:rPr>
            <w:szCs w:val="22"/>
            <w:lang w:eastAsia="en-GB"/>
          </w:rPr>
          <w:t>или</w:t>
        </w:r>
        <w:r w:rsidRPr="00EB01C0">
          <w:rPr>
            <w:szCs w:val="22"/>
            <w:lang w:eastAsia="en-GB"/>
          </w:rPr>
          <w:t xml:space="preserve"> 1) </w:t>
        </w:r>
        <w:r>
          <w:rPr>
            <w:szCs w:val="22"/>
            <w:lang w:eastAsia="en-GB"/>
          </w:rPr>
          <w:t>е</w:t>
        </w:r>
        <w:r w:rsidRPr="00EB01C0">
          <w:rPr>
            <w:szCs w:val="22"/>
            <w:lang w:eastAsia="en-GB"/>
          </w:rPr>
          <w:t xml:space="preserve"> 67</w:t>
        </w:r>
        <w:r>
          <w:rPr>
            <w:szCs w:val="22"/>
            <w:lang w:eastAsia="en-GB"/>
          </w:rPr>
          <w:t>,</w:t>
        </w:r>
        <w:r w:rsidRPr="00EB01C0">
          <w:rPr>
            <w:szCs w:val="22"/>
            <w:lang w:eastAsia="en-GB"/>
          </w:rPr>
          <w:t xml:space="preserve">0% </w:t>
        </w:r>
        <w:r>
          <w:rPr>
            <w:lang w:eastAsia="en-GB"/>
          </w:rPr>
          <w:t>(75/112).</w:t>
        </w:r>
      </w:ins>
    </w:p>
    <w:p w14:paraId="3EC17454" w14:textId="77777777" w:rsidR="00E259ED" w:rsidRDefault="00E259ED" w:rsidP="00E259ED">
      <w:pPr>
        <w:rPr>
          <w:ins w:id="1051" w:author="Reviser" w:date="2026-04-29T20:37:00Z"/>
          <w:lang w:eastAsia="en-GB"/>
        </w:rPr>
      </w:pPr>
    </w:p>
    <w:p w14:paraId="1E98975B" w14:textId="577EDBC6" w:rsidR="00E259ED" w:rsidRDefault="00E259ED" w:rsidP="00E259ED">
      <w:pPr>
        <w:rPr>
          <w:ins w:id="1052" w:author="Reviser" w:date="2026-04-29T20:37:00Z"/>
          <w:lang w:eastAsia="en-GB"/>
        </w:rPr>
      </w:pPr>
      <w:ins w:id="1053" w:author="Reviser" w:date="2026-04-29T20:37:00Z">
        <w:r>
          <w:rPr>
            <w:lang w:eastAsia="en-GB"/>
          </w:rPr>
          <w:t xml:space="preserve">От 112 пациенти, получавали лечение с </w:t>
        </w:r>
        <w:proofErr w:type="spellStart"/>
        <w:r>
          <w:rPr>
            <w:lang w:val="en-US" w:eastAsia="en-GB"/>
          </w:rPr>
          <w:t>i</w:t>
        </w:r>
        <w:proofErr w:type="spellEnd"/>
        <w:r w:rsidRPr="00BC6A43">
          <w:rPr>
            <w:lang w:eastAsia="en-GB"/>
          </w:rPr>
          <w:t>.</w:t>
        </w:r>
        <w:r>
          <w:rPr>
            <w:lang w:val="en-US" w:eastAsia="en-GB"/>
          </w:rPr>
          <w:t>v</w:t>
        </w:r>
        <w:r w:rsidRPr="00BC6A43">
          <w:rPr>
            <w:lang w:eastAsia="en-GB"/>
          </w:rPr>
          <w:t>.</w:t>
        </w:r>
        <w:r>
          <w:rPr>
            <w:lang w:eastAsia="en-GB"/>
          </w:rPr>
          <w:t xml:space="preserve"> индукция, 97% (</w:t>
        </w:r>
        <w:r w:rsidRPr="000A473D">
          <w:rPr>
            <w:szCs w:val="22"/>
          </w:rPr>
          <w:t>109/112</w:t>
        </w:r>
        <w:r>
          <w:rPr>
            <w:lang w:eastAsia="en-GB"/>
          </w:rPr>
          <w:t>) се включват в поддържащия период, като 7</w:t>
        </w:r>
      </w:ins>
      <w:ins w:id="1054" w:author="Reviser" w:date="2026-04-29T20:45:00Z">
        <w:r w:rsidR="006A2177">
          <w:rPr>
            <w:lang w:eastAsia="en-GB"/>
          </w:rPr>
          <w:t>9</w:t>
        </w:r>
      </w:ins>
      <w:ins w:id="1055" w:author="Reviser" w:date="2026-04-29T20:37:00Z">
        <w:r>
          <w:rPr>
            <w:lang w:eastAsia="en-GB"/>
          </w:rPr>
          <w:t xml:space="preserve"> от тях </w:t>
        </w:r>
      </w:ins>
      <w:ins w:id="1056" w:author="RABG09" w:date="2026-07-15T12:49:00Z" w16du:dateUtc="2026-07-15T09:49:00Z">
        <w:r w:rsidR="00A46899">
          <w:rPr>
            <w:lang w:eastAsia="en-GB"/>
          </w:rPr>
          <w:t xml:space="preserve">са </w:t>
        </w:r>
      </w:ins>
      <w:ins w:id="1057" w:author="Reviser" w:date="2026-04-29T20:37:00Z">
        <w:r>
          <w:rPr>
            <w:lang w:eastAsia="en-GB"/>
          </w:rPr>
          <w:t>се повлия</w:t>
        </w:r>
      </w:ins>
      <w:ins w:id="1058" w:author="RABG09" w:date="2026-07-15T12:50:00Z" w16du:dateUtc="2026-07-15T09:50:00Z">
        <w:r w:rsidR="00A46899">
          <w:rPr>
            <w:lang w:eastAsia="en-GB"/>
          </w:rPr>
          <w:t>ли</w:t>
        </w:r>
      </w:ins>
      <w:ins w:id="1059" w:author="Reviser" w:date="2026-04-29T20:37:00Z">
        <w:del w:id="1060" w:author="RABG09" w:date="2026-07-15T12:50:00Z" w16du:dateUtc="2026-07-15T09:50:00Z">
          <w:r w:rsidDel="00A46899">
            <w:rPr>
              <w:lang w:eastAsia="en-GB"/>
            </w:rPr>
            <w:delText>ват</w:delText>
          </w:r>
        </w:del>
        <w:r>
          <w:rPr>
            <w:lang w:eastAsia="en-GB"/>
          </w:rPr>
          <w:t xml:space="preserve"> от индукцията.</w:t>
        </w:r>
      </w:ins>
    </w:p>
    <w:p w14:paraId="5EF3338E" w14:textId="77777777" w:rsidR="00E259ED" w:rsidRDefault="00E259ED" w:rsidP="00E259ED">
      <w:pPr>
        <w:rPr>
          <w:ins w:id="1061" w:author="Reviser" w:date="2026-04-29T20:37:00Z"/>
          <w:lang w:eastAsia="en-GB"/>
        </w:rPr>
      </w:pPr>
    </w:p>
    <w:p w14:paraId="330DC2F3" w14:textId="7AE3375C" w:rsidR="00E259ED" w:rsidRDefault="00E259ED" w:rsidP="00E259ED">
      <w:pPr>
        <w:rPr>
          <w:ins w:id="1062" w:author="Reviser" w:date="2026-04-29T20:37:00Z"/>
        </w:rPr>
      </w:pPr>
      <w:ins w:id="1063" w:author="Reviser" w:date="2026-04-29T20:37:00Z">
        <w:r>
          <w:rPr>
            <w:lang w:eastAsia="en-GB"/>
          </w:rPr>
          <w:t>В таблица</w:t>
        </w:r>
        <w:r>
          <w:rPr>
            <w:lang w:val="en-US" w:eastAsia="en-GB"/>
          </w:rPr>
          <w:t> </w:t>
        </w:r>
        <w:r>
          <w:rPr>
            <w:lang w:eastAsia="en-GB"/>
          </w:rPr>
          <w:t>1</w:t>
        </w:r>
      </w:ins>
      <w:ins w:id="1064" w:author="Reviser" w:date="2026-04-29T20:46:00Z">
        <w:del w:id="1065" w:author="RABG09" w:date="2026-06-24T16:04:00Z">
          <w:r w:rsidR="006A2177" w:rsidDel="0037060C">
            <w:rPr>
              <w:lang w:eastAsia="en-GB"/>
            </w:rPr>
            <w:delText>6</w:delText>
          </w:r>
        </w:del>
      </w:ins>
      <w:ins w:id="1066" w:author="RABG09" w:date="2026-06-24T16:04:00Z">
        <w:r w:rsidR="0037060C">
          <w:rPr>
            <w:lang w:eastAsia="en-GB"/>
          </w:rPr>
          <w:t>5</w:t>
        </w:r>
      </w:ins>
      <w:ins w:id="1067" w:author="Reviser" w:date="2026-04-29T20:37:00Z">
        <w:r>
          <w:rPr>
            <w:lang w:eastAsia="en-GB"/>
          </w:rPr>
          <w:t xml:space="preserve"> са представени анализите на вторичните крайни точки по време на поддържащата терапия до седмица</w:t>
        </w:r>
        <w:r>
          <w:rPr>
            <w:lang w:val="en-US" w:eastAsia="en-GB"/>
          </w:rPr>
          <w:t> </w:t>
        </w:r>
        <w:r>
          <w:rPr>
            <w:lang w:eastAsia="en-GB"/>
          </w:rPr>
          <w:t>44.</w:t>
        </w:r>
      </w:ins>
    </w:p>
    <w:p w14:paraId="31FCC17D" w14:textId="77777777" w:rsidR="00E259ED" w:rsidRDefault="00E259ED" w:rsidP="00E259ED">
      <w:pPr>
        <w:rPr>
          <w:ins w:id="1068" w:author="Reviser" w:date="2026-04-29T20:37:00Z"/>
        </w:rPr>
      </w:pPr>
    </w:p>
    <w:p w14:paraId="4897B0C0" w14:textId="7CDCD482" w:rsidR="00E259ED" w:rsidRDefault="00E259ED" w:rsidP="00E259ED">
      <w:pPr>
        <w:keepNext/>
        <w:ind w:left="1134" w:hanging="1134"/>
        <w:rPr>
          <w:ins w:id="1069" w:author="Reviser" w:date="2026-04-29T20:37:00Z"/>
          <w:i/>
          <w:iCs/>
        </w:rPr>
      </w:pPr>
      <w:ins w:id="1070" w:author="Reviser" w:date="2026-04-29T20:37:00Z">
        <w:r>
          <w:rPr>
            <w:i/>
            <w:iCs/>
          </w:rPr>
          <w:lastRenderedPageBreak/>
          <w:t>Таблица 1</w:t>
        </w:r>
      </w:ins>
      <w:ins w:id="1071" w:author="Reviser" w:date="2026-04-29T20:46:00Z">
        <w:del w:id="1072" w:author="RABG09" w:date="2026-06-24T16:04:00Z">
          <w:r w:rsidR="006A2177" w:rsidDel="0037060C">
            <w:rPr>
              <w:i/>
              <w:iCs/>
            </w:rPr>
            <w:delText>6</w:delText>
          </w:r>
        </w:del>
      </w:ins>
      <w:ins w:id="1073" w:author="RABG09" w:date="2026-06-24T16:04:00Z">
        <w:r w:rsidR="0037060C">
          <w:rPr>
            <w:i/>
            <w:iCs/>
          </w:rPr>
          <w:t>5</w:t>
        </w:r>
      </w:ins>
      <w:ins w:id="1074" w:author="Reviser" w:date="2026-04-29T20:37:00Z">
        <w:r>
          <w:rPr>
            <w:i/>
            <w:iCs/>
          </w:rPr>
          <w:t>:</w:t>
        </w:r>
        <w:r>
          <w:rPr>
            <w:i/>
            <w:iCs/>
          </w:rPr>
          <w:tab/>
          <w:t>Резюме на вторичните крайни точки по време на поддържа</w:t>
        </w:r>
      </w:ins>
      <w:ins w:id="1075" w:author="RABG09" w:date="2026-07-15T12:50:00Z" w16du:dateUtc="2026-07-15T09:50:00Z">
        <w:r w:rsidR="00D7231F">
          <w:rPr>
            <w:i/>
            <w:iCs/>
          </w:rPr>
          <w:t>щата терапия</w:t>
        </w:r>
      </w:ins>
      <w:ins w:id="1076" w:author="Reviser" w:date="2026-04-29T20:37:00Z">
        <w:del w:id="1077" w:author="RABG09" w:date="2026-07-15T12:50:00Z" w16du:dateUtc="2026-07-15T09:50:00Z">
          <w:r w:rsidDel="00A46899">
            <w:rPr>
              <w:i/>
              <w:iCs/>
            </w:rPr>
            <w:delText>щото лечение</w:delText>
          </w:r>
        </w:del>
        <w:r>
          <w:rPr>
            <w:i/>
            <w:iCs/>
          </w:rPr>
          <w:t xml:space="preserve"> до седмица 44</w:t>
        </w:r>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E259ED" w14:paraId="23DC4CD7" w14:textId="77777777" w:rsidTr="009B5D7A">
        <w:trPr>
          <w:cantSplit/>
          <w:jc w:val="center"/>
          <w:ins w:id="1078" w:author="Reviser" w:date="2026-04-29T20:37:00Z"/>
        </w:trPr>
        <w:tc>
          <w:tcPr>
            <w:tcW w:w="3409" w:type="dxa"/>
            <w:tcBorders>
              <w:top w:val="single" w:sz="6" w:space="0" w:color="auto"/>
              <w:left w:val="single" w:sz="6" w:space="0" w:color="auto"/>
              <w:bottom w:val="single" w:sz="6" w:space="0" w:color="auto"/>
              <w:right w:val="single" w:sz="6" w:space="0" w:color="auto"/>
            </w:tcBorders>
            <w:hideMark/>
          </w:tcPr>
          <w:p w14:paraId="7E649581" w14:textId="77777777" w:rsidR="00E259ED" w:rsidRDefault="00E259ED" w:rsidP="009B5D7A">
            <w:pPr>
              <w:keepNext/>
              <w:jc w:val="center"/>
              <w:rPr>
                <w:ins w:id="1079" w:author="Reviser" w:date="2026-04-29T20:37:00Z"/>
                <w:b/>
                <w:bCs/>
              </w:rPr>
            </w:pPr>
          </w:p>
        </w:tc>
        <w:tc>
          <w:tcPr>
            <w:tcW w:w="1835" w:type="dxa"/>
            <w:tcBorders>
              <w:top w:val="single" w:sz="6" w:space="0" w:color="auto"/>
              <w:left w:val="single" w:sz="6" w:space="0" w:color="auto"/>
              <w:bottom w:val="single" w:sz="6" w:space="0" w:color="auto"/>
              <w:right w:val="single" w:sz="6" w:space="0" w:color="auto"/>
            </w:tcBorders>
            <w:hideMark/>
          </w:tcPr>
          <w:p w14:paraId="73C87B4F" w14:textId="77777777" w:rsidR="00E259ED" w:rsidRDefault="00E259ED" w:rsidP="009B5D7A">
            <w:pPr>
              <w:keepNext/>
              <w:tabs>
                <w:tab w:val="clear" w:pos="567"/>
              </w:tabs>
              <w:jc w:val="center"/>
              <w:textAlignment w:val="baseline"/>
              <w:rPr>
                <w:ins w:id="1080" w:author="Reviser" w:date="2026-04-29T20:37:00Z"/>
                <w:b/>
                <w:bCs/>
                <w:szCs w:val="22"/>
                <w:lang w:eastAsia="en-GB"/>
              </w:rPr>
            </w:pPr>
            <w:ins w:id="1081" w:author="Reviser" w:date="2026-04-29T20:37:00Z">
              <w:r>
                <w:rPr>
                  <w:b/>
                  <w:bCs/>
                  <w:szCs w:val="22"/>
                  <w:lang w:eastAsia="en-GB"/>
                </w:rPr>
                <w:t>90 mg или</w:t>
              </w:r>
            </w:ins>
          </w:p>
          <w:p w14:paraId="6D2F72DE" w14:textId="169EABD3" w:rsidR="00E259ED" w:rsidRDefault="00E259ED" w:rsidP="009B5D7A">
            <w:pPr>
              <w:keepNext/>
              <w:tabs>
                <w:tab w:val="clear" w:pos="567"/>
              </w:tabs>
              <w:jc w:val="center"/>
              <w:textAlignment w:val="baseline"/>
              <w:rPr>
                <w:ins w:id="1082" w:author="Reviser" w:date="2026-04-29T20:37:00Z"/>
                <w:b/>
                <w:bCs/>
                <w:szCs w:val="22"/>
                <w:lang w:eastAsia="en-GB"/>
              </w:rPr>
            </w:pPr>
            <w:ins w:id="1083" w:author="Reviser" w:date="2026-04-29T20:37:00Z">
              <w:r>
                <w:rPr>
                  <w:b/>
                  <w:bCs/>
                  <w:szCs w:val="22"/>
                  <w:lang w:eastAsia="en-GB"/>
                </w:rPr>
                <w:t>60</w:t>
              </w:r>
              <w:r>
                <w:rPr>
                  <w:b/>
                  <w:bCs/>
                  <w:szCs w:val="22"/>
                  <w:lang w:val="en-US" w:eastAsia="en-GB"/>
                </w:rPr>
                <w:t> </w:t>
              </w:r>
              <w:r>
                <w:rPr>
                  <w:b/>
                  <w:bCs/>
                  <w:szCs w:val="22"/>
                  <w:lang w:eastAsia="en-GB"/>
                </w:rPr>
                <w:t>mg/m</w:t>
              </w:r>
              <w:r w:rsidRPr="00BC6A43">
                <w:rPr>
                  <w:b/>
                  <w:bCs/>
                  <w:szCs w:val="22"/>
                  <w:vertAlign w:val="superscript"/>
                  <w:lang w:eastAsia="en-GB"/>
                </w:rPr>
                <w:t>2</w:t>
              </w:r>
              <w:r>
                <w:rPr>
                  <w:b/>
                  <w:bCs/>
                  <w:szCs w:val="22"/>
                  <w:lang w:eastAsia="en-GB"/>
                </w:rPr>
                <w:t xml:space="preserve"> устекинумаб </w:t>
              </w:r>
              <w:del w:id="1084" w:author="RABG09" w:date="2026-07-15T12:50:00Z" w16du:dateUtc="2026-07-15T09:50:00Z">
                <w:r w:rsidDel="00D7231F">
                  <w:rPr>
                    <w:b/>
                    <w:bCs/>
                    <w:szCs w:val="22"/>
                    <w:lang w:eastAsia="en-GB"/>
                  </w:rPr>
                  <w:delText>през</w:delText>
                </w:r>
              </w:del>
            </w:ins>
            <w:ins w:id="1085" w:author="RABG09" w:date="2026-07-15T12:50:00Z" w16du:dateUtc="2026-07-15T09:50:00Z">
              <w:r w:rsidR="00D7231F">
                <w:rPr>
                  <w:b/>
                  <w:bCs/>
                  <w:szCs w:val="22"/>
                  <w:lang w:eastAsia="en-GB"/>
                </w:rPr>
                <w:t>на</w:t>
              </w:r>
            </w:ins>
            <w:ins w:id="1086" w:author="Reviser" w:date="2026-04-29T20:37:00Z">
              <w:r>
                <w:rPr>
                  <w:b/>
                  <w:bCs/>
                  <w:szCs w:val="22"/>
                  <w:lang w:eastAsia="en-GB"/>
                </w:rPr>
                <w:t xml:space="preserve"> 8 седмици</w:t>
              </w:r>
            </w:ins>
          </w:p>
          <w:p w14:paraId="5056A183" w14:textId="77777777" w:rsidR="00E259ED" w:rsidRDefault="00E259ED" w:rsidP="009B5D7A">
            <w:pPr>
              <w:keepNext/>
              <w:tabs>
                <w:tab w:val="clear" w:pos="567"/>
              </w:tabs>
              <w:jc w:val="center"/>
              <w:textAlignment w:val="baseline"/>
              <w:rPr>
                <w:ins w:id="1087" w:author="Reviser" w:date="2026-04-29T20:37:00Z"/>
                <w:szCs w:val="22"/>
                <w:lang w:eastAsia="en-GB"/>
              </w:rPr>
            </w:pPr>
            <w:ins w:id="1088" w:author="Reviser" w:date="2026-04-29T20:37:00Z">
              <w:r>
                <w:rPr>
                  <w:b/>
                  <w:bCs/>
                  <w:szCs w:val="22"/>
                  <w:lang w:eastAsia="en-GB"/>
                </w:rPr>
                <w:t>N = 39</w:t>
              </w:r>
            </w:ins>
          </w:p>
        </w:tc>
        <w:tc>
          <w:tcPr>
            <w:tcW w:w="1779" w:type="dxa"/>
            <w:tcBorders>
              <w:top w:val="single" w:sz="6" w:space="0" w:color="auto"/>
              <w:left w:val="single" w:sz="6" w:space="0" w:color="auto"/>
              <w:bottom w:val="single" w:sz="6" w:space="0" w:color="auto"/>
              <w:right w:val="single" w:sz="6" w:space="0" w:color="auto"/>
            </w:tcBorders>
            <w:hideMark/>
          </w:tcPr>
          <w:p w14:paraId="267F09F7" w14:textId="77777777" w:rsidR="00E259ED" w:rsidRDefault="00E259ED" w:rsidP="009B5D7A">
            <w:pPr>
              <w:keepNext/>
              <w:tabs>
                <w:tab w:val="clear" w:pos="567"/>
              </w:tabs>
              <w:jc w:val="center"/>
              <w:textAlignment w:val="baseline"/>
              <w:rPr>
                <w:ins w:id="1089" w:author="Reviser" w:date="2026-04-29T20:37:00Z"/>
                <w:b/>
                <w:bCs/>
                <w:szCs w:val="22"/>
                <w:lang w:eastAsia="en-GB"/>
              </w:rPr>
            </w:pPr>
            <w:ins w:id="1090" w:author="Reviser" w:date="2026-04-29T20:37:00Z">
              <w:r>
                <w:rPr>
                  <w:b/>
                  <w:bCs/>
                  <w:szCs w:val="22"/>
                  <w:lang w:eastAsia="en-GB"/>
                </w:rPr>
                <w:t>90 mg или</w:t>
              </w:r>
            </w:ins>
          </w:p>
          <w:p w14:paraId="72AE075E" w14:textId="7B90F686" w:rsidR="00E259ED" w:rsidRDefault="00E259ED" w:rsidP="009B5D7A">
            <w:pPr>
              <w:keepNext/>
              <w:tabs>
                <w:tab w:val="clear" w:pos="567"/>
              </w:tabs>
              <w:jc w:val="center"/>
              <w:textAlignment w:val="baseline"/>
              <w:rPr>
                <w:ins w:id="1091" w:author="Reviser" w:date="2026-04-29T20:37:00Z"/>
                <w:b/>
                <w:bCs/>
                <w:szCs w:val="22"/>
                <w:lang w:eastAsia="en-GB"/>
              </w:rPr>
            </w:pPr>
            <w:ins w:id="1092" w:author="Reviser" w:date="2026-04-29T20:37:00Z">
              <w:r>
                <w:rPr>
                  <w:b/>
                  <w:bCs/>
                  <w:szCs w:val="22"/>
                  <w:lang w:eastAsia="en-GB"/>
                </w:rPr>
                <w:t>60</w:t>
              </w:r>
              <w:r>
                <w:rPr>
                  <w:b/>
                  <w:bCs/>
                  <w:szCs w:val="22"/>
                  <w:lang w:val="en-US" w:eastAsia="en-GB"/>
                </w:rPr>
                <w:t> </w:t>
              </w:r>
              <w:r>
                <w:rPr>
                  <w:b/>
                  <w:bCs/>
                  <w:szCs w:val="22"/>
                  <w:lang w:eastAsia="en-GB"/>
                </w:rPr>
                <w:t>mg/m</w:t>
              </w:r>
              <w:r>
                <w:rPr>
                  <w:b/>
                  <w:bCs/>
                  <w:szCs w:val="22"/>
                  <w:vertAlign w:val="superscript"/>
                  <w:lang w:eastAsia="en-GB"/>
                </w:rPr>
                <w:t>2</w:t>
              </w:r>
              <w:r>
                <w:rPr>
                  <w:b/>
                  <w:bCs/>
                  <w:szCs w:val="22"/>
                  <w:lang w:eastAsia="en-GB"/>
                </w:rPr>
                <w:t xml:space="preserve"> устекинумаб </w:t>
              </w:r>
              <w:del w:id="1093" w:author="RABG09" w:date="2026-07-15T12:50:00Z" w16du:dateUtc="2026-07-15T09:50:00Z">
                <w:r w:rsidDel="00D7231F">
                  <w:rPr>
                    <w:b/>
                    <w:bCs/>
                    <w:szCs w:val="22"/>
                    <w:lang w:eastAsia="en-GB"/>
                  </w:rPr>
                  <w:delText>през</w:delText>
                </w:r>
              </w:del>
            </w:ins>
            <w:ins w:id="1094" w:author="RABG09" w:date="2026-07-15T12:50:00Z" w16du:dateUtc="2026-07-15T09:50:00Z">
              <w:r w:rsidR="00D7231F">
                <w:rPr>
                  <w:b/>
                  <w:bCs/>
                  <w:szCs w:val="22"/>
                  <w:lang w:eastAsia="en-GB"/>
                </w:rPr>
                <w:t>на</w:t>
              </w:r>
            </w:ins>
            <w:ins w:id="1095" w:author="Reviser" w:date="2026-04-29T20:37:00Z">
              <w:r>
                <w:rPr>
                  <w:b/>
                  <w:bCs/>
                  <w:szCs w:val="22"/>
                  <w:lang w:eastAsia="en-GB"/>
                </w:rPr>
                <w:t xml:space="preserve"> 12 седмици</w:t>
              </w:r>
            </w:ins>
          </w:p>
          <w:p w14:paraId="195D9BA9" w14:textId="77777777" w:rsidR="00E259ED" w:rsidRDefault="00E259ED" w:rsidP="009B5D7A">
            <w:pPr>
              <w:keepNext/>
              <w:tabs>
                <w:tab w:val="clear" w:pos="567"/>
              </w:tabs>
              <w:jc w:val="center"/>
              <w:textAlignment w:val="baseline"/>
              <w:rPr>
                <w:ins w:id="1096" w:author="Reviser" w:date="2026-04-29T20:37:00Z"/>
                <w:b/>
                <w:bCs/>
                <w:szCs w:val="22"/>
                <w:lang w:eastAsia="en-GB"/>
              </w:rPr>
            </w:pPr>
            <w:ins w:id="1097" w:author="Reviser" w:date="2026-04-29T20:37:00Z">
              <w:r>
                <w:rPr>
                  <w:b/>
                  <w:bCs/>
                  <w:szCs w:val="22"/>
                  <w:lang w:eastAsia="en-GB"/>
                </w:rPr>
                <w:t>N = 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37295546" w14:textId="77777777" w:rsidR="00E259ED" w:rsidRDefault="00E259ED" w:rsidP="009B5D7A">
            <w:pPr>
              <w:keepNext/>
              <w:tabs>
                <w:tab w:val="clear" w:pos="567"/>
              </w:tabs>
              <w:jc w:val="center"/>
              <w:textAlignment w:val="baseline"/>
              <w:rPr>
                <w:ins w:id="1098" w:author="Reviser" w:date="2026-04-29T20:37:00Z"/>
                <w:b/>
                <w:bCs/>
                <w:szCs w:val="22"/>
                <w:lang w:eastAsia="en-GB"/>
              </w:rPr>
            </w:pPr>
            <w:ins w:id="1099" w:author="Reviser" w:date="2026-04-29T20:37:00Z">
              <w:r>
                <w:rPr>
                  <w:b/>
                  <w:bCs/>
                  <w:szCs w:val="22"/>
                  <w:lang w:eastAsia="en-GB"/>
                </w:rPr>
                <w:t>Общ брой пациенти</w:t>
              </w:r>
            </w:ins>
          </w:p>
          <w:p w14:paraId="47B91EB8" w14:textId="77777777" w:rsidR="00E259ED" w:rsidRDefault="00E259ED" w:rsidP="009B5D7A">
            <w:pPr>
              <w:keepNext/>
              <w:tabs>
                <w:tab w:val="clear" w:pos="567"/>
              </w:tabs>
              <w:jc w:val="center"/>
              <w:textAlignment w:val="baseline"/>
              <w:rPr>
                <w:ins w:id="1100" w:author="Reviser" w:date="2026-04-29T20:37:00Z"/>
                <w:b/>
                <w:bCs/>
                <w:szCs w:val="22"/>
                <w:lang w:eastAsia="en-GB"/>
              </w:rPr>
            </w:pPr>
            <w:ins w:id="1101" w:author="Reviser" w:date="2026-04-29T20:37:00Z">
              <w:r>
                <w:rPr>
                  <w:b/>
                  <w:bCs/>
                  <w:szCs w:val="22"/>
                  <w:lang w:eastAsia="en-GB"/>
                </w:rPr>
                <w:t>N = 79</w:t>
              </w:r>
            </w:ins>
          </w:p>
        </w:tc>
      </w:tr>
      <w:tr w:rsidR="00E259ED" w14:paraId="6FD6A250" w14:textId="77777777" w:rsidTr="009B5D7A">
        <w:trPr>
          <w:cantSplit/>
          <w:jc w:val="center"/>
          <w:ins w:id="1102" w:author="Reviser" w:date="2026-04-29T20:37:00Z"/>
        </w:trPr>
        <w:tc>
          <w:tcPr>
            <w:tcW w:w="3409" w:type="dxa"/>
            <w:tcBorders>
              <w:top w:val="single" w:sz="6" w:space="0" w:color="auto"/>
              <w:left w:val="single" w:sz="6" w:space="0" w:color="auto"/>
              <w:bottom w:val="single" w:sz="6" w:space="0" w:color="auto"/>
              <w:right w:val="single" w:sz="6" w:space="0" w:color="auto"/>
            </w:tcBorders>
            <w:hideMark/>
          </w:tcPr>
          <w:p w14:paraId="557C9F55" w14:textId="77777777" w:rsidR="00E259ED" w:rsidRDefault="00E259ED" w:rsidP="009B5D7A">
            <w:pPr>
              <w:tabs>
                <w:tab w:val="clear" w:pos="567"/>
              </w:tabs>
              <w:textAlignment w:val="baseline"/>
              <w:rPr>
                <w:ins w:id="1103" w:author="Reviser" w:date="2026-04-29T20:37:00Z"/>
                <w:szCs w:val="22"/>
                <w:lang w:eastAsia="en-GB"/>
              </w:rPr>
            </w:pPr>
            <w:ins w:id="1104" w:author="Reviser" w:date="2026-04-29T20:37:00Z">
              <w:r>
                <w:rPr>
                  <w:szCs w:val="22"/>
                  <w:lang w:eastAsia="en-GB"/>
                </w:rPr>
                <w:t>Клинична ремисия</w:t>
              </w:r>
              <w:r w:rsidRPr="00E5333A">
                <w:rPr>
                  <w:szCs w:val="22"/>
                  <w:vertAlign w:val="superscript"/>
                </w:rPr>
                <w:t>†</w:t>
              </w:r>
              <w:r>
                <w:rPr>
                  <w:szCs w:val="22"/>
                  <w:vertAlign w:val="superscript"/>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28F967CE" w14:textId="77777777" w:rsidR="00E259ED" w:rsidRDefault="00E259ED" w:rsidP="009B5D7A">
            <w:pPr>
              <w:tabs>
                <w:tab w:val="clear" w:pos="567"/>
              </w:tabs>
              <w:jc w:val="center"/>
              <w:textAlignment w:val="baseline"/>
              <w:rPr>
                <w:ins w:id="1105" w:author="Reviser" w:date="2026-04-29T20:37:00Z"/>
                <w:szCs w:val="22"/>
                <w:lang w:eastAsia="en-GB"/>
              </w:rPr>
            </w:pPr>
            <w:ins w:id="1106" w:author="Reviser" w:date="2026-04-29T20:37: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hideMark/>
          </w:tcPr>
          <w:p w14:paraId="03102135" w14:textId="77777777" w:rsidR="00E259ED" w:rsidRDefault="00E259ED" w:rsidP="009B5D7A">
            <w:pPr>
              <w:tabs>
                <w:tab w:val="clear" w:pos="567"/>
              </w:tabs>
              <w:jc w:val="center"/>
              <w:textAlignment w:val="baseline"/>
              <w:rPr>
                <w:ins w:id="1107" w:author="Reviser" w:date="2026-04-29T20:37:00Z"/>
                <w:szCs w:val="22"/>
                <w:lang w:eastAsia="en-GB"/>
              </w:rPr>
            </w:pPr>
            <w:ins w:id="1108" w:author="Reviser" w:date="2026-04-29T20:37: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1CD699CA" w14:textId="77777777" w:rsidR="00E259ED" w:rsidRDefault="00E259ED" w:rsidP="009B5D7A">
            <w:pPr>
              <w:tabs>
                <w:tab w:val="clear" w:pos="567"/>
              </w:tabs>
              <w:jc w:val="center"/>
              <w:textAlignment w:val="baseline"/>
              <w:rPr>
                <w:ins w:id="1109" w:author="Reviser" w:date="2026-04-29T20:37:00Z"/>
                <w:szCs w:val="22"/>
                <w:lang w:eastAsia="en-GB"/>
              </w:rPr>
            </w:pPr>
            <w:ins w:id="1110" w:author="Reviser" w:date="2026-04-29T20:37:00Z">
              <w:r w:rsidRPr="00523DC7">
                <w:rPr>
                  <w:szCs w:val="22"/>
                  <w:lang w:eastAsia="en-GB"/>
                </w:rPr>
                <w:t>40</w:t>
              </w:r>
              <w:r>
                <w:rPr>
                  <w:szCs w:val="22"/>
                  <w:lang w:eastAsia="en-GB"/>
                </w:rPr>
                <w:t>,</w:t>
              </w:r>
              <w:r w:rsidRPr="00523DC7">
                <w:rPr>
                  <w:szCs w:val="22"/>
                  <w:lang w:eastAsia="en-GB"/>
                </w:rPr>
                <w:t>5% (32/79)</w:t>
              </w:r>
            </w:ins>
          </w:p>
        </w:tc>
      </w:tr>
      <w:tr w:rsidR="00E259ED" w14:paraId="6D3B19D2" w14:textId="77777777" w:rsidTr="009B5D7A">
        <w:trPr>
          <w:cantSplit/>
          <w:jc w:val="center"/>
          <w:ins w:id="1111" w:author="Reviser" w:date="2026-04-29T20:37:00Z"/>
        </w:trPr>
        <w:tc>
          <w:tcPr>
            <w:tcW w:w="3409" w:type="dxa"/>
            <w:tcBorders>
              <w:top w:val="single" w:sz="6" w:space="0" w:color="auto"/>
              <w:left w:val="single" w:sz="6" w:space="0" w:color="auto"/>
              <w:bottom w:val="single" w:sz="6" w:space="0" w:color="auto"/>
              <w:right w:val="single" w:sz="6" w:space="0" w:color="auto"/>
            </w:tcBorders>
          </w:tcPr>
          <w:p w14:paraId="181DD64B" w14:textId="77777777" w:rsidR="00E259ED" w:rsidRPr="00F013BD" w:rsidRDefault="00E259ED" w:rsidP="009B5D7A">
            <w:pPr>
              <w:tabs>
                <w:tab w:val="clear" w:pos="567"/>
              </w:tabs>
              <w:textAlignment w:val="baseline"/>
              <w:rPr>
                <w:ins w:id="1112" w:author="Reviser" w:date="2026-04-29T20:37:00Z"/>
                <w:szCs w:val="22"/>
                <w:lang w:eastAsia="en-GB"/>
              </w:rPr>
            </w:pPr>
            <w:ins w:id="1113" w:author="Reviser" w:date="2026-04-29T20:37:00Z">
              <w:r>
                <w:rPr>
                  <w:szCs w:val="22"/>
                  <w:lang w:eastAsia="en-GB"/>
                </w:rPr>
                <w:t>Симптоматична ремисия</w:t>
              </w:r>
              <w:r w:rsidRPr="00752E8A">
                <w:rPr>
                  <w:szCs w:val="22"/>
                  <w:vertAlign w:val="superscript"/>
                  <w:lang w:val="en-US" w:eastAsia="en-GB"/>
                </w:rPr>
                <w:t>**</w:t>
              </w:r>
            </w:ins>
          </w:p>
        </w:tc>
        <w:tc>
          <w:tcPr>
            <w:tcW w:w="1835" w:type="dxa"/>
            <w:tcBorders>
              <w:top w:val="single" w:sz="6" w:space="0" w:color="auto"/>
              <w:left w:val="single" w:sz="6" w:space="0" w:color="auto"/>
              <w:bottom w:val="single" w:sz="6" w:space="0" w:color="auto"/>
              <w:right w:val="single" w:sz="6" w:space="0" w:color="auto"/>
            </w:tcBorders>
          </w:tcPr>
          <w:p w14:paraId="4BB2BF35" w14:textId="77777777" w:rsidR="00E259ED" w:rsidRDefault="00E259ED" w:rsidP="009B5D7A">
            <w:pPr>
              <w:tabs>
                <w:tab w:val="clear" w:pos="567"/>
              </w:tabs>
              <w:jc w:val="center"/>
              <w:textAlignment w:val="baseline"/>
              <w:rPr>
                <w:ins w:id="1114" w:author="Reviser" w:date="2026-04-29T20:37:00Z"/>
                <w:szCs w:val="22"/>
                <w:lang w:val="en-GB" w:eastAsia="en-GB"/>
              </w:rPr>
            </w:pPr>
            <w:ins w:id="1115" w:author="Reviser" w:date="2026-04-29T20:37:00Z">
              <w:r w:rsidRPr="00523DC7">
                <w:rPr>
                  <w:szCs w:val="22"/>
                  <w:lang w:eastAsia="en-GB"/>
                </w:rPr>
                <w:t>74</w:t>
              </w:r>
              <w:r>
                <w:rPr>
                  <w:szCs w:val="22"/>
                  <w:lang w:eastAsia="en-GB"/>
                </w:rPr>
                <w:t>,</w:t>
              </w:r>
              <w:r w:rsidRPr="00523DC7">
                <w:rPr>
                  <w:szCs w:val="22"/>
                  <w:lang w:eastAsia="en-GB"/>
                </w:rPr>
                <w:t>4% (29/39)</w:t>
              </w:r>
            </w:ins>
          </w:p>
        </w:tc>
        <w:tc>
          <w:tcPr>
            <w:tcW w:w="1779" w:type="dxa"/>
            <w:tcBorders>
              <w:top w:val="single" w:sz="6" w:space="0" w:color="auto"/>
              <w:left w:val="single" w:sz="6" w:space="0" w:color="auto"/>
              <w:bottom w:val="single" w:sz="6" w:space="0" w:color="auto"/>
              <w:right w:val="single" w:sz="6" w:space="0" w:color="auto"/>
            </w:tcBorders>
          </w:tcPr>
          <w:p w14:paraId="235E246E" w14:textId="77777777" w:rsidR="00E259ED" w:rsidRDefault="00E259ED" w:rsidP="009B5D7A">
            <w:pPr>
              <w:tabs>
                <w:tab w:val="clear" w:pos="567"/>
              </w:tabs>
              <w:jc w:val="center"/>
              <w:textAlignment w:val="baseline"/>
              <w:rPr>
                <w:ins w:id="1116" w:author="Reviser" w:date="2026-04-29T20:37:00Z"/>
                <w:szCs w:val="22"/>
                <w:lang w:val="en-GB" w:eastAsia="en-GB"/>
              </w:rPr>
            </w:pPr>
            <w:ins w:id="1117" w:author="Reviser" w:date="2026-04-29T20:37:00Z">
              <w:r w:rsidRPr="00523DC7">
                <w:rPr>
                  <w:szCs w:val="22"/>
                  <w:lang w:eastAsia="en-GB"/>
                </w:rPr>
                <w:t>57</w:t>
              </w:r>
              <w:r>
                <w:rPr>
                  <w:szCs w:val="22"/>
                  <w:lang w:eastAsia="en-GB"/>
                </w:rPr>
                <w:t>,</w:t>
              </w:r>
              <w:r w:rsidRPr="00523DC7">
                <w:rPr>
                  <w:szCs w:val="22"/>
                  <w:lang w:eastAsia="en-GB"/>
                </w:rPr>
                <w:t>5% (23/40)</w:t>
              </w:r>
            </w:ins>
          </w:p>
        </w:tc>
        <w:tc>
          <w:tcPr>
            <w:tcW w:w="2049" w:type="dxa"/>
            <w:gridSpan w:val="2"/>
            <w:tcBorders>
              <w:top w:val="single" w:sz="6" w:space="0" w:color="auto"/>
              <w:left w:val="single" w:sz="6" w:space="0" w:color="auto"/>
              <w:bottom w:val="single" w:sz="6" w:space="0" w:color="auto"/>
              <w:right w:val="single" w:sz="6" w:space="0" w:color="auto"/>
            </w:tcBorders>
          </w:tcPr>
          <w:p w14:paraId="6DA85112" w14:textId="77777777" w:rsidR="00E259ED" w:rsidRDefault="00E259ED" w:rsidP="009B5D7A">
            <w:pPr>
              <w:tabs>
                <w:tab w:val="clear" w:pos="567"/>
              </w:tabs>
              <w:jc w:val="center"/>
              <w:textAlignment w:val="baseline"/>
              <w:rPr>
                <w:ins w:id="1118" w:author="Reviser" w:date="2026-04-29T20:37:00Z"/>
                <w:szCs w:val="22"/>
                <w:lang w:val="en-GB" w:eastAsia="en-GB"/>
              </w:rPr>
            </w:pPr>
            <w:ins w:id="1119" w:author="Reviser" w:date="2026-04-29T20:37:00Z">
              <w:r w:rsidRPr="00523DC7">
                <w:rPr>
                  <w:szCs w:val="22"/>
                  <w:lang w:eastAsia="en-GB"/>
                </w:rPr>
                <w:t>65</w:t>
              </w:r>
              <w:r>
                <w:rPr>
                  <w:szCs w:val="22"/>
                  <w:lang w:eastAsia="en-GB"/>
                </w:rPr>
                <w:t>,</w:t>
              </w:r>
              <w:r w:rsidRPr="00523DC7">
                <w:rPr>
                  <w:szCs w:val="22"/>
                  <w:lang w:eastAsia="en-GB"/>
                </w:rPr>
                <w:t>8% (52/79)</w:t>
              </w:r>
            </w:ins>
          </w:p>
        </w:tc>
      </w:tr>
      <w:tr w:rsidR="00E259ED" w14:paraId="65498A7F" w14:textId="77777777" w:rsidTr="009B5D7A">
        <w:trPr>
          <w:cantSplit/>
          <w:jc w:val="center"/>
          <w:ins w:id="1120" w:author="Reviser" w:date="2026-04-29T20:37:00Z"/>
        </w:trPr>
        <w:tc>
          <w:tcPr>
            <w:tcW w:w="3409" w:type="dxa"/>
            <w:tcBorders>
              <w:top w:val="single" w:sz="6" w:space="0" w:color="auto"/>
              <w:left w:val="single" w:sz="6" w:space="0" w:color="auto"/>
              <w:bottom w:val="single" w:sz="6" w:space="0" w:color="auto"/>
              <w:right w:val="single" w:sz="6" w:space="0" w:color="auto"/>
            </w:tcBorders>
            <w:hideMark/>
          </w:tcPr>
          <w:p w14:paraId="0F5A77EA" w14:textId="77777777" w:rsidR="00E259ED" w:rsidRDefault="00E259ED" w:rsidP="009B5D7A">
            <w:pPr>
              <w:tabs>
                <w:tab w:val="clear" w:pos="567"/>
              </w:tabs>
              <w:textAlignment w:val="baseline"/>
              <w:rPr>
                <w:ins w:id="1121" w:author="Reviser" w:date="2026-04-29T20:37:00Z"/>
                <w:szCs w:val="22"/>
                <w:lang w:eastAsia="en-GB"/>
              </w:rPr>
            </w:pPr>
            <w:ins w:id="1122" w:author="Reviser" w:date="2026-04-29T20:37:00Z">
              <w:r>
                <w:rPr>
                  <w:szCs w:val="22"/>
                  <w:lang w:eastAsia="en-GB"/>
                </w:rPr>
                <w:t>Клинична ремисия</w:t>
              </w:r>
              <w:r>
                <w:rPr>
                  <w:szCs w:val="22"/>
                  <w:vertAlign w:val="superscript"/>
                  <w:lang w:eastAsia="en-GB"/>
                </w:rPr>
                <w:t xml:space="preserve"> </w:t>
              </w:r>
              <w:r>
                <w:rPr>
                  <w:szCs w:val="22"/>
                  <w:lang w:eastAsia="en-GB"/>
                </w:rPr>
                <w:t>без кортикостероиди</w:t>
              </w:r>
              <w:r>
                <w:rPr>
                  <w:szCs w:val="22"/>
                  <w:vertAlign w:val="superscript"/>
                  <w:lang w:eastAsia="en-GB"/>
                </w:rPr>
                <w:t>§</w:t>
              </w:r>
              <w:r>
                <w:rPr>
                  <w:szCs w:val="22"/>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1CB711C5" w14:textId="77777777" w:rsidR="00E259ED" w:rsidRDefault="00E259ED" w:rsidP="009B5D7A">
            <w:pPr>
              <w:tabs>
                <w:tab w:val="clear" w:pos="567"/>
              </w:tabs>
              <w:jc w:val="center"/>
              <w:textAlignment w:val="baseline"/>
              <w:rPr>
                <w:ins w:id="1123" w:author="Reviser" w:date="2026-04-29T20:37:00Z"/>
                <w:szCs w:val="22"/>
                <w:lang w:eastAsia="en-GB"/>
              </w:rPr>
            </w:pPr>
            <w:ins w:id="1124" w:author="Reviser" w:date="2026-04-29T20:37: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hideMark/>
          </w:tcPr>
          <w:p w14:paraId="36316A2A" w14:textId="77777777" w:rsidR="00E259ED" w:rsidRDefault="00E259ED" w:rsidP="009B5D7A">
            <w:pPr>
              <w:tabs>
                <w:tab w:val="clear" w:pos="567"/>
              </w:tabs>
              <w:jc w:val="center"/>
              <w:textAlignment w:val="baseline"/>
              <w:rPr>
                <w:ins w:id="1125" w:author="Reviser" w:date="2026-04-29T20:37:00Z"/>
                <w:szCs w:val="22"/>
                <w:lang w:eastAsia="en-GB"/>
              </w:rPr>
            </w:pPr>
            <w:ins w:id="1126" w:author="Reviser" w:date="2026-04-29T20:37: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20C29E8F" w14:textId="77777777" w:rsidR="00E259ED" w:rsidRDefault="00E259ED" w:rsidP="009B5D7A">
            <w:pPr>
              <w:tabs>
                <w:tab w:val="clear" w:pos="567"/>
              </w:tabs>
              <w:jc w:val="center"/>
              <w:textAlignment w:val="baseline"/>
              <w:rPr>
                <w:ins w:id="1127" w:author="Reviser" w:date="2026-04-29T20:37:00Z"/>
                <w:szCs w:val="22"/>
                <w:lang w:eastAsia="en-GB"/>
              </w:rPr>
            </w:pPr>
            <w:ins w:id="1128" w:author="Reviser" w:date="2026-04-29T20:37:00Z">
              <w:r w:rsidRPr="00523DC7">
                <w:rPr>
                  <w:szCs w:val="22"/>
                  <w:lang w:eastAsia="en-GB"/>
                </w:rPr>
                <w:t>40</w:t>
              </w:r>
              <w:r>
                <w:rPr>
                  <w:szCs w:val="22"/>
                  <w:lang w:eastAsia="en-GB"/>
                </w:rPr>
                <w:t>,</w:t>
              </w:r>
              <w:r w:rsidRPr="00523DC7">
                <w:rPr>
                  <w:szCs w:val="22"/>
                  <w:lang w:eastAsia="en-GB"/>
                </w:rPr>
                <w:t>5% (32/79)</w:t>
              </w:r>
            </w:ins>
          </w:p>
        </w:tc>
      </w:tr>
      <w:tr w:rsidR="00E259ED" w14:paraId="735BF7F2" w14:textId="77777777" w:rsidTr="009B5D7A">
        <w:trPr>
          <w:cantSplit/>
          <w:jc w:val="center"/>
          <w:ins w:id="1129" w:author="Reviser" w:date="2026-04-29T20:37:00Z"/>
        </w:trPr>
        <w:tc>
          <w:tcPr>
            <w:tcW w:w="3409" w:type="dxa"/>
            <w:tcBorders>
              <w:top w:val="single" w:sz="6" w:space="0" w:color="auto"/>
              <w:left w:val="single" w:sz="6" w:space="0" w:color="auto"/>
              <w:bottom w:val="single" w:sz="6" w:space="0" w:color="auto"/>
              <w:right w:val="single" w:sz="6" w:space="0" w:color="auto"/>
            </w:tcBorders>
            <w:hideMark/>
          </w:tcPr>
          <w:p w14:paraId="51530CF7" w14:textId="10C8E9AA" w:rsidR="00E259ED" w:rsidRDefault="00E259ED" w:rsidP="009B5D7A">
            <w:pPr>
              <w:tabs>
                <w:tab w:val="clear" w:pos="567"/>
              </w:tabs>
              <w:textAlignment w:val="baseline"/>
              <w:rPr>
                <w:ins w:id="1130" w:author="Reviser" w:date="2026-04-29T20:37:00Z"/>
                <w:szCs w:val="22"/>
                <w:lang w:eastAsia="en-GB"/>
              </w:rPr>
            </w:pPr>
            <w:ins w:id="1131" w:author="Reviser" w:date="2026-04-29T20:37:00Z">
              <w:r>
                <w:rPr>
                  <w:szCs w:val="22"/>
                  <w:lang w:eastAsia="en-GB"/>
                </w:rPr>
                <w:t xml:space="preserve">Клинична ремисия на седмица 44 при пациенти, които са били в клинична ремисия при индукцията </w:t>
              </w:r>
              <w:del w:id="1132" w:author="RABG09" w:date="2026-07-15T12:50:00Z" w16du:dateUtc="2026-07-15T09:50:00Z">
                <w:r w:rsidDel="00D7231F">
                  <w:rPr>
                    <w:szCs w:val="22"/>
                    <w:lang w:eastAsia="en-GB"/>
                  </w:rPr>
                  <w:delText>в</w:delText>
                </w:r>
              </w:del>
            </w:ins>
            <w:ins w:id="1133" w:author="RABG09" w:date="2026-07-15T12:50:00Z" w16du:dateUtc="2026-07-15T09:50:00Z">
              <w:r w:rsidR="00D7231F">
                <w:rPr>
                  <w:szCs w:val="22"/>
                  <w:lang w:eastAsia="en-GB"/>
                </w:rPr>
                <w:t>на</w:t>
              </w:r>
            </w:ins>
            <w:ins w:id="1134" w:author="Reviser" w:date="2026-04-29T20:37:00Z">
              <w:r>
                <w:rPr>
                  <w:szCs w:val="22"/>
                  <w:lang w:eastAsia="en-GB"/>
                </w:rPr>
                <w:t xml:space="preserve"> седмица 8</w:t>
              </w:r>
              <w:r>
                <w:rPr>
                  <w:szCs w:val="22"/>
                  <w:vertAlign w:val="superscript"/>
                  <w:lang w:eastAsia="en-GB"/>
                </w:rPr>
                <w:t>†</w:t>
              </w:r>
              <w:r>
                <w:rPr>
                  <w:szCs w:val="22"/>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7A254FF8" w14:textId="77777777" w:rsidR="00E259ED" w:rsidRDefault="00E259ED" w:rsidP="009B5D7A">
            <w:pPr>
              <w:tabs>
                <w:tab w:val="clear" w:pos="567"/>
              </w:tabs>
              <w:jc w:val="center"/>
              <w:textAlignment w:val="baseline"/>
              <w:rPr>
                <w:ins w:id="1135" w:author="Reviser" w:date="2026-04-29T20:37:00Z"/>
                <w:szCs w:val="22"/>
                <w:lang w:eastAsia="en-GB"/>
              </w:rPr>
            </w:pPr>
            <w:ins w:id="1136" w:author="Reviser" w:date="2026-04-29T20:37:00Z">
              <w:r w:rsidRPr="00523DC7">
                <w:rPr>
                  <w:szCs w:val="22"/>
                  <w:lang w:eastAsia="en-GB"/>
                </w:rPr>
                <w:t>56</w:t>
              </w:r>
              <w:r>
                <w:rPr>
                  <w:szCs w:val="22"/>
                  <w:lang w:eastAsia="en-GB"/>
                </w:rPr>
                <w:t>,</w:t>
              </w:r>
              <w:r w:rsidRPr="00523DC7">
                <w:rPr>
                  <w:szCs w:val="22"/>
                  <w:lang w:eastAsia="en-GB"/>
                </w:rPr>
                <w:t>3% (9/16)</w:t>
              </w:r>
            </w:ins>
          </w:p>
        </w:tc>
        <w:tc>
          <w:tcPr>
            <w:tcW w:w="1779" w:type="dxa"/>
            <w:tcBorders>
              <w:top w:val="single" w:sz="6" w:space="0" w:color="auto"/>
              <w:left w:val="single" w:sz="6" w:space="0" w:color="auto"/>
              <w:bottom w:val="single" w:sz="6" w:space="0" w:color="auto"/>
              <w:right w:val="single" w:sz="6" w:space="0" w:color="auto"/>
            </w:tcBorders>
            <w:hideMark/>
          </w:tcPr>
          <w:p w14:paraId="0479E10C" w14:textId="77777777" w:rsidR="00E259ED" w:rsidRDefault="00E259ED" w:rsidP="009B5D7A">
            <w:pPr>
              <w:tabs>
                <w:tab w:val="clear" w:pos="567"/>
              </w:tabs>
              <w:jc w:val="center"/>
              <w:textAlignment w:val="baseline"/>
              <w:rPr>
                <w:ins w:id="1137" w:author="Reviser" w:date="2026-04-29T20:37:00Z"/>
                <w:szCs w:val="22"/>
                <w:lang w:eastAsia="en-GB"/>
              </w:rPr>
            </w:pPr>
            <w:ins w:id="1138" w:author="Reviser" w:date="2026-04-29T20:37:00Z">
              <w:r w:rsidRPr="00523DC7">
                <w:rPr>
                  <w:szCs w:val="22"/>
                  <w:lang w:eastAsia="en-GB"/>
                </w:rPr>
                <w:t>63</w:t>
              </w:r>
              <w:r>
                <w:rPr>
                  <w:szCs w:val="22"/>
                  <w:lang w:eastAsia="en-GB"/>
                </w:rPr>
                <w:t>,</w:t>
              </w:r>
              <w:r w:rsidRPr="00523DC7">
                <w:rPr>
                  <w:szCs w:val="22"/>
                  <w:lang w:eastAsia="en-GB"/>
                </w:rPr>
                <w:t>6% (7/11)</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52BB37E4" w14:textId="77777777" w:rsidR="00E259ED" w:rsidRDefault="00E259ED" w:rsidP="009B5D7A">
            <w:pPr>
              <w:tabs>
                <w:tab w:val="clear" w:pos="567"/>
              </w:tabs>
              <w:jc w:val="center"/>
              <w:textAlignment w:val="baseline"/>
              <w:rPr>
                <w:ins w:id="1139" w:author="Reviser" w:date="2026-04-29T20:37:00Z"/>
                <w:szCs w:val="22"/>
                <w:lang w:eastAsia="en-GB"/>
              </w:rPr>
            </w:pPr>
            <w:ins w:id="1140" w:author="Reviser" w:date="2026-04-29T20:37:00Z">
              <w:r w:rsidRPr="00523DC7">
                <w:rPr>
                  <w:szCs w:val="22"/>
                  <w:lang w:eastAsia="en-GB"/>
                </w:rPr>
                <w:t>59</w:t>
              </w:r>
              <w:r>
                <w:rPr>
                  <w:szCs w:val="22"/>
                  <w:lang w:eastAsia="en-GB"/>
                </w:rPr>
                <w:t>,</w:t>
              </w:r>
              <w:r w:rsidRPr="00523DC7">
                <w:rPr>
                  <w:szCs w:val="22"/>
                  <w:lang w:eastAsia="en-GB"/>
                </w:rPr>
                <w:t>3% (16/27)</w:t>
              </w:r>
            </w:ins>
          </w:p>
        </w:tc>
      </w:tr>
      <w:tr w:rsidR="00E259ED" w14:paraId="4CAA9F27" w14:textId="77777777" w:rsidTr="009B5D7A">
        <w:trPr>
          <w:cantSplit/>
          <w:jc w:val="center"/>
          <w:ins w:id="1141" w:author="Reviser" w:date="2026-04-29T20:37:00Z"/>
        </w:trPr>
        <w:tc>
          <w:tcPr>
            <w:tcW w:w="3409" w:type="dxa"/>
            <w:tcBorders>
              <w:top w:val="single" w:sz="6" w:space="0" w:color="auto"/>
              <w:left w:val="single" w:sz="6" w:space="0" w:color="auto"/>
              <w:bottom w:val="single" w:sz="6" w:space="0" w:color="auto"/>
              <w:right w:val="single" w:sz="6" w:space="0" w:color="auto"/>
            </w:tcBorders>
            <w:hideMark/>
          </w:tcPr>
          <w:p w14:paraId="2A44021D" w14:textId="77777777" w:rsidR="00E259ED" w:rsidRDefault="00E259ED" w:rsidP="009B5D7A">
            <w:pPr>
              <w:tabs>
                <w:tab w:val="clear" w:pos="567"/>
              </w:tabs>
              <w:textAlignment w:val="baseline"/>
              <w:rPr>
                <w:ins w:id="1142" w:author="Reviser" w:date="2026-04-29T20:37:00Z"/>
                <w:szCs w:val="22"/>
                <w:lang w:eastAsia="en-GB"/>
              </w:rPr>
            </w:pPr>
            <w:ins w:id="1143" w:author="Reviser" w:date="2026-04-29T20:37:00Z">
              <w:r>
                <w:rPr>
                  <w:szCs w:val="22"/>
                  <w:lang w:eastAsia="en-GB"/>
                </w:rPr>
                <w:t>Ендоскопско подобрение</w:t>
              </w:r>
              <w:r>
                <w:rPr>
                  <w:szCs w:val="22"/>
                  <w:vertAlign w:val="superscript"/>
                  <w:lang w:eastAsia="en-GB"/>
                </w:rPr>
                <w:t>£</w:t>
              </w:r>
              <w:r>
                <w:rPr>
                  <w:szCs w:val="22"/>
                  <w:lang w:eastAsia="en-GB"/>
                </w:rPr>
                <w:t> </w:t>
              </w:r>
            </w:ins>
          </w:p>
        </w:tc>
        <w:tc>
          <w:tcPr>
            <w:tcW w:w="1835" w:type="dxa"/>
            <w:tcBorders>
              <w:top w:val="single" w:sz="6" w:space="0" w:color="auto"/>
              <w:left w:val="single" w:sz="6" w:space="0" w:color="auto"/>
              <w:bottom w:val="single" w:sz="6" w:space="0" w:color="auto"/>
              <w:right w:val="single" w:sz="6" w:space="0" w:color="auto"/>
            </w:tcBorders>
            <w:hideMark/>
          </w:tcPr>
          <w:p w14:paraId="0E11EE7A" w14:textId="77777777" w:rsidR="00E259ED" w:rsidRDefault="00E259ED" w:rsidP="009B5D7A">
            <w:pPr>
              <w:tabs>
                <w:tab w:val="clear" w:pos="567"/>
              </w:tabs>
              <w:jc w:val="center"/>
              <w:textAlignment w:val="baseline"/>
              <w:rPr>
                <w:ins w:id="1144" w:author="Reviser" w:date="2026-04-29T20:37:00Z"/>
                <w:szCs w:val="22"/>
                <w:lang w:eastAsia="en-GB"/>
              </w:rPr>
            </w:pPr>
            <w:ins w:id="1145" w:author="Reviser" w:date="2026-04-29T20:37:00Z">
              <w:r w:rsidRPr="00523DC7">
                <w:rPr>
                  <w:szCs w:val="22"/>
                  <w:lang w:eastAsia="en-GB"/>
                </w:rPr>
                <w:t>48</w:t>
              </w:r>
              <w:r>
                <w:rPr>
                  <w:szCs w:val="22"/>
                  <w:lang w:eastAsia="en-GB"/>
                </w:rPr>
                <w:t>,</w:t>
              </w:r>
              <w:r w:rsidRPr="00523DC7">
                <w:rPr>
                  <w:szCs w:val="22"/>
                  <w:lang w:eastAsia="en-GB"/>
                </w:rPr>
                <w:t>7% (19/39)</w:t>
              </w:r>
            </w:ins>
          </w:p>
        </w:tc>
        <w:tc>
          <w:tcPr>
            <w:tcW w:w="1779" w:type="dxa"/>
            <w:tcBorders>
              <w:top w:val="single" w:sz="6" w:space="0" w:color="auto"/>
              <w:left w:val="single" w:sz="6" w:space="0" w:color="auto"/>
              <w:bottom w:val="single" w:sz="6" w:space="0" w:color="auto"/>
              <w:right w:val="single" w:sz="6" w:space="0" w:color="auto"/>
            </w:tcBorders>
            <w:hideMark/>
          </w:tcPr>
          <w:p w14:paraId="60F66CED" w14:textId="77777777" w:rsidR="00E259ED" w:rsidRDefault="00E259ED" w:rsidP="009B5D7A">
            <w:pPr>
              <w:tabs>
                <w:tab w:val="clear" w:pos="567"/>
              </w:tabs>
              <w:jc w:val="center"/>
              <w:textAlignment w:val="baseline"/>
              <w:rPr>
                <w:ins w:id="1146" w:author="Reviser" w:date="2026-04-29T20:37:00Z"/>
                <w:szCs w:val="22"/>
                <w:lang w:eastAsia="en-GB"/>
              </w:rPr>
            </w:pPr>
            <w:ins w:id="1147" w:author="Reviser" w:date="2026-04-29T20:37:00Z">
              <w:r w:rsidRPr="00523DC7">
                <w:rPr>
                  <w:szCs w:val="22"/>
                  <w:lang w:eastAsia="en-GB"/>
                </w:rPr>
                <w:t>32</w:t>
              </w:r>
              <w:r>
                <w:rPr>
                  <w:szCs w:val="22"/>
                  <w:lang w:eastAsia="en-GB"/>
                </w:rPr>
                <w:t>,</w:t>
              </w:r>
              <w:r w:rsidRPr="00523DC7">
                <w:rPr>
                  <w:szCs w:val="22"/>
                  <w:lang w:eastAsia="en-GB"/>
                </w:rPr>
                <w:t>5% (13/40)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68BD992F" w14:textId="77777777" w:rsidR="00E259ED" w:rsidRDefault="00E259ED" w:rsidP="009B5D7A">
            <w:pPr>
              <w:tabs>
                <w:tab w:val="clear" w:pos="567"/>
              </w:tabs>
              <w:jc w:val="center"/>
              <w:textAlignment w:val="baseline"/>
              <w:rPr>
                <w:ins w:id="1148" w:author="Reviser" w:date="2026-04-29T20:37:00Z"/>
                <w:szCs w:val="22"/>
                <w:lang w:eastAsia="en-GB"/>
              </w:rPr>
            </w:pPr>
            <w:ins w:id="1149" w:author="Reviser" w:date="2026-04-29T20:37:00Z">
              <w:r w:rsidRPr="00523DC7">
                <w:rPr>
                  <w:szCs w:val="22"/>
                  <w:lang w:eastAsia="en-GB"/>
                </w:rPr>
                <w:t>40</w:t>
              </w:r>
              <w:r>
                <w:rPr>
                  <w:szCs w:val="22"/>
                  <w:lang w:eastAsia="en-GB"/>
                </w:rPr>
                <w:t>,</w:t>
              </w:r>
              <w:r w:rsidRPr="00523DC7">
                <w:rPr>
                  <w:szCs w:val="22"/>
                  <w:lang w:eastAsia="en-GB"/>
                </w:rPr>
                <w:t>5% (32/79)</w:t>
              </w:r>
            </w:ins>
          </w:p>
        </w:tc>
      </w:tr>
      <w:tr w:rsidR="00E259ED" w14:paraId="5E4AA624" w14:textId="77777777" w:rsidTr="009B5D7A">
        <w:trPr>
          <w:cantSplit/>
          <w:jc w:val="center"/>
          <w:ins w:id="1150" w:author="Reviser" w:date="2026-04-29T20:37:00Z"/>
        </w:trPr>
        <w:tc>
          <w:tcPr>
            <w:tcW w:w="3409" w:type="dxa"/>
            <w:tcBorders>
              <w:top w:val="single" w:sz="6" w:space="0" w:color="auto"/>
              <w:left w:val="single" w:sz="6" w:space="0" w:color="auto"/>
              <w:bottom w:val="single" w:sz="6" w:space="0" w:color="auto"/>
              <w:right w:val="single" w:sz="6" w:space="0" w:color="auto"/>
            </w:tcBorders>
            <w:hideMark/>
          </w:tcPr>
          <w:p w14:paraId="48A87768" w14:textId="0D4CB1AA" w:rsidR="00E259ED" w:rsidRDefault="00E259ED" w:rsidP="009B5D7A">
            <w:pPr>
              <w:tabs>
                <w:tab w:val="clear" w:pos="567"/>
              </w:tabs>
              <w:textAlignment w:val="baseline"/>
              <w:rPr>
                <w:ins w:id="1151" w:author="Reviser" w:date="2026-04-29T20:37:00Z"/>
                <w:szCs w:val="22"/>
                <w:lang w:eastAsia="en-GB"/>
              </w:rPr>
            </w:pPr>
            <w:ins w:id="1152" w:author="Reviser" w:date="2026-04-29T20:37:00Z">
              <w:r>
                <w:rPr>
                  <w:lang w:eastAsia="en-GB"/>
                </w:rPr>
                <w:t>Хистологично</w:t>
              </w:r>
              <w:r w:rsidRPr="00523DC7">
                <w:rPr>
                  <w:lang w:eastAsia="en-GB"/>
                </w:rPr>
                <w:t>-</w:t>
              </w:r>
              <w:r>
                <w:rPr>
                  <w:lang w:eastAsia="en-GB"/>
                </w:rPr>
                <w:t>ендоскопско</w:t>
              </w:r>
              <w:r w:rsidRPr="00523DC7">
                <w:rPr>
                  <w:lang w:eastAsia="en-GB"/>
                </w:rPr>
                <w:t xml:space="preserve"> </w:t>
              </w:r>
              <w:del w:id="1153" w:author="RABG09" w:date="2026-07-15T12:51:00Z" w16du:dateUtc="2026-07-15T09:51:00Z">
                <w:r w:rsidDel="00E11307">
                  <w:rPr>
                    <w:lang w:eastAsia="en-GB"/>
                  </w:rPr>
                  <w:delText xml:space="preserve">лигавично </w:delText>
                </w:r>
              </w:del>
              <w:r>
                <w:rPr>
                  <w:lang w:eastAsia="en-GB"/>
                </w:rPr>
                <w:t xml:space="preserve">подобрение </w:t>
              </w:r>
            </w:ins>
            <w:ins w:id="1154" w:author="RABG09" w:date="2026-07-15T12:51:00Z" w16du:dateUtc="2026-07-15T09:51:00Z">
              <w:r w:rsidR="00E11307">
                <w:rPr>
                  <w:lang w:eastAsia="en-GB"/>
                </w:rPr>
                <w:t xml:space="preserve">по отношение на лигавицата </w:t>
              </w:r>
            </w:ins>
            <w:ins w:id="1155" w:author="Reviser" w:date="2026-04-29T20:37:00Z">
              <w:r>
                <w:rPr>
                  <w:lang w:eastAsia="en-GB"/>
                </w:rPr>
                <w:t>въз основа на</w:t>
              </w:r>
              <w:r w:rsidRPr="00523DC7">
                <w:rPr>
                  <w:lang w:eastAsia="en-GB"/>
                </w:rPr>
                <w:t xml:space="preserve"> GS</w:t>
              </w:r>
              <w:r w:rsidRPr="00E5333A">
                <w:rPr>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hideMark/>
          </w:tcPr>
          <w:p w14:paraId="01F99B44" w14:textId="77777777" w:rsidR="00E259ED" w:rsidRDefault="00E259ED" w:rsidP="009B5D7A">
            <w:pPr>
              <w:tabs>
                <w:tab w:val="clear" w:pos="567"/>
              </w:tabs>
              <w:jc w:val="center"/>
              <w:textAlignment w:val="baseline"/>
              <w:rPr>
                <w:ins w:id="1156" w:author="Reviser" w:date="2026-04-29T20:37:00Z"/>
                <w:szCs w:val="22"/>
                <w:lang w:eastAsia="en-GB"/>
              </w:rPr>
            </w:pPr>
            <w:ins w:id="1157" w:author="Reviser" w:date="2026-04-29T20:37:00Z">
              <w:r w:rsidRPr="00523DC7">
                <w:rPr>
                  <w:szCs w:val="22"/>
                  <w:lang w:eastAsia="en-GB"/>
                </w:rPr>
                <w:t>46</w:t>
              </w:r>
              <w:r>
                <w:rPr>
                  <w:szCs w:val="22"/>
                  <w:lang w:eastAsia="en-GB"/>
                </w:rPr>
                <w:t>,</w:t>
              </w:r>
              <w:r w:rsidRPr="00523DC7">
                <w:rPr>
                  <w:szCs w:val="22"/>
                  <w:lang w:eastAsia="en-GB"/>
                </w:rPr>
                <w:t>2% (18/39)</w:t>
              </w:r>
            </w:ins>
          </w:p>
        </w:tc>
        <w:tc>
          <w:tcPr>
            <w:tcW w:w="1779" w:type="dxa"/>
            <w:tcBorders>
              <w:top w:val="single" w:sz="6" w:space="0" w:color="auto"/>
              <w:left w:val="single" w:sz="6" w:space="0" w:color="auto"/>
              <w:bottom w:val="single" w:sz="6" w:space="0" w:color="auto"/>
              <w:right w:val="single" w:sz="6" w:space="0" w:color="auto"/>
            </w:tcBorders>
            <w:hideMark/>
          </w:tcPr>
          <w:p w14:paraId="5FC621F2" w14:textId="77777777" w:rsidR="00E259ED" w:rsidRDefault="00E259ED" w:rsidP="009B5D7A">
            <w:pPr>
              <w:tabs>
                <w:tab w:val="clear" w:pos="567"/>
              </w:tabs>
              <w:jc w:val="center"/>
              <w:textAlignment w:val="baseline"/>
              <w:rPr>
                <w:ins w:id="1158" w:author="Reviser" w:date="2026-04-29T20:37:00Z"/>
                <w:szCs w:val="22"/>
                <w:lang w:eastAsia="en-GB"/>
              </w:rPr>
            </w:pPr>
            <w:ins w:id="1159" w:author="Reviser" w:date="2026-04-29T20:37:00Z">
              <w:r w:rsidRPr="00523DC7">
                <w:rPr>
                  <w:szCs w:val="22"/>
                  <w:lang w:eastAsia="en-GB"/>
                </w:rPr>
                <w:t>27</w:t>
              </w:r>
              <w:r>
                <w:rPr>
                  <w:szCs w:val="22"/>
                  <w:lang w:eastAsia="en-GB"/>
                </w:rPr>
                <w:t>,</w:t>
              </w:r>
              <w:r w:rsidRPr="00523DC7">
                <w:rPr>
                  <w:szCs w:val="22"/>
                  <w:lang w:eastAsia="en-GB"/>
                </w:rPr>
                <w:t>5% (11/40)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4F111B21" w14:textId="77777777" w:rsidR="00E259ED" w:rsidRDefault="00E259ED" w:rsidP="009B5D7A">
            <w:pPr>
              <w:tabs>
                <w:tab w:val="clear" w:pos="567"/>
              </w:tabs>
              <w:jc w:val="center"/>
              <w:textAlignment w:val="baseline"/>
              <w:rPr>
                <w:ins w:id="1160" w:author="Reviser" w:date="2026-04-29T20:37:00Z"/>
                <w:szCs w:val="22"/>
                <w:lang w:eastAsia="en-GB"/>
              </w:rPr>
            </w:pPr>
            <w:ins w:id="1161" w:author="Reviser" w:date="2026-04-29T20:37:00Z">
              <w:r w:rsidRPr="00523DC7">
                <w:rPr>
                  <w:szCs w:val="22"/>
                  <w:lang w:eastAsia="en-GB"/>
                </w:rPr>
                <w:t>36</w:t>
              </w:r>
              <w:r>
                <w:rPr>
                  <w:szCs w:val="22"/>
                  <w:lang w:eastAsia="en-GB"/>
                </w:rPr>
                <w:t>,</w:t>
              </w:r>
              <w:r w:rsidRPr="00523DC7">
                <w:rPr>
                  <w:szCs w:val="22"/>
                  <w:lang w:eastAsia="en-GB"/>
                </w:rPr>
                <w:t>7% (29/79)</w:t>
              </w:r>
            </w:ins>
          </w:p>
        </w:tc>
      </w:tr>
      <w:tr w:rsidR="00E259ED" w14:paraId="784F7E03" w14:textId="77777777" w:rsidTr="009B5D7A">
        <w:trPr>
          <w:gridAfter w:val="1"/>
          <w:wAfter w:w="8" w:type="dxa"/>
          <w:cantSplit/>
          <w:jc w:val="center"/>
          <w:ins w:id="1162" w:author="Reviser" w:date="2026-04-29T20:37:00Z"/>
        </w:trPr>
        <w:tc>
          <w:tcPr>
            <w:tcW w:w="9064" w:type="dxa"/>
            <w:gridSpan w:val="4"/>
            <w:tcBorders>
              <w:top w:val="single" w:sz="6" w:space="0" w:color="auto"/>
              <w:left w:val="nil"/>
              <w:bottom w:val="nil"/>
              <w:right w:val="nil"/>
            </w:tcBorders>
          </w:tcPr>
          <w:p w14:paraId="111866E6" w14:textId="77777777" w:rsidR="00FB777F" w:rsidRDefault="00FB777F" w:rsidP="00FB777F">
            <w:pPr>
              <w:autoSpaceDE w:val="0"/>
              <w:autoSpaceDN w:val="0"/>
              <w:adjustRightInd w:val="0"/>
              <w:ind w:left="284" w:hanging="284"/>
              <w:rPr>
                <w:ins w:id="1163" w:author="RABG09" w:date="2026-07-15T12:52:00Z" w16du:dateUtc="2026-07-15T09:52:00Z"/>
                <w:sz w:val="18"/>
                <w:szCs w:val="18"/>
              </w:rPr>
            </w:pPr>
            <w:ins w:id="1164" w:author="RABG09" w:date="2026-07-15T12:52:00Z" w16du:dateUtc="2026-07-15T09:52:00Z">
              <w:r w:rsidRPr="00397654">
                <w:rPr>
                  <w:sz w:val="18"/>
                  <w:szCs w:val="18"/>
                </w:rPr>
                <w:t>†</w:t>
              </w:r>
              <w:del w:id="1165" w:author="BG" w:date="2026-06-30T14:14:00Z">
                <w:r w:rsidDel="00397654">
                  <w:rPr>
                    <w:sz w:val="18"/>
                    <w:szCs w:val="18"/>
                  </w:rPr>
                  <w:delText>*</w:delText>
                </w:r>
                <w:r w:rsidRPr="00BB130F" w:rsidDel="00397654">
                  <w:rPr>
                    <w:sz w:val="18"/>
                    <w:szCs w:val="18"/>
                  </w:rPr>
                  <w:delText>*</w:delText>
                </w:r>
              </w:del>
              <w:r>
                <w:rPr>
                  <w:sz w:val="18"/>
                  <w:szCs w:val="18"/>
                </w:rPr>
                <w:tab/>
                <w:t xml:space="preserve">Клиничната </w:t>
              </w:r>
              <w:del w:id="1166" w:author="BG" w:date="2026-06-30T14:13:00Z">
                <w:r w:rsidDel="00397654">
                  <w:rPr>
                    <w:sz w:val="18"/>
                    <w:szCs w:val="18"/>
                  </w:rPr>
                  <w:delText xml:space="preserve">Симптоматичната </w:delText>
                </w:r>
              </w:del>
              <w:r>
                <w:rPr>
                  <w:sz w:val="18"/>
                  <w:szCs w:val="18"/>
                </w:rPr>
                <w:t xml:space="preserve">ремисия е дефинирана </w:t>
              </w:r>
              <w:del w:id="1167" w:author="BG" w:date="2026-06-30T14:19:00Z">
                <w:r w:rsidDel="000F52A0">
                  <w:rPr>
                    <w:sz w:val="18"/>
                    <w:szCs w:val="18"/>
                  </w:rPr>
                  <w:delText>като</w:delText>
                </w:r>
              </w:del>
              <w:r>
                <w:rPr>
                  <w:sz w:val="18"/>
                  <w:szCs w:val="18"/>
                </w:rPr>
                <w:t xml:space="preserve">чрез </w:t>
              </w:r>
              <w:del w:id="1168" w:author="BG" w:date="2026-06-30T14:16:00Z">
                <w:r w:rsidDel="00397654">
                  <w:rPr>
                    <w:sz w:val="18"/>
                    <w:szCs w:val="18"/>
                  </w:rPr>
                  <w:delText xml:space="preserve">като </w:delText>
                </w:r>
              </w:del>
              <w:del w:id="1169" w:author="BG" w:date="2026-06-30T14:25:00Z">
                <w:r w:rsidDel="00E96B96">
                  <w:rPr>
                    <w:sz w:val="18"/>
                    <w:szCs w:val="18"/>
                  </w:rPr>
                  <w:delText>суб</w:delText>
                </w:r>
              </w:del>
              <w:r>
                <w:rPr>
                  <w:sz w:val="18"/>
                  <w:szCs w:val="18"/>
                </w:rPr>
                <w:t xml:space="preserve">подскорове по </w:t>
              </w:r>
              <w:r>
                <w:rPr>
                  <w:sz w:val="18"/>
                  <w:szCs w:val="18"/>
                  <w:lang w:val="en-US"/>
                </w:rPr>
                <w:t>Mayo</w:t>
              </w:r>
              <w:r>
                <w:rPr>
                  <w:sz w:val="18"/>
                  <w:szCs w:val="18"/>
                </w:rPr>
                <w:t xml:space="preserve"> като:</w:t>
              </w:r>
              <w:del w:id="1170" w:author="BG" w:date="2026-06-30T14:19:00Z">
                <w:r w:rsidDel="000F52A0">
                  <w:rPr>
                    <w:sz w:val="18"/>
                    <w:szCs w:val="18"/>
                  </w:rPr>
                  <w:delText xml:space="preserve"> за</w:delText>
                </w:r>
              </w:del>
              <w:r>
                <w:rPr>
                  <w:sz w:val="18"/>
                  <w:szCs w:val="18"/>
                </w:rPr>
                <w:t xml:space="preserve"> подскор за честота на дефекация</w:t>
              </w:r>
              <w:del w:id="1171" w:author="BG" w:date="2026-06-30T14:19:00Z">
                <w:r w:rsidDel="000F52A0">
                  <w:rPr>
                    <w:sz w:val="18"/>
                    <w:szCs w:val="18"/>
                  </w:rPr>
                  <w:delText>та</w:delText>
                </w:r>
              </w:del>
              <w:r>
                <w:rPr>
                  <w:sz w:val="18"/>
                  <w:szCs w:val="18"/>
                </w:rPr>
                <w:t xml:space="preserve"> </w:t>
              </w:r>
              <w:r>
                <w:rPr>
                  <w:rFonts w:eastAsia="TimesNewRoman"/>
                  <w:sz w:val="18"/>
                  <w:szCs w:val="18"/>
                  <w:lang w:eastAsia="zh-CN"/>
                </w:rPr>
                <w:t>0 или 1,</w:t>
              </w:r>
              <w:del w:id="1172" w:author="BG" w:date="2026-06-30T14:20:00Z">
                <w:r w:rsidDel="000F52A0">
                  <w:rPr>
                    <w:sz w:val="18"/>
                    <w:szCs w:val="18"/>
                  </w:rPr>
                  <w:delText xml:space="preserve"> и</w:delText>
                </w:r>
              </w:del>
              <w:r>
                <w:rPr>
                  <w:sz w:val="18"/>
                  <w:szCs w:val="18"/>
                </w:rPr>
                <w:t xml:space="preserve"> под</w:t>
              </w:r>
              <w:del w:id="1173" w:author="BG" w:date="2026-06-30T14:25:00Z">
                <w:r w:rsidDel="00E96B96">
                  <w:rPr>
                    <w:sz w:val="18"/>
                    <w:szCs w:val="18"/>
                  </w:rPr>
                  <w:delText>суб</w:delText>
                </w:r>
              </w:del>
              <w:r>
                <w:rPr>
                  <w:sz w:val="18"/>
                  <w:szCs w:val="18"/>
                </w:rPr>
                <w:t>скор за ректално кървене 0 и ендоскопски под</w:t>
              </w:r>
              <w:r w:rsidRPr="00E96B96">
                <w:rPr>
                  <w:sz w:val="18"/>
                  <w:szCs w:val="18"/>
                </w:rPr>
                <w:t>скор 0 или 1 без наличие на ранимост при ендоскопскопията</w:t>
              </w:r>
              <w:r>
                <w:rPr>
                  <w:sz w:val="18"/>
                  <w:szCs w:val="18"/>
                </w:rPr>
                <w:t xml:space="preserve">, </w:t>
              </w:r>
              <w:r w:rsidRPr="007D7E70">
                <w:rPr>
                  <w:sz w:val="18"/>
                  <w:szCs w:val="18"/>
                </w:rPr>
                <w:t>при което подскорът за честота на дефекация не се повишава спрямо изходн</w:t>
              </w:r>
              <w:r>
                <w:rPr>
                  <w:sz w:val="18"/>
                  <w:szCs w:val="18"/>
                </w:rPr>
                <w:t xml:space="preserve">ото ниво при </w:t>
              </w:r>
              <w:del w:id="1174" w:author="BG" w:date="2026-06-30T14:10:00Z">
                <w:r w:rsidRPr="007D7E70" w:rsidDel="0041322B">
                  <w:rPr>
                    <w:sz w:val="18"/>
                    <w:szCs w:val="18"/>
                  </w:rPr>
                  <w:delText xml:space="preserve">ите </w:delText>
                </w:r>
              </w:del>
              <w:r w:rsidRPr="007D7E70">
                <w:rPr>
                  <w:sz w:val="18"/>
                  <w:szCs w:val="18"/>
                </w:rPr>
                <w:t>индукци</w:t>
              </w:r>
              <w:r>
                <w:rPr>
                  <w:sz w:val="18"/>
                  <w:szCs w:val="18"/>
                </w:rPr>
                <w:t>ята.</w:t>
              </w:r>
              <w:del w:id="1175" w:author="BG" w:date="2026-06-30T14:10:00Z">
                <w:r w:rsidRPr="007D7E70" w:rsidDel="0041322B">
                  <w:rPr>
                    <w:sz w:val="18"/>
                    <w:szCs w:val="18"/>
                  </w:rPr>
                  <w:delText>онни стойности</w:delText>
                </w:r>
              </w:del>
              <w:del w:id="1176" w:author="BG" w:date="2026-06-30T14:17:00Z">
                <w:r w:rsidDel="00397654">
                  <w:rPr>
                    <w:sz w:val="18"/>
                    <w:szCs w:val="18"/>
                  </w:rPr>
                  <w:delText>.</w:delText>
                </w:r>
              </w:del>
            </w:ins>
          </w:p>
          <w:p w14:paraId="70304338" w14:textId="77777777" w:rsidR="00FB777F" w:rsidRPr="00F9219D" w:rsidRDefault="00FB777F" w:rsidP="00FB777F">
            <w:pPr>
              <w:autoSpaceDE w:val="0"/>
              <w:autoSpaceDN w:val="0"/>
              <w:adjustRightInd w:val="0"/>
              <w:ind w:left="284" w:hanging="284"/>
              <w:rPr>
                <w:ins w:id="1177" w:author="RABG09" w:date="2026-07-15T12:52:00Z" w16du:dateUtc="2026-07-15T09:52:00Z"/>
                <w:sz w:val="18"/>
                <w:szCs w:val="18"/>
              </w:rPr>
            </w:pPr>
            <w:ins w:id="1178" w:author="RABG09" w:date="2026-07-15T12:52:00Z" w16du:dateUtc="2026-07-15T09:52:00Z">
              <w:r w:rsidRPr="00397654">
                <w:rPr>
                  <w:szCs w:val="22"/>
                  <w:vertAlign w:val="superscript"/>
                </w:rPr>
                <w:t>**</w:t>
              </w:r>
              <w:del w:id="1179" w:author="BG" w:date="2026-06-30T14:14:00Z">
                <w:r w:rsidDel="00397654">
                  <w:rPr>
                    <w:szCs w:val="22"/>
                    <w:vertAlign w:val="superscript"/>
                  </w:rPr>
                  <w:delText>§</w:delText>
                </w:r>
              </w:del>
              <w:r>
                <w:rPr>
                  <w:sz w:val="18"/>
                  <w:szCs w:val="18"/>
                </w:rPr>
                <w:tab/>
                <w:t xml:space="preserve">Симптоматичната ремисия е дефинирана като </w:t>
              </w:r>
              <w:r w:rsidRPr="0035674C">
                <w:rPr>
                  <w:sz w:val="18"/>
                  <w:szCs w:val="18"/>
                </w:rPr>
                <w:t>подскорове по Mayo като подскор за честота на дефекация 0 или 1</w:t>
              </w:r>
              <w:r>
                <w:rPr>
                  <w:sz w:val="18"/>
                  <w:szCs w:val="18"/>
                </w:rPr>
                <w:t xml:space="preserve"> и</w:t>
              </w:r>
              <w:r w:rsidRPr="0035674C">
                <w:rPr>
                  <w:sz w:val="18"/>
                  <w:szCs w:val="18"/>
                </w:rPr>
                <w:t xml:space="preserve"> подскор за ректално кървене 0, </w:t>
              </w:r>
              <w:r>
                <w:rPr>
                  <w:sz w:val="18"/>
                  <w:szCs w:val="18"/>
                </w:rPr>
                <w:t>при което</w:t>
              </w:r>
              <w:r w:rsidRPr="0035674C">
                <w:rPr>
                  <w:sz w:val="18"/>
                  <w:szCs w:val="18"/>
                </w:rPr>
                <w:t xml:space="preserve"> подскорът за честота на дефекация не се повишава спрямо изходните индукционни стойности</w:t>
              </w:r>
              <w:r>
                <w:rPr>
                  <w:sz w:val="18"/>
                  <w:szCs w:val="18"/>
                </w:rPr>
                <w:t>.</w:t>
              </w:r>
            </w:ins>
          </w:p>
          <w:p w14:paraId="068FA7FE" w14:textId="77777777" w:rsidR="00FB777F" w:rsidRDefault="00FB777F" w:rsidP="00FB777F">
            <w:pPr>
              <w:autoSpaceDE w:val="0"/>
              <w:autoSpaceDN w:val="0"/>
              <w:adjustRightInd w:val="0"/>
              <w:ind w:left="284" w:hanging="284"/>
              <w:rPr>
                <w:ins w:id="1180" w:author="RABG09" w:date="2026-07-15T12:52:00Z" w16du:dateUtc="2026-07-15T09:52:00Z"/>
                <w:sz w:val="18"/>
                <w:szCs w:val="18"/>
              </w:rPr>
            </w:pPr>
            <w:ins w:id="1181" w:author="RABG09" w:date="2026-07-15T12:52:00Z" w16du:dateUtc="2026-07-15T09:52:00Z">
              <w:r w:rsidRPr="00397654">
                <w:rPr>
                  <w:szCs w:val="22"/>
                  <w:vertAlign w:val="superscript"/>
                </w:rPr>
                <w:t>§</w:t>
              </w:r>
              <w:del w:id="1182" w:author="BG" w:date="2026-06-30T14:15:00Z">
                <w:r w:rsidDel="00397654">
                  <w:rPr>
                    <w:szCs w:val="22"/>
                    <w:vertAlign w:val="superscript"/>
                  </w:rPr>
                  <w:delText>†</w:delText>
                </w:r>
              </w:del>
              <w:r>
                <w:rPr>
                  <w:sz w:val="18"/>
                  <w:szCs w:val="18"/>
                </w:rPr>
                <w:tab/>
                <w:t xml:space="preserve">Клиничната </w:t>
              </w:r>
              <w:del w:id="1183" w:author="BG" w:date="2026-06-30T14:13:00Z">
                <w:r w:rsidDel="00397654">
                  <w:rPr>
                    <w:sz w:val="18"/>
                    <w:szCs w:val="18"/>
                  </w:rPr>
                  <w:delText xml:space="preserve">Клинична </w:delText>
                </w:r>
              </w:del>
              <w:r>
                <w:rPr>
                  <w:sz w:val="18"/>
                  <w:szCs w:val="18"/>
                </w:rPr>
                <w:t xml:space="preserve">ремисия без кортикостероиди е дефинирана като </w:t>
              </w:r>
              <w:r w:rsidRPr="007D7E70">
                <w:rPr>
                  <w:sz w:val="18"/>
                  <w:szCs w:val="18"/>
                </w:rPr>
                <w:t>подскор по Mayo за честота на дефекация 0 или 1</w:t>
              </w:r>
              <w:r>
                <w:rPr>
                  <w:sz w:val="18"/>
                  <w:szCs w:val="18"/>
                </w:rPr>
                <w:t>,</w:t>
              </w:r>
              <w:r w:rsidRPr="007D7E70">
                <w:rPr>
                  <w:sz w:val="18"/>
                  <w:szCs w:val="18"/>
                </w:rPr>
                <w:t xml:space="preserve"> подскор за ректално кървене 0</w:t>
              </w:r>
              <w:r>
                <w:rPr>
                  <w:sz w:val="18"/>
                  <w:szCs w:val="18"/>
                </w:rPr>
                <w:t xml:space="preserve"> и </w:t>
              </w:r>
              <w:r w:rsidRPr="007D7E70">
                <w:rPr>
                  <w:sz w:val="18"/>
                  <w:szCs w:val="18"/>
                </w:rPr>
                <w:t>ендоскопски подскор 0 или 1</w:t>
              </w:r>
              <w:r>
                <w:rPr>
                  <w:sz w:val="18"/>
                  <w:szCs w:val="18"/>
                </w:rPr>
                <w:t xml:space="preserve"> </w:t>
              </w:r>
              <w:r w:rsidRPr="007D7E70">
                <w:rPr>
                  <w:sz w:val="18"/>
                  <w:szCs w:val="18"/>
                </w:rPr>
                <w:t xml:space="preserve">без наличие на </w:t>
              </w:r>
              <w:r>
                <w:rPr>
                  <w:sz w:val="18"/>
                  <w:szCs w:val="18"/>
                </w:rPr>
                <w:t>ранимост</w:t>
              </w:r>
              <w:r w:rsidRPr="007D7E70">
                <w:rPr>
                  <w:sz w:val="18"/>
                  <w:szCs w:val="18"/>
                </w:rPr>
                <w:t xml:space="preserve"> при ендоскопското изследване, при което подскорът за честота на дефекация не се повишава спрямо изходните индукционни стойности</w:t>
              </w:r>
              <w:r>
                <w:rPr>
                  <w:sz w:val="18"/>
                  <w:szCs w:val="18"/>
                </w:rPr>
                <w:t>;</w:t>
              </w:r>
              <w:r w:rsidRPr="007D7E70">
                <w:rPr>
                  <w:sz w:val="18"/>
                  <w:szCs w:val="18"/>
                </w:rPr>
                <w:t xml:space="preserve"> </w:t>
              </w:r>
              <w:r>
                <w:rPr>
                  <w:sz w:val="18"/>
                  <w:szCs w:val="18"/>
                </w:rPr>
                <w:t xml:space="preserve">и без прием на кортикостероиди в продължение на поне 90 дни преди </w:t>
              </w:r>
              <w:r w:rsidRPr="009B7AB9">
                <w:rPr>
                  <w:sz w:val="18"/>
                  <w:szCs w:val="18"/>
                </w:rPr>
                <w:t>поддържащата терапия до седмица 44</w:t>
              </w:r>
              <w:r>
                <w:rPr>
                  <w:sz w:val="18"/>
                  <w:szCs w:val="18"/>
                </w:rPr>
                <w:t>.</w:t>
              </w:r>
            </w:ins>
          </w:p>
          <w:p w14:paraId="502C7D6F" w14:textId="77777777" w:rsidR="00FB777F" w:rsidRDefault="00FB777F" w:rsidP="00FB777F">
            <w:pPr>
              <w:autoSpaceDE w:val="0"/>
              <w:autoSpaceDN w:val="0"/>
              <w:adjustRightInd w:val="0"/>
              <w:ind w:left="284" w:hanging="284"/>
              <w:rPr>
                <w:ins w:id="1184" w:author="RABG09" w:date="2026-07-15T12:52:00Z" w16du:dateUtc="2026-07-15T09:52:00Z"/>
                <w:sz w:val="18"/>
                <w:szCs w:val="18"/>
              </w:rPr>
            </w:pPr>
            <w:ins w:id="1185" w:author="RABG09" w:date="2026-07-15T12:52:00Z" w16du:dateUtc="2026-07-15T09:52:00Z">
              <w:r>
                <w:rPr>
                  <w:szCs w:val="22"/>
                  <w:vertAlign w:val="superscript"/>
                </w:rPr>
                <w:t>£</w:t>
              </w:r>
              <w:r>
                <w:rPr>
                  <w:sz w:val="18"/>
                  <w:szCs w:val="18"/>
                </w:rPr>
                <w:tab/>
                <w:t xml:space="preserve">Ендоскопското подобрение е дефинирано като </w:t>
              </w:r>
              <w:r w:rsidRPr="007D7E70">
                <w:rPr>
                  <w:sz w:val="18"/>
                  <w:szCs w:val="18"/>
                </w:rPr>
                <w:t>ендоскопски подскор по Mayo 0 или 1</w:t>
              </w:r>
              <w:r>
                <w:rPr>
                  <w:sz w:val="18"/>
                  <w:szCs w:val="18"/>
                </w:rPr>
                <w:t xml:space="preserve"> </w:t>
              </w:r>
              <w:r w:rsidRPr="007D7E70">
                <w:rPr>
                  <w:sz w:val="18"/>
                  <w:szCs w:val="18"/>
                </w:rPr>
                <w:t xml:space="preserve">без наличие на </w:t>
              </w:r>
              <w:r>
                <w:rPr>
                  <w:sz w:val="18"/>
                  <w:szCs w:val="18"/>
                </w:rPr>
                <w:t>ранимост</w:t>
              </w:r>
              <w:r w:rsidRPr="007D7E70">
                <w:rPr>
                  <w:sz w:val="18"/>
                  <w:szCs w:val="18"/>
                </w:rPr>
                <w:t xml:space="preserve"> при ендоскоп</w:t>
              </w:r>
              <w:r>
                <w:rPr>
                  <w:sz w:val="18"/>
                  <w:szCs w:val="18"/>
                </w:rPr>
                <w:t>ията</w:t>
              </w:r>
              <w:del w:id="1186" w:author="BG" w:date="2026-06-30T14:32:00Z">
                <w:r w:rsidRPr="007D7E70" w:rsidDel="002F5467">
                  <w:rPr>
                    <w:sz w:val="18"/>
                    <w:szCs w:val="18"/>
                  </w:rPr>
                  <w:delText>ското изследване</w:delText>
                </w:r>
              </w:del>
              <w:r>
                <w:rPr>
                  <w:sz w:val="18"/>
                  <w:szCs w:val="18"/>
                </w:rPr>
                <w:t>.</w:t>
              </w:r>
            </w:ins>
          </w:p>
          <w:p w14:paraId="55D4F413" w14:textId="77777777" w:rsidR="00FB777F" w:rsidRPr="003270BA" w:rsidRDefault="00FB777F">
            <w:pPr>
              <w:tabs>
                <w:tab w:val="clear" w:pos="567"/>
                <w:tab w:val="left" w:pos="247"/>
              </w:tabs>
              <w:ind w:left="247" w:hanging="270"/>
              <w:rPr>
                <w:ins w:id="1187" w:author="RABG09" w:date="2026-07-15T12:52:00Z" w16du:dateUtc="2026-07-15T09:52:00Z"/>
                <w:sz w:val="18"/>
                <w:szCs w:val="18"/>
                <w:rPrChange w:id="1188" w:author="RABG09" w:date="2026-07-15T12:54:00Z" w16du:dateUtc="2026-07-15T09:54:00Z">
                  <w:rPr>
                    <w:ins w:id="1189" w:author="RABG09" w:date="2026-07-15T12:52:00Z" w16du:dateUtc="2026-07-15T09:52:00Z"/>
                  </w:rPr>
                </w:rPrChange>
              </w:rPr>
              <w:pPrChange w:id="1190" w:author="RABG09" w:date="2026-07-15T12:54:00Z" w16du:dateUtc="2026-07-15T09:54:00Z">
                <w:pPr/>
              </w:pPrChange>
            </w:pPr>
            <w:ins w:id="1191" w:author="RABG09" w:date="2026-07-15T12:52:00Z" w16du:dateUtc="2026-07-15T09:52:00Z">
              <w:r w:rsidRPr="00DE646D">
                <w:rPr>
                  <w:szCs w:val="22"/>
                  <w:vertAlign w:val="superscript"/>
                </w:rPr>
                <w:t>⸸</w:t>
              </w:r>
              <w:r w:rsidRPr="00DE646D">
                <w:rPr>
                  <w:sz w:val="18"/>
                  <w:szCs w:val="18"/>
                </w:rPr>
                <w:tab/>
              </w:r>
              <w:r w:rsidRPr="0035674C">
                <w:rPr>
                  <w:sz w:val="18"/>
                  <w:szCs w:val="18"/>
                </w:rPr>
                <w:t>Хистологично-ендоскопско</w:t>
              </w:r>
              <w:r>
                <w:rPr>
                  <w:sz w:val="18"/>
                  <w:szCs w:val="18"/>
                </w:rPr>
                <w:t>то</w:t>
              </w:r>
              <w:r w:rsidRPr="0035674C">
                <w:rPr>
                  <w:sz w:val="18"/>
                  <w:szCs w:val="18"/>
                </w:rPr>
                <w:t xml:space="preserve"> </w:t>
              </w:r>
              <w:del w:id="1192" w:author="BG" w:date="2026-06-30T14:32:00Z">
                <w:r w:rsidRPr="0035674C" w:rsidDel="002F5467">
                  <w:rPr>
                    <w:sz w:val="18"/>
                    <w:szCs w:val="18"/>
                  </w:rPr>
                  <w:delText xml:space="preserve">лигавично </w:delText>
                </w:r>
              </w:del>
              <w:r w:rsidRPr="0035674C">
                <w:rPr>
                  <w:sz w:val="18"/>
                  <w:szCs w:val="18"/>
                </w:rPr>
                <w:t>подобрение</w:t>
              </w:r>
              <w:r>
                <w:rPr>
                  <w:sz w:val="18"/>
                  <w:szCs w:val="18"/>
                </w:rPr>
                <w:t xml:space="preserve"> по отношение на лигавицата,</w:t>
              </w:r>
              <w:r w:rsidRPr="0035674C">
                <w:rPr>
                  <w:sz w:val="18"/>
                  <w:szCs w:val="18"/>
                </w:rPr>
                <w:t xml:space="preserve"> </w:t>
              </w:r>
              <w:r>
                <w:rPr>
                  <w:sz w:val="18"/>
                  <w:szCs w:val="18"/>
                </w:rPr>
                <w:t>основано на скор по</w:t>
              </w:r>
              <w:r w:rsidRPr="00DE646D">
                <w:rPr>
                  <w:sz w:val="18"/>
                  <w:szCs w:val="18"/>
                </w:rPr>
                <w:t xml:space="preserve"> Geboes (GS)</w:t>
              </w:r>
              <w:r>
                <w:rPr>
                  <w:sz w:val="18"/>
                  <w:szCs w:val="18"/>
                </w:rPr>
                <w:t>,</w:t>
              </w:r>
              <w:r w:rsidRPr="00DE646D">
                <w:rPr>
                  <w:sz w:val="18"/>
                  <w:szCs w:val="18"/>
                </w:rPr>
                <w:t xml:space="preserve"> </w:t>
              </w:r>
              <w:r>
                <w:rPr>
                  <w:sz w:val="18"/>
                  <w:szCs w:val="18"/>
                </w:rPr>
                <w:t>е дефинирано като постигане на комбинация от хистологично</w:t>
              </w:r>
              <w:r w:rsidRPr="00DE646D">
                <w:rPr>
                  <w:sz w:val="18"/>
                  <w:szCs w:val="18"/>
                </w:rPr>
                <w:t xml:space="preserve"> </w:t>
              </w:r>
              <w:r w:rsidRPr="0035674C">
                <w:rPr>
                  <w:sz w:val="18"/>
                  <w:szCs w:val="18"/>
                </w:rPr>
                <w:t>подобрение</w:t>
              </w:r>
              <w:r w:rsidRPr="00DE646D">
                <w:rPr>
                  <w:sz w:val="18"/>
                  <w:szCs w:val="18"/>
                </w:rPr>
                <w:t xml:space="preserve"> (</w:t>
              </w:r>
              <w:r>
                <w:rPr>
                  <w:sz w:val="18"/>
                  <w:szCs w:val="18"/>
                </w:rPr>
                <w:t>инфилтрация на неутрофили в</w:t>
              </w:r>
              <w:r w:rsidRPr="00DE646D">
                <w:rPr>
                  <w:sz w:val="18"/>
                  <w:szCs w:val="18"/>
                </w:rPr>
                <w:t xml:space="preserve"> &lt;5% </w:t>
              </w:r>
              <w:r>
                <w:rPr>
                  <w:sz w:val="18"/>
                  <w:szCs w:val="18"/>
                </w:rPr>
                <w:t>от криптите</w:t>
              </w:r>
              <w:r w:rsidRPr="00DE646D">
                <w:rPr>
                  <w:sz w:val="18"/>
                  <w:szCs w:val="18"/>
                </w:rPr>
                <w:t xml:space="preserve">, </w:t>
              </w:r>
              <w:r>
                <w:rPr>
                  <w:sz w:val="18"/>
                  <w:szCs w:val="18"/>
                </w:rPr>
                <w:t>без разрушаване на криптите и без ерозии</w:t>
              </w:r>
              <w:r w:rsidRPr="00DE646D">
                <w:rPr>
                  <w:sz w:val="18"/>
                  <w:szCs w:val="18"/>
                </w:rPr>
                <w:t xml:space="preserve">, </w:t>
              </w:r>
              <w:r>
                <w:rPr>
                  <w:sz w:val="18"/>
                  <w:szCs w:val="18"/>
                </w:rPr>
                <w:t>улцерации или гранулационна тъкан</w:t>
              </w:r>
              <w:r w:rsidRPr="00DE646D">
                <w:rPr>
                  <w:sz w:val="18"/>
                  <w:szCs w:val="18"/>
                </w:rPr>
                <w:t xml:space="preserve"> </w:t>
              </w:r>
              <w:r>
                <w:rPr>
                  <w:sz w:val="18"/>
                  <w:szCs w:val="18"/>
                </w:rPr>
                <w:t>според</w:t>
              </w:r>
              <w:r w:rsidRPr="00DE646D">
                <w:rPr>
                  <w:sz w:val="18"/>
                  <w:szCs w:val="18"/>
                </w:rPr>
                <w:t xml:space="preserve"> </w:t>
              </w:r>
              <w:r>
                <w:rPr>
                  <w:sz w:val="18"/>
                  <w:szCs w:val="18"/>
                </w:rPr>
                <w:t>с</w:t>
              </w:r>
              <w:r w:rsidRPr="009D4997">
                <w:rPr>
                  <w:sz w:val="18"/>
                  <w:szCs w:val="18"/>
                </w:rPr>
                <w:t>истема</w:t>
              </w:r>
              <w:r>
                <w:rPr>
                  <w:sz w:val="18"/>
                  <w:szCs w:val="18"/>
                </w:rPr>
                <w:t>та</w:t>
              </w:r>
              <w:r w:rsidRPr="009D4997">
                <w:rPr>
                  <w:sz w:val="18"/>
                  <w:szCs w:val="18"/>
                </w:rPr>
                <w:t xml:space="preserve"> за класификация на Geboes</w:t>
              </w:r>
              <w:r w:rsidRPr="00DE646D">
                <w:rPr>
                  <w:sz w:val="18"/>
                  <w:szCs w:val="18"/>
                </w:rPr>
                <w:t xml:space="preserve">) </w:t>
              </w:r>
              <w:r>
                <w:rPr>
                  <w:sz w:val="18"/>
                  <w:szCs w:val="18"/>
                </w:rPr>
                <w:t xml:space="preserve">и </w:t>
              </w:r>
              <w:r w:rsidRPr="0035674C">
                <w:rPr>
                  <w:sz w:val="18"/>
                  <w:szCs w:val="18"/>
                </w:rPr>
                <w:t>ендоскопско</w:t>
              </w:r>
              <w:r>
                <w:rPr>
                  <w:sz w:val="18"/>
                  <w:szCs w:val="18"/>
                </w:rPr>
                <w:t xml:space="preserve"> </w:t>
              </w:r>
              <w:r w:rsidRPr="0035674C">
                <w:rPr>
                  <w:sz w:val="18"/>
                  <w:szCs w:val="18"/>
                </w:rPr>
                <w:t>подобрение</w:t>
              </w:r>
              <w:r w:rsidRPr="00DE646D">
                <w:rPr>
                  <w:sz w:val="18"/>
                  <w:szCs w:val="18"/>
                </w:rPr>
                <w:t xml:space="preserve"> (</w:t>
              </w:r>
              <w:r>
                <w:rPr>
                  <w:sz w:val="18"/>
                  <w:szCs w:val="18"/>
                </w:rPr>
                <w:t>ендоскопски подскор по</w:t>
              </w:r>
              <w:r w:rsidRPr="00DE646D">
                <w:rPr>
                  <w:sz w:val="18"/>
                  <w:szCs w:val="18"/>
                </w:rPr>
                <w:t xml:space="preserve"> Mayo 0 </w:t>
              </w:r>
              <w:r>
                <w:rPr>
                  <w:sz w:val="18"/>
                  <w:szCs w:val="18"/>
                </w:rPr>
                <w:t>или</w:t>
              </w:r>
              <w:r w:rsidRPr="00DE646D">
                <w:rPr>
                  <w:sz w:val="18"/>
                  <w:szCs w:val="18"/>
                </w:rPr>
                <w:t xml:space="preserve"> 1 </w:t>
              </w:r>
              <w:r w:rsidRPr="007D7E70">
                <w:rPr>
                  <w:sz w:val="18"/>
                  <w:szCs w:val="18"/>
                </w:rPr>
                <w:t xml:space="preserve">без наличие на </w:t>
              </w:r>
              <w:r>
                <w:rPr>
                  <w:sz w:val="18"/>
                  <w:szCs w:val="18"/>
                </w:rPr>
                <w:t>ранимост</w:t>
              </w:r>
              <w:r w:rsidRPr="007D7E70">
                <w:rPr>
                  <w:sz w:val="18"/>
                  <w:szCs w:val="18"/>
                </w:rPr>
                <w:t xml:space="preserve"> при ендоскоп</w:t>
              </w:r>
              <w:r>
                <w:rPr>
                  <w:sz w:val="18"/>
                  <w:szCs w:val="18"/>
                </w:rPr>
                <w:t>ията</w:t>
              </w:r>
              <w:del w:id="1193" w:author="BG" w:date="2026-06-30T14:34:00Z">
                <w:r w:rsidRPr="007D7E70" w:rsidDel="002F5467">
                  <w:rPr>
                    <w:sz w:val="18"/>
                    <w:szCs w:val="18"/>
                  </w:rPr>
                  <w:delText>ското изследване</w:delText>
                </w:r>
              </w:del>
              <w:r w:rsidRPr="00DE646D">
                <w:rPr>
                  <w:sz w:val="18"/>
                  <w:szCs w:val="18"/>
                </w:rPr>
                <w:t>).</w:t>
              </w:r>
            </w:ins>
          </w:p>
          <w:p w14:paraId="368A724B" w14:textId="5E60288E" w:rsidR="00E259ED" w:rsidRDefault="00E259ED" w:rsidP="009B5D7A">
            <w:pPr>
              <w:autoSpaceDE w:val="0"/>
              <w:autoSpaceDN w:val="0"/>
              <w:adjustRightInd w:val="0"/>
              <w:ind w:left="284" w:hanging="284"/>
              <w:rPr>
                <w:ins w:id="1194" w:author="Reviser" w:date="2026-04-29T20:37:00Z"/>
                <w:szCs w:val="22"/>
                <w:lang w:eastAsia="en-GB"/>
              </w:rPr>
            </w:pPr>
          </w:p>
        </w:tc>
      </w:tr>
    </w:tbl>
    <w:p w14:paraId="1CA21FF8" w14:textId="77777777" w:rsidR="00E259ED" w:rsidRDefault="00E259ED" w:rsidP="00E259ED">
      <w:pPr>
        <w:rPr>
          <w:ins w:id="1195" w:author="Reviser" w:date="2026-04-29T20:37:00Z"/>
        </w:rPr>
      </w:pPr>
    </w:p>
    <w:p w14:paraId="12B12FB5" w14:textId="77777777" w:rsidR="00E259ED" w:rsidRPr="00BC6A43" w:rsidRDefault="00E259ED" w:rsidP="00E259ED">
      <w:pPr>
        <w:keepNext/>
        <w:rPr>
          <w:ins w:id="1196" w:author="Reviser" w:date="2026-04-29T20:37:00Z"/>
          <w:i/>
          <w:iCs/>
        </w:rPr>
      </w:pPr>
      <w:ins w:id="1197" w:author="Reviser" w:date="2026-04-29T20:37:00Z">
        <w:r w:rsidRPr="00BC6A43">
          <w:rPr>
            <w:i/>
            <w:iCs/>
          </w:rPr>
          <w:t>Коригиране на честотата на приложение</w:t>
        </w:r>
      </w:ins>
    </w:p>
    <w:p w14:paraId="327FF897" w14:textId="77777777" w:rsidR="00E259ED" w:rsidRDefault="00E259ED" w:rsidP="00E259ED">
      <w:pPr>
        <w:rPr>
          <w:ins w:id="1198" w:author="Reviser" w:date="2026-04-29T20:37:00Z"/>
        </w:rPr>
      </w:pPr>
      <w:ins w:id="1199" w:author="Reviser" w:date="2026-04-29T20:37:00Z">
        <w:r>
          <w:t xml:space="preserve">Пациентите, които преминават на поддържащо лечение, имат загуба на отговор въз основа на частичен скор по </w:t>
        </w:r>
        <w:r w:rsidRPr="005F1279">
          <w:rPr>
            <w:szCs w:val="22"/>
            <w:lang w:eastAsia="en-GB"/>
          </w:rPr>
          <w:t>Mayo</w:t>
        </w:r>
        <w:r>
          <w:rPr>
            <w:szCs w:val="22"/>
            <w:lang w:eastAsia="en-GB"/>
          </w:rPr>
          <w:t xml:space="preserve"> и имат нормална експозиция на устекинумаб</w:t>
        </w:r>
        <w:r>
          <w:t xml:space="preserve">, отговарят на условията за коригиране на дозата. Пациентите или преминават от лечение на всеки 12 седмици към лечение на всеки 8 седмици </w:t>
        </w:r>
        <w:r w:rsidRPr="005F1279">
          <w:rPr>
            <w:szCs w:val="22"/>
            <w:lang w:eastAsia="en-GB"/>
          </w:rPr>
          <w:t>(5/40)</w:t>
        </w:r>
        <w:r>
          <w:t xml:space="preserve">, или остават на лечение на всеки 8 седмици (плацебо корекция) </w:t>
        </w:r>
        <w:r w:rsidRPr="005F1279">
          <w:rPr>
            <w:szCs w:val="22"/>
            <w:lang w:eastAsia="en-GB"/>
          </w:rPr>
          <w:t>(</w:t>
        </w:r>
        <w:r>
          <w:rPr>
            <w:szCs w:val="22"/>
            <w:lang w:eastAsia="en-GB"/>
          </w:rPr>
          <w:t>2</w:t>
        </w:r>
        <w:r w:rsidRPr="005F1279">
          <w:rPr>
            <w:szCs w:val="22"/>
            <w:lang w:eastAsia="en-GB"/>
          </w:rPr>
          <w:t>/</w:t>
        </w:r>
        <w:r>
          <w:rPr>
            <w:szCs w:val="22"/>
            <w:lang w:eastAsia="en-GB"/>
          </w:rPr>
          <w:t>39</w:t>
        </w:r>
        <w:r w:rsidRPr="005F1279">
          <w:rPr>
            <w:szCs w:val="22"/>
            <w:lang w:eastAsia="en-GB"/>
          </w:rPr>
          <w:t>)</w:t>
        </w:r>
        <w:r>
          <w:t>. Сред пациентите с коригирана доза клинична ремисия е постигната при 28,6% (2/7) към седмица 44 на поддържащото лечение.</w:t>
        </w:r>
      </w:ins>
    </w:p>
    <w:p w14:paraId="7270776B" w14:textId="77777777" w:rsidR="00E259ED" w:rsidRDefault="00E259ED" w:rsidP="00E259ED">
      <w:pPr>
        <w:rPr>
          <w:ins w:id="1200" w:author="Reviser" w:date="2026-04-29T20:37:00Z"/>
        </w:rPr>
      </w:pPr>
    </w:p>
    <w:p w14:paraId="5FA23769" w14:textId="402B01A9" w:rsidR="00E259ED" w:rsidRDefault="00E259ED" w:rsidP="00E259ED">
      <w:pPr>
        <w:rPr>
          <w:ins w:id="1201" w:author="Reviser" w:date="2026-04-29T20:37:00Z"/>
        </w:rPr>
      </w:pPr>
      <w:ins w:id="1202" w:author="Reviser" w:date="2026-04-29T20:37:00Z">
        <w:r>
          <w:t>Пациентите, лекувани с двете схеми на лечение (лечение на всеки 12</w:t>
        </w:r>
        <w:r>
          <w:rPr>
            <w:lang w:val="en-US"/>
          </w:rPr>
          <w:t> </w:t>
        </w:r>
        <w:r>
          <w:t>седмици или на всеки 8</w:t>
        </w:r>
        <w:r>
          <w:rPr>
            <w:lang w:val="en-US"/>
          </w:rPr>
          <w:t> </w:t>
        </w:r>
        <w:r>
          <w:t>седмици), които не се повлияват от поддържащото лечение до седмица 8 или които имат загуба на отговор и имат ниски нива на устекинумаб (стационарно състояние на седмица 8 при най-ниска концентрация на устекинумаб &lt;1,4</w:t>
        </w:r>
        <w:r>
          <w:rPr>
            <w:lang w:val="en-US"/>
          </w:rPr>
          <w:t> </w:t>
        </w:r>
        <w:r>
          <w:t xml:space="preserve">µg/ml), са подходящи за включване в </w:t>
        </w:r>
        <w:del w:id="1203" w:author="RABG09" w:date="2026-07-15T12:56:00Z" w16du:dateUtc="2026-07-15T09:56:00Z">
          <w:r w:rsidDel="00B774E7">
            <w:delText>доброволно</w:delText>
          </w:r>
        </w:del>
      </w:ins>
      <w:ins w:id="1204" w:author="RABG09" w:date="2026-07-15T12:56:00Z" w16du:dateUtc="2026-07-15T09:56:00Z">
        <w:r w:rsidR="00B774E7">
          <w:t>незадължително</w:t>
        </w:r>
      </w:ins>
      <w:ins w:id="1205" w:author="Reviser" w:date="2026-04-29T20:37:00Z">
        <w:r>
          <w:t xml:space="preserve"> подпроучване за оптимизиране на експозицията. Това е открито подпроучване с продължителност минимум 16</w:t>
        </w:r>
        <w:r>
          <w:rPr>
            <w:lang w:val="en-US"/>
          </w:rPr>
          <w:t> </w:t>
        </w:r>
        <w:r>
          <w:t>седмици с подкожно поддържащо лечение с 90 mg устекинумаб или 60</w:t>
        </w:r>
        <w:r>
          <w:rPr>
            <w:lang w:val="en-US"/>
          </w:rPr>
          <w:t> </w:t>
        </w:r>
        <w:r>
          <w:t>mg/m</w:t>
        </w:r>
        <w:r w:rsidRPr="00BC6A43">
          <w:rPr>
            <w:vertAlign w:val="superscript"/>
          </w:rPr>
          <w:t>2</w:t>
        </w:r>
        <w:r>
          <w:t xml:space="preserve"> (въз основа на BSA), прилаган на всеки 4</w:t>
        </w:r>
        <w:r>
          <w:rPr>
            <w:lang w:val="en-US"/>
          </w:rPr>
          <w:t> </w:t>
        </w:r>
        <w:r>
          <w:t>седмици. Общо 22 пациенти са включени, а 21 са лекувани в подпроучването. От участващите пациенти 13 (59,1%) премин</w:t>
        </w:r>
        <w:r>
          <w:rPr>
            <w:lang w:val="en-US"/>
          </w:rPr>
          <w:t>a</w:t>
        </w:r>
        <w:r>
          <w:t xml:space="preserve">ват от </w:t>
        </w:r>
        <w:del w:id="1206" w:author="RABG09" w:date="2026-07-15T12:56:00Z" w16du:dateUtc="2026-07-15T09:56:00Z">
          <w:r w:rsidDel="00AA5386">
            <w:delText>дозиране</w:delText>
          </w:r>
        </w:del>
      </w:ins>
      <w:ins w:id="1207" w:author="RABG09" w:date="2026-07-15T12:56:00Z" w16du:dateUtc="2026-07-15T09:56:00Z">
        <w:r w:rsidR="00AA5386">
          <w:t>прилагане</w:t>
        </w:r>
      </w:ins>
      <w:ins w:id="1208" w:author="Reviser" w:date="2026-04-29T20:37:00Z">
        <w:r>
          <w:t xml:space="preserve"> веднъж на 12 седмици към веднъж на 4 седмици, а 9 </w:t>
        </w:r>
        <w:r>
          <w:lastRenderedPageBreak/>
          <w:t xml:space="preserve">(40,9%) преминават от </w:t>
        </w:r>
        <w:del w:id="1209" w:author="RABG09" w:date="2026-07-15T12:57:00Z" w16du:dateUtc="2026-07-15T09:57:00Z">
          <w:r w:rsidDel="00AA5386">
            <w:delText>дозиране</w:delText>
          </w:r>
        </w:del>
      </w:ins>
      <w:ins w:id="1210" w:author="RABG09" w:date="2026-07-15T12:57:00Z" w16du:dateUtc="2026-07-15T09:57:00Z">
        <w:r w:rsidR="00AA5386">
          <w:t>прилагане</w:t>
        </w:r>
      </w:ins>
      <w:ins w:id="1211" w:author="Reviser" w:date="2026-04-29T20:37:00Z">
        <w:r>
          <w:t xml:space="preserve"> веднъж на 8 седмици към веднъж на 4 седмици. На 16</w:t>
        </w:r>
        <w:r>
          <w:rPr>
            <w:lang w:val="en-US"/>
          </w:rPr>
          <w:t> </w:t>
        </w:r>
        <w:r>
          <w:t xml:space="preserve">седмици след промяна на честотата на приложение 84,6% (11/13) от пациентите, подходящи за оценка, показват клиничен отговор въз основа на частичен скор по </w:t>
        </w:r>
        <w:r w:rsidRPr="005F1279">
          <w:rPr>
            <w:szCs w:val="22"/>
            <w:lang w:eastAsia="en-GB"/>
          </w:rPr>
          <w:t>Mayo</w:t>
        </w:r>
        <w:r>
          <w:t xml:space="preserve">, а 56,3% (9/16) са в клинична ремисия въз основа на скора по </w:t>
        </w:r>
        <w:r w:rsidRPr="00F84FBC">
          <w:rPr>
            <w:lang w:eastAsia="en-GB"/>
          </w:rPr>
          <w:t>PUCAI</w:t>
        </w:r>
        <w:r>
          <w:t>.</w:t>
        </w:r>
      </w:ins>
    </w:p>
    <w:p w14:paraId="6D349494" w14:textId="77777777" w:rsidR="00E259ED" w:rsidRDefault="00E259ED" w:rsidP="00E259ED">
      <w:pPr>
        <w:rPr>
          <w:ins w:id="1212" w:author="Reviser" w:date="2026-04-29T20:37:00Z"/>
        </w:rPr>
      </w:pPr>
    </w:p>
    <w:p w14:paraId="1534DF04" w14:textId="77777777" w:rsidR="00E259ED" w:rsidRDefault="00E259ED" w:rsidP="00E259ED">
      <w:pPr>
        <w:rPr>
          <w:ins w:id="1213" w:author="Reviser" w:date="2026-04-29T20:37:00Z"/>
        </w:rPr>
      </w:pPr>
      <w:ins w:id="1214" w:author="Reviser" w:date="2026-04-29T20:37:00Z">
        <w:r>
          <w:t>Профилът на безопасност на схемата на индукционно приложение и на двете схеми на поддържащо лечение при педиатричната популация на 2 и повече години е сравним с този, установен при популацията на възрастните с улцерозен колит (вж. точка 4.8).</w:t>
        </w:r>
      </w:ins>
    </w:p>
    <w:p w14:paraId="285C49A3" w14:textId="77777777" w:rsidR="00E259ED" w:rsidRDefault="00E259ED" w:rsidP="00E259ED">
      <w:pPr>
        <w:rPr>
          <w:ins w:id="1215" w:author="Reviser" w:date="2026-04-29T20:37:00Z"/>
        </w:rPr>
      </w:pPr>
    </w:p>
    <w:p w14:paraId="7781B9FE" w14:textId="77777777" w:rsidR="00E259ED" w:rsidRDefault="00E259ED" w:rsidP="00E259ED">
      <w:pPr>
        <w:keepNext/>
        <w:widowControl w:val="0"/>
        <w:rPr>
          <w:ins w:id="1216" w:author="Reviser" w:date="2026-04-29T20:37:00Z"/>
          <w:i/>
        </w:rPr>
      </w:pPr>
      <w:ins w:id="1217" w:author="Reviser" w:date="2026-04-29T20:37:00Z">
        <w:r>
          <w:rPr>
            <w:i/>
          </w:rPr>
          <w:t>Серумни и фекални биомаркери на възпалението</w:t>
        </w:r>
      </w:ins>
    </w:p>
    <w:p w14:paraId="46C945ED" w14:textId="14A6F151" w:rsidR="00E259ED" w:rsidRDefault="00E259ED" w:rsidP="00E259ED">
      <w:pPr>
        <w:tabs>
          <w:tab w:val="clear" w:pos="567"/>
        </w:tabs>
        <w:textAlignment w:val="baseline"/>
        <w:rPr>
          <w:ins w:id="1218" w:author="Reviser" w:date="2026-04-29T20:37:00Z"/>
          <w:szCs w:val="22"/>
          <w:lang w:eastAsia="en-GB"/>
        </w:rPr>
      </w:pPr>
      <w:ins w:id="1219" w:author="Reviser" w:date="2026-04-29T20:37:00Z">
        <w:r w:rsidRPr="0025579F">
          <w:rPr>
            <w:szCs w:val="22"/>
            <w:lang w:eastAsia="en-GB"/>
          </w:rPr>
          <w:t>Сред 26-те пациент</w:t>
        </w:r>
        <w:r>
          <w:rPr>
            <w:szCs w:val="22"/>
            <w:lang w:eastAsia="en-GB"/>
          </w:rPr>
          <w:t>и</w:t>
        </w:r>
        <w:r w:rsidRPr="0025579F">
          <w:rPr>
            <w:szCs w:val="22"/>
            <w:lang w:eastAsia="en-GB"/>
          </w:rPr>
          <w:t xml:space="preserve"> с повишени нива на CRP на изходно ниво нивата на CRP се нормализират към седмица 44 от поддържащото лечение при 3 (21,4%) от 14 пациент</w:t>
        </w:r>
        <w:r>
          <w:rPr>
            <w:szCs w:val="22"/>
            <w:lang w:eastAsia="en-GB"/>
          </w:rPr>
          <w:t>и</w:t>
        </w:r>
        <w:r w:rsidRPr="0025579F">
          <w:rPr>
            <w:szCs w:val="22"/>
            <w:lang w:eastAsia="en-GB"/>
          </w:rPr>
          <w:t xml:space="preserve"> в групата, лекувана на всеки 12 седмици, и при 9 (75,0%) от 12 пациенти в групата, лекувана на всеки 8 седмици.</w:t>
        </w:r>
      </w:ins>
    </w:p>
    <w:p w14:paraId="328C6A4B" w14:textId="77777777" w:rsidR="00E259ED" w:rsidRDefault="00E259ED" w:rsidP="00E259ED">
      <w:pPr>
        <w:tabs>
          <w:tab w:val="clear" w:pos="567"/>
        </w:tabs>
        <w:textAlignment w:val="baseline"/>
        <w:rPr>
          <w:ins w:id="1220" w:author="Reviser" w:date="2026-04-29T20:37:00Z"/>
          <w:szCs w:val="22"/>
          <w:lang w:eastAsia="en-GB"/>
        </w:rPr>
      </w:pPr>
    </w:p>
    <w:p w14:paraId="4FD686E0" w14:textId="168A6D9A" w:rsidR="00E259ED" w:rsidRPr="00020F75" w:rsidRDefault="00E259ED" w:rsidP="00E259ED">
      <w:pPr>
        <w:tabs>
          <w:tab w:val="clear" w:pos="567"/>
        </w:tabs>
        <w:textAlignment w:val="baseline"/>
        <w:rPr>
          <w:ins w:id="1221" w:author="Reviser" w:date="2026-04-29T20:37:00Z"/>
          <w:szCs w:val="22"/>
          <w:lang w:eastAsia="en-GB"/>
        </w:rPr>
      </w:pPr>
      <w:ins w:id="1222" w:author="Reviser" w:date="2026-04-29T20:37:00Z">
        <w:r w:rsidRPr="00020F75">
          <w:rPr>
            <w:szCs w:val="22"/>
            <w:lang w:eastAsia="en-GB"/>
          </w:rPr>
          <w:t xml:space="preserve">Сред 63-мата пациенти с отклонения в нивата на фекалния калпротектин на изходно ниво, повлияли се от индукционното лечение, </w:t>
        </w:r>
      </w:ins>
      <w:ins w:id="1223" w:author="RABG09" w:date="2026-07-15T12:57:00Z" w16du:dateUtc="2026-07-15T09:57:00Z">
        <w:r w:rsidR="00AA5386">
          <w:rPr>
            <w:szCs w:val="22"/>
            <w:lang w:eastAsia="en-GB"/>
          </w:rPr>
          <w:t xml:space="preserve">при </w:t>
        </w:r>
      </w:ins>
      <w:ins w:id="1224" w:author="Reviser" w:date="2026-04-29T20:37:00Z">
        <w:r w:rsidRPr="00020F75">
          <w:rPr>
            <w:szCs w:val="22"/>
            <w:lang w:eastAsia="en-GB"/>
          </w:rPr>
          <w:t xml:space="preserve">8 (25,0%) от 32 </w:t>
        </w:r>
        <w:del w:id="1225" w:author="RABG09" w:date="2026-07-15T12:57:00Z" w16du:dateUtc="2026-07-15T09:57:00Z">
          <w:r w:rsidRPr="00020F75" w:rsidDel="00AA5386">
            <w:rPr>
              <w:szCs w:val="22"/>
              <w:lang w:eastAsia="en-GB"/>
            </w:rPr>
            <w:delText>участници</w:delText>
          </w:r>
        </w:del>
      </w:ins>
      <w:ins w:id="1226" w:author="RABG09" w:date="2026-07-15T12:57:00Z" w16du:dateUtc="2026-07-15T09:57:00Z">
        <w:r w:rsidR="00AA5386">
          <w:rPr>
            <w:szCs w:val="22"/>
            <w:lang w:eastAsia="en-GB"/>
          </w:rPr>
          <w:t>пациенти</w:t>
        </w:r>
      </w:ins>
      <w:ins w:id="1227" w:author="Reviser" w:date="2026-04-29T20:37:00Z">
        <w:r w:rsidRPr="00020F75">
          <w:rPr>
            <w:szCs w:val="22"/>
            <w:lang w:eastAsia="en-GB"/>
          </w:rPr>
          <w:t xml:space="preserve"> в групата </w:t>
        </w:r>
        <w:del w:id="1228" w:author="RABG09" w:date="2026-07-15T12:57:00Z" w16du:dateUtc="2026-07-15T09:57:00Z">
          <w:r w:rsidRPr="00020F75" w:rsidDel="00385F57">
            <w:rPr>
              <w:szCs w:val="22"/>
              <w:lang w:eastAsia="en-GB"/>
            </w:rPr>
            <w:delText>с</w:delText>
          </w:r>
        </w:del>
      </w:ins>
      <w:ins w:id="1229" w:author="RABG09" w:date="2026-07-15T12:57:00Z" w16du:dateUtc="2026-07-15T09:57:00Z">
        <w:r w:rsidR="00385F57">
          <w:rPr>
            <w:szCs w:val="22"/>
            <w:lang w:eastAsia="en-GB"/>
          </w:rPr>
          <w:t>на</w:t>
        </w:r>
      </w:ins>
      <w:ins w:id="1230" w:author="Reviser" w:date="2026-04-29T20:37:00Z">
        <w:r w:rsidRPr="00020F75">
          <w:rPr>
            <w:szCs w:val="22"/>
            <w:lang w:eastAsia="en-GB"/>
          </w:rPr>
          <w:t xml:space="preserve"> лечение на всеки 12 седмици и 16 (51,6%) от 31 пациенти в групата </w:t>
        </w:r>
        <w:del w:id="1231" w:author="RABG09" w:date="2026-07-15T12:58:00Z" w16du:dateUtc="2026-07-15T09:58:00Z">
          <w:r w:rsidRPr="00020F75" w:rsidDel="00385F57">
            <w:rPr>
              <w:szCs w:val="22"/>
              <w:lang w:eastAsia="en-GB"/>
            </w:rPr>
            <w:delText>с</w:delText>
          </w:r>
        </w:del>
      </w:ins>
      <w:ins w:id="1232" w:author="RABG09" w:date="2026-07-15T12:58:00Z" w16du:dateUtc="2026-07-15T09:58:00Z">
        <w:r w:rsidR="00385F57">
          <w:rPr>
            <w:szCs w:val="22"/>
            <w:lang w:eastAsia="en-GB"/>
          </w:rPr>
          <w:t>на</w:t>
        </w:r>
      </w:ins>
      <w:ins w:id="1233" w:author="Reviser" w:date="2026-04-29T20:37:00Z">
        <w:r w:rsidRPr="00020F75">
          <w:rPr>
            <w:szCs w:val="22"/>
            <w:lang w:eastAsia="en-GB"/>
          </w:rPr>
          <w:t xml:space="preserve"> лечение на всеки 8 седмици </w:t>
        </w:r>
        <w:del w:id="1234" w:author="RABG09" w:date="2026-07-15T12:58:00Z" w16du:dateUtc="2026-07-15T09:58:00Z">
          <w:r w:rsidRPr="00020F75" w:rsidDel="006D588B">
            <w:rPr>
              <w:szCs w:val="22"/>
              <w:lang w:eastAsia="en-GB"/>
            </w:rPr>
            <w:delText xml:space="preserve">са </w:delText>
          </w:r>
          <w:r w:rsidRPr="00020F75" w:rsidDel="00385F57">
            <w:rPr>
              <w:szCs w:val="22"/>
              <w:lang w:eastAsia="en-GB"/>
            </w:rPr>
            <w:delText xml:space="preserve">нормализирали </w:delText>
          </w:r>
        </w:del>
        <w:r w:rsidRPr="00020F75">
          <w:rPr>
            <w:szCs w:val="22"/>
            <w:lang w:eastAsia="en-GB"/>
          </w:rPr>
          <w:t>нивата на фекалния калпротектин</w:t>
        </w:r>
      </w:ins>
      <w:ins w:id="1235" w:author="RABG09" w:date="2026-07-15T12:58:00Z" w16du:dateUtc="2026-07-15T09:58:00Z">
        <w:r w:rsidR="006D588B">
          <w:rPr>
            <w:szCs w:val="22"/>
            <w:lang w:eastAsia="en-GB"/>
          </w:rPr>
          <w:t xml:space="preserve"> са се нормализирали</w:t>
        </w:r>
      </w:ins>
      <w:ins w:id="1236" w:author="Reviser" w:date="2026-04-29T20:37:00Z">
        <w:r w:rsidRPr="00020F75">
          <w:rPr>
            <w:szCs w:val="22"/>
            <w:lang w:eastAsia="en-GB"/>
          </w:rPr>
          <w:t xml:space="preserve"> </w:t>
        </w:r>
        <w:del w:id="1237" w:author="RABG09" w:date="2026-07-15T12:58:00Z" w16du:dateUtc="2026-07-15T09:58:00Z">
          <w:r w:rsidRPr="00020F75" w:rsidDel="006D588B">
            <w:rPr>
              <w:szCs w:val="22"/>
              <w:lang w:eastAsia="en-GB"/>
            </w:rPr>
            <w:delText>през</w:delText>
          </w:r>
        </w:del>
      </w:ins>
      <w:ins w:id="1238" w:author="RABG09" w:date="2026-07-15T12:58:00Z" w16du:dateUtc="2026-07-15T09:58:00Z">
        <w:r w:rsidR="006D588B">
          <w:rPr>
            <w:szCs w:val="22"/>
            <w:lang w:eastAsia="en-GB"/>
          </w:rPr>
          <w:t>на</w:t>
        </w:r>
      </w:ins>
      <w:ins w:id="1239" w:author="Reviser" w:date="2026-04-29T20:37:00Z">
        <w:r w:rsidRPr="00020F75">
          <w:rPr>
            <w:szCs w:val="22"/>
            <w:lang w:eastAsia="en-GB"/>
          </w:rPr>
          <w:t xml:space="preserve"> седмица 44 от поддържащото лечение.</w:t>
        </w:r>
      </w:ins>
    </w:p>
    <w:p w14:paraId="74013216" w14:textId="77777777" w:rsidR="00E259ED" w:rsidRPr="00020F75" w:rsidRDefault="00E259ED" w:rsidP="00E259ED">
      <w:pPr>
        <w:tabs>
          <w:tab w:val="clear" w:pos="567"/>
        </w:tabs>
        <w:textAlignment w:val="baseline"/>
        <w:rPr>
          <w:ins w:id="1240" w:author="Reviser" w:date="2026-04-29T20:37:00Z"/>
          <w:szCs w:val="22"/>
          <w:lang w:eastAsia="en-GB"/>
        </w:rPr>
      </w:pPr>
    </w:p>
    <w:p w14:paraId="6CEB79B7" w14:textId="77777777" w:rsidR="00E259ED" w:rsidRDefault="00E259ED" w:rsidP="00E259ED">
      <w:pPr>
        <w:keepNext/>
        <w:widowControl w:val="0"/>
        <w:rPr>
          <w:ins w:id="1241" w:author="Reviser" w:date="2026-04-29T20:37:00Z"/>
          <w:i/>
        </w:rPr>
      </w:pPr>
      <w:ins w:id="1242" w:author="Reviser" w:date="2026-04-29T20:37:00Z">
        <w:r>
          <w:rPr>
            <w:i/>
          </w:rPr>
          <w:t>Качество на живот, свързано със здравето</w:t>
        </w:r>
      </w:ins>
    </w:p>
    <w:p w14:paraId="20A947E9" w14:textId="23D2E8D7" w:rsidR="00E259ED" w:rsidRDefault="00E259ED" w:rsidP="00E259ED">
      <w:pPr>
        <w:tabs>
          <w:tab w:val="clear" w:pos="567"/>
        </w:tabs>
        <w:textAlignment w:val="baseline"/>
        <w:rPr>
          <w:ins w:id="1243" w:author="Reviser" w:date="2026-04-29T20:37:00Z"/>
          <w:szCs w:val="22"/>
          <w:lang w:eastAsia="en-GB"/>
        </w:rPr>
      </w:pPr>
      <w:ins w:id="1244" w:author="Reviser" w:date="2026-04-29T20:37:00Z">
        <w:r>
          <w:rPr>
            <w:szCs w:val="22"/>
            <w:lang w:eastAsia="en-GB"/>
          </w:rPr>
          <w:t>При пациентите на възраст</w:t>
        </w:r>
        <w:r w:rsidRPr="00CA0929">
          <w:t xml:space="preserve"> </w:t>
        </w:r>
        <w:r w:rsidRPr="00CA0929">
          <w:rPr>
            <w:szCs w:val="22"/>
            <w:lang w:eastAsia="en-GB"/>
          </w:rPr>
          <w:t>≥10</w:t>
        </w:r>
        <w:r>
          <w:rPr>
            <w:szCs w:val="22"/>
            <w:lang w:eastAsia="en-GB"/>
          </w:rPr>
          <w:t> години, при които е оценен</w:t>
        </w:r>
        <w:r w:rsidRPr="00CA0929">
          <w:rPr>
            <w:szCs w:val="22"/>
            <w:lang w:eastAsia="en-GB"/>
          </w:rPr>
          <w:t xml:space="preserve"> </w:t>
        </w:r>
        <w:r>
          <w:rPr>
            <w:szCs w:val="22"/>
            <w:lang w:eastAsia="en-GB"/>
          </w:rPr>
          <w:t xml:space="preserve">IMPACT-III, общите скорове и всички поддомейни (включително чревни симптоми, системни симптоми, емоционално функциониране, </w:t>
        </w:r>
        <w:r w:rsidRPr="006E6018">
          <w:rPr>
            <w:szCs w:val="22"/>
            <w:lang w:eastAsia="en-GB"/>
          </w:rPr>
          <w:t>социално функциониране и</w:t>
        </w:r>
        <w:r>
          <w:rPr>
            <w:szCs w:val="22"/>
            <w:lang w:eastAsia="en-GB"/>
          </w:rPr>
          <w:t xml:space="preserve"> образни и други изследвания и лечение) показват клинично значими подобрения </w:t>
        </w:r>
      </w:ins>
      <w:ins w:id="1245" w:author="RABG09" w:date="2026-05-14T12:34:00Z">
        <w:r w:rsidR="0031327C">
          <w:rPr>
            <w:szCs w:val="22"/>
            <w:lang w:eastAsia="en-GB"/>
          </w:rPr>
          <w:t>на</w:t>
        </w:r>
      </w:ins>
      <w:ins w:id="1246" w:author="Reviser" w:date="2026-04-29T20:37:00Z">
        <w:r>
          <w:rPr>
            <w:szCs w:val="22"/>
            <w:lang w:eastAsia="en-GB"/>
          </w:rPr>
          <w:t xml:space="preserve"> </w:t>
        </w:r>
      </w:ins>
      <w:ins w:id="1247" w:author="RABG09" w:date="2026-07-15T12:59:00Z" w16du:dateUtc="2026-07-15T09:59:00Z">
        <w:r w:rsidR="006D588B">
          <w:rPr>
            <w:szCs w:val="22"/>
            <w:lang w:eastAsia="en-GB"/>
          </w:rPr>
          <w:t xml:space="preserve">седмица </w:t>
        </w:r>
      </w:ins>
      <w:ins w:id="1248" w:author="Reviser" w:date="2026-04-29T20:37:00Z">
        <w:r>
          <w:rPr>
            <w:szCs w:val="22"/>
            <w:lang w:eastAsia="en-GB"/>
          </w:rPr>
          <w:t>44</w:t>
        </w:r>
        <w:del w:id="1249" w:author="RABG09" w:date="2026-07-15T12:59:00Z" w16du:dateUtc="2026-07-15T09:59:00Z">
          <w:r w:rsidDel="006D588B">
            <w:rPr>
              <w:szCs w:val="22"/>
              <w:lang w:val="en-US" w:eastAsia="en-GB"/>
            </w:rPr>
            <w:delText> </w:delText>
          </w:r>
          <w:r w:rsidDel="006D588B">
            <w:rPr>
              <w:szCs w:val="22"/>
              <w:lang w:eastAsia="en-GB"/>
            </w:rPr>
            <w:delText>седмиц</w:delText>
          </w:r>
        </w:del>
        <w:r>
          <w:rPr>
            <w:szCs w:val="22"/>
            <w:lang w:eastAsia="en-GB"/>
          </w:rPr>
          <w:t>.</w:t>
        </w:r>
      </w:ins>
    </w:p>
    <w:p w14:paraId="7E1E146A" w14:textId="77777777" w:rsidR="00E259ED" w:rsidRDefault="00E259ED"/>
    <w:p w14:paraId="109AD3E7" w14:textId="77777777" w:rsidR="009B3384" w:rsidRDefault="00800862">
      <w:pPr>
        <w:keepNext/>
        <w:rPr>
          <w:szCs w:val="22"/>
          <w:u w:val="single"/>
          <w:lang w:eastAsia="zh-CN"/>
        </w:rPr>
      </w:pPr>
      <w:r>
        <w:rPr>
          <w:szCs w:val="22"/>
          <w:u w:val="single"/>
        </w:rPr>
        <w:t>Педиатрична популация</w:t>
      </w:r>
    </w:p>
    <w:p w14:paraId="109AD3E8" w14:textId="0411223B" w:rsidR="009B3384" w:rsidRDefault="00800862">
      <w:pPr>
        <w:rPr>
          <w:szCs w:val="24"/>
        </w:rPr>
      </w:pPr>
      <w:r>
        <w:rPr>
          <w:szCs w:val="24"/>
        </w:rPr>
        <w:t xml:space="preserve">Европейската агенция по лекарствата отлага задължението за предоставяне на резултатите от проучванията с устекинумаб в една или повече подгрупи на педиатричната популация при ювенилен идиопатичен артрит </w:t>
      </w:r>
      <w:del w:id="1250" w:author="Reviser" w:date="2026-04-29T20:53:00Z">
        <w:r w:rsidDel="006A2177">
          <w:rPr>
            <w:bCs/>
          </w:rPr>
          <w:delText>и улцерозен колит</w:delText>
        </w:r>
        <w:r w:rsidDel="006A2177">
          <w:rPr>
            <w:szCs w:val="24"/>
          </w:rPr>
          <w:delText xml:space="preserve"> </w:delText>
        </w:r>
      </w:del>
      <w:r>
        <w:rPr>
          <w:szCs w:val="24"/>
        </w:rPr>
        <w:t>(вж. точка 4.2 за информация относно употреба в педиатрията).</w:t>
      </w:r>
    </w:p>
    <w:p w14:paraId="109AD3E9" w14:textId="77777777" w:rsidR="009B3384" w:rsidRDefault="009B3384"/>
    <w:p w14:paraId="109AD3EA" w14:textId="77777777" w:rsidR="009B3384" w:rsidRDefault="00800862">
      <w:pPr>
        <w:keepNext/>
        <w:ind w:left="567" w:hanging="567"/>
        <w:outlineLvl w:val="2"/>
        <w:rPr>
          <w:b/>
          <w:bCs/>
        </w:rPr>
      </w:pPr>
      <w:r>
        <w:rPr>
          <w:b/>
          <w:bCs/>
        </w:rPr>
        <w:t>5.2</w:t>
      </w:r>
      <w:r>
        <w:rPr>
          <w:b/>
          <w:bCs/>
        </w:rPr>
        <w:tab/>
        <w:t>Фармакокинетични свойства</w:t>
      </w:r>
    </w:p>
    <w:p w14:paraId="109AD3EB" w14:textId="77777777" w:rsidR="009B3384" w:rsidRDefault="009B3384">
      <w:pPr>
        <w:keepNext/>
        <w:rPr>
          <w:bCs/>
        </w:rPr>
      </w:pPr>
    </w:p>
    <w:p w14:paraId="109AD3EC" w14:textId="77777777" w:rsidR="009B3384" w:rsidRDefault="00800862">
      <w:pPr>
        <w:keepNext/>
        <w:rPr>
          <w:iCs/>
          <w:u w:val="single"/>
        </w:rPr>
      </w:pPr>
      <w:r>
        <w:rPr>
          <w:iCs/>
          <w:u w:val="single"/>
        </w:rPr>
        <w:t>Абсорбция</w:t>
      </w:r>
    </w:p>
    <w:p w14:paraId="109AD3ED" w14:textId="77777777" w:rsidR="009B3384" w:rsidRDefault="00800862">
      <w:pPr>
        <w:rPr>
          <w:iCs/>
        </w:rPr>
      </w:pPr>
      <w:r>
        <w:rPr>
          <w:iCs/>
        </w:rPr>
        <w:t>Медианата на време за достигане на максимална серумна концентрация (t</w:t>
      </w:r>
      <w:r>
        <w:rPr>
          <w:iCs/>
          <w:vertAlign w:val="subscript"/>
        </w:rPr>
        <w:t>max</w:t>
      </w:r>
      <w:r>
        <w:rPr>
          <w:iCs/>
        </w:rPr>
        <w:t>) е 8,5 дни след еднократно приложение на 90 mg подкожно при здрави пациенти. Медианата t</w:t>
      </w:r>
      <w:r>
        <w:rPr>
          <w:iCs/>
          <w:vertAlign w:val="subscript"/>
        </w:rPr>
        <w:t xml:space="preserve">max </w:t>
      </w:r>
      <w:r>
        <w:rPr>
          <w:iCs/>
        </w:rPr>
        <w:t>на устекинумаб след еднократно приложение на 45 mg или 90 mg подкожно при пациенти с псориазис са сходни с наблюдаваните при здрави пациенти.</w:t>
      </w:r>
    </w:p>
    <w:p w14:paraId="109AD3EE" w14:textId="77777777" w:rsidR="009B3384" w:rsidRDefault="009B3384">
      <w:pPr>
        <w:rPr>
          <w:iCs/>
        </w:rPr>
      </w:pPr>
    </w:p>
    <w:p w14:paraId="109AD3EF" w14:textId="77777777" w:rsidR="009B3384" w:rsidRDefault="00800862">
      <w:pPr>
        <w:rPr>
          <w:iCs/>
        </w:rPr>
      </w:pPr>
      <w:r>
        <w:rPr>
          <w:iCs/>
        </w:rPr>
        <w:t>Абсолютната бионаличност на устекинумаб след еднократно подкожно приложение е изчислена на 57,2% при пациенти с псориазис.</w:t>
      </w:r>
    </w:p>
    <w:p w14:paraId="109AD3F0" w14:textId="77777777" w:rsidR="009B3384" w:rsidRDefault="009B3384">
      <w:pPr>
        <w:rPr>
          <w:iCs/>
        </w:rPr>
      </w:pPr>
    </w:p>
    <w:p w14:paraId="109AD3F1" w14:textId="77777777" w:rsidR="009B3384" w:rsidRDefault="00800862">
      <w:pPr>
        <w:keepNext/>
        <w:rPr>
          <w:iCs/>
          <w:u w:val="single"/>
        </w:rPr>
      </w:pPr>
      <w:r>
        <w:rPr>
          <w:iCs/>
          <w:u w:val="single"/>
        </w:rPr>
        <w:t>Разпределение</w:t>
      </w:r>
    </w:p>
    <w:p w14:paraId="109AD3F2" w14:textId="77777777" w:rsidR="009B3384" w:rsidRDefault="00800862">
      <w:pPr>
        <w:rPr>
          <w:iCs/>
        </w:rPr>
      </w:pPr>
      <w:r>
        <w:rPr>
          <w:iCs/>
        </w:rPr>
        <w:t>Медианата на обема на разпределение в терминалната фаза (Vz) след еднократно интравенозно приложение при пациенти с псориазис варира от 57 до 83 ml/kg.</w:t>
      </w:r>
    </w:p>
    <w:p w14:paraId="109AD3F3" w14:textId="77777777" w:rsidR="009B3384" w:rsidRDefault="009B3384"/>
    <w:p w14:paraId="109AD3F4" w14:textId="77777777" w:rsidR="009B3384" w:rsidRDefault="00800862">
      <w:pPr>
        <w:keepNext/>
        <w:rPr>
          <w:iCs/>
          <w:u w:val="single"/>
        </w:rPr>
      </w:pPr>
      <w:r>
        <w:rPr>
          <w:iCs/>
          <w:u w:val="single"/>
        </w:rPr>
        <w:t>Биотрансформация</w:t>
      </w:r>
    </w:p>
    <w:p w14:paraId="109AD3F5" w14:textId="77777777" w:rsidR="009B3384" w:rsidRDefault="00800862">
      <w:pPr>
        <w:rPr>
          <w:iCs/>
        </w:rPr>
      </w:pPr>
      <w:r>
        <w:rPr>
          <w:iCs/>
        </w:rPr>
        <w:t>Точният път на метаболизиране на устекинумаб не е известен.</w:t>
      </w:r>
    </w:p>
    <w:p w14:paraId="109AD3F6" w14:textId="77777777" w:rsidR="009B3384" w:rsidRDefault="009B3384"/>
    <w:p w14:paraId="109AD3F7" w14:textId="77777777" w:rsidR="009B3384" w:rsidRDefault="00800862">
      <w:pPr>
        <w:keepNext/>
        <w:rPr>
          <w:iCs/>
          <w:u w:val="single"/>
        </w:rPr>
      </w:pPr>
      <w:r>
        <w:rPr>
          <w:iCs/>
          <w:u w:val="single"/>
        </w:rPr>
        <w:t>Елиминиране</w:t>
      </w:r>
    </w:p>
    <w:p w14:paraId="109AD3F8" w14:textId="77777777" w:rsidR="009B3384" w:rsidRDefault="00800862">
      <w:r>
        <w:rPr>
          <w:iCs/>
        </w:rPr>
        <w:t xml:space="preserve">Медианата на системния клирънс (CL) след еднократно интравенозно приложение при пациенти с псориазис варира от 1,99 до 2,34 ml/ден/kg. </w:t>
      </w:r>
      <w:r>
        <w:t>Медианата на полуживота (t</w:t>
      </w:r>
      <w:r>
        <w:rPr>
          <w:vertAlign w:val="subscript"/>
        </w:rPr>
        <w:t>1/2</w:t>
      </w:r>
      <w:r>
        <w:t xml:space="preserve">) на устекинумаб е приблизително 3 седмици при пациенти с псориазис, псориатичен артрит, болест на </w:t>
      </w:r>
      <w:r>
        <w:rPr>
          <w:lang w:val="en-GB"/>
        </w:rPr>
        <w:t>Crohn</w:t>
      </w:r>
      <w:r>
        <w:t xml:space="preserve"> </w:t>
      </w:r>
      <w:r>
        <w:rPr>
          <w:bCs/>
        </w:rPr>
        <w:t>или улцерозен колит</w:t>
      </w:r>
      <w:r>
        <w:t xml:space="preserve"> и варира от 15 до 32 дни във всички проучвания на псориазис и псориатичен артрит. </w:t>
      </w:r>
      <w:r>
        <w:rPr>
          <w:iCs/>
        </w:rPr>
        <w:t xml:space="preserve">Съгласно проведен фармакокинетичен анализ на популацията привидният клирънс (CL/F) и привидният обем на разпределение (V/F) са съответно 0,465 l/d и 15,7 l при </w:t>
      </w:r>
      <w:r>
        <w:rPr>
          <w:iCs/>
        </w:rPr>
        <w:lastRenderedPageBreak/>
        <w:t>пациенти с псориазис. CL/F на устекинумаб не е зависим от пола. Резултати от популационен фармакокинетичен анализ показват, че има тенденция към по-висок клирънс на устекинумаб при пациентите, дали положителен резултат на изследването за антитела срещу устекинумаб.</w:t>
      </w:r>
    </w:p>
    <w:p w14:paraId="109AD3F9" w14:textId="77777777" w:rsidR="009B3384" w:rsidRDefault="009B3384">
      <w:pPr>
        <w:rPr>
          <w:iCs/>
        </w:rPr>
      </w:pPr>
    </w:p>
    <w:p w14:paraId="109AD3FA" w14:textId="77777777" w:rsidR="009B3384" w:rsidRDefault="00800862">
      <w:pPr>
        <w:keepNext/>
        <w:rPr>
          <w:u w:val="single"/>
        </w:rPr>
      </w:pPr>
      <w:r>
        <w:rPr>
          <w:u w:val="single"/>
        </w:rPr>
        <w:t>Линейност на дозата</w:t>
      </w:r>
    </w:p>
    <w:p w14:paraId="109AD3FB" w14:textId="77777777" w:rsidR="009B3384" w:rsidRDefault="00800862">
      <w:pPr>
        <w:rPr>
          <w:iCs/>
        </w:rPr>
      </w:pPr>
      <w:r>
        <w:rPr>
          <w:iCs/>
        </w:rPr>
        <w:t>Системната експозиция на устекинумаб (C</w:t>
      </w:r>
      <w:r>
        <w:rPr>
          <w:iCs/>
          <w:vertAlign w:val="subscript"/>
        </w:rPr>
        <w:t>max</w:t>
      </w:r>
      <w:r>
        <w:rPr>
          <w:iCs/>
        </w:rPr>
        <w:t xml:space="preserve"> и AUC) се увеличава по начин, приблизително пропорционален на дозата, след еднократно интравенозно приложение на дози в границата между 0,09 mg/kg и 4,5 mg/kg или след еднократно подкожно приложение на дози в границата между 24 mg и 240 mg при пациенти с псориазис.</w:t>
      </w:r>
    </w:p>
    <w:p w14:paraId="109AD3FC" w14:textId="77777777" w:rsidR="009B3384" w:rsidRDefault="009B3384">
      <w:pPr>
        <w:rPr>
          <w:iCs/>
        </w:rPr>
      </w:pPr>
    </w:p>
    <w:p w14:paraId="109AD3FD" w14:textId="77777777" w:rsidR="009B3384" w:rsidRDefault="00800862">
      <w:pPr>
        <w:keepNext/>
        <w:rPr>
          <w:iCs/>
          <w:u w:val="single"/>
        </w:rPr>
      </w:pPr>
      <w:r>
        <w:rPr>
          <w:iCs/>
          <w:u w:val="single"/>
        </w:rPr>
        <w:t>Единична срещу многократна доза</w:t>
      </w:r>
    </w:p>
    <w:p w14:paraId="109AD3FE" w14:textId="77777777" w:rsidR="009B3384" w:rsidRDefault="00800862">
      <w:pPr>
        <w:rPr>
          <w:iCs/>
        </w:rPr>
      </w:pPr>
      <w:r>
        <w:rPr>
          <w:iCs/>
        </w:rPr>
        <w:t>Профилите на серумна концентрация</w:t>
      </w:r>
      <w:r>
        <w:rPr>
          <w:iCs/>
        </w:rPr>
        <w:noBreakHyphen/>
        <w:t>време на устекинумаб са принципно предвидими след подкожното приложение на еднократни и многократни дози. При пациенти с псориазис стационарните серумни концентрации на устекинумаб са достигнати в седмица 28 след първоначални подкожни дози в седмици 0 и 4, последвани от дози на всеки 12 седмици. Медианата на стационарната серумна концентрация е в границите между 0,21 μg/ml и 0,26 μg/ml (45 mg) и между 0,47 μg/ml и 0,49 μg/ml (90 mg). Няма очевидно кумулиране в серумната концентрация на устекинумаб с времето, когато се прилага подкожно на всеки 12 седмици.</w:t>
      </w:r>
    </w:p>
    <w:p w14:paraId="109AD3FF" w14:textId="77777777" w:rsidR="009B3384" w:rsidRDefault="009B3384">
      <w:pPr>
        <w:rPr>
          <w:iCs/>
        </w:rPr>
      </w:pPr>
    </w:p>
    <w:p w14:paraId="109AD400" w14:textId="77777777" w:rsidR="009B3384" w:rsidRDefault="00800862">
      <w:pPr>
        <w:rPr>
          <w:iCs/>
        </w:rPr>
      </w:pPr>
      <w:r>
        <w:rPr>
          <w:iCs/>
        </w:rPr>
        <w:t xml:space="preserve">При пациенти с болест на </w:t>
      </w:r>
      <w:r>
        <w:rPr>
          <w:iCs/>
          <w:lang w:val="en-GB"/>
        </w:rPr>
        <w:t>Crohn</w:t>
      </w:r>
      <w:r>
        <w:rPr>
          <w:iCs/>
        </w:rPr>
        <w:t xml:space="preserve"> </w:t>
      </w:r>
      <w:r>
        <w:rPr>
          <w:bCs/>
        </w:rPr>
        <w:t>и улцерозен колит</w:t>
      </w:r>
      <w:r>
        <w:rPr>
          <w:iCs/>
        </w:rPr>
        <w:t xml:space="preserve"> след интравенозна доза от ~6</w:t>
      </w:r>
      <w:r>
        <w:rPr>
          <w:iCs/>
          <w:lang w:val="en-GB"/>
        </w:rPr>
        <w:t> mg</w:t>
      </w:r>
      <w:r>
        <w:rPr>
          <w:iCs/>
        </w:rPr>
        <w:t>/</w:t>
      </w:r>
      <w:r>
        <w:rPr>
          <w:iCs/>
          <w:lang w:val="en-GB"/>
        </w:rPr>
        <w:t>kg</w:t>
      </w:r>
      <w:r>
        <w:rPr>
          <w:iCs/>
        </w:rPr>
        <w:t xml:space="preserve"> се прилага подкожна поддържаща терапия от 90</w:t>
      </w:r>
      <w:r>
        <w:rPr>
          <w:iCs/>
          <w:lang w:val="en-GB"/>
        </w:rPr>
        <w:t> mg</w:t>
      </w:r>
      <w:r>
        <w:rPr>
          <w:iCs/>
        </w:rPr>
        <w:t xml:space="preserve"> устекинумаб през 8 или 12</w:t>
      </w:r>
      <w:r>
        <w:rPr>
          <w:iCs/>
          <w:lang w:val="en-GB"/>
        </w:rPr>
        <w:t> </w:t>
      </w:r>
      <w:r>
        <w:rPr>
          <w:iCs/>
        </w:rPr>
        <w:t>седмици, която започва на седмица</w:t>
      </w:r>
      <w:r>
        <w:rPr>
          <w:iCs/>
          <w:lang w:val="en-GB"/>
        </w:rPr>
        <w:t> </w:t>
      </w:r>
      <w:r>
        <w:rPr>
          <w:iCs/>
        </w:rPr>
        <w:t xml:space="preserve">8. Концентрация на устекинумаб в стационарно състояние се достига към началото на втората поддържаща доза. При пациенти с болест на </w:t>
      </w:r>
      <w:r>
        <w:rPr>
          <w:iCs/>
          <w:lang w:val="en-GB"/>
        </w:rPr>
        <w:t>Crohn</w:t>
      </w:r>
      <w:r>
        <w:rPr>
          <w:iCs/>
        </w:rPr>
        <w:t xml:space="preserve"> медианата на най-ниските концентрации в стационарно състояние варира от 1,97</w:t>
      </w:r>
      <w:r>
        <w:rPr>
          <w:iCs/>
          <w:lang w:val="en-GB"/>
        </w:rPr>
        <w:t> </w:t>
      </w:r>
      <w:proofErr w:type="spellStart"/>
      <w:r>
        <w:rPr>
          <w:iCs/>
          <w:lang w:val="en-GB"/>
        </w:rPr>
        <w:t>μg</w:t>
      </w:r>
      <w:proofErr w:type="spellEnd"/>
      <w:r>
        <w:rPr>
          <w:iCs/>
        </w:rPr>
        <w:t>/</w:t>
      </w:r>
      <w:r>
        <w:rPr>
          <w:iCs/>
          <w:lang w:val="en-GB"/>
        </w:rPr>
        <w:t>ml</w:t>
      </w:r>
      <w:r>
        <w:rPr>
          <w:iCs/>
        </w:rPr>
        <w:t xml:space="preserve"> до 2,24</w:t>
      </w:r>
      <w:r>
        <w:rPr>
          <w:iCs/>
          <w:lang w:val="en-GB"/>
        </w:rPr>
        <w:t> </w:t>
      </w:r>
      <w:proofErr w:type="spellStart"/>
      <w:r>
        <w:rPr>
          <w:iCs/>
          <w:lang w:val="en-GB"/>
        </w:rPr>
        <w:t>μg</w:t>
      </w:r>
      <w:proofErr w:type="spellEnd"/>
      <w:r>
        <w:rPr>
          <w:iCs/>
        </w:rPr>
        <w:t>/</w:t>
      </w:r>
      <w:r>
        <w:rPr>
          <w:iCs/>
          <w:lang w:val="en-GB"/>
        </w:rPr>
        <w:t>ml</w:t>
      </w:r>
      <w:r>
        <w:rPr>
          <w:iCs/>
        </w:rPr>
        <w:t xml:space="preserve"> и от 0,61</w:t>
      </w:r>
      <w:r>
        <w:rPr>
          <w:iCs/>
          <w:lang w:val="en-GB"/>
        </w:rPr>
        <w:t> </w:t>
      </w:r>
      <w:proofErr w:type="spellStart"/>
      <w:r>
        <w:rPr>
          <w:iCs/>
          <w:lang w:val="en-GB"/>
        </w:rPr>
        <w:t>μg</w:t>
      </w:r>
      <w:proofErr w:type="spellEnd"/>
      <w:r>
        <w:rPr>
          <w:iCs/>
        </w:rPr>
        <w:t>/</w:t>
      </w:r>
      <w:r>
        <w:rPr>
          <w:iCs/>
          <w:lang w:val="en-GB"/>
        </w:rPr>
        <w:t>ml</w:t>
      </w:r>
      <w:r>
        <w:rPr>
          <w:iCs/>
        </w:rPr>
        <w:t xml:space="preserve"> до 0,76</w:t>
      </w:r>
      <w:r>
        <w:rPr>
          <w:iCs/>
          <w:lang w:val="en-GB"/>
        </w:rPr>
        <w:t> </w:t>
      </w:r>
      <w:proofErr w:type="spellStart"/>
      <w:r>
        <w:rPr>
          <w:iCs/>
          <w:lang w:val="en-GB"/>
        </w:rPr>
        <w:t>μg</w:t>
      </w:r>
      <w:proofErr w:type="spellEnd"/>
      <w:r>
        <w:rPr>
          <w:iCs/>
        </w:rPr>
        <w:t>/</w:t>
      </w:r>
      <w:r>
        <w:rPr>
          <w:iCs/>
          <w:lang w:val="en-GB"/>
        </w:rPr>
        <w:t>ml</w:t>
      </w:r>
      <w:r>
        <w:rPr>
          <w:iCs/>
        </w:rPr>
        <w:t xml:space="preserve"> за устекинумаб 90</w:t>
      </w:r>
      <w:r>
        <w:rPr>
          <w:iCs/>
          <w:lang w:val="en-GB"/>
        </w:rPr>
        <w:t> mg</w:t>
      </w:r>
      <w:r>
        <w:rPr>
          <w:iCs/>
        </w:rPr>
        <w:t xml:space="preserve"> съответно през 8 седмици или през 12 седмици. При пациенти с </w:t>
      </w:r>
      <w:r>
        <w:rPr>
          <w:bCs/>
        </w:rPr>
        <w:t>улцерозен колит</w:t>
      </w:r>
      <w:r>
        <w:rPr>
          <w:iCs/>
        </w:rPr>
        <w:t xml:space="preserve"> медианата на най-ниските концентрации в стационарно състояние варира от </w:t>
      </w:r>
      <w:r>
        <w:t>2,69 μg/m</w:t>
      </w:r>
      <w:r>
        <w:rPr>
          <w:lang w:val="en-US"/>
        </w:rPr>
        <w:t>l</w:t>
      </w:r>
      <w:r>
        <w:t xml:space="preserve"> до 3,09 μg/m</w:t>
      </w:r>
      <w:r>
        <w:rPr>
          <w:lang w:val="en-US"/>
        </w:rPr>
        <w:t>l</w:t>
      </w:r>
      <w:r>
        <w:t xml:space="preserve"> и от 0,92 μg/m</w:t>
      </w:r>
      <w:r>
        <w:rPr>
          <w:lang w:val="en-US"/>
        </w:rPr>
        <w:t>l</w:t>
      </w:r>
      <w:r>
        <w:t xml:space="preserve"> до 1,19 μg/m</w:t>
      </w:r>
      <w:r>
        <w:rPr>
          <w:lang w:val="en-US"/>
        </w:rPr>
        <w:t>l</w:t>
      </w:r>
      <w:r>
        <w:t xml:space="preserve"> за 90 mg </w:t>
      </w:r>
      <w:r>
        <w:rPr>
          <w:iCs/>
        </w:rPr>
        <w:t xml:space="preserve">устекинумаб </w:t>
      </w:r>
      <w:r>
        <w:t xml:space="preserve">на всеки 8 седмици или на всеки 12 седмици. </w:t>
      </w:r>
      <w:r>
        <w:rPr>
          <w:iCs/>
        </w:rPr>
        <w:t>Най-ниските нива на устекинумаб в стационарно състояние, получени при 90</w:t>
      </w:r>
      <w:r>
        <w:rPr>
          <w:iCs/>
          <w:lang w:val="en-GB"/>
        </w:rPr>
        <w:t> mg</w:t>
      </w:r>
      <w:r>
        <w:rPr>
          <w:iCs/>
        </w:rPr>
        <w:t xml:space="preserve"> устекинумаб през 8 седмици, са свързани с по-висока честота на клинична ремисия в сравнение с най-ниските нива в стационарно състояние след 90</w:t>
      </w:r>
      <w:r>
        <w:rPr>
          <w:iCs/>
          <w:lang w:val="en-GB"/>
        </w:rPr>
        <w:t> mg</w:t>
      </w:r>
      <w:r>
        <w:rPr>
          <w:iCs/>
        </w:rPr>
        <w:t xml:space="preserve"> през 12 седмици.</w:t>
      </w:r>
    </w:p>
    <w:p w14:paraId="109AD401" w14:textId="77777777" w:rsidR="009B3384" w:rsidRDefault="009B3384"/>
    <w:p w14:paraId="109AD402" w14:textId="77777777" w:rsidR="009B3384" w:rsidRDefault="00800862">
      <w:pPr>
        <w:keepNext/>
        <w:rPr>
          <w:iCs/>
          <w:u w:val="single"/>
        </w:rPr>
      </w:pPr>
      <w:r>
        <w:rPr>
          <w:iCs/>
          <w:u w:val="single"/>
        </w:rPr>
        <w:t>Влияние на теглото върху фармакокинетиката</w:t>
      </w:r>
    </w:p>
    <w:p w14:paraId="109AD403" w14:textId="77777777" w:rsidR="009B3384" w:rsidRDefault="00800862">
      <w:pPr>
        <w:rPr>
          <w:iCs/>
        </w:rPr>
      </w:pPr>
      <w:r>
        <w:rPr>
          <w:iCs/>
        </w:rPr>
        <w:t>В проведен популационен фармакокинетичен анализ, където са използвани данни от пациенти с псориазис е констатирано, че телесното тегло е най-значимата ковариата, влияеща върху клирънса на устекинумаб. Медианата на CL/F при пациенти с тегло &gt; 100 kg е приблизително с 55% по-висок в сравнение с пациенти с тегло ≤ 100 kg. Медианата на V/F при пациенти с тегло &gt; 100 kg е приблизително с 37% по-висок в сравнение с пациенти с тегло ≤ 100 kg. Медианата на минимални серумни концентрации на устекинумаб при пациенти с по-голямо тегло (&gt; 100 kg) в групата с доза 90 mg са подобни на тези при пациентите с по-малко тегло (≤ 100 kg) в групата с доза 45 mg. Подобни резултати са получени от потвърдителен фармакокинетичен популационен анализ, където са използвани данни от пациенти с псориатичен артрит.</w:t>
      </w:r>
    </w:p>
    <w:p w14:paraId="109AD404" w14:textId="77777777" w:rsidR="009B3384" w:rsidRDefault="009B3384">
      <w:pPr>
        <w:rPr>
          <w:iCs/>
        </w:rPr>
      </w:pPr>
    </w:p>
    <w:p w14:paraId="109AD405" w14:textId="77777777" w:rsidR="009B3384" w:rsidRDefault="00800862">
      <w:pPr>
        <w:keepNext/>
        <w:rPr>
          <w:u w:val="single"/>
        </w:rPr>
      </w:pPr>
      <w:r>
        <w:rPr>
          <w:u w:val="single"/>
        </w:rPr>
        <w:t>Коригиране на честотата на приложение</w:t>
      </w:r>
    </w:p>
    <w:p w14:paraId="109AD406" w14:textId="77777777" w:rsidR="009B3384" w:rsidRDefault="00800862">
      <w:r>
        <w:rPr>
          <w:iCs/>
        </w:rPr>
        <w:t xml:space="preserve">Въз основа на наблюдаваните данни и популационните ФК анализи при пациенти с болест на </w:t>
      </w:r>
      <w:r>
        <w:rPr>
          <w:iCs/>
          <w:lang w:val="en-GB"/>
        </w:rPr>
        <w:t>Crohn</w:t>
      </w:r>
      <w:r>
        <w:t xml:space="preserve"> и с </w:t>
      </w:r>
      <w:r>
        <w:rPr>
          <w:bCs/>
        </w:rPr>
        <w:t>улцерозен колит</w:t>
      </w:r>
      <w:r>
        <w:t xml:space="preserve"> рандомизираните участници, които престанат да се повлияват от лечението, имат по-ниски серумни концентрации на </w:t>
      </w:r>
      <w:r>
        <w:rPr>
          <w:iCs/>
        </w:rPr>
        <w:t>устекинумаб във времето в сравнение с участниците, които не са загубили отговор</w:t>
      </w:r>
      <w:r>
        <w:t xml:space="preserve">. При </w:t>
      </w:r>
      <w:r>
        <w:rPr>
          <w:iCs/>
        </w:rPr>
        <w:t xml:space="preserve">болестта на </w:t>
      </w:r>
      <w:r>
        <w:rPr>
          <w:iCs/>
          <w:lang w:val="en-GB"/>
        </w:rPr>
        <w:t>Crohn</w:t>
      </w:r>
      <w:r>
        <w:t xml:space="preserve"> коригирането на дозата от 90 mg на всеки 12 седмици на 90 mg на всеки 8 седмици е свързано с повишаване на </w:t>
      </w:r>
      <w:r>
        <w:rPr>
          <w:iCs/>
        </w:rPr>
        <w:t xml:space="preserve">най-ниските концентрации </w:t>
      </w:r>
      <w:r>
        <w:t xml:space="preserve">на </w:t>
      </w:r>
      <w:r>
        <w:rPr>
          <w:iCs/>
        </w:rPr>
        <w:t>устекинумаб, като това се съпътства с повишаване на ефикасността</w:t>
      </w:r>
      <w:r>
        <w:t xml:space="preserve">. При </w:t>
      </w:r>
      <w:r>
        <w:rPr>
          <w:bCs/>
        </w:rPr>
        <w:t>улцерозен колит</w:t>
      </w:r>
      <w:r>
        <w:t xml:space="preserve"> популационен ФК модел показва, че коригирането на дозата от 90 mg на всеки 12 седмици на 8 седмици може да се очаква да доведе до 3-кратно увеличение на </w:t>
      </w:r>
      <w:r>
        <w:rPr>
          <w:iCs/>
        </w:rPr>
        <w:t xml:space="preserve">най-ниските концентрации </w:t>
      </w:r>
      <w:r>
        <w:t xml:space="preserve">на </w:t>
      </w:r>
      <w:r>
        <w:rPr>
          <w:iCs/>
        </w:rPr>
        <w:t>устекинумаб в стационарно състояние</w:t>
      </w:r>
      <w:r>
        <w:t xml:space="preserve">. </w:t>
      </w:r>
      <w:r>
        <w:rPr>
          <w:szCs w:val="22"/>
        </w:rPr>
        <w:t xml:space="preserve">Освен това, въз основа на данни от клиничните изпитвания, при пациенти с </w:t>
      </w:r>
      <w:r>
        <w:rPr>
          <w:bCs/>
        </w:rPr>
        <w:t>улцерозен колит</w:t>
      </w:r>
      <w:r>
        <w:t xml:space="preserve"> е установена положителна връзка експозиция-отговор между </w:t>
      </w:r>
      <w:r>
        <w:rPr>
          <w:iCs/>
        </w:rPr>
        <w:t xml:space="preserve">най-ниските концентрации </w:t>
      </w:r>
      <w:r>
        <w:t>и клиничната ремисия и лигавичното оздравяване.</w:t>
      </w:r>
    </w:p>
    <w:p w14:paraId="109AD407" w14:textId="77777777" w:rsidR="009B3384" w:rsidRDefault="009B3384">
      <w:pPr>
        <w:rPr>
          <w:iCs/>
        </w:rPr>
      </w:pPr>
    </w:p>
    <w:p w14:paraId="109AD408" w14:textId="77777777" w:rsidR="009B3384" w:rsidRDefault="00800862">
      <w:pPr>
        <w:keepNext/>
        <w:rPr>
          <w:iCs/>
          <w:u w:val="single"/>
        </w:rPr>
      </w:pPr>
      <w:r>
        <w:rPr>
          <w:iCs/>
          <w:u w:val="single"/>
        </w:rPr>
        <w:t>Специални популации</w:t>
      </w:r>
    </w:p>
    <w:p w14:paraId="109AD409" w14:textId="77777777" w:rsidR="009B3384" w:rsidRDefault="00800862">
      <w:pPr>
        <w:rPr>
          <w:iCs/>
        </w:rPr>
      </w:pPr>
      <w:r>
        <w:rPr>
          <w:iCs/>
        </w:rPr>
        <w:t>Няма налични фармакокинетични данни при пациенти с увредена бъбречна или чернодробна функция. Не са проведени конкретни проучвания при пациенти в старческа възраст.</w:t>
      </w:r>
    </w:p>
    <w:p w14:paraId="109AD40A" w14:textId="77777777" w:rsidR="009B3384" w:rsidRDefault="009B3384">
      <w:pPr>
        <w:rPr>
          <w:iCs/>
        </w:rPr>
      </w:pPr>
    </w:p>
    <w:p w14:paraId="109AD40B" w14:textId="77777777" w:rsidR="009B3384" w:rsidRDefault="00800862">
      <w:pPr>
        <w:rPr>
          <w:iCs/>
        </w:rPr>
      </w:pPr>
      <w:r>
        <w:rPr>
          <w:iCs/>
        </w:rPr>
        <w:t xml:space="preserve">Фармакокинетиката на устекинумаб като цяло е сравнима между пациенти с псориазис </w:t>
      </w:r>
      <w:r>
        <w:rPr>
          <w:bCs/>
        </w:rPr>
        <w:t>и улцерозен колит</w:t>
      </w:r>
      <w:r>
        <w:rPr>
          <w:iCs/>
        </w:rPr>
        <w:t xml:space="preserve"> от азиатски и неазиатски произход.</w:t>
      </w:r>
    </w:p>
    <w:p w14:paraId="109AD40C" w14:textId="77777777" w:rsidR="009B3384" w:rsidRDefault="009B3384">
      <w:pPr>
        <w:rPr>
          <w:iCs/>
        </w:rPr>
      </w:pPr>
    </w:p>
    <w:p w14:paraId="109AD40D" w14:textId="77777777" w:rsidR="009B3384" w:rsidRDefault="00800862">
      <w:pPr>
        <w:rPr>
          <w:szCs w:val="22"/>
        </w:rPr>
      </w:pPr>
      <w:r>
        <w:rPr>
          <w:szCs w:val="22"/>
        </w:rPr>
        <w:t xml:space="preserve">При пациенти с болест на Crohn </w:t>
      </w:r>
      <w:r>
        <w:rPr>
          <w:bCs/>
        </w:rPr>
        <w:t>и улцерозен колит</w:t>
      </w:r>
      <w:r>
        <w:rPr>
          <w:szCs w:val="22"/>
        </w:rPr>
        <w:t xml:space="preserve"> вариабилността на клирънса на </w:t>
      </w:r>
      <w:r>
        <w:rPr>
          <w:iCs/>
        </w:rPr>
        <w:t>устекинумаб</w:t>
      </w:r>
      <w:r>
        <w:rPr>
          <w:szCs w:val="22"/>
        </w:rPr>
        <w:t xml:space="preserve"> се повлиява от телесното тегло, нивото на серумния албумин, пола и статуса по отношение на антителата срещу </w:t>
      </w:r>
      <w:r>
        <w:rPr>
          <w:iCs/>
        </w:rPr>
        <w:t>устекинумаб, докато телесното тегло е най-значимата ковариата, влияеща върху обема на разпределение</w:t>
      </w:r>
      <w:r>
        <w:rPr>
          <w:szCs w:val="22"/>
        </w:rPr>
        <w:t>. Освен това при болестта на Crohn клирънсът се повлиява от С-реактивния протеин, статуса по отношение на неуспех на лечението с TNF-антагонисти и расата (</w:t>
      </w:r>
      <w:r>
        <w:rPr>
          <w:iCs/>
        </w:rPr>
        <w:t>азиатски спрямо неазиатски произход</w:t>
      </w:r>
      <w:r>
        <w:rPr>
          <w:szCs w:val="22"/>
        </w:rPr>
        <w:t>). Въздействието на тези ковариати е в рамките на ±20% от типичната или референтната стойност на съответния ФK параметър, поради това не е необходима корекция на дозата за тези ковариати.</w:t>
      </w:r>
      <w:r>
        <w:t xml:space="preserve"> </w:t>
      </w:r>
      <w:r>
        <w:rPr>
          <w:szCs w:val="22"/>
        </w:rPr>
        <w:t>Едновременната употреба на имуномодулатори няма значително влияние върху разпределението на устекинумаб.</w:t>
      </w:r>
    </w:p>
    <w:p w14:paraId="109AD40E" w14:textId="77777777" w:rsidR="009B3384" w:rsidRDefault="009B3384">
      <w:pPr>
        <w:rPr>
          <w:iCs/>
        </w:rPr>
      </w:pPr>
    </w:p>
    <w:p w14:paraId="109AD40F" w14:textId="77777777" w:rsidR="009B3384" w:rsidRDefault="00800862">
      <w:pPr>
        <w:rPr>
          <w:iCs/>
        </w:rPr>
      </w:pPr>
      <w:r>
        <w:rPr>
          <w:iCs/>
        </w:rPr>
        <w:t>Резултати от фармакокинетичен анализ на популацията не показват влияние на тютюн или алкохол върху фармакокинетиката на устекинумаб.</w:t>
      </w:r>
    </w:p>
    <w:p w14:paraId="109AD410" w14:textId="77777777" w:rsidR="009B3384" w:rsidRDefault="009B3384"/>
    <w:p w14:paraId="109AD411" w14:textId="77777777" w:rsidR="009B3384" w:rsidRDefault="00800862">
      <w:r>
        <w:t>Бионаличността на устекинумаб след приложение със спринцовка или предварително напълнена писалка е сравнима.</w:t>
      </w:r>
    </w:p>
    <w:p w14:paraId="109AD412" w14:textId="77777777" w:rsidR="009B3384" w:rsidRPr="00BC6A43" w:rsidRDefault="009B3384"/>
    <w:p w14:paraId="109AD413" w14:textId="77777777" w:rsidR="009B3384" w:rsidRPr="00BC6A43" w:rsidRDefault="00800862">
      <w:pPr>
        <w:keepNext/>
        <w:keepLines/>
        <w:rPr>
          <w:u w:val="single"/>
        </w:rPr>
      </w:pPr>
      <w:r>
        <w:rPr>
          <w:u w:val="single"/>
        </w:rPr>
        <w:t xml:space="preserve">Регулиране на </w:t>
      </w:r>
      <w:r>
        <w:rPr>
          <w:u w:val="single"/>
          <w:lang w:val="en-GB"/>
        </w:rPr>
        <w:t>CYP</w:t>
      </w:r>
      <w:r w:rsidRPr="00BC6A43">
        <w:rPr>
          <w:u w:val="single"/>
        </w:rPr>
        <w:t>450</w:t>
      </w:r>
      <w:r>
        <w:rPr>
          <w:u w:val="single"/>
        </w:rPr>
        <w:t xml:space="preserve"> ензими</w:t>
      </w:r>
    </w:p>
    <w:p w14:paraId="109AD414" w14:textId="6BEC9A42" w:rsidR="009B3384" w:rsidRPr="00BC6A43" w:rsidRDefault="00800862">
      <w:r w:rsidRPr="00BC6A43">
        <w:t xml:space="preserve">Ефектите на </w:t>
      </w:r>
      <w:r>
        <w:rPr>
          <w:lang w:val="en-GB"/>
        </w:rPr>
        <w:t>IL</w:t>
      </w:r>
      <w:r w:rsidRPr="00BC6A43">
        <w:t xml:space="preserve">-12 или </w:t>
      </w:r>
      <w:r>
        <w:rPr>
          <w:lang w:val="en-GB"/>
        </w:rPr>
        <w:t>IL</w:t>
      </w:r>
      <w:r w:rsidRPr="00BC6A43">
        <w:t xml:space="preserve">-23 върху </w:t>
      </w:r>
      <w:r>
        <w:rPr>
          <w:bCs/>
          <w:iCs/>
        </w:rPr>
        <w:t xml:space="preserve">регулирането на CYP450 ензимите </w:t>
      </w:r>
      <w:r w:rsidRPr="00BC6A43">
        <w:t xml:space="preserve">са оценени в </w:t>
      </w:r>
      <w:r w:rsidRPr="00BC6A43">
        <w:rPr>
          <w:i/>
          <w:iCs/>
          <w:lang w:val="en-GB"/>
        </w:rPr>
        <w:t>in</w:t>
      </w:r>
      <w:r w:rsidRPr="00BC6A43">
        <w:rPr>
          <w:i/>
          <w:iCs/>
        </w:rPr>
        <w:t xml:space="preserve"> </w:t>
      </w:r>
      <w:r w:rsidRPr="00BC6A43">
        <w:rPr>
          <w:i/>
          <w:iCs/>
          <w:lang w:val="en-GB"/>
        </w:rPr>
        <w:t>vitro</w:t>
      </w:r>
      <w:r w:rsidRPr="00BC6A43">
        <w:t xml:space="preserve"> проучване с използване на човешки хепатоцити, което показва, че </w:t>
      </w:r>
      <w:r>
        <w:rPr>
          <w:lang w:val="en-GB"/>
        </w:rPr>
        <w:t>IL</w:t>
      </w:r>
      <w:r w:rsidRPr="00BC6A43">
        <w:t xml:space="preserve">-12 и/или </w:t>
      </w:r>
      <w:r>
        <w:rPr>
          <w:lang w:val="en-GB"/>
        </w:rPr>
        <w:t>IL</w:t>
      </w:r>
      <w:r w:rsidRPr="00BC6A43">
        <w:t xml:space="preserve">-23 </w:t>
      </w:r>
      <w:r>
        <w:t>с</w:t>
      </w:r>
      <w:r w:rsidRPr="00BC6A43">
        <w:t xml:space="preserve"> нива от 10</w:t>
      </w:r>
      <w:r>
        <w:rPr>
          <w:lang w:val="en-US"/>
        </w:rPr>
        <w:t> </w:t>
      </w:r>
      <w:r>
        <w:rPr>
          <w:lang w:val="en-GB"/>
        </w:rPr>
        <w:t>ng</w:t>
      </w:r>
      <w:r w:rsidRPr="00BC6A43">
        <w:t>/</w:t>
      </w:r>
      <w:r>
        <w:rPr>
          <w:lang w:val="en-GB"/>
        </w:rPr>
        <w:t>ml</w:t>
      </w:r>
      <w:r w:rsidRPr="00BC6A43">
        <w:t xml:space="preserve"> не променят активността на човешките </w:t>
      </w:r>
      <w:r>
        <w:rPr>
          <w:lang w:val="en-GB"/>
        </w:rPr>
        <w:t>CYP</w:t>
      </w:r>
      <w:r w:rsidRPr="00BC6A43">
        <w:t>450 ензими (</w:t>
      </w:r>
      <w:r>
        <w:rPr>
          <w:lang w:val="en-GB"/>
        </w:rPr>
        <w:t>CYP</w:t>
      </w:r>
      <w:r w:rsidRPr="00BC6A43">
        <w:t>1</w:t>
      </w:r>
      <w:r>
        <w:rPr>
          <w:lang w:val="en-GB"/>
        </w:rPr>
        <w:t>A</w:t>
      </w:r>
      <w:r w:rsidRPr="00BC6A43">
        <w:t>2, 2</w:t>
      </w:r>
      <w:r>
        <w:rPr>
          <w:lang w:val="en-GB"/>
        </w:rPr>
        <w:t>B</w:t>
      </w:r>
      <w:r w:rsidRPr="00BC6A43">
        <w:t>6, 2</w:t>
      </w:r>
      <w:r>
        <w:rPr>
          <w:lang w:val="en-GB"/>
        </w:rPr>
        <w:t>C</w:t>
      </w:r>
      <w:r w:rsidRPr="00BC6A43">
        <w:t>9, 2</w:t>
      </w:r>
      <w:r>
        <w:rPr>
          <w:lang w:val="en-GB"/>
        </w:rPr>
        <w:t>C</w:t>
      </w:r>
      <w:r w:rsidRPr="00BC6A43">
        <w:t>19, 2</w:t>
      </w:r>
      <w:r>
        <w:rPr>
          <w:lang w:val="en-GB"/>
        </w:rPr>
        <w:t>D</w:t>
      </w:r>
      <w:r w:rsidRPr="00BC6A43">
        <w:t>6 или 3</w:t>
      </w:r>
      <w:r>
        <w:rPr>
          <w:lang w:val="en-GB"/>
        </w:rPr>
        <w:t>A</w:t>
      </w:r>
      <w:r w:rsidRPr="00BC6A43">
        <w:t>4; вж. точка</w:t>
      </w:r>
      <w:r>
        <w:rPr>
          <w:lang w:val="en-US"/>
        </w:rPr>
        <w:t> </w:t>
      </w:r>
      <w:r w:rsidRPr="00BC6A43">
        <w:t>4.5).</w:t>
      </w:r>
    </w:p>
    <w:p w14:paraId="109AD415" w14:textId="77777777" w:rsidR="009B3384" w:rsidRPr="00BC6A43" w:rsidRDefault="009B3384"/>
    <w:p w14:paraId="109AD416" w14:textId="2612D2B9" w:rsidR="009B3384" w:rsidRPr="00BC6A43" w:rsidRDefault="00800862">
      <w:r w:rsidRPr="00BC6A43">
        <w:t xml:space="preserve">Проведено е открито проучване фаза 1 за взаимодействия </w:t>
      </w:r>
      <w:r>
        <w:t xml:space="preserve">от типа „лекарство-лекарство“ </w:t>
      </w:r>
      <w:r>
        <w:rPr>
          <w:lang w:val="en-GB"/>
        </w:rPr>
        <w:t>CNTO</w:t>
      </w:r>
      <w:r w:rsidRPr="00BC6A43">
        <w:t>1275</w:t>
      </w:r>
      <w:r>
        <w:rPr>
          <w:lang w:val="en-GB"/>
        </w:rPr>
        <w:t>CRD</w:t>
      </w:r>
      <w:r w:rsidRPr="00BC6A43">
        <w:t xml:space="preserve">1003 за оценка на ефекта на устекинумаб върху </w:t>
      </w:r>
      <w:r>
        <w:t xml:space="preserve">ензимната активност на цитохром Р450 </w:t>
      </w:r>
      <w:r w:rsidRPr="00BC6A43">
        <w:t>след индукци</w:t>
      </w:r>
      <w:r>
        <w:t>я</w:t>
      </w:r>
      <w:r w:rsidRPr="00BC6A43">
        <w:t xml:space="preserve"> и поддържащо приложение при пациенти с активна болест на </w:t>
      </w:r>
      <w:r>
        <w:rPr>
          <w:lang w:val="en-GB"/>
        </w:rPr>
        <w:t>Crohn</w:t>
      </w:r>
      <w:r w:rsidRPr="00BC6A43">
        <w:t xml:space="preserve"> (</w:t>
      </w:r>
      <w:r>
        <w:rPr>
          <w:lang w:val="en-GB"/>
        </w:rPr>
        <w:t>n</w:t>
      </w:r>
      <w:r w:rsidRPr="00BC6A43">
        <w:t xml:space="preserve">=18). Не са наблюдавани клинично значими промени в експозицията на кофеин (субстрат на </w:t>
      </w:r>
      <w:r>
        <w:rPr>
          <w:lang w:val="en-GB"/>
        </w:rPr>
        <w:t>CYP</w:t>
      </w:r>
      <w:r w:rsidRPr="00BC6A43">
        <w:t>1</w:t>
      </w:r>
      <w:r>
        <w:rPr>
          <w:lang w:val="en-GB"/>
        </w:rPr>
        <w:t>A</w:t>
      </w:r>
      <w:r w:rsidRPr="00BC6A43">
        <w:t xml:space="preserve">2), варфарин (субстрат на </w:t>
      </w:r>
      <w:r>
        <w:rPr>
          <w:lang w:val="en-GB"/>
        </w:rPr>
        <w:t>CYP</w:t>
      </w:r>
      <w:r w:rsidRPr="00BC6A43">
        <w:t>2</w:t>
      </w:r>
      <w:r>
        <w:rPr>
          <w:lang w:val="en-GB"/>
        </w:rPr>
        <w:t>C</w:t>
      </w:r>
      <w:r w:rsidRPr="00BC6A43">
        <w:t xml:space="preserve">9), омепразол (субстрат на </w:t>
      </w:r>
      <w:r>
        <w:rPr>
          <w:lang w:val="en-GB"/>
        </w:rPr>
        <w:t>CYP</w:t>
      </w:r>
      <w:r w:rsidRPr="00BC6A43">
        <w:t>2</w:t>
      </w:r>
      <w:r>
        <w:rPr>
          <w:lang w:val="en-GB"/>
        </w:rPr>
        <w:t>C</w:t>
      </w:r>
      <w:r w:rsidRPr="00BC6A43">
        <w:t xml:space="preserve">19), декстрометорфан (субстрат на </w:t>
      </w:r>
      <w:r>
        <w:rPr>
          <w:lang w:val="en-GB"/>
        </w:rPr>
        <w:t>CYP</w:t>
      </w:r>
      <w:r w:rsidRPr="00BC6A43">
        <w:t>2</w:t>
      </w:r>
      <w:r>
        <w:rPr>
          <w:lang w:val="en-GB"/>
        </w:rPr>
        <w:t>D</w:t>
      </w:r>
      <w:r w:rsidRPr="00BC6A43">
        <w:t xml:space="preserve">6) или мидазолам (субстрат на </w:t>
      </w:r>
      <w:r>
        <w:rPr>
          <w:lang w:val="en-GB"/>
        </w:rPr>
        <w:t>CYP</w:t>
      </w:r>
      <w:r w:rsidRPr="00BC6A43">
        <w:t>3</w:t>
      </w:r>
      <w:r>
        <w:rPr>
          <w:lang w:val="en-GB"/>
        </w:rPr>
        <w:t>A</w:t>
      </w:r>
      <w:r w:rsidRPr="00BC6A43">
        <w:t xml:space="preserve">) при съпътстваща употреба с устекинумаб в одобрената препоръчителна доза при пациенти с болестта на </w:t>
      </w:r>
      <w:r>
        <w:rPr>
          <w:lang w:val="en-GB"/>
        </w:rPr>
        <w:t>Crohn</w:t>
      </w:r>
      <w:r w:rsidRPr="00BC6A43">
        <w:t xml:space="preserve"> (вж. точка</w:t>
      </w:r>
      <w:r>
        <w:rPr>
          <w:lang w:val="en-GB"/>
        </w:rPr>
        <w:t> </w:t>
      </w:r>
      <w:r w:rsidRPr="00BC6A43">
        <w:t>4.5).</w:t>
      </w:r>
    </w:p>
    <w:p w14:paraId="109AD417" w14:textId="77777777" w:rsidR="009B3384" w:rsidRPr="00BC6A43" w:rsidRDefault="009B3384">
      <w:pPr>
        <w:widowControl w:val="0"/>
      </w:pPr>
    </w:p>
    <w:p w14:paraId="109AD418" w14:textId="77777777" w:rsidR="009B3384" w:rsidRPr="00BC6A43" w:rsidRDefault="00800862" w:rsidP="00BC6A43">
      <w:pPr>
        <w:keepNext/>
        <w:widowControl w:val="0"/>
        <w:rPr>
          <w:u w:val="single"/>
        </w:rPr>
      </w:pPr>
      <w:r>
        <w:t>Педиатрична популация</w:t>
      </w:r>
    </w:p>
    <w:p w14:paraId="109AD419" w14:textId="77777777" w:rsidR="009B3384" w:rsidRDefault="009B3384" w:rsidP="00BC6A43">
      <w:pPr>
        <w:keepNext/>
      </w:pPr>
    </w:p>
    <w:p w14:paraId="109AD41A" w14:textId="77777777" w:rsidR="009B3384" w:rsidRDefault="00800862">
      <w:r>
        <w:t>Серумните концентрации на устекинумаб при педиатрични пациенти с псориазис, на възраст от 6 до 17 години, лекувани с препоръчителната доза според телесното тегло, са сравними с тези при възрастната популация с псориазис, лекувана с доза за възрастни. Серумните концентрации на устекинумаб при педиатрични пациенти на възраст 12-17</w:t>
      </w:r>
      <w:r>
        <w:rPr>
          <w:lang w:val="en-US"/>
        </w:rPr>
        <w:t> </w:t>
      </w:r>
      <w:r>
        <w:t xml:space="preserve">години с псориазис </w:t>
      </w:r>
      <w:r>
        <w:rPr>
          <w:iCs/>
        </w:rPr>
        <w:t>(CADMUS)</w:t>
      </w:r>
      <w:r>
        <w:t>, лекувани с половината от препоръчителната доза според телесното тегло, са значително по-ниски от тези при възрастни пациенти.</w:t>
      </w:r>
    </w:p>
    <w:p w14:paraId="109AD41B" w14:textId="77777777" w:rsidR="009B3384" w:rsidRDefault="009B3384">
      <w:pPr>
        <w:rPr>
          <w:iCs/>
        </w:rPr>
      </w:pPr>
    </w:p>
    <w:p w14:paraId="109AD41C" w14:textId="76AD3C9C" w:rsidR="009B3384" w:rsidDel="007E5768" w:rsidRDefault="00800862">
      <w:pPr>
        <w:rPr>
          <w:del w:id="1251" w:author="RABG09" w:date="2026-06-24T16:41:00Z"/>
          <w:bCs/>
          <w:iCs/>
        </w:rPr>
      </w:pPr>
      <w:bookmarkStart w:id="1252" w:name="_Hlk188379041"/>
      <w:del w:id="1253" w:author="RABG09" w:date="2026-06-24T16:41:00Z">
        <w:r w:rsidDel="007E5768">
          <w:rPr>
            <w:iCs/>
          </w:rPr>
          <w:delText>Серумните концентрации в стационарно състояние при педиатрични пациенти с болест на Crohn на 2 и повече години и с тегло най-малко 10 kg са сравними с тези при възрастната популация</w:delText>
        </w:r>
      </w:del>
      <w:del w:id="1254" w:author="RABG09" w:date="2026-05-14T12:47:00Z">
        <w:r w:rsidDel="00382084">
          <w:rPr>
            <w:iCs/>
          </w:rPr>
          <w:delText xml:space="preserve"> с болест на Crohn</w:delText>
        </w:r>
      </w:del>
      <w:del w:id="1255" w:author="RABG09" w:date="2026-06-24T16:41:00Z">
        <w:r w:rsidDel="007E5768">
          <w:rPr>
            <w:iCs/>
          </w:rPr>
          <w:delText>.</w:delText>
        </w:r>
      </w:del>
    </w:p>
    <w:bookmarkEnd w:id="1252"/>
    <w:p w14:paraId="109AD41D" w14:textId="6EFB211C" w:rsidR="009B3384" w:rsidDel="007E5768" w:rsidRDefault="009B3384">
      <w:pPr>
        <w:rPr>
          <w:ins w:id="1256" w:author="Reviser" w:date="2026-04-29T20:54:00Z"/>
          <w:del w:id="1257" w:author="RABG09" w:date="2026-06-24T16:41:00Z"/>
          <w:iCs/>
        </w:rPr>
      </w:pPr>
    </w:p>
    <w:p w14:paraId="14382AF1" w14:textId="09E6CF95" w:rsidR="006A2177" w:rsidRDefault="006A2177" w:rsidP="006A2177">
      <w:pPr>
        <w:rPr>
          <w:ins w:id="1258" w:author="Reviser" w:date="2026-04-29T20:54:00Z"/>
          <w:iCs/>
        </w:rPr>
      </w:pPr>
      <w:ins w:id="1259" w:author="Reviser" w:date="2026-04-29T20:54:00Z">
        <w:r>
          <w:rPr>
            <w:iCs/>
          </w:rPr>
          <w:t xml:space="preserve">Серумните концентрации на устекинумаб при педиатрични пациенти с болест на Crohn или улцерозен колит </w:t>
        </w:r>
        <w:r>
          <w:t xml:space="preserve">на </w:t>
        </w:r>
      </w:ins>
      <w:ins w:id="1260" w:author="RABG09" w:date="2026-05-14T12:47:00Z">
        <w:r w:rsidR="00FF373F">
          <w:t xml:space="preserve">възраст </w:t>
        </w:r>
      </w:ins>
      <w:ins w:id="1261" w:author="Reviser" w:date="2026-04-29T20:54:00Z">
        <w:r>
          <w:t>2 и повече години</w:t>
        </w:r>
        <w:r>
          <w:rPr>
            <w:iCs/>
          </w:rPr>
          <w:t xml:space="preserve"> с тегло най-малко 10</w:t>
        </w:r>
        <w:r>
          <w:rPr>
            <w:iCs/>
            <w:lang w:val="en-US"/>
          </w:rPr>
          <w:t> </w:t>
        </w:r>
        <w:r>
          <w:rPr>
            <w:iCs/>
          </w:rPr>
          <w:t>kg като цяло са сравними с тези при възрастните пациенти.</w:t>
        </w:r>
      </w:ins>
    </w:p>
    <w:p w14:paraId="3168FD6B" w14:textId="77777777" w:rsidR="006A2177" w:rsidRDefault="006A2177">
      <w:pPr>
        <w:rPr>
          <w:iCs/>
        </w:rPr>
      </w:pPr>
    </w:p>
    <w:p w14:paraId="109AD41E" w14:textId="77777777" w:rsidR="009B3384" w:rsidRDefault="00800862">
      <w:pPr>
        <w:rPr>
          <w:iCs/>
        </w:rPr>
      </w:pPr>
      <w:r>
        <w:rPr>
          <w:iCs/>
        </w:rPr>
        <w:lastRenderedPageBreak/>
        <w:t>При пациенти със загуба на отговор и ниски нива на устекинумаб дозата е коригирана до поддържащо лечение на всеки 4 седмици. Серумните концентрации на устекинумаб се повишават след увеличаване на дозата и са в рамките на концентрациите при одобрената препоръчителна доза при възрастни, лекувани на всеки 8 седмици.</w:t>
      </w:r>
    </w:p>
    <w:p w14:paraId="109AD41F" w14:textId="77777777" w:rsidR="009B3384" w:rsidRDefault="009B3384">
      <w:pPr>
        <w:rPr>
          <w:iCs/>
        </w:rPr>
      </w:pPr>
    </w:p>
    <w:p w14:paraId="109AD425" w14:textId="77777777" w:rsidR="009B3384" w:rsidRDefault="00800862">
      <w:pPr>
        <w:keepNext/>
        <w:ind w:left="567" w:hanging="567"/>
        <w:outlineLvl w:val="2"/>
        <w:rPr>
          <w:b/>
          <w:bCs/>
        </w:rPr>
      </w:pPr>
      <w:r>
        <w:rPr>
          <w:b/>
          <w:bCs/>
        </w:rPr>
        <w:t>5.3</w:t>
      </w:r>
      <w:r>
        <w:rPr>
          <w:b/>
          <w:bCs/>
        </w:rPr>
        <w:tab/>
        <w:t>Предклинични данни за безопасност</w:t>
      </w:r>
    </w:p>
    <w:p w14:paraId="109AD426" w14:textId="77777777" w:rsidR="009B3384" w:rsidRDefault="009B3384">
      <w:pPr>
        <w:keepNext/>
      </w:pPr>
    </w:p>
    <w:p w14:paraId="109AD427" w14:textId="77777777" w:rsidR="009B3384" w:rsidRDefault="00800862">
      <w:pPr>
        <w:tabs>
          <w:tab w:val="clear" w:pos="567"/>
        </w:tabs>
      </w:pPr>
      <w:r>
        <w:t>Неклиничните данни не показват особен риск (напр. токсичност на органите) за хора на базата на изпитванията за токсичност при многократно прилагане, токсичност за развитието и репродуктивна токсичност, включително и фармакологичните оценки за безопасност. При проучвания за токсичност за развитието и репродуктивна токсичност при дългоопашати макаци не се наблюдават нежелани ефекти върху фертилитета при мъжките, както и вродени дефекти или токсичност за развитието. Не се наблюдават нежелани ефекти върху фертилитета при женските при употребата на аналогично антитяло срещу IL-12/23 при мишки.</w:t>
      </w:r>
    </w:p>
    <w:p w14:paraId="109AD428" w14:textId="77777777" w:rsidR="009B3384" w:rsidRDefault="009B3384">
      <w:pPr>
        <w:tabs>
          <w:tab w:val="clear" w:pos="567"/>
        </w:tabs>
        <w:rPr>
          <w:bCs/>
        </w:rPr>
      </w:pPr>
    </w:p>
    <w:p w14:paraId="109AD429" w14:textId="77777777" w:rsidR="009B3384" w:rsidRDefault="00800862">
      <w:pPr>
        <w:tabs>
          <w:tab w:val="clear" w:pos="567"/>
        </w:tabs>
      </w:pPr>
      <w:r>
        <w:t>Дозовите нива в проучвания при животни са близо 45 пъти по-високи от най-високата еквивалентна доза, предвиждана за приложение при пациенти с псориазис, и водят до максимални серумни концентрации при маймуни, които са над 100 пъти по-високи от концентрациите, наблюдавани при хора.</w:t>
      </w:r>
    </w:p>
    <w:p w14:paraId="109AD42A" w14:textId="77777777" w:rsidR="009B3384" w:rsidRDefault="009B3384">
      <w:pPr>
        <w:tabs>
          <w:tab w:val="clear" w:pos="567"/>
        </w:tabs>
        <w:rPr>
          <w:bCs/>
        </w:rPr>
      </w:pPr>
    </w:p>
    <w:p w14:paraId="109AD42B" w14:textId="77777777" w:rsidR="009B3384" w:rsidRDefault="00800862">
      <w:pPr>
        <w:tabs>
          <w:tab w:val="clear" w:pos="567"/>
        </w:tabs>
        <w:rPr>
          <w:bCs/>
        </w:rPr>
      </w:pPr>
      <w:r>
        <w:rPr>
          <w:bCs/>
        </w:rPr>
        <w:t>Не са провеждани проучвания за карциногенност с устекинумаб поради липсата на подходящи модели за антитяло без кръстосана реактивност към IL-12/23 p40 на гризачи.</w:t>
      </w:r>
    </w:p>
    <w:p w14:paraId="109AD42C" w14:textId="77777777" w:rsidR="009B3384" w:rsidRDefault="009B3384">
      <w:pPr>
        <w:tabs>
          <w:tab w:val="clear" w:pos="567"/>
        </w:tabs>
        <w:rPr>
          <w:bCs/>
        </w:rPr>
      </w:pPr>
    </w:p>
    <w:p w14:paraId="109AD42D" w14:textId="77777777" w:rsidR="009B3384" w:rsidRDefault="009B3384">
      <w:pPr>
        <w:tabs>
          <w:tab w:val="clear" w:pos="567"/>
        </w:tabs>
      </w:pPr>
    </w:p>
    <w:p w14:paraId="109AD42E" w14:textId="77777777" w:rsidR="009B3384" w:rsidRDefault="00800862">
      <w:pPr>
        <w:keepNext/>
        <w:ind w:left="567" w:hanging="567"/>
        <w:outlineLvl w:val="1"/>
        <w:rPr>
          <w:b/>
          <w:bCs/>
        </w:rPr>
      </w:pPr>
      <w:r>
        <w:rPr>
          <w:b/>
          <w:bCs/>
        </w:rPr>
        <w:t>6.</w:t>
      </w:r>
      <w:r>
        <w:rPr>
          <w:b/>
          <w:bCs/>
        </w:rPr>
        <w:tab/>
        <w:t>ФАРМАЦЕВТИЧНИ ДАННИ</w:t>
      </w:r>
    </w:p>
    <w:p w14:paraId="109AD42F" w14:textId="77777777" w:rsidR="009B3384" w:rsidRDefault="009B3384">
      <w:pPr>
        <w:keepNext/>
        <w:tabs>
          <w:tab w:val="clear" w:pos="567"/>
        </w:tabs>
      </w:pPr>
    </w:p>
    <w:p w14:paraId="109AD430" w14:textId="77777777" w:rsidR="009B3384" w:rsidRDefault="00800862">
      <w:pPr>
        <w:keepNext/>
        <w:ind w:left="567" w:hanging="567"/>
        <w:outlineLvl w:val="2"/>
        <w:rPr>
          <w:b/>
          <w:bCs/>
        </w:rPr>
      </w:pPr>
      <w:r>
        <w:rPr>
          <w:b/>
          <w:bCs/>
        </w:rPr>
        <w:t>6.1</w:t>
      </w:r>
      <w:r>
        <w:rPr>
          <w:b/>
          <w:bCs/>
        </w:rPr>
        <w:tab/>
        <w:t>Списък на помощните вещества</w:t>
      </w:r>
    </w:p>
    <w:p w14:paraId="109AD431" w14:textId="77777777" w:rsidR="009B3384" w:rsidRDefault="009B3384">
      <w:pPr>
        <w:keepNext/>
      </w:pPr>
    </w:p>
    <w:p w14:paraId="109AD432" w14:textId="77777777" w:rsidR="009B3384" w:rsidRDefault="00800862">
      <w:pPr>
        <w:tabs>
          <w:tab w:val="clear" w:pos="567"/>
        </w:tabs>
        <w:rPr>
          <w:iCs/>
        </w:rPr>
      </w:pPr>
      <w:r>
        <w:rPr>
          <w:iCs/>
        </w:rPr>
        <w:t>L-хистидин</w:t>
      </w:r>
    </w:p>
    <w:p w14:paraId="109AD433" w14:textId="77777777" w:rsidR="009B3384" w:rsidRDefault="00800862">
      <w:pPr>
        <w:tabs>
          <w:tab w:val="clear" w:pos="567"/>
        </w:tabs>
        <w:rPr>
          <w:iCs/>
        </w:rPr>
      </w:pPr>
      <w:r>
        <w:rPr>
          <w:iCs/>
        </w:rPr>
        <w:t>L-хистидинов монохидрохлорид монохидрат</w:t>
      </w:r>
    </w:p>
    <w:p w14:paraId="109AD434" w14:textId="77777777" w:rsidR="009B3384" w:rsidRDefault="00800862">
      <w:pPr>
        <w:tabs>
          <w:tab w:val="clear" w:pos="567"/>
        </w:tabs>
        <w:rPr>
          <w:iCs/>
        </w:rPr>
      </w:pPr>
      <w:r>
        <w:rPr>
          <w:iCs/>
        </w:rPr>
        <w:t>Полисорбат 80 (E433)</w:t>
      </w:r>
    </w:p>
    <w:p w14:paraId="109AD435" w14:textId="77777777" w:rsidR="009B3384" w:rsidRDefault="00800862">
      <w:pPr>
        <w:rPr>
          <w:iCs/>
        </w:rPr>
      </w:pPr>
      <w:r>
        <w:rPr>
          <w:iCs/>
        </w:rPr>
        <w:t>Захароза</w:t>
      </w:r>
    </w:p>
    <w:p w14:paraId="109AD436" w14:textId="77777777" w:rsidR="009B3384" w:rsidRDefault="00800862">
      <w:r>
        <w:t>Вода за инжекции</w:t>
      </w:r>
    </w:p>
    <w:p w14:paraId="109AD437" w14:textId="77777777" w:rsidR="009B3384" w:rsidRDefault="009B3384">
      <w:pPr>
        <w:tabs>
          <w:tab w:val="clear" w:pos="567"/>
        </w:tabs>
      </w:pPr>
    </w:p>
    <w:p w14:paraId="109AD438" w14:textId="77777777" w:rsidR="009B3384" w:rsidRDefault="00800862">
      <w:pPr>
        <w:keepNext/>
        <w:ind w:left="567" w:hanging="567"/>
        <w:outlineLvl w:val="2"/>
        <w:rPr>
          <w:b/>
          <w:bCs/>
        </w:rPr>
      </w:pPr>
      <w:r>
        <w:rPr>
          <w:b/>
          <w:bCs/>
        </w:rPr>
        <w:t>6.2</w:t>
      </w:r>
      <w:r>
        <w:rPr>
          <w:b/>
          <w:bCs/>
        </w:rPr>
        <w:tab/>
        <w:t>Несъвместимости</w:t>
      </w:r>
    </w:p>
    <w:p w14:paraId="109AD439" w14:textId="77777777" w:rsidR="009B3384" w:rsidRDefault="009B3384">
      <w:pPr>
        <w:keepNext/>
        <w:tabs>
          <w:tab w:val="clear" w:pos="567"/>
        </w:tabs>
      </w:pPr>
    </w:p>
    <w:p w14:paraId="109AD43A" w14:textId="77777777" w:rsidR="009B3384" w:rsidRDefault="00800862">
      <w:r>
        <w:t>При липса на проучвания за несъвместимости, този лекарствен продукт не трябва да се смесва с други лекарствени продукти.</w:t>
      </w:r>
    </w:p>
    <w:p w14:paraId="109AD43B" w14:textId="77777777" w:rsidR="009B3384" w:rsidRDefault="009B3384">
      <w:pPr>
        <w:tabs>
          <w:tab w:val="clear" w:pos="567"/>
        </w:tabs>
      </w:pPr>
    </w:p>
    <w:p w14:paraId="109AD43C" w14:textId="77777777" w:rsidR="009B3384" w:rsidRDefault="00800862">
      <w:pPr>
        <w:keepNext/>
        <w:ind w:left="567" w:hanging="567"/>
        <w:outlineLvl w:val="2"/>
        <w:rPr>
          <w:b/>
          <w:bCs/>
        </w:rPr>
      </w:pPr>
      <w:r>
        <w:rPr>
          <w:b/>
          <w:bCs/>
        </w:rPr>
        <w:t>6.3</w:t>
      </w:r>
      <w:r>
        <w:rPr>
          <w:b/>
          <w:bCs/>
        </w:rPr>
        <w:tab/>
        <w:t>Срок на годност</w:t>
      </w:r>
    </w:p>
    <w:p w14:paraId="109AD43D" w14:textId="77777777" w:rsidR="009B3384" w:rsidRDefault="009B3384">
      <w:pPr>
        <w:keepNext/>
        <w:tabs>
          <w:tab w:val="clear" w:pos="567"/>
        </w:tabs>
      </w:pPr>
    </w:p>
    <w:p w14:paraId="109AD43E" w14:textId="77777777" w:rsidR="009B3384" w:rsidRDefault="00800862">
      <w:pPr>
        <w:keepNext/>
        <w:tabs>
          <w:tab w:val="clear" w:pos="567"/>
        </w:tabs>
      </w:pPr>
      <w:r>
        <w:t>STELARA 45 mg инжекционен разтвор</w:t>
      </w:r>
    </w:p>
    <w:p w14:paraId="109AD43F" w14:textId="77777777" w:rsidR="009B3384" w:rsidRDefault="00800862">
      <w:pPr>
        <w:widowControl w:val="0"/>
      </w:pPr>
      <w:r>
        <w:t>2 години</w:t>
      </w:r>
    </w:p>
    <w:p w14:paraId="109AD440" w14:textId="77777777" w:rsidR="009B3384" w:rsidRDefault="009B3384">
      <w:pPr>
        <w:widowControl w:val="0"/>
      </w:pPr>
    </w:p>
    <w:p w14:paraId="109AD441" w14:textId="77777777" w:rsidR="009B3384" w:rsidRDefault="00800862">
      <w:pPr>
        <w:keepNext/>
      </w:pPr>
      <w:r>
        <w:t>STELARA 45 mg инжекционен разтвор в предварително напълнена спринцовка</w:t>
      </w:r>
    </w:p>
    <w:p w14:paraId="109AD442" w14:textId="77777777" w:rsidR="009B3384" w:rsidRDefault="00800862">
      <w:pPr>
        <w:widowControl w:val="0"/>
      </w:pPr>
      <w:r>
        <w:t>3 години</w:t>
      </w:r>
    </w:p>
    <w:p w14:paraId="109AD443" w14:textId="77777777" w:rsidR="009B3384" w:rsidRDefault="009B3384">
      <w:pPr>
        <w:widowControl w:val="0"/>
      </w:pPr>
    </w:p>
    <w:p w14:paraId="109AD444" w14:textId="77777777" w:rsidR="009B3384" w:rsidRDefault="00800862">
      <w:pPr>
        <w:keepNext/>
      </w:pPr>
      <w:r>
        <w:t>STELARA 90 mg инжекционен разтвор в предварително напълнена спринцовка</w:t>
      </w:r>
    </w:p>
    <w:p w14:paraId="109AD445" w14:textId="77777777" w:rsidR="009B3384" w:rsidRDefault="00800862">
      <w:pPr>
        <w:widowControl w:val="0"/>
      </w:pPr>
      <w:r>
        <w:t>3 години</w:t>
      </w:r>
    </w:p>
    <w:p w14:paraId="109AD446" w14:textId="77777777" w:rsidR="009B3384" w:rsidRDefault="009B3384">
      <w:pPr>
        <w:widowControl w:val="0"/>
      </w:pPr>
    </w:p>
    <w:p w14:paraId="109AD447" w14:textId="77777777" w:rsidR="009B3384" w:rsidRDefault="00800862">
      <w:pPr>
        <w:widowControl w:val="0"/>
      </w:pPr>
      <w:r>
        <w:t>Отделните предварително напълнени спринцовки може да се съхраняват при стайна температура до 30</w:t>
      </w:r>
      <w:r>
        <w:rPr>
          <w:rFonts w:eastAsia="Symbol"/>
        </w:rPr>
        <w:t>°</w:t>
      </w:r>
      <w:r>
        <w:t>C за максимум един период до 30 дни в оригиналната картонена опаковка, за да се предпазят от светлина. Запишете датата, на която предварително напълнената спринцовка е извадена за първи път от хладилника и датата на изхвърляне на обозначените на външната картонена опаковка места. Датата на изхвърляне не трябва да е след оригиналния срок на годност, отпечатан върху картонената опаковка. След като веднъж спринцовката е била съхранявана при стайна температура (до 30</w:t>
      </w:r>
      <w:r>
        <w:rPr>
          <w:rFonts w:eastAsia="Symbol"/>
        </w:rPr>
        <w:t>°</w:t>
      </w:r>
      <w:r>
        <w:t xml:space="preserve">C), тя не трябва да се връща в хладилника. </w:t>
      </w:r>
      <w:r>
        <w:lastRenderedPageBreak/>
        <w:t>Изхвърлете спринцовката, ако не се използва след съхранение при стайна температура в рамките на 30 дни или след изтичане на оригиналния срок на годност, в зависимост от това, кое от двете настъпи по-рано.</w:t>
      </w:r>
    </w:p>
    <w:p w14:paraId="109AD448" w14:textId="77777777" w:rsidR="009B3384" w:rsidRDefault="009B3384">
      <w:pPr>
        <w:tabs>
          <w:tab w:val="clear" w:pos="567"/>
        </w:tabs>
      </w:pPr>
    </w:p>
    <w:p w14:paraId="109AD449" w14:textId="77777777" w:rsidR="009B3384" w:rsidRDefault="00800862">
      <w:pPr>
        <w:keepNext/>
        <w:ind w:left="567" w:hanging="567"/>
        <w:outlineLvl w:val="2"/>
        <w:rPr>
          <w:b/>
          <w:bCs/>
        </w:rPr>
      </w:pPr>
      <w:r>
        <w:rPr>
          <w:b/>
          <w:bCs/>
        </w:rPr>
        <w:t>6.4</w:t>
      </w:r>
      <w:r>
        <w:rPr>
          <w:b/>
          <w:bCs/>
        </w:rPr>
        <w:tab/>
        <w:t>Специални условия на съхранение</w:t>
      </w:r>
    </w:p>
    <w:p w14:paraId="109AD44A" w14:textId="77777777" w:rsidR="009B3384" w:rsidRDefault="009B3384">
      <w:pPr>
        <w:keepNext/>
        <w:tabs>
          <w:tab w:val="clear" w:pos="567"/>
        </w:tabs>
      </w:pPr>
    </w:p>
    <w:p w14:paraId="109AD44B" w14:textId="77777777" w:rsidR="009B3384" w:rsidRDefault="00800862">
      <w:r>
        <w:t>Да се съхранява в хладилник (2</w:t>
      </w:r>
      <w:r>
        <w:rPr>
          <w:rFonts w:eastAsia="Symbol"/>
        </w:rPr>
        <w:t>°</w:t>
      </w:r>
      <w:r>
        <w:t>C – 8</w:t>
      </w:r>
      <w:r>
        <w:rPr>
          <w:rFonts w:eastAsia="Symbol"/>
        </w:rPr>
        <w:t>°</w:t>
      </w:r>
      <w:r>
        <w:t>C). Да не се замразява.</w:t>
      </w:r>
    </w:p>
    <w:p w14:paraId="109AD44C" w14:textId="77777777" w:rsidR="009B3384" w:rsidRDefault="00800862">
      <w:r>
        <w:t>Съхранявайте флакона или предварително напълнена спринцовка в картонената опаковка, за да се предпази от светлина.</w:t>
      </w:r>
    </w:p>
    <w:p w14:paraId="109AD44D" w14:textId="77777777" w:rsidR="009B3384" w:rsidRDefault="00800862">
      <w:r>
        <w:t>Ако е необходимо, отделните предварително напълнени спринцовки може да се съхраняват при стайна температура до 30</w:t>
      </w:r>
      <w:r>
        <w:rPr>
          <w:rFonts w:eastAsia="Symbol"/>
        </w:rPr>
        <w:t>°</w:t>
      </w:r>
      <w:r>
        <w:t>C (вж. точка 6.3).</w:t>
      </w:r>
    </w:p>
    <w:p w14:paraId="109AD44E" w14:textId="77777777" w:rsidR="009B3384" w:rsidRDefault="009B3384">
      <w:pPr>
        <w:tabs>
          <w:tab w:val="clear" w:pos="567"/>
        </w:tabs>
      </w:pPr>
    </w:p>
    <w:p w14:paraId="109AD44F" w14:textId="77777777" w:rsidR="009B3384" w:rsidRDefault="00800862">
      <w:pPr>
        <w:keepNext/>
        <w:ind w:left="567" w:hanging="567"/>
        <w:outlineLvl w:val="2"/>
        <w:rPr>
          <w:b/>
          <w:bCs/>
        </w:rPr>
      </w:pPr>
      <w:r>
        <w:rPr>
          <w:b/>
          <w:bCs/>
        </w:rPr>
        <w:t>6.5</w:t>
      </w:r>
      <w:r>
        <w:rPr>
          <w:b/>
          <w:bCs/>
        </w:rPr>
        <w:tab/>
        <w:t>Вид и съдържание на опаковката</w:t>
      </w:r>
    </w:p>
    <w:p w14:paraId="109AD450" w14:textId="77777777" w:rsidR="009B3384" w:rsidRDefault="009B3384">
      <w:pPr>
        <w:keepNext/>
        <w:tabs>
          <w:tab w:val="clear" w:pos="567"/>
        </w:tabs>
      </w:pPr>
    </w:p>
    <w:p w14:paraId="109AD451" w14:textId="77777777" w:rsidR="009B3384" w:rsidRDefault="00800862">
      <w:pPr>
        <w:keepNext/>
        <w:tabs>
          <w:tab w:val="clear" w:pos="567"/>
        </w:tabs>
        <w:rPr>
          <w:iCs/>
          <w:u w:val="single"/>
        </w:rPr>
      </w:pPr>
      <w:r>
        <w:rPr>
          <w:iCs/>
          <w:u w:val="single"/>
          <w:lang w:val="en-GB"/>
        </w:rPr>
        <w:t>STELARA</w:t>
      </w:r>
      <w:r>
        <w:rPr>
          <w:iCs/>
          <w:u w:val="single"/>
        </w:rPr>
        <w:t xml:space="preserve"> 45</w:t>
      </w:r>
      <w:r>
        <w:rPr>
          <w:iCs/>
          <w:u w:val="single"/>
          <w:lang w:val="en-GB"/>
        </w:rPr>
        <w:t> mg</w:t>
      </w:r>
      <w:r>
        <w:rPr>
          <w:iCs/>
          <w:u w:val="single"/>
        </w:rPr>
        <w:t xml:space="preserve"> инжекционен разтвор</w:t>
      </w:r>
    </w:p>
    <w:p w14:paraId="109AD452" w14:textId="77777777" w:rsidR="009B3384" w:rsidRDefault="00800862">
      <w:pPr>
        <w:tabs>
          <w:tab w:val="clear" w:pos="567"/>
        </w:tabs>
        <w:rPr>
          <w:iCs/>
        </w:rPr>
      </w:pPr>
      <w:r>
        <w:rPr>
          <w:iCs/>
        </w:rPr>
        <w:t>0,5</w:t>
      </w:r>
      <w:r>
        <w:rPr>
          <w:iCs/>
          <w:lang w:val="en-GB"/>
        </w:rPr>
        <w:t> ml</w:t>
      </w:r>
      <w:r>
        <w:rPr>
          <w:iCs/>
        </w:rPr>
        <w:t xml:space="preserve"> разтвор във флакон от стъкло тип I 2 ml, затворен със запушалка от бутилова гума с покритие.</w:t>
      </w:r>
    </w:p>
    <w:p w14:paraId="109AD453" w14:textId="77777777" w:rsidR="009B3384" w:rsidRDefault="009B3384">
      <w:pPr>
        <w:tabs>
          <w:tab w:val="clear" w:pos="567"/>
        </w:tabs>
        <w:rPr>
          <w:iCs/>
        </w:rPr>
      </w:pPr>
    </w:p>
    <w:p w14:paraId="109AD454" w14:textId="77777777" w:rsidR="009B3384" w:rsidRDefault="00800862">
      <w:pPr>
        <w:keepNext/>
        <w:widowControl w:val="0"/>
        <w:rPr>
          <w:iCs/>
          <w:u w:val="single"/>
        </w:rPr>
      </w:pPr>
      <w:r>
        <w:rPr>
          <w:iCs/>
          <w:u w:val="single"/>
        </w:rPr>
        <w:t>STELARA 45</w:t>
      </w:r>
      <w:r>
        <w:rPr>
          <w:u w:val="single"/>
        </w:rPr>
        <w:t> </w:t>
      </w:r>
      <w:r>
        <w:rPr>
          <w:iCs/>
          <w:u w:val="single"/>
        </w:rPr>
        <w:t>mg инжекционен разтвор в предварително напълнена спринцовка</w:t>
      </w:r>
    </w:p>
    <w:p w14:paraId="109AD455" w14:textId="77777777" w:rsidR="009B3384" w:rsidRDefault="00800862">
      <w:pPr>
        <w:widowControl w:val="0"/>
        <w:rPr>
          <w:iCs/>
        </w:rPr>
      </w:pPr>
      <w:r>
        <w:rPr>
          <w:iCs/>
        </w:rPr>
        <w:t>0,5 ml разтвор в спринцовка от стъкло тип I 1 ml с фиксирана игла от неръждаема стомана и предпазител на иглата, съдържащ сух естествен каучук (производно на латекс). Спринцовката е снабдена с устройство за пасивна защита.</w:t>
      </w:r>
    </w:p>
    <w:p w14:paraId="109AD456" w14:textId="77777777" w:rsidR="009B3384" w:rsidRDefault="009B3384">
      <w:pPr>
        <w:widowControl w:val="0"/>
      </w:pPr>
    </w:p>
    <w:p w14:paraId="109AD457" w14:textId="77777777" w:rsidR="009B3384" w:rsidRDefault="00800862">
      <w:pPr>
        <w:keepNext/>
        <w:widowControl w:val="0"/>
        <w:rPr>
          <w:iCs/>
          <w:u w:val="single"/>
        </w:rPr>
      </w:pPr>
      <w:r>
        <w:rPr>
          <w:iCs/>
          <w:u w:val="single"/>
        </w:rPr>
        <w:t>STELARA 90</w:t>
      </w:r>
      <w:r>
        <w:rPr>
          <w:u w:val="single"/>
        </w:rPr>
        <w:t> </w:t>
      </w:r>
      <w:r>
        <w:rPr>
          <w:iCs/>
          <w:u w:val="single"/>
        </w:rPr>
        <w:t>mg инжекционен разтвор в предварително напълнена спринцовка</w:t>
      </w:r>
    </w:p>
    <w:p w14:paraId="109AD458" w14:textId="77777777" w:rsidR="009B3384" w:rsidRDefault="00800862">
      <w:pPr>
        <w:widowControl w:val="0"/>
        <w:rPr>
          <w:iCs/>
        </w:rPr>
      </w:pPr>
      <w:r>
        <w:rPr>
          <w:iCs/>
        </w:rPr>
        <w:t>1 ml разтвор в спринцовка от стъкло тип I 1 ml с фиксирана игла от неръждаема стомана и предпазител на иглата, съдържащ сух естествен каучук (производно на латекс). Спринцовката е снабдена с устройство за пасивна защита.</w:t>
      </w:r>
    </w:p>
    <w:p w14:paraId="109AD459" w14:textId="77777777" w:rsidR="009B3384" w:rsidRDefault="009B3384">
      <w:pPr>
        <w:tabs>
          <w:tab w:val="clear" w:pos="567"/>
        </w:tabs>
        <w:rPr>
          <w:iCs/>
        </w:rPr>
      </w:pPr>
    </w:p>
    <w:p w14:paraId="109AD45A" w14:textId="77777777" w:rsidR="009B3384" w:rsidRDefault="00800862">
      <w:pPr>
        <w:tabs>
          <w:tab w:val="clear" w:pos="567"/>
        </w:tabs>
        <w:rPr>
          <w:iCs/>
        </w:rPr>
      </w:pPr>
      <w:r>
        <w:rPr>
          <w:iCs/>
        </w:rPr>
        <w:t>STELARA се разпространява в опаковка по 1 флакон или опаковка по 1 предварително напълнена спринцовка.</w:t>
      </w:r>
    </w:p>
    <w:p w14:paraId="109AD45B" w14:textId="77777777" w:rsidR="009B3384" w:rsidRDefault="009B3384">
      <w:pPr>
        <w:tabs>
          <w:tab w:val="clear" w:pos="567"/>
        </w:tabs>
      </w:pPr>
    </w:p>
    <w:p w14:paraId="109AD45C" w14:textId="77777777" w:rsidR="009B3384" w:rsidRDefault="00800862">
      <w:pPr>
        <w:keepNext/>
        <w:ind w:left="567" w:hanging="567"/>
        <w:outlineLvl w:val="2"/>
        <w:rPr>
          <w:b/>
          <w:bCs/>
        </w:rPr>
      </w:pPr>
      <w:r>
        <w:rPr>
          <w:b/>
          <w:bCs/>
        </w:rPr>
        <w:t>6.6</w:t>
      </w:r>
      <w:r>
        <w:rPr>
          <w:b/>
          <w:bCs/>
        </w:rPr>
        <w:tab/>
        <w:t>Специални предпазни мерки при изхвърляне и работа</w:t>
      </w:r>
    </w:p>
    <w:p w14:paraId="109AD45D" w14:textId="77777777" w:rsidR="009B3384" w:rsidRDefault="009B3384">
      <w:pPr>
        <w:keepNext/>
        <w:tabs>
          <w:tab w:val="clear" w:pos="567"/>
        </w:tabs>
      </w:pPr>
    </w:p>
    <w:p w14:paraId="109AD45E" w14:textId="4FECE1EC" w:rsidR="009B3384" w:rsidRDefault="00800862">
      <w:pPr>
        <w:rPr>
          <w:bCs/>
        </w:rPr>
      </w:pPr>
      <w:r>
        <w:rPr>
          <w:bCs/>
        </w:rPr>
        <w:t xml:space="preserve">Флаконът </w:t>
      </w:r>
      <w:r>
        <w:rPr>
          <w:bCs/>
          <w:iCs/>
        </w:rPr>
        <w:t>или предварително напълнената спринцовка</w:t>
      </w:r>
      <w:r>
        <w:rPr>
          <w:bCs/>
        </w:rPr>
        <w:t xml:space="preserve"> не трябва да се разклаща. Разтворът трябва да се провери визуално за наличието на твърди частици или промяна на цвета, преди да се приложи подкожно. Разтворът е бистър до </w:t>
      </w:r>
      <w:r>
        <w:rPr>
          <w:szCs w:val="22"/>
        </w:rPr>
        <w:t xml:space="preserve">леко опалесцентен, безцветен до бледожълт </w:t>
      </w:r>
      <w:r>
        <w:rPr>
          <w:bCs/>
        </w:rPr>
        <w:t xml:space="preserve">и може да съдържа няколко дребни </w:t>
      </w:r>
      <w:r>
        <w:t xml:space="preserve">полупрозрачни или бели частици протеин. Този външен вид не е необичаен за протеиновите разтвори. Лекарственият продукт не трябва да се употребява, ако разтворът е с променен цвят или мътен или ако в него се забелязват твърди чужди частици. Преди прилагане STELARA трябва да достигне стайна температура (приблизително за около половин час). </w:t>
      </w:r>
      <w:r>
        <w:rPr>
          <w:bCs/>
        </w:rPr>
        <w:t>Подробни указания за употреба са предоставени в листовката за пациента.</w:t>
      </w:r>
    </w:p>
    <w:p w14:paraId="109AD45F" w14:textId="77777777" w:rsidR="009B3384" w:rsidRDefault="009B3384">
      <w:pPr>
        <w:tabs>
          <w:tab w:val="clear" w:pos="567"/>
        </w:tabs>
      </w:pPr>
    </w:p>
    <w:p w14:paraId="109AD460" w14:textId="77777777" w:rsidR="009B3384" w:rsidRDefault="00800862">
      <w:pPr>
        <w:rPr>
          <w:bCs/>
        </w:rPr>
      </w:pPr>
      <w:r>
        <w:rPr>
          <w:bCs/>
        </w:rPr>
        <w:t xml:space="preserve">STELARA не съдържа консерванти, затова неизползваният лекарствен продукт, останал във флакона и спринцовката, не трябва да се използва. STELARA се доставя като стерилен флакон за еднократна употреба </w:t>
      </w:r>
      <w:r>
        <w:rPr>
          <w:bCs/>
          <w:iCs/>
        </w:rPr>
        <w:t>или предварително напълнената спринцовка</w:t>
      </w:r>
      <w:r>
        <w:rPr>
          <w:bCs/>
        </w:rPr>
        <w:t xml:space="preserve"> </w:t>
      </w:r>
      <w:r>
        <w:rPr>
          <w:bCs/>
          <w:iCs/>
        </w:rPr>
        <w:t>за еднократна употреба</w:t>
      </w:r>
      <w:r>
        <w:rPr>
          <w:bCs/>
        </w:rPr>
        <w:t>.</w:t>
      </w:r>
      <w:r>
        <w:t xml:space="preserve"> Спринцовката, иглата и флаконът не трябва да се използват повторно.</w:t>
      </w:r>
      <w:r>
        <w:rPr>
          <w:bCs/>
        </w:rPr>
        <w:t xml:space="preserve"> Неизползваният лекарствен продукт или отпадъчните материали от него трябва да се изхвърлят в съответствие с местните изисквания.</w:t>
      </w:r>
    </w:p>
    <w:p w14:paraId="109AD461" w14:textId="77777777" w:rsidR="009B3384" w:rsidRDefault="009B3384">
      <w:pPr>
        <w:tabs>
          <w:tab w:val="clear" w:pos="567"/>
        </w:tabs>
      </w:pPr>
    </w:p>
    <w:p w14:paraId="109AD462" w14:textId="77777777" w:rsidR="009B3384" w:rsidRDefault="00800862">
      <w:pPr>
        <w:widowControl w:val="0"/>
      </w:pPr>
      <w:r>
        <w:t>Когато се използва еднодозов флакон, препоръчва се използването на спринцовка от 1</w:t>
      </w:r>
      <w:r>
        <w:rPr>
          <w:lang w:val="en-US"/>
        </w:rPr>
        <w:t> ml</w:t>
      </w:r>
      <w:r>
        <w:t xml:space="preserve"> с игла 27</w:t>
      </w:r>
      <w:r>
        <w:rPr>
          <w:lang w:val="en-US"/>
        </w:rPr>
        <w:t>G</w:t>
      </w:r>
      <w:r>
        <w:t>, ½</w:t>
      </w:r>
      <w:r>
        <w:rPr>
          <w:lang w:val="en-US"/>
        </w:rPr>
        <w:t> </w:t>
      </w:r>
      <w:r>
        <w:t>инч (13</w:t>
      </w:r>
      <w:r>
        <w:rPr>
          <w:lang w:val="en-US"/>
        </w:rPr>
        <w:t> mm</w:t>
      </w:r>
      <w:r>
        <w:t>).</w:t>
      </w:r>
    </w:p>
    <w:p w14:paraId="109AD463" w14:textId="77777777" w:rsidR="009B3384" w:rsidRDefault="009B3384">
      <w:pPr>
        <w:tabs>
          <w:tab w:val="clear" w:pos="567"/>
        </w:tabs>
      </w:pPr>
    </w:p>
    <w:p w14:paraId="109AD464" w14:textId="77777777" w:rsidR="009B3384" w:rsidRDefault="009B3384">
      <w:pPr>
        <w:tabs>
          <w:tab w:val="clear" w:pos="567"/>
        </w:tabs>
      </w:pPr>
    </w:p>
    <w:p w14:paraId="109AD465" w14:textId="77777777" w:rsidR="009B3384" w:rsidRDefault="00800862">
      <w:pPr>
        <w:keepNext/>
        <w:ind w:left="567" w:hanging="567"/>
        <w:outlineLvl w:val="1"/>
        <w:rPr>
          <w:b/>
          <w:bCs/>
        </w:rPr>
      </w:pPr>
      <w:r>
        <w:rPr>
          <w:b/>
          <w:bCs/>
        </w:rPr>
        <w:t>7.</w:t>
      </w:r>
      <w:r>
        <w:rPr>
          <w:b/>
          <w:bCs/>
        </w:rPr>
        <w:tab/>
        <w:t>ПРИТЕЖАТЕЛ НА РАЗРЕШЕНИЕТО ЗА УПОТРЕБА</w:t>
      </w:r>
    </w:p>
    <w:p w14:paraId="109AD466" w14:textId="77777777" w:rsidR="009B3384" w:rsidRDefault="009B3384">
      <w:pPr>
        <w:keepNext/>
      </w:pPr>
    </w:p>
    <w:p w14:paraId="109AD467" w14:textId="77777777" w:rsidR="009B3384" w:rsidRDefault="00800862">
      <w:pPr>
        <w:rPr>
          <w:szCs w:val="13"/>
        </w:rPr>
      </w:pPr>
      <w:r>
        <w:rPr>
          <w:szCs w:val="13"/>
        </w:rPr>
        <w:t>Janssen-Cilag International NV</w:t>
      </w:r>
    </w:p>
    <w:p w14:paraId="109AD468" w14:textId="77777777" w:rsidR="009B3384" w:rsidRDefault="00800862">
      <w:pPr>
        <w:rPr>
          <w:szCs w:val="13"/>
        </w:rPr>
      </w:pPr>
      <w:r>
        <w:rPr>
          <w:szCs w:val="13"/>
        </w:rPr>
        <w:t>Turnhoutseweg 30</w:t>
      </w:r>
    </w:p>
    <w:p w14:paraId="109AD469" w14:textId="77777777" w:rsidR="009B3384" w:rsidRDefault="00800862">
      <w:pPr>
        <w:rPr>
          <w:szCs w:val="13"/>
        </w:rPr>
      </w:pPr>
      <w:r>
        <w:rPr>
          <w:szCs w:val="13"/>
          <w:lang w:val="en-US"/>
        </w:rPr>
        <w:lastRenderedPageBreak/>
        <w:t>B</w:t>
      </w:r>
      <w:r>
        <w:rPr>
          <w:szCs w:val="13"/>
        </w:rPr>
        <w:t>-2340 Beerse</w:t>
      </w:r>
    </w:p>
    <w:p w14:paraId="109AD46A" w14:textId="77777777" w:rsidR="009B3384" w:rsidRDefault="00800862">
      <w:r>
        <w:rPr>
          <w:szCs w:val="13"/>
        </w:rPr>
        <w:t>Белгия</w:t>
      </w:r>
    </w:p>
    <w:p w14:paraId="109AD46B" w14:textId="77777777" w:rsidR="009B3384" w:rsidRDefault="009B3384"/>
    <w:p w14:paraId="109AD46C" w14:textId="77777777" w:rsidR="009B3384" w:rsidRDefault="009B3384"/>
    <w:p w14:paraId="109AD46D" w14:textId="77777777" w:rsidR="009B3384" w:rsidRDefault="00800862">
      <w:pPr>
        <w:keepNext/>
        <w:ind w:left="567" w:hanging="567"/>
        <w:outlineLvl w:val="1"/>
        <w:rPr>
          <w:b/>
        </w:rPr>
      </w:pPr>
      <w:r>
        <w:rPr>
          <w:b/>
        </w:rPr>
        <w:t>8.</w:t>
      </w:r>
      <w:r>
        <w:rPr>
          <w:b/>
        </w:rPr>
        <w:tab/>
        <w:t>НОМЕР(А) НА РАЗРЕШЕНИЕТО ЗА УПОТРЕБА</w:t>
      </w:r>
    </w:p>
    <w:p w14:paraId="109AD46E" w14:textId="77777777" w:rsidR="009B3384" w:rsidRDefault="009B3384">
      <w:pPr>
        <w:keepNext/>
      </w:pPr>
    </w:p>
    <w:p w14:paraId="109AD46F" w14:textId="77777777" w:rsidR="009B3384" w:rsidRDefault="00800862">
      <w:pPr>
        <w:keepNext/>
      </w:pPr>
      <w:r>
        <w:rPr>
          <w:u w:val="single"/>
          <w:lang w:val="en-GB"/>
        </w:rPr>
        <w:t>STELARA</w:t>
      </w:r>
      <w:r>
        <w:rPr>
          <w:u w:val="single"/>
        </w:rPr>
        <w:t xml:space="preserve"> 45</w:t>
      </w:r>
      <w:r>
        <w:rPr>
          <w:u w:val="single"/>
          <w:lang w:val="en-GB"/>
        </w:rPr>
        <w:t> mg</w:t>
      </w:r>
      <w:r>
        <w:rPr>
          <w:u w:val="single"/>
        </w:rPr>
        <w:t xml:space="preserve"> инжекционен разтвор</w:t>
      </w:r>
    </w:p>
    <w:p w14:paraId="109AD470" w14:textId="77777777" w:rsidR="009B3384" w:rsidRDefault="00800862">
      <w:bookmarkStart w:id="1262" w:name="OLE_LINK9"/>
      <w:r>
        <w:rPr>
          <w:lang w:val="en-GB"/>
        </w:rPr>
        <w:t>EU</w:t>
      </w:r>
      <w:r>
        <w:t>/1/08/494/001</w:t>
      </w:r>
      <w:bookmarkEnd w:id="1262"/>
    </w:p>
    <w:p w14:paraId="109AD471" w14:textId="77777777" w:rsidR="009B3384" w:rsidRDefault="009B3384"/>
    <w:p w14:paraId="109AD472" w14:textId="77777777" w:rsidR="009B3384" w:rsidRDefault="00800862">
      <w:pPr>
        <w:keepNext/>
      </w:pPr>
      <w:r>
        <w:rPr>
          <w:u w:val="single"/>
          <w:lang w:val="en-GB"/>
        </w:rPr>
        <w:t>STELARA</w:t>
      </w:r>
      <w:r>
        <w:rPr>
          <w:u w:val="single"/>
        </w:rPr>
        <w:t xml:space="preserve"> 45</w:t>
      </w:r>
      <w:r>
        <w:rPr>
          <w:u w:val="single"/>
          <w:lang w:val="en-GB"/>
        </w:rPr>
        <w:t> mg</w:t>
      </w:r>
      <w:r>
        <w:rPr>
          <w:u w:val="single"/>
        </w:rPr>
        <w:t xml:space="preserve"> инжекционен разтвор в предварително напълнена спринцовка</w:t>
      </w:r>
    </w:p>
    <w:p w14:paraId="109AD473" w14:textId="77777777" w:rsidR="009B3384" w:rsidRDefault="00800862">
      <w:r>
        <w:rPr>
          <w:lang w:val="en-GB"/>
        </w:rPr>
        <w:t>EU</w:t>
      </w:r>
      <w:r>
        <w:t>/1/08/494/003</w:t>
      </w:r>
    </w:p>
    <w:p w14:paraId="109AD474" w14:textId="77777777" w:rsidR="009B3384" w:rsidRDefault="009B3384"/>
    <w:p w14:paraId="109AD475" w14:textId="77777777" w:rsidR="009B3384" w:rsidRDefault="00800862">
      <w:pPr>
        <w:keepNext/>
      </w:pPr>
      <w:r>
        <w:rPr>
          <w:u w:val="single"/>
          <w:lang w:val="en-GB"/>
        </w:rPr>
        <w:t>STELARA</w:t>
      </w:r>
      <w:r>
        <w:rPr>
          <w:u w:val="single"/>
        </w:rPr>
        <w:t xml:space="preserve"> 90</w:t>
      </w:r>
      <w:r>
        <w:rPr>
          <w:u w:val="single"/>
          <w:lang w:val="en-GB"/>
        </w:rPr>
        <w:t> mg</w:t>
      </w:r>
      <w:r>
        <w:rPr>
          <w:u w:val="single"/>
        </w:rPr>
        <w:t xml:space="preserve"> инжекционен разтвор в предварително напълнена спринцовка</w:t>
      </w:r>
    </w:p>
    <w:p w14:paraId="109AD476" w14:textId="77777777" w:rsidR="009B3384" w:rsidRDefault="00800862">
      <w:r>
        <w:rPr>
          <w:lang w:val="en-GB"/>
        </w:rPr>
        <w:t>EU</w:t>
      </w:r>
      <w:r>
        <w:t>/1/08/494/004</w:t>
      </w:r>
    </w:p>
    <w:p w14:paraId="109AD477" w14:textId="77777777" w:rsidR="009B3384" w:rsidRDefault="009B3384"/>
    <w:p w14:paraId="109AD478" w14:textId="77777777" w:rsidR="009B3384" w:rsidRDefault="009B3384"/>
    <w:p w14:paraId="109AD479" w14:textId="77777777" w:rsidR="009B3384" w:rsidRDefault="00800862">
      <w:pPr>
        <w:keepNext/>
        <w:ind w:left="567" w:hanging="567"/>
        <w:outlineLvl w:val="1"/>
        <w:rPr>
          <w:b/>
        </w:rPr>
      </w:pPr>
      <w:r>
        <w:rPr>
          <w:b/>
        </w:rPr>
        <w:t>9.</w:t>
      </w:r>
      <w:r>
        <w:rPr>
          <w:b/>
        </w:rPr>
        <w:tab/>
        <w:t>ДАТА НА ПЪРВО РАЗРЕШАВАНЕ/ПОДНОВЯВАНЕ НА РАЗРЕШЕНИЕТО ЗА УПОТРЕБА</w:t>
      </w:r>
    </w:p>
    <w:p w14:paraId="109AD47A" w14:textId="77777777" w:rsidR="009B3384" w:rsidRDefault="009B3384">
      <w:pPr>
        <w:keepNext/>
      </w:pPr>
    </w:p>
    <w:p w14:paraId="109AD47B" w14:textId="77777777" w:rsidR="009B3384" w:rsidRDefault="00800862">
      <w:r>
        <w:t>Дата на първо разрешаване: 16 януари 2009 г.</w:t>
      </w:r>
    </w:p>
    <w:p w14:paraId="109AD47C" w14:textId="77777777" w:rsidR="009B3384" w:rsidRDefault="00800862">
      <w:pPr>
        <w:rPr>
          <w:iCs/>
        </w:rPr>
      </w:pPr>
      <w:r>
        <w:rPr>
          <w:iCs/>
        </w:rPr>
        <w:t>Дата на последно подновяване: 19 септември 2013 г.</w:t>
      </w:r>
    </w:p>
    <w:p w14:paraId="109AD47D" w14:textId="77777777" w:rsidR="009B3384" w:rsidRDefault="009B3384"/>
    <w:p w14:paraId="109AD47E" w14:textId="77777777" w:rsidR="009B3384" w:rsidRDefault="009B3384"/>
    <w:p w14:paraId="109AD47F" w14:textId="77777777" w:rsidR="009B3384" w:rsidRDefault="00800862">
      <w:pPr>
        <w:keepNext/>
        <w:ind w:left="567" w:hanging="567"/>
        <w:outlineLvl w:val="1"/>
        <w:rPr>
          <w:b/>
        </w:rPr>
      </w:pPr>
      <w:r>
        <w:rPr>
          <w:b/>
        </w:rPr>
        <w:t>10.</w:t>
      </w:r>
      <w:r>
        <w:rPr>
          <w:b/>
        </w:rPr>
        <w:tab/>
        <w:t>ДАТА НА АКТУАЛИЗИРАНЕ НА ТЕКСТА</w:t>
      </w:r>
    </w:p>
    <w:p w14:paraId="109AD480" w14:textId="77777777" w:rsidR="009B3384" w:rsidRDefault="009B3384">
      <w:pPr>
        <w:keepNext/>
      </w:pPr>
    </w:p>
    <w:p w14:paraId="109AD481" w14:textId="77777777" w:rsidR="009B3384" w:rsidRDefault="009B3384">
      <w:pPr>
        <w:keepNext/>
      </w:pPr>
    </w:p>
    <w:p w14:paraId="109AD482" w14:textId="77777777" w:rsidR="009B3384" w:rsidRDefault="009B3384">
      <w:pPr>
        <w:keepNext/>
      </w:pPr>
    </w:p>
    <w:p w14:paraId="109AD483" w14:textId="77777777" w:rsidR="009B3384" w:rsidRDefault="009B3384">
      <w:pPr>
        <w:keepNext/>
      </w:pPr>
    </w:p>
    <w:p w14:paraId="109AD484" w14:textId="77777777" w:rsidR="009B3384" w:rsidRDefault="00800862">
      <w:pPr>
        <w:keepNext/>
      </w:pPr>
      <w: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p>
    <w:p w14:paraId="109AD485" w14:textId="77777777" w:rsidR="009B3384" w:rsidRDefault="00800862">
      <w:r>
        <w:br w:type="page"/>
      </w:r>
    </w:p>
    <w:p w14:paraId="109AD486" w14:textId="77777777" w:rsidR="009B3384" w:rsidRDefault="00800862">
      <w:pPr>
        <w:keepNext/>
        <w:ind w:left="567" w:hanging="567"/>
        <w:outlineLvl w:val="1"/>
        <w:rPr>
          <w:b/>
          <w:bCs/>
        </w:rPr>
      </w:pPr>
      <w:r>
        <w:rPr>
          <w:b/>
          <w:bCs/>
        </w:rPr>
        <w:lastRenderedPageBreak/>
        <w:t>1.</w:t>
      </w:r>
      <w:r>
        <w:rPr>
          <w:b/>
          <w:bCs/>
        </w:rPr>
        <w:tab/>
        <w:t>ИМЕ НА ЛЕКАРСТВЕНИЯ ПРОДУКТ</w:t>
      </w:r>
    </w:p>
    <w:p w14:paraId="109AD487" w14:textId="77777777" w:rsidR="009B3384" w:rsidRDefault="009B3384">
      <w:pPr>
        <w:keepNext/>
        <w:tabs>
          <w:tab w:val="clear" w:pos="567"/>
        </w:tabs>
      </w:pPr>
    </w:p>
    <w:p w14:paraId="109AD488" w14:textId="77777777" w:rsidR="009B3384" w:rsidRDefault="00800862">
      <w:pPr>
        <w:widowControl w:val="0"/>
        <w:tabs>
          <w:tab w:val="clear" w:pos="567"/>
        </w:tabs>
      </w:pPr>
      <w:r>
        <w:rPr>
          <w:lang w:val="en-GB"/>
        </w:rPr>
        <w:t>STELARA</w:t>
      </w:r>
      <w:r>
        <w:t xml:space="preserve"> 45</w:t>
      </w:r>
      <w:r>
        <w:rPr>
          <w:lang w:val="en-GB"/>
        </w:rPr>
        <w:t> mg</w:t>
      </w:r>
      <w:r>
        <w:t xml:space="preserve"> инжекционен разтвор в предварително напълнена писалка</w:t>
      </w:r>
    </w:p>
    <w:p w14:paraId="109AD489" w14:textId="77777777" w:rsidR="009B3384" w:rsidRDefault="00800862">
      <w:pPr>
        <w:widowControl w:val="0"/>
        <w:tabs>
          <w:tab w:val="clear" w:pos="567"/>
        </w:tabs>
      </w:pPr>
      <w:r>
        <w:rPr>
          <w:lang w:val="en-GB"/>
        </w:rPr>
        <w:t>STELARA</w:t>
      </w:r>
      <w:r>
        <w:t xml:space="preserve"> 90</w:t>
      </w:r>
      <w:r>
        <w:rPr>
          <w:lang w:val="en-GB"/>
        </w:rPr>
        <w:t> mg</w:t>
      </w:r>
      <w:r>
        <w:t xml:space="preserve"> инжекционен разтвор в предварително напълнена писалка</w:t>
      </w:r>
    </w:p>
    <w:p w14:paraId="109AD48A" w14:textId="77777777" w:rsidR="009B3384" w:rsidRDefault="009B3384">
      <w:pPr>
        <w:widowControl w:val="0"/>
        <w:tabs>
          <w:tab w:val="clear" w:pos="567"/>
        </w:tabs>
      </w:pPr>
    </w:p>
    <w:p w14:paraId="109AD48B" w14:textId="77777777" w:rsidR="009B3384" w:rsidRDefault="009B3384">
      <w:pPr>
        <w:widowControl w:val="0"/>
        <w:tabs>
          <w:tab w:val="clear" w:pos="567"/>
        </w:tabs>
      </w:pPr>
    </w:p>
    <w:p w14:paraId="109AD48C" w14:textId="77777777" w:rsidR="009B3384" w:rsidRDefault="00800862">
      <w:pPr>
        <w:keepNext/>
        <w:ind w:left="567" w:hanging="567"/>
        <w:outlineLvl w:val="1"/>
        <w:rPr>
          <w:b/>
          <w:bCs/>
        </w:rPr>
      </w:pPr>
      <w:r>
        <w:rPr>
          <w:b/>
          <w:bCs/>
        </w:rPr>
        <w:t>2.</w:t>
      </w:r>
      <w:r>
        <w:rPr>
          <w:b/>
          <w:bCs/>
        </w:rPr>
        <w:tab/>
        <w:t>КАЧЕСТВЕН И КОЛИЧЕСТВЕН СЪСТАВ</w:t>
      </w:r>
    </w:p>
    <w:p w14:paraId="109AD48D" w14:textId="77777777" w:rsidR="009B3384" w:rsidRDefault="009B3384">
      <w:pPr>
        <w:keepNext/>
        <w:widowControl w:val="0"/>
        <w:tabs>
          <w:tab w:val="clear" w:pos="567"/>
        </w:tabs>
      </w:pPr>
    </w:p>
    <w:p w14:paraId="109AD48E" w14:textId="77777777" w:rsidR="009B3384" w:rsidRDefault="00800862">
      <w:pPr>
        <w:keepNext/>
        <w:tabs>
          <w:tab w:val="clear" w:pos="567"/>
        </w:tabs>
        <w:rPr>
          <w:u w:val="single"/>
        </w:rPr>
      </w:pPr>
      <w:r>
        <w:rPr>
          <w:u w:val="single"/>
          <w:lang w:val="en-GB"/>
        </w:rPr>
        <w:t>STELARA</w:t>
      </w:r>
      <w:r>
        <w:rPr>
          <w:u w:val="single"/>
        </w:rPr>
        <w:t xml:space="preserve"> 45</w:t>
      </w:r>
      <w:r>
        <w:rPr>
          <w:u w:val="single"/>
          <w:lang w:val="en-GB"/>
        </w:rPr>
        <w:t> mg</w:t>
      </w:r>
      <w:r>
        <w:rPr>
          <w:u w:val="single"/>
        </w:rPr>
        <w:t xml:space="preserve"> инжекционен разтвор в предварително напълнена писалка</w:t>
      </w:r>
    </w:p>
    <w:p w14:paraId="109AD48F" w14:textId="77777777" w:rsidR="009B3384" w:rsidRDefault="00800862">
      <w:pPr>
        <w:tabs>
          <w:tab w:val="clear" w:pos="567"/>
        </w:tabs>
      </w:pPr>
      <w:r>
        <w:t>Всяка предварително напълнена писалка съдържа 45</w:t>
      </w:r>
      <w:r>
        <w:rPr>
          <w:lang w:val="en-GB"/>
        </w:rPr>
        <w:t> mg</w:t>
      </w:r>
      <w:r>
        <w:t xml:space="preserve"> устекинумаб в 0,5</w:t>
      </w:r>
      <w:r>
        <w:rPr>
          <w:lang w:val="en-GB"/>
        </w:rPr>
        <w:t> ml</w:t>
      </w:r>
      <w:r>
        <w:t>.</w:t>
      </w:r>
    </w:p>
    <w:p w14:paraId="109AD490" w14:textId="77777777" w:rsidR="009B3384" w:rsidRDefault="009B3384">
      <w:pPr>
        <w:tabs>
          <w:tab w:val="clear" w:pos="567"/>
        </w:tabs>
      </w:pPr>
    </w:p>
    <w:p w14:paraId="109AD491" w14:textId="77777777" w:rsidR="009B3384" w:rsidRDefault="00800862">
      <w:pPr>
        <w:keepNext/>
        <w:tabs>
          <w:tab w:val="clear" w:pos="567"/>
        </w:tabs>
        <w:rPr>
          <w:u w:val="single"/>
        </w:rPr>
      </w:pPr>
      <w:r>
        <w:rPr>
          <w:u w:val="single"/>
          <w:lang w:val="en-GB"/>
        </w:rPr>
        <w:t>STELARA</w:t>
      </w:r>
      <w:r>
        <w:rPr>
          <w:u w:val="single"/>
        </w:rPr>
        <w:t xml:space="preserve"> 90</w:t>
      </w:r>
      <w:r>
        <w:rPr>
          <w:u w:val="single"/>
          <w:lang w:val="en-GB"/>
        </w:rPr>
        <w:t> mg</w:t>
      </w:r>
      <w:r>
        <w:rPr>
          <w:u w:val="single"/>
        </w:rPr>
        <w:t xml:space="preserve"> инжекционен разтвор в предварително напълнена писалка</w:t>
      </w:r>
    </w:p>
    <w:p w14:paraId="109AD492" w14:textId="77777777" w:rsidR="009B3384" w:rsidRDefault="00800862">
      <w:pPr>
        <w:tabs>
          <w:tab w:val="clear" w:pos="567"/>
        </w:tabs>
      </w:pPr>
      <w:r>
        <w:t xml:space="preserve">Всяка предварително напълнена </w:t>
      </w:r>
      <w:r>
        <w:rPr>
          <w:u w:val="single"/>
        </w:rPr>
        <w:t>писалка</w:t>
      </w:r>
      <w:r>
        <w:t xml:space="preserve"> съдържа 90</w:t>
      </w:r>
      <w:r>
        <w:rPr>
          <w:lang w:val="en-GB"/>
        </w:rPr>
        <w:t> mg</w:t>
      </w:r>
      <w:r>
        <w:t xml:space="preserve"> устекинумаб в 1</w:t>
      </w:r>
      <w:r>
        <w:rPr>
          <w:lang w:val="en-GB"/>
        </w:rPr>
        <w:t> ml</w:t>
      </w:r>
      <w:r>
        <w:t>.</w:t>
      </w:r>
    </w:p>
    <w:p w14:paraId="109AD493" w14:textId="77777777" w:rsidR="009B3384" w:rsidRDefault="009B3384">
      <w:pPr>
        <w:tabs>
          <w:tab w:val="clear" w:pos="567"/>
        </w:tabs>
      </w:pPr>
    </w:p>
    <w:p w14:paraId="109AD494" w14:textId="4DA3E86F" w:rsidR="009B3384" w:rsidRDefault="00800862">
      <w:pPr>
        <w:tabs>
          <w:tab w:val="clear" w:pos="567"/>
        </w:tabs>
      </w:pPr>
      <w:r>
        <w:t>Устекинумаб е изцяло човешко IgG1κ моноклонално антитяло, произведено в миеломна клетъчна линия на мишки с помощта на рекомбинантна ДНК технология.</w:t>
      </w:r>
    </w:p>
    <w:p w14:paraId="109AD495" w14:textId="77777777" w:rsidR="009B3384" w:rsidRDefault="009B3384">
      <w:pPr>
        <w:widowControl w:val="0"/>
      </w:pPr>
    </w:p>
    <w:p w14:paraId="109AD496" w14:textId="77777777" w:rsidR="009B3384" w:rsidRDefault="00800862">
      <w:pPr>
        <w:widowControl w:val="0"/>
      </w:pPr>
      <w:r>
        <w:t>За пълния списък на помощните вещества вижте точка 6.1.</w:t>
      </w:r>
    </w:p>
    <w:p w14:paraId="109AD497" w14:textId="77777777" w:rsidR="009B3384" w:rsidRDefault="009B3384">
      <w:pPr>
        <w:tabs>
          <w:tab w:val="clear" w:pos="567"/>
        </w:tabs>
      </w:pPr>
    </w:p>
    <w:p w14:paraId="109AD498" w14:textId="77777777" w:rsidR="009B3384" w:rsidRDefault="009B3384">
      <w:pPr>
        <w:tabs>
          <w:tab w:val="clear" w:pos="567"/>
        </w:tabs>
      </w:pPr>
    </w:p>
    <w:p w14:paraId="109AD499" w14:textId="77777777" w:rsidR="009B3384" w:rsidRDefault="00800862">
      <w:pPr>
        <w:keepNext/>
        <w:ind w:left="567" w:hanging="567"/>
        <w:outlineLvl w:val="1"/>
        <w:rPr>
          <w:b/>
          <w:bCs/>
        </w:rPr>
      </w:pPr>
      <w:r>
        <w:rPr>
          <w:b/>
          <w:bCs/>
        </w:rPr>
        <w:t>3.</w:t>
      </w:r>
      <w:r>
        <w:rPr>
          <w:b/>
          <w:bCs/>
        </w:rPr>
        <w:tab/>
        <w:t>ЛЕКАРСТВЕНА ФОРМА</w:t>
      </w:r>
    </w:p>
    <w:p w14:paraId="109AD49A" w14:textId="77777777" w:rsidR="009B3384" w:rsidRDefault="009B3384">
      <w:pPr>
        <w:keepNext/>
      </w:pPr>
    </w:p>
    <w:p w14:paraId="109AD49C" w14:textId="77777777" w:rsidR="009B3384" w:rsidRDefault="00800862">
      <w:pPr>
        <w:rPr>
          <w:szCs w:val="22"/>
        </w:rPr>
      </w:pPr>
      <w:r>
        <w:rPr>
          <w:szCs w:val="22"/>
        </w:rPr>
        <w:t>Инжекционен разтвор (инжекция)</w:t>
      </w:r>
    </w:p>
    <w:p w14:paraId="109AD49D" w14:textId="77777777" w:rsidR="009B3384" w:rsidRDefault="009B3384">
      <w:pPr>
        <w:rPr>
          <w:szCs w:val="22"/>
        </w:rPr>
      </w:pPr>
    </w:p>
    <w:p w14:paraId="109AD4A0" w14:textId="77777777" w:rsidR="009B3384" w:rsidRDefault="009B3384">
      <w:pPr>
        <w:rPr>
          <w:szCs w:val="22"/>
        </w:rPr>
      </w:pPr>
    </w:p>
    <w:p w14:paraId="109AD4A1" w14:textId="77543978" w:rsidR="009B3384" w:rsidRDefault="00800862">
      <w:pPr>
        <w:rPr>
          <w:szCs w:val="22"/>
        </w:rPr>
      </w:pPr>
      <w:r>
        <w:rPr>
          <w:szCs w:val="22"/>
        </w:rPr>
        <w:t>Разтворът е бистър до леко опалесцентен, безцветен до бледожълт</w:t>
      </w:r>
      <w:r>
        <w:t>, с целево pH 6,0 и приблизителен осмола</w:t>
      </w:r>
      <w:r w:rsidR="00182620">
        <w:t>л</w:t>
      </w:r>
      <w:r>
        <w:t>итет 314 mOsm/kg</w:t>
      </w:r>
      <w:r>
        <w:rPr>
          <w:szCs w:val="22"/>
        </w:rPr>
        <w:t>.</w:t>
      </w:r>
    </w:p>
    <w:p w14:paraId="109AD4A2" w14:textId="77777777" w:rsidR="009B3384" w:rsidRDefault="009B3384"/>
    <w:p w14:paraId="109AD4A3" w14:textId="77777777" w:rsidR="009B3384" w:rsidRDefault="009B3384">
      <w:pPr>
        <w:tabs>
          <w:tab w:val="clear" w:pos="567"/>
        </w:tabs>
      </w:pPr>
    </w:p>
    <w:p w14:paraId="109AD4A4" w14:textId="77777777" w:rsidR="009B3384" w:rsidRDefault="00800862">
      <w:pPr>
        <w:keepNext/>
        <w:ind w:left="567" w:hanging="567"/>
        <w:outlineLvl w:val="1"/>
        <w:rPr>
          <w:b/>
          <w:bCs/>
        </w:rPr>
      </w:pPr>
      <w:r>
        <w:rPr>
          <w:b/>
          <w:bCs/>
        </w:rPr>
        <w:t>4.</w:t>
      </w:r>
      <w:r>
        <w:rPr>
          <w:b/>
          <w:bCs/>
        </w:rPr>
        <w:tab/>
        <w:t>КЛИНИЧНИ ДАННИ</w:t>
      </w:r>
    </w:p>
    <w:p w14:paraId="109AD4A5" w14:textId="77777777" w:rsidR="009B3384" w:rsidRDefault="009B3384">
      <w:pPr>
        <w:keepNext/>
        <w:tabs>
          <w:tab w:val="clear" w:pos="567"/>
        </w:tabs>
      </w:pPr>
    </w:p>
    <w:p w14:paraId="109AD4A6" w14:textId="77777777" w:rsidR="009B3384" w:rsidRDefault="00800862">
      <w:pPr>
        <w:keepNext/>
        <w:ind w:left="567" w:hanging="567"/>
        <w:outlineLvl w:val="2"/>
        <w:rPr>
          <w:b/>
          <w:bCs/>
        </w:rPr>
      </w:pPr>
      <w:r>
        <w:rPr>
          <w:b/>
          <w:bCs/>
        </w:rPr>
        <w:t>4.1</w:t>
      </w:r>
      <w:r>
        <w:rPr>
          <w:b/>
          <w:bCs/>
        </w:rPr>
        <w:tab/>
        <w:t>Терапевтични показания</w:t>
      </w:r>
    </w:p>
    <w:p w14:paraId="109AD4A7" w14:textId="77777777" w:rsidR="009B3384" w:rsidRDefault="009B3384">
      <w:pPr>
        <w:keepNext/>
        <w:tabs>
          <w:tab w:val="clear" w:pos="567"/>
        </w:tabs>
      </w:pPr>
    </w:p>
    <w:p w14:paraId="109AD4A8" w14:textId="77777777" w:rsidR="009B3384" w:rsidRDefault="00800862">
      <w:pPr>
        <w:keepNext/>
        <w:tabs>
          <w:tab w:val="clear" w:pos="567"/>
        </w:tabs>
        <w:rPr>
          <w:u w:val="single"/>
        </w:rPr>
      </w:pPr>
      <w:r>
        <w:rPr>
          <w:u w:val="single"/>
        </w:rPr>
        <w:t>Плаков псориазис</w:t>
      </w:r>
    </w:p>
    <w:p w14:paraId="109AD4A9" w14:textId="77777777" w:rsidR="009B3384" w:rsidRDefault="009B3384">
      <w:pPr>
        <w:keepNext/>
        <w:tabs>
          <w:tab w:val="clear" w:pos="567"/>
        </w:tabs>
      </w:pPr>
    </w:p>
    <w:p w14:paraId="109AD4AA" w14:textId="77777777" w:rsidR="009B3384" w:rsidRDefault="00800862">
      <w:pPr>
        <w:tabs>
          <w:tab w:val="clear" w:pos="567"/>
        </w:tabs>
      </w:pPr>
      <w:r>
        <w:t>STELARA е показан за лечение на умерен до тежък плаков псориазис при възрастни, които не са се повлияли, имат противопоказания или непоносимост към други системни терапии, включващи циклоспорин, метотрексат (МТХ) или ПУВА (псорален и ултравиолетови А лъчи) терапия (вж. точка 5.1).</w:t>
      </w:r>
    </w:p>
    <w:p w14:paraId="109AD4AB" w14:textId="77777777" w:rsidR="009B3384" w:rsidRDefault="009B3384">
      <w:pPr>
        <w:tabs>
          <w:tab w:val="clear" w:pos="567"/>
        </w:tabs>
      </w:pPr>
    </w:p>
    <w:p w14:paraId="109AD4AC" w14:textId="77777777" w:rsidR="009B3384" w:rsidRDefault="00800862">
      <w:pPr>
        <w:keepNext/>
        <w:rPr>
          <w:u w:val="single"/>
        </w:rPr>
      </w:pPr>
      <w:r>
        <w:rPr>
          <w:u w:val="single"/>
        </w:rPr>
        <w:t>Псориатичен артрит (P</w:t>
      </w:r>
      <w:r>
        <w:rPr>
          <w:u w:val="single"/>
          <w:lang w:val="en-US"/>
        </w:rPr>
        <w:t>s</w:t>
      </w:r>
      <w:r>
        <w:rPr>
          <w:u w:val="single"/>
        </w:rPr>
        <w:t>A)</w:t>
      </w:r>
    </w:p>
    <w:p w14:paraId="109AD4AD" w14:textId="77777777" w:rsidR="009B3384" w:rsidRDefault="009B3384">
      <w:pPr>
        <w:keepNext/>
      </w:pPr>
    </w:p>
    <w:p w14:paraId="109AD4AE" w14:textId="77777777" w:rsidR="009B3384" w:rsidRDefault="00800862">
      <w:r>
        <w:t xml:space="preserve">STELARA, самостоятелно или в комбинация с MTX, е показан за лечение на активен псориатичен артрит при възрастни пациенти, при които отговорът към предшестващо лечение с небиологични </w:t>
      </w:r>
      <w:r>
        <w:rPr>
          <w:iCs/>
        </w:rPr>
        <w:t xml:space="preserve">модифициращи болестта антиревматоидни лекарства </w:t>
      </w:r>
      <w:r>
        <w:t>(DMARD) е бил недостатъчен (вж. точка 5.1).</w:t>
      </w:r>
    </w:p>
    <w:p w14:paraId="109AD4AF" w14:textId="77777777" w:rsidR="009B3384" w:rsidRDefault="009B3384"/>
    <w:p w14:paraId="109AD4B0" w14:textId="77777777" w:rsidR="009B3384" w:rsidRDefault="00800862">
      <w:pPr>
        <w:keepLines/>
        <w:widowControl w:val="0"/>
      </w:pPr>
      <w:r>
        <w:rPr>
          <w:szCs w:val="22"/>
          <w:u w:val="single"/>
        </w:rPr>
        <w:t>Болест на Crohn</w:t>
      </w:r>
    </w:p>
    <w:p w14:paraId="109AD4B1" w14:textId="77777777" w:rsidR="009B3384" w:rsidRDefault="009B3384">
      <w:pPr>
        <w:keepNext/>
      </w:pPr>
    </w:p>
    <w:p w14:paraId="109AD4B2" w14:textId="77777777" w:rsidR="009B3384" w:rsidRDefault="00800862">
      <w:r>
        <w:rPr>
          <w:lang w:val="en-GB"/>
        </w:rPr>
        <w:t>STELARA</w:t>
      </w:r>
      <w:r>
        <w:t xml:space="preserve"> е показан за лечение на възрастни пациенти с умерена до тежка активна болест на </w:t>
      </w:r>
      <w:r>
        <w:rPr>
          <w:lang w:val="en-GB"/>
        </w:rPr>
        <w:t>Crohn</w:t>
      </w:r>
      <w:r>
        <w:t xml:space="preserve">, които са се повлияли недостатъчно, вече не се повлияват или имат непоносимост към конвенционалната терапия или към антагонист на </w:t>
      </w:r>
      <w:r>
        <w:rPr>
          <w:lang w:val="en-GB"/>
        </w:rPr>
        <w:t>TNFα</w:t>
      </w:r>
      <w:r>
        <w:t>.</w:t>
      </w:r>
    </w:p>
    <w:p w14:paraId="109AD4B3" w14:textId="77777777" w:rsidR="009B3384" w:rsidRDefault="009B3384"/>
    <w:p w14:paraId="109AD4B4" w14:textId="77777777" w:rsidR="009B3384" w:rsidRDefault="00800862">
      <w:pPr>
        <w:keepNext/>
        <w:rPr>
          <w:u w:val="single"/>
        </w:rPr>
      </w:pPr>
      <w:r>
        <w:rPr>
          <w:u w:val="single"/>
        </w:rPr>
        <w:t>Улцерозен колит</w:t>
      </w:r>
    </w:p>
    <w:p w14:paraId="109AD4B5" w14:textId="77777777" w:rsidR="009B3384" w:rsidRDefault="009B3384">
      <w:pPr>
        <w:keepNext/>
        <w:widowControl w:val="0"/>
      </w:pPr>
    </w:p>
    <w:p w14:paraId="109AD4B6" w14:textId="77777777" w:rsidR="009B3384" w:rsidRDefault="00800862">
      <w:pPr>
        <w:widowControl w:val="0"/>
      </w:pPr>
      <w:r>
        <w:t xml:space="preserve">STELARA е показан за лечение на възрастни пациенти с умерен до тежък активен улцерозен колит, които са се повлияли недостатъчно, вече не се повлияват или имат непоносимост към </w:t>
      </w:r>
      <w:r>
        <w:lastRenderedPageBreak/>
        <w:t>конвенционалната терапия или към биологичен лекарствен продукт.</w:t>
      </w:r>
    </w:p>
    <w:p w14:paraId="109AD4B7" w14:textId="77777777" w:rsidR="009B3384" w:rsidRDefault="009B3384"/>
    <w:p w14:paraId="109AD4B8" w14:textId="77777777" w:rsidR="009B3384" w:rsidRDefault="00800862">
      <w:pPr>
        <w:keepNext/>
        <w:ind w:left="567" w:hanging="567"/>
        <w:outlineLvl w:val="2"/>
        <w:rPr>
          <w:b/>
          <w:bCs/>
        </w:rPr>
      </w:pPr>
      <w:r>
        <w:rPr>
          <w:b/>
          <w:bCs/>
        </w:rPr>
        <w:t>4.2</w:t>
      </w:r>
      <w:r>
        <w:rPr>
          <w:b/>
          <w:bCs/>
        </w:rPr>
        <w:tab/>
        <w:t>Дозировка и начин на приложение</w:t>
      </w:r>
    </w:p>
    <w:p w14:paraId="109AD4B9" w14:textId="77777777" w:rsidR="009B3384" w:rsidRDefault="009B3384">
      <w:pPr>
        <w:keepNext/>
        <w:tabs>
          <w:tab w:val="clear" w:pos="567"/>
        </w:tabs>
        <w:rPr>
          <w:bCs/>
        </w:rPr>
      </w:pPr>
    </w:p>
    <w:p w14:paraId="109AD4BA" w14:textId="77777777" w:rsidR="009B3384" w:rsidRDefault="00800862">
      <w:pPr>
        <w:tabs>
          <w:tab w:val="clear" w:pos="567"/>
        </w:tabs>
        <w:rPr>
          <w:bCs/>
        </w:rPr>
      </w:pPr>
      <w:r>
        <w:rPr>
          <w:bCs/>
        </w:rPr>
        <w:t xml:space="preserve">STELARA е предназначен за употреба под ръководството и надзора на лекар с опит в диагностицирането и лечението на заболявания, за които </w:t>
      </w:r>
      <w:r>
        <w:rPr>
          <w:bCs/>
          <w:lang w:val="en-GB"/>
        </w:rPr>
        <w:t>STELARA</w:t>
      </w:r>
      <w:r>
        <w:rPr>
          <w:bCs/>
        </w:rPr>
        <w:t xml:space="preserve"> е показан.</w:t>
      </w:r>
    </w:p>
    <w:p w14:paraId="109AD4BB" w14:textId="77777777" w:rsidR="009B3384" w:rsidRDefault="009B3384">
      <w:pPr>
        <w:tabs>
          <w:tab w:val="clear" w:pos="567"/>
        </w:tabs>
        <w:rPr>
          <w:bCs/>
        </w:rPr>
      </w:pPr>
    </w:p>
    <w:p w14:paraId="109AD4BC" w14:textId="77777777" w:rsidR="009B3384" w:rsidRDefault="00800862">
      <w:pPr>
        <w:keepNext/>
        <w:tabs>
          <w:tab w:val="clear" w:pos="567"/>
        </w:tabs>
        <w:rPr>
          <w:u w:val="single"/>
        </w:rPr>
      </w:pPr>
      <w:r>
        <w:rPr>
          <w:u w:val="single"/>
        </w:rPr>
        <w:t>Дозировка</w:t>
      </w:r>
    </w:p>
    <w:p w14:paraId="109AD4BD" w14:textId="77777777" w:rsidR="009B3384" w:rsidRDefault="009B3384">
      <w:pPr>
        <w:keepNext/>
        <w:tabs>
          <w:tab w:val="clear" w:pos="567"/>
        </w:tabs>
        <w:rPr>
          <w:bCs/>
        </w:rPr>
      </w:pPr>
    </w:p>
    <w:p w14:paraId="109AD4BE" w14:textId="77777777" w:rsidR="009B3384" w:rsidRDefault="00800862">
      <w:pPr>
        <w:keepNext/>
        <w:tabs>
          <w:tab w:val="clear" w:pos="567"/>
        </w:tabs>
        <w:rPr>
          <w:u w:val="single"/>
        </w:rPr>
      </w:pPr>
      <w:r>
        <w:rPr>
          <w:u w:val="single"/>
        </w:rPr>
        <w:t xml:space="preserve">Плаков </w:t>
      </w:r>
      <w:r w:rsidRPr="00BC6A43">
        <w:rPr>
          <w:i/>
          <w:iCs/>
          <w:u w:val="single"/>
        </w:rPr>
        <w:t>псориазис</w:t>
      </w:r>
    </w:p>
    <w:p w14:paraId="109AD4BF" w14:textId="77777777" w:rsidR="009B3384" w:rsidRDefault="00800862">
      <w:pPr>
        <w:tabs>
          <w:tab w:val="clear" w:pos="567"/>
        </w:tabs>
        <w:rPr>
          <w:bCs/>
        </w:rPr>
      </w:pPr>
      <w:bookmarkStart w:id="1263" w:name="_Hlk137569730"/>
      <w:r>
        <w:rPr>
          <w:bCs/>
        </w:rPr>
        <w:t>Препоръчителната</w:t>
      </w:r>
      <w:bookmarkEnd w:id="1263"/>
      <w:r>
        <w:rPr>
          <w:bCs/>
        </w:rPr>
        <w:t xml:space="preserve"> дозировка на STELARA е начална доза 45 mg, приложена подкожно, последвана от доза 45 mg 4 седмици по-късно и след това на всеки 12 седмици.</w:t>
      </w:r>
    </w:p>
    <w:p w14:paraId="109AD4C0" w14:textId="77777777" w:rsidR="009B3384" w:rsidRDefault="009B3384">
      <w:pPr>
        <w:tabs>
          <w:tab w:val="clear" w:pos="567"/>
        </w:tabs>
        <w:rPr>
          <w:bCs/>
        </w:rPr>
      </w:pPr>
    </w:p>
    <w:p w14:paraId="109AD4C1" w14:textId="77777777" w:rsidR="009B3384" w:rsidRDefault="00800862">
      <w:pPr>
        <w:tabs>
          <w:tab w:val="clear" w:pos="567"/>
        </w:tabs>
        <w:rPr>
          <w:bCs/>
        </w:rPr>
      </w:pPr>
      <w:r>
        <w:rPr>
          <w:bCs/>
        </w:rPr>
        <w:t>При пациенти, които не са се повлияли от лечението до 28 седмици трябва да се обмисли прекратяване на терапията.</w:t>
      </w:r>
    </w:p>
    <w:p w14:paraId="109AD4C2" w14:textId="77777777" w:rsidR="009B3384" w:rsidRDefault="009B3384">
      <w:pPr>
        <w:tabs>
          <w:tab w:val="clear" w:pos="567"/>
        </w:tabs>
        <w:rPr>
          <w:bCs/>
        </w:rPr>
      </w:pPr>
    </w:p>
    <w:p w14:paraId="109AD4C3" w14:textId="77777777" w:rsidR="009B3384" w:rsidRDefault="00800862">
      <w:pPr>
        <w:keepNext/>
        <w:tabs>
          <w:tab w:val="clear" w:pos="567"/>
        </w:tabs>
        <w:rPr>
          <w:bCs/>
          <w:i/>
          <w:iCs/>
        </w:rPr>
      </w:pPr>
      <w:r>
        <w:rPr>
          <w:bCs/>
          <w:i/>
          <w:iCs/>
        </w:rPr>
        <w:t>Пациенти с телесно тегло &gt;</w:t>
      </w:r>
      <w:r>
        <w:rPr>
          <w:bCs/>
          <w:i/>
          <w:iCs/>
          <w:lang w:val="nl-BE"/>
        </w:rPr>
        <w:t> </w:t>
      </w:r>
      <w:r>
        <w:rPr>
          <w:bCs/>
          <w:i/>
          <w:iCs/>
        </w:rPr>
        <w:t>100 kg</w:t>
      </w:r>
    </w:p>
    <w:p w14:paraId="109AD4C4" w14:textId="1A86B62F" w:rsidR="009B3384" w:rsidRDefault="00800862">
      <w:pPr>
        <w:tabs>
          <w:tab w:val="clear" w:pos="567"/>
        </w:tabs>
        <w:rPr>
          <w:bCs/>
        </w:rPr>
      </w:pPr>
      <w:r>
        <w:rPr>
          <w:bCs/>
        </w:rPr>
        <w:t>За пациенти с телесно тегло &gt;</w:t>
      </w:r>
      <w:r>
        <w:rPr>
          <w:bCs/>
          <w:lang w:val="nl-BE"/>
        </w:rPr>
        <w:t> </w:t>
      </w:r>
      <w:r>
        <w:rPr>
          <w:bCs/>
        </w:rPr>
        <w:t xml:space="preserve">100 kg първоначалната доза е 90 mg, приложена подкожно, последвана от доза 90 mg 4 седмици по-късно и след това на всеки 12 седмици. При тези пациенти дозата 45 mg също е ефикасна, но по-голяма ефикасност има дозата 90 mg. (вж. точка 5.1, </w:t>
      </w:r>
      <w:ins w:id="1264" w:author="RABG09" w:date="2026-05-14T12:48:00Z">
        <w:r w:rsidR="0023784F">
          <w:rPr>
            <w:bCs/>
          </w:rPr>
          <w:t>Т</w:t>
        </w:r>
      </w:ins>
      <w:del w:id="1265" w:author="RABG09" w:date="2026-05-14T12:48:00Z">
        <w:r w:rsidDel="0023784F">
          <w:rPr>
            <w:bCs/>
          </w:rPr>
          <w:delText>т</w:delText>
        </w:r>
      </w:del>
      <w:r>
        <w:rPr>
          <w:bCs/>
        </w:rPr>
        <w:t>аблица </w:t>
      </w:r>
      <w:del w:id="1266" w:author="Reviser" w:date="2026-04-29T20:55:00Z">
        <w:r w:rsidDel="006A2177">
          <w:rPr>
            <w:bCs/>
          </w:rPr>
          <w:delText>4</w:delText>
        </w:r>
      </w:del>
      <w:ins w:id="1267" w:author="Reviser" w:date="2026-04-29T20:55:00Z">
        <w:r w:rsidR="006A2177">
          <w:rPr>
            <w:bCs/>
          </w:rPr>
          <w:t>2</w:t>
        </w:r>
      </w:ins>
      <w:r>
        <w:rPr>
          <w:bCs/>
        </w:rPr>
        <w:t>)</w:t>
      </w:r>
    </w:p>
    <w:p w14:paraId="109AD4C5" w14:textId="77777777" w:rsidR="009B3384" w:rsidRDefault="009B3384"/>
    <w:p w14:paraId="109AD4C6" w14:textId="77777777" w:rsidR="009B3384" w:rsidRPr="00BC6A43" w:rsidRDefault="00800862">
      <w:pPr>
        <w:keepNext/>
        <w:rPr>
          <w:i/>
          <w:iCs/>
          <w:u w:val="single"/>
        </w:rPr>
      </w:pPr>
      <w:r w:rsidRPr="00BC6A43">
        <w:rPr>
          <w:i/>
          <w:iCs/>
          <w:u w:val="single"/>
        </w:rPr>
        <w:t>Псориатичен артрит (P</w:t>
      </w:r>
      <w:r w:rsidRPr="00BC6A43">
        <w:rPr>
          <w:i/>
          <w:iCs/>
          <w:u w:val="single"/>
          <w:lang w:val="en-US"/>
        </w:rPr>
        <w:t>s</w:t>
      </w:r>
      <w:r w:rsidRPr="00BC6A43">
        <w:rPr>
          <w:i/>
          <w:iCs/>
          <w:u w:val="single"/>
        </w:rPr>
        <w:t>A)</w:t>
      </w:r>
    </w:p>
    <w:p w14:paraId="109AD4C7" w14:textId="77777777" w:rsidR="009B3384" w:rsidRDefault="00800862">
      <w:r>
        <w:t xml:space="preserve">Препоръчваната дозировка на STELARA е начална доза </w:t>
      </w:r>
      <w:r>
        <w:rPr>
          <w:bCs/>
        </w:rPr>
        <w:t>45 mg, приложена</w:t>
      </w:r>
      <w:r>
        <w:t xml:space="preserve"> подкожно, последвана от доза </w:t>
      </w:r>
      <w:r>
        <w:rPr>
          <w:bCs/>
        </w:rPr>
        <w:t>45 mg</w:t>
      </w:r>
      <w:r>
        <w:t xml:space="preserve"> 4 седмици по-късно и след това на всеки 12 седмици. Алтернативно, при пациенти с телесно тегло &gt; 100 kg, може да се използват 90 mg.</w:t>
      </w:r>
    </w:p>
    <w:p w14:paraId="109AD4C8" w14:textId="77777777" w:rsidR="009B3384" w:rsidRDefault="009B3384"/>
    <w:p w14:paraId="109AD4C9" w14:textId="77777777" w:rsidR="009B3384" w:rsidRDefault="00800862">
      <w:r>
        <w:t>При пациенти, които не са се повлияли от лечението до 28 седмици трябва да се обмисли преустановяване на лечението.</w:t>
      </w:r>
    </w:p>
    <w:p w14:paraId="109AD4CA" w14:textId="77777777" w:rsidR="009B3384" w:rsidRDefault="009B3384"/>
    <w:p w14:paraId="109AD4CB" w14:textId="752DA435" w:rsidR="009B3384" w:rsidRPr="00F9219D" w:rsidRDefault="00800862">
      <w:pPr>
        <w:keepNext/>
        <w:tabs>
          <w:tab w:val="clear" w:pos="567"/>
        </w:tabs>
        <w:rPr>
          <w:bCs/>
          <w:i/>
          <w:iCs/>
        </w:rPr>
      </w:pPr>
      <w:r>
        <w:rPr>
          <w:bCs/>
          <w:i/>
          <w:iCs/>
        </w:rPr>
        <w:t>Старческа възраст</w:t>
      </w:r>
      <w:del w:id="1268" w:author="EUCP BE1" w:date="2026-05-19T16:59:00Z">
        <w:r w:rsidDel="00F72194">
          <w:rPr>
            <w:bCs/>
            <w:i/>
            <w:iCs/>
          </w:rPr>
          <w:delText xml:space="preserve"> </w:delText>
        </w:r>
      </w:del>
    </w:p>
    <w:p w14:paraId="109AD4CC" w14:textId="183C5B5D" w:rsidR="009B3384" w:rsidRDefault="00800862">
      <w:pPr>
        <w:tabs>
          <w:tab w:val="clear" w:pos="567"/>
        </w:tabs>
        <w:rPr>
          <w:bCs/>
        </w:rPr>
      </w:pPr>
      <w:r>
        <w:rPr>
          <w:bCs/>
        </w:rPr>
        <w:t>Не е необходимо адаптиране на дозата при пациенти в старческа възраст (≥</w:t>
      </w:r>
      <w:r>
        <w:rPr>
          <w:bCs/>
          <w:lang w:val="en-US"/>
        </w:rPr>
        <w:t> </w:t>
      </w:r>
      <w:r>
        <w:rPr>
          <w:bCs/>
        </w:rPr>
        <w:t>65</w:t>
      </w:r>
      <w:r>
        <w:rPr>
          <w:bCs/>
          <w:lang w:val="en-US"/>
        </w:rPr>
        <w:t> </w:t>
      </w:r>
      <w:r>
        <w:rPr>
          <w:bCs/>
        </w:rPr>
        <w:t>години) (вж. точка 4.4).</w:t>
      </w:r>
    </w:p>
    <w:p w14:paraId="109AD4CD" w14:textId="77777777" w:rsidR="009B3384" w:rsidRDefault="009B3384">
      <w:pPr>
        <w:tabs>
          <w:tab w:val="clear" w:pos="567"/>
        </w:tabs>
        <w:rPr>
          <w:bCs/>
        </w:rPr>
      </w:pPr>
    </w:p>
    <w:p w14:paraId="109AD4CE" w14:textId="77777777" w:rsidR="009B3384" w:rsidRDefault="00800862">
      <w:pPr>
        <w:keepNext/>
        <w:tabs>
          <w:tab w:val="clear" w:pos="567"/>
        </w:tabs>
        <w:rPr>
          <w:i/>
          <w:iCs/>
        </w:rPr>
      </w:pPr>
      <w:r>
        <w:rPr>
          <w:i/>
          <w:iCs/>
        </w:rPr>
        <w:t>Бъбречно и чернодробно увреждане</w:t>
      </w:r>
    </w:p>
    <w:p w14:paraId="109AD4CF" w14:textId="77777777" w:rsidR="009B3384" w:rsidRDefault="00800862">
      <w:pPr>
        <w:tabs>
          <w:tab w:val="clear" w:pos="567"/>
        </w:tabs>
        <w:rPr>
          <w:bCs/>
        </w:rPr>
      </w:pPr>
      <w:r>
        <w:rPr>
          <w:bCs/>
        </w:rPr>
        <w:t>Не са провеждани проучвания със STELARA при тези популации пациенти. Не може да се даде препоръка за дозата.</w:t>
      </w:r>
    </w:p>
    <w:p w14:paraId="109AD4D0" w14:textId="77777777" w:rsidR="009B3384" w:rsidRDefault="009B3384">
      <w:pPr>
        <w:tabs>
          <w:tab w:val="clear" w:pos="567"/>
        </w:tabs>
        <w:rPr>
          <w:bCs/>
        </w:rPr>
      </w:pPr>
    </w:p>
    <w:p w14:paraId="109AD4D1" w14:textId="77777777" w:rsidR="009B3384" w:rsidRDefault="00800862">
      <w:pPr>
        <w:keepNext/>
        <w:tabs>
          <w:tab w:val="clear" w:pos="567"/>
        </w:tabs>
        <w:rPr>
          <w:bCs/>
          <w:i/>
        </w:rPr>
      </w:pPr>
      <w:r>
        <w:rPr>
          <w:bCs/>
          <w:i/>
        </w:rPr>
        <w:t>Педиатрична популация</w:t>
      </w:r>
    </w:p>
    <w:p w14:paraId="109AD4D2" w14:textId="77777777" w:rsidR="009B3384" w:rsidRDefault="00800862">
      <w:pPr>
        <w:tabs>
          <w:tab w:val="clear" w:pos="567"/>
        </w:tabs>
        <w:rPr>
          <w:bCs/>
        </w:rPr>
      </w:pPr>
      <w:r>
        <w:rPr>
          <w:bCs/>
        </w:rPr>
        <w:t>Безопасността и ефикасността на STELARA при деца с псориазис на възраст под 6 години или при деца с псориатичен артрит под 18-годишна възраст все още не са установени. Предварително напълнената писалка не е проучвана при педиатричната популация и не се препоръчва за употреба при педиатрични пациенти. Вижте точка 4.2 от КХП на предварително напълнената спринцовка за дозировката и начина на приложение при педиатрични пациенти на 6 и повече години с псориазис.</w:t>
      </w:r>
    </w:p>
    <w:p w14:paraId="109AD4D3" w14:textId="77777777" w:rsidR="009B3384" w:rsidRDefault="009B3384">
      <w:pPr>
        <w:tabs>
          <w:tab w:val="clear" w:pos="567"/>
        </w:tabs>
        <w:rPr>
          <w:bCs/>
        </w:rPr>
      </w:pPr>
    </w:p>
    <w:p w14:paraId="109AD4D4" w14:textId="77777777" w:rsidR="009B3384" w:rsidRPr="00BC6A43" w:rsidRDefault="00800862">
      <w:pPr>
        <w:keepNext/>
        <w:keepLines/>
        <w:rPr>
          <w:bCs/>
          <w:i/>
          <w:iCs/>
          <w:u w:val="single"/>
        </w:rPr>
      </w:pPr>
      <w:r w:rsidRPr="00BC6A43">
        <w:rPr>
          <w:i/>
          <w:iCs/>
          <w:szCs w:val="22"/>
          <w:u w:val="single"/>
        </w:rPr>
        <w:t>Болест на Crohn</w:t>
      </w:r>
      <w:r w:rsidRPr="00BC6A43">
        <w:rPr>
          <w:i/>
          <w:iCs/>
        </w:rPr>
        <w:t xml:space="preserve"> </w:t>
      </w:r>
      <w:r w:rsidRPr="00BC6A43">
        <w:rPr>
          <w:i/>
          <w:iCs/>
          <w:szCs w:val="22"/>
          <w:u w:val="single"/>
        </w:rPr>
        <w:t>и улцерозен колит</w:t>
      </w:r>
    </w:p>
    <w:p w14:paraId="109AD4D5" w14:textId="77777777" w:rsidR="009B3384" w:rsidRDefault="00800862">
      <w:pPr>
        <w:widowControl w:val="0"/>
        <w:rPr>
          <w:szCs w:val="22"/>
        </w:rPr>
      </w:pPr>
      <w:r>
        <w:rPr>
          <w:szCs w:val="22"/>
        </w:rPr>
        <w:t xml:space="preserve">В схемата на лечение първата доза на </w:t>
      </w:r>
      <w:r>
        <w:rPr>
          <w:szCs w:val="22"/>
          <w:lang w:val="en-US"/>
        </w:rPr>
        <w:t>STELARA</w:t>
      </w:r>
      <w:r>
        <w:rPr>
          <w:szCs w:val="22"/>
        </w:rPr>
        <w:t xml:space="preserve"> се прилага интравенозно. За дозировката при </w:t>
      </w:r>
      <w:r>
        <w:t>интравенозна</w:t>
      </w:r>
      <w:r>
        <w:rPr>
          <w:szCs w:val="22"/>
        </w:rPr>
        <w:t xml:space="preserve"> схема на прилагане вижте точка</w:t>
      </w:r>
      <w:r>
        <w:rPr>
          <w:szCs w:val="22"/>
          <w:lang w:val="en-US"/>
        </w:rPr>
        <w:t> </w:t>
      </w:r>
      <w:r>
        <w:rPr>
          <w:szCs w:val="22"/>
        </w:rPr>
        <w:t xml:space="preserve">4.2 от КХП на </w:t>
      </w:r>
      <w:r>
        <w:rPr>
          <w:szCs w:val="22"/>
          <w:lang w:val="en-US"/>
        </w:rPr>
        <w:t>STELARA</w:t>
      </w:r>
      <w:r>
        <w:rPr>
          <w:szCs w:val="22"/>
        </w:rPr>
        <w:t xml:space="preserve"> 130 </w:t>
      </w:r>
      <w:r>
        <w:rPr>
          <w:szCs w:val="22"/>
          <w:lang w:val="en-US"/>
        </w:rPr>
        <w:t>mg</w:t>
      </w:r>
      <w:r>
        <w:rPr>
          <w:szCs w:val="22"/>
        </w:rPr>
        <w:t xml:space="preserve"> концентрат за инфузионен разтвор.</w:t>
      </w:r>
    </w:p>
    <w:p w14:paraId="109AD4D6" w14:textId="77777777" w:rsidR="009B3384" w:rsidRDefault="009B3384">
      <w:pPr>
        <w:widowControl w:val="0"/>
        <w:rPr>
          <w:szCs w:val="22"/>
        </w:rPr>
      </w:pPr>
    </w:p>
    <w:p w14:paraId="109AD4D7" w14:textId="77777777" w:rsidR="009B3384" w:rsidRDefault="00800862">
      <w:pPr>
        <w:widowControl w:val="0"/>
        <w:rPr>
          <w:szCs w:val="22"/>
        </w:rPr>
      </w:pPr>
      <w:r>
        <w:rPr>
          <w:szCs w:val="22"/>
        </w:rPr>
        <w:t>Първото подкожно приложение на 90 </w:t>
      </w:r>
      <w:r>
        <w:rPr>
          <w:szCs w:val="22"/>
          <w:lang w:val="en-US"/>
        </w:rPr>
        <w:t>mg</w:t>
      </w:r>
      <w:r>
        <w:rPr>
          <w:szCs w:val="22"/>
        </w:rPr>
        <w:t xml:space="preserve"> </w:t>
      </w:r>
      <w:r>
        <w:rPr>
          <w:szCs w:val="22"/>
          <w:lang w:val="en-US"/>
        </w:rPr>
        <w:t>STELARA</w:t>
      </w:r>
      <w:r>
        <w:rPr>
          <w:szCs w:val="22"/>
        </w:rPr>
        <w:t xml:space="preserve"> трябва да се извърши на </w:t>
      </w:r>
      <w:r>
        <w:t>седмица</w:t>
      </w:r>
      <w:r>
        <w:rPr>
          <w:szCs w:val="22"/>
        </w:rPr>
        <w:t xml:space="preserve"> 8 след </w:t>
      </w:r>
      <w:r>
        <w:t>интравенозната</w:t>
      </w:r>
      <w:r>
        <w:rPr>
          <w:szCs w:val="22"/>
        </w:rPr>
        <w:t xml:space="preserve"> доза. След това се препоръчва приложение през 12 седмици.</w:t>
      </w:r>
    </w:p>
    <w:p w14:paraId="109AD4D8" w14:textId="77777777" w:rsidR="009B3384" w:rsidRDefault="009B3384">
      <w:pPr>
        <w:widowControl w:val="0"/>
        <w:rPr>
          <w:bCs/>
        </w:rPr>
      </w:pPr>
    </w:p>
    <w:p w14:paraId="109AD4D9" w14:textId="77777777" w:rsidR="009B3384" w:rsidRDefault="00800862">
      <w:pPr>
        <w:widowControl w:val="0"/>
        <w:rPr>
          <w:bCs/>
        </w:rPr>
      </w:pPr>
      <w:r>
        <w:rPr>
          <w:bCs/>
        </w:rPr>
        <w:t>Пациенти, които не се повлияват достатъчно до 8 седмици след първата подкожна доза, може да получат втора подкожна доза по това време (вж. точка 5.1).</w:t>
      </w:r>
    </w:p>
    <w:p w14:paraId="109AD4DA" w14:textId="77777777" w:rsidR="009B3384" w:rsidRDefault="009B3384">
      <w:pPr>
        <w:widowControl w:val="0"/>
        <w:rPr>
          <w:bCs/>
        </w:rPr>
      </w:pPr>
    </w:p>
    <w:p w14:paraId="109AD4DB" w14:textId="0D9C17F5" w:rsidR="009B3384" w:rsidRDefault="00800862">
      <w:pPr>
        <w:widowControl w:val="0"/>
        <w:rPr>
          <w:bCs/>
        </w:rPr>
      </w:pPr>
      <w:r>
        <w:rPr>
          <w:bCs/>
        </w:rPr>
        <w:lastRenderedPageBreak/>
        <w:t>Пациенти, при които има загуба на отговор при прилагане през 12 седмици, може да имат полза от повишение на честотата на приложение през 8 седмици (вж. точка 5.1</w:t>
      </w:r>
      <w:del w:id="1269" w:author="RABG09" w:date="2026-06-24T16:42:00Z">
        <w:r w:rsidDel="00351076">
          <w:rPr>
            <w:bCs/>
          </w:rPr>
          <w:delText>,</w:delText>
        </w:r>
      </w:del>
      <w:ins w:id="1270" w:author="RABG09" w:date="2026-06-24T16:42:00Z">
        <w:r w:rsidR="00351076" w:rsidRPr="00F9219D">
          <w:rPr>
            <w:bCs/>
          </w:rPr>
          <w:t xml:space="preserve"> </w:t>
        </w:r>
        <w:r w:rsidR="002B5C8B">
          <w:rPr>
            <w:bCs/>
          </w:rPr>
          <w:t>и</w:t>
        </w:r>
      </w:ins>
      <w:r>
        <w:rPr>
          <w:bCs/>
        </w:rPr>
        <w:t xml:space="preserve"> точка 5.2).</w:t>
      </w:r>
    </w:p>
    <w:p w14:paraId="109AD4DC" w14:textId="77777777" w:rsidR="009B3384" w:rsidRDefault="009B3384">
      <w:pPr>
        <w:widowControl w:val="0"/>
        <w:rPr>
          <w:bCs/>
        </w:rPr>
      </w:pPr>
    </w:p>
    <w:p w14:paraId="109AD4DD" w14:textId="77777777" w:rsidR="009B3384" w:rsidRDefault="00800862">
      <w:pPr>
        <w:widowControl w:val="0"/>
        <w:rPr>
          <w:bCs/>
        </w:rPr>
      </w:pPr>
      <w:r>
        <w:rPr>
          <w:bCs/>
        </w:rPr>
        <w:t xml:space="preserve">Впоследствие дозата може да се прилага на пациентите през 8 седмици или през 12 седмици </w:t>
      </w:r>
      <w:r>
        <w:rPr>
          <w:szCs w:val="22"/>
        </w:rPr>
        <w:t xml:space="preserve">въз основа на клинична преценка </w:t>
      </w:r>
      <w:r>
        <w:rPr>
          <w:bCs/>
        </w:rPr>
        <w:t>(вж. точка 5.1).</w:t>
      </w:r>
    </w:p>
    <w:p w14:paraId="109AD4DE" w14:textId="77777777" w:rsidR="009B3384" w:rsidRDefault="009B3384">
      <w:pPr>
        <w:widowControl w:val="0"/>
        <w:rPr>
          <w:bCs/>
        </w:rPr>
      </w:pPr>
    </w:p>
    <w:p w14:paraId="109AD4DF" w14:textId="77777777" w:rsidR="009B3384" w:rsidRDefault="00800862">
      <w:pPr>
        <w:widowControl w:val="0"/>
        <w:rPr>
          <w:bCs/>
        </w:rPr>
      </w:pPr>
      <w:r>
        <w:rPr>
          <w:bCs/>
        </w:rPr>
        <w:t>Трябва да се обмисли преустановяване на лечението при пациенти, които не показват данни за терапевтична полза 16 </w:t>
      </w:r>
      <w:r>
        <w:t xml:space="preserve">седмици след </w:t>
      </w:r>
      <w:proofErr w:type="spellStart"/>
      <w:r>
        <w:rPr>
          <w:lang w:val="en-US"/>
        </w:rPr>
        <w:t>i</w:t>
      </w:r>
      <w:proofErr w:type="spellEnd"/>
      <w:r>
        <w:t>.</w:t>
      </w:r>
      <w:r>
        <w:rPr>
          <w:lang w:val="en-US"/>
        </w:rPr>
        <w:t>v</w:t>
      </w:r>
      <w:r>
        <w:t>. индукционна доза</w:t>
      </w:r>
      <w:r>
        <w:rPr>
          <w:bCs/>
        </w:rPr>
        <w:t xml:space="preserve"> или 16 седмици след преминаване към прилагане на поддържаща доза през 8 седмици.</w:t>
      </w:r>
    </w:p>
    <w:p w14:paraId="109AD4E0" w14:textId="77777777" w:rsidR="009B3384" w:rsidRDefault="009B3384">
      <w:pPr>
        <w:widowControl w:val="0"/>
        <w:rPr>
          <w:bCs/>
        </w:rPr>
      </w:pPr>
    </w:p>
    <w:p w14:paraId="109AD4E1" w14:textId="77777777" w:rsidR="009B3384" w:rsidRDefault="00800862">
      <w:pPr>
        <w:widowControl w:val="0"/>
        <w:rPr>
          <w:szCs w:val="24"/>
        </w:rPr>
      </w:pPr>
      <w:r>
        <w:rPr>
          <w:szCs w:val="24"/>
        </w:rPr>
        <w:t>Приложението на имуномодулатори и/или кортикостероиди може да продължи по време на лечението със STELARA. При пациентите,</w:t>
      </w:r>
      <w:r>
        <w:rPr>
          <w:bCs/>
        </w:rPr>
        <w:t xml:space="preserve"> които са се повлияли от лечението със STELARA, приложението на кортикостероиди може да се намали или да се преустанови в съответствие със стандарта на лечение.</w:t>
      </w:r>
    </w:p>
    <w:p w14:paraId="109AD4E2" w14:textId="77777777" w:rsidR="009B3384" w:rsidRDefault="009B3384">
      <w:pPr>
        <w:widowControl w:val="0"/>
        <w:rPr>
          <w:bCs/>
        </w:rPr>
      </w:pPr>
    </w:p>
    <w:p w14:paraId="109AD4E3" w14:textId="77777777" w:rsidR="009B3384" w:rsidRDefault="00800862">
      <w:pPr>
        <w:widowControl w:val="0"/>
        <w:rPr>
          <w:bCs/>
        </w:rPr>
      </w:pPr>
      <w:r>
        <w:rPr>
          <w:bCs/>
        </w:rPr>
        <w:t xml:space="preserve">При </w:t>
      </w:r>
      <w:r>
        <w:t xml:space="preserve">болест на Crohn или улцерозен колит, </w:t>
      </w:r>
      <w:r>
        <w:rPr>
          <w:bCs/>
        </w:rPr>
        <w:t>ако терапията се прекъсне, подновяването на лечението с подкожно приложение през 8 седмици е безопасно и ефективно.</w:t>
      </w:r>
    </w:p>
    <w:p w14:paraId="109AD4E4" w14:textId="77777777" w:rsidR="009B3384" w:rsidRDefault="009B3384">
      <w:pPr>
        <w:widowControl w:val="0"/>
        <w:rPr>
          <w:bCs/>
        </w:rPr>
      </w:pPr>
    </w:p>
    <w:p w14:paraId="109AD4E5" w14:textId="5E89B75B" w:rsidR="009B3384" w:rsidRPr="00F9219D" w:rsidRDefault="00800862">
      <w:pPr>
        <w:keepNext/>
        <w:widowControl w:val="0"/>
        <w:rPr>
          <w:bCs/>
          <w:i/>
          <w:iCs/>
        </w:rPr>
      </w:pPr>
      <w:r>
        <w:rPr>
          <w:bCs/>
          <w:i/>
          <w:iCs/>
        </w:rPr>
        <w:t>Старческа възраст</w:t>
      </w:r>
      <w:del w:id="1271" w:author="EUCP BE1" w:date="2026-05-19T16:59:00Z">
        <w:r w:rsidDel="00F72194">
          <w:rPr>
            <w:bCs/>
            <w:i/>
            <w:iCs/>
          </w:rPr>
          <w:delText xml:space="preserve"> </w:delText>
        </w:r>
      </w:del>
    </w:p>
    <w:p w14:paraId="109AD4E6" w14:textId="523E1B0B" w:rsidR="009B3384" w:rsidRDefault="00800862">
      <w:pPr>
        <w:widowControl w:val="0"/>
        <w:rPr>
          <w:bCs/>
        </w:rPr>
      </w:pPr>
      <w:r>
        <w:rPr>
          <w:bCs/>
        </w:rPr>
        <w:t>Не е необходимо коригиране на дозата при пациенти в старческа възраст (≥</w:t>
      </w:r>
      <w:r>
        <w:rPr>
          <w:bCs/>
          <w:lang w:val="en-US"/>
        </w:rPr>
        <w:t> </w:t>
      </w:r>
      <w:r>
        <w:rPr>
          <w:bCs/>
        </w:rPr>
        <w:t>65</w:t>
      </w:r>
      <w:r>
        <w:rPr>
          <w:bCs/>
          <w:lang w:val="en-US"/>
        </w:rPr>
        <w:t> </w:t>
      </w:r>
      <w:r>
        <w:rPr>
          <w:bCs/>
        </w:rPr>
        <w:t>години) (вж. точка 4.4).</w:t>
      </w:r>
    </w:p>
    <w:p w14:paraId="109AD4E7" w14:textId="77777777" w:rsidR="009B3384" w:rsidRDefault="009B3384">
      <w:pPr>
        <w:widowControl w:val="0"/>
        <w:rPr>
          <w:bCs/>
        </w:rPr>
      </w:pPr>
    </w:p>
    <w:p w14:paraId="109AD4E8" w14:textId="77777777" w:rsidR="009B3384" w:rsidRDefault="00800862">
      <w:pPr>
        <w:keepNext/>
        <w:widowControl w:val="0"/>
        <w:rPr>
          <w:i/>
          <w:iCs/>
        </w:rPr>
      </w:pPr>
      <w:r>
        <w:rPr>
          <w:bCs/>
          <w:i/>
          <w:iCs/>
        </w:rPr>
        <w:t>Бъбречно и чернодробно увреждане</w:t>
      </w:r>
    </w:p>
    <w:p w14:paraId="109AD4E9" w14:textId="77777777" w:rsidR="009B3384" w:rsidRDefault="00800862">
      <w:r>
        <w:t>STELARA не е проучван при тези популации пациенти. Не могат да се направят препоръки за дозиране.</w:t>
      </w:r>
    </w:p>
    <w:p w14:paraId="109AD4EA" w14:textId="77777777" w:rsidR="009B3384" w:rsidRDefault="009B3384"/>
    <w:p w14:paraId="109AD4EB" w14:textId="77777777" w:rsidR="009B3384" w:rsidRPr="00BC6A43" w:rsidRDefault="00800862">
      <w:pPr>
        <w:keepNext/>
        <w:rPr>
          <w:i/>
          <w:u w:val="single"/>
        </w:rPr>
      </w:pPr>
      <w:r w:rsidRPr="00BC6A43">
        <w:rPr>
          <w:i/>
          <w:u w:val="single"/>
        </w:rPr>
        <w:t>Педиатрична популация</w:t>
      </w:r>
    </w:p>
    <w:p w14:paraId="109AD4EC" w14:textId="77777777" w:rsidR="009B3384" w:rsidRDefault="009B3384" w:rsidP="00BC6A43">
      <w:pPr>
        <w:keepNext/>
        <w:tabs>
          <w:tab w:val="clear" w:pos="567"/>
        </w:tabs>
      </w:pPr>
    </w:p>
    <w:p w14:paraId="109AD4ED" w14:textId="7AC37956" w:rsidR="009B3384" w:rsidRDefault="00800862">
      <w:pPr>
        <w:tabs>
          <w:tab w:val="clear" w:pos="567"/>
        </w:tabs>
        <w:rPr>
          <w:bCs/>
        </w:rPr>
      </w:pPr>
      <w:r>
        <w:t xml:space="preserve">Безопасността и ефикасността на STELARA при лечение на болест на Crohn </w:t>
      </w:r>
      <w:r>
        <w:rPr>
          <w:bCs/>
        </w:rPr>
        <w:t xml:space="preserve">при педиатрични пациенти на възраст под 2 години или </w:t>
      </w:r>
      <w:r>
        <w:t xml:space="preserve">улцерозен колит при деца на възраст под </w:t>
      </w:r>
      <w:del w:id="1272" w:author="Reviser" w:date="2026-04-29T20:56:00Z">
        <w:r w:rsidDel="00685CAD">
          <w:delText>18 </w:delText>
        </w:r>
      </w:del>
      <w:ins w:id="1273" w:author="Reviser" w:date="2026-04-29T20:56:00Z">
        <w:r w:rsidR="00685CAD">
          <w:t>2 </w:t>
        </w:r>
      </w:ins>
      <w:r>
        <w:t xml:space="preserve">години все още не са установени. Липсват данни. </w:t>
      </w:r>
      <w:r>
        <w:rPr>
          <w:bCs/>
        </w:rPr>
        <w:t xml:space="preserve">Предварително напълнената писалка не е проучвана при педиатричната популация и не се препоръчва за употреба при педиатрични пациенти. Вижте точка 4.2 от КХП на концентрата за инфузионен разтвор и на предварително напълнената спринцовка за дозировката и начина на приложение при педиатрични пациенти с болест на </w:t>
      </w:r>
      <w:r>
        <w:t>Crohn</w:t>
      </w:r>
      <w:r>
        <w:rPr>
          <w:bCs/>
        </w:rPr>
        <w:t xml:space="preserve"> </w:t>
      </w:r>
      <w:ins w:id="1274" w:author="Reviser" w:date="2026-04-29T20:57:00Z">
        <w:r w:rsidR="00685CAD">
          <w:rPr>
            <w:bCs/>
          </w:rPr>
          <w:t xml:space="preserve">или улцерозен колит </w:t>
        </w:r>
      </w:ins>
      <w:r>
        <w:t>на възраст 2 и повече години</w:t>
      </w:r>
      <w:r>
        <w:rPr>
          <w:bCs/>
        </w:rPr>
        <w:t>.</w:t>
      </w:r>
    </w:p>
    <w:p w14:paraId="109AD4EE" w14:textId="77777777" w:rsidR="009B3384" w:rsidRDefault="009B3384">
      <w:pPr>
        <w:tabs>
          <w:tab w:val="clear" w:pos="567"/>
        </w:tabs>
        <w:rPr>
          <w:bCs/>
        </w:rPr>
      </w:pPr>
    </w:p>
    <w:p w14:paraId="109AD4EF" w14:textId="77777777" w:rsidR="009B3384" w:rsidRDefault="00800862">
      <w:pPr>
        <w:keepNext/>
        <w:tabs>
          <w:tab w:val="clear" w:pos="567"/>
        </w:tabs>
        <w:rPr>
          <w:bCs/>
          <w:u w:val="single"/>
        </w:rPr>
      </w:pPr>
      <w:r>
        <w:rPr>
          <w:bCs/>
          <w:u w:val="single"/>
        </w:rPr>
        <w:t>Начин на приложение</w:t>
      </w:r>
    </w:p>
    <w:p w14:paraId="109AD4F0" w14:textId="77777777" w:rsidR="009B3384" w:rsidRDefault="00800862">
      <w:pPr>
        <w:tabs>
          <w:tab w:val="clear" w:pos="567"/>
        </w:tabs>
        <w:rPr>
          <w:bCs/>
        </w:rPr>
      </w:pPr>
      <w:r>
        <w:rPr>
          <w:bCs/>
        </w:rPr>
        <w:t>STELARA 45</w:t>
      </w:r>
      <w:r>
        <w:rPr>
          <w:bCs/>
          <w:lang w:val="en-GB"/>
        </w:rPr>
        <w:t> mg</w:t>
      </w:r>
      <w:r>
        <w:rPr>
          <w:bCs/>
        </w:rPr>
        <w:t xml:space="preserve"> и 90</w:t>
      </w:r>
      <w:r>
        <w:rPr>
          <w:bCs/>
          <w:lang w:val="en-GB"/>
        </w:rPr>
        <w:t> mg</w:t>
      </w:r>
      <w:r>
        <w:rPr>
          <w:bCs/>
        </w:rPr>
        <w:t xml:space="preserve"> предварително напълнени писалки са само за подкожно инжектиране. По възможност кожните участъци с изявен псориазис трябва да се избягват като място на инжектиране.</w:t>
      </w:r>
    </w:p>
    <w:p w14:paraId="109AD4F1" w14:textId="77777777" w:rsidR="009B3384" w:rsidRDefault="009B3384">
      <w:pPr>
        <w:tabs>
          <w:tab w:val="clear" w:pos="567"/>
        </w:tabs>
        <w:rPr>
          <w:bCs/>
        </w:rPr>
      </w:pPr>
    </w:p>
    <w:p w14:paraId="109AD4F2" w14:textId="77777777" w:rsidR="009B3384" w:rsidRDefault="00800862">
      <w:pPr>
        <w:tabs>
          <w:tab w:val="clear" w:pos="567"/>
        </w:tabs>
        <w:rPr>
          <w:bCs/>
        </w:rPr>
      </w:pPr>
      <w:r>
        <w:rPr>
          <w:bCs/>
        </w:rPr>
        <w:t>След подходящо обучение за техниката на подкожно инжектиране пациентите или техните болногледачи могат да инжектират STELARA, ако лекарят реши, че това е уместно. Все пак лекарят трябва да осигури подходящо проследяване на пациентите. Пациентите или техните болногледачи трябва да бъдат инструктирани да инжектират предписаното количество STELARA съгласно указанията в листовката. Подробни указания за приложение са дадени в листовката.</w:t>
      </w:r>
    </w:p>
    <w:p w14:paraId="109AD4F3" w14:textId="77777777" w:rsidR="009B3384" w:rsidRDefault="009B3384"/>
    <w:p w14:paraId="109AD4F4" w14:textId="77777777" w:rsidR="009B3384" w:rsidRDefault="00800862">
      <w:pPr>
        <w:tabs>
          <w:tab w:val="clear" w:pos="567"/>
        </w:tabs>
        <w:rPr>
          <w:bCs/>
        </w:rPr>
      </w:pPr>
      <w:r>
        <w:rPr>
          <w:bCs/>
        </w:rPr>
        <w:t>За по-нататъшни указания за приготвяне и специални предпазни мерки при работа вижте точка 6.6.</w:t>
      </w:r>
    </w:p>
    <w:p w14:paraId="109AD4F5" w14:textId="77777777" w:rsidR="009B3384" w:rsidRDefault="009B3384">
      <w:pPr>
        <w:tabs>
          <w:tab w:val="clear" w:pos="567"/>
        </w:tabs>
        <w:rPr>
          <w:bCs/>
        </w:rPr>
      </w:pPr>
    </w:p>
    <w:p w14:paraId="109AD4F6" w14:textId="77777777" w:rsidR="009B3384" w:rsidRDefault="00800862">
      <w:pPr>
        <w:keepNext/>
        <w:ind w:left="567" w:hanging="567"/>
        <w:outlineLvl w:val="2"/>
        <w:rPr>
          <w:b/>
          <w:bCs/>
        </w:rPr>
      </w:pPr>
      <w:r>
        <w:rPr>
          <w:b/>
          <w:bCs/>
        </w:rPr>
        <w:t>4.3</w:t>
      </w:r>
      <w:r>
        <w:rPr>
          <w:b/>
          <w:bCs/>
        </w:rPr>
        <w:tab/>
        <w:t>Противопоказания</w:t>
      </w:r>
    </w:p>
    <w:p w14:paraId="109AD4F7" w14:textId="77777777" w:rsidR="009B3384" w:rsidRDefault="009B3384">
      <w:pPr>
        <w:keepNext/>
        <w:tabs>
          <w:tab w:val="clear" w:pos="567"/>
        </w:tabs>
      </w:pPr>
    </w:p>
    <w:p w14:paraId="109AD4F8" w14:textId="77777777" w:rsidR="009B3384" w:rsidRDefault="00800862">
      <w:r>
        <w:t>Свръхчувствителност към активното вещество или към някое от помощните вещества, изброени в точка 6.1.</w:t>
      </w:r>
    </w:p>
    <w:p w14:paraId="109AD4F9" w14:textId="77777777" w:rsidR="009B3384" w:rsidRDefault="009B3384"/>
    <w:p w14:paraId="109AD4FA" w14:textId="77777777" w:rsidR="009B3384" w:rsidRDefault="00800862">
      <w:r>
        <w:t>Клинично значима, активна инфекция (напр. активна туберкулоза, вж. точка 4.4).</w:t>
      </w:r>
    </w:p>
    <w:p w14:paraId="109AD4FB" w14:textId="77777777" w:rsidR="009B3384" w:rsidRDefault="009B3384">
      <w:pPr>
        <w:tabs>
          <w:tab w:val="clear" w:pos="567"/>
        </w:tabs>
      </w:pPr>
    </w:p>
    <w:p w14:paraId="109AD4FC" w14:textId="77777777" w:rsidR="009B3384" w:rsidRDefault="00800862">
      <w:pPr>
        <w:keepNext/>
        <w:ind w:left="567" w:hanging="567"/>
        <w:outlineLvl w:val="2"/>
        <w:rPr>
          <w:b/>
          <w:bCs/>
        </w:rPr>
      </w:pPr>
      <w:r>
        <w:rPr>
          <w:b/>
          <w:bCs/>
        </w:rPr>
        <w:t>4.4</w:t>
      </w:r>
      <w:r>
        <w:rPr>
          <w:b/>
          <w:bCs/>
        </w:rPr>
        <w:tab/>
        <w:t>Специални предупреждения и предпазни мерки при употреба</w:t>
      </w:r>
    </w:p>
    <w:p w14:paraId="109AD4FD" w14:textId="77777777" w:rsidR="009B3384" w:rsidRDefault="009B3384">
      <w:pPr>
        <w:keepNext/>
        <w:tabs>
          <w:tab w:val="clear" w:pos="567"/>
        </w:tabs>
      </w:pPr>
    </w:p>
    <w:p w14:paraId="109AD4FE" w14:textId="77777777" w:rsidR="009B3384" w:rsidRDefault="00800862">
      <w:pPr>
        <w:keepNext/>
        <w:rPr>
          <w:u w:val="single"/>
        </w:rPr>
      </w:pPr>
      <w:r>
        <w:rPr>
          <w:u w:val="single"/>
        </w:rPr>
        <w:t>Проследимост</w:t>
      </w:r>
    </w:p>
    <w:p w14:paraId="109AD4FF" w14:textId="77777777" w:rsidR="009B3384" w:rsidRDefault="00800862">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109AD500" w14:textId="77777777" w:rsidR="009B3384" w:rsidRDefault="009B3384"/>
    <w:p w14:paraId="109AD501" w14:textId="77777777" w:rsidR="009B3384" w:rsidRDefault="00800862">
      <w:pPr>
        <w:keepNext/>
        <w:tabs>
          <w:tab w:val="clear" w:pos="567"/>
        </w:tabs>
        <w:rPr>
          <w:u w:val="single"/>
        </w:rPr>
      </w:pPr>
      <w:r>
        <w:rPr>
          <w:u w:val="single"/>
        </w:rPr>
        <w:t>Инфекции</w:t>
      </w:r>
    </w:p>
    <w:p w14:paraId="109AD502" w14:textId="77777777" w:rsidR="009B3384" w:rsidRDefault="00800862">
      <w:pPr>
        <w:tabs>
          <w:tab w:val="clear" w:pos="567"/>
        </w:tabs>
      </w:pPr>
      <w:r>
        <w:t>Устекинумаб може да има потенциал да увеличава риска от инфекции и да реактивира латентни инфекции. При клинични проучвания и постмаркетингово обсервационно проучване при пациенти с псориазис се наблюдават сериозни бактериални, гъбични и вирусни инфекции при пациенти, приемащи STELARA (вж. точка 4.8).</w:t>
      </w:r>
    </w:p>
    <w:p w14:paraId="109AD503" w14:textId="77777777" w:rsidR="009B3384" w:rsidRDefault="009B3384">
      <w:pPr>
        <w:tabs>
          <w:tab w:val="clear" w:pos="567"/>
        </w:tabs>
      </w:pPr>
    </w:p>
    <w:p w14:paraId="109AD504" w14:textId="77777777" w:rsidR="009B3384" w:rsidRDefault="00800862">
      <w:pPr>
        <w:tabs>
          <w:tab w:val="clear" w:pos="567"/>
        </w:tabs>
      </w:pPr>
      <w:r>
        <w:t xml:space="preserve">При пациенти, лекувани с устекинумаб, се съобщава за опортюнистични инфекции, включващи реактивиране на туберкулоза, други опортюнистични бактериални инфекции (включително атипична микобактериална инфекция, менингит, причинен от </w:t>
      </w:r>
      <w:r>
        <w:rPr>
          <w:lang w:val="en-US"/>
        </w:rPr>
        <w:t>L</w:t>
      </w:r>
      <w:r>
        <w:t xml:space="preserve">isteria, пневмония, причинена от </w:t>
      </w:r>
      <w:r>
        <w:rPr>
          <w:lang w:val="en-US"/>
        </w:rPr>
        <w:t>L</w:t>
      </w:r>
      <w:r>
        <w:t>egionella, и нокардиоза), опортюнистични микотични инфекции, опортюнистични вирусни инфекции (включително енцефалит, причинен от херпес симплекс</w:t>
      </w:r>
      <w:r>
        <w:rPr>
          <w:lang w:val="nl-BE"/>
        </w:rPr>
        <w:t> </w:t>
      </w:r>
      <w:r>
        <w:t>2) и паразитни инфекции (включително очна токсоплазмоза).</w:t>
      </w:r>
    </w:p>
    <w:p w14:paraId="109AD505" w14:textId="77777777" w:rsidR="009B3384" w:rsidRDefault="009B3384">
      <w:pPr>
        <w:tabs>
          <w:tab w:val="clear" w:pos="567"/>
        </w:tabs>
      </w:pPr>
    </w:p>
    <w:p w14:paraId="109AD506" w14:textId="77777777" w:rsidR="009B3384" w:rsidRDefault="00800862">
      <w:pPr>
        <w:tabs>
          <w:tab w:val="clear" w:pos="567"/>
        </w:tabs>
      </w:pPr>
      <w:r>
        <w:t>Трябва да се подхожда с повишено внимание, когато се обсъжда приложението на STELARA при пациенти с хронични инфекции или анамнеза за рецидивираща инфекция (вж. точка 4.3).</w:t>
      </w:r>
    </w:p>
    <w:p w14:paraId="109AD507" w14:textId="77777777" w:rsidR="009B3384" w:rsidRDefault="009B3384">
      <w:pPr>
        <w:tabs>
          <w:tab w:val="clear" w:pos="567"/>
        </w:tabs>
        <w:rPr>
          <w:bCs/>
        </w:rPr>
      </w:pPr>
    </w:p>
    <w:p w14:paraId="109AD508" w14:textId="77777777" w:rsidR="009B3384" w:rsidRDefault="00800862">
      <w:pPr>
        <w:tabs>
          <w:tab w:val="clear" w:pos="567"/>
        </w:tabs>
      </w:pPr>
      <w:r>
        <w:rPr>
          <w:bCs/>
        </w:rPr>
        <w:t xml:space="preserve">Преди започването на лечение със STELARA пациентите трябва да се изследват за туберкулозна инфекция. </w:t>
      </w:r>
      <w:r>
        <w:t>STELARA не трябва да се прилага при пациенти с активна туберкулоза (вж. точка 4.3). Лечението на латентна туберкулозна инфекция трябва да започне преди приложението на STELARA. Антитуберкулозната терапия също трябва да бъде обсъдена преди началото на лечение със STELARA при пациенти с анамнеза за латентна или активна туберкулоза, при които не може да се потвърди адекватен курс на лечение. Пациентите, приемащи STELARA, трябва да се наблюдават внимателно за признаци и симптоми на активна туберкулоза по време на лечението и след него.</w:t>
      </w:r>
    </w:p>
    <w:p w14:paraId="109AD509" w14:textId="77777777" w:rsidR="009B3384" w:rsidRDefault="009B3384">
      <w:pPr>
        <w:tabs>
          <w:tab w:val="clear" w:pos="567"/>
        </w:tabs>
      </w:pPr>
    </w:p>
    <w:p w14:paraId="109AD50A" w14:textId="77777777" w:rsidR="009B3384" w:rsidRDefault="00800862">
      <w:pPr>
        <w:tabs>
          <w:tab w:val="clear" w:pos="567"/>
        </w:tabs>
      </w:pPr>
      <w:r>
        <w:t>Пациентите трябва да бъдат инструктирани да потърсят лекарски съвет, ако се появят признаци или симптоми, предполагащи инфекция. Ако пациент развие сериозна инфекция, състоянието му трябва внимателно да се следи и STELARA не трябва да се прилага, докато инфекцията не бъде овладяна.</w:t>
      </w:r>
    </w:p>
    <w:p w14:paraId="109AD50B" w14:textId="77777777" w:rsidR="009B3384" w:rsidRDefault="009B3384">
      <w:pPr>
        <w:tabs>
          <w:tab w:val="clear" w:pos="567"/>
        </w:tabs>
      </w:pPr>
    </w:p>
    <w:p w14:paraId="109AD50C" w14:textId="77777777" w:rsidR="009B3384" w:rsidRDefault="00800862">
      <w:pPr>
        <w:keepNext/>
        <w:tabs>
          <w:tab w:val="clear" w:pos="567"/>
        </w:tabs>
        <w:rPr>
          <w:u w:val="single"/>
        </w:rPr>
      </w:pPr>
      <w:r>
        <w:rPr>
          <w:u w:val="single"/>
        </w:rPr>
        <w:t>Злокачествени заболявания</w:t>
      </w:r>
    </w:p>
    <w:p w14:paraId="109AD50D" w14:textId="77777777" w:rsidR="009B3384" w:rsidRDefault="00800862">
      <w:pPr>
        <w:tabs>
          <w:tab w:val="clear" w:pos="567"/>
        </w:tabs>
      </w:pPr>
      <w:r>
        <w:t>Имуносупресори като устекинумаб имат потенциал да увеличават риска от злокачествени заболявания. Някои пациенти, които са приемали STELARA в клинични проучвания и в постмаркетингово обсервационно проучване при пациенти с псориазис, са развили кожни и некожни злокачествени заболявания (вж. точка 4.8). Рискът от злокачествени заболявания може да е по-висок при пациенти с псориазис, които са лекувани с други биологични лекарства в хода на заболяването.</w:t>
      </w:r>
    </w:p>
    <w:p w14:paraId="109AD50E" w14:textId="77777777" w:rsidR="009B3384" w:rsidRDefault="009B3384">
      <w:pPr>
        <w:tabs>
          <w:tab w:val="clear" w:pos="567"/>
        </w:tabs>
      </w:pPr>
    </w:p>
    <w:p w14:paraId="109AD50F" w14:textId="77777777" w:rsidR="009B3384" w:rsidRDefault="00800862">
      <w:pPr>
        <w:tabs>
          <w:tab w:val="clear" w:pos="567"/>
        </w:tabs>
      </w:pPr>
      <w:r>
        <w:t>Не са провеждани проучвания, в които участват пациенти с анамнеза за злокачествени заболявания или в които продължава лечението на пациенти, развили злокачествено заболяване по време на приема на STELARA. Затова трябва да се подхожда с повишено внимание, когато се обсъжда приложението на STELARA при тези пациенти.</w:t>
      </w:r>
    </w:p>
    <w:p w14:paraId="109AD510" w14:textId="77777777" w:rsidR="009B3384" w:rsidRDefault="009B3384">
      <w:pPr>
        <w:tabs>
          <w:tab w:val="clear" w:pos="567"/>
        </w:tabs>
      </w:pPr>
    </w:p>
    <w:p w14:paraId="109AD511" w14:textId="77777777" w:rsidR="009B3384" w:rsidRDefault="00800862">
      <w:pPr>
        <w:tabs>
          <w:tab w:val="clear" w:pos="567"/>
        </w:tabs>
      </w:pPr>
      <w:r>
        <w:t>Всички пациенти, по-специално тези над 60 години, пациенти с анамнеза за продължителна имуносупресивна терапия или такива с анамнеза за ПУВА-терапия, трябва да се наблюдават за поява на рак на кожата (вж. точка 4.8).</w:t>
      </w:r>
    </w:p>
    <w:p w14:paraId="109AD512" w14:textId="77777777" w:rsidR="009B3384" w:rsidRDefault="009B3384">
      <w:pPr>
        <w:tabs>
          <w:tab w:val="clear" w:pos="567"/>
        </w:tabs>
      </w:pPr>
    </w:p>
    <w:p w14:paraId="109AD513" w14:textId="77777777" w:rsidR="009B3384" w:rsidRDefault="00800862" w:rsidP="00BD7D05">
      <w:pPr>
        <w:keepNext/>
        <w:tabs>
          <w:tab w:val="clear" w:pos="567"/>
        </w:tabs>
        <w:rPr>
          <w:u w:val="single"/>
        </w:rPr>
      </w:pPr>
      <w:r>
        <w:rPr>
          <w:u w:val="single"/>
        </w:rPr>
        <w:lastRenderedPageBreak/>
        <w:t>Системни и респираторни реакции на свръхчувствителност</w:t>
      </w:r>
    </w:p>
    <w:p w14:paraId="6185840F" w14:textId="77777777" w:rsidR="00685CAD" w:rsidRDefault="00685CAD">
      <w:pPr>
        <w:keepNext/>
        <w:tabs>
          <w:tab w:val="clear" w:pos="567"/>
        </w:tabs>
        <w:rPr>
          <w:ins w:id="1275" w:author="Reviser" w:date="2026-04-29T20:59:00Z"/>
        </w:rPr>
        <w:pPrChange w:id="1276" w:author="RABG09" w:date="2026-05-14T12:51:00Z">
          <w:pPr>
            <w:tabs>
              <w:tab w:val="clear" w:pos="567"/>
            </w:tabs>
          </w:pPr>
        </w:pPrChange>
      </w:pPr>
    </w:p>
    <w:p w14:paraId="109AD515" w14:textId="3D4E6A12" w:rsidR="009B3384" w:rsidRDefault="00800862" w:rsidP="00F72194">
      <w:pPr>
        <w:tabs>
          <w:tab w:val="clear" w:pos="567"/>
        </w:tabs>
      </w:pPr>
      <w:r>
        <w:t>Сериозни реакции на свръхчувств</w:t>
      </w:r>
      <w:ins w:id="1277" w:author="Reviser" w:date="2026-04-29T21:00:00Z">
        <w:del w:id="1278" w:author="Italian LOC" w:date="2026-05-11T17:38:00Z">
          <w:r w:rsidR="00685CAD" w:rsidRPr="00685CAD" w:rsidDel="00150306">
            <w:rPr>
              <w:i/>
              <w:iCs/>
            </w:rPr>
            <w:delText xml:space="preserve"> </w:delText>
          </w:r>
          <w:r w:rsidR="00685CAD" w:rsidRPr="00150306" w:rsidDel="00150306">
            <w:rPr>
              <w:i/>
              <w:iCs/>
              <w:highlight w:val="yellow"/>
              <w:rPrChange w:id="1279" w:author="Italian LOC" w:date="2026-05-11T17:37:00Z">
                <w:rPr>
                  <w:i/>
                  <w:iCs/>
                </w:rPr>
              </w:rPrChange>
            </w:rPr>
            <w:delText>Съдържание на полисорбат 80</w:delText>
          </w:r>
        </w:del>
      </w:ins>
      <w:r>
        <w:t>ителност са докладвани в постмаркетингови условия, в някои случаи няколко дни след лечението. Има случаи на анафилаксия и ангиоедем. Ако се появи анафилактична или друга сериозна реакция на свръхчувствителност, трябва да се назначи подходяща терапия и приложението на STELARA трябва да се преустанови (вж. точка 4.8).</w:t>
      </w:r>
    </w:p>
    <w:p w14:paraId="109AD516" w14:textId="77777777" w:rsidR="009B3384" w:rsidRDefault="009B3384">
      <w:pPr>
        <w:tabs>
          <w:tab w:val="clear" w:pos="567"/>
        </w:tabs>
      </w:pPr>
    </w:p>
    <w:p w14:paraId="109AD518" w14:textId="77777777" w:rsidR="009B3384" w:rsidRDefault="00800862">
      <w:pPr>
        <w:widowControl w:val="0"/>
      </w:pPr>
      <w:r>
        <w:t>Случаи на алергичен алвеолит, еозинофилна пневмония и неинфекциозна организираща пневмония са съобщени по време на постмаркетинговата употреба на устекинумаб. Клиничните прояви включват кашлица, диспнея и интерстициални инфилтрати след една до три дози. Сериозните последици включват дихателна недостатъчност и продължителна хоспитализация. Подобрение е съобщавано след преустановяване на лечението с устекинумаб и в някои случаи при приложение на кортикостероиди. Ако бъде изключена инфекция и диагнозата се потвърди, приложението на устекинумаб трябва да се преустанови и да се започне подходящо лечение (вж. точка 4.8).</w:t>
      </w:r>
    </w:p>
    <w:p w14:paraId="109AD519" w14:textId="77777777" w:rsidR="009B3384" w:rsidRDefault="009B3384">
      <w:pPr>
        <w:tabs>
          <w:tab w:val="clear" w:pos="567"/>
        </w:tabs>
      </w:pPr>
    </w:p>
    <w:p w14:paraId="109AD51A" w14:textId="77777777" w:rsidR="009B3384" w:rsidRDefault="00800862">
      <w:pPr>
        <w:keepNext/>
        <w:tabs>
          <w:tab w:val="clear" w:pos="567"/>
        </w:tabs>
        <w:rPr>
          <w:u w:val="single"/>
        </w:rPr>
      </w:pPr>
      <w:r>
        <w:rPr>
          <w:u w:val="single"/>
        </w:rPr>
        <w:t>Сърдечно-съдови събития</w:t>
      </w:r>
    </w:p>
    <w:p w14:paraId="109AD51B" w14:textId="77777777" w:rsidR="009B3384" w:rsidRDefault="00800862">
      <w:pPr>
        <w:tabs>
          <w:tab w:val="clear" w:pos="567"/>
        </w:tabs>
      </w:pPr>
      <w:r>
        <w:t>При пациенти с псориазис, с експозиция на STELARA, в постмаркетингово обсервационно проучване са наблюдавани сърдечно-съдови събития, включително инфаркт на миокарда и мозъчно-съдов инцидент. Рисковите фактори за сърдечносъдово заболяване трябва да се оценяват редовно по време на лечението със STELARA.</w:t>
      </w:r>
    </w:p>
    <w:p w14:paraId="109AD51C" w14:textId="77777777" w:rsidR="009B3384" w:rsidRDefault="009B3384">
      <w:pPr>
        <w:tabs>
          <w:tab w:val="clear" w:pos="567"/>
        </w:tabs>
      </w:pPr>
    </w:p>
    <w:p w14:paraId="109AD51D" w14:textId="77777777" w:rsidR="009B3384" w:rsidRPr="00BC6A43" w:rsidRDefault="00800862">
      <w:pPr>
        <w:keepNext/>
        <w:tabs>
          <w:tab w:val="clear" w:pos="567"/>
        </w:tabs>
        <w:rPr>
          <w:u w:val="single"/>
        </w:rPr>
      </w:pPr>
      <w:r w:rsidRPr="00BC6A43">
        <w:rPr>
          <w:u w:val="single"/>
        </w:rPr>
        <w:t>Чувствителност към латекс</w:t>
      </w:r>
    </w:p>
    <w:p w14:paraId="109AD51E" w14:textId="77777777" w:rsidR="009B3384" w:rsidRDefault="00800862">
      <w:pPr>
        <w:tabs>
          <w:tab w:val="clear" w:pos="567"/>
        </w:tabs>
      </w:pPr>
      <w:r>
        <w:t>Предпазителят на иглата в долната капачка на предварително напълнената писалка е произведен от сух естествен каучук (производно на латекс), който може да предизвика алергични реакции при хора, чувствителни към латекс.</w:t>
      </w:r>
    </w:p>
    <w:p w14:paraId="109AD51F" w14:textId="77777777" w:rsidR="009B3384" w:rsidRDefault="009B3384">
      <w:pPr>
        <w:tabs>
          <w:tab w:val="clear" w:pos="567"/>
        </w:tabs>
        <w:rPr>
          <w:u w:val="single"/>
        </w:rPr>
      </w:pPr>
    </w:p>
    <w:p w14:paraId="109AD520" w14:textId="77777777" w:rsidR="009B3384" w:rsidRDefault="00800862">
      <w:pPr>
        <w:keepNext/>
        <w:tabs>
          <w:tab w:val="clear" w:pos="567"/>
        </w:tabs>
        <w:rPr>
          <w:u w:val="single"/>
        </w:rPr>
      </w:pPr>
      <w:r>
        <w:rPr>
          <w:u w:val="single"/>
        </w:rPr>
        <w:t>Ваксинации</w:t>
      </w:r>
    </w:p>
    <w:p w14:paraId="109AD521" w14:textId="77777777" w:rsidR="009B3384" w:rsidRDefault="00800862">
      <w:pPr>
        <w:tabs>
          <w:tab w:val="clear" w:pos="567"/>
        </w:tabs>
      </w:pPr>
      <w:r>
        <w:t>Препоръчва се да не се прилагат живи вирусни или живи бактериални ваксини (като БЦЖ) едновременно със STELARA. Не са провеждани конкретни проучвания при пациенти, върху които наскоро е прилагана жива вирусна или жива бактериална ваксина. Няма данни за вторично предаване на инфекция чрез живи ваксини при пациенти, получаващи STELARA. Лечението със STELARA трябва да се преустанови най-малко за 15 седмици след последната доза преди поставянето на жива вирусна или жива бактериална ваксина и може да се възобнови най-малко 2 седмици след ваксинирането. Лекарите, предписващи лекарството, трябва да направят справка с Кратката характеристика на продукта за конкретната ваксина за допълнителна информация и указания за едновременната употреба на имуносупресивни лекарства след ваксиниране.</w:t>
      </w:r>
    </w:p>
    <w:p w14:paraId="109AD522" w14:textId="77777777" w:rsidR="009B3384" w:rsidRDefault="009B3384">
      <w:pPr>
        <w:tabs>
          <w:tab w:val="clear" w:pos="567"/>
        </w:tabs>
      </w:pPr>
    </w:p>
    <w:p w14:paraId="109AD523" w14:textId="77777777" w:rsidR="009B3384" w:rsidRDefault="00800862">
      <w:pPr>
        <w:tabs>
          <w:tab w:val="clear" w:pos="567"/>
        </w:tabs>
      </w:pPr>
      <w:r>
        <w:t xml:space="preserve">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4.5 и 4.6).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D524" w14:textId="77777777" w:rsidR="009B3384" w:rsidRDefault="009B3384">
      <w:pPr>
        <w:tabs>
          <w:tab w:val="clear" w:pos="567"/>
        </w:tabs>
      </w:pPr>
    </w:p>
    <w:p w14:paraId="109AD525" w14:textId="77777777" w:rsidR="009B3384" w:rsidRDefault="00800862">
      <w:pPr>
        <w:tabs>
          <w:tab w:val="clear" w:pos="567"/>
        </w:tabs>
      </w:pPr>
      <w:r>
        <w:t>Пациентите, които употребяват STELARA, може да получат едновременно инактивирани или убити ваксини.</w:t>
      </w:r>
    </w:p>
    <w:p w14:paraId="109AD526" w14:textId="77777777" w:rsidR="009B3384" w:rsidRDefault="009B3384">
      <w:pPr>
        <w:tabs>
          <w:tab w:val="clear" w:pos="567"/>
        </w:tabs>
      </w:pPr>
    </w:p>
    <w:p w14:paraId="109AD527" w14:textId="77777777" w:rsidR="009B3384" w:rsidRDefault="00800862">
      <w:pPr>
        <w:tabs>
          <w:tab w:val="clear" w:pos="567"/>
        </w:tabs>
      </w:pPr>
      <w:r>
        <w:t>Дългосрочното лечение със STELARA не потиска хуморалния имунен отговор към пневмококовите полизахаридни ваксини или към ваксините срещу тетанус (вж. точка 5.1).</w:t>
      </w:r>
    </w:p>
    <w:p w14:paraId="109AD528" w14:textId="77777777" w:rsidR="009B3384" w:rsidRDefault="009B3384">
      <w:pPr>
        <w:tabs>
          <w:tab w:val="clear" w:pos="567"/>
        </w:tabs>
      </w:pPr>
    </w:p>
    <w:p w14:paraId="109AD529" w14:textId="77777777" w:rsidR="009B3384" w:rsidRDefault="00800862">
      <w:pPr>
        <w:keepNext/>
        <w:tabs>
          <w:tab w:val="clear" w:pos="567"/>
        </w:tabs>
        <w:rPr>
          <w:u w:val="single"/>
        </w:rPr>
      </w:pPr>
      <w:r>
        <w:rPr>
          <w:u w:val="single"/>
        </w:rPr>
        <w:t>Едновременна имуносупресивна терапия</w:t>
      </w:r>
    </w:p>
    <w:p w14:paraId="109AD52A" w14:textId="77777777" w:rsidR="009B3384" w:rsidRDefault="00800862">
      <w:pPr>
        <w:tabs>
          <w:tab w:val="clear" w:pos="567"/>
        </w:tabs>
      </w:pPr>
      <w:r>
        <w:t xml:space="preserve">При проучвания при псориазис не са оценявани безопасността и ефикасността на STELARA в комбинация с имуносупресори, включително биологични продукти или фототерапия. При проучвания при псориатичен артрит, едновременната употреба на MTX не повлиява </w:t>
      </w:r>
      <w:r>
        <w:lastRenderedPageBreak/>
        <w:t xml:space="preserve">безопасността и ефикасността на STELARA. В проучванията при болест на </w:t>
      </w:r>
      <w:r>
        <w:rPr>
          <w:lang w:val="en-GB"/>
        </w:rPr>
        <w:t>Crohn</w:t>
      </w:r>
      <w:r>
        <w:t xml:space="preserve"> </w:t>
      </w:r>
      <w:r>
        <w:rPr>
          <w:bCs/>
        </w:rPr>
        <w:t xml:space="preserve">и </w:t>
      </w:r>
      <w:r>
        <w:t xml:space="preserve">улцерозен колит едновременната употреба на имуносупресори или кортикостероиди изглежда не повлиява безопасността или ефикасността на </w:t>
      </w:r>
      <w:r>
        <w:rPr>
          <w:lang w:val="en-GB"/>
        </w:rPr>
        <w:t>STELARA</w:t>
      </w:r>
      <w:r>
        <w:t>.Трябва да се подхожда с повишено внимание, когато се обсъжда едновременната употреба на други имуносупресори и STELARA или при преминаването към лечение с други биологични имуносупресори (вж. точка 4.5).</w:t>
      </w:r>
    </w:p>
    <w:p w14:paraId="109AD52B" w14:textId="77777777" w:rsidR="009B3384" w:rsidRDefault="009B3384">
      <w:pPr>
        <w:tabs>
          <w:tab w:val="clear" w:pos="567"/>
        </w:tabs>
      </w:pPr>
    </w:p>
    <w:p w14:paraId="109AD52C" w14:textId="77777777" w:rsidR="009B3384" w:rsidRDefault="00800862">
      <w:pPr>
        <w:keepNext/>
        <w:tabs>
          <w:tab w:val="clear" w:pos="567"/>
        </w:tabs>
        <w:rPr>
          <w:u w:val="single"/>
        </w:rPr>
      </w:pPr>
      <w:r>
        <w:rPr>
          <w:u w:val="single"/>
        </w:rPr>
        <w:t>Имунотерапия</w:t>
      </w:r>
    </w:p>
    <w:p w14:paraId="109AD52D" w14:textId="77777777" w:rsidR="009B3384" w:rsidRDefault="00800862">
      <w:pPr>
        <w:tabs>
          <w:tab w:val="clear" w:pos="567"/>
        </w:tabs>
      </w:pPr>
      <w:r>
        <w:t>STELARA не е оценяван при пациенти, които са подлагани на имунотерапия за алергии. Не е известно дали STELARA може да се отрази на имунотерапията при алергии.</w:t>
      </w:r>
    </w:p>
    <w:p w14:paraId="109AD52E" w14:textId="77777777" w:rsidR="009B3384" w:rsidRDefault="009B3384">
      <w:pPr>
        <w:tabs>
          <w:tab w:val="clear" w:pos="567"/>
        </w:tabs>
      </w:pPr>
    </w:p>
    <w:p w14:paraId="109AD52F" w14:textId="77777777" w:rsidR="009B3384" w:rsidRDefault="00800862">
      <w:pPr>
        <w:keepNext/>
        <w:widowControl w:val="0"/>
        <w:rPr>
          <w:u w:val="single"/>
        </w:rPr>
      </w:pPr>
      <w:r>
        <w:rPr>
          <w:u w:val="single"/>
        </w:rPr>
        <w:t>Сериозни кожни заболявания</w:t>
      </w:r>
    </w:p>
    <w:p w14:paraId="109AD530" w14:textId="77777777" w:rsidR="009B3384" w:rsidRDefault="00800862">
      <w:pPr>
        <w:widowControl w:val="0"/>
      </w:pPr>
      <w:r>
        <w:t>При пациенти с псориазис се съобщава за случаи на ексфолиативен дерматит след лечение с устекинумаб (вж. точка 4.8). Пациентите с псориазис с плаки може да развият еритродермичен псориазис като част от естествения ход на заболяването със симптоми, които може от клинична гледна точка да не се отличават от ексфолиативния дерматит. Лекарите трябва да внимават за симптоми на еритродермичен псориазис или ексфолиативен дерматит като част от мониторирането на псориазиса при пациента. Ако тези симптоми се появят, трябва да се започне подходящо лечение. Приемът на STELARA трябва да се преустанови, ако има съмнения за лекарствена реакция.</w:t>
      </w:r>
    </w:p>
    <w:p w14:paraId="109AD531" w14:textId="77777777" w:rsidR="009B3384" w:rsidRDefault="009B3384">
      <w:pPr>
        <w:tabs>
          <w:tab w:val="clear" w:pos="567"/>
        </w:tabs>
      </w:pPr>
    </w:p>
    <w:p w14:paraId="109AD532" w14:textId="77777777" w:rsidR="009B3384" w:rsidRDefault="00800862">
      <w:pPr>
        <w:keepNext/>
        <w:widowControl w:val="0"/>
        <w:rPr>
          <w:szCs w:val="22"/>
          <w:u w:val="single"/>
        </w:rPr>
      </w:pPr>
      <w:r>
        <w:rPr>
          <w:szCs w:val="22"/>
          <w:u w:val="single"/>
        </w:rPr>
        <w:t>Заболявания, свързани с лупус</w:t>
      </w:r>
    </w:p>
    <w:p w14:paraId="109AD533" w14:textId="77777777" w:rsidR="009B3384" w:rsidRDefault="00800862">
      <w:pPr>
        <w:widowControl w:val="0"/>
        <w:rPr>
          <w:szCs w:val="22"/>
        </w:rPr>
      </w:pPr>
      <w:r>
        <w:rPr>
          <w:szCs w:val="22"/>
        </w:rPr>
        <w:t xml:space="preserve">Случаи на заболявания, свързани с лупус, се съобщават при пациенти, лекувани с </w:t>
      </w:r>
      <w:r>
        <w:t>устекинумаб</w:t>
      </w:r>
      <w:r>
        <w:rPr>
          <w:szCs w:val="22"/>
        </w:rPr>
        <w:t xml:space="preserve">, включително кожен лупус еритематодес и лупус-подобен синдром. При възникване на лезии, особено на изложените на слънце участъци на кожата, или ако те се съпътстват от артралгия, пациентът трябва да потърси незабавно лекарска помощ. Ако се потвърдят заболявания, свързани с лупус, </w:t>
      </w:r>
      <w:r>
        <w:t>устекинумаб</w:t>
      </w:r>
      <w:r>
        <w:rPr>
          <w:szCs w:val="22"/>
        </w:rPr>
        <w:t xml:space="preserve"> трябва да се преустанови и да се започне подходящо лечение</w:t>
      </w:r>
      <w:r>
        <w:rPr>
          <w:bCs/>
          <w:szCs w:val="22"/>
        </w:rPr>
        <w:t>.</w:t>
      </w:r>
    </w:p>
    <w:p w14:paraId="109AD534" w14:textId="77777777" w:rsidR="009B3384" w:rsidRDefault="009B3384">
      <w:pPr>
        <w:tabs>
          <w:tab w:val="clear" w:pos="567"/>
        </w:tabs>
      </w:pPr>
    </w:p>
    <w:p w14:paraId="109AD535" w14:textId="77777777" w:rsidR="009B3384" w:rsidRDefault="00800862">
      <w:pPr>
        <w:keepNext/>
        <w:tabs>
          <w:tab w:val="clear" w:pos="567"/>
        </w:tabs>
        <w:rPr>
          <w:u w:val="single"/>
        </w:rPr>
      </w:pPr>
      <w:r>
        <w:rPr>
          <w:u w:val="single"/>
        </w:rPr>
        <w:t>Специални популации</w:t>
      </w:r>
    </w:p>
    <w:p w14:paraId="109AD536" w14:textId="77777777" w:rsidR="009B3384" w:rsidRDefault="009B3384">
      <w:pPr>
        <w:keepNext/>
        <w:tabs>
          <w:tab w:val="clear" w:pos="567"/>
        </w:tabs>
        <w:rPr>
          <w:bCs/>
          <w:i/>
          <w:iCs/>
        </w:rPr>
      </w:pPr>
    </w:p>
    <w:p w14:paraId="109AD537" w14:textId="7DBEA5BB" w:rsidR="009B3384" w:rsidRDefault="00800862">
      <w:pPr>
        <w:keepNext/>
        <w:tabs>
          <w:tab w:val="clear" w:pos="567"/>
        </w:tabs>
        <w:rPr>
          <w:bCs/>
          <w:i/>
          <w:iCs/>
        </w:rPr>
      </w:pPr>
      <w:r w:rsidRPr="00BC6A43">
        <w:rPr>
          <w:bCs/>
          <w:i/>
          <w:iCs/>
          <w:u w:val="single"/>
        </w:rPr>
        <w:t>Старческа възраст</w:t>
      </w:r>
    </w:p>
    <w:p w14:paraId="109AD538" w14:textId="77777777" w:rsidR="009B3384" w:rsidRDefault="00800862">
      <w:pPr>
        <w:tabs>
          <w:tab w:val="clear" w:pos="567"/>
        </w:tabs>
      </w:pPr>
      <w:r>
        <w:t>В клиничните изпитвания при одобрените показания не се наблюдават съществени различия в ефикасността или безопасността при пациенти на 65</w:t>
      </w:r>
      <w:r>
        <w:noBreakHyphen/>
        <w:t>годишна възраст и по-големи, които получават STELARA, в сравнение с по-млади пациенти. Броят на пациентите на възраст 65 години и по-големи обаче не е достатъчен, за да се определи дали се повлияват различно от по-младите пациенти. Тъй като разпространението на инфекции сред старческата популация като цяло е по-голямо, лечението при пациенти в старческа възраст трябва да се прилага внимателно.</w:t>
      </w:r>
    </w:p>
    <w:p w14:paraId="109AD539" w14:textId="77777777" w:rsidR="009B3384" w:rsidRDefault="009B3384">
      <w:pPr>
        <w:widowControl w:val="0"/>
      </w:pPr>
    </w:p>
    <w:p w14:paraId="109AD53A" w14:textId="77777777" w:rsidR="009B3384" w:rsidRPr="00BB130F" w:rsidRDefault="00800862" w:rsidP="00BC6A43">
      <w:pPr>
        <w:keepNext/>
        <w:tabs>
          <w:tab w:val="clear" w:pos="567"/>
          <w:tab w:val="left" w:pos="720"/>
        </w:tabs>
        <w:rPr>
          <w:szCs w:val="22"/>
          <w:u w:val="single"/>
        </w:rPr>
      </w:pPr>
      <w:r w:rsidRPr="00BC6A43">
        <w:rPr>
          <w:szCs w:val="22"/>
          <w:u w:val="single"/>
        </w:rPr>
        <w:t>Помощно вещество с известно действие</w:t>
      </w:r>
    </w:p>
    <w:p w14:paraId="109AD53B" w14:textId="77777777" w:rsidR="009B3384" w:rsidRDefault="009B3384" w:rsidP="00BC6A43">
      <w:pPr>
        <w:keepNext/>
        <w:widowControl w:val="0"/>
      </w:pPr>
    </w:p>
    <w:p w14:paraId="4B2AB185" w14:textId="77777777" w:rsidR="00685CAD" w:rsidRDefault="00685CAD">
      <w:pPr>
        <w:keepNext/>
        <w:widowControl w:val="0"/>
        <w:rPr>
          <w:ins w:id="1280" w:author="Reviser" w:date="2026-04-29T21:00:00Z"/>
          <w:i/>
          <w:iCs/>
        </w:rPr>
        <w:pPrChange w:id="1281" w:author="EUCP BE1" w:date="2026-05-19T16:56:00Z">
          <w:pPr>
            <w:widowControl w:val="0"/>
          </w:pPr>
        </w:pPrChange>
      </w:pPr>
      <w:ins w:id="1282" w:author="Reviser" w:date="2026-04-29T21:00:00Z">
        <w:r w:rsidRPr="00E46A30">
          <w:rPr>
            <w:i/>
            <w:iCs/>
          </w:rPr>
          <w:t>Съдържание на полисорбат 80</w:t>
        </w:r>
      </w:ins>
    </w:p>
    <w:p w14:paraId="109AD53D" w14:textId="618BCC55" w:rsidR="009B3384" w:rsidRDefault="00800862">
      <w:pPr>
        <w:widowControl w:val="0"/>
      </w:pPr>
      <w:r>
        <w:t>Stelara съдържа 0,04 mg (90 mg/1,0 ml) или 0,02 mg (45 mg/0,5 ml) полисорбат 80 (E433) във всяка доза, която е еквивалентна на 0,40 mg/ml. Полисорбатите могат да причинят алергични реакции.</w:t>
      </w:r>
    </w:p>
    <w:p w14:paraId="109AD53E" w14:textId="77777777" w:rsidR="009B3384" w:rsidRDefault="009B3384">
      <w:pPr>
        <w:tabs>
          <w:tab w:val="clear" w:pos="567"/>
        </w:tabs>
      </w:pPr>
    </w:p>
    <w:p w14:paraId="109AD53F" w14:textId="77777777" w:rsidR="009B3384" w:rsidRDefault="00800862">
      <w:pPr>
        <w:keepNext/>
        <w:ind w:left="567" w:hanging="567"/>
        <w:outlineLvl w:val="2"/>
        <w:rPr>
          <w:b/>
          <w:bCs/>
        </w:rPr>
      </w:pPr>
      <w:r>
        <w:rPr>
          <w:b/>
          <w:bCs/>
        </w:rPr>
        <w:t>4.5</w:t>
      </w:r>
      <w:r>
        <w:rPr>
          <w:b/>
          <w:bCs/>
        </w:rPr>
        <w:tab/>
        <w:t>Взаимодействие с други лекарствени продукти и други форми на взаимодействие</w:t>
      </w:r>
    </w:p>
    <w:p w14:paraId="109AD540" w14:textId="77777777" w:rsidR="009B3384" w:rsidRDefault="009B3384">
      <w:pPr>
        <w:keepNext/>
        <w:tabs>
          <w:tab w:val="clear" w:pos="567"/>
        </w:tabs>
      </w:pPr>
    </w:p>
    <w:p w14:paraId="109AD541" w14:textId="77777777" w:rsidR="009B3384" w:rsidRDefault="00800862">
      <w:pPr>
        <w:tabs>
          <w:tab w:val="clear" w:pos="567"/>
        </w:tabs>
      </w:pPr>
      <w:r>
        <w:t>Живи ваксини не трябва да се прилагат едновременно със STELARA.</w:t>
      </w:r>
    </w:p>
    <w:p w14:paraId="109AD542" w14:textId="77777777" w:rsidR="009B3384" w:rsidRDefault="009B3384">
      <w:pPr>
        <w:tabs>
          <w:tab w:val="clear" w:pos="567"/>
        </w:tabs>
      </w:pPr>
    </w:p>
    <w:p w14:paraId="109AD543" w14:textId="77777777" w:rsidR="009B3384" w:rsidRDefault="00800862">
      <w:pPr>
        <w:tabs>
          <w:tab w:val="clear" w:pos="567"/>
        </w:tabs>
      </w:pPr>
      <w:r>
        <w:t xml:space="preserve">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4.4 и 4.6).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D544" w14:textId="77777777" w:rsidR="009B3384" w:rsidRDefault="009B3384">
      <w:pPr>
        <w:tabs>
          <w:tab w:val="clear" w:pos="567"/>
        </w:tabs>
      </w:pPr>
    </w:p>
    <w:p w14:paraId="109AD545" w14:textId="77777777" w:rsidR="009B3384" w:rsidRDefault="00800862">
      <w:pPr>
        <w:tabs>
          <w:tab w:val="clear" w:pos="567"/>
        </w:tabs>
      </w:pPr>
      <w:r>
        <w:lastRenderedPageBreak/>
        <w:t>При фармакокинетични анализи на популацията, направени в проучвания фаза </w:t>
      </w:r>
      <w:r>
        <w:rPr>
          <w:iCs/>
        </w:rPr>
        <w:t>3, е изследван ефектът на най-често едновременно приемани лекарствени продукти при пациенти с псориазис (включително и парацетамол, ибупрофен, ацетилсалицилова киселина, метформин, аторвастатин, левотироксин) върху фармакокинетиката на устекинумаб. Не са наблюдавани признаци на взаимодействие с тези едновременно приемани лекарствени продукти. Основа на този анализ е фактът, че най-малко 100 пациенти (&gt;</w:t>
      </w:r>
      <w:r>
        <w:rPr>
          <w:iCs/>
          <w:lang w:val="nl-BE"/>
        </w:rPr>
        <w:t> </w:t>
      </w:r>
      <w:r>
        <w:rPr>
          <w:iCs/>
        </w:rPr>
        <w:t>5% от изследваната популация) са лекувани едновременно с тези лекарствени продукти през поне 90% от периода на проучването.</w:t>
      </w:r>
      <w:r>
        <w:t xml:space="preserve"> </w:t>
      </w:r>
      <w:r>
        <w:rPr>
          <w:iCs/>
        </w:rPr>
        <w:t xml:space="preserve">Фармакокинетиката на устекинумаб не се е повлияла от едновременната употреба на MTX, НСПВС, 6-меркаптопурин, азатиоприн и перорални кортикостероиди при пациенти с псориатичен артрит, </w:t>
      </w:r>
      <w:r>
        <w:t xml:space="preserve">болест на </w:t>
      </w:r>
      <w:r>
        <w:rPr>
          <w:lang w:val="en-GB"/>
        </w:rPr>
        <w:t>Crohn</w:t>
      </w:r>
      <w:r>
        <w:t xml:space="preserve"> </w:t>
      </w:r>
      <w:r>
        <w:rPr>
          <w:bCs/>
        </w:rPr>
        <w:t xml:space="preserve">или </w:t>
      </w:r>
      <w:r>
        <w:t>улцерозен колит</w:t>
      </w:r>
      <w:r>
        <w:rPr>
          <w:iCs/>
        </w:rPr>
        <w:t>, или от предшестваща експозиция на анти-TNF</w:t>
      </w:r>
      <w:r>
        <w:t>α</w:t>
      </w:r>
      <w:r>
        <w:rPr>
          <w:iCs/>
        </w:rPr>
        <w:t xml:space="preserve"> средства, при пациенти с псориатичен артрит или болест на </w:t>
      </w:r>
      <w:r>
        <w:rPr>
          <w:iCs/>
          <w:lang w:val="en-GB"/>
        </w:rPr>
        <w:t>Crohn</w:t>
      </w:r>
      <w:r>
        <w:rPr>
          <w:iCs/>
        </w:rPr>
        <w:t>, или от предшестваща експозиция на биологични лекарствени продукти (т.е. анти-TNF</w:t>
      </w:r>
      <w:r>
        <w:t>α</w:t>
      </w:r>
      <w:r>
        <w:rPr>
          <w:iCs/>
        </w:rPr>
        <w:t xml:space="preserve"> средства и/или ведолизумаб) при пациенти с </w:t>
      </w:r>
      <w:r>
        <w:t>улцерозен колит</w:t>
      </w:r>
      <w:r>
        <w:rPr>
          <w:iCs/>
        </w:rPr>
        <w:t>.</w:t>
      </w:r>
    </w:p>
    <w:p w14:paraId="109AD546" w14:textId="77777777" w:rsidR="009B3384" w:rsidRDefault="009B3384">
      <w:pPr>
        <w:tabs>
          <w:tab w:val="clear" w:pos="567"/>
        </w:tabs>
      </w:pPr>
    </w:p>
    <w:p w14:paraId="109AD547" w14:textId="77777777" w:rsidR="009B3384" w:rsidRDefault="00800862">
      <w:pPr>
        <w:tabs>
          <w:tab w:val="clear" w:pos="567"/>
        </w:tabs>
      </w:pPr>
      <w:r>
        <w:t xml:space="preserve">Резултатите от проучване </w:t>
      </w:r>
      <w:r>
        <w:rPr>
          <w:i/>
        </w:rPr>
        <w:t xml:space="preserve">in vitro </w:t>
      </w:r>
      <w:r>
        <w:rPr>
          <w:iCs/>
        </w:rPr>
        <w:t xml:space="preserve">и от проучване фаза 1 при участници с активна болест на </w:t>
      </w:r>
      <w:r>
        <w:rPr>
          <w:bCs/>
          <w:u w:val="single"/>
          <w:lang w:val="en-GB"/>
        </w:rPr>
        <w:t>Crohn</w:t>
      </w:r>
      <w:r>
        <w:t xml:space="preserve"> не предполагат необходимост от адаптиране на дозата при пациенти, които получават едновременно CYP450 субстрати (вж. точка 5.2).</w:t>
      </w:r>
    </w:p>
    <w:p w14:paraId="109AD548" w14:textId="77777777" w:rsidR="009B3384" w:rsidRDefault="009B3384">
      <w:pPr>
        <w:tabs>
          <w:tab w:val="clear" w:pos="567"/>
        </w:tabs>
      </w:pPr>
    </w:p>
    <w:p w14:paraId="109AD549" w14:textId="77777777" w:rsidR="009B3384" w:rsidRDefault="00800862">
      <w:pPr>
        <w:tabs>
          <w:tab w:val="clear" w:pos="567"/>
        </w:tabs>
      </w:pPr>
      <w:r>
        <w:t xml:space="preserve">При проучвания при псориазис не са оценявани безопасността и ефикасността на STELARA в комбинация с имуносупресори, включително биологични средства или фототерапия. При проучвания при псориатичен артрит, едновременната употреба на MTX не повлиява безопасността и ефикасността на STELARA В проучванията при болест на </w:t>
      </w:r>
      <w:r>
        <w:rPr>
          <w:lang w:val="en-GB"/>
        </w:rPr>
        <w:t>Crohn</w:t>
      </w:r>
      <w:r>
        <w:t xml:space="preserve"> </w:t>
      </w:r>
      <w:r>
        <w:rPr>
          <w:bCs/>
        </w:rPr>
        <w:t xml:space="preserve">и </w:t>
      </w:r>
      <w:r>
        <w:t xml:space="preserve">улцерозен колит едновременната употреба на имуносупресори или кортикостероиди изглежда не повлиява безопасността или ефикасността на </w:t>
      </w:r>
      <w:r>
        <w:rPr>
          <w:lang w:val="en-GB"/>
        </w:rPr>
        <w:t>STELARA</w:t>
      </w:r>
      <w:r>
        <w:t>. (вж. точка 4.4).</w:t>
      </w:r>
    </w:p>
    <w:p w14:paraId="109AD54A" w14:textId="77777777" w:rsidR="009B3384" w:rsidRDefault="009B3384">
      <w:pPr>
        <w:tabs>
          <w:tab w:val="clear" w:pos="567"/>
        </w:tabs>
      </w:pPr>
    </w:p>
    <w:p w14:paraId="109AD54B" w14:textId="77777777" w:rsidR="009B3384" w:rsidRDefault="00800862">
      <w:pPr>
        <w:keepNext/>
        <w:ind w:left="567" w:hanging="567"/>
        <w:outlineLvl w:val="2"/>
        <w:rPr>
          <w:b/>
        </w:rPr>
      </w:pPr>
      <w:r>
        <w:rPr>
          <w:b/>
        </w:rPr>
        <w:t>4.6</w:t>
      </w:r>
      <w:r>
        <w:rPr>
          <w:b/>
        </w:rPr>
        <w:tab/>
        <w:t>Фертилитет, бременност и кърмене</w:t>
      </w:r>
    </w:p>
    <w:p w14:paraId="109AD54C" w14:textId="77777777" w:rsidR="009B3384" w:rsidRDefault="009B3384">
      <w:pPr>
        <w:keepNext/>
      </w:pPr>
    </w:p>
    <w:p w14:paraId="109AD54D" w14:textId="77777777" w:rsidR="009B3384" w:rsidRDefault="00800862">
      <w:pPr>
        <w:keepNext/>
        <w:rPr>
          <w:u w:val="single"/>
        </w:rPr>
      </w:pPr>
      <w:r>
        <w:rPr>
          <w:u w:val="single"/>
        </w:rPr>
        <w:t>Жени с детероден потенциал</w:t>
      </w:r>
    </w:p>
    <w:p w14:paraId="109AD54E" w14:textId="77777777" w:rsidR="009B3384" w:rsidRDefault="00800862">
      <w:r>
        <w:t>Жени с детероден потенциал трябва да използват ефективни методи на контрацепция по време</w:t>
      </w:r>
    </w:p>
    <w:p w14:paraId="109AD54F" w14:textId="77777777" w:rsidR="009B3384" w:rsidRDefault="00800862">
      <w:r>
        <w:t>на лечение и до 15 седмици след лечението.</w:t>
      </w:r>
    </w:p>
    <w:p w14:paraId="109AD550" w14:textId="77777777" w:rsidR="009B3384" w:rsidRDefault="009B3384">
      <w:pPr>
        <w:rPr>
          <w:iCs/>
        </w:rPr>
      </w:pPr>
    </w:p>
    <w:p w14:paraId="109AD551" w14:textId="77777777" w:rsidR="009B3384" w:rsidRDefault="00800862">
      <w:pPr>
        <w:keepNext/>
        <w:rPr>
          <w:bCs/>
        </w:rPr>
      </w:pPr>
      <w:r>
        <w:rPr>
          <w:u w:val="single"/>
        </w:rPr>
        <w:t>Бременност</w:t>
      </w:r>
    </w:p>
    <w:p w14:paraId="109AD552" w14:textId="77777777" w:rsidR="009B3384" w:rsidRDefault="00800862">
      <w:r>
        <w:t>Проспективни данни от неголям брой случаи на бременност след експозиция на STELARA с известен изход, включително повече от 450 случая на бременност с експозиция през първия триместър, не показват повишен риск от големи вродени малформации при новороденото.</w:t>
      </w:r>
    </w:p>
    <w:p w14:paraId="109AD553" w14:textId="77777777" w:rsidR="009B3384" w:rsidRDefault="009B3384"/>
    <w:p w14:paraId="109AD554" w14:textId="77777777" w:rsidR="009B3384" w:rsidRDefault="00800862">
      <w:r>
        <w:t>Проучванията при животни не показват преки или непреки вредни ефекти, свързани с бременността, ембрионалното/феталното развитие, раждането или постнаталното развитие (вж. точка 5.3).</w:t>
      </w:r>
    </w:p>
    <w:p w14:paraId="109AD555" w14:textId="77777777" w:rsidR="009B3384" w:rsidRDefault="009B3384"/>
    <w:p w14:paraId="109AD556" w14:textId="77777777" w:rsidR="009B3384" w:rsidRDefault="00800862">
      <w:r>
        <w:t>Наличният клиничен опит обаче е ограничен. Като предпазна мярка е за предпочитане да се избягва употребата на STELARA по време на бременност.</w:t>
      </w:r>
    </w:p>
    <w:p w14:paraId="109AD557" w14:textId="77777777" w:rsidR="009B3384" w:rsidRDefault="009B3384"/>
    <w:p w14:paraId="109AD558" w14:textId="77777777" w:rsidR="009B3384" w:rsidRDefault="00800862">
      <w:r>
        <w:t xml:space="preserve">Устекинумаб преминава през плацентата и се открива в серума на кърмачета, родени от жени, лекувани с устекинумаб по време на бременността. Клиничното въздействие на този факт не е известно, но рискът от инфекция при кърмачета, с експозиция на устекинумаб </w:t>
      </w:r>
      <w:r>
        <w:rPr>
          <w:i/>
          <w:iCs/>
        </w:rPr>
        <w:t>in utero</w:t>
      </w:r>
      <w:r>
        <w:t xml:space="preserve"> може да бъде повишен след раждането. Не се препоръчва прилагане на живи ваксини (като БЦЖ ваксина) при кърмачета, с експозиция на устекинумаб </w:t>
      </w:r>
      <w:r>
        <w:rPr>
          <w:i/>
          <w:iCs/>
        </w:rPr>
        <w:t>in utero</w:t>
      </w:r>
      <w:r>
        <w:t>, в продължение на дванадесет месеца след раждането или докато серумните нива на устекинумаб при кърмачето спаднат под нивото на детекция (вж. точки 4.4 и 4.5). Ако е налице категорична клинична полза за отделното кърмаче, може да се обмисли прилагане на жива ваксина в по-ранен момент, ако не се откриват серумни нива на устекинумаб.</w:t>
      </w:r>
    </w:p>
    <w:p w14:paraId="109AD559" w14:textId="77777777" w:rsidR="009B3384" w:rsidRDefault="009B3384"/>
    <w:p w14:paraId="109AD55A" w14:textId="77777777" w:rsidR="009B3384" w:rsidRDefault="00800862">
      <w:pPr>
        <w:keepNext/>
        <w:tabs>
          <w:tab w:val="clear" w:pos="567"/>
        </w:tabs>
        <w:rPr>
          <w:u w:val="single"/>
        </w:rPr>
      </w:pPr>
      <w:r>
        <w:rPr>
          <w:u w:val="single"/>
        </w:rPr>
        <w:t>Кърмене</w:t>
      </w:r>
    </w:p>
    <w:p w14:paraId="109AD55B" w14:textId="77777777" w:rsidR="009B3384" w:rsidRDefault="00800862">
      <w:pPr>
        <w:tabs>
          <w:tab w:val="clear" w:pos="567"/>
        </w:tabs>
      </w:pPr>
      <w:r>
        <w:t xml:space="preserve">Ограничени данни, публикувани в литературата, показват, че устекинумаб се екскретира в човешката кърма в много малки количества. Не е известно дали устекинумаб се абсорбира системно след поглъщане. Поради потенциала за проява на нежелани лекарствени реакции към </w:t>
      </w:r>
      <w:r>
        <w:lastRenderedPageBreak/>
        <w:t>устекинумаб при кърмачетата, трябва да се вземе решение дали да се преустанови кърменето по време на лечение и до 15 седмици след лечението, или да се преустанови терапията със STELARA, като се вземат предвид ползата от кърменето за детето и ползата от терапията със STELARA за жената.</w:t>
      </w:r>
    </w:p>
    <w:p w14:paraId="109AD55C" w14:textId="77777777" w:rsidR="009B3384" w:rsidRDefault="009B3384">
      <w:pPr>
        <w:tabs>
          <w:tab w:val="clear" w:pos="567"/>
        </w:tabs>
      </w:pPr>
    </w:p>
    <w:p w14:paraId="109AD55D" w14:textId="77777777" w:rsidR="009B3384" w:rsidRDefault="00800862">
      <w:pPr>
        <w:keepNext/>
        <w:tabs>
          <w:tab w:val="clear" w:pos="567"/>
        </w:tabs>
        <w:rPr>
          <w:u w:val="single"/>
        </w:rPr>
      </w:pPr>
      <w:r>
        <w:rPr>
          <w:u w:val="single"/>
        </w:rPr>
        <w:t>Фертилитет</w:t>
      </w:r>
    </w:p>
    <w:p w14:paraId="109AD55E" w14:textId="77777777" w:rsidR="009B3384" w:rsidRDefault="00800862">
      <w:pPr>
        <w:tabs>
          <w:tab w:val="clear" w:pos="567"/>
        </w:tabs>
      </w:pPr>
      <w:r>
        <w:t>Ефектът на устекинумаб върху фертилитета при хора не е оценен (вж. точка 5.3).</w:t>
      </w:r>
    </w:p>
    <w:p w14:paraId="109AD55F" w14:textId="77777777" w:rsidR="009B3384" w:rsidRDefault="009B3384">
      <w:pPr>
        <w:tabs>
          <w:tab w:val="clear" w:pos="567"/>
        </w:tabs>
      </w:pPr>
    </w:p>
    <w:p w14:paraId="109AD560" w14:textId="77777777" w:rsidR="009B3384" w:rsidRDefault="00800862">
      <w:pPr>
        <w:keepNext/>
        <w:ind w:left="567" w:hanging="567"/>
        <w:outlineLvl w:val="2"/>
        <w:rPr>
          <w:b/>
          <w:bCs/>
        </w:rPr>
      </w:pPr>
      <w:r>
        <w:rPr>
          <w:b/>
          <w:bCs/>
        </w:rPr>
        <w:t>4.7</w:t>
      </w:r>
      <w:r>
        <w:rPr>
          <w:b/>
          <w:bCs/>
        </w:rPr>
        <w:tab/>
        <w:t>Ефекти върху способността за шофиране и работа с машини</w:t>
      </w:r>
    </w:p>
    <w:p w14:paraId="109AD561" w14:textId="77777777" w:rsidR="009B3384" w:rsidRDefault="009B3384">
      <w:pPr>
        <w:keepNext/>
        <w:tabs>
          <w:tab w:val="clear" w:pos="567"/>
        </w:tabs>
      </w:pPr>
    </w:p>
    <w:p w14:paraId="109AD562" w14:textId="77777777" w:rsidR="009B3384" w:rsidRDefault="00800862">
      <w:r>
        <w:t>STELARA не повлиява или повлиява пренебрежимо способността за шофиране и работа с машини.</w:t>
      </w:r>
    </w:p>
    <w:p w14:paraId="109AD563" w14:textId="77777777" w:rsidR="009B3384" w:rsidRDefault="009B3384"/>
    <w:p w14:paraId="109AD564" w14:textId="77777777" w:rsidR="009B3384" w:rsidRDefault="00800862">
      <w:pPr>
        <w:keepNext/>
        <w:ind w:left="567" w:hanging="567"/>
        <w:outlineLvl w:val="2"/>
        <w:rPr>
          <w:b/>
          <w:bCs/>
        </w:rPr>
      </w:pPr>
      <w:r>
        <w:rPr>
          <w:b/>
          <w:bCs/>
        </w:rPr>
        <w:t>4.8</w:t>
      </w:r>
      <w:r>
        <w:rPr>
          <w:b/>
          <w:bCs/>
        </w:rPr>
        <w:tab/>
        <w:t>Нежелани лекарствени реакции</w:t>
      </w:r>
    </w:p>
    <w:p w14:paraId="109AD565" w14:textId="77777777" w:rsidR="009B3384" w:rsidRDefault="009B3384">
      <w:pPr>
        <w:keepNext/>
        <w:rPr>
          <w:iCs/>
        </w:rPr>
      </w:pPr>
    </w:p>
    <w:p w14:paraId="109AD566" w14:textId="77777777" w:rsidR="009B3384" w:rsidRDefault="00800862">
      <w:pPr>
        <w:keepNext/>
        <w:tabs>
          <w:tab w:val="clear" w:pos="567"/>
        </w:tabs>
        <w:rPr>
          <w:bCs/>
          <w:u w:val="single"/>
        </w:rPr>
      </w:pPr>
      <w:r>
        <w:rPr>
          <w:bCs/>
          <w:u w:val="single"/>
        </w:rPr>
        <w:t>Обобщение на профила на безопасност</w:t>
      </w:r>
    </w:p>
    <w:p w14:paraId="109AD567" w14:textId="33335E9E" w:rsidR="009B3384" w:rsidRDefault="00800862">
      <w:pPr>
        <w:tabs>
          <w:tab w:val="clear" w:pos="567"/>
        </w:tabs>
      </w:pPr>
      <w:r>
        <w:rPr>
          <w:bCs/>
        </w:rPr>
        <w:t>Най-честите нежелани лекарствени реакции в контролираните периоди от клиничните проучвания при възрастни са назофарингит (възникващ при 6,9% от пациентите, лекувани с устекинумаб, и при 5,4% от пациентите на плацебо) и главоболие (възникващо при 7,0% от пациентите, лекувани с устекинумаб, и при 5,2% от пациентите на плацебо). Най-сериозната нежелана лекарствена реакция, която е съобщавана за STELARA, е сериозна реакция на свръхчувствителност, включително анафилаксия (вж. точка 4.4). Общият профил на безопасност е подобен при</w:t>
      </w:r>
      <w:r>
        <w:t xml:space="preserve"> пациенти с псориазис, псориатичен артрит, болест на Crohn </w:t>
      </w:r>
      <w:r>
        <w:rPr>
          <w:bCs/>
        </w:rPr>
        <w:t xml:space="preserve">и </w:t>
      </w:r>
      <w:r>
        <w:t>улцерозен колит.</w:t>
      </w:r>
    </w:p>
    <w:p w14:paraId="109AD568" w14:textId="77777777" w:rsidR="009B3384" w:rsidRDefault="009B3384">
      <w:pPr>
        <w:tabs>
          <w:tab w:val="clear" w:pos="567"/>
        </w:tabs>
        <w:rPr>
          <w:bCs/>
        </w:rPr>
      </w:pPr>
    </w:p>
    <w:p w14:paraId="109AD569" w14:textId="77777777" w:rsidR="009B3384" w:rsidRDefault="00800862">
      <w:pPr>
        <w:keepNext/>
        <w:tabs>
          <w:tab w:val="clear" w:pos="567"/>
        </w:tabs>
        <w:rPr>
          <w:bCs/>
          <w:u w:val="single"/>
        </w:rPr>
      </w:pPr>
      <w:r>
        <w:rPr>
          <w:bCs/>
          <w:u w:val="single"/>
        </w:rPr>
        <w:t>Табличен списък на нежеланите реакции</w:t>
      </w:r>
    </w:p>
    <w:p w14:paraId="109AD56A" w14:textId="77777777" w:rsidR="009B3384" w:rsidRDefault="00800862">
      <w:pPr>
        <w:tabs>
          <w:tab w:val="clear" w:pos="567"/>
        </w:tabs>
        <w:rPr>
          <w:bCs/>
        </w:rPr>
      </w:pPr>
      <w:r>
        <w:rPr>
          <w:bCs/>
        </w:rPr>
        <w:t>Данните за безопасност, предоставени по-долу, са получени след експозиция на устекинумаб при възрастни в 14 проучвания фаза</w:t>
      </w:r>
      <w:r>
        <w:rPr>
          <w:bCs/>
          <w:lang w:val="en-US"/>
        </w:rPr>
        <w:t> </w:t>
      </w:r>
      <w:r>
        <w:rPr>
          <w:bCs/>
        </w:rPr>
        <w:t>2 и фаза</w:t>
      </w:r>
      <w:r>
        <w:rPr>
          <w:bCs/>
          <w:lang w:val="en-US"/>
        </w:rPr>
        <w:t> </w:t>
      </w:r>
      <w:r>
        <w:rPr>
          <w:bCs/>
        </w:rPr>
        <w:t>3 при 6 710</w:t>
      </w:r>
      <w:r>
        <w:rPr>
          <w:bCs/>
          <w:lang w:val="en-US"/>
        </w:rPr>
        <w:t> </w:t>
      </w:r>
      <w:r>
        <w:rPr>
          <w:bCs/>
        </w:rPr>
        <w:t xml:space="preserve">пациенти (4 135 с псориазис и/или </w:t>
      </w:r>
      <w:r>
        <w:t xml:space="preserve">псориатичен артрит, </w:t>
      </w:r>
      <w:r>
        <w:rPr>
          <w:bCs/>
        </w:rPr>
        <w:t xml:space="preserve">1 749 с болест на </w:t>
      </w:r>
      <w:r>
        <w:rPr>
          <w:bCs/>
          <w:lang w:val="en-GB"/>
        </w:rPr>
        <w:t>Crohn</w:t>
      </w:r>
      <w:r>
        <w:rPr>
          <w:bCs/>
        </w:rPr>
        <w:t xml:space="preserve"> и 826 пациенти с </w:t>
      </w:r>
      <w:r>
        <w:t>улцерозен колит)</w:t>
      </w:r>
      <w:r>
        <w:rPr>
          <w:bCs/>
        </w:rPr>
        <w:t xml:space="preserve">. Това включва експозиция на </w:t>
      </w:r>
      <w:r>
        <w:rPr>
          <w:bCs/>
          <w:lang w:val="en-GB"/>
        </w:rPr>
        <w:t>STELARA</w:t>
      </w:r>
      <w:r>
        <w:rPr>
          <w:bCs/>
        </w:rPr>
        <w:t xml:space="preserve"> в контролираните и неконтролираните периоди на клиничните проучвания при пациенти с псориазис, псориатичен артрит, болест на </w:t>
      </w:r>
      <w:r w:rsidRPr="00BC6A43">
        <w:rPr>
          <w:bCs/>
          <w:lang w:val="en-GB"/>
        </w:rPr>
        <w:t>Crohn</w:t>
      </w:r>
      <w:r>
        <w:rPr>
          <w:bCs/>
        </w:rPr>
        <w:t xml:space="preserve"> или улцерозен колит в продължение на най-малко 6</w:t>
      </w:r>
      <w:r>
        <w:rPr>
          <w:bCs/>
          <w:lang w:val="en-GB"/>
        </w:rPr>
        <w:t> </w:t>
      </w:r>
      <w:r>
        <w:rPr>
          <w:bCs/>
        </w:rPr>
        <w:t>месеца (4</w:t>
      </w:r>
      <w:r>
        <w:rPr>
          <w:bCs/>
          <w:lang w:val="en-US"/>
        </w:rPr>
        <w:t> </w:t>
      </w:r>
      <w:r>
        <w:rPr>
          <w:bCs/>
        </w:rPr>
        <w:t>577 пациенти) или поне 1 година (3 648</w:t>
      </w:r>
      <w:r>
        <w:rPr>
          <w:bCs/>
          <w:lang w:val="en-GB"/>
        </w:rPr>
        <w:t> </w:t>
      </w:r>
      <w:r>
        <w:rPr>
          <w:bCs/>
        </w:rPr>
        <w:t xml:space="preserve">пациенти). 2 194 пациенти с псориазис, болест на </w:t>
      </w:r>
      <w:r w:rsidRPr="00BC6A43">
        <w:rPr>
          <w:bCs/>
          <w:lang w:val="en-GB"/>
        </w:rPr>
        <w:t>Crohn</w:t>
      </w:r>
      <w:r w:rsidRPr="00BC6A43">
        <w:rPr>
          <w:bCs/>
        </w:rPr>
        <w:t xml:space="preserve"> или улцерозен колит са с експозиция за поне 4 години, докато 1 148 пациенти с псориазис или болест на </w:t>
      </w:r>
      <w:r w:rsidRPr="00BC6A43">
        <w:rPr>
          <w:bCs/>
          <w:lang w:val="en-GB"/>
        </w:rPr>
        <w:t>Crohn</w:t>
      </w:r>
      <w:r w:rsidRPr="00BC6A43">
        <w:rPr>
          <w:bCs/>
        </w:rPr>
        <w:t xml:space="preserve"> са с експозиция за поне</w:t>
      </w:r>
      <w:r>
        <w:rPr>
          <w:bCs/>
        </w:rPr>
        <w:t xml:space="preserve"> 5 години.</w:t>
      </w:r>
    </w:p>
    <w:p w14:paraId="109AD56B" w14:textId="77777777" w:rsidR="009B3384" w:rsidRDefault="009B3384">
      <w:pPr>
        <w:tabs>
          <w:tab w:val="clear" w:pos="567"/>
        </w:tabs>
        <w:rPr>
          <w:bCs/>
        </w:rPr>
      </w:pPr>
    </w:p>
    <w:p w14:paraId="109AD56C" w14:textId="77777777" w:rsidR="009B3384" w:rsidRDefault="00800862">
      <w:pPr>
        <w:tabs>
          <w:tab w:val="clear" w:pos="567"/>
        </w:tabs>
      </w:pPr>
      <w:r>
        <w:rPr>
          <w:bCs/>
        </w:rPr>
        <w:t xml:space="preserve">В таблица 1 е показан списък с нежеланите лекарствени реакции от клинични проучвания при възрастни с псориазис, </w:t>
      </w:r>
      <w:r>
        <w:t>псориатичен артрит,</w:t>
      </w:r>
      <w:r>
        <w:rPr>
          <w:bCs/>
        </w:rPr>
        <w:t xml:space="preserve"> болест на </w:t>
      </w:r>
      <w:r>
        <w:rPr>
          <w:bCs/>
          <w:lang w:val="en-GB"/>
        </w:rPr>
        <w:t>Crohn</w:t>
      </w:r>
      <w:r>
        <w:rPr>
          <w:bCs/>
        </w:rPr>
        <w:t xml:space="preserve"> и с </w:t>
      </w:r>
      <w:r>
        <w:t>улцерозен колит</w:t>
      </w:r>
      <w:r>
        <w:rPr>
          <w:bCs/>
        </w:rPr>
        <w:t>, както и нежеланите реакции от постмаркетинговата употреба. Нежеланите реакции са класифицирани по системо-органни класове и честота съгласно следната конвенция: Много чести (≥ 1/10), Чести (≥ 1/100 до &lt; 1/10), Нечести (≥ 1/1 000 до &lt; 1/100), Редки (≥ 1/10 000 до &lt; 1/</w:t>
      </w:r>
      <w:r>
        <w:rPr>
          <w:szCs w:val="22"/>
        </w:rPr>
        <w:t>1 000), Много редки (&lt; 1/10 000), с неизвестна честота (от наличните</w:t>
      </w:r>
      <w:r>
        <w:t xml:space="preserve"> данни не може да бъде направена оценка). При всяко групиране в зависимост от честотата нежеланите </w:t>
      </w:r>
      <w:r>
        <w:rPr>
          <w:bCs/>
        </w:rPr>
        <w:t xml:space="preserve">лекарствени реакции </w:t>
      </w:r>
      <w:r>
        <w:t>се изброяват в низходящ ред по отношение на тяхната сериозност.</w:t>
      </w:r>
    </w:p>
    <w:p w14:paraId="109AD56D" w14:textId="77777777" w:rsidR="009B3384" w:rsidRDefault="009B3384"/>
    <w:p w14:paraId="109AD56E" w14:textId="78F0B68E" w:rsidR="009B3384" w:rsidRDefault="00800862">
      <w:pPr>
        <w:keepNext/>
        <w:tabs>
          <w:tab w:val="clear" w:pos="567"/>
        </w:tabs>
        <w:rPr>
          <w:i/>
        </w:rPr>
      </w:pPr>
      <w:r>
        <w:rPr>
          <w:i/>
        </w:rPr>
        <w:t>Таблица 1</w:t>
      </w:r>
      <w:ins w:id="1283" w:author="RABG09" w:date="2026-06-24T16:43:00Z">
        <w:r w:rsidR="00013E8D">
          <w:rPr>
            <w:i/>
          </w:rPr>
          <w:t>:</w:t>
        </w:r>
      </w:ins>
      <w:r>
        <w:rPr>
          <w:i/>
        </w:rPr>
        <w:tab/>
      </w:r>
      <w:r>
        <w:rPr>
          <w:i/>
          <w:iCs/>
        </w:rPr>
        <w:t>Списък на нежелани реакции</w:t>
      </w:r>
    </w:p>
    <w:tbl>
      <w:tblPr>
        <w:tblW w:w="9072" w:type="dxa"/>
        <w:jc w:val="center"/>
        <w:tblLayout w:type="fixed"/>
        <w:tblLook w:val="0000" w:firstRow="0" w:lastRow="0" w:firstColumn="0" w:lastColumn="0" w:noHBand="0" w:noVBand="0"/>
      </w:tblPr>
      <w:tblGrid>
        <w:gridCol w:w="2698"/>
        <w:gridCol w:w="6374"/>
      </w:tblGrid>
      <w:tr w:rsidR="009B3384" w14:paraId="109AD571" w14:textId="77777777">
        <w:trPr>
          <w:cantSplit/>
          <w:jc w:val="center"/>
        </w:trPr>
        <w:tc>
          <w:tcPr>
            <w:tcW w:w="2698" w:type="dxa"/>
            <w:tcBorders>
              <w:top w:val="single" w:sz="4" w:space="0" w:color="000000"/>
              <w:left w:val="single" w:sz="4" w:space="0" w:color="000000"/>
              <w:bottom w:val="single" w:sz="4" w:space="0" w:color="000000"/>
            </w:tcBorders>
          </w:tcPr>
          <w:p w14:paraId="109AD56F" w14:textId="77777777" w:rsidR="009B3384" w:rsidRDefault="00800862">
            <w:pPr>
              <w:keepNext/>
              <w:widowControl w:val="0"/>
              <w:rPr>
                <w:b/>
                <w:bCs/>
              </w:rPr>
            </w:pPr>
            <w:r>
              <w:rPr>
                <w:b/>
                <w:bCs/>
              </w:rPr>
              <w:t>Системо-органни класове</w:t>
            </w:r>
          </w:p>
        </w:tc>
        <w:tc>
          <w:tcPr>
            <w:tcW w:w="6373" w:type="dxa"/>
            <w:tcBorders>
              <w:top w:val="single" w:sz="4" w:space="0" w:color="000000"/>
              <w:bottom w:val="single" w:sz="4" w:space="0" w:color="000000"/>
              <w:right w:val="single" w:sz="4" w:space="0" w:color="000000"/>
            </w:tcBorders>
          </w:tcPr>
          <w:p w14:paraId="109AD570" w14:textId="77777777" w:rsidR="009B3384" w:rsidRDefault="00800862">
            <w:pPr>
              <w:keepNext/>
              <w:widowControl w:val="0"/>
              <w:rPr>
                <w:b/>
                <w:bCs/>
              </w:rPr>
            </w:pPr>
            <w:r>
              <w:rPr>
                <w:b/>
                <w:bCs/>
              </w:rPr>
              <w:t>Честота: Нежелани реакции</w:t>
            </w:r>
          </w:p>
        </w:tc>
      </w:tr>
      <w:tr w:rsidR="009B3384" w14:paraId="109AD576" w14:textId="77777777">
        <w:trPr>
          <w:cantSplit/>
          <w:jc w:val="center"/>
        </w:trPr>
        <w:tc>
          <w:tcPr>
            <w:tcW w:w="2698" w:type="dxa"/>
            <w:tcBorders>
              <w:top w:val="single" w:sz="4" w:space="0" w:color="000000"/>
              <w:left w:val="single" w:sz="4" w:space="0" w:color="000000"/>
              <w:bottom w:val="single" w:sz="4" w:space="0" w:color="000000"/>
            </w:tcBorders>
          </w:tcPr>
          <w:p w14:paraId="109AD572" w14:textId="77777777" w:rsidR="009B3384" w:rsidRDefault="00800862">
            <w:pPr>
              <w:widowControl w:val="0"/>
              <w:rPr>
                <w:sz w:val="20"/>
              </w:rPr>
            </w:pPr>
            <w:r>
              <w:t>Инфекции и инфестации</w:t>
            </w:r>
          </w:p>
        </w:tc>
        <w:tc>
          <w:tcPr>
            <w:tcW w:w="6373" w:type="dxa"/>
            <w:tcBorders>
              <w:top w:val="single" w:sz="4" w:space="0" w:color="000000"/>
              <w:bottom w:val="single" w:sz="4" w:space="0" w:color="000000"/>
              <w:right w:val="single" w:sz="4" w:space="0" w:color="000000"/>
            </w:tcBorders>
          </w:tcPr>
          <w:p w14:paraId="109AD573" w14:textId="77777777" w:rsidR="009B3384" w:rsidRDefault="00800862">
            <w:pPr>
              <w:widowControl w:val="0"/>
            </w:pPr>
            <w:r>
              <w:t>Чести: инфекция на горните дихателни пътища, назофарингит, синузит</w:t>
            </w:r>
          </w:p>
          <w:p w14:paraId="109AD574" w14:textId="77777777" w:rsidR="009B3384" w:rsidRDefault="00800862">
            <w:pPr>
              <w:widowControl w:val="0"/>
            </w:pPr>
            <w:r>
              <w:t>Нечести: целулит, дентални инфекции, херпес зостер, инфекция на долните дихателни пътища, вирусни инфекции на горните дихателни пътища, вулвовагинална микотична инфекция</w:t>
            </w:r>
          </w:p>
          <w:p w14:paraId="109AD575" w14:textId="77777777" w:rsidR="009B3384" w:rsidRDefault="009B3384">
            <w:pPr>
              <w:widowControl w:val="0"/>
            </w:pPr>
          </w:p>
        </w:tc>
      </w:tr>
      <w:tr w:rsidR="009B3384" w14:paraId="109AD57B" w14:textId="77777777">
        <w:trPr>
          <w:cantSplit/>
          <w:jc w:val="center"/>
        </w:trPr>
        <w:tc>
          <w:tcPr>
            <w:tcW w:w="2698" w:type="dxa"/>
            <w:tcBorders>
              <w:top w:val="single" w:sz="4" w:space="0" w:color="000000"/>
              <w:left w:val="single" w:sz="4" w:space="0" w:color="000000"/>
              <w:bottom w:val="single" w:sz="4" w:space="0" w:color="000000"/>
            </w:tcBorders>
          </w:tcPr>
          <w:p w14:paraId="109AD577" w14:textId="77777777" w:rsidR="009B3384" w:rsidRDefault="00800862">
            <w:pPr>
              <w:widowControl w:val="0"/>
            </w:pPr>
            <w:r>
              <w:lastRenderedPageBreak/>
              <w:t>Нарушения на имунната система</w:t>
            </w:r>
          </w:p>
        </w:tc>
        <w:tc>
          <w:tcPr>
            <w:tcW w:w="6373" w:type="dxa"/>
            <w:tcBorders>
              <w:top w:val="single" w:sz="4" w:space="0" w:color="000000"/>
              <w:bottom w:val="single" w:sz="4" w:space="0" w:color="000000"/>
              <w:right w:val="single" w:sz="4" w:space="0" w:color="000000"/>
            </w:tcBorders>
          </w:tcPr>
          <w:p w14:paraId="109AD578" w14:textId="77777777" w:rsidR="009B3384" w:rsidRDefault="00800862">
            <w:pPr>
              <w:widowControl w:val="0"/>
            </w:pPr>
            <w:r>
              <w:t>Нечести: реакции на свръхчувствителност (включително обрив, уртикария)</w:t>
            </w:r>
          </w:p>
          <w:p w14:paraId="109AD579" w14:textId="77777777" w:rsidR="009B3384" w:rsidRDefault="00800862">
            <w:pPr>
              <w:widowControl w:val="0"/>
            </w:pPr>
            <w:r>
              <w:t>Редки: сериозни реакции на свръхчувствителност (включително анафилаксия, ангиоедем)</w:t>
            </w:r>
          </w:p>
          <w:p w14:paraId="109AD57A" w14:textId="77777777" w:rsidR="009B3384" w:rsidRDefault="009B3384">
            <w:pPr>
              <w:widowControl w:val="0"/>
            </w:pPr>
          </w:p>
        </w:tc>
      </w:tr>
      <w:tr w:rsidR="009B3384" w14:paraId="109AD57F" w14:textId="77777777">
        <w:trPr>
          <w:cantSplit/>
          <w:jc w:val="center"/>
        </w:trPr>
        <w:tc>
          <w:tcPr>
            <w:tcW w:w="2698" w:type="dxa"/>
            <w:tcBorders>
              <w:top w:val="single" w:sz="4" w:space="0" w:color="000000"/>
              <w:left w:val="single" w:sz="4" w:space="0" w:color="000000"/>
              <w:bottom w:val="single" w:sz="4" w:space="0" w:color="000000"/>
            </w:tcBorders>
          </w:tcPr>
          <w:p w14:paraId="109AD57C" w14:textId="77777777" w:rsidR="009B3384" w:rsidRDefault="00800862">
            <w:pPr>
              <w:widowControl w:val="0"/>
              <w:rPr>
                <w:sz w:val="20"/>
              </w:rPr>
            </w:pPr>
            <w:r>
              <w:t>Психични нарушения</w:t>
            </w:r>
          </w:p>
        </w:tc>
        <w:tc>
          <w:tcPr>
            <w:tcW w:w="6373" w:type="dxa"/>
            <w:tcBorders>
              <w:top w:val="single" w:sz="4" w:space="0" w:color="000000"/>
              <w:bottom w:val="single" w:sz="4" w:space="0" w:color="000000"/>
              <w:right w:val="single" w:sz="4" w:space="0" w:color="000000"/>
            </w:tcBorders>
          </w:tcPr>
          <w:p w14:paraId="109AD57D" w14:textId="77777777" w:rsidR="009B3384" w:rsidRDefault="00800862">
            <w:pPr>
              <w:widowControl w:val="0"/>
            </w:pPr>
            <w:r>
              <w:t>Нечести: депресия</w:t>
            </w:r>
          </w:p>
          <w:p w14:paraId="109AD57E" w14:textId="77777777" w:rsidR="009B3384" w:rsidRDefault="009B3384">
            <w:pPr>
              <w:widowControl w:val="0"/>
            </w:pPr>
          </w:p>
        </w:tc>
      </w:tr>
      <w:tr w:rsidR="009B3384" w14:paraId="109AD584" w14:textId="77777777">
        <w:trPr>
          <w:cantSplit/>
          <w:jc w:val="center"/>
        </w:trPr>
        <w:tc>
          <w:tcPr>
            <w:tcW w:w="2698" w:type="dxa"/>
            <w:tcBorders>
              <w:top w:val="single" w:sz="4" w:space="0" w:color="000000"/>
              <w:left w:val="single" w:sz="4" w:space="0" w:color="000000"/>
              <w:bottom w:val="single" w:sz="4" w:space="0" w:color="000000"/>
            </w:tcBorders>
          </w:tcPr>
          <w:p w14:paraId="109AD580" w14:textId="77777777" w:rsidR="009B3384" w:rsidRDefault="00800862">
            <w:pPr>
              <w:widowControl w:val="0"/>
              <w:rPr>
                <w:sz w:val="20"/>
              </w:rPr>
            </w:pPr>
            <w:r>
              <w:rPr>
                <w:bCs/>
              </w:rPr>
              <w:t>Нарушения на нервната система</w:t>
            </w:r>
          </w:p>
        </w:tc>
        <w:tc>
          <w:tcPr>
            <w:tcW w:w="6373" w:type="dxa"/>
            <w:tcBorders>
              <w:top w:val="single" w:sz="4" w:space="0" w:color="000000"/>
              <w:bottom w:val="single" w:sz="4" w:space="0" w:color="000000"/>
              <w:right w:val="single" w:sz="4" w:space="0" w:color="000000"/>
            </w:tcBorders>
          </w:tcPr>
          <w:p w14:paraId="109AD581" w14:textId="77777777" w:rsidR="009B3384" w:rsidRDefault="00800862">
            <w:pPr>
              <w:widowControl w:val="0"/>
            </w:pPr>
            <w:r>
              <w:t>Чести: замайване, главоболие</w:t>
            </w:r>
          </w:p>
          <w:p w14:paraId="109AD582" w14:textId="77777777" w:rsidR="009B3384" w:rsidRDefault="00800862">
            <w:pPr>
              <w:widowControl w:val="0"/>
            </w:pPr>
            <w:r>
              <w:t>Нечести: лицева парализа</w:t>
            </w:r>
          </w:p>
          <w:p w14:paraId="109AD583" w14:textId="77777777" w:rsidR="009B3384" w:rsidRDefault="009B3384">
            <w:pPr>
              <w:widowControl w:val="0"/>
            </w:pPr>
          </w:p>
        </w:tc>
      </w:tr>
      <w:tr w:rsidR="009B3384" w14:paraId="109AD58B" w14:textId="77777777">
        <w:trPr>
          <w:cantSplit/>
          <w:jc w:val="center"/>
        </w:trPr>
        <w:tc>
          <w:tcPr>
            <w:tcW w:w="2698" w:type="dxa"/>
            <w:tcBorders>
              <w:top w:val="single" w:sz="4" w:space="0" w:color="000000"/>
              <w:left w:val="single" w:sz="4" w:space="0" w:color="000000"/>
              <w:bottom w:val="single" w:sz="4" w:space="0" w:color="000000"/>
            </w:tcBorders>
          </w:tcPr>
          <w:p w14:paraId="109AD585" w14:textId="77777777" w:rsidR="009B3384" w:rsidRDefault="00800862">
            <w:pPr>
              <w:widowControl w:val="0"/>
              <w:rPr>
                <w:sz w:val="20"/>
              </w:rPr>
            </w:pPr>
            <w:r>
              <w:t>Респираторни, гръдни и медиастинални нарушения</w:t>
            </w:r>
          </w:p>
        </w:tc>
        <w:tc>
          <w:tcPr>
            <w:tcW w:w="6373" w:type="dxa"/>
            <w:tcBorders>
              <w:top w:val="single" w:sz="4" w:space="0" w:color="000000"/>
              <w:bottom w:val="single" w:sz="4" w:space="0" w:color="000000"/>
              <w:right w:val="single" w:sz="4" w:space="0" w:color="000000"/>
            </w:tcBorders>
          </w:tcPr>
          <w:p w14:paraId="109AD586" w14:textId="77777777" w:rsidR="009B3384" w:rsidRDefault="00800862">
            <w:pPr>
              <w:widowControl w:val="0"/>
            </w:pPr>
            <w:r>
              <w:t>Чести: орофарингеална болка</w:t>
            </w:r>
          </w:p>
          <w:p w14:paraId="109AD587" w14:textId="77777777" w:rsidR="009B3384" w:rsidRDefault="00800862">
            <w:pPr>
              <w:widowControl w:val="0"/>
            </w:pPr>
            <w:r>
              <w:t>Нечести: назална конгестия</w:t>
            </w:r>
          </w:p>
          <w:p w14:paraId="109AD588" w14:textId="77777777" w:rsidR="009B3384" w:rsidRDefault="00800862">
            <w:pPr>
              <w:widowControl w:val="0"/>
            </w:pPr>
            <w:r>
              <w:t>Редки: алергичен алвеолит, еозинофилна пневмония</w:t>
            </w:r>
          </w:p>
          <w:p w14:paraId="109AD589" w14:textId="77777777" w:rsidR="009B3384" w:rsidRDefault="00800862">
            <w:pPr>
              <w:widowControl w:val="0"/>
            </w:pPr>
            <w:r>
              <w:t>Много редки: организираща пневмония*</w:t>
            </w:r>
          </w:p>
          <w:p w14:paraId="109AD58A" w14:textId="77777777" w:rsidR="009B3384" w:rsidRDefault="009B3384">
            <w:pPr>
              <w:widowControl w:val="0"/>
            </w:pPr>
          </w:p>
        </w:tc>
      </w:tr>
      <w:tr w:rsidR="009B3384" w14:paraId="109AD58F" w14:textId="77777777">
        <w:trPr>
          <w:cantSplit/>
          <w:jc w:val="center"/>
        </w:trPr>
        <w:tc>
          <w:tcPr>
            <w:tcW w:w="2698" w:type="dxa"/>
            <w:tcBorders>
              <w:top w:val="single" w:sz="4" w:space="0" w:color="000000"/>
              <w:left w:val="single" w:sz="4" w:space="0" w:color="000000"/>
              <w:bottom w:val="single" w:sz="4" w:space="0" w:color="000000"/>
            </w:tcBorders>
          </w:tcPr>
          <w:p w14:paraId="109AD58C" w14:textId="77777777" w:rsidR="009B3384" w:rsidRDefault="00800862">
            <w:pPr>
              <w:widowControl w:val="0"/>
            </w:pPr>
            <w:r>
              <w:t>Стомашно-чревни нарушения</w:t>
            </w:r>
          </w:p>
        </w:tc>
        <w:tc>
          <w:tcPr>
            <w:tcW w:w="6373" w:type="dxa"/>
            <w:tcBorders>
              <w:top w:val="single" w:sz="4" w:space="0" w:color="000000"/>
              <w:bottom w:val="single" w:sz="4" w:space="0" w:color="000000"/>
              <w:right w:val="single" w:sz="4" w:space="0" w:color="000000"/>
            </w:tcBorders>
          </w:tcPr>
          <w:p w14:paraId="109AD58D" w14:textId="77777777" w:rsidR="009B3384" w:rsidRDefault="00800862">
            <w:pPr>
              <w:widowControl w:val="0"/>
            </w:pPr>
            <w:r>
              <w:t>Чести: диария, гадене, повръщане</w:t>
            </w:r>
          </w:p>
          <w:p w14:paraId="109AD58E" w14:textId="77777777" w:rsidR="009B3384" w:rsidRDefault="009B3384">
            <w:pPr>
              <w:widowControl w:val="0"/>
            </w:pPr>
          </w:p>
        </w:tc>
      </w:tr>
      <w:tr w:rsidR="009B3384" w14:paraId="109AD596" w14:textId="77777777">
        <w:trPr>
          <w:cantSplit/>
          <w:jc w:val="center"/>
        </w:trPr>
        <w:tc>
          <w:tcPr>
            <w:tcW w:w="2698" w:type="dxa"/>
            <w:tcBorders>
              <w:top w:val="single" w:sz="4" w:space="0" w:color="000000"/>
              <w:left w:val="single" w:sz="4" w:space="0" w:color="000000"/>
              <w:bottom w:val="single" w:sz="4" w:space="0" w:color="000000"/>
            </w:tcBorders>
          </w:tcPr>
          <w:p w14:paraId="109AD590" w14:textId="77777777" w:rsidR="009B3384" w:rsidRDefault="00800862">
            <w:pPr>
              <w:widowControl w:val="0"/>
              <w:rPr>
                <w:sz w:val="20"/>
              </w:rPr>
            </w:pPr>
            <w:r>
              <w:t>Нарушения на кожата и подкожната тъкан</w:t>
            </w:r>
          </w:p>
        </w:tc>
        <w:tc>
          <w:tcPr>
            <w:tcW w:w="6373" w:type="dxa"/>
            <w:tcBorders>
              <w:top w:val="single" w:sz="4" w:space="0" w:color="000000"/>
              <w:bottom w:val="single" w:sz="4" w:space="0" w:color="000000"/>
              <w:right w:val="single" w:sz="4" w:space="0" w:color="000000"/>
            </w:tcBorders>
          </w:tcPr>
          <w:p w14:paraId="109AD591" w14:textId="77777777" w:rsidR="009B3384" w:rsidRDefault="00800862">
            <w:pPr>
              <w:widowControl w:val="0"/>
            </w:pPr>
            <w:r>
              <w:t>Чести: сърбеж</w:t>
            </w:r>
          </w:p>
          <w:p w14:paraId="109AD592" w14:textId="77777777" w:rsidR="009B3384" w:rsidRDefault="00800862">
            <w:pPr>
              <w:widowControl w:val="0"/>
              <w:rPr>
                <w:bCs/>
              </w:rPr>
            </w:pPr>
            <w:r>
              <w:rPr>
                <w:bCs/>
              </w:rPr>
              <w:t>Нечести: пустулозен псориазис, ексфолиация на кожата, акне</w:t>
            </w:r>
          </w:p>
          <w:p w14:paraId="109AD593" w14:textId="77777777" w:rsidR="009B3384" w:rsidRDefault="00800862">
            <w:pPr>
              <w:widowControl w:val="0"/>
              <w:rPr>
                <w:bCs/>
              </w:rPr>
            </w:pPr>
            <w:r>
              <w:rPr>
                <w:bCs/>
              </w:rPr>
              <w:t>Редки: ексфолиативен дерматит, хиперсензитивен васкулит</w:t>
            </w:r>
          </w:p>
          <w:p w14:paraId="109AD594" w14:textId="77777777" w:rsidR="009B3384" w:rsidRDefault="00800862">
            <w:pPr>
              <w:widowControl w:val="0"/>
            </w:pPr>
            <w:r>
              <w:t xml:space="preserve">Много редки: булозен пемфигоид, </w:t>
            </w:r>
            <w:r>
              <w:rPr>
                <w:szCs w:val="22"/>
              </w:rPr>
              <w:t>кожен лупус еритематодес</w:t>
            </w:r>
          </w:p>
          <w:p w14:paraId="109AD595" w14:textId="77777777" w:rsidR="009B3384" w:rsidRDefault="009B3384">
            <w:pPr>
              <w:widowControl w:val="0"/>
            </w:pPr>
          </w:p>
        </w:tc>
      </w:tr>
      <w:tr w:rsidR="009B3384" w14:paraId="109AD59A" w14:textId="77777777">
        <w:trPr>
          <w:cantSplit/>
          <w:jc w:val="center"/>
        </w:trPr>
        <w:tc>
          <w:tcPr>
            <w:tcW w:w="2698" w:type="dxa"/>
            <w:tcBorders>
              <w:top w:val="single" w:sz="4" w:space="0" w:color="000000"/>
              <w:left w:val="single" w:sz="4" w:space="0" w:color="000000"/>
              <w:bottom w:val="single" w:sz="4" w:space="0" w:color="000000"/>
            </w:tcBorders>
          </w:tcPr>
          <w:p w14:paraId="109AD597" w14:textId="77777777" w:rsidR="009B3384" w:rsidRDefault="00800862">
            <w:pPr>
              <w:widowControl w:val="0"/>
              <w:rPr>
                <w:sz w:val="20"/>
              </w:rPr>
            </w:pPr>
            <w:r>
              <w:t>Нарушения на мускулно-скелетната система и съединителната тъкан</w:t>
            </w:r>
          </w:p>
        </w:tc>
        <w:tc>
          <w:tcPr>
            <w:tcW w:w="6373" w:type="dxa"/>
            <w:tcBorders>
              <w:top w:val="single" w:sz="4" w:space="0" w:color="000000"/>
              <w:bottom w:val="single" w:sz="4" w:space="0" w:color="000000"/>
              <w:right w:val="single" w:sz="4" w:space="0" w:color="000000"/>
            </w:tcBorders>
          </w:tcPr>
          <w:p w14:paraId="109AD598" w14:textId="77777777" w:rsidR="009B3384" w:rsidRDefault="00800862">
            <w:pPr>
              <w:widowControl w:val="0"/>
            </w:pPr>
            <w:r>
              <w:t>Чести: болки в гърба, миалгия, артралгия</w:t>
            </w:r>
          </w:p>
          <w:p w14:paraId="109AD599" w14:textId="77777777" w:rsidR="009B3384" w:rsidRDefault="00800862">
            <w:pPr>
              <w:widowControl w:val="0"/>
            </w:pPr>
            <w:r>
              <w:t xml:space="preserve">Много редки: </w:t>
            </w:r>
            <w:r>
              <w:rPr>
                <w:szCs w:val="22"/>
              </w:rPr>
              <w:t>лупус-подобен синдром</w:t>
            </w:r>
          </w:p>
        </w:tc>
      </w:tr>
      <w:tr w:rsidR="009B3384" w14:paraId="109AD59F" w14:textId="77777777">
        <w:trPr>
          <w:cantSplit/>
          <w:jc w:val="center"/>
        </w:trPr>
        <w:tc>
          <w:tcPr>
            <w:tcW w:w="2698" w:type="dxa"/>
            <w:tcBorders>
              <w:top w:val="single" w:sz="4" w:space="0" w:color="000000"/>
              <w:left w:val="single" w:sz="4" w:space="0" w:color="000000"/>
              <w:bottom w:val="single" w:sz="4" w:space="0" w:color="000000"/>
            </w:tcBorders>
          </w:tcPr>
          <w:p w14:paraId="109AD59B" w14:textId="77777777" w:rsidR="009B3384" w:rsidRDefault="00800862">
            <w:pPr>
              <w:widowControl w:val="0"/>
            </w:pPr>
            <w:r>
              <w:t>Общи нарушения и ефекти на мястото на приложение</w:t>
            </w:r>
          </w:p>
        </w:tc>
        <w:tc>
          <w:tcPr>
            <w:tcW w:w="6373" w:type="dxa"/>
            <w:tcBorders>
              <w:top w:val="single" w:sz="4" w:space="0" w:color="000000"/>
              <w:bottom w:val="single" w:sz="4" w:space="0" w:color="000000"/>
              <w:right w:val="single" w:sz="4" w:space="0" w:color="000000"/>
            </w:tcBorders>
          </w:tcPr>
          <w:p w14:paraId="109AD59C" w14:textId="77777777" w:rsidR="009B3384" w:rsidRDefault="00800862">
            <w:pPr>
              <w:widowControl w:val="0"/>
            </w:pPr>
            <w:r>
              <w:t>Чести: умора, еритема на мястото на инжектиране, болка на мястото на инжектиране</w:t>
            </w:r>
          </w:p>
          <w:p w14:paraId="109AD59D" w14:textId="77777777" w:rsidR="009B3384" w:rsidRDefault="00800862">
            <w:pPr>
              <w:widowControl w:val="0"/>
            </w:pPr>
            <w:r>
              <w:t xml:space="preserve">Нечести: реакции на мястото на инжектиране (включително </w:t>
            </w:r>
            <w:r>
              <w:rPr>
                <w:bCs/>
              </w:rPr>
              <w:t>кръвоизлив, хематом, втвърдяване, подуване</w:t>
            </w:r>
            <w:r>
              <w:t xml:space="preserve"> и сърбеж), астения</w:t>
            </w:r>
          </w:p>
          <w:p w14:paraId="109AD59E" w14:textId="77777777" w:rsidR="009B3384" w:rsidRDefault="009B3384">
            <w:pPr>
              <w:widowControl w:val="0"/>
            </w:pPr>
          </w:p>
        </w:tc>
      </w:tr>
      <w:tr w:rsidR="009B3384" w14:paraId="109AD5A1" w14:textId="77777777">
        <w:trPr>
          <w:cantSplit/>
          <w:jc w:val="center"/>
        </w:trPr>
        <w:tc>
          <w:tcPr>
            <w:tcW w:w="9071" w:type="dxa"/>
            <w:gridSpan w:val="2"/>
            <w:tcBorders>
              <w:top w:val="single" w:sz="4" w:space="0" w:color="000000"/>
            </w:tcBorders>
          </w:tcPr>
          <w:p w14:paraId="109AD5A0" w14:textId="77777777" w:rsidR="009B3384" w:rsidRDefault="00800862">
            <w:pPr>
              <w:widowControl w:val="0"/>
              <w:ind w:left="284" w:hanging="284"/>
            </w:pPr>
            <w:r>
              <w:rPr>
                <w:bCs/>
                <w:sz w:val="18"/>
                <w:szCs w:val="18"/>
              </w:rPr>
              <w:t>*</w:t>
            </w:r>
            <w:r>
              <w:rPr>
                <w:bCs/>
                <w:sz w:val="18"/>
                <w:szCs w:val="18"/>
              </w:rPr>
              <w:tab/>
              <w:t>Вижте точка</w:t>
            </w:r>
            <w:r>
              <w:rPr>
                <w:bCs/>
                <w:sz w:val="18"/>
                <w:szCs w:val="18"/>
                <w:lang w:val="en-AU"/>
              </w:rPr>
              <w:t> </w:t>
            </w:r>
            <w:r>
              <w:rPr>
                <w:bCs/>
                <w:sz w:val="18"/>
                <w:szCs w:val="18"/>
              </w:rPr>
              <w:t>4.4, Системни и респираторни реакции на свръхчувствителност.</w:t>
            </w:r>
          </w:p>
        </w:tc>
      </w:tr>
    </w:tbl>
    <w:p w14:paraId="109AD5A2" w14:textId="77777777" w:rsidR="009B3384" w:rsidRDefault="009B3384">
      <w:pPr>
        <w:tabs>
          <w:tab w:val="clear" w:pos="567"/>
        </w:tabs>
        <w:rPr>
          <w:bCs/>
        </w:rPr>
      </w:pPr>
    </w:p>
    <w:p w14:paraId="109AD5A3" w14:textId="77777777" w:rsidR="009B3384" w:rsidRDefault="00800862">
      <w:pPr>
        <w:keepNext/>
        <w:tabs>
          <w:tab w:val="clear" w:pos="567"/>
        </w:tabs>
        <w:rPr>
          <w:bCs/>
          <w:u w:val="single"/>
        </w:rPr>
      </w:pPr>
      <w:r>
        <w:rPr>
          <w:bCs/>
          <w:u w:val="single"/>
        </w:rPr>
        <w:t>Описание на избрани нежелани лекарствени реакции</w:t>
      </w:r>
    </w:p>
    <w:p w14:paraId="109AD5A4" w14:textId="77777777" w:rsidR="009B3384" w:rsidRDefault="009B3384">
      <w:pPr>
        <w:keepNext/>
        <w:tabs>
          <w:tab w:val="clear" w:pos="567"/>
        </w:tabs>
        <w:rPr>
          <w:bCs/>
          <w:u w:val="single"/>
        </w:rPr>
      </w:pPr>
    </w:p>
    <w:p w14:paraId="109AD5A5" w14:textId="77777777" w:rsidR="009B3384" w:rsidRPr="00BC6A43" w:rsidRDefault="00800862">
      <w:pPr>
        <w:keepNext/>
        <w:tabs>
          <w:tab w:val="clear" w:pos="567"/>
        </w:tabs>
        <w:rPr>
          <w:bCs/>
          <w:i/>
          <w:iCs/>
          <w:u w:val="single"/>
        </w:rPr>
      </w:pPr>
      <w:r w:rsidRPr="00BC6A43">
        <w:rPr>
          <w:bCs/>
          <w:i/>
          <w:iCs/>
          <w:u w:val="single"/>
        </w:rPr>
        <w:t>Инфекции</w:t>
      </w:r>
    </w:p>
    <w:p w14:paraId="109AD5A6" w14:textId="77777777" w:rsidR="009B3384" w:rsidRDefault="00800862">
      <w:pPr>
        <w:tabs>
          <w:tab w:val="clear" w:pos="567"/>
        </w:tabs>
        <w:rPr>
          <w:bCs/>
        </w:rPr>
      </w:pPr>
      <w:r>
        <w:rPr>
          <w:bCs/>
        </w:rPr>
        <w:t xml:space="preserve">В плацебо-контролирани проучвания при пациенти с псориазис, псориатичен артрит, болест на </w:t>
      </w:r>
      <w:r>
        <w:rPr>
          <w:bCs/>
          <w:lang w:val="en-GB"/>
        </w:rPr>
        <w:t>Crohn</w:t>
      </w:r>
      <w:r>
        <w:rPr>
          <w:bCs/>
        </w:rPr>
        <w:t xml:space="preserve"> и с </w:t>
      </w:r>
      <w:r>
        <w:t>улцерозен колит</w:t>
      </w:r>
      <w:r>
        <w:rPr>
          <w:bCs/>
        </w:rPr>
        <w:t xml:space="preserve"> процентът на инфекциите или сериозните инфекции е сходен при пациентите, лекувани с устекинумаб, и при лекуваните с плацебо. В плацебо-контролирания период на тези клинични проучвания честотата на инфекциите е 1,36 за пациентогодина проследяване при пациенти, лекувани с устекинумаб, и 1,34 – при пациенти, лекувани с плацебо. Появилите се сериозни инфекции са с честота от 0,03 за пациентогодина проследяване при пациенти, лекувани с устекинумаб (30 сериозни инфекции за 930 пациентогодини проследяване), и 0,03 – при пациенти, лекувани с плацебо (15 сериозни инфекции за 434 пациентогодини проследяване) (вж. точка 4.4).</w:t>
      </w:r>
    </w:p>
    <w:p w14:paraId="109AD5A7" w14:textId="77777777" w:rsidR="009B3384" w:rsidRDefault="009B3384">
      <w:pPr>
        <w:tabs>
          <w:tab w:val="clear" w:pos="567"/>
        </w:tabs>
        <w:rPr>
          <w:bCs/>
        </w:rPr>
      </w:pPr>
    </w:p>
    <w:p w14:paraId="109AD5A8" w14:textId="77777777" w:rsidR="009B3384" w:rsidRDefault="00800862">
      <w:pPr>
        <w:tabs>
          <w:tab w:val="clear" w:pos="567"/>
        </w:tabs>
        <w:rPr>
          <w:bCs/>
        </w:rPr>
      </w:pPr>
      <w:r>
        <w:rPr>
          <w:bCs/>
        </w:rPr>
        <w:t xml:space="preserve">В контролираните и неконтролираните периоди на клиничните проучвания при псориазис, псориатичен артрит, болест на </w:t>
      </w:r>
      <w:r>
        <w:rPr>
          <w:bCs/>
          <w:lang w:val="en-GB"/>
        </w:rPr>
        <w:t>Crohn</w:t>
      </w:r>
      <w:r>
        <w:rPr>
          <w:bCs/>
        </w:rPr>
        <w:t xml:space="preserve"> и </w:t>
      </w:r>
      <w:r>
        <w:t>улцерозен колит</w:t>
      </w:r>
      <w:r>
        <w:rPr>
          <w:bCs/>
        </w:rPr>
        <w:t>, представляващи 15</w:t>
      </w:r>
      <w:r>
        <w:rPr>
          <w:bCs/>
          <w:lang w:val="en-US"/>
        </w:rPr>
        <w:t> </w:t>
      </w:r>
      <w:r>
        <w:rPr>
          <w:bCs/>
        </w:rPr>
        <w:t>227 пациентогодини експозиция с устекинумаб при 6</w:t>
      </w:r>
      <w:r>
        <w:rPr>
          <w:bCs/>
          <w:lang w:val="en-US"/>
        </w:rPr>
        <w:t> </w:t>
      </w:r>
      <w:r>
        <w:rPr>
          <w:bCs/>
        </w:rPr>
        <w:t xml:space="preserve">710 пациенти, медианата на времето на проследяване е 1,2 години; 1,7 години за проучванията при псориазис, 0,6 години за проучванията при болест на </w:t>
      </w:r>
      <w:r>
        <w:rPr>
          <w:bCs/>
          <w:lang w:val="en-GB"/>
        </w:rPr>
        <w:t>Crohn</w:t>
      </w:r>
      <w:r>
        <w:rPr>
          <w:bCs/>
        </w:rPr>
        <w:t xml:space="preserve"> и 2,3 години за проучванията с </w:t>
      </w:r>
      <w:r>
        <w:t>улцерозен колит</w:t>
      </w:r>
      <w:r>
        <w:rPr>
          <w:bCs/>
        </w:rPr>
        <w:t>. Процентът на инфекциите е 0,85</w:t>
      </w:r>
      <w:r>
        <w:rPr>
          <w:bCs/>
          <w:lang w:val="en-US"/>
        </w:rPr>
        <w:t> </w:t>
      </w:r>
      <w:r>
        <w:rPr>
          <w:bCs/>
        </w:rPr>
        <w:t>за пациентогодина проследяване при пациенти, лекувани с устекинумаб, а процентът на сериозните инфекции при тях е 0,02 за пациентогодина проследяване (289 сериозни инфекции за 15 227 пациентогодини проследяване) и са докладвани сериозни инфекции, включително пневмония, анален абсцес, целулит, дивертикулит, гастроентерит и вирусни инфекции.</w:t>
      </w:r>
    </w:p>
    <w:p w14:paraId="109AD5A9" w14:textId="77777777" w:rsidR="009B3384" w:rsidRDefault="009B3384">
      <w:pPr>
        <w:tabs>
          <w:tab w:val="clear" w:pos="567"/>
        </w:tabs>
        <w:rPr>
          <w:bCs/>
        </w:rPr>
      </w:pPr>
    </w:p>
    <w:p w14:paraId="109AD5AA" w14:textId="77777777" w:rsidR="009B3384" w:rsidRDefault="00800862">
      <w:pPr>
        <w:tabs>
          <w:tab w:val="clear" w:pos="567"/>
        </w:tabs>
        <w:rPr>
          <w:bCs/>
        </w:rPr>
      </w:pPr>
      <w:r>
        <w:rPr>
          <w:bCs/>
        </w:rPr>
        <w:lastRenderedPageBreak/>
        <w:t>В проведени клинични проучвания пациенти с латентна туберкулоза, които са били едновременно лекувани с изониазид, не са развили туберкулоза.</w:t>
      </w:r>
    </w:p>
    <w:p w14:paraId="109AD5AB" w14:textId="77777777" w:rsidR="009B3384" w:rsidRDefault="009B3384">
      <w:pPr>
        <w:tabs>
          <w:tab w:val="clear" w:pos="567"/>
        </w:tabs>
        <w:rPr>
          <w:bCs/>
        </w:rPr>
      </w:pPr>
    </w:p>
    <w:p w14:paraId="109AD5AC" w14:textId="77777777" w:rsidR="009B3384" w:rsidRPr="00BC6A43" w:rsidRDefault="00800862">
      <w:pPr>
        <w:keepNext/>
        <w:tabs>
          <w:tab w:val="clear" w:pos="567"/>
        </w:tabs>
        <w:rPr>
          <w:bCs/>
          <w:i/>
          <w:iCs/>
          <w:u w:val="single"/>
        </w:rPr>
      </w:pPr>
      <w:r w:rsidRPr="00BC6A43">
        <w:rPr>
          <w:bCs/>
          <w:i/>
          <w:iCs/>
          <w:u w:val="single"/>
        </w:rPr>
        <w:t>Злокачествени заболявания</w:t>
      </w:r>
    </w:p>
    <w:p w14:paraId="109AD5AD" w14:textId="77777777" w:rsidR="009B3384" w:rsidRDefault="00800862">
      <w:pPr>
        <w:tabs>
          <w:tab w:val="clear" w:pos="567"/>
        </w:tabs>
        <w:rPr>
          <w:bCs/>
        </w:rPr>
      </w:pPr>
      <w:r>
        <w:rPr>
          <w:bCs/>
        </w:rPr>
        <w:t xml:space="preserve">В плацебо-контролирания период на клинични проучвания при псориазис, псориатичен артрит, болест на </w:t>
      </w:r>
      <w:r>
        <w:rPr>
          <w:bCs/>
          <w:lang w:val="en-GB"/>
        </w:rPr>
        <w:t>Crohn</w:t>
      </w:r>
      <w:r>
        <w:rPr>
          <w:bCs/>
        </w:rPr>
        <w:t xml:space="preserve"> и </w:t>
      </w:r>
      <w:r>
        <w:t>улцерозен колит</w:t>
      </w:r>
      <w:r>
        <w:rPr>
          <w:bCs/>
        </w:rPr>
        <w:t xml:space="preserve"> честотата на злокачествените заболявания, с изключение на немеланомен рак на кожата, е 0,11 за 100 пациентогодини проследяване при пациенти, лекувани с устекинумаб (1 пациент за 929 пациентогодини проследяване) в сравнение с 0,23 при пациентите, лекувани с плацебо (1 пациент за 434 пациентогодини проследяване). Честотата на немеланомен рак на кожата е 0,43 за 100 пациентогодини проследяване за пациентите, лекувани с устекинумаб (4 пациенти за 929 пациентогодини проследяване) в сравнение с 0,46 при пациентите, лекувани с плацебо (2 пациенти за 433 пациентогодини проследяване).</w:t>
      </w:r>
    </w:p>
    <w:p w14:paraId="109AD5AE" w14:textId="77777777" w:rsidR="009B3384" w:rsidRDefault="009B3384">
      <w:pPr>
        <w:tabs>
          <w:tab w:val="clear" w:pos="567"/>
        </w:tabs>
        <w:rPr>
          <w:bCs/>
        </w:rPr>
      </w:pPr>
    </w:p>
    <w:p w14:paraId="109AD5AF" w14:textId="77777777" w:rsidR="009B3384" w:rsidRDefault="00800862">
      <w:pPr>
        <w:tabs>
          <w:tab w:val="clear" w:pos="567"/>
        </w:tabs>
        <w:rPr>
          <w:bCs/>
        </w:rPr>
      </w:pPr>
      <w:r>
        <w:rPr>
          <w:bCs/>
        </w:rPr>
        <w:t xml:space="preserve">В контролираните и неконтролираните периоди на клиничните проучвания при псориазис, псориатичен артрит, болест на </w:t>
      </w:r>
      <w:r>
        <w:rPr>
          <w:bCs/>
          <w:lang w:val="en-GB"/>
        </w:rPr>
        <w:t>Crohn</w:t>
      </w:r>
      <w:r>
        <w:rPr>
          <w:bCs/>
        </w:rPr>
        <w:t xml:space="preserve"> и </w:t>
      </w:r>
      <w:r>
        <w:t>улцерозен колит</w:t>
      </w:r>
      <w:r>
        <w:rPr>
          <w:bCs/>
        </w:rPr>
        <w:t>, представляващи 15 </w:t>
      </w:r>
      <w:r>
        <w:t>205</w:t>
      </w:r>
      <w:r>
        <w:rPr>
          <w:bCs/>
        </w:rPr>
        <w:t> пациентогодини експозиция с устекинумаб при 6 710 пациенти, медианата на времето на проследяване е 1,2</w:t>
      </w:r>
      <w:r>
        <w:t> </w:t>
      </w:r>
      <w:r>
        <w:rPr>
          <w:bCs/>
        </w:rPr>
        <w:t xml:space="preserve">година; 1,7 години за проучванията при псориазис, 0,6 години за проучванията при болест на </w:t>
      </w:r>
      <w:r>
        <w:rPr>
          <w:bCs/>
          <w:lang w:val="en-GB"/>
        </w:rPr>
        <w:t>Crohn</w:t>
      </w:r>
      <w:r>
        <w:rPr>
          <w:bCs/>
        </w:rPr>
        <w:t xml:space="preserve"> и 2,3 години за проучванията с </w:t>
      </w:r>
      <w:r>
        <w:t>улцерозен колит</w:t>
      </w:r>
      <w:r>
        <w:rPr>
          <w:bCs/>
        </w:rPr>
        <w:t>. Злокачествени заболявания, с изключение на немеланомен рак на кожата, са докладвани при 76 пациенти за 15 205 пациентогодини на проследяване (честота от 0,50 на 100 пациентогодини на проследяване при пациенти лекувани с устекинумаб). Тези случаи на злокачествени заболявания, съобщени при пациенти, лекувани с устекинумаб, са сравними с очакваните случаи в общата популация (стандартизиран коефициент на честота</w:t>
      </w:r>
      <w:r>
        <w:rPr>
          <w:bCs/>
          <w:lang w:val="nl-BE"/>
        </w:rPr>
        <w:t> </w:t>
      </w:r>
      <w:r>
        <w:rPr>
          <w:bCs/>
        </w:rPr>
        <w:t>=</w:t>
      </w:r>
      <w:r>
        <w:rPr>
          <w:bCs/>
          <w:lang w:val="nl-BE"/>
        </w:rPr>
        <w:t> </w:t>
      </w:r>
      <w:r>
        <w:rPr>
          <w:bCs/>
        </w:rPr>
        <w:t>0,94 [95% доверителен интервал: 0,73, 1,18], коригиран за възраст, пол и раса). Най-често наблюдаваните злокачествени заболявания, различни от немеланомния карцином на кожата, са карцином на простатата, меланом, колоректален карцином и карцином на гърдата. Случаите на немеланомен карцином на кожата са 0,46 на 100 пациентогодини на проследяване при пациенти, лекувани с устекинумаб (69 пациенти за 15 165 пациентогодини на проследяване). Съотношението на пациенти с базален спрямо сквамозноклетъчен карцином на кожата (3:1) е сравнимо със съотношението в общата популация (вж. точка 4.4).</w:t>
      </w:r>
    </w:p>
    <w:p w14:paraId="109AD5B0" w14:textId="77777777" w:rsidR="009B3384" w:rsidRDefault="009B3384">
      <w:pPr>
        <w:tabs>
          <w:tab w:val="clear" w:pos="567"/>
        </w:tabs>
        <w:rPr>
          <w:bCs/>
        </w:rPr>
      </w:pPr>
    </w:p>
    <w:p w14:paraId="109AD5B1" w14:textId="77777777" w:rsidR="009B3384" w:rsidRDefault="00800862">
      <w:pPr>
        <w:keepNext/>
        <w:tabs>
          <w:tab w:val="clear" w:pos="567"/>
        </w:tabs>
        <w:rPr>
          <w:bCs/>
          <w:u w:val="single"/>
        </w:rPr>
      </w:pPr>
      <w:r>
        <w:rPr>
          <w:bCs/>
          <w:u w:val="single"/>
        </w:rPr>
        <w:t>Реакции на свръхчувствителност</w:t>
      </w:r>
    </w:p>
    <w:p w14:paraId="109AD5B2" w14:textId="77777777" w:rsidR="009B3384" w:rsidRDefault="00800862">
      <w:pPr>
        <w:tabs>
          <w:tab w:val="clear" w:pos="567"/>
        </w:tabs>
      </w:pPr>
      <w:r>
        <w:rPr>
          <w:bCs/>
        </w:rPr>
        <w:t>В контролираните периоди на клинични проучвания при псориазис и псориатичен артрит с устекинумаб са наблюдавани обрив и уртикария при &lt;1% от пациентите (вж. точка 4.4).</w:t>
      </w:r>
    </w:p>
    <w:p w14:paraId="109AD5B3" w14:textId="77777777" w:rsidR="009B3384" w:rsidRDefault="009B3384">
      <w:pPr>
        <w:tabs>
          <w:tab w:val="clear" w:pos="567"/>
        </w:tabs>
      </w:pPr>
    </w:p>
    <w:p w14:paraId="109AD5B4" w14:textId="77777777" w:rsidR="009B3384" w:rsidRDefault="00800862">
      <w:pPr>
        <w:keepNext/>
        <w:tabs>
          <w:tab w:val="clear" w:pos="567"/>
          <w:tab w:val="left" w:pos="720"/>
        </w:tabs>
        <w:rPr>
          <w:szCs w:val="22"/>
          <w:u w:val="single"/>
        </w:rPr>
      </w:pPr>
      <w:r>
        <w:rPr>
          <w:szCs w:val="22"/>
          <w:u w:val="single"/>
        </w:rPr>
        <w:t>Съобщаване на подозирани нежелани реакции</w:t>
      </w:r>
    </w:p>
    <w:p w14:paraId="109AD5B5" w14:textId="77777777" w:rsidR="009B3384" w:rsidRDefault="00800862">
      <w:pPr>
        <w:tabs>
          <w:tab w:val="clear" w:pos="567"/>
        </w:tabs>
        <w:rPr>
          <w:szCs w:val="22"/>
        </w:rPr>
      </w:pPr>
      <w:r>
        <w:rPr>
          <w:szCs w:val="22"/>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Cs w:val="22"/>
          <w:highlight w:val="lightGray"/>
        </w:rPr>
        <w:t xml:space="preserve">национална система за съобщаване, посочена в </w:t>
      </w:r>
      <w:r>
        <w:fldChar w:fldCharType="begin"/>
      </w:r>
      <w:r>
        <w:instrText>HYPERLINK "https://www.ema.europa.eu/en/documents/template-form/qrd-appendix-v-adverse-drug-reaction-reporting-details_en.docx"</w:instrText>
      </w:r>
      <w:r>
        <w:fldChar w:fldCharType="separate"/>
      </w:r>
      <w:r>
        <w:rPr>
          <w:rStyle w:val="Hyperlink"/>
          <w:noProof/>
          <w:szCs w:val="22"/>
          <w:highlight w:val="lightGray"/>
        </w:rPr>
        <w:t>Приложение V</w:t>
      </w:r>
      <w:r>
        <w:fldChar w:fldCharType="end"/>
      </w:r>
      <w:r>
        <w:rPr>
          <w:szCs w:val="22"/>
        </w:rPr>
        <w:t>.</w:t>
      </w:r>
    </w:p>
    <w:p w14:paraId="109AD5B6" w14:textId="77777777" w:rsidR="009B3384" w:rsidRDefault="009B3384">
      <w:pPr>
        <w:tabs>
          <w:tab w:val="clear" w:pos="567"/>
        </w:tabs>
      </w:pPr>
    </w:p>
    <w:p w14:paraId="109AD5B7" w14:textId="77777777" w:rsidR="009B3384" w:rsidRDefault="00800862">
      <w:pPr>
        <w:keepNext/>
        <w:ind w:left="567" w:hanging="567"/>
        <w:outlineLvl w:val="2"/>
        <w:rPr>
          <w:b/>
          <w:bCs/>
        </w:rPr>
      </w:pPr>
      <w:r>
        <w:rPr>
          <w:b/>
          <w:bCs/>
        </w:rPr>
        <w:t>4.9</w:t>
      </w:r>
      <w:r>
        <w:rPr>
          <w:b/>
          <w:bCs/>
        </w:rPr>
        <w:tab/>
        <w:t>Предозиране</w:t>
      </w:r>
    </w:p>
    <w:p w14:paraId="109AD5B8" w14:textId="77777777" w:rsidR="009B3384" w:rsidRDefault="009B3384">
      <w:pPr>
        <w:keepNext/>
      </w:pPr>
    </w:p>
    <w:p w14:paraId="109AD5B9" w14:textId="77777777" w:rsidR="009B3384" w:rsidRDefault="00800862">
      <w:pPr>
        <w:tabs>
          <w:tab w:val="clear" w:pos="567"/>
        </w:tabs>
      </w:pPr>
      <w:r>
        <w:t>Единични дози до 6 mg/kg са прилагани интравенозно в клинични проучвания без ограничаваща дозата токсичност. В случай на предозиране се препоръчва пациентите да се наблюдават за признаци или симптоми на нежелани реакции и незабавно да се приложи подходящо симптоматично лечение.</w:t>
      </w:r>
    </w:p>
    <w:p w14:paraId="109AD5BA" w14:textId="77777777" w:rsidR="009B3384" w:rsidRDefault="009B3384">
      <w:pPr>
        <w:tabs>
          <w:tab w:val="clear" w:pos="567"/>
        </w:tabs>
      </w:pPr>
    </w:p>
    <w:p w14:paraId="109AD5BB" w14:textId="77777777" w:rsidR="009B3384" w:rsidRDefault="009B3384">
      <w:pPr>
        <w:tabs>
          <w:tab w:val="clear" w:pos="567"/>
        </w:tabs>
      </w:pPr>
    </w:p>
    <w:p w14:paraId="109AD5BC" w14:textId="77777777" w:rsidR="009B3384" w:rsidRDefault="00800862">
      <w:pPr>
        <w:keepNext/>
        <w:ind w:left="567" w:hanging="567"/>
        <w:outlineLvl w:val="1"/>
        <w:rPr>
          <w:b/>
          <w:bCs/>
        </w:rPr>
      </w:pPr>
      <w:r>
        <w:rPr>
          <w:b/>
          <w:bCs/>
        </w:rPr>
        <w:t>5.</w:t>
      </w:r>
      <w:r>
        <w:rPr>
          <w:b/>
          <w:bCs/>
        </w:rPr>
        <w:tab/>
        <w:t>ФАРМАКОЛОГИЧНИ СВОЙСТВА</w:t>
      </w:r>
    </w:p>
    <w:p w14:paraId="109AD5BD" w14:textId="77777777" w:rsidR="009B3384" w:rsidRDefault="009B3384">
      <w:pPr>
        <w:keepNext/>
        <w:rPr>
          <w:bCs/>
        </w:rPr>
      </w:pPr>
    </w:p>
    <w:p w14:paraId="109AD5BE" w14:textId="77777777" w:rsidR="009B3384" w:rsidRDefault="00800862">
      <w:pPr>
        <w:keepNext/>
        <w:ind w:left="567" w:hanging="567"/>
        <w:outlineLvl w:val="2"/>
        <w:rPr>
          <w:b/>
          <w:bCs/>
        </w:rPr>
      </w:pPr>
      <w:r>
        <w:rPr>
          <w:b/>
          <w:bCs/>
        </w:rPr>
        <w:t>5.1</w:t>
      </w:r>
      <w:r>
        <w:rPr>
          <w:b/>
          <w:bCs/>
        </w:rPr>
        <w:tab/>
        <w:t>Фармакодинамични свойства</w:t>
      </w:r>
    </w:p>
    <w:p w14:paraId="109AD5BF" w14:textId="77777777" w:rsidR="009B3384" w:rsidRDefault="009B3384">
      <w:pPr>
        <w:keepNext/>
        <w:tabs>
          <w:tab w:val="clear" w:pos="567"/>
        </w:tabs>
      </w:pPr>
    </w:p>
    <w:p w14:paraId="109AD5C0" w14:textId="77777777" w:rsidR="009B3384" w:rsidRDefault="00800862">
      <w:r>
        <w:t>Фармакотерапевтична група: Имуносупресори, инхибитори на интерлевкин, ATC код: L04AC05</w:t>
      </w:r>
    </w:p>
    <w:p w14:paraId="109AD5C1" w14:textId="77777777" w:rsidR="009B3384" w:rsidRDefault="009B3384">
      <w:pPr>
        <w:tabs>
          <w:tab w:val="clear" w:pos="567"/>
        </w:tabs>
      </w:pPr>
    </w:p>
    <w:p w14:paraId="109AD5C2" w14:textId="77777777" w:rsidR="009B3384" w:rsidRDefault="00800862">
      <w:pPr>
        <w:keepNext/>
        <w:rPr>
          <w:bCs/>
          <w:iCs/>
        </w:rPr>
      </w:pPr>
      <w:r>
        <w:rPr>
          <w:u w:val="single"/>
        </w:rPr>
        <w:t>Механизъм на действие</w:t>
      </w:r>
    </w:p>
    <w:p w14:paraId="109AD5C3" w14:textId="77777777" w:rsidR="009B3384" w:rsidRDefault="00800862">
      <w:pPr>
        <w:rPr>
          <w:szCs w:val="22"/>
        </w:rPr>
      </w:pPr>
      <w:r>
        <w:rPr>
          <w:iCs/>
        </w:rPr>
        <w:t xml:space="preserve">Устекинумаб е изцяло човешко IgG1κ моноклонално антитяло, което се свързва със специфичност към общата протеинова субединица p40 на човешки цитокини интерлевкин (IL)-12 и IL-23. Устекинумаб потиска биоактивността на човешките IL-12 и IL-23, като предотвратява свързването на </w:t>
      </w:r>
      <w:r>
        <w:rPr>
          <w:iCs/>
          <w:lang w:val="en-US"/>
        </w:rPr>
        <w:t>p</w:t>
      </w:r>
      <w:r>
        <w:rPr>
          <w:iCs/>
        </w:rPr>
        <w:t>40 с IL-12R</w:t>
      </w:r>
      <w:r>
        <w:rPr>
          <w:rFonts w:eastAsia="Symbol"/>
        </w:rPr>
        <w:t>β</w:t>
      </w:r>
      <w:r>
        <w:rPr>
          <w:iCs/>
        </w:rPr>
        <w:t>1 рецепторен протеин, разположен на повърхността на имунните клетки. Устекинумаб не може да се свърже с IL-12 или с IL-23, които вече са свързани с IL-12R</w:t>
      </w:r>
      <w:r>
        <w:rPr>
          <w:rFonts w:eastAsia="Symbol"/>
        </w:rPr>
        <w:t>β</w:t>
      </w:r>
      <w:r>
        <w:rPr>
          <w:iCs/>
        </w:rPr>
        <w:t xml:space="preserve">1 рецептори по клетъчната повърхност. Следователно е малко вероятно устекинумаб да участва в комплемент- или </w:t>
      </w:r>
      <w:r>
        <w:t>антитяло-</w:t>
      </w:r>
      <w:r>
        <w:rPr>
          <w:iCs/>
        </w:rPr>
        <w:t xml:space="preserve">медиираната </w:t>
      </w:r>
      <w:r>
        <w:t>цитотоксичност</w:t>
      </w:r>
      <w:r>
        <w:rPr>
          <w:iCs/>
        </w:rPr>
        <w:t xml:space="preserve"> на клетките с рецептори за IL-12 и/или IL-23. IL-12 и IL-23 са хетеродимерни цитокини, секретирани от активирани антиген</w:t>
      </w:r>
      <w:r>
        <w:rPr>
          <w:iCs/>
        </w:rPr>
        <w:noBreakHyphen/>
        <w:t xml:space="preserve">представящи клетки, например макрофаги и дендритни клетки </w:t>
      </w:r>
      <w:r>
        <w:rPr>
          <w:szCs w:val="22"/>
        </w:rPr>
        <w:t xml:space="preserve">и двата цитокина участват в имунните функции; IL-12 стимулира естествените клетки убийци (NK) и предизвиква диференциацията на CD4 + Т клетките към Т 1 хелперен (Th1) фенотип, IL-23 индуцира пътя на Т 17 хелперите (Th17). </w:t>
      </w:r>
      <w:r>
        <w:rPr>
          <w:iCs/>
          <w:szCs w:val="22"/>
        </w:rPr>
        <w:t>Абнормната регулация на IL-12 и IL-23 обаче се свързва с имунномедиирани заболявания като псориазис,</w:t>
      </w:r>
      <w:r>
        <w:rPr>
          <w:szCs w:val="22"/>
        </w:rPr>
        <w:t xml:space="preserve"> псориатичен артрит, болест на </w:t>
      </w:r>
      <w:r>
        <w:rPr>
          <w:szCs w:val="22"/>
          <w:lang w:val="en-GB"/>
        </w:rPr>
        <w:t>Crohn</w:t>
      </w:r>
      <w:r>
        <w:rPr>
          <w:szCs w:val="22"/>
        </w:rPr>
        <w:t xml:space="preserve"> и </w:t>
      </w:r>
      <w:r>
        <w:t>улцерозен колит</w:t>
      </w:r>
      <w:r>
        <w:rPr>
          <w:szCs w:val="22"/>
        </w:rPr>
        <w:t>.</w:t>
      </w:r>
    </w:p>
    <w:p w14:paraId="109AD5C4" w14:textId="77777777" w:rsidR="009B3384" w:rsidRDefault="009B3384">
      <w:pPr>
        <w:rPr>
          <w:szCs w:val="22"/>
        </w:rPr>
      </w:pPr>
    </w:p>
    <w:p w14:paraId="109AD5C5" w14:textId="77777777" w:rsidR="009B3384" w:rsidRDefault="00800862">
      <w:pPr>
        <w:rPr>
          <w:iCs/>
        </w:rPr>
      </w:pPr>
      <w:r>
        <w:rPr>
          <w:iCs/>
        </w:rPr>
        <w:t xml:space="preserve">Чрез свързване на общата субединица р40 на IL-12 и IL-23, устекинумаб може да оказва своите клинични ефекти при псориазис, псориатичен артрит, болест на </w:t>
      </w:r>
      <w:r>
        <w:rPr>
          <w:iCs/>
          <w:lang w:val="en-GB"/>
        </w:rPr>
        <w:t>Crohn</w:t>
      </w:r>
      <w:r>
        <w:rPr>
          <w:iCs/>
        </w:rPr>
        <w:t xml:space="preserve"> </w:t>
      </w:r>
      <w:r>
        <w:rPr>
          <w:szCs w:val="22"/>
        </w:rPr>
        <w:t xml:space="preserve">и </w:t>
      </w:r>
      <w:r>
        <w:t>улцерозен колит</w:t>
      </w:r>
      <w:r>
        <w:rPr>
          <w:iCs/>
        </w:rPr>
        <w:t xml:space="preserve"> чрез прекъсване на пътищата на Th1 и Th17 цитокини, които са в основата на патологията на тези заболявания.</w:t>
      </w:r>
    </w:p>
    <w:p w14:paraId="109AD5C6" w14:textId="77777777" w:rsidR="009B3384" w:rsidRDefault="009B3384"/>
    <w:p w14:paraId="109AD5C7" w14:textId="77777777" w:rsidR="009B3384" w:rsidRDefault="00800862">
      <w:r>
        <w:rPr>
          <w:bCs/>
        </w:rPr>
        <w:t>При пациенти с болест на Crohn лечението с устекинумаб води до намаление на възпалителните маркери, включително C-реактивен протеин (CRP) и фекален калпротектин по време на индукционната фаза, което след това се поддържа през цялата поддържаща фаза</w:t>
      </w:r>
      <w:r>
        <w:t>. CRP е оценен по време на продължението на проучването и намаленията, наблюдавани по време на поддържащата фаза, обикновено се запазват до 252 седмица.</w:t>
      </w:r>
    </w:p>
    <w:p w14:paraId="109AD5C8" w14:textId="77777777" w:rsidR="009B3384" w:rsidRDefault="009B3384"/>
    <w:p w14:paraId="109AD5C9" w14:textId="77777777" w:rsidR="009B3384" w:rsidRDefault="00800862">
      <w:r>
        <w:t>При пациенти с улцерозен колит лечението с устекинумаб води до намаление на възпалителните маркери, включително CRP и фекален калпротектин по време на индукционната фаза, което се поддържа през цялата поддържаща фаза и продължението на проучването до седмица 200.</w:t>
      </w:r>
    </w:p>
    <w:p w14:paraId="109AD5CA" w14:textId="77777777" w:rsidR="009B3384" w:rsidRDefault="009B3384"/>
    <w:p w14:paraId="109AD5CB" w14:textId="77777777" w:rsidR="009B3384" w:rsidRDefault="00800862">
      <w:pPr>
        <w:keepNext/>
        <w:widowControl w:val="0"/>
        <w:rPr>
          <w:iCs/>
          <w:u w:val="single"/>
        </w:rPr>
      </w:pPr>
      <w:r>
        <w:rPr>
          <w:iCs/>
          <w:u w:val="single"/>
        </w:rPr>
        <w:t>Имунизации</w:t>
      </w:r>
    </w:p>
    <w:p w14:paraId="109AD5CC" w14:textId="77777777" w:rsidR="009B3384" w:rsidRDefault="00800862">
      <w:r>
        <w:t xml:space="preserve">По време на дългосрочното продължение на </w:t>
      </w:r>
      <w:r>
        <w:rPr>
          <w:iCs/>
        </w:rPr>
        <w:t>проучване при псориазис</w:t>
      </w:r>
      <w:r>
        <w:t> </w:t>
      </w:r>
      <w:r>
        <w:rPr>
          <w:iCs/>
        </w:rPr>
        <w:t>2 (PHOENIX 2), възрастните</w:t>
      </w:r>
      <w:r>
        <w:t xml:space="preserve"> пациенти, лекувани със STELARA за най-малко 3,5 години, са дали антитяло-отговори на пневмококови полизахаридни ваксини и ваксини срещу тетанус, сходни с тези при контролната група пациенти, получаващи несистемно лечение на псориазис. Сходен процент от възрастните пациенти, лекувани със STELARA и тези в контролната група, са развили защитни нива на антипневмококови и антитетанични антитела, и титрите на антителата им са сходни.</w:t>
      </w:r>
    </w:p>
    <w:p w14:paraId="109AD5CD" w14:textId="77777777" w:rsidR="009B3384" w:rsidRDefault="009B3384"/>
    <w:p w14:paraId="109AD5CE" w14:textId="77777777" w:rsidR="009B3384" w:rsidRDefault="00800862">
      <w:pPr>
        <w:keepNext/>
        <w:rPr>
          <w:u w:val="single"/>
        </w:rPr>
      </w:pPr>
      <w:r>
        <w:rPr>
          <w:u w:val="single"/>
        </w:rPr>
        <w:t>Клинична ефикасност</w:t>
      </w:r>
    </w:p>
    <w:p w14:paraId="109AD5CF" w14:textId="77777777" w:rsidR="009B3384" w:rsidRDefault="009B3384">
      <w:pPr>
        <w:keepNext/>
      </w:pPr>
    </w:p>
    <w:p w14:paraId="109AD5D0" w14:textId="77777777" w:rsidR="009B3384" w:rsidRPr="00BC6A43" w:rsidRDefault="00800862">
      <w:pPr>
        <w:keepNext/>
        <w:rPr>
          <w:i/>
          <w:iCs/>
          <w:u w:val="single"/>
        </w:rPr>
      </w:pPr>
      <w:r w:rsidRPr="00BC6A43">
        <w:rPr>
          <w:i/>
          <w:iCs/>
          <w:u w:val="single"/>
        </w:rPr>
        <w:t>Плаков псориазис (възрастни пациенти)</w:t>
      </w:r>
    </w:p>
    <w:p w14:paraId="109AD5D1" w14:textId="77777777" w:rsidR="009B3384" w:rsidRDefault="00800862">
      <w:pPr>
        <w:rPr>
          <w:iCs/>
        </w:rPr>
      </w:pPr>
      <w:r>
        <w:rPr>
          <w:iCs/>
        </w:rPr>
        <w:t xml:space="preserve">Безопасността и ефикасността на устекинумаб са оценени при 1 996 пациенти в две рандомизирани, двойно-слепи, плацебо контролирани проучвания при пациенти с умерен до тежък плаков псориазис, кандидати за фототерапия или системна терапия. </w:t>
      </w:r>
      <w:r>
        <w:t>Освен това в едно рандомизирано, активно контролирано проучване със заслепен оценител е сравнено действието на устекинумаб и етанерцепт при пациенти с умерен до тежък плаков псориазис, които не са се повлияли, проявили са непоносимост или са имали противопоказание към циклоспорин, МТХ или ПУВА терапия.</w:t>
      </w:r>
    </w:p>
    <w:p w14:paraId="109AD5D2" w14:textId="77777777" w:rsidR="009B3384" w:rsidRDefault="009B3384">
      <w:pPr>
        <w:rPr>
          <w:iCs/>
        </w:rPr>
      </w:pPr>
    </w:p>
    <w:p w14:paraId="109AD5D3" w14:textId="77777777" w:rsidR="009B3384" w:rsidRDefault="00800862">
      <w:pPr>
        <w:rPr>
          <w:iCs/>
        </w:rPr>
      </w:pPr>
      <w:r>
        <w:rPr>
          <w:iCs/>
        </w:rPr>
        <w:t xml:space="preserve">В проучване при псориазис 1 (PHOENIX 1) са оценени 766 пациенти. 53% от тях не са се повлияли, проявили са непоносимост или са имали противопоказание към друга системна терапия. Пациентите, рандомизирани за лечение с устекинумаб, са приели дози от 45 mg или 90 mg в седмици 0 и 4 и са продължили да приемат същата доза на всеки 12 седмици. Пациентите, рандомизирани за лечение с плацебо в седмици 0 и 4, са преминали към лечение с </w:t>
      </w:r>
      <w:r>
        <w:rPr>
          <w:iCs/>
        </w:rPr>
        <w:lastRenderedPageBreak/>
        <w:t xml:space="preserve">устекинумаб (45 mg или 90 mg) в седмици 12 и 16, след което са продължили да приемат същата доза на всеки 12 седмици. Пациенти, първоначално рандомизирани за лечение с устекинумаб, които са достигнали ниво на повлияване 75 по </w:t>
      </w:r>
      <w:r>
        <w:t xml:space="preserve">индекса за област и тежест на псориазис (PASI) </w:t>
      </w:r>
      <w:r>
        <w:rPr>
          <w:iCs/>
        </w:rPr>
        <w:t>(подобрение по PASI от минимум 75% в сравнение с изходните стойности) в седмици 28 и 40, са повторно рандомизирани за лечение с устекинумаб на всеки 12 седмици или с плацебо (т.е. оттегляне от терапията). Пациентите, повторно рандомизирани за лечение с плацебо в седмица 40, са възобновили терапията със STELARA в първоначалната си схема на дозиране, след като подобрението им по PASI в седмица 40 е намаляло с минимум 50%. Всички пациенти са проследени за период до 76 седмици след първото приложение на изследваното лечение.</w:t>
      </w:r>
    </w:p>
    <w:p w14:paraId="109AD5D4" w14:textId="77777777" w:rsidR="009B3384" w:rsidRDefault="009B3384">
      <w:pPr>
        <w:rPr>
          <w:iCs/>
        </w:rPr>
      </w:pPr>
    </w:p>
    <w:p w14:paraId="109AD5D5" w14:textId="77777777" w:rsidR="009B3384" w:rsidRDefault="00800862">
      <w:pPr>
        <w:rPr>
          <w:iCs/>
        </w:rPr>
      </w:pPr>
      <w:r>
        <w:rPr>
          <w:iCs/>
        </w:rPr>
        <w:t>В проучване при псориазис 2 (PHOENIX 2) са оценени 1 230 пациенти. 61% от тях не са се повлияли, проявили са непоносимост или са имали противопоказание към друга системна терапия. Пациентите, рандомизирани за лечение с устекинумаб, са приели дози от 45 mg или 90 mg в седмици 0 и 4, последвани от допълнителна доза в седмица 16. Пациентите, рандомизирани за лечение с плацебо в седмици 0 и 4, са преминали към лечение с устекинумаб (45 mg или 90 mg) в седмици 12 и 16. Всички пациенти са проследени за период до 52 седмици след първото приложение на изследваното лечение.</w:t>
      </w:r>
    </w:p>
    <w:p w14:paraId="109AD5D6" w14:textId="77777777" w:rsidR="009B3384" w:rsidRDefault="009B3384">
      <w:pPr>
        <w:rPr>
          <w:iCs/>
        </w:rPr>
      </w:pPr>
    </w:p>
    <w:p w14:paraId="109AD5D7" w14:textId="77777777" w:rsidR="009B3384" w:rsidRDefault="00800862">
      <w:r>
        <w:t>В проучване при псориазис 3 (ACCEPT) са оценени 903 пациенти с умерен до тежък псориазис, които не са се повлияли, проявили са непоносимост или са имали противопоказание към друга системна терапия. Сравнена е ефикасността на устекинумаб с тази на етанерцепт и е оценена безопасността на устекинумаб и етанерцепт. По време на 12-седмичната активно контролирана част от проучването пациентите са рандомизирани да приемат етанерцепт (50 mg два пъти седмично), устекинумаб 45 mg в седмици 0 и 4 или устекинумаб 90 mg в седмици 0 и 4.</w:t>
      </w:r>
    </w:p>
    <w:p w14:paraId="109AD5D8" w14:textId="77777777" w:rsidR="009B3384" w:rsidRDefault="009B3384">
      <w:pPr>
        <w:rPr>
          <w:iCs/>
        </w:rPr>
      </w:pPr>
    </w:p>
    <w:p w14:paraId="109AD5D9" w14:textId="77777777" w:rsidR="009B3384" w:rsidRDefault="00800862">
      <w:pPr>
        <w:rPr>
          <w:iCs/>
        </w:rPr>
      </w:pPr>
      <w:r>
        <w:rPr>
          <w:iCs/>
        </w:rPr>
        <w:t>Изходните характеристики на заболяването са принципно последователни във всички групи на лечение в проучване при псориазис 1 и 2 с медиана на PASI скора на изходно ниво от 17 до 18, с медиана на телесна повърхност (BSA) на изходно ниво ≥</w:t>
      </w:r>
      <w:r>
        <w:rPr>
          <w:iCs/>
          <w:lang w:val="en-GB"/>
        </w:rPr>
        <w:t> </w:t>
      </w:r>
      <w:r>
        <w:rPr>
          <w:iCs/>
        </w:rPr>
        <w:t>20 и с медиана на дерматологичен индекс за качество на живот (DLQI) в границите от 10 до 12. Близо една трета (проучване при псориазис 1) и една четвърт (проучване при псориазис 2) от пациентите имат псориатичен артрит (PsA). Подобна тежест на заболяването се наблюдава и при проучване при псориазис 3.</w:t>
      </w:r>
    </w:p>
    <w:p w14:paraId="109AD5DA" w14:textId="77777777" w:rsidR="009B3384" w:rsidRDefault="009B3384">
      <w:pPr>
        <w:rPr>
          <w:iCs/>
        </w:rPr>
      </w:pPr>
    </w:p>
    <w:p w14:paraId="109AD5DB" w14:textId="77777777" w:rsidR="009B3384" w:rsidRDefault="00800862">
      <w:pPr>
        <w:rPr>
          <w:iCs/>
        </w:rPr>
      </w:pPr>
      <w:r>
        <w:rPr>
          <w:iCs/>
        </w:rPr>
        <w:t>Първичната крайна точка в тези проучвания е съотношението на пациентите, достигнали ниво на повлияване по PASI 75 спрямо изходните стойности в седмица 12 (вж. таблици 4 и 5).</w:t>
      </w:r>
    </w:p>
    <w:p w14:paraId="109AD5DC" w14:textId="77777777" w:rsidR="009B3384" w:rsidRDefault="009B3384">
      <w:pPr>
        <w:rPr>
          <w:iCs/>
        </w:rPr>
      </w:pPr>
    </w:p>
    <w:p w14:paraId="109AD5DD" w14:textId="07E8CB10" w:rsidR="009B3384" w:rsidRDefault="00800862">
      <w:pPr>
        <w:keepNext/>
        <w:ind w:left="1134" w:hanging="1134"/>
        <w:rPr>
          <w:i/>
          <w:iCs/>
        </w:rPr>
      </w:pPr>
      <w:r>
        <w:rPr>
          <w:i/>
          <w:iCs/>
        </w:rPr>
        <w:t>Таблица 2</w:t>
      </w:r>
      <w:del w:id="1284" w:author="Reviser" w:date="2026-04-29T21:02:00Z">
        <w:r w:rsidDel="00685CAD">
          <w:rPr>
            <w:i/>
            <w:iCs/>
          </w:rPr>
          <w:delText>.</w:delText>
        </w:r>
      </w:del>
      <w:ins w:id="1285" w:author="Reviser" w:date="2026-04-29T21:02:00Z">
        <w:r w:rsidR="00685CAD">
          <w:rPr>
            <w:i/>
            <w:iCs/>
          </w:rPr>
          <w:t>:</w:t>
        </w:r>
      </w:ins>
      <w:r>
        <w:rPr>
          <w:i/>
          <w:iCs/>
        </w:rPr>
        <w:tab/>
        <w:t>Обобщение на клиничното повлияване в проучване при псориазис 1 (PHOENIX 1) и проучване при псориазис 2 (PHOENIX 2)</w:t>
      </w:r>
    </w:p>
    <w:tbl>
      <w:tblPr>
        <w:tblW w:w="9072" w:type="dxa"/>
        <w:jc w:val="center"/>
        <w:tblLayout w:type="fixed"/>
        <w:tblLook w:val="0000" w:firstRow="0" w:lastRow="0" w:firstColumn="0" w:lastColumn="0" w:noHBand="0" w:noVBand="0"/>
      </w:tblPr>
      <w:tblGrid>
        <w:gridCol w:w="2118"/>
        <w:gridCol w:w="1391"/>
        <w:gridCol w:w="1390"/>
        <w:gridCol w:w="1284"/>
        <w:gridCol w:w="1499"/>
        <w:gridCol w:w="1390"/>
      </w:tblGrid>
      <w:tr w:rsidR="009B3384" w14:paraId="109AD5E3"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5DE" w14:textId="77777777" w:rsidR="009B3384" w:rsidRDefault="009B3384">
            <w:pPr>
              <w:keepNext/>
              <w:widowControl w:val="0"/>
            </w:pPr>
          </w:p>
        </w:tc>
        <w:tc>
          <w:tcPr>
            <w:tcW w:w="4065" w:type="dxa"/>
            <w:gridSpan w:val="3"/>
            <w:tcBorders>
              <w:top w:val="single" w:sz="4" w:space="0" w:color="000000"/>
              <w:left w:val="single" w:sz="4" w:space="0" w:color="000000"/>
              <w:bottom w:val="single" w:sz="4" w:space="0" w:color="000000"/>
              <w:right w:val="single" w:sz="4" w:space="0" w:color="000000"/>
            </w:tcBorders>
          </w:tcPr>
          <w:p w14:paraId="109AD5DF" w14:textId="77777777" w:rsidR="009B3384" w:rsidRDefault="00800862">
            <w:pPr>
              <w:keepNext/>
              <w:widowControl w:val="0"/>
              <w:jc w:val="center"/>
              <w:rPr>
                <w:iCs/>
              </w:rPr>
            </w:pPr>
            <w:r>
              <w:rPr>
                <w:iCs/>
              </w:rPr>
              <w:t>Седмица 12</w:t>
            </w:r>
          </w:p>
          <w:p w14:paraId="109AD5E0" w14:textId="77777777" w:rsidR="009B3384" w:rsidRDefault="00800862">
            <w:pPr>
              <w:keepNext/>
              <w:widowControl w:val="0"/>
              <w:jc w:val="center"/>
              <w:rPr>
                <w:iCs/>
              </w:rPr>
            </w:pPr>
            <w:r>
              <w:rPr>
                <w:iCs/>
              </w:rPr>
              <w:t>2 дози (седмица 0 и седмица 4)</w:t>
            </w:r>
          </w:p>
        </w:tc>
        <w:tc>
          <w:tcPr>
            <w:tcW w:w="2889" w:type="dxa"/>
            <w:gridSpan w:val="2"/>
            <w:tcBorders>
              <w:top w:val="single" w:sz="4" w:space="0" w:color="000000"/>
              <w:left w:val="single" w:sz="4" w:space="0" w:color="000000"/>
              <w:bottom w:val="single" w:sz="4" w:space="0" w:color="000000"/>
              <w:right w:val="single" w:sz="4" w:space="0" w:color="000000"/>
            </w:tcBorders>
          </w:tcPr>
          <w:p w14:paraId="109AD5E1" w14:textId="77777777" w:rsidR="009B3384" w:rsidRDefault="00800862">
            <w:pPr>
              <w:keepNext/>
              <w:widowControl w:val="0"/>
              <w:jc w:val="center"/>
              <w:rPr>
                <w:iCs/>
              </w:rPr>
            </w:pPr>
            <w:r>
              <w:rPr>
                <w:iCs/>
              </w:rPr>
              <w:t>Седмица 28</w:t>
            </w:r>
          </w:p>
          <w:p w14:paraId="109AD5E2" w14:textId="77777777" w:rsidR="009B3384" w:rsidRDefault="00800862">
            <w:pPr>
              <w:keepNext/>
              <w:widowControl w:val="0"/>
              <w:jc w:val="center"/>
              <w:rPr>
                <w:iCs/>
              </w:rPr>
            </w:pPr>
            <w:r>
              <w:rPr>
                <w:iCs/>
              </w:rPr>
              <w:t>3 дози (седмица 0, седмица 4 и седмица 16)</w:t>
            </w:r>
          </w:p>
        </w:tc>
      </w:tr>
      <w:tr w:rsidR="009B3384" w14:paraId="109AD5EA"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5E4" w14:textId="77777777" w:rsidR="009B3384" w:rsidRDefault="009B3384">
            <w:pPr>
              <w:keepNext/>
              <w:widowControl w:val="0"/>
            </w:pPr>
          </w:p>
        </w:tc>
        <w:tc>
          <w:tcPr>
            <w:tcW w:w="1391" w:type="dxa"/>
            <w:tcBorders>
              <w:top w:val="single" w:sz="4" w:space="0" w:color="000000"/>
              <w:left w:val="single" w:sz="4" w:space="0" w:color="000000"/>
              <w:bottom w:val="single" w:sz="4" w:space="0" w:color="000000"/>
              <w:right w:val="single" w:sz="4" w:space="0" w:color="000000"/>
            </w:tcBorders>
          </w:tcPr>
          <w:p w14:paraId="109AD5E5" w14:textId="77777777" w:rsidR="009B3384" w:rsidRDefault="00800862">
            <w:pPr>
              <w:keepNext/>
              <w:widowControl w:val="0"/>
              <w:jc w:val="center"/>
              <w:rPr>
                <w:iCs/>
              </w:rPr>
            </w:pPr>
            <w:r>
              <w:rPr>
                <w:iCs/>
              </w:rPr>
              <w:t>Плацебо</w:t>
            </w:r>
          </w:p>
        </w:tc>
        <w:tc>
          <w:tcPr>
            <w:tcW w:w="1390" w:type="dxa"/>
            <w:tcBorders>
              <w:top w:val="single" w:sz="4" w:space="0" w:color="000000"/>
              <w:left w:val="single" w:sz="4" w:space="0" w:color="000000"/>
              <w:bottom w:val="single" w:sz="4" w:space="0" w:color="000000"/>
              <w:right w:val="single" w:sz="4" w:space="0" w:color="000000"/>
            </w:tcBorders>
          </w:tcPr>
          <w:p w14:paraId="109AD5E6" w14:textId="77777777" w:rsidR="009B3384" w:rsidRDefault="00800862">
            <w:pPr>
              <w:keepNext/>
              <w:widowControl w:val="0"/>
              <w:jc w:val="center"/>
              <w:rPr>
                <w:iCs/>
              </w:rPr>
            </w:pPr>
            <w:r>
              <w:rPr>
                <w:iCs/>
              </w:rPr>
              <w:t>45 mg</w:t>
            </w:r>
          </w:p>
        </w:tc>
        <w:tc>
          <w:tcPr>
            <w:tcW w:w="1284" w:type="dxa"/>
            <w:tcBorders>
              <w:top w:val="single" w:sz="4" w:space="0" w:color="000000"/>
              <w:left w:val="single" w:sz="4" w:space="0" w:color="000000"/>
              <w:bottom w:val="single" w:sz="4" w:space="0" w:color="000000"/>
              <w:right w:val="single" w:sz="4" w:space="0" w:color="000000"/>
            </w:tcBorders>
          </w:tcPr>
          <w:p w14:paraId="109AD5E7" w14:textId="77777777" w:rsidR="009B3384" w:rsidRDefault="00800862">
            <w:pPr>
              <w:keepNext/>
              <w:widowControl w:val="0"/>
              <w:jc w:val="center"/>
              <w:rPr>
                <w:iCs/>
              </w:rPr>
            </w:pPr>
            <w:r>
              <w:rPr>
                <w:iCs/>
              </w:rPr>
              <w:t>90 mg</w:t>
            </w:r>
          </w:p>
        </w:tc>
        <w:tc>
          <w:tcPr>
            <w:tcW w:w="1499" w:type="dxa"/>
            <w:tcBorders>
              <w:top w:val="single" w:sz="4" w:space="0" w:color="000000"/>
              <w:left w:val="single" w:sz="4" w:space="0" w:color="000000"/>
              <w:bottom w:val="single" w:sz="4" w:space="0" w:color="000000"/>
              <w:right w:val="single" w:sz="4" w:space="0" w:color="000000"/>
            </w:tcBorders>
          </w:tcPr>
          <w:p w14:paraId="109AD5E8" w14:textId="77777777" w:rsidR="009B3384" w:rsidRDefault="00800862">
            <w:pPr>
              <w:keepNext/>
              <w:widowControl w:val="0"/>
              <w:jc w:val="center"/>
              <w:rPr>
                <w:iCs/>
              </w:rPr>
            </w:pPr>
            <w:r>
              <w:rPr>
                <w:iCs/>
              </w:rPr>
              <w:t>45 mg</w:t>
            </w:r>
          </w:p>
        </w:tc>
        <w:tc>
          <w:tcPr>
            <w:tcW w:w="1390" w:type="dxa"/>
            <w:tcBorders>
              <w:top w:val="single" w:sz="4" w:space="0" w:color="000000"/>
              <w:left w:val="single" w:sz="4" w:space="0" w:color="000000"/>
              <w:bottom w:val="single" w:sz="4" w:space="0" w:color="000000"/>
              <w:right w:val="single" w:sz="4" w:space="0" w:color="000000"/>
            </w:tcBorders>
          </w:tcPr>
          <w:p w14:paraId="109AD5E9" w14:textId="77777777" w:rsidR="009B3384" w:rsidRDefault="00800862">
            <w:pPr>
              <w:keepNext/>
              <w:widowControl w:val="0"/>
              <w:jc w:val="center"/>
              <w:rPr>
                <w:iCs/>
              </w:rPr>
            </w:pPr>
            <w:r>
              <w:rPr>
                <w:iCs/>
              </w:rPr>
              <w:t>90 mg</w:t>
            </w:r>
          </w:p>
        </w:tc>
      </w:tr>
      <w:tr w:rsidR="009B3384" w14:paraId="109AD5F1"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5EB" w14:textId="77777777" w:rsidR="009B3384" w:rsidRDefault="00800862">
            <w:pPr>
              <w:keepNext/>
              <w:widowControl w:val="0"/>
              <w:rPr>
                <w:b/>
                <w:bCs/>
                <w:iCs/>
              </w:rPr>
            </w:pPr>
            <w:r>
              <w:rPr>
                <w:b/>
                <w:bCs/>
                <w:iCs/>
              </w:rPr>
              <w:t>Проучване при псориазис 1</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5EC"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D5ED" w14:textId="77777777" w:rsidR="009B3384" w:rsidRDefault="009B3384">
            <w:pPr>
              <w:keepNext/>
              <w:widowControl w:val="0"/>
              <w:jc w:val="center"/>
              <w:rPr>
                <w:iCs/>
              </w:rPr>
            </w:pPr>
          </w:p>
        </w:tc>
        <w:tc>
          <w:tcPr>
            <w:tcW w:w="1284" w:type="dxa"/>
            <w:tcBorders>
              <w:top w:val="single" w:sz="4" w:space="0" w:color="000000"/>
              <w:left w:val="single" w:sz="4" w:space="0" w:color="000000"/>
              <w:bottom w:val="single" w:sz="4" w:space="0" w:color="000000"/>
              <w:right w:val="single" w:sz="4" w:space="0" w:color="000000"/>
            </w:tcBorders>
            <w:vAlign w:val="center"/>
          </w:tcPr>
          <w:p w14:paraId="109AD5EE" w14:textId="77777777" w:rsidR="009B3384" w:rsidRDefault="009B3384">
            <w:pPr>
              <w:keepNext/>
              <w:widowControl w:val="0"/>
              <w:jc w:val="center"/>
              <w:rPr>
                <w:iCs/>
              </w:rPr>
            </w:pPr>
          </w:p>
        </w:tc>
        <w:tc>
          <w:tcPr>
            <w:tcW w:w="1499" w:type="dxa"/>
            <w:tcBorders>
              <w:top w:val="single" w:sz="4" w:space="0" w:color="000000"/>
              <w:left w:val="single" w:sz="4" w:space="0" w:color="000000"/>
              <w:bottom w:val="single" w:sz="4" w:space="0" w:color="000000"/>
              <w:right w:val="single" w:sz="4" w:space="0" w:color="000000"/>
            </w:tcBorders>
            <w:vAlign w:val="center"/>
          </w:tcPr>
          <w:p w14:paraId="109AD5EF"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D5F0" w14:textId="77777777" w:rsidR="009B3384" w:rsidRDefault="009B3384">
            <w:pPr>
              <w:keepNext/>
              <w:widowControl w:val="0"/>
              <w:jc w:val="center"/>
              <w:rPr>
                <w:iCs/>
              </w:rPr>
            </w:pPr>
          </w:p>
        </w:tc>
      </w:tr>
      <w:tr w:rsidR="009B3384" w14:paraId="109AD5F8"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5F2" w14:textId="77777777" w:rsidR="009B3384" w:rsidRDefault="00800862">
            <w:pPr>
              <w:widowControl w:val="0"/>
              <w:rPr>
                <w:iCs/>
              </w:rPr>
            </w:pPr>
            <w:r>
              <w:t>Брой рандомизирани пациенти</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5F3" w14:textId="77777777" w:rsidR="009B3384" w:rsidRDefault="00800862">
            <w:pPr>
              <w:widowControl w:val="0"/>
              <w:jc w:val="center"/>
              <w:rPr>
                <w:iCs/>
              </w:rPr>
            </w:pPr>
            <w:r>
              <w:t>255</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5F4" w14:textId="77777777" w:rsidR="009B3384" w:rsidRDefault="00800862">
            <w:pPr>
              <w:widowControl w:val="0"/>
              <w:jc w:val="center"/>
              <w:rPr>
                <w:iCs/>
              </w:rPr>
            </w:pPr>
            <w:r>
              <w:t>255</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5F5" w14:textId="77777777" w:rsidR="009B3384" w:rsidRDefault="00800862">
            <w:pPr>
              <w:widowControl w:val="0"/>
              <w:jc w:val="center"/>
              <w:rPr>
                <w:iCs/>
              </w:rPr>
            </w:pPr>
            <w:r>
              <w:t>256</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5F6" w14:textId="77777777" w:rsidR="009B3384" w:rsidRDefault="00800862">
            <w:pPr>
              <w:widowControl w:val="0"/>
              <w:jc w:val="center"/>
              <w:rPr>
                <w:iCs/>
              </w:rPr>
            </w:pPr>
            <w:r>
              <w:t>250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5F7" w14:textId="77777777" w:rsidR="009B3384" w:rsidRDefault="00800862">
            <w:pPr>
              <w:widowControl w:val="0"/>
              <w:jc w:val="center"/>
              <w:rPr>
                <w:iCs/>
              </w:rPr>
            </w:pPr>
            <w:r>
              <w:t>243</w:t>
            </w:r>
          </w:p>
        </w:tc>
      </w:tr>
      <w:tr w:rsidR="009B3384" w14:paraId="109AD5FF"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D5F9" w14:textId="77777777" w:rsidR="009B3384" w:rsidRDefault="00800862">
            <w:pPr>
              <w:widowControl w:val="0"/>
              <w:rPr>
                <w:iCs/>
              </w:rPr>
            </w:pPr>
            <w:r>
              <w:t xml:space="preserve">Повлияване по PASI 50,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5FA" w14:textId="77777777" w:rsidR="009B3384" w:rsidRDefault="00800862">
            <w:pPr>
              <w:widowControl w:val="0"/>
              <w:jc w:val="center"/>
              <w:rPr>
                <w:iCs/>
              </w:rPr>
            </w:pPr>
            <w:r>
              <w:t>26 (10%)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5FB" w14:textId="77777777" w:rsidR="009B3384" w:rsidRDefault="00800862">
            <w:pPr>
              <w:widowControl w:val="0"/>
              <w:jc w:val="center"/>
              <w:rPr>
                <w:iCs/>
              </w:rPr>
            </w:pPr>
            <w:r>
              <w:t>213 (84%)</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5FC" w14:textId="77777777" w:rsidR="009B3384" w:rsidRDefault="00800862">
            <w:pPr>
              <w:widowControl w:val="0"/>
              <w:jc w:val="center"/>
              <w:rPr>
                <w:iCs/>
              </w:rPr>
            </w:pPr>
            <w:r>
              <w:t>220 (86%)</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5FD" w14:textId="77777777" w:rsidR="009B3384" w:rsidRDefault="00800862">
            <w:pPr>
              <w:widowControl w:val="0"/>
              <w:jc w:val="center"/>
              <w:rPr>
                <w:iCs/>
              </w:rPr>
            </w:pPr>
            <w:r>
              <w:t>228 (91%)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5FE" w14:textId="77777777" w:rsidR="009B3384" w:rsidRDefault="00800862">
            <w:pPr>
              <w:widowControl w:val="0"/>
              <w:jc w:val="center"/>
              <w:rPr>
                <w:iCs/>
              </w:rPr>
            </w:pPr>
            <w:r>
              <w:t>234 (96%)</w:t>
            </w:r>
          </w:p>
        </w:tc>
      </w:tr>
      <w:tr w:rsidR="009B3384" w14:paraId="109AD606"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D600" w14:textId="77777777" w:rsidR="009B3384" w:rsidRDefault="00800862">
            <w:pPr>
              <w:widowControl w:val="0"/>
              <w:rPr>
                <w:iCs/>
              </w:rPr>
            </w:pPr>
            <w:r>
              <w:t xml:space="preserve">Повлияване по PASI 75,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01" w14:textId="77777777" w:rsidR="009B3384" w:rsidRDefault="00800862">
            <w:pPr>
              <w:widowControl w:val="0"/>
              <w:jc w:val="center"/>
              <w:rPr>
                <w:iCs/>
              </w:rPr>
            </w:pPr>
            <w:r>
              <w:t>8 (3%)</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02" w14:textId="77777777" w:rsidR="009B3384" w:rsidRDefault="00800862">
            <w:pPr>
              <w:widowControl w:val="0"/>
              <w:jc w:val="center"/>
              <w:rPr>
                <w:iCs/>
              </w:rPr>
            </w:pPr>
            <w:r>
              <w:t>171 (67%)</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03" w14:textId="77777777" w:rsidR="009B3384" w:rsidRDefault="00800862">
            <w:pPr>
              <w:widowControl w:val="0"/>
              <w:jc w:val="center"/>
              <w:rPr>
                <w:iCs/>
              </w:rPr>
            </w:pPr>
            <w:r>
              <w:t>170 (66%)</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04" w14:textId="77777777" w:rsidR="009B3384" w:rsidRDefault="00800862">
            <w:pPr>
              <w:widowControl w:val="0"/>
              <w:jc w:val="center"/>
              <w:rPr>
                <w:iCs/>
              </w:rPr>
            </w:pPr>
            <w:r>
              <w:t>178 (71%)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05" w14:textId="77777777" w:rsidR="009B3384" w:rsidRDefault="00800862">
            <w:pPr>
              <w:widowControl w:val="0"/>
              <w:jc w:val="center"/>
              <w:rPr>
                <w:iCs/>
              </w:rPr>
            </w:pPr>
            <w:r>
              <w:t>191 (79%)</w:t>
            </w:r>
          </w:p>
        </w:tc>
      </w:tr>
      <w:tr w:rsidR="009B3384" w14:paraId="109AD60D"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07" w14:textId="77777777" w:rsidR="009B3384" w:rsidRDefault="00800862">
            <w:pPr>
              <w:widowControl w:val="0"/>
              <w:rPr>
                <w:iCs/>
              </w:rPr>
            </w:pPr>
            <w:r>
              <w:rPr>
                <w:iCs/>
              </w:rPr>
              <w:t>Повлияване по PASI 90</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08" w14:textId="77777777" w:rsidR="009B3384" w:rsidRDefault="00800862">
            <w:pPr>
              <w:widowControl w:val="0"/>
              <w:jc w:val="center"/>
            </w:pPr>
            <w:r>
              <w:t>5 (2%)</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09" w14:textId="77777777" w:rsidR="009B3384" w:rsidRDefault="00800862">
            <w:pPr>
              <w:widowControl w:val="0"/>
              <w:jc w:val="center"/>
            </w:pPr>
            <w:r>
              <w:t>106 (42%)</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0A" w14:textId="77777777" w:rsidR="009B3384" w:rsidRDefault="00800862">
            <w:pPr>
              <w:widowControl w:val="0"/>
              <w:jc w:val="center"/>
            </w:pPr>
            <w:r>
              <w:t>94 (37%)</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0B" w14:textId="77777777" w:rsidR="009B3384" w:rsidRDefault="00800862">
            <w:pPr>
              <w:widowControl w:val="0"/>
              <w:jc w:val="center"/>
            </w:pPr>
            <w:r>
              <w:t>123 (49%)</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0C" w14:textId="77777777" w:rsidR="009B3384" w:rsidRDefault="00800862">
            <w:pPr>
              <w:widowControl w:val="0"/>
              <w:jc w:val="center"/>
            </w:pPr>
            <w:r>
              <w:t>135 (56%)</w:t>
            </w:r>
          </w:p>
        </w:tc>
      </w:tr>
      <w:tr w:rsidR="009B3384" w14:paraId="109AD614"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0E" w14:textId="77777777" w:rsidR="009B3384" w:rsidRDefault="00800862">
            <w:pPr>
              <w:widowControl w:val="0"/>
              <w:rPr>
                <w:iCs/>
              </w:rPr>
            </w:pPr>
            <w:r>
              <w:rPr>
                <w:iCs/>
              </w:rPr>
              <w:t>ООЛ</w:t>
            </w:r>
            <w:r>
              <w:rPr>
                <w:iCs/>
                <w:vertAlign w:val="superscript"/>
              </w:rPr>
              <w:t>б</w:t>
            </w:r>
            <w:r>
              <w:rPr>
                <w:iCs/>
              </w:rPr>
              <w:t xml:space="preserve"> за изчистени или минимални</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0F" w14:textId="77777777" w:rsidR="009B3384" w:rsidRDefault="00800862">
            <w:pPr>
              <w:widowControl w:val="0"/>
              <w:jc w:val="center"/>
              <w:rPr>
                <w:iCs/>
              </w:rPr>
            </w:pPr>
            <w:r>
              <w:t>10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10" w14:textId="77777777" w:rsidR="009B3384" w:rsidRDefault="00800862">
            <w:pPr>
              <w:widowControl w:val="0"/>
              <w:jc w:val="center"/>
              <w:rPr>
                <w:iCs/>
              </w:rPr>
            </w:pPr>
            <w:r>
              <w:t>151 (59%)</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11" w14:textId="77777777" w:rsidR="009B3384" w:rsidRDefault="00800862">
            <w:pPr>
              <w:widowControl w:val="0"/>
              <w:jc w:val="center"/>
              <w:rPr>
                <w:iCs/>
              </w:rPr>
            </w:pPr>
            <w:r>
              <w:t>156 (61%)</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12" w14:textId="77777777" w:rsidR="009B3384" w:rsidRDefault="00800862">
            <w:pPr>
              <w:widowControl w:val="0"/>
              <w:jc w:val="center"/>
              <w:rPr>
                <w:iCs/>
              </w:rPr>
            </w:pPr>
            <w:r>
              <w:t>146 (58%)</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13" w14:textId="77777777" w:rsidR="009B3384" w:rsidRDefault="00800862">
            <w:pPr>
              <w:widowControl w:val="0"/>
              <w:jc w:val="center"/>
              <w:rPr>
                <w:iCs/>
              </w:rPr>
            </w:pPr>
            <w:r>
              <w:t>160 (66%)</w:t>
            </w:r>
          </w:p>
        </w:tc>
      </w:tr>
      <w:tr w:rsidR="009B3384" w14:paraId="109AD61B"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15" w14:textId="77777777" w:rsidR="009B3384" w:rsidRDefault="00800862">
            <w:pPr>
              <w:widowControl w:val="0"/>
              <w:rPr>
                <w:iCs/>
              </w:rPr>
            </w:pPr>
            <w:r>
              <w:rPr>
                <w:iCs/>
              </w:rPr>
              <w:lastRenderedPageBreak/>
              <w:t xml:space="preserve">Брой пациенти </w:t>
            </w:r>
            <w:r>
              <w:t>≤ 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16" w14:textId="77777777" w:rsidR="009B3384" w:rsidRDefault="00800862">
            <w:pPr>
              <w:widowControl w:val="0"/>
              <w:jc w:val="center"/>
              <w:rPr>
                <w:iCs/>
              </w:rPr>
            </w:pPr>
            <w:r>
              <w:rPr>
                <w:iCs/>
              </w:rPr>
              <w:t>166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17" w14:textId="77777777" w:rsidR="009B3384" w:rsidRDefault="00800862">
            <w:pPr>
              <w:widowControl w:val="0"/>
              <w:jc w:val="center"/>
              <w:rPr>
                <w:iCs/>
              </w:rPr>
            </w:pPr>
            <w:r>
              <w:rPr>
                <w:iCs/>
              </w:rPr>
              <w:t>168</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18" w14:textId="77777777" w:rsidR="009B3384" w:rsidRDefault="00800862">
            <w:pPr>
              <w:widowControl w:val="0"/>
              <w:jc w:val="center"/>
              <w:rPr>
                <w:iCs/>
              </w:rPr>
            </w:pPr>
            <w:r>
              <w:rPr>
                <w:iCs/>
              </w:rPr>
              <w:t>164</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19" w14:textId="77777777" w:rsidR="009B3384" w:rsidRDefault="00800862">
            <w:pPr>
              <w:widowControl w:val="0"/>
              <w:jc w:val="center"/>
              <w:rPr>
                <w:iCs/>
              </w:rPr>
            </w:pPr>
            <w:r>
              <w:rPr>
                <w:iCs/>
              </w:rPr>
              <w:t>164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1A" w14:textId="77777777" w:rsidR="009B3384" w:rsidRDefault="00800862">
            <w:pPr>
              <w:widowControl w:val="0"/>
              <w:jc w:val="center"/>
              <w:rPr>
                <w:iCs/>
              </w:rPr>
            </w:pPr>
            <w:r>
              <w:rPr>
                <w:iCs/>
              </w:rPr>
              <w:t>153</w:t>
            </w:r>
          </w:p>
        </w:tc>
      </w:tr>
      <w:tr w:rsidR="009B3384" w14:paraId="109AD622"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1C"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1D" w14:textId="77777777" w:rsidR="009B3384" w:rsidRDefault="00800862">
            <w:pPr>
              <w:widowControl w:val="0"/>
              <w:jc w:val="center"/>
              <w:rPr>
                <w:iCs/>
              </w:rPr>
            </w:pPr>
            <w:r>
              <w:rPr>
                <w:iCs/>
              </w:rPr>
              <w:t>6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1E" w14:textId="77777777" w:rsidR="009B3384" w:rsidRDefault="00800862">
            <w:pPr>
              <w:widowControl w:val="0"/>
              <w:jc w:val="center"/>
              <w:rPr>
                <w:iCs/>
              </w:rPr>
            </w:pPr>
            <w:r>
              <w:rPr>
                <w:iCs/>
              </w:rPr>
              <w:t>124 (74%)</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1F" w14:textId="77777777" w:rsidR="009B3384" w:rsidRDefault="00800862">
            <w:pPr>
              <w:widowControl w:val="0"/>
              <w:jc w:val="center"/>
              <w:rPr>
                <w:iCs/>
              </w:rPr>
            </w:pPr>
            <w:r>
              <w:rPr>
                <w:iCs/>
              </w:rPr>
              <w:t>107 (65%)</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20" w14:textId="77777777" w:rsidR="009B3384" w:rsidRDefault="00800862">
            <w:pPr>
              <w:widowControl w:val="0"/>
              <w:jc w:val="center"/>
              <w:rPr>
                <w:iCs/>
              </w:rPr>
            </w:pPr>
            <w:r>
              <w:rPr>
                <w:iCs/>
              </w:rPr>
              <w:t>130 (79%)</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21" w14:textId="77777777" w:rsidR="009B3384" w:rsidRDefault="00800862">
            <w:pPr>
              <w:widowControl w:val="0"/>
              <w:jc w:val="center"/>
              <w:rPr>
                <w:iCs/>
              </w:rPr>
            </w:pPr>
            <w:r>
              <w:rPr>
                <w:iCs/>
              </w:rPr>
              <w:t>124 (81%)</w:t>
            </w:r>
          </w:p>
        </w:tc>
      </w:tr>
      <w:tr w:rsidR="009B3384" w14:paraId="109AD629"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23" w14:textId="77777777" w:rsidR="009B3384" w:rsidRDefault="00800862">
            <w:pPr>
              <w:widowControl w:val="0"/>
              <w:rPr>
                <w:iCs/>
              </w:rPr>
            </w:pPr>
            <w:r>
              <w:rPr>
                <w:iCs/>
              </w:rPr>
              <w:t>Брой пациенти &gt;</w:t>
            </w:r>
            <w:r>
              <w:rPr>
                <w:iCs/>
                <w:lang w:val="nl-BE"/>
              </w:rPr>
              <w:t> </w:t>
            </w:r>
            <w:r>
              <w:t>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24" w14:textId="77777777" w:rsidR="009B3384" w:rsidRDefault="00800862">
            <w:pPr>
              <w:widowControl w:val="0"/>
              <w:jc w:val="center"/>
              <w:rPr>
                <w:iCs/>
              </w:rPr>
            </w:pPr>
            <w:r>
              <w:rPr>
                <w:iCs/>
              </w:rPr>
              <w:t>89</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25" w14:textId="77777777" w:rsidR="009B3384" w:rsidRDefault="00800862">
            <w:pPr>
              <w:widowControl w:val="0"/>
              <w:jc w:val="center"/>
              <w:rPr>
                <w:iCs/>
              </w:rPr>
            </w:pPr>
            <w:r>
              <w:rPr>
                <w:iCs/>
              </w:rPr>
              <w:t>87</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26" w14:textId="77777777" w:rsidR="009B3384" w:rsidRDefault="00800862">
            <w:pPr>
              <w:widowControl w:val="0"/>
              <w:jc w:val="center"/>
              <w:rPr>
                <w:iCs/>
              </w:rPr>
            </w:pPr>
            <w:r>
              <w:rPr>
                <w:iCs/>
              </w:rPr>
              <w:t>92</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27" w14:textId="77777777" w:rsidR="009B3384" w:rsidRDefault="00800862">
            <w:pPr>
              <w:widowControl w:val="0"/>
              <w:jc w:val="center"/>
              <w:rPr>
                <w:iCs/>
              </w:rPr>
            </w:pPr>
            <w:r>
              <w:rPr>
                <w:iCs/>
              </w:rPr>
              <w:t>86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28" w14:textId="77777777" w:rsidR="009B3384" w:rsidRDefault="00800862">
            <w:pPr>
              <w:widowControl w:val="0"/>
              <w:jc w:val="center"/>
              <w:rPr>
                <w:iCs/>
              </w:rPr>
            </w:pPr>
            <w:r>
              <w:rPr>
                <w:iCs/>
              </w:rPr>
              <w:t>90</w:t>
            </w:r>
          </w:p>
        </w:tc>
      </w:tr>
      <w:tr w:rsidR="009B3384" w14:paraId="109AD630"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2A"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2B" w14:textId="77777777" w:rsidR="009B3384" w:rsidRDefault="00800862">
            <w:pPr>
              <w:widowControl w:val="0"/>
              <w:jc w:val="center"/>
              <w:rPr>
                <w:iCs/>
              </w:rPr>
            </w:pPr>
            <w:r>
              <w:rPr>
                <w:iCs/>
              </w:rPr>
              <w:t>2 (2%)</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2C" w14:textId="77777777" w:rsidR="009B3384" w:rsidRDefault="00800862">
            <w:pPr>
              <w:widowControl w:val="0"/>
              <w:jc w:val="center"/>
              <w:rPr>
                <w:iCs/>
              </w:rPr>
            </w:pPr>
            <w:r>
              <w:rPr>
                <w:iCs/>
              </w:rPr>
              <w:t>47 (54%)</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2D" w14:textId="77777777" w:rsidR="009B3384" w:rsidRDefault="00800862">
            <w:pPr>
              <w:widowControl w:val="0"/>
              <w:jc w:val="center"/>
              <w:rPr>
                <w:iCs/>
              </w:rPr>
            </w:pPr>
            <w:r>
              <w:rPr>
                <w:iCs/>
              </w:rPr>
              <w:t>63 (68%)</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2E" w14:textId="77777777" w:rsidR="009B3384" w:rsidRDefault="00800862">
            <w:pPr>
              <w:widowControl w:val="0"/>
              <w:jc w:val="center"/>
              <w:rPr>
                <w:iCs/>
              </w:rPr>
            </w:pPr>
            <w:r>
              <w:rPr>
                <w:iCs/>
              </w:rPr>
              <w:t>48 (56%)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2F" w14:textId="77777777" w:rsidR="009B3384" w:rsidRDefault="00800862">
            <w:pPr>
              <w:widowControl w:val="0"/>
              <w:jc w:val="center"/>
              <w:rPr>
                <w:iCs/>
              </w:rPr>
            </w:pPr>
            <w:r>
              <w:rPr>
                <w:iCs/>
              </w:rPr>
              <w:t>67 (74%)</w:t>
            </w:r>
          </w:p>
        </w:tc>
      </w:tr>
      <w:tr w:rsidR="009B3384" w14:paraId="109AD637"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31" w14:textId="77777777" w:rsidR="009B3384" w:rsidRDefault="009B3384">
            <w:pPr>
              <w:widowControl w:val="0"/>
              <w:rPr>
                <w:iCs/>
              </w:rPr>
            </w:pPr>
          </w:p>
        </w:tc>
        <w:tc>
          <w:tcPr>
            <w:tcW w:w="1391" w:type="dxa"/>
            <w:tcBorders>
              <w:top w:val="single" w:sz="4" w:space="0" w:color="000000"/>
              <w:left w:val="single" w:sz="4" w:space="0" w:color="000000"/>
              <w:bottom w:val="single" w:sz="4" w:space="0" w:color="000000"/>
              <w:right w:val="single" w:sz="4" w:space="0" w:color="000000"/>
            </w:tcBorders>
            <w:vAlign w:val="center"/>
          </w:tcPr>
          <w:p w14:paraId="109AD632" w14:textId="77777777" w:rsidR="009B3384" w:rsidRDefault="009B3384">
            <w:pPr>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D633" w14:textId="77777777" w:rsidR="009B3384" w:rsidRDefault="009B3384">
            <w:pPr>
              <w:widowControl w:val="0"/>
              <w:jc w:val="center"/>
              <w:rPr>
                <w:iCs/>
              </w:rPr>
            </w:pPr>
          </w:p>
        </w:tc>
        <w:tc>
          <w:tcPr>
            <w:tcW w:w="1284" w:type="dxa"/>
            <w:tcBorders>
              <w:top w:val="single" w:sz="4" w:space="0" w:color="000000"/>
              <w:left w:val="single" w:sz="4" w:space="0" w:color="000000"/>
              <w:bottom w:val="single" w:sz="4" w:space="0" w:color="000000"/>
              <w:right w:val="single" w:sz="4" w:space="0" w:color="000000"/>
            </w:tcBorders>
            <w:vAlign w:val="center"/>
          </w:tcPr>
          <w:p w14:paraId="109AD634" w14:textId="77777777" w:rsidR="009B3384" w:rsidRDefault="009B3384">
            <w:pPr>
              <w:widowControl w:val="0"/>
              <w:jc w:val="center"/>
              <w:rPr>
                <w:iCs/>
              </w:rPr>
            </w:pPr>
          </w:p>
        </w:tc>
        <w:tc>
          <w:tcPr>
            <w:tcW w:w="1499" w:type="dxa"/>
            <w:tcBorders>
              <w:top w:val="single" w:sz="4" w:space="0" w:color="000000"/>
              <w:left w:val="single" w:sz="4" w:space="0" w:color="000000"/>
              <w:bottom w:val="single" w:sz="4" w:space="0" w:color="000000"/>
              <w:right w:val="single" w:sz="4" w:space="0" w:color="000000"/>
            </w:tcBorders>
            <w:vAlign w:val="center"/>
          </w:tcPr>
          <w:p w14:paraId="109AD635" w14:textId="77777777" w:rsidR="009B3384" w:rsidRDefault="009B3384">
            <w:pPr>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D636" w14:textId="77777777" w:rsidR="009B3384" w:rsidRDefault="009B3384">
            <w:pPr>
              <w:widowControl w:val="0"/>
              <w:jc w:val="center"/>
              <w:rPr>
                <w:iCs/>
              </w:rPr>
            </w:pPr>
          </w:p>
        </w:tc>
      </w:tr>
      <w:tr w:rsidR="009B3384" w14:paraId="109AD63E"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38" w14:textId="77777777" w:rsidR="009B3384" w:rsidRDefault="00800862">
            <w:pPr>
              <w:keepNext/>
              <w:widowControl w:val="0"/>
              <w:rPr>
                <w:b/>
                <w:bCs/>
                <w:iCs/>
              </w:rPr>
            </w:pPr>
            <w:r>
              <w:rPr>
                <w:b/>
                <w:bCs/>
                <w:iCs/>
              </w:rPr>
              <w:t>Проучване при псориазис 2</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39"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D63A" w14:textId="77777777" w:rsidR="009B3384" w:rsidRDefault="009B3384">
            <w:pPr>
              <w:keepNext/>
              <w:widowControl w:val="0"/>
              <w:jc w:val="center"/>
              <w:rPr>
                <w:iCs/>
              </w:rPr>
            </w:pPr>
          </w:p>
        </w:tc>
        <w:tc>
          <w:tcPr>
            <w:tcW w:w="1284" w:type="dxa"/>
            <w:tcBorders>
              <w:top w:val="single" w:sz="4" w:space="0" w:color="000000"/>
              <w:left w:val="single" w:sz="4" w:space="0" w:color="000000"/>
              <w:bottom w:val="single" w:sz="4" w:space="0" w:color="000000"/>
              <w:right w:val="single" w:sz="4" w:space="0" w:color="000000"/>
            </w:tcBorders>
            <w:vAlign w:val="center"/>
          </w:tcPr>
          <w:p w14:paraId="109AD63B" w14:textId="77777777" w:rsidR="009B3384" w:rsidRDefault="009B3384">
            <w:pPr>
              <w:keepNext/>
              <w:widowControl w:val="0"/>
              <w:jc w:val="center"/>
              <w:rPr>
                <w:iCs/>
              </w:rPr>
            </w:pPr>
          </w:p>
        </w:tc>
        <w:tc>
          <w:tcPr>
            <w:tcW w:w="1499" w:type="dxa"/>
            <w:tcBorders>
              <w:top w:val="single" w:sz="4" w:space="0" w:color="000000"/>
              <w:left w:val="single" w:sz="4" w:space="0" w:color="000000"/>
              <w:bottom w:val="single" w:sz="4" w:space="0" w:color="000000"/>
              <w:right w:val="single" w:sz="4" w:space="0" w:color="000000"/>
            </w:tcBorders>
            <w:vAlign w:val="center"/>
          </w:tcPr>
          <w:p w14:paraId="109AD63C" w14:textId="77777777" w:rsidR="009B3384" w:rsidRDefault="009B3384">
            <w:pPr>
              <w:keepNext/>
              <w:widowControl w:val="0"/>
              <w:jc w:val="center"/>
              <w:rPr>
                <w:iCs/>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109AD63D" w14:textId="77777777" w:rsidR="009B3384" w:rsidRDefault="009B3384">
            <w:pPr>
              <w:keepNext/>
              <w:widowControl w:val="0"/>
              <w:jc w:val="center"/>
              <w:rPr>
                <w:iCs/>
              </w:rPr>
            </w:pPr>
          </w:p>
        </w:tc>
      </w:tr>
      <w:tr w:rsidR="009B3384" w14:paraId="109AD645"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3F" w14:textId="77777777" w:rsidR="009B3384" w:rsidRDefault="00800862">
            <w:pPr>
              <w:widowControl w:val="0"/>
              <w:rPr>
                <w:color w:val="000000"/>
                <w:sz w:val="20"/>
              </w:rPr>
            </w:pPr>
            <w:r>
              <w:t>Брой рандомизирани пациенти</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40" w14:textId="77777777" w:rsidR="009B3384" w:rsidRDefault="00800862">
            <w:pPr>
              <w:widowControl w:val="0"/>
              <w:jc w:val="center"/>
              <w:rPr>
                <w:iCs/>
              </w:rPr>
            </w:pPr>
            <w:r>
              <w:t>410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41" w14:textId="77777777" w:rsidR="009B3384" w:rsidRDefault="00800862">
            <w:pPr>
              <w:widowControl w:val="0"/>
              <w:jc w:val="center"/>
              <w:rPr>
                <w:iCs/>
              </w:rPr>
            </w:pPr>
            <w:r>
              <w:t>409</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42" w14:textId="77777777" w:rsidR="009B3384" w:rsidRDefault="00800862">
            <w:pPr>
              <w:widowControl w:val="0"/>
              <w:jc w:val="center"/>
              <w:rPr>
                <w:iCs/>
              </w:rPr>
            </w:pPr>
            <w:r>
              <w:t>411</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43" w14:textId="77777777" w:rsidR="009B3384" w:rsidRDefault="00800862">
            <w:pPr>
              <w:widowControl w:val="0"/>
              <w:jc w:val="center"/>
              <w:rPr>
                <w:iCs/>
              </w:rPr>
            </w:pPr>
            <w:r>
              <w:t>397</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44" w14:textId="77777777" w:rsidR="009B3384" w:rsidRDefault="00800862">
            <w:pPr>
              <w:widowControl w:val="0"/>
              <w:jc w:val="center"/>
              <w:rPr>
                <w:iCs/>
              </w:rPr>
            </w:pPr>
            <w:r>
              <w:t>400</w:t>
            </w:r>
          </w:p>
        </w:tc>
      </w:tr>
      <w:tr w:rsidR="009B3384" w14:paraId="109AD64C"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D646" w14:textId="77777777" w:rsidR="009B3384" w:rsidRDefault="00800862">
            <w:pPr>
              <w:widowControl w:val="0"/>
              <w:rPr>
                <w:iCs/>
              </w:rPr>
            </w:pPr>
            <w:r>
              <w:t xml:space="preserve">Повлияване по PASI 50,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47" w14:textId="77777777" w:rsidR="009B3384" w:rsidRDefault="00800862">
            <w:pPr>
              <w:widowControl w:val="0"/>
              <w:jc w:val="center"/>
              <w:rPr>
                <w:iCs/>
              </w:rPr>
            </w:pPr>
            <w:r>
              <w:t>41 (10%)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48" w14:textId="77777777" w:rsidR="009B3384" w:rsidRDefault="00800862">
            <w:pPr>
              <w:widowControl w:val="0"/>
              <w:jc w:val="center"/>
              <w:rPr>
                <w:iCs/>
              </w:rPr>
            </w:pPr>
            <w:r>
              <w:t>342 (84%)</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49" w14:textId="77777777" w:rsidR="009B3384" w:rsidRDefault="00800862">
            <w:pPr>
              <w:widowControl w:val="0"/>
              <w:jc w:val="center"/>
              <w:rPr>
                <w:iCs/>
              </w:rPr>
            </w:pPr>
            <w:r>
              <w:t>367 (89%)</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4A" w14:textId="77777777" w:rsidR="009B3384" w:rsidRDefault="00800862">
            <w:pPr>
              <w:widowControl w:val="0"/>
              <w:jc w:val="center"/>
              <w:rPr>
                <w:iCs/>
              </w:rPr>
            </w:pPr>
            <w:r>
              <w:t>369 (93%)</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4B" w14:textId="77777777" w:rsidR="009B3384" w:rsidRDefault="00800862">
            <w:pPr>
              <w:widowControl w:val="0"/>
              <w:jc w:val="center"/>
              <w:rPr>
                <w:iCs/>
              </w:rPr>
            </w:pPr>
            <w:r>
              <w:t>380 (95%)</w:t>
            </w:r>
          </w:p>
        </w:tc>
      </w:tr>
      <w:tr w:rsidR="009B3384" w14:paraId="109AD653"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vAlign w:val="bottom"/>
          </w:tcPr>
          <w:p w14:paraId="109AD64D" w14:textId="77777777" w:rsidR="009B3384" w:rsidRDefault="00800862">
            <w:pPr>
              <w:widowControl w:val="0"/>
              <w:rPr>
                <w:iCs/>
              </w:rPr>
            </w:pPr>
            <w:r>
              <w:t xml:space="preserve">Повлияване по PASI 75, бр. (%)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4E" w14:textId="77777777" w:rsidR="009B3384" w:rsidRDefault="00800862">
            <w:pPr>
              <w:widowControl w:val="0"/>
              <w:jc w:val="center"/>
              <w:rPr>
                <w:iCs/>
              </w:rPr>
            </w:pPr>
            <w:r>
              <w:t>15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4F" w14:textId="77777777" w:rsidR="009B3384" w:rsidRDefault="00800862">
            <w:pPr>
              <w:widowControl w:val="0"/>
              <w:jc w:val="center"/>
              <w:rPr>
                <w:iCs/>
              </w:rPr>
            </w:pPr>
            <w:r>
              <w:t>273 (67%)</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50" w14:textId="77777777" w:rsidR="009B3384" w:rsidRDefault="00800862">
            <w:pPr>
              <w:widowControl w:val="0"/>
              <w:jc w:val="center"/>
              <w:rPr>
                <w:iCs/>
              </w:rPr>
            </w:pPr>
            <w:r>
              <w:t>311 (76%)</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51" w14:textId="77777777" w:rsidR="009B3384" w:rsidRDefault="00800862">
            <w:pPr>
              <w:widowControl w:val="0"/>
              <w:jc w:val="center"/>
              <w:rPr>
                <w:iCs/>
              </w:rPr>
            </w:pPr>
            <w:r>
              <w:t>276 (70%)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52" w14:textId="77777777" w:rsidR="009B3384" w:rsidRDefault="00800862">
            <w:pPr>
              <w:widowControl w:val="0"/>
              <w:jc w:val="center"/>
              <w:rPr>
                <w:iCs/>
              </w:rPr>
            </w:pPr>
            <w:r>
              <w:t>314 (79%)</w:t>
            </w:r>
          </w:p>
        </w:tc>
      </w:tr>
      <w:tr w:rsidR="009B3384" w14:paraId="109AD65A"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54" w14:textId="77777777" w:rsidR="009B3384" w:rsidRDefault="00800862">
            <w:pPr>
              <w:widowControl w:val="0"/>
              <w:rPr>
                <w:iCs/>
              </w:rPr>
            </w:pPr>
            <w:r>
              <w:t>Повлияване</w:t>
            </w:r>
            <w:r>
              <w:rPr>
                <w:iCs/>
              </w:rPr>
              <w:t xml:space="preserve"> по PASI 90</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55" w14:textId="77777777" w:rsidR="009B3384" w:rsidRDefault="00800862">
            <w:pPr>
              <w:widowControl w:val="0"/>
              <w:jc w:val="center"/>
            </w:pPr>
            <w:r>
              <w:t>3 (1%)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56" w14:textId="77777777" w:rsidR="009B3384" w:rsidRDefault="00800862">
            <w:pPr>
              <w:widowControl w:val="0"/>
              <w:jc w:val="center"/>
            </w:pPr>
            <w:r>
              <w:t>173 (42%)</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57" w14:textId="77777777" w:rsidR="009B3384" w:rsidRDefault="00800862">
            <w:pPr>
              <w:widowControl w:val="0"/>
              <w:jc w:val="center"/>
            </w:pPr>
            <w:r>
              <w:t>209 (51%)</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58" w14:textId="77777777" w:rsidR="009B3384" w:rsidRDefault="00800862">
            <w:pPr>
              <w:widowControl w:val="0"/>
              <w:jc w:val="center"/>
            </w:pPr>
            <w:r>
              <w:t>178 (45%)</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59" w14:textId="77777777" w:rsidR="009B3384" w:rsidRDefault="00800862">
            <w:pPr>
              <w:widowControl w:val="0"/>
              <w:jc w:val="center"/>
            </w:pPr>
            <w:r>
              <w:t>217 (54%)</w:t>
            </w:r>
          </w:p>
        </w:tc>
      </w:tr>
      <w:tr w:rsidR="009B3384" w14:paraId="109AD661"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5B" w14:textId="77777777" w:rsidR="009B3384" w:rsidRDefault="00800862">
            <w:pPr>
              <w:widowControl w:val="0"/>
              <w:rPr>
                <w:iCs/>
              </w:rPr>
            </w:pPr>
            <w:r>
              <w:rPr>
                <w:iCs/>
              </w:rPr>
              <w:t>ООЛ</w:t>
            </w:r>
            <w:r>
              <w:rPr>
                <w:iCs/>
                <w:vertAlign w:val="superscript"/>
              </w:rPr>
              <w:t>б</w:t>
            </w:r>
            <w:r>
              <w:rPr>
                <w:iCs/>
              </w:rPr>
              <w:t xml:space="preserve"> за изчистени или минимални</w:t>
            </w:r>
            <w:r>
              <w:t>, бр.</w:t>
            </w:r>
            <w:r>
              <w:rPr>
                <w:iCs/>
              </w:rPr>
              <w:t xml:space="preserve">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5C" w14:textId="77777777" w:rsidR="009B3384" w:rsidRDefault="00800862">
            <w:pPr>
              <w:widowControl w:val="0"/>
              <w:jc w:val="center"/>
              <w:rPr>
                <w:iCs/>
              </w:rPr>
            </w:pPr>
            <w:r>
              <w:t>18(4%)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5D" w14:textId="77777777" w:rsidR="009B3384" w:rsidRDefault="00800862">
            <w:pPr>
              <w:widowControl w:val="0"/>
              <w:jc w:val="center"/>
              <w:rPr>
                <w:iCs/>
              </w:rPr>
            </w:pPr>
            <w:r>
              <w:t>277 (68%)</w:t>
            </w:r>
            <w:r>
              <w:rPr>
                <w:vertAlign w:val="superscript"/>
              </w:rPr>
              <w:t xml:space="preserve"> a</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5E" w14:textId="77777777" w:rsidR="009B3384" w:rsidRDefault="00800862">
            <w:pPr>
              <w:widowControl w:val="0"/>
              <w:jc w:val="center"/>
              <w:rPr>
                <w:iCs/>
              </w:rPr>
            </w:pPr>
            <w:r>
              <w:t>300 (73%)</w:t>
            </w:r>
            <w:r>
              <w:rPr>
                <w:vertAlign w:val="superscript"/>
              </w:rPr>
              <w:t xml:space="preserve"> a</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5F" w14:textId="77777777" w:rsidR="009B3384" w:rsidRDefault="00800862">
            <w:pPr>
              <w:widowControl w:val="0"/>
              <w:jc w:val="center"/>
              <w:rPr>
                <w:iCs/>
              </w:rPr>
            </w:pPr>
            <w:r>
              <w:t>241 (61%)</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60" w14:textId="77777777" w:rsidR="009B3384" w:rsidRDefault="00800862">
            <w:pPr>
              <w:widowControl w:val="0"/>
              <w:jc w:val="center"/>
              <w:rPr>
                <w:iCs/>
              </w:rPr>
            </w:pPr>
            <w:r>
              <w:t>279 (70%)</w:t>
            </w:r>
          </w:p>
        </w:tc>
      </w:tr>
      <w:tr w:rsidR="009B3384" w14:paraId="109AD668"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62" w14:textId="77777777" w:rsidR="009B3384" w:rsidRDefault="00800862">
            <w:pPr>
              <w:widowControl w:val="0"/>
              <w:rPr>
                <w:iCs/>
              </w:rPr>
            </w:pPr>
            <w:r>
              <w:rPr>
                <w:iCs/>
              </w:rPr>
              <w:t xml:space="preserve">Брой пациенти </w:t>
            </w:r>
            <w:r>
              <w:t>≤ 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63" w14:textId="77777777" w:rsidR="009B3384" w:rsidRDefault="00800862">
            <w:pPr>
              <w:widowControl w:val="0"/>
              <w:jc w:val="center"/>
            </w:pPr>
            <w:r>
              <w:t>290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64" w14:textId="77777777" w:rsidR="009B3384" w:rsidRDefault="00800862">
            <w:pPr>
              <w:widowControl w:val="0"/>
              <w:jc w:val="center"/>
            </w:pPr>
            <w:r>
              <w:t>297</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65" w14:textId="77777777" w:rsidR="009B3384" w:rsidRDefault="00800862">
            <w:pPr>
              <w:widowControl w:val="0"/>
              <w:jc w:val="center"/>
            </w:pPr>
            <w:r>
              <w:t>289</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66" w14:textId="77777777" w:rsidR="009B3384" w:rsidRDefault="00800862">
            <w:pPr>
              <w:widowControl w:val="0"/>
              <w:jc w:val="center"/>
            </w:pPr>
            <w:r>
              <w:t>287</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67" w14:textId="77777777" w:rsidR="009B3384" w:rsidRDefault="00800862">
            <w:pPr>
              <w:widowControl w:val="0"/>
              <w:jc w:val="center"/>
            </w:pPr>
            <w:r>
              <w:t>280</w:t>
            </w:r>
          </w:p>
        </w:tc>
      </w:tr>
      <w:tr w:rsidR="009B3384" w14:paraId="109AD66F"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69"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6A" w14:textId="77777777" w:rsidR="009B3384" w:rsidRDefault="00800862">
            <w:pPr>
              <w:widowControl w:val="0"/>
              <w:jc w:val="center"/>
            </w:pPr>
            <w:r>
              <w:t>12 (4%)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6B" w14:textId="77777777" w:rsidR="009B3384" w:rsidRDefault="00800862">
            <w:pPr>
              <w:widowControl w:val="0"/>
              <w:jc w:val="center"/>
            </w:pPr>
            <w:r>
              <w:t>218 (73%)</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6C" w14:textId="77777777" w:rsidR="009B3384" w:rsidRDefault="00800862">
            <w:pPr>
              <w:widowControl w:val="0"/>
              <w:jc w:val="center"/>
            </w:pPr>
            <w:r>
              <w:t>225 (78%)</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6D" w14:textId="77777777" w:rsidR="009B3384" w:rsidRDefault="00800862">
            <w:pPr>
              <w:widowControl w:val="0"/>
              <w:jc w:val="center"/>
            </w:pPr>
            <w:r>
              <w:t>217 (76%)</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6E" w14:textId="77777777" w:rsidR="009B3384" w:rsidRDefault="00800862">
            <w:pPr>
              <w:widowControl w:val="0"/>
              <w:jc w:val="center"/>
            </w:pPr>
            <w:r>
              <w:t>226 (81%)</w:t>
            </w:r>
          </w:p>
        </w:tc>
      </w:tr>
      <w:tr w:rsidR="009B3384" w14:paraId="109AD676"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70" w14:textId="77777777" w:rsidR="009B3384" w:rsidRDefault="00800862">
            <w:pPr>
              <w:widowControl w:val="0"/>
              <w:rPr>
                <w:iCs/>
              </w:rPr>
            </w:pPr>
            <w:r>
              <w:rPr>
                <w:iCs/>
              </w:rPr>
              <w:t>Брой пациенти &gt;</w:t>
            </w:r>
            <w:r>
              <w:rPr>
                <w:iCs/>
                <w:lang w:val="nl-BE"/>
              </w:rPr>
              <w:t> </w:t>
            </w:r>
            <w:r>
              <w:t>100 kg</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71" w14:textId="77777777" w:rsidR="009B3384" w:rsidRDefault="00800862">
            <w:pPr>
              <w:widowControl w:val="0"/>
              <w:jc w:val="center"/>
            </w:pPr>
            <w:r>
              <w:t>120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72" w14:textId="77777777" w:rsidR="009B3384" w:rsidRDefault="00800862">
            <w:pPr>
              <w:widowControl w:val="0"/>
              <w:jc w:val="center"/>
            </w:pPr>
            <w:r>
              <w:t>112</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73" w14:textId="77777777" w:rsidR="009B3384" w:rsidRDefault="00800862">
            <w:pPr>
              <w:widowControl w:val="0"/>
              <w:jc w:val="center"/>
            </w:pPr>
            <w:r>
              <w:t>121</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74" w14:textId="77777777" w:rsidR="009B3384" w:rsidRDefault="00800862">
            <w:pPr>
              <w:widowControl w:val="0"/>
              <w:jc w:val="center"/>
            </w:pPr>
            <w:r>
              <w:t>110</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75" w14:textId="77777777" w:rsidR="009B3384" w:rsidRDefault="00800862">
            <w:pPr>
              <w:widowControl w:val="0"/>
              <w:jc w:val="center"/>
            </w:pPr>
            <w:r>
              <w:t>119</w:t>
            </w:r>
          </w:p>
        </w:tc>
      </w:tr>
      <w:tr w:rsidR="009B3384" w14:paraId="109AD67D" w14:textId="77777777">
        <w:trPr>
          <w:cantSplit/>
          <w:jc w:val="center"/>
        </w:trPr>
        <w:tc>
          <w:tcPr>
            <w:tcW w:w="2117" w:type="dxa"/>
            <w:tcBorders>
              <w:top w:val="single" w:sz="4" w:space="0" w:color="000000"/>
              <w:left w:val="single" w:sz="4" w:space="0" w:color="000000"/>
              <w:bottom w:val="single" w:sz="4" w:space="0" w:color="000000"/>
              <w:right w:val="single" w:sz="4" w:space="0" w:color="000000"/>
            </w:tcBorders>
          </w:tcPr>
          <w:p w14:paraId="109AD677" w14:textId="77777777" w:rsidR="009B3384" w:rsidRDefault="00800862">
            <w:pPr>
              <w:widowControl w:val="0"/>
              <w:ind w:left="284"/>
              <w:rPr>
                <w:iCs/>
              </w:rPr>
            </w:pPr>
            <w:r>
              <w:rPr>
                <w:iCs/>
              </w:rPr>
              <w:t>Повлияване по PASI 75, бр. (%)</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678" w14:textId="77777777" w:rsidR="009B3384" w:rsidRDefault="00800862">
            <w:pPr>
              <w:widowControl w:val="0"/>
              <w:jc w:val="center"/>
            </w:pPr>
            <w:r>
              <w:t>3 (3%)</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79" w14:textId="77777777" w:rsidR="009B3384" w:rsidRDefault="00800862">
            <w:pPr>
              <w:widowControl w:val="0"/>
              <w:jc w:val="center"/>
            </w:pPr>
            <w:r>
              <w:t>55 (49%)</w:t>
            </w:r>
          </w:p>
        </w:tc>
        <w:tc>
          <w:tcPr>
            <w:tcW w:w="1284" w:type="dxa"/>
            <w:tcBorders>
              <w:top w:val="single" w:sz="4" w:space="0" w:color="000000"/>
              <w:left w:val="single" w:sz="4" w:space="0" w:color="000000"/>
              <w:bottom w:val="single" w:sz="4" w:space="0" w:color="000000"/>
              <w:right w:val="single" w:sz="4" w:space="0" w:color="000000"/>
            </w:tcBorders>
            <w:vAlign w:val="center"/>
          </w:tcPr>
          <w:p w14:paraId="109AD67A" w14:textId="77777777" w:rsidR="009B3384" w:rsidRDefault="00800862">
            <w:pPr>
              <w:widowControl w:val="0"/>
              <w:jc w:val="center"/>
            </w:pPr>
            <w:r>
              <w:t>86 (71%)</w:t>
            </w:r>
          </w:p>
        </w:tc>
        <w:tc>
          <w:tcPr>
            <w:tcW w:w="1499" w:type="dxa"/>
            <w:tcBorders>
              <w:top w:val="single" w:sz="4" w:space="0" w:color="000000"/>
              <w:left w:val="single" w:sz="4" w:space="0" w:color="000000"/>
              <w:bottom w:val="single" w:sz="4" w:space="0" w:color="000000"/>
              <w:right w:val="single" w:sz="4" w:space="0" w:color="000000"/>
            </w:tcBorders>
            <w:vAlign w:val="center"/>
          </w:tcPr>
          <w:p w14:paraId="109AD67B" w14:textId="77777777" w:rsidR="009B3384" w:rsidRDefault="00800862">
            <w:pPr>
              <w:widowControl w:val="0"/>
              <w:jc w:val="center"/>
            </w:pPr>
            <w:r>
              <w:t>59 (54%)</w:t>
            </w:r>
          </w:p>
        </w:tc>
        <w:tc>
          <w:tcPr>
            <w:tcW w:w="1390" w:type="dxa"/>
            <w:tcBorders>
              <w:top w:val="single" w:sz="4" w:space="0" w:color="000000"/>
              <w:left w:val="single" w:sz="4" w:space="0" w:color="000000"/>
              <w:bottom w:val="single" w:sz="4" w:space="0" w:color="000000"/>
              <w:right w:val="single" w:sz="4" w:space="0" w:color="000000"/>
            </w:tcBorders>
            <w:vAlign w:val="center"/>
          </w:tcPr>
          <w:p w14:paraId="109AD67C" w14:textId="77777777" w:rsidR="009B3384" w:rsidRDefault="00800862">
            <w:pPr>
              <w:widowControl w:val="0"/>
              <w:jc w:val="center"/>
            </w:pPr>
            <w:r>
              <w:t>88 (74%)</w:t>
            </w:r>
          </w:p>
        </w:tc>
      </w:tr>
      <w:tr w:rsidR="009B3384" w14:paraId="109AD680" w14:textId="77777777">
        <w:trPr>
          <w:cantSplit/>
          <w:jc w:val="center"/>
        </w:trPr>
        <w:tc>
          <w:tcPr>
            <w:tcW w:w="9071" w:type="dxa"/>
            <w:gridSpan w:val="6"/>
            <w:tcBorders>
              <w:top w:val="single" w:sz="4" w:space="0" w:color="000000"/>
            </w:tcBorders>
          </w:tcPr>
          <w:p w14:paraId="109AD67E" w14:textId="77777777" w:rsidR="009B3384" w:rsidRDefault="00800862">
            <w:pPr>
              <w:widowControl w:val="0"/>
              <w:ind w:left="284" w:hanging="284"/>
              <w:rPr>
                <w:sz w:val="18"/>
                <w:szCs w:val="24"/>
              </w:rPr>
            </w:pPr>
            <w:r>
              <w:rPr>
                <w:szCs w:val="24"/>
                <w:vertAlign w:val="superscript"/>
              </w:rPr>
              <w:t>a</w:t>
            </w:r>
            <w:r>
              <w:rPr>
                <w:szCs w:val="24"/>
              </w:rPr>
              <w:tab/>
            </w:r>
            <w:r>
              <w:rPr>
                <w:sz w:val="18"/>
                <w:szCs w:val="24"/>
              </w:rPr>
              <w:t>p</w:t>
            </w:r>
            <w:r>
              <w:rPr>
                <w:sz w:val="18"/>
                <w:szCs w:val="24"/>
                <w:lang w:val="nl-BE"/>
              </w:rPr>
              <w:t> </w:t>
            </w:r>
            <w:r>
              <w:rPr>
                <w:sz w:val="18"/>
                <w:szCs w:val="24"/>
              </w:rPr>
              <w:t>&lt;</w:t>
            </w:r>
            <w:r>
              <w:rPr>
                <w:sz w:val="18"/>
                <w:szCs w:val="24"/>
                <w:lang w:val="nl-BE"/>
              </w:rPr>
              <w:t> </w:t>
            </w:r>
            <w:r>
              <w:rPr>
                <w:sz w:val="18"/>
                <w:szCs w:val="24"/>
              </w:rPr>
              <w:t>0,001 за устекинумаб 45 mg или 90 mg в сравнение с плацебо (РВО)</w:t>
            </w:r>
          </w:p>
          <w:p w14:paraId="109AD67F" w14:textId="77777777" w:rsidR="009B3384" w:rsidRDefault="00800862">
            <w:pPr>
              <w:widowControl w:val="0"/>
              <w:ind w:left="284" w:hanging="284"/>
            </w:pPr>
            <w:r>
              <w:rPr>
                <w:vertAlign w:val="superscript"/>
              </w:rPr>
              <w:t>б</w:t>
            </w:r>
            <w:r>
              <w:rPr>
                <w:vertAlign w:val="superscript"/>
              </w:rPr>
              <w:tab/>
            </w:r>
            <w:r>
              <w:rPr>
                <w:sz w:val="18"/>
              </w:rPr>
              <w:t>ООЛ</w:t>
            </w:r>
            <w:r>
              <w:rPr>
                <w:sz w:val="18"/>
                <w:lang w:val="nl-BE"/>
              </w:rPr>
              <w:t> </w:t>
            </w:r>
            <w:r>
              <w:rPr>
                <w:sz w:val="18"/>
              </w:rPr>
              <w:t>=</w:t>
            </w:r>
            <w:r>
              <w:rPr>
                <w:sz w:val="18"/>
                <w:lang w:val="nl-BE"/>
              </w:rPr>
              <w:t> </w:t>
            </w:r>
            <w:r>
              <w:rPr>
                <w:sz w:val="18"/>
              </w:rPr>
              <w:t>Обща оценка на лекаря</w:t>
            </w:r>
          </w:p>
        </w:tc>
      </w:tr>
    </w:tbl>
    <w:p w14:paraId="109AD681" w14:textId="77777777" w:rsidR="009B3384" w:rsidRDefault="009B3384"/>
    <w:p w14:paraId="109AD682" w14:textId="35945F6E" w:rsidR="009B3384" w:rsidRDefault="00800862">
      <w:pPr>
        <w:keepNext/>
        <w:ind w:left="1134" w:hanging="1134"/>
        <w:rPr>
          <w:i/>
        </w:rPr>
      </w:pPr>
      <w:r>
        <w:rPr>
          <w:i/>
        </w:rPr>
        <w:t>Таблица 3</w:t>
      </w:r>
      <w:ins w:id="1286" w:author="Reviser" w:date="2026-04-29T21:02:00Z">
        <w:r w:rsidR="00685CAD">
          <w:rPr>
            <w:i/>
          </w:rPr>
          <w:t>:</w:t>
        </w:r>
      </w:ins>
      <w:r>
        <w:rPr>
          <w:i/>
        </w:rPr>
        <w:tab/>
      </w:r>
      <w:r>
        <w:rPr>
          <w:i/>
          <w:iCs/>
        </w:rPr>
        <w:t xml:space="preserve">Обобщение на клиничното повлияване в проучване при псориазис 3 </w:t>
      </w:r>
      <w:r>
        <w:rPr>
          <w:i/>
        </w:rPr>
        <w:t xml:space="preserve">(ACCEPT) </w:t>
      </w:r>
      <w:r>
        <w:rPr>
          <w:i/>
          <w:iCs/>
        </w:rPr>
        <w:t>на седмица 12</w:t>
      </w:r>
    </w:p>
    <w:tbl>
      <w:tblPr>
        <w:tblW w:w="9072" w:type="dxa"/>
        <w:jc w:val="center"/>
        <w:tblLayout w:type="fixed"/>
        <w:tblLook w:val="0000" w:firstRow="0" w:lastRow="0" w:firstColumn="0" w:lastColumn="0" w:noHBand="0" w:noVBand="0"/>
      </w:tblPr>
      <w:tblGrid>
        <w:gridCol w:w="3263"/>
        <w:gridCol w:w="1983"/>
        <w:gridCol w:w="1912"/>
        <w:gridCol w:w="1914"/>
      </w:tblGrid>
      <w:tr w:rsidR="009B3384" w14:paraId="109AD685" w14:textId="77777777">
        <w:trPr>
          <w:cantSplit/>
          <w:jc w:val="center"/>
        </w:trPr>
        <w:tc>
          <w:tcPr>
            <w:tcW w:w="3262" w:type="dxa"/>
            <w:vMerge w:val="restart"/>
            <w:tcBorders>
              <w:top w:val="single" w:sz="4" w:space="0" w:color="000000"/>
              <w:left w:val="single" w:sz="4" w:space="0" w:color="000000"/>
              <w:bottom w:val="single" w:sz="4" w:space="0" w:color="000000"/>
              <w:right w:val="single" w:sz="4" w:space="0" w:color="000000"/>
            </w:tcBorders>
          </w:tcPr>
          <w:p w14:paraId="109AD683" w14:textId="77777777" w:rsidR="009B3384" w:rsidRDefault="009B3384">
            <w:pPr>
              <w:keepNext/>
              <w:widowControl w:val="0"/>
            </w:pPr>
          </w:p>
        </w:tc>
        <w:tc>
          <w:tcPr>
            <w:tcW w:w="5809" w:type="dxa"/>
            <w:gridSpan w:val="3"/>
            <w:tcBorders>
              <w:top w:val="single" w:sz="4" w:space="0" w:color="000000"/>
              <w:left w:val="single" w:sz="4" w:space="0" w:color="000000"/>
              <w:bottom w:val="single" w:sz="4" w:space="0" w:color="000000"/>
              <w:right w:val="single" w:sz="4" w:space="0" w:color="000000"/>
            </w:tcBorders>
          </w:tcPr>
          <w:p w14:paraId="109AD684" w14:textId="77777777" w:rsidR="009B3384" w:rsidRDefault="00800862">
            <w:pPr>
              <w:keepNext/>
              <w:widowControl w:val="0"/>
              <w:jc w:val="center"/>
              <w:rPr>
                <w:b/>
                <w:bCs/>
              </w:rPr>
            </w:pPr>
            <w:r>
              <w:rPr>
                <w:b/>
                <w:bCs/>
              </w:rPr>
              <w:t>Проучване при псориазис 3</w:t>
            </w:r>
          </w:p>
        </w:tc>
      </w:tr>
      <w:tr w:rsidR="009B3384" w14:paraId="109AD68C" w14:textId="77777777">
        <w:trPr>
          <w:cantSplit/>
          <w:jc w:val="center"/>
        </w:trPr>
        <w:tc>
          <w:tcPr>
            <w:tcW w:w="3262" w:type="dxa"/>
            <w:vMerge/>
            <w:tcBorders>
              <w:top w:val="single" w:sz="4" w:space="0" w:color="000000"/>
              <w:left w:val="single" w:sz="4" w:space="0" w:color="000000"/>
              <w:bottom w:val="single" w:sz="4" w:space="0" w:color="000000"/>
              <w:right w:val="single" w:sz="4" w:space="0" w:color="000000"/>
            </w:tcBorders>
          </w:tcPr>
          <w:p w14:paraId="109AD686" w14:textId="77777777" w:rsidR="009B3384" w:rsidRDefault="009B3384">
            <w:pPr>
              <w:keepNext/>
              <w:widowControl w:val="0"/>
            </w:pPr>
          </w:p>
        </w:tc>
        <w:tc>
          <w:tcPr>
            <w:tcW w:w="1983" w:type="dxa"/>
            <w:vMerge w:val="restart"/>
            <w:tcBorders>
              <w:top w:val="single" w:sz="4" w:space="0" w:color="000000"/>
              <w:left w:val="single" w:sz="4" w:space="0" w:color="000000"/>
              <w:bottom w:val="single" w:sz="4" w:space="0" w:color="000000"/>
              <w:right w:val="single" w:sz="4" w:space="0" w:color="000000"/>
            </w:tcBorders>
          </w:tcPr>
          <w:p w14:paraId="109AD687" w14:textId="77777777" w:rsidR="009B3384" w:rsidRDefault="00800862">
            <w:pPr>
              <w:keepNext/>
              <w:widowControl w:val="0"/>
              <w:jc w:val="center"/>
            </w:pPr>
            <w:r>
              <w:t>Етанерцепт</w:t>
            </w:r>
          </w:p>
          <w:p w14:paraId="109AD688" w14:textId="77777777" w:rsidR="009B3384" w:rsidRDefault="00800862">
            <w:pPr>
              <w:keepNext/>
              <w:widowControl w:val="0"/>
              <w:jc w:val="center"/>
            </w:pPr>
            <w:r>
              <w:t>24 дози</w:t>
            </w:r>
          </w:p>
          <w:p w14:paraId="109AD689" w14:textId="77777777" w:rsidR="009B3384" w:rsidRDefault="00800862">
            <w:pPr>
              <w:keepNext/>
              <w:widowControl w:val="0"/>
              <w:jc w:val="center"/>
            </w:pPr>
            <w:r>
              <w:t>(50 mg два пъти седмично)</w:t>
            </w:r>
          </w:p>
        </w:tc>
        <w:tc>
          <w:tcPr>
            <w:tcW w:w="3826" w:type="dxa"/>
            <w:gridSpan w:val="2"/>
            <w:tcBorders>
              <w:top w:val="single" w:sz="4" w:space="0" w:color="000000"/>
              <w:left w:val="single" w:sz="4" w:space="0" w:color="000000"/>
              <w:bottom w:val="single" w:sz="4" w:space="0" w:color="000000"/>
              <w:right w:val="single" w:sz="4" w:space="0" w:color="000000"/>
            </w:tcBorders>
          </w:tcPr>
          <w:p w14:paraId="109AD68A" w14:textId="77777777" w:rsidR="009B3384" w:rsidRDefault="00800862">
            <w:pPr>
              <w:keepNext/>
              <w:widowControl w:val="0"/>
              <w:jc w:val="center"/>
            </w:pPr>
            <w:r>
              <w:t>Устекинумаб</w:t>
            </w:r>
          </w:p>
          <w:p w14:paraId="109AD68B" w14:textId="77777777" w:rsidR="009B3384" w:rsidRDefault="00800862">
            <w:pPr>
              <w:keepNext/>
              <w:widowControl w:val="0"/>
              <w:jc w:val="center"/>
            </w:pPr>
            <w:r>
              <w:t>2 дози (седмица 0 и седмица 4)</w:t>
            </w:r>
          </w:p>
        </w:tc>
      </w:tr>
      <w:tr w:rsidR="009B3384" w14:paraId="109AD691" w14:textId="77777777">
        <w:trPr>
          <w:cantSplit/>
          <w:jc w:val="center"/>
        </w:trPr>
        <w:tc>
          <w:tcPr>
            <w:tcW w:w="3262" w:type="dxa"/>
            <w:vMerge/>
            <w:tcBorders>
              <w:top w:val="single" w:sz="4" w:space="0" w:color="000000"/>
              <w:left w:val="single" w:sz="4" w:space="0" w:color="000000"/>
              <w:bottom w:val="single" w:sz="4" w:space="0" w:color="000000"/>
              <w:right w:val="single" w:sz="4" w:space="0" w:color="000000"/>
            </w:tcBorders>
          </w:tcPr>
          <w:p w14:paraId="109AD68D" w14:textId="77777777" w:rsidR="009B3384" w:rsidRDefault="009B3384">
            <w:pPr>
              <w:keepNext/>
              <w:widowControl w:val="0"/>
            </w:pPr>
          </w:p>
        </w:tc>
        <w:tc>
          <w:tcPr>
            <w:tcW w:w="1983" w:type="dxa"/>
            <w:vMerge/>
            <w:tcBorders>
              <w:top w:val="single" w:sz="4" w:space="0" w:color="000000"/>
              <w:left w:val="single" w:sz="4" w:space="0" w:color="000000"/>
              <w:bottom w:val="single" w:sz="4" w:space="0" w:color="000000"/>
              <w:right w:val="single" w:sz="4" w:space="0" w:color="000000"/>
            </w:tcBorders>
          </w:tcPr>
          <w:p w14:paraId="109AD68E" w14:textId="77777777" w:rsidR="009B3384" w:rsidRDefault="009B3384">
            <w:pPr>
              <w:keepNext/>
              <w:widowControl w:val="0"/>
            </w:pPr>
          </w:p>
        </w:tc>
        <w:tc>
          <w:tcPr>
            <w:tcW w:w="1912" w:type="dxa"/>
            <w:tcBorders>
              <w:top w:val="single" w:sz="4" w:space="0" w:color="000000"/>
              <w:left w:val="single" w:sz="4" w:space="0" w:color="000000"/>
              <w:bottom w:val="single" w:sz="4" w:space="0" w:color="000000"/>
              <w:right w:val="single" w:sz="4" w:space="0" w:color="000000"/>
            </w:tcBorders>
          </w:tcPr>
          <w:p w14:paraId="109AD68F" w14:textId="77777777" w:rsidR="009B3384" w:rsidRDefault="00800862">
            <w:pPr>
              <w:keepNext/>
              <w:widowControl w:val="0"/>
              <w:jc w:val="center"/>
            </w:pPr>
            <w:r>
              <w:t>45 mg</w:t>
            </w:r>
          </w:p>
        </w:tc>
        <w:tc>
          <w:tcPr>
            <w:tcW w:w="1914" w:type="dxa"/>
            <w:tcBorders>
              <w:top w:val="single" w:sz="4" w:space="0" w:color="000000"/>
              <w:left w:val="single" w:sz="4" w:space="0" w:color="000000"/>
              <w:bottom w:val="single" w:sz="4" w:space="0" w:color="000000"/>
              <w:right w:val="single" w:sz="4" w:space="0" w:color="000000"/>
            </w:tcBorders>
          </w:tcPr>
          <w:p w14:paraId="109AD690" w14:textId="77777777" w:rsidR="009B3384" w:rsidRDefault="00800862">
            <w:pPr>
              <w:keepNext/>
              <w:widowControl w:val="0"/>
              <w:jc w:val="center"/>
            </w:pPr>
            <w:r>
              <w:t>90 mg</w:t>
            </w:r>
          </w:p>
        </w:tc>
      </w:tr>
      <w:tr w:rsidR="009B3384" w14:paraId="109AD696"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692" w14:textId="77777777" w:rsidR="009B3384" w:rsidRDefault="00800862">
            <w:pPr>
              <w:keepNext/>
              <w:widowControl w:val="0"/>
            </w:pPr>
            <w:r>
              <w:t>Брой рандомизирани пациенти</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93" w14:textId="77777777" w:rsidR="009B3384" w:rsidRDefault="00800862">
            <w:pPr>
              <w:widowControl w:val="0"/>
              <w:jc w:val="center"/>
            </w:pPr>
            <w:r>
              <w:t>347</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94" w14:textId="77777777" w:rsidR="009B3384" w:rsidRDefault="00800862">
            <w:pPr>
              <w:widowControl w:val="0"/>
              <w:jc w:val="center"/>
            </w:pPr>
            <w:r>
              <w:t>209</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95" w14:textId="77777777" w:rsidR="009B3384" w:rsidRDefault="00800862">
            <w:pPr>
              <w:widowControl w:val="0"/>
              <w:jc w:val="center"/>
            </w:pPr>
            <w:r>
              <w:t>347</w:t>
            </w:r>
          </w:p>
        </w:tc>
      </w:tr>
      <w:tr w:rsidR="009B3384" w14:paraId="109AD69B"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697" w14:textId="77777777" w:rsidR="009B3384" w:rsidRDefault="00800862">
            <w:pPr>
              <w:widowControl w:val="0"/>
              <w:rPr>
                <w:vertAlign w:val="superscript"/>
              </w:rPr>
            </w:pPr>
            <w:r>
              <w:t>Повлияване по PASI 50,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98" w14:textId="77777777" w:rsidR="009B3384" w:rsidRDefault="00800862">
            <w:pPr>
              <w:widowControl w:val="0"/>
              <w:jc w:val="center"/>
            </w:pPr>
            <w:r>
              <w:t>286 (82%)</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99" w14:textId="77777777" w:rsidR="009B3384" w:rsidRDefault="00800862">
            <w:pPr>
              <w:widowControl w:val="0"/>
              <w:jc w:val="center"/>
            </w:pPr>
            <w:r>
              <w:t>181 (87%)</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9A" w14:textId="77777777" w:rsidR="009B3384" w:rsidRDefault="00800862">
            <w:pPr>
              <w:widowControl w:val="0"/>
              <w:jc w:val="center"/>
              <w:rPr>
                <w:vertAlign w:val="superscript"/>
              </w:rPr>
            </w:pPr>
            <w:r>
              <w:t>320 (92%)</w:t>
            </w:r>
            <w:r>
              <w:rPr>
                <w:vertAlign w:val="superscript"/>
              </w:rPr>
              <w:t>a</w:t>
            </w:r>
          </w:p>
        </w:tc>
      </w:tr>
      <w:tr w:rsidR="009B3384" w14:paraId="109AD6A0"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69C" w14:textId="77777777" w:rsidR="009B3384" w:rsidRDefault="00800862">
            <w:pPr>
              <w:widowControl w:val="0"/>
              <w:rPr>
                <w:vertAlign w:val="superscript"/>
              </w:rPr>
            </w:pPr>
            <w:r>
              <w:t>Повлияване по PASI 75,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9D" w14:textId="77777777" w:rsidR="009B3384" w:rsidRDefault="00800862">
            <w:pPr>
              <w:widowControl w:val="0"/>
              <w:jc w:val="center"/>
            </w:pPr>
            <w:r>
              <w:t>197 (57%)</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9E" w14:textId="77777777" w:rsidR="009B3384" w:rsidRDefault="00800862">
            <w:pPr>
              <w:widowControl w:val="0"/>
              <w:jc w:val="center"/>
              <w:rPr>
                <w:vertAlign w:val="superscript"/>
              </w:rPr>
            </w:pPr>
            <w:r>
              <w:t>141 (67%)</w:t>
            </w:r>
            <w:r>
              <w:rPr>
                <w:vertAlign w:val="superscript"/>
              </w:rPr>
              <w:t>b</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9F" w14:textId="77777777" w:rsidR="009B3384" w:rsidRDefault="00800862">
            <w:pPr>
              <w:widowControl w:val="0"/>
              <w:jc w:val="center"/>
              <w:rPr>
                <w:vertAlign w:val="superscript"/>
              </w:rPr>
            </w:pPr>
            <w:r>
              <w:t>256 (74%)</w:t>
            </w:r>
            <w:r>
              <w:rPr>
                <w:vertAlign w:val="superscript"/>
              </w:rPr>
              <w:t>a</w:t>
            </w:r>
          </w:p>
        </w:tc>
      </w:tr>
      <w:tr w:rsidR="009B3384" w14:paraId="109AD6A5"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6A1" w14:textId="77777777" w:rsidR="009B3384" w:rsidRDefault="00800862">
            <w:pPr>
              <w:widowControl w:val="0"/>
              <w:rPr>
                <w:vertAlign w:val="superscript"/>
              </w:rPr>
            </w:pPr>
            <w:r>
              <w:t>Повлияване</w:t>
            </w:r>
            <w:r>
              <w:rPr>
                <w:iCs/>
              </w:rPr>
              <w:t xml:space="preserve"> по PASI 90</w:t>
            </w:r>
            <w:r>
              <w:t>, бр.</w:t>
            </w:r>
            <w:r>
              <w:rPr>
                <w:iCs/>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A2" w14:textId="77777777" w:rsidR="009B3384" w:rsidRDefault="00800862">
            <w:pPr>
              <w:widowControl w:val="0"/>
              <w:jc w:val="center"/>
            </w:pPr>
            <w:r>
              <w:t>80 (23%)</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A3" w14:textId="77777777" w:rsidR="009B3384" w:rsidRDefault="00800862">
            <w:pPr>
              <w:widowControl w:val="0"/>
              <w:jc w:val="center"/>
              <w:rPr>
                <w:vertAlign w:val="superscript"/>
              </w:rPr>
            </w:pPr>
            <w:r>
              <w:t>76 (36%)</w:t>
            </w:r>
            <w:r>
              <w:rPr>
                <w:vertAlign w:val="superscript"/>
              </w:rPr>
              <w:t>a</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A4" w14:textId="77777777" w:rsidR="009B3384" w:rsidRDefault="00800862">
            <w:pPr>
              <w:widowControl w:val="0"/>
              <w:jc w:val="center"/>
              <w:rPr>
                <w:vertAlign w:val="superscript"/>
              </w:rPr>
            </w:pPr>
            <w:r>
              <w:t>155 (45%)</w:t>
            </w:r>
            <w:r>
              <w:rPr>
                <w:vertAlign w:val="superscript"/>
              </w:rPr>
              <w:t>a</w:t>
            </w:r>
          </w:p>
        </w:tc>
      </w:tr>
      <w:tr w:rsidR="009B3384" w14:paraId="109AD6AA"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tcPr>
          <w:p w14:paraId="109AD6A6" w14:textId="77777777" w:rsidR="009B3384" w:rsidRDefault="00800862">
            <w:pPr>
              <w:widowControl w:val="0"/>
              <w:rPr>
                <w:vertAlign w:val="superscript"/>
              </w:rPr>
            </w:pPr>
            <w:r>
              <w:rPr>
                <w:iCs/>
              </w:rPr>
              <w:t>ООЛ за изчистени или минимални</w:t>
            </w:r>
            <w:r>
              <w:t>, бр.</w:t>
            </w:r>
            <w:r>
              <w:rPr>
                <w:iCs/>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A7" w14:textId="77777777" w:rsidR="009B3384" w:rsidRDefault="00800862">
            <w:pPr>
              <w:widowControl w:val="0"/>
              <w:jc w:val="center"/>
              <w:rPr>
                <w:szCs w:val="19"/>
              </w:rPr>
            </w:pPr>
            <w:r>
              <w:rPr>
                <w:szCs w:val="19"/>
              </w:rPr>
              <w:t>170 (49%)</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A8" w14:textId="77777777" w:rsidR="009B3384" w:rsidRDefault="00800862">
            <w:pPr>
              <w:widowControl w:val="0"/>
              <w:jc w:val="center"/>
              <w:rPr>
                <w:color w:val="000000"/>
                <w:szCs w:val="19"/>
                <w:vertAlign w:val="superscript"/>
              </w:rPr>
            </w:pPr>
            <w:r>
              <w:rPr>
                <w:szCs w:val="19"/>
              </w:rPr>
              <w:t>136 (65%)</w:t>
            </w:r>
            <w:r>
              <w:rPr>
                <w:szCs w:val="19"/>
                <w:vertAlign w:val="superscript"/>
              </w:rPr>
              <w:t>a</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A9" w14:textId="77777777" w:rsidR="009B3384" w:rsidRDefault="00800862">
            <w:pPr>
              <w:widowControl w:val="0"/>
              <w:jc w:val="center"/>
              <w:rPr>
                <w:color w:val="000000"/>
                <w:szCs w:val="19"/>
                <w:vertAlign w:val="superscript"/>
              </w:rPr>
            </w:pPr>
            <w:r>
              <w:rPr>
                <w:szCs w:val="19"/>
              </w:rPr>
              <w:t>245 (71%)</w:t>
            </w:r>
            <w:r>
              <w:rPr>
                <w:szCs w:val="19"/>
                <w:vertAlign w:val="superscript"/>
              </w:rPr>
              <w:t>a</w:t>
            </w:r>
          </w:p>
        </w:tc>
      </w:tr>
      <w:tr w:rsidR="009B3384" w14:paraId="109AD6AF"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6AB" w14:textId="77777777" w:rsidR="009B3384" w:rsidRDefault="00800862">
            <w:pPr>
              <w:widowControl w:val="0"/>
              <w:rPr>
                <w:b/>
                <w:bCs/>
              </w:rPr>
            </w:pPr>
            <w:r>
              <w:rPr>
                <w:iCs/>
              </w:rPr>
              <w:t xml:space="preserve">Брой пациенти </w:t>
            </w:r>
            <w:r>
              <w:t>≤ 100 kg</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AC" w14:textId="77777777" w:rsidR="009B3384" w:rsidRDefault="00800862">
            <w:pPr>
              <w:widowControl w:val="0"/>
              <w:jc w:val="center"/>
              <w:rPr>
                <w:color w:val="000000"/>
                <w:szCs w:val="19"/>
              </w:rPr>
            </w:pPr>
            <w:r>
              <w:t>251</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AD" w14:textId="77777777" w:rsidR="009B3384" w:rsidRDefault="00800862">
            <w:pPr>
              <w:widowControl w:val="0"/>
              <w:jc w:val="center"/>
              <w:rPr>
                <w:color w:val="000000"/>
                <w:szCs w:val="19"/>
              </w:rPr>
            </w:pPr>
            <w:r>
              <w:t>151</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AE" w14:textId="77777777" w:rsidR="009B3384" w:rsidRDefault="00800862">
            <w:pPr>
              <w:widowControl w:val="0"/>
              <w:jc w:val="center"/>
              <w:rPr>
                <w:color w:val="000000"/>
                <w:szCs w:val="19"/>
              </w:rPr>
            </w:pPr>
            <w:r>
              <w:t>244</w:t>
            </w:r>
          </w:p>
        </w:tc>
      </w:tr>
      <w:tr w:rsidR="009B3384" w14:paraId="109AD6B4"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6B0" w14:textId="77777777" w:rsidR="009B3384" w:rsidRDefault="00800862">
            <w:pPr>
              <w:widowControl w:val="0"/>
              <w:ind w:left="284"/>
              <w:rPr>
                <w:b/>
                <w:bCs/>
              </w:rPr>
            </w:pPr>
            <w:r>
              <w:rPr>
                <w:iCs/>
              </w:rPr>
              <w:t>Повлияване по PASI 75,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B1" w14:textId="77777777" w:rsidR="009B3384" w:rsidRDefault="00800862">
            <w:pPr>
              <w:widowControl w:val="0"/>
              <w:jc w:val="center"/>
              <w:rPr>
                <w:color w:val="000000"/>
                <w:szCs w:val="19"/>
              </w:rPr>
            </w:pPr>
            <w:r>
              <w:t>154 (61%)</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B2" w14:textId="77777777" w:rsidR="009B3384" w:rsidRDefault="00800862">
            <w:pPr>
              <w:widowControl w:val="0"/>
              <w:jc w:val="center"/>
              <w:rPr>
                <w:color w:val="000000"/>
                <w:szCs w:val="19"/>
              </w:rPr>
            </w:pPr>
            <w:r>
              <w:t>109 (72%)</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B3" w14:textId="77777777" w:rsidR="009B3384" w:rsidRDefault="00800862">
            <w:pPr>
              <w:widowControl w:val="0"/>
              <w:jc w:val="center"/>
              <w:rPr>
                <w:color w:val="000000"/>
                <w:szCs w:val="19"/>
              </w:rPr>
            </w:pPr>
            <w:r>
              <w:t>189 (77%)</w:t>
            </w:r>
          </w:p>
        </w:tc>
      </w:tr>
      <w:tr w:rsidR="009B3384" w14:paraId="109AD6B9"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6B5" w14:textId="77777777" w:rsidR="009B3384" w:rsidRDefault="00800862">
            <w:pPr>
              <w:keepNext/>
              <w:widowControl w:val="0"/>
              <w:rPr>
                <w:b/>
                <w:bCs/>
              </w:rPr>
            </w:pPr>
            <w:r>
              <w:rPr>
                <w:iCs/>
              </w:rPr>
              <w:t>Брой пациенти &gt;</w:t>
            </w:r>
            <w:r>
              <w:rPr>
                <w:iCs/>
                <w:lang w:val="nl-BE"/>
              </w:rPr>
              <w:t> </w:t>
            </w:r>
            <w:r>
              <w:t>100 kg</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B6" w14:textId="77777777" w:rsidR="009B3384" w:rsidRDefault="00800862">
            <w:pPr>
              <w:widowControl w:val="0"/>
              <w:jc w:val="center"/>
              <w:rPr>
                <w:color w:val="000000"/>
                <w:szCs w:val="19"/>
              </w:rPr>
            </w:pPr>
            <w:r>
              <w:t>96</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B7" w14:textId="77777777" w:rsidR="009B3384" w:rsidRDefault="00800862">
            <w:pPr>
              <w:widowControl w:val="0"/>
              <w:jc w:val="center"/>
              <w:rPr>
                <w:color w:val="000000"/>
                <w:szCs w:val="19"/>
              </w:rPr>
            </w:pPr>
            <w:r>
              <w:t>58</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B8" w14:textId="77777777" w:rsidR="009B3384" w:rsidRDefault="00800862">
            <w:pPr>
              <w:widowControl w:val="0"/>
              <w:jc w:val="center"/>
              <w:rPr>
                <w:color w:val="000000"/>
                <w:szCs w:val="19"/>
              </w:rPr>
            </w:pPr>
            <w:r>
              <w:t>103</w:t>
            </w:r>
          </w:p>
        </w:tc>
      </w:tr>
      <w:tr w:rsidR="009B3384" w14:paraId="109AD6BE" w14:textId="77777777">
        <w:trPr>
          <w:cantSplit/>
          <w:jc w:val="center"/>
        </w:trPr>
        <w:tc>
          <w:tcPr>
            <w:tcW w:w="3262" w:type="dxa"/>
            <w:tcBorders>
              <w:top w:val="single" w:sz="4" w:space="0" w:color="000000"/>
              <w:left w:val="single" w:sz="4" w:space="0" w:color="000000"/>
              <w:bottom w:val="single" w:sz="4" w:space="0" w:color="000000"/>
              <w:right w:val="single" w:sz="4" w:space="0" w:color="000000"/>
            </w:tcBorders>
            <w:vAlign w:val="bottom"/>
          </w:tcPr>
          <w:p w14:paraId="109AD6BA" w14:textId="77777777" w:rsidR="009B3384" w:rsidRDefault="00800862">
            <w:pPr>
              <w:widowControl w:val="0"/>
              <w:ind w:left="284"/>
              <w:rPr>
                <w:b/>
                <w:bCs/>
              </w:rPr>
            </w:pPr>
            <w:r>
              <w:rPr>
                <w:iCs/>
              </w:rPr>
              <w:t>Повлияване по PASI 75, бр. (%)</w:t>
            </w:r>
          </w:p>
        </w:tc>
        <w:tc>
          <w:tcPr>
            <w:tcW w:w="1983" w:type="dxa"/>
            <w:tcBorders>
              <w:top w:val="single" w:sz="4" w:space="0" w:color="000000"/>
              <w:left w:val="single" w:sz="4" w:space="0" w:color="000000"/>
              <w:bottom w:val="single" w:sz="4" w:space="0" w:color="000000"/>
              <w:right w:val="single" w:sz="4" w:space="0" w:color="000000"/>
            </w:tcBorders>
            <w:vAlign w:val="center"/>
          </w:tcPr>
          <w:p w14:paraId="109AD6BB" w14:textId="77777777" w:rsidR="009B3384" w:rsidRDefault="00800862">
            <w:pPr>
              <w:widowControl w:val="0"/>
              <w:jc w:val="center"/>
              <w:rPr>
                <w:color w:val="000000"/>
                <w:szCs w:val="19"/>
              </w:rPr>
            </w:pPr>
            <w:r>
              <w:t>43 (45%)</w:t>
            </w:r>
          </w:p>
        </w:tc>
        <w:tc>
          <w:tcPr>
            <w:tcW w:w="1912" w:type="dxa"/>
            <w:tcBorders>
              <w:top w:val="single" w:sz="4" w:space="0" w:color="000000"/>
              <w:left w:val="single" w:sz="4" w:space="0" w:color="000000"/>
              <w:bottom w:val="single" w:sz="4" w:space="0" w:color="000000"/>
              <w:right w:val="single" w:sz="4" w:space="0" w:color="000000"/>
            </w:tcBorders>
            <w:vAlign w:val="center"/>
          </w:tcPr>
          <w:p w14:paraId="109AD6BC" w14:textId="77777777" w:rsidR="009B3384" w:rsidRDefault="00800862">
            <w:pPr>
              <w:widowControl w:val="0"/>
              <w:jc w:val="center"/>
              <w:rPr>
                <w:color w:val="000000"/>
                <w:szCs w:val="19"/>
              </w:rPr>
            </w:pPr>
            <w:r>
              <w:t>32 (55%)</w:t>
            </w:r>
          </w:p>
        </w:tc>
        <w:tc>
          <w:tcPr>
            <w:tcW w:w="1914" w:type="dxa"/>
            <w:tcBorders>
              <w:top w:val="single" w:sz="4" w:space="0" w:color="000000"/>
              <w:left w:val="single" w:sz="4" w:space="0" w:color="000000"/>
              <w:bottom w:val="single" w:sz="4" w:space="0" w:color="000000"/>
              <w:right w:val="single" w:sz="4" w:space="0" w:color="000000"/>
            </w:tcBorders>
            <w:vAlign w:val="center"/>
          </w:tcPr>
          <w:p w14:paraId="109AD6BD" w14:textId="77777777" w:rsidR="009B3384" w:rsidRDefault="00800862">
            <w:pPr>
              <w:widowControl w:val="0"/>
              <w:jc w:val="center"/>
              <w:rPr>
                <w:color w:val="000000"/>
                <w:szCs w:val="19"/>
              </w:rPr>
            </w:pPr>
            <w:r>
              <w:t>67 (65%)</w:t>
            </w:r>
          </w:p>
        </w:tc>
      </w:tr>
      <w:tr w:rsidR="009B3384" w14:paraId="109AD6C1" w14:textId="77777777">
        <w:trPr>
          <w:cantSplit/>
          <w:jc w:val="center"/>
        </w:trPr>
        <w:tc>
          <w:tcPr>
            <w:tcW w:w="9071" w:type="dxa"/>
            <w:gridSpan w:val="4"/>
            <w:tcBorders>
              <w:top w:val="single" w:sz="4" w:space="0" w:color="000000"/>
            </w:tcBorders>
            <w:vAlign w:val="bottom"/>
          </w:tcPr>
          <w:p w14:paraId="109AD6BF" w14:textId="77777777" w:rsidR="009B3384" w:rsidRDefault="00800862">
            <w:pPr>
              <w:widowControl w:val="0"/>
              <w:tabs>
                <w:tab w:val="clear" w:pos="567"/>
                <w:tab w:val="left" w:pos="284"/>
              </w:tabs>
              <w:rPr>
                <w:sz w:val="18"/>
                <w:szCs w:val="18"/>
              </w:rPr>
            </w:pPr>
            <w:r>
              <w:rPr>
                <w:szCs w:val="22"/>
                <w:vertAlign w:val="superscript"/>
              </w:rPr>
              <w:t>а</w:t>
            </w:r>
            <w:r>
              <w:rPr>
                <w:szCs w:val="22"/>
                <w:vertAlign w:val="superscript"/>
              </w:rPr>
              <w:tab/>
            </w:r>
            <w:r>
              <w:rPr>
                <w:sz w:val="18"/>
                <w:szCs w:val="18"/>
              </w:rPr>
              <w:t>p</w:t>
            </w:r>
            <w:r>
              <w:rPr>
                <w:sz w:val="18"/>
                <w:szCs w:val="18"/>
                <w:lang w:val="nl-BE"/>
              </w:rPr>
              <w:t> </w:t>
            </w:r>
            <w:r>
              <w:rPr>
                <w:sz w:val="18"/>
                <w:szCs w:val="18"/>
              </w:rPr>
              <w:t>&lt;</w:t>
            </w:r>
            <w:r>
              <w:rPr>
                <w:sz w:val="18"/>
                <w:szCs w:val="18"/>
                <w:lang w:val="nl-BE"/>
              </w:rPr>
              <w:t> </w:t>
            </w:r>
            <w:r>
              <w:rPr>
                <w:sz w:val="18"/>
                <w:szCs w:val="18"/>
              </w:rPr>
              <w:t>0,001 за устекинумаб 45 mg или 90 mg в сравнение с етанерцепт.</w:t>
            </w:r>
          </w:p>
          <w:p w14:paraId="109AD6C0" w14:textId="77777777" w:rsidR="009B3384" w:rsidRDefault="00800862">
            <w:pPr>
              <w:widowControl w:val="0"/>
              <w:tabs>
                <w:tab w:val="clear" w:pos="567"/>
                <w:tab w:val="left" w:pos="284"/>
              </w:tabs>
            </w:pPr>
            <w:r>
              <w:rPr>
                <w:szCs w:val="22"/>
                <w:vertAlign w:val="superscript"/>
              </w:rPr>
              <w:t>б</w:t>
            </w:r>
            <w:r>
              <w:rPr>
                <w:sz w:val="18"/>
                <w:szCs w:val="18"/>
              </w:rPr>
              <w:tab/>
              <w:t>p</w:t>
            </w:r>
            <w:r>
              <w:rPr>
                <w:sz w:val="18"/>
                <w:szCs w:val="18"/>
                <w:lang w:val="nl-BE"/>
              </w:rPr>
              <w:t> </w:t>
            </w:r>
            <w:r>
              <w:rPr>
                <w:sz w:val="18"/>
                <w:szCs w:val="18"/>
              </w:rPr>
              <w:t>= 0,012 за устекинумаб 45 mg в сравнение с етанерцепт.</w:t>
            </w:r>
          </w:p>
        </w:tc>
      </w:tr>
    </w:tbl>
    <w:p w14:paraId="109AD6C2" w14:textId="77777777" w:rsidR="009B3384" w:rsidRDefault="009B3384">
      <w:pPr>
        <w:rPr>
          <w:bCs/>
        </w:rPr>
      </w:pPr>
    </w:p>
    <w:p w14:paraId="109AD6C3" w14:textId="77777777" w:rsidR="009B3384" w:rsidRDefault="00800862">
      <w:pPr>
        <w:rPr>
          <w:iCs/>
        </w:rPr>
      </w:pPr>
      <w:r>
        <w:rPr>
          <w:iCs/>
        </w:rPr>
        <w:lastRenderedPageBreak/>
        <w:t xml:space="preserve">В проучване при псориазис 1 поддържането на </w:t>
      </w:r>
      <w:r>
        <w:rPr>
          <w:szCs w:val="13"/>
        </w:rPr>
        <w:t>PASI 75 е значително по-високо при продължително лечение, в сравнение с това при оттегляне от лечението (p &lt;</w:t>
      </w:r>
      <w:r>
        <w:rPr>
          <w:szCs w:val="13"/>
          <w:lang w:val="nl-BE"/>
        </w:rPr>
        <w:t> </w:t>
      </w:r>
      <w:r>
        <w:rPr>
          <w:szCs w:val="13"/>
        </w:rPr>
        <w:t>0,001). Подобни резултати се наблюдават при всяка доза устекинумаб</w:t>
      </w:r>
      <w:r>
        <w:rPr>
          <w:iCs/>
        </w:rPr>
        <w:t>. На 1</w:t>
      </w:r>
      <w:r>
        <w:rPr>
          <w:iCs/>
          <w:vertAlign w:val="superscript"/>
        </w:rPr>
        <w:t>вата</w:t>
      </w:r>
      <w:r>
        <w:rPr>
          <w:iCs/>
        </w:rPr>
        <w:t xml:space="preserve"> година (седмица 52) 89% от пациентите, повторно рандомизирани за поддържащо лечение, са се повлияли по PASI 75, в сравнение с 63% от пациентите, повторно рандомизирани за плацебо (оттегляне от лечението) (p</w:t>
      </w:r>
      <w:r>
        <w:rPr>
          <w:iCs/>
          <w:lang w:val="nl-BE"/>
        </w:rPr>
        <w:t> </w:t>
      </w:r>
      <w:r>
        <w:rPr>
          <w:iCs/>
        </w:rPr>
        <w:t>&lt;</w:t>
      </w:r>
      <w:r>
        <w:rPr>
          <w:iCs/>
          <w:lang w:val="nl-BE"/>
        </w:rPr>
        <w:t> </w:t>
      </w:r>
      <w:r>
        <w:rPr>
          <w:iCs/>
        </w:rPr>
        <w:t>0,001). На 18</w:t>
      </w:r>
      <w:r>
        <w:rPr>
          <w:iCs/>
          <w:vertAlign w:val="superscript"/>
        </w:rPr>
        <w:t>тия</w:t>
      </w:r>
      <w:r>
        <w:rPr>
          <w:iCs/>
        </w:rPr>
        <w:t xml:space="preserve"> месец (седмица 76) 84% от пациентите, повторно рандомизирани за поддържащо лечение, са се повлияли по PASI 75, в сравнение с 19% от пациентите, повторно рандомизирани за плацебо (оттегляне от лечението). На 3</w:t>
      </w:r>
      <w:r>
        <w:rPr>
          <w:iCs/>
          <w:vertAlign w:val="superscript"/>
        </w:rPr>
        <w:t>та</w:t>
      </w:r>
      <w:r>
        <w:rPr>
          <w:iCs/>
        </w:rPr>
        <w:t xml:space="preserve"> година (седмица 148), 82% от пациентите, повторно рандомизирани за поддържащо лечение, са се повлияли по PASI 75. На 5</w:t>
      </w:r>
      <w:r>
        <w:rPr>
          <w:iCs/>
        </w:rPr>
        <w:noBreakHyphen/>
        <w:t>та година (седмица 244) 80% от пациентите, повторно рандомизирани на поддържащо лечение, са се повлияли по PASI 75.</w:t>
      </w:r>
    </w:p>
    <w:p w14:paraId="109AD6C4" w14:textId="77777777" w:rsidR="009B3384" w:rsidRDefault="009B3384">
      <w:pPr>
        <w:rPr>
          <w:iCs/>
        </w:rPr>
      </w:pPr>
    </w:p>
    <w:p w14:paraId="109AD6C5" w14:textId="77777777" w:rsidR="009B3384" w:rsidRDefault="00800862">
      <w:pPr>
        <w:rPr>
          <w:iCs/>
        </w:rPr>
      </w:pPr>
      <w:r>
        <w:rPr>
          <w:iCs/>
        </w:rPr>
        <w:t>При пациентите, повторно рандомизирани за плацебо, които отново са преминали към първоначалната си схема на лечение с устекинумаб след загубата на ≥ 50% подобрение по PASI, 85% са възстановили повлияването по PASI 75 в рамките на 12 седмици след възобновяване на терапията.</w:t>
      </w:r>
    </w:p>
    <w:p w14:paraId="109AD6C6" w14:textId="77777777" w:rsidR="009B3384" w:rsidRDefault="009B3384">
      <w:pPr>
        <w:rPr>
          <w:b/>
          <w:bCs/>
          <w:iCs/>
        </w:rPr>
      </w:pPr>
    </w:p>
    <w:p w14:paraId="109AD6C7" w14:textId="77777777" w:rsidR="009B3384" w:rsidRDefault="00800862">
      <w:pPr>
        <w:rPr>
          <w:b/>
          <w:bCs/>
          <w:iCs/>
        </w:rPr>
      </w:pPr>
      <w:r>
        <w:rPr>
          <w:iCs/>
        </w:rPr>
        <w:t xml:space="preserve">В проучване при псориазис 1 в седмица 2 и седмица 12 се наблюдава значително подобрение спрямо изходните стойности на DLQI във всяка от групите на лечение с устекинумаб в сравнение с плацебо. Подобрението се запазва до седмица 28. Подобно значително подобрение се наблюдава в проучване при псориазис 2 в седмици 4 и 12, което се запазва до седмица 24. В проучване при псориазис 1 подобренията в нокътния псориазис (индекс за тежестта на нокътен псориазис), в общата оценка на физическото и емоционалното състояние по SF-36 и във визуално-аналоговата скала за определяне на стойността на болката при сърбеж (VAS) също са значителни при всяка група на лечение с устекинумаб в сравнение с плацебо. В проучване при псориазис 2 </w:t>
      </w:r>
      <w:r>
        <w:t>клиничната скала за тревожност и депресия</w:t>
      </w:r>
      <w:r>
        <w:rPr>
          <w:iCs/>
        </w:rPr>
        <w:t xml:space="preserve"> (HADS) и въпросникът за работни ограничения (WLQ) също показват значително подобрение във всяка от групите на лечение с устекинумаб в сравнение с плацебо.</w:t>
      </w:r>
    </w:p>
    <w:p w14:paraId="109AD6C8" w14:textId="77777777" w:rsidR="009B3384" w:rsidRDefault="009B3384"/>
    <w:p w14:paraId="109AD6C9" w14:textId="77777777" w:rsidR="009B3384" w:rsidRPr="00BC6A43" w:rsidRDefault="00800862">
      <w:pPr>
        <w:keepNext/>
        <w:rPr>
          <w:i/>
          <w:iCs/>
          <w:u w:val="single"/>
        </w:rPr>
      </w:pPr>
      <w:r w:rsidRPr="00BC6A43">
        <w:rPr>
          <w:i/>
          <w:iCs/>
          <w:u w:val="single"/>
        </w:rPr>
        <w:t>Псориатичен артрит (P</w:t>
      </w:r>
      <w:r w:rsidRPr="00BC6A43">
        <w:rPr>
          <w:i/>
          <w:iCs/>
          <w:u w:val="single"/>
          <w:lang w:val="en-US"/>
        </w:rPr>
        <w:t>s</w:t>
      </w:r>
      <w:r w:rsidRPr="00BC6A43">
        <w:rPr>
          <w:i/>
          <w:iCs/>
          <w:u w:val="single"/>
        </w:rPr>
        <w:t>A) (възрастни пациенти)</w:t>
      </w:r>
    </w:p>
    <w:p w14:paraId="109AD6CA" w14:textId="77777777" w:rsidR="009B3384" w:rsidRDefault="00800862">
      <w:r>
        <w:t>Доказано е, че устекинумаб подобрява признаците и симптомите, физическото състояние и свързаното със здравето качество на живот и намалява степента на прогресия на периферното ставно увреждане при възрастни пациенти с активен PsA.</w:t>
      </w:r>
    </w:p>
    <w:p w14:paraId="109AD6CB" w14:textId="77777777" w:rsidR="009B3384" w:rsidRDefault="009B3384"/>
    <w:p w14:paraId="109AD6CC" w14:textId="77777777" w:rsidR="009B3384" w:rsidRDefault="00800862">
      <w:r>
        <w:t xml:space="preserve">Безопасността и ефикасността на устекинумаб са оценени при 927 пациенти в две рандомизирани, двойнослепи, плацебо-контролирани проучвания при пациенти с активен PsA (≥ 5 подути стави и ≥ 5 болезнени стави) въпреки употребата на нестероидни противовъзпалителни средства (НСПВС) или модифициращи болестта антиревматоидни лекарства (DMARD). Пациентите в тези проучвания са имали поставена диагноза PsA най-малко от 6 месеца. Включени са пациенти с всякакъв подтип на PsA, включително полиартикуларен артрит без данни за ревматоидни възли (39%), спондилит с периферен артрит (28%), асиметричен периферен артрит (21%), с участие на </w:t>
      </w:r>
      <w:r>
        <w:rPr>
          <w:iCs/>
        </w:rPr>
        <w:t>дистална интерфалангеална</w:t>
      </w:r>
      <w:r>
        <w:t xml:space="preserve"> става (12%) и инвалидизиращ артрит (0,5%). Над 70% и 40% от пациентите в двете проучвания са имали съответно ентезит и дактилит на изходно ниво. Пациентите са рандомизирани да получат лечение с устекинумаб 45</w:t>
      </w:r>
      <w:r>
        <w:rPr>
          <w:lang w:val="en-US"/>
        </w:rPr>
        <w:t> mg</w:t>
      </w:r>
      <w:r>
        <w:t>, 90</w:t>
      </w:r>
      <w:r>
        <w:rPr>
          <w:lang w:val="en-US"/>
        </w:rPr>
        <w:t> mg</w:t>
      </w:r>
      <w:r>
        <w:t>, или плацебо подкожно на седмици 0 и 4, последвани от прилагане на всеки 12 седмици (q12w). Приблизително 50% от пациентите са продължили на постоянна доза MTX (≤ 25</w:t>
      </w:r>
      <w:r>
        <w:rPr>
          <w:lang w:val="en-US"/>
        </w:rPr>
        <w:t> mg</w:t>
      </w:r>
      <w:r>
        <w:t>/седмица).</w:t>
      </w:r>
    </w:p>
    <w:p w14:paraId="109AD6CD" w14:textId="77777777" w:rsidR="009B3384" w:rsidRDefault="009B3384"/>
    <w:p w14:paraId="109AD6CE" w14:textId="77777777" w:rsidR="009B3384" w:rsidRDefault="00800862">
      <w:r>
        <w:t xml:space="preserve">В PsA проучване 1 (PSUMMIT I) и PsA проучване 2 (PSUMMIT II), съответно 80% и 86% от пациентите, са били лекувани с DMARD. В проучване 1 не е било позволено предишно лечение с антагонист на тумор-некротизиращ фактор алфа (TNF)α. В проучване 2, повечето пациенти </w:t>
      </w:r>
      <w:r>
        <w:rPr>
          <w:lang w:val="ru-RU"/>
        </w:rPr>
        <w:t xml:space="preserve">(58%, </w:t>
      </w:r>
      <w:r>
        <w:rPr>
          <w:lang w:val="en-GB"/>
        </w:rPr>
        <w:t>n </w:t>
      </w:r>
      <w:r>
        <w:rPr>
          <w:lang w:val="ru-RU"/>
        </w:rPr>
        <w:t>=</w:t>
      </w:r>
      <w:r>
        <w:rPr>
          <w:lang w:val="en-GB"/>
        </w:rPr>
        <w:t> </w:t>
      </w:r>
      <w:r>
        <w:rPr>
          <w:lang w:val="ru-RU"/>
        </w:rPr>
        <w:t>180)</w:t>
      </w:r>
      <w:r>
        <w:t xml:space="preserve"> са били лекувани с едно или повече анти-TNFα средство(а), като от тях над 70% са преустановили своето анти-TNFα лечение, поради липса на ефикасност или непоносимост, по всяко време.</w:t>
      </w:r>
    </w:p>
    <w:p w14:paraId="109AD6CF" w14:textId="77777777" w:rsidR="009B3384" w:rsidRDefault="009B3384"/>
    <w:p w14:paraId="109AD6D0" w14:textId="77777777" w:rsidR="009B3384" w:rsidRDefault="00800862">
      <w:pPr>
        <w:keepNext/>
        <w:rPr>
          <w:i/>
        </w:rPr>
      </w:pPr>
      <w:r>
        <w:rPr>
          <w:i/>
        </w:rPr>
        <w:lastRenderedPageBreak/>
        <w:t>Признаци и симптоми</w:t>
      </w:r>
    </w:p>
    <w:p w14:paraId="109AD6D1" w14:textId="77777777" w:rsidR="009B3384" w:rsidRDefault="00800862">
      <w:r>
        <w:t>Лечението с устекинумаб води до значителни подобрения в измерителите за активност на заболяването в сравнение с плацебо на седмица 24. Първичната крайна точка е процентът на пациентите, постигнали отговор 20 по критериите на Американския колеж по ревматология (</w:t>
      </w:r>
      <w:r>
        <w:rPr>
          <w:szCs w:val="22"/>
        </w:rPr>
        <w:t xml:space="preserve">American College of Rheumatology, </w:t>
      </w:r>
      <w:r>
        <w:t>ACR) на седмица 24. Основните резултати за ефикасност са представени в таблица 6 по-долу.</w:t>
      </w:r>
    </w:p>
    <w:p w14:paraId="109AD6D2" w14:textId="77777777" w:rsidR="009B3384" w:rsidRDefault="009B3384"/>
    <w:p w14:paraId="109AD6D3" w14:textId="1FDAA450" w:rsidR="009B3384" w:rsidRDefault="00800862">
      <w:pPr>
        <w:keepNext/>
        <w:ind w:left="1134" w:hanging="1134"/>
        <w:rPr>
          <w:i/>
        </w:rPr>
      </w:pPr>
      <w:r>
        <w:rPr>
          <w:i/>
        </w:rPr>
        <w:t>Таблица 4</w:t>
      </w:r>
      <w:ins w:id="1287" w:author="RABG09" w:date="2026-06-24T16:43:00Z">
        <w:r w:rsidR="00CD556B">
          <w:rPr>
            <w:i/>
          </w:rPr>
          <w:t>:</w:t>
        </w:r>
      </w:ins>
      <w:r>
        <w:rPr>
          <w:i/>
        </w:rPr>
        <w:tab/>
        <w:t>Брой на пациентите, постигнали клиничен отговор при псориатичен артрит Проучване 1 (PSUMMIT I) и Проучване 2 (PSUMMIT II) на седмица 24</w:t>
      </w:r>
    </w:p>
    <w:tbl>
      <w:tblPr>
        <w:tblW w:w="9072" w:type="dxa"/>
        <w:jc w:val="center"/>
        <w:tblLayout w:type="fixed"/>
        <w:tblLook w:val="0000" w:firstRow="0" w:lastRow="0" w:firstColumn="0" w:lastColumn="0" w:noHBand="0" w:noVBand="0"/>
      </w:tblPr>
      <w:tblGrid>
        <w:gridCol w:w="1987"/>
        <w:gridCol w:w="1081"/>
        <w:gridCol w:w="1201"/>
        <w:gridCol w:w="1265"/>
        <w:gridCol w:w="1138"/>
        <w:gridCol w:w="1201"/>
        <w:gridCol w:w="1199"/>
      </w:tblGrid>
      <w:tr w:rsidR="009B3384" w14:paraId="109AD6D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6D4" w14:textId="77777777" w:rsidR="009B3384" w:rsidRDefault="009B3384">
            <w:pPr>
              <w:keepNext/>
              <w:widowControl w:val="0"/>
            </w:pPr>
          </w:p>
        </w:tc>
        <w:tc>
          <w:tcPr>
            <w:tcW w:w="3547" w:type="dxa"/>
            <w:gridSpan w:val="3"/>
            <w:tcBorders>
              <w:top w:val="single" w:sz="4" w:space="0" w:color="000000"/>
              <w:left w:val="single" w:sz="4" w:space="0" w:color="000000"/>
              <w:bottom w:val="single" w:sz="4" w:space="0" w:color="000000"/>
              <w:right w:val="single" w:sz="4" w:space="0" w:color="000000"/>
            </w:tcBorders>
            <w:vAlign w:val="center"/>
          </w:tcPr>
          <w:p w14:paraId="109AD6D5" w14:textId="77777777" w:rsidR="009B3384" w:rsidRDefault="00800862">
            <w:pPr>
              <w:keepNext/>
              <w:widowControl w:val="0"/>
              <w:jc w:val="center"/>
              <w:rPr>
                <w:b/>
                <w:lang w:val="en-GB"/>
              </w:rPr>
            </w:pPr>
            <w:r>
              <w:rPr>
                <w:b/>
              </w:rPr>
              <w:t>Проучване при псориатичен артрит</w:t>
            </w:r>
            <w:r>
              <w:rPr>
                <w:b/>
                <w:lang w:val="en-GB"/>
              </w:rPr>
              <w:t> 1</w:t>
            </w:r>
          </w:p>
        </w:tc>
        <w:tc>
          <w:tcPr>
            <w:tcW w:w="3538" w:type="dxa"/>
            <w:gridSpan w:val="3"/>
            <w:tcBorders>
              <w:top w:val="single" w:sz="4" w:space="0" w:color="000000"/>
              <w:left w:val="single" w:sz="4" w:space="0" w:color="000000"/>
              <w:bottom w:val="single" w:sz="4" w:space="0" w:color="000000"/>
              <w:right w:val="single" w:sz="4" w:space="0" w:color="000000"/>
            </w:tcBorders>
            <w:vAlign w:val="center"/>
          </w:tcPr>
          <w:p w14:paraId="109AD6D6" w14:textId="77777777" w:rsidR="009B3384" w:rsidRDefault="00800862">
            <w:pPr>
              <w:keepNext/>
              <w:widowControl w:val="0"/>
              <w:jc w:val="center"/>
              <w:rPr>
                <w:b/>
                <w:lang w:val="en-GB"/>
              </w:rPr>
            </w:pPr>
            <w:r>
              <w:rPr>
                <w:b/>
              </w:rPr>
              <w:t>Проучване при псориатичен артрит</w:t>
            </w:r>
            <w:r>
              <w:rPr>
                <w:b/>
                <w:lang w:val="en-GB"/>
              </w:rPr>
              <w:t> 2</w:t>
            </w:r>
          </w:p>
        </w:tc>
      </w:tr>
      <w:tr w:rsidR="009B3384" w14:paraId="109AD6D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6D8" w14:textId="77777777" w:rsidR="009B3384" w:rsidRDefault="009B3384">
            <w:pPr>
              <w:keepNext/>
              <w:widowControl w:val="0"/>
              <w:rPr>
                <w:lang w:val="en-GB"/>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109AD6D9" w14:textId="77777777" w:rsidR="009B3384" w:rsidRDefault="00800862">
            <w:pPr>
              <w:keepNext/>
              <w:widowControl w:val="0"/>
              <w:jc w:val="center"/>
              <w:rPr>
                <w:b/>
              </w:rPr>
            </w:pPr>
            <w:r>
              <w:rPr>
                <w:b/>
              </w:rPr>
              <w:t>Плацебо</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DA" w14:textId="77777777" w:rsidR="009B3384" w:rsidRDefault="00800862">
            <w:pPr>
              <w:keepNext/>
              <w:widowControl w:val="0"/>
              <w:jc w:val="center"/>
              <w:rPr>
                <w:b/>
                <w:lang w:val="en-GB"/>
              </w:rPr>
            </w:pPr>
            <w:r>
              <w:rPr>
                <w:b/>
                <w:lang w:val="en-GB"/>
              </w:rPr>
              <w:t>45 mg</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6DB" w14:textId="77777777" w:rsidR="009B3384" w:rsidRDefault="00800862">
            <w:pPr>
              <w:keepNext/>
              <w:widowControl w:val="0"/>
              <w:jc w:val="center"/>
              <w:rPr>
                <w:b/>
                <w:lang w:val="en-GB"/>
              </w:rPr>
            </w:pPr>
            <w:r>
              <w:rPr>
                <w:b/>
                <w:lang w:val="en-GB"/>
              </w:rPr>
              <w:t>90 mg</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6DC" w14:textId="77777777" w:rsidR="009B3384" w:rsidRDefault="00800862">
            <w:pPr>
              <w:keepNext/>
              <w:widowControl w:val="0"/>
              <w:jc w:val="center"/>
              <w:rPr>
                <w:b/>
              </w:rPr>
            </w:pPr>
            <w:r>
              <w:rPr>
                <w:b/>
              </w:rPr>
              <w:t>Плацебо</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DD" w14:textId="77777777" w:rsidR="009B3384" w:rsidRDefault="00800862">
            <w:pPr>
              <w:keepNext/>
              <w:widowControl w:val="0"/>
              <w:jc w:val="center"/>
              <w:rPr>
                <w:b/>
                <w:lang w:val="en-GB"/>
              </w:rPr>
            </w:pPr>
            <w:r>
              <w:rPr>
                <w:b/>
                <w:lang w:val="en-GB"/>
              </w:rPr>
              <w:t>45 mg</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6DE" w14:textId="77777777" w:rsidR="009B3384" w:rsidRDefault="00800862">
            <w:pPr>
              <w:keepNext/>
              <w:widowControl w:val="0"/>
              <w:jc w:val="center"/>
              <w:rPr>
                <w:b/>
                <w:lang w:val="en-GB"/>
              </w:rPr>
            </w:pPr>
            <w:r>
              <w:rPr>
                <w:b/>
                <w:lang w:val="en-GB"/>
              </w:rPr>
              <w:t>90 mg</w:t>
            </w:r>
          </w:p>
        </w:tc>
      </w:tr>
      <w:tr w:rsidR="009B3384" w14:paraId="109AD6E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6E0" w14:textId="77777777" w:rsidR="009B3384" w:rsidRDefault="00800862">
            <w:pPr>
              <w:keepNext/>
              <w:widowControl w:val="0"/>
              <w:rPr>
                <w:b/>
              </w:rPr>
            </w:pPr>
            <w:r>
              <w:rPr>
                <w:b/>
              </w:rPr>
              <w:t>Брой рандомизирани пациенти</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6E1" w14:textId="77777777" w:rsidR="009B3384" w:rsidRDefault="00800862">
            <w:pPr>
              <w:keepNext/>
              <w:widowControl w:val="0"/>
              <w:jc w:val="center"/>
              <w:rPr>
                <w:b/>
                <w:lang w:val="en-GB"/>
              </w:rPr>
            </w:pPr>
            <w:r>
              <w:rPr>
                <w:b/>
                <w:lang w:val="en-GB"/>
              </w:rPr>
              <w:t>206</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E2" w14:textId="77777777" w:rsidR="009B3384" w:rsidRDefault="00800862">
            <w:pPr>
              <w:keepNext/>
              <w:widowControl w:val="0"/>
              <w:jc w:val="center"/>
              <w:rPr>
                <w:b/>
                <w:lang w:val="en-GB"/>
              </w:rPr>
            </w:pPr>
            <w:r>
              <w:rPr>
                <w:b/>
                <w:lang w:val="en-GB"/>
              </w:rPr>
              <w:t>205</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6E3" w14:textId="77777777" w:rsidR="009B3384" w:rsidRDefault="00800862">
            <w:pPr>
              <w:keepNext/>
              <w:widowControl w:val="0"/>
              <w:jc w:val="center"/>
              <w:rPr>
                <w:b/>
                <w:lang w:val="en-GB"/>
              </w:rPr>
            </w:pPr>
            <w:r>
              <w:rPr>
                <w:b/>
                <w:lang w:val="en-GB"/>
              </w:rPr>
              <w:t>204</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6E4" w14:textId="77777777" w:rsidR="009B3384" w:rsidRDefault="00800862">
            <w:pPr>
              <w:keepNext/>
              <w:widowControl w:val="0"/>
              <w:jc w:val="center"/>
              <w:rPr>
                <w:b/>
                <w:lang w:val="en-GB"/>
              </w:rPr>
            </w:pPr>
            <w:r>
              <w:rPr>
                <w:b/>
                <w:lang w:val="en-GB"/>
              </w:rPr>
              <w:t>104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E5" w14:textId="77777777" w:rsidR="009B3384" w:rsidRDefault="00800862">
            <w:pPr>
              <w:keepNext/>
              <w:widowControl w:val="0"/>
              <w:jc w:val="center"/>
              <w:rPr>
                <w:b/>
                <w:lang w:val="en-GB"/>
              </w:rPr>
            </w:pPr>
            <w:r>
              <w:rPr>
                <w:b/>
                <w:lang w:val="en-GB"/>
              </w:rPr>
              <w:t>103</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6E6" w14:textId="77777777" w:rsidR="009B3384" w:rsidRDefault="00800862">
            <w:pPr>
              <w:keepNext/>
              <w:widowControl w:val="0"/>
              <w:jc w:val="center"/>
              <w:rPr>
                <w:b/>
                <w:lang w:val="en-GB"/>
              </w:rPr>
            </w:pPr>
            <w:r>
              <w:rPr>
                <w:b/>
                <w:lang w:val="en-GB"/>
              </w:rPr>
              <w:t>105</w:t>
            </w:r>
          </w:p>
        </w:tc>
      </w:tr>
      <w:tr w:rsidR="009B3384" w14:paraId="109AD6E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6E8" w14:textId="77777777" w:rsidR="009B3384" w:rsidRDefault="00800862">
            <w:pPr>
              <w:widowControl w:val="0"/>
              <w:ind w:left="284"/>
              <w:rPr>
                <w:lang w:val="en-GB"/>
              </w:rPr>
            </w:pPr>
            <w:r>
              <w:rPr>
                <w:lang w:val="en-GB"/>
              </w:rPr>
              <w:t xml:space="preserve">ACR 20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6E9" w14:textId="77777777" w:rsidR="009B3384" w:rsidRDefault="00800862">
            <w:pPr>
              <w:widowControl w:val="0"/>
              <w:jc w:val="center"/>
              <w:rPr>
                <w:lang w:val="en-GB"/>
              </w:rPr>
            </w:pPr>
            <w:r>
              <w:rPr>
                <w:lang w:val="en-GB"/>
              </w:rPr>
              <w:t>47 (23%)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EA" w14:textId="77777777" w:rsidR="009B3384" w:rsidRDefault="00800862">
            <w:pPr>
              <w:widowControl w:val="0"/>
              <w:jc w:val="center"/>
              <w:rPr>
                <w:lang w:val="en-GB"/>
              </w:rPr>
            </w:pPr>
            <w:r>
              <w:rPr>
                <w:lang w:val="en-GB"/>
              </w:rPr>
              <w:t>87 (42</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6EB" w14:textId="77777777" w:rsidR="009B3384" w:rsidRDefault="00800862">
            <w:pPr>
              <w:widowControl w:val="0"/>
              <w:jc w:val="center"/>
              <w:rPr>
                <w:lang w:val="en-GB"/>
              </w:rPr>
            </w:pPr>
            <w:r>
              <w:rPr>
                <w:lang w:val="en-GB"/>
              </w:rPr>
              <w:t>101 (50</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6EC" w14:textId="77777777" w:rsidR="009B3384" w:rsidRDefault="00800862">
            <w:pPr>
              <w:widowControl w:val="0"/>
              <w:jc w:val="center"/>
              <w:rPr>
                <w:lang w:val="en-GB"/>
              </w:rPr>
            </w:pPr>
            <w:r>
              <w:rPr>
                <w:lang w:val="en-GB"/>
              </w:rPr>
              <w:t>21 (20%)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ED" w14:textId="77777777" w:rsidR="009B3384" w:rsidRDefault="00800862">
            <w:pPr>
              <w:widowControl w:val="0"/>
              <w:jc w:val="center"/>
              <w:rPr>
                <w:lang w:val="en-GB"/>
              </w:rPr>
            </w:pPr>
            <w:r>
              <w:rPr>
                <w:lang w:val="en-GB"/>
              </w:rPr>
              <w:t>45 (44</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6EE" w14:textId="77777777" w:rsidR="009B3384" w:rsidRDefault="00800862">
            <w:pPr>
              <w:widowControl w:val="0"/>
              <w:jc w:val="center"/>
              <w:rPr>
                <w:lang w:val="en-GB"/>
              </w:rPr>
            </w:pPr>
            <w:r>
              <w:rPr>
                <w:lang w:val="en-GB"/>
              </w:rPr>
              <w:t>46 (44</w:t>
            </w:r>
            <w:proofErr w:type="gramStart"/>
            <w:r>
              <w:rPr>
                <w:lang w:val="en-GB"/>
              </w:rPr>
              <w:t>%)</w:t>
            </w:r>
            <w:r>
              <w:rPr>
                <w:vertAlign w:val="superscript"/>
                <w:lang w:val="en-GB"/>
              </w:rPr>
              <w:t>a</w:t>
            </w:r>
            <w:proofErr w:type="gramEnd"/>
          </w:p>
        </w:tc>
      </w:tr>
      <w:tr w:rsidR="009B3384" w14:paraId="109AD6F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6F0" w14:textId="77777777" w:rsidR="009B3384" w:rsidRDefault="00800862">
            <w:pPr>
              <w:widowControl w:val="0"/>
              <w:ind w:left="284"/>
              <w:rPr>
                <w:lang w:val="en-GB"/>
              </w:rPr>
            </w:pPr>
            <w:r>
              <w:rPr>
                <w:lang w:val="en-GB"/>
              </w:rPr>
              <w:t xml:space="preserve">ACR 50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6F1" w14:textId="77777777" w:rsidR="009B3384" w:rsidRDefault="00800862">
            <w:pPr>
              <w:widowControl w:val="0"/>
              <w:jc w:val="center"/>
              <w:rPr>
                <w:lang w:val="en-GB"/>
              </w:rPr>
            </w:pPr>
            <w:r>
              <w:rPr>
                <w:lang w:val="en-GB"/>
              </w:rPr>
              <w:t>18 (9%)</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F2" w14:textId="77777777" w:rsidR="009B3384" w:rsidRDefault="00800862">
            <w:pPr>
              <w:widowControl w:val="0"/>
              <w:jc w:val="center"/>
              <w:rPr>
                <w:lang w:val="en-GB"/>
              </w:rPr>
            </w:pPr>
            <w:r>
              <w:rPr>
                <w:lang w:val="en-GB"/>
              </w:rPr>
              <w:t>51 (25</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6F3" w14:textId="77777777" w:rsidR="009B3384" w:rsidRDefault="00800862">
            <w:pPr>
              <w:widowControl w:val="0"/>
              <w:jc w:val="center"/>
              <w:rPr>
                <w:lang w:val="en-GB"/>
              </w:rPr>
            </w:pPr>
            <w:r>
              <w:rPr>
                <w:lang w:val="en-GB"/>
              </w:rPr>
              <w:t>57 (28</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6F4" w14:textId="77777777" w:rsidR="009B3384" w:rsidRDefault="00800862">
            <w:pPr>
              <w:widowControl w:val="0"/>
              <w:jc w:val="center"/>
              <w:rPr>
                <w:lang w:val="en-GB"/>
              </w:rPr>
            </w:pPr>
            <w:r>
              <w:rPr>
                <w:lang w:val="en-GB"/>
              </w:rPr>
              <w:t>7 (7%)</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F5" w14:textId="77777777" w:rsidR="009B3384" w:rsidRDefault="00800862">
            <w:pPr>
              <w:widowControl w:val="0"/>
              <w:jc w:val="center"/>
            </w:pPr>
            <w:r>
              <w:rPr>
                <w:lang w:val="en-GB"/>
              </w:rPr>
              <w:t>18 (17</w:t>
            </w:r>
            <w:proofErr w:type="gramStart"/>
            <w:r>
              <w:rPr>
                <w:lang w:val="en-GB"/>
              </w:rPr>
              <w:t>%)</w:t>
            </w:r>
            <w:r>
              <w:rPr>
                <w:vertAlign w:val="superscript"/>
              </w:rPr>
              <w:t>б</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6F6" w14:textId="77777777" w:rsidR="009B3384" w:rsidRDefault="00800862">
            <w:pPr>
              <w:widowControl w:val="0"/>
              <w:jc w:val="center"/>
              <w:rPr>
                <w:lang w:val="en-GB"/>
              </w:rPr>
            </w:pPr>
            <w:r>
              <w:rPr>
                <w:lang w:val="en-GB"/>
              </w:rPr>
              <w:t>24 (23</w:t>
            </w:r>
            <w:proofErr w:type="gramStart"/>
            <w:r>
              <w:rPr>
                <w:lang w:val="en-GB"/>
              </w:rPr>
              <w:t>%)</w:t>
            </w:r>
            <w:r>
              <w:rPr>
                <w:vertAlign w:val="superscript"/>
                <w:lang w:val="en-GB"/>
              </w:rPr>
              <w:t>a</w:t>
            </w:r>
            <w:proofErr w:type="gramEnd"/>
          </w:p>
        </w:tc>
      </w:tr>
      <w:tr w:rsidR="009B3384" w14:paraId="109AD6F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6F8" w14:textId="77777777" w:rsidR="009B3384" w:rsidRDefault="00800862">
            <w:pPr>
              <w:widowControl w:val="0"/>
              <w:ind w:left="284"/>
              <w:rPr>
                <w:lang w:val="en-GB"/>
              </w:rPr>
            </w:pPr>
            <w:r>
              <w:rPr>
                <w:lang w:val="en-GB"/>
              </w:rPr>
              <w:t xml:space="preserve">ACR 70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6F9" w14:textId="77777777" w:rsidR="009B3384" w:rsidRDefault="00800862">
            <w:pPr>
              <w:widowControl w:val="0"/>
              <w:jc w:val="center"/>
              <w:rPr>
                <w:lang w:val="en-GB"/>
              </w:rPr>
            </w:pPr>
            <w:r>
              <w:rPr>
                <w:lang w:val="en-GB"/>
              </w:rPr>
              <w:t>5 (2%)</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FA" w14:textId="77777777" w:rsidR="009B3384" w:rsidRDefault="00800862">
            <w:pPr>
              <w:widowControl w:val="0"/>
              <w:jc w:val="center"/>
              <w:rPr>
                <w:lang w:val="en-GB"/>
              </w:rPr>
            </w:pPr>
            <w:r>
              <w:rPr>
                <w:lang w:val="en-GB"/>
              </w:rPr>
              <w:t>25 (12</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6FB" w14:textId="77777777" w:rsidR="009B3384" w:rsidRDefault="00800862">
            <w:pPr>
              <w:widowControl w:val="0"/>
              <w:jc w:val="center"/>
              <w:rPr>
                <w:lang w:val="en-GB"/>
              </w:rPr>
            </w:pPr>
            <w:r>
              <w:rPr>
                <w:lang w:val="en-GB"/>
              </w:rPr>
              <w:t>29 (14</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6FC" w14:textId="77777777" w:rsidR="009B3384" w:rsidRDefault="00800862">
            <w:pPr>
              <w:widowControl w:val="0"/>
              <w:jc w:val="center"/>
              <w:rPr>
                <w:lang w:val="en-GB"/>
              </w:rPr>
            </w:pPr>
            <w:r>
              <w:rPr>
                <w:lang w:val="en-GB"/>
              </w:rPr>
              <w:t>3 (3%)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6FD" w14:textId="77777777" w:rsidR="009B3384" w:rsidRDefault="00800862">
            <w:pPr>
              <w:widowControl w:val="0"/>
              <w:jc w:val="center"/>
            </w:pPr>
            <w:r>
              <w:rPr>
                <w:lang w:val="en-GB"/>
              </w:rPr>
              <w:t>7 (7</w:t>
            </w:r>
            <w:proofErr w:type="gramStart"/>
            <w:r>
              <w:rPr>
                <w:lang w:val="en-GB"/>
              </w:rPr>
              <w:t>%)</w:t>
            </w:r>
            <w:r>
              <w:rPr>
                <w:vertAlign w:val="superscript"/>
              </w:rPr>
              <w:t>в</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6FE" w14:textId="77777777" w:rsidR="009B3384" w:rsidRDefault="00800862">
            <w:pPr>
              <w:widowControl w:val="0"/>
              <w:jc w:val="center"/>
            </w:pPr>
            <w:r>
              <w:rPr>
                <w:lang w:val="en-GB"/>
              </w:rPr>
              <w:t>9 (9</w:t>
            </w:r>
            <w:proofErr w:type="gramStart"/>
            <w:r>
              <w:rPr>
                <w:lang w:val="en-GB"/>
              </w:rPr>
              <w:t>%)</w:t>
            </w:r>
            <w:r>
              <w:rPr>
                <w:vertAlign w:val="superscript"/>
              </w:rPr>
              <w:t>в</w:t>
            </w:r>
            <w:proofErr w:type="gramEnd"/>
          </w:p>
        </w:tc>
      </w:tr>
      <w:tr w:rsidR="009B3384" w14:paraId="109AD70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00" w14:textId="77777777" w:rsidR="009B3384" w:rsidRDefault="00800862">
            <w:pPr>
              <w:widowControl w:val="0"/>
              <w:rPr>
                <w:i/>
                <w:lang w:val="en-GB"/>
              </w:rPr>
            </w:pPr>
            <w:r>
              <w:rPr>
                <w:i/>
              </w:rPr>
              <w:t>Брой пациенти с</w:t>
            </w:r>
            <w:r>
              <w:rPr>
                <w:i/>
                <w:lang w:val="en-GB"/>
              </w:rPr>
              <w:t xml:space="preserve"> ≥ 3% BSA</w:t>
            </w:r>
            <w:r>
              <w:rPr>
                <w:szCs w:val="18"/>
                <w:vertAlign w:val="superscript"/>
              </w:rPr>
              <w:t>г</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01" w14:textId="77777777" w:rsidR="009B3384" w:rsidRDefault="00800862">
            <w:pPr>
              <w:widowControl w:val="0"/>
              <w:jc w:val="center"/>
              <w:rPr>
                <w:lang w:val="en-GB"/>
              </w:rPr>
            </w:pPr>
            <w:r>
              <w:rPr>
                <w:lang w:val="en-GB"/>
              </w:rPr>
              <w:t>146</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02" w14:textId="77777777" w:rsidR="009B3384" w:rsidRDefault="00800862">
            <w:pPr>
              <w:widowControl w:val="0"/>
              <w:jc w:val="center"/>
              <w:rPr>
                <w:lang w:val="en-GB"/>
              </w:rPr>
            </w:pPr>
            <w:r>
              <w:rPr>
                <w:lang w:val="en-GB"/>
              </w:rPr>
              <w:t>145</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03" w14:textId="77777777" w:rsidR="009B3384" w:rsidRDefault="00800862">
            <w:pPr>
              <w:widowControl w:val="0"/>
              <w:jc w:val="center"/>
              <w:rPr>
                <w:lang w:val="en-GB"/>
              </w:rPr>
            </w:pPr>
            <w:r>
              <w:rPr>
                <w:lang w:val="en-GB"/>
              </w:rPr>
              <w:t>149</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04" w14:textId="77777777" w:rsidR="009B3384" w:rsidRDefault="00800862">
            <w:pPr>
              <w:widowControl w:val="0"/>
              <w:jc w:val="center"/>
              <w:rPr>
                <w:lang w:val="en-GB"/>
              </w:rPr>
            </w:pPr>
            <w:r>
              <w:rPr>
                <w:lang w:val="en-GB"/>
              </w:rPr>
              <w:t>80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05" w14:textId="77777777" w:rsidR="009B3384" w:rsidRDefault="00800862">
            <w:pPr>
              <w:widowControl w:val="0"/>
              <w:jc w:val="center"/>
              <w:rPr>
                <w:lang w:val="en-GB"/>
              </w:rPr>
            </w:pPr>
            <w:r>
              <w:rPr>
                <w:lang w:val="en-GB"/>
              </w:rPr>
              <w:t>80</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06" w14:textId="77777777" w:rsidR="009B3384" w:rsidRDefault="00800862">
            <w:pPr>
              <w:widowControl w:val="0"/>
              <w:jc w:val="center"/>
              <w:rPr>
                <w:lang w:val="en-GB"/>
              </w:rPr>
            </w:pPr>
            <w:r>
              <w:rPr>
                <w:lang w:val="en-GB"/>
              </w:rPr>
              <w:t>81</w:t>
            </w:r>
          </w:p>
        </w:tc>
      </w:tr>
      <w:tr w:rsidR="009B3384" w14:paraId="109AD70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08" w14:textId="77777777" w:rsidR="009B3384" w:rsidRDefault="00800862">
            <w:pPr>
              <w:widowControl w:val="0"/>
              <w:ind w:left="284"/>
              <w:rPr>
                <w:lang w:val="en-GB"/>
              </w:rPr>
            </w:pPr>
            <w:r>
              <w:rPr>
                <w:lang w:val="en-GB"/>
              </w:rPr>
              <w:t xml:space="preserve">PASI 75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09" w14:textId="77777777" w:rsidR="009B3384" w:rsidRDefault="00800862">
            <w:pPr>
              <w:widowControl w:val="0"/>
              <w:jc w:val="center"/>
              <w:rPr>
                <w:lang w:val="en-GB"/>
              </w:rPr>
            </w:pPr>
            <w:r>
              <w:rPr>
                <w:lang w:val="en-GB"/>
              </w:rPr>
              <w:t>16 (11%)</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0A" w14:textId="77777777" w:rsidR="009B3384" w:rsidRDefault="00800862">
            <w:pPr>
              <w:widowControl w:val="0"/>
              <w:jc w:val="center"/>
              <w:rPr>
                <w:lang w:val="en-GB"/>
              </w:rPr>
            </w:pPr>
            <w:r>
              <w:rPr>
                <w:lang w:val="en-GB"/>
              </w:rPr>
              <w:t>83 (57</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70B" w14:textId="77777777" w:rsidR="009B3384" w:rsidRDefault="00800862">
            <w:pPr>
              <w:widowControl w:val="0"/>
              <w:jc w:val="center"/>
              <w:rPr>
                <w:lang w:val="en-GB"/>
              </w:rPr>
            </w:pPr>
            <w:r>
              <w:rPr>
                <w:lang w:val="en-GB"/>
              </w:rPr>
              <w:t>93 (62</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70C" w14:textId="77777777" w:rsidR="009B3384" w:rsidRDefault="00800862">
            <w:pPr>
              <w:widowControl w:val="0"/>
              <w:jc w:val="center"/>
              <w:rPr>
                <w:lang w:val="en-GB"/>
              </w:rPr>
            </w:pPr>
            <w:r>
              <w:rPr>
                <w:lang w:val="en-GB"/>
              </w:rPr>
              <w:t>4 (5%)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0D" w14:textId="77777777" w:rsidR="009B3384" w:rsidRDefault="00800862">
            <w:pPr>
              <w:widowControl w:val="0"/>
              <w:jc w:val="center"/>
              <w:rPr>
                <w:lang w:val="en-GB"/>
              </w:rPr>
            </w:pPr>
            <w:r>
              <w:rPr>
                <w:lang w:val="en-GB"/>
              </w:rPr>
              <w:t>41 (51</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70E" w14:textId="77777777" w:rsidR="009B3384" w:rsidRDefault="00800862">
            <w:pPr>
              <w:widowControl w:val="0"/>
              <w:jc w:val="center"/>
              <w:rPr>
                <w:lang w:val="en-GB"/>
              </w:rPr>
            </w:pPr>
            <w:r>
              <w:rPr>
                <w:lang w:val="en-GB"/>
              </w:rPr>
              <w:t>45 (56</w:t>
            </w:r>
            <w:proofErr w:type="gramStart"/>
            <w:r>
              <w:rPr>
                <w:lang w:val="en-GB"/>
              </w:rPr>
              <w:t>%)</w:t>
            </w:r>
            <w:r>
              <w:rPr>
                <w:vertAlign w:val="superscript"/>
                <w:lang w:val="en-GB"/>
              </w:rPr>
              <w:t>a</w:t>
            </w:r>
            <w:proofErr w:type="gramEnd"/>
          </w:p>
        </w:tc>
      </w:tr>
      <w:tr w:rsidR="009B3384" w14:paraId="109AD71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10" w14:textId="77777777" w:rsidR="009B3384" w:rsidRDefault="00800862">
            <w:pPr>
              <w:widowControl w:val="0"/>
              <w:ind w:left="284"/>
              <w:rPr>
                <w:lang w:val="en-GB"/>
              </w:rPr>
            </w:pPr>
            <w:r>
              <w:rPr>
                <w:lang w:val="en-GB"/>
              </w:rPr>
              <w:t xml:space="preserve">PASI 90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11" w14:textId="77777777" w:rsidR="009B3384" w:rsidRDefault="00800862">
            <w:pPr>
              <w:widowControl w:val="0"/>
              <w:jc w:val="center"/>
              <w:rPr>
                <w:lang w:val="en-GB"/>
              </w:rPr>
            </w:pPr>
            <w:r>
              <w:rPr>
                <w:lang w:val="en-GB"/>
              </w:rPr>
              <w:t>4 (3%)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12" w14:textId="77777777" w:rsidR="009B3384" w:rsidRDefault="00800862">
            <w:pPr>
              <w:widowControl w:val="0"/>
              <w:jc w:val="center"/>
              <w:rPr>
                <w:lang w:val="en-GB"/>
              </w:rPr>
            </w:pPr>
            <w:r>
              <w:rPr>
                <w:lang w:val="en-GB"/>
              </w:rPr>
              <w:t>60 (41</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713" w14:textId="77777777" w:rsidR="009B3384" w:rsidRDefault="00800862">
            <w:pPr>
              <w:widowControl w:val="0"/>
              <w:jc w:val="center"/>
              <w:rPr>
                <w:lang w:val="en-GB"/>
              </w:rPr>
            </w:pPr>
            <w:r>
              <w:rPr>
                <w:lang w:val="en-GB"/>
              </w:rPr>
              <w:t>65 (44</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714" w14:textId="77777777" w:rsidR="009B3384" w:rsidRDefault="00800862">
            <w:pPr>
              <w:widowControl w:val="0"/>
              <w:jc w:val="center"/>
              <w:rPr>
                <w:lang w:val="en-GB"/>
              </w:rPr>
            </w:pPr>
            <w:r>
              <w:rPr>
                <w:lang w:val="en-GB"/>
              </w:rPr>
              <w:t>3 (4%)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15" w14:textId="77777777" w:rsidR="009B3384" w:rsidRDefault="00800862">
            <w:pPr>
              <w:widowControl w:val="0"/>
              <w:jc w:val="center"/>
              <w:rPr>
                <w:lang w:val="en-GB"/>
              </w:rPr>
            </w:pPr>
            <w:r>
              <w:rPr>
                <w:lang w:val="en-GB"/>
              </w:rPr>
              <w:t>24 (30</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716" w14:textId="77777777" w:rsidR="009B3384" w:rsidRDefault="00800862">
            <w:pPr>
              <w:widowControl w:val="0"/>
              <w:jc w:val="center"/>
              <w:rPr>
                <w:lang w:val="en-GB"/>
              </w:rPr>
            </w:pPr>
            <w:r>
              <w:rPr>
                <w:lang w:val="en-GB"/>
              </w:rPr>
              <w:t>36 (44</w:t>
            </w:r>
            <w:proofErr w:type="gramStart"/>
            <w:r>
              <w:rPr>
                <w:lang w:val="en-GB"/>
              </w:rPr>
              <w:t>%)</w:t>
            </w:r>
            <w:r>
              <w:rPr>
                <w:vertAlign w:val="superscript"/>
                <w:lang w:val="en-GB"/>
              </w:rPr>
              <w:t>a</w:t>
            </w:r>
            <w:proofErr w:type="gramEnd"/>
          </w:p>
        </w:tc>
      </w:tr>
      <w:tr w:rsidR="009B3384" w14:paraId="109AD71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18" w14:textId="77777777" w:rsidR="009B3384" w:rsidRDefault="00800862">
            <w:pPr>
              <w:widowControl w:val="0"/>
              <w:ind w:left="284"/>
            </w:pPr>
            <w:r>
              <w:t xml:space="preserve">Комбиниран </w:t>
            </w:r>
            <w:r>
              <w:rPr>
                <w:lang w:val="en-GB"/>
              </w:rPr>
              <w:t>PASI </w:t>
            </w:r>
            <w:r>
              <w:t xml:space="preserve">75 и </w:t>
            </w:r>
            <w:r>
              <w:rPr>
                <w:lang w:val="en-GB"/>
              </w:rPr>
              <w:t>ACR </w:t>
            </w:r>
            <w:r>
              <w:t xml:space="preserve">20 отговор, </w:t>
            </w:r>
            <w:r>
              <w:rPr>
                <w:lang w:val="en-GB"/>
              </w:rPr>
              <w:t>N</w:t>
            </w: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19" w14:textId="77777777" w:rsidR="009B3384" w:rsidRDefault="00800862">
            <w:pPr>
              <w:widowControl w:val="0"/>
              <w:jc w:val="center"/>
              <w:rPr>
                <w:lang w:val="en-GB"/>
              </w:rPr>
            </w:pPr>
            <w:r>
              <w:rPr>
                <w:lang w:val="en-GB"/>
              </w:rPr>
              <w:t>8 (5%)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1A" w14:textId="77777777" w:rsidR="009B3384" w:rsidRDefault="00800862">
            <w:pPr>
              <w:widowControl w:val="0"/>
              <w:jc w:val="center"/>
              <w:rPr>
                <w:lang w:val="en-GB"/>
              </w:rPr>
            </w:pPr>
            <w:r>
              <w:rPr>
                <w:lang w:val="en-GB"/>
              </w:rPr>
              <w:t>40 (28</w:t>
            </w:r>
            <w:proofErr w:type="gramStart"/>
            <w:r>
              <w:rPr>
                <w:lang w:val="en-GB"/>
              </w:rPr>
              <w:t>%)</w:t>
            </w:r>
            <w:r>
              <w:rPr>
                <w:vertAlign w:val="superscript"/>
                <w:lang w:val="en-GB"/>
              </w:rPr>
              <w:t>a</w:t>
            </w:r>
            <w:proofErr w:type="gramEnd"/>
          </w:p>
        </w:tc>
        <w:tc>
          <w:tcPr>
            <w:tcW w:w="1265" w:type="dxa"/>
            <w:tcBorders>
              <w:top w:val="single" w:sz="4" w:space="0" w:color="000000"/>
              <w:left w:val="single" w:sz="4" w:space="0" w:color="000000"/>
              <w:bottom w:val="single" w:sz="4" w:space="0" w:color="000000"/>
              <w:right w:val="single" w:sz="4" w:space="0" w:color="000000"/>
            </w:tcBorders>
            <w:vAlign w:val="center"/>
          </w:tcPr>
          <w:p w14:paraId="109AD71B" w14:textId="77777777" w:rsidR="009B3384" w:rsidRDefault="00800862">
            <w:pPr>
              <w:widowControl w:val="0"/>
              <w:jc w:val="center"/>
              <w:rPr>
                <w:lang w:val="en-GB"/>
              </w:rPr>
            </w:pPr>
            <w:r>
              <w:rPr>
                <w:lang w:val="en-GB"/>
              </w:rPr>
              <w:t>62 (42</w:t>
            </w:r>
            <w:proofErr w:type="gramStart"/>
            <w:r>
              <w:rPr>
                <w:lang w:val="en-GB"/>
              </w:rPr>
              <w:t>%)</w:t>
            </w:r>
            <w:r>
              <w:rPr>
                <w:vertAlign w:val="superscript"/>
                <w:lang w:val="en-GB"/>
              </w:rPr>
              <w:t>a</w:t>
            </w:r>
            <w:proofErr w:type="gramEnd"/>
          </w:p>
        </w:tc>
        <w:tc>
          <w:tcPr>
            <w:tcW w:w="1138" w:type="dxa"/>
            <w:tcBorders>
              <w:top w:val="single" w:sz="4" w:space="0" w:color="000000"/>
              <w:left w:val="single" w:sz="4" w:space="0" w:color="000000"/>
              <w:bottom w:val="single" w:sz="4" w:space="0" w:color="000000"/>
              <w:right w:val="single" w:sz="4" w:space="0" w:color="000000"/>
            </w:tcBorders>
            <w:vAlign w:val="center"/>
          </w:tcPr>
          <w:p w14:paraId="109AD71C" w14:textId="77777777" w:rsidR="009B3384" w:rsidRDefault="00800862">
            <w:pPr>
              <w:widowControl w:val="0"/>
              <w:jc w:val="center"/>
              <w:rPr>
                <w:lang w:val="en-GB"/>
              </w:rPr>
            </w:pPr>
            <w:r>
              <w:rPr>
                <w:lang w:val="en-GB"/>
              </w:rPr>
              <w:t>2 (3%)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1D" w14:textId="77777777" w:rsidR="009B3384" w:rsidRDefault="00800862">
            <w:pPr>
              <w:widowControl w:val="0"/>
              <w:jc w:val="center"/>
              <w:rPr>
                <w:lang w:val="en-GB"/>
              </w:rPr>
            </w:pPr>
            <w:r>
              <w:rPr>
                <w:lang w:val="en-GB"/>
              </w:rPr>
              <w:t>24 (30</w:t>
            </w:r>
            <w:proofErr w:type="gramStart"/>
            <w:r>
              <w:rPr>
                <w:lang w:val="en-GB"/>
              </w:rPr>
              <w:t>%)</w:t>
            </w:r>
            <w:r>
              <w:rPr>
                <w:vertAlign w:val="superscript"/>
                <w:lang w:val="en-GB"/>
              </w:rPr>
              <w:t>a</w:t>
            </w:r>
            <w:proofErr w:type="gramEnd"/>
          </w:p>
        </w:tc>
        <w:tc>
          <w:tcPr>
            <w:tcW w:w="1199" w:type="dxa"/>
            <w:tcBorders>
              <w:top w:val="single" w:sz="4" w:space="0" w:color="000000"/>
              <w:left w:val="single" w:sz="4" w:space="0" w:color="000000"/>
              <w:bottom w:val="single" w:sz="4" w:space="0" w:color="000000"/>
              <w:right w:val="single" w:sz="4" w:space="0" w:color="000000"/>
            </w:tcBorders>
            <w:vAlign w:val="center"/>
          </w:tcPr>
          <w:p w14:paraId="109AD71E" w14:textId="77777777" w:rsidR="009B3384" w:rsidRDefault="00800862">
            <w:pPr>
              <w:widowControl w:val="0"/>
              <w:jc w:val="center"/>
              <w:rPr>
                <w:lang w:val="en-GB"/>
              </w:rPr>
            </w:pPr>
            <w:r>
              <w:rPr>
                <w:lang w:val="en-GB"/>
              </w:rPr>
              <w:t>31 (38</w:t>
            </w:r>
            <w:proofErr w:type="gramStart"/>
            <w:r>
              <w:rPr>
                <w:lang w:val="en-GB"/>
              </w:rPr>
              <w:t>%)</w:t>
            </w:r>
            <w:r>
              <w:rPr>
                <w:vertAlign w:val="superscript"/>
                <w:lang w:val="en-GB"/>
              </w:rPr>
              <w:t>a</w:t>
            </w:r>
            <w:proofErr w:type="gramEnd"/>
          </w:p>
        </w:tc>
      </w:tr>
      <w:tr w:rsidR="009B3384" w14:paraId="109AD72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20" w14:textId="77777777" w:rsidR="009B3384" w:rsidRDefault="009B3384">
            <w:pPr>
              <w:widowControl w:val="0"/>
              <w:rPr>
                <w:i/>
                <w:lang w:val="en-GB"/>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109AD721" w14:textId="77777777" w:rsidR="009B3384" w:rsidRDefault="009B3384">
            <w:pPr>
              <w:widowControl w:val="0"/>
              <w:jc w:val="center"/>
              <w:rPr>
                <w:lang w:val="en-GB"/>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109AD722" w14:textId="77777777" w:rsidR="009B3384" w:rsidRDefault="009B3384">
            <w:pPr>
              <w:widowControl w:val="0"/>
              <w:jc w:val="center"/>
              <w:rPr>
                <w:lang w:val="en-GB"/>
              </w:rPr>
            </w:pPr>
          </w:p>
        </w:tc>
        <w:tc>
          <w:tcPr>
            <w:tcW w:w="1265" w:type="dxa"/>
            <w:tcBorders>
              <w:top w:val="single" w:sz="4" w:space="0" w:color="000000"/>
              <w:left w:val="single" w:sz="4" w:space="0" w:color="000000"/>
              <w:bottom w:val="single" w:sz="4" w:space="0" w:color="000000"/>
              <w:right w:val="single" w:sz="4" w:space="0" w:color="000000"/>
            </w:tcBorders>
            <w:vAlign w:val="center"/>
          </w:tcPr>
          <w:p w14:paraId="109AD723" w14:textId="77777777" w:rsidR="009B3384" w:rsidRDefault="009B3384">
            <w:pPr>
              <w:widowControl w:val="0"/>
              <w:jc w:val="center"/>
              <w:rPr>
                <w:lang w:val="en-GB"/>
              </w:rPr>
            </w:pPr>
          </w:p>
        </w:tc>
        <w:tc>
          <w:tcPr>
            <w:tcW w:w="1138" w:type="dxa"/>
            <w:tcBorders>
              <w:top w:val="single" w:sz="4" w:space="0" w:color="000000"/>
              <w:left w:val="single" w:sz="4" w:space="0" w:color="000000"/>
              <w:bottom w:val="single" w:sz="4" w:space="0" w:color="000000"/>
              <w:right w:val="single" w:sz="4" w:space="0" w:color="000000"/>
            </w:tcBorders>
            <w:vAlign w:val="center"/>
          </w:tcPr>
          <w:p w14:paraId="109AD724" w14:textId="77777777" w:rsidR="009B3384" w:rsidRDefault="009B3384">
            <w:pPr>
              <w:widowControl w:val="0"/>
              <w:jc w:val="center"/>
              <w:rPr>
                <w:lang w:val="en-GB"/>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109AD725" w14:textId="77777777" w:rsidR="009B3384" w:rsidRDefault="009B3384">
            <w:pPr>
              <w:widowControl w:val="0"/>
              <w:jc w:val="center"/>
              <w:rPr>
                <w:lang w:val="en-GB"/>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109AD726" w14:textId="77777777" w:rsidR="009B3384" w:rsidRDefault="009B3384">
            <w:pPr>
              <w:widowControl w:val="0"/>
              <w:jc w:val="center"/>
              <w:rPr>
                <w:lang w:val="en-GB"/>
              </w:rPr>
            </w:pPr>
          </w:p>
        </w:tc>
      </w:tr>
      <w:tr w:rsidR="009B3384" w14:paraId="109AD72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28" w14:textId="77777777" w:rsidR="009B3384" w:rsidRDefault="00800862">
            <w:pPr>
              <w:widowControl w:val="0"/>
              <w:rPr>
                <w:b/>
                <w:lang w:val="en-GB"/>
              </w:rPr>
            </w:pPr>
            <w:r>
              <w:rPr>
                <w:b/>
              </w:rPr>
              <w:t>Брой пациенти</w:t>
            </w:r>
            <w:r>
              <w:rPr>
                <w:b/>
                <w:lang w:val="en-GB"/>
              </w:rPr>
              <w:t xml:space="preserve"> ≤ 100 kg</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29" w14:textId="77777777" w:rsidR="009B3384" w:rsidRDefault="00800862">
            <w:pPr>
              <w:widowControl w:val="0"/>
              <w:jc w:val="center"/>
              <w:rPr>
                <w:lang w:val="en-GB"/>
              </w:rPr>
            </w:pPr>
            <w:r>
              <w:rPr>
                <w:lang w:val="en-GB"/>
              </w:rPr>
              <w:t>154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2A" w14:textId="77777777" w:rsidR="009B3384" w:rsidRDefault="00800862">
            <w:pPr>
              <w:widowControl w:val="0"/>
              <w:jc w:val="center"/>
              <w:rPr>
                <w:lang w:val="en-GB"/>
              </w:rPr>
            </w:pPr>
            <w:r>
              <w:rPr>
                <w:lang w:val="en-GB"/>
              </w:rPr>
              <w:t>153</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2B" w14:textId="77777777" w:rsidR="009B3384" w:rsidRDefault="00800862">
            <w:pPr>
              <w:widowControl w:val="0"/>
              <w:jc w:val="center"/>
              <w:rPr>
                <w:lang w:val="en-GB"/>
              </w:rPr>
            </w:pPr>
            <w:r>
              <w:rPr>
                <w:lang w:val="en-GB"/>
              </w:rPr>
              <w:t>154</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2C" w14:textId="77777777" w:rsidR="009B3384" w:rsidRDefault="00800862">
            <w:pPr>
              <w:widowControl w:val="0"/>
              <w:jc w:val="center"/>
              <w:rPr>
                <w:lang w:val="en-GB"/>
              </w:rPr>
            </w:pPr>
            <w:r>
              <w:rPr>
                <w:lang w:val="en-GB"/>
              </w:rPr>
              <w:t>74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2D" w14:textId="77777777" w:rsidR="009B3384" w:rsidRDefault="00800862">
            <w:pPr>
              <w:widowControl w:val="0"/>
              <w:jc w:val="center"/>
              <w:rPr>
                <w:lang w:val="en-GB"/>
              </w:rPr>
            </w:pPr>
            <w:r>
              <w:rPr>
                <w:lang w:val="en-GB"/>
              </w:rPr>
              <w:t>74</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2E" w14:textId="77777777" w:rsidR="009B3384" w:rsidRDefault="00800862">
            <w:pPr>
              <w:widowControl w:val="0"/>
              <w:jc w:val="center"/>
              <w:rPr>
                <w:lang w:val="en-GB"/>
              </w:rPr>
            </w:pPr>
            <w:r>
              <w:rPr>
                <w:lang w:val="en-GB"/>
              </w:rPr>
              <w:t>73</w:t>
            </w:r>
          </w:p>
        </w:tc>
      </w:tr>
      <w:tr w:rsidR="009B3384" w14:paraId="109AD73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30" w14:textId="77777777" w:rsidR="009B3384" w:rsidRDefault="00800862">
            <w:pPr>
              <w:widowControl w:val="0"/>
              <w:ind w:left="284"/>
              <w:rPr>
                <w:lang w:val="en-GB"/>
              </w:rPr>
            </w:pPr>
            <w:r>
              <w:rPr>
                <w:lang w:val="en-GB"/>
              </w:rPr>
              <w:t xml:space="preserve">ACR 20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31" w14:textId="77777777" w:rsidR="009B3384" w:rsidRDefault="00800862">
            <w:pPr>
              <w:widowControl w:val="0"/>
              <w:jc w:val="center"/>
              <w:rPr>
                <w:lang w:val="en-GB"/>
              </w:rPr>
            </w:pPr>
            <w:r>
              <w:rPr>
                <w:lang w:val="en-GB"/>
              </w:rPr>
              <w:t>39 (25%)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32" w14:textId="77777777" w:rsidR="009B3384" w:rsidRDefault="00800862">
            <w:pPr>
              <w:widowControl w:val="0"/>
              <w:jc w:val="center"/>
              <w:rPr>
                <w:lang w:val="en-GB"/>
              </w:rPr>
            </w:pPr>
            <w:r>
              <w:rPr>
                <w:lang w:val="en-GB"/>
              </w:rPr>
              <w:t>67 (44%)</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33" w14:textId="77777777" w:rsidR="009B3384" w:rsidRDefault="00800862">
            <w:pPr>
              <w:widowControl w:val="0"/>
              <w:jc w:val="center"/>
              <w:rPr>
                <w:lang w:val="en-GB"/>
              </w:rPr>
            </w:pPr>
            <w:r>
              <w:rPr>
                <w:lang w:val="en-GB"/>
              </w:rPr>
              <w:t>78 (51%)</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34" w14:textId="77777777" w:rsidR="009B3384" w:rsidRDefault="00800862">
            <w:pPr>
              <w:widowControl w:val="0"/>
              <w:jc w:val="center"/>
              <w:rPr>
                <w:lang w:val="en-GB"/>
              </w:rPr>
            </w:pPr>
            <w:r>
              <w:rPr>
                <w:lang w:val="en-GB"/>
              </w:rPr>
              <w:t>17 (23%)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35" w14:textId="77777777" w:rsidR="009B3384" w:rsidRDefault="00800862">
            <w:pPr>
              <w:widowControl w:val="0"/>
              <w:jc w:val="center"/>
              <w:rPr>
                <w:lang w:val="en-GB"/>
              </w:rPr>
            </w:pPr>
            <w:r>
              <w:rPr>
                <w:lang w:val="en-GB"/>
              </w:rPr>
              <w:t>32 (43%)</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36" w14:textId="77777777" w:rsidR="009B3384" w:rsidRDefault="00800862">
            <w:pPr>
              <w:widowControl w:val="0"/>
              <w:jc w:val="center"/>
              <w:rPr>
                <w:lang w:val="en-GB"/>
              </w:rPr>
            </w:pPr>
            <w:r>
              <w:rPr>
                <w:lang w:val="en-GB"/>
              </w:rPr>
              <w:t>34 (47%)</w:t>
            </w:r>
          </w:p>
        </w:tc>
      </w:tr>
      <w:tr w:rsidR="009B3384" w14:paraId="109AD73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38" w14:textId="77777777" w:rsidR="009B3384" w:rsidRDefault="00800862">
            <w:pPr>
              <w:widowControl w:val="0"/>
              <w:rPr>
                <w:i/>
                <w:lang w:val="en-GB"/>
              </w:rPr>
            </w:pPr>
            <w:r>
              <w:rPr>
                <w:i/>
              </w:rPr>
              <w:t>Брой пациенти с</w:t>
            </w:r>
            <w:r>
              <w:rPr>
                <w:i/>
                <w:lang w:val="en-GB"/>
              </w:rPr>
              <w:t xml:space="preserve"> ≥ 3% BSA</w:t>
            </w:r>
            <w:r>
              <w:rPr>
                <w:szCs w:val="18"/>
                <w:vertAlign w:val="superscript"/>
              </w:rPr>
              <w:t>г</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39" w14:textId="77777777" w:rsidR="009B3384" w:rsidRDefault="00800862">
            <w:pPr>
              <w:widowControl w:val="0"/>
              <w:jc w:val="center"/>
              <w:rPr>
                <w:lang w:val="en-GB"/>
              </w:rPr>
            </w:pPr>
            <w:r>
              <w:rPr>
                <w:lang w:val="en-GB"/>
              </w:rPr>
              <w:t>105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3A" w14:textId="77777777" w:rsidR="009B3384" w:rsidRDefault="00800862">
            <w:pPr>
              <w:widowControl w:val="0"/>
              <w:jc w:val="center"/>
              <w:rPr>
                <w:lang w:val="en-GB"/>
              </w:rPr>
            </w:pPr>
            <w:r>
              <w:rPr>
                <w:lang w:val="en-GB"/>
              </w:rPr>
              <w:t>105</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3B" w14:textId="77777777" w:rsidR="009B3384" w:rsidRDefault="00800862">
            <w:pPr>
              <w:widowControl w:val="0"/>
              <w:jc w:val="center"/>
              <w:rPr>
                <w:lang w:val="en-GB"/>
              </w:rPr>
            </w:pPr>
            <w:r>
              <w:rPr>
                <w:lang w:val="en-GB"/>
              </w:rPr>
              <w:t>111</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3C" w14:textId="77777777" w:rsidR="009B3384" w:rsidRDefault="00800862">
            <w:pPr>
              <w:widowControl w:val="0"/>
              <w:jc w:val="center"/>
              <w:rPr>
                <w:lang w:val="en-GB"/>
              </w:rPr>
            </w:pPr>
            <w:r>
              <w:rPr>
                <w:lang w:val="en-GB"/>
              </w:rPr>
              <w:t>54</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3D" w14:textId="77777777" w:rsidR="009B3384" w:rsidRDefault="00800862">
            <w:pPr>
              <w:widowControl w:val="0"/>
              <w:jc w:val="center"/>
              <w:rPr>
                <w:lang w:val="en-GB"/>
              </w:rPr>
            </w:pPr>
            <w:r>
              <w:rPr>
                <w:lang w:val="en-GB"/>
              </w:rPr>
              <w:t>58</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3E" w14:textId="77777777" w:rsidR="009B3384" w:rsidRDefault="00800862">
            <w:pPr>
              <w:widowControl w:val="0"/>
              <w:jc w:val="center"/>
              <w:rPr>
                <w:lang w:val="en-GB"/>
              </w:rPr>
            </w:pPr>
            <w:r>
              <w:rPr>
                <w:lang w:val="en-GB"/>
              </w:rPr>
              <w:t>57</w:t>
            </w:r>
          </w:p>
        </w:tc>
      </w:tr>
      <w:tr w:rsidR="009B3384" w14:paraId="109AD74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40" w14:textId="77777777" w:rsidR="009B3384" w:rsidRDefault="00800862">
            <w:pPr>
              <w:widowControl w:val="0"/>
              <w:ind w:left="284"/>
              <w:rPr>
                <w:lang w:val="en-GB"/>
              </w:rPr>
            </w:pPr>
            <w:r>
              <w:rPr>
                <w:lang w:val="en-GB"/>
              </w:rPr>
              <w:t xml:space="preserve">PASI 75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41" w14:textId="77777777" w:rsidR="009B3384" w:rsidRDefault="00800862">
            <w:pPr>
              <w:widowControl w:val="0"/>
              <w:jc w:val="center"/>
              <w:rPr>
                <w:lang w:val="en-GB"/>
              </w:rPr>
            </w:pPr>
            <w:r>
              <w:rPr>
                <w:lang w:val="en-GB"/>
              </w:rPr>
              <w:t>14 (13%)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42" w14:textId="77777777" w:rsidR="009B3384" w:rsidRDefault="00800862">
            <w:pPr>
              <w:widowControl w:val="0"/>
              <w:jc w:val="center"/>
              <w:rPr>
                <w:lang w:val="en-GB"/>
              </w:rPr>
            </w:pPr>
            <w:r>
              <w:rPr>
                <w:lang w:val="en-GB"/>
              </w:rPr>
              <w:t>64 (61%)</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43" w14:textId="77777777" w:rsidR="009B3384" w:rsidRDefault="00800862">
            <w:pPr>
              <w:widowControl w:val="0"/>
              <w:jc w:val="center"/>
              <w:rPr>
                <w:lang w:val="en-GB"/>
              </w:rPr>
            </w:pPr>
            <w:r>
              <w:rPr>
                <w:lang w:val="en-GB"/>
              </w:rPr>
              <w:t>73 (66%)</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44" w14:textId="77777777" w:rsidR="009B3384" w:rsidRDefault="00800862">
            <w:pPr>
              <w:widowControl w:val="0"/>
              <w:jc w:val="center"/>
              <w:rPr>
                <w:lang w:val="en-GB"/>
              </w:rPr>
            </w:pPr>
            <w:r>
              <w:rPr>
                <w:lang w:val="en-GB"/>
              </w:rPr>
              <w:t>4 (7%)</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45" w14:textId="77777777" w:rsidR="009B3384" w:rsidRDefault="00800862">
            <w:pPr>
              <w:widowControl w:val="0"/>
              <w:jc w:val="center"/>
              <w:rPr>
                <w:lang w:val="en-GB"/>
              </w:rPr>
            </w:pPr>
            <w:r>
              <w:rPr>
                <w:lang w:val="en-GB"/>
              </w:rPr>
              <w:t>31 (53%)</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46" w14:textId="77777777" w:rsidR="009B3384" w:rsidRDefault="00800862">
            <w:pPr>
              <w:widowControl w:val="0"/>
              <w:jc w:val="center"/>
              <w:rPr>
                <w:lang w:val="en-GB"/>
              </w:rPr>
            </w:pPr>
            <w:r>
              <w:rPr>
                <w:lang w:val="en-GB"/>
              </w:rPr>
              <w:t>32 (56%)</w:t>
            </w:r>
          </w:p>
        </w:tc>
      </w:tr>
      <w:tr w:rsidR="009B3384" w14:paraId="109AD74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48" w14:textId="77777777" w:rsidR="009B3384" w:rsidRDefault="00800862">
            <w:pPr>
              <w:widowControl w:val="0"/>
              <w:rPr>
                <w:b/>
                <w:lang w:val="en-GB"/>
              </w:rPr>
            </w:pPr>
            <w:r>
              <w:rPr>
                <w:b/>
              </w:rPr>
              <w:t>Брой пациенти</w:t>
            </w:r>
            <w:r>
              <w:rPr>
                <w:b/>
                <w:lang w:val="en-GB"/>
              </w:rPr>
              <w:t xml:space="preserve"> &gt; 100 kg</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49" w14:textId="77777777" w:rsidR="009B3384" w:rsidRDefault="00800862">
            <w:pPr>
              <w:widowControl w:val="0"/>
              <w:jc w:val="center"/>
              <w:rPr>
                <w:lang w:val="en-GB"/>
              </w:rPr>
            </w:pPr>
            <w:r>
              <w:rPr>
                <w:lang w:val="en-GB"/>
              </w:rPr>
              <w:t>52</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4A" w14:textId="77777777" w:rsidR="009B3384" w:rsidRDefault="00800862">
            <w:pPr>
              <w:widowControl w:val="0"/>
              <w:jc w:val="center"/>
              <w:rPr>
                <w:lang w:val="en-GB"/>
              </w:rPr>
            </w:pPr>
            <w:r>
              <w:rPr>
                <w:lang w:val="en-GB"/>
              </w:rPr>
              <w:t>52</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4B" w14:textId="77777777" w:rsidR="009B3384" w:rsidRDefault="00800862">
            <w:pPr>
              <w:widowControl w:val="0"/>
              <w:jc w:val="center"/>
              <w:rPr>
                <w:lang w:val="en-GB"/>
              </w:rPr>
            </w:pPr>
            <w:r>
              <w:rPr>
                <w:lang w:val="en-GB"/>
              </w:rPr>
              <w:t>50</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4C" w14:textId="77777777" w:rsidR="009B3384" w:rsidRDefault="00800862">
            <w:pPr>
              <w:widowControl w:val="0"/>
              <w:jc w:val="center"/>
              <w:rPr>
                <w:lang w:val="en-GB"/>
              </w:rPr>
            </w:pPr>
            <w:r>
              <w:rPr>
                <w:lang w:val="en-GB"/>
              </w:rPr>
              <w:t>30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4D" w14:textId="77777777" w:rsidR="009B3384" w:rsidRDefault="00800862">
            <w:pPr>
              <w:widowControl w:val="0"/>
              <w:jc w:val="center"/>
              <w:rPr>
                <w:lang w:val="en-GB"/>
              </w:rPr>
            </w:pPr>
            <w:r>
              <w:rPr>
                <w:lang w:val="en-GB"/>
              </w:rPr>
              <w:t>29</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4E" w14:textId="77777777" w:rsidR="009B3384" w:rsidRDefault="00800862">
            <w:pPr>
              <w:widowControl w:val="0"/>
              <w:jc w:val="center"/>
              <w:rPr>
                <w:lang w:val="en-GB"/>
              </w:rPr>
            </w:pPr>
            <w:r>
              <w:rPr>
                <w:lang w:val="en-GB"/>
              </w:rPr>
              <w:t>31</w:t>
            </w:r>
          </w:p>
        </w:tc>
      </w:tr>
      <w:tr w:rsidR="009B3384" w14:paraId="109AD75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50" w14:textId="77777777" w:rsidR="009B3384" w:rsidRDefault="00800862">
            <w:pPr>
              <w:widowControl w:val="0"/>
              <w:ind w:left="284"/>
              <w:rPr>
                <w:lang w:val="en-GB"/>
              </w:rPr>
            </w:pPr>
            <w:r>
              <w:rPr>
                <w:lang w:val="en-GB"/>
              </w:rPr>
              <w:t xml:space="preserve">ACR 20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51" w14:textId="77777777" w:rsidR="009B3384" w:rsidRDefault="00800862">
            <w:pPr>
              <w:widowControl w:val="0"/>
              <w:jc w:val="center"/>
              <w:rPr>
                <w:lang w:val="en-GB"/>
              </w:rPr>
            </w:pPr>
            <w:r>
              <w:rPr>
                <w:lang w:val="en-GB"/>
              </w:rPr>
              <w:t>8 (15%)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52" w14:textId="77777777" w:rsidR="009B3384" w:rsidRDefault="00800862">
            <w:pPr>
              <w:widowControl w:val="0"/>
              <w:jc w:val="center"/>
              <w:rPr>
                <w:lang w:val="en-GB"/>
              </w:rPr>
            </w:pPr>
            <w:r>
              <w:rPr>
                <w:lang w:val="en-GB"/>
              </w:rPr>
              <w:t>20 (38%)</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53" w14:textId="77777777" w:rsidR="009B3384" w:rsidRDefault="00800862">
            <w:pPr>
              <w:widowControl w:val="0"/>
              <w:jc w:val="center"/>
              <w:rPr>
                <w:lang w:val="en-GB"/>
              </w:rPr>
            </w:pPr>
            <w:r>
              <w:rPr>
                <w:lang w:val="en-GB"/>
              </w:rPr>
              <w:t>23 (46%)</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54" w14:textId="77777777" w:rsidR="009B3384" w:rsidRDefault="00800862">
            <w:pPr>
              <w:widowControl w:val="0"/>
              <w:jc w:val="center"/>
              <w:rPr>
                <w:lang w:val="en-GB"/>
              </w:rPr>
            </w:pPr>
            <w:r>
              <w:rPr>
                <w:lang w:val="en-GB"/>
              </w:rPr>
              <w:t>4 (13%)</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55" w14:textId="77777777" w:rsidR="009B3384" w:rsidRDefault="00800862">
            <w:pPr>
              <w:widowControl w:val="0"/>
              <w:jc w:val="center"/>
              <w:rPr>
                <w:lang w:val="en-GB"/>
              </w:rPr>
            </w:pPr>
            <w:r>
              <w:rPr>
                <w:lang w:val="en-GB"/>
              </w:rPr>
              <w:t>13 (45%)</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56" w14:textId="77777777" w:rsidR="009B3384" w:rsidRDefault="00800862">
            <w:pPr>
              <w:widowControl w:val="0"/>
              <w:jc w:val="center"/>
              <w:rPr>
                <w:lang w:val="en-GB"/>
              </w:rPr>
            </w:pPr>
            <w:r>
              <w:rPr>
                <w:lang w:val="en-GB"/>
              </w:rPr>
              <w:t>12 (39%)</w:t>
            </w:r>
          </w:p>
        </w:tc>
      </w:tr>
      <w:tr w:rsidR="009B3384" w14:paraId="109AD75F"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58" w14:textId="77777777" w:rsidR="009B3384" w:rsidRDefault="00800862">
            <w:pPr>
              <w:widowControl w:val="0"/>
              <w:rPr>
                <w:i/>
                <w:lang w:val="en-GB"/>
              </w:rPr>
            </w:pPr>
            <w:r>
              <w:rPr>
                <w:i/>
              </w:rPr>
              <w:t>Брой пациенти с</w:t>
            </w:r>
            <w:r>
              <w:rPr>
                <w:i/>
                <w:lang w:val="en-GB"/>
              </w:rPr>
              <w:t xml:space="preserve"> ≥ 3% BSA</w:t>
            </w:r>
            <w:r>
              <w:rPr>
                <w:szCs w:val="18"/>
                <w:vertAlign w:val="superscript"/>
              </w:rPr>
              <w:t>г</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59" w14:textId="77777777" w:rsidR="009B3384" w:rsidRDefault="00800862">
            <w:pPr>
              <w:widowControl w:val="0"/>
              <w:jc w:val="center"/>
              <w:rPr>
                <w:lang w:val="en-GB"/>
              </w:rPr>
            </w:pPr>
            <w:r>
              <w:rPr>
                <w:lang w:val="en-GB"/>
              </w:rPr>
              <w:t>41</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5A" w14:textId="77777777" w:rsidR="009B3384" w:rsidRDefault="00800862">
            <w:pPr>
              <w:widowControl w:val="0"/>
              <w:jc w:val="center"/>
              <w:rPr>
                <w:lang w:val="en-GB"/>
              </w:rPr>
            </w:pPr>
            <w:r>
              <w:rPr>
                <w:lang w:val="en-GB"/>
              </w:rPr>
              <w:t>40</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5B" w14:textId="77777777" w:rsidR="009B3384" w:rsidRDefault="00800862">
            <w:pPr>
              <w:widowControl w:val="0"/>
              <w:jc w:val="center"/>
              <w:rPr>
                <w:lang w:val="en-GB"/>
              </w:rPr>
            </w:pPr>
            <w:r>
              <w:rPr>
                <w:lang w:val="en-GB"/>
              </w:rPr>
              <w:t>38</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5C" w14:textId="77777777" w:rsidR="009B3384" w:rsidRDefault="00800862">
            <w:pPr>
              <w:widowControl w:val="0"/>
              <w:jc w:val="center"/>
              <w:rPr>
                <w:lang w:val="en-GB"/>
              </w:rPr>
            </w:pPr>
            <w:r>
              <w:rPr>
                <w:lang w:val="en-GB"/>
              </w:rPr>
              <w:t>26</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5D" w14:textId="77777777" w:rsidR="009B3384" w:rsidRDefault="00800862">
            <w:pPr>
              <w:widowControl w:val="0"/>
              <w:jc w:val="center"/>
              <w:rPr>
                <w:lang w:val="en-GB"/>
              </w:rPr>
            </w:pPr>
            <w:r>
              <w:rPr>
                <w:lang w:val="en-GB"/>
              </w:rPr>
              <w:t>22</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5E" w14:textId="77777777" w:rsidR="009B3384" w:rsidRDefault="00800862">
            <w:pPr>
              <w:widowControl w:val="0"/>
              <w:jc w:val="center"/>
              <w:rPr>
                <w:lang w:val="en-GB"/>
              </w:rPr>
            </w:pPr>
            <w:r>
              <w:rPr>
                <w:lang w:val="en-GB"/>
              </w:rPr>
              <w:t>24</w:t>
            </w:r>
          </w:p>
        </w:tc>
      </w:tr>
      <w:tr w:rsidR="009B3384" w14:paraId="109AD767" w14:textId="77777777">
        <w:trPr>
          <w:cantSplit/>
          <w:jc w:val="center"/>
        </w:trPr>
        <w:tc>
          <w:tcPr>
            <w:tcW w:w="1986" w:type="dxa"/>
            <w:tcBorders>
              <w:top w:val="single" w:sz="4" w:space="0" w:color="000000"/>
              <w:left w:val="single" w:sz="4" w:space="0" w:color="000000"/>
              <w:bottom w:val="single" w:sz="4" w:space="0" w:color="000000"/>
              <w:right w:val="single" w:sz="4" w:space="0" w:color="000000"/>
            </w:tcBorders>
            <w:vAlign w:val="center"/>
          </w:tcPr>
          <w:p w14:paraId="109AD760" w14:textId="77777777" w:rsidR="009B3384" w:rsidRDefault="00800862">
            <w:pPr>
              <w:widowControl w:val="0"/>
              <w:ind w:left="284"/>
              <w:rPr>
                <w:lang w:val="en-GB"/>
              </w:rPr>
            </w:pPr>
            <w:r>
              <w:rPr>
                <w:lang w:val="en-GB"/>
              </w:rPr>
              <w:t xml:space="preserve">PASI 75 </w:t>
            </w:r>
            <w:r>
              <w:t>отговор</w:t>
            </w:r>
            <w:r>
              <w:rPr>
                <w:lang w:val="en-GB"/>
              </w:rPr>
              <w:t>, N (%)</w:t>
            </w:r>
          </w:p>
        </w:tc>
        <w:tc>
          <w:tcPr>
            <w:tcW w:w="1081" w:type="dxa"/>
            <w:tcBorders>
              <w:top w:val="single" w:sz="4" w:space="0" w:color="000000"/>
              <w:left w:val="single" w:sz="4" w:space="0" w:color="000000"/>
              <w:bottom w:val="single" w:sz="4" w:space="0" w:color="000000"/>
              <w:right w:val="single" w:sz="4" w:space="0" w:color="000000"/>
            </w:tcBorders>
            <w:vAlign w:val="center"/>
          </w:tcPr>
          <w:p w14:paraId="109AD761" w14:textId="77777777" w:rsidR="009B3384" w:rsidRDefault="00800862">
            <w:pPr>
              <w:widowControl w:val="0"/>
              <w:jc w:val="center"/>
              <w:rPr>
                <w:lang w:val="en-GB"/>
              </w:rPr>
            </w:pPr>
            <w:r>
              <w:rPr>
                <w:lang w:val="en-GB"/>
              </w:rPr>
              <w:t>2 (5%)</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62" w14:textId="77777777" w:rsidR="009B3384" w:rsidRDefault="00800862">
            <w:pPr>
              <w:widowControl w:val="0"/>
              <w:jc w:val="center"/>
              <w:rPr>
                <w:lang w:val="en-GB"/>
              </w:rPr>
            </w:pPr>
            <w:r>
              <w:rPr>
                <w:lang w:val="en-GB"/>
              </w:rPr>
              <w:t>19 (48%)</w:t>
            </w:r>
          </w:p>
        </w:tc>
        <w:tc>
          <w:tcPr>
            <w:tcW w:w="1265" w:type="dxa"/>
            <w:tcBorders>
              <w:top w:val="single" w:sz="4" w:space="0" w:color="000000"/>
              <w:left w:val="single" w:sz="4" w:space="0" w:color="000000"/>
              <w:bottom w:val="single" w:sz="4" w:space="0" w:color="000000"/>
              <w:right w:val="single" w:sz="4" w:space="0" w:color="000000"/>
            </w:tcBorders>
            <w:vAlign w:val="center"/>
          </w:tcPr>
          <w:p w14:paraId="109AD763" w14:textId="77777777" w:rsidR="009B3384" w:rsidRDefault="00800862">
            <w:pPr>
              <w:widowControl w:val="0"/>
              <w:jc w:val="center"/>
              <w:rPr>
                <w:lang w:val="en-GB"/>
              </w:rPr>
            </w:pPr>
            <w:r>
              <w:rPr>
                <w:lang w:val="en-GB"/>
              </w:rPr>
              <w:t>20 (53%)</w:t>
            </w:r>
          </w:p>
        </w:tc>
        <w:tc>
          <w:tcPr>
            <w:tcW w:w="1138" w:type="dxa"/>
            <w:tcBorders>
              <w:top w:val="single" w:sz="4" w:space="0" w:color="000000"/>
              <w:left w:val="single" w:sz="4" w:space="0" w:color="000000"/>
              <w:bottom w:val="single" w:sz="4" w:space="0" w:color="000000"/>
              <w:right w:val="single" w:sz="4" w:space="0" w:color="000000"/>
            </w:tcBorders>
            <w:vAlign w:val="center"/>
          </w:tcPr>
          <w:p w14:paraId="109AD764" w14:textId="77777777" w:rsidR="009B3384" w:rsidRDefault="00800862">
            <w:pPr>
              <w:widowControl w:val="0"/>
              <w:jc w:val="center"/>
              <w:rPr>
                <w:lang w:val="en-GB"/>
              </w:rPr>
            </w:pPr>
            <w:r>
              <w:rPr>
                <w:lang w:val="en-GB"/>
              </w:rPr>
              <w:t>0</w:t>
            </w:r>
          </w:p>
        </w:tc>
        <w:tc>
          <w:tcPr>
            <w:tcW w:w="1201" w:type="dxa"/>
            <w:tcBorders>
              <w:top w:val="single" w:sz="4" w:space="0" w:color="000000"/>
              <w:left w:val="single" w:sz="4" w:space="0" w:color="000000"/>
              <w:bottom w:val="single" w:sz="4" w:space="0" w:color="000000"/>
              <w:right w:val="single" w:sz="4" w:space="0" w:color="000000"/>
            </w:tcBorders>
            <w:vAlign w:val="center"/>
          </w:tcPr>
          <w:p w14:paraId="109AD765" w14:textId="77777777" w:rsidR="009B3384" w:rsidRDefault="00800862">
            <w:pPr>
              <w:widowControl w:val="0"/>
              <w:jc w:val="center"/>
              <w:rPr>
                <w:lang w:val="en-GB"/>
              </w:rPr>
            </w:pPr>
            <w:r>
              <w:rPr>
                <w:lang w:val="en-GB"/>
              </w:rPr>
              <w:t>10 (45%)</w:t>
            </w:r>
          </w:p>
        </w:tc>
        <w:tc>
          <w:tcPr>
            <w:tcW w:w="1199" w:type="dxa"/>
            <w:tcBorders>
              <w:top w:val="single" w:sz="4" w:space="0" w:color="000000"/>
              <w:left w:val="single" w:sz="4" w:space="0" w:color="000000"/>
              <w:bottom w:val="single" w:sz="4" w:space="0" w:color="000000"/>
              <w:right w:val="single" w:sz="4" w:space="0" w:color="000000"/>
            </w:tcBorders>
            <w:vAlign w:val="center"/>
          </w:tcPr>
          <w:p w14:paraId="109AD766" w14:textId="77777777" w:rsidR="009B3384" w:rsidRDefault="00800862">
            <w:pPr>
              <w:widowControl w:val="0"/>
              <w:jc w:val="center"/>
              <w:rPr>
                <w:lang w:val="en-GB"/>
              </w:rPr>
            </w:pPr>
            <w:r>
              <w:rPr>
                <w:lang w:val="en-GB"/>
              </w:rPr>
              <w:t>13 (54%)</w:t>
            </w:r>
          </w:p>
        </w:tc>
      </w:tr>
      <w:tr w:rsidR="009B3384" w14:paraId="109AD76C" w14:textId="77777777">
        <w:trPr>
          <w:cantSplit/>
          <w:jc w:val="center"/>
        </w:trPr>
        <w:tc>
          <w:tcPr>
            <w:tcW w:w="9071" w:type="dxa"/>
            <w:gridSpan w:val="7"/>
            <w:tcBorders>
              <w:top w:val="single" w:sz="4" w:space="0" w:color="000000"/>
            </w:tcBorders>
            <w:vAlign w:val="center"/>
          </w:tcPr>
          <w:p w14:paraId="109AD768" w14:textId="77777777" w:rsidR="009B3384" w:rsidRDefault="00800862">
            <w:pPr>
              <w:widowControl w:val="0"/>
              <w:ind w:left="284" w:hanging="284"/>
              <w:rPr>
                <w:sz w:val="18"/>
                <w:szCs w:val="18"/>
              </w:rPr>
            </w:pPr>
            <w:r>
              <w:rPr>
                <w:szCs w:val="18"/>
                <w:vertAlign w:val="superscript"/>
                <w:lang w:val="en-GB"/>
              </w:rPr>
              <w:t>a</w:t>
            </w:r>
            <w:r>
              <w:rPr>
                <w:szCs w:val="18"/>
                <w:vertAlign w:val="superscript"/>
              </w:rPr>
              <w:tab/>
            </w:r>
            <w:r>
              <w:rPr>
                <w:sz w:val="18"/>
                <w:szCs w:val="18"/>
                <w:lang w:val="en-GB"/>
              </w:rPr>
              <w:t>p </w:t>
            </w:r>
            <w:r>
              <w:rPr>
                <w:sz w:val="18"/>
                <w:szCs w:val="18"/>
              </w:rPr>
              <w:t>&lt;</w:t>
            </w:r>
            <w:r>
              <w:rPr>
                <w:sz w:val="18"/>
                <w:szCs w:val="18"/>
                <w:lang w:val="en-GB"/>
              </w:rPr>
              <w:t> </w:t>
            </w:r>
            <w:r>
              <w:rPr>
                <w:sz w:val="18"/>
                <w:szCs w:val="18"/>
              </w:rPr>
              <w:t>0,001</w:t>
            </w:r>
          </w:p>
          <w:p w14:paraId="109AD769" w14:textId="77777777" w:rsidR="009B3384" w:rsidRDefault="00800862">
            <w:pPr>
              <w:widowControl w:val="0"/>
              <w:ind w:left="284" w:hanging="284"/>
              <w:rPr>
                <w:sz w:val="18"/>
                <w:szCs w:val="18"/>
              </w:rPr>
            </w:pPr>
            <w:r>
              <w:rPr>
                <w:szCs w:val="18"/>
                <w:vertAlign w:val="superscript"/>
              </w:rPr>
              <w:t>б</w:t>
            </w:r>
            <w:r>
              <w:rPr>
                <w:szCs w:val="18"/>
                <w:vertAlign w:val="superscript"/>
              </w:rPr>
              <w:tab/>
            </w:r>
            <w:r>
              <w:rPr>
                <w:sz w:val="18"/>
                <w:szCs w:val="18"/>
                <w:lang w:val="en-GB"/>
              </w:rPr>
              <w:t>p </w:t>
            </w:r>
            <w:r>
              <w:rPr>
                <w:sz w:val="18"/>
                <w:szCs w:val="18"/>
              </w:rPr>
              <w:t>&lt;</w:t>
            </w:r>
            <w:r>
              <w:rPr>
                <w:sz w:val="18"/>
                <w:szCs w:val="18"/>
                <w:lang w:val="en-GB"/>
              </w:rPr>
              <w:t> </w:t>
            </w:r>
            <w:r>
              <w:rPr>
                <w:sz w:val="18"/>
                <w:szCs w:val="18"/>
              </w:rPr>
              <w:t>0,05</w:t>
            </w:r>
          </w:p>
          <w:p w14:paraId="109AD76A" w14:textId="77777777" w:rsidR="009B3384" w:rsidRDefault="00800862">
            <w:pPr>
              <w:widowControl w:val="0"/>
              <w:ind w:left="284" w:hanging="284"/>
              <w:rPr>
                <w:sz w:val="18"/>
                <w:szCs w:val="18"/>
              </w:rPr>
            </w:pPr>
            <w:r>
              <w:rPr>
                <w:szCs w:val="18"/>
                <w:vertAlign w:val="superscript"/>
              </w:rPr>
              <w:t>в</w:t>
            </w:r>
            <w:r>
              <w:rPr>
                <w:szCs w:val="18"/>
                <w:vertAlign w:val="superscript"/>
              </w:rPr>
              <w:tab/>
            </w:r>
            <w:r>
              <w:rPr>
                <w:sz w:val="18"/>
                <w:szCs w:val="18"/>
                <w:lang w:val="en-GB"/>
              </w:rPr>
              <w:t>p </w:t>
            </w:r>
            <w:r>
              <w:rPr>
                <w:sz w:val="18"/>
                <w:szCs w:val="18"/>
              </w:rPr>
              <w:t>=</w:t>
            </w:r>
            <w:r>
              <w:rPr>
                <w:sz w:val="18"/>
                <w:szCs w:val="18"/>
                <w:lang w:val="en-GB"/>
              </w:rPr>
              <w:t> NS</w:t>
            </w:r>
          </w:p>
          <w:p w14:paraId="109AD76B" w14:textId="77777777" w:rsidR="009B3384" w:rsidRDefault="00800862">
            <w:pPr>
              <w:widowControl w:val="0"/>
              <w:ind w:left="284" w:hanging="284"/>
            </w:pPr>
            <w:r>
              <w:rPr>
                <w:szCs w:val="18"/>
                <w:vertAlign w:val="superscript"/>
              </w:rPr>
              <w:t>г</w:t>
            </w:r>
            <w:r>
              <w:rPr>
                <w:szCs w:val="18"/>
                <w:vertAlign w:val="superscript"/>
              </w:rPr>
              <w:tab/>
            </w:r>
            <w:r>
              <w:rPr>
                <w:sz w:val="18"/>
                <w:szCs w:val="18"/>
              </w:rPr>
              <w:t>Брой пациенти с ≥</w:t>
            </w:r>
            <w:r>
              <w:rPr>
                <w:sz w:val="18"/>
                <w:szCs w:val="18"/>
                <w:lang w:val="en-GB"/>
              </w:rPr>
              <w:t> </w:t>
            </w:r>
            <w:r>
              <w:rPr>
                <w:sz w:val="18"/>
                <w:szCs w:val="18"/>
              </w:rPr>
              <w:t xml:space="preserve">3% </w:t>
            </w:r>
            <w:r>
              <w:rPr>
                <w:sz w:val="18"/>
                <w:szCs w:val="18"/>
                <w:lang w:val="en-GB"/>
              </w:rPr>
              <w:t>BSA</w:t>
            </w:r>
            <w:r>
              <w:rPr>
                <w:sz w:val="18"/>
                <w:szCs w:val="18"/>
              </w:rPr>
              <w:t xml:space="preserve"> засегната псориатична кожа на изходно ниво</w:t>
            </w:r>
          </w:p>
        </w:tc>
      </w:tr>
    </w:tbl>
    <w:p w14:paraId="109AD76D" w14:textId="77777777" w:rsidR="009B3384" w:rsidRDefault="009B3384"/>
    <w:p w14:paraId="109AD76E" w14:textId="77777777" w:rsidR="009B3384" w:rsidRDefault="00800862">
      <w:r>
        <w:t xml:space="preserve">ACR 20, 50 и 70 отговори продължават да се подобряват или се поддържат до седмица 52 (PsA Проучване 1 и 2) и седмица 100 (PsA Проучване 1). В PsA Проучване 1, ACR 20 отговори на </w:t>
      </w:r>
      <w:r>
        <w:lastRenderedPageBreak/>
        <w:t xml:space="preserve">седмица 100 са постигнати при 57% и 64%, съответно за </w:t>
      </w:r>
      <w:r>
        <w:rPr>
          <w:lang w:val="ru-RU"/>
        </w:rPr>
        <w:t>45</w:t>
      </w:r>
      <w:r>
        <w:rPr>
          <w:lang w:val="en-GB"/>
        </w:rPr>
        <w:t> mg</w:t>
      </w:r>
      <w:r>
        <w:rPr>
          <w:lang w:val="ru-RU"/>
        </w:rPr>
        <w:t xml:space="preserve"> </w:t>
      </w:r>
      <w:r>
        <w:t>и</w:t>
      </w:r>
      <w:r>
        <w:rPr>
          <w:lang w:val="ru-RU"/>
        </w:rPr>
        <w:t xml:space="preserve"> 90</w:t>
      </w:r>
      <w:r>
        <w:rPr>
          <w:lang w:val="en-GB"/>
        </w:rPr>
        <w:t> mg</w:t>
      </w:r>
      <w:r>
        <w:t xml:space="preserve">. В PsA Проучване 2, ACR 20 отговори на седмица 52 са постигнати при 47% и 48%, съответно за </w:t>
      </w:r>
      <w:r>
        <w:rPr>
          <w:lang w:val="ru-RU"/>
        </w:rPr>
        <w:t>45</w:t>
      </w:r>
      <w:r>
        <w:rPr>
          <w:lang w:val="en-GB"/>
        </w:rPr>
        <w:t> mg</w:t>
      </w:r>
      <w:r>
        <w:rPr>
          <w:lang w:val="ru-RU"/>
        </w:rPr>
        <w:t xml:space="preserve"> </w:t>
      </w:r>
      <w:r>
        <w:t>и</w:t>
      </w:r>
      <w:r>
        <w:rPr>
          <w:lang w:val="ru-RU"/>
        </w:rPr>
        <w:t xml:space="preserve"> 90</w:t>
      </w:r>
      <w:r>
        <w:rPr>
          <w:lang w:val="en-GB"/>
        </w:rPr>
        <w:t> mg</w:t>
      </w:r>
      <w:r>
        <w:t>.</w:t>
      </w:r>
    </w:p>
    <w:p w14:paraId="109AD76F" w14:textId="77777777" w:rsidR="009B3384" w:rsidRDefault="009B3384">
      <w:pPr>
        <w:rPr>
          <w:lang w:val="ru-RU"/>
        </w:rPr>
      </w:pPr>
    </w:p>
    <w:p w14:paraId="109AD770" w14:textId="77777777" w:rsidR="009B3384" w:rsidRDefault="00800862">
      <w:r>
        <w:t>Процентът на пациентите, постигнали отговор по модифицирани PsA критерии на отговор (</w:t>
      </w:r>
      <w:proofErr w:type="spellStart"/>
      <w:r>
        <w:rPr>
          <w:lang w:val="en-GB"/>
        </w:rPr>
        <w:t>PsARC</w:t>
      </w:r>
      <w:proofErr w:type="spellEnd"/>
      <w:r>
        <w:t>) също е значително по-голям при групите на устекинумаб, в сравнение с плацебо на седмица 24. Отговори</w:t>
      </w:r>
      <w:r>
        <w:rPr>
          <w:lang w:val="ru-RU"/>
        </w:rPr>
        <w:t xml:space="preserve"> </w:t>
      </w:r>
      <w:proofErr w:type="spellStart"/>
      <w:r>
        <w:rPr>
          <w:lang w:val="en-GB"/>
        </w:rPr>
        <w:t>PsARC</w:t>
      </w:r>
      <w:proofErr w:type="spellEnd"/>
      <w:r>
        <w:t xml:space="preserve"> се поддържат по време на седмици 52 и 100. По-голям процент от пациентите, лекувани с устекинумаб, които са имали спондилит с периферен артрит като основна диагноза, показват 50 и 70 процентно подобрение в скора по Бат индекс за активност на заболяването при анкилозиращ спондилит (</w:t>
      </w:r>
      <w:r>
        <w:rPr>
          <w:szCs w:val="24"/>
          <w:lang w:val="en-GB"/>
        </w:rPr>
        <w:t>Bath</w:t>
      </w:r>
      <w:r>
        <w:rPr>
          <w:szCs w:val="24"/>
        </w:rPr>
        <w:t xml:space="preserve"> </w:t>
      </w:r>
      <w:r>
        <w:rPr>
          <w:szCs w:val="24"/>
          <w:lang w:val="en-GB"/>
        </w:rPr>
        <w:t>Ankylosing</w:t>
      </w:r>
      <w:r>
        <w:rPr>
          <w:szCs w:val="24"/>
        </w:rPr>
        <w:t xml:space="preserve"> </w:t>
      </w:r>
      <w:r>
        <w:rPr>
          <w:szCs w:val="24"/>
          <w:lang w:val="en-GB"/>
        </w:rPr>
        <w:t>Spondylitis</w:t>
      </w:r>
      <w:r>
        <w:rPr>
          <w:szCs w:val="24"/>
        </w:rPr>
        <w:t xml:space="preserve"> </w:t>
      </w:r>
      <w:r>
        <w:rPr>
          <w:szCs w:val="24"/>
          <w:lang w:val="en-GB"/>
        </w:rPr>
        <w:t>Disease</w:t>
      </w:r>
      <w:r>
        <w:rPr>
          <w:szCs w:val="24"/>
        </w:rPr>
        <w:t xml:space="preserve"> </w:t>
      </w:r>
      <w:r>
        <w:rPr>
          <w:szCs w:val="24"/>
          <w:lang w:val="en-GB"/>
        </w:rPr>
        <w:t>Activity</w:t>
      </w:r>
      <w:r>
        <w:rPr>
          <w:szCs w:val="24"/>
        </w:rPr>
        <w:t xml:space="preserve"> </w:t>
      </w:r>
      <w:r>
        <w:rPr>
          <w:szCs w:val="24"/>
          <w:lang w:val="en-GB"/>
        </w:rPr>
        <w:t>Index</w:t>
      </w:r>
      <w:r>
        <w:rPr>
          <w:szCs w:val="24"/>
        </w:rPr>
        <w:t>,</w:t>
      </w:r>
      <w:r>
        <w:t xml:space="preserve"> BASDAI) в сравнение с плацебо на седмица 24.</w:t>
      </w:r>
    </w:p>
    <w:p w14:paraId="109AD771" w14:textId="77777777" w:rsidR="009B3384" w:rsidRDefault="009B3384"/>
    <w:p w14:paraId="109AD772" w14:textId="77777777" w:rsidR="009B3384" w:rsidRDefault="00800862">
      <w:r>
        <w:t>Отговорите, наблюдавани при групите, лекувани с устекинумаб, са сходни при пациентите, които получават или не получават едновременно MTX и се поддържат по време на седмици 52 и 100. Пациентите, лекувани преди това с анти-TNFα средства, които са получили устекинумаб, са постигнали по-голям отговор на седмица 24 в сравнение с пациентите, получавали плацебо (ACR 20 отговор на седмица 24 за 45</w:t>
      </w:r>
      <w:r>
        <w:rPr>
          <w:lang w:val="en-US"/>
        </w:rPr>
        <w:t> mg</w:t>
      </w:r>
      <w:r>
        <w:t xml:space="preserve"> и 90</w:t>
      </w:r>
      <w:r>
        <w:rPr>
          <w:lang w:val="en-US"/>
        </w:rPr>
        <w:t> mg</w:t>
      </w:r>
      <w:r>
        <w:t xml:space="preserve"> е съответно 37% и 34% в сравнение с плацебо 15%; р &lt; 0,05) и отговорите се поддържат по време на седмица 52.</w:t>
      </w:r>
    </w:p>
    <w:p w14:paraId="109AD773" w14:textId="77777777" w:rsidR="009B3384" w:rsidRDefault="009B3384"/>
    <w:p w14:paraId="109AD774" w14:textId="77777777" w:rsidR="009B3384" w:rsidRDefault="00800862">
      <w:r>
        <w:t>При пациенти с ентезит и/или дактилит на изходно ниво, при PsA Проучване 1 се наблюдава значимо подобрение в скоровет</w:t>
      </w:r>
      <w:r>
        <w:rPr>
          <w:lang w:val="en-US"/>
        </w:rPr>
        <w:t>e</w:t>
      </w:r>
      <w:r>
        <w:t xml:space="preserve"> за ентезит и дактилит при групите на устекинумаб в сравнение с плацебо на седмица 24. В PsA Проучване 2 се наблюдава значимо подобрение в скора за ентезит и числено подобрение (не е статистически значимо) в скора за дактилит при групата на устекинумаб 90</w:t>
      </w:r>
      <w:r>
        <w:rPr>
          <w:lang w:val="en-US"/>
        </w:rPr>
        <w:t> mg</w:t>
      </w:r>
      <w:r>
        <w:t xml:space="preserve"> в сравнение с плацебо на седмица 24. Подобренията в скора за ентезит и в скора за дактилит са поддържани по време на седмици 52 и 100.</w:t>
      </w:r>
    </w:p>
    <w:p w14:paraId="109AD775" w14:textId="77777777" w:rsidR="009B3384" w:rsidRDefault="009B3384"/>
    <w:p w14:paraId="109AD776" w14:textId="77777777" w:rsidR="009B3384" w:rsidRDefault="00800862">
      <w:pPr>
        <w:keepNext/>
        <w:rPr>
          <w:i/>
        </w:rPr>
      </w:pPr>
      <w:r>
        <w:rPr>
          <w:i/>
        </w:rPr>
        <w:t>Радиографски отговор</w:t>
      </w:r>
    </w:p>
    <w:p w14:paraId="109AD777" w14:textId="77777777" w:rsidR="009B3384" w:rsidRDefault="00800862">
      <w:r>
        <w:t xml:space="preserve">Структурно увреждане в двете ръце и краката се изразява като промяна спрямо изходното ниво в общия </w:t>
      </w:r>
      <w:r>
        <w:rPr>
          <w:lang w:val="en-GB"/>
        </w:rPr>
        <w:t>van</w:t>
      </w:r>
      <w:r>
        <w:rPr>
          <w:lang w:val="ru-RU"/>
        </w:rPr>
        <w:t xml:space="preserve"> </w:t>
      </w:r>
      <w:r>
        <w:rPr>
          <w:lang w:val="en-GB"/>
        </w:rPr>
        <w:t>der</w:t>
      </w:r>
      <w:r>
        <w:rPr>
          <w:lang w:val="ru-RU"/>
        </w:rPr>
        <w:t xml:space="preserve"> </w:t>
      </w:r>
      <w:r>
        <w:rPr>
          <w:lang w:val="en-GB"/>
        </w:rPr>
        <w:t>Heijde</w:t>
      </w:r>
      <w:r>
        <w:rPr>
          <w:lang w:val="ru-RU"/>
        </w:rPr>
        <w:t>-</w:t>
      </w:r>
      <w:r>
        <w:rPr>
          <w:lang w:val="en-GB"/>
        </w:rPr>
        <w:t>Sharp</w:t>
      </w:r>
      <w:r>
        <w:t xml:space="preserve"> скор (</w:t>
      </w:r>
      <w:proofErr w:type="spellStart"/>
      <w:r>
        <w:rPr>
          <w:lang w:val="en-GB"/>
        </w:rPr>
        <w:t>vdH</w:t>
      </w:r>
      <w:proofErr w:type="spellEnd"/>
      <w:r>
        <w:rPr>
          <w:lang w:val="ru-RU"/>
        </w:rPr>
        <w:t>-</w:t>
      </w:r>
      <w:r>
        <w:rPr>
          <w:lang w:val="en-GB"/>
        </w:rPr>
        <w:t>S</w:t>
      </w:r>
      <w:r>
        <w:rPr>
          <w:lang w:val="ru-RU"/>
        </w:rPr>
        <w:t xml:space="preserve"> </w:t>
      </w:r>
      <w:r>
        <w:t xml:space="preserve">скор), модифициран за PsA чрез добавяне на дисталните интерфалангеални стави на ръцете. Проведен е предварително дефиниран интегриран анализ на комбинирани данни от 927 пациенти в двете PsA Проучвания 1 и 2. Устекинумаб показва статистически значимо намаление в степента на прогресия на структурното увреждане в сравнение с плацебо, измерено чрез промяна спрямо изходното ниво до 24 седмица в общия модифициран </w:t>
      </w:r>
      <w:proofErr w:type="spellStart"/>
      <w:r>
        <w:rPr>
          <w:lang w:val="en-GB"/>
        </w:rPr>
        <w:t>vdH</w:t>
      </w:r>
      <w:proofErr w:type="spellEnd"/>
      <w:r>
        <w:rPr>
          <w:lang w:val="ru-RU"/>
        </w:rPr>
        <w:t>-</w:t>
      </w:r>
      <w:r>
        <w:rPr>
          <w:lang w:val="en-GB"/>
        </w:rPr>
        <w:t>S</w:t>
      </w:r>
      <w:r>
        <w:rPr>
          <w:lang w:val="ru-RU"/>
        </w:rPr>
        <w:t xml:space="preserve"> </w:t>
      </w:r>
      <w:r>
        <w:t>скор (среден ± SD скор е 0,97</w:t>
      </w:r>
      <w:r>
        <w:rPr>
          <w:lang w:val="nl-BE"/>
        </w:rPr>
        <w:t> </w:t>
      </w:r>
      <w:r>
        <w:t>±</w:t>
      </w:r>
      <w:r>
        <w:rPr>
          <w:lang w:val="nl-BE"/>
        </w:rPr>
        <w:t> </w:t>
      </w:r>
      <w:r>
        <w:t>3,85 в групата на плацебо, в сравнение с 0,40</w:t>
      </w:r>
      <w:r>
        <w:rPr>
          <w:lang w:val="nl-BE"/>
        </w:rPr>
        <w:t> </w:t>
      </w:r>
      <w:r>
        <w:t>±</w:t>
      </w:r>
      <w:r>
        <w:rPr>
          <w:lang w:val="nl-BE"/>
        </w:rPr>
        <w:t> </w:t>
      </w:r>
      <w:r>
        <w:t>2,11 и 0,39</w:t>
      </w:r>
      <w:r>
        <w:rPr>
          <w:lang w:val="nl-BE"/>
        </w:rPr>
        <w:t> </w:t>
      </w:r>
      <w:r>
        <w:t>±</w:t>
      </w:r>
      <w:r>
        <w:rPr>
          <w:lang w:val="nl-BE"/>
        </w:rPr>
        <w:t> </w:t>
      </w:r>
      <w:r>
        <w:t xml:space="preserve">2,40 при съответно устекинумаб групи </w:t>
      </w:r>
      <w:r>
        <w:rPr>
          <w:lang w:val="ru-RU"/>
        </w:rPr>
        <w:t>45</w:t>
      </w:r>
      <w:r>
        <w:rPr>
          <w:lang w:val="en-GB"/>
        </w:rPr>
        <w:t> mg</w:t>
      </w:r>
      <w:r>
        <w:rPr>
          <w:lang w:val="ru-RU"/>
        </w:rPr>
        <w:t xml:space="preserve"> </w:t>
      </w:r>
      <w:r>
        <w:t>(</w:t>
      </w:r>
      <w:r>
        <w:rPr>
          <w:lang w:val="en-GB"/>
        </w:rPr>
        <w:t>p </w:t>
      </w:r>
      <w:r>
        <w:rPr>
          <w:lang w:val="ru-RU"/>
        </w:rPr>
        <w:t>&lt;</w:t>
      </w:r>
      <w:r>
        <w:rPr>
          <w:lang w:val="en-GB"/>
        </w:rPr>
        <w:t> </w:t>
      </w:r>
      <w:r>
        <w:rPr>
          <w:lang w:val="ru-RU"/>
        </w:rPr>
        <w:t>0</w:t>
      </w:r>
      <w:r>
        <w:t>,</w:t>
      </w:r>
      <w:r>
        <w:rPr>
          <w:lang w:val="ru-RU"/>
        </w:rPr>
        <w:t>05</w:t>
      </w:r>
      <w:r>
        <w:t xml:space="preserve">) и </w:t>
      </w:r>
      <w:r>
        <w:rPr>
          <w:lang w:val="ru-RU"/>
        </w:rPr>
        <w:t>90</w:t>
      </w:r>
      <w:r>
        <w:rPr>
          <w:lang w:val="en-GB"/>
        </w:rPr>
        <w:t> mg</w:t>
      </w:r>
      <w:r>
        <w:rPr>
          <w:lang w:val="ru-RU"/>
        </w:rPr>
        <w:t xml:space="preserve"> (</w:t>
      </w:r>
      <w:r>
        <w:rPr>
          <w:lang w:val="en-GB"/>
        </w:rPr>
        <w:t>p </w:t>
      </w:r>
      <w:r>
        <w:rPr>
          <w:lang w:val="ru-RU"/>
        </w:rPr>
        <w:t>&lt;</w:t>
      </w:r>
      <w:r>
        <w:rPr>
          <w:lang w:val="en-GB"/>
        </w:rPr>
        <w:t> </w:t>
      </w:r>
      <w:r>
        <w:rPr>
          <w:lang w:val="ru-RU"/>
        </w:rPr>
        <w:t>0</w:t>
      </w:r>
      <w:r>
        <w:t>,</w:t>
      </w:r>
      <w:r>
        <w:rPr>
          <w:lang w:val="ru-RU"/>
        </w:rPr>
        <w:t>001)</w:t>
      </w:r>
      <w:r>
        <w:t>. Този ефект се дължи на PsA Проучване 1. Ефектът се счита за доказан, независимо от едновременната употреба на MTX и се поддържа по време на седмици 52 (интегриран анализ) и 100 (PsA Проучване 1).</w:t>
      </w:r>
    </w:p>
    <w:p w14:paraId="109AD778" w14:textId="77777777" w:rsidR="009B3384" w:rsidRDefault="009B3384"/>
    <w:p w14:paraId="109AD779" w14:textId="77777777" w:rsidR="009B3384" w:rsidRDefault="00800862">
      <w:pPr>
        <w:keepNext/>
        <w:rPr>
          <w:i/>
        </w:rPr>
      </w:pPr>
      <w:r>
        <w:rPr>
          <w:i/>
        </w:rPr>
        <w:t>Физическо състояние и свързано със здравето качество на живот</w:t>
      </w:r>
    </w:p>
    <w:p w14:paraId="109AD77A" w14:textId="77777777" w:rsidR="009B3384" w:rsidRDefault="00800862">
      <w:r>
        <w:t>Пациенти, лекувани с устекинумаб, са показали значително подобрение на физическото състояние, както е оценено по индекса за инвалидност от въпросника за оценка на здравето (</w:t>
      </w:r>
      <w:r>
        <w:rPr>
          <w:szCs w:val="22"/>
          <w:lang w:val="en-GB"/>
        </w:rPr>
        <w:t>Disability</w:t>
      </w:r>
      <w:r>
        <w:rPr>
          <w:szCs w:val="22"/>
        </w:rPr>
        <w:t xml:space="preserve"> </w:t>
      </w:r>
      <w:r>
        <w:rPr>
          <w:szCs w:val="22"/>
          <w:lang w:val="en-GB"/>
        </w:rPr>
        <w:t>Index</w:t>
      </w:r>
      <w:r>
        <w:rPr>
          <w:szCs w:val="22"/>
        </w:rPr>
        <w:t xml:space="preserve"> </w:t>
      </w:r>
      <w:r>
        <w:rPr>
          <w:szCs w:val="22"/>
          <w:lang w:val="en-GB"/>
        </w:rPr>
        <w:t>of</w:t>
      </w:r>
      <w:r>
        <w:rPr>
          <w:szCs w:val="22"/>
        </w:rPr>
        <w:t xml:space="preserve"> </w:t>
      </w:r>
      <w:r>
        <w:rPr>
          <w:szCs w:val="22"/>
          <w:lang w:val="en-GB"/>
        </w:rPr>
        <w:t>the</w:t>
      </w:r>
      <w:r>
        <w:rPr>
          <w:szCs w:val="22"/>
        </w:rPr>
        <w:t xml:space="preserve"> </w:t>
      </w:r>
      <w:r>
        <w:rPr>
          <w:szCs w:val="22"/>
          <w:lang w:val="en-GB"/>
        </w:rPr>
        <w:t>Health</w:t>
      </w:r>
      <w:r>
        <w:rPr>
          <w:szCs w:val="22"/>
        </w:rPr>
        <w:t xml:space="preserve"> </w:t>
      </w:r>
      <w:r>
        <w:rPr>
          <w:szCs w:val="22"/>
          <w:lang w:val="en-GB"/>
        </w:rPr>
        <w:t>Assessment</w:t>
      </w:r>
      <w:r>
        <w:rPr>
          <w:szCs w:val="22"/>
        </w:rPr>
        <w:t xml:space="preserve"> </w:t>
      </w:r>
      <w:r>
        <w:rPr>
          <w:szCs w:val="22"/>
          <w:lang w:val="en-GB"/>
        </w:rPr>
        <w:t>Questionnaire</w:t>
      </w:r>
      <w:r>
        <w:rPr>
          <w:szCs w:val="22"/>
        </w:rPr>
        <w:t>,</w:t>
      </w:r>
      <w:r>
        <w:t xml:space="preserve"> </w:t>
      </w:r>
      <w:r>
        <w:rPr>
          <w:lang w:val="en-GB"/>
        </w:rPr>
        <w:t>HAQ</w:t>
      </w:r>
      <w:r>
        <w:t>-</w:t>
      </w:r>
      <w:r>
        <w:rPr>
          <w:lang w:val="en-GB"/>
        </w:rPr>
        <w:t>DI</w:t>
      </w:r>
      <w:r>
        <w:t>) на седмица 24. Процентът на пациентите, постигнали клинично значимо ≥ 0,3 подобрение на HAQ-DI скора спрямо изходните стойности, също е значително по-голям при групите на устекинумаб, в сравнение с плацебо. Подобрение на HAQ-DI скор спрямо изходното ниво се поддържа по време на седмици 52 и 100.</w:t>
      </w:r>
    </w:p>
    <w:p w14:paraId="109AD77B" w14:textId="77777777" w:rsidR="009B3384" w:rsidRDefault="009B3384"/>
    <w:p w14:paraId="109AD77C" w14:textId="77777777" w:rsidR="009B3384" w:rsidRDefault="00800862">
      <w:r>
        <w:t>Има значително подобрение в DLQI скоровете при групите на устекинумаб, в сравнение с плацебо на седмица 24, което се поддържа по време на седмици 52 и 100. В PsA Проучване 2 има значително подобрение в скоровете за функционална оценка на терапията за хронично заболяване - умора (</w:t>
      </w:r>
      <w:r>
        <w:rPr>
          <w:lang w:val="en-GB"/>
        </w:rPr>
        <w:t>Functional</w:t>
      </w:r>
      <w:r>
        <w:t xml:space="preserve"> </w:t>
      </w:r>
      <w:r>
        <w:rPr>
          <w:lang w:val="en-GB"/>
        </w:rPr>
        <w:t>Assessment</w:t>
      </w:r>
      <w:r>
        <w:t xml:space="preserve"> </w:t>
      </w:r>
      <w:r>
        <w:rPr>
          <w:lang w:val="en-GB"/>
        </w:rPr>
        <w:t>of</w:t>
      </w:r>
      <w:r>
        <w:t xml:space="preserve"> </w:t>
      </w:r>
      <w:r>
        <w:rPr>
          <w:lang w:val="en-GB"/>
        </w:rPr>
        <w:t>Chronic</w:t>
      </w:r>
      <w:r>
        <w:t xml:space="preserve"> </w:t>
      </w:r>
      <w:r>
        <w:rPr>
          <w:lang w:val="en-GB"/>
        </w:rPr>
        <w:t>Illness</w:t>
      </w:r>
      <w:r>
        <w:t xml:space="preserve"> </w:t>
      </w:r>
      <w:r>
        <w:rPr>
          <w:lang w:val="en-GB"/>
        </w:rPr>
        <w:t>Therapy</w:t>
      </w:r>
      <w:r>
        <w:t xml:space="preserve"> – </w:t>
      </w:r>
      <w:r>
        <w:rPr>
          <w:lang w:val="en-GB"/>
        </w:rPr>
        <w:t>Fatigue</w:t>
      </w:r>
      <w:r>
        <w:t>, FACIT-F) при групите на устекинумаб, в сравнение с плацебо на седмица 24. Процентът на пациентите, достигнали клинично значимо подобрение на умората (4 точки по FACIT-F) също е значително по-голям при групите на устекинумаб, в сравнение с плацебо. Подобренията на FACIT-F скор се поддържат по време на седмица 52.</w:t>
      </w:r>
    </w:p>
    <w:p w14:paraId="109AD77D" w14:textId="77777777" w:rsidR="009B3384" w:rsidRDefault="009B3384"/>
    <w:p w14:paraId="109AD781" w14:textId="77777777" w:rsidR="009B3384" w:rsidRPr="00BC6A43" w:rsidRDefault="00800862">
      <w:pPr>
        <w:keepNext/>
        <w:rPr>
          <w:i/>
          <w:iCs/>
          <w:szCs w:val="22"/>
          <w:u w:val="single"/>
        </w:rPr>
      </w:pPr>
      <w:r w:rsidRPr="00BC6A43">
        <w:rPr>
          <w:i/>
          <w:iCs/>
          <w:szCs w:val="22"/>
          <w:u w:val="single"/>
        </w:rPr>
        <w:lastRenderedPageBreak/>
        <w:t>Болест на Crohn</w:t>
      </w:r>
    </w:p>
    <w:p w14:paraId="109AD782" w14:textId="77777777" w:rsidR="009B3384" w:rsidRDefault="00800862">
      <w:r>
        <w:t xml:space="preserve">Безопасността и ефикасността на устекинумаб са оценени в три рандомизирани, двойно-слепи, плацебо-контролирани, многоцентрови проучвания при възрастни пациенти с умерена до тежка активна болест на Crohn, с Индекс на активността на болестта на </w:t>
      </w:r>
      <w:r>
        <w:rPr>
          <w:lang w:val="en-US"/>
        </w:rPr>
        <w:t>Crohn</w:t>
      </w:r>
      <w:r>
        <w:t xml:space="preserve"> (</w:t>
      </w:r>
      <w:r>
        <w:rPr>
          <w:lang w:val="en-GB"/>
        </w:rPr>
        <w:t>Crohn</w:t>
      </w:r>
      <w:r>
        <w:t>’</w:t>
      </w:r>
      <w:r>
        <w:rPr>
          <w:lang w:val="en-GB"/>
        </w:rPr>
        <w:t>s</w:t>
      </w:r>
      <w:r>
        <w:t xml:space="preserve"> </w:t>
      </w:r>
      <w:r w:rsidRPr="00B42B50">
        <w:rPr>
          <w:szCs w:val="22"/>
          <w:lang w:val="en-GB"/>
          <w:rPrChange w:id="1288" w:author="RABG09" w:date="2026-07-15T13:05:00Z" w16du:dateUtc="2026-07-15T10:05:00Z">
            <w:rPr>
              <w:szCs w:val="22"/>
              <w:u w:val="single"/>
              <w:lang w:val="en-GB"/>
            </w:rPr>
          </w:rPrChange>
        </w:rPr>
        <w:t>Disease</w:t>
      </w:r>
      <w:r>
        <w:rPr>
          <w:szCs w:val="22"/>
          <w:u w:val="single"/>
        </w:rPr>
        <w:t xml:space="preserve"> </w:t>
      </w:r>
      <w:r>
        <w:t>Activity Index, CDAI) ≥</w:t>
      </w:r>
      <w:r>
        <w:rPr>
          <w:szCs w:val="22"/>
        </w:rPr>
        <w:t> </w:t>
      </w:r>
      <w:r>
        <w:t>220 и ≤</w:t>
      </w:r>
      <w:r>
        <w:rPr>
          <w:szCs w:val="22"/>
        </w:rPr>
        <w:t> </w:t>
      </w:r>
      <w:r>
        <w:t>450). Програмата за клинично разработване се състои от две 8-седмични проучвания с интравенозна индукция (UNITI-1 и UNITI-2), последвани от 44</w:t>
      </w:r>
      <w:r>
        <w:rPr>
          <w:szCs w:val="22"/>
        </w:rPr>
        <w:t>-</w:t>
      </w:r>
      <w:r>
        <w:t>седмично рандомизирано проучване с подкожно приложение на поддържаща доза (IM-UNITI), представляващи 52</w:t>
      </w:r>
      <w:r>
        <w:rPr>
          <w:szCs w:val="22"/>
        </w:rPr>
        <w:t>-</w:t>
      </w:r>
      <w:r>
        <w:t>седмична терапия.</w:t>
      </w:r>
    </w:p>
    <w:p w14:paraId="109AD783" w14:textId="77777777" w:rsidR="009B3384" w:rsidRDefault="009B3384">
      <w:pPr>
        <w:rPr>
          <w:iCs/>
        </w:rPr>
      </w:pPr>
    </w:p>
    <w:p w14:paraId="109AD784" w14:textId="77777777" w:rsidR="009B3384" w:rsidRDefault="00800862">
      <w:pPr>
        <w:rPr>
          <w:szCs w:val="24"/>
        </w:rPr>
      </w:pPr>
      <w:r>
        <w:t>Проучванията с индукция включват 1409 (UNITI-1, n</w:t>
      </w:r>
      <w:r>
        <w:rPr>
          <w:szCs w:val="22"/>
        </w:rPr>
        <w:t> </w:t>
      </w:r>
      <w:r>
        <w:t>=</w:t>
      </w:r>
      <w:r>
        <w:rPr>
          <w:szCs w:val="22"/>
        </w:rPr>
        <w:t> </w:t>
      </w:r>
      <w:r>
        <w:t>769; UNITI-2 n</w:t>
      </w:r>
      <w:r>
        <w:rPr>
          <w:szCs w:val="22"/>
        </w:rPr>
        <w:t> </w:t>
      </w:r>
      <w:r>
        <w:t>=</w:t>
      </w:r>
      <w:r>
        <w:rPr>
          <w:szCs w:val="22"/>
        </w:rPr>
        <w:t> </w:t>
      </w:r>
      <w:r>
        <w:t>640) пациенти. Първичната крайна точка за двете индукционни проучвания е процентът на участниците с клиничен отговор (определен като намаление на CDAI скора с ≥</w:t>
      </w:r>
      <w:r>
        <w:rPr>
          <w:szCs w:val="22"/>
        </w:rPr>
        <w:t> </w:t>
      </w:r>
      <w:r>
        <w:t>100</w:t>
      </w:r>
      <w:r>
        <w:rPr>
          <w:szCs w:val="22"/>
        </w:rPr>
        <w:t> </w:t>
      </w:r>
      <w:r>
        <w:t>точки) на седмица</w:t>
      </w:r>
      <w:r>
        <w:rPr>
          <w:szCs w:val="22"/>
        </w:rPr>
        <w:t> </w:t>
      </w:r>
      <w:r>
        <w:t>6</w:t>
      </w:r>
      <w:r>
        <w:rPr>
          <w:szCs w:val="24"/>
        </w:rPr>
        <w:t xml:space="preserve">. </w:t>
      </w:r>
      <w:r>
        <w:t>Данните за ефикасност се събират и анализират до седмица</w:t>
      </w:r>
      <w:r>
        <w:rPr>
          <w:szCs w:val="22"/>
        </w:rPr>
        <w:t> </w:t>
      </w:r>
      <w:r>
        <w:t xml:space="preserve">8 за двете проучвания. </w:t>
      </w:r>
      <w:r>
        <w:rPr>
          <w:szCs w:val="22"/>
        </w:rPr>
        <w:t xml:space="preserve">Едновременното приложение на перорални кортикостероиди, имуномодулатори, аминосалицилати и антибиотици е разрешено и 75% от пациентите продължават да получават най-малко едно от тези лекарства. В двете проучвания пациентите </w:t>
      </w:r>
      <w:r>
        <w:rPr>
          <w:szCs w:val="24"/>
        </w:rPr>
        <w:t>са рандомизирани да получат еднократно интравенозно препоръчителната доза приблизително 6</w:t>
      </w:r>
      <w:r>
        <w:rPr>
          <w:szCs w:val="22"/>
        </w:rPr>
        <w:t> </w:t>
      </w:r>
      <w:r>
        <w:rPr>
          <w:szCs w:val="24"/>
        </w:rPr>
        <w:t>mg/kg в зависимост от телесното тегло (вж. Таблица</w:t>
      </w:r>
      <w:r>
        <w:rPr>
          <w:szCs w:val="22"/>
        </w:rPr>
        <w:t> </w:t>
      </w:r>
      <w:r>
        <w:rPr>
          <w:szCs w:val="24"/>
        </w:rPr>
        <w:t>1, точка</w:t>
      </w:r>
      <w:r>
        <w:rPr>
          <w:szCs w:val="22"/>
        </w:rPr>
        <w:t> </w:t>
      </w:r>
      <w:r>
        <w:rPr>
          <w:szCs w:val="24"/>
        </w:rPr>
        <w:t>4.2), фиксирана доза 130</w:t>
      </w:r>
      <w:r>
        <w:rPr>
          <w:szCs w:val="22"/>
        </w:rPr>
        <w:t> </w:t>
      </w:r>
      <w:r>
        <w:rPr>
          <w:szCs w:val="24"/>
        </w:rPr>
        <w:t xml:space="preserve">mg устекинумаб или плацебо на </w:t>
      </w:r>
      <w:r>
        <w:t>седмица</w:t>
      </w:r>
      <w:r>
        <w:rPr>
          <w:szCs w:val="22"/>
        </w:rPr>
        <w:t> </w:t>
      </w:r>
      <w:r>
        <w:rPr>
          <w:szCs w:val="24"/>
        </w:rPr>
        <w:t>0.</w:t>
      </w:r>
    </w:p>
    <w:p w14:paraId="109AD785" w14:textId="77777777" w:rsidR="009B3384" w:rsidRDefault="009B3384"/>
    <w:p w14:paraId="109AD786" w14:textId="77777777" w:rsidR="009B3384" w:rsidRDefault="00800862">
      <w:r>
        <w:t>Пациентите в UNITI-1 са лекувани неуспешно или имат непоносимост към предшестваща анти-TNFα терапия. Приблизително 48% от пациентите са лекувани неуспешно с 1 предшестваща анти-TNF</w:t>
      </w:r>
      <w:r>
        <w:rPr>
          <w:rFonts w:eastAsia="Symbol"/>
        </w:rPr>
        <w:t>α</w:t>
      </w:r>
      <w:r>
        <w:t xml:space="preserve"> терапия, а 52% са лекувани неуспешно с 2 или 3 предшестващи анти-TNFα терапии. В това проучване 29,1% от пациентите имат недостатъчен начален отговор (първични нереспондери), 69,4% са се повлияли, но са престанали да се повлияват (вторични нереспондери), а 36,4% имат непоносимост към анти-TNF</w:t>
      </w:r>
      <w:r>
        <w:rPr>
          <w:szCs w:val="22"/>
          <w:lang w:val="en-US"/>
        </w:rPr>
        <w:t>α</w:t>
      </w:r>
      <w:r>
        <w:t xml:space="preserve"> терапии.</w:t>
      </w:r>
    </w:p>
    <w:p w14:paraId="109AD787" w14:textId="77777777" w:rsidR="009B3384" w:rsidRDefault="009B3384">
      <w:pPr>
        <w:rPr>
          <w:szCs w:val="24"/>
        </w:rPr>
      </w:pPr>
    </w:p>
    <w:p w14:paraId="109AD788" w14:textId="77777777" w:rsidR="009B3384" w:rsidRDefault="00800862">
      <w:r>
        <w:t>Пациентите в UNITI-2 са лекувани неуспешно най-малко с една конвенционална терапия, включително кортикостероиди или имуномодулатори, като или не са лекувани досега с анти-TNF-α терапия (68,6%), или са получавали преди това анти-TNFα терапия, но тя е била неуспешна (31,4%).</w:t>
      </w:r>
    </w:p>
    <w:p w14:paraId="109AD789" w14:textId="77777777" w:rsidR="009B3384" w:rsidRDefault="009B3384"/>
    <w:p w14:paraId="109AD78A" w14:textId="77777777" w:rsidR="009B3384" w:rsidRDefault="00800862">
      <w:pPr>
        <w:rPr>
          <w:szCs w:val="24"/>
        </w:rPr>
      </w:pPr>
      <w:r>
        <w:t>В двете UNITI-1 и UNITI-2 значимо по-голям процент от пациентите в групата, лекувана с устекинумаб, са с клиничен отговор и ремисия</w:t>
      </w:r>
      <w:r>
        <w:rPr>
          <w:szCs w:val="24"/>
        </w:rPr>
        <w:t xml:space="preserve"> в сравнение с плацебо (Таблица</w:t>
      </w:r>
      <w:r>
        <w:rPr>
          <w:szCs w:val="22"/>
        </w:rPr>
        <w:t> </w:t>
      </w:r>
      <w:r>
        <w:rPr>
          <w:szCs w:val="24"/>
        </w:rPr>
        <w:t>9).</w:t>
      </w:r>
      <w:r>
        <w:t xml:space="preserve"> Клиничният отговор</w:t>
      </w:r>
      <w:r>
        <w:rPr>
          <w:szCs w:val="24"/>
        </w:rPr>
        <w:t xml:space="preserve"> и ремисията са значими още на </w:t>
      </w:r>
      <w:r>
        <w:t>седмица</w:t>
      </w:r>
      <w:r>
        <w:rPr>
          <w:szCs w:val="22"/>
        </w:rPr>
        <w:t> </w:t>
      </w:r>
      <w:r>
        <w:rPr>
          <w:szCs w:val="24"/>
        </w:rPr>
        <w:t xml:space="preserve">3 при пациентите, лекувани с устекинумаб, и те продължават да се подобряват до </w:t>
      </w:r>
      <w:r>
        <w:t>седмица</w:t>
      </w:r>
      <w:r>
        <w:rPr>
          <w:szCs w:val="22"/>
        </w:rPr>
        <w:t> </w:t>
      </w:r>
      <w:r>
        <w:rPr>
          <w:szCs w:val="24"/>
        </w:rPr>
        <w:t>8. В тези проучвания с индукция ефикасността е по-висока и се поддържа по-добре в групата с доза в зависимост от телесното тегло, в сравнение с групата с доза 130</w:t>
      </w:r>
      <w:r>
        <w:rPr>
          <w:szCs w:val="22"/>
        </w:rPr>
        <w:t> </w:t>
      </w:r>
      <w:r>
        <w:rPr>
          <w:szCs w:val="24"/>
        </w:rPr>
        <w:t xml:space="preserve">mg и поради това при </w:t>
      </w:r>
      <w:r>
        <w:t>интравенозна</w:t>
      </w:r>
      <w:r>
        <w:rPr>
          <w:szCs w:val="24"/>
        </w:rPr>
        <w:t xml:space="preserve"> индукция се препоръчва дозирането в зависимост от телесното тегло.</w:t>
      </w:r>
    </w:p>
    <w:p w14:paraId="109AD78B" w14:textId="77777777" w:rsidR="009B3384" w:rsidRDefault="009B3384">
      <w:pPr>
        <w:rPr>
          <w:szCs w:val="24"/>
        </w:rPr>
      </w:pPr>
    </w:p>
    <w:p w14:paraId="109AD78C" w14:textId="77777777" w:rsidR="009B3384" w:rsidRDefault="00800862">
      <w:pPr>
        <w:keepNext/>
        <w:ind w:left="1134" w:hanging="1134"/>
        <w:rPr>
          <w:i/>
          <w:iCs/>
        </w:rPr>
      </w:pPr>
      <w:r>
        <w:rPr>
          <w:i/>
          <w:iCs/>
          <w:szCs w:val="22"/>
        </w:rPr>
        <w:t>Таблица 5:</w:t>
      </w:r>
      <w:r>
        <w:rPr>
          <w:i/>
          <w:iCs/>
          <w:szCs w:val="22"/>
        </w:rPr>
        <w:tab/>
        <w:t>Индукция на клиничен отговор и ремисия в UNITI-1 и UNITI 2</w:t>
      </w:r>
    </w:p>
    <w:tbl>
      <w:tblPr>
        <w:tblW w:w="9072" w:type="dxa"/>
        <w:jc w:val="center"/>
        <w:tblLayout w:type="fixed"/>
        <w:tblLook w:val="0000" w:firstRow="0" w:lastRow="0" w:firstColumn="0" w:lastColumn="0" w:noHBand="0" w:noVBand="0"/>
      </w:tblPr>
      <w:tblGrid>
        <w:gridCol w:w="3505"/>
        <w:gridCol w:w="1391"/>
        <w:gridCol w:w="1392"/>
        <w:gridCol w:w="1392"/>
        <w:gridCol w:w="1392"/>
      </w:tblGrid>
      <w:tr w:rsidR="009B3384" w14:paraId="109AD790"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8D" w14:textId="77777777" w:rsidR="009B3384" w:rsidRDefault="009B3384">
            <w:pPr>
              <w:keepNext/>
              <w:widowControl w:val="0"/>
              <w:tabs>
                <w:tab w:val="clear" w:pos="567"/>
              </w:tabs>
              <w:rPr>
                <w:szCs w:val="22"/>
              </w:rPr>
            </w:pPr>
          </w:p>
        </w:tc>
        <w:tc>
          <w:tcPr>
            <w:tcW w:w="2783" w:type="dxa"/>
            <w:gridSpan w:val="2"/>
            <w:tcBorders>
              <w:top w:val="single" w:sz="4" w:space="0" w:color="000000"/>
              <w:left w:val="single" w:sz="4" w:space="0" w:color="000000"/>
              <w:bottom w:val="single" w:sz="4" w:space="0" w:color="000000"/>
              <w:right w:val="single" w:sz="4" w:space="0" w:color="000000"/>
            </w:tcBorders>
          </w:tcPr>
          <w:p w14:paraId="109AD78E" w14:textId="77777777" w:rsidR="009B3384" w:rsidRDefault="00800862">
            <w:pPr>
              <w:keepNext/>
              <w:widowControl w:val="0"/>
              <w:tabs>
                <w:tab w:val="clear" w:pos="567"/>
              </w:tabs>
              <w:jc w:val="center"/>
              <w:rPr>
                <w:b/>
                <w:bCs/>
                <w:szCs w:val="22"/>
                <w:lang w:val="en-US"/>
              </w:rPr>
            </w:pPr>
            <w:r>
              <w:rPr>
                <w:b/>
                <w:bCs/>
                <w:szCs w:val="22"/>
                <w:lang w:val="en-US"/>
              </w:rPr>
              <w:t>UNITI-1</w:t>
            </w:r>
            <w:r>
              <w:rPr>
                <w:i/>
              </w:rPr>
              <w:t>*</w:t>
            </w:r>
          </w:p>
        </w:tc>
        <w:tc>
          <w:tcPr>
            <w:tcW w:w="2784" w:type="dxa"/>
            <w:gridSpan w:val="2"/>
            <w:tcBorders>
              <w:top w:val="single" w:sz="4" w:space="0" w:color="000000"/>
              <w:left w:val="single" w:sz="4" w:space="0" w:color="000000"/>
              <w:bottom w:val="single" w:sz="4" w:space="0" w:color="000000"/>
              <w:right w:val="single" w:sz="4" w:space="0" w:color="000000"/>
            </w:tcBorders>
          </w:tcPr>
          <w:p w14:paraId="109AD78F" w14:textId="77777777" w:rsidR="009B3384" w:rsidRDefault="00800862">
            <w:pPr>
              <w:keepNext/>
              <w:widowControl w:val="0"/>
              <w:tabs>
                <w:tab w:val="clear" w:pos="567"/>
              </w:tabs>
              <w:jc w:val="center"/>
              <w:rPr>
                <w:b/>
                <w:bCs/>
                <w:szCs w:val="22"/>
                <w:lang w:val="en-US"/>
              </w:rPr>
            </w:pPr>
            <w:r>
              <w:rPr>
                <w:b/>
                <w:bCs/>
                <w:szCs w:val="22"/>
                <w:lang w:val="en-US"/>
              </w:rPr>
              <w:t>UNITI-2</w:t>
            </w:r>
            <w:r>
              <w:rPr>
                <w:i/>
              </w:rPr>
              <w:t>**</w:t>
            </w:r>
          </w:p>
        </w:tc>
      </w:tr>
      <w:tr w:rsidR="009B3384" w14:paraId="109AD79A"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91" w14:textId="77777777" w:rsidR="009B3384" w:rsidRDefault="009B3384">
            <w:pPr>
              <w:keepNext/>
              <w:widowControl w:val="0"/>
              <w:tabs>
                <w:tab w:val="clear" w:pos="567"/>
              </w:tabs>
              <w:rPr>
                <w:szCs w:val="22"/>
              </w:rPr>
            </w:pPr>
          </w:p>
        </w:tc>
        <w:tc>
          <w:tcPr>
            <w:tcW w:w="139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792" w14:textId="77777777" w:rsidR="009B3384" w:rsidRDefault="00800862">
            <w:pPr>
              <w:keepNext/>
              <w:widowControl w:val="0"/>
              <w:tabs>
                <w:tab w:val="clear" w:pos="567"/>
              </w:tabs>
              <w:jc w:val="center"/>
              <w:rPr>
                <w:b/>
                <w:bCs/>
                <w:szCs w:val="22"/>
              </w:rPr>
            </w:pPr>
            <w:r>
              <w:rPr>
                <w:b/>
                <w:bCs/>
                <w:szCs w:val="22"/>
              </w:rPr>
              <w:t>Плацебо</w:t>
            </w:r>
          </w:p>
          <w:p w14:paraId="109AD793" w14:textId="77777777" w:rsidR="009B3384" w:rsidRDefault="00800862">
            <w:pPr>
              <w:keepNext/>
              <w:widowControl w:val="0"/>
              <w:tabs>
                <w:tab w:val="clear" w:pos="567"/>
              </w:tabs>
              <w:jc w:val="center"/>
              <w:rPr>
                <w:szCs w:val="22"/>
              </w:rPr>
            </w:pPr>
            <w:r>
              <w:rPr>
                <w:b/>
                <w:bCs/>
                <w:szCs w:val="22"/>
              </w:rPr>
              <w:t>N</w:t>
            </w:r>
            <w:r>
              <w:rPr>
                <w:szCs w:val="22"/>
              </w:rPr>
              <w:t> </w:t>
            </w:r>
            <w:r>
              <w:rPr>
                <w:b/>
                <w:bCs/>
                <w:szCs w:val="22"/>
              </w:rPr>
              <w:t>=</w:t>
            </w:r>
            <w:r>
              <w:rPr>
                <w:szCs w:val="22"/>
              </w:rPr>
              <w:t> </w:t>
            </w:r>
            <w:r>
              <w:rPr>
                <w:b/>
                <w:bCs/>
                <w:szCs w:val="22"/>
              </w:rPr>
              <w:t>247</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794" w14:textId="77777777" w:rsidR="009B3384" w:rsidRDefault="00800862">
            <w:pPr>
              <w:keepNext/>
              <w:widowControl w:val="0"/>
              <w:tabs>
                <w:tab w:val="clear" w:pos="567"/>
              </w:tabs>
              <w:jc w:val="center"/>
              <w:rPr>
                <w:b/>
                <w:bCs/>
                <w:szCs w:val="22"/>
              </w:rPr>
            </w:pPr>
            <w:r>
              <w:rPr>
                <w:b/>
                <w:bCs/>
                <w:szCs w:val="22"/>
              </w:rPr>
              <w:t>Препоръчителна доза устекинумаб</w:t>
            </w:r>
          </w:p>
          <w:p w14:paraId="109AD795" w14:textId="77777777" w:rsidR="009B3384" w:rsidRDefault="00800862">
            <w:pPr>
              <w:keepNext/>
              <w:widowControl w:val="0"/>
              <w:tabs>
                <w:tab w:val="clear" w:pos="567"/>
              </w:tabs>
              <w:jc w:val="center"/>
              <w:rPr>
                <w:b/>
                <w:bCs/>
                <w:szCs w:val="22"/>
              </w:rPr>
            </w:pPr>
            <w:r>
              <w:rPr>
                <w:b/>
                <w:bCs/>
                <w:szCs w:val="22"/>
              </w:rPr>
              <w:t>N</w:t>
            </w:r>
            <w:r>
              <w:rPr>
                <w:szCs w:val="22"/>
              </w:rPr>
              <w:t> </w:t>
            </w:r>
            <w:r>
              <w:rPr>
                <w:b/>
                <w:bCs/>
                <w:szCs w:val="22"/>
              </w:rPr>
              <w:t>=</w:t>
            </w:r>
            <w:r>
              <w:rPr>
                <w:szCs w:val="22"/>
              </w:rPr>
              <w:t> </w:t>
            </w:r>
            <w:r>
              <w:rPr>
                <w:b/>
                <w:bCs/>
                <w:szCs w:val="22"/>
              </w:rPr>
              <w:t>249</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796" w14:textId="77777777" w:rsidR="009B3384" w:rsidRDefault="00800862">
            <w:pPr>
              <w:keepNext/>
              <w:widowControl w:val="0"/>
              <w:tabs>
                <w:tab w:val="clear" w:pos="567"/>
              </w:tabs>
              <w:jc w:val="center"/>
              <w:rPr>
                <w:b/>
                <w:bCs/>
                <w:szCs w:val="22"/>
              </w:rPr>
            </w:pPr>
            <w:r>
              <w:rPr>
                <w:b/>
                <w:bCs/>
                <w:szCs w:val="22"/>
              </w:rPr>
              <w:t>Плацебо</w:t>
            </w:r>
          </w:p>
          <w:p w14:paraId="109AD797" w14:textId="77777777" w:rsidR="009B3384" w:rsidRDefault="00800862">
            <w:pPr>
              <w:keepNext/>
              <w:widowControl w:val="0"/>
              <w:tabs>
                <w:tab w:val="clear" w:pos="567"/>
              </w:tabs>
              <w:jc w:val="center"/>
              <w:rPr>
                <w:szCs w:val="22"/>
              </w:rPr>
            </w:pPr>
            <w:r>
              <w:rPr>
                <w:b/>
                <w:bCs/>
                <w:szCs w:val="22"/>
              </w:rPr>
              <w:t>N</w:t>
            </w:r>
            <w:r>
              <w:rPr>
                <w:szCs w:val="22"/>
              </w:rPr>
              <w:t> </w:t>
            </w:r>
            <w:r>
              <w:rPr>
                <w:b/>
                <w:bCs/>
                <w:szCs w:val="22"/>
              </w:rPr>
              <w:t>=</w:t>
            </w:r>
            <w:r>
              <w:rPr>
                <w:szCs w:val="22"/>
              </w:rPr>
              <w:t> </w:t>
            </w:r>
            <w:r>
              <w:rPr>
                <w:b/>
                <w:bCs/>
                <w:szCs w:val="22"/>
              </w:rPr>
              <w:t>209</w:t>
            </w:r>
          </w:p>
        </w:tc>
        <w:tc>
          <w:tcPr>
            <w:tcW w:w="1392"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9AD798" w14:textId="77777777" w:rsidR="009B3384" w:rsidRDefault="00800862">
            <w:pPr>
              <w:keepNext/>
              <w:widowControl w:val="0"/>
              <w:tabs>
                <w:tab w:val="clear" w:pos="567"/>
              </w:tabs>
              <w:jc w:val="center"/>
              <w:rPr>
                <w:b/>
                <w:bCs/>
                <w:szCs w:val="22"/>
              </w:rPr>
            </w:pPr>
            <w:r>
              <w:rPr>
                <w:b/>
                <w:bCs/>
                <w:szCs w:val="22"/>
              </w:rPr>
              <w:t>Препоръчителна доза устекинумаб</w:t>
            </w:r>
          </w:p>
          <w:p w14:paraId="109AD799" w14:textId="77777777" w:rsidR="009B3384" w:rsidRDefault="00800862">
            <w:pPr>
              <w:keepNext/>
              <w:widowControl w:val="0"/>
              <w:tabs>
                <w:tab w:val="clear" w:pos="567"/>
              </w:tabs>
              <w:jc w:val="center"/>
              <w:rPr>
                <w:szCs w:val="22"/>
              </w:rPr>
            </w:pPr>
            <w:r>
              <w:rPr>
                <w:b/>
                <w:bCs/>
                <w:szCs w:val="22"/>
              </w:rPr>
              <w:t>N</w:t>
            </w:r>
            <w:r>
              <w:rPr>
                <w:szCs w:val="22"/>
              </w:rPr>
              <w:t> </w:t>
            </w:r>
            <w:r>
              <w:rPr>
                <w:b/>
                <w:bCs/>
                <w:szCs w:val="22"/>
              </w:rPr>
              <w:t>=</w:t>
            </w:r>
            <w:r>
              <w:rPr>
                <w:szCs w:val="22"/>
              </w:rPr>
              <w:t> </w:t>
            </w:r>
            <w:r>
              <w:rPr>
                <w:b/>
                <w:bCs/>
                <w:szCs w:val="22"/>
              </w:rPr>
              <w:t>209</w:t>
            </w:r>
          </w:p>
        </w:tc>
      </w:tr>
      <w:tr w:rsidR="009B3384" w14:paraId="109AD7A0"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9B" w14:textId="77777777" w:rsidR="009B3384" w:rsidRDefault="00800862">
            <w:pPr>
              <w:widowControl w:val="0"/>
              <w:tabs>
                <w:tab w:val="clear" w:pos="567"/>
              </w:tabs>
              <w:rPr>
                <w:szCs w:val="22"/>
                <w:lang w:val="en-US"/>
              </w:rPr>
            </w:pPr>
            <w:r>
              <w:rPr>
                <w:szCs w:val="22"/>
              </w:rPr>
              <w:t xml:space="preserve">Клинична ремисия, </w:t>
            </w:r>
            <w:r>
              <w:t>седмица</w:t>
            </w:r>
            <w:r>
              <w:rPr>
                <w:szCs w:val="22"/>
              </w:rPr>
              <w:t> 8</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79C" w14:textId="77777777" w:rsidR="009B3384" w:rsidRDefault="00800862">
            <w:pPr>
              <w:widowControl w:val="0"/>
              <w:tabs>
                <w:tab w:val="clear" w:pos="567"/>
              </w:tabs>
              <w:jc w:val="center"/>
              <w:rPr>
                <w:szCs w:val="22"/>
                <w:lang w:val="en-US"/>
              </w:rPr>
            </w:pPr>
            <w:r>
              <w:rPr>
                <w:szCs w:val="22"/>
              </w:rPr>
              <w:t>18 (7,3%)</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9D" w14:textId="77777777" w:rsidR="009B3384" w:rsidRDefault="00800862">
            <w:pPr>
              <w:widowControl w:val="0"/>
              <w:tabs>
                <w:tab w:val="clear" w:pos="567"/>
              </w:tabs>
              <w:jc w:val="center"/>
              <w:rPr>
                <w:szCs w:val="22"/>
                <w:lang w:val="en-US"/>
              </w:rPr>
            </w:pPr>
            <w:r>
              <w:rPr>
                <w:szCs w:val="22"/>
              </w:rPr>
              <w:t>52 (20,9%)</w:t>
            </w:r>
            <w:r>
              <w:rPr>
                <w:szCs w:val="22"/>
                <w:vertAlign w:val="superscript"/>
              </w:rPr>
              <w:t>a</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9E" w14:textId="77777777" w:rsidR="009B3384" w:rsidRDefault="00800862">
            <w:pPr>
              <w:widowControl w:val="0"/>
              <w:tabs>
                <w:tab w:val="clear" w:pos="567"/>
              </w:tabs>
              <w:jc w:val="center"/>
              <w:rPr>
                <w:szCs w:val="22"/>
                <w:lang w:val="en-US"/>
              </w:rPr>
            </w:pPr>
            <w:r>
              <w:rPr>
                <w:szCs w:val="22"/>
              </w:rPr>
              <w:t>41 (19,6%)</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9F" w14:textId="77777777" w:rsidR="009B3384" w:rsidRDefault="00800862">
            <w:pPr>
              <w:widowControl w:val="0"/>
              <w:tabs>
                <w:tab w:val="clear" w:pos="567"/>
              </w:tabs>
              <w:jc w:val="center"/>
              <w:rPr>
                <w:szCs w:val="22"/>
                <w:lang w:val="en-US"/>
              </w:rPr>
            </w:pPr>
            <w:r>
              <w:rPr>
                <w:szCs w:val="22"/>
              </w:rPr>
              <w:t>84 (40,2%)</w:t>
            </w:r>
            <w:r>
              <w:rPr>
                <w:szCs w:val="22"/>
                <w:vertAlign w:val="superscript"/>
              </w:rPr>
              <w:t>a</w:t>
            </w:r>
          </w:p>
        </w:tc>
      </w:tr>
      <w:tr w:rsidR="009B3384" w14:paraId="109AD7A6"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A1" w14:textId="77777777" w:rsidR="009B3384" w:rsidRDefault="00800862">
            <w:pPr>
              <w:widowControl w:val="0"/>
              <w:tabs>
                <w:tab w:val="clear" w:pos="567"/>
              </w:tabs>
              <w:rPr>
                <w:szCs w:val="22"/>
                <w:lang w:val="en-US"/>
              </w:rPr>
            </w:pPr>
            <w:r>
              <w:rPr>
                <w:szCs w:val="22"/>
              </w:rPr>
              <w:t xml:space="preserve">Клиничен отговор (100 точки), </w:t>
            </w:r>
            <w:r>
              <w:t>седмица</w:t>
            </w:r>
            <w:r>
              <w:rPr>
                <w:szCs w:val="22"/>
              </w:rPr>
              <w:t> 6</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7A2" w14:textId="77777777" w:rsidR="009B3384" w:rsidRDefault="00800862">
            <w:pPr>
              <w:widowControl w:val="0"/>
              <w:tabs>
                <w:tab w:val="clear" w:pos="567"/>
              </w:tabs>
              <w:jc w:val="center"/>
              <w:rPr>
                <w:szCs w:val="22"/>
                <w:lang w:val="en-US"/>
              </w:rPr>
            </w:pPr>
            <w:r>
              <w:rPr>
                <w:szCs w:val="22"/>
              </w:rPr>
              <w:t>53 (21,5%)</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3" w14:textId="77777777" w:rsidR="009B3384" w:rsidRDefault="00800862">
            <w:pPr>
              <w:widowControl w:val="0"/>
              <w:tabs>
                <w:tab w:val="clear" w:pos="567"/>
              </w:tabs>
              <w:jc w:val="center"/>
              <w:rPr>
                <w:szCs w:val="22"/>
                <w:lang w:val="en-US"/>
              </w:rPr>
            </w:pPr>
            <w:r>
              <w:rPr>
                <w:szCs w:val="22"/>
              </w:rPr>
              <w:t>84 (33,7%)</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4" w14:textId="77777777" w:rsidR="009B3384" w:rsidRDefault="00800862">
            <w:pPr>
              <w:widowControl w:val="0"/>
              <w:tabs>
                <w:tab w:val="clear" w:pos="567"/>
              </w:tabs>
              <w:jc w:val="center"/>
              <w:rPr>
                <w:szCs w:val="22"/>
                <w:lang w:val="en-US"/>
              </w:rPr>
            </w:pPr>
            <w:r>
              <w:rPr>
                <w:szCs w:val="22"/>
              </w:rPr>
              <w:t>60 (28,7%)</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5" w14:textId="77777777" w:rsidR="009B3384" w:rsidRDefault="00800862">
            <w:pPr>
              <w:widowControl w:val="0"/>
              <w:tabs>
                <w:tab w:val="clear" w:pos="567"/>
              </w:tabs>
              <w:jc w:val="center"/>
              <w:rPr>
                <w:szCs w:val="22"/>
                <w:lang w:val="en-US"/>
              </w:rPr>
            </w:pPr>
            <w:r>
              <w:rPr>
                <w:szCs w:val="22"/>
              </w:rPr>
              <w:t>116 (55,5%)</w:t>
            </w:r>
            <w:r>
              <w:rPr>
                <w:szCs w:val="22"/>
                <w:vertAlign w:val="superscript"/>
              </w:rPr>
              <w:t>a</w:t>
            </w:r>
          </w:p>
        </w:tc>
      </w:tr>
      <w:tr w:rsidR="009B3384" w14:paraId="109AD7AC"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A7" w14:textId="77777777" w:rsidR="009B3384" w:rsidRDefault="00800862">
            <w:pPr>
              <w:widowControl w:val="0"/>
              <w:tabs>
                <w:tab w:val="clear" w:pos="567"/>
              </w:tabs>
              <w:rPr>
                <w:szCs w:val="22"/>
                <w:lang w:val="en-US"/>
              </w:rPr>
            </w:pPr>
            <w:r>
              <w:rPr>
                <w:szCs w:val="22"/>
              </w:rPr>
              <w:t xml:space="preserve">Клиничен отговор (100 точки), </w:t>
            </w:r>
            <w:r>
              <w:t>седмица</w:t>
            </w:r>
            <w:r>
              <w:rPr>
                <w:szCs w:val="22"/>
              </w:rPr>
              <w:t> 8</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7A8" w14:textId="77777777" w:rsidR="009B3384" w:rsidRDefault="00800862">
            <w:pPr>
              <w:widowControl w:val="0"/>
              <w:tabs>
                <w:tab w:val="clear" w:pos="567"/>
              </w:tabs>
              <w:jc w:val="center"/>
              <w:rPr>
                <w:szCs w:val="22"/>
                <w:lang w:val="en-US"/>
              </w:rPr>
            </w:pPr>
            <w:r>
              <w:rPr>
                <w:szCs w:val="22"/>
              </w:rPr>
              <w:t>50 (20,2%)</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9" w14:textId="77777777" w:rsidR="009B3384" w:rsidRDefault="00800862">
            <w:pPr>
              <w:widowControl w:val="0"/>
              <w:tabs>
                <w:tab w:val="clear" w:pos="567"/>
              </w:tabs>
              <w:jc w:val="center"/>
              <w:rPr>
                <w:szCs w:val="22"/>
                <w:lang w:val="en-US"/>
              </w:rPr>
            </w:pPr>
            <w:r>
              <w:rPr>
                <w:szCs w:val="22"/>
              </w:rPr>
              <w:t>94 (37,8%)</w:t>
            </w:r>
            <w:r>
              <w:rPr>
                <w:szCs w:val="22"/>
                <w:vertAlign w:val="superscript"/>
              </w:rPr>
              <w:t>a</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A" w14:textId="77777777" w:rsidR="009B3384" w:rsidRDefault="00800862">
            <w:pPr>
              <w:widowControl w:val="0"/>
              <w:tabs>
                <w:tab w:val="clear" w:pos="567"/>
              </w:tabs>
              <w:jc w:val="center"/>
              <w:rPr>
                <w:szCs w:val="22"/>
                <w:lang w:val="en-US"/>
              </w:rPr>
            </w:pPr>
            <w:r>
              <w:rPr>
                <w:szCs w:val="22"/>
              </w:rPr>
              <w:t>67 (32,1%)</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B" w14:textId="77777777" w:rsidR="009B3384" w:rsidRDefault="00800862">
            <w:pPr>
              <w:widowControl w:val="0"/>
              <w:tabs>
                <w:tab w:val="clear" w:pos="567"/>
              </w:tabs>
              <w:jc w:val="center"/>
              <w:rPr>
                <w:szCs w:val="22"/>
                <w:lang w:val="en-US"/>
              </w:rPr>
            </w:pPr>
            <w:r>
              <w:rPr>
                <w:szCs w:val="22"/>
              </w:rPr>
              <w:t>121 (57,9%)</w:t>
            </w:r>
            <w:r>
              <w:rPr>
                <w:szCs w:val="22"/>
                <w:vertAlign w:val="superscript"/>
              </w:rPr>
              <w:t>a</w:t>
            </w:r>
          </w:p>
        </w:tc>
      </w:tr>
      <w:tr w:rsidR="009B3384" w14:paraId="109AD7B2"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AD" w14:textId="77777777" w:rsidR="009B3384" w:rsidRDefault="00800862">
            <w:pPr>
              <w:widowControl w:val="0"/>
              <w:tabs>
                <w:tab w:val="clear" w:pos="567"/>
              </w:tabs>
              <w:rPr>
                <w:szCs w:val="22"/>
                <w:lang w:val="en-US"/>
              </w:rPr>
            </w:pPr>
            <w:r>
              <w:rPr>
                <w:szCs w:val="22"/>
              </w:rPr>
              <w:t xml:space="preserve">70-точков отговор, </w:t>
            </w:r>
            <w:r>
              <w:t>седмица</w:t>
            </w:r>
            <w:r>
              <w:rPr>
                <w:szCs w:val="22"/>
              </w:rPr>
              <w:t> 3</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7AE" w14:textId="77777777" w:rsidR="009B3384" w:rsidRDefault="00800862">
            <w:pPr>
              <w:widowControl w:val="0"/>
              <w:tabs>
                <w:tab w:val="clear" w:pos="567"/>
              </w:tabs>
              <w:jc w:val="center"/>
              <w:rPr>
                <w:szCs w:val="22"/>
                <w:lang w:val="en-US"/>
              </w:rPr>
            </w:pPr>
            <w:r>
              <w:rPr>
                <w:szCs w:val="22"/>
              </w:rPr>
              <w:t>67 (27,1%)</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AF" w14:textId="77777777" w:rsidR="009B3384" w:rsidRDefault="00800862">
            <w:pPr>
              <w:widowControl w:val="0"/>
              <w:tabs>
                <w:tab w:val="clear" w:pos="567"/>
              </w:tabs>
              <w:jc w:val="center"/>
              <w:rPr>
                <w:szCs w:val="22"/>
                <w:lang w:val="en-US"/>
              </w:rPr>
            </w:pPr>
            <w:r>
              <w:rPr>
                <w:szCs w:val="22"/>
              </w:rPr>
              <w:t>101 (40,6%)</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B0" w14:textId="77777777" w:rsidR="009B3384" w:rsidRDefault="00800862">
            <w:pPr>
              <w:widowControl w:val="0"/>
              <w:tabs>
                <w:tab w:val="clear" w:pos="567"/>
              </w:tabs>
              <w:jc w:val="center"/>
              <w:rPr>
                <w:szCs w:val="22"/>
                <w:lang w:val="en-US"/>
              </w:rPr>
            </w:pPr>
            <w:r>
              <w:rPr>
                <w:szCs w:val="22"/>
              </w:rPr>
              <w:t>66 (31,6%)</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B1" w14:textId="77777777" w:rsidR="009B3384" w:rsidRDefault="00800862">
            <w:pPr>
              <w:widowControl w:val="0"/>
              <w:tabs>
                <w:tab w:val="clear" w:pos="567"/>
              </w:tabs>
              <w:jc w:val="center"/>
              <w:rPr>
                <w:szCs w:val="22"/>
                <w:lang w:val="en-US"/>
              </w:rPr>
            </w:pPr>
            <w:r>
              <w:rPr>
                <w:szCs w:val="22"/>
              </w:rPr>
              <w:t>106 (50,7%)</w:t>
            </w:r>
            <w:r>
              <w:rPr>
                <w:szCs w:val="22"/>
                <w:vertAlign w:val="superscript"/>
              </w:rPr>
              <w:t>a</w:t>
            </w:r>
          </w:p>
        </w:tc>
      </w:tr>
      <w:tr w:rsidR="009B3384" w14:paraId="109AD7B8" w14:textId="77777777">
        <w:trPr>
          <w:cantSplit/>
          <w:jc w:val="center"/>
        </w:trPr>
        <w:tc>
          <w:tcPr>
            <w:tcW w:w="3505" w:type="dxa"/>
            <w:tcBorders>
              <w:top w:val="single" w:sz="4" w:space="0" w:color="000000"/>
              <w:left w:val="single" w:sz="4" w:space="0" w:color="000000"/>
              <w:bottom w:val="single" w:sz="4" w:space="0" w:color="000000"/>
              <w:right w:val="single" w:sz="4" w:space="0" w:color="000000"/>
            </w:tcBorders>
          </w:tcPr>
          <w:p w14:paraId="109AD7B3" w14:textId="77777777" w:rsidR="009B3384" w:rsidRDefault="00800862">
            <w:pPr>
              <w:widowControl w:val="0"/>
              <w:tabs>
                <w:tab w:val="clear" w:pos="567"/>
              </w:tabs>
              <w:rPr>
                <w:szCs w:val="22"/>
                <w:lang w:val="en-US"/>
              </w:rPr>
            </w:pPr>
            <w:r>
              <w:rPr>
                <w:szCs w:val="22"/>
              </w:rPr>
              <w:t xml:space="preserve">70-точков отговор, </w:t>
            </w:r>
            <w:r>
              <w:t>седмица</w:t>
            </w:r>
            <w:r>
              <w:rPr>
                <w:szCs w:val="22"/>
              </w:rPr>
              <w:t> 6</w:t>
            </w:r>
          </w:p>
        </w:tc>
        <w:tc>
          <w:tcPr>
            <w:tcW w:w="1391" w:type="dxa"/>
            <w:tcBorders>
              <w:top w:val="single" w:sz="4" w:space="0" w:color="000000"/>
              <w:left w:val="single" w:sz="4" w:space="0" w:color="000000"/>
              <w:bottom w:val="single" w:sz="4" w:space="0" w:color="000000"/>
              <w:right w:val="single" w:sz="4" w:space="0" w:color="000000"/>
            </w:tcBorders>
            <w:vAlign w:val="center"/>
          </w:tcPr>
          <w:p w14:paraId="109AD7B4" w14:textId="77777777" w:rsidR="009B3384" w:rsidRDefault="00800862">
            <w:pPr>
              <w:widowControl w:val="0"/>
              <w:tabs>
                <w:tab w:val="clear" w:pos="567"/>
              </w:tabs>
              <w:jc w:val="center"/>
              <w:rPr>
                <w:szCs w:val="22"/>
                <w:lang w:val="en-US"/>
              </w:rPr>
            </w:pPr>
            <w:r>
              <w:rPr>
                <w:szCs w:val="22"/>
              </w:rPr>
              <w:t>75 (30,4%)</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B5" w14:textId="77777777" w:rsidR="009B3384" w:rsidRDefault="00800862">
            <w:pPr>
              <w:widowControl w:val="0"/>
              <w:tabs>
                <w:tab w:val="clear" w:pos="567"/>
              </w:tabs>
              <w:jc w:val="center"/>
              <w:rPr>
                <w:szCs w:val="22"/>
                <w:lang w:val="en-US"/>
              </w:rPr>
            </w:pPr>
            <w:r>
              <w:rPr>
                <w:szCs w:val="22"/>
              </w:rPr>
              <w:t>109 (43,8%)</w:t>
            </w:r>
            <w:r>
              <w:rPr>
                <w:szCs w:val="22"/>
                <w:vertAlign w:val="superscript"/>
              </w:rPr>
              <w:t>б</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B6" w14:textId="77777777" w:rsidR="009B3384" w:rsidRDefault="00800862">
            <w:pPr>
              <w:widowControl w:val="0"/>
              <w:tabs>
                <w:tab w:val="clear" w:pos="567"/>
              </w:tabs>
              <w:jc w:val="center"/>
              <w:rPr>
                <w:szCs w:val="22"/>
                <w:lang w:val="en-US"/>
              </w:rPr>
            </w:pPr>
            <w:r>
              <w:rPr>
                <w:szCs w:val="22"/>
              </w:rPr>
              <w:t>81 (38,8%)</w:t>
            </w:r>
          </w:p>
        </w:tc>
        <w:tc>
          <w:tcPr>
            <w:tcW w:w="1392" w:type="dxa"/>
            <w:tcBorders>
              <w:top w:val="single" w:sz="4" w:space="0" w:color="000000"/>
              <w:left w:val="single" w:sz="4" w:space="0" w:color="000000"/>
              <w:bottom w:val="single" w:sz="4" w:space="0" w:color="000000"/>
              <w:right w:val="single" w:sz="4" w:space="0" w:color="000000"/>
            </w:tcBorders>
            <w:vAlign w:val="center"/>
          </w:tcPr>
          <w:p w14:paraId="109AD7B7" w14:textId="77777777" w:rsidR="009B3384" w:rsidRDefault="00800862">
            <w:pPr>
              <w:widowControl w:val="0"/>
              <w:tabs>
                <w:tab w:val="clear" w:pos="567"/>
              </w:tabs>
              <w:jc w:val="center"/>
              <w:rPr>
                <w:szCs w:val="22"/>
                <w:lang w:val="en-US"/>
              </w:rPr>
            </w:pPr>
            <w:r>
              <w:rPr>
                <w:szCs w:val="22"/>
              </w:rPr>
              <w:t>135 (64,6%)</w:t>
            </w:r>
            <w:r>
              <w:rPr>
                <w:szCs w:val="22"/>
                <w:vertAlign w:val="superscript"/>
              </w:rPr>
              <w:t>a</w:t>
            </w:r>
          </w:p>
        </w:tc>
      </w:tr>
      <w:tr w:rsidR="009B3384" w14:paraId="109AD7BF" w14:textId="77777777">
        <w:trPr>
          <w:cantSplit/>
          <w:jc w:val="center"/>
        </w:trPr>
        <w:tc>
          <w:tcPr>
            <w:tcW w:w="9072" w:type="dxa"/>
            <w:gridSpan w:val="5"/>
            <w:tcBorders>
              <w:top w:val="single" w:sz="4" w:space="0" w:color="000000"/>
            </w:tcBorders>
          </w:tcPr>
          <w:p w14:paraId="109AD7B9" w14:textId="77777777" w:rsidR="009B3384" w:rsidRDefault="00800862">
            <w:pPr>
              <w:widowControl w:val="0"/>
              <w:rPr>
                <w:sz w:val="18"/>
                <w:szCs w:val="18"/>
              </w:rPr>
            </w:pPr>
            <w:r>
              <w:rPr>
                <w:sz w:val="18"/>
                <w:szCs w:val="18"/>
              </w:rPr>
              <w:lastRenderedPageBreak/>
              <w:t>Клиничната ремисия е определена като CDAI скор &lt; 150; Клиничният отговор е определен като намаление на CDAI скор с най-малко 100 точки или състояние в клинична ремисия</w:t>
            </w:r>
          </w:p>
          <w:p w14:paraId="109AD7BA" w14:textId="77777777" w:rsidR="009B3384" w:rsidRDefault="00800862">
            <w:pPr>
              <w:widowControl w:val="0"/>
              <w:rPr>
                <w:sz w:val="18"/>
                <w:szCs w:val="18"/>
              </w:rPr>
            </w:pPr>
            <w:r>
              <w:rPr>
                <w:sz w:val="18"/>
                <w:szCs w:val="18"/>
              </w:rPr>
              <w:t>70-точковият отговор е определен като намаление на CDAI скор с най-малко 70 точки</w:t>
            </w:r>
          </w:p>
          <w:p w14:paraId="109AD7BB" w14:textId="77777777" w:rsidR="009B3384" w:rsidRDefault="00800862">
            <w:pPr>
              <w:widowControl w:val="0"/>
              <w:ind w:left="284" w:hanging="284"/>
              <w:rPr>
                <w:sz w:val="18"/>
                <w:szCs w:val="18"/>
              </w:rPr>
            </w:pPr>
            <w:r>
              <w:rPr>
                <w:sz w:val="18"/>
                <w:szCs w:val="18"/>
              </w:rPr>
              <w:t>*</w:t>
            </w:r>
            <w:r>
              <w:rPr>
                <w:sz w:val="18"/>
                <w:szCs w:val="18"/>
              </w:rPr>
              <w:tab/>
              <w:t>Неуспех на анти-TNFα терапия</w:t>
            </w:r>
          </w:p>
          <w:p w14:paraId="109AD7BC" w14:textId="77777777" w:rsidR="009B3384" w:rsidRDefault="00800862">
            <w:pPr>
              <w:widowControl w:val="0"/>
              <w:ind w:left="284" w:hanging="284"/>
              <w:rPr>
                <w:sz w:val="18"/>
                <w:szCs w:val="18"/>
              </w:rPr>
            </w:pPr>
            <w:r>
              <w:rPr>
                <w:sz w:val="18"/>
                <w:szCs w:val="18"/>
              </w:rPr>
              <w:t>**</w:t>
            </w:r>
            <w:r>
              <w:rPr>
                <w:sz w:val="18"/>
                <w:szCs w:val="18"/>
              </w:rPr>
              <w:tab/>
              <w:t>Неуспех на конвенционалната терапия</w:t>
            </w:r>
          </w:p>
          <w:p w14:paraId="109AD7BD"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D7BE" w14:textId="77777777" w:rsidR="009B3384" w:rsidRDefault="00800862">
            <w:pPr>
              <w:widowControl w:val="0"/>
              <w:tabs>
                <w:tab w:val="clear" w:pos="567"/>
                <w:tab w:val="left" w:pos="288"/>
              </w:tabs>
              <w:ind w:left="284" w:hanging="284"/>
              <w:rPr>
                <w:sz w:val="20"/>
                <w:lang w:val="en-US"/>
              </w:rPr>
            </w:pPr>
            <w:r>
              <w:rPr>
                <w:szCs w:val="18"/>
                <w:vertAlign w:val="superscript"/>
              </w:rPr>
              <w:t>б</w:t>
            </w:r>
            <w:r>
              <w:rPr>
                <w:szCs w:val="18"/>
                <w:vertAlign w:val="superscript"/>
              </w:rPr>
              <w:tab/>
            </w:r>
            <w:r>
              <w:rPr>
                <w:sz w:val="18"/>
                <w:szCs w:val="18"/>
              </w:rPr>
              <w:t>p &lt; 0,01</w:t>
            </w:r>
          </w:p>
        </w:tc>
      </w:tr>
    </w:tbl>
    <w:p w14:paraId="109AD7C0" w14:textId="77777777" w:rsidR="009B3384" w:rsidRDefault="009B3384"/>
    <w:p w14:paraId="109AD7C1" w14:textId="77777777" w:rsidR="009B3384" w:rsidRDefault="00800862">
      <w:pPr>
        <w:tabs>
          <w:tab w:val="clear" w:pos="567"/>
        </w:tabs>
        <w:rPr>
          <w:szCs w:val="24"/>
        </w:rPr>
      </w:pPr>
      <w:r>
        <w:t>В проучването с поддържаща терапия (IM-UNITI) са оценени 388 пациенти, които достигат 100-точков клиничен отговор на седмица 8 от индукцията с устекинумаб в проучвания UNITI-1 и UNITI-2. Пациентите са рандомизирани на схема на поддържащо лечение с подкожно приложение на 90 mg устекинумаб през 8 седмици, 90 mg устекинумаб през 12 седмици или плацебо в продължение на 44 седмици (за препоръчителната поддържаща доза вж. точка </w:t>
      </w:r>
      <w:r>
        <w:rPr>
          <w:szCs w:val="24"/>
        </w:rPr>
        <w:t>4.2).</w:t>
      </w:r>
    </w:p>
    <w:p w14:paraId="109AD7C2" w14:textId="77777777" w:rsidR="009B3384" w:rsidRDefault="009B3384">
      <w:pPr>
        <w:tabs>
          <w:tab w:val="clear" w:pos="567"/>
        </w:tabs>
        <w:rPr>
          <w:szCs w:val="24"/>
        </w:rPr>
      </w:pPr>
    </w:p>
    <w:p w14:paraId="109AD7C3" w14:textId="77777777" w:rsidR="009B3384" w:rsidRDefault="00800862">
      <w:r>
        <w:t>Значимо по-голям процент пациенти в групите, лекувани с устекинумаб, поддържат клинична ремисия и отговор на седмица</w:t>
      </w:r>
      <w:r>
        <w:rPr>
          <w:szCs w:val="22"/>
        </w:rPr>
        <w:t> </w:t>
      </w:r>
      <w:r>
        <w:t>44 в сравнение с групата на плацебо (вж. Таблица</w:t>
      </w:r>
      <w:r>
        <w:rPr>
          <w:szCs w:val="22"/>
        </w:rPr>
        <w:t> </w:t>
      </w:r>
      <w:r>
        <w:t>10).</w:t>
      </w:r>
    </w:p>
    <w:p w14:paraId="109AD7C4" w14:textId="77777777" w:rsidR="009B3384" w:rsidRDefault="009B3384"/>
    <w:p w14:paraId="109AD7C5" w14:textId="77777777" w:rsidR="009B3384" w:rsidRDefault="00800862">
      <w:pPr>
        <w:keepNext/>
        <w:ind w:left="1134" w:hanging="1134"/>
        <w:rPr>
          <w:i/>
          <w:iCs/>
        </w:rPr>
      </w:pPr>
      <w:r>
        <w:rPr>
          <w:i/>
          <w:iCs/>
          <w:szCs w:val="22"/>
        </w:rPr>
        <w:t>Таблица 6:</w:t>
      </w:r>
      <w:r>
        <w:rPr>
          <w:i/>
          <w:iCs/>
          <w:szCs w:val="22"/>
        </w:rPr>
        <w:tab/>
      </w:r>
      <w:r>
        <w:rPr>
          <w:i/>
          <w:iCs/>
        </w:rPr>
        <w:t>Поддържане на клиничния отговор и ремисия в IM-UNITI (седмица</w:t>
      </w:r>
      <w:r>
        <w:rPr>
          <w:i/>
          <w:szCs w:val="22"/>
        </w:rPr>
        <w:t> </w:t>
      </w:r>
      <w:r>
        <w:rPr>
          <w:i/>
          <w:iCs/>
        </w:rPr>
        <w:t>44; 52</w:t>
      </w:r>
      <w:r>
        <w:rPr>
          <w:i/>
          <w:szCs w:val="22"/>
        </w:rPr>
        <w:t> </w:t>
      </w:r>
      <w:r>
        <w:rPr>
          <w:i/>
          <w:iCs/>
        </w:rPr>
        <w:t>седмици от започване с индукционната доза)</w:t>
      </w:r>
    </w:p>
    <w:tbl>
      <w:tblPr>
        <w:tblW w:w="9072" w:type="dxa"/>
        <w:jc w:val="center"/>
        <w:tblLayout w:type="fixed"/>
        <w:tblLook w:val="04A0" w:firstRow="1" w:lastRow="0" w:firstColumn="1" w:lastColumn="0" w:noHBand="0" w:noVBand="1"/>
      </w:tblPr>
      <w:tblGrid>
        <w:gridCol w:w="4527"/>
        <w:gridCol w:w="1399"/>
        <w:gridCol w:w="1573"/>
        <w:gridCol w:w="1573"/>
      </w:tblGrid>
      <w:tr w:rsidR="009B3384" w14:paraId="109AD7D1" w14:textId="77777777">
        <w:trPr>
          <w:cantSplit/>
          <w:jc w:val="center"/>
        </w:trPr>
        <w:tc>
          <w:tcPr>
            <w:tcW w:w="4526" w:type="dxa"/>
            <w:tcBorders>
              <w:top w:val="single" w:sz="4" w:space="0" w:color="000000"/>
              <w:left w:val="single" w:sz="4" w:space="0" w:color="000000"/>
              <w:bottom w:val="single" w:sz="4" w:space="0" w:color="000000"/>
              <w:right w:val="single" w:sz="8" w:space="0" w:color="000000"/>
            </w:tcBorders>
          </w:tcPr>
          <w:p w14:paraId="109AD7C6" w14:textId="77777777" w:rsidR="009B3384" w:rsidRDefault="009B3384">
            <w:pPr>
              <w:keepNext/>
              <w:widowControl w:val="0"/>
              <w:jc w:val="center"/>
              <w:rPr>
                <w:b/>
                <w:szCs w:val="22"/>
              </w:rPr>
            </w:pPr>
          </w:p>
        </w:tc>
        <w:tc>
          <w:tcPr>
            <w:tcW w:w="1399" w:type="dxa"/>
            <w:tcBorders>
              <w:top w:val="single" w:sz="4" w:space="0" w:color="000000"/>
              <w:bottom w:val="single" w:sz="4" w:space="0" w:color="000000"/>
              <w:right w:val="single" w:sz="8" w:space="0" w:color="000000"/>
            </w:tcBorders>
          </w:tcPr>
          <w:p w14:paraId="109AD7C7" w14:textId="77777777" w:rsidR="009B3384" w:rsidRDefault="00800862">
            <w:pPr>
              <w:keepNext/>
              <w:widowControl w:val="0"/>
              <w:jc w:val="center"/>
              <w:rPr>
                <w:b/>
                <w:szCs w:val="22"/>
              </w:rPr>
            </w:pPr>
            <w:r>
              <w:rPr>
                <w:b/>
                <w:szCs w:val="22"/>
              </w:rPr>
              <w:t>Плацебо*</w:t>
            </w:r>
          </w:p>
          <w:p w14:paraId="109AD7C8" w14:textId="77777777" w:rsidR="009B3384" w:rsidRDefault="009B3384">
            <w:pPr>
              <w:keepNext/>
              <w:widowControl w:val="0"/>
              <w:jc w:val="center"/>
              <w:rPr>
                <w:b/>
                <w:szCs w:val="22"/>
              </w:rPr>
            </w:pPr>
          </w:p>
          <w:p w14:paraId="109AD7C9" w14:textId="77777777" w:rsidR="009B3384" w:rsidRDefault="009B3384">
            <w:pPr>
              <w:keepNext/>
              <w:widowControl w:val="0"/>
              <w:jc w:val="center"/>
              <w:rPr>
                <w:b/>
                <w:szCs w:val="22"/>
              </w:rPr>
            </w:pPr>
          </w:p>
          <w:p w14:paraId="109AD7CA" w14:textId="77777777" w:rsidR="009B3384" w:rsidRDefault="009B3384">
            <w:pPr>
              <w:keepNext/>
              <w:widowControl w:val="0"/>
              <w:jc w:val="center"/>
              <w:rPr>
                <w:b/>
                <w:szCs w:val="22"/>
              </w:rPr>
            </w:pPr>
          </w:p>
          <w:p w14:paraId="109AD7CB"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131</w:t>
            </w:r>
            <w:r>
              <w:rPr>
                <w:b/>
                <w:szCs w:val="22"/>
                <w:vertAlign w:val="superscript"/>
              </w:rPr>
              <w:t>†</w:t>
            </w:r>
          </w:p>
        </w:tc>
        <w:tc>
          <w:tcPr>
            <w:tcW w:w="1573" w:type="dxa"/>
            <w:tcBorders>
              <w:top w:val="single" w:sz="4" w:space="0" w:color="000000"/>
              <w:bottom w:val="single" w:sz="4" w:space="0" w:color="000000"/>
              <w:right w:val="single" w:sz="8" w:space="0" w:color="000000"/>
            </w:tcBorders>
          </w:tcPr>
          <w:p w14:paraId="109AD7CC" w14:textId="77777777" w:rsidR="009B3384" w:rsidRDefault="00800862">
            <w:pPr>
              <w:keepNext/>
              <w:widowControl w:val="0"/>
              <w:jc w:val="center"/>
              <w:rPr>
                <w:b/>
                <w:szCs w:val="22"/>
              </w:rPr>
            </w:pPr>
            <w:r>
              <w:rPr>
                <w:b/>
                <w:szCs w:val="22"/>
              </w:rPr>
              <w:t>90</w:t>
            </w:r>
            <w:r>
              <w:rPr>
                <w:szCs w:val="22"/>
              </w:rPr>
              <w:t> </w:t>
            </w:r>
            <w:r>
              <w:rPr>
                <w:b/>
                <w:szCs w:val="22"/>
              </w:rPr>
              <w:t>mg устекинумаб през 8</w:t>
            </w:r>
            <w:r>
              <w:rPr>
                <w:szCs w:val="22"/>
              </w:rPr>
              <w:t> </w:t>
            </w:r>
            <w:r>
              <w:rPr>
                <w:b/>
                <w:szCs w:val="22"/>
              </w:rPr>
              <w:t>седмици</w:t>
            </w:r>
          </w:p>
          <w:p w14:paraId="109AD7CD" w14:textId="77777777" w:rsidR="009B3384" w:rsidRDefault="009B3384">
            <w:pPr>
              <w:keepNext/>
              <w:widowControl w:val="0"/>
              <w:jc w:val="center"/>
              <w:rPr>
                <w:b/>
                <w:szCs w:val="22"/>
              </w:rPr>
            </w:pPr>
          </w:p>
          <w:p w14:paraId="109AD7CE"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128</w:t>
            </w:r>
            <w:r>
              <w:rPr>
                <w:b/>
                <w:szCs w:val="22"/>
                <w:vertAlign w:val="superscript"/>
              </w:rPr>
              <w:t>†</w:t>
            </w:r>
          </w:p>
        </w:tc>
        <w:tc>
          <w:tcPr>
            <w:tcW w:w="1573" w:type="dxa"/>
            <w:tcBorders>
              <w:top w:val="single" w:sz="4" w:space="0" w:color="000000"/>
              <w:bottom w:val="single" w:sz="4" w:space="0" w:color="000000"/>
              <w:right w:val="single" w:sz="4" w:space="0" w:color="000000"/>
            </w:tcBorders>
          </w:tcPr>
          <w:p w14:paraId="109AD7CF" w14:textId="77777777" w:rsidR="009B3384" w:rsidRDefault="00800862">
            <w:pPr>
              <w:keepNext/>
              <w:widowControl w:val="0"/>
              <w:jc w:val="center"/>
              <w:rPr>
                <w:b/>
                <w:szCs w:val="22"/>
              </w:rPr>
            </w:pPr>
            <w:r>
              <w:rPr>
                <w:b/>
                <w:szCs w:val="22"/>
              </w:rPr>
              <w:t>90</w:t>
            </w:r>
            <w:r>
              <w:rPr>
                <w:szCs w:val="22"/>
              </w:rPr>
              <w:t> </w:t>
            </w:r>
            <w:r>
              <w:rPr>
                <w:b/>
                <w:szCs w:val="22"/>
              </w:rPr>
              <w:t>mg устекинумаб през 12</w:t>
            </w:r>
            <w:r>
              <w:rPr>
                <w:szCs w:val="22"/>
              </w:rPr>
              <w:t> </w:t>
            </w:r>
            <w:r>
              <w:rPr>
                <w:b/>
                <w:szCs w:val="22"/>
              </w:rPr>
              <w:t>седмици</w:t>
            </w:r>
          </w:p>
          <w:p w14:paraId="109AD7D0" w14:textId="77777777" w:rsidR="009B3384" w:rsidRDefault="00800862">
            <w:pPr>
              <w:keepNext/>
              <w:widowControl w:val="0"/>
              <w:jc w:val="center"/>
              <w:rPr>
                <w:b/>
                <w:szCs w:val="22"/>
              </w:rPr>
            </w:pPr>
            <w:r>
              <w:rPr>
                <w:b/>
                <w:szCs w:val="22"/>
              </w:rPr>
              <w:t>N</w:t>
            </w:r>
            <w:r>
              <w:rPr>
                <w:szCs w:val="22"/>
              </w:rPr>
              <w:t> </w:t>
            </w:r>
            <w:r>
              <w:rPr>
                <w:b/>
                <w:szCs w:val="22"/>
              </w:rPr>
              <w:t>=</w:t>
            </w:r>
            <w:r>
              <w:rPr>
                <w:szCs w:val="22"/>
              </w:rPr>
              <w:t> </w:t>
            </w:r>
            <w:r>
              <w:rPr>
                <w:b/>
                <w:szCs w:val="22"/>
              </w:rPr>
              <w:t>129</w:t>
            </w:r>
            <w:r>
              <w:rPr>
                <w:b/>
                <w:szCs w:val="22"/>
                <w:vertAlign w:val="superscript"/>
              </w:rPr>
              <w:t>†</w:t>
            </w:r>
          </w:p>
        </w:tc>
      </w:tr>
      <w:tr w:rsidR="009B3384" w14:paraId="109AD7D6" w14:textId="77777777">
        <w:trPr>
          <w:cantSplit/>
          <w:jc w:val="center"/>
        </w:trPr>
        <w:tc>
          <w:tcPr>
            <w:tcW w:w="4526" w:type="dxa"/>
            <w:tcBorders>
              <w:top w:val="single" w:sz="4" w:space="0" w:color="000000"/>
              <w:left w:val="single" w:sz="4" w:space="0" w:color="000000"/>
              <w:bottom w:val="single" w:sz="4" w:space="0" w:color="000000"/>
              <w:right w:val="single" w:sz="8" w:space="0" w:color="000000"/>
            </w:tcBorders>
          </w:tcPr>
          <w:p w14:paraId="109AD7D2" w14:textId="77777777" w:rsidR="009B3384" w:rsidRDefault="00800862">
            <w:pPr>
              <w:widowControl w:val="0"/>
              <w:rPr>
                <w:rFonts w:eastAsia="Calibri"/>
              </w:rPr>
            </w:pPr>
            <w:r>
              <w:t>Клинична ремисия</w:t>
            </w:r>
          </w:p>
        </w:tc>
        <w:tc>
          <w:tcPr>
            <w:tcW w:w="1399" w:type="dxa"/>
            <w:tcBorders>
              <w:top w:val="single" w:sz="4" w:space="0" w:color="000000"/>
              <w:bottom w:val="single" w:sz="4" w:space="0" w:color="000000"/>
              <w:right w:val="single" w:sz="8" w:space="0" w:color="000000"/>
            </w:tcBorders>
            <w:vAlign w:val="center"/>
          </w:tcPr>
          <w:p w14:paraId="109AD7D3" w14:textId="77777777" w:rsidR="009B3384" w:rsidRDefault="00800862">
            <w:pPr>
              <w:widowControl w:val="0"/>
              <w:jc w:val="center"/>
              <w:rPr>
                <w:szCs w:val="22"/>
              </w:rPr>
            </w:pPr>
            <w:r>
              <w:rPr>
                <w:szCs w:val="22"/>
              </w:rPr>
              <w:t>36%</w:t>
            </w:r>
          </w:p>
        </w:tc>
        <w:tc>
          <w:tcPr>
            <w:tcW w:w="1573" w:type="dxa"/>
            <w:tcBorders>
              <w:top w:val="single" w:sz="4" w:space="0" w:color="000000"/>
              <w:bottom w:val="single" w:sz="4" w:space="0" w:color="000000"/>
              <w:right w:val="single" w:sz="8" w:space="0" w:color="000000"/>
            </w:tcBorders>
            <w:vAlign w:val="center"/>
          </w:tcPr>
          <w:p w14:paraId="109AD7D4" w14:textId="77777777" w:rsidR="009B3384" w:rsidRDefault="00800862">
            <w:pPr>
              <w:widowControl w:val="0"/>
              <w:jc w:val="center"/>
              <w:rPr>
                <w:szCs w:val="22"/>
              </w:rPr>
            </w:pPr>
            <w:r>
              <w:rPr>
                <w:szCs w:val="22"/>
              </w:rPr>
              <w:t>53%</w:t>
            </w:r>
            <w:r>
              <w:rPr>
                <w:szCs w:val="22"/>
                <w:vertAlign w:val="superscript"/>
              </w:rPr>
              <w:t>a</w:t>
            </w:r>
          </w:p>
        </w:tc>
        <w:tc>
          <w:tcPr>
            <w:tcW w:w="1573" w:type="dxa"/>
            <w:tcBorders>
              <w:top w:val="single" w:sz="4" w:space="0" w:color="000000"/>
              <w:bottom w:val="single" w:sz="4" w:space="0" w:color="000000"/>
              <w:right w:val="single" w:sz="4" w:space="0" w:color="000000"/>
            </w:tcBorders>
            <w:vAlign w:val="center"/>
          </w:tcPr>
          <w:p w14:paraId="109AD7D5" w14:textId="77777777" w:rsidR="009B3384" w:rsidRDefault="00800862">
            <w:pPr>
              <w:widowControl w:val="0"/>
              <w:jc w:val="center"/>
              <w:rPr>
                <w:szCs w:val="22"/>
              </w:rPr>
            </w:pPr>
            <w:r>
              <w:rPr>
                <w:szCs w:val="22"/>
              </w:rPr>
              <w:t>49%</w:t>
            </w:r>
            <w:r>
              <w:rPr>
                <w:szCs w:val="22"/>
                <w:vertAlign w:val="superscript"/>
              </w:rPr>
              <w:t>б</w:t>
            </w:r>
          </w:p>
        </w:tc>
      </w:tr>
      <w:tr w:rsidR="009B3384" w14:paraId="109AD7DB"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7D7" w14:textId="77777777" w:rsidR="009B3384" w:rsidRDefault="00800862">
            <w:pPr>
              <w:widowControl w:val="0"/>
              <w:rPr>
                <w:rFonts w:eastAsia="Calibri"/>
              </w:rPr>
            </w:pPr>
            <w:r>
              <w:t>Клиничен отговор</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7D8" w14:textId="77777777" w:rsidR="009B3384" w:rsidRDefault="00800862">
            <w:pPr>
              <w:widowControl w:val="0"/>
              <w:jc w:val="center"/>
              <w:rPr>
                <w:szCs w:val="22"/>
              </w:rPr>
            </w:pPr>
            <w:r>
              <w:rPr>
                <w:szCs w:val="22"/>
              </w:rPr>
              <w:t>44%</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D9" w14:textId="77777777" w:rsidR="009B3384" w:rsidRDefault="00800862">
            <w:pPr>
              <w:widowControl w:val="0"/>
              <w:jc w:val="center"/>
              <w:rPr>
                <w:szCs w:val="22"/>
              </w:rPr>
            </w:pPr>
            <w:r>
              <w:rPr>
                <w:szCs w:val="22"/>
              </w:rPr>
              <w:t>59%</w:t>
            </w:r>
            <w:r>
              <w:rPr>
                <w:szCs w:val="22"/>
                <w:vertAlign w:val="superscript"/>
              </w:rPr>
              <w:t>б</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DA" w14:textId="77777777" w:rsidR="009B3384" w:rsidRDefault="00800862">
            <w:pPr>
              <w:widowControl w:val="0"/>
              <w:jc w:val="center"/>
              <w:rPr>
                <w:szCs w:val="22"/>
              </w:rPr>
            </w:pPr>
            <w:r>
              <w:rPr>
                <w:szCs w:val="22"/>
              </w:rPr>
              <w:t>58%</w:t>
            </w:r>
            <w:r>
              <w:rPr>
                <w:szCs w:val="22"/>
                <w:vertAlign w:val="superscript"/>
              </w:rPr>
              <w:t>б</w:t>
            </w:r>
          </w:p>
        </w:tc>
      </w:tr>
      <w:tr w:rsidR="009B3384" w14:paraId="109AD7E0"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7DC" w14:textId="77777777" w:rsidR="009B3384" w:rsidRDefault="00800862">
            <w:pPr>
              <w:widowControl w:val="0"/>
              <w:rPr>
                <w:rFonts w:eastAsia="Calibri"/>
              </w:rPr>
            </w:pPr>
            <w:r>
              <w:t xml:space="preserve">Клинична ремисия без кортикостероиди </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7DD" w14:textId="77777777" w:rsidR="009B3384" w:rsidRDefault="00800862">
            <w:pPr>
              <w:widowControl w:val="0"/>
              <w:jc w:val="center"/>
              <w:rPr>
                <w:szCs w:val="22"/>
              </w:rPr>
            </w:pPr>
            <w:r>
              <w:rPr>
                <w:szCs w:val="22"/>
              </w:rPr>
              <w:t>30%</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DE" w14:textId="77777777" w:rsidR="009B3384" w:rsidRDefault="00800862">
            <w:pPr>
              <w:widowControl w:val="0"/>
              <w:jc w:val="center"/>
              <w:rPr>
                <w:szCs w:val="22"/>
              </w:rPr>
            </w:pPr>
            <w:r>
              <w:rPr>
                <w:szCs w:val="22"/>
              </w:rPr>
              <w:t>47%</w:t>
            </w:r>
            <w:r>
              <w:rPr>
                <w:szCs w:val="22"/>
                <w:vertAlign w:val="superscript"/>
              </w:rPr>
              <w:t>a</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DF" w14:textId="77777777" w:rsidR="009B3384" w:rsidRDefault="00800862">
            <w:pPr>
              <w:widowControl w:val="0"/>
              <w:jc w:val="center"/>
              <w:rPr>
                <w:szCs w:val="22"/>
              </w:rPr>
            </w:pPr>
            <w:r>
              <w:rPr>
                <w:szCs w:val="22"/>
              </w:rPr>
              <w:t>43%</w:t>
            </w:r>
            <w:r>
              <w:rPr>
                <w:szCs w:val="22"/>
                <w:vertAlign w:val="superscript"/>
              </w:rPr>
              <w:t>в</w:t>
            </w:r>
          </w:p>
        </w:tc>
      </w:tr>
      <w:tr w:rsidR="009B3384" w14:paraId="109AD7E5"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7E1" w14:textId="77777777" w:rsidR="009B3384" w:rsidRDefault="00800862">
            <w:pPr>
              <w:widowControl w:val="0"/>
              <w:rPr>
                <w:rFonts w:eastAsia="Calibri"/>
                <w:b/>
                <w:bCs/>
              </w:rPr>
            </w:pPr>
            <w:r>
              <w:t>Клинична ремисия при пациенти:</w:t>
            </w:r>
            <w:r>
              <w:rPr>
                <w:b/>
                <w:bCs/>
              </w:rPr>
              <w:t xml:space="preserve"> </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7E2" w14:textId="77777777" w:rsidR="009B3384" w:rsidRDefault="009B3384">
            <w:pPr>
              <w:widowControl w:val="0"/>
              <w:jc w:val="center"/>
              <w:rPr>
                <w:szCs w:val="22"/>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109AD7E3" w14:textId="77777777" w:rsidR="009B3384" w:rsidRDefault="009B3384">
            <w:pPr>
              <w:widowControl w:val="0"/>
              <w:jc w:val="center"/>
              <w:rPr>
                <w:szCs w:val="22"/>
              </w:rPr>
            </w:pPr>
          </w:p>
        </w:tc>
        <w:tc>
          <w:tcPr>
            <w:tcW w:w="1573" w:type="dxa"/>
            <w:tcBorders>
              <w:top w:val="single" w:sz="4" w:space="0" w:color="000000"/>
              <w:left w:val="single" w:sz="4" w:space="0" w:color="000000"/>
              <w:bottom w:val="single" w:sz="4" w:space="0" w:color="000000"/>
              <w:right w:val="single" w:sz="4" w:space="0" w:color="000000"/>
            </w:tcBorders>
            <w:vAlign w:val="center"/>
          </w:tcPr>
          <w:p w14:paraId="109AD7E4" w14:textId="77777777" w:rsidR="009B3384" w:rsidRDefault="009B3384">
            <w:pPr>
              <w:widowControl w:val="0"/>
              <w:jc w:val="center"/>
              <w:rPr>
                <w:szCs w:val="22"/>
              </w:rPr>
            </w:pPr>
          </w:p>
        </w:tc>
      </w:tr>
      <w:tr w:rsidR="009B3384" w14:paraId="109AD7EA"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7E6" w14:textId="77777777" w:rsidR="009B3384" w:rsidRDefault="00800862">
            <w:pPr>
              <w:widowControl w:val="0"/>
              <w:tabs>
                <w:tab w:val="clear" w:pos="567"/>
              </w:tabs>
              <w:ind w:left="567"/>
              <w:rPr>
                <w:rFonts w:eastAsia="Calibri"/>
                <w:szCs w:val="22"/>
              </w:rPr>
            </w:pPr>
            <w:r>
              <w:rPr>
                <w:szCs w:val="22"/>
              </w:rPr>
              <w:t>в ремисия в началото на поддържащата терапия</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7E7" w14:textId="77777777" w:rsidR="009B3384" w:rsidRDefault="00800862">
            <w:pPr>
              <w:widowControl w:val="0"/>
              <w:jc w:val="center"/>
              <w:rPr>
                <w:szCs w:val="22"/>
              </w:rPr>
            </w:pPr>
            <w:r>
              <w:rPr>
                <w:szCs w:val="22"/>
              </w:rPr>
              <w:t>46% (36/79)</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E8" w14:textId="77777777" w:rsidR="009B3384" w:rsidRDefault="00800862">
            <w:pPr>
              <w:widowControl w:val="0"/>
              <w:jc w:val="center"/>
              <w:rPr>
                <w:szCs w:val="22"/>
              </w:rPr>
            </w:pPr>
            <w:r>
              <w:rPr>
                <w:szCs w:val="22"/>
              </w:rPr>
              <w:t>67% (52/78)</w:t>
            </w:r>
            <w:r>
              <w:rPr>
                <w:szCs w:val="22"/>
                <w:vertAlign w:val="superscript"/>
              </w:rPr>
              <w:t>a</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E9" w14:textId="77777777" w:rsidR="009B3384" w:rsidRDefault="00800862">
            <w:pPr>
              <w:widowControl w:val="0"/>
              <w:jc w:val="center"/>
              <w:rPr>
                <w:szCs w:val="22"/>
              </w:rPr>
            </w:pPr>
            <w:r>
              <w:rPr>
                <w:szCs w:val="22"/>
              </w:rPr>
              <w:t>56% (44/78)</w:t>
            </w:r>
          </w:p>
        </w:tc>
      </w:tr>
      <w:tr w:rsidR="009B3384" w14:paraId="109AD7EF"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7EB" w14:textId="77777777" w:rsidR="009B3384" w:rsidRDefault="00800862">
            <w:pPr>
              <w:widowControl w:val="0"/>
              <w:tabs>
                <w:tab w:val="clear" w:pos="567"/>
              </w:tabs>
              <w:ind w:left="567"/>
              <w:rPr>
                <w:rFonts w:eastAsia="Calibri"/>
                <w:szCs w:val="22"/>
              </w:rPr>
            </w:pPr>
            <w:r>
              <w:rPr>
                <w:szCs w:val="22"/>
              </w:rPr>
              <w:t xml:space="preserve">които се включват от проучване </w:t>
            </w:r>
            <w:r>
              <w:rPr>
                <w:szCs w:val="22"/>
                <w:lang w:val="en-US"/>
              </w:rPr>
              <w:t>CRD</w:t>
            </w:r>
            <w:r>
              <w:rPr>
                <w:szCs w:val="22"/>
              </w:rPr>
              <w:t>3002</w:t>
            </w:r>
            <w:r>
              <w:rPr>
                <w:vertAlign w:val="superscript"/>
              </w:rPr>
              <w:t>‡</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7EC" w14:textId="77777777" w:rsidR="009B3384" w:rsidRDefault="00800862">
            <w:pPr>
              <w:widowControl w:val="0"/>
              <w:jc w:val="center"/>
              <w:rPr>
                <w:szCs w:val="22"/>
              </w:rPr>
            </w:pPr>
            <w:r>
              <w:rPr>
                <w:szCs w:val="22"/>
              </w:rPr>
              <w:t>44% (31/70)</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ED" w14:textId="77777777" w:rsidR="009B3384" w:rsidRDefault="00800862">
            <w:pPr>
              <w:widowControl w:val="0"/>
              <w:jc w:val="center"/>
              <w:rPr>
                <w:szCs w:val="22"/>
              </w:rPr>
            </w:pPr>
            <w:r>
              <w:rPr>
                <w:szCs w:val="22"/>
              </w:rPr>
              <w:t>63% (45/72)</w:t>
            </w:r>
            <w:r>
              <w:rPr>
                <w:szCs w:val="22"/>
                <w:vertAlign w:val="superscript"/>
              </w:rPr>
              <w:t>в</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EE" w14:textId="77777777" w:rsidR="009B3384" w:rsidRDefault="00800862">
            <w:pPr>
              <w:widowControl w:val="0"/>
              <w:jc w:val="center"/>
              <w:rPr>
                <w:szCs w:val="22"/>
              </w:rPr>
            </w:pPr>
            <w:r>
              <w:rPr>
                <w:szCs w:val="22"/>
              </w:rPr>
              <w:t>57% (41/72)</w:t>
            </w:r>
          </w:p>
        </w:tc>
      </w:tr>
      <w:tr w:rsidR="009B3384" w14:paraId="109AD7F4" w14:textId="77777777">
        <w:trPr>
          <w:cantSplit/>
          <w:jc w:val="center"/>
        </w:trPr>
        <w:tc>
          <w:tcPr>
            <w:tcW w:w="4526" w:type="dxa"/>
            <w:tcBorders>
              <w:top w:val="single" w:sz="4" w:space="0" w:color="000000"/>
              <w:left w:val="single" w:sz="4" w:space="0" w:color="000000"/>
              <w:bottom w:val="single" w:sz="4" w:space="0" w:color="000000"/>
              <w:right w:val="single" w:sz="4" w:space="0" w:color="000000"/>
            </w:tcBorders>
          </w:tcPr>
          <w:p w14:paraId="109AD7F0" w14:textId="77777777" w:rsidR="009B3384" w:rsidRDefault="00800862">
            <w:pPr>
              <w:widowControl w:val="0"/>
              <w:tabs>
                <w:tab w:val="clear" w:pos="567"/>
              </w:tabs>
              <w:ind w:left="567"/>
              <w:rPr>
                <w:rFonts w:eastAsia="Calibri"/>
                <w:szCs w:val="22"/>
              </w:rPr>
            </w:pPr>
            <w:r>
              <w:rPr>
                <w:szCs w:val="22"/>
              </w:rPr>
              <w:t>които не са лекувани досега с анти-</w:t>
            </w:r>
            <w:r>
              <w:rPr>
                <w:szCs w:val="22"/>
                <w:lang w:val="en-US"/>
              </w:rPr>
              <w:t>TNFα</w:t>
            </w:r>
            <w:r>
              <w:rPr>
                <w:szCs w:val="22"/>
              </w:rPr>
              <w:t xml:space="preserve"> терапия</w:t>
            </w:r>
          </w:p>
        </w:tc>
        <w:tc>
          <w:tcPr>
            <w:tcW w:w="1399" w:type="dxa"/>
            <w:tcBorders>
              <w:top w:val="single" w:sz="4" w:space="0" w:color="000000"/>
              <w:left w:val="single" w:sz="4" w:space="0" w:color="000000"/>
              <w:bottom w:val="single" w:sz="4" w:space="0" w:color="000000"/>
              <w:right w:val="single" w:sz="4" w:space="0" w:color="000000"/>
            </w:tcBorders>
            <w:vAlign w:val="center"/>
          </w:tcPr>
          <w:p w14:paraId="109AD7F1" w14:textId="77777777" w:rsidR="009B3384" w:rsidRDefault="00800862">
            <w:pPr>
              <w:widowControl w:val="0"/>
              <w:jc w:val="center"/>
              <w:rPr>
                <w:szCs w:val="22"/>
              </w:rPr>
            </w:pPr>
            <w:r>
              <w:rPr>
                <w:szCs w:val="22"/>
              </w:rPr>
              <w:t>49% (25/51)</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F2" w14:textId="77777777" w:rsidR="009B3384" w:rsidRDefault="00800862">
            <w:pPr>
              <w:widowControl w:val="0"/>
              <w:jc w:val="center"/>
              <w:rPr>
                <w:szCs w:val="22"/>
              </w:rPr>
            </w:pPr>
            <w:r>
              <w:rPr>
                <w:szCs w:val="22"/>
              </w:rPr>
              <w:t>65% (34/52)</w:t>
            </w:r>
            <w:r>
              <w:rPr>
                <w:szCs w:val="22"/>
                <w:vertAlign w:val="superscript"/>
              </w:rPr>
              <w:t>в</w:t>
            </w:r>
          </w:p>
        </w:tc>
        <w:tc>
          <w:tcPr>
            <w:tcW w:w="1573" w:type="dxa"/>
            <w:tcBorders>
              <w:top w:val="single" w:sz="4" w:space="0" w:color="000000"/>
              <w:left w:val="single" w:sz="4" w:space="0" w:color="000000"/>
              <w:bottom w:val="single" w:sz="4" w:space="0" w:color="000000"/>
              <w:right w:val="single" w:sz="4" w:space="0" w:color="000000"/>
            </w:tcBorders>
            <w:vAlign w:val="center"/>
          </w:tcPr>
          <w:p w14:paraId="109AD7F3" w14:textId="77777777" w:rsidR="009B3384" w:rsidRDefault="00800862">
            <w:pPr>
              <w:widowControl w:val="0"/>
              <w:jc w:val="center"/>
              <w:rPr>
                <w:szCs w:val="22"/>
              </w:rPr>
            </w:pPr>
            <w:r>
              <w:rPr>
                <w:szCs w:val="22"/>
              </w:rPr>
              <w:t>57% (30/53)</w:t>
            </w:r>
          </w:p>
        </w:tc>
      </w:tr>
      <w:tr w:rsidR="009B3384" w14:paraId="109AD7F9" w14:textId="77777777">
        <w:trPr>
          <w:cantSplit/>
          <w:jc w:val="center"/>
        </w:trPr>
        <w:tc>
          <w:tcPr>
            <w:tcW w:w="4526" w:type="dxa"/>
            <w:tcBorders>
              <w:top w:val="single" w:sz="4" w:space="0" w:color="000000"/>
              <w:left w:val="single" w:sz="4" w:space="0" w:color="000000"/>
              <w:bottom w:val="single" w:sz="8" w:space="0" w:color="000000"/>
              <w:right w:val="single" w:sz="8" w:space="0" w:color="000000"/>
            </w:tcBorders>
          </w:tcPr>
          <w:p w14:paraId="109AD7F5" w14:textId="77777777" w:rsidR="009B3384" w:rsidRDefault="00800862">
            <w:pPr>
              <w:widowControl w:val="0"/>
              <w:tabs>
                <w:tab w:val="clear" w:pos="567"/>
              </w:tabs>
              <w:ind w:left="567"/>
              <w:rPr>
                <w:szCs w:val="22"/>
              </w:rPr>
            </w:pPr>
            <w:r>
              <w:rPr>
                <w:szCs w:val="22"/>
              </w:rPr>
              <w:t xml:space="preserve">които се включват от проучване </w:t>
            </w:r>
            <w:r>
              <w:rPr>
                <w:szCs w:val="22"/>
                <w:lang w:val="en-US"/>
              </w:rPr>
              <w:t>CRD</w:t>
            </w:r>
            <w:r>
              <w:rPr>
                <w:szCs w:val="22"/>
              </w:rPr>
              <w:t>3001</w:t>
            </w:r>
            <w:r>
              <w:rPr>
                <w:vertAlign w:val="superscript"/>
              </w:rPr>
              <w:t>§</w:t>
            </w:r>
          </w:p>
        </w:tc>
        <w:tc>
          <w:tcPr>
            <w:tcW w:w="1399" w:type="dxa"/>
            <w:tcBorders>
              <w:top w:val="single" w:sz="4" w:space="0" w:color="000000"/>
              <w:bottom w:val="single" w:sz="8" w:space="0" w:color="000000"/>
              <w:right w:val="single" w:sz="8" w:space="0" w:color="000000"/>
            </w:tcBorders>
            <w:vAlign w:val="center"/>
          </w:tcPr>
          <w:p w14:paraId="109AD7F6" w14:textId="77777777" w:rsidR="009B3384" w:rsidRDefault="00800862">
            <w:pPr>
              <w:widowControl w:val="0"/>
              <w:jc w:val="center"/>
              <w:rPr>
                <w:szCs w:val="22"/>
              </w:rPr>
            </w:pPr>
            <w:r>
              <w:rPr>
                <w:szCs w:val="22"/>
              </w:rPr>
              <w:t>26% (16/61)</w:t>
            </w:r>
          </w:p>
        </w:tc>
        <w:tc>
          <w:tcPr>
            <w:tcW w:w="1573" w:type="dxa"/>
            <w:tcBorders>
              <w:top w:val="single" w:sz="4" w:space="0" w:color="000000"/>
              <w:bottom w:val="single" w:sz="8" w:space="0" w:color="000000"/>
              <w:right w:val="single" w:sz="8" w:space="0" w:color="000000"/>
            </w:tcBorders>
            <w:vAlign w:val="center"/>
          </w:tcPr>
          <w:p w14:paraId="109AD7F7" w14:textId="77777777" w:rsidR="009B3384" w:rsidRDefault="00800862">
            <w:pPr>
              <w:widowControl w:val="0"/>
              <w:jc w:val="center"/>
              <w:rPr>
                <w:szCs w:val="22"/>
              </w:rPr>
            </w:pPr>
            <w:r>
              <w:rPr>
                <w:szCs w:val="22"/>
              </w:rPr>
              <w:t>41% (23/56)</w:t>
            </w:r>
          </w:p>
        </w:tc>
        <w:tc>
          <w:tcPr>
            <w:tcW w:w="1573" w:type="dxa"/>
            <w:tcBorders>
              <w:top w:val="single" w:sz="4" w:space="0" w:color="000000"/>
              <w:bottom w:val="single" w:sz="8" w:space="0" w:color="000000"/>
              <w:right w:val="single" w:sz="4" w:space="0" w:color="000000"/>
            </w:tcBorders>
            <w:vAlign w:val="center"/>
          </w:tcPr>
          <w:p w14:paraId="109AD7F8" w14:textId="77777777" w:rsidR="009B3384" w:rsidRDefault="00800862">
            <w:pPr>
              <w:widowControl w:val="0"/>
              <w:jc w:val="center"/>
              <w:rPr>
                <w:szCs w:val="22"/>
              </w:rPr>
            </w:pPr>
            <w:r>
              <w:rPr>
                <w:szCs w:val="22"/>
              </w:rPr>
              <w:t>39% (22/57)</w:t>
            </w:r>
          </w:p>
        </w:tc>
      </w:tr>
      <w:tr w:rsidR="009B3384" w14:paraId="109AD802" w14:textId="77777777">
        <w:trPr>
          <w:cantSplit/>
          <w:jc w:val="center"/>
        </w:trPr>
        <w:tc>
          <w:tcPr>
            <w:tcW w:w="9071" w:type="dxa"/>
            <w:gridSpan w:val="4"/>
            <w:tcBorders>
              <w:top w:val="single" w:sz="8" w:space="0" w:color="000000"/>
            </w:tcBorders>
          </w:tcPr>
          <w:p w14:paraId="109AD7FA" w14:textId="77777777" w:rsidR="009B3384" w:rsidRDefault="00800862">
            <w:pPr>
              <w:widowControl w:val="0"/>
              <w:tabs>
                <w:tab w:val="clear" w:pos="567"/>
              </w:tabs>
              <w:ind w:left="284" w:hanging="284"/>
              <w:rPr>
                <w:sz w:val="18"/>
                <w:szCs w:val="18"/>
              </w:rPr>
            </w:pPr>
            <w:r>
              <w:rPr>
                <w:sz w:val="18"/>
                <w:szCs w:val="18"/>
              </w:rPr>
              <w:t xml:space="preserve">Клиничната ремисия е определена като </w:t>
            </w:r>
            <w:r>
              <w:rPr>
                <w:sz w:val="18"/>
                <w:szCs w:val="18"/>
                <w:lang w:val="en-US"/>
              </w:rPr>
              <w:t>CDAI</w:t>
            </w:r>
            <w:r>
              <w:rPr>
                <w:sz w:val="18"/>
                <w:szCs w:val="18"/>
              </w:rPr>
              <w:t xml:space="preserve"> скор &lt; 150; Клиничният отговор е определен като намаление на </w:t>
            </w:r>
            <w:r>
              <w:rPr>
                <w:sz w:val="18"/>
                <w:szCs w:val="18"/>
                <w:lang w:val="en-US"/>
              </w:rPr>
              <w:t>CDAI</w:t>
            </w:r>
            <w:r>
              <w:rPr>
                <w:sz w:val="18"/>
                <w:szCs w:val="18"/>
              </w:rPr>
              <w:t xml:space="preserve"> скор с най-малко 100 точки или състояние в клинична ремисия</w:t>
            </w:r>
          </w:p>
          <w:p w14:paraId="109AD7FB" w14:textId="77777777" w:rsidR="009B3384" w:rsidRDefault="00800862">
            <w:pPr>
              <w:widowControl w:val="0"/>
              <w:tabs>
                <w:tab w:val="clear" w:pos="567"/>
              </w:tabs>
              <w:ind w:left="284" w:hanging="284"/>
              <w:rPr>
                <w:rFonts w:cs="Calibri"/>
                <w:sz w:val="18"/>
                <w:szCs w:val="18"/>
              </w:rPr>
            </w:pPr>
            <w:r>
              <w:rPr>
                <w:sz w:val="18"/>
                <w:szCs w:val="18"/>
              </w:rPr>
              <w:t>*</w:t>
            </w:r>
            <w:r>
              <w:rPr>
                <w:sz w:val="18"/>
                <w:szCs w:val="18"/>
              </w:rPr>
              <w:tab/>
              <w:t>Групата на плацебо се състои от пациенти, които са се повлияли от устекинумаб и са рандомизирани да получават плацебо в началото на поддържащата терапия.</w:t>
            </w:r>
          </w:p>
          <w:p w14:paraId="109AD7FC" w14:textId="77777777" w:rsidR="009B3384" w:rsidRDefault="00800862">
            <w:pPr>
              <w:widowControl w:val="0"/>
              <w:tabs>
                <w:tab w:val="clear" w:pos="567"/>
              </w:tabs>
              <w:ind w:left="284" w:hanging="284"/>
              <w:rPr>
                <w:sz w:val="18"/>
                <w:szCs w:val="18"/>
              </w:rPr>
            </w:pPr>
            <w:r>
              <w:rPr>
                <w:sz w:val="18"/>
                <w:szCs w:val="18"/>
              </w:rPr>
              <w:t>†</w:t>
            </w:r>
            <w:r>
              <w:rPr>
                <w:sz w:val="18"/>
                <w:szCs w:val="18"/>
              </w:rPr>
              <w:tab/>
              <w:t>Пациенти, които имат 100-точков клиничен отговор към устекинумаб в началото на поддържащата терапия</w:t>
            </w:r>
          </w:p>
          <w:p w14:paraId="109AD7FD" w14:textId="77777777" w:rsidR="009B3384" w:rsidRDefault="00800862">
            <w:pPr>
              <w:widowControl w:val="0"/>
              <w:tabs>
                <w:tab w:val="clear" w:pos="567"/>
              </w:tabs>
              <w:ind w:left="284" w:hanging="284"/>
              <w:rPr>
                <w:sz w:val="18"/>
                <w:szCs w:val="18"/>
              </w:rPr>
            </w:pPr>
            <w:r>
              <w:rPr>
                <w:vertAlign w:val="superscript"/>
              </w:rPr>
              <w:t>‡</w:t>
            </w:r>
            <w:r>
              <w:rPr>
                <w:vertAlign w:val="superscript"/>
              </w:rPr>
              <w:tab/>
            </w:r>
            <w:r>
              <w:rPr>
                <w:sz w:val="18"/>
                <w:szCs w:val="18"/>
              </w:rPr>
              <w:t>Пациенти, които не са се повлияли от конвенционалната терапия, но не анти-TNFα терапия</w:t>
            </w:r>
          </w:p>
          <w:p w14:paraId="109AD7FE" w14:textId="77777777" w:rsidR="009B3384" w:rsidRDefault="00800862">
            <w:pPr>
              <w:widowControl w:val="0"/>
              <w:tabs>
                <w:tab w:val="clear" w:pos="567"/>
              </w:tabs>
              <w:ind w:left="284" w:hanging="284"/>
              <w:rPr>
                <w:sz w:val="18"/>
                <w:szCs w:val="18"/>
              </w:rPr>
            </w:pPr>
            <w:r>
              <w:rPr>
                <w:vertAlign w:val="superscript"/>
              </w:rPr>
              <w:t>§</w:t>
            </w:r>
            <w:r>
              <w:rPr>
                <w:vertAlign w:val="superscript"/>
              </w:rPr>
              <w:tab/>
            </w:r>
            <w:r>
              <w:rPr>
                <w:sz w:val="18"/>
                <w:szCs w:val="18"/>
              </w:rPr>
              <w:t>Пациенти, които са рефрактерни или имат непоносимост към анти-TNFα терапия</w:t>
            </w:r>
          </w:p>
          <w:p w14:paraId="109AD7FF" w14:textId="77777777" w:rsidR="009B3384" w:rsidRDefault="00800862">
            <w:pPr>
              <w:widowControl w:val="0"/>
              <w:tabs>
                <w:tab w:val="clear" w:pos="567"/>
              </w:tabs>
              <w:ind w:left="284" w:hanging="284"/>
              <w:rPr>
                <w:sz w:val="18"/>
                <w:szCs w:val="18"/>
              </w:rPr>
            </w:pPr>
            <w:r>
              <w:rPr>
                <w:szCs w:val="18"/>
                <w:vertAlign w:val="superscript"/>
                <w:lang w:val="en-US"/>
              </w:rPr>
              <w:t>a</w:t>
            </w:r>
            <w:r>
              <w:rPr>
                <w:sz w:val="18"/>
                <w:szCs w:val="18"/>
              </w:rPr>
              <w:tab/>
            </w:r>
            <w:r>
              <w:rPr>
                <w:sz w:val="18"/>
                <w:szCs w:val="18"/>
                <w:lang w:val="en-US"/>
              </w:rPr>
              <w:t>p</w:t>
            </w:r>
            <w:r>
              <w:rPr>
                <w:sz w:val="18"/>
                <w:szCs w:val="18"/>
              </w:rPr>
              <w:t> &lt; 0,01</w:t>
            </w:r>
          </w:p>
          <w:p w14:paraId="109AD800" w14:textId="77777777" w:rsidR="009B3384" w:rsidRDefault="00800862">
            <w:pPr>
              <w:widowControl w:val="0"/>
              <w:tabs>
                <w:tab w:val="clear" w:pos="567"/>
                <w:tab w:val="left" w:pos="288"/>
              </w:tabs>
              <w:ind w:left="284" w:hanging="284"/>
              <w:rPr>
                <w:sz w:val="18"/>
                <w:szCs w:val="18"/>
              </w:rPr>
            </w:pPr>
            <w:r>
              <w:rPr>
                <w:szCs w:val="18"/>
                <w:vertAlign w:val="superscript"/>
              </w:rPr>
              <w:t>б</w:t>
            </w:r>
            <w:r>
              <w:rPr>
                <w:sz w:val="18"/>
                <w:szCs w:val="18"/>
              </w:rPr>
              <w:tab/>
            </w:r>
            <w:r>
              <w:rPr>
                <w:sz w:val="18"/>
                <w:szCs w:val="18"/>
                <w:lang w:val="en-US"/>
              </w:rPr>
              <w:t>p</w:t>
            </w:r>
            <w:r>
              <w:rPr>
                <w:sz w:val="18"/>
                <w:szCs w:val="18"/>
              </w:rPr>
              <w:t> &lt; 0,05</w:t>
            </w:r>
          </w:p>
          <w:p w14:paraId="109AD801" w14:textId="77777777" w:rsidR="009B3384" w:rsidRDefault="00800862">
            <w:pPr>
              <w:widowControl w:val="0"/>
              <w:tabs>
                <w:tab w:val="clear" w:pos="567"/>
                <w:tab w:val="left" w:pos="288"/>
              </w:tabs>
              <w:ind w:left="284" w:hanging="284"/>
              <w:rPr>
                <w:szCs w:val="22"/>
              </w:rPr>
            </w:pPr>
            <w:r>
              <w:rPr>
                <w:szCs w:val="18"/>
                <w:vertAlign w:val="superscript"/>
              </w:rPr>
              <w:t>в</w:t>
            </w:r>
            <w:r>
              <w:rPr>
                <w:sz w:val="18"/>
                <w:szCs w:val="18"/>
              </w:rPr>
              <w:tab/>
              <w:t>номинално значима (</w:t>
            </w:r>
            <w:r>
              <w:rPr>
                <w:sz w:val="18"/>
                <w:szCs w:val="18"/>
                <w:lang w:val="en-US"/>
              </w:rPr>
              <w:t>p</w:t>
            </w:r>
            <w:r>
              <w:rPr>
                <w:sz w:val="18"/>
                <w:szCs w:val="18"/>
              </w:rPr>
              <w:t> &lt; 0,05)</w:t>
            </w:r>
          </w:p>
        </w:tc>
      </w:tr>
    </w:tbl>
    <w:p w14:paraId="109AD803" w14:textId="77777777" w:rsidR="009B3384" w:rsidRDefault="009B3384"/>
    <w:p w14:paraId="109AD804" w14:textId="77777777" w:rsidR="009B3384" w:rsidRDefault="00800862">
      <w:r>
        <w:t>В IM-UNITI 29 от 129</w:t>
      </w:r>
      <w:r>
        <w:rPr>
          <w:szCs w:val="22"/>
        </w:rPr>
        <w:t> </w:t>
      </w:r>
      <w:r>
        <w:t>пациенти не поддържат отговора към устекинумаб при приложение през 12</w:t>
      </w:r>
      <w:r>
        <w:rPr>
          <w:szCs w:val="22"/>
        </w:rPr>
        <w:t> </w:t>
      </w:r>
      <w:r>
        <w:t>седмици и е позволено коригиране на дозата така, че да получават устекинумаб през 8</w:t>
      </w:r>
      <w:r>
        <w:rPr>
          <w:szCs w:val="22"/>
        </w:rPr>
        <w:t> </w:t>
      </w:r>
      <w:r>
        <w:t>седмици. Загубата на отговор е определена като CDAI скор ≥</w:t>
      </w:r>
      <w:r>
        <w:rPr>
          <w:szCs w:val="22"/>
        </w:rPr>
        <w:t> </w:t>
      </w:r>
      <w:r>
        <w:t>220</w:t>
      </w:r>
      <w:r>
        <w:rPr>
          <w:szCs w:val="22"/>
        </w:rPr>
        <w:t> точки</w:t>
      </w:r>
      <w:r>
        <w:t xml:space="preserve"> и ≥</w:t>
      </w:r>
      <w:r>
        <w:rPr>
          <w:szCs w:val="22"/>
        </w:rPr>
        <w:t> </w:t>
      </w:r>
      <w:r>
        <w:t>100</w:t>
      </w:r>
      <w:r>
        <w:rPr>
          <w:szCs w:val="22"/>
        </w:rPr>
        <w:t> точки</w:t>
      </w:r>
      <w:r>
        <w:t xml:space="preserve"> повишение спрямо изходния CDAI скор.При тези пациенти клинична ремисия се постига при 41,4% от пациентите 16</w:t>
      </w:r>
      <w:r>
        <w:rPr>
          <w:szCs w:val="22"/>
        </w:rPr>
        <w:t> </w:t>
      </w:r>
      <w:r>
        <w:t>седмици след коригиране на дозата.</w:t>
      </w:r>
    </w:p>
    <w:p w14:paraId="109AD805" w14:textId="77777777" w:rsidR="009B3384" w:rsidRDefault="009B3384"/>
    <w:p w14:paraId="109AD806" w14:textId="77777777" w:rsidR="009B3384" w:rsidRDefault="00800862">
      <w:r>
        <w:t>Пациентите, които не са постигнали клиничен отговор към индукция с устекинумаб на седмица</w:t>
      </w:r>
      <w:r>
        <w:rPr>
          <w:szCs w:val="22"/>
        </w:rPr>
        <w:t> </w:t>
      </w:r>
      <w:r>
        <w:t>8 от проучванията с индукция UNITI-1 и UNITI-2 (476</w:t>
      </w:r>
      <w:r>
        <w:rPr>
          <w:szCs w:val="22"/>
        </w:rPr>
        <w:t> </w:t>
      </w:r>
      <w:r>
        <w:t>пациенти), са включени в нерандомизираната част от проучването с поддържаща терапия (IM-UNITI) и са получили подкожна инжекция с устекинумаб 90</w:t>
      </w:r>
      <w:r>
        <w:rPr>
          <w:szCs w:val="22"/>
        </w:rPr>
        <w:t> </w:t>
      </w:r>
      <w:r>
        <w:t>mg по това време. След осем</w:t>
      </w:r>
      <w:r>
        <w:rPr>
          <w:szCs w:val="22"/>
        </w:rPr>
        <w:t> </w:t>
      </w:r>
      <w:r>
        <w:t xml:space="preserve">седмици 50,5% от </w:t>
      </w:r>
      <w:r>
        <w:lastRenderedPageBreak/>
        <w:t>пациентите са постигнали клиничен отговор и са продължили да получават поддържаща терапия през 8</w:t>
      </w:r>
      <w:r>
        <w:rPr>
          <w:szCs w:val="22"/>
        </w:rPr>
        <w:t> </w:t>
      </w:r>
      <w:r>
        <w:t>седмици. Повечето от тези пациенти с продължителна поддържаща терапия поддържат отговор (68,1%) и постигат ремисия (50,2%) на седмица</w:t>
      </w:r>
      <w:r>
        <w:rPr>
          <w:szCs w:val="22"/>
        </w:rPr>
        <w:t> </w:t>
      </w:r>
      <w:r>
        <w:t>44, като процентът им е подобен на този при пациентите, които първоначално са се повлияли от индукция с устекинумаб.</w:t>
      </w:r>
    </w:p>
    <w:p w14:paraId="109AD807" w14:textId="77777777" w:rsidR="009B3384" w:rsidRDefault="009B3384"/>
    <w:p w14:paraId="109AD808" w14:textId="77777777" w:rsidR="009B3384" w:rsidRDefault="00800862">
      <w:r>
        <w:t>От 131</w:t>
      </w:r>
      <w:r>
        <w:rPr>
          <w:szCs w:val="22"/>
        </w:rPr>
        <w:t> </w:t>
      </w:r>
      <w:r>
        <w:t>пациенти, които са се повлияли от индукция с устекинумаб и са рандомизирани в групата на плацебо в началото на проучването с поддържаща терапия, 51 впоследствие са загубили отговора си и са получили 90</w:t>
      </w:r>
      <w:r>
        <w:rPr>
          <w:szCs w:val="22"/>
        </w:rPr>
        <w:t> </w:t>
      </w:r>
      <w:r>
        <w:t xml:space="preserve">mg устекинумаб подкожно през 8 седмици. </w:t>
      </w:r>
      <w:r>
        <w:rPr>
          <w:szCs w:val="22"/>
        </w:rPr>
        <w:t>Повечето от пациентите, загубили отговора си и подновили лечението с устекинумаб, са го направили в рамките на 24 седмици от индукционната инфузия.</w:t>
      </w:r>
      <w:r>
        <w:t xml:space="preserve"> От тези 51</w:t>
      </w:r>
      <w:r>
        <w:rPr>
          <w:szCs w:val="22"/>
        </w:rPr>
        <w:t> </w:t>
      </w:r>
      <w:r>
        <w:t>пациенти 70,6% постигат клиничен отговор и 39,2% постигат клинична ремисия 16</w:t>
      </w:r>
      <w:r>
        <w:rPr>
          <w:szCs w:val="22"/>
        </w:rPr>
        <w:t> </w:t>
      </w:r>
      <w:r>
        <w:t>седмици след получаването на първата подкожна доза устекинумаб.</w:t>
      </w:r>
    </w:p>
    <w:p w14:paraId="109AD809" w14:textId="77777777" w:rsidR="009B3384" w:rsidRDefault="009B3384"/>
    <w:p w14:paraId="109AD80A" w14:textId="77777777" w:rsidR="009B3384" w:rsidRDefault="00800862">
      <w:r>
        <w:t>В IM-UNITI пациентите, завършили проучването до седмица 44, са подходящи да продължат лечението в продължение на проучването. При всичките 567 пациенти, включени на и лекувани с устекинумаб в продължението на проучването, клиничната ремисия и отговорът обикновено се поддържат до седмица 252, както при болните с неуспех на TNF-терапиите, така и при пациентите с неуспех на конвенционалните терапии.</w:t>
      </w:r>
    </w:p>
    <w:p w14:paraId="109AD80B" w14:textId="77777777" w:rsidR="009B3384" w:rsidRDefault="009B3384"/>
    <w:p w14:paraId="109AD80C" w14:textId="77777777" w:rsidR="009B3384" w:rsidRDefault="00800862">
      <w:r>
        <w:t>Не са установени нови съображения за безопасност при удължаване на това проучване до 5 години на лечение при пациенти с болест на Crohn.</w:t>
      </w:r>
    </w:p>
    <w:p w14:paraId="109AD80D" w14:textId="77777777" w:rsidR="009B3384" w:rsidRDefault="009B3384"/>
    <w:p w14:paraId="109AD80E" w14:textId="77777777" w:rsidR="009B3384" w:rsidRDefault="00800862">
      <w:pPr>
        <w:keepNext/>
        <w:rPr>
          <w:i/>
          <w:iCs/>
          <w:szCs w:val="22"/>
        </w:rPr>
      </w:pPr>
      <w:r>
        <w:rPr>
          <w:i/>
          <w:szCs w:val="22"/>
        </w:rPr>
        <w:t>Ендоскопия</w:t>
      </w:r>
    </w:p>
    <w:p w14:paraId="109AD80F" w14:textId="77777777" w:rsidR="009B3384" w:rsidRDefault="00800862">
      <w:r>
        <w:t>Външният вид на лигавицата е оценен ендоскопски при 252</w:t>
      </w:r>
      <w:r>
        <w:rPr>
          <w:szCs w:val="22"/>
        </w:rPr>
        <w:t> </w:t>
      </w:r>
      <w:r>
        <w:t xml:space="preserve">пациенти с подходяща изходна ендоскопска активност на заболяването в едно подпроучване. Първичната крайна точка е промяна от изходното ниво на Опростения ендоскопски скор при болест на </w:t>
      </w:r>
      <w:r>
        <w:rPr>
          <w:lang w:val="en-US"/>
        </w:rPr>
        <w:t>Crohn</w:t>
      </w:r>
      <w:r>
        <w:t xml:space="preserve"> (Simplified Endoscopic Disease Severity </w:t>
      </w:r>
      <w:r>
        <w:rPr>
          <w:lang w:val="en-GB"/>
        </w:rPr>
        <w:t>Score</w:t>
      </w:r>
      <w:r>
        <w:t xml:space="preserve"> </w:t>
      </w:r>
      <w:r>
        <w:rPr>
          <w:lang w:val="en-GB"/>
        </w:rPr>
        <w:t>for</w:t>
      </w:r>
      <w:r>
        <w:t xml:space="preserve"> </w:t>
      </w:r>
      <w:r>
        <w:rPr>
          <w:lang w:val="en-GB"/>
        </w:rPr>
        <w:t>Crohn</w:t>
      </w:r>
      <w:r>
        <w:t>’</w:t>
      </w:r>
      <w:r>
        <w:rPr>
          <w:lang w:val="en-GB"/>
        </w:rPr>
        <w:t>s</w:t>
      </w:r>
      <w:r>
        <w:t xml:space="preserve"> Disease, SES-CD), съставен скор от 5 илео-колонни сегмента за наличие/размер на язвите, процент на лигавичната повърхност, покрита от язви, процент на лигавичната повърхност, засегната от други лезии, и наличие/вид на стесняванията/стриктурите. На седмица</w:t>
      </w:r>
      <w:r>
        <w:rPr>
          <w:szCs w:val="22"/>
        </w:rPr>
        <w:t> </w:t>
      </w:r>
      <w:r>
        <w:t>8, след единична интравенозна индукционна доза, промяната в SES-CD скора е по-голяма в групата на устекинумаб (n = 155, средна промяна = </w:t>
      </w:r>
      <w:r>
        <w:noBreakHyphen/>
        <w:t>2,8) отколкото в групата на плацебо (n = 97, средна промяна = </w:t>
      </w:r>
      <w:r>
        <w:noBreakHyphen/>
        <w:t>0,7, p = 0,012).</w:t>
      </w:r>
    </w:p>
    <w:p w14:paraId="109AD810" w14:textId="77777777" w:rsidR="009B3384" w:rsidRDefault="009B3384"/>
    <w:p w14:paraId="109AD811" w14:textId="77777777" w:rsidR="009B3384" w:rsidRDefault="00800862">
      <w:pPr>
        <w:keepNext/>
        <w:rPr>
          <w:i/>
          <w:szCs w:val="22"/>
        </w:rPr>
      </w:pPr>
      <w:r>
        <w:rPr>
          <w:i/>
          <w:szCs w:val="22"/>
        </w:rPr>
        <w:t>Повлияване на фистулите</w:t>
      </w:r>
    </w:p>
    <w:p w14:paraId="109AD812" w14:textId="77777777" w:rsidR="009B3384" w:rsidRDefault="00800862">
      <w:r>
        <w:t>В една подгрупа пациенти с дрениращи фистули на изходно ниво (8,8%; n = 26), фистулите на 12/15 (80%) от лекуваните с устекинумаб пациенти се повлияват в продължение на 44 седмици (определено като ≥ 50% намаление от изходно ниво в проучването с индукция на броя на дрениращите фистули) в сравнение с 5/11 (45,5%) с плацебо.</w:t>
      </w:r>
    </w:p>
    <w:p w14:paraId="109AD813" w14:textId="77777777" w:rsidR="009B3384" w:rsidRDefault="009B3384"/>
    <w:p w14:paraId="109AD814" w14:textId="77777777" w:rsidR="009B3384" w:rsidRDefault="00800862">
      <w:pPr>
        <w:keepNext/>
        <w:rPr>
          <w:szCs w:val="24"/>
        </w:rPr>
      </w:pPr>
      <w:r>
        <w:rPr>
          <w:i/>
          <w:szCs w:val="22"/>
        </w:rPr>
        <w:t>Качество на живот, свързано със здравето</w:t>
      </w:r>
    </w:p>
    <w:p w14:paraId="109AD815" w14:textId="77777777" w:rsidR="009B3384" w:rsidRDefault="00800862">
      <w:pPr>
        <w:rPr>
          <w:szCs w:val="24"/>
        </w:rPr>
      </w:pPr>
      <w:r>
        <w:rPr>
          <w:iCs/>
        </w:rPr>
        <w:t xml:space="preserve">Качеството на живот, свързано със здравето, е оценено посредством Въпросник при възпалителни заболявания на червата (Inflammatory Bowel Disease Questionnaire, IBDQ) и въпросници SF-36. На </w:t>
      </w:r>
      <w:r>
        <w:t>седмица</w:t>
      </w:r>
      <w:r>
        <w:rPr>
          <w:szCs w:val="22"/>
        </w:rPr>
        <w:t> </w:t>
      </w:r>
      <w:r>
        <w:rPr>
          <w:iCs/>
        </w:rPr>
        <w:t xml:space="preserve">8 пациентите, получаващи устекинумаб, показват статистически значимо по-голямо и клинично значимо подобрение на общия IBDQ скор и на SF-36 Mental Component Summary </w:t>
      </w:r>
      <w:r>
        <w:rPr>
          <w:iCs/>
          <w:lang w:val="en-GB"/>
        </w:rPr>
        <w:t>Score</w:t>
      </w:r>
      <w:r>
        <w:rPr>
          <w:iCs/>
        </w:rPr>
        <w:t xml:space="preserve"> в UNITI-1 и UNITI-2 и на SF-36 Physical Component Summary </w:t>
      </w:r>
      <w:r>
        <w:rPr>
          <w:iCs/>
          <w:lang w:val="en-GB"/>
        </w:rPr>
        <w:t>Score</w:t>
      </w:r>
      <w:r>
        <w:rPr>
          <w:iCs/>
        </w:rPr>
        <w:t xml:space="preserve"> в UNITI-2 в сравнение с плацебо. В проучването IM-UNITI до </w:t>
      </w:r>
      <w:r>
        <w:t>седмица</w:t>
      </w:r>
      <w:r>
        <w:rPr>
          <w:szCs w:val="22"/>
        </w:rPr>
        <w:t> </w:t>
      </w:r>
      <w:r>
        <w:rPr>
          <w:iCs/>
        </w:rPr>
        <w:t>44 тези подобрения обикновено се поддържат по-добре при лекувани с устекинумаб пациенти в сравнение с плацебо. Подобрението на качеството на живот, свързано със здравето, обикновено се поддържа през цялото продължение до седмица 252.</w:t>
      </w:r>
    </w:p>
    <w:p w14:paraId="109AD816" w14:textId="77777777" w:rsidR="009B3384" w:rsidRDefault="009B3384"/>
    <w:p w14:paraId="109AD817" w14:textId="77777777" w:rsidR="009B3384" w:rsidRPr="00BC6A43" w:rsidRDefault="00800862">
      <w:pPr>
        <w:keepNext/>
        <w:rPr>
          <w:i/>
          <w:iCs/>
          <w:szCs w:val="22"/>
          <w:u w:val="single"/>
        </w:rPr>
      </w:pPr>
      <w:r w:rsidRPr="00BC6A43">
        <w:rPr>
          <w:i/>
          <w:iCs/>
          <w:szCs w:val="22"/>
          <w:u w:val="single"/>
        </w:rPr>
        <w:t>Улцерозен колит</w:t>
      </w:r>
    </w:p>
    <w:p w14:paraId="109AD818" w14:textId="6D2EBD20" w:rsidR="009B3384" w:rsidRDefault="00800862">
      <w:r>
        <w:t xml:space="preserve">Безопасността и ефикасността на устекинумаб са оценени в две рандомизирани, двойнослепи, плацебо-контролирани, многоцентрови проучвания при възрастни пациенти с умерен до тежък активен улцерозен колит (скор по Mayo 6 до 12; ендоскопски </w:t>
      </w:r>
      <w:r w:rsidR="00EA3FF7">
        <w:t>подскор</w:t>
      </w:r>
      <w:r>
        <w:t xml:space="preserve"> ≥ 2). Програмата за клинично разработване се състои от едно проучване с интравенозна индукция (наречено UNIFI</w:t>
      </w:r>
      <w:r>
        <w:noBreakHyphen/>
        <w:t>I) с лечение до 16 седмици, последвано от 44</w:t>
      </w:r>
      <w:r>
        <w:rPr>
          <w:szCs w:val="22"/>
        </w:rPr>
        <w:noBreakHyphen/>
      </w:r>
      <w:r>
        <w:t xml:space="preserve">седмично проучване с поддържащо </w:t>
      </w:r>
      <w:r>
        <w:lastRenderedPageBreak/>
        <w:t>лечение с подкожно приложение, с рандомизирано спиране на лечението (наречено UNIFI-M), което представлява най-малко 52</w:t>
      </w:r>
      <w:r>
        <w:rPr>
          <w:szCs w:val="22"/>
        </w:rPr>
        <w:t> </w:t>
      </w:r>
      <w:r>
        <w:t>седмици на терапия.</w:t>
      </w:r>
    </w:p>
    <w:p w14:paraId="109AD819" w14:textId="77777777" w:rsidR="009B3384" w:rsidRDefault="009B3384">
      <w:pPr>
        <w:rPr>
          <w:szCs w:val="24"/>
        </w:rPr>
      </w:pPr>
    </w:p>
    <w:p w14:paraId="109AD81A" w14:textId="77777777" w:rsidR="009B3384" w:rsidRDefault="00800862">
      <w:pPr>
        <w:rPr>
          <w:szCs w:val="24"/>
        </w:rPr>
      </w:pPr>
      <w:r>
        <w:rPr>
          <w:szCs w:val="24"/>
        </w:rPr>
        <w:t>Представените резултати за ефикасност от UNIFI-I и UNIFI-M се основават на централен преглед на ендоскопиите.</w:t>
      </w:r>
    </w:p>
    <w:p w14:paraId="109AD81B" w14:textId="77777777" w:rsidR="009B3384" w:rsidRDefault="009B3384"/>
    <w:p w14:paraId="109AD81C" w14:textId="34528B22" w:rsidR="009B3384" w:rsidRDefault="00800862">
      <w:pPr>
        <w:rPr>
          <w:szCs w:val="24"/>
        </w:rPr>
      </w:pPr>
      <w:r>
        <w:t>UNIFI-I включва 961 пациенти. Първичната крайна точка в проучването с индукция е процентът на участниците в клинична ремисия на седмица</w:t>
      </w:r>
      <w:r>
        <w:rPr>
          <w:szCs w:val="22"/>
        </w:rPr>
        <w:t> </w:t>
      </w:r>
      <w:r>
        <w:t>8</w:t>
      </w:r>
      <w:r>
        <w:rPr>
          <w:szCs w:val="24"/>
        </w:rPr>
        <w:t xml:space="preserve">. </w:t>
      </w:r>
      <w:r>
        <w:rPr>
          <w:szCs w:val="22"/>
        </w:rPr>
        <w:t xml:space="preserve">Пациентите са рандомизирани да получат еднократно интравенозно </w:t>
      </w:r>
      <w:r>
        <w:rPr>
          <w:szCs w:val="24"/>
        </w:rPr>
        <w:t>препоръчителната диференцирана доза 6</w:t>
      </w:r>
      <w:r>
        <w:rPr>
          <w:szCs w:val="22"/>
        </w:rPr>
        <w:t> </w:t>
      </w:r>
      <w:r>
        <w:rPr>
          <w:szCs w:val="24"/>
        </w:rPr>
        <w:t>mg/kg (вж. Таблица</w:t>
      </w:r>
      <w:r>
        <w:rPr>
          <w:szCs w:val="22"/>
        </w:rPr>
        <w:t> </w:t>
      </w:r>
      <w:r>
        <w:rPr>
          <w:szCs w:val="24"/>
        </w:rPr>
        <w:t>1, точка</w:t>
      </w:r>
      <w:r>
        <w:rPr>
          <w:szCs w:val="22"/>
        </w:rPr>
        <w:t> </w:t>
      </w:r>
      <w:r>
        <w:rPr>
          <w:szCs w:val="24"/>
        </w:rPr>
        <w:t>4.2</w:t>
      </w:r>
      <w:ins w:id="1289" w:author="Reviser" w:date="2026-04-29T21:04:00Z">
        <w:r w:rsidR="00685CAD">
          <w:rPr>
            <w:szCs w:val="24"/>
          </w:rPr>
          <w:t xml:space="preserve"> в КХП на </w:t>
        </w:r>
        <w:r w:rsidR="00685CAD" w:rsidRPr="002254B4">
          <w:t>STELARA 130</w:t>
        </w:r>
        <w:r w:rsidR="00685CAD">
          <w:t> </w:t>
        </w:r>
        <w:r w:rsidR="00685CAD" w:rsidRPr="002254B4">
          <w:t>mg</w:t>
        </w:r>
        <w:r w:rsidR="00685CAD">
          <w:t xml:space="preserve"> концентрат за инфузионе</w:t>
        </w:r>
      </w:ins>
      <w:ins w:id="1290" w:author="Reviser" w:date="2026-04-29T21:05:00Z">
        <w:r w:rsidR="00685CAD">
          <w:t>н разтвор</w:t>
        </w:r>
      </w:ins>
      <w:r>
        <w:rPr>
          <w:szCs w:val="24"/>
        </w:rPr>
        <w:t>), фиксирана доза 130</w:t>
      </w:r>
      <w:r>
        <w:rPr>
          <w:szCs w:val="22"/>
        </w:rPr>
        <w:t> </w:t>
      </w:r>
      <w:r>
        <w:rPr>
          <w:szCs w:val="24"/>
        </w:rPr>
        <w:t xml:space="preserve">mg устекинумаб или плацебо на </w:t>
      </w:r>
      <w:r>
        <w:t>седмица</w:t>
      </w:r>
      <w:r>
        <w:rPr>
          <w:szCs w:val="22"/>
        </w:rPr>
        <w:t> </w:t>
      </w:r>
      <w:r>
        <w:rPr>
          <w:szCs w:val="24"/>
        </w:rPr>
        <w:t>0.</w:t>
      </w:r>
    </w:p>
    <w:p w14:paraId="109AD81D" w14:textId="77777777" w:rsidR="009B3384" w:rsidRDefault="009B3384">
      <w:pPr>
        <w:rPr>
          <w:szCs w:val="22"/>
        </w:rPr>
      </w:pPr>
    </w:p>
    <w:p w14:paraId="109AD81E" w14:textId="77777777" w:rsidR="009B3384" w:rsidRDefault="00800862">
      <w:pPr>
        <w:rPr>
          <w:szCs w:val="13"/>
        </w:rPr>
      </w:pPr>
      <w:r>
        <w:rPr>
          <w:szCs w:val="22"/>
        </w:rPr>
        <w:t xml:space="preserve">Разрешено е едновременно приложение на перорални кортикостероиди, имуномодулатори и аминосалицилати, като 90% от пациентите продължават да получават най-малко едно от тези лекарства. </w:t>
      </w:r>
      <w:r>
        <w:rPr>
          <w:szCs w:val="24"/>
        </w:rPr>
        <w:t>Включените пациенти трябва да са преминали неуспешна конвенционална терапия (</w:t>
      </w:r>
      <w:r>
        <w:rPr>
          <w:szCs w:val="22"/>
        </w:rPr>
        <w:t>кортикостероиди или имуномодулатори</w:t>
      </w:r>
      <w:r>
        <w:rPr>
          <w:szCs w:val="24"/>
        </w:rPr>
        <w:t xml:space="preserve">) или лечение с най-малко едно биологично лекарствено средство (антагонист на TNFα и/или ведолизумаб). При </w:t>
      </w:r>
      <w:r>
        <w:t>49% от пациентите конвенционалната терапия е неуспешна, но не и лечението с биологично лекарствено средство (от които 94% не са лекувани досега с биологични лекарствени продукти). 51% от пациентите са лекувани неуспешно или имат непоносимост към биологично лекарствено средство. Приблизително 50% от пациентите са лекувани неуспешно с най-малко 1 предшестваща анти-TNF</w:t>
      </w:r>
      <w:r>
        <w:rPr>
          <w:rFonts w:eastAsia="Symbol"/>
        </w:rPr>
        <w:t>α</w:t>
      </w:r>
      <w:r>
        <w:t xml:space="preserve"> терапия (от които 48% първично не са се повлияли), </w:t>
      </w:r>
      <w:r>
        <w:rPr>
          <w:szCs w:val="13"/>
        </w:rPr>
        <w:t>а 17% са имали най-малко 1 терапия с анти-TNFα средство и ведолизумаб.</w:t>
      </w:r>
    </w:p>
    <w:p w14:paraId="109AD81F" w14:textId="77777777" w:rsidR="009B3384" w:rsidRDefault="009B3384">
      <w:pPr>
        <w:rPr>
          <w:szCs w:val="22"/>
        </w:rPr>
      </w:pPr>
    </w:p>
    <w:p w14:paraId="109AD820" w14:textId="019EB642" w:rsidR="009B3384" w:rsidRDefault="00800862">
      <w:pPr>
        <w:rPr>
          <w:iCs/>
          <w:szCs w:val="22"/>
        </w:rPr>
      </w:pPr>
      <w:r>
        <w:rPr>
          <w:szCs w:val="22"/>
        </w:rPr>
        <w:t xml:space="preserve">В UNIFI-I значимо по-голям процент от пациентите са в клинична ремисия в групата, лекувана с устекинумаб, в сравнение с плацебо на седмица 8 (Таблица 11). </w:t>
      </w:r>
      <w:r>
        <w:rPr>
          <w:iCs/>
          <w:szCs w:val="22"/>
        </w:rPr>
        <w:t>Още на седмица</w:t>
      </w:r>
      <w:r>
        <w:rPr>
          <w:iCs/>
          <w:szCs w:val="22"/>
          <w:lang w:val="en-US"/>
        </w:rPr>
        <w:t> </w:t>
      </w:r>
      <w:r>
        <w:rPr>
          <w:iCs/>
          <w:szCs w:val="22"/>
        </w:rPr>
        <w:t xml:space="preserve">2, най-ранната планирана визита в проучването, и при всяка визита след това по-голям процент пациенти с </w:t>
      </w:r>
      <w:r>
        <w:t xml:space="preserve">устекинумаб нямат </w:t>
      </w:r>
      <w:r>
        <w:rPr>
          <w:iCs/>
          <w:szCs w:val="22"/>
        </w:rPr>
        <w:t xml:space="preserve">ректално кървене или постигат нормална честота на дефекация в сравнение с пациентите на плацебо. Наблюдавани са значими разлики между </w:t>
      </w:r>
      <w:r>
        <w:t xml:space="preserve">устекинумаб </w:t>
      </w:r>
      <w:r>
        <w:rPr>
          <w:iCs/>
          <w:szCs w:val="22"/>
        </w:rPr>
        <w:t xml:space="preserve">и плацебо в частичния скор по </w:t>
      </w:r>
      <w:r>
        <w:rPr>
          <w:iCs/>
          <w:szCs w:val="22"/>
          <w:lang w:val="en-US"/>
        </w:rPr>
        <w:t>Mayo</w:t>
      </w:r>
      <w:r>
        <w:rPr>
          <w:iCs/>
          <w:szCs w:val="22"/>
        </w:rPr>
        <w:t xml:space="preserve"> и симптоматичната ремисия още на седмица</w:t>
      </w:r>
      <w:r>
        <w:rPr>
          <w:iCs/>
          <w:szCs w:val="22"/>
          <w:lang w:val="en-US"/>
        </w:rPr>
        <w:t> </w:t>
      </w:r>
      <w:r>
        <w:rPr>
          <w:iCs/>
          <w:szCs w:val="22"/>
        </w:rPr>
        <w:t>2.</w:t>
      </w:r>
    </w:p>
    <w:p w14:paraId="109AD821" w14:textId="77777777" w:rsidR="009B3384" w:rsidRDefault="009B3384">
      <w:pPr>
        <w:rPr>
          <w:szCs w:val="24"/>
        </w:rPr>
      </w:pPr>
    </w:p>
    <w:p w14:paraId="109AD822" w14:textId="77777777" w:rsidR="009B3384" w:rsidRDefault="00800862">
      <w:pPr>
        <w:rPr>
          <w:szCs w:val="24"/>
        </w:rPr>
      </w:pPr>
      <w:r>
        <w:rPr>
          <w:szCs w:val="24"/>
        </w:rPr>
        <w:t>Ефикасността е по-висока в групата с диференцираната доза (6 mg/kg) в сравнение с групата с доза 130</w:t>
      </w:r>
      <w:r>
        <w:rPr>
          <w:szCs w:val="22"/>
        </w:rPr>
        <w:t> </w:t>
      </w:r>
      <w:r>
        <w:rPr>
          <w:szCs w:val="24"/>
        </w:rPr>
        <w:t>mg по отношение на избрани крайни точки и поради това диференцираното дозиране се препоръчва като доза за интравенозната индукция.</w:t>
      </w:r>
    </w:p>
    <w:p w14:paraId="109AD823" w14:textId="77777777" w:rsidR="009B3384" w:rsidRDefault="009B3384">
      <w:pPr>
        <w:rPr>
          <w:szCs w:val="24"/>
        </w:rPr>
      </w:pPr>
    </w:p>
    <w:p w14:paraId="109AD824" w14:textId="40C2A831" w:rsidR="009B3384" w:rsidRDefault="00800862">
      <w:pPr>
        <w:keepNext/>
        <w:ind w:left="1134" w:hanging="1134"/>
        <w:rPr>
          <w:i/>
          <w:iCs/>
        </w:rPr>
      </w:pPr>
      <w:r>
        <w:rPr>
          <w:i/>
          <w:iCs/>
        </w:rPr>
        <w:t>Таблица 7:</w:t>
      </w:r>
      <w:r>
        <w:rPr>
          <w:i/>
          <w:iCs/>
        </w:rPr>
        <w:tab/>
        <w:t>Резюме на основните резултати за ефикасност в UNIFI-I (седмица 8)</w:t>
      </w:r>
    </w:p>
    <w:tbl>
      <w:tblPr>
        <w:tblW w:w="9072" w:type="dxa"/>
        <w:jc w:val="center"/>
        <w:tblLayout w:type="fixed"/>
        <w:tblCellMar>
          <w:left w:w="28" w:type="dxa"/>
          <w:right w:w="28" w:type="dxa"/>
        </w:tblCellMar>
        <w:tblLook w:val="0000" w:firstRow="0" w:lastRow="0" w:firstColumn="0" w:lastColumn="0" w:noHBand="0" w:noVBand="0"/>
      </w:tblPr>
      <w:tblGrid>
        <w:gridCol w:w="5114"/>
        <w:gridCol w:w="1876"/>
        <w:gridCol w:w="2082"/>
      </w:tblGrid>
      <w:tr w:rsidR="009B3384" w14:paraId="109AD82A"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25" w14:textId="77777777" w:rsidR="009B3384" w:rsidRDefault="009B3384">
            <w:pPr>
              <w:keepNext/>
              <w:widowControl w:val="0"/>
              <w:tabs>
                <w:tab w:val="clear" w:pos="567"/>
              </w:tabs>
              <w:rPr>
                <w:szCs w:val="22"/>
              </w:rPr>
            </w:pPr>
          </w:p>
        </w:tc>
        <w:tc>
          <w:tcPr>
            <w:tcW w:w="1876" w:type="dxa"/>
            <w:tcBorders>
              <w:top w:val="single" w:sz="4" w:space="0" w:color="000000"/>
              <w:left w:val="single" w:sz="4" w:space="0" w:color="000000"/>
              <w:bottom w:val="single" w:sz="4" w:space="0" w:color="000000"/>
              <w:right w:val="single" w:sz="4" w:space="0" w:color="000000"/>
            </w:tcBorders>
          </w:tcPr>
          <w:p w14:paraId="109AD826" w14:textId="77777777" w:rsidR="009B3384" w:rsidRDefault="00800862">
            <w:pPr>
              <w:keepNext/>
              <w:widowControl w:val="0"/>
              <w:tabs>
                <w:tab w:val="clear" w:pos="567"/>
              </w:tabs>
              <w:jc w:val="center"/>
              <w:rPr>
                <w:b/>
                <w:bCs/>
                <w:szCs w:val="22"/>
              </w:rPr>
            </w:pPr>
            <w:r>
              <w:rPr>
                <w:b/>
                <w:bCs/>
                <w:szCs w:val="22"/>
              </w:rPr>
              <w:t>Плацебо</w:t>
            </w:r>
          </w:p>
          <w:p w14:paraId="109AD827" w14:textId="77777777" w:rsidR="009B3384" w:rsidRDefault="00800862">
            <w:pPr>
              <w:keepNext/>
              <w:widowControl w:val="0"/>
              <w:tabs>
                <w:tab w:val="clear" w:pos="567"/>
              </w:tabs>
              <w:jc w:val="center"/>
              <w:rPr>
                <w:szCs w:val="22"/>
                <w:lang w:val="en-US"/>
              </w:rPr>
            </w:pPr>
            <w:r>
              <w:rPr>
                <w:b/>
                <w:bCs/>
                <w:szCs w:val="22"/>
                <w:lang w:val="en-US"/>
              </w:rPr>
              <w:t>N</w:t>
            </w:r>
            <w:r>
              <w:rPr>
                <w:szCs w:val="22"/>
              </w:rPr>
              <w:t> </w:t>
            </w:r>
            <w:r>
              <w:rPr>
                <w:b/>
                <w:bCs/>
                <w:szCs w:val="22"/>
                <w:lang w:val="en-US"/>
              </w:rPr>
              <w:t>=</w:t>
            </w:r>
            <w:r>
              <w:rPr>
                <w:szCs w:val="22"/>
              </w:rPr>
              <w:t> </w:t>
            </w:r>
            <w:r>
              <w:rPr>
                <w:b/>
                <w:bCs/>
                <w:szCs w:val="22"/>
                <w:lang w:val="en-US"/>
              </w:rPr>
              <w:t>319</w:t>
            </w:r>
          </w:p>
        </w:tc>
        <w:tc>
          <w:tcPr>
            <w:tcW w:w="2082" w:type="dxa"/>
            <w:tcBorders>
              <w:top w:val="single" w:sz="4" w:space="0" w:color="000000"/>
              <w:left w:val="single" w:sz="4" w:space="0" w:color="000000"/>
              <w:bottom w:val="single" w:sz="4" w:space="0" w:color="000000"/>
              <w:right w:val="single" w:sz="4" w:space="0" w:color="000000"/>
            </w:tcBorders>
          </w:tcPr>
          <w:p w14:paraId="109AD828" w14:textId="77777777" w:rsidR="009B3384" w:rsidRDefault="00800862">
            <w:pPr>
              <w:keepNext/>
              <w:widowControl w:val="0"/>
              <w:tabs>
                <w:tab w:val="clear" w:pos="567"/>
              </w:tabs>
              <w:jc w:val="center"/>
              <w:rPr>
                <w:b/>
                <w:bCs/>
                <w:szCs w:val="22"/>
                <w:lang w:val="en-US"/>
              </w:rPr>
            </w:pPr>
            <w:r>
              <w:rPr>
                <w:b/>
                <w:bCs/>
                <w:szCs w:val="22"/>
              </w:rPr>
              <w:t>Препоръчителна доза устекинумаб</w:t>
            </w:r>
            <w:r>
              <w:rPr>
                <w:b/>
                <w:szCs w:val="18"/>
                <w:vertAlign w:val="superscript"/>
              </w:rPr>
              <w:t>£</w:t>
            </w:r>
          </w:p>
          <w:p w14:paraId="109AD829" w14:textId="77777777" w:rsidR="009B3384" w:rsidRDefault="00800862">
            <w:pPr>
              <w:keepNext/>
              <w:widowControl w:val="0"/>
              <w:tabs>
                <w:tab w:val="clear" w:pos="567"/>
              </w:tabs>
              <w:jc w:val="center"/>
              <w:rPr>
                <w:b/>
                <w:bCs/>
                <w:szCs w:val="22"/>
                <w:lang w:val="en-US"/>
              </w:rPr>
            </w:pPr>
            <w:r>
              <w:rPr>
                <w:b/>
                <w:bCs/>
                <w:szCs w:val="22"/>
                <w:lang w:val="en-US"/>
              </w:rPr>
              <w:t>N</w:t>
            </w:r>
            <w:r>
              <w:rPr>
                <w:szCs w:val="22"/>
              </w:rPr>
              <w:t> </w:t>
            </w:r>
            <w:r>
              <w:rPr>
                <w:b/>
                <w:bCs/>
                <w:szCs w:val="22"/>
                <w:lang w:val="en-US"/>
              </w:rPr>
              <w:t>=</w:t>
            </w:r>
            <w:r>
              <w:rPr>
                <w:b/>
                <w:bCs/>
                <w:szCs w:val="22"/>
              </w:rPr>
              <w:t> </w:t>
            </w:r>
            <w:r>
              <w:rPr>
                <w:b/>
                <w:bCs/>
                <w:szCs w:val="22"/>
                <w:lang w:val="en-US"/>
              </w:rPr>
              <w:t>322</w:t>
            </w:r>
          </w:p>
        </w:tc>
      </w:tr>
      <w:tr w:rsidR="009B3384" w14:paraId="109AD82E"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2B" w14:textId="77777777" w:rsidR="009B3384" w:rsidRDefault="00800862">
            <w:pPr>
              <w:widowControl w:val="0"/>
              <w:tabs>
                <w:tab w:val="clear" w:pos="567"/>
              </w:tabs>
              <w:rPr>
                <w:szCs w:val="22"/>
                <w:vertAlign w:val="superscript"/>
                <w:lang w:val="en-US"/>
              </w:rPr>
            </w:pPr>
            <w:r>
              <w:rPr>
                <w:szCs w:val="22"/>
              </w:rPr>
              <w:t>Клинична ремисия*</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2C" w14:textId="77777777" w:rsidR="009B3384" w:rsidRDefault="00800862">
            <w:pPr>
              <w:widowControl w:val="0"/>
              <w:tabs>
                <w:tab w:val="clear" w:pos="567"/>
              </w:tabs>
              <w:jc w:val="center"/>
              <w:rPr>
                <w:szCs w:val="22"/>
                <w:lang w:val="en-US"/>
              </w:rPr>
            </w:pPr>
            <w:r>
              <w:rPr>
                <w:szCs w:val="22"/>
                <w:lang w:val="en-US"/>
              </w:rPr>
              <w:t>5%</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2D" w14:textId="77777777" w:rsidR="009B3384" w:rsidRDefault="00800862">
            <w:pPr>
              <w:widowControl w:val="0"/>
              <w:tabs>
                <w:tab w:val="clear" w:pos="567"/>
              </w:tabs>
              <w:jc w:val="center"/>
              <w:rPr>
                <w:szCs w:val="22"/>
                <w:vertAlign w:val="superscript"/>
                <w:lang w:val="en-US"/>
              </w:rPr>
            </w:pPr>
            <w:r>
              <w:rPr>
                <w:szCs w:val="22"/>
                <w:lang w:val="en-US"/>
              </w:rPr>
              <w:t>16%</w:t>
            </w:r>
            <w:r>
              <w:rPr>
                <w:szCs w:val="22"/>
                <w:vertAlign w:val="superscript"/>
                <w:lang w:val="en-US"/>
              </w:rPr>
              <w:t>a</w:t>
            </w:r>
          </w:p>
        </w:tc>
      </w:tr>
      <w:tr w:rsidR="009B3384" w14:paraId="109AD832"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2F" w14:textId="77777777" w:rsidR="009B3384" w:rsidRDefault="00800862">
            <w:pPr>
              <w:widowControl w:val="0"/>
              <w:tabs>
                <w:tab w:val="clear" w:pos="567"/>
              </w:tabs>
              <w:ind w:left="284"/>
              <w:rPr>
                <w:rFonts w:eastAsia="Calibri"/>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30" w14:textId="77777777" w:rsidR="009B3384" w:rsidRDefault="00800862">
            <w:pPr>
              <w:widowControl w:val="0"/>
              <w:tabs>
                <w:tab w:val="clear" w:pos="567"/>
              </w:tabs>
              <w:jc w:val="center"/>
              <w:rPr>
                <w:szCs w:val="22"/>
                <w:lang w:val="en-US"/>
              </w:rPr>
            </w:pPr>
            <w:r>
              <w:rPr>
                <w:szCs w:val="22"/>
                <w:lang w:val="en-US"/>
              </w:rPr>
              <w:t>9% (15/158)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31" w14:textId="77777777" w:rsidR="009B3384" w:rsidRDefault="00800862">
            <w:pPr>
              <w:widowControl w:val="0"/>
              <w:tabs>
                <w:tab w:val="clear" w:pos="567"/>
              </w:tabs>
              <w:jc w:val="center"/>
              <w:rPr>
                <w:szCs w:val="22"/>
                <w:vertAlign w:val="superscript"/>
              </w:rPr>
            </w:pPr>
            <w:r>
              <w:rPr>
                <w:szCs w:val="22"/>
                <w:lang w:val="en-US"/>
              </w:rPr>
              <w:t>19% (29/</w:t>
            </w:r>
            <w:proofErr w:type="gramStart"/>
            <w:r>
              <w:rPr>
                <w:szCs w:val="22"/>
                <w:lang w:val="en-US"/>
              </w:rPr>
              <w:t>156)</w:t>
            </w:r>
            <w:r>
              <w:rPr>
                <w:szCs w:val="22"/>
                <w:vertAlign w:val="superscript"/>
              </w:rPr>
              <w:t>в</w:t>
            </w:r>
            <w:proofErr w:type="gramEnd"/>
          </w:p>
        </w:tc>
      </w:tr>
      <w:tr w:rsidR="009B3384" w14:paraId="109AD836"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33" w14:textId="77777777" w:rsidR="009B3384" w:rsidRDefault="00800862">
            <w:pPr>
              <w:widowControl w:val="0"/>
              <w:tabs>
                <w:tab w:val="clear" w:pos="567"/>
              </w:tabs>
              <w:ind w:left="284"/>
              <w:rPr>
                <w:rFonts w:eastAsia="Calibri"/>
                <w:szCs w:val="22"/>
              </w:rPr>
            </w:pPr>
            <w:r>
              <w:rPr>
                <w:szCs w:val="22"/>
              </w:rPr>
              <w:t>При пациенти с неуспешна биологична терапия</w:t>
            </w:r>
            <w:r>
              <w:rPr>
                <w:szCs w:val="22"/>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34" w14:textId="77777777" w:rsidR="009B3384" w:rsidRDefault="00800862">
            <w:pPr>
              <w:widowControl w:val="0"/>
              <w:tabs>
                <w:tab w:val="clear" w:pos="567"/>
              </w:tabs>
              <w:jc w:val="center"/>
              <w:rPr>
                <w:szCs w:val="22"/>
                <w:lang w:val="en-US"/>
              </w:rPr>
            </w:pPr>
            <w:r>
              <w:rPr>
                <w:szCs w:val="22"/>
                <w:lang w:val="en-US"/>
              </w:rPr>
              <w:t>1% (2/161)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35" w14:textId="77777777" w:rsidR="009B3384" w:rsidRDefault="00800862">
            <w:pPr>
              <w:widowControl w:val="0"/>
              <w:tabs>
                <w:tab w:val="clear" w:pos="567"/>
              </w:tabs>
              <w:jc w:val="center"/>
              <w:rPr>
                <w:szCs w:val="22"/>
                <w:vertAlign w:val="superscript"/>
              </w:rPr>
            </w:pPr>
            <w:r>
              <w:rPr>
                <w:szCs w:val="22"/>
                <w:lang w:val="en-US"/>
              </w:rPr>
              <w:t>13% (21/</w:t>
            </w:r>
            <w:proofErr w:type="gramStart"/>
            <w:r>
              <w:rPr>
                <w:szCs w:val="22"/>
                <w:lang w:val="en-US"/>
              </w:rPr>
              <w:t>166)</w:t>
            </w:r>
            <w:r>
              <w:rPr>
                <w:szCs w:val="22"/>
                <w:vertAlign w:val="superscript"/>
              </w:rPr>
              <w:t>б</w:t>
            </w:r>
            <w:proofErr w:type="gramEnd"/>
          </w:p>
        </w:tc>
      </w:tr>
      <w:tr w:rsidR="009B3384" w14:paraId="109AD83A"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37" w14:textId="77777777" w:rsidR="009B3384" w:rsidRDefault="00800862">
            <w:pPr>
              <w:widowControl w:val="0"/>
              <w:tabs>
                <w:tab w:val="clear" w:pos="567"/>
              </w:tabs>
              <w:ind w:left="284"/>
              <w:rPr>
                <w:szCs w:val="22"/>
              </w:rPr>
            </w:pPr>
            <w:r>
              <w:rPr>
                <w:szCs w:val="22"/>
              </w:rPr>
              <w:t>При пациенти с неуспешна терапия както с TNF, така и с ведолизумаб</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38" w14:textId="77777777" w:rsidR="009B3384" w:rsidRDefault="00800862">
            <w:pPr>
              <w:widowControl w:val="0"/>
              <w:tabs>
                <w:tab w:val="clear" w:pos="567"/>
              </w:tabs>
              <w:jc w:val="center"/>
              <w:rPr>
                <w:szCs w:val="22"/>
                <w:lang w:val="en-US"/>
              </w:rPr>
            </w:pPr>
            <w:r>
              <w:rPr>
                <w:szCs w:val="22"/>
                <w:lang w:val="en-US"/>
              </w:rPr>
              <w:t>0% (0/47)</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39" w14:textId="77777777" w:rsidR="009B3384" w:rsidRDefault="00800862">
            <w:pPr>
              <w:widowControl w:val="0"/>
              <w:tabs>
                <w:tab w:val="clear" w:pos="567"/>
              </w:tabs>
              <w:jc w:val="center"/>
              <w:rPr>
                <w:szCs w:val="22"/>
              </w:rPr>
            </w:pPr>
            <w:r>
              <w:rPr>
                <w:szCs w:val="22"/>
                <w:lang w:val="en-US"/>
              </w:rPr>
              <w:t>10% (6/</w:t>
            </w:r>
            <w:proofErr w:type="gramStart"/>
            <w:r>
              <w:rPr>
                <w:szCs w:val="22"/>
                <w:lang w:val="en-US"/>
              </w:rPr>
              <w:t>58)</w:t>
            </w:r>
            <w:r>
              <w:rPr>
                <w:szCs w:val="22"/>
                <w:vertAlign w:val="superscript"/>
              </w:rPr>
              <w:t>в</w:t>
            </w:r>
            <w:proofErr w:type="gramEnd"/>
          </w:p>
        </w:tc>
      </w:tr>
      <w:tr w:rsidR="009B3384" w14:paraId="109AD83E"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3B" w14:textId="77777777" w:rsidR="009B3384" w:rsidRDefault="00800862">
            <w:pPr>
              <w:widowControl w:val="0"/>
              <w:tabs>
                <w:tab w:val="clear" w:pos="567"/>
              </w:tabs>
              <w:rPr>
                <w:szCs w:val="22"/>
                <w:lang w:val="en-US"/>
              </w:rPr>
            </w:pPr>
            <w:r>
              <w:rPr>
                <w:szCs w:val="22"/>
              </w:rPr>
              <w:t>Клиничен отговор</w:t>
            </w:r>
            <w:r>
              <w:rPr>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3C" w14:textId="77777777" w:rsidR="009B3384" w:rsidRDefault="00800862">
            <w:pPr>
              <w:widowControl w:val="0"/>
              <w:tabs>
                <w:tab w:val="clear" w:pos="567"/>
              </w:tabs>
              <w:jc w:val="center"/>
              <w:rPr>
                <w:szCs w:val="22"/>
                <w:lang w:val="en-US"/>
              </w:rPr>
            </w:pPr>
            <w:r>
              <w:rPr>
                <w:szCs w:val="22"/>
                <w:lang w:val="en-US"/>
              </w:rPr>
              <w:t>31%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3D" w14:textId="77777777" w:rsidR="009B3384" w:rsidRDefault="00800862">
            <w:pPr>
              <w:widowControl w:val="0"/>
              <w:tabs>
                <w:tab w:val="clear" w:pos="567"/>
              </w:tabs>
              <w:jc w:val="center"/>
              <w:rPr>
                <w:szCs w:val="22"/>
                <w:lang w:val="en-US"/>
              </w:rPr>
            </w:pPr>
            <w:r>
              <w:rPr>
                <w:szCs w:val="22"/>
                <w:lang w:val="en-US"/>
              </w:rPr>
              <w:t>62%</w:t>
            </w:r>
            <w:r>
              <w:rPr>
                <w:szCs w:val="22"/>
                <w:vertAlign w:val="superscript"/>
                <w:lang w:val="en-US"/>
              </w:rPr>
              <w:t>a</w:t>
            </w:r>
          </w:p>
        </w:tc>
      </w:tr>
      <w:tr w:rsidR="009B3384" w14:paraId="109AD842"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3F" w14:textId="77777777" w:rsidR="009B3384" w:rsidRDefault="00800862">
            <w:pPr>
              <w:widowControl w:val="0"/>
              <w:tabs>
                <w:tab w:val="clear" w:pos="567"/>
              </w:tabs>
              <w:ind w:left="284"/>
              <w:rPr>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40" w14:textId="77777777" w:rsidR="009B3384" w:rsidRDefault="00800862">
            <w:pPr>
              <w:widowControl w:val="0"/>
              <w:tabs>
                <w:tab w:val="clear" w:pos="567"/>
              </w:tabs>
              <w:jc w:val="center"/>
              <w:rPr>
                <w:szCs w:val="22"/>
                <w:lang w:val="en-US"/>
              </w:rPr>
            </w:pPr>
            <w:r>
              <w:rPr>
                <w:szCs w:val="22"/>
                <w:lang w:val="en-US"/>
              </w:rPr>
              <w:t>35% (56/158)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41" w14:textId="77777777" w:rsidR="009B3384" w:rsidRDefault="00800862">
            <w:pPr>
              <w:widowControl w:val="0"/>
              <w:tabs>
                <w:tab w:val="clear" w:pos="567"/>
              </w:tabs>
              <w:jc w:val="center"/>
              <w:rPr>
                <w:szCs w:val="22"/>
                <w:vertAlign w:val="superscript"/>
              </w:rPr>
            </w:pPr>
            <w:r>
              <w:rPr>
                <w:szCs w:val="22"/>
                <w:lang w:val="en-US"/>
              </w:rPr>
              <w:t>67% (104/</w:t>
            </w:r>
            <w:proofErr w:type="gramStart"/>
            <w:r>
              <w:rPr>
                <w:szCs w:val="22"/>
                <w:lang w:val="en-US"/>
              </w:rPr>
              <w:t>156)</w:t>
            </w:r>
            <w:r>
              <w:rPr>
                <w:szCs w:val="22"/>
                <w:vertAlign w:val="superscript"/>
              </w:rPr>
              <w:t>б</w:t>
            </w:r>
            <w:proofErr w:type="gramEnd"/>
          </w:p>
        </w:tc>
      </w:tr>
      <w:tr w:rsidR="009B3384" w14:paraId="109AD846"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43" w14:textId="77777777" w:rsidR="009B3384" w:rsidRDefault="00800862">
            <w:pPr>
              <w:widowControl w:val="0"/>
              <w:tabs>
                <w:tab w:val="clear" w:pos="567"/>
              </w:tabs>
              <w:ind w:left="284"/>
              <w:rPr>
                <w:szCs w:val="22"/>
              </w:rPr>
            </w:pPr>
            <w:r>
              <w:rPr>
                <w:szCs w:val="22"/>
              </w:rPr>
              <w:t>При пациенти с неуспешна биологична терапия</w:t>
            </w:r>
            <w:r>
              <w:rPr>
                <w:szCs w:val="22"/>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44" w14:textId="77777777" w:rsidR="009B3384" w:rsidRDefault="00800862">
            <w:pPr>
              <w:widowControl w:val="0"/>
              <w:tabs>
                <w:tab w:val="clear" w:pos="567"/>
              </w:tabs>
              <w:jc w:val="center"/>
              <w:rPr>
                <w:szCs w:val="22"/>
                <w:lang w:val="en-US"/>
              </w:rPr>
            </w:pPr>
            <w:r>
              <w:rPr>
                <w:szCs w:val="22"/>
                <w:lang w:val="en-US"/>
              </w:rPr>
              <w:t>27% (44/161)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45" w14:textId="77777777" w:rsidR="009B3384" w:rsidRDefault="00800862">
            <w:pPr>
              <w:widowControl w:val="0"/>
              <w:tabs>
                <w:tab w:val="clear" w:pos="567"/>
              </w:tabs>
              <w:jc w:val="center"/>
              <w:rPr>
                <w:szCs w:val="22"/>
                <w:vertAlign w:val="superscript"/>
              </w:rPr>
            </w:pPr>
            <w:r>
              <w:rPr>
                <w:szCs w:val="22"/>
                <w:lang w:val="en-US"/>
              </w:rPr>
              <w:t>57% (95/</w:t>
            </w:r>
            <w:proofErr w:type="gramStart"/>
            <w:r>
              <w:rPr>
                <w:szCs w:val="22"/>
                <w:lang w:val="en-US"/>
              </w:rPr>
              <w:t>166)</w:t>
            </w:r>
            <w:r>
              <w:rPr>
                <w:szCs w:val="22"/>
                <w:vertAlign w:val="superscript"/>
              </w:rPr>
              <w:t>б</w:t>
            </w:r>
            <w:proofErr w:type="gramEnd"/>
          </w:p>
        </w:tc>
      </w:tr>
      <w:tr w:rsidR="009B3384" w14:paraId="109AD84A"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47" w14:textId="77777777" w:rsidR="009B3384" w:rsidRDefault="00800862">
            <w:pPr>
              <w:widowControl w:val="0"/>
              <w:tabs>
                <w:tab w:val="clear" w:pos="567"/>
              </w:tabs>
              <w:ind w:left="284"/>
              <w:rPr>
                <w:szCs w:val="22"/>
              </w:rPr>
            </w:pPr>
            <w:r>
              <w:rPr>
                <w:szCs w:val="22"/>
              </w:rPr>
              <w:t>При пациенти с неуспешна терапия както с TNF, така и с ведолизумаб</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48" w14:textId="77777777" w:rsidR="009B3384" w:rsidRDefault="00800862">
            <w:pPr>
              <w:widowControl w:val="0"/>
              <w:tabs>
                <w:tab w:val="clear" w:pos="567"/>
              </w:tabs>
              <w:jc w:val="center"/>
              <w:rPr>
                <w:szCs w:val="22"/>
                <w:lang w:val="en-US"/>
              </w:rPr>
            </w:pPr>
            <w:r>
              <w:rPr>
                <w:szCs w:val="22"/>
                <w:lang w:val="en-US"/>
              </w:rPr>
              <w:t>28% (13/47)</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49" w14:textId="77777777" w:rsidR="009B3384" w:rsidRDefault="00800862">
            <w:pPr>
              <w:widowControl w:val="0"/>
              <w:tabs>
                <w:tab w:val="clear" w:pos="567"/>
              </w:tabs>
              <w:jc w:val="center"/>
              <w:rPr>
                <w:szCs w:val="22"/>
              </w:rPr>
            </w:pPr>
            <w:r>
              <w:rPr>
                <w:szCs w:val="22"/>
                <w:lang w:val="en-US"/>
              </w:rPr>
              <w:t>52% (30/</w:t>
            </w:r>
            <w:proofErr w:type="gramStart"/>
            <w:r>
              <w:rPr>
                <w:szCs w:val="22"/>
                <w:lang w:val="en-US"/>
              </w:rPr>
              <w:t>58)</w:t>
            </w:r>
            <w:r>
              <w:rPr>
                <w:szCs w:val="22"/>
                <w:vertAlign w:val="superscript"/>
              </w:rPr>
              <w:t>в</w:t>
            </w:r>
            <w:proofErr w:type="gramEnd"/>
          </w:p>
        </w:tc>
      </w:tr>
      <w:tr w:rsidR="009B3384" w14:paraId="109AD84E"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4B" w14:textId="77777777" w:rsidR="009B3384" w:rsidRDefault="00800862">
            <w:pPr>
              <w:widowControl w:val="0"/>
              <w:tabs>
                <w:tab w:val="clear" w:pos="567"/>
              </w:tabs>
              <w:rPr>
                <w:szCs w:val="22"/>
                <w:lang w:val="en-US"/>
              </w:rPr>
            </w:pPr>
            <w:r>
              <w:rPr>
                <w:szCs w:val="22"/>
              </w:rPr>
              <w:t>Лигавично оздравяване</w:t>
            </w:r>
            <w:r>
              <w:rPr>
                <w:szCs w:val="18"/>
                <w:vertAlign w:val="superscript"/>
                <w:lang w:val="en-US"/>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4C" w14:textId="77777777" w:rsidR="009B3384" w:rsidRDefault="00800862">
            <w:pPr>
              <w:widowControl w:val="0"/>
              <w:tabs>
                <w:tab w:val="clear" w:pos="567"/>
              </w:tabs>
              <w:jc w:val="center"/>
              <w:rPr>
                <w:szCs w:val="22"/>
                <w:lang w:val="en-US"/>
              </w:rPr>
            </w:pPr>
            <w:r>
              <w:rPr>
                <w:szCs w:val="22"/>
                <w:lang w:val="en-US"/>
              </w:rPr>
              <w:t>14%</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4D" w14:textId="77777777" w:rsidR="009B3384" w:rsidRDefault="00800862">
            <w:pPr>
              <w:widowControl w:val="0"/>
              <w:tabs>
                <w:tab w:val="clear" w:pos="567"/>
              </w:tabs>
              <w:jc w:val="center"/>
              <w:rPr>
                <w:szCs w:val="22"/>
                <w:vertAlign w:val="superscript"/>
                <w:lang w:val="en-US"/>
              </w:rPr>
            </w:pPr>
            <w:r>
              <w:rPr>
                <w:szCs w:val="22"/>
                <w:lang w:val="en-US"/>
              </w:rPr>
              <w:t>27%</w:t>
            </w:r>
            <w:r>
              <w:rPr>
                <w:szCs w:val="22"/>
                <w:vertAlign w:val="superscript"/>
                <w:lang w:val="en-US"/>
              </w:rPr>
              <w:t>a</w:t>
            </w:r>
          </w:p>
        </w:tc>
      </w:tr>
      <w:tr w:rsidR="009B3384" w14:paraId="109AD852"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4F" w14:textId="77777777" w:rsidR="009B3384" w:rsidRDefault="00800862">
            <w:pPr>
              <w:widowControl w:val="0"/>
              <w:tabs>
                <w:tab w:val="clear" w:pos="567"/>
              </w:tabs>
              <w:ind w:left="284"/>
              <w:rPr>
                <w:szCs w:val="22"/>
              </w:rPr>
            </w:pPr>
            <w:r>
              <w:rPr>
                <w:szCs w:val="22"/>
              </w:rPr>
              <w:t xml:space="preserve">При пациенти с неуспешна конвенционална, но не и биологична терапия </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50" w14:textId="77777777" w:rsidR="009B3384" w:rsidRDefault="00800862">
            <w:pPr>
              <w:widowControl w:val="0"/>
              <w:tabs>
                <w:tab w:val="clear" w:pos="567"/>
              </w:tabs>
              <w:jc w:val="center"/>
              <w:rPr>
                <w:szCs w:val="22"/>
                <w:lang w:val="en-US"/>
              </w:rPr>
            </w:pPr>
            <w:r>
              <w:rPr>
                <w:szCs w:val="22"/>
              </w:rPr>
              <w:t>21% (33/158)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51" w14:textId="77777777" w:rsidR="009B3384" w:rsidRDefault="00800862">
            <w:pPr>
              <w:widowControl w:val="0"/>
              <w:tabs>
                <w:tab w:val="clear" w:pos="567"/>
              </w:tabs>
              <w:jc w:val="center"/>
              <w:rPr>
                <w:szCs w:val="22"/>
                <w:lang w:val="en-US"/>
              </w:rPr>
            </w:pPr>
            <w:r>
              <w:rPr>
                <w:szCs w:val="22"/>
              </w:rPr>
              <w:t>33% (52/156)</w:t>
            </w:r>
            <w:r>
              <w:rPr>
                <w:szCs w:val="22"/>
                <w:vertAlign w:val="superscript"/>
              </w:rPr>
              <w:t>в</w:t>
            </w:r>
          </w:p>
        </w:tc>
      </w:tr>
      <w:tr w:rsidR="009B3384" w14:paraId="109AD856"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53" w14:textId="77777777" w:rsidR="009B3384" w:rsidRDefault="00800862">
            <w:pPr>
              <w:widowControl w:val="0"/>
              <w:tabs>
                <w:tab w:val="clear" w:pos="567"/>
              </w:tabs>
              <w:ind w:left="284"/>
              <w:rPr>
                <w:szCs w:val="22"/>
              </w:rPr>
            </w:pPr>
            <w:r>
              <w:rPr>
                <w:szCs w:val="22"/>
              </w:rPr>
              <w:t>При пациенти с неуспешна биологична терапия</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54" w14:textId="77777777" w:rsidR="009B3384" w:rsidRDefault="00800862">
            <w:pPr>
              <w:widowControl w:val="0"/>
              <w:tabs>
                <w:tab w:val="clear" w:pos="567"/>
              </w:tabs>
              <w:jc w:val="center"/>
              <w:rPr>
                <w:szCs w:val="22"/>
                <w:lang w:val="en-US"/>
              </w:rPr>
            </w:pPr>
            <w:r>
              <w:rPr>
                <w:szCs w:val="22"/>
              </w:rPr>
              <w:t>7% (11/161)</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55" w14:textId="77777777" w:rsidR="009B3384" w:rsidRDefault="00800862">
            <w:pPr>
              <w:widowControl w:val="0"/>
              <w:tabs>
                <w:tab w:val="clear" w:pos="567"/>
              </w:tabs>
              <w:jc w:val="center"/>
              <w:rPr>
                <w:szCs w:val="22"/>
                <w:vertAlign w:val="superscript"/>
                <w:lang w:val="en-US"/>
              </w:rPr>
            </w:pPr>
            <w:r>
              <w:rPr>
                <w:szCs w:val="22"/>
              </w:rPr>
              <w:t>21% (35/166)</w:t>
            </w:r>
            <w:r>
              <w:rPr>
                <w:szCs w:val="22"/>
                <w:vertAlign w:val="superscript"/>
              </w:rPr>
              <w:t>б</w:t>
            </w:r>
          </w:p>
        </w:tc>
      </w:tr>
      <w:tr w:rsidR="009B3384" w14:paraId="109AD85A"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57" w14:textId="77777777" w:rsidR="009B3384" w:rsidRDefault="00800862">
            <w:pPr>
              <w:widowControl w:val="0"/>
              <w:tabs>
                <w:tab w:val="clear" w:pos="567"/>
              </w:tabs>
              <w:rPr>
                <w:szCs w:val="22"/>
                <w:lang w:val="en-US"/>
              </w:rPr>
            </w:pPr>
            <w:r>
              <w:rPr>
                <w:szCs w:val="22"/>
              </w:rPr>
              <w:t>Симптоматична ремисия</w:t>
            </w:r>
            <w:r>
              <w:rPr>
                <w:vertAlign w:val="superscript"/>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58" w14:textId="77777777" w:rsidR="009B3384" w:rsidRDefault="00800862">
            <w:pPr>
              <w:widowControl w:val="0"/>
              <w:tabs>
                <w:tab w:val="clear" w:pos="567"/>
              </w:tabs>
              <w:jc w:val="center"/>
              <w:rPr>
                <w:szCs w:val="22"/>
                <w:lang w:val="en-US"/>
              </w:rPr>
            </w:pPr>
            <w:r>
              <w:rPr>
                <w:szCs w:val="22"/>
                <w:lang w:val="en-US"/>
              </w:rPr>
              <w:t>23%</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59" w14:textId="77777777" w:rsidR="009B3384" w:rsidRDefault="00800862">
            <w:pPr>
              <w:widowControl w:val="0"/>
              <w:tabs>
                <w:tab w:val="clear" w:pos="567"/>
              </w:tabs>
              <w:jc w:val="center"/>
              <w:rPr>
                <w:szCs w:val="22"/>
              </w:rPr>
            </w:pPr>
            <w:r>
              <w:rPr>
                <w:szCs w:val="22"/>
                <w:lang w:val="en-US"/>
              </w:rPr>
              <w:t>45%</w:t>
            </w:r>
            <w:r>
              <w:rPr>
                <w:szCs w:val="22"/>
                <w:vertAlign w:val="superscript"/>
              </w:rPr>
              <w:t>б</w:t>
            </w:r>
          </w:p>
        </w:tc>
      </w:tr>
      <w:tr w:rsidR="009B3384" w14:paraId="109AD85E" w14:textId="77777777">
        <w:trPr>
          <w:cantSplit/>
          <w:jc w:val="center"/>
        </w:trPr>
        <w:tc>
          <w:tcPr>
            <w:tcW w:w="5114" w:type="dxa"/>
            <w:tcBorders>
              <w:top w:val="single" w:sz="4" w:space="0" w:color="000000"/>
              <w:left w:val="single" w:sz="4" w:space="0" w:color="000000"/>
              <w:bottom w:val="single" w:sz="4" w:space="0" w:color="000000"/>
              <w:right w:val="single" w:sz="4" w:space="0" w:color="000000"/>
            </w:tcBorders>
          </w:tcPr>
          <w:p w14:paraId="109AD85B" w14:textId="77777777" w:rsidR="009B3384" w:rsidRDefault="00800862">
            <w:pPr>
              <w:widowControl w:val="0"/>
              <w:tabs>
                <w:tab w:val="clear" w:pos="567"/>
              </w:tabs>
              <w:rPr>
                <w:szCs w:val="22"/>
              </w:rPr>
            </w:pPr>
            <w:r>
              <w:rPr>
                <w:szCs w:val="22"/>
              </w:rPr>
              <w:lastRenderedPageBreak/>
              <w:t>Комбинирано симптоматична ремисия и лигавично оздравяване</w:t>
            </w:r>
            <w:r>
              <w:rPr>
                <w:szCs w:val="18"/>
                <w:vertAlign w:val="superscript"/>
                <w:lang w:val="en-US"/>
              </w:rPr>
              <w:t>⸸</w:t>
            </w:r>
          </w:p>
        </w:tc>
        <w:tc>
          <w:tcPr>
            <w:tcW w:w="1876" w:type="dxa"/>
            <w:tcBorders>
              <w:top w:val="single" w:sz="4" w:space="0" w:color="000000"/>
              <w:left w:val="single" w:sz="4" w:space="0" w:color="000000"/>
              <w:bottom w:val="single" w:sz="4" w:space="0" w:color="000000"/>
              <w:right w:val="single" w:sz="4" w:space="0" w:color="000000"/>
            </w:tcBorders>
            <w:vAlign w:val="center"/>
          </w:tcPr>
          <w:p w14:paraId="109AD85C" w14:textId="77777777" w:rsidR="009B3384" w:rsidRDefault="00800862">
            <w:pPr>
              <w:widowControl w:val="0"/>
              <w:tabs>
                <w:tab w:val="clear" w:pos="567"/>
              </w:tabs>
              <w:jc w:val="center"/>
              <w:rPr>
                <w:szCs w:val="22"/>
                <w:lang w:val="en-US"/>
              </w:rPr>
            </w:pPr>
            <w:r>
              <w:rPr>
                <w:szCs w:val="22"/>
                <w:lang w:val="en-US"/>
              </w:rPr>
              <w:t>8%</w:t>
            </w:r>
          </w:p>
        </w:tc>
        <w:tc>
          <w:tcPr>
            <w:tcW w:w="2082" w:type="dxa"/>
            <w:tcBorders>
              <w:top w:val="single" w:sz="4" w:space="0" w:color="000000"/>
              <w:left w:val="single" w:sz="4" w:space="0" w:color="000000"/>
              <w:bottom w:val="single" w:sz="4" w:space="0" w:color="000000"/>
              <w:right w:val="single" w:sz="4" w:space="0" w:color="000000"/>
            </w:tcBorders>
            <w:vAlign w:val="center"/>
          </w:tcPr>
          <w:p w14:paraId="109AD85D" w14:textId="77777777" w:rsidR="009B3384" w:rsidRDefault="00800862">
            <w:pPr>
              <w:widowControl w:val="0"/>
              <w:tabs>
                <w:tab w:val="clear" w:pos="567"/>
              </w:tabs>
              <w:jc w:val="center"/>
              <w:rPr>
                <w:szCs w:val="22"/>
                <w:vertAlign w:val="superscript"/>
              </w:rPr>
            </w:pPr>
            <w:r>
              <w:rPr>
                <w:szCs w:val="22"/>
                <w:lang w:val="en-US"/>
              </w:rPr>
              <w:t>21%</w:t>
            </w:r>
            <w:r>
              <w:rPr>
                <w:szCs w:val="22"/>
                <w:vertAlign w:val="superscript"/>
              </w:rPr>
              <w:t>б</w:t>
            </w:r>
          </w:p>
        </w:tc>
      </w:tr>
      <w:tr w:rsidR="009B3384" w14:paraId="109AD869" w14:textId="77777777">
        <w:trPr>
          <w:cantSplit/>
          <w:jc w:val="center"/>
        </w:trPr>
        <w:tc>
          <w:tcPr>
            <w:tcW w:w="9072" w:type="dxa"/>
            <w:gridSpan w:val="3"/>
            <w:tcBorders>
              <w:top w:val="single" w:sz="4" w:space="0" w:color="000000"/>
            </w:tcBorders>
          </w:tcPr>
          <w:p w14:paraId="109AD85F" w14:textId="45E73E9B" w:rsidR="009B3384" w:rsidRDefault="00800862">
            <w:pPr>
              <w:widowControl w:val="0"/>
              <w:tabs>
                <w:tab w:val="left" w:pos="864"/>
              </w:tabs>
              <w:ind w:left="284" w:hanging="284"/>
              <w:rPr>
                <w:sz w:val="18"/>
                <w:szCs w:val="18"/>
              </w:rPr>
            </w:pPr>
            <w:r>
              <w:rPr>
                <w:szCs w:val="18"/>
                <w:vertAlign w:val="superscript"/>
              </w:rPr>
              <w:t>£</w:t>
            </w:r>
            <w:r>
              <w:rPr>
                <w:szCs w:val="18"/>
                <w:vertAlign w:val="superscript"/>
              </w:rPr>
              <w:tab/>
            </w:r>
            <w:r>
              <w:rPr>
                <w:sz w:val="18"/>
                <w:szCs w:val="18"/>
              </w:rPr>
              <w:t xml:space="preserve">Доза за инфузия на устекинумаб при използване на схема на прилагане въз основа на телесното тегло, указана в </w:t>
            </w:r>
            <w:r>
              <w:rPr>
                <w:i/>
                <w:sz w:val="18"/>
                <w:szCs w:val="18"/>
              </w:rPr>
              <w:t>Таблица</w:t>
            </w:r>
            <w:r>
              <w:rPr>
                <w:i/>
                <w:sz w:val="18"/>
                <w:szCs w:val="18"/>
                <w:lang w:val="en-US"/>
              </w:rPr>
              <w:t> </w:t>
            </w:r>
            <w:r>
              <w:rPr>
                <w:i/>
                <w:sz w:val="18"/>
                <w:szCs w:val="18"/>
              </w:rPr>
              <w:t>1</w:t>
            </w:r>
            <w:ins w:id="1291" w:author="Reviser" w:date="2026-04-29T21:06:00Z">
              <w:r w:rsidR="00685CAD">
                <w:t xml:space="preserve"> </w:t>
              </w:r>
              <w:r w:rsidR="00685CAD" w:rsidRPr="00685CAD">
                <w:rPr>
                  <w:i/>
                  <w:sz w:val="18"/>
                  <w:szCs w:val="18"/>
                </w:rPr>
                <w:t>в КХП на STELARA 130</w:t>
              </w:r>
            </w:ins>
            <w:ins w:id="1292" w:author="EUCP BE1" w:date="2026-05-19T17:00:00Z">
              <w:r w:rsidR="00F72194">
                <w:rPr>
                  <w:i/>
                  <w:sz w:val="18"/>
                  <w:szCs w:val="18"/>
                  <w:lang w:val="en-US"/>
                </w:rPr>
                <w:t> </w:t>
              </w:r>
            </w:ins>
            <w:ins w:id="1293" w:author="Reviser" w:date="2026-04-29T21:06:00Z">
              <w:del w:id="1294" w:author="EUCP BE1" w:date="2026-05-19T17:00:00Z">
                <w:r w:rsidR="00685CAD" w:rsidRPr="00685CAD" w:rsidDel="00F72194">
                  <w:rPr>
                    <w:i/>
                    <w:sz w:val="18"/>
                    <w:szCs w:val="18"/>
                  </w:rPr>
                  <w:delText xml:space="preserve"> </w:delText>
                </w:r>
              </w:del>
              <w:r w:rsidR="00685CAD" w:rsidRPr="00685CAD">
                <w:rPr>
                  <w:i/>
                  <w:sz w:val="18"/>
                  <w:szCs w:val="18"/>
                </w:rPr>
                <w:t>mg концентрат за инфузионен разтвор</w:t>
              </w:r>
              <w:del w:id="1295" w:author="RABG09" w:date="2026-05-14T12:53:00Z">
                <w:r w:rsidR="00685CAD" w:rsidDel="00512204">
                  <w:rPr>
                    <w:i/>
                    <w:sz w:val="18"/>
                    <w:szCs w:val="18"/>
                  </w:rPr>
                  <w:delText xml:space="preserve"> </w:delText>
                </w:r>
              </w:del>
            </w:ins>
            <w:r>
              <w:rPr>
                <w:sz w:val="18"/>
                <w:szCs w:val="18"/>
              </w:rPr>
              <w:t>.</w:t>
            </w:r>
          </w:p>
          <w:p w14:paraId="109AD860" w14:textId="42A94EF8" w:rsidR="009B3384" w:rsidRDefault="00800862">
            <w:pPr>
              <w:widowControl w:val="0"/>
              <w:ind w:left="284" w:hanging="284"/>
              <w:rPr>
                <w:sz w:val="18"/>
                <w:szCs w:val="18"/>
              </w:rPr>
            </w:pPr>
            <w:r>
              <w:rPr>
                <w:sz w:val="18"/>
                <w:szCs w:val="18"/>
              </w:rPr>
              <w:t>*</w:t>
            </w:r>
            <w:r>
              <w:rPr>
                <w:sz w:val="18"/>
                <w:szCs w:val="18"/>
              </w:rPr>
              <w:tab/>
              <w:t xml:space="preserve">Клиничната ремисия се определя като скор по Mayo ≤ 2 пункта, без индивидуален </w:t>
            </w:r>
            <w:r w:rsidR="00EA3FF7">
              <w:rPr>
                <w:sz w:val="18"/>
                <w:szCs w:val="18"/>
              </w:rPr>
              <w:t>подскор</w:t>
            </w:r>
            <w:r>
              <w:rPr>
                <w:sz w:val="18"/>
                <w:szCs w:val="18"/>
              </w:rPr>
              <w:t xml:space="preserve"> &gt; 1.</w:t>
            </w:r>
          </w:p>
          <w:p w14:paraId="109AD861" w14:textId="79911721"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Клиничният отговор се определя като намаляване спрямо изходното ниво на скора по </w:t>
            </w:r>
            <w:r>
              <w:rPr>
                <w:sz w:val="18"/>
                <w:szCs w:val="18"/>
                <w:lang w:val="en-US"/>
              </w:rPr>
              <w:t>Mayo</w:t>
            </w:r>
            <w:r>
              <w:rPr>
                <w:sz w:val="18"/>
                <w:szCs w:val="18"/>
              </w:rPr>
              <w:t xml:space="preserve"> с ≥ 30% и ≥ 3 пункта, с намаляване спрямо изходното ниво на </w:t>
            </w:r>
            <w:r w:rsidR="00EA3FF7">
              <w:rPr>
                <w:sz w:val="18"/>
                <w:szCs w:val="18"/>
              </w:rPr>
              <w:t>подскор</w:t>
            </w:r>
            <w:r>
              <w:rPr>
                <w:sz w:val="18"/>
                <w:szCs w:val="18"/>
              </w:rPr>
              <w:t xml:space="preserve">а за ректално кървене ≥ 1 или </w:t>
            </w:r>
            <w:r w:rsidR="00EA3FF7">
              <w:rPr>
                <w:sz w:val="18"/>
                <w:szCs w:val="18"/>
              </w:rPr>
              <w:t>подскор</w:t>
            </w:r>
            <w:r>
              <w:rPr>
                <w:sz w:val="18"/>
                <w:szCs w:val="18"/>
              </w:rPr>
              <w:t xml:space="preserve"> за ректално кървене 0 или 1.</w:t>
            </w:r>
          </w:p>
          <w:p w14:paraId="109AD862" w14:textId="77777777" w:rsidR="009B3384" w:rsidRDefault="00800862">
            <w:pPr>
              <w:widowControl w:val="0"/>
              <w:ind w:left="284" w:hanging="284"/>
              <w:rPr>
                <w:sz w:val="18"/>
                <w:szCs w:val="18"/>
              </w:rPr>
            </w:pPr>
            <w:r>
              <w:rPr>
                <w:szCs w:val="22"/>
                <w:vertAlign w:val="superscript"/>
              </w:rPr>
              <w:t>¥</w:t>
            </w:r>
            <w:r>
              <w:rPr>
                <w:szCs w:val="22"/>
                <w:vertAlign w:val="superscript"/>
              </w:rPr>
              <w:tab/>
            </w:r>
            <w:r>
              <w:rPr>
                <w:sz w:val="18"/>
                <w:szCs w:val="18"/>
              </w:rPr>
              <w:t>Антагонист на TNFα и/или ведолизумаб.</w:t>
            </w:r>
          </w:p>
          <w:p w14:paraId="109AD863" w14:textId="1C8C59FD" w:rsidR="009B3384" w:rsidRDefault="00800862">
            <w:pPr>
              <w:widowControl w:val="0"/>
              <w:ind w:left="284" w:hanging="284"/>
              <w:rPr>
                <w:rFonts w:eastAsia="TimesNewRoman"/>
                <w:sz w:val="18"/>
                <w:szCs w:val="18"/>
                <w:lang w:eastAsia="zh-CN"/>
              </w:rPr>
            </w:pPr>
            <w:r>
              <w:rPr>
                <w:szCs w:val="18"/>
                <w:vertAlign w:val="superscript"/>
              </w:rPr>
              <w:t>†</w:t>
            </w:r>
            <w:r>
              <w:rPr>
                <w:szCs w:val="18"/>
                <w:vertAlign w:val="superscript"/>
              </w:rPr>
              <w:tab/>
            </w:r>
            <w:r>
              <w:rPr>
                <w:rFonts w:eastAsia="TimesNewRoman"/>
                <w:sz w:val="18"/>
                <w:szCs w:val="18"/>
                <w:lang w:eastAsia="zh-CN"/>
              </w:rPr>
              <w:t xml:space="preserve">Лигавичното оздравяване се определя като ендоскопски </w:t>
            </w:r>
            <w:r w:rsidR="00EA3FF7">
              <w:rPr>
                <w:rFonts w:eastAsia="TimesNewRoman"/>
                <w:sz w:val="18"/>
                <w:szCs w:val="18"/>
                <w:lang w:eastAsia="zh-CN"/>
              </w:rPr>
              <w:t>подскор</w:t>
            </w:r>
            <w:r>
              <w:rPr>
                <w:rFonts w:eastAsia="TimesNewRoman"/>
                <w:sz w:val="18"/>
                <w:szCs w:val="18"/>
                <w:lang w:eastAsia="zh-CN"/>
              </w:rPr>
              <w:t xml:space="preserve"> по Mayo 0 или 1.</w:t>
            </w:r>
          </w:p>
          <w:p w14:paraId="109AD864" w14:textId="7B2900E5"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Симптоматичната ремисия се определя като </w:t>
            </w:r>
            <w:r w:rsidR="00EA3FF7">
              <w:rPr>
                <w:sz w:val="18"/>
                <w:szCs w:val="18"/>
              </w:rPr>
              <w:t>подскор</w:t>
            </w:r>
            <w:r>
              <w:rPr>
                <w:sz w:val="18"/>
                <w:szCs w:val="18"/>
              </w:rPr>
              <w:t xml:space="preserve"> по </w:t>
            </w:r>
            <w:r>
              <w:rPr>
                <w:sz w:val="18"/>
                <w:szCs w:val="18"/>
                <w:lang w:val="en-US"/>
              </w:rPr>
              <w:t>Mayo</w:t>
            </w:r>
            <w:r>
              <w:rPr>
                <w:sz w:val="18"/>
                <w:szCs w:val="18"/>
              </w:rPr>
              <w:t xml:space="preserve"> за честота на дефекацията </w:t>
            </w:r>
            <w:r>
              <w:rPr>
                <w:rFonts w:eastAsia="TimesNewRoman"/>
                <w:sz w:val="18"/>
                <w:szCs w:val="18"/>
                <w:lang w:eastAsia="zh-CN"/>
              </w:rPr>
              <w:t>0 или 1</w:t>
            </w:r>
            <w:r>
              <w:rPr>
                <w:sz w:val="18"/>
                <w:szCs w:val="18"/>
              </w:rPr>
              <w:t xml:space="preserve"> и </w:t>
            </w:r>
            <w:r w:rsidR="00EA3FF7">
              <w:rPr>
                <w:sz w:val="18"/>
                <w:szCs w:val="18"/>
              </w:rPr>
              <w:t>подскор</w:t>
            </w:r>
            <w:r>
              <w:rPr>
                <w:sz w:val="18"/>
                <w:szCs w:val="18"/>
              </w:rPr>
              <w:t xml:space="preserve"> за ректално кървене 0.</w:t>
            </w:r>
          </w:p>
          <w:p w14:paraId="109AD865" w14:textId="02491E99" w:rsidR="009B3384" w:rsidRDefault="00800862">
            <w:pPr>
              <w:widowControl w:val="0"/>
              <w:ind w:left="284" w:hanging="284"/>
              <w:rPr>
                <w:sz w:val="18"/>
                <w:szCs w:val="18"/>
              </w:rPr>
            </w:pPr>
            <w:r>
              <w:rPr>
                <w:szCs w:val="18"/>
                <w:vertAlign w:val="superscript"/>
                <w:lang w:val="en-US"/>
              </w:rPr>
              <w:t>⸸</w:t>
            </w:r>
            <w:r>
              <w:rPr>
                <w:szCs w:val="18"/>
                <w:vertAlign w:val="superscript"/>
              </w:rPr>
              <w:tab/>
            </w:r>
            <w:r>
              <w:rPr>
                <w:sz w:val="18"/>
                <w:szCs w:val="18"/>
              </w:rPr>
              <w:t xml:space="preserve">Комбинацията от симптоматична ремисия и лигавично оздравяване се определя като </w:t>
            </w:r>
            <w:r w:rsidR="00EA3FF7">
              <w:rPr>
                <w:sz w:val="18"/>
                <w:szCs w:val="18"/>
              </w:rPr>
              <w:t>подскор</w:t>
            </w:r>
            <w:r>
              <w:rPr>
                <w:sz w:val="18"/>
                <w:szCs w:val="18"/>
              </w:rPr>
              <w:t xml:space="preserve"> за честота на дефекацията </w:t>
            </w:r>
            <w:r>
              <w:rPr>
                <w:rFonts w:eastAsia="TimesNewRoman"/>
                <w:sz w:val="18"/>
                <w:szCs w:val="18"/>
                <w:lang w:eastAsia="zh-CN"/>
              </w:rPr>
              <w:t xml:space="preserve">0 или </w:t>
            </w:r>
            <w:r>
              <w:rPr>
                <w:sz w:val="18"/>
                <w:szCs w:val="18"/>
              </w:rPr>
              <w:t xml:space="preserve">1, </w:t>
            </w:r>
            <w:r w:rsidR="00EA3FF7">
              <w:rPr>
                <w:sz w:val="18"/>
                <w:szCs w:val="18"/>
              </w:rPr>
              <w:t>подскор</w:t>
            </w:r>
            <w:r>
              <w:rPr>
                <w:sz w:val="18"/>
                <w:szCs w:val="18"/>
              </w:rPr>
              <w:t xml:space="preserve"> за ректално кървене 0 и ендоскопски </w:t>
            </w:r>
            <w:r w:rsidR="00EA3FF7">
              <w:rPr>
                <w:sz w:val="18"/>
                <w:szCs w:val="18"/>
              </w:rPr>
              <w:t>подскор</w:t>
            </w:r>
            <w:r>
              <w:rPr>
                <w:sz w:val="18"/>
                <w:szCs w:val="18"/>
              </w:rPr>
              <w:t xml:space="preserve"> 0 или 1.</w:t>
            </w:r>
          </w:p>
          <w:p w14:paraId="109AD866"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D867" w14:textId="77777777" w:rsidR="009B3384" w:rsidRDefault="00800862">
            <w:pPr>
              <w:widowControl w:val="0"/>
              <w:ind w:left="284" w:hanging="284"/>
              <w:rPr>
                <w:sz w:val="18"/>
                <w:szCs w:val="18"/>
              </w:rPr>
            </w:pPr>
            <w:r>
              <w:rPr>
                <w:szCs w:val="18"/>
                <w:vertAlign w:val="superscript"/>
              </w:rPr>
              <w:t>б</w:t>
            </w:r>
            <w:r>
              <w:rPr>
                <w:szCs w:val="18"/>
                <w:vertAlign w:val="superscript"/>
              </w:rPr>
              <w:tab/>
            </w:r>
            <w:r>
              <w:rPr>
                <w:sz w:val="18"/>
                <w:szCs w:val="18"/>
              </w:rPr>
              <w:t>Номинално значимо (p &lt; 0,001)</w:t>
            </w:r>
          </w:p>
          <w:p w14:paraId="109AD868" w14:textId="77777777" w:rsidR="009B3384" w:rsidRDefault="00800862">
            <w:pPr>
              <w:widowControl w:val="0"/>
              <w:ind w:left="284" w:hanging="284"/>
              <w:rPr>
                <w:sz w:val="18"/>
                <w:szCs w:val="18"/>
              </w:rPr>
            </w:pPr>
            <w:r>
              <w:rPr>
                <w:szCs w:val="18"/>
                <w:vertAlign w:val="superscript"/>
              </w:rPr>
              <w:t>в</w:t>
            </w:r>
            <w:r>
              <w:rPr>
                <w:szCs w:val="18"/>
                <w:vertAlign w:val="superscript"/>
              </w:rPr>
              <w:tab/>
            </w:r>
            <w:r>
              <w:rPr>
                <w:sz w:val="18"/>
                <w:szCs w:val="18"/>
              </w:rPr>
              <w:t>Номинално значимо (p &lt; 0,05)</w:t>
            </w:r>
          </w:p>
        </w:tc>
      </w:tr>
    </w:tbl>
    <w:p w14:paraId="109AD86A" w14:textId="77777777" w:rsidR="009B3384" w:rsidRDefault="009B3384">
      <w:pPr>
        <w:tabs>
          <w:tab w:val="clear" w:pos="567"/>
        </w:tabs>
      </w:pPr>
    </w:p>
    <w:p w14:paraId="109AD86B" w14:textId="77777777" w:rsidR="009B3384" w:rsidRDefault="00800862">
      <w:pPr>
        <w:tabs>
          <w:tab w:val="clear" w:pos="567"/>
        </w:tabs>
        <w:rPr>
          <w:szCs w:val="24"/>
        </w:rPr>
      </w:pPr>
      <w:r>
        <w:t>В UNIFI-M са оценени 523</w:t>
      </w:r>
      <w:r>
        <w:rPr>
          <w:szCs w:val="22"/>
        </w:rPr>
        <w:t> </w:t>
      </w:r>
      <w:r>
        <w:t>пациенти, постигнали клиничен отговор с еднократно i.v. приложение на устекинумаб в UNIFI-I</w:t>
      </w:r>
      <w:r>
        <w:rPr>
          <w:szCs w:val="24"/>
        </w:rPr>
        <w:t>. Пациентите са рандомизирани за получаване на поддържаща схема с 90</w:t>
      </w:r>
      <w:r>
        <w:rPr>
          <w:szCs w:val="22"/>
        </w:rPr>
        <w:t> </w:t>
      </w:r>
      <w:r>
        <w:rPr>
          <w:szCs w:val="24"/>
        </w:rPr>
        <w:t xml:space="preserve">mg </w:t>
      </w:r>
      <w:r>
        <w:t xml:space="preserve">устекинумаб </w:t>
      </w:r>
      <w:r>
        <w:rPr>
          <w:szCs w:val="24"/>
        </w:rPr>
        <w:t>подкожно на всеки 8</w:t>
      </w:r>
      <w:r>
        <w:rPr>
          <w:szCs w:val="22"/>
        </w:rPr>
        <w:t> </w:t>
      </w:r>
      <w:r>
        <w:rPr>
          <w:szCs w:val="24"/>
        </w:rPr>
        <w:t>седмици, 90</w:t>
      </w:r>
      <w:r>
        <w:rPr>
          <w:szCs w:val="22"/>
        </w:rPr>
        <w:t> </w:t>
      </w:r>
      <w:r>
        <w:rPr>
          <w:szCs w:val="24"/>
        </w:rPr>
        <w:t xml:space="preserve">mg </w:t>
      </w:r>
      <w:r>
        <w:t xml:space="preserve">устекинумаб </w:t>
      </w:r>
      <w:r>
        <w:rPr>
          <w:szCs w:val="24"/>
        </w:rPr>
        <w:t>на всеки 12</w:t>
      </w:r>
      <w:r>
        <w:rPr>
          <w:szCs w:val="22"/>
        </w:rPr>
        <w:t> </w:t>
      </w:r>
      <w:r>
        <w:rPr>
          <w:szCs w:val="24"/>
        </w:rPr>
        <w:t>седмици или плацебо в продължение на 44</w:t>
      </w:r>
      <w:r>
        <w:rPr>
          <w:szCs w:val="22"/>
        </w:rPr>
        <w:t> </w:t>
      </w:r>
      <w:r>
        <w:rPr>
          <w:szCs w:val="24"/>
        </w:rPr>
        <w:t>седмици (за препоръчителната поддържаща доза вижте точка</w:t>
      </w:r>
      <w:r>
        <w:rPr>
          <w:szCs w:val="22"/>
        </w:rPr>
        <w:t> </w:t>
      </w:r>
      <w:r>
        <w:rPr>
          <w:szCs w:val="24"/>
        </w:rPr>
        <w:t>4.2 на КХП на STELARA инжекционен разтвор (флакон) и инжекционен разтвор в предварително напълнена спринцовка или в предварително напълнена писалка).</w:t>
      </w:r>
    </w:p>
    <w:p w14:paraId="109AD86C" w14:textId="77777777" w:rsidR="009B3384" w:rsidRDefault="009B3384">
      <w:pPr>
        <w:tabs>
          <w:tab w:val="clear" w:pos="567"/>
        </w:tabs>
        <w:rPr>
          <w:szCs w:val="24"/>
        </w:rPr>
      </w:pPr>
    </w:p>
    <w:p w14:paraId="109AD86D" w14:textId="77777777" w:rsidR="009B3384" w:rsidRDefault="00800862">
      <w:r>
        <w:t>Значимо по-голям процент пациенти са в клинична ремисия в двете групи, лекувани с устекинумаб, в сравнение с групата с плацебо на седмица</w:t>
      </w:r>
      <w:r>
        <w:rPr>
          <w:szCs w:val="22"/>
        </w:rPr>
        <w:t> </w:t>
      </w:r>
      <w:r>
        <w:t>44 (вж. Таблица</w:t>
      </w:r>
      <w:r>
        <w:rPr>
          <w:szCs w:val="22"/>
        </w:rPr>
        <w:t> </w:t>
      </w:r>
      <w:r>
        <w:t>12).</w:t>
      </w:r>
    </w:p>
    <w:p w14:paraId="109AD86E" w14:textId="77777777" w:rsidR="009B3384" w:rsidRDefault="009B3384"/>
    <w:p w14:paraId="109AD86F" w14:textId="77777777" w:rsidR="009B3384" w:rsidRDefault="00800862">
      <w:pPr>
        <w:keepNext/>
        <w:ind w:left="1134" w:hanging="1134"/>
        <w:rPr>
          <w:i/>
          <w:iCs/>
          <w:szCs w:val="22"/>
        </w:rPr>
      </w:pPr>
      <w:r>
        <w:rPr>
          <w:i/>
          <w:iCs/>
          <w:szCs w:val="22"/>
        </w:rPr>
        <w:t>Таблица 8:</w:t>
      </w:r>
      <w:r>
        <w:rPr>
          <w:i/>
          <w:iCs/>
          <w:szCs w:val="22"/>
        </w:rPr>
        <w:tab/>
      </w:r>
      <w:r>
        <w:rPr>
          <w:i/>
          <w:iCs/>
        </w:rPr>
        <w:t xml:space="preserve">Резюме на основните измерители за ефикасност в </w:t>
      </w:r>
      <w:r>
        <w:rPr>
          <w:i/>
          <w:iCs/>
          <w:szCs w:val="22"/>
        </w:rPr>
        <w:t>UNIFI-M (седмица</w:t>
      </w:r>
      <w:r>
        <w:rPr>
          <w:i/>
          <w:szCs w:val="22"/>
        </w:rPr>
        <w:t> </w:t>
      </w:r>
      <w:r>
        <w:rPr>
          <w:i/>
          <w:iCs/>
          <w:szCs w:val="22"/>
        </w:rPr>
        <w:t>44; 52</w:t>
      </w:r>
      <w:r>
        <w:rPr>
          <w:i/>
          <w:szCs w:val="22"/>
        </w:rPr>
        <w:t> </w:t>
      </w:r>
      <w:r>
        <w:rPr>
          <w:i/>
          <w:iCs/>
          <w:szCs w:val="22"/>
        </w:rPr>
        <w:t>седмици от започване на индукционната доза)</w:t>
      </w:r>
    </w:p>
    <w:tbl>
      <w:tblPr>
        <w:tblW w:w="9075" w:type="dxa"/>
        <w:jc w:val="center"/>
        <w:tblLayout w:type="fixed"/>
        <w:tblLook w:val="04A0" w:firstRow="1" w:lastRow="0" w:firstColumn="1" w:lastColumn="0" w:noHBand="0" w:noVBand="1"/>
      </w:tblPr>
      <w:tblGrid>
        <w:gridCol w:w="4177"/>
        <w:gridCol w:w="1710"/>
        <w:gridCol w:w="1621"/>
        <w:gridCol w:w="1567"/>
      </w:tblGrid>
      <w:tr w:rsidR="009B3384" w14:paraId="109AD877"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70" w14:textId="77777777" w:rsidR="009B3384" w:rsidRDefault="009B3384">
            <w:pPr>
              <w:keepNext/>
              <w:widowControl w:val="0"/>
              <w:jc w:val="center"/>
              <w:rPr>
                <w:b/>
                <w:szCs w:val="22"/>
              </w:rPr>
            </w:pPr>
          </w:p>
        </w:tc>
        <w:tc>
          <w:tcPr>
            <w:tcW w:w="1710" w:type="dxa"/>
            <w:tcBorders>
              <w:top w:val="single" w:sz="4" w:space="0" w:color="000000"/>
              <w:left w:val="single" w:sz="4" w:space="0" w:color="000000"/>
              <w:bottom w:val="single" w:sz="4" w:space="0" w:color="000000"/>
              <w:right w:val="single" w:sz="4" w:space="0" w:color="000000"/>
            </w:tcBorders>
          </w:tcPr>
          <w:p w14:paraId="109AD871" w14:textId="77777777" w:rsidR="009B3384" w:rsidRDefault="00800862">
            <w:pPr>
              <w:keepNext/>
              <w:widowControl w:val="0"/>
              <w:jc w:val="center"/>
              <w:rPr>
                <w:b/>
                <w:szCs w:val="22"/>
              </w:rPr>
            </w:pPr>
            <w:r>
              <w:rPr>
                <w:b/>
                <w:szCs w:val="22"/>
              </w:rPr>
              <w:t>Плацебо*</w:t>
            </w:r>
          </w:p>
          <w:p w14:paraId="109AD872" w14:textId="77777777" w:rsidR="009B3384" w:rsidRDefault="00800862">
            <w:pPr>
              <w:keepNext/>
              <w:widowControl w:val="0"/>
              <w:jc w:val="center"/>
              <w:rPr>
                <w:b/>
                <w:szCs w:val="22"/>
              </w:rPr>
            </w:pPr>
            <w:r>
              <w:rPr>
                <w:b/>
                <w:szCs w:val="22"/>
              </w:rPr>
              <w:t>N</w:t>
            </w:r>
            <w:r>
              <w:rPr>
                <w:szCs w:val="22"/>
              </w:rPr>
              <w:t> </w:t>
            </w:r>
            <w:r>
              <w:rPr>
                <w:b/>
                <w:szCs w:val="22"/>
              </w:rPr>
              <w:t>=</w:t>
            </w:r>
            <w:r>
              <w:rPr>
                <w:szCs w:val="22"/>
              </w:rPr>
              <w:t> 175</w:t>
            </w:r>
            <w:r>
              <w:rPr>
                <w:b/>
                <w:szCs w:val="22"/>
                <w:vertAlign w:val="superscript"/>
              </w:rPr>
              <w:t xml:space="preserve"> </w:t>
            </w:r>
          </w:p>
        </w:tc>
        <w:tc>
          <w:tcPr>
            <w:tcW w:w="1621" w:type="dxa"/>
            <w:tcBorders>
              <w:top w:val="single" w:sz="4" w:space="0" w:color="000000"/>
              <w:left w:val="single" w:sz="4" w:space="0" w:color="000000"/>
              <w:bottom w:val="single" w:sz="4" w:space="0" w:color="000000"/>
              <w:right w:val="single" w:sz="4" w:space="0" w:color="000000"/>
            </w:tcBorders>
          </w:tcPr>
          <w:p w14:paraId="109AD873" w14:textId="77777777" w:rsidR="009B3384" w:rsidRDefault="00800862">
            <w:pPr>
              <w:keepNext/>
              <w:widowControl w:val="0"/>
              <w:jc w:val="center"/>
              <w:rPr>
                <w:b/>
                <w:szCs w:val="22"/>
              </w:rPr>
            </w:pPr>
            <w:r>
              <w:rPr>
                <w:b/>
                <w:szCs w:val="22"/>
              </w:rPr>
              <w:t>90 mg устекинумаб</w:t>
            </w:r>
            <w:r>
              <w:rPr>
                <w:szCs w:val="22"/>
              </w:rPr>
              <w:t xml:space="preserve"> </w:t>
            </w:r>
            <w:r>
              <w:rPr>
                <w:b/>
                <w:szCs w:val="22"/>
              </w:rPr>
              <w:t>през 8</w:t>
            </w:r>
            <w:r>
              <w:rPr>
                <w:szCs w:val="22"/>
              </w:rPr>
              <w:t> </w:t>
            </w:r>
            <w:r>
              <w:rPr>
                <w:b/>
                <w:szCs w:val="22"/>
              </w:rPr>
              <w:t>седмици</w:t>
            </w:r>
          </w:p>
          <w:p w14:paraId="109AD874" w14:textId="77777777" w:rsidR="009B3384" w:rsidRDefault="00800862">
            <w:pPr>
              <w:keepNext/>
              <w:widowControl w:val="0"/>
              <w:jc w:val="center"/>
              <w:rPr>
                <w:b/>
                <w:szCs w:val="22"/>
              </w:rPr>
            </w:pPr>
            <w:r>
              <w:rPr>
                <w:b/>
                <w:szCs w:val="22"/>
              </w:rPr>
              <w:t>N</w:t>
            </w:r>
            <w:r>
              <w:rPr>
                <w:szCs w:val="22"/>
              </w:rPr>
              <w:t> </w:t>
            </w:r>
            <w:r>
              <w:rPr>
                <w:b/>
                <w:szCs w:val="22"/>
              </w:rPr>
              <w:t>=</w:t>
            </w:r>
            <w:r>
              <w:rPr>
                <w:szCs w:val="22"/>
              </w:rPr>
              <w:t> 176</w:t>
            </w:r>
          </w:p>
        </w:tc>
        <w:tc>
          <w:tcPr>
            <w:tcW w:w="1567" w:type="dxa"/>
            <w:tcBorders>
              <w:top w:val="single" w:sz="4" w:space="0" w:color="000000"/>
              <w:left w:val="single" w:sz="4" w:space="0" w:color="000000"/>
              <w:bottom w:val="single" w:sz="4" w:space="0" w:color="000000"/>
              <w:right w:val="single" w:sz="4" w:space="0" w:color="000000"/>
            </w:tcBorders>
          </w:tcPr>
          <w:p w14:paraId="109AD875" w14:textId="77777777" w:rsidR="009B3384" w:rsidRDefault="00800862">
            <w:pPr>
              <w:keepNext/>
              <w:widowControl w:val="0"/>
              <w:jc w:val="center"/>
              <w:rPr>
                <w:b/>
                <w:szCs w:val="22"/>
              </w:rPr>
            </w:pPr>
            <w:r>
              <w:rPr>
                <w:b/>
                <w:szCs w:val="22"/>
              </w:rPr>
              <w:t>90</w:t>
            </w:r>
            <w:r>
              <w:rPr>
                <w:szCs w:val="22"/>
              </w:rPr>
              <w:t> </w:t>
            </w:r>
            <w:r>
              <w:rPr>
                <w:b/>
                <w:szCs w:val="22"/>
              </w:rPr>
              <w:t>mg устекинумаб през 12</w:t>
            </w:r>
            <w:r>
              <w:rPr>
                <w:szCs w:val="22"/>
              </w:rPr>
              <w:t> </w:t>
            </w:r>
            <w:r>
              <w:rPr>
                <w:b/>
                <w:szCs w:val="22"/>
              </w:rPr>
              <w:t>седмици</w:t>
            </w:r>
          </w:p>
          <w:p w14:paraId="109AD876" w14:textId="77777777" w:rsidR="009B3384" w:rsidRDefault="00800862">
            <w:pPr>
              <w:keepNext/>
              <w:widowControl w:val="0"/>
              <w:jc w:val="center"/>
              <w:rPr>
                <w:b/>
                <w:szCs w:val="22"/>
              </w:rPr>
            </w:pPr>
            <w:r>
              <w:rPr>
                <w:b/>
                <w:szCs w:val="22"/>
              </w:rPr>
              <w:t>N</w:t>
            </w:r>
            <w:r>
              <w:rPr>
                <w:szCs w:val="22"/>
              </w:rPr>
              <w:t> </w:t>
            </w:r>
            <w:r>
              <w:rPr>
                <w:b/>
                <w:szCs w:val="22"/>
              </w:rPr>
              <w:t>=</w:t>
            </w:r>
            <w:r>
              <w:rPr>
                <w:szCs w:val="22"/>
              </w:rPr>
              <w:t> 172</w:t>
            </w:r>
            <w:r>
              <w:rPr>
                <w:b/>
                <w:szCs w:val="22"/>
                <w:vertAlign w:val="superscript"/>
              </w:rPr>
              <w:t xml:space="preserve"> </w:t>
            </w:r>
          </w:p>
        </w:tc>
      </w:tr>
      <w:tr w:rsidR="009B3384" w14:paraId="109AD87C"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78" w14:textId="77777777" w:rsidR="009B3384" w:rsidRDefault="00800862">
            <w:pPr>
              <w:widowControl w:val="0"/>
              <w:rPr>
                <w:rFonts w:eastAsia="Calibri"/>
                <w:lang w:val="en-US"/>
              </w:rPr>
            </w:pPr>
            <w:r>
              <w:rPr>
                <w:szCs w:val="22"/>
              </w:rPr>
              <w:t>Клинична ремисия**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79" w14:textId="77777777" w:rsidR="009B3384" w:rsidRDefault="00800862">
            <w:pPr>
              <w:widowControl w:val="0"/>
              <w:jc w:val="center"/>
              <w:rPr>
                <w:szCs w:val="22"/>
              </w:rPr>
            </w:pPr>
            <w:r>
              <w:rPr>
                <w:szCs w:val="22"/>
              </w:rPr>
              <w:t>24%</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7A" w14:textId="77777777" w:rsidR="009B3384" w:rsidRDefault="00800862">
            <w:pPr>
              <w:widowControl w:val="0"/>
              <w:jc w:val="center"/>
              <w:rPr>
                <w:szCs w:val="22"/>
              </w:rPr>
            </w:pPr>
            <w:r>
              <w:rPr>
                <w:szCs w:val="22"/>
              </w:rPr>
              <w:t>44%</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7B" w14:textId="77777777" w:rsidR="009B3384" w:rsidRDefault="00800862">
            <w:pPr>
              <w:widowControl w:val="0"/>
              <w:jc w:val="center"/>
              <w:rPr>
                <w:szCs w:val="22"/>
              </w:rPr>
            </w:pPr>
            <w:r>
              <w:rPr>
                <w:szCs w:val="22"/>
              </w:rPr>
              <w:t>38%</w:t>
            </w:r>
            <w:r>
              <w:rPr>
                <w:szCs w:val="22"/>
                <w:vertAlign w:val="superscript"/>
              </w:rPr>
              <w:t xml:space="preserve"> б</w:t>
            </w:r>
          </w:p>
        </w:tc>
      </w:tr>
      <w:tr w:rsidR="009B3384" w14:paraId="109AD881"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7D" w14:textId="77777777" w:rsidR="009B3384" w:rsidRDefault="00800862">
            <w:pPr>
              <w:widowControl w:val="0"/>
              <w:ind w:left="284"/>
              <w:rPr>
                <w:szCs w:val="22"/>
              </w:rPr>
            </w:pPr>
            <w:r>
              <w:rPr>
                <w:szCs w:val="22"/>
              </w:rPr>
              <w:t>При пациенти с неуспешна конвенционална, но не и биологична терапия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7E" w14:textId="77777777" w:rsidR="009B3384" w:rsidRDefault="00800862">
            <w:pPr>
              <w:widowControl w:val="0"/>
              <w:jc w:val="center"/>
              <w:rPr>
                <w:szCs w:val="22"/>
              </w:rPr>
            </w:pPr>
            <w:r>
              <w:rPr>
                <w:szCs w:val="22"/>
              </w:rPr>
              <w:t>31% (27/87)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7F" w14:textId="77777777" w:rsidR="009B3384" w:rsidRDefault="00800862">
            <w:pPr>
              <w:widowControl w:val="0"/>
              <w:jc w:val="center"/>
              <w:rPr>
                <w:szCs w:val="22"/>
              </w:rPr>
            </w:pPr>
            <w:r>
              <w:rPr>
                <w:szCs w:val="22"/>
              </w:rPr>
              <w:t>48% (41/85)</w:t>
            </w:r>
            <w:r>
              <w:rPr>
                <w:szCs w:val="22"/>
                <w:vertAlign w:val="superscript"/>
              </w:rPr>
              <w:t>г</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80" w14:textId="77777777" w:rsidR="009B3384" w:rsidRDefault="00800862">
            <w:pPr>
              <w:widowControl w:val="0"/>
              <w:jc w:val="center"/>
              <w:rPr>
                <w:szCs w:val="22"/>
              </w:rPr>
            </w:pPr>
            <w:r>
              <w:rPr>
                <w:szCs w:val="22"/>
              </w:rPr>
              <w:t>49% (50/102)</w:t>
            </w:r>
            <w:r>
              <w:rPr>
                <w:szCs w:val="22"/>
                <w:vertAlign w:val="superscript"/>
              </w:rPr>
              <w:t xml:space="preserve"> г</w:t>
            </w:r>
          </w:p>
        </w:tc>
      </w:tr>
      <w:tr w:rsidR="009B3384" w14:paraId="109AD886"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82" w14:textId="77777777" w:rsidR="009B3384" w:rsidRDefault="00800862">
            <w:pPr>
              <w:widowControl w:val="0"/>
              <w:ind w:left="284"/>
              <w:rPr>
                <w:szCs w:val="22"/>
              </w:rPr>
            </w:pPr>
            <w:r>
              <w:rPr>
                <w:szCs w:val="22"/>
              </w:rPr>
              <w:t>При пациенти с неуспешна биологична терапия</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83" w14:textId="77777777" w:rsidR="009B3384" w:rsidRDefault="00800862">
            <w:pPr>
              <w:widowControl w:val="0"/>
              <w:jc w:val="center"/>
              <w:rPr>
                <w:szCs w:val="22"/>
              </w:rPr>
            </w:pPr>
            <w:r>
              <w:rPr>
                <w:szCs w:val="22"/>
              </w:rPr>
              <w:t>17% (15/88)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84" w14:textId="77777777" w:rsidR="009B3384" w:rsidRDefault="00800862">
            <w:pPr>
              <w:widowControl w:val="0"/>
              <w:jc w:val="center"/>
              <w:rPr>
                <w:szCs w:val="22"/>
              </w:rPr>
            </w:pPr>
            <w:r>
              <w:rPr>
                <w:szCs w:val="22"/>
              </w:rPr>
              <w:t>40% (36/91)</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85" w14:textId="77777777" w:rsidR="009B3384" w:rsidRDefault="00800862">
            <w:pPr>
              <w:widowControl w:val="0"/>
              <w:jc w:val="center"/>
              <w:rPr>
                <w:szCs w:val="22"/>
              </w:rPr>
            </w:pPr>
            <w:r>
              <w:rPr>
                <w:szCs w:val="22"/>
              </w:rPr>
              <w:t>23% (16/70)</w:t>
            </w:r>
            <w:r>
              <w:rPr>
                <w:szCs w:val="22"/>
                <w:vertAlign w:val="superscript"/>
              </w:rPr>
              <w:t xml:space="preserve"> г</w:t>
            </w:r>
          </w:p>
        </w:tc>
      </w:tr>
      <w:tr w:rsidR="009B3384" w14:paraId="109AD88B"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87" w14:textId="77777777" w:rsidR="009B3384" w:rsidRDefault="00800862">
            <w:pPr>
              <w:widowControl w:val="0"/>
              <w:ind w:left="284"/>
              <w:rPr>
                <w:szCs w:val="22"/>
              </w:rPr>
            </w:pPr>
            <w:r>
              <w:rPr>
                <w:szCs w:val="22"/>
              </w:rPr>
              <w:t>При пациенти с неуспешна терапия както с TNF, така и с ведолизумаб</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88" w14:textId="77777777" w:rsidR="009B3384" w:rsidRDefault="00800862">
            <w:pPr>
              <w:widowControl w:val="0"/>
              <w:jc w:val="center"/>
              <w:rPr>
                <w:szCs w:val="22"/>
              </w:rPr>
            </w:pPr>
            <w:r>
              <w:rPr>
                <w:szCs w:val="22"/>
              </w:rPr>
              <w:t>15% (4/27)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89" w14:textId="77777777" w:rsidR="009B3384" w:rsidRDefault="00800862">
            <w:pPr>
              <w:widowControl w:val="0"/>
              <w:jc w:val="center"/>
              <w:rPr>
                <w:szCs w:val="22"/>
              </w:rPr>
            </w:pPr>
            <w:r>
              <w:rPr>
                <w:szCs w:val="22"/>
              </w:rPr>
              <w:t>33% (7/21)</w:t>
            </w:r>
            <w:r>
              <w:rPr>
                <w:szCs w:val="22"/>
                <w:vertAlign w:val="superscript"/>
              </w:rPr>
              <w:t>д</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8A" w14:textId="77777777" w:rsidR="009B3384" w:rsidRDefault="00800862">
            <w:pPr>
              <w:widowControl w:val="0"/>
              <w:jc w:val="center"/>
              <w:rPr>
                <w:szCs w:val="22"/>
              </w:rPr>
            </w:pPr>
            <w:r>
              <w:rPr>
                <w:szCs w:val="22"/>
              </w:rPr>
              <w:t>23% (5/22)</w:t>
            </w:r>
            <w:r>
              <w:rPr>
                <w:szCs w:val="22"/>
                <w:vertAlign w:val="superscript"/>
              </w:rPr>
              <w:t>д</w:t>
            </w:r>
          </w:p>
        </w:tc>
      </w:tr>
      <w:tr w:rsidR="009B3384" w14:paraId="109AD890"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8C" w14:textId="77777777" w:rsidR="009B3384" w:rsidRDefault="00800862">
            <w:pPr>
              <w:widowControl w:val="0"/>
              <w:rPr>
                <w:szCs w:val="22"/>
              </w:rPr>
            </w:pPr>
            <w:r>
              <w:rPr>
                <w:szCs w:val="22"/>
              </w:rPr>
              <w:t>Поддържане на клиничен отговор до седмица 44</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8D" w14:textId="77777777" w:rsidR="009B3384" w:rsidRDefault="00800862">
            <w:pPr>
              <w:widowControl w:val="0"/>
              <w:jc w:val="center"/>
              <w:rPr>
                <w:szCs w:val="22"/>
              </w:rPr>
            </w:pPr>
            <w:r>
              <w:rPr>
                <w:szCs w:val="22"/>
              </w:rPr>
              <w:t>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8E" w14:textId="77777777" w:rsidR="009B3384" w:rsidRDefault="00800862">
            <w:pPr>
              <w:widowControl w:val="0"/>
              <w:jc w:val="center"/>
              <w:rPr>
                <w:szCs w:val="22"/>
              </w:rPr>
            </w:pPr>
            <w:r>
              <w:rPr>
                <w:szCs w:val="22"/>
              </w:rPr>
              <w:t>71%</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8F" w14:textId="77777777" w:rsidR="009B3384" w:rsidRDefault="00800862">
            <w:pPr>
              <w:widowControl w:val="0"/>
              <w:jc w:val="center"/>
              <w:rPr>
                <w:szCs w:val="22"/>
              </w:rPr>
            </w:pPr>
            <w:r>
              <w:rPr>
                <w:szCs w:val="22"/>
              </w:rPr>
              <w:t>68%</w:t>
            </w:r>
            <w:r>
              <w:rPr>
                <w:szCs w:val="22"/>
                <w:vertAlign w:val="superscript"/>
              </w:rPr>
              <w:t xml:space="preserve"> a</w:t>
            </w:r>
          </w:p>
        </w:tc>
      </w:tr>
      <w:tr w:rsidR="009B3384" w14:paraId="109AD895"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91" w14:textId="77777777" w:rsidR="009B3384" w:rsidRDefault="00800862">
            <w:pPr>
              <w:widowControl w:val="0"/>
              <w:ind w:left="284"/>
              <w:rPr>
                <w:szCs w:val="22"/>
              </w:rPr>
            </w:pPr>
            <w:r>
              <w:rPr>
                <w:szCs w:val="22"/>
              </w:rPr>
              <w:t>При пациенти с неуспешна конвенционална, но не и биологична терапия</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92" w14:textId="77777777" w:rsidR="009B3384" w:rsidRDefault="00800862">
            <w:pPr>
              <w:widowControl w:val="0"/>
              <w:jc w:val="center"/>
              <w:rPr>
                <w:szCs w:val="22"/>
              </w:rPr>
            </w:pPr>
            <w:r>
              <w:rPr>
                <w:szCs w:val="22"/>
              </w:rPr>
              <w:t>51% (44/87)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93" w14:textId="77777777" w:rsidR="009B3384" w:rsidRDefault="00800862">
            <w:pPr>
              <w:widowControl w:val="0"/>
              <w:jc w:val="center"/>
              <w:rPr>
                <w:szCs w:val="22"/>
              </w:rPr>
            </w:pPr>
            <w:r>
              <w:rPr>
                <w:szCs w:val="22"/>
              </w:rPr>
              <w:t>78% (66/85)</w:t>
            </w:r>
            <w:r>
              <w:rPr>
                <w:szCs w:val="22"/>
                <w:vertAlign w:val="superscript"/>
              </w:rPr>
              <w:t>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94" w14:textId="77777777" w:rsidR="009B3384" w:rsidRDefault="00800862">
            <w:pPr>
              <w:widowControl w:val="0"/>
              <w:jc w:val="center"/>
              <w:rPr>
                <w:szCs w:val="22"/>
              </w:rPr>
            </w:pPr>
            <w:r>
              <w:rPr>
                <w:szCs w:val="22"/>
              </w:rPr>
              <w:t>77% (78/102)</w:t>
            </w:r>
            <w:r>
              <w:rPr>
                <w:szCs w:val="22"/>
                <w:vertAlign w:val="superscript"/>
              </w:rPr>
              <w:t>в</w:t>
            </w:r>
          </w:p>
        </w:tc>
      </w:tr>
      <w:tr w:rsidR="009B3384" w14:paraId="109AD89A"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96" w14:textId="77777777" w:rsidR="009B3384" w:rsidRDefault="00800862">
            <w:pPr>
              <w:widowControl w:val="0"/>
              <w:ind w:left="284"/>
              <w:rPr>
                <w:szCs w:val="22"/>
              </w:rPr>
            </w:pPr>
            <w:r>
              <w:rPr>
                <w:szCs w:val="22"/>
              </w:rPr>
              <w:t>При пациенти с неуспешна биологична терапия</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97" w14:textId="77777777" w:rsidR="009B3384" w:rsidRDefault="00800862">
            <w:pPr>
              <w:widowControl w:val="0"/>
              <w:jc w:val="center"/>
              <w:rPr>
                <w:szCs w:val="22"/>
              </w:rPr>
            </w:pPr>
            <w:r>
              <w:rPr>
                <w:szCs w:val="22"/>
              </w:rPr>
              <w:t>39% (34/88)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98" w14:textId="77777777" w:rsidR="009B3384" w:rsidRDefault="00800862">
            <w:pPr>
              <w:widowControl w:val="0"/>
              <w:jc w:val="center"/>
              <w:rPr>
                <w:szCs w:val="22"/>
              </w:rPr>
            </w:pPr>
            <w:r>
              <w:rPr>
                <w:szCs w:val="22"/>
              </w:rPr>
              <w:t>65% (59/91)</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99" w14:textId="77777777" w:rsidR="009B3384" w:rsidRDefault="00800862">
            <w:pPr>
              <w:widowControl w:val="0"/>
              <w:jc w:val="center"/>
              <w:rPr>
                <w:szCs w:val="22"/>
              </w:rPr>
            </w:pPr>
            <w:r>
              <w:rPr>
                <w:szCs w:val="22"/>
              </w:rPr>
              <w:t>56% (39/70)</w:t>
            </w:r>
            <w:r>
              <w:rPr>
                <w:szCs w:val="22"/>
                <w:vertAlign w:val="superscript"/>
              </w:rPr>
              <w:t xml:space="preserve"> г</w:t>
            </w:r>
          </w:p>
        </w:tc>
      </w:tr>
      <w:tr w:rsidR="009B3384" w14:paraId="109AD89F"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9B" w14:textId="77777777" w:rsidR="009B3384" w:rsidRDefault="00800862">
            <w:pPr>
              <w:widowControl w:val="0"/>
              <w:ind w:left="284"/>
              <w:rPr>
                <w:szCs w:val="22"/>
              </w:rPr>
            </w:pPr>
            <w:r>
              <w:rPr>
                <w:szCs w:val="22"/>
              </w:rPr>
              <w:t>При пациенти с неуспешна терапия както с TNF, така и с ведолизумаб</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9C" w14:textId="77777777" w:rsidR="009B3384" w:rsidRDefault="00800862">
            <w:pPr>
              <w:widowControl w:val="0"/>
              <w:jc w:val="center"/>
              <w:rPr>
                <w:szCs w:val="22"/>
              </w:rPr>
            </w:pPr>
            <w:r>
              <w:rPr>
                <w:szCs w:val="22"/>
              </w:rPr>
              <w:t>41% (11/27)</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9D" w14:textId="77777777" w:rsidR="009B3384" w:rsidRDefault="00800862">
            <w:pPr>
              <w:widowControl w:val="0"/>
              <w:jc w:val="center"/>
              <w:rPr>
                <w:szCs w:val="22"/>
              </w:rPr>
            </w:pPr>
            <w:r>
              <w:rPr>
                <w:szCs w:val="22"/>
              </w:rPr>
              <w:t>67% (14/21)</w:t>
            </w:r>
            <w:r>
              <w:rPr>
                <w:szCs w:val="22"/>
                <w:vertAlign w:val="superscript"/>
              </w:rPr>
              <w:t>д</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9E" w14:textId="77777777" w:rsidR="009B3384" w:rsidRDefault="00800862">
            <w:pPr>
              <w:widowControl w:val="0"/>
              <w:jc w:val="center"/>
              <w:rPr>
                <w:szCs w:val="22"/>
              </w:rPr>
            </w:pPr>
            <w:r>
              <w:rPr>
                <w:szCs w:val="22"/>
              </w:rPr>
              <w:t>50% (11/22)</w:t>
            </w:r>
            <w:r>
              <w:rPr>
                <w:szCs w:val="22"/>
                <w:vertAlign w:val="superscript"/>
              </w:rPr>
              <w:t>д</w:t>
            </w:r>
          </w:p>
        </w:tc>
      </w:tr>
      <w:tr w:rsidR="009B3384" w14:paraId="109AD8A4"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A0" w14:textId="77777777" w:rsidR="009B3384" w:rsidRDefault="00800862">
            <w:pPr>
              <w:widowControl w:val="0"/>
              <w:rPr>
                <w:szCs w:val="22"/>
              </w:rPr>
            </w:pPr>
            <w:r>
              <w:rPr>
                <w:szCs w:val="22"/>
              </w:rPr>
              <w:t>Лигавично оздравяване</w:t>
            </w:r>
            <w:r>
              <w:rPr>
                <w:szCs w:val="18"/>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A1" w14:textId="77777777" w:rsidR="009B3384" w:rsidRDefault="00800862">
            <w:pPr>
              <w:widowControl w:val="0"/>
              <w:jc w:val="center"/>
              <w:rPr>
                <w:szCs w:val="22"/>
              </w:rPr>
            </w:pPr>
            <w:r>
              <w:rPr>
                <w:szCs w:val="22"/>
              </w:rPr>
              <w:t>29%</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A2" w14:textId="77777777" w:rsidR="009B3384" w:rsidRDefault="00800862">
            <w:pPr>
              <w:widowControl w:val="0"/>
              <w:jc w:val="center"/>
              <w:rPr>
                <w:szCs w:val="22"/>
              </w:rPr>
            </w:pPr>
            <w:r>
              <w:rPr>
                <w:szCs w:val="22"/>
              </w:rPr>
              <w:t>51%</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A3" w14:textId="77777777" w:rsidR="009B3384" w:rsidRDefault="00800862">
            <w:pPr>
              <w:widowControl w:val="0"/>
              <w:jc w:val="center"/>
              <w:rPr>
                <w:szCs w:val="22"/>
              </w:rPr>
            </w:pPr>
            <w:r>
              <w:rPr>
                <w:szCs w:val="22"/>
              </w:rPr>
              <w:t>44%</w:t>
            </w:r>
            <w:r>
              <w:rPr>
                <w:szCs w:val="22"/>
                <w:vertAlign w:val="superscript"/>
              </w:rPr>
              <w:t xml:space="preserve"> б</w:t>
            </w:r>
          </w:p>
        </w:tc>
      </w:tr>
      <w:tr w:rsidR="009B3384" w14:paraId="109AD8A9"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A5" w14:textId="77777777" w:rsidR="009B3384" w:rsidRDefault="00800862">
            <w:pPr>
              <w:widowControl w:val="0"/>
              <w:rPr>
                <w:szCs w:val="22"/>
              </w:rPr>
            </w:pPr>
            <w:r>
              <w:rPr>
                <w:szCs w:val="22"/>
              </w:rPr>
              <w:t>Поддържане на клинична ремисия до седмица 44</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A6" w14:textId="77777777" w:rsidR="009B3384" w:rsidRDefault="00800862">
            <w:pPr>
              <w:widowControl w:val="0"/>
              <w:jc w:val="center"/>
              <w:rPr>
                <w:szCs w:val="22"/>
              </w:rPr>
            </w:pPr>
            <w:r>
              <w:rPr>
                <w:szCs w:val="22"/>
              </w:rPr>
              <w:t>38% (17/45)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A7" w14:textId="77777777" w:rsidR="009B3384" w:rsidRDefault="00800862">
            <w:pPr>
              <w:widowControl w:val="0"/>
              <w:jc w:val="center"/>
              <w:rPr>
                <w:szCs w:val="22"/>
              </w:rPr>
            </w:pPr>
            <w:r>
              <w:rPr>
                <w:szCs w:val="22"/>
              </w:rPr>
              <w:t>58% (22/38)</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A8" w14:textId="77777777" w:rsidR="009B3384" w:rsidRDefault="00800862">
            <w:pPr>
              <w:widowControl w:val="0"/>
              <w:jc w:val="center"/>
              <w:rPr>
                <w:szCs w:val="22"/>
              </w:rPr>
            </w:pPr>
            <w:r>
              <w:rPr>
                <w:szCs w:val="22"/>
              </w:rPr>
              <w:t>65% (26/40)</w:t>
            </w:r>
            <w:r>
              <w:rPr>
                <w:szCs w:val="22"/>
                <w:vertAlign w:val="superscript"/>
              </w:rPr>
              <w:t xml:space="preserve"> в</w:t>
            </w:r>
          </w:p>
        </w:tc>
      </w:tr>
      <w:tr w:rsidR="009B3384" w14:paraId="109AD8AE"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AA" w14:textId="77777777" w:rsidR="009B3384" w:rsidRDefault="00800862">
            <w:pPr>
              <w:widowControl w:val="0"/>
              <w:rPr>
                <w:szCs w:val="22"/>
              </w:rPr>
            </w:pPr>
            <w:r>
              <w:rPr>
                <w:szCs w:val="22"/>
              </w:rPr>
              <w:t>Клинична ремисия без кортикостероид</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AB" w14:textId="77777777" w:rsidR="009B3384" w:rsidRDefault="00800862">
            <w:pPr>
              <w:widowControl w:val="0"/>
              <w:jc w:val="center"/>
              <w:rPr>
                <w:szCs w:val="22"/>
              </w:rPr>
            </w:pPr>
            <w:r>
              <w:rPr>
                <w:szCs w:val="22"/>
              </w:rPr>
              <w:t>23%</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AC" w14:textId="77777777" w:rsidR="009B3384" w:rsidRDefault="00800862">
            <w:pPr>
              <w:widowControl w:val="0"/>
              <w:jc w:val="center"/>
              <w:rPr>
                <w:szCs w:val="22"/>
              </w:rPr>
            </w:pPr>
            <w:r>
              <w:rPr>
                <w:szCs w:val="22"/>
              </w:rPr>
              <w:t>42%</w:t>
            </w:r>
            <w:r>
              <w:rPr>
                <w:szCs w:val="22"/>
                <w:vertAlign w:val="superscript"/>
              </w:rPr>
              <w:t xml:space="preserve"> a</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AD" w14:textId="77777777" w:rsidR="009B3384" w:rsidRDefault="00800862">
            <w:pPr>
              <w:widowControl w:val="0"/>
              <w:jc w:val="center"/>
              <w:rPr>
                <w:szCs w:val="22"/>
              </w:rPr>
            </w:pPr>
            <w:r>
              <w:rPr>
                <w:szCs w:val="22"/>
              </w:rPr>
              <w:t>38%</w:t>
            </w:r>
            <w:r>
              <w:rPr>
                <w:szCs w:val="22"/>
                <w:vertAlign w:val="superscript"/>
              </w:rPr>
              <w:t>б</w:t>
            </w:r>
          </w:p>
        </w:tc>
      </w:tr>
      <w:tr w:rsidR="009B3384" w14:paraId="109AD8B3"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AF" w14:textId="77777777" w:rsidR="009B3384" w:rsidRDefault="00800862">
            <w:pPr>
              <w:widowControl w:val="0"/>
              <w:rPr>
                <w:szCs w:val="22"/>
                <w:lang w:val="en-US"/>
              </w:rPr>
            </w:pPr>
            <w:r>
              <w:rPr>
                <w:szCs w:val="22"/>
              </w:rPr>
              <w:t>Продължителна ремисия</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B0" w14:textId="77777777" w:rsidR="009B3384" w:rsidRDefault="00800862">
            <w:pPr>
              <w:widowControl w:val="0"/>
              <w:jc w:val="center"/>
              <w:rPr>
                <w:szCs w:val="22"/>
              </w:rPr>
            </w:pPr>
            <w:r>
              <w:rPr>
                <w:szCs w:val="22"/>
              </w:rPr>
              <w:t>35%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B1" w14:textId="77777777" w:rsidR="009B3384" w:rsidRDefault="00800862">
            <w:pPr>
              <w:widowControl w:val="0"/>
              <w:jc w:val="center"/>
              <w:rPr>
                <w:szCs w:val="22"/>
              </w:rPr>
            </w:pPr>
            <w:r>
              <w:rPr>
                <w:szCs w:val="22"/>
              </w:rPr>
              <w:t>57%</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B2" w14:textId="77777777" w:rsidR="009B3384" w:rsidRDefault="00800862">
            <w:pPr>
              <w:widowControl w:val="0"/>
              <w:jc w:val="center"/>
              <w:rPr>
                <w:szCs w:val="22"/>
              </w:rPr>
            </w:pPr>
            <w:r>
              <w:rPr>
                <w:szCs w:val="22"/>
              </w:rPr>
              <w:t>48%</w:t>
            </w:r>
            <w:r>
              <w:rPr>
                <w:szCs w:val="22"/>
                <w:vertAlign w:val="superscript"/>
              </w:rPr>
              <w:t xml:space="preserve"> г</w:t>
            </w:r>
          </w:p>
        </w:tc>
      </w:tr>
      <w:tr w:rsidR="009B3384" w14:paraId="109AD8B8"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B4" w14:textId="77777777" w:rsidR="009B3384" w:rsidRDefault="00800862">
            <w:pPr>
              <w:widowControl w:val="0"/>
              <w:rPr>
                <w:szCs w:val="22"/>
              </w:rPr>
            </w:pPr>
            <w:r>
              <w:rPr>
                <w:szCs w:val="22"/>
              </w:rPr>
              <w:lastRenderedPageBreak/>
              <w:t>Симптоматична ремисия</w:t>
            </w:r>
            <w:r>
              <w:rPr>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B5" w14:textId="77777777" w:rsidR="009B3384" w:rsidRDefault="00800862">
            <w:pPr>
              <w:widowControl w:val="0"/>
              <w:jc w:val="center"/>
              <w:rPr>
                <w:szCs w:val="22"/>
              </w:rPr>
            </w:pPr>
            <w:r>
              <w:rPr>
                <w:szCs w:val="22"/>
              </w:rPr>
              <w:t>45%</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B6" w14:textId="77777777" w:rsidR="009B3384" w:rsidRDefault="00800862">
            <w:pPr>
              <w:widowControl w:val="0"/>
              <w:jc w:val="center"/>
              <w:rPr>
                <w:szCs w:val="22"/>
              </w:rPr>
            </w:pPr>
            <w:r>
              <w:rPr>
                <w:szCs w:val="22"/>
              </w:rPr>
              <w:t>68%</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B7" w14:textId="77777777" w:rsidR="009B3384" w:rsidRDefault="00800862">
            <w:pPr>
              <w:widowControl w:val="0"/>
              <w:jc w:val="center"/>
              <w:rPr>
                <w:szCs w:val="22"/>
              </w:rPr>
            </w:pPr>
            <w:r>
              <w:rPr>
                <w:szCs w:val="22"/>
              </w:rPr>
              <w:t>62%</w:t>
            </w:r>
            <w:r>
              <w:rPr>
                <w:szCs w:val="22"/>
                <w:vertAlign w:val="superscript"/>
              </w:rPr>
              <w:t xml:space="preserve"> г</w:t>
            </w:r>
          </w:p>
        </w:tc>
      </w:tr>
      <w:tr w:rsidR="009B3384" w14:paraId="109AD8BD" w14:textId="77777777">
        <w:trPr>
          <w:cantSplit/>
          <w:jc w:val="center"/>
        </w:trPr>
        <w:tc>
          <w:tcPr>
            <w:tcW w:w="4176" w:type="dxa"/>
            <w:tcBorders>
              <w:top w:val="single" w:sz="4" w:space="0" w:color="000000"/>
              <w:left w:val="single" w:sz="4" w:space="0" w:color="000000"/>
              <w:bottom w:val="single" w:sz="4" w:space="0" w:color="000000"/>
              <w:right w:val="single" w:sz="4" w:space="0" w:color="000000"/>
            </w:tcBorders>
          </w:tcPr>
          <w:p w14:paraId="109AD8B9" w14:textId="77777777" w:rsidR="009B3384" w:rsidRDefault="00800862">
            <w:pPr>
              <w:widowControl w:val="0"/>
            </w:pPr>
            <w:r>
              <w:rPr>
                <w:szCs w:val="22"/>
              </w:rPr>
              <w:t>Комбинирано симптоматична ремисия и лигавично оздравяване</w:t>
            </w:r>
            <w:r>
              <w:rPr>
                <w:szCs w:val="22"/>
                <w:vertAlign w:val="superscript"/>
              </w:rPr>
              <w:t>⸸</w:t>
            </w:r>
          </w:p>
        </w:tc>
        <w:tc>
          <w:tcPr>
            <w:tcW w:w="1710" w:type="dxa"/>
            <w:tcBorders>
              <w:top w:val="single" w:sz="4" w:space="0" w:color="000000"/>
              <w:left w:val="single" w:sz="4" w:space="0" w:color="000000"/>
              <w:bottom w:val="single" w:sz="4" w:space="0" w:color="000000"/>
              <w:right w:val="single" w:sz="4" w:space="0" w:color="000000"/>
            </w:tcBorders>
            <w:vAlign w:val="center"/>
          </w:tcPr>
          <w:p w14:paraId="109AD8BA" w14:textId="77777777" w:rsidR="009B3384" w:rsidRDefault="00800862">
            <w:pPr>
              <w:widowControl w:val="0"/>
              <w:jc w:val="center"/>
              <w:rPr>
                <w:szCs w:val="22"/>
              </w:rPr>
            </w:pPr>
            <w:r>
              <w:rPr>
                <w:szCs w:val="22"/>
              </w:rPr>
              <w:t>28%</w:t>
            </w:r>
          </w:p>
        </w:tc>
        <w:tc>
          <w:tcPr>
            <w:tcW w:w="1621" w:type="dxa"/>
            <w:tcBorders>
              <w:top w:val="single" w:sz="4" w:space="0" w:color="000000"/>
              <w:left w:val="single" w:sz="4" w:space="0" w:color="000000"/>
              <w:bottom w:val="single" w:sz="4" w:space="0" w:color="000000"/>
              <w:right w:val="single" w:sz="4" w:space="0" w:color="000000"/>
            </w:tcBorders>
            <w:vAlign w:val="center"/>
          </w:tcPr>
          <w:p w14:paraId="109AD8BB" w14:textId="77777777" w:rsidR="009B3384" w:rsidRDefault="00800862">
            <w:pPr>
              <w:widowControl w:val="0"/>
              <w:jc w:val="center"/>
              <w:rPr>
                <w:szCs w:val="22"/>
              </w:rPr>
            </w:pPr>
            <w:r>
              <w:rPr>
                <w:szCs w:val="22"/>
              </w:rPr>
              <w:t>48%</w:t>
            </w:r>
            <w:r>
              <w:rPr>
                <w:szCs w:val="22"/>
                <w:vertAlign w:val="superscript"/>
              </w:rPr>
              <w:t xml:space="preserve"> в</w:t>
            </w:r>
          </w:p>
        </w:tc>
        <w:tc>
          <w:tcPr>
            <w:tcW w:w="1567" w:type="dxa"/>
            <w:tcBorders>
              <w:top w:val="single" w:sz="4" w:space="0" w:color="000000"/>
              <w:left w:val="single" w:sz="4" w:space="0" w:color="000000"/>
              <w:bottom w:val="single" w:sz="4" w:space="0" w:color="000000"/>
              <w:right w:val="single" w:sz="4" w:space="0" w:color="000000"/>
            </w:tcBorders>
            <w:vAlign w:val="center"/>
          </w:tcPr>
          <w:p w14:paraId="109AD8BC" w14:textId="77777777" w:rsidR="009B3384" w:rsidRDefault="00800862">
            <w:pPr>
              <w:widowControl w:val="0"/>
              <w:jc w:val="center"/>
              <w:rPr>
                <w:szCs w:val="22"/>
              </w:rPr>
            </w:pPr>
            <w:r>
              <w:rPr>
                <w:szCs w:val="22"/>
              </w:rPr>
              <w:t>41%</w:t>
            </w:r>
            <w:r>
              <w:rPr>
                <w:szCs w:val="22"/>
                <w:vertAlign w:val="superscript"/>
              </w:rPr>
              <w:t xml:space="preserve"> г</w:t>
            </w:r>
          </w:p>
        </w:tc>
      </w:tr>
      <w:tr w:rsidR="009B3384" w14:paraId="109AD8CD" w14:textId="77777777">
        <w:trPr>
          <w:cantSplit/>
          <w:jc w:val="center"/>
        </w:trPr>
        <w:tc>
          <w:tcPr>
            <w:tcW w:w="9074" w:type="dxa"/>
            <w:gridSpan w:val="4"/>
            <w:tcBorders>
              <w:top w:val="single" w:sz="4" w:space="0" w:color="000000"/>
            </w:tcBorders>
          </w:tcPr>
          <w:p w14:paraId="109AD8BE" w14:textId="77777777" w:rsidR="009B3384" w:rsidRDefault="00800862">
            <w:pPr>
              <w:widowControl w:val="0"/>
              <w:ind w:left="284" w:hanging="284"/>
              <w:rPr>
                <w:sz w:val="18"/>
                <w:szCs w:val="18"/>
              </w:rPr>
            </w:pPr>
            <w:r>
              <w:rPr>
                <w:sz w:val="18"/>
                <w:szCs w:val="18"/>
              </w:rPr>
              <w:t>*</w:t>
            </w:r>
            <w:r>
              <w:rPr>
                <w:sz w:val="18"/>
                <w:szCs w:val="18"/>
              </w:rPr>
              <w:tab/>
              <w:t>След повлияване от i.v. устекинумаб.</w:t>
            </w:r>
          </w:p>
          <w:p w14:paraId="109AD8BF" w14:textId="74B3804C" w:rsidR="009B3384" w:rsidRDefault="00800862">
            <w:pPr>
              <w:widowControl w:val="0"/>
              <w:ind w:left="284" w:hanging="284"/>
              <w:rPr>
                <w:sz w:val="18"/>
                <w:szCs w:val="18"/>
              </w:rPr>
            </w:pPr>
            <w:r>
              <w:rPr>
                <w:sz w:val="18"/>
                <w:szCs w:val="18"/>
              </w:rPr>
              <w:t>**</w:t>
            </w:r>
            <w:r>
              <w:rPr>
                <w:sz w:val="18"/>
                <w:szCs w:val="18"/>
              </w:rPr>
              <w:tab/>
              <w:t xml:space="preserve">Клиничната ремисия се определя като скор по Mayo ≤ 2 пункта, без индивидуален </w:t>
            </w:r>
            <w:r w:rsidR="00EA3FF7">
              <w:rPr>
                <w:sz w:val="18"/>
                <w:szCs w:val="18"/>
              </w:rPr>
              <w:t>подскор</w:t>
            </w:r>
            <w:r>
              <w:rPr>
                <w:sz w:val="18"/>
                <w:szCs w:val="18"/>
              </w:rPr>
              <w:t xml:space="preserve"> &gt; 1.</w:t>
            </w:r>
          </w:p>
          <w:p w14:paraId="109AD8C0" w14:textId="4A2EC9D3"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Клиничният отговор се определя като намаляване спрямо изходното ниво на скора по </w:t>
            </w:r>
            <w:r>
              <w:rPr>
                <w:sz w:val="18"/>
                <w:szCs w:val="18"/>
                <w:lang w:val="en-US"/>
              </w:rPr>
              <w:t>Mayo</w:t>
            </w:r>
            <w:r>
              <w:rPr>
                <w:sz w:val="18"/>
                <w:szCs w:val="18"/>
              </w:rPr>
              <w:t xml:space="preserve"> с ≥ 30% и ≥ 3 пункта, с намаляване спрямо изходното ниво на </w:t>
            </w:r>
            <w:r w:rsidR="00EA3FF7">
              <w:rPr>
                <w:sz w:val="18"/>
                <w:szCs w:val="18"/>
              </w:rPr>
              <w:t>подскор</w:t>
            </w:r>
            <w:r>
              <w:rPr>
                <w:sz w:val="18"/>
                <w:szCs w:val="18"/>
              </w:rPr>
              <w:t xml:space="preserve">а за ректално кървене ≥ 1 или </w:t>
            </w:r>
            <w:r w:rsidR="00EA3FF7">
              <w:rPr>
                <w:sz w:val="18"/>
                <w:szCs w:val="18"/>
              </w:rPr>
              <w:t>подскор</w:t>
            </w:r>
            <w:r>
              <w:rPr>
                <w:sz w:val="18"/>
                <w:szCs w:val="18"/>
              </w:rPr>
              <w:t xml:space="preserve"> за ректално кървене 0 или 1.</w:t>
            </w:r>
          </w:p>
          <w:p w14:paraId="109AD8C1" w14:textId="77777777" w:rsidR="009B3384" w:rsidRDefault="00800862">
            <w:pPr>
              <w:widowControl w:val="0"/>
              <w:ind w:left="284" w:hanging="284"/>
              <w:rPr>
                <w:sz w:val="18"/>
                <w:szCs w:val="18"/>
              </w:rPr>
            </w:pPr>
            <w:r>
              <w:rPr>
                <w:szCs w:val="22"/>
                <w:vertAlign w:val="superscript"/>
              </w:rPr>
              <w:t>¥</w:t>
            </w:r>
            <w:r>
              <w:rPr>
                <w:szCs w:val="22"/>
                <w:vertAlign w:val="superscript"/>
              </w:rPr>
              <w:tab/>
            </w:r>
            <w:r>
              <w:rPr>
                <w:sz w:val="18"/>
                <w:szCs w:val="18"/>
              </w:rPr>
              <w:t>Антагонист на TNFα и/или ведолизумаб.</w:t>
            </w:r>
          </w:p>
          <w:p w14:paraId="109AD8C2" w14:textId="128B16F7" w:rsidR="009B3384" w:rsidRDefault="00800862">
            <w:pPr>
              <w:widowControl w:val="0"/>
              <w:ind w:left="284" w:hanging="284"/>
              <w:rPr>
                <w:rFonts w:eastAsia="TimesNewRoman"/>
                <w:sz w:val="18"/>
                <w:szCs w:val="18"/>
                <w:lang w:eastAsia="zh-CN"/>
              </w:rPr>
            </w:pPr>
            <w:r>
              <w:rPr>
                <w:szCs w:val="18"/>
                <w:vertAlign w:val="superscript"/>
              </w:rPr>
              <w:t>†</w:t>
            </w:r>
            <w:r>
              <w:rPr>
                <w:szCs w:val="18"/>
                <w:vertAlign w:val="superscript"/>
              </w:rPr>
              <w:tab/>
            </w:r>
            <w:r>
              <w:rPr>
                <w:rFonts w:eastAsia="TimesNewRoman"/>
                <w:sz w:val="18"/>
                <w:szCs w:val="18"/>
                <w:lang w:eastAsia="zh-CN"/>
              </w:rPr>
              <w:t xml:space="preserve">Лигавичното оздравяване се определя като ендоскопски </w:t>
            </w:r>
            <w:r w:rsidR="00EA3FF7">
              <w:rPr>
                <w:rFonts w:eastAsia="TimesNewRoman"/>
                <w:sz w:val="18"/>
                <w:szCs w:val="18"/>
                <w:lang w:eastAsia="zh-CN"/>
              </w:rPr>
              <w:t>подскор</w:t>
            </w:r>
            <w:r>
              <w:rPr>
                <w:rFonts w:eastAsia="TimesNewRoman"/>
                <w:sz w:val="18"/>
                <w:szCs w:val="18"/>
                <w:lang w:eastAsia="zh-CN"/>
              </w:rPr>
              <w:t xml:space="preserve"> по Mayo 0 или 1.</w:t>
            </w:r>
          </w:p>
          <w:p w14:paraId="109AD8C3" w14:textId="55887DC5" w:rsidR="009B3384" w:rsidRDefault="00800862">
            <w:pPr>
              <w:widowControl w:val="0"/>
              <w:ind w:left="284" w:hanging="284"/>
              <w:rPr>
                <w:rFonts w:eastAsia="TimesNewRoman"/>
                <w:sz w:val="18"/>
                <w:szCs w:val="18"/>
                <w:lang w:eastAsia="zh-CN"/>
              </w:rPr>
            </w:pPr>
            <w:r>
              <w:rPr>
                <w:rFonts w:eastAsia="TimesNewRoman"/>
                <w:szCs w:val="18"/>
                <w:vertAlign w:val="superscript"/>
                <w:lang w:eastAsia="zh-CN"/>
              </w:rPr>
              <w:t>£</w:t>
            </w:r>
            <w:r>
              <w:rPr>
                <w:rFonts w:eastAsia="TimesNewRoman"/>
                <w:szCs w:val="18"/>
                <w:vertAlign w:val="superscript"/>
                <w:lang w:eastAsia="zh-CN"/>
              </w:rPr>
              <w:tab/>
            </w:r>
            <w:r>
              <w:rPr>
                <w:rFonts w:eastAsia="TimesNewRoman"/>
                <w:sz w:val="18"/>
                <w:szCs w:val="18"/>
                <w:lang w:eastAsia="zh-CN"/>
              </w:rPr>
              <w:t>Поддържането на клинична ремисия до седмица 44 е определено като пациенти в клинична ремисия до Седмица 44 сред пациентите в клинична ремисия на изходното ниво на поддържащата фаза.</w:t>
            </w:r>
          </w:p>
          <w:p w14:paraId="109AD8C4" w14:textId="704DBF30" w:rsidR="009B3384" w:rsidRDefault="00800862">
            <w:pPr>
              <w:widowControl w:val="0"/>
              <w:ind w:left="284" w:hanging="284"/>
              <w:rPr>
                <w:rFonts w:eastAsia="TimesNewRoman"/>
                <w:sz w:val="18"/>
                <w:szCs w:val="18"/>
                <w:lang w:eastAsia="zh-CN"/>
              </w:rPr>
            </w:pPr>
            <w:r>
              <w:rPr>
                <w:rFonts w:eastAsia="TimesNewRoman"/>
                <w:szCs w:val="18"/>
                <w:vertAlign w:val="superscript"/>
                <w:lang w:eastAsia="zh-CN"/>
              </w:rPr>
              <w:t>€</w:t>
            </w:r>
            <w:r>
              <w:rPr>
                <w:rFonts w:eastAsia="TimesNewRoman"/>
                <w:szCs w:val="18"/>
                <w:vertAlign w:val="superscript"/>
                <w:lang w:eastAsia="zh-CN"/>
              </w:rPr>
              <w:tab/>
            </w:r>
            <w:r>
              <w:rPr>
                <w:rFonts w:eastAsia="TimesNewRoman"/>
                <w:sz w:val="18"/>
                <w:szCs w:val="18"/>
                <w:lang w:eastAsia="zh-CN"/>
              </w:rPr>
              <w:t>Клиничната ремисия без кортикостероид се определя като пациенти в клинична ремисия, които не получават кортикостероиди на седмица 44.</w:t>
            </w:r>
          </w:p>
          <w:p w14:paraId="109AD8C5" w14:textId="019ECE0F"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Продължителната ремисия се определя като частична ремисия по Mayo при ≥ 80% при всички визити преди седмица 44 и частична ремисия по Mayo при последната визита (седмица 44).</w:t>
            </w:r>
          </w:p>
          <w:p w14:paraId="109AD8C6" w14:textId="283587DF" w:rsidR="009B3384" w:rsidRDefault="00800862">
            <w:pPr>
              <w:widowControl w:val="0"/>
              <w:ind w:left="284" w:hanging="284"/>
              <w:rPr>
                <w:sz w:val="18"/>
                <w:szCs w:val="18"/>
              </w:rPr>
            </w:pPr>
            <w:r>
              <w:rPr>
                <w:szCs w:val="18"/>
                <w:vertAlign w:val="superscript"/>
              </w:rPr>
              <w:t>‡</w:t>
            </w:r>
            <w:r>
              <w:rPr>
                <w:szCs w:val="18"/>
                <w:vertAlign w:val="superscript"/>
              </w:rPr>
              <w:tab/>
            </w:r>
            <w:r>
              <w:rPr>
                <w:sz w:val="18"/>
                <w:szCs w:val="18"/>
              </w:rPr>
              <w:t xml:space="preserve">Симптоматичната ремисия се определя като </w:t>
            </w:r>
            <w:r w:rsidR="00EA3FF7">
              <w:rPr>
                <w:sz w:val="18"/>
                <w:szCs w:val="18"/>
              </w:rPr>
              <w:t>подскор</w:t>
            </w:r>
            <w:r>
              <w:rPr>
                <w:sz w:val="18"/>
                <w:szCs w:val="18"/>
              </w:rPr>
              <w:t xml:space="preserve"> по </w:t>
            </w:r>
            <w:r>
              <w:rPr>
                <w:sz w:val="18"/>
                <w:szCs w:val="18"/>
                <w:lang w:val="en-US"/>
              </w:rPr>
              <w:t>Mayo</w:t>
            </w:r>
            <w:r>
              <w:rPr>
                <w:sz w:val="18"/>
                <w:szCs w:val="18"/>
              </w:rPr>
              <w:t xml:space="preserve"> за честота на дефекацията </w:t>
            </w:r>
            <w:r>
              <w:rPr>
                <w:rFonts w:eastAsia="TimesNewRoman"/>
                <w:sz w:val="18"/>
                <w:szCs w:val="18"/>
                <w:lang w:eastAsia="zh-CN"/>
              </w:rPr>
              <w:t>0 или 1</w:t>
            </w:r>
            <w:r>
              <w:rPr>
                <w:sz w:val="18"/>
                <w:szCs w:val="18"/>
              </w:rPr>
              <w:t xml:space="preserve"> и </w:t>
            </w:r>
            <w:r w:rsidR="00EA3FF7">
              <w:rPr>
                <w:sz w:val="18"/>
                <w:szCs w:val="18"/>
              </w:rPr>
              <w:t>подскор</w:t>
            </w:r>
            <w:r>
              <w:rPr>
                <w:sz w:val="18"/>
                <w:szCs w:val="18"/>
              </w:rPr>
              <w:t xml:space="preserve"> за ректално кървене 0.</w:t>
            </w:r>
          </w:p>
          <w:p w14:paraId="109AD8C7" w14:textId="2794360F" w:rsidR="009B3384" w:rsidRDefault="00800862">
            <w:pPr>
              <w:widowControl w:val="0"/>
              <w:ind w:left="284" w:hanging="284"/>
              <w:rPr>
                <w:sz w:val="18"/>
                <w:szCs w:val="18"/>
              </w:rPr>
            </w:pPr>
            <w:r>
              <w:rPr>
                <w:szCs w:val="18"/>
                <w:vertAlign w:val="superscript"/>
                <w:lang w:val="en-US"/>
              </w:rPr>
              <w:t>⸸</w:t>
            </w:r>
            <w:r>
              <w:rPr>
                <w:szCs w:val="18"/>
                <w:vertAlign w:val="superscript"/>
              </w:rPr>
              <w:tab/>
            </w:r>
            <w:r>
              <w:rPr>
                <w:sz w:val="18"/>
                <w:szCs w:val="18"/>
              </w:rPr>
              <w:t xml:space="preserve">Комбинацията от симптоматична ремисия и лигавично оздравяване се определя като </w:t>
            </w:r>
            <w:r w:rsidR="00EA3FF7">
              <w:rPr>
                <w:sz w:val="18"/>
                <w:szCs w:val="18"/>
              </w:rPr>
              <w:t>подскор</w:t>
            </w:r>
            <w:r>
              <w:rPr>
                <w:sz w:val="18"/>
                <w:szCs w:val="18"/>
              </w:rPr>
              <w:t xml:space="preserve"> за честота на дефекацията </w:t>
            </w:r>
            <w:r>
              <w:rPr>
                <w:rFonts w:eastAsia="TimesNewRoman"/>
                <w:sz w:val="18"/>
                <w:szCs w:val="18"/>
                <w:lang w:eastAsia="zh-CN"/>
              </w:rPr>
              <w:t xml:space="preserve">0 или </w:t>
            </w:r>
            <w:r>
              <w:rPr>
                <w:sz w:val="18"/>
                <w:szCs w:val="18"/>
              </w:rPr>
              <w:t xml:space="preserve">1, </w:t>
            </w:r>
            <w:r w:rsidR="00EA3FF7">
              <w:rPr>
                <w:sz w:val="18"/>
                <w:szCs w:val="18"/>
              </w:rPr>
              <w:t>подскор</w:t>
            </w:r>
            <w:r>
              <w:rPr>
                <w:sz w:val="18"/>
                <w:szCs w:val="18"/>
              </w:rPr>
              <w:t xml:space="preserve"> за ректално кървене 0 и ендоскопски </w:t>
            </w:r>
            <w:r w:rsidR="00EA3FF7">
              <w:rPr>
                <w:sz w:val="18"/>
                <w:szCs w:val="18"/>
              </w:rPr>
              <w:t>подскор</w:t>
            </w:r>
            <w:r>
              <w:rPr>
                <w:sz w:val="18"/>
                <w:szCs w:val="18"/>
              </w:rPr>
              <w:t xml:space="preserve"> 0 или 1.</w:t>
            </w:r>
          </w:p>
          <w:p w14:paraId="109AD8C8" w14:textId="77777777" w:rsidR="009B3384" w:rsidRDefault="00800862">
            <w:pPr>
              <w:widowControl w:val="0"/>
              <w:ind w:left="284" w:hanging="284"/>
              <w:rPr>
                <w:sz w:val="18"/>
                <w:szCs w:val="18"/>
              </w:rPr>
            </w:pPr>
            <w:r>
              <w:rPr>
                <w:szCs w:val="18"/>
                <w:vertAlign w:val="superscript"/>
              </w:rPr>
              <w:t>a</w:t>
            </w:r>
            <w:r>
              <w:rPr>
                <w:szCs w:val="18"/>
                <w:vertAlign w:val="superscript"/>
              </w:rPr>
              <w:tab/>
            </w:r>
            <w:r>
              <w:rPr>
                <w:sz w:val="18"/>
                <w:szCs w:val="18"/>
              </w:rPr>
              <w:t>p &lt; 0,001</w:t>
            </w:r>
          </w:p>
          <w:p w14:paraId="109AD8C9" w14:textId="77777777" w:rsidR="009B3384" w:rsidRDefault="00800862">
            <w:pPr>
              <w:widowControl w:val="0"/>
              <w:tabs>
                <w:tab w:val="left" w:pos="288"/>
              </w:tabs>
              <w:ind w:left="284" w:hanging="284"/>
              <w:rPr>
                <w:sz w:val="18"/>
                <w:szCs w:val="18"/>
              </w:rPr>
            </w:pPr>
            <w:r>
              <w:rPr>
                <w:szCs w:val="18"/>
                <w:vertAlign w:val="superscript"/>
              </w:rPr>
              <w:t>б</w:t>
            </w:r>
            <w:r>
              <w:rPr>
                <w:szCs w:val="18"/>
                <w:vertAlign w:val="superscript"/>
              </w:rPr>
              <w:tab/>
            </w:r>
            <w:r>
              <w:rPr>
                <w:sz w:val="18"/>
                <w:szCs w:val="18"/>
              </w:rPr>
              <w:t>p &lt; 0,05</w:t>
            </w:r>
          </w:p>
          <w:p w14:paraId="109AD8CA" w14:textId="77777777" w:rsidR="009B3384" w:rsidRDefault="00800862">
            <w:pPr>
              <w:widowControl w:val="0"/>
              <w:tabs>
                <w:tab w:val="left" w:pos="288"/>
              </w:tabs>
              <w:ind w:left="284" w:hanging="284"/>
              <w:rPr>
                <w:sz w:val="18"/>
                <w:szCs w:val="18"/>
              </w:rPr>
            </w:pPr>
            <w:r>
              <w:rPr>
                <w:szCs w:val="18"/>
                <w:vertAlign w:val="superscript"/>
              </w:rPr>
              <w:t>в</w:t>
            </w:r>
            <w:r>
              <w:rPr>
                <w:szCs w:val="18"/>
                <w:vertAlign w:val="superscript"/>
              </w:rPr>
              <w:tab/>
            </w:r>
            <w:r>
              <w:rPr>
                <w:sz w:val="18"/>
                <w:szCs w:val="18"/>
              </w:rPr>
              <w:t>Номинално значимо (p &lt; 0,001)</w:t>
            </w:r>
          </w:p>
          <w:p w14:paraId="109AD8CB" w14:textId="77777777" w:rsidR="009B3384" w:rsidRDefault="00800862">
            <w:pPr>
              <w:widowControl w:val="0"/>
              <w:tabs>
                <w:tab w:val="left" w:pos="288"/>
              </w:tabs>
              <w:ind w:left="284" w:hanging="284"/>
              <w:rPr>
                <w:sz w:val="18"/>
                <w:szCs w:val="18"/>
              </w:rPr>
            </w:pPr>
            <w:r>
              <w:rPr>
                <w:szCs w:val="18"/>
                <w:vertAlign w:val="superscript"/>
              </w:rPr>
              <w:t>г</w:t>
            </w:r>
            <w:r>
              <w:rPr>
                <w:szCs w:val="18"/>
                <w:vertAlign w:val="superscript"/>
              </w:rPr>
              <w:tab/>
            </w:r>
            <w:r>
              <w:rPr>
                <w:sz w:val="18"/>
                <w:szCs w:val="18"/>
              </w:rPr>
              <w:t>Номинално значимо (p &lt; 0,05)</w:t>
            </w:r>
          </w:p>
          <w:p w14:paraId="109AD8CC" w14:textId="77777777" w:rsidR="009B3384" w:rsidRDefault="00800862">
            <w:pPr>
              <w:widowControl w:val="0"/>
              <w:tabs>
                <w:tab w:val="left" w:pos="288"/>
              </w:tabs>
              <w:ind w:left="284" w:hanging="284"/>
              <w:rPr>
                <w:sz w:val="18"/>
                <w:szCs w:val="18"/>
              </w:rPr>
            </w:pPr>
            <w:r>
              <w:rPr>
                <w:szCs w:val="18"/>
                <w:vertAlign w:val="superscript"/>
              </w:rPr>
              <w:t>д</w:t>
            </w:r>
            <w:r>
              <w:rPr>
                <w:szCs w:val="18"/>
                <w:vertAlign w:val="superscript"/>
              </w:rPr>
              <w:tab/>
            </w:r>
            <w:r>
              <w:rPr>
                <w:sz w:val="18"/>
                <w:szCs w:val="18"/>
              </w:rPr>
              <w:t>Без статистическа значимост</w:t>
            </w:r>
          </w:p>
        </w:tc>
      </w:tr>
    </w:tbl>
    <w:p w14:paraId="109AD8CE" w14:textId="77777777" w:rsidR="009B3384" w:rsidRDefault="009B3384">
      <w:pPr>
        <w:rPr>
          <w:rFonts w:eastAsia="TimesNewRoman"/>
          <w:lang w:eastAsia="zh-CN"/>
        </w:rPr>
      </w:pPr>
    </w:p>
    <w:p w14:paraId="109AD8CF" w14:textId="77777777" w:rsidR="009B3384" w:rsidRDefault="00800862">
      <w:pPr>
        <w:rPr>
          <w:rFonts w:eastAsia="TimesNewRoman"/>
          <w:lang w:eastAsia="zh-CN"/>
        </w:rPr>
      </w:pPr>
      <w:r>
        <w:rPr>
          <w:rFonts w:eastAsia="TimesNewRoman"/>
          <w:lang w:eastAsia="zh-CN"/>
        </w:rPr>
        <w:t xml:space="preserve">Благоприятният ефект на </w:t>
      </w:r>
      <w:r>
        <w:t xml:space="preserve">устекинумаб </w:t>
      </w:r>
      <w:r>
        <w:rPr>
          <w:rFonts w:eastAsia="TimesNewRoman"/>
          <w:lang w:eastAsia="zh-CN"/>
        </w:rPr>
        <w:t>върху клиничния отговор, лигавичното оздравяване и клиничната ремисия е наблюдаван при индукция и поддържащо лечение както при пациентите с неуспешна конвенционална, но не и биологична терапия, така и при пациентите с най-малко една предшестваща неуспешна терапия с антагонист на TNFα, включително при пациенти, които първично не са се повлияли от терапия с антагонист на TNFα. Благоприятен ефект е наблюдаван също и при индукция при пациенти с най-малко една неуспешна предшестваща терапия с антагонист на TNFα и ведолизумаб, но броят на пациентите в тази подгрупа е твърде малък, за да се направят категорични заключения относно благоприятния ефект по време на поддържащата терапия в тази група.</w:t>
      </w:r>
    </w:p>
    <w:p w14:paraId="109AD8D0" w14:textId="77777777" w:rsidR="009B3384" w:rsidRDefault="009B3384"/>
    <w:p w14:paraId="109AD8D1" w14:textId="4453BCA3" w:rsidR="009B3384" w:rsidRDefault="00800862">
      <w:pPr>
        <w:keepNext/>
        <w:rPr>
          <w:i/>
        </w:rPr>
      </w:pPr>
      <w:r>
        <w:rPr>
          <w:i/>
        </w:rPr>
        <w:t>Пациенти, повлияващи се от индукция с устекинумаб на седмица 16</w:t>
      </w:r>
    </w:p>
    <w:p w14:paraId="109AD8D2" w14:textId="77777777" w:rsidR="009B3384" w:rsidRDefault="00800862">
      <w:r>
        <w:t>На пациентите, лекувани с устекинумаб, които не са получили отговор на седмица 8 в UNIFI-I, е приложен 90 mg устекинумаб s.c. на седмица 8 (36% от пациентите). От тях 9% от пациентите, които първоначално са рандомизирани за получаване на препоръчителната индукционна доза, постигат клинична ремисия, а 58% постигат клиничен отговор на Седмица 16.</w:t>
      </w:r>
    </w:p>
    <w:p w14:paraId="109AD8D3" w14:textId="77777777" w:rsidR="009B3384" w:rsidRDefault="009B3384"/>
    <w:p w14:paraId="109AD8D4" w14:textId="77777777" w:rsidR="009B3384" w:rsidRDefault="00800862">
      <w:pPr>
        <w:rPr>
          <w:szCs w:val="22"/>
        </w:rPr>
      </w:pPr>
      <w:r>
        <w:rPr>
          <w:szCs w:val="22"/>
        </w:rPr>
        <w:t xml:space="preserve">Пациентите без клиничен отговор към индукция с </w:t>
      </w:r>
      <w:r>
        <w:t xml:space="preserve">устекинумаб </w:t>
      </w:r>
      <w:r>
        <w:rPr>
          <w:szCs w:val="22"/>
        </w:rPr>
        <w:t>на седмица 8 в проучването UNFI-I, но с отговор на седмица 16 (157 пациенти), са включени в нерандомизираната част на UNIFI-M и са продължили да получават поддържаща доза на всеки 8 седмици; повечето от тези пациенти (62%) поддържат отговора, а 30% постигат ремисия на седмица 44.</w:t>
      </w:r>
    </w:p>
    <w:p w14:paraId="109AD8D5" w14:textId="77777777" w:rsidR="009B3384" w:rsidRDefault="009B3384">
      <w:pPr>
        <w:suppressAutoHyphens w:val="0"/>
      </w:pPr>
    </w:p>
    <w:p w14:paraId="109AD8D6" w14:textId="77777777" w:rsidR="009B3384" w:rsidRDefault="00800862">
      <w:pPr>
        <w:keepNext/>
        <w:suppressAutoHyphens w:val="0"/>
        <w:rPr>
          <w:i/>
        </w:rPr>
      </w:pPr>
      <w:r>
        <w:rPr>
          <w:i/>
        </w:rPr>
        <w:t>Продължение на проучването</w:t>
      </w:r>
    </w:p>
    <w:p w14:paraId="109AD8D7" w14:textId="77777777" w:rsidR="009B3384" w:rsidRDefault="00800862">
      <w:pPr>
        <w:suppressAutoHyphens w:val="0"/>
        <w:rPr>
          <w:szCs w:val="24"/>
        </w:rPr>
      </w:pPr>
      <w:r>
        <w:rPr>
          <w:szCs w:val="24"/>
        </w:rPr>
        <w:t>В UNIFI пациентите, завършили проучването до седмица 44, са подходящи да продължат лечението в продължение на проучването</w:t>
      </w:r>
      <w:r>
        <w:rPr>
          <w:rFonts w:eastAsia="TimesNewRoman"/>
          <w:szCs w:val="24"/>
        </w:rPr>
        <w:t xml:space="preserve">. Сред 400-те пациенти, които са включени на и лекувани с </w:t>
      </w:r>
      <w:r>
        <w:t>устекинумаб</w:t>
      </w:r>
      <w:r>
        <w:rPr>
          <w:rFonts w:eastAsia="TimesNewRoman"/>
          <w:szCs w:val="24"/>
        </w:rPr>
        <w:t xml:space="preserve"> на всеки 12 или 8 седмици в продължението на проучването, симптоматичната ремисия обикновено се запазва до 200-та седмица при пациенти, </w:t>
      </w:r>
      <w:r>
        <w:rPr>
          <w:szCs w:val="22"/>
        </w:rPr>
        <w:t>с неуспешна конвенционална (но не и биологична терапия)</w:t>
      </w:r>
      <w:r>
        <w:rPr>
          <w:rFonts w:eastAsia="TimesNewRoman"/>
          <w:szCs w:val="24"/>
        </w:rPr>
        <w:t xml:space="preserve"> и тези с неуспешна биологична терапия, включително тези с неуспех както с анти-TNF, така и с ведолизумаб</w:t>
      </w:r>
      <w:r>
        <w:rPr>
          <w:szCs w:val="24"/>
        </w:rPr>
        <w:t xml:space="preserve">. Сред пациентите, които са получили 4-годишно лечение с </w:t>
      </w:r>
      <w:r>
        <w:t>устекинумаб</w:t>
      </w:r>
      <w:r>
        <w:rPr>
          <w:szCs w:val="24"/>
        </w:rPr>
        <w:t xml:space="preserve"> и са оценени с помощта на пълния скор по </w:t>
      </w:r>
      <w:r>
        <w:rPr>
          <w:szCs w:val="24"/>
          <w:lang w:val="en-GB"/>
        </w:rPr>
        <w:t>Mayo</w:t>
      </w:r>
      <w:r>
        <w:rPr>
          <w:szCs w:val="24"/>
        </w:rPr>
        <w:t xml:space="preserve"> за поддържане на седмица 200, съответно 74,2% (69/93) и 68,3% (41/60) поддържат заздравяването на лигавицата и клиничната ремисия.</w:t>
      </w:r>
    </w:p>
    <w:p w14:paraId="109AD8D8" w14:textId="77777777" w:rsidR="009B3384" w:rsidRDefault="009B3384">
      <w:pPr>
        <w:suppressAutoHyphens w:val="0"/>
        <w:rPr>
          <w:szCs w:val="24"/>
        </w:rPr>
      </w:pPr>
    </w:p>
    <w:p w14:paraId="109AD8D9" w14:textId="77777777" w:rsidR="009B3384" w:rsidRDefault="00800862">
      <w:pPr>
        <w:suppressAutoHyphens w:val="0"/>
        <w:rPr>
          <w:szCs w:val="24"/>
        </w:rPr>
      </w:pPr>
      <w:r>
        <w:rPr>
          <w:szCs w:val="24"/>
        </w:rPr>
        <w:lastRenderedPageBreak/>
        <w:t>Анализът за безопасност, включващ 457 пациенти (1289,9-пациентогодини), проследени до 220 седмици, показа, че профилът на безопасност между 44 и 220 седмица, е сравним с този, наблюдаван до 44-та седмица.</w:t>
      </w:r>
    </w:p>
    <w:p w14:paraId="109AD8DA" w14:textId="77777777" w:rsidR="009B3384" w:rsidRDefault="009B3384">
      <w:pPr>
        <w:suppressAutoHyphens w:val="0"/>
        <w:rPr>
          <w:szCs w:val="24"/>
        </w:rPr>
      </w:pPr>
    </w:p>
    <w:p w14:paraId="109AD8DB" w14:textId="77777777" w:rsidR="009B3384" w:rsidRDefault="00800862">
      <w:r>
        <w:t>Не са установени нови съображения за безопасност при това продължение на проучването при пациенти с улцерозен колит, лекувани до 4 години.</w:t>
      </w:r>
    </w:p>
    <w:p w14:paraId="109AD8DC" w14:textId="77777777" w:rsidR="009B3384" w:rsidRDefault="009B3384"/>
    <w:p w14:paraId="109AD8DD" w14:textId="77777777" w:rsidR="009B3384" w:rsidRDefault="00800862">
      <w:pPr>
        <w:keepNext/>
        <w:rPr>
          <w:i/>
        </w:rPr>
      </w:pPr>
      <w:r>
        <w:rPr>
          <w:i/>
        </w:rPr>
        <w:t>Ендоскопско нормализиране</w:t>
      </w:r>
    </w:p>
    <w:p w14:paraId="109AD8DE" w14:textId="5EA839BE" w:rsidR="009B3384" w:rsidRDefault="00800862">
      <w:r>
        <w:t xml:space="preserve">Ендоскопското нормализиране е определено като ендоскопски </w:t>
      </w:r>
      <w:r w:rsidR="00EA3FF7">
        <w:t>подскор</w:t>
      </w:r>
      <w:r>
        <w:t xml:space="preserve"> по Mayo 0 и е наблюдавано още на седмица 8 в UNIFI-I. На седмица 44 от UNIFI-M то се постига при 24% и 29% от пациентите, лекувани с устекинумаб съответно на всеки 12 или 8 седмици, в сравнение с 18% от пациентите в групата с плацебо.</w:t>
      </w:r>
    </w:p>
    <w:p w14:paraId="109AD8DF" w14:textId="77777777" w:rsidR="009B3384" w:rsidRDefault="009B3384"/>
    <w:p w14:paraId="109AD8E0" w14:textId="77777777" w:rsidR="009B3384" w:rsidRDefault="00800862">
      <w:pPr>
        <w:keepNext/>
        <w:rPr>
          <w:i/>
        </w:rPr>
      </w:pPr>
      <w:r>
        <w:rPr>
          <w:i/>
        </w:rPr>
        <w:t>Хистологично и хисто-ендоскопско лигавично оздравяване</w:t>
      </w:r>
    </w:p>
    <w:p w14:paraId="109AD8E1" w14:textId="3BAB7D5A" w:rsidR="009B3384" w:rsidRDefault="00800862">
      <w:r>
        <w:t>Хистологичното оздравяване (определено като неутрофилна инфилтрация в &lt; 5% от криптите, без разрушаване на криптите и без ерозии, улцерации или гранулационна тъкан) е оценявано на седмица 8 в UNIFI-I и на седмица 44 в UNIFI-M. На седмица 8, след еднократна интравенозна индукционна доза, значимо по-голям процент пациенти в групата с препоръчителната доза постигат хистологично оздравяване (36%) в сравнение с пациентите в групата с плацебо (22%). На седмица 44 поддържане на този ефект се наблюдава при значимо повече пациенти с хистологично оздравяване в групите с устекинумаб на всяка12-та седмица (54%) и на всяка 8-ма седмица (59%) в сравнение с плацебо (33%).</w:t>
      </w:r>
    </w:p>
    <w:p w14:paraId="109AD8E2" w14:textId="77777777" w:rsidR="009B3384" w:rsidRDefault="009B3384"/>
    <w:p w14:paraId="109AD8E3" w14:textId="77777777" w:rsidR="009B3384" w:rsidRDefault="00800862">
      <w:r>
        <w:t>Комбинирана крайна точка – хисто-ендоскопско лигавично оздравяване, определено като участници с едновременно лигавично и хистологично оздравяване, е оценена на седмица 8 в UNIFI-I и на седмица 44 в UNIFI-M. Пациентите, получавали устекинумаб в препоръчителната доза, показват значимо подобрение на крайната точка, хисто-ендоскопско лигавично оздравяване на седмица 8, в групата с устекинумаб (18%) в сравнение с групата с плацебо (9%). На седмица 44 поддържане на този ефект се наблюдава при значимо повече пациенти с хисто-ендоскопско лигавично оздравяване в групите с устекинумаб на всяка 12-та седмица (39%) и на всяка 8-ма седмица (46%) в сравнение с плацебо (24%).</w:t>
      </w:r>
    </w:p>
    <w:p w14:paraId="109AD8E4" w14:textId="77777777" w:rsidR="009B3384" w:rsidRDefault="009B3384"/>
    <w:p w14:paraId="109AD8E5" w14:textId="77777777" w:rsidR="009B3384" w:rsidRDefault="00800862">
      <w:pPr>
        <w:keepNext/>
        <w:rPr>
          <w:szCs w:val="24"/>
        </w:rPr>
      </w:pPr>
      <w:r>
        <w:rPr>
          <w:i/>
          <w:szCs w:val="22"/>
        </w:rPr>
        <w:t>Качество на живот, свързано със здравето</w:t>
      </w:r>
    </w:p>
    <w:p w14:paraId="109AD8E6" w14:textId="77777777" w:rsidR="009B3384" w:rsidRDefault="00800862">
      <w:pPr>
        <w:rPr>
          <w:szCs w:val="22"/>
        </w:rPr>
      </w:pPr>
      <w:r>
        <w:rPr>
          <w:szCs w:val="24"/>
        </w:rPr>
        <w:t xml:space="preserve">Качеството на живот, свързано със здравето, е оценявано чрез </w:t>
      </w:r>
      <w:r>
        <w:rPr>
          <w:iCs/>
        </w:rPr>
        <w:t>Въпросник при възпалителни заболявания на червата (</w:t>
      </w:r>
      <w:r>
        <w:rPr>
          <w:szCs w:val="24"/>
        </w:rPr>
        <w:t xml:space="preserve">Inflammatory Bowel Disease Questionnaire, IBDQ) и въпросниците SF-36 и </w:t>
      </w:r>
      <w:proofErr w:type="spellStart"/>
      <w:r>
        <w:rPr>
          <w:szCs w:val="24"/>
          <w:lang w:val="en-US"/>
        </w:rPr>
        <w:t>EuroQoL</w:t>
      </w:r>
      <w:proofErr w:type="spellEnd"/>
      <w:r>
        <w:rPr>
          <w:szCs w:val="24"/>
        </w:rPr>
        <w:t>-5</w:t>
      </w:r>
      <w:r>
        <w:rPr>
          <w:szCs w:val="24"/>
          <w:lang w:val="en-US"/>
        </w:rPr>
        <w:t>D</w:t>
      </w:r>
      <w:r>
        <w:rPr>
          <w:szCs w:val="24"/>
        </w:rPr>
        <w:t xml:space="preserve"> (</w:t>
      </w:r>
      <w:r>
        <w:rPr>
          <w:szCs w:val="24"/>
          <w:lang w:val="en-US"/>
        </w:rPr>
        <w:t>EQ</w:t>
      </w:r>
      <w:r>
        <w:rPr>
          <w:szCs w:val="24"/>
        </w:rPr>
        <w:t>-5</w:t>
      </w:r>
      <w:r>
        <w:rPr>
          <w:szCs w:val="24"/>
          <w:lang w:val="en-US"/>
        </w:rPr>
        <w:t>D</w:t>
      </w:r>
      <w:r>
        <w:rPr>
          <w:szCs w:val="24"/>
        </w:rPr>
        <w:t>).</w:t>
      </w:r>
    </w:p>
    <w:p w14:paraId="109AD8E7" w14:textId="77777777" w:rsidR="009B3384" w:rsidRDefault="009B3384">
      <w:pPr>
        <w:rPr>
          <w:szCs w:val="22"/>
          <w:highlight w:val="green"/>
        </w:rPr>
      </w:pPr>
    </w:p>
    <w:p w14:paraId="109AD8E8" w14:textId="77777777" w:rsidR="009B3384" w:rsidRDefault="00800862">
      <w:pPr>
        <w:rPr>
          <w:szCs w:val="22"/>
        </w:rPr>
      </w:pPr>
      <w:r>
        <w:rPr>
          <w:szCs w:val="22"/>
        </w:rPr>
        <w:t xml:space="preserve">На седмица 8 в UNIFI-I пациентите, получавали </w:t>
      </w:r>
      <w:r>
        <w:t xml:space="preserve">устекинумаб, </w:t>
      </w:r>
      <w:r>
        <w:rPr>
          <w:szCs w:val="22"/>
        </w:rPr>
        <w:t xml:space="preserve">показват значимо по-голямо и клинично значимо подобрение на общия IBDQ скор, </w:t>
      </w:r>
      <w:r>
        <w:rPr>
          <w:szCs w:val="22"/>
          <w:lang w:val="en-US"/>
        </w:rPr>
        <w:t>EQ</w:t>
      </w:r>
      <w:r>
        <w:rPr>
          <w:szCs w:val="22"/>
        </w:rPr>
        <w:t>-5</w:t>
      </w:r>
      <w:r>
        <w:rPr>
          <w:szCs w:val="22"/>
          <w:lang w:val="en-US"/>
        </w:rPr>
        <w:t>D</w:t>
      </w:r>
      <w:r>
        <w:rPr>
          <w:szCs w:val="22"/>
        </w:rPr>
        <w:t xml:space="preserve"> и </w:t>
      </w:r>
      <w:r>
        <w:rPr>
          <w:szCs w:val="22"/>
          <w:lang w:val="en-US"/>
        </w:rPr>
        <w:t>EQ</w:t>
      </w:r>
      <w:r>
        <w:rPr>
          <w:szCs w:val="22"/>
        </w:rPr>
        <w:t>-5</w:t>
      </w:r>
      <w:r>
        <w:rPr>
          <w:szCs w:val="22"/>
          <w:lang w:val="en-US"/>
        </w:rPr>
        <w:t>D</w:t>
      </w:r>
      <w:r>
        <w:rPr>
          <w:szCs w:val="22"/>
        </w:rPr>
        <w:t xml:space="preserve"> </w:t>
      </w:r>
      <w:r>
        <w:rPr>
          <w:szCs w:val="22"/>
          <w:lang w:val="en-US"/>
        </w:rPr>
        <w:t>VAS</w:t>
      </w:r>
      <w:r>
        <w:rPr>
          <w:szCs w:val="22"/>
        </w:rPr>
        <w:t xml:space="preserve">, и SF-36 Mental Component Summary Score и SF-36 Physical Component Summary Score в сравнение с плацебо. Това подобрение се поддържа при пациентите, лекувани с </w:t>
      </w:r>
      <w:r>
        <w:t xml:space="preserve">устекинумаб, </w:t>
      </w:r>
      <w:r>
        <w:rPr>
          <w:szCs w:val="22"/>
        </w:rPr>
        <w:t>в UNIFI-M до седмица 44.</w:t>
      </w:r>
      <w:r>
        <w:rPr>
          <w:iCs/>
        </w:rPr>
        <w:t xml:space="preserve"> Подобрението на качеството на живот, измерено с </w:t>
      </w:r>
      <w:r>
        <w:t>IBDQ и SF-36</w:t>
      </w:r>
      <w:r>
        <w:rPr>
          <w:iCs/>
        </w:rPr>
        <w:t>, обикновено се поддържа през цялото продължение до седмица 200.</w:t>
      </w:r>
    </w:p>
    <w:p w14:paraId="109AD8E9" w14:textId="77777777" w:rsidR="009B3384" w:rsidRDefault="009B3384">
      <w:pPr>
        <w:rPr>
          <w:szCs w:val="22"/>
        </w:rPr>
      </w:pPr>
    </w:p>
    <w:p w14:paraId="109AD8EA" w14:textId="77777777" w:rsidR="009B3384" w:rsidRDefault="00800862">
      <w:pPr>
        <w:rPr>
          <w:szCs w:val="22"/>
        </w:rPr>
      </w:pPr>
      <w:r>
        <w:rPr>
          <w:szCs w:val="22"/>
        </w:rPr>
        <w:t xml:space="preserve">Пациентите, получавали </w:t>
      </w:r>
      <w:r>
        <w:t xml:space="preserve">устекинумаб, </w:t>
      </w:r>
      <w:r>
        <w:rPr>
          <w:szCs w:val="22"/>
        </w:rPr>
        <w:t>имат значимо по-голямо подобрение на продуктивността при работа, оценено чрез по-голямо намаляване на общото нарушение на работата и на нарушаването на активността, оценени чрез въпросника WPAI-GH, отколкото пациентите, получавали плацебо.</w:t>
      </w:r>
    </w:p>
    <w:p w14:paraId="109AD8EB" w14:textId="77777777" w:rsidR="009B3384" w:rsidRDefault="009B3384"/>
    <w:p w14:paraId="109AD8EC" w14:textId="77777777" w:rsidR="009B3384" w:rsidRDefault="00800862">
      <w:pPr>
        <w:keepNext/>
        <w:rPr>
          <w:i/>
        </w:rPr>
      </w:pPr>
      <w:r>
        <w:rPr>
          <w:i/>
        </w:rPr>
        <w:t>Хоспитализации и операции, свързани с улцерозен колит (УК)</w:t>
      </w:r>
    </w:p>
    <w:p w14:paraId="109AD8ED" w14:textId="77777777" w:rsidR="009B3384" w:rsidRDefault="00800862">
      <w:r>
        <w:t>До седмица 8 в UNIFI-I процентът на участниците с хоспитализации, свързани с УК, е значимо по-нисък при участниците в групата с препоръчителната доза устекинумаб (1,6%, 5/322) в сравнение с участниците в групата с плацебо (4,4%, 14/319), като никой от участниците, получавали устекинумаб в препоръчителната индукционна доза, не е подложен на операция, свързана с УК, в сравнение с 0,6% (2/319) от участниците в групата с плацебо.</w:t>
      </w:r>
    </w:p>
    <w:p w14:paraId="109AD8EE" w14:textId="77777777" w:rsidR="009B3384" w:rsidRDefault="009B3384"/>
    <w:p w14:paraId="109AD8EF" w14:textId="77777777" w:rsidR="009B3384" w:rsidRDefault="00800862">
      <w:r>
        <w:lastRenderedPageBreak/>
        <w:t>До седмица 44 в UNIFI-M значимо по-нисък брой хоспитализации, свързани с УК, е наблюдаван при участниците в комбинираната група с устекинумаб (2,0%, 7/348) в сравнение с участниците в групата с плацебо (5,7%, 10/175). Числено по-малък брой участници в групата с устекинумаб (0,6%, 2/348) са подложени на операция, свързана с УК, в сравнение с участниците в групата с плацебо (1,7%, 3/175) до седмица 44.</w:t>
      </w:r>
    </w:p>
    <w:p w14:paraId="109AD8F0" w14:textId="77777777" w:rsidR="009B3384" w:rsidRDefault="009B3384"/>
    <w:p w14:paraId="109AD8F1" w14:textId="77777777" w:rsidR="009B3384" w:rsidRDefault="00800862">
      <w:pPr>
        <w:keepNext/>
        <w:tabs>
          <w:tab w:val="clear" w:pos="567"/>
        </w:tabs>
        <w:rPr>
          <w:bCs/>
        </w:rPr>
      </w:pPr>
      <w:r>
        <w:rPr>
          <w:bCs/>
          <w:u w:val="single"/>
        </w:rPr>
        <w:t>Имуногенност</w:t>
      </w:r>
    </w:p>
    <w:p w14:paraId="109AD8F2" w14:textId="77777777" w:rsidR="009B3384" w:rsidRDefault="00800862">
      <w:r>
        <w:rPr>
          <w:bCs/>
        </w:rPr>
        <w:t xml:space="preserve">По време на лечение с устекинумаб могат да се развият антитела срещу устекинумаб и повечето от тях са неутрализиращи. Образуването на антитела срещу устекинумаб е свързано с повишен клирънс на устекинумаб при пациенти с болест на </w:t>
      </w:r>
      <w:r>
        <w:rPr>
          <w:bCs/>
          <w:lang w:val="en-GB"/>
        </w:rPr>
        <w:t>Crohn</w:t>
      </w:r>
      <w:r>
        <w:rPr>
          <w:bCs/>
        </w:rPr>
        <w:t xml:space="preserve"> или улцерозен колит. Не е наблюдавана намалена ефикасност. Не се наблюдава очевидна зависимост между наличието на антитела срещу устекинумаб и появата на реакции на мястото на инжектиране.</w:t>
      </w:r>
    </w:p>
    <w:p w14:paraId="109AD8F3" w14:textId="77777777" w:rsidR="009B3384" w:rsidRDefault="009B3384">
      <w:pPr>
        <w:rPr>
          <w:szCs w:val="24"/>
        </w:rPr>
      </w:pPr>
    </w:p>
    <w:p w14:paraId="109AD8F4" w14:textId="77777777" w:rsidR="009B3384" w:rsidRDefault="00800862">
      <w:pPr>
        <w:keepNext/>
        <w:rPr>
          <w:szCs w:val="22"/>
          <w:u w:val="single"/>
          <w:lang w:eastAsia="zh-CN"/>
        </w:rPr>
      </w:pPr>
      <w:r>
        <w:rPr>
          <w:szCs w:val="22"/>
          <w:u w:val="single"/>
        </w:rPr>
        <w:t>Педиатрична популация</w:t>
      </w:r>
    </w:p>
    <w:p w14:paraId="109AD8F5" w14:textId="3B8B7D1F" w:rsidR="009B3384" w:rsidRDefault="00800862">
      <w:pPr>
        <w:rPr>
          <w:szCs w:val="24"/>
        </w:rPr>
      </w:pPr>
      <w:r>
        <w:rPr>
          <w:szCs w:val="24"/>
        </w:rPr>
        <w:t xml:space="preserve">Европейската агенция по лекарствата отлага задължението за предоставяне на резултатите от проучванията с устекинумаб в една или повече подгрупи на педиатричната популация при </w:t>
      </w:r>
      <w:del w:id="1296" w:author="Reviser" w:date="2026-04-29T21:07:00Z">
        <w:r w:rsidDel="00E64102">
          <w:rPr>
            <w:bCs/>
          </w:rPr>
          <w:delText xml:space="preserve">улцерозен колит и </w:delText>
        </w:r>
      </w:del>
      <w:r>
        <w:rPr>
          <w:bCs/>
        </w:rPr>
        <w:t>ювенилен идиопатичен артрит</w:t>
      </w:r>
      <w:r>
        <w:rPr>
          <w:szCs w:val="24"/>
        </w:rPr>
        <w:t>.</w:t>
      </w:r>
      <w:r>
        <w:rPr>
          <w:bCs/>
          <w:szCs w:val="24"/>
        </w:rPr>
        <w:t xml:space="preserve"> Предварително напълнената писалка не е проучвана при педиатричната популация и не се препоръчва за употреба при педиатрични пациенти.</w:t>
      </w:r>
    </w:p>
    <w:p w14:paraId="109AD8F6" w14:textId="77777777" w:rsidR="009B3384" w:rsidRDefault="009B3384"/>
    <w:p w14:paraId="109AD8F7" w14:textId="77777777" w:rsidR="009B3384" w:rsidRDefault="00800862">
      <w:pPr>
        <w:keepNext/>
        <w:ind w:left="567" w:hanging="567"/>
        <w:outlineLvl w:val="2"/>
        <w:rPr>
          <w:b/>
          <w:bCs/>
        </w:rPr>
      </w:pPr>
      <w:r>
        <w:rPr>
          <w:b/>
          <w:bCs/>
        </w:rPr>
        <w:t>5.2</w:t>
      </w:r>
      <w:r>
        <w:rPr>
          <w:b/>
          <w:bCs/>
        </w:rPr>
        <w:tab/>
        <w:t>Фармакокинетични свойства</w:t>
      </w:r>
    </w:p>
    <w:p w14:paraId="109AD8F8" w14:textId="77777777" w:rsidR="009B3384" w:rsidRDefault="009B3384">
      <w:pPr>
        <w:keepNext/>
        <w:rPr>
          <w:bCs/>
        </w:rPr>
      </w:pPr>
    </w:p>
    <w:p w14:paraId="109AD8F9" w14:textId="77777777" w:rsidR="009B3384" w:rsidRDefault="00800862">
      <w:pPr>
        <w:keepNext/>
        <w:rPr>
          <w:iCs/>
          <w:u w:val="single"/>
        </w:rPr>
      </w:pPr>
      <w:r>
        <w:rPr>
          <w:iCs/>
          <w:u w:val="single"/>
        </w:rPr>
        <w:t>Абсорбция</w:t>
      </w:r>
    </w:p>
    <w:p w14:paraId="109AD8FA" w14:textId="77777777" w:rsidR="009B3384" w:rsidRDefault="00800862">
      <w:pPr>
        <w:rPr>
          <w:iCs/>
        </w:rPr>
      </w:pPr>
      <w:r>
        <w:rPr>
          <w:iCs/>
        </w:rPr>
        <w:t>Медианата на време за достигане на максимална серумна концентрация (t</w:t>
      </w:r>
      <w:r>
        <w:rPr>
          <w:iCs/>
          <w:vertAlign w:val="subscript"/>
        </w:rPr>
        <w:t>max</w:t>
      </w:r>
      <w:r>
        <w:rPr>
          <w:iCs/>
        </w:rPr>
        <w:t>) е 8,5 дни след еднократно приложение на 90 mg подкожно при здрави пациенти. Медианата t</w:t>
      </w:r>
      <w:r>
        <w:rPr>
          <w:iCs/>
          <w:vertAlign w:val="subscript"/>
        </w:rPr>
        <w:t xml:space="preserve">max </w:t>
      </w:r>
      <w:r>
        <w:rPr>
          <w:iCs/>
        </w:rPr>
        <w:t>на устекинумаб след еднократно приложение на 45 mg или 90 mg подкожно при пациенти с псориазис са сходни с наблюдаваните при здрави пациенти.</w:t>
      </w:r>
    </w:p>
    <w:p w14:paraId="109AD8FB" w14:textId="77777777" w:rsidR="009B3384" w:rsidRDefault="009B3384">
      <w:pPr>
        <w:rPr>
          <w:iCs/>
        </w:rPr>
      </w:pPr>
    </w:p>
    <w:p w14:paraId="109AD8FC" w14:textId="77777777" w:rsidR="009B3384" w:rsidRDefault="00800862">
      <w:pPr>
        <w:rPr>
          <w:iCs/>
        </w:rPr>
      </w:pPr>
      <w:r>
        <w:rPr>
          <w:iCs/>
        </w:rPr>
        <w:t>Абсолютната бионаличност на устекинумаб след еднократно подкожно приложение е изчислена на 57,2% при пациенти с псориазис.</w:t>
      </w:r>
    </w:p>
    <w:p w14:paraId="109AD8FD" w14:textId="77777777" w:rsidR="009B3384" w:rsidRDefault="009B3384">
      <w:pPr>
        <w:rPr>
          <w:iCs/>
        </w:rPr>
      </w:pPr>
    </w:p>
    <w:p w14:paraId="109AD8FE" w14:textId="77777777" w:rsidR="009B3384" w:rsidRDefault="00800862">
      <w:pPr>
        <w:keepNext/>
        <w:rPr>
          <w:iCs/>
          <w:u w:val="single"/>
        </w:rPr>
      </w:pPr>
      <w:r>
        <w:rPr>
          <w:iCs/>
          <w:u w:val="single"/>
        </w:rPr>
        <w:t>Разпределение</w:t>
      </w:r>
    </w:p>
    <w:p w14:paraId="109AD8FF" w14:textId="77777777" w:rsidR="009B3384" w:rsidRDefault="00800862">
      <w:pPr>
        <w:rPr>
          <w:iCs/>
        </w:rPr>
      </w:pPr>
      <w:r>
        <w:rPr>
          <w:iCs/>
        </w:rPr>
        <w:t>Медианата на обема на разпределение в терминалната фаза (Vz) след еднократно интравенозно приложение при пациенти с псориазис варира от 57 до 83 ml/kg.</w:t>
      </w:r>
    </w:p>
    <w:p w14:paraId="109AD900" w14:textId="77777777" w:rsidR="009B3384" w:rsidRDefault="009B3384"/>
    <w:p w14:paraId="109AD901" w14:textId="77777777" w:rsidR="009B3384" w:rsidRDefault="00800862">
      <w:pPr>
        <w:keepNext/>
        <w:rPr>
          <w:iCs/>
          <w:u w:val="single"/>
        </w:rPr>
      </w:pPr>
      <w:r>
        <w:rPr>
          <w:iCs/>
          <w:u w:val="single"/>
        </w:rPr>
        <w:t>Биотрансформация</w:t>
      </w:r>
    </w:p>
    <w:p w14:paraId="109AD902" w14:textId="77777777" w:rsidR="009B3384" w:rsidRDefault="00800862">
      <w:pPr>
        <w:rPr>
          <w:iCs/>
        </w:rPr>
      </w:pPr>
      <w:r>
        <w:rPr>
          <w:iCs/>
        </w:rPr>
        <w:t>Точният път на метаболизиране на устекинумаб не е известен.</w:t>
      </w:r>
    </w:p>
    <w:p w14:paraId="109AD903" w14:textId="77777777" w:rsidR="009B3384" w:rsidRDefault="009B3384"/>
    <w:p w14:paraId="109AD904" w14:textId="77777777" w:rsidR="009B3384" w:rsidRDefault="00800862">
      <w:pPr>
        <w:keepNext/>
        <w:rPr>
          <w:iCs/>
          <w:u w:val="single"/>
        </w:rPr>
      </w:pPr>
      <w:r>
        <w:rPr>
          <w:iCs/>
          <w:u w:val="single"/>
        </w:rPr>
        <w:t>Елиминиране</w:t>
      </w:r>
    </w:p>
    <w:p w14:paraId="109AD905" w14:textId="77777777" w:rsidR="009B3384" w:rsidRDefault="00800862">
      <w:r>
        <w:rPr>
          <w:iCs/>
        </w:rPr>
        <w:t xml:space="preserve">Медианата на системния клирънс (CL) след еднократно интравенозно приложение при пациенти с псориазис варира от 1,99 до 2,34 ml/ден/kg. </w:t>
      </w:r>
      <w:r>
        <w:t>Медианата на полуживота (t</w:t>
      </w:r>
      <w:r>
        <w:rPr>
          <w:vertAlign w:val="subscript"/>
        </w:rPr>
        <w:t>1/2</w:t>
      </w:r>
      <w:r>
        <w:t xml:space="preserve">) на устекинумаб е приблизително 3 седмици при пациенти с псориазис, псориатичен артрит, болест на </w:t>
      </w:r>
      <w:r>
        <w:rPr>
          <w:lang w:val="en-GB"/>
        </w:rPr>
        <w:t>Crohn</w:t>
      </w:r>
      <w:r>
        <w:t xml:space="preserve"> </w:t>
      </w:r>
      <w:r>
        <w:rPr>
          <w:bCs/>
        </w:rPr>
        <w:t>или улцерозен колит</w:t>
      </w:r>
      <w:r>
        <w:t xml:space="preserve"> и варира от 15 до 32 дни във всички проучвания на псориазис и псориатичен артрит. </w:t>
      </w:r>
      <w:r>
        <w:rPr>
          <w:iCs/>
        </w:rPr>
        <w:t>Съгласно проведен фармакокинетичен анализ на популацията привидният клирънс (CL/F) и привидният обем на разпределение (V/F) са съответно 0,465 l/d и 15,7 l при пациенти с псориазис. CL/F на устекинумаб не е зависим от пола. Резултати от популационен фармакокинетичен анализ показват, че има тенденция към по-висок клирънс на устекинумаб при пациентите, дали положителен резултат на изследването за антитела срещу устекинумаб.</w:t>
      </w:r>
    </w:p>
    <w:p w14:paraId="109AD906" w14:textId="77777777" w:rsidR="009B3384" w:rsidRDefault="009B3384">
      <w:pPr>
        <w:rPr>
          <w:iCs/>
        </w:rPr>
      </w:pPr>
    </w:p>
    <w:p w14:paraId="109AD907" w14:textId="77777777" w:rsidR="009B3384" w:rsidRDefault="00800862">
      <w:pPr>
        <w:keepNext/>
        <w:rPr>
          <w:u w:val="single"/>
        </w:rPr>
      </w:pPr>
      <w:r>
        <w:rPr>
          <w:u w:val="single"/>
        </w:rPr>
        <w:t>Линейност на дозата</w:t>
      </w:r>
    </w:p>
    <w:p w14:paraId="109AD908" w14:textId="77777777" w:rsidR="009B3384" w:rsidRDefault="00800862">
      <w:pPr>
        <w:rPr>
          <w:iCs/>
        </w:rPr>
      </w:pPr>
      <w:r>
        <w:rPr>
          <w:iCs/>
        </w:rPr>
        <w:t>Системната експозиция на устекинумаб (C</w:t>
      </w:r>
      <w:r>
        <w:rPr>
          <w:iCs/>
          <w:vertAlign w:val="subscript"/>
        </w:rPr>
        <w:t>max</w:t>
      </w:r>
      <w:r>
        <w:rPr>
          <w:iCs/>
        </w:rPr>
        <w:t xml:space="preserve"> и AUC) се увеличава по начин, приблизително пропорционален на дозата, след еднократно интравенозно приложение на дози в границата между 0,09 mg/kg и 4,5 mg/kg или след еднократно подкожно приложение на дози в границата между 24 mg и 240 mg при пациенти с псориазис.</w:t>
      </w:r>
    </w:p>
    <w:p w14:paraId="109AD909" w14:textId="77777777" w:rsidR="009B3384" w:rsidRDefault="009B3384">
      <w:pPr>
        <w:rPr>
          <w:iCs/>
        </w:rPr>
      </w:pPr>
    </w:p>
    <w:p w14:paraId="109AD90A" w14:textId="77777777" w:rsidR="009B3384" w:rsidRDefault="00800862">
      <w:pPr>
        <w:keepNext/>
        <w:rPr>
          <w:iCs/>
          <w:u w:val="single"/>
        </w:rPr>
      </w:pPr>
      <w:r>
        <w:rPr>
          <w:iCs/>
          <w:u w:val="single"/>
        </w:rPr>
        <w:lastRenderedPageBreak/>
        <w:t>Единична срещу многократна доза</w:t>
      </w:r>
    </w:p>
    <w:p w14:paraId="109AD90B" w14:textId="77777777" w:rsidR="009B3384" w:rsidRDefault="00800862">
      <w:pPr>
        <w:rPr>
          <w:iCs/>
        </w:rPr>
      </w:pPr>
      <w:r>
        <w:rPr>
          <w:iCs/>
        </w:rPr>
        <w:t>Профилите на серумна концентрация</w:t>
      </w:r>
      <w:r>
        <w:rPr>
          <w:iCs/>
        </w:rPr>
        <w:noBreakHyphen/>
        <w:t>време на устекинумаб са принципно предвидими след подкожното приложение на еднократни и многократни дози. При пациенти с псориазис стационарните серумни концентрации на устекинумаб са достигнати в седмица 28 след първоначални подкожни дози в седмици 0 и 4, последвани от дози на всеки 12 седмици. Медианата на стационарната серумна концентрация е в границите между 0,21 μg/ml и 0,26 μg/ml (45 mg) и между 0,47 μg/ml и 0,49 μg/ml (90 mg). Няма очевидно кумулиране в серумната концентрация на устекинумаб с времето, когато се прилага подкожно на всеки 12 седмици.</w:t>
      </w:r>
    </w:p>
    <w:p w14:paraId="109AD90C" w14:textId="77777777" w:rsidR="009B3384" w:rsidRDefault="009B3384">
      <w:pPr>
        <w:rPr>
          <w:iCs/>
        </w:rPr>
      </w:pPr>
    </w:p>
    <w:p w14:paraId="109AD90D" w14:textId="77777777" w:rsidR="009B3384" w:rsidRDefault="00800862">
      <w:pPr>
        <w:rPr>
          <w:iCs/>
        </w:rPr>
      </w:pPr>
      <w:r>
        <w:rPr>
          <w:iCs/>
        </w:rPr>
        <w:t xml:space="preserve">При пациенти с болест на </w:t>
      </w:r>
      <w:r>
        <w:rPr>
          <w:iCs/>
          <w:lang w:val="en-GB"/>
        </w:rPr>
        <w:t>Crohn</w:t>
      </w:r>
      <w:r>
        <w:rPr>
          <w:iCs/>
        </w:rPr>
        <w:t xml:space="preserve"> </w:t>
      </w:r>
      <w:r>
        <w:rPr>
          <w:bCs/>
        </w:rPr>
        <w:t>и улцерозен колит</w:t>
      </w:r>
      <w:r>
        <w:rPr>
          <w:iCs/>
        </w:rPr>
        <w:t xml:space="preserve"> след интравенозна доза ~6</w:t>
      </w:r>
      <w:r>
        <w:rPr>
          <w:iCs/>
          <w:lang w:val="en-GB"/>
        </w:rPr>
        <w:t> mg</w:t>
      </w:r>
      <w:r>
        <w:rPr>
          <w:iCs/>
        </w:rPr>
        <w:t>/</w:t>
      </w:r>
      <w:r>
        <w:rPr>
          <w:iCs/>
          <w:lang w:val="en-GB"/>
        </w:rPr>
        <w:t>kg</w:t>
      </w:r>
      <w:r>
        <w:rPr>
          <w:iCs/>
        </w:rPr>
        <w:t xml:space="preserve"> се прилага подкожна поддържаща терапия от 90</w:t>
      </w:r>
      <w:r>
        <w:rPr>
          <w:iCs/>
          <w:lang w:val="en-GB"/>
        </w:rPr>
        <w:t> mg</w:t>
      </w:r>
      <w:r>
        <w:rPr>
          <w:iCs/>
        </w:rPr>
        <w:t xml:space="preserve"> устекинумаб през 8 или 12</w:t>
      </w:r>
      <w:r>
        <w:rPr>
          <w:iCs/>
          <w:lang w:val="en-GB"/>
        </w:rPr>
        <w:t> </w:t>
      </w:r>
      <w:r>
        <w:rPr>
          <w:iCs/>
        </w:rPr>
        <w:t>седмици, която започва на седмица</w:t>
      </w:r>
      <w:r>
        <w:rPr>
          <w:iCs/>
          <w:lang w:val="en-GB"/>
        </w:rPr>
        <w:t> </w:t>
      </w:r>
      <w:r>
        <w:rPr>
          <w:iCs/>
        </w:rPr>
        <w:t xml:space="preserve">8. Концентрация на устекинумаб в стационарно състояние се достига към началото на втората поддържаща доза. При пациенти с болест на </w:t>
      </w:r>
      <w:r>
        <w:rPr>
          <w:iCs/>
          <w:lang w:val="en-GB"/>
        </w:rPr>
        <w:t>Crohn</w:t>
      </w:r>
      <w:r>
        <w:rPr>
          <w:iCs/>
        </w:rPr>
        <w:t xml:space="preserve"> медианата на най-ниските концентрации в стационарно състояние варира от 1,97</w:t>
      </w:r>
      <w:r>
        <w:rPr>
          <w:iCs/>
          <w:lang w:val="en-GB"/>
        </w:rPr>
        <w:t> </w:t>
      </w:r>
      <w:proofErr w:type="spellStart"/>
      <w:r>
        <w:rPr>
          <w:iCs/>
          <w:lang w:val="en-GB"/>
        </w:rPr>
        <w:t>μg</w:t>
      </w:r>
      <w:proofErr w:type="spellEnd"/>
      <w:r>
        <w:rPr>
          <w:iCs/>
        </w:rPr>
        <w:t>/</w:t>
      </w:r>
      <w:r>
        <w:rPr>
          <w:iCs/>
          <w:lang w:val="en-GB"/>
        </w:rPr>
        <w:t>ml</w:t>
      </w:r>
      <w:r>
        <w:rPr>
          <w:iCs/>
        </w:rPr>
        <w:t xml:space="preserve"> до 2,24</w:t>
      </w:r>
      <w:r>
        <w:rPr>
          <w:iCs/>
          <w:lang w:val="en-GB"/>
        </w:rPr>
        <w:t> </w:t>
      </w:r>
      <w:proofErr w:type="spellStart"/>
      <w:r>
        <w:rPr>
          <w:iCs/>
          <w:lang w:val="en-GB"/>
        </w:rPr>
        <w:t>μg</w:t>
      </w:r>
      <w:proofErr w:type="spellEnd"/>
      <w:r>
        <w:rPr>
          <w:iCs/>
        </w:rPr>
        <w:t>/</w:t>
      </w:r>
      <w:r>
        <w:rPr>
          <w:iCs/>
          <w:lang w:val="en-GB"/>
        </w:rPr>
        <w:t>ml</w:t>
      </w:r>
      <w:r>
        <w:rPr>
          <w:iCs/>
        </w:rPr>
        <w:t xml:space="preserve"> и от 0,61</w:t>
      </w:r>
      <w:r>
        <w:rPr>
          <w:iCs/>
          <w:lang w:val="en-GB"/>
        </w:rPr>
        <w:t> </w:t>
      </w:r>
      <w:proofErr w:type="spellStart"/>
      <w:r>
        <w:rPr>
          <w:iCs/>
          <w:lang w:val="en-GB"/>
        </w:rPr>
        <w:t>μg</w:t>
      </w:r>
      <w:proofErr w:type="spellEnd"/>
      <w:r>
        <w:rPr>
          <w:iCs/>
        </w:rPr>
        <w:t>/</w:t>
      </w:r>
      <w:r>
        <w:rPr>
          <w:iCs/>
          <w:lang w:val="en-GB"/>
        </w:rPr>
        <w:t>ml</w:t>
      </w:r>
      <w:r>
        <w:rPr>
          <w:iCs/>
        </w:rPr>
        <w:t xml:space="preserve"> до 0,76</w:t>
      </w:r>
      <w:r>
        <w:rPr>
          <w:iCs/>
          <w:lang w:val="en-GB"/>
        </w:rPr>
        <w:t> </w:t>
      </w:r>
      <w:proofErr w:type="spellStart"/>
      <w:r>
        <w:rPr>
          <w:iCs/>
          <w:lang w:val="en-GB"/>
        </w:rPr>
        <w:t>μg</w:t>
      </w:r>
      <w:proofErr w:type="spellEnd"/>
      <w:r>
        <w:rPr>
          <w:iCs/>
        </w:rPr>
        <w:t>/</w:t>
      </w:r>
      <w:r>
        <w:rPr>
          <w:iCs/>
          <w:lang w:val="en-GB"/>
        </w:rPr>
        <w:t>ml</w:t>
      </w:r>
      <w:r>
        <w:rPr>
          <w:iCs/>
        </w:rPr>
        <w:t xml:space="preserve"> за устекинумаб 90</w:t>
      </w:r>
      <w:r>
        <w:rPr>
          <w:iCs/>
          <w:lang w:val="en-GB"/>
        </w:rPr>
        <w:t> mg</w:t>
      </w:r>
      <w:r>
        <w:rPr>
          <w:iCs/>
        </w:rPr>
        <w:t xml:space="preserve"> съответно през 8 седмици или през 12 седмици. При пациенти с </w:t>
      </w:r>
      <w:r>
        <w:rPr>
          <w:bCs/>
        </w:rPr>
        <w:t>улцерозен колит</w:t>
      </w:r>
      <w:r>
        <w:rPr>
          <w:iCs/>
        </w:rPr>
        <w:t xml:space="preserve"> медианата на най-ниските концентрации в стационарно състояние варира от </w:t>
      </w:r>
      <w:r>
        <w:t>2,69 μg/m</w:t>
      </w:r>
      <w:r>
        <w:rPr>
          <w:lang w:val="en-US"/>
        </w:rPr>
        <w:t>l</w:t>
      </w:r>
      <w:r>
        <w:t xml:space="preserve"> до 3,09 μg/m</w:t>
      </w:r>
      <w:r>
        <w:rPr>
          <w:lang w:val="en-US"/>
        </w:rPr>
        <w:t>l</w:t>
      </w:r>
      <w:r>
        <w:t xml:space="preserve"> и от 0,92 μg/m</w:t>
      </w:r>
      <w:r>
        <w:rPr>
          <w:lang w:val="en-US"/>
        </w:rPr>
        <w:t>l</w:t>
      </w:r>
      <w:r>
        <w:t xml:space="preserve"> до 1,19 μg/m</w:t>
      </w:r>
      <w:r>
        <w:rPr>
          <w:lang w:val="en-US"/>
        </w:rPr>
        <w:t>l</w:t>
      </w:r>
      <w:r>
        <w:t xml:space="preserve"> за 90 mg </w:t>
      </w:r>
      <w:r>
        <w:rPr>
          <w:iCs/>
        </w:rPr>
        <w:t xml:space="preserve">устекинумаб </w:t>
      </w:r>
      <w:r>
        <w:t xml:space="preserve">на всеки 8 седмици или на всеки 12 седмици. </w:t>
      </w:r>
      <w:r>
        <w:rPr>
          <w:iCs/>
        </w:rPr>
        <w:t>Най-ниските нива на устекинумаб в стационарно състояние, получени при 90</w:t>
      </w:r>
      <w:r>
        <w:rPr>
          <w:iCs/>
          <w:lang w:val="en-GB"/>
        </w:rPr>
        <w:t> mg</w:t>
      </w:r>
      <w:r>
        <w:rPr>
          <w:iCs/>
        </w:rPr>
        <w:t xml:space="preserve"> устекинумаб през 8 седмици, са свързани с по-висока честота на клинична ремисия в сравнение с най-ниските нива в стационарно състояние след 90</w:t>
      </w:r>
      <w:r>
        <w:rPr>
          <w:iCs/>
          <w:lang w:val="en-GB"/>
        </w:rPr>
        <w:t> mg</w:t>
      </w:r>
      <w:r>
        <w:rPr>
          <w:iCs/>
        </w:rPr>
        <w:t xml:space="preserve"> през 12 седмици.</w:t>
      </w:r>
    </w:p>
    <w:p w14:paraId="109AD90E" w14:textId="77777777" w:rsidR="009B3384" w:rsidRDefault="009B3384"/>
    <w:p w14:paraId="109AD90F" w14:textId="77777777" w:rsidR="009B3384" w:rsidRDefault="00800862">
      <w:pPr>
        <w:keepNext/>
        <w:rPr>
          <w:iCs/>
          <w:u w:val="single"/>
        </w:rPr>
      </w:pPr>
      <w:r>
        <w:rPr>
          <w:iCs/>
          <w:u w:val="single"/>
        </w:rPr>
        <w:t>Влияние на теглото върху фармакокинетиката</w:t>
      </w:r>
    </w:p>
    <w:p w14:paraId="109AD910" w14:textId="77777777" w:rsidR="009B3384" w:rsidRDefault="00800862">
      <w:pPr>
        <w:rPr>
          <w:iCs/>
        </w:rPr>
      </w:pPr>
      <w:r>
        <w:rPr>
          <w:iCs/>
        </w:rPr>
        <w:t>В проведен популационен фармакокинетичен анализ, където са използвани данни от пациенти с псориазис е констатирано, че телесното тегло е най-значимата ковариата, влияеща върху клирънса на устекинумаб. Медианата на CL/F при пациенти с тегло &gt; 100 kg е приблизително с 55% по-висок в сравнение с пациенти с тегло ≤ 100 kg. Медианата на V/F при пациенти с тегло &gt; 100 kg е приблизително с 37% по-висок в сравнение с пациенти с тегло ≤ 100 kg. Медианата на минимални серумни концентрации на устекинумаб при пациенти с по-голямо тегло (&gt; 100 kg) в групата с доза 90 mg са подобни на тези при пациентите с по-малко тегло (≤ 100 kg) в групата с доза 45 mg. Подобни резултати са получени от потвърдителен фармакокинетичен популационен анализ, където са използвани данни от пациенти с псориатичен артрит.</w:t>
      </w:r>
    </w:p>
    <w:p w14:paraId="109AD911" w14:textId="77777777" w:rsidR="009B3384" w:rsidRDefault="009B3384">
      <w:pPr>
        <w:rPr>
          <w:iCs/>
        </w:rPr>
      </w:pPr>
    </w:p>
    <w:p w14:paraId="109AD912" w14:textId="77777777" w:rsidR="009B3384" w:rsidRDefault="00800862">
      <w:pPr>
        <w:keepNext/>
        <w:rPr>
          <w:u w:val="single"/>
        </w:rPr>
      </w:pPr>
      <w:r>
        <w:rPr>
          <w:u w:val="single"/>
        </w:rPr>
        <w:t>Коригиране на честотата на приложение</w:t>
      </w:r>
    </w:p>
    <w:p w14:paraId="109AD913" w14:textId="77777777" w:rsidR="009B3384" w:rsidRDefault="00800862">
      <w:r>
        <w:rPr>
          <w:iCs/>
        </w:rPr>
        <w:t xml:space="preserve">Въз основа на наблюдаваните данни и популационните ФК анализи при пациенти с болест на </w:t>
      </w:r>
      <w:r>
        <w:rPr>
          <w:iCs/>
          <w:lang w:val="en-GB"/>
        </w:rPr>
        <w:t>Crohn</w:t>
      </w:r>
      <w:r>
        <w:t xml:space="preserve"> и с </w:t>
      </w:r>
      <w:r>
        <w:rPr>
          <w:bCs/>
        </w:rPr>
        <w:t>улцерозен колит</w:t>
      </w:r>
      <w:r>
        <w:t xml:space="preserve"> рандомизираните участници, които престанат да се повлияват от лечението, имат по-ниски серумни концентрации на </w:t>
      </w:r>
      <w:r>
        <w:rPr>
          <w:iCs/>
        </w:rPr>
        <w:t>устекинумаб във времето в сравнение с участниците, които не са загубили отговор</w:t>
      </w:r>
      <w:r>
        <w:t xml:space="preserve">. При </w:t>
      </w:r>
      <w:r>
        <w:rPr>
          <w:iCs/>
        </w:rPr>
        <w:t xml:space="preserve">болестта на </w:t>
      </w:r>
      <w:r>
        <w:rPr>
          <w:iCs/>
          <w:lang w:val="en-GB"/>
        </w:rPr>
        <w:t>Crohn</w:t>
      </w:r>
      <w:r>
        <w:t xml:space="preserve"> коригирането на дозата от 90 mg на всеки 12 седмици на 90 mg на всеки 8 седмици е свързано с повишаване на </w:t>
      </w:r>
      <w:r>
        <w:rPr>
          <w:iCs/>
        </w:rPr>
        <w:t xml:space="preserve">най-ниските концентрации </w:t>
      </w:r>
      <w:r>
        <w:t xml:space="preserve">на </w:t>
      </w:r>
      <w:r>
        <w:rPr>
          <w:iCs/>
        </w:rPr>
        <w:t>устекинумаб, като това се съпътства с повишаване на ефикасността</w:t>
      </w:r>
      <w:r>
        <w:t xml:space="preserve">. При </w:t>
      </w:r>
      <w:r>
        <w:rPr>
          <w:bCs/>
        </w:rPr>
        <w:t>улцерозен колит</w:t>
      </w:r>
      <w:r>
        <w:t xml:space="preserve"> популационен ФК модел показва, че коригирането на дозата от 90 mg на всеки 12 седмици на 8 седмици може да се очаква да доведе до 3-кратно увеличение на </w:t>
      </w:r>
      <w:r>
        <w:rPr>
          <w:iCs/>
        </w:rPr>
        <w:t xml:space="preserve">най-ниските концентрации </w:t>
      </w:r>
      <w:r>
        <w:t xml:space="preserve">на </w:t>
      </w:r>
      <w:r>
        <w:rPr>
          <w:iCs/>
        </w:rPr>
        <w:t>устекинумаб в стационарно състояние</w:t>
      </w:r>
      <w:r>
        <w:t xml:space="preserve">. </w:t>
      </w:r>
      <w:r>
        <w:rPr>
          <w:szCs w:val="22"/>
        </w:rPr>
        <w:t xml:space="preserve">Освен това, въз основа на данни от клиничните изпитвания, при пациенти с </w:t>
      </w:r>
      <w:r>
        <w:rPr>
          <w:bCs/>
        </w:rPr>
        <w:t>улцерозен колит</w:t>
      </w:r>
      <w:r>
        <w:t xml:space="preserve"> е установена положителна връзка експозиция-отговор между </w:t>
      </w:r>
      <w:r>
        <w:rPr>
          <w:iCs/>
        </w:rPr>
        <w:t xml:space="preserve">най-ниските концентрации </w:t>
      </w:r>
      <w:r>
        <w:t>и клиничната ремисия и лигавичното оздравяване.</w:t>
      </w:r>
    </w:p>
    <w:p w14:paraId="109AD914" w14:textId="77777777" w:rsidR="009B3384" w:rsidRDefault="009B3384">
      <w:pPr>
        <w:rPr>
          <w:iCs/>
        </w:rPr>
      </w:pPr>
    </w:p>
    <w:p w14:paraId="109AD915" w14:textId="77777777" w:rsidR="009B3384" w:rsidRDefault="00800862">
      <w:pPr>
        <w:keepNext/>
        <w:rPr>
          <w:iCs/>
          <w:u w:val="single"/>
        </w:rPr>
      </w:pPr>
      <w:r>
        <w:rPr>
          <w:iCs/>
          <w:u w:val="single"/>
        </w:rPr>
        <w:t>Специални популации</w:t>
      </w:r>
    </w:p>
    <w:p w14:paraId="109AD916" w14:textId="77777777" w:rsidR="009B3384" w:rsidRDefault="00800862">
      <w:pPr>
        <w:rPr>
          <w:iCs/>
        </w:rPr>
      </w:pPr>
      <w:r>
        <w:rPr>
          <w:iCs/>
        </w:rPr>
        <w:t>Няма налични фармакокинетични данни при пациенти с увредена бъбречна или чернодробна функция. Не са проведени конкретни проучвания при пациенти в старческа възраст.</w:t>
      </w:r>
    </w:p>
    <w:p w14:paraId="109AD917" w14:textId="77777777" w:rsidR="009B3384" w:rsidRDefault="009B3384">
      <w:pPr>
        <w:rPr>
          <w:iCs/>
        </w:rPr>
      </w:pPr>
    </w:p>
    <w:p w14:paraId="109AD918" w14:textId="77777777" w:rsidR="009B3384" w:rsidRDefault="00800862">
      <w:pPr>
        <w:rPr>
          <w:iCs/>
        </w:rPr>
      </w:pPr>
      <w:r>
        <w:rPr>
          <w:iCs/>
        </w:rPr>
        <w:t xml:space="preserve">Фармакокинетиката на устекинумаб като цяло е сравнима между пациенти с псориазис </w:t>
      </w:r>
      <w:r>
        <w:rPr>
          <w:bCs/>
        </w:rPr>
        <w:t>и улцерозен колит</w:t>
      </w:r>
      <w:r>
        <w:rPr>
          <w:iCs/>
        </w:rPr>
        <w:t xml:space="preserve"> от азиатски и неазиатски произход.</w:t>
      </w:r>
    </w:p>
    <w:p w14:paraId="109AD919" w14:textId="77777777" w:rsidR="009B3384" w:rsidRDefault="009B3384">
      <w:pPr>
        <w:rPr>
          <w:iCs/>
        </w:rPr>
      </w:pPr>
    </w:p>
    <w:p w14:paraId="109AD91A" w14:textId="77777777" w:rsidR="009B3384" w:rsidRDefault="00800862">
      <w:pPr>
        <w:rPr>
          <w:szCs w:val="22"/>
        </w:rPr>
      </w:pPr>
      <w:r>
        <w:rPr>
          <w:szCs w:val="22"/>
        </w:rPr>
        <w:t xml:space="preserve">При пациенти с болест на Crohn </w:t>
      </w:r>
      <w:r>
        <w:rPr>
          <w:bCs/>
        </w:rPr>
        <w:t>и улцерозен колит</w:t>
      </w:r>
      <w:r>
        <w:rPr>
          <w:szCs w:val="22"/>
        </w:rPr>
        <w:t xml:space="preserve"> вариабилността на клирънса на </w:t>
      </w:r>
      <w:r>
        <w:rPr>
          <w:iCs/>
        </w:rPr>
        <w:t>устекинумаб</w:t>
      </w:r>
      <w:r>
        <w:rPr>
          <w:szCs w:val="22"/>
        </w:rPr>
        <w:t xml:space="preserve"> се повлиява от телесното тегло, нивото на серумния албумин, пола и статуса по отношение на антителата срещу </w:t>
      </w:r>
      <w:r>
        <w:rPr>
          <w:iCs/>
        </w:rPr>
        <w:t xml:space="preserve">устекинумаб, докато телесното тегло е най-значимата ковариата, влияеща </w:t>
      </w:r>
      <w:r>
        <w:rPr>
          <w:iCs/>
        </w:rPr>
        <w:lastRenderedPageBreak/>
        <w:t>върху обема на разпределение</w:t>
      </w:r>
      <w:r>
        <w:rPr>
          <w:szCs w:val="22"/>
        </w:rPr>
        <w:t>. Освен това при болестта на Crohn клирънсът се повлиява от С-реактивния протеин, статуса по отношение на неуспех на лечението с TNF-антагонисти и расата (</w:t>
      </w:r>
      <w:r>
        <w:rPr>
          <w:iCs/>
        </w:rPr>
        <w:t>азиатски спрямо неазиатски произход</w:t>
      </w:r>
      <w:r>
        <w:rPr>
          <w:szCs w:val="22"/>
        </w:rPr>
        <w:t>). Въздействието на тези ковариати е в рамките на ±20% от типичната или референтната стойност на съответния ФK параметър, поради това не е необходима корекция на дозата за тези ковариати.</w:t>
      </w:r>
      <w:r>
        <w:t xml:space="preserve"> </w:t>
      </w:r>
      <w:r>
        <w:rPr>
          <w:szCs w:val="22"/>
        </w:rPr>
        <w:t>Едновременната употреба на имуномодулатори няма значително влияние върху разпределението на устекинумаб.</w:t>
      </w:r>
    </w:p>
    <w:p w14:paraId="109AD91B" w14:textId="77777777" w:rsidR="009B3384" w:rsidRDefault="009B3384">
      <w:pPr>
        <w:rPr>
          <w:iCs/>
        </w:rPr>
      </w:pPr>
    </w:p>
    <w:p w14:paraId="109AD91C" w14:textId="77777777" w:rsidR="009B3384" w:rsidRDefault="00800862">
      <w:pPr>
        <w:rPr>
          <w:iCs/>
        </w:rPr>
      </w:pPr>
      <w:r>
        <w:rPr>
          <w:iCs/>
        </w:rPr>
        <w:t>Резултати от фармакокинетичен анализ на популацията не показват влияние на тютюн или алкохол върху фармакокинетиката на устекинумаб.</w:t>
      </w:r>
    </w:p>
    <w:p w14:paraId="109AD91D" w14:textId="77777777" w:rsidR="009B3384" w:rsidRDefault="009B3384"/>
    <w:p w14:paraId="109AD91E" w14:textId="77777777" w:rsidR="009B3384" w:rsidRDefault="00800862">
      <w:r>
        <w:t>Бионаличността на устекинумаб след приложение със спринцовка или предварително напълнена писалка е сравнима.</w:t>
      </w:r>
    </w:p>
    <w:p w14:paraId="109AD91F" w14:textId="77777777" w:rsidR="009B3384" w:rsidRDefault="009B3384"/>
    <w:p w14:paraId="109AD920" w14:textId="77777777" w:rsidR="009B3384" w:rsidRDefault="00800862">
      <w:pPr>
        <w:rPr>
          <w:bCs/>
          <w:szCs w:val="24"/>
        </w:rPr>
      </w:pPr>
      <w:r>
        <w:rPr>
          <w:bCs/>
          <w:szCs w:val="24"/>
        </w:rPr>
        <w:t>Предварително напълнената писалка не е проучвана при педиатричната популация и не се препоръчва за употреба при педиатрични пациенти.</w:t>
      </w:r>
    </w:p>
    <w:p w14:paraId="109AD921" w14:textId="77777777" w:rsidR="009B3384" w:rsidRDefault="009B3384">
      <w:pPr>
        <w:rPr>
          <w:iCs/>
        </w:rPr>
      </w:pPr>
    </w:p>
    <w:p w14:paraId="109AD922" w14:textId="77777777" w:rsidR="009B3384" w:rsidRDefault="00800862">
      <w:pPr>
        <w:keepNext/>
        <w:rPr>
          <w:bCs/>
          <w:iCs/>
          <w:u w:val="single"/>
        </w:rPr>
      </w:pPr>
      <w:r>
        <w:rPr>
          <w:bCs/>
          <w:iCs/>
          <w:u w:val="single"/>
        </w:rPr>
        <w:t>Регулиране на CYP450 ензими</w:t>
      </w:r>
    </w:p>
    <w:p w14:paraId="109AD923" w14:textId="77777777" w:rsidR="009B3384" w:rsidRDefault="00800862">
      <w:pPr>
        <w:rPr>
          <w:bCs/>
          <w:iCs/>
        </w:rPr>
      </w:pPr>
      <w:r>
        <w:rPr>
          <w:bCs/>
          <w:iCs/>
        </w:rPr>
        <w:t xml:space="preserve">Ефектите на IL-12 или IL-23 върху регулирането на CYP450 ензимите са оценени в </w:t>
      </w:r>
      <w:r>
        <w:rPr>
          <w:bCs/>
          <w:i/>
          <w:iCs/>
        </w:rPr>
        <w:t xml:space="preserve">in vitro </w:t>
      </w:r>
      <w:r>
        <w:rPr>
          <w:bCs/>
          <w:iCs/>
        </w:rPr>
        <w:t>проучване с използване на човешки хепатоцити, което показва, че IL-12 и/или IL-23 с нива от 10 ng/ml не променят активността на човешките CYP450 ензими (CYP1A2, 2B6, 2C9, 2C19, 2D6 или 3А4; вж. точка 4.5).</w:t>
      </w:r>
    </w:p>
    <w:p w14:paraId="109AD924" w14:textId="77777777" w:rsidR="009B3384" w:rsidRDefault="009B3384"/>
    <w:p w14:paraId="109AD925" w14:textId="77777777" w:rsidR="009B3384" w:rsidRDefault="00800862">
      <w:r>
        <w:t xml:space="preserve">Проведено е открито проучване фаза 1 за лекарствени взаимодействия CNTO1275CRD1003 за оценка на ефекта на </w:t>
      </w:r>
      <w:r>
        <w:rPr>
          <w:szCs w:val="22"/>
        </w:rPr>
        <w:t>устекинумаб</w:t>
      </w:r>
      <w:r>
        <w:t xml:space="preserve"> върху ензимната активност на цитохром Р450 след индукция и поддържащо прилагане при пациенти с активна болест на Crohn (n=18). Не са наблюдавани клинично значими промени в експозицията на кофеин (CYP1A2 субстрат), варфарин (CYP2C9 субстрат) омепразол</w:t>
      </w:r>
      <w:r w:rsidRPr="00BC6A43">
        <w:t xml:space="preserve"> (CYP2C19 субстрат), декстрометорфан (CYP2D6 субстрат) или мидазолам (CYP3A субстрат)</w:t>
      </w:r>
      <w:r>
        <w:t>, когато се използват съпътстващо с устекинумаб при одобрената препоръчителна дозировка при пациенти с болест на Crohn (вж. точка 4.5).</w:t>
      </w:r>
    </w:p>
    <w:p w14:paraId="109AD926" w14:textId="77777777" w:rsidR="009B3384" w:rsidRDefault="009B3384"/>
    <w:p w14:paraId="109AD927" w14:textId="77777777" w:rsidR="009B3384" w:rsidRDefault="00800862">
      <w:pPr>
        <w:keepNext/>
        <w:ind w:left="567" w:hanging="567"/>
        <w:outlineLvl w:val="2"/>
        <w:rPr>
          <w:b/>
          <w:bCs/>
        </w:rPr>
      </w:pPr>
      <w:r>
        <w:rPr>
          <w:b/>
          <w:bCs/>
        </w:rPr>
        <w:t>5.3</w:t>
      </w:r>
      <w:r>
        <w:rPr>
          <w:b/>
          <w:bCs/>
        </w:rPr>
        <w:tab/>
        <w:t>Предклинични данни за безопасност</w:t>
      </w:r>
    </w:p>
    <w:p w14:paraId="109AD928" w14:textId="77777777" w:rsidR="009B3384" w:rsidRDefault="009B3384">
      <w:pPr>
        <w:keepNext/>
      </w:pPr>
    </w:p>
    <w:p w14:paraId="109AD929" w14:textId="77777777" w:rsidR="009B3384" w:rsidRDefault="00800862">
      <w:pPr>
        <w:tabs>
          <w:tab w:val="clear" w:pos="567"/>
        </w:tabs>
      </w:pPr>
      <w:r>
        <w:t>Неклиничните данни не показват особен риск (напр. токсичност на органите) за хора на базата на изпитванията за токсичност при многократно прилагане, токсичност за развитието и репродуктивна токсичност, включително и фармакологичните оценки за безопасност. При проучвания за токсичност за развитието и репродуктивна токсичност при дългоопашати макаци не се наблюдават нежелани ефекти върху фертилитета при мъжките, както и вродени дефекти или токсичност за развитието. Не се наблюдават нежелани ефекти върху фертилитета при женските при употребата на аналогично антитяло срещу IL-12/23 при мишки.</w:t>
      </w:r>
    </w:p>
    <w:p w14:paraId="109AD92A" w14:textId="77777777" w:rsidR="009B3384" w:rsidRDefault="009B3384">
      <w:pPr>
        <w:tabs>
          <w:tab w:val="clear" w:pos="567"/>
        </w:tabs>
        <w:rPr>
          <w:bCs/>
        </w:rPr>
      </w:pPr>
    </w:p>
    <w:p w14:paraId="109AD92B" w14:textId="77777777" w:rsidR="009B3384" w:rsidRDefault="00800862">
      <w:pPr>
        <w:tabs>
          <w:tab w:val="clear" w:pos="567"/>
        </w:tabs>
      </w:pPr>
      <w:r>
        <w:t>Дозовите нива в проучвания при животни са близо 45 пъти по-високи от най-високата еквивалентна доза, предвиждана за приложение при пациенти с псориазис, и водят до максимални серумни концентрации при маймуни, които са над 100 пъти по-високи от концентрациите, наблюдавани при хора.</w:t>
      </w:r>
    </w:p>
    <w:p w14:paraId="109AD92C" w14:textId="77777777" w:rsidR="009B3384" w:rsidRDefault="009B3384">
      <w:pPr>
        <w:tabs>
          <w:tab w:val="clear" w:pos="567"/>
        </w:tabs>
        <w:rPr>
          <w:bCs/>
        </w:rPr>
      </w:pPr>
    </w:p>
    <w:p w14:paraId="109AD92D" w14:textId="77777777" w:rsidR="009B3384" w:rsidRDefault="00800862">
      <w:pPr>
        <w:tabs>
          <w:tab w:val="clear" w:pos="567"/>
        </w:tabs>
        <w:rPr>
          <w:bCs/>
        </w:rPr>
      </w:pPr>
      <w:r>
        <w:rPr>
          <w:bCs/>
        </w:rPr>
        <w:t>Не са провеждани проучвания за карциногенност с устекинумаб поради липсата на подходящи модели за антитяло без кръстосана реактивност към IL-12/23 p40 на гризачи.</w:t>
      </w:r>
    </w:p>
    <w:p w14:paraId="109AD92E" w14:textId="77777777" w:rsidR="009B3384" w:rsidRDefault="009B3384">
      <w:pPr>
        <w:tabs>
          <w:tab w:val="clear" w:pos="567"/>
        </w:tabs>
        <w:rPr>
          <w:bCs/>
        </w:rPr>
      </w:pPr>
    </w:p>
    <w:p w14:paraId="109AD92F" w14:textId="77777777" w:rsidR="009B3384" w:rsidRDefault="009B3384">
      <w:pPr>
        <w:tabs>
          <w:tab w:val="clear" w:pos="567"/>
        </w:tabs>
      </w:pPr>
    </w:p>
    <w:p w14:paraId="109AD930" w14:textId="77777777" w:rsidR="009B3384" w:rsidRDefault="00800862">
      <w:pPr>
        <w:keepNext/>
        <w:ind w:left="567" w:hanging="567"/>
        <w:outlineLvl w:val="1"/>
        <w:rPr>
          <w:b/>
          <w:bCs/>
        </w:rPr>
      </w:pPr>
      <w:r>
        <w:rPr>
          <w:b/>
          <w:bCs/>
        </w:rPr>
        <w:t>6.</w:t>
      </w:r>
      <w:r>
        <w:rPr>
          <w:b/>
          <w:bCs/>
        </w:rPr>
        <w:tab/>
        <w:t>ФАРМАЦЕВТИЧНИ ДАННИ</w:t>
      </w:r>
    </w:p>
    <w:p w14:paraId="109AD931" w14:textId="77777777" w:rsidR="009B3384" w:rsidRDefault="009B3384">
      <w:pPr>
        <w:keepNext/>
        <w:tabs>
          <w:tab w:val="clear" w:pos="567"/>
        </w:tabs>
      </w:pPr>
    </w:p>
    <w:p w14:paraId="109AD932" w14:textId="77777777" w:rsidR="009B3384" w:rsidRDefault="00800862">
      <w:pPr>
        <w:keepNext/>
        <w:ind w:left="567" w:hanging="567"/>
        <w:outlineLvl w:val="2"/>
        <w:rPr>
          <w:b/>
          <w:bCs/>
        </w:rPr>
      </w:pPr>
      <w:r>
        <w:rPr>
          <w:b/>
          <w:bCs/>
        </w:rPr>
        <w:t>6.1</w:t>
      </w:r>
      <w:r>
        <w:rPr>
          <w:b/>
          <w:bCs/>
        </w:rPr>
        <w:tab/>
        <w:t>Списък на помощните вещества</w:t>
      </w:r>
    </w:p>
    <w:p w14:paraId="109AD933" w14:textId="77777777" w:rsidR="009B3384" w:rsidRDefault="009B3384">
      <w:pPr>
        <w:keepNext/>
      </w:pPr>
    </w:p>
    <w:p w14:paraId="109AD934" w14:textId="77777777" w:rsidR="009B3384" w:rsidRDefault="00800862">
      <w:pPr>
        <w:tabs>
          <w:tab w:val="clear" w:pos="567"/>
        </w:tabs>
        <w:rPr>
          <w:iCs/>
        </w:rPr>
      </w:pPr>
      <w:r>
        <w:rPr>
          <w:iCs/>
        </w:rPr>
        <w:t>L-хистидин</w:t>
      </w:r>
    </w:p>
    <w:p w14:paraId="109AD935" w14:textId="77777777" w:rsidR="009B3384" w:rsidRDefault="00800862">
      <w:pPr>
        <w:tabs>
          <w:tab w:val="clear" w:pos="567"/>
        </w:tabs>
        <w:rPr>
          <w:iCs/>
        </w:rPr>
      </w:pPr>
      <w:r>
        <w:rPr>
          <w:iCs/>
        </w:rPr>
        <w:t>L-хистидинов монохидрохлорид монохидрат</w:t>
      </w:r>
    </w:p>
    <w:p w14:paraId="109AD936" w14:textId="77777777" w:rsidR="009B3384" w:rsidRDefault="00800862">
      <w:pPr>
        <w:tabs>
          <w:tab w:val="clear" w:pos="567"/>
        </w:tabs>
        <w:rPr>
          <w:iCs/>
        </w:rPr>
      </w:pPr>
      <w:r>
        <w:rPr>
          <w:iCs/>
        </w:rPr>
        <w:t xml:space="preserve">Полисорбат 80 </w:t>
      </w:r>
      <w:r>
        <w:rPr>
          <w:iCs/>
          <w:szCs w:val="22"/>
        </w:rPr>
        <w:t>(E433)</w:t>
      </w:r>
    </w:p>
    <w:p w14:paraId="109AD937" w14:textId="77777777" w:rsidR="009B3384" w:rsidRDefault="00800862">
      <w:pPr>
        <w:rPr>
          <w:iCs/>
        </w:rPr>
      </w:pPr>
      <w:r>
        <w:rPr>
          <w:iCs/>
        </w:rPr>
        <w:t>Захароза</w:t>
      </w:r>
    </w:p>
    <w:p w14:paraId="109AD938" w14:textId="77777777" w:rsidR="009B3384" w:rsidRDefault="00800862">
      <w:r>
        <w:lastRenderedPageBreak/>
        <w:t>Вода за инжекции</w:t>
      </w:r>
    </w:p>
    <w:p w14:paraId="109AD939" w14:textId="77777777" w:rsidR="009B3384" w:rsidRDefault="009B3384">
      <w:pPr>
        <w:tabs>
          <w:tab w:val="clear" w:pos="567"/>
        </w:tabs>
      </w:pPr>
    </w:p>
    <w:p w14:paraId="109AD93A" w14:textId="77777777" w:rsidR="009B3384" w:rsidRDefault="00800862">
      <w:pPr>
        <w:keepNext/>
        <w:ind w:left="567" w:hanging="567"/>
        <w:outlineLvl w:val="2"/>
        <w:rPr>
          <w:b/>
          <w:bCs/>
        </w:rPr>
      </w:pPr>
      <w:r>
        <w:rPr>
          <w:b/>
          <w:bCs/>
        </w:rPr>
        <w:t>6.2</w:t>
      </w:r>
      <w:r>
        <w:rPr>
          <w:b/>
          <w:bCs/>
        </w:rPr>
        <w:tab/>
        <w:t>Несъвместимости</w:t>
      </w:r>
    </w:p>
    <w:p w14:paraId="109AD93B" w14:textId="77777777" w:rsidR="009B3384" w:rsidRDefault="009B3384">
      <w:pPr>
        <w:keepNext/>
        <w:tabs>
          <w:tab w:val="clear" w:pos="567"/>
        </w:tabs>
      </w:pPr>
    </w:p>
    <w:p w14:paraId="109AD93C" w14:textId="77777777" w:rsidR="009B3384" w:rsidRDefault="00800862">
      <w:r>
        <w:t>При липса на проучвания за несъвместимости, този лекарствен продукт не трябва да се смесва с други лекарствени продукти.</w:t>
      </w:r>
    </w:p>
    <w:p w14:paraId="109AD93D" w14:textId="77777777" w:rsidR="009B3384" w:rsidRDefault="009B3384">
      <w:pPr>
        <w:tabs>
          <w:tab w:val="clear" w:pos="567"/>
        </w:tabs>
      </w:pPr>
    </w:p>
    <w:p w14:paraId="109AD93E" w14:textId="77777777" w:rsidR="009B3384" w:rsidRDefault="00800862">
      <w:pPr>
        <w:keepNext/>
        <w:ind w:left="567" w:hanging="567"/>
        <w:outlineLvl w:val="2"/>
        <w:rPr>
          <w:b/>
          <w:bCs/>
        </w:rPr>
      </w:pPr>
      <w:r>
        <w:rPr>
          <w:b/>
          <w:bCs/>
        </w:rPr>
        <w:t>6.3</w:t>
      </w:r>
      <w:r>
        <w:rPr>
          <w:b/>
          <w:bCs/>
        </w:rPr>
        <w:tab/>
        <w:t>Срок на годност</w:t>
      </w:r>
    </w:p>
    <w:p w14:paraId="109AD93F" w14:textId="77777777" w:rsidR="009B3384" w:rsidRDefault="009B3384">
      <w:pPr>
        <w:keepNext/>
        <w:tabs>
          <w:tab w:val="clear" w:pos="567"/>
        </w:tabs>
      </w:pPr>
    </w:p>
    <w:p w14:paraId="109AD940" w14:textId="77777777" w:rsidR="009B3384" w:rsidRDefault="00800862">
      <w:pPr>
        <w:keepNext/>
      </w:pPr>
      <w:r>
        <w:t>STELARA 45 mg инжекционен разтвор в предварително напълнена писалка</w:t>
      </w:r>
    </w:p>
    <w:p w14:paraId="109AD941" w14:textId="77777777" w:rsidR="009B3384" w:rsidRDefault="00800862">
      <w:pPr>
        <w:widowControl w:val="0"/>
      </w:pPr>
      <w:r>
        <w:t>3 години</w:t>
      </w:r>
    </w:p>
    <w:p w14:paraId="109AD942" w14:textId="77777777" w:rsidR="009B3384" w:rsidRDefault="009B3384">
      <w:pPr>
        <w:widowControl w:val="0"/>
      </w:pPr>
    </w:p>
    <w:p w14:paraId="109AD943" w14:textId="77777777" w:rsidR="009B3384" w:rsidRDefault="00800862">
      <w:pPr>
        <w:keepNext/>
      </w:pPr>
      <w:r>
        <w:t>STELARA 90 mg инжекционен разтвор в предварително напълнена писалка</w:t>
      </w:r>
    </w:p>
    <w:p w14:paraId="109AD944" w14:textId="77777777" w:rsidR="009B3384" w:rsidRDefault="00800862">
      <w:pPr>
        <w:widowControl w:val="0"/>
      </w:pPr>
      <w:r>
        <w:t>3 години</w:t>
      </w:r>
    </w:p>
    <w:p w14:paraId="109AD945" w14:textId="77777777" w:rsidR="009B3384" w:rsidRDefault="009B3384">
      <w:pPr>
        <w:widowControl w:val="0"/>
      </w:pPr>
    </w:p>
    <w:p w14:paraId="109AD946" w14:textId="77777777" w:rsidR="009B3384" w:rsidRDefault="00800862">
      <w:pPr>
        <w:widowControl w:val="0"/>
      </w:pPr>
      <w:r>
        <w:t>Отделните предварително напълнени писалки може да се съхраняват при стайна температура до 30</w:t>
      </w:r>
      <w:r>
        <w:rPr>
          <w:rFonts w:eastAsia="Symbol"/>
        </w:rPr>
        <w:t>°</w:t>
      </w:r>
      <w:r>
        <w:t>C за максимум един период до 30 дни в оригиналната картонена опаковка, за да се предпазят от светлина. Запишете датата, на която предварително напълнената писалка е извадена за първи път от хладилника и датата на изхвърляне на обозначените на външната картонена опаковка места. Датата на изхвърляне не трябва да е след оригиналния срок на годност, отпечатан върху картонената опаковка. След като веднъж писалката е била съхранявана при стайна температура (до 30</w:t>
      </w:r>
      <w:r>
        <w:rPr>
          <w:rFonts w:eastAsia="Symbol"/>
        </w:rPr>
        <w:t>°</w:t>
      </w:r>
      <w:r>
        <w:t>C), тя не трябва да се връща в хладилника. Изхвърлете писалката, ако не се използва след съхранение при стайна температура в рамките на 30 дни или след изтичане на оригиналния срок на годност, в зависимост от това, кое от двете настъпи по-рано.</w:t>
      </w:r>
    </w:p>
    <w:p w14:paraId="109AD947" w14:textId="77777777" w:rsidR="009B3384" w:rsidRDefault="009B3384">
      <w:pPr>
        <w:tabs>
          <w:tab w:val="clear" w:pos="567"/>
        </w:tabs>
      </w:pPr>
    </w:p>
    <w:p w14:paraId="109AD948" w14:textId="77777777" w:rsidR="009B3384" w:rsidRDefault="00800862">
      <w:pPr>
        <w:keepNext/>
        <w:ind w:left="567" w:hanging="567"/>
        <w:outlineLvl w:val="2"/>
        <w:rPr>
          <w:b/>
          <w:bCs/>
        </w:rPr>
      </w:pPr>
      <w:r>
        <w:rPr>
          <w:b/>
          <w:bCs/>
        </w:rPr>
        <w:t>6.4</w:t>
      </w:r>
      <w:r>
        <w:rPr>
          <w:b/>
          <w:bCs/>
        </w:rPr>
        <w:tab/>
        <w:t>Специални условия на съхранение</w:t>
      </w:r>
    </w:p>
    <w:p w14:paraId="109AD949" w14:textId="77777777" w:rsidR="009B3384" w:rsidRDefault="009B3384">
      <w:pPr>
        <w:keepNext/>
        <w:tabs>
          <w:tab w:val="clear" w:pos="567"/>
        </w:tabs>
      </w:pPr>
    </w:p>
    <w:p w14:paraId="109AD94A" w14:textId="77777777" w:rsidR="009B3384" w:rsidRDefault="00800862">
      <w:r>
        <w:t>Да се съхранява в хладилник (2</w:t>
      </w:r>
      <w:r>
        <w:rPr>
          <w:rFonts w:eastAsia="Symbol"/>
        </w:rPr>
        <w:t>°</w:t>
      </w:r>
      <w:r>
        <w:t>C – 8</w:t>
      </w:r>
      <w:r>
        <w:rPr>
          <w:rFonts w:eastAsia="Symbol"/>
        </w:rPr>
        <w:t>°</w:t>
      </w:r>
      <w:r>
        <w:t>C). Да не се замразява.</w:t>
      </w:r>
    </w:p>
    <w:p w14:paraId="109AD94B" w14:textId="77777777" w:rsidR="009B3384" w:rsidRDefault="00800862">
      <w:r>
        <w:t>Съхранявайте предварително напълнената писалка в картонената опаковка, за да се предпази от светлина.</w:t>
      </w:r>
    </w:p>
    <w:p w14:paraId="109AD94C" w14:textId="77777777" w:rsidR="009B3384" w:rsidRDefault="00800862">
      <w:r>
        <w:t>Ако е необходимо, отделните предварително напълнени писалки може да се съхраняват при стайна температура до 30</w:t>
      </w:r>
      <w:r>
        <w:rPr>
          <w:rFonts w:eastAsia="Symbol"/>
        </w:rPr>
        <w:t>°</w:t>
      </w:r>
      <w:r>
        <w:t>C (вж. точка 6.3).</w:t>
      </w:r>
    </w:p>
    <w:p w14:paraId="109AD94D" w14:textId="77777777" w:rsidR="009B3384" w:rsidRDefault="009B3384">
      <w:pPr>
        <w:tabs>
          <w:tab w:val="clear" w:pos="567"/>
        </w:tabs>
      </w:pPr>
    </w:p>
    <w:p w14:paraId="109AD94E" w14:textId="77777777" w:rsidR="009B3384" w:rsidRDefault="00800862">
      <w:pPr>
        <w:keepNext/>
        <w:ind w:left="567" w:hanging="567"/>
        <w:outlineLvl w:val="2"/>
        <w:rPr>
          <w:b/>
          <w:bCs/>
        </w:rPr>
      </w:pPr>
      <w:r>
        <w:rPr>
          <w:b/>
          <w:bCs/>
        </w:rPr>
        <w:t>6.5</w:t>
      </w:r>
      <w:r>
        <w:rPr>
          <w:b/>
          <w:bCs/>
        </w:rPr>
        <w:tab/>
        <w:t>Вид и съдържание на опаковката</w:t>
      </w:r>
    </w:p>
    <w:p w14:paraId="109AD94F" w14:textId="77777777" w:rsidR="009B3384" w:rsidRDefault="009B3384">
      <w:pPr>
        <w:keepNext/>
        <w:tabs>
          <w:tab w:val="clear" w:pos="567"/>
        </w:tabs>
      </w:pPr>
    </w:p>
    <w:p w14:paraId="109AD950" w14:textId="77777777" w:rsidR="009B3384" w:rsidRDefault="00800862">
      <w:pPr>
        <w:keepNext/>
        <w:widowControl w:val="0"/>
        <w:rPr>
          <w:iCs/>
          <w:u w:val="single"/>
        </w:rPr>
      </w:pPr>
      <w:r>
        <w:rPr>
          <w:iCs/>
          <w:u w:val="single"/>
        </w:rPr>
        <w:t>STELARA 45</w:t>
      </w:r>
      <w:r>
        <w:rPr>
          <w:u w:val="single"/>
        </w:rPr>
        <w:t> </w:t>
      </w:r>
      <w:r>
        <w:rPr>
          <w:iCs/>
          <w:u w:val="single"/>
        </w:rPr>
        <w:t>mg инжекционен разтвор в предварително напълнена писалка</w:t>
      </w:r>
    </w:p>
    <w:p w14:paraId="109AD951" w14:textId="77777777" w:rsidR="009B3384" w:rsidRDefault="00800862">
      <w:pPr>
        <w:widowControl w:val="0"/>
        <w:rPr>
          <w:iCs/>
        </w:rPr>
      </w:pPr>
      <w:r>
        <w:rPr>
          <w:iCs/>
        </w:rPr>
        <w:t xml:space="preserve">0,5 ml разтвор в спринцовка от стъкло тип I 1 ml с фиксирана игла от неръждаема стомана, монтирана в предварително напълнена писалка с пасивен предпазител на иглата. </w:t>
      </w:r>
      <w:bookmarkStart w:id="1297" w:name="_Hlk137571238"/>
      <w:r>
        <w:t xml:space="preserve">Предпазителят на иглата в долната капачка на предварително напълнената писалка </w:t>
      </w:r>
      <w:bookmarkEnd w:id="1297"/>
      <w:r>
        <w:rPr>
          <w:iCs/>
        </w:rPr>
        <w:t>съдържа сух естествен каучук (производно на латекс).</w:t>
      </w:r>
    </w:p>
    <w:p w14:paraId="109AD952" w14:textId="77777777" w:rsidR="009B3384" w:rsidRDefault="009B3384">
      <w:pPr>
        <w:widowControl w:val="0"/>
      </w:pPr>
    </w:p>
    <w:p w14:paraId="109AD953" w14:textId="77777777" w:rsidR="009B3384" w:rsidRDefault="00800862">
      <w:pPr>
        <w:keepNext/>
        <w:widowControl w:val="0"/>
        <w:rPr>
          <w:iCs/>
          <w:u w:val="single"/>
        </w:rPr>
      </w:pPr>
      <w:r>
        <w:rPr>
          <w:iCs/>
          <w:u w:val="single"/>
        </w:rPr>
        <w:t>STELARA 90</w:t>
      </w:r>
      <w:r>
        <w:rPr>
          <w:u w:val="single"/>
        </w:rPr>
        <w:t> </w:t>
      </w:r>
      <w:r>
        <w:rPr>
          <w:iCs/>
          <w:u w:val="single"/>
        </w:rPr>
        <w:t>mg инжекционен разтвор в предварително напълнена писалка</w:t>
      </w:r>
    </w:p>
    <w:p w14:paraId="109AD954" w14:textId="77777777" w:rsidR="009B3384" w:rsidRDefault="00800862">
      <w:pPr>
        <w:widowControl w:val="0"/>
        <w:rPr>
          <w:iCs/>
        </w:rPr>
      </w:pPr>
      <w:r>
        <w:rPr>
          <w:iCs/>
        </w:rPr>
        <w:t xml:space="preserve">1 ml разтвор в спринцовка от стъкло тип I 1 ml с фиксирана игла от неръждаема стомана, монтирана в предварително напълнена писалка с пасивен предпазител на иглата. </w:t>
      </w:r>
      <w:r>
        <w:t xml:space="preserve">Предпазителят на иглата в долната капачка на предварително напълнената писалка </w:t>
      </w:r>
      <w:r>
        <w:rPr>
          <w:iCs/>
        </w:rPr>
        <w:t>съдържа сух естествен каучук (производно на латекс).</w:t>
      </w:r>
    </w:p>
    <w:p w14:paraId="109AD955" w14:textId="77777777" w:rsidR="009B3384" w:rsidRDefault="009B3384">
      <w:pPr>
        <w:tabs>
          <w:tab w:val="clear" w:pos="567"/>
        </w:tabs>
        <w:rPr>
          <w:iCs/>
        </w:rPr>
      </w:pPr>
    </w:p>
    <w:p w14:paraId="109AD956" w14:textId="77777777" w:rsidR="009B3384" w:rsidRDefault="00800862">
      <w:pPr>
        <w:tabs>
          <w:tab w:val="clear" w:pos="567"/>
        </w:tabs>
        <w:rPr>
          <w:iCs/>
        </w:rPr>
      </w:pPr>
      <w:r>
        <w:rPr>
          <w:iCs/>
        </w:rPr>
        <w:t>STELARA се разпространява в опаковка по 1 предварително напълнена писалка.</w:t>
      </w:r>
    </w:p>
    <w:p w14:paraId="109AD957" w14:textId="77777777" w:rsidR="009B3384" w:rsidRDefault="009B3384">
      <w:pPr>
        <w:tabs>
          <w:tab w:val="clear" w:pos="567"/>
        </w:tabs>
      </w:pPr>
    </w:p>
    <w:p w14:paraId="109AD958" w14:textId="77777777" w:rsidR="009B3384" w:rsidRDefault="00800862">
      <w:pPr>
        <w:keepNext/>
        <w:ind w:left="567" w:hanging="567"/>
        <w:outlineLvl w:val="2"/>
        <w:rPr>
          <w:b/>
          <w:bCs/>
        </w:rPr>
      </w:pPr>
      <w:r>
        <w:rPr>
          <w:b/>
          <w:bCs/>
        </w:rPr>
        <w:t>6.6</w:t>
      </w:r>
      <w:r>
        <w:rPr>
          <w:b/>
          <w:bCs/>
        </w:rPr>
        <w:tab/>
        <w:t>Специални предпазни мерки при изхвърляне и работа</w:t>
      </w:r>
    </w:p>
    <w:p w14:paraId="109AD959" w14:textId="77777777" w:rsidR="009B3384" w:rsidRDefault="009B3384">
      <w:pPr>
        <w:keepNext/>
        <w:tabs>
          <w:tab w:val="clear" w:pos="567"/>
        </w:tabs>
      </w:pPr>
    </w:p>
    <w:p w14:paraId="109AD95A" w14:textId="19927A02" w:rsidR="009B3384" w:rsidRDefault="00800862">
      <w:pPr>
        <w:rPr>
          <w:bCs/>
        </w:rPr>
      </w:pPr>
      <w:r>
        <w:rPr>
          <w:bCs/>
          <w:iCs/>
        </w:rPr>
        <w:t xml:space="preserve">Предварително напълнената писалка </w:t>
      </w:r>
      <w:r>
        <w:rPr>
          <w:bCs/>
        </w:rPr>
        <w:t xml:space="preserve">не трябва да се разклаща. Разтворът трябва да се провери визуално за наличието на твърди частици или промяна на цвета, преди да се приложи подкожно. Разтворът е бистър до </w:t>
      </w:r>
      <w:r>
        <w:rPr>
          <w:szCs w:val="22"/>
        </w:rPr>
        <w:t xml:space="preserve">леко опалесцентен, безцветен до бледожълт </w:t>
      </w:r>
      <w:r>
        <w:rPr>
          <w:bCs/>
        </w:rPr>
        <w:t xml:space="preserve">и може да съдържа няколко дребни </w:t>
      </w:r>
      <w:r>
        <w:t xml:space="preserve">полупрозрачни или бели частици протеин. Този външен вид не е необичаен за протеиновите разтвори. Лекарственият продукт не трябва да се употребява, ако </w:t>
      </w:r>
      <w:r>
        <w:lastRenderedPageBreak/>
        <w:t xml:space="preserve">разтворът е с променен цвят или мътен или ако в него се забелязват твърди чужди частици. Преди прилагане STELARA трябва да достигне стайна температура (приблизително за около половин час). </w:t>
      </w:r>
      <w:r>
        <w:rPr>
          <w:bCs/>
        </w:rPr>
        <w:t>Подробни указания за употреба са предоставени в листовката за пациента.</w:t>
      </w:r>
    </w:p>
    <w:p w14:paraId="109AD95B" w14:textId="77777777" w:rsidR="009B3384" w:rsidRDefault="009B3384">
      <w:pPr>
        <w:tabs>
          <w:tab w:val="clear" w:pos="567"/>
        </w:tabs>
      </w:pPr>
    </w:p>
    <w:p w14:paraId="109AD95C" w14:textId="77777777" w:rsidR="009B3384" w:rsidRDefault="00800862">
      <w:pPr>
        <w:rPr>
          <w:bCs/>
        </w:rPr>
      </w:pPr>
      <w:r>
        <w:rPr>
          <w:bCs/>
        </w:rPr>
        <w:t>STELARA не съдържа консерванти, затова неизползваният лекарствен продукт, останал в предварително напълнената писалка, не трябва да се използва. STELARA се доставя като стерилна п</w:t>
      </w:r>
      <w:r>
        <w:rPr>
          <w:bCs/>
          <w:iCs/>
        </w:rPr>
        <w:t>редварително напълнената писалка</w:t>
      </w:r>
      <w:r>
        <w:rPr>
          <w:bCs/>
        </w:rPr>
        <w:t xml:space="preserve"> </w:t>
      </w:r>
      <w:r>
        <w:rPr>
          <w:bCs/>
          <w:iCs/>
        </w:rPr>
        <w:t>за еднократна употреба</w:t>
      </w:r>
      <w:r>
        <w:rPr>
          <w:bCs/>
        </w:rPr>
        <w:t>.</w:t>
      </w:r>
      <w:r>
        <w:t xml:space="preserve"> П</w:t>
      </w:r>
      <w:r>
        <w:rPr>
          <w:bCs/>
          <w:iCs/>
        </w:rPr>
        <w:t>редварително напълнената писалка</w:t>
      </w:r>
      <w:r>
        <w:t xml:space="preserve"> не трябва да се използва повторно.</w:t>
      </w:r>
      <w:r>
        <w:rPr>
          <w:bCs/>
        </w:rPr>
        <w:t xml:space="preserve"> Неизползваният лекарствен продукт или отпадъчните материали от него трябва да се изхвърлят в съответствие с местните изисквания.</w:t>
      </w:r>
    </w:p>
    <w:p w14:paraId="109AD95D" w14:textId="77777777" w:rsidR="009B3384" w:rsidRDefault="009B3384">
      <w:pPr>
        <w:tabs>
          <w:tab w:val="clear" w:pos="567"/>
        </w:tabs>
      </w:pPr>
    </w:p>
    <w:p w14:paraId="109AD95E" w14:textId="77777777" w:rsidR="009B3384" w:rsidRDefault="009B3384">
      <w:pPr>
        <w:tabs>
          <w:tab w:val="clear" w:pos="567"/>
        </w:tabs>
      </w:pPr>
    </w:p>
    <w:p w14:paraId="109AD95F" w14:textId="77777777" w:rsidR="009B3384" w:rsidRDefault="00800862">
      <w:pPr>
        <w:keepNext/>
        <w:ind w:left="567" w:hanging="567"/>
        <w:outlineLvl w:val="1"/>
        <w:rPr>
          <w:b/>
          <w:bCs/>
        </w:rPr>
      </w:pPr>
      <w:r>
        <w:rPr>
          <w:b/>
          <w:bCs/>
        </w:rPr>
        <w:t>7.</w:t>
      </w:r>
      <w:r>
        <w:rPr>
          <w:b/>
          <w:bCs/>
        </w:rPr>
        <w:tab/>
        <w:t>ПРИТЕЖАТЕЛ НА РАЗРЕШЕНИЕТО ЗА УПОТРЕБА</w:t>
      </w:r>
    </w:p>
    <w:p w14:paraId="109AD960" w14:textId="77777777" w:rsidR="009B3384" w:rsidRDefault="009B3384">
      <w:pPr>
        <w:keepNext/>
      </w:pPr>
    </w:p>
    <w:p w14:paraId="109AD961" w14:textId="77777777" w:rsidR="009B3384" w:rsidRDefault="00800862">
      <w:pPr>
        <w:rPr>
          <w:szCs w:val="13"/>
        </w:rPr>
      </w:pPr>
      <w:r>
        <w:rPr>
          <w:szCs w:val="13"/>
        </w:rPr>
        <w:t>Janssen-Cilag International NV</w:t>
      </w:r>
    </w:p>
    <w:p w14:paraId="109AD962" w14:textId="77777777" w:rsidR="009B3384" w:rsidRDefault="00800862">
      <w:pPr>
        <w:rPr>
          <w:szCs w:val="13"/>
        </w:rPr>
      </w:pPr>
      <w:r>
        <w:rPr>
          <w:szCs w:val="13"/>
        </w:rPr>
        <w:t>Turnhoutseweg 30</w:t>
      </w:r>
    </w:p>
    <w:p w14:paraId="109AD963" w14:textId="77777777" w:rsidR="009B3384" w:rsidRDefault="00800862">
      <w:pPr>
        <w:rPr>
          <w:szCs w:val="13"/>
        </w:rPr>
      </w:pPr>
      <w:r>
        <w:rPr>
          <w:szCs w:val="13"/>
          <w:lang w:val="en-US"/>
        </w:rPr>
        <w:t>B</w:t>
      </w:r>
      <w:r>
        <w:rPr>
          <w:szCs w:val="13"/>
        </w:rPr>
        <w:t>-2340 Beerse</w:t>
      </w:r>
    </w:p>
    <w:p w14:paraId="109AD964" w14:textId="77777777" w:rsidR="009B3384" w:rsidRDefault="00800862">
      <w:r>
        <w:rPr>
          <w:szCs w:val="13"/>
        </w:rPr>
        <w:t>Белгия</w:t>
      </w:r>
    </w:p>
    <w:p w14:paraId="109AD965" w14:textId="77777777" w:rsidR="009B3384" w:rsidRDefault="009B3384"/>
    <w:p w14:paraId="109AD966" w14:textId="77777777" w:rsidR="009B3384" w:rsidRDefault="009B3384"/>
    <w:p w14:paraId="109AD967" w14:textId="77777777" w:rsidR="009B3384" w:rsidRDefault="00800862">
      <w:pPr>
        <w:keepNext/>
        <w:ind w:left="567" w:hanging="567"/>
        <w:outlineLvl w:val="1"/>
        <w:rPr>
          <w:b/>
        </w:rPr>
      </w:pPr>
      <w:r>
        <w:rPr>
          <w:b/>
        </w:rPr>
        <w:t>8.</w:t>
      </w:r>
      <w:r>
        <w:rPr>
          <w:b/>
        </w:rPr>
        <w:tab/>
        <w:t>НОМЕР(А) НА РАЗРЕШЕНИЕТО ЗА УПОТРЕБА</w:t>
      </w:r>
    </w:p>
    <w:p w14:paraId="109AD968" w14:textId="77777777" w:rsidR="009B3384" w:rsidRDefault="009B3384">
      <w:pPr>
        <w:keepNext/>
      </w:pPr>
    </w:p>
    <w:p w14:paraId="109AD969" w14:textId="77777777" w:rsidR="009B3384" w:rsidRDefault="00800862">
      <w:pPr>
        <w:keepNext/>
      </w:pPr>
      <w:r>
        <w:rPr>
          <w:u w:val="single"/>
          <w:lang w:val="en-GB"/>
        </w:rPr>
        <w:t>STELARA</w:t>
      </w:r>
      <w:r>
        <w:rPr>
          <w:u w:val="single"/>
        </w:rPr>
        <w:t xml:space="preserve"> 45</w:t>
      </w:r>
      <w:r>
        <w:rPr>
          <w:u w:val="single"/>
          <w:lang w:val="en-GB"/>
        </w:rPr>
        <w:t> mg</w:t>
      </w:r>
      <w:r>
        <w:rPr>
          <w:u w:val="single"/>
        </w:rPr>
        <w:t xml:space="preserve"> инжекционен разтвор в предварително напълнена писалка</w:t>
      </w:r>
    </w:p>
    <w:p w14:paraId="109AD96A" w14:textId="77777777" w:rsidR="009B3384" w:rsidRDefault="00800862">
      <w:r>
        <w:rPr>
          <w:lang w:val="en-GB"/>
        </w:rPr>
        <w:t>EU</w:t>
      </w:r>
      <w:r>
        <w:t>/1/08/494/006</w:t>
      </w:r>
    </w:p>
    <w:p w14:paraId="109AD96B" w14:textId="77777777" w:rsidR="009B3384" w:rsidRDefault="009B3384"/>
    <w:p w14:paraId="109AD96C" w14:textId="77777777" w:rsidR="009B3384" w:rsidRDefault="00800862">
      <w:pPr>
        <w:keepNext/>
      </w:pPr>
      <w:r>
        <w:rPr>
          <w:u w:val="single"/>
          <w:lang w:val="en-GB"/>
        </w:rPr>
        <w:t>STELARA</w:t>
      </w:r>
      <w:r>
        <w:rPr>
          <w:u w:val="single"/>
        </w:rPr>
        <w:t xml:space="preserve"> 90</w:t>
      </w:r>
      <w:r>
        <w:rPr>
          <w:u w:val="single"/>
          <w:lang w:val="en-GB"/>
        </w:rPr>
        <w:t> mg</w:t>
      </w:r>
      <w:r>
        <w:rPr>
          <w:u w:val="single"/>
        </w:rPr>
        <w:t xml:space="preserve"> инжекционен разтвор в предварително напълнена писалка</w:t>
      </w:r>
    </w:p>
    <w:p w14:paraId="109AD96D" w14:textId="77777777" w:rsidR="009B3384" w:rsidRDefault="00800862">
      <w:r>
        <w:rPr>
          <w:lang w:val="en-GB"/>
        </w:rPr>
        <w:t>EU</w:t>
      </w:r>
      <w:r>
        <w:t>/1/08/494/007</w:t>
      </w:r>
    </w:p>
    <w:p w14:paraId="109AD96E" w14:textId="77777777" w:rsidR="009B3384" w:rsidRDefault="009B3384"/>
    <w:p w14:paraId="109AD96F" w14:textId="77777777" w:rsidR="009B3384" w:rsidRDefault="009B3384"/>
    <w:p w14:paraId="109AD970" w14:textId="77777777" w:rsidR="009B3384" w:rsidRDefault="00800862">
      <w:pPr>
        <w:keepNext/>
        <w:ind w:left="567" w:hanging="567"/>
        <w:outlineLvl w:val="1"/>
        <w:rPr>
          <w:b/>
        </w:rPr>
      </w:pPr>
      <w:r>
        <w:rPr>
          <w:b/>
        </w:rPr>
        <w:t>9.</w:t>
      </w:r>
      <w:r>
        <w:rPr>
          <w:b/>
        </w:rPr>
        <w:tab/>
        <w:t>ДАТА НА ПЪРВО РАЗРЕШАВАНЕ/ПОДНОВЯВАНЕ НА РАЗРЕШЕНИЕТО ЗА УПОТРЕБА</w:t>
      </w:r>
    </w:p>
    <w:p w14:paraId="109AD971" w14:textId="77777777" w:rsidR="009B3384" w:rsidRDefault="009B3384">
      <w:pPr>
        <w:keepNext/>
      </w:pPr>
    </w:p>
    <w:p w14:paraId="109AD972" w14:textId="77777777" w:rsidR="009B3384" w:rsidRDefault="00800862">
      <w:r>
        <w:t>Дата на първо разрешаване: 16 януари 2009 г.</w:t>
      </w:r>
    </w:p>
    <w:p w14:paraId="109AD973" w14:textId="77777777" w:rsidR="009B3384" w:rsidRDefault="00800862">
      <w:pPr>
        <w:rPr>
          <w:iCs/>
        </w:rPr>
      </w:pPr>
      <w:r>
        <w:rPr>
          <w:iCs/>
        </w:rPr>
        <w:t>Дата на последно подновяване: 19 септември 2013 г.</w:t>
      </w:r>
    </w:p>
    <w:p w14:paraId="109AD974" w14:textId="77777777" w:rsidR="009B3384" w:rsidRDefault="009B3384"/>
    <w:p w14:paraId="109AD975" w14:textId="77777777" w:rsidR="009B3384" w:rsidRDefault="009B3384"/>
    <w:p w14:paraId="109AD976" w14:textId="77777777" w:rsidR="009B3384" w:rsidRDefault="00800862">
      <w:pPr>
        <w:keepNext/>
        <w:ind w:left="567" w:hanging="567"/>
        <w:outlineLvl w:val="1"/>
        <w:rPr>
          <w:b/>
        </w:rPr>
      </w:pPr>
      <w:r>
        <w:rPr>
          <w:b/>
        </w:rPr>
        <w:t>10.</w:t>
      </w:r>
      <w:r>
        <w:rPr>
          <w:b/>
        </w:rPr>
        <w:tab/>
        <w:t>ДАТА НА АКТУАЛИЗИРАНЕ НА ТЕКСТА</w:t>
      </w:r>
    </w:p>
    <w:p w14:paraId="109AD977" w14:textId="77777777" w:rsidR="009B3384" w:rsidRDefault="009B3384">
      <w:pPr>
        <w:keepNext/>
      </w:pPr>
    </w:p>
    <w:p w14:paraId="109AD978" w14:textId="77777777" w:rsidR="009B3384" w:rsidRDefault="009B3384">
      <w:pPr>
        <w:keepNext/>
      </w:pPr>
    </w:p>
    <w:p w14:paraId="109AD979" w14:textId="77777777" w:rsidR="009B3384" w:rsidRDefault="009B3384">
      <w:pPr>
        <w:keepNext/>
      </w:pPr>
    </w:p>
    <w:p w14:paraId="109AD97A" w14:textId="77777777" w:rsidR="009B3384" w:rsidRDefault="009B3384">
      <w:pPr>
        <w:keepNext/>
      </w:pPr>
    </w:p>
    <w:p w14:paraId="109AD97B" w14:textId="77777777" w:rsidR="009B3384" w:rsidRDefault="00800862">
      <w:pPr>
        <w:keepNext/>
      </w:pPr>
      <w: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p>
    <w:p w14:paraId="109AD97C" w14:textId="77777777" w:rsidR="009B3384" w:rsidRDefault="00800862">
      <w:pPr>
        <w:jc w:val="center"/>
      </w:pPr>
      <w:r>
        <w:br w:type="page"/>
      </w:r>
    </w:p>
    <w:bookmarkEnd w:id="883"/>
    <w:p w14:paraId="109AD97D" w14:textId="77777777" w:rsidR="009B3384" w:rsidRDefault="009B3384"/>
    <w:p w14:paraId="109AD97E" w14:textId="77777777" w:rsidR="009B3384" w:rsidRDefault="009B3384"/>
    <w:p w14:paraId="109AD97F" w14:textId="77777777" w:rsidR="009B3384" w:rsidRDefault="009B3384"/>
    <w:p w14:paraId="109AD980" w14:textId="77777777" w:rsidR="009B3384" w:rsidRDefault="009B3384"/>
    <w:p w14:paraId="109AD981" w14:textId="77777777" w:rsidR="009B3384" w:rsidRDefault="009B3384"/>
    <w:p w14:paraId="109AD982" w14:textId="77777777" w:rsidR="009B3384" w:rsidRDefault="009B3384"/>
    <w:p w14:paraId="109AD983" w14:textId="77777777" w:rsidR="009B3384" w:rsidRDefault="009B3384"/>
    <w:p w14:paraId="109AD984" w14:textId="77777777" w:rsidR="009B3384" w:rsidRDefault="009B3384"/>
    <w:p w14:paraId="109AD985" w14:textId="77777777" w:rsidR="009B3384" w:rsidRDefault="009B3384"/>
    <w:p w14:paraId="109AD986" w14:textId="77777777" w:rsidR="009B3384" w:rsidRDefault="009B3384"/>
    <w:p w14:paraId="109AD987" w14:textId="77777777" w:rsidR="009B3384" w:rsidRDefault="009B3384"/>
    <w:p w14:paraId="109AD988" w14:textId="77777777" w:rsidR="009B3384" w:rsidRDefault="009B3384"/>
    <w:p w14:paraId="109AD989" w14:textId="77777777" w:rsidR="009B3384" w:rsidRDefault="009B3384"/>
    <w:p w14:paraId="109AD98A" w14:textId="77777777" w:rsidR="009B3384" w:rsidRDefault="009B3384"/>
    <w:p w14:paraId="109AD98B" w14:textId="77777777" w:rsidR="009B3384" w:rsidRDefault="009B3384"/>
    <w:p w14:paraId="109AD98C" w14:textId="77777777" w:rsidR="009B3384" w:rsidRDefault="009B3384"/>
    <w:p w14:paraId="109AD98D" w14:textId="77777777" w:rsidR="009B3384" w:rsidRDefault="009B3384"/>
    <w:p w14:paraId="109AD98E" w14:textId="77777777" w:rsidR="009B3384" w:rsidRDefault="009B3384"/>
    <w:p w14:paraId="109AD98F" w14:textId="77777777" w:rsidR="009B3384" w:rsidRDefault="009B3384"/>
    <w:p w14:paraId="109AD990" w14:textId="77777777" w:rsidR="009B3384" w:rsidRDefault="009B3384"/>
    <w:p w14:paraId="109AD991" w14:textId="77777777" w:rsidR="009B3384" w:rsidRDefault="009B3384"/>
    <w:p w14:paraId="109AD992" w14:textId="77777777" w:rsidR="009B3384" w:rsidRDefault="009B3384"/>
    <w:p w14:paraId="109AD993" w14:textId="77777777" w:rsidR="009B3384" w:rsidRDefault="009B3384"/>
    <w:p w14:paraId="109AD994" w14:textId="77777777" w:rsidR="009B3384" w:rsidRDefault="00800862">
      <w:pPr>
        <w:jc w:val="center"/>
        <w:outlineLvl w:val="0"/>
      </w:pPr>
      <w:r>
        <w:rPr>
          <w:b/>
        </w:rPr>
        <w:t>ПРИЛОЖЕНИЕ II</w:t>
      </w:r>
    </w:p>
    <w:p w14:paraId="109AD995" w14:textId="77777777" w:rsidR="009B3384" w:rsidRDefault="009B3384"/>
    <w:p w14:paraId="109AD996" w14:textId="77777777" w:rsidR="009B3384" w:rsidRDefault="00800862">
      <w:pPr>
        <w:ind w:left="1418" w:right="851" w:hanging="567"/>
        <w:rPr>
          <w:b/>
          <w:bCs/>
        </w:rPr>
      </w:pPr>
      <w:r>
        <w:rPr>
          <w:b/>
          <w:bCs/>
        </w:rPr>
        <w:t>A.</w:t>
      </w:r>
      <w:r>
        <w:rPr>
          <w:b/>
          <w:bCs/>
        </w:rPr>
        <w:tab/>
        <w:t>ПРОИЗВОДИТЕЛИ НА БИОЛОГИЧНО АКТИВНОТО ВЕЩЕСТВО И ПРОИЗВОДИТЕЛ, ОТГОВОРЕН ЗА ОСВОБОЖДАВАНЕ НА ПАРТИДИ</w:t>
      </w:r>
    </w:p>
    <w:p w14:paraId="109AD997" w14:textId="77777777" w:rsidR="009B3384" w:rsidRDefault="009B3384"/>
    <w:p w14:paraId="109AD998" w14:textId="77777777" w:rsidR="009B3384" w:rsidRDefault="00800862">
      <w:pPr>
        <w:ind w:left="1418" w:right="851" w:hanging="567"/>
        <w:rPr>
          <w:b/>
          <w:bCs/>
        </w:rPr>
      </w:pPr>
      <w:r>
        <w:rPr>
          <w:b/>
          <w:bCs/>
        </w:rPr>
        <w:t>Б.</w:t>
      </w:r>
      <w:r>
        <w:rPr>
          <w:b/>
          <w:bCs/>
        </w:rPr>
        <w:tab/>
        <w:t>УСЛОВИЯ ИЛИ ОГРАНИЧЕНИЯ ЗА ДОСТАВКА И УПОТРЕБА</w:t>
      </w:r>
    </w:p>
    <w:p w14:paraId="109AD999" w14:textId="77777777" w:rsidR="009B3384" w:rsidRDefault="009B3384"/>
    <w:p w14:paraId="109AD99A" w14:textId="77777777" w:rsidR="009B3384" w:rsidRDefault="00800862">
      <w:pPr>
        <w:ind w:left="1418" w:right="851" w:hanging="567"/>
        <w:rPr>
          <w:b/>
          <w:bCs/>
        </w:rPr>
      </w:pPr>
      <w:r>
        <w:rPr>
          <w:b/>
          <w:bCs/>
        </w:rPr>
        <w:t>В.</w:t>
      </w:r>
      <w:r>
        <w:rPr>
          <w:b/>
          <w:bCs/>
        </w:rPr>
        <w:tab/>
        <w:t>ДРУГИ УСЛОВИЯ И ИЗИСКВАНИЯ НА РАЗРЕШЕНИЕТО ЗА УПОТРЕБА</w:t>
      </w:r>
    </w:p>
    <w:p w14:paraId="109AD99B" w14:textId="77777777" w:rsidR="009B3384" w:rsidRDefault="009B3384"/>
    <w:p w14:paraId="109AD99C" w14:textId="77777777" w:rsidR="009B3384" w:rsidRDefault="00800862">
      <w:pPr>
        <w:ind w:left="1418" w:right="851" w:hanging="567"/>
        <w:rPr>
          <w:b/>
          <w:bCs/>
        </w:rPr>
      </w:pPr>
      <w:r>
        <w:rPr>
          <w:b/>
          <w:bCs/>
        </w:rPr>
        <w:t>Г.</w:t>
      </w:r>
      <w:r>
        <w:rPr>
          <w:b/>
          <w:bCs/>
        </w:rPr>
        <w:tab/>
        <w:t>УСЛОВИЯ ИЛИ ОГРАНИЧЕНИЯ ЗА БЕЗОПАСНА И ЕФЕКТИВНА УПОТРЕБА НА ЛЕКАРСТВЕНИЯ ПРОДУКТ</w:t>
      </w:r>
    </w:p>
    <w:p w14:paraId="109AD99D" w14:textId="77777777" w:rsidR="009B3384" w:rsidRDefault="00800862">
      <w:r>
        <w:br w:type="page"/>
      </w:r>
    </w:p>
    <w:p w14:paraId="109AD99E" w14:textId="77777777" w:rsidR="009B3384" w:rsidRDefault="00800862">
      <w:pPr>
        <w:pStyle w:val="EUCP-Heading-2"/>
        <w:outlineLvl w:val="1"/>
      </w:pPr>
      <w:r>
        <w:lastRenderedPageBreak/>
        <w:t>A.</w:t>
      </w:r>
      <w:r>
        <w:tab/>
        <w:t>ПРОИЗВОДИТЕЛИ НА БИОЛОГИЧНО АКТИВНОТО ВЕЩЕСТВО И ПРОИЗВОДИТЕЛ, ОТГОВОРЕН ЗА ОСВОБОЖДАВАНЕ НА ПАРТИДИ</w:t>
      </w:r>
    </w:p>
    <w:p w14:paraId="109AD99F" w14:textId="77777777" w:rsidR="009B3384" w:rsidRDefault="009B3384">
      <w:pPr>
        <w:keepNext/>
      </w:pPr>
    </w:p>
    <w:p w14:paraId="109AD9A0" w14:textId="77777777" w:rsidR="009B3384" w:rsidRDefault="00800862">
      <w:pPr>
        <w:keepNext/>
        <w:rPr>
          <w:u w:val="single"/>
        </w:rPr>
      </w:pPr>
      <w:r>
        <w:rPr>
          <w:u w:val="single"/>
        </w:rPr>
        <w:t>Име и адрес на производителите на биологично активното вещество</w:t>
      </w:r>
    </w:p>
    <w:p w14:paraId="109AD9A1" w14:textId="77777777" w:rsidR="009B3384" w:rsidRDefault="009B3384">
      <w:pPr>
        <w:keepNext/>
      </w:pPr>
    </w:p>
    <w:p w14:paraId="109AD9A2" w14:textId="77777777" w:rsidR="009B3384" w:rsidRDefault="00800862">
      <w:pPr>
        <w:rPr>
          <w:szCs w:val="22"/>
          <w:lang w:val="de-DE"/>
        </w:rPr>
      </w:pPr>
      <w:r>
        <w:rPr>
          <w:szCs w:val="22"/>
          <w:lang w:val="de-DE"/>
        </w:rPr>
        <w:t>Janssen Biologics B.V.</w:t>
      </w:r>
    </w:p>
    <w:p w14:paraId="109AD9A3" w14:textId="77777777" w:rsidR="009B3384" w:rsidRDefault="00800862">
      <w:pPr>
        <w:rPr>
          <w:szCs w:val="22"/>
          <w:lang w:val="de-DE"/>
        </w:rPr>
      </w:pPr>
      <w:r>
        <w:rPr>
          <w:szCs w:val="22"/>
          <w:lang w:val="de-DE"/>
        </w:rPr>
        <w:t>Einsteinweg 101</w:t>
      </w:r>
    </w:p>
    <w:p w14:paraId="109AD9A4" w14:textId="77777777" w:rsidR="009B3384" w:rsidRDefault="00800862">
      <w:pPr>
        <w:rPr>
          <w:szCs w:val="22"/>
          <w:lang w:val="de-DE"/>
        </w:rPr>
      </w:pPr>
      <w:r>
        <w:rPr>
          <w:szCs w:val="22"/>
          <w:lang w:val="de-DE"/>
        </w:rPr>
        <w:t>NL</w:t>
      </w:r>
      <w:r>
        <w:rPr>
          <w:szCs w:val="22"/>
          <w:lang w:val="de-DE"/>
        </w:rPr>
        <w:noBreakHyphen/>
        <w:t>2333 CB Leiden</w:t>
      </w:r>
    </w:p>
    <w:p w14:paraId="109AD9A5" w14:textId="77777777" w:rsidR="009B3384" w:rsidRDefault="00800862">
      <w:pPr>
        <w:rPr>
          <w:szCs w:val="22"/>
        </w:rPr>
      </w:pPr>
      <w:r>
        <w:rPr>
          <w:szCs w:val="22"/>
        </w:rPr>
        <w:t>Нидерландия</w:t>
      </w:r>
    </w:p>
    <w:p w14:paraId="109AD9A6" w14:textId="77777777" w:rsidR="009B3384" w:rsidRDefault="009B3384"/>
    <w:p w14:paraId="109AD9A7" w14:textId="77777777" w:rsidR="009B3384" w:rsidRDefault="00800862">
      <w:pPr>
        <w:rPr>
          <w:szCs w:val="22"/>
          <w:lang w:val="de-DE"/>
        </w:rPr>
      </w:pPr>
      <w:r>
        <w:rPr>
          <w:szCs w:val="22"/>
          <w:lang w:val="de-DE"/>
        </w:rPr>
        <w:t>Janssen Sciences Ireland UC</w:t>
      </w:r>
    </w:p>
    <w:p w14:paraId="109AD9A8" w14:textId="77777777" w:rsidR="009B3384" w:rsidRDefault="00800862">
      <w:pPr>
        <w:rPr>
          <w:szCs w:val="22"/>
          <w:lang w:val="de-DE"/>
        </w:rPr>
      </w:pPr>
      <w:r>
        <w:rPr>
          <w:szCs w:val="22"/>
          <w:lang w:val="de-DE"/>
        </w:rPr>
        <w:t>Barnahely</w:t>
      </w:r>
    </w:p>
    <w:p w14:paraId="109AD9A9" w14:textId="77777777" w:rsidR="009B3384" w:rsidRDefault="00800862">
      <w:pPr>
        <w:rPr>
          <w:szCs w:val="22"/>
          <w:lang w:val="de-DE"/>
        </w:rPr>
      </w:pPr>
      <w:r>
        <w:rPr>
          <w:szCs w:val="22"/>
          <w:lang w:val="de-DE"/>
        </w:rPr>
        <w:t>Ringaskiddy</w:t>
      </w:r>
    </w:p>
    <w:p w14:paraId="109AD9AA" w14:textId="77777777" w:rsidR="009B3384" w:rsidRDefault="00800862">
      <w:pPr>
        <w:rPr>
          <w:szCs w:val="22"/>
          <w:lang w:val="de-DE"/>
        </w:rPr>
      </w:pPr>
      <w:r>
        <w:rPr>
          <w:szCs w:val="22"/>
          <w:lang w:val="de-DE"/>
        </w:rPr>
        <w:t>Co. Cork</w:t>
      </w:r>
    </w:p>
    <w:p w14:paraId="109AD9AB" w14:textId="77777777" w:rsidR="009B3384" w:rsidRDefault="00800862">
      <w:pPr>
        <w:rPr>
          <w:szCs w:val="22"/>
        </w:rPr>
      </w:pPr>
      <w:r>
        <w:rPr>
          <w:szCs w:val="22"/>
        </w:rPr>
        <w:t>Ирландия</w:t>
      </w:r>
    </w:p>
    <w:p w14:paraId="109AD9AC" w14:textId="77777777" w:rsidR="009B3384" w:rsidRDefault="009B3384"/>
    <w:p w14:paraId="109AD9AD" w14:textId="77777777" w:rsidR="009B3384" w:rsidRDefault="00800862">
      <w:pPr>
        <w:keepNext/>
        <w:rPr>
          <w:u w:val="single"/>
        </w:rPr>
      </w:pPr>
      <w:r>
        <w:rPr>
          <w:u w:val="single"/>
        </w:rPr>
        <w:t>Име и адрес на производителя, отговорен за освобождаване на партидите</w:t>
      </w:r>
    </w:p>
    <w:p w14:paraId="109AD9AE" w14:textId="77777777" w:rsidR="009B3384" w:rsidRDefault="009B3384">
      <w:pPr>
        <w:keepNext/>
      </w:pPr>
    </w:p>
    <w:p w14:paraId="109AD9AF" w14:textId="77777777" w:rsidR="009B3384" w:rsidRDefault="00800862">
      <w:pPr>
        <w:rPr>
          <w:iCs/>
          <w:lang w:val="de-DE"/>
        </w:rPr>
      </w:pPr>
      <w:r>
        <w:rPr>
          <w:iCs/>
          <w:lang w:val="de-DE"/>
        </w:rPr>
        <w:t>Janssen Biologics B.V.</w:t>
      </w:r>
    </w:p>
    <w:p w14:paraId="109AD9B0" w14:textId="77777777" w:rsidR="009B3384" w:rsidRDefault="00800862">
      <w:pPr>
        <w:rPr>
          <w:iCs/>
          <w:lang w:val="de-DE"/>
        </w:rPr>
      </w:pPr>
      <w:r>
        <w:rPr>
          <w:iCs/>
          <w:lang w:val="de-DE"/>
        </w:rPr>
        <w:t>Einsteinweg 101</w:t>
      </w:r>
    </w:p>
    <w:p w14:paraId="109AD9B1" w14:textId="77777777" w:rsidR="009B3384" w:rsidRDefault="00800862">
      <w:pPr>
        <w:rPr>
          <w:iCs/>
          <w:lang w:val="de-DE"/>
        </w:rPr>
      </w:pPr>
      <w:r>
        <w:rPr>
          <w:iCs/>
          <w:lang w:val="de-DE"/>
        </w:rPr>
        <w:t>NL-2333 CB Leiden</w:t>
      </w:r>
    </w:p>
    <w:p w14:paraId="109AD9B2" w14:textId="77777777" w:rsidR="009B3384" w:rsidRDefault="00800862">
      <w:pPr>
        <w:rPr>
          <w:iCs/>
        </w:rPr>
      </w:pPr>
      <w:r>
        <w:rPr>
          <w:iCs/>
        </w:rPr>
        <w:t>Нидерландия</w:t>
      </w:r>
    </w:p>
    <w:p w14:paraId="109AD9B3" w14:textId="77777777" w:rsidR="009B3384" w:rsidRDefault="009B3384"/>
    <w:p w14:paraId="109AD9B4" w14:textId="77777777" w:rsidR="009B3384" w:rsidRDefault="009B3384"/>
    <w:p w14:paraId="109AD9B5" w14:textId="77777777" w:rsidR="009B3384" w:rsidRDefault="00800862">
      <w:pPr>
        <w:pStyle w:val="EUCP-Heading-2"/>
        <w:outlineLvl w:val="1"/>
      </w:pPr>
      <w:r>
        <w:t>Б.</w:t>
      </w:r>
      <w:r>
        <w:tab/>
        <w:t>УСЛОВИЯ ИЛИ ОГРАНИЧЕНИЯ ЗА ДОСТАВКА И УПОТРЕБА</w:t>
      </w:r>
    </w:p>
    <w:p w14:paraId="109AD9B6" w14:textId="77777777" w:rsidR="009B3384" w:rsidRDefault="009B3384">
      <w:pPr>
        <w:keepNext/>
      </w:pPr>
    </w:p>
    <w:p w14:paraId="109AD9B7" w14:textId="77777777" w:rsidR="009B3384" w:rsidRDefault="00800862">
      <w:r>
        <w:t>Лекарственият продукт се отпуска по ограничено лекарско предписание (вж. Приложение I: Кратка характеристика на продукта, точка 4.2).</w:t>
      </w:r>
    </w:p>
    <w:p w14:paraId="109AD9B8" w14:textId="77777777" w:rsidR="009B3384" w:rsidRDefault="009B3384"/>
    <w:p w14:paraId="109AD9B9" w14:textId="77777777" w:rsidR="009B3384" w:rsidRDefault="009B3384">
      <w:pPr>
        <w:rPr>
          <w:bCs/>
        </w:rPr>
      </w:pPr>
    </w:p>
    <w:p w14:paraId="109AD9BA" w14:textId="77777777" w:rsidR="009B3384" w:rsidRDefault="00800862">
      <w:pPr>
        <w:pStyle w:val="EUCP-Heading-2"/>
        <w:outlineLvl w:val="1"/>
      </w:pPr>
      <w:r>
        <w:t>В.</w:t>
      </w:r>
      <w:r>
        <w:tab/>
        <w:t>ДРУГИ УСЛОВИЯ И ИЗИСКВАНИЯ НА РАЗРЕШЕНИЕТО ЗА УПОТРЕБА</w:t>
      </w:r>
    </w:p>
    <w:p w14:paraId="109AD9BB" w14:textId="77777777" w:rsidR="009B3384" w:rsidRDefault="009B3384">
      <w:pPr>
        <w:keepNext/>
      </w:pPr>
    </w:p>
    <w:p w14:paraId="109AD9BC" w14:textId="77777777" w:rsidR="009B3384" w:rsidRDefault="00800862">
      <w:pPr>
        <w:keepNext/>
        <w:numPr>
          <w:ilvl w:val="0"/>
          <w:numId w:val="30"/>
        </w:numPr>
        <w:rPr>
          <w:b/>
          <w:bCs/>
        </w:rPr>
      </w:pPr>
      <w:r>
        <w:rPr>
          <w:b/>
          <w:bCs/>
        </w:rPr>
        <w:t>Периодични актуализирани доклади за безопасност (ПАДБ)</w:t>
      </w:r>
    </w:p>
    <w:p w14:paraId="109AD9BD" w14:textId="77777777" w:rsidR="009B3384" w:rsidRDefault="009B3384">
      <w:pPr>
        <w:keepNext/>
        <w:rPr>
          <w:iCs/>
        </w:rPr>
      </w:pPr>
    </w:p>
    <w:p w14:paraId="109AD9BE" w14:textId="77777777" w:rsidR="009B3384" w:rsidRDefault="00800862">
      <w:pPr>
        <w:rPr>
          <w:iCs/>
        </w:rPr>
      </w:pPr>
      <w:r>
        <w:rPr>
          <w:iCs/>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109AD9BF" w14:textId="77777777" w:rsidR="009B3384" w:rsidRDefault="009B3384">
      <w:pPr>
        <w:rPr>
          <w:iCs/>
        </w:rPr>
      </w:pPr>
    </w:p>
    <w:p w14:paraId="109AD9C0" w14:textId="77777777" w:rsidR="009B3384" w:rsidRDefault="009B3384"/>
    <w:p w14:paraId="109AD9C1" w14:textId="77777777" w:rsidR="009B3384" w:rsidRDefault="00800862">
      <w:pPr>
        <w:pStyle w:val="EUCP-Heading-2"/>
        <w:outlineLvl w:val="1"/>
      </w:pPr>
      <w:r>
        <w:t>Г.</w:t>
      </w:r>
      <w:r>
        <w:tab/>
        <w:t>УСЛОВИЯ И ОГРАНИЧЕНИЯ ЗА БЕЗОПАСНА И ЕФЕКТИВНА УПОТРЕБА НА ЛЕКАРСТВЕНИЯ ПРОДУКТ</w:t>
      </w:r>
    </w:p>
    <w:p w14:paraId="109AD9C2" w14:textId="77777777" w:rsidR="009B3384" w:rsidRDefault="009B3384">
      <w:pPr>
        <w:keepNext/>
      </w:pPr>
    </w:p>
    <w:p w14:paraId="109AD9C3" w14:textId="77777777" w:rsidR="009B3384" w:rsidRDefault="00800862">
      <w:pPr>
        <w:keepNext/>
        <w:numPr>
          <w:ilvl w:val="0"/>
          <w:numId w:val="30"/>
        </w:numPr>
        <w:rPr>
          <w:b/>
          <w:bCs/>
        </w:rPr>
      </w:pPr>
      <w:r>
        <w:rPr>
          <w:b/>
          <w:bCs/>
        </w:rPr>
        <w:t>План за управление на риска (ПУР)</w:t>
      </w:r>
    </w:p>
    <w:p w14:paraId="109AD9C4" w14:textId="77777777" w:rsidR="009B3384" w:rsidRDefault="009B3384">
      <w:pPr>
        <w:keepNext/>
      </w:pPr>
    </w:p>
    <w:p w14:paraId="109AD9C5" w14:textId="77777777" w:rsidR="009B3384" w:rsidRDefault="00800862">
      <w:r>
        <w:t>Притежателят на разрешението за употреба (ПРУ) трябва да извършва изискваните дейности</w:t>
      </w:r>
      <w:r>
        <w:rPr>
          <w:szCs w:val="24"/>
        </w:rPr>
        <w:t xml:space="preserve"> </w:t>
      </w:r>
      <w:r>
        <w:t>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109AD9C6" w14:textId="77777777" w:rsidR="009B3384" w:rsidRDefault="009B3384"/>
    <w:p w14:paraId="109AD9C7" w14:textId="77777777" w:rsidR="009B3384" w:rsidRDefault="00800862">
      <w:r>
        <w:t>Актуализиран ПУР трябва да се подава:</w:t>
      </w:r>
    </w:p>
    <w:p w14:paraId="109AD9C8" w14:textId="77777777" w:rsidR="009B3384" w:rsidRDefault="00800862">
      <w:pPr>
        <w:numPr>
          <w:ilvl w:val="0"/>
          <w:numId w:val="30"/>
        </w:numPr>
      </w:pPr>
      <w:r>
        <w:t>по искане на Европейската агенция по лекарствата;</w:t>
      </w:r>
    </w:p>
    <w:p w14:paraId="109AD9C9" w14:textId="77777777" w:rsidR="009B3384" w:rsidRDefault="00800862">
      <w:pPr>
        <w:numPr>
          <w:ilvl w:val="0"/>
          <w:numId w:val="30"/>
        </w:numPr>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109AD9CA" w14:textId="77777777" w:rsidR="009B3384" w:rsidRDefault="00800862">
      <w:r>
        <w:br w:type="page"/>
      </w:r>
    </w:p>
    <w:p w14:paraId="109AD9CB" w14:textId="77777777" w:rsidR="009B3384" w:rsidRDefault="009B3384"/>
    <w:p w14:paraId="109AD9CC" w14:textId="77777777" w:rsidR="009B3384" w:rsidRDefault="009B3384"/>
    <w:p w14:paraId="109AD9CD" w14:textId="77777777" w:rsidR="009B3384" w:rsidRDefault="009B3384"/>
    <w:p w14:paraId="109AD9CE" w14:textId="77777777" w:rsidR="009B3384" w:rsidRDefault="009B3384"/>
    <w:p w14:paraId="109AD9CF" w14:textId="77777777" w:rsidR="009B3384" w:rsidRDefault="009B3384"/>
    <w:p w14:paraId="109AD9D0" w14:textId="77777777" w:rsidR="009B3384" w:rsidRDefault="009B3384"/>
    <w:p w14:paraId="109AD9D1" w14:textId="77777777" w:rsidR="009B3384" w:rsidRDefault="009B3384"/>
    <w:p w14:paraId="109AD9D2" w14:textId="77777777" w:rsidR="009B3384" w:rsidRDefault="009B3384"/>
    <w:p w14:paraId="109AD9D3" w14:textId="77777777" w:rsidR="009B3384" w:rsidRDefault="009B3384"/>
    <w:p w14:paraId="109AD9D4" w14:textId="77777777" w:rsidR="009B3384" w:rsidRDefault="009B3384"/>
    <w:p w14:paraId="109AD9D5" w14:textId="77777777" w:rsidR="009B3384" w:rsidRDefault="009B3384"/>
    <w:p w14:paraId="109AD9D6" w14:textId="77777777" w:rsidR="009B3384" w:rsidRDefault="009B3384"/>
    <w:p w14:paraId="109AD9D7" w14:textId="77777777" w:rsidR="009B3384" w:rsidRDefault="009B3384"/>
    <w:p w14:paraId="109AD9D8" w14:textId="77777777" w:rsidR="009B3384" w:rsidRDefault="009B3384"/>
    <w:p w14:paraId="109AD9D9" w14:textId="77777777" w:rsidR="009B3384" w:rsidRDefault="009B3384"/>
    <w:p w14:paraId="109AD9DA" w14:textId="77777777" w:rsidR="009B3384" w:rsidRDefault="009B3384"/>
    <w:p w14:paraId="109AD9DB" w14:textId="77777777" w:rsidR="009B3384" w:rsidRDefault="009B3384"/>
    <w:p w14:paraId="109AD9DC" w14:textId="77777777" w:rsidR="009B3384" w:rsidRDefault="009B3384"/>
    <w:p w14:paraId="109AD9DD" w14:textId="77777777" w:rsidR="009B3384" w:rsidRDefault="009B3384"/>
    <w:p w14:paraId="109AD9DE" w14:textId="77777777" w:rsidR="009B3384" w:rsidRDefault="009B3384"/>
    <w:p w14:paraId="109AD9DF" w14:textId="77777777" w:rsidR="009B3384" w:rsidRDefault="009B3384"/>
    <w:p w14:paraId="109AD9E0" w14:textId="77777777" w:rsidR="009B3384" w:rsidRDefault="009B3384"/>
    <w:p w14:paraId="109AD9E1" w14:textId="77777777" w:rsidR="009B3384" w:rsidRDefault="009B3384"/>
    <w:p w14:paraId="109AD9E2" w14:textId="77777777" w:rsidR="009B3384" w:rsidRDefault="00800862">
      <w:pPr>
        <w:jc w:val="center"/>
        <w:outlineLvl w:val="0"/>
        <w:rPr>
          <w:b/>
          <w:bCs/>
        </w:rPr>
      </w:pPr>
      <w:r>
        <w:rPr>
          <w:b/>
          <w:bCs/>
        </w:rPr>
        <w:t>ПРИЛОЖЕНИЕ III</w:t>
      </w:r>
    </w:p>
    <w:p w14:paraId="109AD9E3" w14:textId="77777777" w:rsidR="009B3384" w:rsidRDefault="009B3384">
      <w:pPr>
        <w:jc w:val="center"/>
        <w:rPr>
          <w:b/>
          <w:bCs/>
        </w:rPr>
      </w:pPr>
    </w:p>
    <w:p w14:paraId="109AD9E4" w14:textId="77777777" w:rsidR="009B3384" w:rsidRDefault="00800862">
      <w:pPr>
        <w:jc w:val="center"/>
        <w:rPr>
          <w:b/>
          <w:bCs/>
        </w:rPr>
      </w:pPr>
      <w:r>
        <w:rPr>
          <w:b/>
          <w:bCs/>
        </w:rPr>
        <w:t>ДАННИ ВЪРХУ ОПАКОВКАТА И ЛИСТОВКА</w:t>
      </w:r>
    </w:p>
    <w:p w14:paraId="109AD9E5" w14:textId="77777777" w:rsidR="009B3384" w:rsidRDefault="00800862">
      <w:r>
        <w:br w:type="page"/>
      </w:r>
    </w:p>
    <w:p w14:paraId="109AD9E6" w14:textId="77777777" w:rsidR="009B3384" w:rsidRDefault="009B3384"/>
    <w:p w14:paraId="109AD9E7" w14:textId="77777777" w:rsidR="009B3384" w:rsidRDefault="009B3384"/>
    <w:p w14:paraId="109AD9E8" w14:textId="77777777" w:rsidR="009B3384" w:rsidRDefault="009B3384"/>
    <w:p w14:paraId="109AD9E9" w14:textId="77777777" w:rsidR="009B3384" w:rsidRDefault="009B3384"/>
    <w:p w14:paraId="109AD9EA" w14:textId="77777777" w:rsidR="009B3384" w:rsidRDefault="009B3384"/>
    <w:p w14:paraId="109AD9EB" w14:textId="77777777" w:rsidR="009B3384" w:rsidRDefault="009B3384"/>
    <w:p w14:paraId="109AD9EC" w14:textId="77777777" w:rsidR="009B3384" w:rsidRDefault="009B3384"/>
    <w:p w14:paraId="109AD9ED" w14:textId="77777777" w:rsidR="009B3384" w:rsidRDefault="009B3384"/>
    <w:p w14:paraId="109AD9EE" w14:textId="77777777" w:rsidR="009B3384" w:rsidRDefault="009B3384"/>
    <w:p w14:paraId="109AD9EF" w14:textId="77777777" w:rsidR="009B3384" w:rsidRDefault="009B3384"/>
    <w:p w14:paraId="109AD9F0" w14:textId="77777777" w:rsidR="009B3384" w:rsidRDefault="009B3384"/>
    <w:p w14:paraId="109AD9F1" w14:textId="77777777" w:rsidR="009B3384" w:rsidRDefault="009B3384"/>
    <w:p w14:paraId="109AD9F2" w14:textId="77777777" w:rsidR="009B3384" w:rsidRDefault="009B3384"/>
    <w:p w14:paraId="109AD9F3" w14:textId="77777777" w:rsidR="009B3384" w:rsidRDefault="009B3384"/>
    <w:p w14:paraId="109AD9F4" w14:textId="77777777" w:rsidR="009B3384" w:rsidRDefault="009B3384"/>
    <w:p w14:paraId="109AD9F5" w14:textId="77777777" w:rsidR="009B3384" w:rsidRDefault="009B3384"/>
    <w:p w14:paraId="109AD9F6" w14:textId="77777777" w:rsidR="009B3384" w:rsidRDefault="009B3384"/>
    <w:p w14:paraId="109AD9F7" w14:textId="77777777" w:rsidR="009B3384" w:rsidRDefault="009B3384"/>
    <w:p w14:paraId="109AD9F8" w14:textId="77777777" w:rsidR="009B3384" w:rsidRDefault="009B3384"/>
    <w:p w14:paraId="109AD9F9" w14:textId="77777777" w:rsidR="009B3384" w:rsidRDefault="009B3384"/>
    <w:p w14:paraId="109AD9FA" w14:textId="77777777" w:rsidR="009B3384" w:rsidRDefault="009B3384"/>
    <w:p w14:paraId="109AD9FB" w14:textId="77777777" w:rsidR="009B3384" w:rsidRDefault="009B3384"/>
    <w:p w14:paraId="109AD9FC" w14:textId="77777777" w:rsidR="009B3384" w:rsidRDefault="009B3384"/>
    <w:p w14:paraId="109AD9FD" w14:textId="77777777" w:rsidR="009B3384" w:rsidRDefault="00800862">
      <w:pPr>
        <w:pStyle w:val="EUCP-Heading-1"/>
        <w:outlineLvl w:val="1"/>
      </w:pPr>
      <w:r>
        <w:t>A. ДАННИ ВЪРХУ ОПАКОВКАТА</w:t>
      </w:r>
    </w:p>
    <w:p w14:paraId="109AD9FE" w14:textId="77777777" w:rsidR="009B3384" w:rsidRDefault="00800862">
      <w:r>
        <w:br w:type="page"/>
      </w:r>
    </w:p>
    <w:p w14:paraId="109AD9FF"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lastRenderedPageBreak/>
        <w:t>ДАННИ, КОИТО ТРЯБВА ДА СЪДЪРЖА ВТОРИЧНАТА ОПАКОВКА</w:t>
      </w:r>
    </w:p>
    <w:p w14:paraId="109ADA00"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szCs w:val="22"/>
        </w:rPr>
      </w:pPr>
    </w:p>
    <w:p w14:paraId="109ADA01"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ВЪНШНА КАРТОНЕНА КУТИЯ (130 mg)</w:t>
      </w:r>
    </w:p>
    <w:p w14:paraId="109ADA02" w14:textId="77777777" w:rsidR="009B3384" w:rsidRDefault="009B3384">
      <w:pPr>
        <w:tabs>
          <w:tab w:val="clear" w:pos="567"/>
          <w:tab w:val="left" w:pos="720"/>
        </w:tabs>
        <w:rPr>
          <w:szCs w:val="22"/>
        </w:rPr>
      </w:pPr>
    </w:p>
    <w:p w14:paraId="109ADA03" w14:textId="77777777" w:rsidR="009B3384" w:rsidRDefault="009B3384">
      <w:pPr>
        <w:tabs>
          <w:tab w:val="clear" w:pos="567"/>
          <w:tab w:val="left" w:pos="720"/>
        </w:tabs>
        <w:rPr>
          <w:szCs w:val="22"/>
        </w:rPr>
      </w:pPr>
    </w:p>
    <w:p w14:paraId="109ADA0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1.</w:t>
      </w:r>
      <w:r>
        <w:rPr>
          <w:b/>
          <w:bCs/>
          <w:szCs w:val="22"/>
        </w:rPr>
        <w:tab/>
        <w:t>ИМЕ НА ЛЕКАРСТВЕНИЯ ПРОДУКТ</w:t>
      </w:r>
    </w:p>
    <w:p w14:paraId="109ADA05" w14:textId="77777777" w:rsidR="009B3384" w:rsidRDefault="009B3384">
      <w:pPr>
        <w:tabs>
          <w:tab w:val="clear" w:pos="567"/>
          <w:tab w:val="left" w:pos="720"/>
        </w:tabs>
        <w:rPr>
          <w:szCs w:val="22"/>
        </w:rPr>
      </w:pPr>
    </w:p>
    <w:p w14:paraId="109ADA06" w14:textId="77777777" w:rsidR="009B3384" w:rsidRDefault="00800862">
      <w:pPr>
        <w:tabs>
          <w:tab w:val="clear" w:pos="567"/>
          <w:tab w:val="left" w:pos="720"/>
        </w:tabs>
        <w:rPr>
          <w:szCs w:val="22"/>
        </w:rPr>
      </w:pPr>
      <w:r>
        <w:rPr>
          <w:szCs w:val="22"/>
          <w:lang w:val="en-GB"/>
        </w:rPr>
        <w:t>STELARA</w:t>
      </w:r>
      <w:r>
        <w:rPr>
          <w:szCs w:val="22"/>
        </w:rPr>
        <w:t xml:space="preserve"> 130</w:t>
      </w:r>
      <w:r>
        <w:rPr>
          <w:szCs w:val="22"/>
          <w:lang w:val="en-GB"/>
        </w:rPr>
        <w:t> mg</w:t>
      </w:r>
      <w:r>
        <w:rPr>
          <w:szCs w:val="22"/>
        </w:rPr>
        <w:t xml:space="preserve"> концентрат за инфузионен разтвор</w:t>
      </w:r>
    </w:p>
    <w:p w14:paraId="109ADA07" w14:textId="77777777" w:rsidR="009B3384" w:rsidRDefault="00800862">
      <w:pPr>
        <w:tabs>
          <w:tab w:val="clear" w:pos="567"/>
          <w:tab w:val="left" w:pos="720"/>
        </w:tabs>
        <w:rPr>
          <w:szCs w:val="22"/>
        </w:rPr>
      </w:pPr>
      <w:r>
        <w:rPr>
          <w:szCs w:val="22"/>
        </w:rPr>
        <w:t>устекинумаб</w:t>
      </w:r>
    </w:p>
    <w:p w14:paraId="109ADA08" w14:textId="77777777" w:rsidR="009B3384" w:rsidRDefault="009B3384">
      <w:pPr>
        <w:tabs>
          <w:tab w:val="clear" w:pos="567"/>
          <w:tab w:val="left" w:pos="720"/>
        </w:tabs>
        <w:rPr>
          <w:szCs w:val="22"/>
        </w:rPr>
      </w:pPr>
    </w:p>
    <w:p w14:paraId="109ADA09" w14:textId="77777777" w:rsidR="009B3384" w:rsidRDefault="009B3384">
      <w:pPr>
        <w:tabs>
          <w:tab w:val="clear" w:pos="567"/>
          <w:tab w:val="left" w:pos="720"/>
        </w:tabs>
        <w:rPr>
          <w:szCs w:val="22"/>
        </w:rPr>
      </w:pPr>
    </w:p>
    <w:p w14:paraId="109ADA0A" w14:textId="77777777" w:rsidR="009B3384" w:rsidRDefault="00800862">
      <w:pPr>
        <w:keepNext/>
        <w:pBdr>
          <w:top w:val="single" w:sz="4" w:space="1" w:color="000000"/>
          <w:left w:val="single" w:sz="4" w:space="4" w:color="000000"/>
          <w:bottom w:val="single" w:sz="4" w:space="1" w:color="000000"/>
          <w:right w:val="single" w:sz="4" w:space="4" w:color="000000"/>
        </w:pBdr>
        <w:tabs>
          <w:tab w:val="clear" w:pos="567"/>
          <w:tab w:val="left" w:pos="720"/>
        </w:tabs>
        <w:ind w:left="567" w:hanging="567"/>
        <w:rPr>
          <w:b/>
          <w:szCs w:val="22"/>
        </w:rPr>
      </w:pPr>
      <w:r>
        <w:rPr>
          <w:b/>
          <w:szCs w:val="22"/>
        </w:rPr>
        <w:t>2.</w:t>
      </w:r>
      <w:r>
        <w:rPr>
          <w:b/>
          <w:szCs w:val="22"/>
        </w:rPr>
        <w:tab/>
        <w:t>ОБЯВЯВАНЕ НА АКТИВНОТО(ИТЕ) ВЕЩЕСТВО(А)</w:t>
      </w:r>
    </w:p>
    <w:p w14:paraId="109ADA0B" w14:textId="77777777" w:rsidR="009B3384" w:rsidRDefault="009B3384">
      <w:pPr>
        <w:tabs>
          <w:tab w:val="clear" w:pos="567"/>
          <w:tab w:val="left" w:pos="720"/>
        </w:tabs>
        <w:rPr>
          <w:szCs w:val="22"/>
        </w:rPr>
      </w:pPr>
    </w:p>
    <w:p w14:paraId="109ADA0C" w14:textId="77777777" w:rsidR="009B3384" w:rsidRDefault="00800862">
      <w:pPr>
        <w:tabs>
          <w:tab w:val="clear" w:pos="567"/>
          <w:tab w:val="left" w:pos="720"/>
        </w:tabs>
        <w:rPr>
          <w:szCs w:val="22"/>
        </w:rPr>
      </w:pPr>
      <w:r>
        <w:rPr>
          <w:szCs w:val="22"/>
        </w:rPr>
        <w:t>Всеки флакон съдържа 130</w:t>
      </w:r>
      <w:r>
        <w:rPr>
          <w:szCs w:val="22"/>
          <w:lang w:val="en-GB"/>
        </w:rPr>
        <w:t> mg</w:t>
      </w:r>
      <w:r>
        <w:rPr>
          <w:szCs w:val="22"/>
        </w:rPr>
        <w:t xml:space="preserve"> устекинумаб в 26</w:t>
      </w:r>
      <w:r>
        <w:rPr>
          <w:szCs w:val="22"/>
          <w:lang w:val="en-GB"/>
        </w:rPr>
        <w:t> ml</w:t>
      </w:r>
      <w:r>
        <w:rPr>
          <w:szCs w:val="22"/>
        </w:rPr>
        <w:t>.</w:t>
      </w:r>
    </w:p>
    <w:p w14:paraId="109ADA0D" w14:textId="77777777" w:rsidR="009B3384" w:rsidRDefault="009B3384">
      <w:pPr>
        <w:tabs>
          <w:tab w:val="clear" w:pos="567"/>
          <w:tab w:val="left" w:pos="720"/>
        </w:tabs>
        <w:rPr>
          <w:szCs w:val="22"/>
        </w:rPr>
      </w:pPr>
    </w:p>
    <w:p w14:paraId="109ADA0E" w14:textId="77777777" w:rsidR="009B3384" w:rsidRDefault="009B3384">
      <w:pPr>
        <w:tabs>
          <w:tab w:val="clear" w:pos="567"/>
          <w:tab w:val="left" w:pos="720"/>
        </w:tabs>
        <w:rPr>
          <w:szCs w:val="22"/>
        </w:rPr>
      </w:pPr>
    </w:p>
    <w:p w14:paraId="109ADA0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3.</w:t>
      </w:r>
      <w:r>
        <w:rPr>
          <w:b/>
          <w:bCs/>
          <w:szCs w:val="22"/>
        </w:rPr>
        <w:tab/>
        <w:t>СПИСЪК НА ПОМОЩНИТЕ ВЕЩЕСТВА</w:t>
      </w:r>
    </w:p>
    <w:p w14:paraId="109ADA10" w14:textId="77777777" w:rsidR="009B3384" w:rsidRDefault="009B3384">
      <w:pPr>
        <w:tabs>
          <w:tab w:val="clear" w:pos="567"/>
          <w:tab w:val="left" w:pos="720"/>
        </w:tabs>
        <w:rPr>
          <w:szCs w:val="22"/>
        </w:rPr>
      </w:pPr>
    </w:p>
    <w:p w14:paraId="109ADA11" w14:textId="77777777" w:rsidR="009B3384" w:rsidRDefault="00800862">
      <w:pPr>
        <w:tabs>
          <w:tab w:val="clear" w:pos="567"/>
          <w:tab w:val="left" w:pos="720"/>
        </w:tabs>
        <w:rPr>
          <w:iCs/>
          <w:szCs w:val="22"/>
        </w:rPr>
      </w:pPr>
      <w:r>
        <w:rPr>
          <w:iCs/>
          <w:szCs w:val="22"/>
        </w:rPr>
        <w:t>Помощни вещества: EDTA динатриева сол дихидрат, L</w:t>
      </w:r>
      <w:r>
        <w:rPr>
          <w:iCs/>
          <w:szCs w:val="22"/>
        </w:rPr>
        <w:noBreakHyphen/>
        <w:t>хистидин, L</w:t>
      </w:r>
      <w:r>
        <w:rPr>
          <w:iCs/>
          <w:szCs w:val="22"/>
        </w:rPr>
        <w:noBreakHyphen/>
        <w:t>хистидинов монохидрохлорид монохидрат, L-метионин, полисорбат 80, захароза, вода за инжекции</w:t>
      </w:r>
    </w:p>
    <w:p w14:paraId="109ADA12" w14:textId="77777777" w:rsidR="009B3384" w:rsidRDefault="009B3384">
      <w:pPr>
        <w:tabs>
          <w:tab w:val="clear" w:pos="567"/>
          <w:tab w:val="left" w:pos="720"/>
        </w:tabs>
        <w:rPr>
          <w:szCs w:val="22"/>
        </w:rPr>
      </w:pPr>
    </w:p>
    <w:p w14:paraId="109ADA13" w14:textId="77777777" w:rsidR="009B3384" w:rsidRDefault="009B3384">
      <w:pPr>
        <w:tabs>
          <w:tab w:val="clear" w:pos="567"/>
          <w:tab w:val="left" w:pos="720"/>
        </w:tabs>
        <w:rPr>
          <w:szCs w:val="22"/>
        </w:rPr>
      </w:pPr>
    </w:p>
    <w:p w14:paraId="109ADA1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4.</w:t>
      </w:r>
      <w:r>
        <w:rPr>
          <w:b/>
          <w:bCs/>
          <w:szCs w:val="22"/>
        </w:rPr>
        <w:tab/>
        <w:t>ЛЕКАРСТВЕНА ФОРМА И КОЛИЧЕСТВО В ЕДНА ОПАКОВКА</w:t>
      </w:r>
    </w:p>
    <w:p w14:paraId="109ADA15" w14:textId="77777777" w:rsidR="009B3384" w:rsidRDefault="009B3384">
      <w:pPr>
        <w:tabs>
          <w:tab w:val="clear" w:pos="567"/>
          <w:tab w:val="left" w:pos="720"/>
        </w:tabs>
        <w:rPr>
          <w:szCs w:val="22"/>
        </w:rPr>
      </w:pPr>
    </w:p>
    <w:p w14:paraId="109ADA16" w14:textId="77777777" w:rsidR="009B3384" w:rsidRDefault="00800862">
      <w:pPr>
        <w:tabs>
          <w:tab w:val="clear" w:pos="567"/>
          <w:tab w:val="left" w:pos="720"/>
        </w:tabs>
        <w:rPr>
          <w:szCs w:val="22"/>
        </w:rPr>
      </w:pPr>
      <w:r w:rsidRPr="00BC6A43">
        <w:rPr>
          <w:szCs w:val="22"/>
          <w:highlight w:val="lightGray"/>
        </w:rPr>
        <w:t>Концентрат за инфузионен разтвор</w:t>
      </w:r>
    </w:p>
    <w:p w14:paraId="109ADA17" w14:textId="77777777" w:rsidR="009B3384" w:rsidRDefault="00800862">
      <w:pPr>
        <w:tabs>
          <w:tab w:val="clear" w:pos="567"/>
          <w:tab w:val="left" w:pos="720"/>
        </w:tabs>
        <w:rPr>
          <w:szCs w:val="22"/>
        </w:rPr>
      </w:pPr>
      <w:r>
        <w:rPr>
          <w:szCs w:val="22"/>
        </w:rPr>
        <w:t>130</w:t>
      </w:r>
      <w:r>
        <w:rPr>
          <w:szCs w:val="22"/>
          <w:lang w:val="en-GB"/>
        </w:rPr>
        <w:t> mg</w:t>
      </w:r>
      <w:r>
        <w:rPr>
          <w:szCs w:val="22"/>
        </w:rPr>
        <w:t>/26</w:t>
      </w:r>
      <w:r>
        <w:rPr>
          <w:szCs w:val="22"/>
          <w:lang w:val="en-GB"/>
        </w:rPr>
        <w:t> ml</w:t>
      </w:r>
    </w:p>
    <w:p w14:paraId="109ADA18" w14:textId="77777777" w:rsidR="009B3384" w:rsidRDefault="00800862">
      <w:pPr>
        <w:tabs>
          <w:tab w:val="clear" w:pos="567"/>
          <w:tab w:val="left" w:pos="720"/>
        </w:tabs>
        <w:rPr>
          <w:szCs w:val="22"/>
        </w:rPr>
      </w:pPr>
      <w:r>
        <w:rPr>
          <w:szCs w:val="22"/>
        </w:rPr>
        <w:t>1</w:t>
      </w:r>
      <w:r>
        <w:rPr>
          <w:szCs w:val="22"/>
          <w:lang w:val="en-GB"/>
        </w:rPr>
        <w:t> </w:t>
      </w:r>
      <w:r>
        <w:rPr>
          <w:szCs w:val="22"/>
        </w:rPr>
        <w:t>флакон</w:t>
      </w:r>
    </w:p>
    <w:p w14:paraId="109ADA19" w14:textId="77777777" w:rsidR="009B3384" w:rsidRDefault="009B3384">
      <w:pPr>
        <w:tabs>
          <w:tab w:val="clear" w:pos="567"/>
          <w:tab w:val="left" w:pos="720"/>
        </w:tabs>
        <w:rPr>
          <w:szCs w:val="22"/>
        </w:rPr>
      </w:pPr>
    </w:p>
    <w:p w14:paraId="109ADA1A" w14:textId="77777777" w:rsidR="009B3384" w:rsidRDefault="009B3384">
      <w:pPr>
        <w:tabs>
          <w:tab w:val="clear" w:pos="567"/>
          <w:tab w:val="left" w:pos="720"/>
        </w:tabs>
        <w:rPr>
          <w:szCs w:val="22"/>
        </w:rPr>
      </w:pPr>
    </w:p>
    <w:p w14:paraId="109ADA1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5.</w:t>
      </w:r>
      <w:r>
        <w:rPr>
          <w:b/>
          <w:bCs/>
          <w:szCs w:val="22"/>
        </w:rPr>
        <w:tab/>
        <w:t>НАЧИН НА ПРИЛОЖЕНИЕ И ПЪТ(ИЩА) НА ВЪВЕЖДАНЕ</w:t>
      </w:r>
    </w:p>
    <w:p w14:paraId="109ADA1C" w14:textId="77777777" w:rsidR="009B3384" w:rsidRDefault="009B3384">
      <w:pPr>
        <w:tabs>
          <w:tab w:val="clear" w:pos="567"/>
          <w:tab w:val="left" w:pos="720"/>
        </w:tabs>
        <w:rPr>
          <w:i/>
          <w:szCs w:val="22"/>
        </w:rPr>
      </w:pPr>
    </w:p>
    <w:p w14:paraId="109ADA1D" w14:textId="77777777" w:rsidR="009B3384" w:rsidRDefault="00800862">
      <w:pPr>
        <w:tabs>
          <w:tab w:val="clear" w:pos="567"/>
          <w:tab w:val="left" w:pos="720"/>
        </w:tabs>
        <w:rPr>
          <w:iCs/>
          <w:szCs w:val="22"/>
        </w:rPr>
      </w:pPr>
      <w:r>
        <w:rPr>
          <w:iCs/>
          <w:szCs w:val="22"/>
        </w:rPr>
        <w:t>Да не се разклаща.</w:t>
      </w:r>
    </w:p>
    <w:p w14:paraId="109ADA1E" w14:textId="77777777" w:rsidR="009B3384" w:rsidRDefault="00800862">
      <w:pPr>
        <w:tabs>
          <w:tab w:val="clear" w:pos="567"/>
          <w:tab w:val="left" w:pos="720"/>
        </w:tabs>
        <w:rPr>
          <w:szCs w:val="22"/>
        </w:rPr>
      </w:pPr>
      <w:r>
        <w:rPr>
          <w:szCs w:val="22"/>
        </w:rPr>
        <w:t>Преди употреба прочетете листовката.</w:t>
      </w:r>
    </w:p>
    <w:p w14:paraId="109ADA1F" w14:textId="77777777" w:rsidR="009B3384" w:rsidRDefault="00800862">
      <w:pPr>
        <w:tabs>
          <w:tab w:val="clear" w:pos="567"/>
          <w:tab w:val="left" w:pos="720"/>
        </w:tabs>
        <w:rPr>
          <w:szCs w:val="22"/>
        </w:rPr>
      </w:pPr>
      <w:r>
        <w:rPr>
          <w:szCs w:val="22"/>
        </w:rPr>
        <w:t>Само за еднократно приложение.</w:t>
      </w:r>
    </w:p>
    <w:p w14:paraId="109ADA20" w14:textId="77777777" w:rsidR="009B3384" w:rsidRDefault="00800862">
      <w:pPr>
        <w:tabs>
          <w:tab w:val="clear" w:pos="567"/>
          <w:tab w:val="left" w:pos="720"/>
        </w:tabs>
        <w:rPr>
          <w:szCs w:val="22"/>
        </w:rPr>
      </w:pPr>
      <w:r>
        <w:rPr>
          <w:szCs w:val="22"/>
        </w:rPr>
        <w:t>Интравенозно приложение след разреждане.</w:t>
      </w:r>
    </w:p>
    <w:p w14:paraId="109ADA21" w14:textId="77777777" w:rsidR="009B3384" w:rsidRDefault="009B3384">
      <w:pPr>
        <w:tabs>
          <w:tab w:val="clear" w:pos="567"/>
          <w:tab w:val="left" w:pos="720"/>
        </w:tabs>
        <w:rPr>
          <w:szCs w:val="22"/>
        </w:rPr>
      </w:pPr>
    </w:p>
    <w:p w14:paraId="109ADA22" w14:textId="77777777" w:rsidR="009B3384" w:rsidRDefault="009B3384">
      <w:pPr>
        <w:tabs>
          <w:tab w:val="clear" w:pos="567"/>
          <w:tab w:val="left" w:pos="720"/>
        </w:tabs>
        <w:rPr>
          <w:szCs w:val="22"/>
        </w:rPr>
      </w:pPr>
    </w:p>
    <w:p w14:paraId="109ADA2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6.</w:t>
      </w:r>
      <w:r>
        <w:rPr>
          <w:b/>
          <w:bCs/>
          <w:szCs w:val="22"/>
        </w:rPr>
        <w:tab/>
        <w:t>СПЕЦИАЛНО ПРЕДУПРЕЖДЕНИЕ, ЧЕ ЛЕКАРСТВЕНИЯТ ПРОДУКТ ТРЯБВА ДА СЕ СЪХРАНЯВА НА МЯСТО ДАЛЕЧЕ ОТ ПОГЛЕДА И ДОСЕГА НА ДЕЦА</w:t>
      </w:r>
    </w:p>
    <w:p w14:paraId="109ADA24" w14:textId="77777777" w:rsidR="009B3384" w:rsidRDefault="009B3384">
      <w:pPr>
        <w:tabs>
          <w:tab w:val="clear" w:pos="567"/>
          <w:tab w:val="left" w:pos="720"/>
        </w:tabs>
        <w:rPr>
          <w:szCs w:val="22"/>
        </w:rPr>
      </w:pPr>
    </w:p>
    <w:p w14:paraId="109ADA25" w14:textId="77777777" w:rsidR="009B3384" w:rsidRDefault="00800862">
      <w:pPr>
        <w:tabs>
          <w:tab w:val="clear" w:pos="567"/>
          <w:tab w:val="left" w:pos="720"/>
        </w:tabs>
        <w:rPr>
          <w:szCs w:val="22"/>
        </w:rPr>
      </w:pPr>
      <w:r>
        <w:rPr>
          <w:szCs w:val="22"/>
        </w:rPr>
        <w:t>Да се съхранява на място, недостъпно за деца.</w:t>
      </w:r>
    </w:p>
    <w:p w14:paraId="109ADA26" w14:textId="77777777" w:rsidR="009B3384" w:rsidRDefault="009B3384">
      <w:pPr>
        <w:tabs>
          <w:tab w:val="clear" w:pos="567"/>
          <w:tab w:val="left" w:pos="720"/>
        </w:tabs>
        <w:rPr>
          <w:szCs w:val="22"/>
        </w:rPr>
      </w:pPr>
    </w:p>
    <w:p w14:paraId="109ADA27" w14:textId="77777777" w:rsidR="009B3384" w:rsidRDefault="009B3384">
      <w:pPr>
        <w:tabs>
          <w:tab w:val="clear" w:pos="567"/>
          <w:tab w:val="left" w:pos="720"/>
        </w:tabs>
        <w:rPr>
          <w:szCs w:val="22"/>
        </w:rPr>
      </w:pPr>
    </w:p>
    <w:p w14:paraId="109ADA2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7.</w:t>
      </w:r>
      <w:r>
        <w:rPr>
          <w:b/>
          <w:bCs/>
          <w:szCs w:val="22"/>
        </w:rPr>
        <w:tab/>
        <w:t>ДРУГИ СПЕЦИАЛНИ ПРЕДУПРЕЖДЕНИЯ, АКО Е НЕОБХОДИМО</w:t>
      </w:r>
    </w:p>
    <w:p w14:paraId="109ADA29" w14:textId="77777777" w:rsidR="009B3384" w:rsidRDefault="009B3384">
      <w:pPr>
        <w:tabs>
          <w:tab w:val="clear" w:pos="567"/>
          <w:tab w:val="left" w:pos="720"/>
        </w:tabs>
        <w:rPr>
          <w:szCs w:val="22"/>
        </w:rPr>
      </w:pPr>
    </w:p>
    <w:p w14:paraId="109ADA2A" w14:textId="77777777" w:rsidR="009B3384" w:rsidRDefault="009B3384">
      <w:pPr>
        <w:tabs>
          <w:tab w:val="clear" w:pos="567"/>
          <w:tab w:val="left" w:pos="720"/>
        </w:tabs>
        <w:rPr>
          <w:szCs w:val="22"/>
        </w:rPr>
      </w:pPr>
    </w:p>
    <w:p w14:paraId="109ADA2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8.</w:t>
      </w:r>
      <w:r>
        <w:rPr>
          <w:b/>
          <w:bCs/>
          <w:szCs w:val="22"/>
        </w:rPr>
        <w:tab/>
        <w:t>ДАТА НА ИЗТИЧАНЕ НА СРОКА НА ГОДНОСТ</w:t>
      </w:r>
    </w:p>
    <w:p w14:paraId="109ADA2C" w14:textId="77777777" w:rsidR="009B3384" w:rsidRDefault="009B3384">
      <w:pPr>
        <w:keepNext/>
        <w:tabs>
          <w:tab w:val="clear" w:pos="567"/>
          <w:tab w:val="left" w:pos="720"/>
        </w:tabs>
        <w:rPr>
          <w:szCs w:val="22"/>
        </w:rPr>
      </w:pPr>
    </w:p>
    <w:p w14:paraId="109ADA2D" w14:textId="77777777" w:rsidR="009B3384" w:rsidRDefault="00800862">
      <w:pPr>
        <w:tabs>
          <w:tab w:val="clear" w:pos="567"/>
          <w:tab w:val="left" w:pos="720"/>
        </w:tabs>
        <w:rPr>
          <w:szCs w:val="22"/>
        </w:rPr>
      </w:pPr>
      <w:r>
        <w:rPr>
          <w:szCs w:val="22"/>
        </w:rPr>
        <w:t>Годен до:</w:t>
      </w:r>
    </w:p>
    <w:p w14:paraId="109ADA2E" w14:textId="77777777" w:rsidR="009B3384" w:rsidRDefault="009B3384">
      <w:pPr>
        <w:tabs>
          <w:tab w:val="clear" w:pos="567"/>
          <w:tab w:val="left" w:pos="720"/>
        </w:tabs>
        <w:rPr>
          <w:szCs w:val="22"/>
        </w:rPr>
      </w:pPr>
    </w:p>
    <w:p w14:paraId="109ADA2F" w14:textId="77777777" w:rsidR="009B3384" w:rsidRDefault="009B3384">
      <w:pPr>
        <w:tabs>
          <w:tab w:val="clear" w:pos="567"/>
          <w:tab w:val="left" w:pos="720"/>
        </w:tabs>
        <w:rPr>
          <w:szCs w:val="22"/>
        </w:rPr>
      </w:pPr>
    </w:p>
    <w:p w14:paraId="109ADA3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9.</w:t>
      </w:r>
      <w:r>
        <w:rPr>
          <w:b/>
          <w:bCs/>
          <w:szCs w:val="22"/>
        </w:rPr>
        <w:tab/>
        <w:t>СПЕЦИАЛНИ УСЛОВИЯ НА СЪХРАНЕНИЕ</w:t>
      </w:r>
    </w:p>
    <w:p w14:paraId="109ADA31" w14:textId="77777777" w:rsidR="009B3384" w:rsidRDefault="009B3384">
      <w:pPr>
        <w:keepNext/>
        <w:tabs>
          <w:tab w:val="clear" w:pos="567"/>
          <w:tab w:val="left" w:pos="720"/>
        </w:tabs>
        <w:rPr>
          <w:szCs w:val="22"/>
        </w:rPr>
      </w:pPr>
    </w:p>
    <w:p w14:paraId="109ADA32" w14:textId="77777777" w:rsidR="009B3384" w:rsidRDefault="00800862">
      <w:r>
        <w:t>Да се съхранява в хладилник.</w:t>
      </w:r>
    </w:p>
    <w:p w14:paraId="109ADA33" w14:textId="77777777" w:rsidR="009B3384" w:rsidRDefault="00800862">
      <w:r>
        <w:t>Да не се замразява.</w:t>
      </w:r>
    </w:p>
    <w:p w14:paraId="109ADA34" w14:textId="77777777" w:rsidR="009B3384" w:rsidRDefault="00800862">
      <w:r>
        <w:lastRenderedPageBreak/>
        <w:t>Съхранявайте флакона във външната картонена опаковка, за да се предпази от светлина.</w:t>
      </w:r>
    </w:p>
    <w:p w14:paraId="109ADA35" w14:textId="77777777" w:rsidR="009B3384" w:rsidRDefault="009B3384"/>
    <w:p w14:paraId="109ADA36" w14:textId="77777777" w:rsidR="009B3384" w:rsidRDefault="009B3384"/>
    <w:p w14:paraId="109ADA37" w14:textId="77777777" w:rsidR="009B3384" w:rsidRDefault="00800862">
      <w:pPr>
        <w:keepNext/>
        <w:pBdr>
          <w:top w:val="single" w:sz="4" w:space="1" w:color="000000"/>
          <w:left w:val="single" w:sz="4" w:space="4" w:color="000000"/>
          <w:bottom w:val="single" w:sz="4" w:space="1" w:color="000000"/>
          <w:right w:val="single" w:sz="4" w:space="4" w:color="000000"/>
        </w:pBdr>
        <w:tabs>
          <w:tab w:val="clear" w:pos="567"/>
          <w:tab w:val="left" w:pos="720"/>
        </w:tabs>
        <w:ind w:left="567" w:hanging="567"/>
        <w:rPr>
          <w:b/>
          <w:szCs w:val="22"/>
        </w:rPr>
      </w:pPr>
      <w:r>
        <w:rPr>
          <w:b/>
          <w:szCs w:val="22"/>
        </w:rPr>
        <w:t>10.</w:t>
      </w:r>
      <w:r>
        <w:rPr>
          <w:b/>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9ADA38" w14:textId="77777777" w:rsidR="009B3384" w:rsidRDefault="009B3384">
      <w:pPr>
        <w:tabs>
          <w:tab w:val="clear" w:pos="567"/>
          <w:tab w:val="left" w:pos="720"/>
        </w:tabs>
        <w:rPr>
          <w:szCs w:val="22"/>
        </w:rPr>
      </w:pPr>
    </w:p>
    <w:p w14:paraId="109ADA39" w14:textId="77777777" w:rsidR="009B3384" w:rsidRDefault="009B3384">
      <w:pPr>
        <w:tabs>
          <w:tab w:val="clear" w:pos="567"/>
          <w:tab w:val="left" w:pos="720"/>
        </w:tabs>
        <w:rPr>
          <w:szCs w:val="22"/>
        </w:rPr>
      </w:pPr>
    </w:p>
    <w:p w14:paraId="109ADA3A" w14:textId="77777777" w:rsidR="009B3384" w:rsidRDefault="00800862">
      <w:pPr>
        <w:pBdr>
          <w:top w:val="single" w:sz="4" w:space="1" w:color="000000"/>
          <w:left w:val="single" w:sz="4" w:space="4" w:color="000000"/>
          <w:bottom w:val="single" w:sz="4" w:space="1" w:color="000000"/>
          <w:right w:val="single" w:sz="4" w:space="4" w:color="000000"/>
        </w:pBdr>
        <w:rPr>
          <w:b/>
          <w:szCs w:val="22"/>
        </w:rPr>
      </w:pPr>
      <w:r>
        <w:rPr>
          <w:b/>
          <w:szCs w:val="22"/>
        </w:rPr>
        <w:t>11.</w:t>
      </w:r>
      <w:r>
        <w:rPr>
          <w:b/>
          <w:szCs w:val="22"/>
        </w:rPr>
        <w:tab/>
        <w:t>ИМЕ И АДРЕС НА ПРИТЕЖАТЕЛЯ НА РАЗРЕШЕНИЕТО ЗА УПОТРЕБА</w:t>
      </w:r>
    </w:p>
    <w:p w14:paraId="109ADA3B" w14:textId="77777777" w:rsidR="009B3384" w:rsidRDefault="009B3384">
      <w:pPr>
        <w:tabs>
          <w:tab w:val="clear" w:pos="567"/>
          <w:tab w:val="left" w:pos="720"/>
        </w:tabs>
        <w:rPr>
          <w:szCs w:val="22"/>
        </w:rPr>
      </w:pPr>
    </w:p>
    <w:p w14:paraId="109ADA3C" w14:textId="77777777" w:rsidR="009B3384" w:rsidRDefault="00800862">
      <w:pPr>
        <w:tabs>
          <w:tab w:val="clear" w:pos="567"/>
          <w:tab w:val="left" w:pos="720"/>
        </w:tabs>
        <w:rPr>
          <w:szCs w:val="22"/>
        </w:rPr>
      </w:pPr>
      <w:r>
        <w:rPr>
          <w:szCs w:val="22"/>
          <w:lang w:val="nl-BE"/>
        </w:rPr>
        <w:t>Janssen</w:t>
      </w:r>
      <w:r>
        <w:rPr>
          <w:szCs w:val="22"/>
        </w:rPr>
        <w:t>-</w:t>
      </w:r>
      <w:r>
        <w:rPr>
          <w:szCs w:val="22"/>
          <w:lang w:val="nl-BE"/>
        </w:rPr>
        <w:t>Cilag</w:t>
      </w:r>
      <w:r>
        <w:rPr>
          <w:szCs w:val="22"/>
        </w:rPr>
        <w:t xml:space="preserve"> </w:t>
      </w:r>
      <w:r>
        <w:rPr>
          <w:szCs w:val="22"/>
          <w:lang w:val="nl-BE"/>
        </w:rPr>
        <w:t>International</w:t>
      </w:r>
      <w:r>
        <w:rPr>
          <w:szCs w:val="22"/>
        </w:rPr>
        <w:t xml:space="preserve"> </w:t>
      </w:r>
      <w:r>
        <w:rPr>
          <w:szCs w:val="22"/>
          <w:lang w:val="nl-BE"/>
        </w:rPr>
        <w:t>NV</w:t>
      </w:r>
    </w:p>
    <w:p w14:paraId="109ADA3D" w14:textId="77777777" w:rsidR="009B3384" w:rsidRDefault="00800862">
      <w:pPr>
        <w:tabs>
          <w:tab w:val="clear" w:pos="567"/>
          <w:tab w:val="left" w:pos="720"/>
        </w:tabs>
        <w:rPr>
          <w:szCs w:val="22"/>
        </w:rPr>
      </w:pPr>
      <w:r>
        <w:rPr>
          <w:szCs w:val="22"/>
          <w:lang w:val="nl-BE"/>
        </w:rPr>
        <w:t>Turnhoutseweg</w:t>
      </w:r>
      <w:r>
        <w:rPr>
          <w:szCs w:val="22"/>
        </w:rPr>
        <w:t xml:space="preserve"> 30</w:t>
      </w:r>
    </w:p>
    <w:p w14:paraId="109ADA3E" w14:textId="77777777" w:rsidR="009B3384" w:rsidRDefault="00800862">
      <w:pPr>
        <w:tabs>
          <w:tab w:val="clear" w:pos="567"/>
          <w:tab w:val="left" w:pos="720"/>
        </w:tabs>
        <w:rPr>
          <w:szCs w:val="22"/>
        </w:rPr>
      </w:pPr>
      <w:r>
        <w:rPr>
          <w:szCs w:val="22"/>
          <w:lang w:val="nl-BE"/>
        </w:rPr>
        <w:t>B</w:t>
      </w:r>
      <w:r>
        <w:rPr>
          <w:szCs w:val="22"/>
        </w:rPr>
        <w:t xml:space="preserve">-2340 </w:t>
      </w:r>
      <w:r>
        <w:rPr>
          <w:szCs w:val="22"/>
          <w:lang w:val="nl-BE"/>
        </w:rPr>
        <w:t>Beerse</w:t>
      </w:r>
    </w:p>
    <w:p w14:paraId="109ADA3F" w14:textId="77777777" w:rsidR="009B3384" w:rsidRDefault="00800862">
      <w:pPr>
        <w:tabs>
          <w:tab w:val="clear" w:pos="567"/>
          <w:tab w:val="left" w:pos="720"/>
        </w:tabs>
        <w:rPr>
          <w:szCs w:val="22"/>
        </w:rPr>
      </w:pPr>
      <w:r>
        <w:rPr>
          <w:szCs w:val="22"/>
        </w:rPr>
        <w:t>Белгия</w:t>
      </w:r>
    </w:p>
    <w:p w14:paraId="109ADA40" w14:textId="77777777" w:rsidR="009B3384" w:rsidRDefault="009B3384">
      <w:pPr>
        <w:tabs>
          <w:tab w:val="clear" w:pos="567"/>
          <w:tab w:val="left" w:pos="720"/>
        </w:tabs>
        <w:rPr>
          <w:szCs w:val="22"/>
        </w:rPr>
      </w:pPr>
    </w:p>
    <w:p w14:paraId="109ADA41" w14:textId="77777777" w:rsidR="009B3384" w:rsidRDefault="009B3384">
      <w:pPr>
        <w:tabs>
          <w:tab w:val="clear" w:pos="567"/>
          <w:tab w:val="left" w:pos="720"/>
        </w:tabs>
        <w:rPr>
          <w:szCs w:val="22"/>
        </w:rPr>
      </w:pPr>
    </w:p>
    <w:p w14:paraId="109ADA42" w14:textId="77777777" w:rsidR="009B3384" w:rsidRDefault="00800862">
      <w:pPr>
        <w:pBdr>
          <w:top w:val="single" w:sz="4" w:space="1" w:color="000000"/>
          <w:left w:val="single" w:sz="4" w:space="4" w:color="000000"/>
          <w:bottom w:val="single" w:sz="4" w:space="1" w:color="000000"/>
          <w:right w:val="single" w:sz="4" w:space="4" w:color="000000"/>
        </w:pBdr>
        <w:tabs>
          <w:tab w:val="left" w:pos="720"/>
        </w:tabs>
        <w:rPr>
          <w:b/>
          <w:szCs w:val="22"/>
        </w:rPr>
      </w:pPr>
      <w:r>
        <w:rPr>
          <w:b/>
          <w:szCs w:val="22"/>
        </w:rPr>
        <w:t>12.</w:t>
      </w:r>
      <w:r>
        <w:rPr>
          <w:b/>
          <w:szCs w:val="22"/>
        </w:rPr>
        <w:tab/>
        <w:t>НОМЕР(А) НА РАЗРЕШЕНИЕТО ЗА УПОТРЕБА</w:t>
      </w:r>
    </w:p>
    <w:p w14:paraId="109ADA43" w14:textId="77777777" w:rsidR="009B3384" w:rsidRDefault="009B3384">
      <w:pPr>
        <w:tabs>
          <w:tab w:val="clear" w:pos="567"/>
          <w:tab w:val="left" w:pos="720"/>
        </w:tabs>
        <w:rPr>
          <w:szCs w:val="22"/>
        </w:rPr>
      </w:pPr>
    </w:p>
    <w:p w14:paraId="109ADA44" w14:textId="77777777" w:rsidR="009B3384" w:rsidRDefault="00800862">
      <w:pPr>
        <w:tabs>
          <w:tab w:val="clear" w:pos="567"/>
          <w:tab w:val="left" w:pos="720"/>
        </w:tabs>
        <w:rPr>
          <w:szCs w:val="22"/>
        </w:rPr>
      </w:pPr>
      <w:r>
        <w:rPr>
          <w:szCs w:val="22"/>
          <w:lang w:val="en-GB"/>
        </w:rPr>
        <w:t>EU</w:t>
      </w:r>
      <w:r>
        <w:rPr>
          <w:szCs w:val="22"/>
        </w:rPr>
        <w:t>/1/08/494/005</w:t>
      </w:r>
    </w:p>
    <w:p w14:paraId="109ADA45" w14:textId="77777777" w:rsidR="009B3384" w:rsidRDefault="009B3384">
      <w:pPr>
        <w:tabs>
          <w:tab w:val="clear" w:pos="567"/>
          <w:tab w:val="left" w:pos="720"/>
        </w:tabs>
        <w:rPr>
          <w:szCs w:val="22"/>
        </w:rPr>
      </w:pPr>
    </w:p>
    <w:p w14:paraId="109ADA46" w14:textId="77777777" w:rsidR="009B3384" w:rsidRDefault="009B3384">
      <w:pPr>
        <w:tabs>
          <w:tab w:val="clear" w:pos="567"/>
          <w:tab w:val="left" w:pos="720"/>
        </w:tabs>
        <w:rPr>
          <w:szCs w:val="22"/>
        </w:rPr>
      </w:pPr>
    </w:p>
    <w:p w14:paraId="109ADA47" w14:textId="77777777" w:rsidR="009B3384" w:rsidRDefault="00800862">
      <w:pPr>
        <w:pBdr>
          <w:top w:val="single" w:sz="4" w:space="1" w:color="000000"/>
          <w:left w:val="single" w:sz="4" w:space="4" w:color="000000"/>
          <w:bottom w:val="single" w:sz="4" w:space="1" w:color="000000"/>
          <w:right w:val="single" w:sz="4" w:space="4" w:color="000000"/>
        </w:pBdr>
        <w:tabs>
          <w:tab w:val="left" w:pos="720"/>
        </w:tabs>
        <w:rPr>
          <w:b/>
          <w:szCs w:val="22"/>
        </w:rPr>
      </w:pPr>
      <w:r>
        <w:rPr>
          <w:b/>
          <w:szCs w:val="22"/>
        </w:rPr>
        <w:t>13.</w:t>
      </w:r>
      <w:r>
        <w:rPr>
          <w:b/>
          <w:szCs w:val="22"/>
        </w:rPr>
        <w:tab/>
        <w:t>ПАРТИДЕН НОМЕР&lt;, КОДОВЕ НА ДАРЕНИЕТО И НА ПРОДУКТА&gt;</w:t>
      </w:r>
    </w:p>
    <w:p w14:paraId="109ADA48" w14:textId="77777777" w:rsidR="009B3384" w:rsidRDefault="009B3384">
      <w:pPr>
        <w:tabs>
          <w:tab w:val="clear" w:pos="567"/>
          <w:tab w:val="left" w:pos="720"/>
        </w:tabs>
        <w:rPr>
          <w:szCs w:val="22"/>
        </w:rPr>
      </w:pPr>
    </w:p>
    <w:p w14:paraId="109ADA49" w14:textId="77777777" w:rsidR="009B3384" w:rsidRDefault="00800862">
      <w:pPr>
        <w:tabs>
          <w:tab w:val="clear" w:pos="567"/>
          <w:tab w:val="left" w:pos="720"/>
        </w:tabs>
        <w:rPr>
          <w:szCs w:val="22"/>
        </w:rPr>
      </w:pPr>
      <w:r>
        <w:rPr>
          <w:szCs w:val="22"/>
        </w:rPr>
        <w:t>Партида:</w:t>
      </w:r>
    </w:p>
    <w:p w14:paraId="109ADA4A" w14:textId="77777777" w:rsidR="009B3384" w:rsidRDefault="009B3384">
      <w:pPr>
        <w:tabs>
          <w:tab w:val="clear" w:pos="567"/>
          <w:tab w:val="left" w:pos="720"/>
        </w:tabs>
        <w:rPr>
          <w:szCs w:val="22"/>
        </w:rPr>
      </w:pPr>
    </w:p>
    <w:p w14:paraId="109ADA4B" w14:textId="77777777" w:rsidR="009B3384" w:rsidRDefault="009B3384">
      <w:pPr>
        <w:tabs>
          <w:tab w:val="clear" w:pos="567"/>
          <w:tab w:val="left" w:pos="720"/>
        </w:tabs>
        <w:rPr>
          <w:szCs w:val="22"/>
        </w:rPr>
      </w:pPr>
    </w:p>
    <w:p w14:paraId="109ADA4C" w14:textId="77777777" w:rsidR="009B3384" w:rsidRDefault="00800862">
      <w:pPr>
        <w:pBdr>
          <w:top w:val="single" w:sz="4" w:space="1" w:color="000000"/>
          <w:left w:val="single" w:sz="4" w:space="4" w:color="000000"/>
          <w:bottom w:val="single" w:sz="4" w:space="1" w:color="000000"/>
          <w:right w:val="single" w:sz="4" w:space="4" w:color="000000"/>
        </w:pBdr>
        <w:tabs>
          <w:tab w:val="left" w:pos="720"/>
        </w:tabs>
        <w:rPr>
          <w:b/>
          <w:szCs w:val="22"/>
        </w:rPr>
      </w:pPr>
      <w:r>
        <w:rPr>
          <w:b/>
          <w:szCs w:val="22"/>
        </w:rPr>
        <w:t>14.</w:t>
      </w:r>
      <w:r>
        <w:rPr>
          <w:b/>
          <w:szCs w:val="22"/>
        </w:rPr>
        <w:tab/>
        <w:t>НАЧИН НА ОТПУСКАНЕ</w:t>
      </w:r>
    </w:p>
    <w:p w14:paraId="109ADA4D" w14:textId="77777777" w:rsidR="009B3384" w:rsidRDefault="009B3384">
      <w:pPr>
        <w:tabs>
          <w:tab w:val="clear" w:pos="567"/>
          <w:tab w:val="left" w:pos="720"/>
        </w:tabs>
        <w:rPr>
          <w:szCs w:val="22"/>
        </w:rPr>
      </w:pPr>
    </w:p>
    <w:p w14:paraId="109ADA4E" w14:textId="77777777" w:rsidR="009B3384" w:rsidRDefault="009B3384">
      <w:pPr>
        <w:tabs>
          <w:tab w:val="clear" w:pos="567"/>
          <w:tab w:val="left" w:pos="720"/>
        </w:tabs>
        <w:rPr>
          <w:szCs w:val="22"/>
        </w:rPr>
      </w:pPr>
    </w:p>
    <w:p w14:paraId="109ADA4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15.</w:t>
      </w:r>
      <w:r>
        <w:rPr>
          <w:b/>
          <w:bCs/>
          <w:szCs w:val="22"/>
        </w:rPr>
        <w:tab/>
        <w:t>УКАЗАНИЯ ЗА УПОТРЕБА</w:t>
      </w:r>
    </w:p>
    <w:p w14:paraId="109ADA50" w14:textId="77777777" w:rsidR="009B3384" w:rsidRDefault="009B3384">
      <w:pPr>
        <w:tabs>
          <w:tab w:val="clear" w:pos="567"/>
          <w:tab w:val="left" w:pos="720"/>
        </w:tabs>
        <w:rPr>
          <w:szCs w:val="22"/>
        </w:rPr>
      </w:pPr>
    </w:p>
    <w:p w14:paraId="109ADA51" w14:textId="77777777" w:rsidR="009B3384" w:rsidRDefault="009B3384">
      <w:pPr>
        <w:tabs>
          <w:tab w:val="clear" w:pos="567"/>
          <w:tab w:val="left" w:pos="720"/>
        </w:tabs>
        <w:rPr>
          <w:szCs w:val="22"/>
        </w:rPr>
      </w:pPr>
    </w:p>
    <w:p w14:paraId="109ADA5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szCs w:val="22"/>
        </w:rPr>
      </w:pPr>
      <w:r>
        <w:rPr>
          <w:b/>
          <w:bCs/>
          <w:szCs w:val="22"/>
        </w:rPr>
        <w:t>16.</w:t>
      </w:r>
      <w:r>
        <w:rPr>
          <w:b/>
          <w:bCs/>
          <w:szCs w:val="22"/>
        </w:rPr>
        <w:tab/>
        <w:t>ИНФОРМАЦИЯ НА БРАЙЛОВА АЗБУКА</w:t>
      </w:r>
    </w:p>
    <w:p w14:paraId="109ADA53" w14:textId="77777777" w:rsidR="009B3384" w:rsidRDefault="009B3384">
      <w:pPr>
        <w:tabs>
          <w:tab w:val="clear" w:pos="567"/>
          <w:tab w:val="left" w:pos="720"/>
        </w:tabs>
        <w:rPr>
          <w:szCs w:val="22"/>
        </w:rPr>
      </w:pPr>
    </w:p>
    <w:p w14:paraId="109ADA54" w14:textId="77777777" w:rsidR="009B3384" w:rsidRDefault="00800862">
      <w:r>
        <w:rPr>
          <w:highlight w:val="lightGray"/>
        </w:rPr>
        <w:t>Прието е основание да не се включи информация на Брайлова азбука.</w:t>
      </w:r>
    </w:p>
    <w:p w14:paraId="109ADA55" w14:textId="77777777" w:rsidR="009B3384" w:rsidRDefault="009B3384"/>
    <w:p w14:paraId="109ADA56" w14:textId="77777777" w:rsidR="009B3384" w:rsidRDefault="009B3384">
      <w:pPr>
        <w:rPr>
          <w:szCs w:val="22"/>
        </w:rPr>
      </w:pPr>
    </w:p>
    <w:p w14:paraId="109ADA5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17.</w:t>
      </w:r>
      <w:r>
        <w:rPr>
          <w:b/>
        </w:rPr>
        <w:tab/>
        <w:t>УНИКАЛЕН ИДЕНТИФИКАТОР — ДВУИЗМЕРЕН БАРКОД</w:t>
      </w:r>
    </w:p>
    <w:p w14:paraId="109ADA58" w14:textId="77777777" w:rsidR="009B3384" w:rsidRDefault="009B3384">
      <w:pPr>
        <w:tabs>
          <w:tab w:val="clear" w:pos="567"/>
        </w:tabs>
      </w:pPr>
    </w:p>
    <w:p w14:paraId="109ADA59" w14:textId="77777777" w:rsidR="009B3384" w:rsidRDefault="00800862">
      <w:r>
        <w:rPr>
          <w:highlight w:val="lightGray"/>
        </w:rPr>
        <w:t>Двуизмерен баркод с включен уникален идентификатор</w:t>
      </w:r>
    </w:p>
    <w:p w14:paraId="109ADA5A" w14:textId="77777777" w:rsidR="009B3384" w:rsidRDefault="009B3384"/>
    <w:p w14:paraId="109ADA5B" w14:textId="77777777" w:rsidR="009B3384" w:rsidRDefault="009B3384">
      <w:pPr>
        <w:spacing w:line="260" w:lineRule="exact"/>
        <w:rPr>
          <w:vanish/>
          <w:szCs w:val="22"/>
        </w:rPr>
      </w:pPr>
    </w:p>
    <w:p w14:paraId="109ADA5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18.</w:t>
      </w:r>
      <w:r>
        <w:rPr>
          <w:b/>
        </w:rPr>
        <w:tab/>
        <w:t>УНИКАЛЕН ИДЕНТИФИКАТОР — ДАННИ ЗА ЧЕТЕНЕ ОТ ХОРА</w:t>
      </w:r>
    </w:p>
    <w:p w14:paraId="109ADA5D" w14:textId="77777777" w:rsidR="009B3384" w:rsidRDefault="009B3384"/>
    <w:p w14:paraId="109ADA5E" w14:textId="77777777" w:rsidR="009B3384" w:rsidRDefault="00800862">
      <w:r>
        <w:rPr>
          <w:lang w:val="en-GB"/>
        </w:rPr>
        <w:t>PC</w:t>
      </w:r>
    </w:p>
    <w:p w14:paraId="109ADA5F" w14:textId="77777777" w:rsidR="009B3384" w:rsidRDefault="00800862">
      <w:pPr>
        <w:rPr>
          <w:szCs w:val="22"/>
        </w:rPr>
      </w:pPr>
      <w:r>
        <w:rPr>
          <w:lang w:val="en-GB"/>
        </w:rPr>
        <w:t>SN</w:t>
      </w:r>
    </w:p>
    <w:p w14:paraId="109ADA60" w14:textId="77777777" w:rsidR="009B3384" w:rsidRDefault="00800862">
      <w:r>
        <w:rPr>
          <w:lang w:val="en-GB"/>
        </w:rPr>
        <w:t>NN</w:t>
      </w:r>
      <w:r>
        <w:br w:type="page"/>
      </w:r>
    </w:p>
    <w:p w14:paraId="109ADA61" w14:textId="77777777" w:rsidR="009B3384" w:rsidRDefault="00800862">
      <w:pPr>
        <w:keepNext/>
        <w:widowControl w:val="0"/>
        <w:pBdr>
          <w:top w:val="single" w:sz="4" w:space="1" w:color="000000"/>
          <w:left w:val="single" w:sz="4" w:space="4" w:color="000000"/>
          <w:bottom w:val="single" w:sz="4" w:space="1" w:color="000000"/>
          <w:right w:val="single" w:sz="4" w:space="4" w:color="000000"/>
        </w:pBdr>
        <w:tabs>
          <w:tab w:val="clear" w:pos="567"/>
          <w:tab w:val="left" w:pos="0"/>
        </w:tabs>
        <w:rPr>
          <w:b/>
        </w:rPr>
      </w:pPr>
      <w:r>
        <w:rPr>
          <w:b/>
          <w:szCs w:val="22"/>
        </w:rPr>
        <w:lastRenderedPageBreak/>
        <w:t>МИНИМУМ ДАННИ, КОИТО ТРЯБВА ДА СЪДЪРЖАТ МАЛКИТЕ ЕДИНИЧНИ ПЪРВИЧНИ ОПАКОВКИ</w:t>
      </w:r>
    </w:p>
    <w:p w14:paraId="109ADA62" w14:textId="77777777" w:rsidR="009B3384" w:rsidRDefault="009B3384">
      <w:pPr>
        <w:keepNext/>
        <w:widowControl w:val="0"/>
        <w:pBdr>
          <w:top w:val="single" w:sz="4" w:space="1" w:color="000000"/>
          <w:left w:val="single" w:sz="4" w:space="4" w:color="000000"/>
          <w:bottom w:val="single" w:sz="4" w:space="1" w:color="000000"/>
          <w:right w:val="single" w:sz="4" w:space="4" w:color="000000"/>
        </w:pBdr>
        <w:ind w:left="567" w:hanging="567"/>
        <w:rPr>
          <w:b/>
        </w:rPr>
      </w:pPr>
    </w:p>
    <w:p w14:paraId="109ADA63"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ТЕКСТ НА ЕТИКЕТА НА ФЛАКОНА (130 mg)</w:t>
      </w:r>
    </w:p>
    <w:p w14:paraId="109ADA64" w14:textId="77777777" w:rsidR="009B3384" w:rsidRDefault="009B3384">
      <w:pPr>
        <w:widowControl w:val="0"/>
      </w:pPr>
    </w:p>
    <w:p w14:paraId="109ADA65" w14:textId="77777777" w:rsidR="009B3384" w:rsidRDefault="009B3384">
      <w:pPr>
        <w:widowControl w:val="0"/>
      </w:pPr>
    </w:p>
    <w:p w14:paraId="109ADA66"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ПРОДУКT И ПЪТ(ИЩА) НА ВЪВЕЖДАНЕ</w:t>
      </w:r>
    </w:p>
    <w:p w14:paraId="109ADA67" w14:textId="77777777" w:rsidR="009B3384" w:rsidRDefault="009B3384">
      <w:pPr>
        <w:keepNext/>
      </w:pPr>
    </w:p>
    <w:p w14:paraId="109ADA68" w14:textId="77777777" w:rsidR="009B3384" w:rsidRDefault="00800862">
      <w:pPr>
        <w:widowControl w:val="0"/>
      </w:pPr>
      <w:r>
        <w:t>STELARA 130 mg концентрат за инфузионен разтвор</w:t>
      </w:r>
    </w:p>
    <w:p w14:paraId="109ADA69" w14:textId="77777777" w:rsidR="009B3384" w:rsidRDefault="00800862">
      <w:pPr>
        <w:widowControl w:val="0"/>
      </w:pPr>
      <w:r>
        <w:t>устекинумаб</w:t>
      </w:r>
    </w:p>
    <w:p w14:paraId="109ADA6A" w14:textId="77777777" w:rsidR="009B3384" w:rsidRDefault="00800862">
      <w:pPr>
        <w:widowControl w:val="0"/>
      </w:pPr>
      <w:r>
        <w:t xml:space="preserve">За </w:t>
      </w:r>
      <w:proofErr w:type="spellStart"/>
      <w:r>
        <w:rPr>
          <w:lang w:val="en-US"/>
        </w:rPr>
        <w:t>i</w:t>
      </w:r>
      <w:proofErr w:type="spellEnd"/>
      <w:r>
        <w:t>.</w:t>
      </w:r>
      <w:r>
        <w:rPr>
          <w:lang w:val="en-US"/>
        </w:rPr>
        <w:t>v</w:t>
      </w:r>
      <w:r>
        <w:t>. приложение след разреждане.</w:t>
      </w:r>
    </w:p>
    <w:p w14:paraId="109ADA6B" w14:textId="77777777" w:rsidR="009B3384" w:rsidRDefault="009B3384">
      <w:pPr>
        <w:widowControl w:val="0"/>
      </w:pPr>
    </w:p>
    <w:p w14:paraId="109ADA6C" w14:textId="77777777" w:rsidR="009B3384" w:rsidRDefault="009B3384">
      <w:pPr>
        <w:widowControl w:val="0"/>
      </w:pPr>
    </w:p>
    <w:p w14:paraId="109ADA6D"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2.</w:t>
      </w:r>
      <w:r>
        <w:rPr>
          <w:b/>
        </w:rPr>
        <w:tab/>
        <w:t>НАЧИН НА ПРИЛОЖЕНИЕ</w:t>
      </w:r>
    </w:p>
    <w:p w14:paraId="109ADA6E" w14:textId="77777777" w:rsidR="009B3384" w:rsidRDefault="009B3384">
      <w:pPr>
        <w:keepNext/>
        <w:widowControl w:val="0"/>
      </w:pPr>
    </w:p>
    <w:p w14:paraId="109ADA70" w14:textId="77777777" w:rsidR="009B3384" w:rsidRDefault="00800862">
      <w:pPr>
        <w:rPr>
          <w:iCs/>
        </w:rPr>
      </w:pPr>
      <w:r>
        <w:rPr>
          <w:iCs/>
        </w:rPr>
        <w:t>Да не се разклаща.</w:t>
      </w:r>
    </w:p>
    <w:p w14:paraId="109ADA71" w14:textId="77777777" w:rsidR="009B3384" w:rsidRDefault="009B3384">
      <w:pPr>
        <w:widowControl w:val="0"/>
      </w:pPr>
    </w:p>
    <w:p w14:paraId="109ADA72" w14:textId="77777777" w:rsidR="009B3384" w:rsidRDefault="009B3384">
      <w:pPr>
        <w:widowControl w:val="0"/>
      </w:pPr>
    </w:p>
    <w:p w14:paraId="109ADA73"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3.</w:t>
      </w:r>
      <w:r>
        <w:rPr>
          <w:b/>
        </w:rPr>
        <w:tab/>
        <w:t>ДАТА НА ИЗТИЧАНЕ НА СРОКА НА ГОДНОСТ</w:t>
      </w:r>
    </w:p>
    <w:p w14:paraId="109ADA74" w14:textId="77777777" w:rsidR="009B3384" w:rsidRDefault="009B3384">
      <w:pPr>
        <w:keepNext/>
        <w:widowControl w:val="0"/>
      </w:pPr>
    </w:p>
    <w:p w14:paraId="109ADA75" w14:textId="77777777" w:rsidR="009B3384" w:rsidRDefault="00800862">
      <w:pPr>
        <w:widowControl w:val="0"/>
      </w:pPr>
      <w:r>
        <w:rPr>
          <w:lang w:val="en-US"/>
        </w:rPr>
        <w:t>EXP</w:t>
      </w:r>
    </w:p>
    <w:p w14:paraId="109ADA76" w14:textId="77777777" w:rsidR="009B3384" w:rsidRDefault="009B3384">
      <w:pPr>
        <w:widowControl w:val="0"/>
      </w:pPr>
    </w:p>
    <w:p w14:paraId="109ADA77" w14:textId="77777777" w:rsidR="009B3384" w:rsidRDefault="009B3384">
      <w:pPr>
        <w:widowControl w:val="0"/>
      </w:pPr>
    </w:p>
    <w:p w14:paraId="109ADA78"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ПАРТИДЕН НОМЕР</w:t>
      </w:r>
    </w:p>
    <w:p w14:paraId="109ADA79" w14:textId="77777777" w:rsidR="009B3384" w:rsidRDefault="009B3384">
      <w:pPr>
        <w:keepNext/>
        <w:widowControl w:val="0"/>
      </w:pPr>
    </w:p>
    <w:p w14:paraId="109ADA7A" w14:textId="77777777" w:rsidR="009B3384" w:rsidRDefault="00800862">
      <w:pPr>
        <w:widowControl w:val="0"/>
      </w:pPr>
      <w:r>
        <w:rPr>
          <w:lang w:val="en-US"/>
        </w:rPr>
        <w:t>Lot</w:t>
      </w:r>
    </w:p>
    <w:p w14:paraId="109ADA7B" w14:textId="77777777" w:rsidR="009B3384" w:rsidRDefault="009B3384">
      <w:pPr>
        <w:widowControl w:val="0"/>
      </w:pPr>
    </w:p>
    <w:p w14:paraId="109ADA7C" w14:textId="77777777" w:rsidR="009B3384" w:rsidRDefault="009B3384">
      <w:pPr>
        <w:widowControl w:val="0"/>
      </w:pPr>
    </w:p>
    <w:p w14:paraId="109ADA7D"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5.</w:t>
      </w:r>
      <w:r>
        <w:rPr>
          <w:b/>
        </w:rPr>
        <w:tab/>
        <w:t>СЪДЪРЖАНИЕ КАТО МАСА, ОБЕМ ИЛИ ЕДИНИЦИ</w:t>
      </w:r>
    </w:p>
    <w:p w14:paraId="109ADA7E" w14:textId="77777777" w:rsidR="009B3384" w:rsidRDefault="009B3384">
      <w:pPr>
        <w:keepNext/>
        <w:widowControl w:val="0"/>
      </w:pPr>
    </w:p>
    <w:p w14:paraId="109ADA7F" w14:textId="77777777" w:rsidR="009B3384" w:rsidRDefault="00800862">
      <w:pPr>
        <w:widowControl w:val="0"/>
      </w:pPr>
      <w:r>
        <w:t>130 mg/26 ml</w:t>
      </w:r>
    </w:p>
    <w:p w14:paraId="109ADA80" w14:textId="77777777" w:rsidR="009B3384" w:rsidRDefault="009B3384">
      <w:pPr>
        <w:widowControl w:val="0"/>
      </w:pPr>
    </w:p>
    <w:p w14:paraId="109ADA81" w14:textId="77777777" w:rsidR="009B3384" w:rsidRDefault="009B3384">
      <w:pPr>
        <w:widowControl w:val="0"/>
      </w:pPr>
    </w:p>
    <w:p w14:paraId="109ADA82" w14:textId="77777777" w:rsidR="009B3384" w:rsidRDefault="00800862">
      <w:pPr>
        <w:keepNext/>
        <w:widowControl w:val="0"/>
        <w:pBdr>
          <w:top w:val="single" w:sz="4" w:space="1" w:color="000000"/>
          <w:left w:val="single" w:sz="4" w:space="4" w:color="000000"/>
          <w:bottom w:val="single" w:sz="4" w:space="1" w:color="000000"/>
          <w:right w:val="single" w:sz="4" w:space="4" w:color="000000"/>
        </w:pBdr>
        <w:ind w:left="567" w:hanging="567"/>
        <w:rPr>
          <w:b/>
        </w:rPr>
      </w:pPr>
      <w:r>
        <w:rPr>
          <w:b/>
        </w:rPr>
        <w:t>6.</w:t>
      </w:r>
      <w:r>
        <w:rPr>
          <w:b/>
        </w:rPr>
        <w:tab/>
        <w:t>ДРУГО</w:t>
      </w:r>
    </w:p>
    <w:p w14:paraId="109ADA83" w14:textId="77777777" w:rsidR="009B3384" w:rsidRDefault="00800862">
      <w:r>
        <w:br w:type="page"/>
      </w:r>
    </w:p>
    <w:p w14:paraId="109ADA8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ДАННИ, КОИТО ТРЯБВА ДА СЪДЪРЖА ВТОРИЧНАТА ОПАКОВКА</w:t>
      </w:r>
    </w:p>
    <w:p w14:paraId="109ADA85"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A8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t>ТЕКСТ НА КУТИЯТА НА ФЛАКОНА (45 mg)</w:t>
      </w:r>
    </w:p>
    <w:p w14:paraId="109ADA87" w14:textId="77777777" w:rsidR="009B3384" w:rsidRDefault="009B3384"/>
    <w:p w14:paraId="109ADA88" w14:textId="77777777" w:rsidR="009B3384" w:rsidRDefault="009B3384"/>
    <w:p w14:paraId="109ADA8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w:t>
      </w:r>
    </w:p>
    <w:p w14:paraId="109ADA8A" w14:textId="77777777" w:rsidR="009B3384" w:rsidRDefault="009B3384"/>
    <w:p w14:paraId="109ADA8B" w14:textId="77777777" w:rsidR="009B3384" w:rsidRDefault="00800862">
      <w:r>
        <w:t>STELARA 45 mg инжекционен разтвор</w:t>
      </w:r>
    </w:p>
    <w:p w14:paraId="109ADA8C" w14:textId="77777777" w:rsidR="009B3384" w:rsidRDefault="00800862">
      <w:r>
        <w:t>устекинумаб</w:t>
      </w:r>
    </w:p>
    <w:p w14:paraId="109ADA8D" w14:textId="77777777" w:rsidR="009B3384" w:rsidRDefault="009B3384"/>
    <w:p w14:paraId="109ADA8E" w14:textId="77777777" w:rsidR="009B3384" w:rsidRDefault="009B3384"/>
    <w:p w14:paraId="109ADA8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ОБЯВЯВАНЕ НА АКТИВНОТО(ИТЕ) ВЕЩЕСТВО(А)</w:t>
      </w:r>
    </w:p>
    <w:p w14:paraId="109ADA90" w14:textId="77777777" w:rsidR="009B3384" w:rsidRDefault="009B3384"/>
    <w:p w14:paraId="109ADA91" w14:textId="77777777" w:rsidR="009B3384" w:rsidRDefault="00800862">
      <w:r>
        <w:t>Всеки флакон съдържа 45 mg устекинумаб в 0,5 ml.</w:t>
      </w:r>
    </w:p>
    <w:p w14:paraId="109ADA92" w14:textId="77777777" w:rsidR="009B3384" w:rsidRDefault="009B3384"/>
    <w:p w14:paraId="109ADA93" w14:textId="77777777" w:rsidR="009B3384" w:rsidRDefault="009B3384"/>
    <w:p w14:paraId="109ADA9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СПИСЪК НА ПОМОЩНИТЕ ВЕЩЕСТВА</w:t>
      </w:r>
    </w:p>
    <w:p w14:paraId="109ADA95" w14:textId="77777777" w:rsidR="009B3384" w:rsidRDefault="009B3384">
      <w:pPr>
        <w:rPr>
          <w:iCs/>
        </w:rPr>
      </w:pPr>
    </w:p>
    <w:p w14:paraId="109ADA96" w14:textId="77777777" w:rsidR="009B3384" w:rsidRDefault="00800862">
      <w:r>
        <w:rPr>
          <w:iCs/>
        </w:rPr>
        <w:t>Помощни вещества: захароза, L-хистидин, L-хистидинов монохидрохлорид монохидрат, полисорбат 80, вода за инжекции.</w:t>
      </w:r>
    </w:p>
    <w:p w14:paraId="109ADA97" w14:textId="77777777" w:rsidR="009B3384" w:rsidRDefault="009B3384"/>
    <w:p w14:paraId="109ADA98" w14:textId="77777777" w:rsidR="009B3384" w:rsidRDefault="009B3384"/>
    <w:p w14:paraId="109ADA9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ЛЕКАРСТВЕНА ФОРМА И КОЛИЧЕСТВО В ЕДНА ОПАКОВКА</w:t>
      </w:r>
    </w:p>
    <w:p w14:paraId="109ADA9A" w14:textId="77777777" w:rsidR="009B3384" w:rsidRDefault="009B3384"/>
    <w:p w14:paraId="109ADA9B" w14:textId="77777777" w:rsidR="009B3384" w:rsidRDefault="00800862">
      <w:r w:rsidRPr="00BC6A43">
        <w:rPr>
          <w:highlight w:val="lightGray"/>
        </w:rPr>
        <w:t>Инжекционен разтвор</w:t>
      </w:r>
    </w:p>
    <w:p w14:paraId="109ADA9C" w14:textId="77777777" w:rsidR="009B3384" w:rsidRDefault="00800862">
      <w:r>
        <w:t>45 mg/0,5 ml</w:t>
      </w:r>
    </w:p>
    <w:p w14:paraId="109ADA9D" w14:textId="77777777" w:rsidR="009B3384" w:rsidRDefault="00800862">
      <w:r>
        <w:t>1 флакон</w:t>
      </w:r>
    </w:p>
    <w:p w14:paraId="109ADA9E" w14:textId="77777777" w:rsidR="009B3384" w:rsidRDefault="009B3384"/>
    <w:p w14:paraId="109ADA9F" w14:textId="77777777" w:rsidR="009B3384" w:rsidRDefault="009B3384"/>
    <w:p w14:paraId="109ADAA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 xml:space="preserve">НАЧИН НА </w:t>
      </w:r>
      <w:r>
        <w:rPr>
          <w:b/>
          <w:szCs w:val="22"/>
        </w:rPr>
        <w:t xml:space="preserve">ПРИЛОЖЕНИЕ </w:t>
      </w:r>
      <w:r>
        <w:rPr>
          <w:b/>
        </w:rPr>
        <w:t>И ПЪТ(ИЩА) НА ВЪВЕЖДАНЕ</w:t>
      </w:r>
    </w:p>
    <w:p w14:paraId="109ADAA1" w14:textId="77777777" w:rsidR="009B3384" w:rsidRDefault="009B3384">
      <w:pPr>
        <w:rPr>
          <w:iCs/>
        </w:rPr>
      </w:pPr>
    </w:p>
    <w:p w14:paraId="109ADAA2" w14:textId="77777777" w:rsidR="009B3384" w:rsidRDefault="00800862">
      <w:pPr>
        <w:rPr>
          <w:iCs/>
        </w:rPr>
      </w:pPr>
      <w:r>
        <w:rPr>
          <w:iCs/>
        </w:rPr>
        <w:t>Да не се разклаща.</w:t>
      </w:r>
    </w:p>
    <w:p w14:paraId="109ADAA3" w14:textId="77777777" w:rsidR="009B3384" w:rsidRDefault="00800862">
      <w:pPr>
        <w:rPr>
          <w:iCs/>
        </w:rPr>
      </w:pPr>
      <w:r>
        <w:rPr>
          <w:iCs/>
        </w:rPr>
        <w:t>Подкожно приложение</w:t>
      </w:r>
    </w:p>
    <w:p w14:paraId="109ADAA4" w14:textId="77777777" w:rsidR="009B3384" w:rsidRDefault="00800862">
      <w:r>
        <w:t>Преди употреба прочетете листовката.</w:t>
      </w:r>
    </w:p>
    <w:p w14:paraId="109ADAA5" w14:textId="77777777" w:rsidR="009B3384" w:rsidRDefault="009B3384"/>
    <w:p w14:paraId="109ADAA6" w14:textId="77777777" w:rsidR="009B3384" w:rsidRDefault="009B3384"/>
    <w:p w14:paraId="109ADAA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09ADAA8" w14:textId="77777777" w:rsidR="009B3384" w:rsidRDefault="009B3384"/>
    <w:p w14:paraId="109ADAA9" w14:textId="77777777" w:rsidR="009B3384" w:rsidRDefault="00800862">
      <w:r>
        <w:t>Да се съхранява на място, недостъпно за деца.</w:t>
      </w:r>
    </w:p>
    <w:p w14:paraId="109ADAAA" w14:textId="77777777" w:rsidR="009B3384" w:rsidRDefault="009B3384"/>
    <w:p w14:paraId="109ADAAB" w14:textId="77777777" w:rsidR="009B3384" w:rsidRDefault="009B3384"/>
    <w:p w14:paraId="109ADAA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7.</w:t>
      </w:r>
      <w:r>
        <w:rPr>
          <w:b/>
        </w:rPr>
        <w:tab/>
        <w:t>ДРУГИ СПЕЦИАЛНИ ПРЕДУПРЕЖДЕНИЯ, АКО Е НЕОБХОДИМО</w:t>
      </w:r>
    </w:p>
    <w:p w14:paraId="109ADAAD" w14:textId="77777777" w:rsidR="009B3384" w:rsidRDefault="009B3384"/>
    <w:p w14:paraId="109ADAAE" w14:textId="77777777" w:rsidR="009B3384" w:rsidRDefault="009B3384"/>
    <w:p w14:paraId="109ADAA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8.</w:t>
      </w:r>
      <w:r>
        <w:rPr>
          <w:b/>
        </w:rPr>
        <w:tab/>
        <w:t>ДАТА НА ИЗТИЧАНЕ НА СРОКА НА ГОДНОСТ</w:t>
      </w:r>
    </w:p>
    <w:p w14:paraId="109ADAB0" w14:textId="77777777" w:rsidR="009B3384" w:rsidRDefault="009B3384"/>
    <w:p w14:paraId="109ADAB1" w14:textId="77777777" w:rsidR="009B3384" w:rsidRDefault="00800862">
      <w:r>
        <w:t>Годен до:</w:t>
      </w:r>
    </w:p>
    <w:p w14:paraId="109ADAB2" w14:textId="77777777" w:rsidR="009B3384" w:rsidRDefault="009B3384"/>
    <w:p w14:paraId="109ADAB3" w14:textId="77777777" w:rsidR="009B3384" w:rsidRDefault="009B3384"/>
    <w:p w14:paraId="109ADAB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9.</w:t>
      </w:r>
      <w:r>
        <w:rPr>
          <w:b/>
        </w:rPr>
        <w:tab/>
        <w:t>СПЕЦИАЛНИ УСЛОВИЯ НА СЪХРАНЕНИЕ</w:t>
      </w:r>
    </w:p>
    <w:p w14:paraId="109ADAB5" w14:textId="77777777" w:rsidR="009B3384" w:rsidRDefault="009B3384">
      <w:pPr>
        <w:keepNext/>
      </w:pPr>
    </w:p>
    <w:p w14:paraId="109ADAB6" w14:textId="77777777" w:rsidR="009B3384" w:rsidRDefault="00800862">
      <w:r>
        <w:t>Да се съхранява в хладилник.</w:t>
      </w:r>
    </w:p>
    <w:p w14:paraId="109ADAB7" w14:textId="77777777" w:rsidR="009B3384" w:rsidRDefault="00800862">
      <w:r>
        <w:t>Да не се замразява.</w:t>
      </w:r>
    </w:p>
    <w:p w14:paraId="109ADAB8" w14:textId="77777777" w:rsidR="009B3384" w:rsidRDefault="00800862">
      <w:r>
        <w:t>Съхранявайте флакона в картонената опаковка, за да се предпази от светлина.</w:t>
      </w:r>
    </w:p>
    <w:p w14:paraId="109ADAB9" w14:textId="77777777" w:rsidR="009B3384" w:rsidRDefault="009B3384"/>
    <w:p w14:paraId="109ADABA" w14:textId="77777777" w:rsidR="009B3384" w:rsidRDefault="009B3384"/>
    <w:p w14:paraId="109ADAB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9ADABC" w14:textId="77777777" w:rsidR="009B3384" w:rsidRDefault="009B3384"/>
    <w:p w14:paraId="109ADABD" w14:textId="77777777" w:rsidR="009B3384" w:rsidRDefault="009B3384"/>
    <w:p w14:paraId="109ADABE"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ИМЕ И АДРЕС НА ПРИТЕЖАТЕЛЯ НА РАЗРЕШЕНИЕТО ЗА УПОТРЕБА</w:t>
      </w:r>
    </w:p>
    <w:p w14:paraId="109ADABF" w14:textId="77777777" w:rsidR="009B3384" w:rsidRDefault="009B3384"/>
    <w:p w14:paraId="109ADAC0" w14:textId="77777777" w:rsidR="009B3384" w:rsidRDefault="00800862">
      <w:pPr>
        <w:rPr>
          <w:szCs w:val="13"/>
        </w:rPr>
      </w:pPr>
      <w:r>
        <w:rPr>
          <w:szCs w:val="13"/>
        </w:rPr>
        <w:t>Janssen-Cilag International NV</w:t>
      </w:r>
    </w:p>
    <w:p w14:paraId="109ADAC1" w14:textId="77777777" w:rsidR="009B3384" w:rsidRDefault="00800862">
      <w:pPr>
        <w:rPr>
          <w:szCs w:val="13"/>
        </w:rPr>
      </w:pPr>
      <w:r>
        <w:rPr>
          <w:szCs w:val="13"/>
        </w:rPr>
        <w:t>Turnhoutseweg 30</w:t>
      </w:r>
    </w:p>
    <w:p w14:paraId="109ADAC2" w14:textId="77777777" w:rsidR="009B3384" w:rsidRDefault="00800862">
      <w:pPr>
        <w:rPr>
          <w:szCs w:val="13"/>
        </w:rPr>
      </w:pPr>
      <w:r>
        <w:rPr>
          <w:szCs w:val="13"/>
          <w:lang w:val="nl-BE"/>
        </w:rPr>
        <w:t>B</w:t>
      </w:r>
      <w:r>
        <w:rPr>
          <w:szCs w:val="13"/>
        </w:rPr>
        <w:t>-2340 Beerse</w:t>
      </w:r>
    </w:p>
    <w:p w14:paraId="109ADAC3" w14:textId="77777777" w:rsidR="009B3384" w:rsidRDefault="00800862">
      <w:r>
        <w:rPr>
          <w:szCs w:val="13"/>
        </w:rPr>
        <w:t>Белгия</w:t>
      </w:r>
    </w:p>
    <w:p w14:paraId="109ADAC4" w14:textId="77777777" w:rsidR="009B3384" w:rsidRDefault="009B3384"/>
    <w:p w14:paraId="109ADAC5" w14:textId="77777777" w:rsidR="009B3384" w:rsidRDefault="009B3384"/>
    <w:p w14:paraId="109ADAC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НОМЕР НА РАЗРЕШЕНИЕТО ЗА УПОТРЕБА</w:t>
      </w:r>
    </w:p>
    <w:p w14:paraId="109ADAC7" w14:textId="77777777" w:rsidR="009B3384" w:rsidRDefault="009B3384"/>
    <w:p w14:paraId="109ADAC8" w14:textId="77777777" w:rsidR="009B3384" w:rsidRDefault="00800862">
      <w:pPr>
        <w:rPr>
          <w:szCs w:val="24"/>
        </w:rPr>
      </w:pPr>
      <w:r>
        <w:rPr>
          <w:szCs w:val="24"/>
        </w:rPr>
        <w:t>EU/1/08/494/001</w:t>
      </w:r>
    </w:p>
    <w:p w14:paraId="109ADAC9" w14:textId="77777777" w:rsidR="009B3384" w:rsidRDefault="009B3384"/>
    <w:p w14:paraId="109ADACA" w14:textId="77777777" w:rsidR="009B3384" w:rsidRDefault="009B3384"/>
    <w:p w14:paraId="109ADAC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ПАРТИДЕН НОМЕР</w:t>
      </w:r>
    </w:p>
    <w:p w14:paraId="109ADACC" w14:textId="77777777" w:rsidR="009B3384" w:rsidRDefault="009B3384"/>
    <w:p w14:paraId="109ADACD" w14:textId="77777777" w:rsidR="009B3384" w:rsidRDefault="00800862">
      <w:r>
        <w:t>Партида:</w:t>
      </w:r>
    </w:p>
    <w:p w14:paraId="109ADACE" w14:textId="77777777" w:rsidR="009B3384" w:rsidRDefault="009B3384"/>
    <w:p w14:paraId="109ADACF" w14:textId="77777777" w:rsidR="009B3384" w:rsidRDefault="009B3384"/>
    <w:p w14:paraId="109ADAD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НАЧИН НА ОТПУСКАНЕ</w:t>
      </w:r>
    </w:p>
    <w:p w14:paraId="109ADAD1" w14:textId="77777777" w:rsidR="009B3384" w:rsidRDefault="009B3384"/>
    <w:p w14:paraId="109ADAD2" w14:textId="77777777" w:rsidR="009B3384" w:rsidRDefault="009B3384"/>
    <w:p w14:paraId="109ADAD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УКАЗАНИЯ ЗА УПОТРЕБА</w:t>
      </w:r>
    </w:p>
    <w:p w14:paraId="109ADAD4" w14:textId="77777777" w:rsidR="009B3384" w:rsidRDefault="009B3384"/>
    <w:p w14:paraId="109ADAD5" w14:textId="77777777" w:rsidR="009B3384" w:rsidRDefault="009B3384"/>
    <w:p w14:paraId="109ADAD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ИНФОРМАЦИЯ НА БРАЙЛОВА АЗБУКА</w:t>
      </w:r>
    </w:p>
    <w:p w14:paraId="109ADAD7" w14:textId="77777777" w:rsidR="009B3384" w:rsidRDefault="009B3384"/>
    <w:p w14:paraId="109ADAD8" w14:textId="77777777" w:rsidR="009B3384" w:rsidRDefault="00800862">
      <w:r>
        <w:t>STELARA 45 mg</w:t>
      </w:r>
    </w:p>
    <w:p w14:paraId="109ADAD9" w14:textId="77777777" w:rsidR="009B3384" w:rsidRDefault="009B3384"/>
    <w:p w14:paraId="109ADADA"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17.</w:t>
      </w:r>
      <w:r>
        <w:rPr>
          <w:b/>
        </w:rPr>
        <w:tab/>
        <w:t>УНИКАЛЕН ИДЕНТИФИКАТОР — ДВУИЗМЕРЕН БАРКОД</w:t>
      </w:r>
    </w:p>
    <w:p w14:paraId="109ADADB" w14:textId="77777777" w:rsidR="009B3384" w:rsidRDefault="009B3384"/>
    <w:p w14:paraId="109ADADC" w14:textId="77777777" w:rsidR="009B3384" w:rsidRDefault="00800862">
      <w:r>
        <w:rPr>
          <w:highlight w:val="lightGray"/>
        </w:rPr>
        <w:t>Двуизмерен баркод с включен уникален идентификатор</w:t>
      </w:r>
    </w:p>
    <w:p w14:paraId="109ADADD" w14:textId="77777777" w:rsidR="009B3384" w:rsidRDefault="009B3384"/>
    <w:p w14:paraId="109ADADE" w14:textId="77777777" w:rsidR="009B3384" w:rsidRDefault="009B3384">
      <w:pPr>
        <w:spacing w:line="260" w:lineRule="exact"/>
        <w:rPr>
          <w:vanish/>
          <w:szCs w:val="22"/>
        </w:rPr>
      </w:pPr>
    </w:p>
    <w:p w14:paraId="109ADAD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18.</w:t>
      </w:r>
      <w:r>
        <w:rPr>
          <w:b/>
        </w:rPr>
        <w:tab/>
        <w:t>УНИКАЛЕН ИДЕНТИФИКАТОР — ДАННИ ЗА ЧЕТЕНЕ ОТ ХОРА</w:t>
      </w:r>
    </w:p>
    <w:p w14:paraId="109ADAE0" w14:textId="77777777" w:rsidR="009B3384" w:rsidRDefault="009B3384"/>
    <w:p w14:paraId="109ADAE1" w14:textId="77777777" w:rsidR="009B3384" w:rsidRDefault="00800862">
      <w:r>
        <w:rPr>
          <w:lang w:val="en-GB"/>
        </w:rPr>
        <w:t>PC</w:t>
      </w:r>
    </w:p>
    <w:p w14:paraId="109ADAE2" w14:textId="77777777" w:rsidR="009B3384" w:rsidRDefault="00800862">
      <w:pPr>
        <w:rPr>
          <w:szCs w:val="22"/>
        </w:rPr>
      </w:pPr>
      <w:r>
        <w:rPr>
          <w:lang w:val="en-GB"/>
        </w:rPr>
        <w:t>SN</w:t>
      </w:r>
    </w:p>
    <w:p w14:paraId="109ADAE3" w14:textId="77777777" w:rsidR="009B3384" w:rsidRDefault="00800862">
      <w:r>
        <w:rPr>
          <w:lang w:val="en-GB"/>
        </w:rPr>
        <w:t>NN</w:t>
      </w:r>
      <w:r>
        <w:br w:type="page"/>
      </w:r>
    </w:p>
    <w:p w14:paraId="109ADAE4" w14:textId="77777777" w:rsidR="009B3384" w:rsidRDefault="00800862">
      <w:pPr>
        <w:keepNext/>
        <w:pBdr>
          <w:top w:val="single" w:sz="4" w:space="1" w:color="000000"/>
          <w:left w:val="single" w:sz="4" w:space="4" w:color="000000"/>
          <w:bottom w:val="single" w:sz="4" w:space="1" w:color="000000"/>
          <w:right w:val="single" w:sz="4" w:space="4" w:color="000000"/>
        </w:pBdr>
        <w:rPr>
          <w:b/>
          <w:bCs/>
        </w:rPr>
      </w:pPr>
      <w:r>
        <w:rPr>
          <w:b/>
          <w:bCs/>
        </w:rPr>
        <w:lastRenderedPageBreak/>
        <w:t>МИНИМУМ ДАННИ, КОИТО ТРЯБВА ДА СЪДЪРЖАТ МАЛКИТЕ ЕДИНИЧНИ ПЪРВИЧНИ ОПАКОВКИ</w:t>
      </w:r>
    </w:p>
    <w:p w14:paraId="109ADAE5"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AE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t>ТЕКСТ НА ЕТИКЕТА НА ФЛАКОНА (45 mg)</w:t>
      </w:r>
    </w:p>
    <w:p w14:paraId="109ADAE7" w14:textId="77777777" w:rsidR="009B3384" w:rsidRDefault="009B3384"/>
    <w:p w14:paraId="109ADAE8" w14:textId="77777777" w:rsidR="009B3384" w:rsidRDefault="009B3384"/>
    <w:p w14:paraId="109ADAE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 И ПЪТ(ИЩА) НА ВЪВЕЖДАНЕ</w:t>
      </w:r>
    </w:p>
    <w:p w14:paraId="109ADAEA" w14:textId="77777777" w:rsidR="009B3384" w:rsidRDefault="009B3384"/>
    <w:p w14:paraId="109ADAEB" w14:textId="77777777" w:rsidR="009B3384" w:rsidRDefault="00800862">
      <w:r>
        <w:t>STELARA 45 mg инжекционен разтвор</w:t>
      </w:r>
    </w:p>
    <w:p w14:paraId="109ADAEC" w14:textId="77777777" w:rsidR="009B3384" w:rsidRDefault="00800862">
      <w:r>
        <w:t>устекинумаб</w:t>
      </w:r>
    </w:p>
    <w:p w14:paraId="109ADAED" w14:textId="77777777" w:rsidR="009B3384" w:rsidRDefault="00800862">
      <w:r>
        <w:t>s.c.</w:t>
      </w:r>
    </w:p>
    <w:p w14:paraId="109ADAEE" w14:textId="77777777" w:rsidR="009B3384" w:rsidRDefault="009B3384"/>
    <w:p w14:paraId="109ADAEF" w14:textId="77777777" w:rsidR="009B3384" w:rsidRDefault="009B3384"/>
    <w:p w14:paraId="109ADAF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 xml:space="preserve">НАЧИН НА </w:t>
      </w:r>
      <w:r>
        <w:rPr>
          <w:b/>
          <w:szCs w:val="22"/>
        </w:rPr>
        <w:t>ПРИЛОЖЕНИЕ</w:t>
      </w:r>
    </w:p>
    <w:p w14:paraId="109ADAF1" w14:textId="77777777" w:rsidR="009B3384" w:rsidRDefault="009B3384"/>
    <w:p w14:paraId="109ADAF2" w14:textId="77777777" w:rsidR="009B3384" w:rsidRDefault="009B3384"/>
    <w:p w14:paraId="109ADAF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ДАТА НА ИЗТИЧАНЕ НА СРОКА НА ГОДНОСТ</w:t>
      </w:r>
    </w:p>
    <w:p w14:paraId="109ADAF4" w14:textId="77777777" w:rsidR="009B3384" w:rsidRDefault="009B3384"/>
    <w:p w14:paraId="109ADAF5" w14:textId="77777777" w:rsidR="009B3384" w:rsidRDefault="00800862">
      <w:r>
        <w:rPr>
          <w:lang w:val="en-US"/>
        </w:rPr>
        <w:t>EXP</w:t>
      </w:r>
    </w:p>
    <w:p w14:paraId="109ADAF6" w14:textId="77777777" w:rsidR="009B3384" w:rsidRDefault="009B3384"/>
    <w:p w14:paraId="109ADAF7" w14:textId="77777777" w:rsidR="009B3384" w:rsidRDefault="009B3384"/>
    <w:p w14:paraId="109ADAF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ПАРТИДЕН НОМЕР</w:t>
      </w:r>
    </w:p>
    <w:p w14:paraId="109ADAF9" w14:textId="77777777" w:rsidR="009B3384" w:rsidRDefault="009B3384"/>
    <w:p w14:paraId="109ADAFA" w14:textId="77777777" w:rsidR="009B3384" w:rsidRDefault="00800862">
      <w:r>
        <w:rPr>
          <w:lang w:val="en-US"/>
        </w:rPr>
        <w:t>Lot</w:t>
      </w:r>
    </w:p>
    <w:p w14:paraId="109ADAFB" w14:textId="77777777" w:rsidR="009B3384" w:rsidRDefault="009B3384"/>
    <w:p w14:paraId="109ADAFC" w14:textId="77777777" w:rsidR="009B3384" w:rsidRDefault="009B3384"/>
    <w:p w14:paraId="109ADAF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СЪДЪРЖАНИЕ КАТО МАСА, ОБЕМ ИЛИ ЕДИНИЦИ</w:t>
      </w:r>
    </w:p>
    <w:p w14:paraId="109ADAFE" w14:textId="77777777" w:rsidR="009B3384" w:rsidRDefault="009B3384"/>
    <w:p w14:paraId="109ADAFF" w14:textId="77777777" w:rsidR="009B3384" w:rsidRDefault="00800862">
      <w:r>
        <w:t>45 mg/0,5 ml</w:t>
      </w:r>
    </w:p>
    <w:p w14:paraId="109ADB00" w14:textId="77777777" w:rsidR="009B3384" w:rsidRDefault="009B3384"/>
    <w:p w14:paraId="109ADB01" w14:textId="77777777" w:rsidR="009B3384" w:rsidRDefault="009B3384"/>
    <w:p w14:paraId="109ADB0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ДРУГО</w:t>
      </w:r>
    </w:p>
    <w:p w14:paraId="109ADB03" w14:textId="77777777" w:rsidR="009B3384" w:rsidRDefault="00800862">
      <w:r>
        <w:br w:type="page"/>
      </w:r>
    </w:p>
    <w:p w14:paraId="109ADB0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lastRenderedPageBreak/>
        <w:t>ДАННИ, КОИТО ТРЯБВА ДА СЪДЪРЖА ВТОРИЧНАТА ОПАКОВКА</w:t>
      </w:r>
    </w:p>
    <w:p w14:paraId="109ADB05"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B06"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t>ТЕКСТ НА КУТИЯТА НА ПРЕДВАРИТЕЛНО НАПЪЛНЕНАТА СПРИНЦОВКА (45 mg)</w:t>
      </w:r>
    </w:p>
    <w:p w14:paraId="109ADB07" w14:textId="77777777" w:rsidR="009B3384" w:rsidRDefault="009B3384"/>
    <w:p w14:paraId="109ADB08" w14:textId="77777777" w:rsidR="009B3384" w:rsidRDefault="009B3384"/>
    <w:p w14:paraId="109ADB0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w:t>
      </w:r>
    </w:p>
    <w:p w14:paraId="109ADB0A" w14:textId="77777777" w:rsidR="009B3384" w:rsidRDefault="009B3384"/>
    <w:p w14:paraId="109ADB0B" w14:textId="77777777" w:rsidR="009B3384" w:rsidRDefault="00800862">
      <w:r>
        <w:t>STELARA 45 mg инжекционен разтвор в предварително напълнена спринцовка</w:t>
      </w:r>
    </w:p>
    <w:p w14:paraId="109ADB0C" w14:textId="77777777" w:rsidR="009B3384" w:rsidRDefault="00800862">
      <w:r>
        <w:t>устекинумаб</w:t>
      </w:r>
    </w:p>
    <w:p w14:paraId="109ADB0D" w14:textId="77777777" w:rsidR="009B3384" w:rsidRDefault="009B3384"/>
    <w:p w14:paraId="109ADB0E" w14:textId="77777777" w:rsidR="009B3384" w:rsidRDefault="009B3384"/>
    <w:p w14:paraId="109ADB0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ОБЯВЯВАНЕ НА АКТИВНОТО(ИТЕ) ВЕЩЕСТВО(А)</w:t>
      </w:r>
    </w:p>
    <w:p w14:paraId="109ADB10" w14:textId="77777777" w:rsidR="009B3384" w:rsidRDefault="009B3384"/>
    <w:p w14:paraId="109ADB11" w14:textId="77777777" w:rsidR="009B3384" w:rsidRDefault="00800862">
      <w:r>
        <w:t>Всяка предварително напълнена спринцовка съдържа 45 mg устекинумаб в 0,5 ml.</w:t>
      </w:r>
    </w:p>
    <w:p w14:paraId="109ADB12" w14:textId="77777777" w:rsidR="009B3384" w:rsidRDefault="009B3384"/>
    <w:p w14:paraId="109ADB13" w14:textId="77777777" w:rsidR="009B3384" w:rsidRDefault="009B3384"/>
    <w:p w14:paraId="109ADB1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СПИСЪК НА ПОМОЩНИТЕ ВЕЩЕСТВА</w:t>
      </w:r>
    </w:p>
    <w:p w14:paraId="109ADB15" w14:textId="77777777" w:rsidR="009B3384" w:rsidRDefault="009B3384">
      <w:pPr>
        <w:rPr>
          <w:iCs/>
        </w:rPr>
      </w:pPr>
    </w:p>
    <w:p w14:paraId="109ADB16" w14:textId="77777777" w:rsidR="009B3384" w:rsidRDefault="00800862">
      <w:r>
        <w:rPr>
          <w:iCs/>
        </w:rPr>
        <w:t xml:space="preserve">Помощни вещества: захароза, L-хистидин, L-хистидинов монохидрохлорид монохидрат, полисорбат 80, вода за инжекции. Опаковката, в която се намира </w:t>
      </w:r>
      <w:r>
        <w:t xml:space="preserve">този лекарствен продукт, съдържа латексова гума. </w:t>
      </w:r>
      <w:r w:rsidRPr="00BC6A43">
        <w:rPr>
          <w:highlight w:val="lightGray"/>
        </w:rPr>
        <w:t>За допълнителна информация вижте листовката.</w:t>
      </w:r>
    </w:p>
    <w:p w14:paraId="109ADB17" w14:textId="77777777" w:rsidR="009B3384" w:rsidRDefault="009B3384"/>
    <w:p w14:paraId="109ADB18" w14:textId="77777777" w:rsidR="009B3384" w:rsidRDefault="009B3384"/>
    <w:p w14:paraId="109ADB1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ЛЕКАРСТВЕНА ФОРМА И КОЛИЧЕСТВО В ЕДНА ОПАКОВКА</w:t>
      </w:r>
    </w:p>
    <w:p w14:paraId="109ADB1A" w14:textId="77777777" w:rsidR="009B3384" w:rsidRDefault="009B3384"/>
    <w:p w14:paraId="109ADB1B" w14:textId="2FAA0318" w:rsidR="009B3384" w:rsidRPr="00F9219D" w:rsidRDefault="00800862">
      <w:r w:rsidRPr="00BC6A43">
        <w:rPr>
          <w:highlight w:val="lightGray"/>
        </w:rPr>
        <w:t>Инжекционен разтвор</w:t>
      </w:r>
      <w:del w:id="1298" w:author="EUCP BE1" w:date="2026-05-19T16:59:00Z">
        <w:r w:rsidDel="00F72194">
          <w:delText xml:space="preserve"> </w:delText>
        </w:r>
      </w:del>
    </w:p>
    <w:p w14:paraId="109ADB1C" w14:textId="77777777" w:rsidR="009B3384" w:rsidRDefault="00800862">
      <w:r>
        <w:t>45 mg/0,5 ml</w:t>
      </w:r>
    </w:p>
    <w:p w14:paraId="109ADB1D" w14:textId="77777777" w:rsidR="009B3384" w:rsidRDefault="00800862">
      <w:r>
        <w:t>1 предварително напълнена спринцовка</w:t>
      </w:r>
    </w:p>
    <w:p w14:paraId="109ADB1E" w14:textId="77777777" w:rsidR="009B3384" w:rsidRDefault="009B3384"/>
    <w:p w14:paraId="109ADB1F" w14:textId="77777777" w:rsidR="009B3384" w:rsidRDefault="009B3384"/>
    <w:p w14:paraId="109ADB2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 xml:space="preserve">НАЧИН НА </w:t>
      </w:r>
      <w:r>
        <w:rPr>
          <w:b/>
          <w:szCs w:val="22"/>
        </w:rPr>
        <w:t>ПРИЛОЖЕНИЕ</w:t>
      </w:r>
      <w:r>
        <w:rPr>
          <w:b/>
        </w:rPr>
        <w:t xml:space="preserve"> И ПЪТ(ИЩА) НА ВЪВЕЖДАНЕ</w:t>
      </w:r>
    </w:p>
    <w:p w14:paraId="109ADB21" w14:textId="77777777" w:rsidR="009B3384" w:rsidRDefault="009B3384">
      <w:pPr>
        <w:rPr>
          <w:iCs/>
        </w:rPr>
      </w:pPr>
    </w:p>
    <w:p w14:paraId="109ADB22" w14:textId="77777777" w:rsidR="009B3384" w:rsidRDefault="00800862">
      <w:pPr>
        <w:rPr>
          <w:iCs/>
        </w:rPr>
      </w:pPr>
      <w:r>
        <w:rPr>
          <w:iCs/>
        </w:rPr>
        <w:t>Да не се разклаща.</w:t>
      </w:r>
    </w:p>
    <w:p w14:paraId="109ADB23" w14:textId="77777777" w:rsidR="009B3384" w:rsidRDefault="00800862">
      <w:pPr>
        <w:rPr>
          <w:iCs/>
        </w:rPr>
      </w:pPr>
      <w:r>
        <w:rPr>
          <w:iCs/>
        </w:rPr>
        <w:t>Подкожно приложение</w:t>
      </w:r>
    </w:p>
    <w:p w14:paraId="109ADB24" w14:textId="77777777" w:rsidR="009B3384" w:rsidRDefault="00800862">
      <w:r>
        <w:t>Преди употреба прочетете листовката.</w:t>
      </w:r>
    </w:p>
    <w:p w14:paraId="109ADB25" w14:textId="77777777" w:rsidR="009B3384" w:rsidRDefault="009B3384"/>
    <w:p w14:paraId="109ADB26" w14:textId="77777777" w:rsidR="009B3384" w:rsidRDefault="009B3384"/>
    <w:p w14:paraId="109ADB2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09ADB28" w14:textId="77777777" w:rsidR="009B3384" w:rsidRDefault="009B3384"/>
    <w:p w14:paraId="109ADB29" w14:textId="77777777" w:rsidR="009B3384" w:rsidRDefault="00800862">
      <w:r>
        <w:t>Да се съхранява на място, недостъпно за деца.</w:t>
      </w:r>
    </w:p>
    <w:p w14:paraId="109ADB2A" w14:textId="77777777" w:rsidR="009B3384" w:rsidRDefault="009B3384"/>
    <w:p w14:paraId="109ADB2B" w14:textId="77777777" w:rsidR="009B3384" w:rsidRDefault="009B3384"/>
    <w:p w14:paraId="109ADB2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7.</w:t>
      </w:r>
      <w:r>
        <w:rPr>
          <w:b/>
        </w:rPr>
        <w:tab/>
        <w:t>ДРУГИ СПЕЦИАЛНИ ПРЕДУПРЕЖДЕНИЯ, АКО Е НЕОБХОДИМО</w:t>
      </w:r>
    </w:p>
    <w:p w14:paraId="109ADB2D" w14:textId="77777777" w:rsidR="009B3384" w:rsidRDefault="009B3384"/>
    <w:p w14:paraId="109ADB2E" w14:textId="77777777" w:rsidR="009B3384" w:rsidRDefault="009B3384"/>
    <w:p w14:paraId="109ADB2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8.</w:t>
      </w:r>
      <w:r>
        <w:rPr>
          <w:b/>
        </w:rPr>
        <w:tab/>
        <w:t>ДАТА НА ИЗТИЧАНЕ НА СРОКА НА ГОДНОСТ</w:t>
      </w:r>
    </w:p>
    <w:p w14:paraId="109ADB30" w14:textId="77777777" w:rsidR="009B3384" w:rsidRDefault="009B3384"/>
    <w:p w14:paraId="109ADB31" w14:textId="77777777" w:rsidR="009B3384" w:rsidRDefault="00800862">
      <w:r>
        <w:t>Годен до:</w:t>
      </w:r>
    </w:p>
    <w:p w14:paraId="109ADB32" w14:textId="77777777" w:rsidR="009B3384" w:rsidRDefault="00800862">
      <w:r>
        <w:t>Дата на изхвърляне, при съхранение на стайна температура:___________________</w:t>
      </w:r>
    </w:p>
    <w:p w14:paraId="109ADB33" w14:textId="77777777" w:rsidR="009B3384" w:rsidRDefault="009B3384">
      <w:bookmarkStart w:id="1299" w:name="_Hlk31272061"/>
      <w:bookmarkEnd w:id="1299"/>
    </w:p>
    <w:p w14:paraId="109ADB34" w14:textId="77777777" w:rsidR="009B3384" w:rsidRDefault="009B3384"/>
    <w:p w14:paraId="109ADB3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9.</w:t>
      </w:r>
      <w:r>
        <w:rPr>
          <w:b/>
        </w:rPr>
        <w:tab/>
        <w:t>СПЕЦИАЛНИ УСЛОВИЯ НА СЪХРАНЕНИЕ</w:t>
      </w:r>
    </w:p>
    <w:p w14:paraId="109ADB36" w14:textId="77777777" w:rsidR="009B3384" w:rsidRDefault="009B3384"/>
    <w:p w14:paraId="109ADB37" w14:textId="77777777" w:rsidR="009B3384" w:rsidRDefault="00800862">
      <w:r>
        <w:t>Да се съхранява в хладилник.</w:t>
      </w:r>
    </w:p>
    <w:p w14:paraId="109ADB38" w14:textId="77777777" w:rsidR="009B3384" w:rsidRDefault="00800862">
      <w:r>
        <w:lastRenderedPageBreak/>
        <w:t>Да не се замразява.</w:t>
      </w:r>
    </w:p>
    <w:p w14:paraId="109ADB39" w14:textId="77777777" w:rsidR="009B3384" w:rsidRDefault="00800862">
      <w:r>
        <w:t>Съхранявайте предварително напълнената спринцовка в картонената опаковка, за да се предпази от светлина.</w:t>
      </w:r>
    </w:p>
    <w:p w14:paraId="109ADB3A" w14:textId="77777777" w:rsidR="009B3384" w:rsidRDefault="00800862">
      <w:r>
        <w:t>Може да се съхранява при стайна температура (до 30</w:t>
      </w:r>
      <w:r>
        <w:rPr>
          <w:rFonts w:eastAsia="Symbol"/>
        </w:rPr>
        <w:t>°</w:t>
      </w:r>
      <w:r>
        <w:t>C) за един период до 30 дни, но не по-дълго от оригиналния срок на годност.</w:t>
      </w:r>
    </w:p>
    <w:p w14:paraId="109ADB3B" w14:textId="77777777" w:rsidR="009B3384" w:rsidRDefault="009B3384"/>
    <w:p w14:paraId="109ADB3C" w14:textId="77777777" w:rsidR="009B3384" w:rsidRDefault="009B3384"/>
    <w:p w14:paraId="109ADB3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9ADB3E" w14:textId="77777777" w:rsidR="009B3384" w:rsidRDefault="009B3384"/>
    <w:p w14:paraId="109ADB3F" w14:textId="77777777" w:rsidR="009B3384" w:rsidRDefault="009B3384"/>
    <w:p w14:paraId="109ADB4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ИМЕ И АДРЕС НА ПРИТЕЖАТЕЛЯ НА РАЗРЕШЕНИЕТО ЗА УПОТРЕБА</w:t>
      </w:r>
    </w:p>
    <w:p w14:paraId="109ADB41" w14:textId="77777777" w:rsidR="009B3384" w:rsidRDefault="009B3384"/>
    <w:p w14:paraId="109ADB42" w14:textId="77777777" w:rsidR="009B3384" w:rsidRDefault="00800862">
      <w:pPr>
        <w:rPr>
          <w:szCs w:val="13"/>
        </w:rPr>
      </w:pPr>
      <w:r>
        <w:rPr>
          <w:szCs w:val="13"/>
        </w:rPr>
        <w:t>Janssen-Cilag International NV</w:t>
      </w:r>
    </w:p>
    <w:p w14:paraId="109ADB43" w14:textId="77777777" w:rsidR="009B3384" w:rsidRDefault="00800862">
      <w:pPr>
        <w:rPr>
          <w:szCs w:val="13"/>
        </w:rPr>
      </w:pPr>
      <w:r>
        <w:rPr>
          <w:szCs w:val="13"/>
        </w:rPr>
        <w:t>Turnhoutseweg 30</w:t>
      </w:r>
    </w:p>
    <w:p w14:paraId="109ADB44" w14:textId="77777777" w:rsidR="009B3384" w:rsidRDefault="00800862">
      <w:pPr>
        <w:rPr>
          <w:szCs w:val="13"/>
        </w:rPr>
      </w:pPr>
      <w:r>
        <w:rPr>
          <w:szCs w:val="13"/>
          <w:lang w:val="nl-BE"/>
        </w:rPr>
        <w:t>B</w:t>
      </w:r>
      <w:r>
        <w:rPr>
          <w:szCs w:val="13"/>
        </w:rPr>
        <w:t>-2340 Beerse</w:t>
      </w:r>
    </w:p>
    <w:p w14:paraId="109ADB45" w14:textId="77777777" w:rsidR="009B3384" w:rsidRDefault="00800862">
      <w:r>
        <w:rPr>
          <w:szCs w:val="13"/>
        </w:rPr>
        <w:t>Белгия</w:t>
      </w:r>
    </w:p>
    <w:p w14:paraId="109ADB46" w14:textId="77777777" w:rsidR="009B3384" w:rsidRDefault="009B3384"/>
    <w:p w14:paraId="109ADB47" w14:textId="77777777" w:rsidR="009B3384" w:rsidRDefault="009B3384"/>
    <w:p w14:paraId="109ADB4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НОМЕР НА РАЗРЕШЕНИЕТО ЗА УПОТРЕБА</w:t>
      </w:r>
    </w:p>
    <w:p w14:paraId="109ADB49" w14:textId="77777777" w:rsidR="009B3384" w:rsidRDefault="009B3384">
      <w:pPr>
        <w:rPr>
          <w:szCs w:val="24"/>
        </w:rPr>
      </w:pPr>
    </w:p>
    <w:p w14:paraId="109ADB4A" w14:textId="77777777" w:rsidR="009B3384" w:rsidRDefault="00800862">
      <w:r>
        <w:t>EU/</w:t>
      </w:r>
      <w:r>
        <w:rPr>
          <w:szCs w:val="22"/>
        </w:rPr>
        <w:t>1/08/494/003</w:t>
      </w:r>
    </w:p>
    <w:p w14:paraId="109ADB4B" w14:textId="77777777" w:rsidR="009B3384" w:rsidRDefault="009B3384"/>
    <w:p w14:paraId="109ADB4C" w14:textId="77777777" w:rsidR="009B3384" w:rsidRDefault="009B3384"/>
    <w:p w14:paraId="109ADB4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ПАРТИДЕН НОМЕР</w:t>
      </w:r>
    </w:p>
    <w:p w14:paraId="109ADB4E" w14:textId="77777777" w:rsidR="009B3384" w:rsidRDefault="009B3384"/>
    <w:p w14:paraId="109ADB4F" w14:textId="77777777" w:rsidR="009B3384" w:rsidRDefault="00800862">
      <w:r>
        <w:t>Партида:</w:t>
      </w:r>
    </w:p>
    <w:p w14:paraId="109ADB50" w14:textId="77777777" w:rsidR="009B3384" w:rsidRDefault="009B3384"/>
    <w:p w14:paraId="109ADB51" w14:textId="77777777" w:rsidR="009B3384" w:rsidRDefault="009B3384"/>
    <w:p w14:paraId="109ADB5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НАЧИН НА ОТПУСКАНЕ</w:t>
      </w:r>
    </w:p>
    <w:p w14:paraId="109ADB53" w14:textId="77777777" w:rsidR="009B3384" w:rsidRDefault="009B3384"/>
    <w:p w14:paraId="109ADB54" w14:textId="77777777" w:rsidR="009B3384" w:rsidRDefault="009B3384"/>
    <w:p w14:paraId="109ADB5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УКАЗАНИЯ ЗА УПОТРЕБА</w:t>
      </w:r>
    </w:p>
    <w:p w14:paraId="109ADB56" w14:textId="77777777" w:rsidR="009B3384" w:rsidRDefault="009B3384"/>
    <w:p w14:paraId="109ADB57" w14:textId="77777777" w:rsidR="009B3384" w:rsidRDefault="009B3384"/>
    <w:p w14:paraId="109ADB5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ИНФОРМАЦИЯ НА БРАЙЛОВА АЗБУКА</w:t>
      </w:r>
    </w:p>
    <w:p w14:paraId="109ADB59" w14:textId="77777777" w:rsidR="009B3384" w:rsidRDefault="009B3384"/>
    <w:p w14:paraId="109ADB5A" w14:textId="77777777" w:rsidR="009B3384" w:rsidRDefault="00800862">
      <w:r>
        <w:t>STELARA 45 mg</w:t>
      </w:r>
    </w:p>
    <w:p w14:paraId="109ADB5B" w14:textId="77777777" w:rsidR="009B3384" w:rsidRDefault="009B3384"/>
    <w:p w14:paraId="109ADB5C" w14:textId="77777777" w:rsidR="009B3384" w:rsidRDefault="009B3384"/>
    <w:p w14:paraId="109ADB5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17.</w:t>
      </w:r>
      <w:r>
        <w:rPr>
          <w:b/>
        </w:rPr>
        <w:tab/>
        <w:t>УНИКАЛЕН ИДЕНТИФИКАТОР — ДВУИЗМЕРЕН БАРКОД</w:t>
      </w:r>
    </w:p>
    <w:p w14:paraId="109ADB5E" w14:textId="77777777" w:rsidR="009B3384" w:rsidRDefault="009B3384"/>
    <w:p w14:paraId="109ADB5F" w14:textId="77777777" w:rsidR="009B3384" w:rsidRDefault="00800862">
      <w:r>
        <w:rPr>
          <w:highlight w:val="lightGray"/>
        </w:rPr>
        <w:t>Двуизмерен баркод с включен уникален идентификатор</w:t>
      </w:r>
    </w:p>
    <w:p w14:paraId="109ADB60" w14:textId="77777777" w:rsidR="009B3384" w:rsidRDefault="009B3384"/>
    <w:p w14:paraId="109ADB61" w14:textId="77777777" w:rsidR="009B3384" w:rsidRDefault="009B3384">
      <w:pPr>
        <w:spacing w:line="260" w:lineRule="exact"/>
        <w:rPr>
          <w:vanish/>
          <w:szCs w:val="22"/>
        </w:rPr>
      </w:pPr>
    </w:p>
    <w:p w14:paraId="109ADB6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18.</w:t>
      </w:r>
      <w:r>
        <w:rPr>
          <w:b/>
        </w:rPr>
        <w:tab/>
        <w:t>УНИКАЛЕН ИДЕНТИФИКАТОР — ДАННИ ЗА ЧЕТЕНЕ ОТ ХОРА</w:t>
      </w:r>
    </w:p>
    <w:p w14:paraId="109ADB63" w14:textId="77777777" w:rsidR="009B3384" w:rsidRDefault="009B3384">
      <w:pPr>
        <w:keepNext/>
      </w:pPr>
    </w:p>
    <w:p w14:paraId="109ADB64" w14:textId="77777777" w:rsidR="009B3384" w:rsidRDefault="00800862">
      <w:pPr>
        <w:keepNext/>
      </w:pPr>
      <w:r>
        <w:rPr>
          <w:lang w:val="en-GB"/>
        </w:rPr>
        <w:t>PC</w:t>
      </w:r>
    </w:p>
    <w:p w14:paraId="109ADB65" w14:textId="77777777" w:rsidR="009B3384" w:rsidRDefault="00800862">
      <w:pPr>
        <w:keepNext/>
        <w:rPr>
          <w:szCs w:val="22"/>
        </w:rPr>
      </w:pPr>
      <w:r>
        <w:rPr>
          <w:lang w:val="en-GB"/>
        </w:rPr>
        <w:t>SN</w:t>
      </w:r>
    </w:p>
    <w:p w14:paraId="109ADB66" w14:textId="77777777" w:rsidR="009B3384" w:rsidRDefault="00800862">
      <w:pPr>
        <w:rPr>
          <w:szCs w:val="22"/>
        </w:rPr>
      </w:pPr>
      <w:r>
        <w:rPr>
          <w:lang w:val="en-GB"/>
        </w:rPr>
        <w:t>NN</w:t>
      </w:r>
      <w:r>
        <w:br w:type="page"/>
      </w:r>
    </w:p>
    <w:p w14:paraId="109ADB67"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lastRenderedPageBreak/>
        <w:t>МИНИМУМ ДАННИ, КОИТО ТРЯБВА ДА СЪДЪРЖАТ МАЛКИТЕ ЕДИНИЧНИ ПЪРВИЧНИ ОПАКОВКИ</w:t>
      </w:r>
    </w:p>
    <w:p w14:paraId="109ADB68"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B6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t>ТЕКСТ НА ЕТИКЕТА НА ПРЕДВАРИТЕЛНО НАПЪЛНЕНАТА СПРИНЦОВКА (45 mg)</w:t>
      </w:r>
    </w:p>
    <w:p w14:paraId="109ADB6A" w14:textId="77777777" w:rsidR="009B3384" w:rsidRDefault="009B3384"/>
    <w:p w14:paraId="109ADB6B" w14:textId="77777777" w:rsidR="009B3384" w:rsidRDefault="009B3384"/>
    <w:p w14:paraId="109ADB6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 И ПЪТ(ИЩА) НА ВЪВЕЖДАНЕ</w:t>
      </w:r>
    </w:p>
    <w:p w14:paraId="109ADB6D" w14:textId="77777777" w:rsidR="009B3384" w:rsidRDefault="009B3384"/>
    <w:p w14:paraId="109ADB6E" w14:textId="77777777" w:rsidR="009B3384" w:rsidRDefault="00800862">
      <w:r>
        <w:t>STELARA 45 mg инжекция</w:t>
      </w:r>
    </w:p>
    <w:p w14:paraId="109ADB6F" w14:textId="77777777" w:rsidR="009B3384" w:rsidRDefault="00800862">
      <w:r>
        <w:t>устекинумаб</w:t>
      </w:r>
    </w:p>
    <w:p w14:paraId="109ADB70" w14:textId="77777777" w:rsidR="009B3384" w:rsidRDefault="00800862">
      <w:r>
        <w:t>s.c.</w:t>
      </w:r>
    </w:p>
    <w:p w14:paraId="109ADB71" w14:textId="77777777" w:rsidR="009B3384" w:rsidRDefault="009B3384"/>
    <w:p w14:paraId="109ADB72" w14:textId="77777777" w:rsidR="009B3384" w:rsidRDefault="009B3384"/>
    <w:p w14:paraId="109ADB7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 xml:space="preserve">НАЧИН НА </w:t>
      </w:r>
      <w:r>
        <w:rPr>
          <w:b/>
          <w:szCs w:val="22"/>
        </w:rPr>
        <w:t>ПРИЛОЖЕНИЕ</w:t>
      </w:r>
    </w:p>
    <w:p w14:paraId="109ADB74" w14:textId="77777777" w:rsidR="009B3384" w:rsidRDefault="009B3384"/>
    <w:p w14:paraId="109ADB75" w14:textId="77777777" w:rsidR="009B3384" w:rsidRDefault="009B3384"/>
    <w:p w14:paraId="109ADB7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ДАТА НА ИЗТИЧАНЕ НА СРОКА НА ГОДНОСТ</w:t>
      </w:r>
    </w:p>
    <w:p w14:paraId="109ADB77" w14:textId="77777777" w:rsidR="009B3384" w:rsidRDefault="009B3384"/>
    <w:p w14:paraId="109ADB78" w14:textId="77777777" w:rsidR="009B3384" w:rsidRDefault="00800862">
      <w:pPr>
        <w:widowControl w:val="0"/>
      </w:pPr>
      <w:r>
        <w:t>EXP</w:t>
      </w:r>
    </w:p>
    <w:p w14:paraId="109ADB79" w14:textId="77777777" w:rsidR="009B3384" w:rsidRDefault="009B3384"/>
    <w:p w14:paraId="109ADB7A" w14:textId="77777777" w:rsidR="009B3384" w:rsidRDefault="009B3384"/>
    <w:p w14:paraId="109ADB7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ПАРТИДЕН НОМЕР</w:t>
      </w:r>
    </w:p>
    <w:p w14:paraId="109ADB7C" w14:textId="77777777" w:rsidR="009B3384" w:rsidRDefault="009B3384"/>
    <w:p w14:paraId="109ADB7D" w14:textId="77777777" w:rsidR="009B3384" w:rsidRDefault="00800862">
      <w:pPr>
        <w:widowControl w:val="0"/>
      </w:pPr>
      <w:r>
        <w:t>Lot</w:t>
      </w:r>
    </w:p>
    <w:p w14:paraId="109ADB7E" w14:textId="77777777" w:rsidR="009B3384" w:rsidRDefault="009B3384"/>
    <w:p w14:paraId="109ADB7F" w14:textId="77777777" w:rsidR="009B3384" w:rsidRDefault="009B3384"/>
    <w:p w14:paraId="109ADB8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СЪДЪРЖАНИЕ КАТО МАСА, ОБЕМ ИЛИ ЕДИНИЦИ</w:t>
      </w:r>
    </w:p>
    <w:p w14:paraId="109ADB81" w14:textId="77777777" w:rsidR="009B3384" w:rsidRDefault="009B3384"/>
    <w:p w14:paraId="109ADB82" w14:textId="77777777" w:rsidR="009B3384" w:rsidRDefault="00800862">
      <w:r>
        <w:t>45 mg/0,5 ml</w:t>
      </w:r>
    </w:p>
    <w:p w14:paraId="109ADB83" w14:textId="77777777" w:rsidR="009B3384" w:rsidRDefault="009B3384"/>
    <w:p w14:paraId="109ADB84" w14:textId="77777777" w:rsidR="009B3384" w:rsidRDefault="009B3384"/>
    <w:p w14:paraId="109ADB8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ДРУГО</w:t>
      </w:r>
    </w:p>
    <w:p w14:paraId="109ADB86" w14:textId="77777777" w:rsidR="009B3384" w:rsidRDefault="00800862">
      <w:r>
        <w:br w:type="page"/>
      </w:r>
    </w:p>
    <w:p w14:paraId="109ADB8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ДАННИ, КОИТО ТРЯБВА ДА СЪДЪРЖА ВТОРИЧНАТА ОПАКОВКА</w:t>
      </w:r>
    </w:p>
    <w:p w14:paraId="109ADB88"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B89"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t>ТЕКСТ НА КУТИЯТА НА ПРЕДВАРИТЕЛНО НАПЪЛНЕНАТА СПРИНЦОВКА (90 mg)</w:t>
      </w:r>
    </w:p>
    <w:p w14:paraId="109ADB8A" w14:textId="77777777" w:rsidR="009B3384" w:rsidRDefault="009B3384"/>
    <w:p w14:paraId="109ADB8B" w14:textId="77777777" w:rsidR="009B3384" w:rsidRDefault="009B3384"/>
    <w:p w14:paraId="109ADB8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w:t>
      </w:r>
    </w:p>
    <w:p w14:paraId="109ADB8D" w14:textId="77777777" w:rsidR="009B3384" w:rsidRDefault="009B3384"/>
    <w:p w14:paraId="109ADB8E" w14:textId="77777777" w:rsidR="009B3384" w:rsidRDefault="00800862">
      <w:r>
        <w:t>STELARA 90 mg инжекционен разтвор в предварително напълнена спринцовка</w:t>
      </w:r>
    </w:p>
    <w:p w14:paraId="109ADB8F" w14:textId="77777777" w:rsidR="009B3384" w:rsidRDefault="00800862">
      <w:r>
        <w:t>устекинумаб</w:t>
      </w:r>
    </w:p>
    <w:p w14:paraId="109ADB90" w14:textId="77777777" w:rsidR="009B3384" w:rsidRDefault="009B3384"/>
    <w:p w14:paraId="109ADB91" w14:textId="77777777" w:rsidR="009B3384" w:rsidRDefault="009B3384"/>
    <w:p w14:paraId="109ADB9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ОБЯВЯВАНЕ НА АКТИВНОТО(ИТЕ) ВЕЩЕСТВО(А)</w:t>
      </w:r>
    </w:p>
    <w:p w14:paraId="109ADB93" w14:textId="77777777" w:rsidR="009B3384" w:rsidRDefault="009B3384"/>
    <w:p w14:paraId="109ADB94" w14:textId="77777777" w:rsidR="009B3384" w:rsidRDefault="00800862">
      <w:r>
        <w:t>Всяка предварително напълнена спринцовка съдържа 90 mg устекинумаб в 1 ml.</w:t>
      </w:r>
    </w:p>
    <w:p w14:paraId="109ADB95" w14:textId="77777777" w:rsidR="009B3384" w:rsidRDefault="009B3384"/>
    <w:p w14:paraId="109ADB96" w14:textId="77777777" w:rsidR="009B3384" w:rsidRDefault="009B3384"/>
    <w:p w14:paraId="109ADB9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СПИСЪК НА ПОМОЩНИТЕ ВЕЩЕСТВА</w:t>
      </w:r>
    </w:p>
    <w:p w14:paraId="109ADB98" w14:textId="77777777" w:rsidR="009B3384" w:rsidRDefault="009B3384">
      <w:pPr>
        <w:rPr>
          <w:iCs/>
        </w:rPr>
      </w:pPr>
    </w:p>
    <w:p w14:paraId="109ADB99" w14:textId="77777777" w:rsidR="009B3384" w:rsidRDefault="00800862">
      <w:r>
        <w:rPr>
          <w:iCs/>
        </w:rPr>
        <w:t>Помощни вещества: захароза, L-хистидин, L-хистидинов монохидрохлорид монохидрат, полисорбат 80, вода за инжекции</w:t>
      </w:r>
      <w:r>
        <w:t>. Опаковката, в която се намира този лекарствен продукт, съдържа латексова гума. За допълнителна информация вижте листовката.</w:t>
      </w:r>
    </w:p>
    <w:p w14:paraId="109ADB9A" w14:textId="77777777" w:rsidR="009B3384" w:rsidRDefault="009B3384"/>
    <w:p w14:paraId="109ADB9B" w14:textId="77777777" w:rsidR="009B3384" w:rsidRDefault="009B3384"/>
    <w:p w14:paraId="109ADB9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ЛЕКАРСТВЕНА ФОРМА И КОЛИЧЕСТВО В ЕДНА ОПАКОВКА</w:t>
      </w:r>
    </w:p>
    <w:p w14:paraId="109ADB9D" w14:textId="77777777" w:rsidR="009B3384" w:rsidRDefault="009B3384"/>
    <w:p w14:paraId="109ADB9E" w14:textId="28458DE8" w:rsidR="009B3384" w:rsidRPr="00F9219D" w:rsidRDefault="00800862">
      <w:r w:rsidRPr="00BC6A43">
        <w:rPr>
          <w:highlight w:val="lightGray"/>
        </w:rPr>
        <w:t>Инжекционен разтвор</w:t>
      </w:r>
      <w:del w:id="1300" w:author="EUCP BE1" w:date="2026-05-19T16:59:00Z">
        <w:r w:rsidDel="00F72194">
          <w:delText xml:space="preserve"> </w:delText>
        </w:r>
      </w:del>
    </w:p>
    <w:p w14:paraId="109ADB9F" w14:textId="77777777" w:rsidR="009B3384" w:rsidRDefault="00800862">
      <w:r>
        <w:t>90 mg/1 ml</w:t>
      </w:r>
    </w:p>
    <w:p w14:paraId="109ADBA0" w14:textId="77777777" w:rsidR="009B3384" w:rsidRDefault="00800862">
      <w:r>
        <w:t>1 предварително напълнена спринцовка</w:t>
      </w:r>
    </w:p>
    <w:p w14:paraId="109ADBA1" w14:textId="77777777" w:rsidR="009B3384" w:rsidRDefault="009B3384"/>
    <w:p w14:paraId="109ADBA2" w14:textId="77777777" w:rsidR="009B3384" w:rsidRDefault="009B3384"/>
    <w:p w14:paraId="109ADBA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 xml:space="preserve">НАЧИН НА </w:t>
      </w:r>
      <w:r>
        <w:rPr>
          <w:b/>
          <w:szCs w:val="22"/>
        </w:rPr>
        <w:t xml:space="preserve">ПРИЛОЖЕНИЕ </w:t>
      </w:r>
      <w:r>
        <w:rPr>
          <w:b/>
        </w:rPr>
        <w:t>И ПЪТ(ИЩА) НА ВЪВЕЖДАНЕ</w:t>
      </w:r>
    </w:p>
    <w:p w14:paraId="109ADBA4" w14:textId="77777777" w:rsidR="009B3384" w:rsidRDefault="009B3384"/>
    <w:p w14:paraId="109ADBA5" w14:textId="77777777" w:rsidR="009B3384" w:rsidRDefault="00800862">
      <w:pPr>
        <w:rPr>
          <w:iCs/>
        </w:rPr>
      </w:pPr>
      <w:r>
        <w:rPr>
          <w:iCs/>
        </w:rPr>
        <w:t>Да не се разклаща.</w:t>
      </w:r>
    </w:p>
    <w:p w14:paraId="109ADBA6" w14:textId="77777777" w:rsidR="009B3384" w:rsidRDefault="00800862">
      <w:pPr>
        <w:rPr>
          <w:iCs/>
        </w:rPr>
      </w:pPr>
      <w:r>
        <w:rPr>
          <w:iCs/>
        </w:rPr>
        <w:t>Подкожно приложение</w:t>
      </w:r>
    </w:p>
    <w:p w14:paraId="109ADBA7" w14:textId="77777777" w:rsidR="009B3384" w:rsidRDefault="00800862">
      <w:r>
        <w:t>Преди употреба прочетете листовката.</w:t>
      </w:r>
    </w:p>
    <w:p w14:paraId="109ADBA8" w14:textId="77777777" w:rsidR="009B3384" w:rsidRDefault="009B3384"/>
    <w:p w14:paraId="109ADBA9" w14:textId="77777777" w:rsidR="009B3384" w:rsidRDefault="009B3384"/>
    <w:p w14:paraId="109ADBAA"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09ADBAB" w14:textId="77777777" w:rsidR="009B3384" w:rsidRDefault="009B3384"/>
    <w:p w14:paraId="109ADBAC" w14:textId="77777777" w:rsidR="009B3384" w:rsidRDefault="00800862">
      <w:r>
        <w:t>Да се съхранява на място, недостъпно за деца.</w:t>
      </w:r>
    </w:p>
    <w:p w14:paraId="109ADBAD" w14:textId="77777777" w:rsidR="009B3384" w:rsidRDefault="009B3384"/>
    <w:p w14:paraId="109ADBAE" w14:textId="77777777" w:rsidR="009B3384" w:rsidRDefault="009B3384"/>
    <w:p w14:paraId="109ADBA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7.</w:t>
      </w:r>
      <w:r>
        <w:rPr>
          <w:b/>
        </w:rPr>
        <w:tab/>
        <w:t>ДРУГИ СПЕЦИАЛНИ ПРЕДУПРЕЖДЕНИЯ, АКО Е НЕОБХОДИМО</w:t>
      </w:r>
    </w:p>
    <w:p w14:paraId="109ADBB0" w14:textId="77777777" w:rsidR="009B3384" w:rsidRDefault="009B3384"/>
    <w:p w14:paraId="109ADBB1" w14:textId="77777777" w:rsidR="009B3384" w:rsidRDefault="009B3384"/>
    <w:p w14:paraId="109ADBB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8.</w:t>
      </w:r>
      <w:r>
        <w:rPr>
          <w:b/>
        </w:rPr>
        <w:tab/>
        <w:t>ДАТА НА ИЗТИЧАНЕ НА СРОКА НА ГОДНОСТ</w:t>
      </w:r>
    </w:p>
    <w:p w14:paraId="109ADBB3" w14:textId="77777777" w:rsidR="009B3384" w:rsidRDefault="009B3384"/>
    <w:p w14:paraId="109ADBB4" w14:textId="77777777" w:rsidR="009B3384" w:rsidRDefault="00800862">
      <w:r>
        <w:t>Годен до:</w:t>
      </w:r>
    </w:p>
    <w:p w14:paraId="109ADBB5" w14:textId="77777777" w:rsidR="009B3384" w:rsidRDefault="00800862">
      <w:r>
        <w:t>Дата на изхвърляне, при съхранение на стайна температура:___________________</w:t>
      </w:r>
    </w:p>
    <w:p w14:paraId="109ADBB6" w14:textId="77777777" w:rsidR="009B3384" w:rsidRDefault="009B3384"/>
    <w:p w14:paraId="109ADBB7" w14:textId="77777777" w:rsidR="009B3384" w:rsidRDefault="009B3384"/>
    <w:p w14:paraId="109ADBB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9.</w:t>
      </w:r>
      <w:r>
        <w:rPr>
          <w:b/>
        </w:rPr>
        <w:tab/>
        <w:t>СПЕЦИАЛНИ УСЛОВИЯ НА СЪХРАНЕНИЕ</w:t>
      </w:r>
    </w:p>
    <w:p w14:paraId="109ADBB9" w14:textId="77777777" w:rsidR="009B3384" w:rsidRDefault="009B3384"/>
    <w:p w14:paraId="109ADBBA" w14:textId="77777777" w:rsidR="009B3384" w:rsidRDefault="00800862">
      <w:r>
        <w:t>Да се съхранява в хладилник.</w:t>
      </w:r>
    </w:p>
    <w:p w14:paraId="109ADBBB" w14:textId="77777777" w:rsidR="009B3384" w:rsidRDefault="00800862">
      <w:r>
        <w:lastRenderedPageBreak/>
        <w:t>Да не се замразява.</w:t>
      </w:r>
    </w:p>
    <w:p w14:paraId="109ADBBC" w14:textId="77777777" w:rsidR="009B3384" w:rsidRDefault="00800862">
      <w:r>
        <w:t>Съхранявайте предварително напълнената спринцовка в картонената опаковка, за да се предпази от светлина.</w:t>
      </w:r>
    </w:p>
    <w:p w14:paraId="109ADBBD" w14:textId="77777777" w:rsidR="009B3384" w:rsidRDefault="00800862">
      <w:r>
        <w:t>Може да се съхранява при стайна температура (до 30</w:t>
      </w:r>
      <w:r>
        <w:rPr>
          <w:rFonts w:eastAsia="Symbol"/>
        </w:rPr>
        <w:t>°</w:t>
      </w:r>
      <w:r>
        <w:t>C) за един период до 30 дни, но не по-дълго от оригиналния срок на годност.</w:t>
      </w:r>
    </w:p>
    <w:p w14:paraId="109ADBBE" w14:textId="77777777" w:rsidR="009B3384" w:rsidRDefault="009B3384"/>
    <w:p w14:paraId="109ADBBF" w14:textId="77777777" w:rsidR="009B3384" w:rsidRDefault="009B3384"/>
    <w:p w14:paraId="109ADBC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9ADBC1" w14:textId="77777777" w:rsidR="009B3384" w:rsidRDefault="009B3384"/>
    <w:p w14:paraId="109ADBC2" w14:textId="77777777" w:rsidR="009B3384" w:rsidRDefault="009B3384"/>
    <w:p w14:paraId="109ADBC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ИМЕ И АДРЕС НА ПРИТЕЖАТЕЛЯ НА РАЗРЕШЕНИЕТО ЗА УПОТРЕБА</w:t>
      </w:r>
    </w:p>
    <w:p w14:paraId="109ADBC4" w14:textId="77777777" w:rsidR="009B3384" w:rsidRDefault="009B3384"/>
    <w:p w14:paraId="109ADBC5" w14:textId="77777777" w:rsidR="009B3384" w:rsidRDefault="00800862">
      <w:pPr>
        <w:rPr>
          <w:szCs w:val="13"/>
        </w:rPr>
      </w:pPr>
      <w:r>
        <w:rPr>
          <w:szCs w:val="13"/>
        </w:rPr>
        <w:t>Janssen-Cilag International NV</w:t>
      </w:r>
    </w:p>
    <w:p w14:paraId="109ADBC6" w14:textId="77777777" w:rsidR="009B3384" w:rsidRDefault="00800862">
      <w:pPr>
        <w:rPr>
          <w:szCs w:val="13"/>
        </w:rPr>
      </w:pPr>
      <w:r>
        <w:rPr>
          <w:szCs w:val="13"/>
        </w:rPr>
        <w:t>Turnhoutseweg 30</w:t>
      </w:r>
    </w:p>
    <w:p w14:paraId="109ADBC7" w14:textId="77777777" w:rsidR="009B3384" w:rsidRDefault="00800862">
      <w:pPr>
        <w:rPr>
          <w:szCs w:val="13"/>
        </w:rPr>
      </w:pPr>
      <w:r>
        <w:rPr>
          <w:szCs w:val="13"/>
          <w:lang w:val="nl-BE"/>
        </w:rPr>
        <w:t>B</w:t>
      </w:r>
      <w:r>
        <w:rPr>
          <w:szCs w:val="13"/>
        </w:rPr>
        <w:t>-2340 Beerse</w:t>
      </w:r>
    </w:p>
    <w:p w14:paraId="109ADBC8" w14:textId="77777777" w:rsidR="009B3384" w:rsidRDefault="00800862">
      <w:r>
        <w:rPr>
          <w:szCs w:val="13"/>
        </w:rPr>
        <w:t>Белгия</w:t>
      </w:r>
    </w:p>
    <w:p w14:paraId="109ADBC9" w14:textId="77777777" w:rsidR="009B3384" w:rsidRDefault="009B3384"/>
    <w:p w14:paraId="109ADBCA" w14:textId="77777777" w:rsidR="009B3384" w:rsidRDefault="009B3384"/>
    <w:p w14:paraId="109ADBC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НОМЕР НА РАЗРЕШЕНИЕТО ЗА УПОТРЕБА</w:t>
      </w:r>
    </w:p>
    <w:p w14:paraId="109ADBCC" w14:textId="77777777" w:rsidR="009B3384" w:rsidRDefault="009B3384">
      <w:pPr>
        <w:rPr>
          <w:szCs w:val="24"/>
        </w:rPr>
      </w:pPr>
    </w:p>
    <w:p w14:paraId="109ADBCD" w14:textId="77777777" w:rsidR="009B3384" w:rsidRDefault="00800862">
      <w:r>
        <w:t>EU/</w:t>
      </w:r>
      <w:r>
        <w:rPr>
          <w:szCs w:val="22"/>
        </w:rPr>
        <w:t>1/08/494/004</w:t>
      </w:r>
    </w:p>
    <w:p w14:paraId="109ADBCE" w14:textId="77777777" w:rsidR="009B3384" w:rsidRDefault="009B3384"/>
    <w:p w14:paraId="109ADBCF" w14:textId="77777777" w:rsidR="009B3384" w:rsidRDefault="009B3384"/>
    <w:p w14:paraId="109ADBD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ПАРТИДЕН НОМЕР</w:t>
      </w:r>
    </w:p>
    <w:p w14:paraId="109ADBD1" w14:textId="77777777" w:rsidR="009B3384" w:rsidRDefault="009B3384"/>
    <w:p w14:paraId="109ADBD2" w14:textId="77777777" w:rsidR="009B3384" w:rsidRDefault="00800862">
      <w:r>
        <w:t>Партида:</w:t>
      </w:r>
    </w:p>
    <w:p w14:paraId="109ADBD3" w14:textId="77777777" w:rsidR="009B3384" w:rsidRDefault="009B3384"/>
    <w:p w14:paraId="109ADBD4" w14:textId="77777777" w:rsidR="009B3384" w:rsidRDefault="009B3384"/>
    <w:p w14:paraId="109ADBD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НАЧИН НА ОТПУСКАНЕ</w:t>
      </w:r>
    </w:p>
    <w:p w14:paraId="109ADBD6" w14:textId="77777777" w:rsidR="009B3384" w:rsidRDefault="009B3384"/>
    <w:p w14:paraId="109ADBD7" w14:textId="77777777" w:rsidR="009B3384" w:rsidRDefault="009B3384"/>
    <w:p w14:paraId="109ADBD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УКАЗАНИЯ ЗА УПОТРЕБА</w:t>
      </w:r>
    </w:p>
    <w:p w14:paraId="109ADBD9" w14:textId="77777777" w:rsidR="009B3384" w:rsidRDefault="009B3384"/>
    <w:p w14:paraId="109ADBDA" w14:textId="77777777" w:rsidR="009B3384" w:rsidRDefault="009B3384"/>
    <w:p w14:paraId="109ADBD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ИНФОРМАЦИЯ НА БРАЙЛОВА АЗБУКА</w:t>
      </w:r>
    </w:p>
    <w:p w14:paraId="109ADBDC" w14:textId="77777777" w:rsidR="009B3384" w:rsidRDefault="009B3384"/>
    <w:p w14:paraId="109ADBDD" w14:textId="77777777" w:rsidR="009B3384" w:rsidRDefault="00800862">
      <w:r>
        <w:t>STELARA 90 mg</w:t>
      </w:r>
    </w:p>
    <w:p w14:paraId="109ADBDE" w14:textId="77777777" w:rsidR="009B3384" w:rsidRDefault="009B3384"/>
    <w:p w14:paraId="109ADBDF" w14:textId="77777777" w:rsidR="009B3384" w:rsidRDefault="009B3384"/>
    <w:p w14:paraId="109ADBE0"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17.</w:t>
      </w:r>
      <w:r>
        <w:rPr>
          <w:b/>
        </w:rPr>
        <w:tab/>
        <w:t>УНИКАЛЕН ИДЕНТИФИКАТОР — ДВУИЗМЕРЕН БАРКОД</w:t>
      </w:r>
    </w:p>
    <w:p w14:paraId="109ADBE1" w14:textId="77777777" w:rsidR="009B3384" w:rsidRDefault="009B3384"/>
    <w:p w14:paraId="109ADBE2" w14:textId="77777777" w:rsidR="009B3384" w:rsidRDefault="00800862">
      <w:r>
        <w:rPr>
          <w:highlight w:val="lightGray"/>
        </w:rPr>
        <w:t>Двуизмерен баркод с включен уникален идентификатор</w:t>
      </w:r>
    </w:p>
    <w:p w14:paraId="109ADBE3" w14:textId="77777777" w:rsidR="009B3384" w:rsidRDefault="009B3384"/>
    <w:p w14:paraId="109ADBE4" w14:textId="77777777" w:rsidR="009B3384" w:rsidRDefault="009B3384">
      <w:pPr>
        <w:spacing w:line="260" w:lineRule="exact"/>
        <w:rPr>
          <w:vanish/>
          <w:szCs w:val="22"/>
        </w:rPr>
      </w:pPr>
    </w:p>
    <w:p w14:paraId="109ADBE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18.</w:t>
      </w:r>
      <w:r>
        <w:rPr>
          <w:b/>
        </w:rPr>
        <w:tab/>
        <w:t>УНИКАЛЕН ИДЕНТИФИКАТОР — ДАННИ ЗА ЧЕТЕНЕ ОТ ХОРА</w:t>
      </w:r>
    </w:p>
    <w:p w14:paraId="109ADBE6" w14:textId="77777777" w:rsidR="009B3384" w:rsidRDefault="009B3384">
      <w:pPr>
        <w:keepNext/>
      </w:pPr>
    </w:p>
    <w:p w14:paraId="109ADBE7" w14:textId="77777777" w:rsidR="009B3384" w:rsidRDefault="00800862">
      <w:pPr>
        <w:keepNext/>
      </w:pPr>
      <w:r>
        <w:rPr>
          <w:lang w:val="en-GB"/>
        </w:rPr>
        <w:t>PC</w:t>
      </w:r>
    </w:p>
    <w:p w14:paraId="109ADBE8" w14:textId="77777777" w:rsidR="009B3384" w:rsidRDefault="00800862">
      <w:pPr>
        <w:keepNext/>
        <w:rPr>
          <w:szCs w:val="22"/>
        </w:rPr>
      </w:pPr>
      <w:r>
        <w:rPr>
          <w:lang w:val="en-GB"/>
        </w:rPr>
        <w:t>SN</w:t>
      </w:r>
    </w:p>
    <w:p w14:paraId="109ADBE9" w14:textId="77777777" w:rsidR="009B3384" w:rsidRDefault="00800862">
      <w:pPr>
        <w:rPr>
          <w:szCs w:val="22"/>
        </w:rPr>
      </w:pPr>
      <w:r>
        <w:rPr>
          <w:lang w:val="en-GB"/>
        </w:rPr>
        <w:t>NN</w:t>
      </w:r>
      <w:r>
        <w:br w:type="page"/>
      </w:r>
    </w:p>
    <w:p w14:paraId="109ADBEA"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lastRenderedPageBreak/>
        <w:t>МИНИМУМ ДАННИ, КОИТО ТРЯБВА ДА СЪДЪРЖАТ МАЛКИТЕ ЕДИНИЧНИ ПЪРВИЧНИ ОПАКОВКИ</w:t>
      </w:r>
    </w:p>
    <w:p w14:paraId="109ADBEB"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BEC"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t>ТЕКСТ НА ЕТИКЕТА НА ПРЕДВАРИТЕЛНО НАПЪЛНЕНАТА СПРИНЦОВКА (90 mg)</w:t>
      </w:r>
    </w:p>
    <w:p w14:paraId="109ADBED" w14:textId="77777777" w:rsidR="009B3384" w:rsidRDefault="009B3384"/>
    <w:p w14:paraId="109ADBEE" w14:textId="77777777" w:rsidR="009B3384" w:rsidRDefault="009B3384"/>
    <w:p w14:paraId="109ADBE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 И ПЪТ(ИЩА) НА ВЪВЕЖДАНЕ</w:t>
      </w:r>
    </w:p>
    <w:p w14:paraId="109ADBF0" w14:textId="77777777" w:rsidR="009B3384" w:rsidRDefault="009B3384"/>
    <w:p w14:paraId="109ADBF1" w14:textId="77777777" w:rsidR="009B3384" w:rsidRDefault="00800862">
      <w:r>
        <w:t>STELARA 90 mg инжекция</w:t>
      </w:r>
    </w:p>
    <w:p w14:paraId="109ADBF2" w14:textId="77777777" w:rsidR="009B3384" w:rsidRDefault="00800862">
      <w:r>
        <w:t>устекинумаб</w:t>
      </w:r>
    </w:p>
    <w:p w14:paraId="109ADBF3" w14:textId="77777777" w:rsidR="009B3384" w:rsidRDefault="00800862">
      <w:r>
        <w:t>s.c.</w:t>
      </w:r>
    </w:p>
    <w:p w14:paraId="109ADBF4" w14:textId="77777777" w:rsidR="009B3384" w:rsidRDefault="009B3384"/>
    <w:p w14:paraId="109ADBF5" w14:textId="77777777" w:rsidR="009B3384" w:rsidRDefault="009B3384"/>
    <w:p w14:paraId="109ADBF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 xml:space="preserve">НАЧИН НА </w:t>
      </w:r>
      <w:r>
        <w:rPr>
          <w:b/>
          <w:szCs w:val="22"/>
        </w:rPr>
        <w:t>ПРИЛОЖЕНИЕ</w:t>
      </w:r>
    </w:p>
    <w:p w14:paraId="109ADBF7" w14:textId="77777777" w:rsidR="009B3384" w:rsidRDefault="009B3384"/>
    <w:p w14:paraId="109ADBF8" w14:textId="77777777" w:rsidR="009B3384" w:rsidRDefault="009B3384"/>
    <w:p w14:paraId="109ADBF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ДАТА НА ИЗТИЧАНЕ НА СРОКА НА ГОДНОСТ</w:t>
      </w:r>
    </w:p>
    <w:p w14:paraId="109ADBFA" w14:textId="77777777" w:rsidR="009B3384" w:rsidRDefault="009B3384"/>
    <w:p w14:paraId="109ADBFB" w14:textId="77777777" w:rsidR="009B3384" w:rsidRDefault="00800862">
      <w:pPr>
        <w:widowControl w:val="0"/>
      </w:pPr>
      <w:r>
        <w:t>EXP</w:t>
      </w:r>
    </w:p>
    <w:p w14:paraId="109ADBFC" w14:textId="77777777" w:rsidR="009B3384" w:rsidRDefault="009B3384"/>
    <w:p w14:paraId="109ADBFD" w14:textId="77777777" w:rsidR="009B3384" w:rsidRDefault="009B3384"/>
    <w:p w14:paraId="109ADBFE"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ПАРТИДЕН НОМЕР</w:t>
      </w:r>
    </w:p>
    <w:p w14:paraId="109ADBFF" w14:textId="77777777" w:rsidR="009B3384" w:rsidRDefault="009B3384"/>
    <w:p w14:paraId="109ADC00" w14:textId="77777777" w:rsidR="009B3384" w:rsidRDefault="00800862">
      <w:pPr>
        <w:widowControl w:val="0"/>
      </w:pPr>
      <w:r>
        <w:t>Lot</w:t>
      </w:r>
    </w:p>
    <w:p w14:paraId="109ADC01" w14:textId="77777777" w:rsidR="009B3384" w:rsidRDefault="009B3384"/>
    <w:p w14:paraId="109ADC02" w14:textId="77777777" w:rsidR="009B3384" w:rsidRDefault="009B3384"/>
    <w:p w14:paraId="109ADC0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СЪДЪРЖАНИЕ КАТО МАСА, ОБЕМ ИЛИ ЕДИНИЦИ</w:t>
      </w:r>
    </w:p>
    <w:p w14:paraId="109ADC04" w14:textId="77777777" w:rsidR="009B3384" w:rsidRDefault="009B3384"/>
    <w:p w14:paraId="109ADC05" w14:textId="77777777" w:rsidR="009B3384" w:rsidRDefault="00800862">
      <w:r>
        <w:t>90 mg/1 ml</w:t>
      </w:r>
    </w:p>
    <w:p w14:paraId="109ADC06" w14:textId="77777777" w:rsidR="009B3384" w:rsidRDefault="009B3384"/>
    <w:p w14:paraId="109ADC07" w14:textId="77777777" w:rsidR="009B3384" w:rsidRDefault="009B3384"/>
    <w:p w14:paraId="109ADC0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ДРУГО</w:t>
      </w:r>
    </w:p>
    <w:p w14:paraId="109ADC09" w14:textId="77777777" w:rsidR="009B3384" w:rsidRDefault="00800862">
      <w:r>
        <w:br w:type="page"/>
      </w:r>
    </w:p>
    <w:p w14:paraId="109ADC0A"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lastRenderedPageBreak/>
        <w:t>ДАННИ, КОИТО ТРЯБВА ДА СЪДЪРЖА ВТОРИЧНАТА ОПАКОВКА</w:t>
      </w:r>
    </w:p>
    <w:p w14:paraId="109ADC0B"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C0C"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t>ТЕКСТ НА КУТИЯТА НА ПРЕДВАРИТЕЛНО НАПЪЛНЕНАТА ПИСАЛКА (45 mg)</w:t>
      </w:r>
    </w:p>
    <w:p w14:paraId="109ADC0D" w14:textId="77777777" w:rsidR="009B3384" w:rsidRDefault="009B3384"/>
    <w:p w14:paraId="109ADC0E" w14:textId="77777777" w:rsidR="009B3384" w:rsidRDefault="009B3384"/>
    <w:p w14:paraId="109ADC0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w:t>
      </w:r>
    </w:p>
    <w:p w14:paraId="109ADC10" w14:textId="77777777" w:rsidR="009B3384" w:rsidRDefault="009B3384"/>
    <w:p w14:paraId="109ADC11" w14:textId="77777777" w:rsidR="009B3384" w:rsidRDefault="00800862">
      <w:r>
        <w:t xml:space="preserve">STELARA 45 mg инжекционен разтвор в предварително напълнена </w:t>
      </w:r>
      <w:bookmarkStart w:id="1301" w:name="_Hlk135646238"/>
      <w:r>
        <w:t>писалка</w:t>
      </w:r>
      <w:bookmarkEnd w:id="1301"/>
    </w:p>
    <w:p w14:paraId="109ADC12" w14:textId="77777777" w:rsidR="009B3384" w:rsidRDefault="00800862">
      <w:r>
        <w:t>устекинумаб</w:t>
      </w:r>
    </w:p>
    <w:p w14:paraId="109ADC13" w14:textId="77777777" w:rsidR="009B3384" w:rsidRDefault="009B3384"/>
    <w:p w14:paraId="109ADC14" w14:textId="77777777" w:rsidR="009B3384" w:rsidRDefault="009B3384"/>
    <w:p w14:paraId="109ADC1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ОБЯВЯВАНЕ НА АКТИВНОТО(ИТЕ) ВЕЩЕСТВО(А)</w:t>
      </w:r>
    </w:p>
    <w:p w14:paraId="109ADC16" w14:textId="77777777" w:rsidR="009B3384" w:rsidRDefault="009B3384"/>
    <w:p w14:paraId="109ADC17" w14:textId="77777777" w:rsidR="009B3384" w:rsidRDefault="00800862">
      <w:r>
        <w:t>Всяка предварително напълнена писалка съдържа 45 mg устекинумаб в 0,5 ml.</w:t>
      </w:r>
    </w:p>
    <w:p w14:paraId="109ADC18" w14:textId="77777777" w:rsidR="009B3384" w:rsidRDefault="009B3384"/>
    <w:p w14:paraId="109ADC19" w14:textId="77777777" w:rsidR="009B3384" w:rsidRDefault="009B3384"/>
    <w:p w14:paraId="109ADC1A"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СПИСЪК НА ПОМОЩНИТЕ ВЕЩЕСТВА</w:t>
      </w:r>
    </w:p>
    <w:p w14:paraId="109ADC1B" w14:textId="77777777" w:rsidR="009B3384" w:rsidRDefault="009B3384">
      <w:pPr>
        <w:rPr>
          <w:iCs/>
        </w:rPr>
      </w:pPr>
    </w:p>
    <w:p w14:paraId="109ADC1C" w14:textId="77777777" w:rsidR="009B3384" w:rsidRDefault="00800862">
      <w:r>
        <w:rPr>
          <w:iCs/>
        </w:rPr>
        <w:t xml:space="preserve">Помощни вещества: захароза, L-хистидин, L-хистидинов монохидрохлорид монохидрат, полисорбат 80, вода за инжекции. Опаковката, в която се намира </w:t>
      </w:r>
      <w:r>
        <w:t xml:space="preserve">този лекарствен продукт, съдържа латексова гума. </w:t>
      </w:r>
      <w:r w:rsidRPr="00BC6A43">
        <w:rPr>
          <w:highlight w:val="lightGray"/>
        </w:rPr>
        <w:t>За допълнителна информация вижте листовката.</w:t>
      </w:r>
    </w:p>
    <w:p w14:paraId="109ADC1D" w14:textId="77777777" w:rsidR="009B3384" w:rsidRDefault="009B3384"/>
    <w:p w14:paraId="109ADC1E" w14:textId="77777777" w:rsidR="009B3384" w:rsidRDefault="009B3384"/>
    <w:p w14:paraId="109ADC1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ЛЕКАРСТВЕНА ФОРМА И КОЛИЧЕСТВО В ЕДНА ОПАКОВКА</w:t>
      </w:r>
    </w:p>
    <w:p w14:paraId="109ADC20" w14:textId="77777777" w:rsidR="009B3384" w:rsidRDefault="009B3384"/>
    <w:p w14:paraId="109ADC21" w14:textId="0F61BD20" w:rsidR="009B3384" w:rsidRPr="00F9219D" w:rsidRDefault="00800862">
      <w:r w:rsidRPr="00BC6A43">
        <w:rPr>
          <w:highlight w:val="lightGray"/>
        </w:rPr>
        <w:t>Инжекционен разтвор</w:t>
      </w:r>
      <w:del w:id="1302" w:author="EUCP BE1" w:date="2026-05-19T16:59:00Z">
        <w:r w:rsidDel="00F72194">
          <w:delText xml:space="preserve"> </w:delText>
        </w:r>
      </w:del>
    </w:p>
    <w:p w14:paraId="109ADC22" w14:textId="77777777" w:rsidR="009B3384" w:rsidRDefault="00800862">
      <w:r>
        <w:t>45 mg/0,5 ml</w:t>
      </w:r>
    </w:p>
    <w:p w14:paraId="109ADC23" w14:textId="77777777" w:rsidR="009B3384" w:rsidRDefault="00800862">
      <w:r>
        <w:t>1 предварително напълнена писалка</w:t>
      </w:r>
    </w:p>
    <w:p w14:paraId="109ADC24" w14:textId="77777777" w:rsidR="009B3384" w:rsidRDefault="00800862">
      <w:pPr>
        <w:rPr>
          <w:bCs/>
          <w:iCs/>
        </w:rPr>
      </w:pPr>
      <w:r>
        <w:rPr>
          <w:bCs/>
          <w:iCs/>
        </w:rPr>
        <w:t>Предварително напълнена писалка за еднократно приложение</w:t>
      </w:r>
    </w:p>
    <w:p w14:paraId="109ADC25" w14:textId="77777777" w:rsidR="009B3384" w:rsidRDefault="009B3384"/>
    <w:p w14:paraId="109ADC26" w14:textId="77777777" w:rsidR="009B3384" w:rsidRDefault="009B3384"/>
    <w:p w14:paraId="109ADC2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 xml:space="preserve">НАЧИН НА </w:t>
      </w:r>
      <w:r>
        <w:rPr>
          <w:b/>
          <w:szCs w:val="22"/>
        </w:rPr>
        <w:t>ПРИЛОЖЕНИЕ</w:t>
      </w:r>
      <w:r>
        <w:rPr>
          <w:b/>
        </w:rPr>
        <w:t xml:space="preserve"> И ПЪТ(ИЩА) НА ВЪВЕЖДАНЕ</w:t>
      </w:r>
    </w:p>
    <w:p w14:paraId="109ADC28" w14:textId="77777777" w:rsidR="009B3384" w:rsidRDefault="009B3384">
      <w:pPr>
        <w:rPr>
          <w:iCs/>
        </w:rPr>
      </w:pPr>
    </w:p>
    <w:p w14:paraId="109ADC29" w14:textId="77777777" w:rsidR="009B3384" w:rsidRDefault="00800862">
      <w:r>
        <w:rPr>
          <w:iCs/>
        </w:rPr>
        <w:t>ОТВОРЕТЕ ТУК</w:t>
      </w:r>
    </w:p>
    <w:p w14:paraId="109ADC2A" w14:textId="77777777" w:rsidR="009B3384" w:rsidRDefault="00800862">
      <w:pPr>
        <w:rPr>
          <w:iCs/>
        </w:rPr>
      </w:pPr>
      <w:r>
        <w:rPr>
          <w:iCs/>
        </w:rPr>
        <w:t>Да не се разклаща.</w:t>
      </w:r>
    </w:p>
    <w:p w14:paraId="109ADC2B" w14:textId="77777777" w:rsidR="009B3384" w:rsidRDefault="00800862">
      <w:pPr>
        <w:rPr>
          <w:iCs/>
        </w:rPr>
      </w:pPr>
      <w:r>
        <w:rPr>
          <w:iCs/>
        </w:rPr>
        <w:t>Подкожно приложение</w:t>
      </w:r>
    </w:p>
    <w:p w14:paraId="109ADC2C" w14:textId="77777777" w:rsidR="009B3384" w:rsidRDefault="00800862">
      <w:r>
        <w:t>Преди употреба прочетете листовката.</w:t>
      </w:r>
    </w:p>
    <w:p w14:paraId="109ADC2D" w14:textId="77777777" w:rsidR="009B3384" w:rsidRDefault="009B3384"/>
    <w:p w14:paraId="109ADC2E" w14:textId="77777777" w:rsidR="009B3384" w:rsidRDefault="009B3384"/>
    <w:p w14:paraId="109ADC2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09ADC30" w14:textId="77777777" w:rsidR="009B3384" w:rsidRDefault="009B3384"/>
    <w:p w14:paraId="109ADC31" w14:textId="77777777" w:rsidR="009B3384" w:rsidRDefault="00800862">
      <w:r>
        <w:t>Да се съхранява на място, недостъпно за деца.</w:t>
      </w:r>
    </w:p>
    <w:p w14:paraId="109ADC32" w14:textId="77777777" w:rsidR="009B3384" w:rsidRDefault="009B3384"/>
    <w:p w14:paraId="109ADC33" w14:textId="77777777" w:rsidR="009B3384" w:rsidRDefault="009B3384"/>
    <w:p w14:paraId="109ADC3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7.</w:t>
      </w:r>
      <w:r>
        <w:rPr>
          <w:b/>
        </w:rPr>
        <w:tab/>
        <w:t>ДРУГИ СПЕЦИАЛНИ ПРЕДУПРЕЖДЕНИЯ, АКО Е НЕОБХОДИМО</w:t>
      </w:r>
    </w:p>
    <w:p w14:paraId="109ADC35" w14:textId="77777777" w:rsidR="009B3384" w:rsidRDefault="009B3384"/>
    <w:p w14:paraId="109ADC36" w14:textId="77777777" w:rsidR="009B3384" w:rsidRDefault="009B3384"/>
    <w:p w14:paraId="109ADC3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8.</w:t>
      </w:r>
      <w:r>
        <w:rPr>
          <w:b/>
        </w:rPr>
        <w:tab/>
        <w:t>ДАТА НА ИЗТИЧАНЕ НА СРОКА НА ГОДНОСТ</w:t>
      </w:r>
    </w:p>
    <w:p w14:paraId="109ADC38" w14:textId="77777777" w:rsidR="009B3384" w:rsidRDefault="009B3384"/>
    <w:p w14:paraId="109ADC39" w14:textId="77777777" w:rsidR="009B3384" w:rsidRDefault="00800862">
      <w:r>
        <w:t>Годен до:</w:t>
      </w:r>
    </w:p>
    <w:p w14:paraId="109ADC3A" w14:textId="77777777" w:rsidR="009B3384" w:rsidRDefault="00800862">
      <w:r>
        <w:t>Дата на изхвърляне, при съхранение на стайна температура:___________________</w:t>
      </w:r>
    </w:p>
    <w:p w14:paraId="109ADC3B" w14:textId="77777777" w:rsidR="009B3384" w:rsidRDefault="009B3384"/>
    <w:p w14:paraId="109ADC3C" w14:textId="77777777" w:rsidR="009B3384" w:rsidRDefault="009B3384"/>
    <w:p w14:paraId="109ADC3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lastRenderedPageBreak/>
        <w:t>9.</w:t>
      </w:r>
      <w:r>
        <w:rPr>
          <w:b/>
        </w:rPr>
        <w:tab/>
        <w:t>СПЕЦИАЛНИ УСЛОВИЯ НА СЪХРАНЕНИЕ</w:t>
      </w:r>
    </w:p>
    <w:p w14:paraId="109ADC3E" w14:textId="77777777" w:rsidR="009B3384" w:rsidRDefault="009B3384"/>
    <w:p w14:paraId="109ADC3F" w14:textId="77777777" w:rsidR="009B3384" w:rsidRDefault="00800862">
      <w:r>
        <w:t>Да се съхранява в хладилник.</w:t>
      </w:r>
    </w:p>
    <w:p w14:paraId="109ADC40" w14:textId="77777777" w:rsidR="009B3384" w:rsidRDefault="00800862">
      <w:r>
        <w:t>Да не се замразява.</w:t>
      </w:r>
    </w:p>
    <w:p w14:paraId="109ADC41" w14:textId="77777777" w:rsidR="009B3384" w:rsidRDefault="00800862">
      <w:r>
        <w:t>Съхранявайте предварително напълнената писалка в картонената опаковка, за да се предпази от светлина.</w:t>
      </w:r>
    </w:p>
    <w:p w14:paraId="109ADC42" w14:textId="77777777" w:rsidR="009B3384" w:rsidRDefault="00800862">
      <w:r>
        <w:t>Може да се съхранява при стайна температура (до 30</w:t>
      </w:r>
      <w:r>
        <w:rPr>
          <w:rFonts w:eastAsia="Symbol"/>
        </w:rPr>
        <w:t>°</w:t>
      </w:r>
      <w:r>
        <w:t>C) за един период до 30 дни, но не по-дълго от оригиналния срок на годност.</w:t>
      </w:r>
    </w:p>
    <w:p w14:paraId="109ADC43" w14:textId="77777777" w:rsidR="009B3384" w:rsidRDefault="009B3384"/>
    <w:p w14:paraId="109ADC44" w14:textId="77777777" w:rsidR="009B3384" w:rsidRDefault="009B3384"/>
    <w:p w14:paraId="109ADC4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9ADC46" w14:textId="77777777" w:rsidR="009B3384" w:rsidRDefault="009B3384"/>
    <w:p w14:paraId="109ADC47" w14:textId="77777777" w:rsidR="009B3384" w:rsidRDefault="009B3384"/>
    <w:p w14:paraId="109ADC48" w14:textId="77777777" w:rsidR="009B3384" w:rsidRDefault="009B3384"/>
    <w:p w14:paraId="109ADC4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ИМЕ И АДРЕС НА ПРИТЕЖАТЕЛЯ НА РАЗРЕШЕНИЕТО ЗА УПОТРЕБА</w:t>
      </w:r>
    </w:p>
    <w:p w14:paraId="109ADC4A" w14:textId="77777777" w:rsidR="009B3384" w:rsidRDefault="009B3384"/>
    <w:p w14:paraId="109ADC4B" w14:textId="77777777" w:rsidR="009B3384" w:rsidRDefault="00800862">
      <w:pPr>
        <w:rPr>
          <w:szCs w:val="13"/>
        </w:rPr>
      </w:pPr>
      <w:r>
        <w:rPr>
          <w:szCs w:val="13"/>
        </w:rPr>
        <w:t>Janssen-Cilag International NV</w:t>
      </w:r>
    </w:p>
    <w:p w14:paraId="109ADC4C" w14:textId="77777777" w:rsidR="009B3384" w:rsidRDefault="00800862">
      <w:pPr>
        <w:rPr>
          <w:szCs w:val="13"/>
        </w:rPr>
      </w:pPr>
      <w:r>
        <w:rPr>
          <w:szCs w:val="13"/>
        </w:rPr>
        <w:t>Turnhoutseweg 30</w:t>
      </w:r>
    </w:p>
    <w:p w14:paraId="109ADC4D" w14:textId="77777777" w:rsidR="009B3384" w:rsidRDefault="00800862">
      <w:pPr>
        <w:rPr>
          <w:szCs w:val="13"/>
        </w:rPr>
      </w:pPr>
      <w:r>
        <w:rPr>
          <w:szCs w:val="13"/>
          <w:lang w:val="nl-BE"/>
        </w:rPr>
        <w:t>B</w:t>
      </w:r>
      <w:r>
        <w:rPr>
          <w:szCs w:val="13"/>
        </w:rPr>
        <w:t>-2340 Beerse</w:t>
      </w:r>
    </w:p>
    <w:p w14:paraId="109ADC4E" w14:textId="77777777" w:rsidR="009B3384" w:rsidRDefault="00800862">
      <w:r>
        <w:rPr>
          <w:szCs w:val="13"/>
        </w:rPr>
        <w:t>Белгия</w:t>
      </w:r>
    </w:p>
    <w:p w14:paraId="109ADC4F" w14:textId="77777777" w:rsidR="009B3384" w:rsidRDefault="009B3384"/>
    <w:p w14:paraId="109ADC50" w14:textId="77777777" w:rsidR="009B3384" w:rsidRDefault="009B3384"/>
    <w:p w14:paraId="109ADC51"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НОМЕР НА РАЗРЕШЕНИЕТО ЗА УПОТРЕБА</w:t>
      </w:r>
    </w:p>
    <w:p w14:paraId="109ADC52" w14:textId="77777777" w:rsidR="009B3384" w:rsidRDefault="009B3384">
      <w:pPr>
        <w:rPr>
          <w:szCs w:val="24"/>
        </w:rPr>
      </w:pPr>
    </w:p>
    <w:p w14:paraId="109ADC53" w14:textId="77777777" w:rsidR="009B3384" w:rsidRDefault="00800862">
      <w:r>
        <w:t>EU/</w:t>
      </w:r>
      <w:r>
        <w:rPr>
          <w:szCs w:val="22"/>
        </w:rPr>
        <w:t>1/08/494/006</w:t>
      </w:r>
    </w:p>
    <w:p w14:paraId="109ADC54" w14:textId="77777777" w:rsidR="009B3384" w:rsidRDefault="009B3384"/>
    <w:p w14:paraId="109ADC55" w14:textId="77777777" w:rsidR="009B3384" w:rsidRDefault="009B3384"/>
    <w:p w14:paraId="109ADC5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ПАРТИДЕН НОМЕР</w:t>
      </w:r>
    </w:p>
    <w:p w14:paraId="109ADC57" w14:textId="77777777" w:rsidR="009B3384" w:rsidRDefault="009B3384"/>
    <w:p w14:paraId="109ADC58" w14:textId="77777777" w:rsidR="009B3384" w:rsidRDefault="00800862">
      <w:r>
        <w:t>Партида:</w:t>
      </w:r>
    </w:p>
    <w:p w14:paraId="109ADC59" w14:textId="77777777" w:rsidR="009B3384" w:rsidRDefault="009B3384"/>
    <w:p w14:paraId="109ADC5A" w14:textId="77777777" w:rsidR="009B3384" w:rsidRDefault="009B3384"/>
    <w:p w14:paraId="109ADC5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НАЧИН НА ОТПУСКАНЕ</w:t>
      </w:r>
    </w:p>
    <w:p w14:paraId="109ADC5C" w14:textId="77777777" w:rsidR="009B3384" w:rsidRDefault="009B3384"/>
    <w:p w14:paraId="109ADC5D" w14:textId="77777777" w:rsidR="009B3384" w:rsidRDefault="009B3384"/>
    <w:p w14:paraId="109ADC5E" w14:textId="77777777" w:rsidR="009B3384" w:rsidRDefault="009B3384"/>
    <w:p w14:paraId="109ADC5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УКАЗАНИЯ ЗА УПОТРЕБА</w:t>
      </w:r>
    </w:p>
    <w:p w14:paraId="109ADC60" w14:textId="77777777" w:rsidR="009B3384" w:rsidRDefault="009B3384"/>
    <w:p w14:paraId="109ADC61" w14:textId="77777777" w:rsidR="009B3384" w:rsidRDefault="009B3384"/>
    <w:p w14:paraId="109ADC62" w14:textId="77777777" w:rsidR="009B3384" w:rsidRDefault="009B3384"/>
    <w:p w14:paraId="109ADC6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ИНФОРМАЦИЯ НА БРАЙЛОВА АЗБУКА</w:t>
      </w:r>
    </w:p>
    <w:p w14:paraId="109ADC64" w14:textId="77777777" w:rsidR="009B3384" w:rsidRDefault="009B3384"/>
    <w:p w14:paraId="109ADC65" w14:textId="77777777" w:rsidR="009B3384" w:rsidRDefault="00800862">
      <w:r>
        <w:t>STELARA 45 mg</w:t>
      </w:r>
    </w:p>
    <w:p w14:paraId="109ADC66" w14:textId="77777777" w:rsidR="009B3384" w:rsidRDefault="009B3384"/>
    <w:p w14:paraId="109ADC67" w14:textId="77777777" w:rsidR="009B3384" w:rsidRDefault="009B3384"/>
    <w:p w14:paraId="109ADC6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17.</w:t>
      </w:r>
      <w:r>
        <w:rPr>
          <w:b/>
        </w:rPr>
        <w:tab/>
        <w:t>УНИКАЛЕН ИДЕНТИФИКАТОР — ДВУИЗМЕРЕН БАРКОД</w:t>
      </w:r>
    </w:p>
    <w:p w14:paraId="109ADC69" w14:textId="77777777" w:rsidR="009B3384" w:rsidRDefault="009B3384"/>
    <w:p w14:paraId="109ADC6A" w14:textId="77777777" w:rsidR="009B3384" w:rsidRDefault="00800862">
      <w:r>
        <w:rPr>
          <w:highlight w:val="lightGray"/>
        </w:rPr>
        <w:t>Двуизмерен баркод с включен уникален идентификатор</w:t>
      </w:r>
    </w:p>
    <w:p w14:paraId="109ADC6B" w14:textId="77777777" w:rsidR="009B3384" w:rsidRDefault="009B3384"/>
    <w:p w14:paraId="109ADC6C" w14:textId="77777777" w:rsidR="009B3384" w:rsidRDefault="009B3384">
      <w:pPr>
        <w:spacing w:line="260" w:lineRule="exact"/>
        <w:rPr>
          <w:vanish/>
          <w:szCs w:val="22"/>
        </w:rPr>
      </w:pPr>
    </w:p>
    <w:p w14:paraId="109ADC6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lastRenderedPageBreak/>
        <w:t>18.</w:t>
      </w:r>
      <w:r>
        <w:rPr>
          <w:b/>
        </w:rPr>
        <w:tab/>
        <w:t>УНИКАЛЕН ИДЕНТИФИКАТОР — ДАННИ ЗА ЧЕТЕНЕ ОТ ХОРА</w:t>
      </w:r>
    </w:p>
    <w:p w14:paraId="109ADC6E" w14:textId="77777777" w:rsidR="009B3384" w:rsidRDefault="009B3384">
      <w:pPr>
        <w:keepNext/>
      </w:pPr>
    </w:p>
    <w:p w14:paraId="109ADC6F" w14:textId="77777777" w:rsidR="009B3384" w:rsidRDefault="00800862">
      <w:pPr>
        <w:keepNext/>
      </w:pPr>
      <w:r>
        <w:rPr>
          <w:lang w:val="en-GB"/>
        </w:rPr>
        <w:t>PC</w:t>
      </w:r>
    </w:p>
    <w:p w14:paraId="109ADC70" w14:textId="77777777" w:rsidR="009B3384" w:rsidRDefault="00800862">
      <w:pPr>
        <w:keepNext/>
        <w:rPr>
          <w:szCs w:val="22"/>
        </w:rPr>
      </w:pPr>
      <w:r>
        <w:rPr>
          <w:lang w:val="en-GB"/>
        </w:rPr>
        <w:t>SN</w:t>
      </w:r>
    </w:p>
    <w:p w14:paraId="109ADC71" w14:textId="77777777" w:rsidR="009B3384" w:rsidRDefault="00800862">
      <w:r>
        <w:rPr>
          <w:lang w:val="en-GB"/>
        </w:rPr>
        <w:t>NN</w:t>
      </w:r>
      <w:r>
        <w:br w:type="page"/>
      </w:r>
    </w:p>
    <w:p w14:paraId="109ADC7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ДАННИ, КОИТО ТРЯБВА ДА СЪДЪРЖА ВТОРИЧНАТА ОПАКОВКА</w:t>
      </w:r>
    </w:p>
    <w:p w14:paraId="109ADC73"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C74" w14:textId="77777777" w:rsidR="009B3384" w:rsidRDefault="00800862">
      <w:pPr>
        <w:pBdr>
          <w:top w:val="single" w:sz="4" w:space="1" w:color="000000"/>
          <w:left w:val="single" w:sz="4" w:space="4" w:color="000000"/>
          <w:bottom w:val="single" w:sz="4" w:space="1" w:color="000000"/>
          <w:right w:val="single" w:sz="4" w:space="4" w:color="000000"/>
        </w:pBdr>
        <w:rPr>
          <w:b/>
          <w:bCs/>
        </w:rPr>
      </w:pPr>
      <w:r>
        <w:rPr>
          <w:b/>
          <w:bCs/>
          <w:szCs w:val="22"/>
        </w:rPr>
        <w:t>ОТ ВЪТРЕШНАТА СТРАНА НА КАРТОНЕНАТА КУТИЯ</w:t>
      </w:r>
    </w:p>
    <w:p w14:paraId="109ADC75" w14:textId="77777777" w:rsidR="009B3384" w:rsidRDefault="009B3384">
      <w:pPr>
        <w:widowControl w:val="0"/>
        <w:rPr>
          <w:szCs w:val="22"/>
          <w:highlight w:val="yellow"/>
        </w:rPr>
      </w:pPr>
    </w:p>
    <w:p w14:paraId="109ADC76" w14:textId="77777777" w:rsidR="009B3384" w:rsidRDefault="00800862">
      <w:r>
        <w:t>​</w:t>
      </w:r>
      <w:r>
        <w:rPr>
          <w:noProof/>
          <w:lang w:eastAsia="bg-BG"/>
        </w:rPr>
        <mc:AlternateContent>
          <mc:Choice Requires="wps">
            <w:drawing>
              <wp:anchor distT="0" distB="0" distL="114300" distR="114300" simplePos="0" relativeHeight="251659264" behindDoc="0" locked="0" layoutInCell="0" allowOverlap="1" wp14:anchorId="109AEA05" wp14:editId="109AEA06">
                <wp:simplePos x="0" y="0"/>
                <wp:positionH relativeFrom="margin">
                  <wp:posOffset>-45720</wp:posOffset>
                </wp:positionH>
                <wp:positionV relativeFrom="paragraph">
                  <wp:posOffset>140335</wp:posOffset>
                </wp:positionV>
                <wp:extent cx="691515" cy="29908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9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E2B42" id="_x0000_t202" coordsize="21600,21600" o:spt="202" path="m,l,21600r21600,l21600,xe">
                <v:stroke joinstyle="miter"/>
                <v:path gradientshapeok="t" o:connecttype="rect"/>
              </v:shapetype>
              <v:shape id="Text Box 24" o:spid="_x0000_s1026" type="#_x0000_t202" style="position:absolute;margin-left:-3.6pt;margin-top:11.05pt;width:54.45pt;height:23.5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" o:allowincell="f" filled="f" stroked="f" strokecolor="#3465a4">
                <v:stroke joinstyle="round"/>
                <w10:wrap anchorx="margin"/>
              </v:shape>
            </w:pict>
          </mc:Fallback>
        </mc:AlternateContent>
      </w:r>
      <w:r>
        <w:rPr>
          <w:noProof/>
          <w:lang w:eastAsia="bg-BG"/>
        </w:rPr>
        <mc:AlternateContent>
          <mc:Choice Requires="wps">
            <w:drawing>
              <wp:anchor distT="72390" distB="72390" distL="0" distR="0" simplePos="0" relativeHeight="251660288" behindDoc="0" locked="0" layoutInCell="0" allowOverlap="1" wp14:anchorId="109AEA07" wp14:editId="109AEA08">
                <wp:simplePos x="0" y="0"/>
                <wp:positionH relativeFrom="margin">
                  <wp:posOffset>-45720</wp:posOffset>
                </wp:positionH>
                <wp:positionV relativeFrom="paragraph">
                  <wp:posOffset>140335</wp:posOffset>
                </wp:positionV>
                <wp:extent cx="691515" cy="299085"/>
                <wp:effectExtent l="6985" t="7620" r="6350" b="762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AEA85" w14:textId="77777777" w:rsidR="009B5D7A" w:rsidRDefault="009B5D7A">
                            <w:r>
                              <w:rPr>
                                <w:rFonts w:ascii="Arial" w:hAnsi="Arial" w:cs="Arial"/>
                                <w:b/>
                                <w:bCs/>
                                <w:color w:val="FFFFFF"/>
                                <w:sz w:val="28"/>
                                <w:szCs w:val="28"/>
                                <w:lang w:val="en-US"/>
                              </w:rPr>
                              <w:t>STOP</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AEA07" id="_x0000_t202" coordsize="21600,21600" o:spt="202" path="m,l,21600r21600,l21600,xe">
                <v:stroke joinstyle="miter"/>
                <v:path gradientshapeok="t" o:connecttype="rect"/>
              </v:shapetype>
              <v:shape id="Text Box 23" o:spid="_x0000_s1026" type="#_x0000_t202" style="position:absolute;margin-left:-3.6pt;margin-top:11.05pt;width:54.45pt;height:23.55pt;z-index:251660288;visibility:visible;mso-wrap-style:square;mso-width-percent:0;mso-height-percent:0;mso-wrap-distance-left:0;mso-wrap-distance-top:5.7pt;mso-wrap-distance-right:0;mso-wrap-distance-bottom:5.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" o:allowincell="f" stroked="f">
                <v:fill opacity="0"/>
                <v:textbox inset="7.25pt,3.65pt,7.25pt,3.65pt">
                  <w:txbxContent>
                    <w:p w14:paraId="109AEA85" w14:textId="77777777" w:rsidR="009B5D7A" w:rsidRDefault="009B5D7A">
                      <w:r>
                        <w:rPr>
                          <w:rFonts w:ascii="Arial" w:hAnsi="Arial" w:cs="Arial"/>
                          <w:b/>
                          <w:bCs/>
                          <w:color w:val="FFFFFF"/>
                          <w:sz w:val="28"/>
                          <w:szCs w:val="28"/>
                          <w:lang w:val="en-US"/>
                        </w:rPr>
                        <w:t>STOP</w:t>
                      </w:r>
                    </w:p>
                  </w:txbxContent>
                </v:textbox>
                <w10:wrap anchorx="margin"/>
              </v:shape>
            </w:pict>
          </mc:Fallback>
        </mc:AlternateContent>
      </w:r>
      <w:r>
        <w:t>​</w:t>
      </w:r>
      <w:r>
        <w:rPr>
          <w:noProof/>
          <w:lang w:eastAsia="bg-BG"/>
        </w:rPr>
        <w:drawing>
          <wp:inline distT="0" distB="0" distL="0" distR="0" wp14:anchorId="109AEA09" wp14:editId="109AEA0A">
            <wp:extent cx="590550" cy="6000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40" t="-139" r="-140" b="-139"/>
                    <a:stretch>
                      <a:fillRect/>
                    </a:stretch>
                  </pic:blipFill>
                  <pic:spPr bwMode="auto">
                    <a:xfrm>
                      <a:off x="0" y="0"/>
                      <a:ext cx="590550" cy="600075"/>
                    </a:xfrm>
                    <a:prstGeom prst="rect">
                      <a:avLst/>
                    </a:prstGeom>
                    <a:solidFill>
                      <a:srgbClr val="FFFFFF"/>
                    </a:solidFill>
                    <a:ln>
                      <a:noFill/>
                    </a:ln>
                  </pic:spPr>
                </pic:pic>
              </a:graphicData>
            </a:graphic>
          </wp:inline>
        </w:drawing>
      </w:r>
      <w:r>
        <w:t>Прочетете изцяло "Указанията за употреба" преди употреба.</w:t>
      </w:r>
    </w:p>
    <w:p w14:paraId="109ADC77" w14:textId="77777777" w:rsidR="009B3384" w:rsidRDefault="00800862">
      <w:pPr>
        <w:tabs>
          <w:tab w:val="clear" w:pos="567"/>
        </w:tabs>
      </w:pPr>
      <w:r>
        <w:br w:type="page"/>
      </w:r>
    </w:p>
    <w:p w14:paraId="109ADC78"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lastRenderedPageBreak/>
        <w:t>МИНИМУМ ДАННИ, КОИТО ТРЯБВА ДА СЪДЪРЖАТ МАЛКИТЕ ЕДИНИЧНИ ПЪРВИЧНИ ОПАКОВКИ</w:t>
      </w:r>
    </w:p>
    <w:p w14:paraId="109ADC79"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C7A"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t>ТЕКСТ НА ЕТИКЕТА НА ПРЕДВАРИТЕЛНО НАПЪЛНЕНАТА ПИСАЛКА (45 mg)</w:t>
      </w:r>
    </w:p>
    <w:p w14:paraId="109ADC7B" w14:textId="77777777" w:rsidR="009B3384" w:rsidRDefault="009B3384"/>
    <w:p w14:paraId="109ADC7C" w14:textId="77777777" w:rsidR="009B3384" w:rsidRDefault="009B3384"/>
    <w:p w14:paraId="109ADC7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 И ПЪТ(ИЩА) НА ВЪВЕЖДАНЕ</w:t>
      </w:r>
    </w:p>
    <w:p w14:paraId="109ADC7E" w14:textId="77777777" w:rsidR="009B3384" w:rsidRDefault="009B3384"/>
    <w:p w14:paraId="109ADC7F" w14:textId="77777777" w:rsidR="009B3384" w:rsidRDefault="00800862">
      <w:r>
        <w:t>STELARA 45 mg инжекция</w:t>
      </w:r>
    </w:p>
    <w:p w14:paraId="109ADC80" w14:textId="77777777" w:rsidR="009B3384" w:rsidRDefault="00800862">
      <w:r>
        <w:t>устекинумаб</w:t>
      </w:r>
    </w:p>
    <w:p w14:paraId="109ADC81" w14:textId="77777777" w:rsidR="009B3384" w:rsidRDefault="00800862">
      <w:r>
        <w:t>s.c.</w:t>
      </w:r>
    </w:p>
    <w:p w14:paraId="109ADC82" w14:textId="77777777" w:rsidR="009B3384" w:rsidRDefault="009B3384"/>
    <w:p w14:paraId="109ADC83" w14:textId="77777777" w:rsidR="009B3384" w:rsidRDefault="009B3384"/>
    <w:p w14:paraId="109ADC8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 xml:space="preserve">НАЧИН НА </w:t>
      </w:r>
      <w:r>
        <w:rPr>
          <w:b/>
          <w:szCs w:val="22"/>
        </w:rPr>
        <w:t>ПРИЛОЖЕНИЕ</w:t>
      </w:r>
    </w:p>
    <w:p w14:paraId="109ADC85" w14:textId="77777777" w:rsidR="009B3384" w:rsidRDefault="009B3384"/>
    <w:p w14:paraId="109ADC86" w14:textId="77777777" w:rsidR="009B3384" w:rsidRDefault="009B3384"/>
    <w:p w14:paraId="109ADC87" w14:textId="77777777" w:rsidR="009B3384" w:rsidRDefault="009B3384"/>
    <w:p w14:paraId="109ADC8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ДАТА НА ИЗТИЧАНЕ НА СРОКА НА ГОДНОСТ</w:t>
      </w:r>
    </w:p>
    <w:p w14:paraId="109ADC89" w14:textId="77777777" w:rsidR="009B3384" w:rsidRDefault="009B3384"/>
    <w:p w14:paraId="109ADC8A" w14:textId="77777777" w:rsidR="009B3384" w:rsidRDefault="00800862">
      <w:pPr>
        <w:widowControl w:val="0"/>
      </w:pPr>
      <w:r>
        <w:t>EXP</w:t>
      </w:r>
    </w:p>
    <w:p w14:paraId="109ADC8B" w14:textId="77777777" w:rsidR="009B3384" w:rsidRDefault="009B3384"/>
    <w:p w14:paraId="109ADC8C" w14:textId="77777777" w:rsidR="009B3384" w:rsidRDefault="009B3384"/>
    <w:p w14:paraId="109ADC8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ПАРТИДЕН НОМЕР</w:t>
      </w:r>
    </w:p>
    <w:p w14:paraId="109ADC8E" w14:textId="77777777" w:rsidR="009B3384" w:rsidRDefault="009B3384"/>
    <w:p w14:paraId="109ADC8F" w14:textId="77777777" w:rsidR="009B3384" w:rsidRDefault="00800862">
      <w:pPr>
        <w:widowControl w:val="0"/>
      </w:pPr>
      <w:r>
        <w:t>Lot</w:t>
      </w:r>
    </w:p>
    <w:p w14:paraId="109ADC90" w14:textId="77777777" w:rsidR="009B3384" w:rsidRDefault="009B3384"/>
    <w:p w14:paraId="109ADC91" w14:textId="77777777" w:rsidR="009B3384" w:rsidRDefault="009B3384"/>
    <w:p w14:paraId="109ADC9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СЪДЪРЖАНИЕ КАТО МАСА, ОБЕМ ИЛИ ЕДИНИЦИ</w:t>
      </w:r>
    </w:p>
    <w:p w14:paraId="109ADC93" w14:textId="77777777" w:rsidR="009B3384" w:rsidRDefault="009B3384"/>
    <w:p w14:paraId="109ADC94" w14:textId="77777777" w:rsidR="009B3384" w:rsidRDefault="00800862">
      <w:r>
        <w:t>45 mg/0,5 ml</w:t>
      </w:r>
    </w:p>
    <w:p w14:paraId="109ADC95" w14:textId="77777777" w:rsidR="009B3384" w:rsidRDefault="009B3384"/>
    <w:p w14:paraId="109ADC96" w14:textId="77777777" w:rsidR="009B3384" w:rsidRDefault="009B3384"/>
    <w:p w14:paraId="109ADC9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ДРУГО</w:t>
      </w:r>
    </w:p>
    <w:p w14:paraId="109ADC98" w14:textId="77777777" w:rsidR="009B3384" w:rsidRDefault="00800862">
      <w:r>
        <w:br w:type="page"/>
      </w:r>
    </w:p>
    <w:p w14:paraId="109ADC9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ДАННИ, КОИТО ТРЯБВА ДА СЪДЪРЖА ВТОРИЧНАТА ОПАКОВКА</w:t>
      </w:r>
    </w:p>
    <w:p w14:paraId="109ADC9A"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C9B"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t>ТЕКСТ НА КУТИЯТА НА ПРЕДВАРИТЕЛНО НАПЪЛНЕНАТА ПИСАЛКА (90 mg)</w:t>
      </w:r>
    </w:p>
    <w:p w14:paraId="109ADC9C" w14:textId="77777777" w:rsidR="009B3384" w:rsidRDefault="009B3384"/>
    <w:p w14:paraId="109ADC9D" w14:textId="77777777" w:rsidR="009B3384" w:rsidRDefault="009B3384"/>
    <w:p w14:paraId="109ADC9E"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w:t>
      </w:r>
    </w:p>
    <w:p w14:paraId="109ADC9F" w14:textId="77777777" w:rsidR="009B3384" w:rsidRDefault="009B3384"/>
    <w:p w14:paraId="109ADCA0" w14:textId="77777777" w:rsidR="009B3384" w:rsidRDefault="00800862">
      <w:r>
        <w:t>STELARA 90 mg инжекционен разтвор в предварително напълнена писалка</w:t>
      </w:r>
    </w:p>
    <w:p w14:paraId="109ADCA1" w14:textId="77777777" w:rsidR="009B3384" w:rsidRDefault="00800862">
      <w:r>
        <w:t>устекинумаб</w:t>
      </w:r>
    </w:p>
    <w:p w14:paraId="109ADCA2" w14:textId="77777777" w:rsidR="009B3384" w:rsidRDefault="009B3384"/>
    <w:p w14:paraId="109ADCA3" w14:textId="77777777" w:rsidR="009B3384" w:rsidRDefault="009B3384"/>
    <w:p w14:paraId="109ADCA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ОБЯВЯВАНЕ НА АКТИВНОТО(ИТЕ) ВЕЩЕСТВО(А)</w:t>
      </w:r>
    </w:p>
    <w:p w14:paraId="109ADCA5" w14:textId="77777777" w:rsidR="009B3384" w:rsidRDefault="009B3384"/>
    <w:p w14:paraId="109ADCA6" w14:textId="77777777" w:rsidR="009B3384" w:rsidRDefault="00800862">
      <w:r>
        <w:t>Всяка предварително напълнена писалка съдържа 90 mg устекинумаб в 1 ml.</w:t>
      </w:r>
    </w:p>
    <w:p w14:paraId="109ADCA7" w14:textId="77777777" w:rsidR="009B3384" w:rsidRDefault="009B3384"/>
    <w:p w14:paraId="109ADCA8" w14:textId="77777777" w:rsidR="009B3384" w:rsidRDefault="009B3384"/>
    <w:p w14:paraId="109ADCA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СПИСЪК НА ПОМОЩНИТЕ ВЕЩЕСТВА</w:t>
      </w:r>
    </w:p>
    <w:p w14:paraId="109ADCAA" w14:textId="77777777" w:rsidR="009B3384" w:rsidRDefault="009B3384">
      <w:pPr>
        <w:rPr>
          <w:iCs/>
        </w:rPr>
      </w:pPr>
    </w:p>
    <w:p w14:paraId="109ADCAB" w14:textId="77777777" w:rsidR="009B3384" w:rsidRDefault="00800862">
      <w:r>
        <w:rPr>
          <w:iCs/>
        </w:rPr>
        <w:t>Помощни вещества: захароза, L-хистидин, L-хистидинов монохидрохлорид монохидрат, полисорбат 80, вода за инжекции</w:t>
      </w:r>
      <w:r>
        <w:t xml:space="preserve">. Опаковката, в която се намира този лекарствен продукт, съдържа латексова гума. </w:t>
      </w:r>
      <w:r w:rsidRPr="00BC6A43">
        <w:rPr>
          <w:highlight w:val="lightGray"/>
        </w:rPr>
        <w:t>За допълнителна информация вижте листовката.</w:t>
      </w:r>
    </w:p>
    <w:p w14:paraId="109ADCAC" w14:textId="77777777" w:rsidR="009B3384" w:rsidRDefault="009B3384"/>
    <w:p w14:paraId="109ADCAD" w14:textId="77777777" w:rsidR="009B3384" w:rsidRDefault="009B3384"/>
    <w:p w14:paraId="109ADCAE"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ЛЕКАРСТВЕНА ФОРМА И КОЛИЧЕСТВО В ЕДНА ОПАКОВКА</w:t>
      </w:r>
    </w:p>
    <w:p w14:paraId="109ADCAF" w14:textId="77777777" w:rsidR="009B3384" w:rsidRDefault="009B3384"/>
    <w:p w14:paraId="109ADCB0" w14:textId="4727CF27" w:rsidR="009B3384" w:rsidRPr="00F9219D" w:rsidRDefault="00800862">
      <w:r w:rsidRPr="00BC6A43">
        <w:rPr>
          <w:highlight w:val="lightGray"/>
        </w:rPr>
        <w:t>Инжекционен разтвор</w:t>
      </w:r>
      <w:del w:id="1303" w:author="EUCP BE1" w:date="2026-05-19T16:59:00Z">
        <w:r w:rsidDel="00F72194">
          <w:delText xml:space="preserve"> </w:delText>
        </w:r>
      </w:del>
    </w:p>
    <w:p w14:paraId="109ADCB1" w14:textId="77777777" w:rsidR="009B3384" w:rsidRDefault="00800862">
      <w:r>
        <w:t>90 mg/1 ml</w:t>
      </w:r>
    </w:p>
    <w:p w14:paraId="109ADCB2" w14:textId="77777777" w:rsidR="009B3384" w:rsidRDefault="00800862">
      <w:r>
        <w:t>1 предварително напълнена писалка</w:t>
      </w:r>
    </w:p>
    <w:p w14:paraId="109ADCB3" w14:textId="77777777" w:rsidR="009B3384" w:rsidRDefault="00800862">
      <w:pPr>
        <w:rPr>
          <w:bCs/>
          <w:iCs/>
        </w:rPr>
      </w:pPr>
      <w:r>
        <w:rPr>
          <w:bCs/>
          <w:iCs/>
        </w:rPr>
        <w:t>Предварително напълнена писалка за еднократно приложение</w:t>
      </w:r>
    </w:p>
    <w:p w14:paraId="109ADCB4" w14:textId="77777777" w:rsidR="009B3384" w:rsidRDefault="009B3384"/>
    <w:p w14:paraId="109ADCB5" w14:textId="77777777" w:rsidR="009B3384" w:rsidRDefault="009B3384"/>
    <w:p w14:paraId="109ADCB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 xml:space="preserve">НАЧИН НА </w:t>
      </w:r>
      <w:r>
        <w:rPr>
          <w:b/>
          <w:szCs w:val="22"/>
        </w:rPr>
        <w:t xml:space="preserve">ПРИЛОЖЕНИЕ </w:t>
      </w:r>
      <w:r>
        <w:rPr>
          <w:b/>
        </w:rPr>
        <w:t>И ПЪТ(ИЩА) НА ВЪВЕЖДАНЕ</w:t>
      </w:r>
    </w:p>
    <w:p w14:paraId="109ADCB7" w14:textId="77777777" w:rsidR="009B3384" w:rsidRDefault="009B3384"/>
    <w:p w14:paraId="109ADCB8" w14:textId="77777777" w:rsidR="009B3384" w:rsidRDefault="00800862">
      <w:r>
        <w:rPr>
          <w:bCs/>
          <w:iCs/>
        </w:rPr>
        <w:t>ОТВОРЕТЕ ТУК</w:t>
      </w:r>
    </w:p>
    <w:p w14:paraId="109ADCB9" w14:textId="77777777" w:rsidR="009B3384" w:rsidRDefault="00800862">
      <w:pPr>
        <w:rPr>
          <w:iCs/>
        </w:rPr>
      </w:pPr>
      <w:r>
        <w:rPr>
          <w:iCs/>
        </w:rPr>
        <w:t>Да не се разклаща.</w:t>
      </w:r>
    </w:p>
    <w:p w14:paraId="109ADCBA" w14:textId="77777777" w:rsidR="009B3384" w:rsidRDefault="00800862">
      <w:pPr>
        <w:rPr>
          <w:iCs/>
        </w:rPr>
      </w:pPr>
      <w:r>
        <w:rPr>
          <w:iCs/>
        </w:rPr>
        <w:t>Подкожно приложение</w:t>
      </w:r>
    </w:p>
    <w:p w14:paraId="109ADCBB" w14:textId="77777777" w:rsidR="009B3384" w:rsidRDefault="00800862">
      <w:r>
        <w:t>Преди употреба прочетете листовката.</w:t>
      </w:r>
    </w:p>
    <w:p w14:paraId="109ADCBC" w14:textId="77777777" w:rsidR="009B3384" w:rsidRDefault="009B3384"/>
    <w:p w14:paraId="109ADCBD" w14:textId="77777777" w:rsidR="009B3384" w:rsidRDefault="009B3384"/>
    <w:p w14:paraId="109ADCBE"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09ADCBF" w14:textId="77777777" w:rsidR="009B3384" w:rsidRDefault="009B3384"/>
    <w:p w14:paraId="109ADCC0" w14:textId="77777777" w:rsidR="009B3384" w:rsidRDefault="00800862">
      <w:r>
        <w:t>Да се съхранява на място, недостъпно за деца.</w:t>
      </w:r>
    </w:p>
    <w:p w14:paraId="109ADCC1" w14:textId="77777777" w:rsidR="009B3384" w:rsidRDefault="009B3384"/>
    <w:p w14:paraId="109ADCC2" w14:textId="77777777" w:rsidR="009B3384" w:rsidRDefault="009B3384"/>
    <w:p w14:paraId="109ADCC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7.</w:t>
      </w:r>
      <w:r>
        <w:rPr>
          <w:b/>
        </w:rPr>
        <w:tab/>
        <w:t>ДРУГИ СПЕЦИАЛНИ ПРЕДУПРЕЖДЕНИЯ, АКО Е НЕОБХОДИМО</w:t>
      </w:r>
    </w:p>
    <w:p w14:paraId="109ADCC4" w14:textId="77777777" w:rsidR="009B3384" w:rsidRDefault="009B3384"/>
    <w:p w14:paraId="109ADCC5" w14:textId="77777777" w:rsidR="009B3384" w:rsidRDefault="009B3384"/>
    <w:p w14:paraId="109ADCC6" w14:textId="77777777" w:rsidR="009B3384" w:rsidRDefault="009B3384"/>
    <w:p w14:paraId="109ADCC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8.</w:t>
      </w:r>
      <w:r>
        <w:rPr>
          <w:b/>
        </w:rPr>
        <w:tab/>
        <w:t>ДАТА НА ИЗТИЧАНЕ НА СРОКА НА ГОДНОСТ</w:t>
      </w:r>
    </w:p>
    <w:p w14:paraId="109ADCC8" w14:textId="77777777" w:rsidR="009B3384" w:rsidRDefault="009B3384"/>
    <w:p w14:paraId="109ADCC9" w14:textId="77777777" w:rsidR="009B3384" w:rsidRDefault="00800862">
      <w:r>
        <w:t>Годен до:</w:t>
      </w:r>
    </w:p>
    <w:p w14:paraId="109ADCCA" w14:textId="77777777" w:rsidR="009B3384" w:rsidRDefault="00800862">
      <w:r>
        <w:t>Дата на изхвърляне, при съхранение на стайна температура:___________________</w:t>
      </w:r>
    </w:p>
    <w:p w14:paraId="109ADCCB" w14:textId="77777777" w:rsidR="009B3384" w:rsidRDefault="009B3384"/>
    <w:p w14:paraId="109ADCCC" w14:textId="77777777" w:rsidR="009B3384" w:rsidRDefault="009B3384"/>
    <w:p w14:paraId="109ADCC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lastRenderedPageBreak/>
        <w:t>9.</w:t>
      </w:r>
      <w:r>
        <w:rPr>
          <w:b/>
        </w:rPr>
        <w:tab/>
        <w:t>СПЕЦИАЛНИ УСЛОВИЯ НА СЪХРАНЕНИЕ</w:t>
      </w:r>
    </w:p>
    <w:p w14:paraId="109ADCCE" w14:textId="77777777" w:rsidR="009B3384" w:rsidRDefault="009B3384"/>
    <w:p w14:paraId="109ADCCF" w14:textId="77777777" w:rsidR="009B3384" w:rsidRDefault="00800862">
      <w:r>
        <w:t>Да се съхранява в хладилник.</w:t>
      </w:r>
    </w:p>
    <w:p w14:paraId="109ADCD0" w14:textId="77777777" w:rsidR="009B3384" w:rsidRDefault="00800862">
      <w:r>
        <w:t>Да не се замразява.</w:t>
      </w:r>
    </w:p>
    <w:p w14:paraId="109ADCD1" w14:textId="77777777" w:rsidR="009B3384" w:rsidRDefault="00800862">
      <w:r>
        <w:t>Съхранявайте предварително напълнената писалка в картонената опаковка, за да се предпази от светлина.</w:t>
      </w:r>
    </w:p>
    <w:p w14:paraId="109ADCD2" w14:textId="77777777" w:rsidR="009B3384" w:rsidRDefault="00800862">
      <w:r>
        <w:t>Може да се съхранява при стайна температура (до 30</w:t>
      </w:r>
      <w:r>
        <w:rPr>
          <w:rFonts w:eastAsia="Symbol"/>
        </w:rPr>
        <w:t>°</w:t>
      </w:r>
      <w:r>
        <w:t>C) за един период до 30 дни, но не по-дълго от оригиналния срок на годност.</w:t>
      </w:r>
    </w:p>
    <w:p w14:paraId="109ADCD3" w14:textId="77777777" w:rsidR="009B3384" w:rsidRDefault="009B3384"/>
    <w:p w14:paraId="109ADCD4" w14:textId="77777777" w:rsidR="009B3384" w:rsidRDefault="009B3384"/>
    <w:p w14:paraId="109ADCD5"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09ADCD6" w14:textId="77777777" w:rsidR="009B3384" w:rsidRDefault="009B3384"/>
    <w:p w14:paraId="109ADCD7" w14:textId="77777777" w:rsidR="009B3384" w:rsidRDefault="009B3384"/>
    <w:p w14:paraId="109ADCD8" w14:textId="77777777" w:rsidR="009B3384" w:rsidRDefault="009B3384"/>
    <w:p w14:paraId="109ADCD9"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ИМЕ И АДРЕС НА ПРИТЕЖАТЕЛЯ НА РАЗРЕШЕНИЕТО ЗА УПОТРЕБА</w:t>
      </w:r>
    </w:p>
    <w:p w14:paraId="109ADCDA" w14:textId="77777777" w:rsidR="009B3384" w:rsidRDefault="009B3384"/>
    <w:p w14:paraId="109ADCDB" w14:textId="77777777" w:rsidR="009B3384" w:rsidRDefault="00800862">
      <w:pPr>
        <w:rPr>
          <w:szCs w:val="13"/>
        </w:rPr>
      </w:pPr>
      <w:r>
        <w:rPr>
          <w:szCs w:val="13"/>
        </w:rPr>
        <w:t>Janssen-Cilag International NV</w:t>
      </w:r>
    </w:p>
    <w:p w14:paraId="109ADCDC" w14:textId="77777777" w:rsidR="009B3384" w:rsidRDefault="00800862">
      <w:pPr>
        <w:rPr>
          <w:szCs w:val="13"/>
        </w:rPr>
      </w:pPr>
      <w:r>
        <w:rPr>
          <w:szCs w:val="13"/>
        </w:rPr>
        <w:t>Turnhoutseweg 30</w:t>
      </w:r>
    </w:p>
    <w:p w14:paraId="109ADCDD" w14:textId="77777777" w:rsidR="009B3384" w:rsidRDefault="00800862">
      <w:pPr>
        <w:rPr>
          <w:szCs w:val="13"/>
        </w:rPr>
      </w:pPr>
      <w:r>
        <w:rPr>
          <w:szCs w:val="13"/>
          <w:lang w:val="nl-BE"/>
        </w:rPr>
        <w:t>B</w:t>
      </w:r>
      <w:r>
        <w:rPr>
          <w:szCs w:val="13"/>
        </w:rPr>
        <w:t>-2340 Beerse</w:t>
      </w:r>
    </w:p>
    <w:p w14:paraId="109ADCDE" w14:textId="77777777" w:rsidR="009B3384" w:rsidRDefault="00800862">
      <w:r>
        <w:rPr>
          <w:szCs w:val="13"/>
        </w:rPr>
        <w:t>Белгия</w:t>
      </w:r>
    </w:p>
    <w:p w14:paraId="109ADCDF" w14:textId="77777777" w:rsidR="009B3384" w:rsidRDefault="009B3384"/>
    <w:p w14:paraId="109ADCE0" w14:textId="77777777" w:rsidR="009B3384" w:rsidRDefault="009B3384"/>
    <w:p w14:paraId="109ADCE1"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12.</w:t>
      </w:r>
      <w:r>
        <w:rPr>
          <w:b/>
        </w:rPr>
        <w:tab/>
        <w:t>НОМЕР НА РАЗРЕШЕНИЕТО ЗА УПОТРЕБА</w:t>
      </w:r>
    </w:p>
    <w:p w14:paraId="109ADCE2" w14:textId="77777777" w:rsidR="009B3384" w:rsidRDefault="009B3384">
      <w:pPr>
        <w:rPr>
          <w:szCs w:val="24"/>
        </w:rPr>
      </w:pPr>
    </w:p>
    <w:p w14:paraId="109ADCE3" w14:textId="77777777" w:rsidR="009B3384" w:rsidRDefault="00800862">
      <w:r>
        <w:t>EU/</w:t>
      </w:r>
      <w:r>
        <w:rPr>
          <w:szCs w:val="22"/>
        </w:rPr>
        <w:t>1/08/494/007</w:t>
      </w:r>
    </w:p>
    <w:p w14:paraId="109ADCE4" w14:textId="77777777" w:rsidR="009B3384" w:rsidRDefault="009B3384"/>
    <w:p w14:paraId="109ADCE5" w14:textId="77777777" w:rsidR="009B3384" w:rsidRDefault="009B3384"/>
    <w:p w14:paraId="109ADCE6"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ПАРТИДЕН НОМЕР</w:t>
      </w:r>
    </w:p>
    <w:p w14:paraId="109ADCE7" w14:textId="77777777" w:rsidR="009B3384" w:rsidRDefault="009B3384"/>
    <w:p w14:paraId="109ADCE8" w14:textId="77777777" w:rsidR="009B3384" w:rsidRDefault="00800862">
      <w:r>
        <w:t>Партида:</w:t>
      </w:r>
    </w:p>
    <w:p w14:paraId="109ADCE9" w14:textId="77777777" w:rsidR="009B3384" w:rsidRDefault="009B3384"/>
    <w:p w14:paraId="109ADCEA" w14:textId="77777777" w:rsidR="009B3384" w:rsidRDefault="009B3384"/>
    <w:p w14:paraId="109ADCEB"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НАЧИН НА ОТПУСКАНЕ</w:t>
      </w:r>
    </w:p>
    <w:p w14:paraId="109ADCEC" w14:textId="77777777" w:rsidR="009B3384" w:rsidRDefault="009B3384"/>
    <w:p w14:paraId="109ADCED" w14:textId="77777777" w:rsidR="009B3384" w:rsidRDefault="009B3384"/>
    <w:p w14:paraId="109ADCEE" w14:textId="77777777" w:rsidR="009B3384" w:rsidRDefault="009B3384"/>
    <w:p w14:paraId="109ADCEF"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УКАЗАНИЯ ЗА УПОТРЕБА</w:t>
      </w:r>
    </w:p>
    <w:p w14:paraId="109ADCF0" w14:textId="77777777" w:rsidR="009B3384" w:rsidRDefault="009B3384"/>
    <w:p w14:paraId="109ADCF1" w14:textId="77777777" w:rsidR="009B3384" w:rsidRDefault="009B3384"/>
    <w:p w14:paraId="109ADCF2" w14:textId="77777777" w:rsidR="009B3384" w:rsidRDefault="009B3384"/>
    <w:p w14:paraId="109ADCF3"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ИНФОРМАЦИЯ НА БРАЙЛОВА АЗБУКА</w:t>
      </w:r>
    </w:p>
    <w:p w14:paraId="109ADCF4" w14:textId="77777777" w:rsidR="009B3384" w:rsidRDefault="009B3384"/>
    <w:p w14:paraId="109ADCF5" w14:textId="77777777" w:rsidR="009B3384" w:rsidRDefault="00800862">
      <w:r>
        <w:t>STELARA 90 mg</w:t>
      </w:r>
    </w:p>
    <w:p w14:paraId="109ADCF6" w14:textId="77777777" w:rsidR="009B3384" w:rsidRDefault="009B3384"/>
    <w:p w14:paraId="109ADCF7" w14:textId="77777777" w:rsidR="009B3384" w:rsidRDefault="009B3384"/>
    <w:p w14:paraId="109ADCF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17.</w:t>
      </w:r>
      <w:r>
        <w:rPr>
          <w:b/>
        </w:rPr>
        <w:tab/>
        <w:t>УНИКАЛЕН ИДЕНТИФИКАТОР — ДВУИЗМЕРЕН БАРКОД</w:t>
      </w:r>
    </w:p>
    <w:p w14:paraId="109ADCF9" w14:textId="77777777" w:rsidR="009B3384" w:rsidRDefault="009B3384"/>
    <w:p w14:paraId="109ADCFA" w14:textId="77777777" w:rsidR="009B3384" w:rsidRDefault="00800862">
      <w:r>
        <w:rPr>
          <w:highlight w:val="lightGray"/>
        </w:rPr>
        <w:t>Двуизмерен баркод с включен уникален идентификатор</w:t>
      </w:r>
    </w:p>
    <w:p w14:paraId="109ADCFB" w14:textId="77777777" w:rsidR="009B3384" w:rsidRDefault="009B3384"/>
    <w:p w14:paraId="109ADCFC" w14:textId="77777777" w:rsidR="009B3384" w:rsidRDefault="009B3384">
      <w:pPr>
        <w:spacing w:line="260" w:lineRule="exact"/>
        <w:rPr>
          <w:vanish/>
          <w:szCs w:val="22"/>
        </w:rPr>
      </w:pPr>
    </w:p>
    <w:p w14:paraId="109ADCF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lastRenderedPageBreak/>
        <w:t>18.</w:t>
      </w:r>
      <w:r>
        <w:rPr>
          <w:b/>
        </w:rPr>
        <w:tab/>
        <w:t>УНИКАЛЕН ИДЕНТИФИКАТОР — ДАННИ ЗА ЧЕТЕНЕ ОТ ХОРА</w:t>
      </w:r>
    </w:p>
    <w:p w14:paraId="109ADCFE" w14:textId="77777777" w:rsidR="009B3384" w:rsidRDefault="009B3384">
      <w:pPr>
        <w:keepNext/>
      </w:pPr>
    </w:p>
    <w:p w14:paraId="109ADCFF" w14:textId="77777777" w:rsidR="009B3384" w:rsidRDefault="00800862">
      <w:pPr>
        <w:keepNext/>
      </w:pPr>
      <w:r>
        <w:rPr>
          <w:lang w:val="en-GB"/>
        </w:rPr>
        <w:t>PC</w:t>
      </w:r>
    </w:p>
    <w:p w14:paraId="109ADD00" w14:textId="77777777" w:rsidR="009B3384" w:rsidRDefault="00800862">
      <w:pPr>
        <w:keepNext/>
        <w:rPr>
          <w:szCs w:val="22"/>
        </w:rPr>
      </w:pPr>
      <w:r>
        <w:rPr>
          <w:lang w:val="en-GB"/>
        </w:rPr>
        <w:t>SN</w:t>
      </w:r>
    </w:p>
    <w:p w14:paraId="109ADD01" w14:textId="77777777" w:rsidR="009B3384" w:rsidRDefault="00800862">
      <w:r>
        <w:rPr>
          <w:lang w:val="en-GB"/>
        </w:rPr>
        <w:t>NN</w:t>
      </w:r>
      <w:r>
        <w:br w:type="page"/>
      </w:r>
    </w:p>
    <w:p w14:paraId="109ADD0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lastRenderedPageBreak/>
        <w:t>ДАННИ, КОИТО ТРЯБВА ДА СЪДЪРЖА ВТОРИЧНАТА ОПАКОВКА</w:t>
      </w:r>
    </w:p>
    <w:p w14:paraId="109ADD03"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D04" w14:textId="77777777" w:rsidR="009B3384" w:rsidRDefault="00800862">
      <w:pPr>
        <w:pBdr>
          <w:top w:val="single" w:sz="4" w:space="1" w:color="000000"/>
          <w:left w:val="single" w:sz="4" w:space="4" w:color="000000"/>
          <w:bottom w:val="single" w:sz="4" w:space="1" w:color="000000"/>
          <w:right w:val="single" w:sz="4" w:space="4" w:color="000000"/>
        </w:pBdr>
        <w:rPr>
          <w:b/>
          <w:bCs/>
        </w:rPr>
      </w:pPr>
      <w:r>
        <w:rPr>
          <w:b/>
          <w:bCs/>
          <w:szCs w:val="22"/>
        </w:rPr>
        <w:t>ОТ ВЪТРЕШНАТА СТРАНА НА КАРТОНЕНАТА КУТИЯ</w:t>
      </w:r>
    </w:p>
    <w:p w14:paraId="109ADD05" w14:textId="77777777" w:rsidR="009B3384" w:rsidRDefault="009B3384">
      <w:pPr>
        <w:widowControl w:val="0"/>
        <w:rPr>
          <w:szCs w:val="22"/>
          <w:highlight w:val="yellow"/>
        </w:rPr>
      </w:pPr>
    </w:p>
    <w:p w14:paraId="109ADD06" w14:textId="77777777" w:rsidR="009B3384" w:rsidRDefault="00800862">
      <w:pPr>
        <w:widowControl w:val="0"/>
        <w:tabs>
          <w:tab w:val="clear" w:pos="567"/>
          <w:tab w:val="left" w:pos="216"/>
          <w:tab w:val="left" w:pos="360"/>
          <w:tab w:val="left" w:pos="540"/>
        </w:tabs>
      </w:pPr>
      <w:r>
        <w:rPr>
          <w:bCs/>
          <w:iCs/>
        </w:rPr>
        <w:t>​</w:t>
      </w:r>
      <w:r>
        <w:rPr>
          <w:noProof/>
          <w:lang w:eastAsia="bg-BG"/>
        </w:rPr>
        <mc:AlternateContent>
          <mc:Choice Requires="wps">
            <w:drawing>
              <wp:anchor distT="0" distB="0" distL="114300" distR="114300" simplePos="0" relativeHeight="251662336" behindDoc="0" locked="0" layoutInCell="0" allowOverlap="1" wp14:anchorId="109AEA0B" wp14:editId="109AEA0C">
                <wp:simplePos x="0" y="0"/>
                <wp:positionH relativeFrom="margin">
                  <wp:posOffset>-45720</wp:posOffset>
                </wp:positionH>
                <wp:positionV relativeFrom="paragraph">
                  <wp:posOffset>140335</wp:posOffset>
                </wp:positionV>
                <wp:extent cx="691515" cy="299085"/>
                <wp:effectExtent l="1905" t="0" r="190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9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72BE42" id="Text Box 27" o:spid="_x0000_s1026" type="#_x0000_t202" style="position:absolute;margin-left:-3.6pt;margin-top:11.05pt;width:54.45pt;height:23.55pt;z-index:25166233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" o:allowincell="f" filled="f" stroked="f" strokecolor="#3465a4">
                <v:stroke joinstyle="round"/>
                <w10:wrap anchorx="margin"/>
              </v:shape>
            </w:pict>
          </mc:Fallback>
        </mc:AlternateContent>
      </w:r>
      <w:r>
        <w:rPr>
          <w:noProof/>
          <w:lang w:eastAsia="bg-BG"/>
        </w:rPr>
        <mc:AlternateContent>
          <mc:Choice Requires="wps">
            <w:drawing>
              <wp:anchor distT="72390" distB="72390" distL="0" distR="0" simplePos="0" relativeHeight="251663360" behindDoc="0" locked="0" layoutInCell="0" allowOverlap="1" wp14:anchorId="109AEA0D" wp14:editId="109AEA0E">
                <wp:simplePos x="0" y="0"/>
                <wp:positionH relativeFrom="margin">
                  <wp:posOffset>-45720</wp:posOffset>
                </wp:positionH>
                <wp:positionV relativeFrom="page">
                  <wp:posOffset>1541145</wp:posOffset>
                </wp:positionV>
                <wp:extent cx="690880" cy="298450"/>
                <wp:effectExtent l="1905" t="7620" r="2540" b="82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2984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AEA86" w14:textId="77777777" w:rsidR="009B5D7A" w:rsidRDefault="009B5D7A">
                            <w:r>
                              <w:rPr>
                                <w:rFonts w:ascii="Arial" w:hAnsi="Arial" w:cs="Arial"/>
                                <w:b/>
                                <w:bCs/>
                                <w:color w:val="FFFFFF"/>
                                <w:sz w:val="28"/>
                                <w:szCs w:val="28"/>
                                <w:lang w:val="en-US"/>
                              </w:rPr>
                              <w:t>STOP</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EA0D" id="Text Box 26" o:spid="_x0000_s1027" type="#_x0000_t202" style="position:absolute;margin-left:-3.6pt;margin-top:121.35pt;width:54.4pt;height:23.5pt;z-index:251663360;visibility:visible;mso-wrap-style:square;mso-width-percent:0;mso-height-percent:0;mso-wrap-distance-left:0;mso-wrap-distance-top:5.7pt;mso-wrap-distance-right:0;mso-wrap-distance-bottom:5.7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" o:allowincell="f" stroked="f">
                <v:fill opacity="0"/>
                <v:textbox inset="7.25pt,3.65pt,7.25pt,3.65pt">
                  <w:txbxContent>
                    <w:p w14:paraId="109AEA86" w14:textId="77777777" w:rsidR="009B5D7A" w:rsidRDefault="009B5D7A">
                      <w:r>
                        <w:rPr>
                          <w:rFonts w:ascii="Arial" w:hAnsi="Arial" w:cs="Arial"/>
                          <w:b/>
                          <w:bCs/>
                          <w:color w:val="FFFFFF"/>
                          <w:sz w:val="28"/>
                          <w:szCs w:val="28"/>
                          <w:lang w:val="en-US"/>
                        </w:rPr>
                        <w:t>STOP</w:t>
                      </w:r>
                    </w:p>
                  </w:txbxContent>
                </v:textbox>
                <w10:wrap anchorx="margin" anchory="page"/>
              </v:shape>
            </w:pict>
          </mc:Fallback>
        </mc:AlternateContent>
      </w:r>
      <w:r>
        <w:rPr>
          <w:bCs/>
          <w:iCs/>
        </w:rPr>
        <w:t>​</w:t>
      </w:r>
      <w:r>
        <w:rPr>
          <w:bCs/>
          <w:iCs/>
          <w:noProof/>
          <w:lang w:eastAsia="bg-BG"/>
        </w:rPr>
        <w:drawing>
          <wp:inline distT="0" distB="0" distL="0" distR="0" wp14:anchorId="109AEA0F" wp14:editId="109AEA10">
            <wp:extent cx="590550" cy="6000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140" t="-139" r="-140" b="-139"/>
                    <a:stretch>
                      <a:fillRect/>
                    </a:stretch>
                  </pic:blipFill>
                  <pic:spPr bwMode="auto">
                    <a:xfrm>
                      <a:off x="0" y="0"/>
                      <a:ext cx="590550" cy="600075"/>
                    </a:xfrm>
                    <a:prstGeom prst="rect">
                      <a:avLst/>
                    </a:prstGeom>
                    <a:solidFill>
                      <a:srgbClr val="FFFFFF"/>
                    </a:solidFill>
                    <a:ln>
                      <a:noFill/>
                    </a:ln>
                  </pic:spPr>
                </pic:pic>
              </a:graphicData>
            </a:graphic>
          </wp:inline>
        </w:drawing>
      </w:r>
      <w:r>
        <w:rPr>
          <w:bCs/>
          <w:iCs/>
        </w:rPr>
        <w:t>Прочетете изцяло "Указанията за употреба" преди употреба.</w:t>
      </w:r>
    </w:p>
    <w:p w14:paraId="109ADD07" w14:textId="77777777" w:rsidR="009B3384" w:rsidRDefault="00800862">
      <w:pPr>
        <w:tabs>
          <w:tab w:val="clear" w:pos="567"/>
        </w:tabs>
        <w:rPr>
          <w:szCs w:val="22"/>
        </w:rPr>
      </w:pPr>
      <w:r>
        <w:rPr>
          <w:szCs w:val="22"/>
        </w:rPr>
        <w:br w:type="page"/>
      </w:r>
    </w:p>
    <w:p w14:paraId="109ADD08" w14:textId="77777777" w:rsidR="009B3384" w:rsidRDefault="00800862">
      <w:pPr>
        <w:pBdr>
          <w:top w:val="single" w:sz="4" w:space="1" w:color="000000"/>
          <w:left w:val="single" w:sz="4" w:space="4" w:color="000000"/>
          <w:bottom w:val="single" w:sz="4" w:space="1" w:color="000000"/>
          <w:right w:val="single" w:sz="4" w:space="4" w:color="000000"/>
        </w:pBdr>
        <w:rPr>
          <w:b/>
        </w:rPr>
      </w:pPr>
      <w:r>
        <w:rPr>
          <w:b/>
        </w:rPr>
        <w:lastRenderedPageBreak/>
        <w:t>МИНИМУМ ДАННИ, КОИТО ТРЯБВА ДА СЪДЪРЖАТ МАЛКИТЕ ЕДИНИЧНИ ПЪРВИЧНИ ОПАКОВКИ</w:t>
      </w:r>
    </w:p>
    <w:p w14:paraId="109ADD09" w14:textId="77777777" w:rsidR="009B3384" w:rsidRDefault="009B3384">
      <w:pPr>
        <w:keepNext/>
        <w:pBdr>
          <w:top w:val="single" w:sz="4" w:space="1" w:color="000000"/>
          <w:left w:val="single" w:sz="4" w:space="4" w:color="000000"/>
          <w:bottom w:val="single" w:sz="4" w:space="1" w:color="000000"/>
          <w:right w:val="single" w:sz="4" w:space="4" w:color="000000"/>
        </w:pBdr>
        <w:ind w:left="567" w:hanging="567"/>
        <w:rPr>
          <w:b/>
          <w:bCs/>
        </w:rPr>
      </w:pPr>
    </w:p>
    <w:p w14:paraId="109ADD0A"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bCs/>
        </w:rPr>
      </w:pPr>
      <w:r>
        <w:rPr>
          <w:b/>
          <w:bCs/>
        </w:rPr>
        <w:t>ТЕКСТ НА ЕТИКЕТА НА ПРЕДВАРИТЕЛНО НАПЪЛНЕНАТА ПИСАЛКА (90 mg)</w:t>
      </w:r>
    </w:p>
    <w:p w14:paraId="109ADD0B" w14:textId="77777777" w:rsidR="009B3384" w:rsidRDefault="009B3384"/>
    <w:p w14:paraId="109ADD0C" w14:textId="77777777" w:rsidR="009B3384" w:rsidRDefault="009B3384"/>
    <w:p w14:paraId="109ADD0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1.</w:t>
      </w:r>
      <w:r>
        <w:rPr>
          <w:b/>
        </w:rPr>
        <w:tab/>
        <w:t>ИМЕ НА ЛЕКАРСТВЕНИЯ ПРОДУКТ И ПЪТ(ИЩА) НА ВЪВЕЖДАНЕ</w:t>
      </w:r>
    </w:p>
    <w:p w14:paraId="109ADD0E" w14:textId="77777777" w:rsidR="009B3384" w:rsidRDefault="009B3384"/>
    <w:p w14:paraId="109ADD0F" w14:textId="77777777" w:rsidR="009B3384" w:rsidRDefault="00800862">
      <w:r>
        <w:t>STELARA 90 mg инжекция</w:t>
      </w:r>
    </w:p>
    <w:p w14:paraId="109ADD10" w14:textId="77777777" w:rsidR="009B3384" w:rsidRDefault="00800862">
      <w:r>
        <w:t>устекинумаб</w:t>
      </w:r>
    </w:p>
    <w:p w14:paraId="109ADD11" w14:textId="77777777" w:rsidR="009B3384" w:rsidRDefault="00800862">
      <w:r>
        <w:t>s.c.</w:t>
      </w:r>
    </w:p>
    <w:p w14:paraId="109ADD12" w14:textId="77777777" w:rsidR="009B3384" w:rsidRDefault="009B3384"/>
    <w:p w14:paraId="109ADD13" w14:textId="77777777" w:rsidR="009B3384" w:rsidRDefault="009B3384"/>
    <w:p w14:paraId="109ADD14"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2.</w:t>
      </w:r>
      <w:r>
        <w:rPr>
          <w:b/>
        </w:rPr>
        <w:tab/>
        <w:t xml:space="preserve">НАЧИН НА </w:t>
      </w:r>
      <w:r>
        <w:rPr>
          <w:b/>
          <w:szCs w:val="22"/>
        </w:rPr>
        <w:t>ПРИЛОЖЕНИЕ</w:t>
      </w:r>
    </w:p>
    <w:p w14:paraId="109ADD15" w14:textId="77777777" w:rsidR="009B3384" w:rsidRDefault="009B3384"/>
    <w:p w14:paraId="109ADD16" w14:textId="77777777" w:rsidR="009B3384" w:rsidRDefault="009B3384"/>
    <w:p w14:paraId="109ADD17" w14:textId="77777777" w:rsidR="009B3384" w:rsidRDefault="009B3384"/>
    <w:p w14:paraId="109ADD18"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3.</w:t>
      </w:r>
      <w:r>
        <w:rPr>
          <w:b/>
        </w:rPr>
        <w:tab/>
        <w:t>ДАТА НА ИЗТИЧАНЕ НА СРОКА НА ГОДНОСТ</w:t>
      </w:r>
    </w:p>
    <w:p w14:paraId="109ADD19" w14:textId="77777777" w:rsidR="009B3384" w:rsidRDefault="009B3384"/>
    <w:p w14:paraId="109ADD1A" w14:textId="77777777" w:rsidR="009B3384" w:rsidRDefault="00800862">
      <w:pPr>
        <w:widowControl w:val="0"/>
      </w:pPr>
      <w:r>
        <w:t>EXP</w:t>
      </w:r>
    </w:p>
    <w:p w14:paraId="109ADD1B" w14:textId="77777777" w:rsidR="009B3384" w:rsidRDefault="009B3384"/>
    <w:p w14:paraId="109ADD1C" w14:textId="77777777" w:rsidR="009B3384" w:rsidRDefault="009B3384"/>
    <w:p w14:paraId="109ADD1D"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4.</w:t>
      </w:r>
      <w:r>
        <w:rPr>
          <w:b/>
        </w:rPr>
        <w:tab/>
        <w:t>ПАРТИДЕН НОМЕР</w:t>
      </w:r>
    </w:p>
    <w:p w14:paraId="109ADD1E" w14:textId="77777777" w:rsidR="009B3384" w:rsidRDefault="009B3384"/>
    <w:p w14:paraId="109ADD1F" w14:textId="77777777" w:rsidR="009B3384" w:rsidRDefault="00800862">
      <w:pPr>
        <w:widowControl w:val="0"/>
      </w:pPr>
      <w:r>
        <w:rPr>
          <w:lang w:val="en-GB"/>
        </w:rPr>
        <w:t>Lot</w:t>
      </w:r>
    </w:p>
    <w:p w14:paraId="109ADD20" w14:textId="77777777" w:rsidR="009B3384" w:rsidRDefault="009B3384"/>
    <w:p w14:paraId="109ADD21" w14:textId="77777777" w:rsidR="009B3384" w:rsidRDefault="009B3384"/>
    <w:p w14:paraId="109ADD22"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5.</w:t>
      </w:r>
      <w:r>
        <w:rPr>
          <w:b/>
        </w:rPr>
        <w:tab/>
        <w:t>СЪДЪРЖАНИЕ КАТО МАСА, ОБЕМ ИЛИ ЕДИНИЦИ</w:t>
      </w:r>
    </w:p>
    <w:p w14:paraId="109ADD23" w14:textId="77777777" w:rsidR="009B3384" w:rsidRDefault="009B3384"/>
    <w:p w14:paraId="109ADD24" w14:textId="77777777" w:rsidR="009B3384" w:rsidRDefault="00800862">
      <w:r>
        <w:t>90 mg/1 ml</w:t>
      </w:r>
    </w:p>
    <w:p w14:paraId="109ADD25" w14:textId="77777777" w:rsidR="009B3384" w:rsidRDefault="009B3384"/>
    <w:p w14:paraId="109ADD26" w14:textId="77777777" w:rsidR="009B3384" w:rsidRDefault="009B3384"/>
    <w:p w14:paraId="109ADD27" w14:textId="77777777" w:rsidR="009B3384" w:rsidRDefault="00800862">
      <w:pPr>
        <w:keepNext/>
        <w:pBdr>
          <w:top w:val="single" w:sz="4" w:space="1" w:color="000000"/>
          <w:left w:val="single" w:sz="4" w:space="4" w:color="000000"/>
          <w:bottom w:val="single" w:sz="4" w:space="1" w:color="000000"/>
          <w:right w:val="single" w:sz="4" w:space="4" w:color="000000"/>
        </w:pBdr>
        <w:ind w:left="567" w:hanging="567"/>
        <w:rPr>
          <w:b/>
        </w:rPr>
      </w:pPr>
      <w:r>
        <w:rPr>
          <w:b/>
        </w:rPr>
        <w:t>6.</w:t>
      </w:r>
      <w:r>
        <w:rPr>
          <w:b/>
        </w:rPr>
        <w:tab/>
        <w:t>ДРУГО</w:t>
      </w:r>
    </w:p>
    <w:p w14:paraId="109ADD28" w14:textId="77777777" w:rsidR="009B3384" w:rsidRDefault="00800862">
      <w:pPr>
        <w:tabs>
          <w:tab w:val="clear" w:pos="567"/>
        </w:tabs>
        <w:jc w:val="center"/>
        <w:rPr>
          <w:szCs w:val="22"/>
        </w:rPr>
      </w:pPr>
      <w:r>
        <w:br w:type="page"/>
      </w:r>
    </w:p>
    <w:p w14:paraId="109ADD29" w14:textId="77777777" w:rsidR="009B3384" w:rsidRDefault="009B3384">
      <w:pPr>
        <w:tabs>
          <w:tab w:val="clear" w:pos="567"/>
        </w:tabs>
        <w:jc w:val="center"/>
        <w:rPr>
          <w:szCs w:val="22"/>
        </w:rPr>
      </w:pPr>
    </w:p>
    <w:p w14:paraId="109ADD2A" w14:textId="77777777" w:rsidR="009B3384" w:rsidRDefault="009B3384">
      <w:pPr>
        <w:tabs>
          <w:tab w:val="clear" w:pos="567"/>
        </w:tabs>
        <w:jc w:val="center"/>
        <w:rPr>
          <w:szCs w:val="22"/>
        </w:rPr>
      </w:pPr>
    </w:p>
    <w:p w14:paraId="109ADD2B" w14:textId="77777777" w:rsidR="009B3384" w:rsidRDefault="009B3384">
      <w:pPr>
        <w:tabs>
          <w:tab w:val="clear" w:pos="567"/>
        </w:tabs>
        <w:jc w:val="center"/>
        <w:rPr>
          <w:szCs w:val="22"/>
        </w:rPr>
      </w:pPr>
    </w:p>
    <w:p w14:paraId="109ADD2C" w14:textId="77777777" w:rsidR="009B3384" w:rsidRDefault="009B3384">
      <w:pPr>
        <w:tabs>
          <w:tab w:val="clear" w:pos="567"/>
        </w:tabs>
        <w:jc w:val="center"/>
        <w:rPr>
          <w:szCs w:val="22"/>
        </w:rPr>
      </w:pPr>
    </w:p>
    <w:p w14:paraId="109ADD2D" w14:textId="77777777" w:rsidR="009B3384" w:rsidRDefault="009B3384">
      <w:pPr>
        <w:tabs>
          <w:tab w:val="clear" w:pos="567"/>
        </w:tabs>
        <w:jc w:val="center"/>
        <w:rPr>
          <w:szCs w:val="22"/>
        </w:rPr>
      </w:pPr>
    </w:p>
    <w:p w14:paraId="109ADD2E" w14:textId="77777777" w:rsidR="009B3384" w:rsidRDefault="009B3384">
      <w:pPr>
        <w:tabs>
          <w:tab w:val="clear" w:pos="567"/>
        </w:tabs>
        <w:jc w:val="center"/>
        <w:rPr>
          <w:szCs w:val="22"/>
        </w:rPr>
      </w:pPr>
    </w:p>
    <w:p w14:paraId="109ADD2F" w14:textId="77777777" w:rsidR="009B3384" w:rsidRDefault="009B3384">
      <w:pPr>
        <w:tabs>
          <w:tab w:val="clear" w:pos="567"/>
        </w:tabs>
        <w:jc w:val="center"/>
        <w:rPr>
          <w:szCs w:val="22"/>
        </w:rPr>
      </w:pPr>
    </w:p>
    <w:p w14:paraId="109ADD30" w14:textId="77777777" w:rsidR="009B3384" w:rsidRDefault="009B3384">
      <w:pPr>
        <w:tabs>
          <w:tab w:val="clear" w:pos="567"/>
        </w:tabs>
        <w:jc w:val="center"/>
        <w:rPr>
          <w:szCs w:val="22"/>
        </w:rPr>
      </w:pPr>
    </w:p>
    <w:p w14:paraId="109ADD31" w14:textId="77777777" w:rsidR="009B3384" w:rsidRDefault="009B3384">
      <w:pPr>
        <w:tabs>
          <w:tab w:val="clear" w:pos="567"/>
        </w:tabs>
        <w:jc w:val="center"/>
        <w:rPr>
          <w:szCs w:val="22"/>
        </w:rPr>
      </w:pPr>
    </w:p>
    <w:p w14:paraId="109ADD32" w14:textId="77777777" w:rsidR="009B3384" w:rsidRDefault="009B3384">
      <w:pPr>
        <w:tabs>
          <w:tab w:val="clear" w:pos="567"/>
        </w:tabs>
        <w:jc w:val="center"/>
        <w:rPr>
          <w:szCs w:val="22"/>
        </w:rPr>
      </w:pPr>
    </w:p>
    <w:p w14:paraId="109ADD33" w14:textId="77777777" w:rsidR="009B3384" w:rsidRDefault="009B3384">
      <w:pPr>
        <w:tabs>
          <w:tab w:val="clear" w:pos="567"/>
        </w:tabs>
        <w:jc w:val="center"/>
        <w:rPr>
          <w:szCs w:val="22"/>
        </w:rPr>
      </w:pPr>
    </w:p>
    <w:p w14:paraId="109ADD34" w14:textId="77777777" w:rsidR="009B3384" w:rsidRDefault="009B3384">
      <w:pPr>
        <w:tabs>
          <w:tab w:val="clear" w:pos="567"/>
        </w:tabs>
        <w:jc w:val="center"/>
        <w:rPr>
          <w:szCs w:val="22"/>
        </w:rPr>
      </w:pPr>
    </w:p>
    <w:p w14:paraId="109ADD35" w14:textId="77777777" w:rsidR="009B3384" w:rsidRDefault="009B3384">
      <w:pPr>
        <w:tabs>
          <w:tab w:val="clear" w:pos="567"/>
        </w:tabs>
        <w:jc w:val="center"/>
        <w:rPr>
          <w:szCs w:val="22"/>
        </w:rPr>
      </w:pPr>
    </w:p>
    <w:p w14:paraId="109ADD36" w14:textId="77777777" w:rsidR="009B3384" w:rsidRDefault="009B3384">
      <w:pPr>
        <w:tabs>
          <w:tab w:val="clear" w:pos="567"/>
        </w:tabs>
        <w:jc w:val="center"/>
        <w:rPr>
          <w:szCs w:val="22"/>
        </w:rPr>
      </w:pPr>
    </w:p>
    <w:p w14:paraId="109ADD37" w14:textId="77777777" w:rsidR="009B3384" w:rsidRDefault="009B3384">
      <w:pPr>
        <w:tabs>
          <w:tab w:val="clear" w:pos="567"/>
        </w:tabs>
        <w:jc w:val="center"/>
        <w:rPr>
          <w:szCs w:val="22"/>
        </w:rPr>
      </w:pPr>
    </w:p>
    <w:p w14:paraId="109ADD38" w14:textId="77777777" w:rsidR="009B3384" w:rsidRDefault="009B3384">
      <w:pPr>
        <w:tabs>
          <w:tab w:val="clear" w:pos="567"/>
        </w:tabs>
        <w:jc w:val="center"/>
        <w:rPr>
          <w:szCs w:val="22"/>
        </w:rPr>
      </w:pPr>
    </w:p>
    <w:p w14:paraId="109ADD39" w14:textId="77777777" w:rsidR="009B3384" w:rsidRDefault="009B3384">
      <w:pPr>
        <w:tabs>
          <w:tab w:val="clear" w:pos="567"/>
        </w:tabs>
        <w:jc w:val="center"/>
        <w:rPr>
          <w:szCs w:val="22"/>
        </w:rPr>
      </w:pPr>
    </w:p>
    <w:p w14:paraId="109ADD3A" w14:textId="77777777" w:rsidR="009B3384" w:rsidRDefault="009B3384">
      <w:pPr>
        <w:tabs>
          <w:tab w:val="clear" w:pos="567"/>
        </w:tabs>
        <w:jc w:val="center"/>
        <w:rPr>
          <w:szCs w:val="22"/>
        </w:rPr>
      </w:pPr>
    </w:p>
    <w:p w14:paraId="109ADD3B" w14:textId="77777777" w:rsidR="009B3384" w:rsidRDefault="009B3384">
      <w:pPr>
        <w:tabs>
          <w:tab w:val="clear" w:pos="567"/>
        </w:tabs>
        <w:jc w:val="center"/>
        <w:rPr>
          <w:szCs w:val="22"/>
        </w:rPr>
      </w:pPr>
    </w:p>
    <w:p w14:paraId="109ADD3C" w14:textId="77777777" w:rsidR="009B3384" w:rsidRDefault="009B3384">
      <w:pPr>
        <w:tabs>
          <w:tab w:val="clear" w:pos="567"/>
        </w:tabs>
        <w:jc w:val="center"/>
        <w:rPr>
          <w:szCs w:val="22"/>
        </w:rPr>
      </w:pPr>
    </w:p>
    <w:p w14:paraId="109ADD3D" w14:textId="77777777" w:rsidR="009B3384" w:rsidRDefault="009B3384">
      <w:pPr>
        <w:tabs>
          <w:tab w:val="clear" w:pos="567"/>
        </w:tabs>
        <w:jc w:val="center"/>
        <w:rPr>
          <w:szCs w:val="22"/>
        </w:rPr>
      </w:pPr>
    </w:p>
    <w:p w14:paraId="109ADD3E" w14:textId="77777777" w:rsidR="009B3384" w:rsidRDefault="009B3384">
      <w:pPr>
        <w:tabs>
          <w:tab w:val="clear" w:pos="567"/>
        </w:tabs>
        <w:jc w:val="center"/>
        <w:rPr>
          <w:szCs w:val="22"/>
        </w:rPr>
      </w:pPr>
    </w:p>
    <w:p w14:paraId="109ADD3F" w14:textId="77777777" w:rsidR="009B3384" w:rsidRDefault="009B3384">
      <w:pPr>
        <w:tabs>
          <w:tab w:val="clear" w:pos="567"/>
        </w:tabs>
        <w:jc w:val="center"/>
        <w:rPr>
          <w:szCs w:val="22"/>
        </w:rPr>
      </w:pPr>
    </w:p>
    <w:p w14:paraId="109ADD40" w14:textId="77777777" w:rsidR="009B3384" w:rsidRDefault="00800862">
      <w:pPr>
        <w:pStyle w:val="EUCP-Heading-1"/>
        <w:outlineLvl w:val="1"/>
      </w:pPr>
      <w:r>
        <w:t>Б. ЛИСТОВКА</w:t>
      </w:r>
    </w:p>
    <w:p w14:paraId="109ADD41" w14:textId="77777777" w:rsidR="009B3384" w:rsidRDefault="00800862">
      <w:r>
        <w:br w:type="page"/>
      </w:r>
    </w:p>
    <w:p w14:paraId="109ADD42" w14:textId="77777777" w:rsidR="009B3384" w:rsidRDefault="00800862">
      <w:pPr>
        <w:jc w:val="center"/>
        <w:rPr>
          <w:b/>
          <w:szCs w:val="22"/>
        </w:rPr>
      </w:pPr>
      <w:r>
        <w:rPr>
          <w:b/>
          <w:szCs w:val="22"/>
        </w:rPr>
        <w:lastRenderedPageBreak/>
        <w:t>Листовка: информация за потребителя</w:t>
      </w:r>
    </w:p>
    <w:p w14:paraId="109ADD43" w14:textId="77777777" w:rsidR="009B3384" w:rsidRDefault="009B3384">
      <w:pPr>
        <w:jc w:val="center"/>
        <w:rPr>
          <w:b/>
          <w:bCs/>
          <w:szCs w:val="22"/>
        </w:rPr>
      </w:pPr>
    </w:p>
    <w:p w14:paraId="109ADD44" w14:textId="77777777" w:rsidR="009B3384" w:rsidRDefault="00800862">
      <w:pPr>
        <w:jc w:val="center"/>
        <w:rPr>
          <w:b/>
          <w:bCs/>
          <w:szCs w:val="22"/>
        </w:rPr>
      </w:pPr>
      <w:r>
        <w:rPr>
          <w:b/>
          <w:bCs/>
          <w:szCs w:val="22"/>
        </w:rPr>
        <w:t>STELARA 130 mg концентрат за инфузионен разтвор</w:t>
      </w:r>
    </w:p>
    <w:p w14:paraId="109ADD45" w14:textId="77777777" w:rsidR="009B3384" w:rsidRDefault="00800862">
      <w:pPr>
        <w:jc w:val="center"/>
        <w:rPr>
          <w:szCs w:val="22"/>
        </w:rPr>
      </w:pPr>
      <w:r>
        <w:rPr>
          <w:szCs w:val="22"/>
        </w:rPr>
        <w:t>устекинумаб (</w:t>
      </w:r>
      <w:r>
        <w:rPr>
          <w:iCs/>
          <w:szCs w:val="22"/>
        </w:rPr>
        <w:t>ustekinumab</w:t>
      </w:r>
      <w:r>
        <w:rPr>
          <w:szCs w:val="22"/>
        </w:rPr>
        <w:t>)</w:t>
      </w:r>
    </w:p>
    <w:p w14:paraId="109ADD46" w14:textId="77777777" w:rsidR="009B3384" w:rsidRDefault="009B3384">
      <w:pPr>
        <w:jc w:val="center"/>
        <w:rPr>
          <w:szCs w:val="22"/>
        </w:rPr>
      </w:pPr>
    </w:p>
    <w:p w14:paraId="109ADD47" w14:textId="77777777" w:rsidR="009B3384" w:rsidRDefault="00800862">
      <w:pPr>
        <w:keepNext/>
        <w:rPr>
          <w:b/>
          <w:szCs w:val="22"/>
        </w:rPr>
      </w:pPr>
      <w:r>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09ADD48" w14:textId="77777777" w:rsidR="009B3384" w:rsidRDefault="009B3384">
      <w:pPr>
        <w:keepNext/>
        <w:rPr>
          <w:b/>
          <w:szCs w:val="22"/>
        </w:rPr>
      </w:pPr>
    </w:p>
    <w:p w14:paraId="109ADD49" w14:textId="77777777" w:rsidR="009B3384" w:rsidRDefault="00800862">
      <w:pPr>
        <w:keepNext/>
        <w:rPr>
          <w:b/>
          <w:szCs w:val="22"/>
        </w:rPr>
      </w:pPr>
      <w:r>
        <w:rPr>
          <w:b/>
          <w:szCs w:val="22"/>
        </w:rPr>
        <w:t>Тази листовка е написана за пациента, който приема лекарството.</w:t>
      </w:r>
    </w:p>
    <w:p w14:paraId="109ADD4A" w14:textId="77777777" w:rsidR="009B3384" w:rsidRDefault="009B3384">
      <w:pPr>
        <w:keepNext/>
        <w:rPr>
          <w:b/>
          <w:szCs w:val="22"/>
        </w:rPr>
      </w:pPr>
    </w:p>
    <w:p w14:paraId="109ADD4B" w14:textId="77777777" w:rsidR="009B3384" w:rsidRDefault="00800862">
      <w:pPr>
        <w:numPr>
          <w:ilvl w:val="0"/>
          <w:numId w:val="27"/>
        </w:numPr>
        <w:ind w:left="567" w:hanging="567"/>
      </w:pPr>
      <w:r>
        <w:t>Запазете тази листовка. Може да се наложи да я прочетете отново.</w:t>
      </w:r>
    </w:p>
    <w:p w14:paraId="109ADD4C" w14:textId="77777777" w:rsidR="009B3384" w:rsidRDefault="00800862">
      <w:pPr>
        <w:numPr>
          <w:ilvl w:val="0"/>
          <w:numId w:val="27"/>
        </w:numPr>
        <w:ind w:left="567" w:hanging="567"/>
      </w:pPr>
      <w:r>
        <w:t>Ако имате някакви допълнителни въпроси, попитайте Вашия лекар или фармацевт.</w:t>
      </w:r>
    </w:p>
    <w:p w14:paraId="109ADD4D" w14:textId="77777777" w:rsidR="009B3384" w:rsidRDefault="00800862">
      <w:pPr>
        <w:numPr>
          <w:ilvl w:val="0"/>
          <w:numId w:val="27"/>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09ADD4E" w14:textId="77777777" w:rsidR="009B3384" w:rsidRDefault="009B3384">
      <w:pPr>
        <w:rPr>
          <w:szCs w:val="22"/>
        </w:rPr>
      </w:pPr>
    </w:p>
    <w:p w14:paraId="109ADD4F" w14:textId="77777777" w:rsidR="009B3384" w:rsidRDefault="00800862">
      <w:pPr>
        <w:keepNext/>
        <w:rPr>
          <w:szCs w:val="22"/>
        </w:rPr>
      </w:pPr>
      <w:r>
        <w:rPr>
          <w:b/>
          <w:szCs w:val="22"/>
        </w:rPr>
        <w:t>Какво съдържа тази листовка</w:t>
      </w:r>
    </w:p>
    <w:p w14:paraId="109ADD50" w14:textId="77777777" w:rsidR="009B3384" w:rsidRDefault="00800862">
      <w:pPr>
        <w:tabs>
          <w:tab w:val="clear" w:pos="567"/>
        </w:tabs>
        <w:rPr>
          <w:szCs w:val="22"/>
        </w:rPr>
      </w:pPr>
      <w:r>
        <w:rPr>
          <w:szCs w:val="22"/>
        </w:rPr>
        <w:t>1.</w:t>
      </w:r>
      <w:r>
        <w:rPr>
          <w:szCs w:val="22"/>
        </w:rPr>
        <w:tab/>
        <w:t>Какво представлява Stelara и за какво се използва</w:t>
      </w:r>
    </w:p>
    <w:p w14:paraId="109ADD51" w14:textId="77777777" w:rsidR="009B3384" w:rsidRDefault="00800862">
      <w:pPr>
        <w:tabs>
          <w:tab w:val="clear" w:pos="567"/>
        </w:tabs>
        <w:rPr>
          <w:szCs w:val="22"/>
        </w:rPr>
      </w:pPr>
      <w:r>
        <w:rPr>
          <w:szCs w:val="22"/>
        </w:rPr>
        <w:t>2.</w:t>
      </w:r>
      <w:r>
        <w:rPr>
          <w:szCs w:val="22"/>
        </w:rPr>
        <w:tab/>
        <w:t>Какво трябва да знаете, преди да използвате Stelara</w:t>
      </w:r>
    </w:p>
    <w:p w14:paraId="109ADD52" w14:textId="77777777" w:rsidR="009B3384" w:rsidRDefault="00800862">
      <w:pPr>
        <w:tabs>
          <w:tab w:val="clear" w:pos="567"/>
        </w:tabs>
        <w:rPr>
          <w:szCs w:val="22"/>
        </w:rPr>
      </w:pPr>
      <w:r>
        <w:rPr>
          <w:szCs w:val="22"/>
        </w:rPr>
        <w:t>3.</w:t>
      </w:r>
      <w:r>
        <w:rPr>
          <w:szCs w:val="22"/>
        </w:rPr>
        <w:tab/>
      </w:r>
      <w:r>
        <w:rPr>
          <w:bCs/>
          <w:szCs w:val="22"/>
        </w:rPr>
        <w:t>Как ще се прилага Stelara</w:t>
      </w:r>
    </w:p>
    <w:p w14:paraId="109ADD53" w14:textId="77777777" w:rsidR="009B3384" w:rsidRDefault="00800862">
      <w:pPr>
        <w:tabs>
          <w:tab w:val="clear" w:pos="567"/>
        </w:tabs>
        <w:rPr>
          <w:szCs w:val="22"/>
        </w:rPr>
      </w:pPr>
      <w:r>
        <w:rPr>
          <w:szCs w:val="22"/>
        </w:rPr>
        <w:t>4.</w:t>
      </w:r>
      <w:r>
        <w:rPr>
          <w:szCs w:val="22"/>
        </w:rPr>
        <w:tab/>
        <w:t>Възможни нежелани реакции</w:t>
      </w:r>
    </w:p>
    <w:p w14:paraId="109ADD54" w14:textId="77777777" w:rsidR="009B3384" w:rsidRDefault="00800862">
      <w:pPr>
        <w:tabs>
          <w:tab w:val="clear" w:pos="567"/>
        </w:tabs>
        <w:rPr>
          <w:szCs w:val="22"/>
        </w:rPr>
      </w:pPr>
      <w:r>
        <w:rPr>
          <w:szCs w:val="22"/>
        </w:rPr>
        <w:t>5.</w:t>
      </w:r>
      <w:r>
        <w:rPr>
          <w:szCs w:val="22"/>
        </w:rPr>
        <w:tab/>
        <w:t>Как да съхранявате Stelara</w:t>
      </w:r>
    </w:p>
    <w:p w14:paraId="109ADD55" w14:textId="77777777" w:rsidR="009B3384" w:rsidRDefault="00800862">
      <w:pPr>
        <w:tabs>
          <w:tab w:val="clear" w:pos="567"/>
        </w:tabs>
        <w:rPr>
          <w:szCs w:val="22"/>
        </w:rPr>
      </w:pPr>
      <w:r>
        <w:rPr>
          <w:szCs w:val="22"/>
        </w:rPr>
        <w:t>6.</w:t>
      </w:r>
      <w:r>
        <w:rPr>
          <w:szCs w:val="22"/>
        </w:rPr>
        <w:tab/>
        <w:t>Съдържание на опаковката и допълнителна информация</w:t>
      </w:r>
    </w:p>
    <w:p w14:paraId="109ADD56" w14:textId="77777777" w:rsidR="009B3384" w:rsidRDefault="009B3384">
      <w:pPr>
        <w:rPr>
          <w:szCs w:val="22"/>
        </w:rPr>
      </w:pPr>
    </w:p>
    <w:p w14:paraId="109ADD57" w14:textId="77777777" w:rsidR="009B3384" w:rsidRDefault="009B3384">
      <w:pPr>
        <w:rPr>
          <w:szCs w:val="22"/>
        </w:rPr>
      </w:pPr>
    </w:p>
    <w:p w14:paraId="109ADD58" w14:textId="77777777" w:rsidR="009B3384" w:rsidRDefault="00800862">
      <w:pPr>
        <w:keepNext/>
        <w:ind w:left="567" w:hanging="567"/>
        <w:outlineLvl w:val="2"/>
        <w:rPr>
          <w:b/>
          <w:bCs/>
          <w:szCs w:val="22"/>
        </w:rPr>
      </w:pPr>
      <w:r>
        <w:rPr>
          <w:b/>
          <w:bCs/>
          <w:szCs w:val="22"/>
        </w:rPr>
        <w:t>1.</w:t>
      </w:r>
      <w:r>
        <w:rPr>
          <w:b/>
          <w:bCs/>
          <w:szCs w:val="22"/>
        </w:rPr>
        <w:tab/>
        <w:t>Какво представлява Stelara и за какво се използва</w:t>
      </w:r>
    </w:p>
    <w:p w14:paraId="109ADD59" w14:textId="77777777" w:rsidR="009B3384" w:rsidRDefault="009B3384">
      <w:pPr>
        <w:keepNext/>
        <w:rPr>
          <w:szCs w:val="22"/>
        </w:rPr>
      </w:pPr>
    </w:p>
    <w:p w14:paraId="109ADD5A" w14:textId="77777777" w:rsidR="009B3384" w:rsidRDefault="00800862">
      <w:pPr>
        <w:keepNext/>
        <w:rPr>
          <w:b/>
          <w:szCs w:val="22"/>
        </w:rPr>
      </w:pPr>
      <w:r>
        <w:rPr>
          <w:b/>
          <w:szCs w:val="22"/>
        </w:rPr>
        <w:t xml:space="preserve">Какво представлява </w:t>
      </w:r>
      <w:r>
        <w:rPr>
          <w:b/>
          <w:szCs w:val="22"/>
          <w:lang w:val="en-US"/>
        </w:rPr>
        <w:t>Stelara</w:t>
      </w:r>
    </w:p>
    <w:p w14:paraId="109ADD5B" w14:textId="77777777" w:rsidR="009B3384" w:rsidRDefault="00800862">
      <w:pPr>
        <w:rPr>
          <w:szCs w:val="22"/>
        </w:rPr>
      </w:pPr>
      <w:r>
        <w:rPr>
          <w:szCs w:val="22"/>
        </w:rPr>
        <w:t>Stelara съдържа активното вещество „устекинумаб”, което е моноклонално антитяло. Моноклоналните антитела са протеини, които разпознават и свързват определени специфични протеини в организма.</w:t>
      </w:r>
    </w:p>
    <w:p w14:paraId="109ADD5C" w14:textId="77777777" w:rsidR="009B3384" w:rsidRDefault="009B3384">
      <w:pPr>
        <w:rPr>
          <w:szCs w:val="22"/>
        </w:rPr>
      </w:pPr>
    </w:p>
    <w:p w14:paraId="109ADD5D" w14:textId="77777777" w:rsidR="009B3384" w:rsidRDefault="00800862">
      <w:r>
        <w:rPr>
          <w:szCs w:val="22"/>
        </w:rPr>
        <w:t xml:space="preserve">Stelara принадлежи към група лекарства, наречени „имуносупресори”. </w:t>
      </w:r>
      <w:r>
        <w:t>Тези лекарства действат, като намаляват активността на част от имунната система.</w:t>
      </w:r>
    </w:p>
    <w:p w14:paraId="109ADD5E" w14:textId="77777777" w:rsidR="009B3384" w:rsidRDefault="009B3384"/>
    <w:p w14:paraId="109ADD5F" w14:textId="77777777" w:rsidR="009B3384" w:rsidRDefault="00800862">
      <w:pPr>
        <w:keepNext/>
      </w:pPr>
      <w:r>
        <w:rPr>
          <w:b/>
          <w:lang w:val="ru-RU"/>
        </w:rPr>
        <w:t xml:space="preserve">За </w:t>
      </w:r>
      <w:r>
        <w:rPr>
          <w:b/>
        </w:rPr>
        <w:t xml:space="preserve">какво </w:t>
      </w:r>
      <w:r>
        <w:rPr>
          <w:b/>
          <w:lang w:val="ru-RU"/>
        </w:rPr>
        <w:t xml:space="preserve">се </w:t>
      </w:r>
      <w:r>
        <w:rPr>
          <w:b/>
        </w:rPr>
        <w:t xml:space="preserve">използва </w:t>
      </w:r>
      <w:r>
        <w:rPr>
          <w:b/>
          <w:szCs w:val="22"/>
          <w:lang w:val="en-US"/>
        </w:rPr>
        <w:t>Stelara</w:t>
      </w:r>
    </w:p>
    <w:p w14:paraId="109ADD60" w14:textId="77777777" w:rsidR="009B3384" w:rsidRDefault="00800862">
      <w:r>
        <w:t>Stelara се използва за лечение на следните възпалителни заболявания:</w:t>
      </w:r>
    </w:p>
    <w:p w14:paraId="109ADD61" w14:textId="6C1E7AF6" w:rsidR="009B3384" w:rsidRDefault="00800862">
      <w:pPr>
        <w:numPr>
          <w:ilvl w:val="0"/>
          <w:numId w:val="30"/>
        </w:numPr>
        <w:tabs>
          <w:tab w:val="clear" w:pos="567"/>
        </w:tabs>
      </w:pPr>
      <w:r>
        <w:t xml:space="preserve">Умерена до тежка болест на Крон – при възрастни </w:t>
      </w:r>
      <w:bookmarkStart w:id="1304" w:name="_Hlk188379935"/>
      <w:r>
        <w:rPr>
          <w:bCs/>
        </w:rPr>
        <w:t xml:space="preserve">и деца </w:t>
      </w:r>
      <w:r>
        <w:t>на възраст 2 и повече години</w:t>
      </w:r>
      <w:del w:id="1305" w:author="EUCP BE1" w:date="2026-05-19T16:59:00Z">
        <w:r w:rsidDel="00F72194">
          <w:rPr>
            <w:bCs/>
          </w:rPr>
          <w:delText xml:space="preserve"> </w:delText>
        </w:r>
      </w:del>
      <w:bookmarkEnd w:id="1304"/>
    </w:p>
    <w:p w14:paraId="109ADD62" w14:textId="4A9149C9" w:rsidR="009B3384" w:rsidRDefault="00800862">
      <w:pPr>
        <w:numPr>
          <w:ilvl w:val="0"/>
          <w:numId w:val="30"/>
        </w:numPr>
        <w:tabs>
          <w:tab w:val="clear" w:pos="567"/>
        </w:tabs>
      </w:pPr>
      <w:r>
        <w:t>Умерен до тежък улцерозен колит – при възрастни</w:t>
      </w:r>
      <w:ins w:id="1306" w:author="Reviser" w:date="2026-04-30T15:34:00Z">
        <w:r w:rsidR="006A6A96" w:rsidRPr="00BB130F">
          <w:t xml:space="preserve"> </w:t>
        </w:r>
        <w:r w:rsidR="006A6A96">
          <w:rPr>
            <w:bCs/>
          </w:rPr>
          <w:t xml:space="preserve">и деца </w:t>
        </w:r>
        <w:r w:rsidR="006A6A96">
          <w:t>на възраст 2 и повече години</w:t>
        </w:r>
      </w:ins>
    </w:p>
    <w:p w14:paraId="109ADD63" w14:textId="77777777" w:rsidR="009B3384" w:rsidRDefault="009B3384"/>
    <w:p w14:paraId="109ADD64" w14:textId="77777777" w:rsidR="009B3384" w:rsidRDefault="00800862">
      <w:pPr>
        <w:keepNext/>
        <w:widowControl w:val="0"/>
        <w:rPr>
          <w:b/>
        </w:rPr>
      </w:pPr>
      <w:r>
        <w:rPr>
          <w:b/>
        </w:rPr>
        <w:t>Болест на Крон</w:t>
      </w:r>
    </w:p>
    <w:p w14:paraId="109ADD65" w14:textId="77777777" w:rsidR="009B3384" w:rsidRDefault="00800862">
      <w:r>
        <w:t xml:space="preserve">Болестта на Крон е възпалително заболяване на червата. Ако имате болест на Крон първо ще Ви се дадат други лекарства. Ако не се повлияете достатъчно или имате непоносимост към тези лекарства, може да Ви се даде </w:t>
      </w:r>
      <w:r>
        <w:rPr>
          <w:lang w:val="en-GB"/>
        </w:rPr>
        <w:t>Stelara</w:t>
      </w:r>
      <w:r>
        <w:t xml:space="preserve"> за намаляване на признаците и симптомите на заболяването Ви.</w:t>
      </w:r>
    </w:p>
    <w:p w14:paraId="109ADD66" w14:textId="77777777" w:rsidR="009B3384" w:rsidRDefault="009B3384"/>
    <w:p w14:paraId="109ADD67" w14:textId="77777777" w:rsidR="009B3384" w:rsidRDefault="00800862">
      <w:pPr>
        <w:keepNext/>
        <w:tabs>
          <w:tab w:val="clear" w:pos="567"/>
        </w:tabs>
        <w:rPr>
          <w:b/>
        </w:rPr>
      </w:pPr>
      <w:r>
        <w:rPr>
          <w:b/>
        </w:rPr>
        <w:t>Улцерозен колит</w:t>
      </w:r>
    </w:p>
    <w:p w14:paraId="109ADD68" w14:textId="77777777" w:rsidR="009B3384" w:rsidRDefault="00800862">
      <w:r>
        <w:t>Улцерозният колит е възпалително заболяване на червата. Ако имате улцерозен колит, първо ще Ви се дадат други лекарства. Ако не се повлиявате добре или имате непоносимост към тези лекарства, може да Ви се даде Stelara за намаляване на признаците и симптомите на Вашето заболяване.</w:t>
      </w:r>
    </w:p>
    <w:p w14:paraId="109ADD69" w14:textId="77777777" w:rsidR="009B3384" w:rsidRDefault="009B3384"/>
    <w:p w14:paraId="109ADD6A" w14:textId="77777777" w:rsidR="009B3384" w:rsidRDefault="009B3384">
      <w:pPr>
        <w:rPr>
          <w:szCs w:val="22"/>
        </w:rPr>
      </w:pPr>
    </w:p>
    <w:p w14:paraId="109ADD6B" w14:textId="77777777" w:rsidR="009B3384" w:rsidRDefault="00800862">
      <w:pPr>
        <w:keepNext/>
        <w:ind w:left="567" w:hanging="567"/>
        <w:outlineLvl w:val="2"/>
        <w:rPr>
          <w:b/>
          <w:bCs/>
          <w:szCs w:val="22"/>
        </w:rPr>
      </w:pPr>
      <w:r>
        <w:rPr>
          <w:b/>
          <w:bCs/>
          <w:szCs w:val="22"/>
        </w:rPr>
        <w:lastRenderedPageBreak/>
        <w:t>2.</w:t>
      </w:r>
      <w:r>
        <w:rPr>
          <w:b/>
          <w:bCs/>
          <w:szCs w:val="22"/>
        </w:rPr>
        <w:tab/>
        <w:t>Какво трябва да знаете, преди да използвате Stelara</w:t>
      </w:r>
    </w:p>
    <w:p w14:paraId="109ADD6C" w14:textId="77777777" w:rsidR="009B3384" w:rsidRDefault="009B3384">
      <w:pPr>
        <w:keepNext/>
        <w:rPr>
          <w:szCs w:val="22"/>
        </w:rPr>
      </w:pPr>
    </w:p>
    <w:p w14:paraId="109ADD6D" w14:textId="77777777" w:rsidR="009B3384" w:rsidRDefault="00800862">
      <w:pPr>
        <w:keepNext/>
        <w:rPr>
          <w:szCs w:val="22"/>
        </w:rPr>
      </w:pPr>
      <w:r>
        <w:rPr>
          <w:b/>
          <w:szCs w:val="22"/>
        </w:rPr>
        <w:t>Не използвайте Stelara</w:t>
      </w:r>
    </w:p>
    <w:p w14:paraId="109ADD6E" w14:textId="77777777" w:rsidR="009B3384" w:rsidRDefault="00800862">
      <w:pPr>
        <w:numPr>
          <w:ilvl w:val="0"/>
          <w:numId w:val="30"/>
        </w:numPr>
        <w:tabs>
          <w:tab w:val="clear" w:pos="567"/>
        </w:tabs>
        <w:rPr>
          <w:bCs/>
          <w:szCs w:val="22"/>
        </w:rPr>
      </w:pPr>
      <w:r>
        <w:rPr>
          <w:b/>
          <w:szCs w:val="22"/>
        </w:rPr>
        <w:t>Ако сте алергични</w:t>
      </w:r>
      <w:r>
        <w:rPr>
          <w:szCs w:val="22"/>
        </w:rPr>
        <w:t xml:space="preserve"> </w:t>
      </w:r>
      <w:r>
        <w:rPr>
          <w:b/>
          <w:szCs w:val="22"/>
        </w:rPr>
        <w:t>към устекинумаб</w:t>
      </w:r>
      <w:r>
        <w:rPr>
          <w:szCs w:val="22"/>
        </w:rPr>
        <w:t xml:space="preserve"> или някоя от останалите съставки на това лекарство (изброени в точка 6).</w:t>
      </w:r>
    </w:p>
    <w:p w14:paraId="109ADD6F" w14:textId="77777777" w:rsidR="009B3384" w:rsidRDefault="00800862">
      <w:pPr>
        <w:numPr>
          <w:ilvl w:val="0"/>
          <w:numId w:val="30"/>
        </w:numPr>
        <w:tabs>
          <w:tab w:val="clear" w:pos="567"/>
        </w:tabs>
        <w:rPr>
          <w:bCs/>
          <w:szCs w:val="22"/>
        </w:rPr>
      </w:pPr>
      <w:r>
        <w:rPr>
          <w:b/>
          <w:szCs w:val="22"/>
        </w:rPr>
        <w:t>Ако имате активна инфекция</w:t>
      </w:r>
      <w:r>
        <w:rPr>
          <w:szCs w:val="22"/>
        </w:rPr>
        <w:t>, която Вашият лекар намира за значима.</w:t>
      </w:r>
    </w:p>
    <w:p w14:paraId="109ADD70" w14:textId="77777777" w:rsidR="009B3384" w:rsidRDefault="009B3384">
      <w:pPr>
        <w:rPr>
          <w:szCs w:val="22"/>
        </w:rPr>
      </w:pPr>
    </w:p>
    <w:p w14:paraId="109ADD71" w14:textId="77777777" w:rsidR="009B3384" w:rsidRDefault="00800862">
      <w:pPr>
        <w:rPr>
          <w:szCs w:val="22"/>
        </w:rPr>
      </w:pPr>
      <w:r>
        <w:rPr>
          <w:szCs w:val="22"/>
        </w:rPr>
        <w:t>Ако не сте сигурни дали някое от изброените по-горе се отнася за Вас, посъветвайте се с Вашия лекар или фармацевт, преди да използвате Stelara.</w:t>
      </w:r>
    </w:p>
    <w:p w14:paraId="109ADD72" w14:textId="77777777" w:rsidR="009B3384" w:rsidRDefault="009B3384">
      <w:pPr>
        <w:rPr>
          <w:szCs w:val="22"/>
        </w:rPr>
      </w:pPr>
    </w:p>
    <w:p w14:paraId="109ADD73" w14:textId="77777777" w:rsidR="009B3384" w:rsidRDefault="00800862">
      <w:pPr>
        <w:keepNext/>
        <w:rPr>
          <w:b/>
          <w:szCs w:val="22"/>
        </w:rPr>
      </w:pPr>
      <w:r>
        <w:rPr>
          <w:b/>
          <w:szCs w:val="22"/>
        </w:rPr>
        <w:t>Предупреждения и предпазни мерки</w:t>
      </w:r>
    </w:p>
    <w:p w14:paraId="109ADD74" w14:textId="77777777" w:rsidR="009B3384" w:rsidRDefault="00800862">
      <w:pPr>
        <w:tabs>
          <w:tab w:val="clear" w:pos="567"/>
          <w:tab w:val="left" w:pos="0"/>
        </w:tabs>
        <w:rPr>
          <w:szCs w:val="22"/>
        </w:rPr>
      </w:pPr>
      <w:r>
        <w:t>Говорете с Вашия лекар или фармацевт преди да използвате Stelara. Вашият лекар ще провери състоянието Ви преди лечението. Уведомете своя лекар за всяка Ваша болест преди лечението. Също така информирайте Вашия лекар, ако наскоро сте били в контакт с човек, който може да има туберкулоза. Вашият лекар ще Ви прегледа и ще направи изследване за туберкулоза, преди да използвате Stelara. Ако Вашият лекар смята, че сте изложени на риск от туберкулоза, може да Ви предпише лекарства за лечението ѝ.</w:t>
      </w:r>
    </w:p>
    <w:p w14:paraId="109ADD75" w14:textId="77777777" w:rsidR="009B3384" w:rsidRDefault="009B3384">
      <w:pPr>
        <w:tabs>
          <w:tab w:val="clear" w:pos="567"/>
          <w:tab w:val="left" w:pos="0"/>
        </w:tabs>
        <w:rPr>
          <w:szCs w:val="22"/>
        </w:rPr>
      </w:pPr>
    </w:p>
    <w:p w14:paraId="109ADD76" w14:textId="77777777" w:rsidR="009B3384" w:rsidRDefault="00800862">
      <w:pPr>
        <w:keepNext/>
        <w:rPr>
          <w:b/>
        </w:rPr>
      </w:pPr>
      <w:r>
        <w:rPr>
          <w:b/>
        </w:rPr>
        <w:t>Следете за сериозни нежелани реакции</w:t>
      </w:r>
    </w:p>
    <w:p w14:paraId="109ADD77" w14:textId="77777777" w:rsidR="009B3384" w:rsidRDefault="00800862">
      <w:r>
        <w:t>Stelara може да предизвика сериозни нежелани реакции, включително алергични реакции и инфекции. Трябва да следите за определени признаци на заболявания, докато приемате Stelara. Вижте „Сериозни нежелани рекации” в точка 4 за пълния списък на тези нежелани реакции.</w:t>
      </w:r>
    </w:p>
    <w:p w14:paraId="109ADD78" w14:textId="77777777" w:rsidR="009B3384" w:rsidRDefault="009B3384">
      <w:pPr>
        <w:rPr>
          <w:szCs w:val="22"/>
        </w:rPr>
      </w:pPr>
    </w:p>
    <w:p w14:paraId="109ADD79" w14:textId="77777777" w:rsidR="009B3384" w:rsidRDefault="00800862">
      <w:pPr>
        <w:keepNext/>
        <w:tabs>
          <w:tab w:val="left" w:pos="1134"/>
        </w:tabs>
        <w:rPr>
          <w:b/>
          <w:szCs w:val="22"/>
        </w:rPr>
      </w:pPr>
      <w:r>
        <w:rPr>
          <w:b/>
          <w:szCs w:val="22"/>
        </w:rPr>
        <w:t>Преди да използвате Stelara информирайте Вашия лекар:</w:t>
      </w:r>
    </w:p>
    <w:p w14:paraId="109ADD7A" w14:textId="77777777" w:rsidR="009B3384" w:rsidRDefault="00800862">
      <w:pPr>
        <w:widowControl w:val="0"/>
        <w:numPr>
          <w:ilvl w:val="0"/>
          <w:numId w:val="30"/>
        </w:numPr>
        <w:tabs>
          <w:tab w:val="clear" w:pos="567"/>
        </w:tabs>
        <w:rPr>
          <w:bCs/>
        </w:rPr>
      </w:pPr>
      <w:r>
        <w:rPr>
          <w:b/>
          <w:bCs/>
        </w:rPr>
        <w:t>Ако някога сте имали алергична реакция към Stelara</w:t>
      </w:r>
      <w:r>
        <w:rPr>
          <w:bCs/>
        </w:rPr>
        <w:t>. Ако не сте сигурни, попитайте Вашия лекар.</w:t>
      </w:r>
    </w:p>
    <w:p w14:paraId="109ADD7B" w14:textId="77777777" w:rsidR="009B3384" w:rsidRDefault="00800862">
      <w:pPr>
        <w:widowControl w:val="0"/>
        <w:numPr>
          <w:ilvl w:val="0"/>
          <w:numId w:val="30"/>
        </w:numPr>
        <w:tabs>
          <w:tab w:val="clear" w:pos="567"/>
        </w:tabs>
        <w:rPr>
          <w:bCs/>
          <w:szCs w:val="22"/>
        </w:rPr>
      </w:pPr>
      <w:r>
        <w:rPr>
          <w:b/>
          <w:bCs/>
        </w:rPr>
        <w:t xml:space="preserve">Ако някога сте имали някакъв вид рак </w:t>
      </w:r>
      <w:r>
        <w:rPr>
          <w:bCs/>
        </w:rPr>
        <w:t xml:space="preserve">– това е, защото имуносупресорите като </w:t>
      </w:r>
      <w:r>
        <w:t>Stelara отслабват част от имунната система. Това може да повиши риска от рак.</w:t>
      </w:r>
    </w:p>
    <w:p w14:paraId="109ADD7C" w14:textId="77777777" w:rsidR="009B3384" w:rsidRDefault="00800862">
      <w:pPr>
        <w:widowControl w:val="0"/>
        <w:numPr>
          <w:ilvl w:val="0"/>
          <w:numId w:val="30"/>
        </w:numPr>
        <w:tabs>
          <w:tab w:val="clear" w:pos="567"/>
        </w:tabs>
        <w:rPr>
          <w:bCs/>
          <w:szCs w:val="22"/>
        </w:rPr>
      </w:pPr>
      <w:r>
        <w:rPr>
          <w:b/>
          <w:bCs/>
          <w:szCs w:val="22"/>
        </w:rPr>
        <w:t>Ако сте лекувани за псориазис с други биологични лекарства (лекарство, произведено от биологичен източник и обикновено прилагано чрез инжекция)</w:t>
      </w:r>
      <w:r>
        <w:rPr>
          <w:bCs/>
          <w:szCs w:val="22"/>
        </w:rPr>
        <w:t xml:space="preserve"> - рискът от рак може да е по-висок.</w:t>
      </w:r>
    </w:p>
    <w:p w14:paraId="109ADD7D" w14:textId="77777777" w:rsidR="009B3384" w:rsidRDefault="00800862">
      <w:pPr>
        <w:widowControl w:val="0"/>
        <w:numPr>
          <w:ilvl w:val="0"/>
          <w:numId w:val="30"/>
        </w:numPr>
        <w:tabs>
          <w:tab w:val="clear" w:pos="567"/>
        </w:tabs>
        <w:rPr>
          <w:bCs/>
          <w:szCs w:val="22"/>
        </w:rPr>
      </w:pPr>
      <w:r>
        <w:rPr>
          <w:b/>
          <w:bCs/>
        </w:rPr>
        <w:t>Ако имате или наскоро сте имали инфекция или ако имате някакви необичайни отвори по кожата (фистули).</w:t>
      </w:r>
    </w:p>
    <w:p w14:paraId="109ADD7E" w14:textId="77777777" w:rsidR="009B3384" w:rsidRDefault="00800862">
      <w:pPr>
        <w:widowControl w:val="0"/>
        <w:numPr>
          <w:ilvl w:val="0"/>
          <w:numId w:val="30"/>
        </w:numPr>
        <w:tabs>
          <w:tab w:val="clear" w:pos="567"/>
        </w:tabs>
        <w:rPr>
          <w:bCs/>
        </w:rPr>
      </w:pPr>
      <w:r>
        <w:rPr>
          <w:b/>
          <w:bCs/>
        </w:rPr>
        <w:t xml:space="preserve">Ако имате нови или променящи се лезии </w:t>
      </w:r>
      <w:r>
        <w:rPr>
          <w:bCs/>
        </w:rPr>
        <w:t>в участъците с псориазис или по незасегнатата кожа.</w:t>
      </w:r>
    </w:p>
    <w:p w14:paraId="109ADD7F" w14:textId="77777777" w:rsidR="009B3384" w:rsidRDefault="00800862">
      <w:pPr>
        <w:widowControl w:val="0"/>
        <w:numPr>
          <w:ilvl w:val="0"/>
          <w:numId w:val="30"/>
        </w:numPr>
        <w:tabs>
          <w:tab w:val="clear" w:pos="567"/>
        </w:tabs>
        <w:rPr>
          <w:bCs/>
        </w:rPr>
      </w:pPr>
      <w:r>
        <w:rPr>
          <w:b/>
        </w:rPr>
        <w:t>Ако получавате друго лечение за псориазис</w:t>
      </w:r>
      <w:r>
        <w:t xml:space="preserve"> </w:t>
      </w:r>
      <w:r>
        <w:rPr>
          <w:b/>
        </w:rPr>
        <w:t>и/или псориатичен артрит</w:t>
      </w:r>
      <w:r>
        <w:t xml:space="preserve"> – като други имуносупресори или фототерапия (когато тялото се лекува с тип ултравиолетова (UV) светлина). Тези лечения също може да отслабят част от имунната система. Използването на тези лечения заедно със </w:t>
      </w:r>
      <w:r>
        <w:rPr>
          <w:lang w:val="en-US"/>
        </w:rPr>
        <w:t>Stelara</w:t>
      </w:r>
      <w:r>
        <w:t xml:space="preserve"> не е изследвано. Възможно е обаче, то да увеличи риска от заболявания, свързани с отслабване на имунната система.</w:t>
      </w:r>
    </w:p>
    <w:p w14:paraId="109ADD80" w14:textId="77777777" w:rsidR="009B3384" w:rsidRDefault="00800862">
      <w:pPr>
        <w:numPr>
          <w:ilvl w:val="0"/>
          <w:numId w:val="30"/>
        </w:numPr>
        <w:tabs>
          <w:tab w:val="clear" w:pos="567"/>
        </w:tabs>
        <w:rPr>
          <w:bCs/>
        </w:rPr>
      </w:pPr>
      <w:r>
        <w:rPr>
          <w:b/>
        </w:rPr>
        <w:t>Ако получавате или някога сте получавали инжекции за лечение на алергии</w:t>
      </w:r>
      <w:r>
        <w:t xml:space="preserve"> – не е известно дали Stelara може да окаже влияние върху тях.</w:t>
      </w:r>
    </w:p>
    <w:p w14:paraId="109ADD81" w14:textId="77777777" w:rsidR="009B3384" w:rsidRDefault="00800862">
      <w:pPr>
        <w:widowControl w:val="0"/>
        <w:numPr>
          <w:ilvl w:val="0"/>
          <w:numId w:val="30"/>
        </w:numPr>
        <w:tabs>
          <w:tab w:val="clear" w:pos="567"/>
        </w:tabs>
        <w:rPr>
          <w:bCs/>
        </w:rPr>
      </w:pPr>
      <w:r>
        <w:rPr>
          <w:b/>
          <w:bCs/>
        </w:rPr>
        <w:t xml:space="preserve">Ако сте на и над 65 години – </w:t>
      </w:r>
      <w:r>
        <w:rPr>
          <w:bCs/>
        </w:rPr>
        <w:t>може да сте по-склонни към инфекции.</w:t>
      </w:r>
    </w:p>
    <w:p w14:paraId="109ADD82" w14:textId="77777777" w:rsidR="009B3384" w:rsidRDefault="009B3384"/>
    <w:p w14:paraId="109ADD83" w14:textId="77777777" w:rsidR="009B3384" w:rsidRDefault="00800862">
      <w:pPr>
        <w:rPr>
          <w:szCs w:val="22"/>
        </w:rPr>
      </w:pPr>
      <w:r>
        <w:rPr>
          <w:szCs w:val="22"/>
        </w:rPr>
        <w:t>Ако не сте сигурни дали някое от гореизброените се отнася за Вас, посъветвайте се с Вашия лекар или фармацевт, преди да използвате Stelara.</w:t>
      </w:r>
    </w:p>
    <w:p w14:paraId="109ADD84" w14:textId="77777777" w:rsidR="009B3384" w:rsidRDefault="009B3384">
      <w:pPr>
        <w:rPr>
          <w:szCs w:val="22"/>
        </w:rPr>
      </w:pPr>
    </w:p>
    <w:p w14:paraId="109ADD85" w14:textId="77777777" w:rsidR="009B3384" w:rsidRDefault="00800862">
      <w:pPr>
        <w:rPr>
          <w:szCs w:val="22"/>
        </w:rPr>
      </w:pPr>
      <w:r>
        <w:rPr>
          <w:szCs w:val="22"/>
        </w:rPr>
        <w:t>Някои пациенти получават лупус-подобни реакции, включително кожен лупус еритематодес и лупус-подобен синдром, по време на лечение с устекинумаб. Говорете веднага с Вашия лекар, ако получите червен, надигнат, лющещ се обрив, понякога с по-тъмни граници, в изложените на слънце участъци на кожата или ставни болки.</w:t>
      </w:r>
    </w:p>
    <w:p w14:paraId="109ADD86" w14:textId="77777777" w:rsidR="009B3384" w:rsidRDefault="009B3384">
      <w:pPr>
        <w:rPr>
          <w:szCs w:val="22"/>
        </w:rPr>
      </w:pPr>
    </w:p>
    <w:p w14:paraId="109ADD87" w14:textId="77777777" w:rsidR="009B3384" w:rsidRDefault="00800862">
      <w:pPr>
        <w:keepNext/>
        <w:rPr>
          <w:b/>
          <w:bCs/>
          <w:szCs w:val="22"/>
        </w:rPr>
      </w:pPr>
      <w:r>
        <w:rPr>
          <w:b/>
          <w:bCs/>
          <w:szCs w:val="22"/>
        </w:rPr>
        <w:t>Сърдечен инфаркт и инсулти</w:t>
      </w:r>
    </w:p>
    <w:p w14:paraId="109ADD88" w14:textId="77777777" w:rsidR="009B3384" w:rsidRDefault="00800862">
      <w:pPr>
        <w:rPr>
          <w:szCs w:val="22"/>
        </w:rPr>
      </w:pPr>
      <w:r>
        <w:rPr>
          <w:szCs w:val="22"/>
        </w:rPr>
        <w:t xml:space="preserve">Инфаркт и инсулти са наблюдавани в проучване при пациенти с псориазис, лекувани със Stelara. Вашият лекар редовно ще проверява рисковите фактори за сърдечно заболяване и инсулт при Вас, за да е сигурно, че те се лекуват по подходящ начин. Незабавно потърсете </w:t>
      </w:r>
      <w:r>
        <w:rPr>
          <w:szCs w:val="22"/>
        </w:rPr>
        <w:lastRenderedPageBreak/>
        <w:t>медицинска помощ, ако получите болка в гърдите, слабост или необичайно усещане от едната страна на тялото, отпуснатост на лицето или говорни или зрителни смущения.</w:t>
      </w:r>
    </w:p>
    <w:p w14:paraId="109ADD89" w14:textId="77777777" w:rsidR="009B3384" w:rsidRDefault="009B3384">
      <w:pPr>
        <w:rPr>
          <w:szCs w:val="22"/>
        </w:rPr>
      </w:pPr>
    </w:p>
    <w:p w14:paraId="109ADD8A" w14:textId="77777777" w:rsidR="009B3384" w:rsidRDefault="00800862">
      <w:pPr>
        <w:keepNext/>
        <w:widowControl w:val="0"/>
        <w:rPr>
          <w:b/>
          <w:bCs/>
        </w:rPr>
      </w:pPr>
      <w:r>
        <w:rPr>
          <w:b/>
          <w:bCs/>
        </w:rPr>
        <w:t>Деца и юноши</w:t>
      </w:r>
    </w:p>
    <w:p w14:paraId="109ADD8B" w14:textId="4E12E8A2" w:rsidR="009B3384" w:rsidRDefault="00800862">
      <w:r>
        <w:t xml:space="preserve">Stelara не се препоръчва за употреба при деца </w:t>
      </w:r>
      <w:r>
        <w:rPr>
          <w:bCs/>
        </w:rPr>
        <w:t xml:space="preserve">с болест на </w:t>
      </w:r>
      <w:r>
        <w:t>Крон</w:t>
      </w:r>
      <w:r>
        <w:rPr>
          <w:bCs/>
        </w:rPr>
        <w:t xml:space="preserve"> </w:t>
      </w:r>
      <w:ins w:id="1307" w:author="Reviser" w:date="2026-04-30T15:34:00Z">
        <w:r w:rsidR="006A6A96">
          <w:rPr>
            <w:bCs/>
          </w:rPr>
          <w:t>или улцерозен колит</w:t>
        </w:r>
      </w:ins>
      <w:ins w:id="1308" w:author="Reviser" w:date="2026-04-30T15:35:00Z">
        <w:r w:rsidR="006A6A96">
          <w:rPr>
            <w:bCs/>
          </w:rPr>
          <w:t xml:space="preserve"> </w:t>
        </w:r>
      </w:ins>
      <w:r>
        <w:rPr>
          <w:bCs/>
        </w:rPr>
        <w:t>под 2 години</w:t>
      </w:r>
      <w:del w:id="1309" w:author="Reviser" w:date="2026-04-30T15:35:00Z">
        <w:r w:rsidDel="006A6A96">
          <w:rPr>
            <w:bCs/>
          </w:rPr>
          <w:delText xml:space="preserve"> </w:delText>
        </w:r>
        <w:r w:rsidDel="006A6A96">
          <w:delText xml:space="preserve">или деца под 18 години с </w:delText>
        </w:r>
        <w:r w:rsidDel="006A6A96">
          <w:rPr>
            <w:bCs/>
          </w:rPr>
          <w:delText>улцерозен колит</w:delText>
        </w:r>
      </w:del>
      <w:r>
        <w:t>, защото не е проучван при тази възрастова група.</w:t>
      </w:r>
    </w:p>
    <w:p w14:paraId="109ADD8C" w14:textId="77777777" w:rsidR="009B3384" w:rsidRDefault="009B3384">
      <w:pPr>
        <w:rPr>
          <w:szCs w:val="22"/>
        </w:rPr>
      </w:pPr>
    </w:p>
    <w:p w14:paraId="109ADD8D" w14:textId="77777777" w:rsidR="009B3384" w:rsidRDefault="00800862">
      <w:pPr>
        <w:keepNext/>
        <w:rPr>
          <w:b/>
          <w:szCs w:val="22"/>
        </w:rPr>
      </w:pPr>
      <w:r>
        <w:rPr>
          <w:b/>
          <w:szCs w:val="22"/>
        </w:rPr>
        <w:t>Други лекарства, ваксини и Stelara</w:t>
      </w:r>
    </w:p>
    <w:p w14:paraId="109ADD8E" w14:textId="77777777" w:rsidR="009B3384" w:rsidRDefault="00800862">
      <w:r>
        <w:rPr>
          <w:szCs w:val="22"/>
        </w:rPr>
        <w:t>Трябва да кажете на Вашия лекар или фармацевт:</w:t>
      </w:r>
    </w:p>
    <w:p w14:paraId="109ADD8F" w14:textId="77777777" w:rsidR="009B3384" w:rsidRDefault="00800862">
      <w:pPr>
        <w:numPr>
          <w:ilvl w:val="0"/>
          <w:numId w:val="30"/>
        </w:numPr>
        <w:tabs>
          <w:tab w:val="clear" w:pos="567"/>
        </w:tabs>
      </w:pPr>
      <w:r>
        <w:rPr>
          <w:szCs w:val="22"/>
        </w:rPr>
        <w:t>Ако приемате, наскоро сте приемали или е възможно да приемете други лекарства.</w:t>
      </w:r>
    </w:p>
    <w:p w14:paraId="109ADD90" w14:textId="77777777" w:rsidR="009B3384" w:rsidRDefault="00800862">
      <w:pPr>
        <w:numPr>
          <w:ilvl w:val="0"/>
          <w:numId w:val="30"/>
        </w:numPr>
        <w:tabs>
          <w:tab w:val="clear" w:pos="567"/>
        </w:tabs>
      </w:pPr>
      <w:r>
        <w:rPr>
          <w:szCs w:val="22"/>
        </w:rPr>
        <w:t>Ако наскоро Ви е правена или планирате да Ви се прави ваксинация. Докато използвате Stelara, някои видове ваксини (живи ваксини) не трябва да се прилагат.</w:t>
      </w:r>
    </w:p>
    <w:p w14:paraId="109ADD91" w14:textId="77777777" w:rsidR="009B3384" w:rsidRDefault="00800862">
      <w:pPr>
        <w:numPr>
          <w:ilvl w:val="0"/>
          <w:numId w:val="30"/>
        </w:numPr>
        <w:tabs>
          <w:tab w:val="clear" w:pos="567"/>
        </w:tabs>
      </w:pPr>
      <w:r>
        <w:rPr>
          <w:bCs/>
          <w:szCs w:val="22"/>
        </w:rPr>
        <w:t>Ако сте получавали Stelara по време на бременността, трябва да кажете на лекаря на бебето Ви за лечението със Stelara, преди то да получи каквато и да е ваксина, включително живи ваксини, като БЦЖ ваксина (използвана за предпазване от туберкулоза). Живите ваксини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DD92" w14:textId="77777777" w:rsidR="009B3384" w:rsidRDefault="009B3384">
      <w:pPr>
        <w:rPr>
          <w:szCs w:val="22"/>
        </w:rPr>
      </w:pPr>
    </w:p>
    <w:p w14:paraId="109ADD93" w14:textId="77777777" w:rsidR="009B3384" w:rsidRDefault="00800862">
      <w:pPr>
        <w:keepNext/>
      </w:pPr>
      <w:r>
        <w:rPr>
          <w:b/>
          <w:szCs w:val="22"/>
        </w:rPr>
        <w:t>Бременност и кърмене</w:t>
      </w:r>
    </w:p>
    <w:p w14:paraId="109ADD94" w14:textId="77777777" w:rsidR="009B3384" w:rsidRDefault="00800862">
      <w:pPr>
        <w:numPr>
          <w:ilvl w:val="0"/>
          <w:numId w:val="30"/>
        </w:numPr>
        <w:tabs>
          <w:tab w:val="clear" w:pos="567"/>
        </w:tabs>
      </w:pPr>
      <w:r>
        <w:rPr>
          <w:noProof/>
          <w:szCs w:val="22"/>
        </w:rPr>
        <w:t>Ако сте бременна, смятате, че може да сте бременна или планирате бременност, посъветвайте</w:t>
      </w:r>
      <w:r>
        <w:rPr>
          <w:szCs w:val="22"/>
        </w:rPr>
        <w:t xml:space="preserve"> се с Вашия лекар преди употребата на </w:t>
      </w:r>
      <w:r>
        <w:rPr>
          <w:noProof/>
          <w:szCs w:val="22"/>
        </w:rPr>
        <w:t>това</w:t>
      </w:r>
      <w:r>
        <w:rPr>
          <w:szCs w:val="22"/>
        </w:rPr>
        <w:t xml:space="preserve"> лекарство.</w:t>
      </w:r>
    </w:p>
    <w:p w14:paraId="109ADD95" w14:textId="77777777" w:rsidR="009B3384" w:rsidRDefault="00800862">
      <w:pPr>
        <w:numPr>
          <w:ilvl w:val="0"/>
          <w:numId w:val="30"/>
        </w:numPr>
        <w:tabs>
          <w:tab w:val="clear" w:pos="567"/>
        </w:tabs>
      </w:pPr>
      <w:r>
        <w:t>Не е наблюдаван по-висок риск от вродени дефекти при бебета, изложени на Stelara в утробата. Данните от употребата на Stelara при бременни жени обаче са ограничени. Поради това е за предпочитане да се избягва употребата на Stelara по време на бременност.</w:t>
      </w:r>
    </w:p>
    <w:p w14:paraId="109ADD96" w14:textId="77777777" w:rsidR="009B3384" w:rsidRDefault="00800862">
      <w:pPr>
        <w:numPr>
          <w:ilvl w:val="0"/>
          <w:numId w:val="30"/>
        </w:numPr>
        <w:tabs>
          <w:tab w:val="clear" w:pos="567"/>
        </w:tabs>
      </w:pPr>
      <w:r>
        <w:rPr>
          <w:szCs w:val="22"/>
        </w:rPr>
        <w:t>Ако сте жена с детероден потенциал, желателно е да не забременявате и да използвате подходящ противозачатъчен метод, когато използвате Stelara и поне 15 седмици след последното прилагане на Stelara.</w:t>
      </w:r>
    </w:p>
    <w:p w14:paraId="109ADD97" w14:textId="77777777" w:rsidR="009B3384" w:rsidRDefault="00800862">
      <w:pPr>
        <w:numPr>
          <w:ilvl w:val="0"/>
          <w:numId w:val="30"/>
        </w:numPr>
        <w:tabs>
          <w:tab w:val="clear" w:pos="567"/>
        </w:tabs>
      </w:pPr>
      <w:r>
        <w:rPr>
          <w:bCs/>
          <w:szCs w:val="22"/>
        </w:rPr>
        <w:t>Stelara може да премине през плацентата в нероденото бебе. Ако сте получавали Stelara по време на бременността си, бебето Ви може да има по-висок риск от инфекция.</w:t>
      </w:r>
    </w:p>
    <w:p w14:paraId="109ADD98" w14:textId="77777777" w:rsidR="009B3384" w:rsidRDefault="00800862">
      <w:pPr>
        <w:numPr>
          <w:ilvl w:val="0"/>
          <w:numId w:val="30"/>
        </w:numPr>
        <w:tabs>
          <w:tab w:val="clear" w:pos="567"/>
        </w:tabs>
      </w:pPr>
      <w:r>
        <w:rPr>
          <w:bCs/>
          <w:szCs w:val="22"/>
        </w:rPr>
        <w:t>Важно е да кажете на лекарите на Вашето бебе и други медицински специалисти, ако сте получавали Stelara по време на бременността си, преди бебето да получи каквато и да е ваксина. Живи ваксини, като БЦЖ ваксина (използвана за предпазване от туберкулоза),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DD99" w14:textId="77777777" w:rsidR="009B3384" w:rsidRDefault="00800862">
      <w:pPr>
        <w:numPr>
          <w:ilvl w:val="0"/>
          <w:numId w:val="30"/>
        </w:numPr>
        <w:tabs>
          <w:tab w:val="clear" w:pos="567"/>
        </w:tabs>
      </w:pPr>
      <w:r>
        <w:t xml:space="preserve">Устекинумаб може да премине в кърмата в много малки количества. </w:t>
      </w:r>
      <w:r>
        <w:rPr>
          <w:szCs w:val="22"/>
        </w:rPr>
        <w:t>Посъветвайте се с Вашия лекар, ако кърмите или ако планирате да кърмите. Вие и Вашият лекар трябва да решите дали трябва да кърмите или да използвате Stelara - не правете и двете.</w:t>
      </w:r>
    </w:p>
    <w:p w14:paraId="109ADD9A" w14:textId="77777777" w:rsidR="009B3384" w:rsidRDefault="009B3384"/>
    <w:p w14:paraId="109ADD9B" w14:textId="77777777" w:rsidR="009B3384" w:rsidRDefault="00800862">
      <w:pPr>
        <w:keepNext/>
        <w:rPr>
          <w:szCs w:val="22"/>
        </w:rPr>
      </w:pPr>
      <w:r>
        <w:rPr>
          <w:b/>
          <w:szCs w:val="22"/>
        </w:rPr>
        <w:t>Шофиране и работа с машини</w:t>
      </w:r>
    </w:p>
    <w:p w14:paraId="109ADD9C" w14:textId="77777777" w:rsidR="009B3384" w:rsidRDefault="00800862">
      <w:pPr>
        <w:rPr>
          <w:szCs w:val="22"/>
        </w:rPr>
      </w:pPr>
      <w:r>
        <w:rPr>
          <w:szCs w:val="22"/>
        </w:rPr>
        <w:t>Stelara не повлиява или повлиява пренебрежимо способността за шофиране и работа с машини.</w:t>
      </w:r>
    </w:p>
    <w:p w14:paraId="109ADD9D" w14:textId="77777777" w:rsidR="009B3384" w:rsidRDefault="009B3384">
      <w:pPr>
        <w:widowControl w:val="0"/>
      </w:pPr>
    </w:p>
    <w:p w14:paraId="109ADD9E" w14:textId="77777777" w:rsidR="009B3384" w:rsidRDefault="00800862">
      <w:pPr>
        <w:keepNext/>
        <w:widowControl w:val="0"/>
      </w:pPr>
      <w:r>
        <w:rPr>
          <w:b/>
        </w:rPr>
        <w:t>Stelara съдържа натрий</w:t>
      </w:r>
    </w:p>
    <w:p w14:paraId="109ADD9F" w14:textId="77777777" w:rsidR="009B3384" w:rsidRDefault="00800862">
      <w:r>
        <w:t>Stelara съдържа по-малко от 1 mmol натрий (23 mg) на доза, т.е. може да се каже, че практически не съдържа натрий.</w:t>
      </w:r>
    </w:p>
    <w:p w14:paraId="109ADDA0" w14:textId="77777777" w:rsidR="009B3384" w:rsidRDefault="00800862">
      <w:r>
        <w:t>Преди да Ви бъде приложен обаче, Stelara се смесва с разтвор, който съдържа натрий. Говорете с Вашия лекар, ако сте на диета с ниско съдържание на натрий.</w:t>
      </w:r>
    </w:p>
    <w:p w14:paraId="109ADDA1" w14:textId="77777777" w:rsidR="009B3384" w:rsidRDefault="009B3384">
      <w:pPr>
        <w:widowControl w:val="0"/>
        <w:rPr>
          <w:bCs/>
        </w:rPr>
      </w:pPr>
    </w:p>
    <w:p w14:paraId="109ADDA2" w14:textId="77777777" w:rsidR="009B3384" w:rsidRDefault="00800862">
      <w:pPr>
        <w:keepNext/>
        <w:widowControl w:val="0"/>
        <w:rPr>
          <w:b/>
        </w:rPr>
      </w:pPr>
      <w:r>
        <w:rPr>
          <w:b/>
        </w:rPr>
        <w:t>Stelara съдържа полисорбат 80</w:t>
      </w:r>
    </w:p>
    <w:p w14:paraId="109ADDA3" w14:textId="77777777" w:rsidR="009B3384" w:rsidRDefault="00800862">
      <w:pPr>
        <w:widowControl w:val="0"/>
      </w:pPr>
      <w:r>
        <w:t>Stelara съдържа 10,8 mg полисорбат 80 (E433) във всяка доза, която е еквивалентна на 0,40 mg/ml. Полисорбатите могат да причинят алергични реакции. Трябва да кажете на Вашия лекар, ако имате установени алергии.</w:t>
      </w:r>
    </w:p>
    <w:p w14:paraId="109ADDA4" w14:textId="77777777" w:rsidR="009B3384" w:rsidRDefault="009B3384">
      <w:pPr>
        <w:rPr>
          <w:szCs w:val="22"/>
        </w:rPr>
      </w:pPr>
    </w:p>
    <w:p w14:paraId="109ADDA5" w14:textId="77777777" w:rsidR="009B3384" w:rsidRDefault="00800862">
      <w:pPr>
        <w:keepNext/>
        <w:ind w:left="567" w:hanging="567"/>
        <w:outlineLvl w:val="2"/>
        <w:rPr>
          <w:b/>
          <w:bCs/>
          <w:szCs w:val="22"/>
        </w:rPr>
      </w:pPr>
      <w:r>
        <w:rPr>
          <w:b/>
          <w:bCs/>
          <w:szCs w:val="22"/>
        </w:rPr>
        <w:lastRenderedPageBreak/>
        <w:t>3.</w:t>
      </w:r>
      <w:r>
        <w:rPr>
          <w:b/>
          <w:bCs/>
          <w:szCs w:val="22"/>
        </w:rPr>
        <w:tab/>
        <w:t>Как ще се прилага Stelara</w:t>
      </w:r>
    </w:p>
    <w:p w14:paraId="109ADDA6" w14:textId="77777777" w:rsidR="009B3384" w:rsidRDefault="009B3384">
      <w:pPr>
        <w:keepNext/>
        <w:rPr>
          <w:szCs w:val="22"/>
        </w:rPr>
      </w:pPr>
    </w:p>
    <w:p w14:paraId="109ADDA7" w14:textId="77777777" w:rsidR="009B3384" w:rsidRDefault="00800862">
      <w:pPr>
        <w:rPr>
          <w:szCs w:val="22"/>
        </w:rPr>
      </w:pPr>
      <w:r>
        <w:rPr>
          <w:szCs w:val="22"/>
        </w:rPr>
        <w:t xml:space="preserve">Stelara е предназначен за употреба под ръководството и контрола на лекар с опит в диагностиката и лечението на болест на Крон </w:t>
      </w:r>
      <w:r>
        <w:rPr>
          <w:bCs/>
        </w:rPr>
        <w:t>или на улцерозен колит</w:t>
      </w:r>
      <w:r>
        <w:rPr>
          <w:szCs w:val="22"/>
        </w:rPr>
        <w:t>.</w:t>
      </w:r>
    </w:p>
    <w:p w14:paraId="109ADDA8" w14:textId="77777777" w:rsidR="009B3384" w:rsidRDefault="009B3384">
      <w:pPr>
        <w:rPr>
          <w:szCs w:val="22"/>
        </w:rPr>
      </w:pPr>
    </w:p>
    <w:p w14:paraId="109ADDA9" w14:textId="77777777" w:rsidR="009B3384" w:rsidRDefault="00800862">
      <w:pPr>
        <w:rPr>
          <w:szCs w:val="22"/>
        </w:rPr>
      </w:pPr>
      <w:r>
        <w:rPr>
          <w:szCs w:val="22"/>
        </w:rPr>
        <w:t xml:space="preserve">Вашият лекар ще Ви приложи </w:t>
      </w:r>
      <w:r>
        <w:rPr>
          <w:szCs w:val="22"/>
          <w:lang w:val="en-GB"/>
        </w:rPr>
        <w:t>Stelara</w:t>
      </w:r>
      <w:r>
        <w:rPr>
          <w:szCs w:val="22"/>
        </w:rPr>
        <w:t xml:space="preserve"> 130</w:t>
      </w:r>
      <w:r>
        <w:rPr>
          <w:szCs w:val="22"/>
          <w:lang w:val="en-GB"/>
        </w:rPr>
        <w:t> mg</w:t>
      </w:r>
      <w:r>
        <w:rPr>
          <w:szCs w:val="22"/>
        </w:rPr>
        <w:t xml:space="preserve"> концентрат за инфузионен разтвор капково във вената на ръката (интравенозна инфузия) в продължение на най-малко един</w:t>
      </w:r>
      <w:r>
        <w:rPr>
          <w:szCs w:val="22"/>
          <w:lang w:val="en-GB"/>
        </w:rPr>
        <w:t> </w:t>
      </w:r>
      <w:r>
        <w:rPr>
          <w:szCs w:val="22"/>
        </w:rPr>
        <w:t>час. Посъветвайте се с Вашия лекар за това, кога ще Ви се поставят инжекциите и кога ще са следващите контролни прегледи.</w:t>
      </w:r>
    </w:p>
    <w:p w14:paraId="109ADDAA" w14:textId="77777777" w:rsidR="009B3384" w:rsidRDefault="009B3384">
      <w:pPr>
        <w:rPr>
          <w:szCs w:val="22"/>
        </w:rPr>
      </w:pPr>
    </w:p>
    <w:p w14:paraId="109ADDAB" w14:textId="77777777" w:rsidR="009B3384" w:rsidRDefault="00800862">
      <w:pPr>
        <w:keepNext/>
        <w:rPr>
          <w:b/>
          <w:bCs/>
          <w:szCs w:val="22"/>
        </w:rPr>
      </w:pPr>
      <w:r>
        <w:rPr>
          <w:b/>
          <w:bCs/>
          <w:szCs w:val="22"/>
        </w:rPr>
        <w:t>Какво количество Stelara се прилага</w:t>
      </w:r>
    </w:p>
    <w:p w14:paraId="109ADDAC" w14:textId="77777777" w:rsidR="009B3384" w:rsidRDefault="00800862">
      <w:pPr>
        <w:tabs>
          <w:tab w:val="clear" w:pos="567"/>
          <w:tab w:val="left" w:pos="540"/>
        </w:tabs>
        <w:rPr>
          <w:szCs w:val="22"/>
        </w:rPr>
      </w:pPr>
      <w:r>
        <w:rPr>
          <w:bCs/>
          <w:szCs w:val="22"/>
        </w:rPr>
        <w:t xml:space="preserve">Вашият лекар ще реши какво количество </w:t>
      </w:r>
      <w:r>
        <w:rPr>
          <w:szCs w:val="22"/>
        </w:rPr>
        <w:t>Stelara трябва да получите и за какъв период от време.</w:t>
      </w:r>
    </w:p>
    <w:p w14:paraId="109ADDAD" w14:textId="77777777" w:rsidR="009B3384" w:rsidRDefault="009B3384"/>
    <w:p w14:paraId="109ADDAE" w14:textId="77777777" w:rsidR="009B3384" w:rsidRDefault="00800862">
      <w:pPr>
        <w:keepNext/>
        <w:tabs>
          <w:tab w:val="clear" w:pos="567"/>
          <w:tab w:val="left" w:pos="540"/>
        </w:tabs>
        <w:rPr>
          <w:b/>
          <w:szCs w:val="22"/>
        </w:rPr>
      </w:pPr>
      <w:r>
        <w:rPr>
          <w:b/>
          <w:szCs w:val="22"/>
        </w:rPr>
        <w:t>Възрастни на 18</w:t>
      </w:r>
      <w:r>
        <w:rPr>
          <w:b/>
          <w:szCs w:val="22"/>
          <w:lang w:val="en-US"/>
        </w:rPr>
        <w:t> </w:t>
      </w:r>
      <w:r>
        <w:rPr>
          <w:b/>
          <w:szCs w:val="22"/>
        </w:rPr>
        <w:t>години или по-големи</w:t>
      </w:r>
    </w:p>
    <w:p w14:paraId="109ADDAF" w14:textId="5023C5A0" w:rsidR="009B3384" w:rsidDel="00A54D9D" w:rsidRDefault="00800862" w:rsidP="00670478">
      <w:pPr>
        <w:keepNext/>
        <w:tabs>
          <w:tab w:val="clear" w:pos="567"/>
          <w:tab w:val="left" w:pos="540"/>
        </w:tabs>
        <w:rPr>
          <w:del w:id="1310" w:author="RABG09" w:date="2026-06-25T10:57:00Z"/>
          <w:b/>
          <w:szCs w:val="22"/>
        </w:rPr>
      </w:pPr>
      <w:r>
        <w:rPr>
          <w:b/>
          <w:szCs w:val="22"/>
        </w:rPr>
        <w:t xml:space="preserve">Болест на Крон </w:t>
      </w:r>
      <w:del w:id="1311" w:author="Reviser" w:date="2026-04-30T15:36:00Z">
        <w:r w:rsidDel="006A6A96">
          <w:rPr>
            <w:b/>
            <w:szCs w:val="22"/>
          </w:rPr>
          <w:delText>ил</w:delText>
        </w:r>
      </w:del>
      <w:r>
        <w:rPr>
          <w:b/>
          <w:szCs w:val="22"/>
        </w:rPr>
        <w:t>и улцерозен колит</w:t>
      </w:r>
    </w:p>
    <w:p w14:paraId="2605D61A" w14:textId="77777777" w:rsidR="00442966" w:rsidRDefault="00442966" w:rsidP="00670478">
      <w:pPr>
        <w:tabs>
          <w:tab w:val="clear" w:pos="567"/>
        </w:tabs>
        <w:rPr>
          <w:szCs w:val="22"/>
        </w:rPr>
      </w:pPr>
    </w:p>
    <w:p w14:paraId="109ADDB1" w14:textId="44A917E0" w:rsidR="009B3384" w:rsidRPr="00F9219D" w:rsidRDefault="00800862" w:rsidP="00F9219D">
      <w:pPr>
        <w:numPr>
          <w:ilvl w:val="0"/>
          <w:numId w:val="30"/>
        </w:numPr>
        <w:tabs>
          <w:tab w:val="clear" w:pos="567"/>
        </w:tabs>
        <w:rPr>
          <w:szCs w:val="22"/>
        </w:rPr>
      </w:pPr>
      <w:r w:rsidRPr="00442966">
        <w:rPr>
          <w:szCs w:val="22"/>
        </w:rPr>
        <w:t>Лекарят ще изчисли препоръчителната за Вас доза за интравенозна инфузия въз основа на телесното Ви тегло</w:t>
      </w:r>
      <w:r w:rsidRPr="00F9219D">
        <w:rPr>
          <w:szCs w:val="22"/>
        </w:rPr>
        <w:t>.</w:t>
      </w:r>
    </w:p>
    <w:tbl>
      <w:tblPr>
        <w:tblW w:w="4949" w:type="dxa"/>
        <w:jc w:val="center"/>
        <w:tblLayout w:type="fixed"/>
        <w:tblLook w:val="04A0" w:firstRow="1" w:lastRow="0" w:firstColumn="1" w:lastColumn="0" w:noHBand="0" w:noVBand="1"/>
      </w:tblPr>
      <w:tblGrid>
        <w:gridCol w:w="3150"/>
        <w:gridCol w:w="1799"/>
      </w:tblGrid>
      <w:tr w:rsidR="009B3384" w14:paraId="109ADDB4" w14:textId="77777777">
        <w:trPr>
          <w:cantSplit/>
          <w:jc w:val="center"/>
        </w:trPr>
        <w:tc>
          <w:tcPr>
            <w:tcW w:w="3149" w:type="dxa"/>
            <w:tcBorders>
              <w:top w:val="single" w:sz="4" w:space="0" w:color="000000"/>
              <w:left w:val="single" w:sz="4" w:space="0" w:color="000000"/>
              <w:bottom w:val="single" w:sz="4" w:space="0" w:color="000000"/>
            </w:tcBorders>
          </w:tcPr>
          <w:p w14:paraId="109ADDB2" w14:textId="77777777" w:rsidR="009B3384" w:rsidRDefault="00800862">
            <w:pPr>
              <w:widowControl w:val="0"/>
              <w:rPr>
                <w:bCs/>
                <w:lang w:val="en-GB"/>
              </w:rPr>
            </w:pPr>
            <w:r>
              <w:rPr>
                <w:bCs/>
              </w:rPr>
              <w:t>Вашето</w:t>
            </w:r>
            <w:r>
              <w:rPr>
                <w:bCs/>
                <w:lang w:val="en-GB"/>
              </w:rPr>
              <w:t xml:space="preserve"> </w:t>
            </w:r>
            <w:r>
              <w:rPr>
                <w:bCs/>
              </w:rPr>
              <w:t>телесно тегло</w:t>
            </w:r>
          </w:p>
        </w:tc>
        <w:tc>
          <w:tcPr>
            <w:tcW w:w="1799" w:type="dxa"/>
            <w:tcBorders>
              <w:top w:val="single" w:sz="4" w:space="0" w:color="000000"/>
              <w:bottom w:val="single" w:sz="4" w:space="0" w:color="000000"/>
              <w:right w:val="single" w:sz="4" w:space="0" w:color="000000"/>
            </w:tcBorders>
          </w:tcPr>
          <w:p w14:paraId="109ADDB3" w14:textId="77777777" w:rsidR="009B3384" w:rsidRDefault="00800862">
            <w:pPr>
              <w:widowControl w:val="0"/>
              <w:tabs>
                <w:tab w:val="clear" w:pos="567"/>
              </w:tabs>
              <w:rPr>
                <w:bCs/>
              </w:rPr>
            </w:pPr>
            <w:r>
              <w:rPr>
                <w:bCs/>
              </w:rPr>
              <w:t>Доза</w:t>
            </w:r>
          </w:p>
        </w:tc>
      </w:tr>
      <w:tr w:rsidR="009B3384" w14:paraId="109ADDB7" w14:textId="77777777">
        <w:trPr>
          <w:cantSplit/>
          <w:jc w:val="center"/>
        </w:trPr>
        <w:tc>
          <w:tcPr>
            <w:tcW w:w="3149" w:type="dxa"/>
            <w:tcBorders>
              <w:top w:val="single" w:sz="4" w:space="0" w:color="000000"/>
              <w:left w:val="single" w:sz="4" w:space="0" w:color="000000"/>
            </w:tcBorders>
          </w:tcPr>
          <w:p w14:paraId="109ADDB5" w14:textId="77777777" w:rsidR="009B3384" w:rsidRDefault="00800862">
            <w:pPr>
              <w:widowControl w:val="0"/>
              <w:tabs>
                <w:tab w:val="clear" w:pos="567"/>
                <w:tab w:val="left" w:pos="0"/>
              </w:tabs>
              <w:rPr>
                <w:bCs/>
                <w:lang w:val="en-GB"/>
              </w:rPr>
            </w:pPr>
            <w:r>
              <w:rPr>
                <w:bCs/>
                <w:lang w:val="en-GB"/>
              </w:rPr>
              <w:t>≤ 55 kg</w:t>
            </w:r>
          </w:p>
        </w:tc>
        <w:tc>
          <w:tcPr>
            <w:tcW w:w="1799" w:type="dxa"/>
            <w:tcBorders>
              <w:top w:val="single" w:sz="4" w:space="0" w:color="000000"/>
              <w:right w:val="single" w:sz="4" w:space="0" w:color="000000"/>
            </w:tcBorders>
          </w:tcPr>
          <w:p w14:paraId="109ADDB6" w14:textId="77777777" w:rsidR="009B3384" w:rsidRDefault="00800862">
            <w:pPr>
              <w:widowControl w:val="0"/>
              <w:tabs>
                <w:tab w:val="clear" w:pos="567"/>
              </w:tabs>
              <w:rPr>
                <w:bCs/>
                <w:lang w:val="en-GB"/>
              </w:rPr>
            </w:pPr>
            <w:r>
              <w:rPr>
                <w:bCs/>
                <w:lang w:val="en-GB"/>
              </w:rPr>
              <w:t>260 mg</w:t>
            </w:r>
          </w:p>
        </w:tc>
      </w:tr>
      <w:tr w:rsidR="009B3384" w14:paraId="109ADDBA" w14:textId="77777777">
        <w:trPr>
          <w:cantSplit/>
          <w:jc w:val="center"/>
        </w:trPr>
        <w:tc>
          <w:tcPr>
            <w:tcW w:w="3149" w:type="dxa"/>
            <w:tcBorders>
              <w:left w:val="single" w:sz="4" w:space="0" w:color="000000"/>
            </w:tcBorders>
          </w:tcPr>
          <w:p w14:paraId="109ADDB8" w14:textId="77777777" w:rsidR="009B3384" w:rsidRDefault="00800862">
            <w:pPr>
              <w:widowControl w:val="0"/>
              <w:tabs>
                <w:tab w:val="clear" w:pos="567"/>
                <w:tab w:val="left" w:pos="0"/>
              </w:tabs>
              <w:rPr>
                <w:bCs/>
                <w:lang w:val="en-GB"/>
              </w:rPr>
            </w:pPr>
            <w:r>
              <w:rPr>
                <w:bCs/>
                <w:lang w:val="en-GB"/>
              </w:rPr>
              <w:t xml:space="preserve">&gt; 55 kg </w:t>
            </w:r>
            <w:r>
              <w:rPr>
                <w:bCs/>
              </w:rPr>
              <w:t>до</w:t>
            </w:r>
            <w:r>
              <w:rPr>
                <w:bCs/>
                <w:lang w:val="en-GB"/>
              </w:rPr>
              <w:t xml:space="preserve"> ≤ 85 kg</w:t>
            </w:r>
          </w:p>
        </w:tc>
        <w:tc>
          <w:tcPr>
            <w:tcW w:w="1799" w:type="dxa"/>
            <w:tcBorders>
              <w:right w:val="single" w:sz="4" w:space="0" w:color="000000"/>
            </w:tcBorders>
          </w:tcPr>
          <w:p w14:paraId="109ADDB9" w14:textId="77777777" w:rsidR="009B3384" w:rsidRDefault="00800862">
            <w:pPr>
              <w:widowControl w:val="0"/>
              <w:tabs>
                <w:tab w:val="clear" w:pos="567"/>
              </w:tabs>
              <w:rPr>
                <w:bCs/>
                <w:lang w:val="en-GB"/>
              </w:rPr>
            </w:pPr>
            <w:r>
              <w:rPr>
                <w:bCs/>
                <w:lang w:val="en-GB"/>
              </w:rPr>
              <w:t>390 mg</w:t>
            </w:r>
          </w:p>
        </w:tc>
      </w:tr>
      <w:tr w:rsidR="009B3384" w14:paraId="109ADDBD" w14:textId="77777777">
        <w:trPr>
          <w:cantSplit/>
          <w:trHeight w:val="284"/>
          <w:jc w:val="center"/>
        </w:trPr>
        <w:tc>
          <w:tcPr>
            <w:tcW w:w="3149" w:type="dxa"/>
            <w:tcBorders>
              <w:left w:val="single" w:sz="4" w:space="0" w:color="000000"/>
              <w:bottom w:val="single" w:sz="4" w:space="0" w:color="000000"/>
            </w:tcBorders>
          </w:tcPr>
          <w:p w14:paraId="109ADDBB" w14:textId="77777777" w:rsidR="009B3384" w:rsidRDefault="00800862">
            <w:pPr>
              <w:widowControl w:val="0"/>
              <w:tabs>
                <w:tab w:val="clear" w:pos="567"/>
                <w:tab w:val="left" w:pos="0"/>
              </w:tabs>
              <w:rPr>
                <w:bCs/>
                <w:lang w:val="en-GB"/>
              </w:rPr>
            </w:pPr>
            <w:r>
              <w:rPr>
                <w:bCs/>
                <w:lang w:val="en-GB"/>
              </w:rPr>
              <w:t>&gt; 85 kg</w:t>
            </w:r>
          </w:p>
        </w:tc>
        <w:tc>
          <w:tcPr>
            <w:tcW w:w="1799" w:type="dxa"/>
            <w:tcBorders>
              <w:bottom w:val="single" w:sz="4" w:space="0" w:color="000000"/>
              <w:right w:val="single" w:sz="4" w:space="0" w:color="000000"/>
            </w:tcBorders>
          </w:tcPr>
          <w:p w14:paraId="109ADDBC" w14:textId="77777777" w:rsidR="009B3384" w:rsidRDefault="00800862">
            <w:pPr>
              <w:widowControl w:val="0"/>
              <w:tabs>
                <w:tab w:val="clear" w:pos="567"/>
              </w:tabs>
              <w:rPr>
                <w:bCs/>
                <w:lang w:val="en-GB"/>
              </w:rPr>
            </w:pPr>
            <w:r>
              <w:rPr>
                <w:bCs/>
                <w:lang w:val="en-GB"/>
              </w:rPr>
              <w:t>520 mg</w:t>
            </w:r>
          </w:p>
        </w:tc>
      </w:tr>
    </w:tbl>
    <w:p w14:paraId="109ADDBE" w14:textId="77777777" w:rsidR="009B3384" w:rsidRDefault="009B3384">
      <w:pPr>
        <w:tabs>
          <w:tab w:val="clear" w:pos="567"/>
        </w:tabs>
        <w:rPr>
          <w:bCs/>
        </w:rPr>
      </w:pPr>
    </w:p>
    <w:p w14:paraId="109ADDBF" w14:textId="03945B63" w:rsidR="009B3384" w:rsidRDefault="00800862">
      <w:pPr>
        <w:numPr>
          <w:ilvl w:val="0"/>
          <w:numId w:val="30"/>
        </w:numPr>
        <w:tabs>
          <w:tab w:val="clear" w:pos="567"/>
        </w:tabs>
      </w:pPr>
      <w:r>
        <w:rPr>
          <w:szCs w:val="22"/>
        </w:rPr>
        <w:t>След началната интравенозна доза ще Ви бъде приложена следващата доза 90</w:t>
      </w:r>
      <w:r>
        <w:rPr>
          <w:szCs w:val="22"/>
          <w:lang w:val="en-GB"/>
        </w:rPr>
        <w:t> mg</w:t>
      </w:r>
      <w:r>
        <w:rPr>
          <w:szCs w:val="22"/>
        </w:rPr>
        <w:t xml:space="preserve"> </w:t>
      </w:r>
      <w:r>
        <w:rPr>
          <w:szCs w:val="22"/>
          <w:lang w:val="en-GB"/>
        </w:rPr>
        <w:t>Stelara</w:t>
      </w:r>
      <w:r>
        <w:rPr>
          <w:szCs w:val="22"/>
        </w:rPr>
        <w:t xml:space="preserve"> чрез инжекция под кожата („подкожно“) след 8 седмици и след това на всеки 12 седмици.</w:t>
      </w:r>
    </w:p>
    <w:p w14:paraId="109ADDC0" w14:textId="77777777" w:rsidR="009B3384" w:rsidRDefault="009B3384"/>
    <w:p w14:paraId="109ADDC1" w14:textId="77777777" w:rsidR="009B3384" w:rsidRDefault="00800862">
      <w:pPr>
        <w:keepNext/>
        <w:widowControl w:val="0"/>
        <w:numPr>
          <w:ilvl w:val="12"/>
          <w:numId w:val="0"/>
        </w:numPr>
        <w:rPr>
          <w:b/>
          <w:bCs/>
        </w:rPr>
      </w:pPr>
      <w:bookmarkStart w:id="1312" w:name="_Hlk188381690"/>
      <w:r>
        <w:rPr>
          <w:b/>
          <w:bCs/>
        </w:rPr>
        <w:t>Деца с тегло под 40</w:t>
      </w:r>
      <w:r>
        <w:rPr>
          <w:b/>
          <w:bCs/>
          <w:lang w:val="en-US"/>
        </w:rPr>
        <w:t> </w:t>
      </w:r>
      <w:r>
        <w:rPr>
          <w:b/>
          <w:bCs/>
        </w:rPr>
        <w:t>kg</w:t>
      </w:r>
    </w:p>
    <w:p w14:paraId="109ADDC2" w14:textId="2298BCCF" w:rsidR="009B3384" w:rsidRDefault="00800862">
      <w:pPr>
        <w:keepNext/>
        <w:widowControl w:val="0"/>
        <w:numPr>
          <w:ilvl w:val="12"/>
          <w:numId w:val="0"/>
        </w:numPr>
        <w:rPr>
          <w:b/>
          <w:bCs/>
        </w:rPr>
      </w:pPr>
      <w:r>
        <w:rPr>
          <w:b/>
          <w:bCs/>
        </w:rPr>
        <w:t>Болест на Крон</w:t>
      </w:r>
      <w:ins w:id="1313" w:author="Reviser" w:date="2026-04-30T15:36:00Z">
        <w:r w:rsidR="006A6A96">
          <w:rPr>
            <w:b/>
            <w:bCs/>
          </w:rPr>
          <w:t xml:space="preserve"> </w:t>
        </w:r>
        <w:r w:rsidR="006A6A96">
          <w:rPr>
            <w:b/>
            <w:szCs w:val="22"/>
          </w:rPr>
          <w:t>и улцерозен колит</w:t>
        </w:r>
      </w:ins>
    </w:p>
    <w:p w14:paraId="109ADDC3" w14:textId="77777777" w:rsidR="009B3384" w:rsidRDefault="00800862">
      <w:pPr>
        <w:numPr>
          <w:ilvl w:val="0"/>
          <w:numId w:val="30"/>
        </w:numPr>
        <w:tabs>
          <w:tab w:val="clear" w:pos="567"/>
        </w:tabs>
        <w:rPr>
          <w:szCs w:val="22"/>
        </w:rPr>
      </w:pPr>
      <w:r>
        <w:rPr>
          <w:szCs w:val="22"/>
        </w:rPr>
        <w:t>Лекарят ще определи препоръчителната за Вас доза за интравенозна инфузия въз основа на телесната Ви повърхност (BSA)</w:t>
      </w:r>
    </w:p>
    <w:p w14:paraId="109ADDC4" w14:textId="77777777" w:rsidR="009B3384" w:rsidRDefault="00800862">
      <w:pPr>
        <w:numPr>
          <w:ilvl w:val="0"/>
          <w:numId w:val="30"/>
        </w:numPr>
        <w:tabs>
          <w:tab w:val="clear" w:pos="567"/>
        </w:tabs>
        <w:rPr>
          <w:szCs w:val="22"/>
        </w:rPr>
      </w:pPr>
      <w:r>
        <w:rPr>
          <w:szCs w:val="22"/>
        </w:rPr>
        <w:t>След началната доза Вашият лекар ще определи следващата доза въз основа на Вашата BSA. Ще получите тази доза Stelara след 8 седмици и след това на всеки 12 седмици чрез инжектиране под кожата („подкожно“).</w:t>
      </w:r>
    </w:p>
    <w:p w14:paraId="109ADDC5" w14:textId="77777777" w:rsidR="009B3384" w:rsidRPr="00BC6A43" w:rsidRDefault="009B3384" w:rsidP="00BC6A43"/>
    <w:p w14:paraId="109ADDC6" w14:textId="6D8297FD" w:rsidR="009B3384" w:rsidRDefault="00800862">
      <w:pPr>
        <w:keepNext/>
        <w:widowControl w:val="0"/>
        <w:numPr>
          <w:ilvl w:val="12"/>
          <w:numId w:val="0"/>
        </w:numPr>
        <w:rPr>
          <w:b/>
          <w:bCs/>
        </w:rPr>
      </w:pPr>
      <w:r>
        <w:rPr>
          <w:b/>
          <w:bCs/>
        </w:rPr>
        <w:t>Деца с тегло най-малко 40</w:t>
      </w:r>
      <w:r>
        <w:rPr>
          <w:b/>
          <w:bCs/>
          <w:lang w:val="en-US"/>
        </w:rPr>
        <w:t> </w:t>
      </w:r>
      <w:r>
        <w:rPr>
          <w:b/>
          <w:bCs/>
        </w:rPr>
        <w:t>kg</w:t>
      </w:r>
    </w:p>
    <w:p w14:paraId="109ADDC7" w14:textId="361FEE88" w:rsidR="009B3384" w:rsidRDefault="00800862">
      <w:pPr>
        <w:keepNext/>
        <w:widowControl w:val="0"/>
        <w:numPr>
          <w:ilvl w:val="12"/>
          <w:numId w:val="0"/>
        </w:numPr>
        <w:rPr>
          <w:b/>
          <w:bCs/>
        </w:rPr>
      </w:pPr>
      <w:r>
        <w:rPr>
          <w:b/>
          <w:bCs/>
        </w:rPr>
        <w:t>Болест на Крон</w:t>
      </w:r>
      <w:ins w:id="1314" w:author="Reviser" w:date="2026-04-30T15:37:00Z">
        <w:r w:rsidR="006A6A96">
          <w:rPr>
            <w:b/>
            <w:bCs/>
          </w:rPr>
          <w:t xml:space="preserve"> </w:t>
        </w:r>
        <w:r w:rsidR="006A6A96">
          <w:rPr>
            <w:b/>
            <w:szCs w:val="22"/>
          </w:rPr>
          <w:t>и улцерозен колит</w:t>
        </w:r>
      </w:ins>
    </w:p>
    <w:p w14:paraId="109ADDC8" w14:textId="77777777" w:rsidR="009B3384" w:rsidRDefault="00800862">
      <w:pPr>
        <w:numPr>
          <w:ilvl w:val="0"/>
          <w:numId w:val="30"/>
        </w:numPr>
        <w:suppressAutoHyphens w:val="0"/>
      </w:pPr>
      <w:r>
        <w:t>Лекарят ще определи препоръчителната за Вас доза за интравенозна инфузия въз основа на телесното Ви тегло.</w:t>
      </w:r>
    </w:p>
    <w:p w14:paraId="109ADDC9" w14:textId="77777777" w:rsidR="009B3384" w:rsidRDefault="009B3384"/>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5"/>
        <w:gridCol w:w="1800"/>
      </w:tblGrid>
      <w:tr w:rsidR="009B3384" w14:paraId="109ADDCC" w14:textId="77777777">
        <w:trPr>
          <w:cantSplit/>
          <w:jc w:val="center"/>
        </w:trPr>
        <w:tc>
          <w:tcPr>
            <w:tcW w:w="3135" w:type="dxa"/>
            <w:tcBorders>
              <w:top w:val="single" w:sz="6" w:space="0" w:color="auto"/>
              <w:left w:val="single" w:sz="6" w:space="0" w:color="auto"/>
              <w:bottom w:val="single" w:sz="6" w:space="0" w:color="auto"/>
              <w:right w:val="nil"/>
            </w:tcBorders>
            <w:hideMark/>
          </w:tcPr>
          <w:p w14:paraId="109ADDCA" w14:textId="77777777" w:rsidR="009B3384" w:rsidRDefault="00800862">
            <w:pPr>
              <w:textAlignment w:val="baseline"/>
              <w:rPr>
                <w:sz w:val="24"/>
                <w:szCs w:val="24"/>
                <w:lang w:eastAsia="en-GB"/>
              </w:rPr>
            </w:pPr>
            <w:r>
              <w:rPr>
                <w:lang w:eastAsia="en-GB"/>
              </w:rPr>
              <w:t>Вашето телесно тегло</w:t>
            </w:r>
          </w:p>
        </w:tc>
        <w:tc>
          <w:tcPr>
            <w:tcW w:w="1800" w:type="dxa"/>
            <w:tcBorders>
              <w:top w:val="single" w:sz="6" w:space="0" w:color="auto"/>
              <w:left w:val="nil"/>
              <w:bottom w:val="single" w:sz="6" w:space="0" w:color="auto"/>
              <w:right w:val="single" w:sz="6" w:space="0" w:color="auto"/>
            </w:tcBorders>
            <w:hideMark/>
          </w:tcPr>
          <w:p w14:paraId="109ADDCB" w14:textId="77777777" w:rsidR="009B3384" w:rsidRDefault="00800862">
            <w:pPr>
              <w:jc w:val="center"/>
              <w:textAlignment w:val="baseline"/>
              <w:rPr>
                <w:sz w:val="24"/>
                <w:szCs w:val="24"/>
                <w:lang w:eastAsia="en-GB"/>
              </w:rPr>
            </w:pPr>
            <w:r>
              <w:rPr>
                <w:lang w:eastAsia="en-GB"/>
              </w:rPr>
              <w:t>Доза</w:t>
            </w:r>
          </w:p>
        </w:tc>
      </w:tr>
      <w:tr w:rsidR="009B3384" w14:paraId="109ADDCF" w14:textId="77777777">
        <w:trPr>
          <w:cantSplit/>
          <w:jc w:val="center"/>
        </w:trPr>
        <w:tc>
          <w:tcPr>
            <w:tcW w:w="3135" w:type="dxa"/>
            <w:tcBorders>
              <w:top w:val="single" w:sz="6" w:space="0" w:color="auto"/>
              <w:left w:val="single" w:sz="6" w:space="0" w:color="auto"/>
              <w:bottom w:val="nil"/>
              <w:right w:val="nil"/>
            </w:tcBorders>
            <w:hideMark/>
          </w:tcPr>
          <w:p w14:paraId="109ADDCD" w14:textId="77777777" w:rsidR="009B3384" w:rsidRDefault="00800862">
            <w:pPr>
              <w:textAlignment w:val="baseline"/>
              <w:rPr>
                <w:sz w:val="24"/>
                <w:szCs w:val="24"/>
                <w:lang w:eastAsia="en-GB"/>
              </w:rPr>
            </w:pPr>
            <w:r>
              <w:t>≥</w:t>
            </w:r>
            <w:r>
              <w:rPr>
                <w:lang w:eastAsia="en-GB"/>
              </w:rPr>
              <w:t> 40 до ≤ 55 kg</w:t>
            </w:r>
          </w:p>
        </w:tc>
        <w:tc>
          <w:tcPr>
            <w:tcW w:w="1800" w:type="dxa"/>
            <w:tcBorders>
              <w:top w:val="single" w:sz="6" w:space="0" w:color="auto"/>
              <w:left w:val="nil"/>
              <w:bottom w:val="nil"/>
              <w:right w:val="single" w:sz="6" w:space="0" w:color="auto"/>
            </w:tcBorders>
            <w:hideMark/>
          </w:tcPr>
          <w:p w14:paraId="109ADDCE" w14:textId="77777777" w:rsidR="009B3384" w:rsidRDefault="00800862">
            <w:pPr>
              <w:jc w:val="center"/>
              <w:textAlignment w:val="baseline"/>
              <w:rPr>
                <w:sz w:val="24"/>
                <w:szCs w:val="24"/>
                <w:lang w:eastAsia="en-GB"/>
              </w:rPr>
            </w:pPr>
            <w:r>
              <w:rPr>
                <w:lang w:eastAsia="en-GB"/>
              </w:rPr>
              <w:t>260 mg</w:t>
            </w:r>
          </w:p>
        </w:tc>
      </w:tr>
      <w:tr w:rsidR="009B3384" w14:paraId="109ADDD2" w14:textId="77777777">
        <w:trPr>
          <w:cantSplit/>
          <w:jc w:val="center"/>
        </w:trPr>
        <w:tc>
          <w:tcPr>
            <w:tcW w:w="3135" w:type="dxa"/>
            <w:tcBorders>
              <w:top w:val="nil"/>
              <w:left w:val="single" w:sz="6" w:space="0" w:color="auto"/>
              <w:bottom w:val="nil"/>
              <w:right w:val="nil"/>
            </w:tcBorders>
            <w:hideMark/>
          </w:tcPr>
          <w:p w14:paraId="109ADDD0" w14:textId="460DB980" w:rsidR="009B3384" w:rsidRDefault="00800862">
            <w:pPr>
              <w:textAlignment w:val="baseline"/>
              <w:rPr>
                <w:sz w:val="24"/>
                <w:szCs w:val="24"/>
                <w:lang w:eastAsia="en-GB"/>
              </w:rPr>
            </w:pPr>
            <w:r>
              <w:rPr>
                <w:lang w:eastAsia="en-GB"/>
              </w:rPr>
              <w:t>&gt; 55 kg до ≤ 85</w:t>
            </w:r>
            <w:r>
              <w:rPr>
                <w:lang w:val="en-US" w:eastAsia="en-GB"/>
              </w:rPr>
              <w:t> </w:t>
            </w:r>
            <w:r>
              <w:rPr>
                <w:lang w:eastAsia="en-GB"/>
              </w:rPr>
              <w:t>kg</w:t>
            </w:r>
          </w:p>
        </w:tc>
        <w:tc>
          <w:tcPr>
            <w:tcW w:w="1800" w:type="dxa"/>
            <w:tcBorders>
              <w:top w:val="nil"/>
              <w:left w:val="nil"/>
              <w:bottom w:val="nil"/>
              <w:right w:val="single" w:sz="6" w:space="0" w:color="auto"/>
            </w:tcBorders>
            <w:hideMark/>
          </w:tcPr>
          <w:p w14:paraId="109ADDD1" w14:textId="77777777" w:rsidR="009B3384" w:rsidRDefault="00800862">
            <w:pPr>
              <w:jc w:val="center"/>
              <w:textAlignment w:val="baseline"/>
              <w:rPr>
                <w:sz w:val="24"/>
                <w:szCs w:val="24"/>
                <w:lang w:eastAsia="en-GB"/>
              </w:rPr>
            </w:pPr>
            <w:r>
              <w:rPr>
                <w:lang w:eastAsia="en-GB"/>
              </w:rPr>
              <w:t>390 mg</w:t>
            </w:r>
          </w:p>
        </w:tc>
      </w:tr>
      <w:tr w:rsidR="009B3384" w14:paraId="109ADDD5" w14:textId="77777777">
        <w:trPr>
          <w:cantSplit/>
          <w:jc w:val="center"/>
        </w:trPr>
        <w:tc>
          <w:tcPr>
            <w:tcW w:w="3135" w:type="dxa"/>
            <w:tcBorders>
              <w:top w:val="nil"/>
              <w:left w:val="single" w:sz="6" w:space="0" w:color="auto"/>
              <w:bottom w:val="single" w:sz="6" w:space="0" w:color="auto"/>
              <w:right w:val="nil"/>
            </w:tcBorders>
            <w:hideMark/>
          </w:tcPr>
          <w:p w14:paraId="109ADDD3" w14:textId="77777777" w:rsidR="009B3384" w:rsidRDefault="00800862">
            <w:pPr>
              <w:textAlignment w:val="baseline"/>
              <w:rPr>
                <w:sz w:val="24"/>
                <w:szCs w:val="24"/>
                <w:lang w:eastAsia="en-GB"/>
              </w:rPr>
            </w:pPr>
            <w:r>
              <w:rPr>
                <w:lang w:eastAsia="en-GB"/>
              </w:rPr>
              <w:t>&gt; 85 kg</w:t>
            </w:r>
          </w:p>
        </w:tc>
        <w:tc>
          <w:tcPr>
            <w:tcW w:w="1800" w:type="dxa"/>
            <w:tcBorders>
              <w:top w:val="nil"/>
              <w:left w:val="nil"/>
              <w:bottom w:val="single" w:sz="6" w:space="0" w:color="auto"/>
              <w:right w:val="single" w:sz="6" w:space="0" w:color="auto"/>
            </w:tcBorders>
            <w:hideMark/>
          </w:tcPr>
          <w:p w14:paraId="109ADDD4" w14:textId="77777777" w:rsidR="009B3384" w:rsidRDefault="00800862">
            <w:pPr>
              <w:jc w:val="center"/>
              <w:textAlignment w:val="baseline"/>
              <w:rPr>
                <w:sz w:val="24"/>
                <w:szCs w:val="24"/>
                <w:lang w:eastAsia="en-GB"/>
              </w:rPr>
            </w:pPr>
            <w:r>
              <w:rPr>
                <w:lang w:eastAsia="en-GB"/>
              </w:rPr>
              <w:t>520 mg</w:t>
            </w:r>
          </w:p>
        </w:tc>
      </w:tr>
    </w:tbl>
    <w:p w14:paraId="109ADDD6" w14:textId="77777777" w:rsidR="009B3384" w:rsidRDefault="009B3384"/>
    <w:p w14:paraId="109ADDD8" w14:textId="4A232DBD" w:rsidR="009B3384" w:rsidRDefault="00800862" w:rsidP="00BC6A43">
      <w:pPr>
        <w:numPr>
          <w:ilvl w:val="0"/>
          <w:numId w:val="30"/>
        </w:numPr>
        <w:suppressAutoHyphens w:val="0"/>
      </w:pPr>
      <w:r>
        <w:t>След началната интравенозна доза ще получите следващата доза 90 mg Stelara чрез инжектиране под кожата („подкожно“) след 8 седмици, а след това на всеки 12 седмици.</w:t>
      </w:r>
      <w:bookmarkEnd w:id="1312"/>
    </w:p>
    <w:p w14:paraId="109ADDD9" w14:textId="77777777" w:rsidR="009B3384" w:rsidRDefault="009B3384"/>
    <w:p w14:paraId="109ADDDA" w14:textId="77777777" w:rsidR="009B3384" w:rsidRDefault="00800862">
      <w:pPr>
        <w:keepNext/>
        <w:rPr>
          <w:b/>
          <w:bCs/>
          <w:szCs w:val="22"/>
        </w:rPr>
      </w:pPr>
      <w:r>
        <w:rPr>
          <w:b/>
          <w:bCs/>
          <w:szCs w:val="22"/>
        </w:rPr>
        <w:t>Как се прилага Stelara</w:t>
      </w:r>
    </w:p>
    <w:p w14:paraId="109ADDDB" w14:textId="77777777" w:rsidR="009B3384" w:rsidRDefault="00800862">
      <w:pPr>
        <w:tabs>
          <w:tab w:val="clear" w:pos="567"/>
          <w:tab w:val="left" w:pos="540"/>
        </w:tabs>
      </w:pPr>
      <w:r>
        <w:t xml:space="preserve">Първата доза Stelara за лечение на болест на Крон </w:t>
      </w:r>
      <w:r>
        <w:rPr>
          <w:bCs/>
        </w:rPr>
        <w:t>или улцерозен колит</w:t>
      </w:r>
      <w:r>
        <w:t xml:space="preserve"> се прилага от лекар капково във вена в ръката (интравенозна инфузия).</w:t>
      </w:r>
    </w:p>
    <w:p w14:paraId="109ADDDC" w14:textId="77777777" w:rsidR="009B3384" w:rsidRDefault="00800862">
      <w:pPr>
        <w:tabs>
          <w:tab w:val="clear" w:pos="567"/>
          <w:tab w:val="left" w:pos="540"/>
        </w:tabs>
        <w:rPr>
          <w:bCs/>
          <w:szCs w:val="22"/>
        </w:rPr>
      </w:pPr>
      <w:r>
        <w:rPr>
          <w:bCs/>
          <w:szCs w:val="22"/>
        </w:rPr>
        <w:t xml:space="preserve">Говорете с Вашия лекар, ако имате въпроси относно прилагането на </w:t>
      </w:r>
      <w:r>
        <w:rPr>
          <w:bCs/>
          <w:szCs w:val="22"/>
          <w:lang w:val="en-GB"/>
        </w:rPr>
        <w:t>Stelara</w:t>
      </w:r>
      <w:r>
        <w:rPr>
          <w:bCs/>
          <w:szCs w:val="22"/>
        </w:rPr>
        <w:t>.</w:t>
      </w:r>
    </w:p>
    <w:p w14:paraId="109ADDDD" w14:textId="77777777" w:rsidR="009B3384" w:rsidRDefault="009B3384">
      <w:pPr>
        <w:tabs>
          <w:tab w:val="clear" w:pos="567"/>
          <w:tab w:val="left" w:pos="540"/>
        </w:tabs>
        <w:rPr>
          <w:szCs w:val="22"/>
        </w:rPr>
      </w:pPr>
    </w:p>
    <w:p w14:paraId="109ADDDE" w14:textId="77777777" w:rsidR="009B3384" w:rsidRDefault="00800862">
      <w:pPr>
        <w:keepNext/>
        <w:rPr>
          <w:szCs w:val="22"/>
        </w:rPr>
      </w:pPr>
      <w:r>
        <w:rPr>
          <w:b/>
          <w:szCs w:val="22"/>
        </w:rPr>
        <w:t>Ако сте пропуснали да използвате Stelara</w:t>
      </w:r>
    </w:p>
    <w:p w14:paraId="109ADDDF" w14:textId="77777777" w:rsidR="009B3384" w:rsidRDefault="00800862">
      <w:pPr>
        <w:rPr>
          <w:szCs w:val="22"/>
        </w:rPr>
      </w:pPr>
      <w:r>
        <w:rPr>
          <w:szCs w:val="22"/>
        </w:rPr>
        <w:t>Ако сте забравили или сте пропуснали часа си за прилагане на доза, свържете се с Вашия лекар за планиране на нов час.</w:t>
      </w:r>
    </w:p>
    <w:p w14:paraId="109ADDE0" w14:textId="77777777" w:rsidR="009B3384" w:rsidRDefault="009B3384">
      <w:pPr>
        <w:rPr>
          <w:szCs w:val="22"/>
        </w:rPr>
      </w:pPr>
    </w:p>
    <w:p w14:paraId="109ADDE1" w14:textId="77777777" w:rsidR="009B3384" w:rsidRDefault="00800862">
      <w:pPr>
        <w:keepNext/>
        <w:rPr>
          <w:b/>
          <w:szCs w:val="22"/>
        </w:rPr>
      </w:pPr>
      <w:r>
        <w:rPr>
          <w:b/>
          <w:szCs w:val="22"/>
        </w:rPr>
        <w:lastRenderedPageBreak/>
        <w:t>Ако сте спрели употребата на Stelara</w:t>
      </w:r>
    </w:p>
    <w:p w14:paraId="109ADDE2" w14:textId="77777777" w:rsidR="009B3384" w:rsidRDefault="00800862">
      <w:pPr>
        <w:rPr>
          <w:szCs w:val="22"/>
        </w:rPr>
      </w:pPr>
      <w:r>
        <w:rPr>
          <w:szCs w:val="22"/>
        </w:rPr>
        <w:t>Не е опасно да спрете употребата на Stelara. Ако обаче я спрете, Вашите симптоми може да се възобновят.</w:t>
      </w:r>
    </w:p>
    <w:p w14:paraId="109ADDE3" w14:textId="77777777" w:rsidR="009B3384" w:rsidRDefault="009B3384">
      <w:pPr>
        <w:rPr>
          <w:szCs w:val="22"/>
        </w:rPr>
      </w:pPr>
    </w:p>
    <w:p w14:paraId="109ADDE4" w14:textId="77777777" w:rsidR="009B3384" w:rsidRDefault="00800862">
      <w:pPr>
        <w:rPr>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109ADDE5" w14:textId="77777777" w:rsidR="009B3384" w:rsidRDefault="009B3384">
      <w:pPr>
        <w:rPr>
          <w:szCs w:val="22"/>
        </w:rPr>
      </w:pPr>
    </w:p>
    <w:p w14:paraId="109ADDE6" w14:textId="77777777" w:rsidR="009B3384" w:rsidRDefault="009B3384">
      <w:pPr>
        <w:rPr>
          <w:szCs w:val="22"/>
        </w:rPr>
      </w:pPr>
    </w:p>
    <w:p w14:paraId="109ADDE7" w14:textId="77777777" w:rsidR="009B3384" w:rsidRDefault="00800862">
      <w:pPr>
        <w:keepNext/>
        <w:ind w:left="567" w:hanging="567"/>
        <w:outlineLvl w:val="2"/>
        <w:rPr>
          <w:b/>
          <w:bCs/>
          <w:szCs w:val="22"/>
        </w:rPr>
      </w:pPr>
      <w:r>
        <w:rPr>
          <w:b/>
          <w:bCs/>
          <w:szCs w:val="22"/>
        </w:rPr>
        <w:t>4.</w:t>
      </w:r>
      <w:r>
        <w:rPr>
          <w:b/>
          <w:bCs/>
          <w:szCs w:val="22"/>
        </w:rPr>
        <w:tab/>
        <w:t>Възможни нежелани реакции</w:t>
      </w:r>
    </w:p>
    <w:p w14:paraId="109ADDE8" w14:textId="77777777" w:rsidR="009B3384" w:rsidRDefault="009B3384">
      <w:pPr>
        <w:keepNext/>
        <w:rPr>
          <w:szCs w:val="22"/>
        </w:rPr>
      </w:pPr>
    </w:p>
    <w:p w14:paraId="109ADDE9" w14:textId="77777777" w:rsidR="009B3384" w:rsidRDefault="00800862">
      <w:pPr>
        <w:rPr>
          <w:szCs w:val="22"/>
        </w:rPr>
      </w:pPr>
      <w:r>
        <w:rPr>
          <w:szCs w:val="22"/>
        </w:rPr>
        <w:t>Както всички лекарства, това лекарство може да предизвика нежелани реакции, въпреки че не всеки ги получава.</w:t>
      </w:r>
    </w:p>
    <w:p w14:paraId="109ADDEA" w14:textId="77777777" w:rsidR="009B3384" w:rsidRDefault="009B3384">
      <w:pPr>
        <w:rPr>
          <w:szCs w:val="22"/>
        </w:rPr>
      </w:pPr>
    </w:p>
    <w:p w14:paraId="109ADDEB" w14:textId="77777777" w:rsidR="009B3384" w:rsidRDefault="00800862">
      <w:pPr>
        <w:keepNext/>
        <w:rPr>
          <w:b/>
          <w:szCs w:val="22"/>
        </w:rPr>
      </w:pPr>
      <w:r>
        <w:rPr>
          <w:b/>
          <w:szCs w:val="22"/>
        </w:rPr>
        <w:t>Сериозни нежелани реакции</w:t>
      </w:r>
    </w:p>
    <w:p w14:paraId="109ADDEC" w14:textId="77777777" w:rsidR="009B3384" w:rsidRDefault="00800862">
      <w:pPr>
        <w:rPr>
          <w:szCs w:val="22"/>
        </w:rPr>
      </w:pPr>
      <w:r>
        <w:rPr>
          <w:szCs w:val="22"/>
        </w:rPr>
        <w:t>Някои пациенти може да имат сериозни нежелани реакции, при които да се налага спешно лечение.</w:t>
      </w:r>
    </w:p>
    <w:p w14:paraId="109ADDED" w14:textId="77777777" w:rsidR="009B3384" w:rsidRDefault="009B3384">
      <w:pPr>
        <w:rPr>
          <w:szCs w:val="22"/>
        </w:rPr>
      </w:pPr>
    </w:p>
    <w:p w14:paraId="109ADDEE" w14:textId="77777777" w:rsidR="009B3384" w:rsidRDefault="00800862">
      <w:pPr>
        <w:keepNext/>
        <w:widowControl w:val="0"/>
        <w:tabs>
          <w:tab w:val="clear" w:pos="567"/>
        </w:tabs>
        <w:ind w:left="567"/>
        <w:rPr>
          <w:b/>
        </w:rPr>
      </w:pPr>
      <w:r>
        <w:rPr>
          <w:b/>
        </w:rPr>
        <w:t>Алергични реакции – може да изискват спешно лечение. Информирайте Вашия лекар или незабавно потърсете спешна медицинска помощ, ако забележите някой от следните признаци.</w:t>
      </w:r>
    </w:p>
    <w:p w14:paraId="109ADDEF" w14:textId="77777777" w:rsidR="009B3384" w:rsidRDefault="00800862">
      <w:pPr>
        <w:widowControl w:val="0"/>
        <w:numPr>
          <w:ilvl w:val="0"/>
          <w:numId w:val="31"/>
        </w:numPr>
        <w:tabs>
          <w:tab w:val="clear" w:pos="567"/>
          <w:tab w:val="left" w:pos="1134"/>
        </w:tabs>
        <w:ind w:left="1134" w:hanging="567"/>
      </w:pPr>
      <w:r>
        <w:t xml:space="preserve">Сериозните алергични реакции („анафилаксия”) са редки при хора, приемащи Stelara </w:t>
      </w:r>
      <w:r>
        <w:rPr>
          <w:bCs/>
        </w:rPr>
        <w:t>(може да засегнат до 1 на 1 000 души). Признаците включват:</w:t>
      </w:r>
    </w:p>
    <w:p w14:paraId="109ADDF0" w14:textId="77777777" w:rsidR="009B3384" w:rsidRDefault="00800862">
      <w:pPr>
        <w:numPr>
          <w:ilvl w:val="0"/>
          <w:numId w:val="28"/>
        </w:numPr>
        <w:ind w:left="1701" w:hanging="567"/>
      </w:pPr>
      <w:r>
        <w:t>затруднено дишане или преглъщане</w:t>
      </w:r>
    </w:p>
    <w:p w14:paraId="109ADDF1" w14:textId="77777777" w:rsidR="009B3384" w:rsidRDefault="00800862">
      <w:pPr>
        <w:numPr>
          <w:ilvl w:val="0"/>
          <w:numId w:val="28"/>
        </w:numPr>
        <w:ind w:left="1701" w:hanging="567"/>
      </w:pPr>
      <w:r>
        <w:t>ниско кръвно налягане, което може да причини замаяност или световъртеж</w:t>
      </w:r>
    </w:p>
    <w:p w14:paraId="109ADDF2" w14:textId="77777777" w:rsidR="009B3384" w:rsidRDefault="00800862">
      <w:pPr>
        <w:numPr>
          <w:ilvl w:val="0"/>
          <w:numId w:val="28"/>
        </w:numPr>
        <w:ind w:left="1701" w:hanging="567"/>
      </w:pPr>
      <w:r>
        <w:t>подуване на лицето, устните, устата или гърлото.</w:t>
      </w:r>
    </w:p>
    <w:p w14:paraId="109ADDF3" w14:textId="77777777" w:rsidR="009B3384" w:rsidRDefault="00800862">
      <w:pPr>
        <w:widowControl w:val="0"/>
        <w:numPr>
          <w:ilvl w:val="0"/>
          <w:numId w:val="31"/>
        </w:numPr>
        <w:tabs>
          <w:tab w:val="clear" w:pos="567"/>
          <w:tab w:val="left" w:pos="1134"/>
        </w:tabs>
        <w:ind w:left="1134" w:hanging="567"/>
      </w:pPr>
      <w:r>
        <w:t>Честите признаци на алергична реакция включват кожен обрив и уртикария (може да засегнат до 1 на 100 души).</w:t>
      </w:r>
    </w:p>
    <w:p w14:paraId="109ADDF4" w14:textId="77777777" w:rsidR="009B3384" w:rsidRDefault="009B3384"/>
    <w:p w14:paraId="109ADDF5" w14:textId="77777777" w:rsidR="009B3384" w:rsidRDefault="00800862">
      <w:pPr>
        <w:keepNext/>
        <w:widowControl w:val="0"/>
        <w:ind w:left="567"/>
        <w:rPr>
          <w:b/>
        </w:rPr>
      </w:pPr>
      <w:r>
        <w:rPr>
          <w:b/>
        </w:rPr>
        <w:t>Реакции, свързани с инфузията – ако се лекувате за болестта на Крон или за улцерозен колит, първата доза на Stelara ще се приложи капково във вена (интравенозна инфузия). Някои пациенти получават сериозни алергични реакции по време на инфузията.</w:t>
      </w:r>
    </w:p>
    <w:p w14:paraId="109ADDF6" w14:textId="77777777" w:rsidR="009B3384" w:rsidRDefault="009B3384"/>
    <w:p w14:paraId="109ADDF7" w14:textId="77777777" w:rsidR="009B3384" w:rsidRDefault="00800862">
      <w:pPr>
        <w:tabs>
          <w:tab w:val="clear" w:pos="567"/>
          <w:tab w:val="left" w:pos="630"/>
        </w:tabs>
        <w:ind w:left="567"/>
        <w:rPr>
          <w:b/>
        </w:rPr>
      </w:pPr>
      <w:r>
        <w:rPr>
          <w:b/>
        </w:rPr>
        <w:t>В редки случаи се съобщават алергични белодробни реакции и белодробно възпаление при пациенти, които получават устекинумаб. Уведомете веднага Вашия лекар, ако получите симптоми като кашлица, задух и висока температура.</w:t>
      </w:r>
    </w:p>
    <w:p w14:paraId="109ADDF8" w14:textId="77777777" w:rsidR="009B3384" w:rsidRDefault="009B3384"/>
    <w:p w14:paraId="109ADDF9" w14:textId="77777777" w:rsidR="009B3384" w:rsidRDefault="00800862">
      <w:pPr>
        <w:keepNext/>
        <w:widowControl w:val="0"/>
        <w:ind w:left="567"/>
      </w:pPr>
      <w:r>
        <w:t>Ако получите сериозна алергична реакция, Вашият лекар може да реши, че Вие не трябва да употребявате Stelara отново.</w:t>
      </w:r>
    </w:p>
    <w:p w14:paraId="109ADDFA" w14:textId="77777777" w:rsidR="009B3384" w:rsidRDefault="009B3384"/>
    <w:p w14:paraId="109ADDFB" w14:textId="77777777" w:rsidR="009B3384" w:rsidRDefault="00800862">
      <w:pPr>
        <w:keepNext/>
        <w:widowControl w:val="0"/>
        <w:ind w:left="567"/>
        <w:rPr>
          <w:b/>
        </w:rPr>
      </w:pPr>
      <w:r>
        <w:rPr>
          <w:b/>
        </w:rPr>
        <w:t>Инфекции – може да изискват спешно лечение. Информирайте Вашия лекар, ако забележите някой от следните признаци.</w:t>
      </w:r>
    </w:p>
    <w:p w14:paraId="109ADDFC" w14:textId="77777777" w:rsidR="009B3384" w:rsidRDefault="00800862">
      <w:pPr>
        <w:numPr>
          <w:ilvl w:val="0"/>
          <w:numId w:val="31"/>
        </w:numPr>
        <w:tabs>
          <w:tab w:val="clear" w:pos="567"/>
          <w:tab w:val="left" w:pos="1134"/>
        </w:tabs>
        <w:ind w:left="1134" w:hanging="567"/>
      </w:pPr>
      <w:r>
        <w:t>инфекциите на носа или гърлото и простудата са чести (може да засегнат до 1 на 10 души)</w:t>
      </w:r>
    </w:p>
    <w:p w14:paraId="109ADDFD" w14:textId="77777777" w:rsidR="009B3384" w:rsidRDefault="00800862">
      <w:pPr>
        <w:numPr>
          <w:ilvl w:val="0"/>
          <w:numId w:val="31"/>
        </w:numPr>
        <w:tabs>
          <w:tab w:val="clear" w:pos="567"/>
          <w:tab w:val="left" w:pos="1134"/>
        </w:tabs>
        <w:ind w:left="1134" w:hanging="567"/>
      </w:pPr>
      <w:r>
        <w:t>инфекциите на долните дихателни пътища (гръдни инфекции) са нечести (може да засегнат до 1 на 100 души)</w:t>
      </w:r>
    </w:p>
    <w:p w14:paraId="109ADDFE" w14:textId="77777777" w:rsidR="009B3384" w:rsidRDefault="00800862">
      <w:pPr>
        <w:numPr>
          <w:ilvl w:val="0"/>
          <w:numId w:val="31"/>
        </w:numPr>
        <w:tabs>
          <w:tab w:val="clear" w:pos="567"/>
          <w:tab w:val="left" w:pos="1134"/>
        </w:tabs>
        <w:ind w:left="1134" w:hanging="567"/>
      </w:pPr>
      <w:r>
        <w:t>възпалението на подкожната тъкан (целулит) е нечесто (може да засегне до 1 на 100 души)</w:t>
      </w:r>
    </w:p>
    <w:p w14:paraId="109ADDFF" w14:textId="77777777" w:rsidR="009B3384" w:rsidRDefault="00800862">
      <w:pPr>
        <w:numPr>
          <w:ilvl w:val="0"/>
          <w:numId w:val="31"/>
        </w:numPr>
        <w:tabs>
          <w:tab w:val="clear" w:pos="567"/>
          <w:tab w:val="left" w:pos="1134"/>
        </w:tabs>
        <w:ind w:left="1134" w:hanging="567"/>
      </w:pPr>
      <w:r>
        <w:t>херпесите (вид болезнен обрив с мехури) са нечести (може да засегнат до 1 на 100</w:t>
      </w:r>
      <w:r>
        <w:rPr>
          <w:lang w:val="en-US"/>
        </w:rPr>
        <w:t> </w:t>
      </w:r>
      <w:r>
        <w:t>души)</w:t>
      </w:r>
    </w:p>
    <w:p w14:paraId="109ADE00" w14:textId="77777777" w:rsidR="009B3384" w:rsidRDefault="009B3384"/>
    <w:p w14:paraId="109ADE01" w14:textId="77777777" w:rsidR="009B3384" w:rsidRDefault="00800862">
      <w:pPr>
        <w:ind w:left="567"/>
      </w:pPr>
      <w:r>
        <w:t>Stelara може да намали способността Ви да се борите с инфекции. Някои инфекции може да станат сериозни и може да включват инфекции, причинени от вируси, гъбички, бактерии (включително туберкулоза) или паразити, включително инфекции, които възникват предимно при хора с отслабена имунна система (опортюнистични инфекции). При пациенти, получаващи устекинумаб, се съобщават опортюнистични инфекции на мозъка (енцефалит, менингит), белите дробове и очите.</w:t>
      </w:r>
    </w:p>
    <w:p w14:paraId="109ADE02" w14:textId="77777777" w:rsidR="009B3384" w:rsidRDefault="009B3384"/>
    <w:p w14:paraId="109ADE03" w14:textId="77777777" w:rsidR="009B3384" w:rsidRDefault="00800862">
      <w:pPr>
        <w:keepNext/>
        <w:ind w:left="567"/>
      </w:pPr>
      <w:r>
        <w:t>Докато употребявате Stelara, трябва да следите за признаци на инфекция. Те включват:</w:t>
      </w:r>
    </w:p>
    <w:p w14:paraId="109ADE04" w14:textId="77777777" w:rsidR="009B3384" w:rsidRDefault="00800862">
      <w:pPr>
        <w:numPr>
          <w:ilvl w:val="0"/>
          <w:numId w:val="31"/>
        </w:numPr>
        <w:tabs>
          <w:tab w:val="clear" w:pos="567"/>
          <w:tab w:val="left" w:pos="1134"/>
        </w:tabs>
        <w:ind w:left="1134" w:hanging="567"/>
      </w:pPr>
      <w:r>
        <w:t>висока температура, грипоподобни симптоми, нощно потене, загуба на тегло</w:t>
      </w:r>
    </w:p>
    <w:p w14:paraId="109ADE05" w14:textId="77777777" w:rsidR="009B3384" w:rsidRDefault="00800862">
      <w:pPr>
        <w:numPr>
          <w:ilvl w:val="0"/>
          <w:numId w:val="31"/>
        </w:numPr>
        <w:tabs>
          <w:tab w:val="clear" w:pos="567"/>
          <w:tab w:val="left" w:pos="1134"/>
        </w:tabs>
        <w:ind w:left="1134" w:hanging="567"/>
      </w:pPr>
      <w:r>
        <w:t>умора или задух, упорита кашлица</w:t>
      </w:r>
    </w:p>
    <w:p w14:paraId="109ADE06" w14:textId="77777777" w:rsidR="009B3384" w:rsidRDefault="00800862">
      <w:pPr>
        <w:numPr>
          <w:ilvl w:val="0"/>
          <w:numId w:val="31"/>
        </w:numPr>
        <w:tabs>
          <w:tab w:val="clear" w:pos="567"/>
          <w:tab w:val="left" w:pos="1134"/>
        </w:tabs>
        <w:ind w:left="1134" w:hanging="567"/>
      </w:pPr>
      <w:r>
        <w:t>топла, зачервена и болезнена кожа или болезнен кожен обрив с мехури</w:t>
      </w:r>
    </w:p>
    <w:p w14:paraId="109ADE07" w14:textId="77777777" w:rsidR="009B3384" w:rsidRDefault="00800862">
      <w:pPr>
        <w:numPr>
          <w:ilvl w:val="0"/>
          <w:numId w:val="31"/>
        </w:numPr>
        <w:tabs>
          <w:tab w:val="clear" w:pos="567"/>
          <w:tab w:val="left" w:pos="1134"/>
        </w:tabs>
        <w:ind w:left="1134" w:hanging="567"/>
      </w:pPr>
      <w:r>
        <w:t>парене при уриниране</w:t>
      </w:r>
    </w:p>
    <w:p w14:paraId="109ADE08" w14:textId="77777777" w:rsidR="009B3384" w:rsidRDefault="00800862">
      <w:pPr>
        <w:numPr>
          <w:ilvl w:val="0"/>
          <w:numId w:val="31"/>
        </w:numPr>
        <w:tabs>
          <w:tab w:val="clear" w:pos="567"/>
          <w:tab w:val="left" w:pos="1134"/>
        </w:tabs>
        <w:ind w:left="1134" w:hanging="567"/>
      </w:pPr>
      <w:r>
        <w:t>диария</w:t>
      </w:r>
    </w:p>
    <w:p w14:paraId="109ADE09" w14:textId="77777777" w:rsidR="009B3384" w:rsidRDefault="00800862">
      <w:pPr>
        <w:numPr>
          <w:ilvl w:val="0"/>
          <w:numId w:val="31"/>
        </w:numPr>
        <w:tabs>
          <w:tab w:val="clear" w:pos="567"/>
          <w:tab w:val="left" w:pos="1134"/>
        </w:tabs>
        <w:ind w:left="1134" w:hanging="567"/>
      </w:pPr>
      <w:r>
        <w:t>зрително смущение или загуба на зрение</w:t>
      </w:r>
    </w:p>
    <w:p w14:paraId="109ADE0A" w14:textId="77777777" w:rsidR="009B3384" w:rsidRDefault="00800862">
      <w:pPr>
        <w:numPr>
          <w:ilvl w:val="0"/>
          <w:numId w:val="31"/>
        </w:numPr>
        <w:tabs>
          <w:tab w:val="clear" w:pos="567"/>
          <w:tab w:val="left" w:pos="1134"/>
        </w:tabs>
        <w:ind w:left="1134" w:hanging="567"/>
      </w:pPr>
      <w:r>
        <w:t>главоболие, скованост на врата, чувствителност към светлина, гадене или обърканост.</w:t>
      </w:r>
    </w:p>
    <w:p w14:paraId="109ADE0B" w14:textId="77777777" w:rsidR="009B3384" w:rsidRDefault="009B3384"/>
    <w:p w14:paraId="109ADE0C" w14:textId="77777777" w:rsidR="009B3384" w:rsidRDefault="00800862">
      <w:pPr>
        <w:keepNext/>
        <w:widowControl w:val="0"/>
        <w:ind w:left="567"/>
      </w:pPr>
      <w:r>
        <w:t>Информирайте Вашия лекар веднага, ако забележите някой от тези признаци на инфекция. Те могат да бъдат признаци на инфекции като гръдни инфекции, кожни инфекции, херпес зостер или опортюнистични инфекции, които могат да доведат до сериозни усложнения. Информирайте Вашия лекар, ако имате някаква упорита или повтаряща се инфекция. Вашият лекар може да реши, че не трябва да употребявате Stelara, докато инфекцията не бъде излекувана. Уведомете Вашия лекар, и ако имате отворени рани или наранявания, тъй като може да се инфектират.</w:t>
      </w:r>
    </w:p>
    <w:p w14:paraId="109ADE0D" w14:textId="77777777" w:rsidR="009B3384" w:rsidRDefault="009B3384"/>
    <w:p w14:paraId="109ADE0E" w14:textId="77777777" w:rsidR="009B3384" w:rsidRDefault="00800862">
      <w:pPr>
        <w:widowControl w:val="0"/>
        <w:ind w:left="567"/>
        <w:rPr>
          <w:b/>
        </w:rPr>
      </w:pPr>
      <w:r>
        <w:rPr>
          <w:b/>
        </w:rPr>
        <w:t>Лющене на кожата – интензивното зачервяване и лющене на кожата на по-голяма площ по тялото може да са симптоми на еритродермичен псориазис или ексфолиативен дерматит, които са сериозни кожни заболявания. Ако забележите някой от тези признаци, трябва да информирате Вашия лекар незабавно.</w:t>
      </w:r>
    </w:p>
    <w:p w14:paraId="109ADE0F" w14:textId="77777777" w:rsidR="009B3384" w:rsidRDefault="009B3384">
      <w:pPr>
        <w:widowControl w:val="0"/>
      </w:pPr>
    </w:p>
    <w:p w14:paraId="109ADE10" w14:textId="77777777" w:rsidR="009B3384" w:rsidRDefault="00800862">
      <w:pPr>
        <w:keepNext/>
        <w:rPr>
          <w:b/>
          <w:szCs w:val="22"/>
        </w:rPr>
      </w:pPr>
      <w:r>
        <w:rPr>
          <w:b/>
          <w:szCs w:val="22"/>
        </w:rPr>
        <w:t>Други нежелани реакции</w:t>
      </w:r>
    </w:p>
    <w:p w14:paraId="109ADE11" w14:textId="77777777" w:rsidR="009B3384" w:rsidRDefault="009B3384">
      <w:pPr>
        <w:keepNext/>
        <w:rPr>
          <w:szCs w:val="22"/>
        </w:rPr>
      </w:pPr>
    </w:p>
    <w:p w14:paraId="109ADE12" w14:textId="77777777" w:rsidR="009B3384" w:rsidRDefault="00800862">
      <w:pPr>
        <w:keepNext/>
        <w:ind w:left="567"/>
        <w:rPr>
          <w:szCs w:val="22"/>
        </w:rPr>
      </w:pPr>
      <w:r>
        <w:rPr>
          <w:b/>
          <w:bCs/>
          <w:szCs w:val="22"/>
        </w:rPr>
        <w:t xml:space="preserve">Чести нежелани реакции </w:t>
      </w:r>
      <w:r>
        <w:rPr>
          <w:bCs/>
          <w:szCs w:val="22"/>
        </w:rPr>
        <w:t>(може да засегнат до 1 на 10 души)</w:t>
      </w:r>
      <w:r>
        <w:rPr>
          <w:b/>
          <w:szCs w:val="22"/>
        </w:rPr>
        <w:t>:</w:t>
      </w:r>
    </w:p>
    <w:p w14:paraId="109ADE13" w14:textId="77777777" w:rsidR="009B3384" w:rsidRDefault="00800862">
      <w:pPr>
        <w:numPr>
          <w:ilvl w:val="0"/>
          <w:numId w:val="31"/>
        </w:numPr>
        <w:tabs>
          <w:tab w:val="clear" w:pos="567"/>
          <w:tab w:val="left" w:pos="1134"/>
        </w:tabs>
        <w:ind w:left="1134" w:hanging="567"/>
      </w:pPr>
      <w:r>
        <w:t>диария</w:t>
      </w:r>
    </w:p>
    <w:p w14:paraId="109ADE14" w14:textId="77777777" w:rsidR="009B3384" w:rsidRDefault="00800862">
      <w:pPr>
        <w:numPr>
          <w:ilvl w:val="0"/>
          <w:numId w:val="31"/>
        </w:numPr>
        <w:tabs>
          <w:tab w:val="clear" w:pos="567"/>
          <w:tab w:val="left" w:pos="1134"/>
        </w:tabs>
        <w:ind w:left="1134" w:hanging="567"/>
      </w:pPr>
      <w:r>
        <w:t>гадене</w:t>
      </w:r>
    </w:p>
    <w:p w14:paraId="109ADE15" w14:textId="77777777" w:rsidR="009B3384" w:rsidRDefault="00800862">
      <w:pPr>
        <w:numPr>
          <w:ilvl w:val="0"/>
          <w:numId w:val="31"/>
        </w:numPr>
        <w:tabs>
          <w:tab w:val="clear" w:pos="567"/>
          <w:tab w:val="left" w:pos="1134"/>
        </w:tabs>
        <w:ind w:left="1134" w:hanging="567"/>
      </w:pPr>
      <w:r>
        <w:t>повръщане</w:t>
      </w:r>
    </w:p>
    <w:p w14:paraId="109ADE16" w14:textId="77777777" w:rsidR="009B3384" w:rsidRDefault="00800862">
      <w:pPr>
        <w:numPr>
          <w:ilvl w:val="0"/>
          <w:numId w:val="31"/>
        </w:numPr>
        <w:tabs>
          <w:tab w:val="clear" w:pos="567"/>
          <w:tab w:val="left" w:pos="1134"/>
        </w:tabs>
        <w:ind w:left="1134" w:hanging="567"/>
      </w:pPr>
      <w:r>
        <w:t>умора</w:t>
      </w:r>
    </w:p>
    <w:p w14:paraId="109ADE17" w14:textId="77777777" w:rsidR="009B3384" w:rsidRDefault="00800862">
      <w:pPr>
        <w:numPr>
          <w:ilvl w:val="0"/>
          <w:numId w:val="31"/>
        </w:numPr>
        <w:tabs>
          <w:tab w:val="clear" w:pos="567"/>
          <w:tab w:val="left" w:pos="1134"/>
        </w:tabs>
        <w:ind w:left="1134" w:hanging="567"/>
      </w:pPr>
      <w:r>
        <w:t>замаяност</w:t>
      </w:r>
    </w:p>
    <w:p w14:paraId="109ADE18" w14:textId="77777777" w:rsidR="009B3384" w:rsidRDefault="00800862">
      <w:pPr>
        <w:numPr>
          <w:ilvl w:val="0"/>
          <w:numId w:val="31"/>
        </w:numPr>
        <w:tabs>
          <w:tab w:val="clear" w:pos="567"/>
          <w:tab w:val="left" w:pos="1134"/>
        </w:tabs>
        <w:ind w:left="1134" w:hanging="567"/>
      </w:pPr>
      <w:r>
        <w:t>главоболие</w:t>
      </w:r>
    </w:p>
    <w:p w14:paraId="109ADE19" w14:textId="77777777" w:rsidR="009B3384" w:rsidRDefault="00800862">
      <w:pPr>
        <w:numPr>
          <w:ilvl w:val="0"/>
          <w:numId w:val="31"/>
        </w:numPr>
        <w:tabs>
          <w:tab w:val="clear" w:pos="567"/>
          <w:tab w:val="left" w:pos="1134"/>
        </w:tabs>
        <w:ind w:left="1134" w:hanging="567"/>
      </w:pPr>
      <w:r>
        <w:t>сърбеж (пруритус)</w:t>
      </w:r>
    </w:p>
    <w:p w14:paraId="109ADE1A" w14:textId="77777777" w:rsidR="009B3384" w:rsidRDefault="00800862">
      <w:pPr>
        <w:numPr>
          <w:ilvl w:val="0"/>
          <w:numId w:val="31"/>
        </w:numPr>
        <w:tabs>
          <w:tab w:val="clear" w:pos="567"/>
          <w:tab w:val="left" w:pos="1134"/>
        </w:tabs>
        <w:ind w:left="1134" w:hanging="567"/>
      </w:pPr>
      <w:r>
        <w:t>болка в гърба, мускулите или ставите</w:t>
      </w:r>
    </w:p>
    <w:p w14:paraId="109ADE1B" w14:textId="77777777" w:rsidR="009B3384" w:rsidRDefault="00800862">
      <w:pPr>
        <w:numPr>
          <w:ilvl w:val="0"/>
          <w:numId w:val="31"/>
        </w:numPr>
        <w:tabs>
          <w:tab w:val="clear" w:pos="567"/>
          <w:tab w:val="left" w:pos="1134"/>
        </w:tabs>
        <w:ind w:left="1134" w:hanging="567"/>
      </w:pPr>
      <w:r>
        <w:t>възпалено гърло</w:t>
      </w:r>
    </w:p>
    <w:p w14:paraId="109ADE1C" w14:textId="77777777" w:rsidR="009B3384" w:rsidRDefault="00800862">
      <w:pPr>
        <w:numPr>
          <w:ilvl w:val="0"/>
          <w:numId w:val="31"/>
        </w:numPr>
        <w:tabs>
          <w:tab w:val="clear" w:pos="567"/>
          <w:tab w:val="left" w:pos="1134"/>
        </w:tabs>
        <w:ind w:left="1134" w:hanging="567"/>
      </w:pPr>
      <w:r>
        <w:t>зачервяване и болка на мястото на инжектиране</w:t>
      </w:r>
    </w:p>
    <w:p w14:paraId="109ADE1D" w14:textId="77777777" w:rsidR="009B3384" w:rsidRDefault="00800862">
      <w:pPr>
        <w:numPr>
          <w:ilvl w:val="0"/>
          <w:numId w:val="31"/>
        </w:numPr>
        <w:tabs>
          <w:tab w:val="clear" w:pos="567"/>
          <w:tab w:val="left" w:pos="1134"/>
        </w:tabs>
        <w:ind w:left="1134" w:hanging="567"/>
      </w:pPr>
      <w:r>
        <w:t>инфекция на синусите</w:t>
      </w:r>
    </w:p>
    <w:p w14:paraId="109ADE1E" w14:textId="77777777" w:rsidR="009B3384" w:rsidRDefault="009B3384"/>
    <w:p w14:paraId="109ADE1F" w14:textId="77777777" w:rsidR="009B3384" w:rsidRDefault="00800862">
      <w:pPr>
        <w:keepNext/>
        <w:ind w:left="567"/>
        <w:rPr>
          <w:b/>
          <w:szCs w:val="22"/>
        </w:rPr>
      </w:pPr>
      <w:r>
        <w:rPr>
          <w:b/>
          <w:bCs/>
          <w:szCs w:val="22"/>
        </w:rPr>
        <w:t xml:space="preserve">Нечести нежелани реакции </w:t>
      </w:r>
      <w:r>
        <w:rPr>
          <w:bCs/>
          <w:szCs w:val="22"/>
        </w:rPr>
        <w:t>(може да засегнат до 1 на 100 души)</w:t>
      </w:r>
      <w:r>
        <w:rPr>
          <w:b/>
          <w:szCs w:val="22"/>
        </w:rPr>
        <w:t>:</w:t>
      </w:r>
    </w:p>
    <w:p w14:paraId="109ADE20" w14:textId="77777777" w:rsidR="009B3384" w:rsidRDefault="00800862">
      <w:pPr>
        <w:numPr>
          <w:ilvl w:val="0"/>
          <w:numId w:val="31"/>
        </w:numPr>
        <w:tabs>
          <w:tab w:val="clear" w:pos="567"/>
          <w:tab w:val="left" w:pos="1134"/>
        </w:tabs>
        <w:ind w:left="1134" w:hanging="567"/>
      </w:pPr>
      <w:r>
        <w:t>инфекции на зъбите</w:t>
      </w:r>
    </w:p>
    <w:p w14:paraId="109ADE21" w14:textId="77777777" w:rsidR="009B3384" w:rsidRDefault="00800862">
      <w:pPr>
        <w:numPr>
          <w:ilvl w:val="0"/>
          <w:numId w:val="31"/>
        </w:numPr>
        <w:tabs>
          <w:tab w:val="clear" w:pos="567"/>
          <w:tab w:val="left" w:pos="1134"/>
        </w:tabs>
        <w:ind w:left="1134" w:hanging="567"/>
      </w:pPr>
      <w:r>
        <w:t>вагинална инфекция, причинена от гъбички</w:t>
      </w:r>
    </w:p>
    <w:p w14:paraId="109ADE22" w14:textId="77777777" w:rsidR="009B3384" w:rsidRDefault="00800862">
      <w:pPr>
        <w:numPr>
          <w:ilvl w:val="0"/>
          <w:numId w:val="31"/>
        </w:numPr>
        <w:tabs>
          <w:tab w:val="clear" w:pos="567"/>
          <w:tab w:val="left" w:pos="1134"/>
        </w:tabs>
        <w:ind w:left="1134" w:hanging="567"/>
        <w:rPr>
          <w:szCs w:val="22"/>
        </w:rPr>
      </w:pPr>
      <w:r>
        <w:rPr>
          <w:szCs w:val="22"/>
        </w:rPr>
        <w:t>депресия</w:t>
      </w:r>
    </w:p>
    <w:p w14:paraId="109ADE23" w14:textId="77777777" w:rsidR="009B3384" w:rsidRDefault="00800862">
      <w:pPr>
        <w:numPr>
          <w:ilvl w:val="0"/>
          <w:numId w:val="31"/>
        </w:numPr>
        <w:tabs>
          <w:tab w:val="clear" w:pos="567"/>
          <w:tab w:val="left" w:pos="1134"/>
        </w:tabs>
        <w:ind w:left="1134" w:hanging="567"/>
        <w:rPr>
          <w:szCs w:val="22"/>
        </w:rPr>
      </w:pPr>
      <w:r>
        <w:rPr>
          <w:szCs w:val="22"/>
        </w:rPr>
        <w:t>запушен нос или хрема</w:t>
      </w:r>
    </w:p>
    <w:p w14:paraId="109ADE24" w14:textId="77777777" w:rsidR="009B3384" w:rsidRDefault="00800862">
      <w:pPr>
        <w:numPr>
          <w:ilvl w:val="0"/>
          <w:numId w:val="31"/>
        </w:numPr>
        <w:tabs>
          <w:tab w:val="clear" w:pos="567"/>
          <w:tab w:val="left" w:pos="1134"/>
        </w:tabs>
        <w:ind w:left="1134" w:hanging="567"/>
        <w:rPr>
          <w:szCs w:val="22"/>
        </w:rPr>
      </w:pPr>
      <w:r>
        <w:rPr>
          <w:bCs/>
          <w:szCs w:val="22"/>
        </w:rPr>
        <w:t xml:space="preserve">кървене, посиняване, втвърдяване, подуване, сърбеж, </w:t>
      </w:r>
      <w:r>
        <w:t xml:space="preserve">зачервяване и болка </w:t>
      </w:r>
      <w:r>
        <w:rPr>
          <w:bCs/>
          <w:szCs w:val="22"/>
        </w:rPr>
        <w:t>на мястото на инжектиране</w:t>
      </w:r>
    </w:p>
    <w:p w14:paraId="109ADE25" w14:textId="77777777" w:rsidR="009B3384" w:rsidRDefault="00800862">
      <w:pPr>
        <w:numPr>
          <w:ilvl w:val="0"/>
          <w:numId w:val="31"/>
        </w:numPr>
        <w:tabs>
          <w:tab w:val="clear" w:pos="567"/>
          <w:tab w:val="left" w:pos="1134"/>
        </w:tabs>
        <w:ind w:left="1134" w:hanging="567"/>
        <w:rPr>
          <w:szCs w:val="22"/>
        </w:rPr>
      </w:pPr>
      <w:r>
        <w:rPr>
          <w:bCs/>
          <w:szCs w:val="22"/>
        </w:rPr>
        <w:t>усещане за слабост</w:t>
      </w:r>
    </w:p>
    <w:p w14:paraId="109ADE26" w14:textId="77777777" w:rsidR="009B3384" w:rsidRDefault="00800862">
      <w:pPr>
        <w:numPr>
          <w:ilvl w:val="0"/>
          <w:numId w:val="31"/>
        </w:numPr>
        <w:tabs>
          <w:tab w:val="clear" w:pos="567"/>
          <w:tab w:val="left" w:pos="1134"/>
        </w:tabs>
        <w:ind w:left="1134" w:hanging="567"/>
        <w:rPr>
          <w:szCs w:val="22"/>
        </w:rPr>
      </w:pPr>
      <w:r>
        <w:rPr>
          <w:szCs w:val="22"/>
        </w:rPr>
        <w:t>спадане на клепача и изкривяване на мускулите на едната половина на лицето („лицева парализа”</w:t>
      </w:r>
      <w:r>
        <w:t xml:space="preserve"> или „парализа на Бел”), която обикновено е временна</w:t>
      </w:r>
    </w:p>
    <w:p w14:paraId="109ADE27" w14:textId="77777777" w:rsidR="009B3384" w:rsidRDefault="00800862">
      <w:pPr>
        <w:numPr>
          <w:ilvl w:val="0"/>
          <w:numId w:val="31"/>
        </w:numPr>
        <w:tabs>
          <w:tab w:val="clear" w:pos="567"/>
          <w:tab w:val="left" w:pos="1134"/>
        </w:tabs>
        <w:ind w:left="1134" w:hanging="567"/>
        <w:rPr>
          <w:szCs w:val="22"/>
        </w:rPr>
      </w:pPr>
      <w:r>
        <w:rPr>
          <w:szCs w:val="22"/>
        </w:rPr>
        <w:t>промяна на псориазиса със зачервяване и нови малки, жълти или бели мехури по кожата, понякога придружени с температура (пустулозен псориазис)</w:t>
      </w:r>
    </w:p>
    <w:p w14:paraId="109ADE28" w14:textId="77777777" w:rsidR="009B3384" w:rsidRDefault="00800862">
      <w:pPr>
        <w:numPr>
          <w:ilvl w:val="0"/>
          <w:numId w:val="31"/>
        </w:numPr>
        <w:tabs>
          <w:tab w:val="clear" w:pos="567"/>
          <w:tab w:val="left" w:pos="1134"/>
        </w:tabs>
        <w:ind w:left="1134" w:hanging="567"/>
        <w:rPr>
          <w:szCs w:val="22"/>
        </w:rPr>
      </w:pPr>
      <w:r>
        <w:rPr>
          <w:szCs w:val="22"/>
        </w:rPr>
        <w:t>белене на кожата (ексфолиация на кожата)</w:t>
      </w:r>
    </w:p>
    <w:p w14:paraId="109ADE29" w14:textId="77777777" w:rsidR="009B3384" w:rsidRDefault="00800862">
      <w:pPr>
        <w:numPr>
          <w:ilvl w:val="0"/>
          <w:numId w:val="31"/>
        </w:numPr>
        <w:tabs>
          <w:tab w:val="clear" w:pos="567"/>
          <w:tab w:val="left" w:pos="1134"/>
        </w:tabs>
        <w:ind w:left="1134" w:hanging="567"/>
        <w:rPr>
          <w:szCs w:val="22"/>
        </w:rPr>
      </w:pPr>
      <w:r>
        <w:rPr>
          <w:szCs w:val="22"/>
        </w:rPr>
        <w:t>акне</w:t>
      </w:r>
    </w:p>
    <w:p w14:paraId="109ADE2A" w14:textId="77777777" w:rsidR="009B3384" w:rsidRDefault="009B3384">
      <w:pPr>
        <w:rPr>
          <w:szCs w:val="22"/>
        </w:rPr>
      </w:pPr>
    </w:p>
    <w:p w14:paraId="109ADE2B" w14:textId="77777777" w:rsidR="009B3384" w:rsidRDefault="00800862">
      <w:pPr>
        <w:keepNext/>
        <w:ind w:left="567"/>
      </w:pPr>
      <w:r>
        <w:rPr>
          <w:b/>
        </w:rPr>
        <w:lastRenderedPageBreak/>
        <w:t xml:space="preserve">Редки нежелани лекарствени реакции </w:t>
      </w:r>
      <w:r>
        <w:t>(може да засегнат до 1 на 1</w:t>
      </w:r>
      <w:r>
        <w:rPr>
          <w:lang w:val="nl-BE"/>
        </w:rPr>
        <w:t> </w:t>
      </w:r>
      <w:r>
        <w:t>000</w:t>
      </w:r>
      <w:r>
        <w:rPr>
          <w:lang w:val="en-US"/>
        </w:rPr>
        <w:t> </w:t>
      </w:r>
      <w:r>
        <w:t>души)</w:t>
      </w:r>
    </w:p>
    <w:p w14:paraId="109ADE2C" w14:textId="77777777" w:rsidR="009B3384" w:rsidRDefault="00800862">
      <w:pPr>
        <w:numPr>
          <w:ilvl w:val="0"/>
          <w:numId w:val="31"/>
        </w:numPr>
        <w:tabs>
          <w:tab w:val="clear" w:pos="567"/>
          <w:tab w:val="left" w:pos="1134"/>
        </w:tabs>
        <w:ind w:left="1134" w:hanging="567"/>
      </w:pPr>
      <w:r>
        <w:t>Зачервяване и лющене на кожата на по-голяма площ по тялото, които може да сърбят или да са болезнени (ексфолиативен дерматит). Подобни симптоми понякога се развиват като естествена промяна на вида на симптоми на псориазис (еритродермичен псориазис)</w:t>
      </w:r>
      <w:bookmarkStart w:id="1315" w:name="_Hlk57642832"/>
    </w:p>
    <w:p w14:paraId="109ADE2D" w14:textId="77777777" w:rsidR="009B3384" w:rsidRDefault="00800862">
      <w:pPr>
        <w:numPr>
          <w:ilvl w:val="0"/>
          <w:numId w:val="31"/>
        </w:numPr>
        <w:tabs>
          <w:tab w:val="clear" w:pos="567"/>
          <w:tab w:val="left" w:pos="1134"/>
        </w:tabs>
        <w:ind w:left="1134" w:hanging="567"/>
      </w:pPr>
      <w:r>
        <w:t>Възпаление на малките кръвоносни съдове, което може да доведе до кожен обрив с малки червени или лилави подутини, температура или болка в ставите (васкулит).</w:t>
      </w:r>
      <w:bookmarkEnd w:id="1315"/>
    </w:p>
    <w:p w14:paraId="109ADE2E" w14:textId="77777777" w:rsidR="009B3384" w:rsidRDefault="009B3384">
      <w:pPr>
        <w:rPr>
          <w:szCs w:val="22"/>
        </w:rPr>
      </w:pPr>
    </w:p>
    <w:p w14:paraId="109ADE2F" w14:textId="77777777" w:rsidR="009B3384" w:rsidRDefault="00800862">
      <w:pPr>
        <w:keepNext/>
        <w:ind w:left="567"/>
      </w:pPr>
      <w:r>
        <w:rPr>
          <w:b/>
          <w:szCs w:val="22"/>
        </w:rPr>
        <w:t>Много редки</w:t>
      </w:r>
      <w:r>
        <w:rPr>
          <w:szCs w:val="22"/>
        </w:rPr>
        <w:t xml:space="preserve"> </w:t>
      </w:r>
      <w:r>
        <w:rPr>
          <w:b/>
        </w:rPr>
        <w:t xml:space="preserve">нежелани лекарствени реакции </w:t>
      </w:r>
      <w:r>
        <w:t>(може да засегнат до 1 на 10</w:t>
      </w:r>
      <w:r>
        <w:rPr>
          <w:lang w:val="nl-BE"/>
        </w:rPr>
        <w:t> </w:t>
      </w:r>
      <w:r>
        <w:t>000</w:t>
      </w:r>
      <w:r>
        <w:rPr>
          <w:lang w:val="en-US"/>
        </w:rPr>
        <w:t> </w:t>
      </w:r>
      <w:r>
        <w:t>души)</w:t>
      </w:r>
    </w:p>
    <w:p w14:paraId="109ADE30" w14:textId="77777777" w:rsidR="009B3384" w:rsidRDefault="00800862">
      <w:pPr>
        <w:numPr>
          <w:ilvl w:val="0"/>
          <w:numId w:val="31"/>
        </w:numPr>
        <w:tabs>
          <w:tab w:val="clear" w:pos="567"/>
          <w:tab w:val="left" w:pos="1134"/>
        </w:tabs>
        <w:ind w:left="1134" w:hanging="567"/>
      </w:pPr>
      <w:r>
        <w:t>Образуване на мехури по кожата, която може да бъде зачервена, сърбяща и болезнена (булозен пемфигоид)</w:t>
      </w:r>
    </w:p>
    <w:p w14:paraId="109ADE31" w14:textId="77777777" w:rsidR="009B3384" w:rsidRDefault="00800862">
      <w:pPr>
        <w:numPr>
          <w:ilvl w:val="0"/>
          <w:numId w:val="31"/>
        </w:numPr>
        <w:tabs>
          <w:tab w:val="clear" w:pos="567"/>
          <w:tab w:val="left" w:pos="1134"/>
        </w:tabs>
        <w:ind w:left="1134" w:hanging="567"/>
      </w:pPr>
      <w:r>
        <w:rPr>
          <w:szCs w:val="22"/>
        </w:rPr>
        <w:t>кожен лупус еритематодес и лупус-подобен синдром (червен, надигнат, лющещ се обрив в изложените на слънце участъци на кожата, който може да е придружен от болки в ставите).</w:t>
      </w:r>
    </w:p>
    <w:p w14:paraId="109ADE32" w14:textId="77777777" w:rsidR="009B3384" w:rsidRDefault="009B3384">
      <w:pPr>
        <w:rPr>
          <w:szCs w:val="22"/>
        </w:rPr>
      </w:pPr>
    </w:p>
    <w:p w14:paraId="109ADE33" w14:textId="77777777" w:rsidR="009B3384" w:rsidRDefault="00800862">
      <w:pPr>
        <w:keepNext/>
        <w:rPr>
          <w:szCs w:val="22"/>
        </w:rPr>
      </w:pPr>
      <w:r>
        <w:rPr>
          <w:b/>
          <w:szCs w:val="22"/>
        </w:rPr>
        <w:t>Съобщаване на нежелани реакции</w:t>
      </w:r>
    </w:p>
    <w:p w14:paraId="109ADE34" w14:textId="77777777" w:rsidR="009B3384" w:rsidRDefault="00800862">
      <w:r>
        <w:t>Ако получите някакви нежелани лекарствени реакции, уведомете Вашия лекар или фармацевт. Това включва и всички възможни неописани в тази листовка нежелани реакции.</w:t>
      </w:r>
      <w:r>
        <w:rPr>
          <w:szCs w:val="22"/>
        </w:rPr>
        <w:t xml:space="preserve"> </w:t>
      </w:r>
      <w:r>
        <w:t xml:space="preserve">Можете също да съобщите нежелани реакции директно чрез </w:t>
      </w:r>
      <w:r>
        <w:rPr>
          <w:highlight w:val="lightGray"/>
        </w:rPr>
        <w:t xml:space="preserve">националната система за съобщаване, посочена </w:t>
      </w:r>
      <w:r>
        <w:rPr>
          <w:szCs w:val="22"/>
          <w:highlight w:val="lightGray"/>
        </w:rPr>
        <w:t xml:space="preserve">в </w:t>
      </w:r>
      <w:hyperlink r:id="rId13" w:history="1">
        <w:r>
          <w:rPr>
            <w:rStyle w:val="Hyperlink"/>
            <w:noProof/>
            <w:szCs w:val="22"/>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9ADE35" w14:textId="77777777" w:rsidR="009B3384" w:rsidRDefault="009B3384">
      <w:pPr>
        <w:rPr>
          <w:szCs w:val="22"/>
        </w:rPr>
      </w:pPr>
    </w:p>
    <w:p w14:paraId="109ADE36" w14:textId="77777777" w:rsidR="009B3384" w:rsidRDefault="009B3384">
      <w:pPr>
        <w:rPr>
          <w:szCs w:val="22"/>
        </w:rPr>
      </w:pPr>
    </w:p>
    <w:p w14:paraId="109ADE37" w14:textId="77777777" w:rsidR="009B3384" w:rsidRDefault="00800862">
      <w:pPr>
        <w:keepNext/>
        <w:ind w:left="567" w:hanging="567"/>
        <w:outlineLvl w:val="2"/>
        <w:rPr>
          <w:b/>
          <w:bCs/>
        </w:rPr>
      </w:pPr>
      <w:r>
        <w:rPr>
          <w:b/>
          <w:bCs/>
        </w:rPr>
        <w:t>5.</w:t>
      </w:r>
      <w:r>
        <w:rPr>
          <w:b/>
          <w:bCs/>
        </w:rPr>
        <w:tab/>
        <w:t>Как да съхранявате Stelara</w:t>
      </w:r>
    </w:p>
    <w:p w14:paraId="109ADE38" w14:textId="77777777" w:rsidR="009B3384" w:rsidRDefault="009B3384">
      <w:pPr>
        <w:keepNext/>
        <w:rPr>
          <w:szCs w:val="22"/>
        </w:rPr>
      </w:pPr>
    </w:p>
    <w:p w14:paraId="109ADE39" w14:textId="77777777" w:rsidR="009B3384" w:rsidRDefault="00800862">
      <w:pPr>
        <w:numPr>
          <w:ilvl w:val="0"/>
          <w:numId w:val="30"/>
        </w:numPr>
        <w:tabs>
          <w:tab w:val="clear" w:pos="567"/>
        </w:tabs>
      </w:pPr>
      <w:r>
        <w:rPr>
          <w:szCs w:val="22"/>
        </w:rPr>
        <w:t>Stelara 130</w:t>
      </w:r>
      <w:r>
        <w:t> </w:t>
      </w:r>
      <w:r>
        <w:rPr>
          <w:szCs w:val="22"/>
        </w:rPr>
        <w:t>mg концентрат за инфузионен разтвор се прилага в болница или клиника и не се налага пациентите да го съхраняват или да боравят с него.</w:t>
      </w:r>
    </w:p>
    <w:p w14:paraId="109ADE3A" w14:textId="77777777" w:rsidR="009B3384" w:rsidRDefault="00800862">
      <w:pPr>
        <w:numPr>
          <w:ilvl w:val="0"/>
          <w:numId w:val="30"/>
        </w:numPr>
        <w:tabs>
          <w:tab w:val="clear" w:pos="567"/>
        </w:tabs>
      </w:pPr>
      <w:r>
        <w:t>Да се съхранява на място, недостъпно за деца.</w:t>
      </w:r>
    </w:p>
    <w:p w14:paraId="109ADE3B" w14:textId="77777777" w:rsidR="009B3384" w:rsidRDefault="00800862">
      <w:pPr>
        <w:numPr>
          <w:ilvl w:val="0"/>
          <w:numId w:val="30"/>
        </w:numPr>
        <w:tabs>
          <w:tab w:val="clear" w:pos="567"/>
        </w:tabs>
      </w:pPr>
      <w:r>
        <w:t>Да се съхранява в хладилник (2°C–8°C). Да не се замразява.</w:t>
      </w:r>
    </w:p>
    <w:p w14:paraId="109ADE3C" w14:textId="77777777" w:rsidR="009B3384" w:rsidRDefault="00800862">
      <w:pPr>
        <w:numPr>
          <w:ilvl w:val="0"/>
          <w:numId w:val="30"/>
        </w:numPr>
        <w:tabs>
          <w:tab w:val="clear" w:pos="567"/>
        </w:tabs>
      </w:pPr>
      <w:r>
        <w:t>Съхранявайте флакона в картонената опаковка, за да се предпази от светлина.</w:t>
      </w:r>
    </w:p>
    <w:p w14:paraId="109ADE3D" w14:textId="2ACAAB5E" w:rsidR="009B3384" w:rsidRDefault="00800862">
      <w:pPr>
        <w:numPr>
          <w:ilvl w:val="0"/>
          <w:numId w:val="30"/>
        </w:numPr>
        <w:tabs>
          <w:tab w:val="clear" w:pos="567"/>
        </w:tabs>
      </w:pPr>
      <w:r>
        <w:t>Не разклащайте флаконите. Продължителното енергично разклащане може да повреди лекарството.</w:t>
      </w:r>
    </w:p>
    <w:p w14:paraId="109ADE3E" w14:textId="77777777" w:rsidR="009B3384" w:rsidRDefault="009B3384">
      <w:pPr>
        <w:rPr>
          <w:szCs w:val="22"/>
        </w:rPr>
      </w:pPr>
    </w:p>
    <w:p w14:paraId="109ADE3F" w14:textId="77777777" w:rsidR="009B3384" w:rsidRDefault="00800862">
      <w:pPr>
        <w:keepNext/>
        <w:rPr>
          <w:b/>
          <w:szCs w:val="22"/>
        </w:rPr>
      </w:pPr>
      <w:r>
        <w:rPr>
          <w:b/>
          <w:szCs w:val="22"/>
        </w:rPr>
        <w:t>Не използвайте това лекарство:</w:t>
      </w:r>
    </w:p>
    <w:p w14:paraId="109ADE40" w14:textId="77777777" w:rsidR="009B3384" w:rsidRDefault="00800862">
      <w:pPr>
        <w:numPr>
          <w:ilvl w:val="0"/>
          <w:numId w:val="30"/>
        </w:numPr>
        <w:tabs>
          <w:tab w:val="clear" w:pos="567"/>
        </w:tabs>
        <w:rPr>
          <w:bCs/>
          <w:szCs w:val="22"/>
        </w:rPr>
      </w:pPr>
      <w:r>
        <w:rPr>
          <w:szCs w:val="22"/>
        </w:rPr>
        <w:t xml:space="preserve">след срока </w:t>
      </w:r>
      <w:r>
        <w:rPr>
          <w:bCs/>
          <w:szCs w:val="22"/>
        </w:rPr>
        <w:t>на годност, отбелязан върху етикета и картонената опаковка след „</w:t>
      </w:r>
      <w:r>
        <w:rPr>
          <w:bCs/>
          <w:szCs w:val="22"/>
          <w:lang w:val="en-US"/>
        </w:rPr>
        <w:t>EXP</w:t>
      </w:r>
      <w:r>
        <w:rPr>
          <w:bCs/>
          <w:szCs w:val="22"/>
        </w:rPr>
        <w:t>“/„Годен до“. Срокът на годност отговаря на последния ден от посочения месец.</w:t>
      </w:r>
    </w:p>
    <w:p w14:paraId="109ADE41" w14:textId="77777777" w:rsidR="009B3384" w:rsidRDefault="00800862">
      <w:pPr>
        <w:numPr>
          <w:ilvl w:val="0"/>
          <w:numId w:val="30"/>
        </w:numPr>
        <w:tabs>
          <w:tab w:val="clear" w:pos="567"/>
        </w:tabs>
        <w:rPr>
          <w:bCs/>
          <w:szCs w:val="22"/>
        </w:rPr>
      </w:pPr>
      <w:r>
        <w:rPr>
          <w:bCs/>
          <w:szCs w:val="22"/>
        </w:rPr>
        <w:t>ако течността е с променен цвят, мътна или в нея се забелязват плуващи чужди частици (вижте точка 6 „Как изглежда Stelara и какво съдържа опаковката“).</w:t>
      </w:r>
    </w:p>
    <w:p w14:paraId="109ADE42" w14:textId="77777777" w:rsidR="009B3384" w:rsidRDefault="00800862">
      <w:pPr>
        <w:numPr>
          <w:ilvl w:val="0"/>
          <w:numId w:val="30"/>
        </w:numPr>
        <w:tabs>
          <w:tab w:val="clear" w:pos="567"/>
        </w:tabs>
        <w:rPr>
          <w:bCs/>
          <w:szCs w:val="22"/>
        </w:rPr>
      </w:pPr>
      <w:r>
        <w:rPr>
          <w:bCs/>
          <w:szCs w:val="22"/>
        </w:rPr>
        <w:t>ако знаете или смятате, че може да е била изложена на екстремни температури (като инцидентно замръзване или загряване).</w:t>
      </w:r>
    </w:p>
    <w:p w14:paraId="109ADE43" w14:textId="77777777" w:rsidR="009B3384" w:rsidRDefault="00800862">
      <w:pPr>
        <w:numPr>
          <w:ilvl w:val="0"/>
          <w:numId w:val="30"/>
        </w:numPr>
        <w:tabs>
          <w:tab w:val="clear" w:pos="567"/>
        </w:tabs>
        <w:rPr>
          <w:bCs/>
          <w:szCs w:val="22"/>
        </w:rPr>
      </w:pPr>
      <w:r>
        <w:rPr>
          <w:bCs/>
          <w:szCs w:val="22"/>
        </w:rPr>
        <w:t>ако продуктът е бил енергично разклатен.</w:t>
      </w:r>
    </w:p>
    <w:p w14:paraId="109ADE44" w14:textId="77777777" w:rsidR="009B3384" w:rsidRDefault="00800862">
      <w:pPr>
        <w:numPr>
          <w:ilvl w:val="0"/>
          <w:numId w:val="30"/>
        </w:numPr>
        <w:tabs>
          <w:tab w:val="clear" w:pos="567"/>
        </w:tabs>
        <w:rPr>
          <w:bCs/>
          <w:szCs w:val="22"/>
        </w:rPr>
      </w:pPr>
      <w:r>
        <w:rPr>
          <w:bCs/>
          <w:szCs w:val="22"/>
        </w:rPr>
        <w:t>ако обкатката е счупена.</w:t>
      </w:r>
    </w:p>
    <w:p w14:paraId="109ADE45" w14:textId="77777777" w:rsidR="009B3384" w:rsidRDefault="009B3384">
      <w:pPr>
        <w:rPr>
          <w:szCs w:val="22"/>
        </w:rPr>
      </w:pPr>
    </w:p>
    <w:p w14:paraId="109ADE46" w14:textId="77777777" w:rsidR="009B3384" w:rsidRDefault="00800862">
      <w:pPr>
        <w:rPr>
          <w:szCs w:val="22"/>
        </w:rPr>
      </w:pPr>
      <w:r>
        <w:rPr>
          <w:bCs/>
          <w:szCs w:val="22"/>
        </w:rPr>
        <w:t>Stelara</w:t>
      </w:r>
      <w:r>
        <w:rPr>
          <w:szCs w:val="22"/>
        </w:rPr>
        <w:t xml:space="preserve"> e само за еднократна употреба. Разреденият инфузионен разтвор или неизползваният продукт, останал във флакона и в спринцовката, трябва да се изхвърли в съответствие с местните изисквания.</w:t>
      </w:r>
    </w:p>
    <w:p w14:paraId="109ADE47" w14:textId="77777777" w:rsidR="009B3384" w:rsidRDefault="009B3384">
      <w:pPr>
        <w:rPr>
          <w:szCs w:val="22"/>
        </w:rPr>
      </w:pPr>
    </w:p>
    <w:p w14:paraId="109ADE48" w14:textId="77777777" w:rsidR="009B3384" w:rsidRDefault="009B3384">
      <w:pPr>
        <w:rPr>
          <w:szCs w:val="22"/>
        </w:rPr>
      </w:pPr>
    </w:p>
    <w:p w14:paraId="109ADE49" w14:textId="77777777" w:rsidR="009B3384" w:rsidRDefault="00800862">
      <w:pPr>
        <w:keepNext/>
        <w:ind w:left="567" w:hanging="567"/>
        <w:outlineLvl w:val="2"/>
        <w:rPr>
          <w:b/>
          <w:bCs/>
          <w:szCs w:val="22"/>
        </w:rPr>
      </w:pPr>
      <w:r>
        <w:rPr>
          <w:b/>
          <w:bCs/>
          <w:szCs w:val="22"/>
        </w:rPr>
        <w:t>6.</w:t>
      </w:r>
      <w:r>
        <w:rPr>
          <w:b/>
          <w:bCs/>
          <w:szCs w:val="22"/>
        </w:rPr>
        <w:tab/>
        <w:t>Съдържание на опаковката и допълнителна информация</w:t>
      </w:r>
    </w:p>
    <w:p w14:paraId="109ADE4A" w14:textId="77777777" w:rsidR="009B3384" w:rsidRDefault="009B3384">
      <w:pPr>
        <w:keepNext/>
        <w:rPr>
          <w:szCs w:val="22"/>
        </w:rPr>
      </w:pPr>
    </w:p>
    <w:p w14:paraId="109ADE4B" w14:textId="77777777" w:rsidR="009B3384" w:rsidRDefault="00800862">
      <w:pPr>
        <w:keepNext/>
        <w:rPr>
          <w:b/>
          <w:szCs w:val="22"/>
        </w:rPr>
      </w:pPr>
      <w:r>
        <w:rPr>
          <w:b/>
          <w:szCs w:val="22"/>
        </w:rPr>
        <w:t>Какво съдържа Stelara</w:t>
      </w:r>
    </w:p>
    <w:p w14:paraId="109ADE4C" w14:textId="77777777" w:rsidR="009B3384" w:rsidRDefault="00800862">
      <w:pPr>
        <w:numPr>
          <w:ilvl w:val="0"/>
          <w:numId w:val="30"/>
        </w:numPr>
        <w:tabs>
          <w:tab w:val="clear" w:pos="567"/>
        </w:tabs>
        <w:rPr>
          <w:bCs/>
          <w:szCs w:val="22"/>
        </w:rPr>
      </w:pPr>
      <w:r>
        <w:rPr>
          <w:bCs/>
          <w:szCs w:val="22"/>
        </w:rPr>
        <w:t>Активно вещество: устекинумаб. Всеки флакон съдържа 130 mg устекинумаб в 26 ml.</w:t>
      </w:r>
    </w:p>
    <w:p w14:paraId="109ADE4D" w14:textId="3C1CFE47" w:rsidR="009B3384" w:rsidRDefault="00800862">
      <w:pPr>
        <w:numPr>
          <w:ilvl w:val="0"/>
          <w:numId w:val="30"/>
        </w:numPr>
        <w:tabs>
          <w:tab w:val="clear" w:pos="567"/>
        </w:tabs>
        <w:rPr>
          <w:bCs/>
          <w:szCs w:val="22"/>
        </w:rPr>
      </w:pPr>
      <w:r>
        <w:rPr>
          <w:bCs/>
          <w:szCs w:val="22"/>
        </w:rPr>
        <w:t xml:space="preserve">Други съставки: </w:t>
      </w:r>
      <w:r>
        <w:rPr>
          <w:iCs/>
          <w:lang w:val="en-GB"/>
        </w:rPr>
        <w:t>EDTA</w:t>
      </w:r>
      <w:r>
        <w:rPr>
          <w:iCs/>
        </w:rPr>
        <w:t xml:space="preserve"> динатриева сол дихидрат</w:t>
      </w:r>
      <w:r>
        <w:rPr>
          <w:bCs/>
          <w:szCs w:val="22"/>
        </w:rPr>
        <w:t xml:space="preserve">, L-хистидин, L-хистидинов монохидрохлорид монохидрат, </w:t>
      </w:r>
      <w:r>
        <w:rPr>
          <w:bCs/>
          <w:szCs w:val="22"/>
          <w:lang w:val="en-GB"/>
        </w:rPr>
        <w:t>L</w:t>
      </w:r>
      <w:r>
        <w:rPr>
          <w:bCs/>
          <w:szCs w:val="22"/>
        </w:rPr>
        <w:t>-</w:t>
      </w:r>
      <w:r>
        <w:rPr>
          <w:bCs/>
          <w:iCs/>
          <w:szCs w:val="22"/>
        </w:rPr>
        <w:t>метионин</w:t>
      </w:r>
      <w:r>
        <w:rPr>
          <w:bCs/>
          <w:szCs w:val="22"/>
        </w:rPr>
        <w:t xml:space="preserve">, полисорбат 80 </w:t>
      </w:r>
      <w:r>
        <w:rPr>
          <w:iCs/>
          <w:szCs w:val="22"/>
        </w:rPr>
        <w:t>(E433)</w:t>
      </w:r>
      <w:r>
        <w:rPr>
          <w:bCs/>
          <w:szCs w:val="22"/>
        </w:rPr>
        <w:t>, захароза и вода за инжекции.</w:t>
      </w:r>
    </w:p>
    <w:p w14:paraId="109ADE4E" w14:textId="77777777" w:rsidR="009B3384" w:rsidRDefault="009B3384">
      <w:pPr>
        <w:rPr>
          <w:szCs w:val="22"/>
        </w:rPr>
      </w:pPr>
    </w:p>
    <w:p w14:paraId="109ADE4F" w14:textId="77777777" w:rsidR="009B3384" w:rsidRDefault="00800862">
      <w:pPr>
        <w:keepNext/>
        <w:rPr>
          <w:b/>
          <w:szCs w:val="22"/>
        </w:rPr>
      </w:pPr>
      <w:r>
        <w:rPr>
          <w:b/>
          <w:szCs w:val="22"/>
        </w:rPr>
        <w:lastRenderedPageBreak/>
        <w:t>Как изглежда Stelara и какво съдържа опаковката</w:t>
      </w:r>
    </w:p>
    <w:p w14:paraId="109ADE50" w14:textId="77777777" w:rsidR="009B3384" w:rsidRDefault="00800862">
      <w:pPr>
        <w:rPr>
          <w:szCs w:val="22"/>
        </w:rPr>
      </w:pPr>
      <w:r>
        <w:rPr>
          <w:szCs w:val="22"/>
        </w:rPr>
        <w:t xml:space="preserve">Stelara </w:t>
      </w:r>
      <w:r>
        <w:rPr>
          <w:bCs/>
        </w:rPr>
        <w:t>е бистър</w:t>
      </w:r>
      <w:r>
        <w:rPr>
          <w:szCs w:val="22"/>
        </w:rPr>
        <w:t xml:space="preserve">, безцветен до бледожълт концентрат за инфузионен разтвор. </w:t>
      </w:r>
      <w:r>
        <w:t xml:space="preserve">Доставя се в картонена опаковка, съдържаща един стъклен флакон от 30 ml с единична доза. Всеки флакон съдържа </w:t>
      </w:r>
      <w:r>
        <w:rPr>
          <w:szCs w:val="22"/>
        </w:rPr>
        <w:t>130 mg устекинумаб в 26 ml концентрат за инфузионен разтвор.</w:t>
      </w:r>
    </w:p>
    <w:p w14:paraId="109ADE51" w14:textId="77777777" w:rsidR="009B3384" w:rsidRDefault="009B3384"/>
    <w:p w14:paraId="109ADE52" w14:textId="77777777" w:rsidR="009B3384" w:rsidRDefault="00800862">
      <w:pPr>
        <w:keepNext/>
        <w:rPr>
          <w:b/>
          <w:bCs/>
        </w:rPr>
      </w:pPr>
      <w:r>
        <w:rPr>
          <w:b/>
          <w:bCs/>
        </w:rPr>
        <w:t>Притежател на разрешението за употреба</w:t>
      </w:r>
    </w:p>
    <w:p w14:paraId="109ADE53" w14:textId="77777777" w:rsidR="009B3384" w:rsidRDefault="00800862">
      <w:pPr>
        <w:rPr>
          <w:szCs w:val="13"/>
        </w:rPr>
      </w:pPr>
      <w:r>
        <w:rPr>
          <w:szCs w:val="13"/>
        </w:rPr>
        <w:t>Janssen-Cilag International NV</w:t>
      </w:r>
    </w:p>
    <w:p w14:paraId="109ADE54" w14:textId="77777777" w:rsidR="009B3384" w:rsidRDefault="00800862">
      <w:pPr>
        <w:rPr>
          <w:szCs w:val="13"/>
        </w:rPr>
      </w:pPr>
      <w:r>
        <w:rPr>
          <w:szCs w:val="13"/>
        </w:rPr>
        <w:t>Turnhoutseweg 30</w:t>
      </w:r>
    </w:p>
    <w:p w14:paraId="109ADE55" w14:textId="77777777" w:rsidR="009B3384" w:rsidRDefault="00800862">
      <w:pPr>
        <w:rPr>
          <w:szCs w:val="13"/>
        </w:rPr>
      </w:pPr>
      <w:r>
        <w:rPr>
          <w:szCs w:val="13"/>
          <w:lang w:val="en-US"/>
        </w:rPr>
        <w:t>B</w:t>
      </w:r>
      <w:r>
        <w:rPr>
          <w:szCs w:val="13"/>
        </w:rPr>
        <w:t>-2340 Beerse</w:t>
      </w:r>
    </w:p>
    <w:p w14:paraId="109ADE56" w14:textId="77777777" w:rsidR="009B3384" w:rsidRDefault="00800862">
      <w:r>
        <w:t>Белгия</w:t>
      </w:r>
    </w:p>
    <w:p w14:paraId="109ADE57" w14:textId="77777777" w:rsidR="009B3384" w:rsidRDefault="009B3384"/>
    <w:p w14:paraId="109ADE58" w14:textId="77777777" w:rsidR="009B3384" w:rsidRDefault="00800862">
      <w:pPr>
        <w:keepNext/>
        <w:rPr>
          <w:b/>
          <w:bCs/>
        </w:rPr>
      </w:pPr>
      <w:r>
        <w:rPr>
          <w:b/>
          <w:bCs/>
        </w:rPr>
        <w:t>Производител</w:t>
      </w:r>
    </w:p>
    <w:p w14:paraId="109ADE59" w14:textId="77777777" w:rsidR="009B3384" w:rsidRDefault="00800862">
      <w:r>
        <w:t>Janssen Biologics B.V.</w:t>
      </w:r>
    </w:p>
    <w:p w14:paraId="109ADE5A" w14:textId="77777777" w:rsidR="009B3384" w:rsidRDefault="00800862">
      <w:r>
        <w:t>Einsteinweg 101</w:t>
      </w:r>
    </w:p>
    <w:p w14:paraId="109ADE5B" w14:textId="77777777" w:rsidR="009B3384" w:rsidRDefault="00800862">
      <w:r>
        <w:t>2333 CB Leiden</w:t>
      </w:r>
    </w:p>
    <w:p w14:paraId="109ADE5C" w14:textId="77777777" w:rsidR="009B3384" w:rsidRDefault="00800862">
      <w:r>
        <w:t>Нидерландия</w:t>
      </w:r>
    </w:p>
    <w:p w14:paraId="109ADE5D" w14:textId="77777777" w:rsidR="009B3384" w:rsidRDefault="009B3384">
      <w:pPr>
        <w:rPr>
          <w:szCs w:val="22"/>
        </w:rPr>
      </w:pPr>
    </w:p>
    <w:p w14:paraId="109ADE5E" w14:textId="77777777" w:rsidR="009B3384" w:rsidRDefault="00800862">
      <w:r>
        <w:t>За допълнителна информация относно това лекарство, моля, свържете се с локалния представител на притежателя на разрешението за употреба:</w:t>
      </w:r>
    </w:p>
    <w:p w14:paraId="109ADE5F" w14:textId="77777777" w:rsidR="009B3384" w:rsidRDefault="009B3384">
      <w:pPr>
        <w:widowControl w:val="0"/>
        <w:suppressAutoHyphens w:val="0"/>
      </w:pPr>
    </w:p>
    <w:tbl>
      <w:tblPr>
        <w:tblW w:w="9075" w:type="dxa"/>
        <w:jc w:val="center"/>
        <w:tblLayout w:type="fixed"/>
        <w:tblLook w:val="04A0" w:firstRow="1" w:lastRow="0" w:firstColumn="1" w:lastColumn="0" w:noHBand="0" w:noVBand="1"/>
      </w:tblPr>
      <w:tblGrid>
        <w:gridCol w:w="10"/>
        <w:gridCol w:w="4530"/>
        <w:gridCol w:w="4535"/>
      </w:tblGrid>
      <w:tr w:rsidR="009B3384" w14:paraId="109ADE6A" w14:textId="77777777">
        <w:trPr>
          <w:cantSplit/>
          <w:jc w:val="center"/>
        </w:trPr>
        <w:tc>
          <w:tcPr>
            <w:tcW w:w="4537" w:type="dxa"/>
            <w:gridSpan w:val="2"/>
          </w:tcPr>
          <w:p w14:paraId="109ADE60" w14:textId="77777777" w:rsidR="009B3384" w:rsidRDefault="00800862">
            <w:pPr>
              <w:widowControl w:val="0"/>
              <w:suppressAutoHyphens w:val="0"/>
              <w:rPr>
                <w:b/>
                <w:lang w:val="nl-BE"/>
              </w:rPr>
            </w:pPr>
            <w:r>
              <w:rPr>
                <w:b/>
                <w:lang w:val="nl-BE"/>
              </w:rPr>
              <w:t>België/Belgique/Belgien</w:t>
            </w:r>
          </w:p>
          <w:p w14:paraId="109ADE61" w14:textId="77777777" w:rsidR="009B3384" w:rsidRDefault="00800862">
            <w:pPr>
              <w:widowControl w:val="0"/>
              <w:suppressAutoHyphens w:val="0"/>
              <w:rPr>
                <w:lang w:val="nl-BE"/>
              </w:rPr>
            </w:pPr>
            <w:r>
              <w:rPr>
                <w:lang w:val="nl-BE"/>
              </w:rPr>
              <w:t>Janssen-Cilag NV</w:t>
            </w:r>
          </w:p>
          <w:p w14:paraId="109ADE62" w14:textId="3F53CE6C" w:rsidR="009B3384" w:rsidRDefault="00800862">
            <w:pPr>
              <w:widowControl w:val="0"/>
              <w:suppressAutoHyphens w:val="0"/>
              <w:rPr>
                <w:lang w:val="es-ES"/>
              </w:rPr>
            </w:pPr>
            <w:r>
              <w:rPr>
                <w:lang w:val="es-ES"/>
              </w:rPr>
              <w:t xml:space="preserve">Tel/Tél: </w:t>
            </w:r>
            <w:r>
              <w:t>0800 93 377</w:t>
            </w:r>
          </w:p>
          <w:p w14:paraId="109ADE63" w14:textId="0D22DCE7" w:rsidR="009B3384" w:rsidRDefault="00800862">
            <w:pPr>
              <w:suppressAutoHyphens w:val="0"/>
              <w:rPr>
                <w:lang w:val="es-ES"/>
              </w:rPr>
            </w:pPr>
            <w:r>
              <w:rPr>
                <w:lang w:val="es-ES"/>
              </w:rPr>
              <w:t>info_belux@its.jnj.com</w:t>
            </w:r>
          </w:p>
          <w:p w14:paraId="109ADE64" w14:textId="77777777" w:rsidR="009B3384" w:rsidRDefault="009B3384">
            <w:pPr>
              <w:widowControl w:val="0"/>
              <w:suppressAutoHyphens w:val="0"/>
              <w:rPr>
                <w:lang w:val="es-ES"/>
              </w:rPr>
            </w:pPr>
          </w:p>
        </w:tc>
        <w:tc>
          <w:tcPr>
            <w:tcW w:w="4538" w:type="dxa"/>
          </w:tcPr>
          <w:p w14:paraId="109ADE65" w14:textId="77777777" w:rsidR="009B3384" w:rsidRDefault="00800862">
            <w:pPr>
              <w:widowControl w:val="0"/>
              <w:suppressAutoHyphens w:val="0"/>
              <w:rPr>
                <w:b/>
                <w:bCs/>
                <w:szCs w:val="22"/>
                <w:lang w:val="fi-FI"/>
              </w:rPr>
            </w:pPr>
            <w:r>
              <w:rPr>
                <w:b/>
                <w:bCs/>
                <w:szCs w:val="22"/>
                <w:lang w:val="fi-FI"/>
              </w:rPr>
              <w:t>Lietuva</w:t>
            </w:r>
          </w:p>
          <w:p w14:paraId="109ADE66" w14:textId="77777777" w:rsidR="009B3384" w:rsidRDefault="00800862">
            <w:pPr>
              <w:widowControl w:val="0"/>
              <w:suppressAutoHyphens w:val="0"/>
              <w:rPr>
                <w:szCs w:val="22"/>
                <w:lang w:val="fi-FI"/>
              </w:rPr>
            </w:pPr>
            <w:r>
              <w:rPr>
                <w:lang w:val="fi-FI"/>
              </w:rPr>
              <w:t>UAB "JOHNSON &amp; JOHNSON"</w:t>
            </w:r>
          </w:p>
          <w:p w14:paraId="109ADE67" w14:textId="77777777" w:rsidR="009B3384" w:rsidRDefault="00800862">
            <w:pPr>
              <w:widowControl w:val="0"/>
              <w:suppressAutoHyphens w:val="0"/>
              <w:rPr>
                <w:szCs w:val="22"/>
                <w:lang w:val="fi-FI"/>
              </w:rPr>
            </w:pPr>
            <w:r>
              <w:rPr>
                <w:szCs w:val="22"/>
                <w:lang w:val="fi-FI"/>
              </w:rPr>
              <w:t>Tel: +370 5 278 68 88</w:t>
            </w:r>
          </w:p>
          <w:p w14:paraId="109ADE68" w14:textId="77777777" w:rsidR="009B3384" w:rsidRDefault="00800862">
            <w:pPr>
              <w:widowControl w:val="0"/>
              <w:suppressAutoHyphens w:val="0"/>
              <w:rPr>
                <w:szCs w:val="22"/>
                <w:lang w:val="pt-PT"/>
              </w:rPr>
            </w:pPr>
            <w:r>
              <w:rPr>
                <w:lang w:val="en-GB"/>
              </w:rPr>
              <w:t>lt@its.jnj.com</w:t>
            </w:r>
          </w:p>
          <w:p w14:paraId="109ADE69" w14:textId="77777777" w:rsidR="009B3384" w:rsidRDefault="009B3384">
            <w:pPr>
              <w:widowControl w:val="0"/>
              <w:suppressAutoHyphens w:val="0"/>
              <w:rPr>
                <w:szCs w:val="22"/>
                <w:lang w:val="pt-PT"/>
              </w:rPr>
            </w:pPr>
          </w:p>
        </w:tc>
      </w:tr>
      <w:tr w:rsidR="009B3384" w14:paraId="109ADE76" w14:textId="77777777">
        <w:trPr>
          <w:cantSplit/>
          <w:jc w:val="center"/>
        </w:trPr>
        <w:tc>
          <w:tcPr>
            <w:tcW w:w="4537" w:type="dxa"/>
            <w:gridSpan w:val="2"/>
          </w:tcPr>
          <w:p w14:paraId="109ADE6B" w14:textId="77777777" w:rsidR="009B3384" w:rsidRDefault="00800862">
            <w:pPr>
              <w:widowControl w:val="0"/>
              <w:suppressAutoHyphens w:val="0"/>
              <w:rPr>
                <w:b/>
                <w:bCs/>
                <w:szCs w:val="22"/>
              </w:rPr>
            </w:pPr>
            <w:r>
              <w:rPr>
                <w:b/>
                <w:bCs/>
                <w:szCs w:val="22"/>
              </w:rPr>
              <w:t>България</w:t>
            </w:r>
          </w:p>
          <w:p w14:paraId="109ADE6C" w14:textId="77777777" w:rsidR="009B3384" w:rsidRDefault="00800862">
            <w:pPr>
              <w:widowControl w:val="0"/>
              <w:suppressAutoHyphens w:val="0"/>
              <w:rPr>
                <w:szCs w:val="22"/>
              </w:rPr>
            </w:pPr>
            <w:r>
              <w:t>„Джонсън &amp; Джонсън България” ЕООД</w:t>
            </w:r>
          </w:p>
          <w:p w14:paraId="109ADE6D" w14:textId="77777777" w:rsidR="009B3384" w:rsidRDefault="00800862">
            <w:pPr>
              <w:widowControl w:val="0"/>
              <w:suppressAutoHyphens w:val="0"/>
              <w:rPr>
                <w:szCs w:val="22"/>
              </w:rPr>
            </w:pPr>
            <w:r>
              <w:rPr>
                <w:szCs w:val="22"/>
              </w:rPr>
              <w:t>Тел.: +359 2 489 94 00</w:t>
            </w:r>
          </w:p>
          <w:p w14:paraId="109ADE6E" w14:textId="77777777" w:rsidR="009B3384" w:rsidRDefault="00800862">
            <w:pPr>
              <w:numPr>
                <w:ilvl w:val="12"/>
                <w:numId w:val="0"/>
              </w:numPr>
              <w:suppressAutoHyphens w:val="0"/>
              <w:rPr>
                <w:szCs w:val="22"/>
                <w:lang w:val="en-GB"/>
              </w:rPr>
            </w:pPr>
            <w:r>
              <w:rPr>
                <w:lang w:val="en-GB"/>
              </w:rPr>
              <w:t>jjsafety@its.jnj.com</w:t>
            </w:r>
          </w:p>
          <w:p w14:paraId="109ADE6F" w14:textId="77777777" w:rsidR="009B3384" w:rsidRDefault="009B3384">
            <w:pPr>
              <w:widowControl w:val="0"/>
              <w:suppressAutoHyphens w:val="0"/>
              <w:rPr>
                <w:szCs w:val="22"/>
                <w:lang w:val="en-GB"/>
              </w:rPr>
            </w:pPr>
          </w:p>
        </w:tc>
        <w:tc>
          <w:tcPr>
            <w:tcW w:w="4538" w:type="dxa"/>
            <w:hideMark/>
          </w:tcPr>
          <w:p w14:paraId="109ADE70" w14:textId="77777777" w:rsidR="009B3384" w:rsidRDefault="00800862">
            <w:pPr>
              <w:widowControl w:val="0"/>
              <w:suppressAutoHyphens w:val="0"/>
              <w:rPr>
                <w:b/>
                <w:bCs/>
                <w:szCs w:val="22"/>
                <w:lang w:val="en-GB"/>
              </w:rPr>
            </w:pPr>
            <w:r>
              <w:rPr>
                <w:b/>
                <w:bCs/>
                <w:szCs w:val="22"/>
                <w:lang w:val="en-GB"/>
              </w:rPr>
              <w:t>Luxembourg/Luxemburg</w:t>
            </w:r>
          </w:p>
          <w:p w14:paraId="109ADE71" w14:textId="77777777" w:rsidR="009B3384" w:rsidRDefault="00800862">
            <w:pPr>
              <w:widowControl w:val="0"/>
              <w:suppressAutoHyphens w:val="0"/>
              <w:rPr>
                <w:szCs w:val="22"/>
                <w:lang w:val="en-GB"/>
              </w:rPr>
            </w:pPr>
            <w:r>
              <w:rPr>
                <w:szCs w:val="22"/>
                <w:lang w:val="en-GB"/>
              </w:rPr>
              <w:t>Janssen-Cilag NV</w:t>
            </w:r>
          </w:p>
          <w:p w14:paraId="109ADE72" w14:textId="3519BAF7" w:rsidR="009B3384" w:rsidRDefault="00800862">
            <w:pPr>
              <w:widowControl w:val="0"/>
              <w:suppressAutoHyphens w:val="0"/>
              <w:rPr>
                <w:szCs w:val="22"/>
                <w:lang w:val="en-GB"/>
              </w:rPr>
            </w:pPr>
            <w:proofErr w:type="spellStart"/>
            <w:r>
              <w:rPr>
                <w:szCs w:val="22"/>
                <w:lang w:val="en-GB"/>
              </w:rPr>
              <w:t>Tél</w:t>
            </w:r>
            <w:proofErr w:type="spellEnd"/>
            <w:r>
              <w:rPr>
                <w:szCs w:val="22"/>
                <w:lang w:val="en-GB"/>
              </w:rPr>
              <w:t xml:space="preserve">/Tel: </w:t>
            </w:r>
            <w:r w:rsidRPr="00BC6A43">
              <w:rPr>
                <w:lang w:val="en-GB"/>
              </w:rPr>
              <w:t>800 29 504</w:t>
            </w:r>
          </w:p>
          <w:p w14:paraId="109ADE74" w14:textId="60CAD94E" w:rsidR="009B3384" w:rsidRDefault="00800862">
            <w:pPr>
              <w:widowControl w:val="0"/>
              <w:suppressAutoHyphens w:val="0"/>
              <w:rPr>
                <w:szCs w:val="22"/>
                <w:lang w:val="en-GB"/>
              </w:rPr>
            </w:pPr>
            <w:r w:rsidRPr="00BC6A43">
              <w:t>info_belux@its.jnj.com</w:t>
            </w:r>
          </w:p>
          <w:p w14:paraId="109ADE75" w14:textId="77777777" w:rsidR="009B3384" w:rsidRDefault="009B3384">
            <w:pPr>
              <w:widowControl w:val="0"/>
              <w:suppressAutoHyphens w:val="0"/>
              <w:rPr>
                <w:szCs w:val="22"/>
                <w:lang w:val="en-GB"/>
              </w:rPr>
            </w:pPr>
          </w:p>
        </w:tc>
      </w:tr>
      <w:tr w:rsidR="009B3384" w14:paraId="109ADE80" w14:textId="77777777">
        <w:trPr>
          <w:cantSplit/>
          <w:jc w:val="center"/>
        </w:trPr>
        <w:tc>
          <w:tcPr>
            <w:tcW w:w="4537" w:type="dxa"/>
            <w:gridSpan w:val="2"/>
            <w:hideMark/>
          </w:tcPr>
          <w:p w14:paraId="109ADE77" w14:textId="77777777" w:rsidR="009B3384" w:rsidRDefault="00800862">
            <w:pPr>
              <w:widowControl w:val="0"/>
              <w:suppressAutoHyphens w:val="0"/>
              <w:rPr>
                <w:b/>
                <w:bCs/>
                <w:szCs w:val="22"/>
              </w:rPr>
            </w:pPr>
            <w:r>
              <w:rPr>
                <w:b/>
                <w:bCs/>
                <w:szCs w:val="22"/>
              </w:rPr>
              <w:t>Č</w:t>
            </w:r>
            <w:proofErr w:type="spellStart"/>
            <w:r>
              <w:rPr>
                <w:b/>
                <w:bCs/>
                <w:szCs w:val="22"/>
                <w:lang w:val="en-GB"/>
              </w:rPr>
              <w:t>esk</w:t>
            </w:r>
            <w:proofErr w:type="spellEnd"/>
            <w:r>
              <w:rPr>
                <w:b/>
                <w:bCs/>
                <w:szCs w:val="22"/>
              </w:rPr>
              <w:t xml:space="preserve">á </w:t>
            </w:r>
            <w:proofErr w:type="spellStart"/>
            <w:r>
              <w:rPr>
                <w:b/>
                <w:bCs/>
                <w:szCs w:val="22"/>
                <w:lang w:val="en-GB"/>
              </w:rPr>
              <w:t>republika</w:t>
            </w:r>
            <w:proofErr w:type="spellEnd"/>
          </w:p>
          <w:p w14:paraId="109ADE78" w14:textId="77777777" w:rsidR="009B3384" w:rsidRDefault="00800862">
            <w:pPr>
              <w:widowControl w:val="0"/>
              <w:suppressAutoHyphens w:val="0"/>
              <w:rPr>
                <w:szCs w:val="22"/>
              </w:rPr>
            </w:pPr>
            <w:r>
              <w:rPr>
                <w:szCs w:val="22"/>
                <w:lang w:val="en-GB"/>
              </w:rPr>
              <w:t>Janssen</w:t>
            </w:r>
            <w:r>
              <w:rPr>
                <w:szCs w:val="22"/>
              </w:rPr>
              <w:t>-</w:t>
            </w:r>
            <w:r>
              <w:rPr>
                <w:szCs w:val="22"/>
                <w:lang w:val="en-GB"/>
              </w:rPr>
              <w:t>Cilag</w:t>
            </w:r>
            <w:r>
              <w:rPr>
                <w:szCs w:val="22"/>
              </w:rPr>
              <w:t xml:space="preserve"> </w:t>
            </w:r>
            <w:r>
              <w:rPr>
                <w:szCs w:val="22"/>
                <w:lang w:val="en-GB"/>
              </w:rPr>
              <w:t>s</w:t>
            </w:r>
            <w:r>
              <w:rPr>
                <w:szCs w:val="22"/>
              </w:rPr>
              <w:t>.</w:t>
            </w:r>
            <w:r>
              <w:rPr>
                <w:szCs w:val="22"/>
                <w:lang w:val="en-GB"/>
              </w:rPr>
              <w:t>r</w:t>
            </w:r>
            <w:r>
              <w:rPr>
                <w:szCs w:val="22"/>
              </w:rPr>
              <w:t>.</w:t>
            </w:r>
            <w:r>
              <w:rPr>
                <w:szCs w:val="22"/>
                <w:lang w:val="en-GB"/>
              </w:rPr>
              <w:t>o</w:t>
            </w:r>
            <w:r>
              <w:rPr>
                <w:szCs w:val="22"/>
              </w:rPr>
              <w:t>.</w:t>
            </w:r>
          </w:p>
          <w:p w14:paraId="109ADE79" w14:textId="77777777" w:rsidR="009B3384" w:rsidRDefault="00800862">
            <w:pPr>
              <w:widowControl w:val="0"/>
              <w:suppressAutoHyphens w:val="0"/>
              <w:rPr>
                <w:szCs w:val="22"/>
                <w:lang w:val="en-GB"/>
              </w:rPr>
            </w:pPr>
            <w:r>
              <w:rPr>
                <w:szCs w:val="22"/>
                <w:lang w:val="en-GB"/>
              </w:rPr>
              <w:t>Tel: +420 227 012 227</w:t>
            </w:r>
          </w:p>
          <w:p w14:paraId="109ADE7A" w14:textId="77777777" w:rsidR="009B3384" w:rsidRDefault="009B3384">
            <w:pPr>
              <w:widowControl w:val="0"/>
              <w:suppressAutoHyphens w:val="0"/>
              <w:rPr>
                <w:szCs w:val="22"/>
                <w:lang w:val="en-GB"/>
              </w:rPr>
            </w:pPr>
          </w:p>
        </w:tc>
        <w:tc>
          <w:tcPr>
            <w:tcW w:w="4538" w:type="dxa"/>
          </w:tcPr>
          <w:p w14:paraId="109ADE7B" w14:textId="77777777" w:rsidR="009B3384" w:rsidRDefault="00800862">
            <w:pPr>
              <w:widowControl w:val="0"/>
              <w:suppressAutoHyphens w:val="0"/>
              <w:rPr>
                <w:b/>
                <w:bCs/>
                <w:szCs w:val="22"/>
                <w:lang w:val="en-GB"/>
              </w:rPr>
            </w:pPr>
            <w:proofErr w:type="spellStart"/>
            <w:r>
              <w:rPr>
                <w:b/>
                <w:bCs/>
                <w:szCs w:val="22"/>
                <w:lang w:val="en-GB"/>
              </w:rPr>
              <w:t>Magyarország</w:t>
            </w:r>
            <w:proofErr w:type="spellEnd"/>
          </w:p>
          <w:p w14:paraId="109ADE7C" w14:textId="77777777" w:rsidR="009B3384" w:rsidRDefault="00800862">
            <w:pPr>
              <w:widowControl w:val="0"/>
              <w:suppressAutoHyphens w:val="0"/>
              <w:rPr>
                <w:szCs w:val="22"/>
                <w:lang w:val="en-GB"/>
              </w:rPr>
            </w:pPr>
            <w:r>
              <w:rPr>
                <w:szCs w:val="22"/>
                <w:lang w:val="en-GB"/>
              </w:rPr>
              <w:t>Janssen-Cilag Kft.</w:t>
            </w:r>
          </w:p>
          <w:p w14:paraId="109ADE7D" w14:textId="77777777" w:rsidR="009B3384" w:rsidRDefault="00800862">
            <w:pPr>
              <w:suppressAutoHyphens w:val="0"/>
              <w:autoSpaceDE w:val="0"/>
              <w:autoSpaceDN w:val="0"/>
              <w:adjustRightInd w:val="0"/>
              <w:rPr>
                <w:szCs w:val="22"/>
                <w:lang w:val="en-GB"/>
              </w:rPr>
            </w:pPr>
            <w:r>
              <w:rPr>
                <w:szCs w:val="22"/>
                <w:lang w:val="en-GB"/>
              </w:rPr>
              <w:t>Tel.: +36 1 884 2</w:t>
            </w:r>
            <w:r>
              <w:rPr>
                <w:bCs/>
                <w:szCs w:val="22"/>
                <w:lang w:val="en-GB"/>
              </w:rPr>
              <w:t>858</w:t>
            </w:r>
          </w:p>
          <w:p w14:paraId="109ADE7E" w14:textId="77777777" w:rsidR="009B3384" w:rsidRDefault="00800862">
            <w:pPr>
              <w:widowControl w:val="0"/>
              <w:suppressAutoHyphens w:val="0"/>
              <w:rPr>
                <w:szCs w:val="22"/>
                <w:lang w:val="en-GB"/>
              </w:rPr>
            </w:pPr>
            <w:r>
              <w:rPr>
                <w:szCs w:val="22"/>
                <w:lang w:val="en-GB"/>
              </w:rPr>
              <w:t>janssenhu@its.jnj.com</w:t>
            </w:r>
          </w:p>
          <w:p w14:paraId="109ADE7F" w14:textId="77777777" w:rsidR="009B3384" w:rsidRDefault="009B3384">
            <w:pPr>
              <w:widowControl w:val="0"/>
              <w:suppressAutoHyphens w:val="0"/>
              <w:rPr>
                <w:szCs w:val="22"/>
                <w:lang w:val="en-GB"/>
              </w:rPr>
            </w:pPr>
          </w:p>
        </w:tc>
      </w:tr>
      <w:tr w:rsidR="009B3384" w14:paraId="109ADE8A" w14:textId="77777777">
        <w:trPr>
          <w:cantSplit/>
          <w:jc w:val="center"/>
        </w:trPr>
        <w:tc>
          <w:tcPr>
            <w:tcW w:w="4537" w:type="dxa"/>
            <w:gridSpan w:val="2"/>
          </w:tcPr>
          <w:p w14:paraId="109ADE81" w14:textId="77777777" w:rsidR="009B3384" w:rsidRDefault="00800862">
            <w:pPr>
              <w:widowControl w:val="0"/>
              <w:suppressAutoHyphens w:val="0"/>
              <w:rPr>
                <w:b/>
                <w:bCs/>
                <w:szCs w:val="22"/>
                <w:lang w:val="nl-BE"/>
              </w:rPr>
            </w:pPr>
            <w:r>
              <w:rPr>
                <w:b/>
                <w:bCs/>
                <w:szCs w:val="22"/>
                <w:lang w:val="nl-BE"/>
              </w:rPr>
              <w:t>Danmark</w:t>
            </w:r>
          </w:p>
          <w:p w14:paraId="109ADE82" w14:textId="77777777" w:rsidR="009B3384" w:rsidRDefault="00800862">
            <w:pPr>
              <w:widowControl w:val="0"/>
              <w:suppressAutoHyphens w:val="0"/>
              <w:rPr>
                <w:szCs w:val="22"/>
                <w:lang w:val="nl-BE"/>
              </w:rPr>
            </w:pPr>
            <w:r>
              <w:rPr>
                <w:szCs w:val="22"/>
                <w:lang w:val="nl-BE"/>
              </w:rPr>
              <w:t>Janssen-Cilag A/S</w:t>
            </w:r>
          </w:p>
          <w:p w14:paraId="109ADE83" w14:textId="77777777" w:rsidR="009B3384" w:rsidRDefault="00800862">
            <w:pPr>
              <w:widowControl w:val="0"/>
              <w:suppressAutoHyphens w:val="0"/>
              <w:rPr>
                <w:szCs w:val="22"/>
                <w:lang w:val="nl-BE"/>
              </w:rPr>
            </w:pPr>
            <w:r>
              <w:rPr>
                <w:szCs w:val="22"/>
                <w:lang w:val="nl-BE"/>
              </w:rPr>
              <w:t xml:space="preserve">Tlf.: +45 </w:t>
            </w:r>
            <w:r>
              <w:rPr>
                <w:lang w:val="nl-BE"/>
              </w:rPr>
              <w:t>4594 8282</w:t>
            </w:r>
          </w:p>
          <w:p w14:paraId="109ADE84" w14:textId="77777777" w:rsidR="009B3384" w:rsidRDefault="00800862">
            <w:pPr>
              <w:widowControl w:val="0"/>
              <w:suppressAutoHyphens w:val="0"/>
              <w:rPr>
                <w:szCs w:val="22"/>
                <w:lang w:val="en-GB"/>
              </w:rPr>
            </w:pPr>
            <w:r>
              <w:rPr>
                <w:lang w:val="en-GB"/>
              </w:rPr>
              <w:t>jacdk@its.jnj.com</w:t>
            </w:r>
          </w:p>
          <w:p w14:paraId="109ADE85" w14:textId="77777777" w:rsidR="009B3384" w:rsidRDefault="009B3384">
            <w:pPr>
              <w:widowControl w:val="0"/>
              <w:suppressAutoHyphens w:val="0"/>
              <w:rPr>
                <w:szCs w:val="22"/>
                <w:lang w:val="en-GB"/>
              </w:rPr>
            </w:pPr>
          </w:p>
        </w:tc>
        <w:tc>
          <w:tcPr>
            <w:tcW w:w="4538" w:type="dxa"/>
            <w:hideMark/>
          </w:tcPr>
          <w:p w14:paraId="109ADE86" w14:textId="77777777" w:rsidR="009B3384" w:rsidRDefault="00800862">
            <w:pPr>
              <w:widowControl w:val="0"/>
              <w:suppressAutoHyphens w:val="0"/>
              <w:rPr>
                <w:b/>
                <w:bCs/>
                <w:szCs w:val="22"/>
                <w:lang w:val="de-DE"/>
              </w:rPr>
            </w:pPr>
            <w:r>
              <w:rPr>
                <w:b/>
                <w:bCs/>
                <w:szCs w:val="22"/>
                <w:lang w:val="de-DE"/>
              </w:rPr>
              <w:t>Malta</w:t>
            </w:r>
          </w:p>
          <w:p w14:paraId="109ADE87" w14:textId="77777777" w:rsidR="009B3384" w:rsidRDefault="00800862">
            <w:pPr>
              <w:widowControl w:val="0"/>
              <w:suppressAutoHyphens w:val="0"/>
              <w:rPr>
                <w:szCs w:val="22"/>
                <w:lang w:val="de-DE"/>
              </w:rPr>
            </w:pPr>
            <w:r>
              <w:rPr>
                <w:szCs w:val="22"/>
                <w:lang w:val="de-DE"/>
              </w:rPr>
              <w:t xml:space="preserve">AM </w:t>
            </w:r>
            <w:r>
              <w:rPr>
                <w:lang w:val="de-DE"/>
              </w:rPr>
              <w:t>MANGION LTD</w:t>
            </w:r>
          </w:p>
          <w:p w14:paraId="109ADE88" w14:textId="77777777" w:rsidR="009B3384" w:rsidRDefault="00800862">
            <w:pPr>
              <w:widowControl w:val="0"/>
              <w:suppressAutoHyphens w:val="0"/>
              <w:rPr>
                <w:szCs w:val="22"/>
                <w:lang w:val="de-DE"/>
              </w:rPr>
            </w:pPr>
            <w:r>
              <w:rPr>
                <w:szCs w:val="22"/>
                <w:lang w:val="de-DE"/>
              </w:rPr>
              <w:t>Tel: +356 2397 6000</w:t>
            </w:r>
          </w:p>
          <w:p w14:paraId="109ADE89" w14:textId="77777777" w:rsidR="009B3384" w:rsidRDefault="009B3384">
            <w:pPr>
              <w:widowControl w:val="0"/>
              <w:suppressAutoHyphens w:val="0"/>
              <w:rPr>
                <w:szCs w:val="22"/>
                <w:lang w:val="de-DE"/>
              </w:rPr>
            </w:pPr>
          </w:p>
        </w:tc>
      </w:tr>
      <w:tr w:rsidR="009B3384" w14:paraId="109ADE97" w14:textId="77777777">
        <w:trPr>
          <w:cantSplit/>
          <w:jc w:val="center"/>
        </w:trPr>
        <w:tc>
          <w:tcPr>
            <w:tcW w:w="4537" w:type="dxa"/>
            <w:gridSpan w:val="2"/>
          </w:tcPr>
          <w:p w14:paraId="109ADE8B" w14:textId="77777777" w:rsidR="009B3384" w:rsidRDefault="00800862">
            <w:pPr>
              <w:widowControl w:val="0"/>
              <w:suppressAutoHyphens w:val="0"/>
              <w:rPr>
                <w:b/>
                <w:bCs/>
                <w:szCs w:val="22"/>
                <w:lang w:val="de-DE"/>
              </w:rPr>
            </w:pPr>
            <w:r>
              <w:rPr>
                <w:b/>
                <w:bCs/>
                <w:szCs w:val="22"/>
                <w:lang w:val="de-DE"/>
              </w:rPr>
              <w:t>Deutschland</w:t>
            </w:r>
          </w:p>
          <w:p w14:paraId="109ADE8C" w14:textId="77777777" w:rsidR="009B3384" w:rsidRDefault="00800862">
            <w:pPr>
              <w:widowControl w:val="0"/>
              <w:suppressAutoHyphens w:val="0"/>
              <w:rPr>
                <w:szCs w:val="22"/>
                <w:lang w:val="de-DE"/>
              </w:rPr>
            </w:pPr>
            <w:r>
              <w:rPr>
                <w:szCs w:val="22"/>
                <w:lang w:val="de-DE"/>
              </w:rPr>
              <w:t>Janssen-Cilag GmbH</w:t>
            </w:r>
          </w:p>
          <w:p w14:paraId="109ADE8D" w14:textId="77777777" w:rsidR="009B3384" w:rsidRDefault="00800862">
            <w:pPr>
              <w:widowControl w:val="0"/>
              <w:suppressAutoHyphens w:val="0"/>
              <w:rPr>
                <w:szCs w:val="22"/>
                <w:lang w:val="de-DE"/>
              </w:rPr>
            </w:pPr>
            <w:r>
              <w:rPr>
                <w:szCs w:val="22"/>
                <w:lang w:val="de-DE"/>
              </w:rPr>
              <w:t xml:space="preserve">Tel: </w:t>
            </w:r>
            <w:r>
              <w:rPr>
                <w:lang w:val="de-DE"/>
              </w:rPr>
              <w:t xml:space="preserve">0800 086 9247 / </w:t>
            </w:r>
            <w:r>
              <w:rPr>
                <w:szCs w:val="22"/>
                <w:lang w:val="de-DE"/>
              </w:rPr>
              <w:t>+49 2137 955 6955</w:t>
            </w:r>
          </w:p>
          <w:p w14:paraId="109ADE8F" w14:textId="35460F3D" w:rsidR="009B3384" w:rsidRPr="00BC6A43" w:rsidRDefault="00800862">
            <w:pPr>
              <w:widowControl w:val="0"/>
              <w:suppressAutoHyphens w:val="0"/>
              <w:rPr>
                <w:szCs w:val="22"/>
                <w:lang w:val="de-DE"/>
              </w:rPr>
            </w:pPr>
            <w:r w:rsidRPr="00BC6A43">
              <w:rPr>
                <w:lang w:val="de-DE"/>
              </w:rPr>
              <w:t>medinfo-de@its.jnj.com</w:t>
            </w:r>
          </w:p>
          <w:p w14:paraId="109ADE90" w14:textId="77777777" w:rsidR="009B3384" w:rsidRPr="00BC6A43" w:rsidRDefault="009B3384">
            <w:pPr>
              <w:widowControl w:val="0"/>
              <w:suppressAutoHyphens w:val="0"/>
              <w:rPr>
                <w:szCs w:val="22"/>
              </w:rPr>
            </w:pPr>
          </w:p>
        </w:tc>
        <w:tc>
          <w:tcPr>
            <w:tcW w:w="4538" w:type="dxa"/>
            <w:hideMark/>
          </w:tcPr>
          <w:p w14:paraId="109ADE91" w14:textId="77777777" w:rsidR="009B3384" w:rsidRDefault="00800862">
            <w:pPr>
              <w:widowControl w:val="0"/>
              <w:suppressAutoHyphens w:val="0"/>
              <w:rPr>
                <w:b/>
                <w:bCs/>
                <w:szCs w:val="22"/>
                <w:lang w:val="nl-BE"/>
              </w:rPr>
            </w:pPr>
            <w:r>
              <w:rPr>
                <w:b/>
                <w:bCs/>
                <w:szCs w:val="22"/>
                <w:lang w:val="nl-BE"/>
              </w:rPr>
              <w:t>Nederland</w:t>
            </w:r>
          </w:p>
          <w:p w14:paraId="109ADE92" w14:textId="77777777" w:rsidR="009B3384" w:rsidRDefault="00800862">
            <w:pPr>
              <w:widowControl w:val="0"/>
              <w:suppressAutoHyphens w:val="0"/>
              <w:rPr>
                <w:szCs w:val="22"/>
                <w:lang w:val="nl-BE"/>
              </w:rPr>
            </w:pPr>
            <w:r>
              <w:rPr>
                <w:szCs w:val="22"/>
                <w:lang w:val="nl-BE"/>
              </w:rPr>
              <w:t>Janssen-Cilag B.V.</w:t>
            </w:r>
          </w:p>
          <w:p w14:paraId="109ADE93" w14:textId="5BC35F2A" w:rsidR="009B3384" w:rsidRPr="00BC6A43" w:rsidRDefault="00800862">
            <w:pPr>
              <w:widowControl w:val="0"/>
              <w:suppressAutoHyphens w:val="0"/>
              <w:rPr>
                <w:szCs w:val="22"/>
                <w:lang w:val="de-DE"/>
              </w:rPr>
            </w:pPr>
            <w:r w:rsidRPr="00BC6A43">
              <w:rPr>
                <w:szCs w:val="22"/>
                <w:lang w:val="de-DE"/>
              </w:rPr>
              <w:t xml:space="preserve">Tel: </w:t>
            </w:r>
            <w:r>
              <w:rPr>
                <w:lang w:val="de-DE"/>
              </w:rPr>
              <w:t>0800 242 42 42</w:t>
            </w:r>
          </w:p>
          <w:p w14:paraId="109ADE95" w14:textId="6353E06A" w:rsidR="009B3384" w:rsidRPr="00BC6A43" w:rsidRDefault="00800862">
            <w:pPr>
              <w:widowControl w:val="0"/>
              <w:suppressAutoHyphens w:val="0"/>
              <w:rPr>
                <w:lang w:val="de-DE"/>
              </w:rPr>
            </w:pPr>
            <w:r w:rsidRPr="00BC6A43">
              <w:rPr>
                <w:lang w:val="de-DE"/>
              </w:rPr>
              <w:t>info_nl@its.jnj.com</w:t>
            </w:r>
          </w:p>
          <w:p w14:paraId="109ADE96" w14:textId="77777777" w:rsidR="009B3384" w:rsidRPr="00BC6A43" w:rsidRDefault="009B3384">
            <w:pPr>
              <w:widowControl w:val="0"/>
              <w:suppressAutoHyphens w:val="0"/>
              <w:rPr>
                <w:szCs w:val="22"/>
                <w:lang w:val="de-DE"/>
              </w:rPr>
            </w:pPr>
          </w:p>
        </w:tc>
      </w:tr>
      <w:tr w:rsidR="009B3384" w14:paraId="109ADEA2" w14:textId="77777777">
        <w:trPr>
          <w:cantSplit/>
          <w:jc w:val="center"/>
        </w:trPr>
        <w:tc>
          <w:tcPr>
            <w:tcW w:w="4537" w:type="dxa"/>
            <w:gridSpan w:val="2"/>
          </w:tcPr>
          <w:p w14:paraId="109ADE98" w14:textId="77777777" w:rsidR="009B3384" w:rsidRDefault="00800862">
            <w:pPr>
              <w:widowControl w:val="0"/>
              <w:suppressAutoHyphens w:val="0"/>
              <w:rPr>
                <w:b/>
                <w:bCs/>
                <w:szCs w:val="22"/>
                <w:lang w:val="fi-FI"/>
              </w:rPr>
            </w:pPr>
            <w:r>
              <w:rPr>
                <w:b/>
                <w:bCs/>
                <w:szCs w:val="22"/>
                <w:lang w:val="fi-FI"/>
              </w:rPr>
              <w:t>Eesti</w:t>
            </w:r>
          </w:p>
          <w:p w14:paraId="109ADE99" w14:textId="77777777" w:rsidR="009B3384" w:rsidRDefault="00800862">
            <w:pPr>
              <w:widowControl w:val="0"/>
              <w:suppressAutoHyphens w:val="0"/>
              <w:rPr>
                <w:szCs w:val="22"/>
                <w:lang w:val="fi-FI"/>
              </w:rPr>
            </w:pPr>
            <w:r>
              <w:rPr>
                <w:lang w:val="fi-FI"/>
              </w:rPr>
              <w:t>UAB "JOHNSON &amp; JOHNSON"</w:t>
            </w:r>
            <w:r>
              <w:rPr>
                <w:szCs w:val="22"/>
                <w:lang w:val="fi-FI"/>
              </w:rPr>
              <w:t xml:space="preserve"> Eesti filiaal</w:t>
            </w:r>
          </w:p>
          <w:p w14:paraId="109ADE9A" w14:textId="77777777" w:rsidR="009B3384" w:rsidRDefault="00800862">
            <w:pPr>
              <w:widowControl w:val="0"/>
              <w:suppressAutoHyphens w:val="0"/>
              <w:rPr>
                <w:szCs w:val="22"/>
                <w:lang w:val="fi-FI"/>
              </w:rPr>
            </w:pPr>
            <w:r>
              <w:rPr>
                <w:szCs w:val="22"/>
                <w:lang w:val="fi-FI"/>
              </w:rPr>
              <w:t>Tel: +372 617 7410</w:t>
            </w:r>
          </w:p>
          <w:p w14:paraId="109ADE9B" w14:textId="77777777" w:rsidR="009B3384" w:rsidRDefault="00800862">
            <w:pPr>
              <w:widowControl w:val="0"/>
              <w:suppressAutoHyphens w:val="0"/>
              <w:rPr>
                <w:szCs w:val="22"/>
                <w:lang w:val="fi-FI"/>
              </w:rPr>
            </w:pPr>
            <w:r>
              <w:rPr>
                <w:lang w:val="en-GB"/>
              </w:rPr>
              <w:t>ee@its.jnj.com</w:t>
            </w:r>
          </w:p>
          <w:p w14:paraId="109ADE9C" w14:textId="77777777" w:rsidR="009B3384" w:rsidRDefault="009B3384">
            <w:pPr>
              <w:widowControl w:val="0"/>
              <w:suppressAutoHyphens w:val="0"/>
              <w:rPr>
                <w:szCs w:val="22"/>
                <w:lang w:val="fi-FI"/>
              </w:rPr>
            </w:pPr>
          </w:p>
        </w:tc>
        <w:tc>
          <w:tcPr>
            <w:tcW w:w="4538" w:type="dxa"/>
            <w:hideMark/>
          </w:tcPr>
          <w:p w14:paraId="109ADE9D" w14:textId="77777777" w:rsidR="009B3384" w:rsidRDefault="00800862">
            <w:pPr>
              <w:widowControl w:val="0"/>
              <w:suppressAutoHyphens w:val="0"/>
              <w:rPr>
                <w:b/>
                <w:bCs/>
                <w:szCs w:val="22"/>
                <w:lang w:val="nn-NO"/>
              </w:rPr>
            </w:pPr>
            <w:r>
              <w:rPr>
                <w:b/>
                <w:bCs/>
                <w:szCs w:val="22"/>
                <w:lang w:val="nn-NO"/>
              </w:rPr>
              <w:t>Norge</w:t>
            </w:r>
          </w:p>
          <w:p w14:paraId="109ADE9E" w14:textId="77777777" w:rsidR="009B3384" w:rsidRDefault="00800862">
            <w:pPr>
              <w:widowControl w:val="0"/>
              <w:suppressAutoHyphens w:val="0"/>
              <w:rPr>
                <w:szCs w:val="22"/>
                <w:lang w:val="nn-NO"/>
              </w:rPr>
            </w:pPr>
            <w:r>
              <w:rPr>
                <w:szCs w:val="22"/>
                <w:lang w:val="nn-NO"/>
              </w:rPr>
              <w:t>Janssen-Cilag AS</w:t>
            </w:r>
          </w:p>
          <w:p w14:paraId="109ADE9F" w14:textId="77777777" w:rsidR="009B3384" w:rsidRDefault="00800862">
            <w:pPr>
              <w:widowControl w:val="0"/>
              <w:suppressAutoHyphens w:val="0"/>
              <w:rPr>
                <w:szCs w:val="22"/>
                <w:lang w:val="nb-NO"/>
              </w:rPr>
            </w:pPr>
            <w:r>
              <w:rPr>
                <w:szCs w:val="22"/>
                <w:lang w:val="nb-NO"/>
              </w:rPr>
              <w:t>Tlf: +47 24 12 65 00</w:t>
            </w:r>
          </w:p>
          <w:p w14:paraId="109ADEA0" w14:textId="77777777" w:rsidR="009B3384" w:rsidRDefault="00800862">
            <w:pPr>
              <w:widowControl w:val="0"/>
              <w:suppressAutoHyphens w:val="0"/>
              <w:rPr>
                <w:szCs w:val="22"/>
                <w:lang w:val="en-GB"/>
              </w:rPr>
            </w:pPr>
            <w:r>
              <w:rPr>
                <w:lang w:val="en-GB"/>
              </w:rPr>
              <w:t>jacno@its.jnj.com</w:t>
            </w:r>
          </w:p>
          <w:p w14:paraId="109ADEA1" w14:textId="77777777" w:rsidR="009B3384" w:rsidRDefault="009B3384">
            <w:pPr>
              <w:widowControl w:val="0"/>
              <w:suppressAutoHyphens w:val="0"/>
              <w:rPr>
                <w:szCs w:val="22"/>
                <w:lang w:val="en-GB"/>
              </w:rPr>
            </w:pPr>
          </w:p>
        </w:tc>
      </w:tr>
      <w:tr w:rsidR="009B3384" w14:paraId="109ADEAB" w14:textId="77777777">
        <w:trPr>
          <w:cantSplit/>
          <w:jc w:val="center"/>
        </w:trPr>
        <w:tc>
          <w:tcPr>
            <w:tcW w:w="4537" w:type="dxa"/>
            <w:gridSpan w:val="2"/>
          </w:tcPr>
          <w:p w14:paraId="109ADEA3" w14:textId="77777777" w:rsidR="009B3384" w:rsidRDefault="00800862">
            <w:pPr>
              <w:widowControl w:val="0"/>
              <w:suppressAutoHyphens w:val="0"/>
              <w:rPr>
                <w:b/>
                <w:bCs/>
                <w:szCs w:val="22"/>
                <w:lang w:val="el-GR"/>
              </w:rPr>
            </w:pPr>
            <w:r>
              <w:rPr>
                <w:b/>
                <w:bCs/>
                <w:szCs w:val="22"/>
                <w:lang w:val="el-GR"/>
              </w:rPr>
              <w:t>Ελλάδα</w:t>
            </w:r>
          </w:p>
          <w:p w14:paraId="109ADEA4"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Φαρμακευτική Μονοπρόσωπη Α.Ε.Β.Ε.</w:t>
            </w:r>
          </w:p>
          <w:p w14:paraId="109ADEA5" w14:textId="77777777" w:rsidR="009B3384" w:rsidRDefault="00800862">
            <w:pPr>
              <w:widowControl w:val="0"/>
              <w:suppressAutoHyphens w:val="0"/>
              <w:rPr>
                <w:szCs w:val="22"/>
                <w:lang w:val="el-GR"/>
              </w:rPr>
            </w:pPr>
            <w:r>
              <w:rPr>
                <w:szCs w:val="22"/>
                <w:lang w:val="en-GB"/>
              </w:rPr>
              <w:t>T</w:t>
            </w:r>
            <w:r>
              <w:rPr>
                <w:szCs w:val="22"/>
                <w:lang w:val="el-GR"/>
              </w:rPr>
              <w:t>ηλ: +30 210 80 90 000</w:t>
            </w:r>
          </w:p>
          <w:p w14:paraId="109ADEA6" w14:textId="77777777" w:rsidR="009B3384" w:rsidRDefault="009B3384">
            <w:pPr>
              <w:widowControl w:val="0"/>
              <w:suppressAutoHyphens w:val="0"/>
              <w:rPr>
                <w:szCs w:val="22"/>
                <w:lang w:val="el-GR"/>
              </w:rPr>
            </w:pPr>
          </w:p>
        </w:tc>
        <w:tc>
          <w:tcPr>
            <w:tcW w:w="4538" w:type="dxa"/>
            <w:hideMark/>
          </w:tcPr>
          <w:p w14:paraId="109ADEA7" w14:textId="77777777" w:rsidR="009B3384" w:rsidRDefault="00800862">
            <w:pPr>
              <w:widowControl w:val="0"/>
              <w:suppressAutoHyphens w:val="0"/>
              <w:rPr>
                <w:b/>
                <w:bCs/>
                <w:szCs w:val="22"/>
                <w:lang w:val="el-GR"/>
              </w:rPr>
            </w:pPr>
            <w:r>
              <w:rPr>
                <w:b/>
                <w:bCs/>
                <w:szCs w:val="22"/>
                <w:lang w:val="el-GR"/>
              </w:rPr>
              <w:t>Ö</w:t>
            </w:r>
            <w:r>
              <w:rPr>
                <w:b/>
                <w:bCs/>
                <w:szCs w:val="22"/>
                <w:lang w:val="de-DE"/>
              </w:rPr>
              <w:t>sterreich</w:t>
            </w:r>
          </w:p>
          <w:p w14:paraId="109ADEA8" w14:textId="77777777" w:rsidR="009B3384" w:rsidRDefault="00800862">
            <w:pPr>
              <w:widowControl w:val="0"/>
              <w:suppressAutoHyphens w:val="0"/>
              <w:rPr>
                <w:szCs w:val="22"/>
                <w:lang w:val="el-GR"/>
              </w:rPr>
            </w:pPr>
            <w:r>
              <w:rPr>
                <w:szCs w:val="22"/>
                <w:lang w:val="de-DE"/>
              </w:rPr>
              <w:t>Janssen</w:t>
            </w:r>
            <w:r>
              <w:rPr>
                <w:szCs w:val="22"/>
                <w:lang w:val="el-GR"/>
              </w:rPr>
              <w:t>-</w:t>
            </w:r>
            <w:r>
              <w:rPr>
                <w:szCs w:val="22"/>
                <w:lang w:val="de-DE"/>
              </w:rPr>
              <w:t>Cilag</w:t>
            </w:r>
            <w:r>
              <w:rPr>
                <w:szCs w:val="22"/>
                <w:lang w:val="el-GR"/>
              </w:rPr>
              <w:t xml:space="preserve"> </w:t>
            </w:r>
            <w:r>
              <w:rPr>
                <w:szCs w:val="22"/>
                <w:lang w:val="de-DE"/>
              </w:rPr>
              <w:t>Pharma</w:t>
            </w:r>
            <w:r>
              <w:rPr>
                <w:szCs w:val="22"/>
                <w:lang w:val="el-GR"/>
              </w:rPr>
              <w:t xml:space="preserve"> </w:t>
            </w:r>
            <w:r>
              <w:rPr>
                <w:szCs w:val="22"/>
                <w:lang w:val="de-DE"/>
              </w:rPr>
              <w:t>GmbH</w:t>
            </w:r>
          </w:p>
          <w:p w14:paraId="109ADEA9" w14:textId="23D535D3" w:rsidR="009B3384" w:rsidRPr="00BC6A43" w:rsidRDefault="00800862">
            <w:pPr>
              <w:widowControl w:val="0"/>
              <w:suppressAutoHyphens w:val="0"/>
              <w:rPr>
                <w:szCs w:val="22"/>
                <w:lang w:val="el-GR"/>
              </w:rPr>
            </w:pPr>
            <w:r>
              <w:rPr>
                <w:szCs w:val="22"/>
                <w:lang w:val="nl-BE"/>
              </w:rPr>
              <w:t>Tel</w:t>
            </w:r>
            <w:r>
              <w:rPr>
                <w:szCs w:val="22"/>
                <w:lang w:val="el-GR"/>
              </w:rPr>
              <w:t>: +43 1 610 300</w:t>
            </w:r>
          </w:p>
          <w:p w14:paraId="109ADEAA" w14:textId="77777777" w:rsidR="009B3384" w:rsidRDefault="009B3384">
            <w:pPr>
              <w:widowControl w:val="0"/>
              <w:suppressAutoHyphens w:val="0"/>
              <w:rPr>
                <w:szCs w:val="22"/>
                <w:lang w:val="el-GR"/>
              </w:rPr>
            </w:pPr>
          </w:p>
        </w:tc>
      </w:tr>
      <w:tr w:rsidR="009B3384" w14:paraId="109ADEB5" w14:textId="77777777">
        <w:trPr>
          <w:gridBefore w:val="1"/>
          <w:wBefore w:w="10" w:type="dxa"/>
          <w:cantSplit/>
          <w:jc w:val="center"/>
        </w:trPr>
        <w:tc>
          <w:tcPr>
            <w:tcW w:w="4532" w:type="dxa"/>
          </w:tcPr>
          <w:p w14:paraId="109ADEAC" w14:textId="77777777" w:rsidR="009B3384" w:rsidRDefault="00800862">
            <w:pPr>
              <w:widowControl w:val="0"/>
              <w:suppressAutoHyphens w:val="0"/>
              <w:rPr>
                <w:b/>
                <w:bCs/>
                <w:szCs w:val="22"/>
                <w:lang w:val="nl-BE"/>
              </w:rPr>
            </w:pPr>
            <w:r>
              <w:rPr>
                <w:b/>
                <w:bCs/>
                <w:szCs w:val="22"/>
                <w:lang w:val="nl-BE"/>
              </w:rPr>
              <w:lastRenderedPageBreak/>
              <w:t>España</w:t>
            </w:r>
          </w:p>
          <w:p w14:paraId="109ADEAD" w14:textId="77777777" w:rsidR="009B3384" w:rsidRDefault="00800862">
            <w:pPr>
              <w:widowControl w:val="0"/>
              <w:suppressAutoHyphens w:val="0"/>
              <w:rPr>
                <w:szCs w:val="22"/>
                <w:lang w:val="nl-BE"/>
              </w:rPr>
            </w:pPr>
            <w:r>
              <w:rPr>
                <w:szCs w:val="22"/>
                <w:lang w:val="nl-BE"/>
              </w:rPr>
              <w:t>Janssen-Cilag, S.A.</w:t>
            </w:r>
          </w:p>
          <w:p w14:paraId="109ADEAE" w14:textId="77777777" w:rsidR="009B3384" w:rsidRDefault="00800862">
            <w:pPr>
              <w:widowControl w:val="0"/>
              <w:suppressAutoHyphens w:val="0"/>
              <w:rPr>
                <w:szCs w:val="22"/>
                <w:lang w:val="de-DE"/>
              </w:rPr>
            </w:pPr>
            <w:r>
              <w:rPr>
                <w:szCs w:val="22"/>
                <w:lang w:val="de-DE"/>
              </w:rPr>
              <w:t>Tel: +34 91 722 81 00</w:t>
            </w:r>
          </w:p>
          <w:p w14:paraId="109ADEAF" w14:textId="77777777" w:rsidR="009B3384" w:rsidRDefault="00800862">
            <w:pPr>
              <w:widowControl w:val="0"/>
              <w:suppressAutoHyphens w:val="0"/>
              <w:rPr>
                <w:szCs w:val="22"/>
                <w:lang w:val="de-DE"/>
              </w:rPr>
            </w:pPr>
            <w:r>
              <w:rPr>
                <w:lang w:val="de-DE"/>
              </w:rPr>
              <w:t>contacto@its.jnj.com</w:t>
            </w:r>
          </w:p>
          <w:p w14:paraId="109ADEB0" w14:textId="77777777" w:rsidR="009B3384" w:rsidRDefault="009B3384">
            <w:pPr>
              <w:widowControl w:val="0"/>
              <w:suppressAutoHyphens w:val="0"/>
              <w:rPr>
                <w:szCs w:val="22"/>
                <w:lang w:val="de-DE"/>
              </w:rPr>
            </w:pPr>
          </w:p>
        </w:tc>
        <w:tc>
          <w:tcPr>
            <w:tcW w:w="4533" w:type="dxa"/>
          </w:tcPr>
          <w:p w14:paraId="109ADEB1" w14:textId="77777777" w:rsidR="009B3384" w:rsidRDefault="00800862">
            <w:pPr>
              <w:widowControl w:val="0"/>
              <w:suppressAutoHyphens w:val="0"/>
              <w:rPr>
                <w:b/>
                <w:bCs/>
                <w:szCs w:val="22"/>
                <w:lang w:val="pl-PL"/>
              </w:rPr>
            </w:pPr>
            <w:r>
              <w:rPr>
                <w:b/>
                <w:bCs/>
                <w:szCs w:val="22"/>
                <w:lang w:val="pl-PL"/>
              </w:rPr>
              <w:t>Polska</w:t>
            </w:r>
          </w:p>
          <w:p w14:paraId="109ADEB2" w14:textId="77777777" w:rsidR="009B3384" w:rsidRDefault="00800862">
            <w:pPr>
              <w:widowControl w:val="0"/>
              <w:suppressAutoHyphens w:val="0"/>
              <w:rPr>
                <w:szCs w:val="22"/>
                <w:lang w:val="pl-PL"/>
              </w:rPr>
            </w:pPr>
            <w:r>
              <w:rPr>
                <w:szCs w:val="22"/>
                <w:lang w:val="pl-PL"/>
              </w:rPr>
              <w:t>Janssen-Cilag Polska Sp. z o.o.</w:t>
            </w:r>
          </w:p>
          <w:p w14:paraId="109ADEB3" w14:textId="77777777" w:rsidR="009B3384" w:rsidRDefault="00800862">
            <w:pPr>
              <w:widowControl w:val="0"/>
              <w:suppressAutoHyphens w:val="0"/>
              <w:rPr>
                <w:szCs w:val="22"/>
                <w:lang w:val="pl-PL"/>
              </w:rPr>
            </w:pPr>
            <w:r>
              <w:rPr>
                <w:szCs w:val="22"/>
                <w:lang w:val="pl-PL"/>
              </w:rPr>
              <w:t>Tel.: +48 22 237 60 00</w:t>
            </w:r>
          </w:p>
          <w:p w14:paraId="109ADEB4" w14:textId="77777777" w:rsidR="009B3384" w:rsidRDefault="009B3384">
            <w:pPr>
              <w:widowControl w:val="0"/>
              <w:suppressAutoHyphens w:val="0"/>
              <w:rPr>
                <w:szCs w:val="22"/>
                <w:lang w:val="pl-PL"/>
              </w:rPr>
            </w:pPr>
          </w:p>
        </w:tc>
      </w:tr>
      <w:tr w:rsidR="009B3384" w14:paraId="109ADEBF" w14:textId="77777777">
        <w:trPr>
          <w:gridBefore w:val="1"/>
          <w:wBefore w:w="10" w:type="dxa"/>
          <w:cantSplit/>
          <w:jc w:val="center"/>
        </w:trPr>
        <w:tc>
          <w:tcPr>
            <w:tcW w:w="4532" w:type="dxa"/>
          </w:tcPr>
          <w:p w14:paraId="109ADEB6" w14:textId="77777777" w:rsidR="009B3384" w:rsidRDefault="00800862">
            <w:pPr>
              <w:widowControl w:val="0"/>
              <w:suppressAutoHyphens w:val="0"/>
              <w:rPr>
                <w:b/>
                <w:bCs/>
                <w:szCs w:val="22"/>
                <w:lang w:val="fr-BE"/>
              </w:rPr>
            </w:pPr>
            <w:r>
              <w:rPr>
                <w:b/>
                <w:bCs/>
                <w:szCs w:val="22"/>
                <w:lang w:val="fr-BE"/>
              </w:rPr>
              <w:t>France</w:t>
            </w:r>
          </w:p>
          <w:p w14:paraId="109ADEB7" w14:textId="77777777" w:rsidR="009B3384" w:rsidRDefault="00800862">
            <w:pPr>
              <w:widowControl w:val="0"/>
              <w:suppressAutoHyphens w:val="0"/>
              <w:rPr>
                <w:szCs w:val="22"/>
                <w:lang w:val="fr-BE"/>
              </w:rPr>
            </w:pPr>
            <w:r>
              <w:rPr>
                <w:szCs w:val="22"/>
                <w:lang w:val="fr-FR"/>
              </w:rPr>
              <w:t>Janssen-Cilag</w:t>
            </w:r>
          </w:p>
          <w:p w14:paraId="109ADEB8" w14:textId="77777777" w:rsidR="009B3384" w:rsidRDefault="00800862">
            <w:pPr>
              <w:widowControl w:val="0"/>
              <w:suppressAutoHyphens w:val="0"/>
              <w:rPr>
                <w:szCs w:val="22"/>
                <w:lang w:val="fr-FR"/>
              </w:rPr>
            </w:pPr>
            <w:proofErr w:type="gramStart"/>
            <w:r>
              <w:rPr>
                <w:szCs w:val="22"/>
                <w:lang w:val="fr-FR"/>
              </w:rPr>
              <w:t>Tél:</w:t>
            </w:r>
            <w:proofErr w:type="gramEnd"/>
            <w:r>
              <w:rPr>
                <w:szCs w:val="22"/>
                <w:lang w:val="fr-FR"/>
              </w:rPr>
              <w:t xml:space="preserve"> </w:t>
            </w:r>
            <w:r>
              <w:rPr>
                <w:lang w:val="fr-FR"/>
              </w:rPr>
              <w:t xml:space="preserve">0 800 25 50 75 / </w:t>
            </w:r>
            <w:r>
              <w:rPr>
                <w:szCs w:val="22"/>
                <w:lang w:val="fr-FR"/>
              </w:rPr>
              <w:t>+33 1 55 00 40 03</w:t>
            </w:r>
          </w:p>
          <w:p w14:paraId="109ADEB9" w14:textId="77777777" w:rsidR="009B3384" w:rsidRDefault="00800862">
            <w:pPr>
              <w:widowControl w:val="0"/>
              <w:suppressAutoHyphens w:val="0"/>
              <w:rPr>
                <w:szCs w:val="22"/>
                <w:lang w:val="fr-FR"/>
              </w:rPr>
            </w:pPr>
            <w:r>
              <w:rPr>
                <w:lang w:val="fr-FR"/>
              </w:rPr>
              <w:t>medisource@its.jnj.com</w:t>
            </w:r>
          </w:p>
          <w:p w14:paraId="109ADEBA" w14:textId="77777777" w:rsidR="009B3384" w:rsidRDefault="009B3384">
            <w:pPr>
              <w:widowControl w:val="0"/>
              <w:suppressAutoHyphens w:val="0"/>
              <w:rPr>
                <w:szCs w:val="22"/>
                <w:lang w:val="fr-FR"/>
              </w:rPr>
            </w:pPr>
          </w:p>
        </w:tc>
        <w:tc>
          <w:tcPr>
            <w:tcW w:w="4533" w:type="dxa"/>
            <w:hideMark/>
          </w:tcPr>
          <w:p w14:paraId="109ADEBB" w14:textId="77777777" w:rsidR="009B3384" w:rsidRDefault="00800862">
            <w:pPr>
              <w:widowControl w:val="0"/>
              <w:suppressAutoHyphens w:val="0"/>
              <w:rPr>
                <w:b/>
                <w:bCs/>
                <w:szCs w:val="22"/>
                <w:lang w:val="pt-PT"/>
              </w:rPr>
            </w:pPr>
            <w:r>
              <w:rPr>
                <w:b/>
                <w:bCs/>
                <w:szCs w:val="22"/>
                <w:lang w:val="pt-PT"/>
              </w:rPr>
              <w:t>Portugal</w:t>
            </w:r>
          </w:p>
          <w:p w14:paraId="109ADEBC" w14:textId="77777777" w:rsidR="009B3384" w:rsidRDefault="00800862">
            <w:pPr>
              <w:widowControl w:val="0"/>
              <w:suppressAutoHyphens w:val="0"/>
              <w:rPr>
                <w:szCs w:val="22"/>
                <w:lang w:val="pt-PT"/>
              </w:rPr>
            </w:pPr>
            <w:r>
              <w:rPr>
                <w:szCs w:val="22"/>
                <w:lang w:val="pt-PT"/>
              </w:rPr>
              <w:t>Janssen-Cilag Farmacêutica, Lda.</w:t>
            </w:r>
          </w:p>
          <w:p w14:paraId="109ADEBD" w14:textId="77777777" w:rsidR="009B3384" w:rsidRDefault="00800862">
            <w:pPr>
              <w:widowControl w:val="0"/>
              <w:suppressAutoHyphens w:val="0"/>
              <w:rPr>
                <w:szCs w:val="22"/>
                <w:lang w:val="en-GB"/>
              </w:rPr>
            </w:pPr>
            <w:r>
              <w:rPr>
                <w:szCs w:val="22"/>
                <w:lang w:val="en-GB"/>
              </w:rPr>
              <w:t>Tel: +351 214 368 600</w:t>
            </w:r>
          </w:p>
          <w:p w14:paraId="109ADEBE" w14:textId="77777777" w:rsidR="009B3384" w:rsidRDefault="009B3384">
            <w:pPr>
              <w:widowControl w:val="0"/>
              <w:suppressAutoHyphens w:val="0"/>
              <w:rPr>
                <w:szCs w:val="22"/>
                <w:lang w:val="en-GB"/>
              </w:rPr>
            </w:pPr>
          </w:p>
        </w:tc>
      </w:tr>
      <w:tr w:rsidR="009B3384" w14:paraId="109ADEC9" w14:textId="77777777">
        <w:trPr>
          <w:gridBefore w:val="1"/>
          <w:wBefore w:w="10" w:type="dxa"/>
          <w:cantSplit/>
          <w:jc w:val="center"/>
        </w:trPr>
        <w:tc>
          <w:tcPr>
            <w:tcW w:w="4532" w:type="dxa"/>
          </w:tcPr>
          <w:p w14:paraId="109ADEC0" w14:textId="77777777" w:rsidR="009B3384" w:rsidRDefault="00800862">
            <w:pPr>
              <w:suppressAutoHyphens w:val="0"/>
              <w:rPr>
                <w:szCs w:val="22"/>
              </w:rPr>
            </w:pPr>
            <w:r>
              <w:rPr>
                <w:b/>
                <w:szCs w:val="22"/>
                <w:lang w:val="en-GB"/>
              </w:rPr>
              <w:t>Hrvatska</w:t>
            </w:r>
          </w:p>
          <w:p w14:paraId="109ADEC1" w14:textId="77777777" w:rsidR="009B3384" w:rsidRDefault="00800862">
            <w:pPr>
              <w:suppressAutoHyphens w:val="0"/>
            </w:pPr>
            <w:r>
              <w:rPr>
                <w:lang w:val="en-GB"/>
              </w:rPr>
              <w:t>Johnson</w:t>
            </w:r>
            <w:r>
              <w:t xml:space="preserve"> &amp; </w:t>
            </w:r>
            <w:r>
              <w:rPr>
                <w:lang w:val="en-GB"/>
              </w:rPr>
              <w:t>Johnson</w:t>
            </w:r>
            <w:r>
              <w:t xml:space="preserve"> </w:t>
            </w:r>
            <w:r>
              <w:rPr>
                <w:lang w:val="en-GB"/>
              </w:rPr>
              <w:t>S</w:t>
            </w:r>
            <w:r>
              <w:t>.</w:t>
            </w:r>
            <w:r>
              <w:rPr>
                <w:lang w:val="en-GB"/>
              </w:rPr>
              <w:t>E</w:t>
            </w:r>
            <w:r>
              <w:t xml:space="preserve">. </w:t>
            </w:r>
            <w:r>
              <w:rPr>
                <w:lang w:val="en-GB"/>
              </w:rPr>
              <w:t>d</w:t>
            </w:r>
            <w:r>
              <w:t>.</w:t>
            </w:r>
            <w:r>
              <w:rPr>
                <w:lang w:val="en-GB"/>
              </w:rPr>
              <w:t>o</w:t>
            </w:r>
            <w:r>
              <w:t>.</w:t>
            </w:r>
            <w:r>
              <w:rPr>
                <w:lang w:val="en-GB"/>
              </w:rPr>
              <w:t>o</w:t>
            </w:r>
            <w:r>
              <w:t>.</w:t>
            </w:r>
          </w:p>
          <w:p w14:paraId="109ADEC2" w14:textId="77777777" w:rsidR="009B3384" w:rsidRDefault="00800862">
            <w:pPr>
              <w:widowControl w:val="0"/>
              <w:suppressAutoHyphens w:val="0"/>
              <w:rPr>
                <w:lang w:val="en-GB"/>
              </w:rPr>
            </w:pPr>
            <w:r>
              <w:rPr>
                <w:lang w:val="en-GB"/>
              </w:rPr>
              <w:t>Tel: +385 1 6610 700</w:t>
            </w:r>
          </w:p>
          <w:p w14:paraId="109ADEC3" w14:textId="77777777" w:rsidR="009B3384" w:rsidRDefault="00800862">
            <w:pPr>
              <w:widowControl w:val="0"/>
              <w:suppressAutoHyphens w:val="0"/>
              <w:rPr>
                <w:szCs w:val="22"/>
                <w:lang w:val="en-GB"/>
              </w:rPr>
            </w:pPr>
            <w:r>
              <w:rPr>
                <w:lang w:val="en-GB"/>
              </w:rPr>
              <w:t>jjsafety@JNJCR.JNJ.com</w:t>
            </w:r>
          </w:p>
          <w:p w14:paraId="109ADEC4" w14:textId="77777777" w:rsidR="009B3384" w:rsidRDefault="009B3384">
            <w:pPr>
              <w:widowControl w:val="0"/>
              <w:suppressAutoHyphens w:val="0"/>
              <w:rPr>
                <w:szCs w:val="22"/>
                <w:lang w:val="en-GB"/>
              </w:rPr>
            </w:pPr>
          </w:p>
        </w:tc>
        <w:tc>
          <w:tcPr>
            <w:tcW w:w="4533" w:type="dxa"/>
          </w:tcPr>
          <w:p w14:paraId="109ADEC5" w14:textId="77777777" w:rsidR="009B3384" w:rsidRDefault="00800862">
            <w:pPr>
              <w:widowControl w:val="0"/>
              <w:suppressAutoHyphens w:val="0"/>
              <w:rPr>
                <w:b/>
                <w:bCs/>
                <w:szCs w:val="22"/>
                <w:lang w:val="en-GB"/>
              </w:rPr>
            </w:pPr>
            <w:proofErr w:type="spellStart"/>
            <w:r>
              <w:rPr>
                <w:b/>
                <w:bCs/>
                <w:szCs w:val="22"/>
                <w:lang w:val="en-GB"/>
              </w:rPr>
              <w:t>România</w:t>
            </w:r>
            <w:proofErr w:type="spellEnd"/>
          </w:p>
          <w:p w14:paraId="109ADEC6" w14:textId="77777777" w:rsidR="009B3384" w:rsidRDefault="00800862">
            <w:pPr>
              <w:widowControl w:val="0"/>
              <w:suppressAutoHyphens w:val="0"/>
              <w:rPr>
                <w:szCs w:val="22"/>
                <w:lang w:val="en-GB"/>
              </w:rPr>
            </w:pPr>
            <w:r>
              <w:rPr>
                <w:szCs w:val="22"/>
                <w:lang w:val="en-GB"/>
              </w:rPr>
              <w:t xml:space="preserve">Johnson &amp; Johnson </w:t>
            </w:r>
            <w:proofErr w:type="spellStart"/>
            <w:r>
              <w:rPr>
                <w:szCs w:val="22"/>
                <w:lang w:val="en-GB"/>
              </w:rPr>
              <w:t>Rom</w:t>
            </w:r>
            <w:r>
              <w:rPr>
                <w:bCs/>
                <w:szCs w:val="22"/>
                <w:lang w:val="en-GB"/>
              </w:rPr>
              <w:t>â</w:t>
            </w:r>
            <w:r>
              <w:rPr>
                <w:szCs w:val="22"/>
                <w:lang w:val="en-GB"/>
              </w:rPr>
              <w:t>nia</w:t>
            </w:r>
            <w:proofErr w:type="spellEnd"/>
            <w:r>
              <w:rPr>
                <w:szCs w:val="22"/>
                <w:lang w:val="en-GB"/>
              </w:rPr>
              <w:t xml:space="preserve"> SRL</w:t>
            </w:r>
          </w:p>
          <w:p w14:paraId="109ADEC7" w14:textId="77777777" w:rsidR="009B3384" w:rsidRDefault="00800862">
            <w:pPr>
              <w:widowControl w:val="0"/>
              <w:suppressAutoHyphens w:val="0"/>
              <w:rPr>
                <w:lang w:val="en-GB"/>
              </w:rPr>
            </w:pPr>
            <w:r>
              <w:rPr>
                <w:lang w:val="en-GB"/>
              </w:rPr>
              <w:t>Tel: +40 21 207 1800</w:t>
            </w:r>
          </w:p>
          <w:p w14:paraId="109ADEC8" w14:textId="77777777" w:rsidR="009B3384" w:rsidRDefault="009B3384">
            <w:pPr>
              <w:widowControl w:val="0"/>
              <w:suppressAutoHyphens w:val="0"/>
              <w:rPr>
                <w:szCs w:val="22"/>
                <w:lang w:val="en-GB"/>
              </w:rPr>
            </w:pPr>
          </w:p>
        </w:tc>
      </w:tr>
      <w:tr w:rsidR="009B3384" w14:paraId="109ADED5" w14:textId="77777777">
        <w:trPr>
          <w:gridBefore w:val="1"/>
          <w:wBefore w:w="10" w:type="dxa"/>
          <w:cantSplit/>
          <w:jc w:val="center"/>
        </w:trPr>
        <w:tc>
          <w:tcPr>
            <w:tcW w:w="4532" w:type="dxa"/>
          </w:tcPr>
          <w:p w14:paraId="109ADECA" w14:textId="77777777" w:rsidR="009B3384" w:rsidRDefault="00800862">
            <w:pPr>
              <w:widowControl w:val="0"/>
              <w:suppressAutoHyphens w:val="0"/>
              <w:rPr>
                <w:b/>
                <w:bCs/>
                <w:szCs w:val="22"/>
                <w:lang w:val="fr-FR"/>
              </w:rPr>
            </w:pPr>
            <w:r>
              <w:rPr>
                <w:b/>
                <w:bCs/>
                <w:szCs w:val="22"/>
                <w:lang w:val="fr-FR"/>
              </w:rPr>
              <w:t>Ireland</w:t>
            </w:r>
          </w:p>
          <w:p w14:paraId="109ADECB" w14:textId="77777777" w:rsidR="009B3384" w:rsidRDefault="00800862">
            <w:pPr>
              <w:widowControl w:val="0"/>
              <w:suppressAutoHyphens w:val="0"/>
              <w:rPr>
                <w:szCs w:val="22"/>
                <w:lang w:val="fr-FR"/>
              </w:rPr>
            </w:pPr>
            <w:r>
              <w:rPr>
                <w:szCs w:val="22"/>
                <w:lang w:val="fr-FR"/>
              </w:rPr>
              <w:t>Janssen Sciences Ireland UC</w:t>
            </w:r>
          </w:p>
          <w:p w14:paraId="109ADECC" w14:textId="77777777" w:rsidR="009B3384" w:rsidRDefault="00800862">
            <w:pPr>
              <w:widowControl w:val="0"/>
              <w:suppressAutoHyphens w:val="0"/>
              <w:rPr>
                <w:szCs w:val="22"/>
                <w:lang w:val="fr-FR"/>
              </w:rPr>
            </w:pPr>
            <w:proofErr w:type="gramStart"/>
            <w:r>
              <w:rPr>
                <w:szCs w:val="22"/>
                <w:lang w:val="fr-FR"/>
              </w:rPr>
              <w:t>Tel:</w:t>
            </w:r>
            <w:proofErr w:type="gramEnd"/>
            <w:r>
              <w:rPr>
                <w:szCs w:val="22"/>
                <w:lang w:val="fr-FR"/>
              </w:rPr>
              <w:t xml:space="preserve"> 1 800 709 122</w:t>
            </w:r>
          </w:p>
          <w:p w14:paraId="109ADECD" w14:textId="457EA808" w:rsidR="009B3384" w:rsidRDefault="00800862">
            <w:pPr>
              <w:widowControl w:val="0"/>
              <w:suppressAutoHyphens w:val="0"/>
              <w:rPr>
                <w:szCs w:val="22"/>
                <w:lang w:val="fr-FR"/>
              </w:rPr>
            </w:pPr>
            <w:r w:rsidRPr="00BC6A43">
              <w:t>medinfo@its.jnj.com</w:t>
            </w:r>
          </w:p>
          <w:p w14:paraId="109ADECE" w14:textId="77777777" w:rsidR="009B3384" w:rsidRDefault="009B3384">
            <w:pPr>
              <w:widowControl w:val="0"/>
              <w:suppressAutoHyphens w:val="0"/>
              <w:rPr>
                <w:szCs w:val="22"/>
                <w:lang w:val="fr-FR"/>
              </w:rPr>
            </w:pPr>
          </w:p>
        </w:tc>
        <w:tc>
          <w:tcPr>
            <w:tcW w:w="4533" w:type="dxa"/>
          </w:tcPr>
          <w:p w14:paraId="109ADECF" w14:textId="77777777" w:rsidR="009B3384" w:rsidRDefault="00800862">
            <w:pPr>
              <w:widowControl w:val="0"/>
              <w:suppressAutoHyphens w:val="0"/>
              <w:rPr>
                <w:b/>
                <w:bCs/>
                <w:szCs w:val="22"/>
                <w:lang w:val="fr-FR"/>
              </w:rPr>
            </w:pPr>
            <w:r>
              <w:rPr>
                <w:b/>
                <w:bCs/>
                <w:szCs w:val="22"/>
                <w:lang w:val="fr-FR"/>
              </w:rPr>
              <w:t>Slovenija</w:t>
            </w:r>
          </w:p>
          <w:p w14:paraId="109ADED0" w14:textId="77777777" w:rsidR="009B3384" w:rsidRDefault="00800862">
            <w:pPr>
              <w:widowControl w:val="0"/>
              <w:suppressAutoHyphens w:val="0"/>
              <w:rPr>
                <w:szCs w:val="22"/>
                <w:lang w:val="fr-FR"/>
              </w:rPr>
            </w:pPr>
            <w:r>
              <w:rPr>
                <w:szCs w:val="22"/>
                <w:lang w:val="fr-FR"/>
              </w:rPr>
              <w:t xml:space="preserve">Johnson &amp; Johnson </w:t>
            </w:r>
            <w:proofErr w:type="spellStart"/>
            <w:r>
              <w:rPr>
                <w:szCs w:val="22"/>
                <w:lang w:val="fr-FR"/>
              </w:rPr>
              <w:t>d.o.o</w:t>
            </w:r>
            <w:proofErr w:type="spellEnd"/>
            <w:r>
              <w:rPr>
                <w:szCs w:val="22"/>
                <w:lang w:val="fr-FR"/>
              </w:rPr>
              <w:t>.</w:t>
            </w:r>
          </w:p>
          <w:p w14:paraId="109ADED1" w14:textId="77777777" w:rsidR="009B3384" w:rsidRDefault="00800862">
            <w:pPr>
              <w:widowControl w:val="0"/>
              <w:suppressAutoHyphens w:val="0"/>
              <w:rPr>
                <w:szCs w:val="22"/>
                <w:lang w:val="de-DE"/>
              </w:rPr>
            </w:pPr>
            <w:r>
              <w:rPr>
                <w:szCs w:val="22"/>
                <w:lang w:val="de-DE"/>
              </w:rPr>
              <w:t>Tel: +386 1 401 18 00</w:t>
            </w:r>
          </w:p>
          <w:p w14:paraId="109ADED2" w14:textId="27012694" w:rsidR="009B3384" w:rsidRDefault="00800862">
            <w:pPr>
              <w:widowControl w:val="0"/>
              <w:suppressAutoHyphens w:val="0"/>
            </w:pPr>
            <w:r w:rsidRPr="00BC6A43">
              <w:t>JNJ-SI-safety@its.jnj.com</w:t>
            </w:r>
          </w:p>
          <w:p w14:paraId="109ADED4" w14:textId="77777777" w:rsidR="009B3384" w:rsidRDefault="009B3384">
            <w:pPr>
              <w:widowControl w:val="0"/>
              <w:suppressAutoHyphens w:val="0"/>
              <w:rPr>
                <w:szCs w:val="22"/>
                <w:lang w:val="de-DE"/>
              </w:rPr>
            </w:pPr>
          </w:p>
        </w:tc>
      </w:tr>
      <w:tr w:rsidR="009B3384" w14:paraId="109ADEE0" w14:textId="77777777">
        <w:trPr>
          <w:gridBefore w:val="1"/>
          <w:wBefore w:w="10" w:type="dxa"/>
          <w:cantSplit/>
          <w:jc w:val="center"/>
        </w:trPr>
        <w:tc>
          <w:tcPr>
            <w:tcW w:w="4532" w:type="dxa"/>
            <w:hideMark/>
          </w:tcPr>
          <w:p w14:paraId="109ADED6" w14:textId="77777777" w:rsidR="009B3384" w:rsidRDefault="00800862">
            <w:pPr>
              <w:widowControl w:val="0"/>
              <w:suppressAutoHyphens w:val="0"/>
              <w:rPr>
                <w:b/>
                <w:bCs/>
                <w:szCs w:val="22"/>
              </w:rPr>
            </w:pPr>
            <w:r>
              <w:rPr>
                <w:b/>
                <w:bCs/>
                <w:szCs w:val="22"/>
              </w:rPr>
              <w:t>Í</w:t>
            </w:r>
            <w:r>
              <w:rPr>
                <w:b/>
                <w:bCs/>
                <w:szCs w:val="22"/>
                <w:lang w:val="de-DE"/>
              </w:rPr>
              <w:t>sland</w:t>
            </w:r>
          </w:p>
          <w:p w14:paraId="109ADED7" w14:textId="77777777" w:rsidR="009B3384" w:rsidRDefault="00800862">
            <w:pPr>
              <w:widowControl w:val="0"/>
              <w:suppressAutoHyphens w:val="0"/>
              <w:rPr>
                <w:szCs w:val="22"/>
              </w:rPr>
            </w:pPr>
            <w:r>
              <w:rPr>
                <w:szCs w:val="22"/>
                <w:lang w:val="de-DE"/>
              </w:rPr>
              <w:t>Janssen</w:t>
            </w:r>
            <w:r>
              <w:rPr>
                <w:szCs w:val="22"/>
              </w:rPr>
              <w:t>-</w:t>
            </w:r>
            <w:r>
              <w:rPr>
                <w:szCs w:val="22"/>
                <w:lang w:val="de-DE"/>
              </w:rPr>
              <w:t>Cilag</w:t>
            </w:r>
            <w:r>
              <w:rPr>
                <w:szCs w:val="22"/>
              </w:rPr>
              <w:t xml:space="preserve"> </w:t>
            </w:r>
            <w:r>
              <w:rPr>
                <w:szCs w:val="22"/>
                <w:lang w:val="de-DE"/>
              </w:rPr>
              <w:t>AB</w:t>
            </w:r>
          </w:p>
          <w:p w14:paraId="109ADED8" w14:textId="77777777" w:rsidR="009B3384" w:rsidRDefault="00800862">
            <w:pPr>
              <w:widowControl w:val="0"/>
              <w:suppressAutoHyphens w:val="0"/>
              <w:rPr>
                <w:szCs w:val="22"/>
              </w:rPr>
            </w:pPr>
            <w:r>
              <w:rPr>
                <w:szCs w:val="22"/>
                <w:lang w:val="de-DE"/>
              </w:rPr>
              <w:t>c</w:t>
            </w:r>
            <w:r>
              <w:rPr>
                <w:szCs w:val="22"/>
              </w:rPr>
              <w:t>/</w:t>
            </w:r>
            <w:r>
              <w:rPr>
                <w:szCs w:val="22"/>
                <w:lang w:val="de-DE"/>
              </w:rPr>
              <w:t>o</w:t>
            </w:r>
            <w:r>
              <w:rPr>
                <w:szCs w:val="22"/>
              </w:rPr>
              <w:t xml:space="preserve"> </w:t>
            </w:r>
            <w:r>
              <w:rPr>
                <w:szCs w:val="22"/>
                <w:lang w:val="de-DE"/>
              </w:rPr>
              <w:t>Vistor</w:t>
            </w:r>
            <w:r>
              <w:rPr>
                <w:szCs w:val="22"/>
              </w:rPr>
              <w:t xml:space="preserve"> е</w:t>
            </w:r>
            <w:r>
              <w:rPr>
                <w:szCs w:val="22"/>
                <w:lang w:val="de-DE"/>
              </w:rPr>
              <w:t>hf</w:t>
            </w:r>
            <w:r>
              <w:rPr>
                <w:szCs w:val="22"/>
              </w:rPr>
              <w:t>.</w:t>
            </w:r>
          </w:p>
          <w:p w14:paraId="109ADED9" w14:textId="77777777" w:rsidR="009B3384" w:rsidRDefault="00800862">
            <w:pPr>
              <w:widowControl w:val="0"/>
              <w:suppressAutoHyphens w:val="0"/>
              <w:rPr>
                <w:szCs w:val="22"/>
              </w:rPr>
            </w:pPr>
            <w:r>
              <w:rPr>
                <w:szCs w:val="22"/>
                <w:lang w:val="de-DE"/>
              </w:rPr>
              <w:t>S</w:t>
            </w:r>
            <w:r>
              <w:rPr>
                <w:szCs w:val="22"/>
              </w:rPr>
              <w:t>í</w:t>
            </w:r>
            <w:r>
              <w:rPr>
                <w:szCs w:val="22"/>
                <w:lang w:val="de-DE"/>
              </w:rPr>
              <w:t>mi</w:t>
            </w:r>
            <w:r>
              <w:rPr>
                <w:szCs w:val="22"/>
              </w:rPr>
              <w:t>: +354 535 7000</w:t>
            </w:r>
          </w:p>
          <w:p w14:paraId="109ADEDA" w14:textId="77777777" w:rsidR="009B3384" w:rsidRDefault="00800862">
            <w:pPr>
              <w:widowControl w:val="0"/>
              <w:suppressAutoHyphens w:val="0"/>
              <w:rPr>
                <w:szCs w:val="22"/>
                <w:lang w:val="it-IT"/>
              </w:rPr>
            </w:pPr>
            <w:r>
              <w:rPr>
                <w:lang w:val="en-GB"/>
              </w:rPr>
              <w:t>janssen@vistor.is</w:t>
            </w:r>
          </w:p>
          <w:p w14:paraId="109ADEDB" w14:textId="77777777" w:rsidR="009B3384" w:rsidRDefault="009B3384">
            <w:pPr>
              <w:widowControl w:val="0"/>
              <w:suppressAutoHyphens w:val="0"/>
              <w:rPr>
                <w:szCs w:val="22"/>
                <w:lang w:val="it-IT"/>
              </w:rPr>
            </w:pPr>
          </w:p>
        </w:tc>
        <w:tc>
          <w:tcPr>
            <w:tcW w:w="4533" w:type="dxa"/>
          </w:tcPr>
          <w:p w14:paraId="109ADEDC" w14:textId="77777777" w:rsidR="009B3384" w:rsidRDefault="00800862">
            <w:pPr>
              <w:widowControl w:val="0"/>
              <w:suppressAutoHyphens w:val="0"/>
              <w:rPr>
                <w:b/>
                <w:bCs/>
                <w:szCs w:val="22"/>
                <w:lang w:val="it-IT"/>
              </w:rPr>
            </w:pPr>
            <w:r>
              <w:rPr>
                <w:b/>
                <w:bCs/>
                <w:szCs w:val="22"/>
                <w:lang w:val="it-IT"/>
              </w:rPr>
              <w:t>Slovenská republika</w:t>
            </w:r>
          </w:p>
          <w:p w14:paraId="109ADEDD" w14:textId="77777777" w:rsidR="009B3384" w:rsidRDefault="00800862">
            <w:pPr>
              <w:widowControl w:val="0"/>
              <w:suppressAutoHyphens w:val="0"/>
              <w:rPr>
                <w:szCs w:val="22"/>
                <w:lang w:val="it-IT"/>
              </w:rPr>
            </w:pPr>
            <w:r>
              <w:rPr>
                <w:szCs w:val="22"/>
                <w:lang w:val="it-IT"/>
              </w:rPr>
              <w:t>Johnson &amp; Johnson, s.r.o.</w:t>
            </w:r>
          </w:p>
          <w:p w14:paraId="109ADEDE" w14:textId="77777777" w:rsidR="009B3384" w:rsidRDefault="00800862">
            <w:pPr>
              <w:widowControl w:val="0"/>
              <w:suppressAutoHyphens w:val="0"/>
              <w:rPr>
                <w:szCs w:val="22"/>
                <w:lang w:val="it-IT"/>
              </w:rPr>
            </w:pPr>
            <w:r>
              <w:rPr>
                <w:szCs w:val="22"/>
                <w:lang w:val="it-IT"/>
              </w:rPr>
              <w:t>Tel: +421 232 408 400</w:t>
            </w:r>
          </w:p>
          <w:p w14:paraId="109ADEDF" w14:textId="77777777" w:rsidR="009B3384" w:rsidRDefault="009B3384">
            <w:pPr>
              <w:widowControl w:val="0"/>
              <w:suppressAutoHyphens w:val="0"/>
              <w:rPr>
                <w:szCs w:val="22"/>
                <w:lang w:val="it-IT"/>
              </w:rPr>
            </w:pPr>
          </w:p>
        </w:tc>
      </w:tr>
      <w:tr w:rsidR="009B3384" w14:paraId="109ADEEB" w14:textId="77777777">
        <w:trPr>
          <w:gridBefore w:val="1"/>
          <w:wBefore w:w="10" w:type="dxa"/>
          <w:cantSplit/>
          <w:jc w:val="center"/>
        </w:trPr>
        <w:tc>
          <w:tcPr>
            <w:tcW w:w="4532" w:type="dxa"/>
          </w:tcPr>
          <w:p w14:paraId="109ADEE1" w14:textId="77777777" w:rsidR="009B3384" w:rsidRDefault="00800862">
            <w:pPr>
              <w:widowControl w:val="0"/>
              <w:suppressAutoHyphens w:val="0"/>
              <w:rPr>
                <w:b/>
                <w:bCs/>
                <w:szCs w:val="22"/>
                <w:lang w:val="nl-BE"/>
              </w:rPr>
            </w:pPr>
            <w:r>
              <w:rPr>
                <w:b/>
                <w:bCs/>
                <w:szCs w:val="22"/>
                <w:lang w:val="nl-BE"/>
              </w:rPr>
              <w:t>Italia</w:t>
            </w:r>
          </w:p>
          <w:p w14:paraId="109ADEE2" w14:textId="77777777" w:rsidR="009B3384" w:rsidRDefault="00800862">
            <w:pPr>
              <w:widowControl w:val="0"/>
              <w:suppressAutoHyphens w:val="0"/>
              <w:rPr>
                <w:szCs w:val="22"/>
                <w:lang w:val="nl-BE"/>
              </w:rPr>
            </w:pPr>
            <w:r>
              <w:rPr>
                <w:szCs w:val="22"/>
                <w:lang w:val="nl-BE"/>
              </w:rPr>
              <w:t>Janssen-Cilag SpA</w:t>
            </w:r>
          </w:p>
          <w:p w14:paraId="109ADEE3" w14:textId="77777777" w:rsidR="009B3384" w:rsidRDefault="00800862">
            <w:pPr>
              <w:suppressAutoHyphens w:val="0"/>
              <w:rPr>
                <w:szCs w:val="22"/>
                <w:lang w:val="nl-BE"/>
              </w:rPr>
            </w:pPr>
            <w:r>
              <w:rPr>
                <w:szCs w:val="22"/>
                <w:lang w:val="nl-BE"/>
              </w:rPr>
              <w:t xml:space="preserve">Tel: </w:t>
            </w:r>
            <w:r>
              <w:rPr>
                <w:lang w:val="nl-BE"/>
              </w:rPr>
              <w:t>800.688.777 /</w:t>
            </w:r>
            <w:r>
              <w:rPr>
                <w:szCs w:val="22"/>
                <w:lang w:val="nl-BE"/>
              </w:rPr>
              <w:t xml:space="preserve"> +39 02 2510 1</w:t>
            </w:r>
          </w:p>
          <w:p w14:paraId="109ADEE4" w14:textId="77777777" w:rsidR="009B3384" w:rsidRDefault="00800862">
            <w:pPr>
              <w:suppressAutoHyphens w:val="0"/>
              <w:rPr>
                <w:szCs w:val="22"/>
                <w:lang w:val="it-IT"/>
              </w:rPr>
            </w:pPr>
            <w:r>
              <w:rPr>
                <w:lang w:val="en-GB"/>
              </w:rPr>
              <w:t>janssenita@its.jnj.com</w:t>
            </w:r>
          </w:p>
          <w:p w14:paraId="109ADEE5" w14:textId="77777777" w:rsidR="009B3384" w:rsidRDefault="009B3384">
            <w:pPr>
              <w:widowControl w:val="0"/>
              <w:suppressAutoHyphens w:val="0"/>
              <w:rPr>
                <w:szCs w:val="22"/>
                <w:lang w:val="it-IT"/>
              </w:rPr>
            </w:pPr>
          </w:p>
        </w:tc>
        <w:tc>
          <w:tcPr>
            <w:tcW w:w="4533" w:type="dxa"/>
            <w:hideMark/>
          </w:tcPr>
          <w:p w14:paraId="109ADEE6" w14:textId="77777777" w:rsidR="009B3384" w:rsidRDefault="00800862">
            <w:pPr>
              <w:widowControl w:val="0"/>
              <w:suppressAutoHyphens w:val="0"/>
              <w:rPr>
                <w:b/>
                <w:bCs/>
                <w:szCs w:val="22"/>
                <w:lang w:val="nl-BE"/>
              </w:rPr>
            </w:pPr>
            <w:r>
              <w:rPr>
                <w:b/>
                <w:bCs/>
                <w:szCs w:val="22"/>
                <w:lang w:val="nl-BE"/>
              </w:rPr>
              <w:t>Suomi/Finland</w:t>
            </w:r>
          </w:p>
          <w:p w14:paraId="109ADEE7" w14:textId="77777777" w:rsidR="009B3384" w:rsidRDefault="00800862">
            <w:pPr>
              <w:widowControl w:val="0"/>
              <w:suppressAutoHyphens w:val="0"/>
              <w:rPr>
                <w:szCs w:val="22"/>
                <w:lang w:val="nl-BE"/>
              </w:rPr>
            </w:pPr>
            <w:r>
              <w:rPr>
                <w:szCs w:val="22"/>
                <w:lang w:val="nl-BE"/>
              </w:rPr>
              <w:t>Janssen-Cilag Oy</w:t>
            </w:r>
          </w:p>
          <w:p w14:paraId="109ADEE8" w14:textId="77777777" w:rsidR="009B3384" w:rsidRDefault="00800862">
            <w:pPr>
              <w:widowControl w:val="0"/>
              <w:suppressAutoHyphens w:val="0"/>
              <w:rPr>
                <w:szCs w:val="22"/>
                <w:lang w:val="nl-BE"/>
              </w:rPr>
            </w:pPr>
            <w:r>
              <w:rPr>
                <w:szCs w:val="22"/>
                <w:lang w:val="nl-BE"/>
              </w:rPr>
              <w:t>Puh/Tel: +358 207 531 300</w:t>
            </w:r>
          </w:p>
          <w:p w14:paraId="109ADEE9" w14:textId="77777777" w:rsidR="009B3384" w:rsidRDefault="00800862">
            <w:pPr>
              <w:widowControl w:val="0"/>
              <w:suppressAutoHyphens w:val="0"/>
              <w:rPr>
                <w:szCs w:val="22"/>
                <w:lang w:val="en-GB"/>
              </w:rPr>
            </w:pPr>
            <w:r>
              <w:rPr>
                <w:lang w:val="en-GB"/>
              </w:rPr>
              <w:t>jacfi@its.jnj.com</w:t>
            </w:r>
          </w:p>
          <w:p w14:paraId="109ADEEA" w14:textId="77777777" w:rsidR="009B3384" w:rsidRDefault="009B3384">
            <w:pPr>
              <w:widowControl w:val="0"/>
              <w:suppressAutoHyphens w:val="0"/>
              <w:rPr>
                <w:szCs w:val="22"/>
                <w:lang w:val="en-GB"/>
              </w:rPr>
            </w:pPr>
          </w:p>
        </w:tc>
      </w:tr>
      <w:tr w:rsidR="009B3384" w14:paraId="109ADEF5" w14:textId="77777777">
        <w:trPr>
          <w:gridBefore w:val="1"/>
          <w:wBefore w:w="10" w:type="dxa"/>
          <w:cantSplit/>
          <w:jc w:val="center"/>
        </w:trPr>
        <w:tc>
          <w:tcPr>
            <w:tcW w:w="4532" w:type="dxa"/>
            <w:hideMark/>
          </w:tcPr>
          <w:p w14:paraId="109ADEEC" w14:textId="77777777" w:rsidR="009B3384" w:rsidRDefault="00800862">
            <w:pPr>
              <w:widowControl w:val="0"/>
              <w:suppressAutoHyphens w:val="0"/>
              <w:rPr>
                <w:b/>
                <w:bCs/>
                <w:szCs w:val="22"/>
                <w:lang w:val="el-GR"/>
              </w:rPr>
            </w:pPr>
            <w:r>
              <w:rPr>
                <w:b/>
                <w:bCs/>
                <w:szCs w:val="22"/>
                <w:lang w:val="el-GR"/>
              </w:rPr>
              <w:t>Κύπρος</w:t>
            </w:r>
          </w:p>
          <w:p w14:paraId="109ADEED" w14:textId="77777777" w:rsidR="009B3384" w:rsidRDefault="00800862">
            <w:pPr>
              <w:widowControl w:val="0"/>
              <w:suppressAutoHyphens w:val="0"/>
              <w:rPr>
                <w:szCs w:val="22"/>
                <w:lang w:val="el-GR"/>
              </w:rPr>
            </w:pPr>
            <w:r>
              <w:rPr>
                <w:szCs w:val="22"/>
                <w:lang w:val="el-GR"/>
              </w:rPr>
              <w:t>Βαρνάβας Χατζηπαναγής Λτδ</w:t>
            </w:r>
          </w:p>
          <w:p w14:paraId="109ADEEE" w14:textId="77777777" w:rsidR="009B3384" w:rsidRDefault="00800862">
            <w:pPr>
              <w:widowControl w:val="0"/>
              <w:suppressAutoHyphens w:val="0"/>
              <w:rPr>
                <w:szCs w:val="22"/>
                <w:lang w:val="el-GR"/>
              </w:rPr>
            </w:pPr>
            <w:r>
              <w:rPr>
                <w:szCs w:val="22"/>
                <w:lang w:val="en-GB"/>
              </w:rPr>
              <w:t>T</w:t>
            </w:r>
            <w:r>
              <w:rPr>
                <w:szCs w:val="22"/>
                <w:lang w:val="el-GR"/>
              </w:rPr>
              <w:t>ηλ: +357 22 207 700</w:t>
            </w:r>
          </w:p>
          <w:p w14:paraId="109ADEEF" w14:textId="77777777" w:rsidR="009B3384" w:rsidRDefault="009B3384">
            <w:pPr>
              <w:widowControl w:val="0"/>
              <w:suppressAutoHyphens w:val="0"/>
              <w:rPr>
                <w:szCs w:val="22"/>
                <w:lang w:val="el-GR"/>
              </w:rPr>
            </w:pPr>
          </w:p>
        </w:tc>
        <w:tc>
          <w:tcPr>
            <w:tcW w:w="4533" w:type="dxa"/>
          </w:tcPr>
          <w:p w14:paraId="109ADEF0" w14:textId="77777777" w:rsidR="009B3384" w:rsidRDefault="00800862">
            <w:pPr>
              <w:widowControl w:val="0"/>
              <w:suppressAutoHyphens w:val="0"/>
              <w:rPr>
                <w:b/>
                <w:bCs/>
                <w:szCs w:val="22"/>
                <w:lang w:val="de-DE"/>
              </w:rPr>
            </w:pPr>
            <w:r>
              <w:rPr>
                <w:b/>
                <w:bCs/>
                <w:szCs w:val="22"/>
                <w:lang w:val="de-DE"/>
              </w:rPr>
              <w:t>Sverige</w:t>
            </w:r>
          </w:p>
          <w:p w14:paraId="109ADEF1" w14:textId="77777777" w:rsidR="009B3384" w:rsidRDefault="00800862">
            <w:pPr>
              <w:widowControl w:val="0"/>
              <w:suppressAutoHyphens w:val="0"/>
              <w:rPr>
                <w:szCs w:val="22"/>
                <w:lang w:val="de-DE"/>
              </w:rPr>
            </w:pPr>
            <w:r>
              <w:rPr>
                <w:szCs w:val="22"/>
                <w:lang w:val="de-DE"/>
              </w:rPr>
              <w:t>Janssen-Cilag AB</w:t>
            </w:r>
          </w:p>
          <w:p w14:paraId="109ADEF2" w14:textId="77777777" w:rsidR="009B3384" w:rsidRDefault="00800862">
            <w:pPr>
              <w:widowControl w:val="0"/>
              <w:suppressAutoHyphens w:val="0"/>
              <w:rPr>
                <w:szCs w:val="22"/>
                <w:lang w:val="de-DE"/>
              </w:rPr>
            </w:pPr>
            <w:r>
              <w:rPr>
                <w:szCs w:val="22"/>
                <w:lang w:val="de-DE"/>
              </w:rPr>
              <w:t>Tfn: +46 8 626 50 00</w:t>
            </w:r>
          </w:p>
          <w:p w14:paraId="109ADEF3" w14:textId="77777777" w:rsidR="009B3384" w:rsidRDefault="00800862">
            <w:pPr>
              <w:widowControl w:val="0"/>
              <w:suppressAutoHyphens w:val="0"/>
              <w:rPr>
                <w:szCs w:val="22"/>
                <w:lang w:val="en-GB"/>
              </w:rPr>
            </w:pPr>
            <w:r>
              <w:rPr>
                <w:lang w:val="en-GB"/>
              </w:rPr>
              <w:t>jacse@its.jnj.com</w:t>
            </w:r>
          </w:p>
          <w:p w14:paraId="109ADEF4" w14:textId="77777777" w:rsidR="009B3384" w:rsidRDefault="009B3384">
            <w:pPr>
              <w:widowControl w:val="0"/>
              <w:suppressAutoHyphens w:val="0"/>
              <w:rPr>
                <w:szCs w:val="22"/>
                <w:lang w:val="en-GB"/>
              </w:rPr>
            </w:pPr>
          </w:p>
        </w:tc>
      </w:tr>
      <w:tr w:rsidR="009B3384" w14:paraId="109ADEFF" w14:textId="77777777">
        <w:trPr>
          <w:gridBefore w:val="1"/>
          <w:wBefore w:w="10" w:type="dxa"/>
          <w:cantSplit/>
          <w:jc w:val="center"/>
        </w:trPr>
        <w:tc>
          <w:tcPr>
            <w:tcW w:w="4532" w:type="dxa"/>
            <w:hideMark/>
          </w:tcPr>
          <w:p w14:paraId="109ADEF6" w14:textId="77777777" w:rsidR="009B3384" w:rsidRDefault="00800862">
            <w:pPr>
              <w:widowControl w:val="0"/>
              <w:suppressAutoHyphens w:val="0"/>
              <w:rPr>
                <w:b/>
                <w:bCs/>
                <w:szCs w:val="22"/>
              </w:rPr>
            </w:pPr>
            <w:proofErr w:type="spellStart"/>
            <w:r>
              <w:rPr>
                <w:b/>
                <w:bCs/>
                <w:szCs w:val="22"/>
                <w:lang w:val="en-GB"/>
              </w:rPr>
              <w:t>Latvija</w:t>
            </w:r>
            <w:proofErr w:type="spellEnd"/>
          </w:p>
          <w:p w14:paraId="109ADEF7" w14:textId="77777777" w:rsidR="009B3384" w:rsidRDefault="00800862">
            <w:pPr>
              <w:widowControl w:val="0"/>
              <w:suppressAutoHyphens w:val="0"/>
              <w:rPr>
                <w:szCs w:val="22"/>
              </w:rPr>
            </w:pPr>
            <w:r>
              <w:rPr>
                <w:lang w:val="en-GB"/>
              </w:rPr>
              <w:t>UAB</w:t>
            </w:r>
            <w:r>
              <w:t xml:space="preserve"> "</w:t>
            </w:r>
            <w:r>
              <w:rPr>
                <w:lang w:val="en-GB"/>
              </w:rPr>
              <w:t>JOHNSON</w:t>
            </w:r>
            <w:r>
              <w:t xml:space="preserve"> &amp; </w:t>
            </w:r>
            <w:r>
              <w:rPr>
                <w:lang w:val="en-GB"/>
              </w:rPr>
              <w:t>JOHNSON</w:t>
            </w:r>
            <w:r>
              <w:t>"</w:t>
            </w:r>
            <w:r>
              <w:rPr>
                <w:szCs w:val="22"/>
              </w:rPr>
              <w:t xml:space="preserve"> </w:t>
            </w:r>
            <w:proofErr w:type="spellStart"/>
            <w:r>
              <w:rPr>
                <w:szCs w:val="22"/>
                <w:lang w:val="en-GB"/>
              </w:rPr>
              <w:t>fili</w:t>
            </w:r>
            <w:proofErr w:type="spellEnd"/>
            <w:r>
              <w:rPr>
                <w:szCs w:val="22"/>
              </w:rPr>
              <w:t>ā</w:t>
            </w:r>
            <w:r>
              <w:rPr>
                <w:szCs w:val="22"/>
                <w:lang w:val="en-GB"/>
              </w:rPr>
              <w:t>le</w:t>
            </w:r>
            <w:r>
              <w:rPr>
                <w:szCs w:val="22"/>
              </w:rPr>
              <w:t xml:space="preserve"> </w:t>
            </w:r>
            <w:proofErr w:type="spellStart"/>
            <w:r>
              <w:rPr>
                <w:szCs w:val="22"/>
                <w:lang w:val="en-GB"/>
              </w:rPr>
              <w:t>Latvij</w:t>
            </w:r>
            <w:proofErr w:type="spellEnd"/>
            <w:r>
              <w:rPr>
                <w:szCs w:val="22"/>
              </w:rPr>
              <w:t>ā</w:t>
            </w:r>
          </w:p>
          <w:p w14:paraId="109ADEF8" w14:textId="77777777" w:rsidR="009B3384" w:rsidRDefault="00800862">
            <w:pPr>
              <w:widowControl w:val="0"/>
              <w:suppressAutoHyphens w:val="0"/>
              <w:rPr>
                <w:szCs w:val="22"/>
                <w:lang w:val="en-GB"/>
              </w:rPr>
            </w:pPr>
            <w:r>
              <w:rPr>
                <w:szCs w:val="22"/>
                <w:lang w:val="en-GB"/>
              </w:rPr>
              <w:t>Tel: +371 678 93561</w:t>
            </w:r>
          </w:p>
          <w:p w14:paraId="109ADEF9" w14:textId="77777777" w:rsidR="009B3384" w:rsidRDefault="00800862">
            <w:pPr>
              <w:widowControl w:val="0"/>
              <w:suppressAutoHyphens w:val="0"/>
              <w:rPr>
                <w:b/>
                <w:bCs/>
                <w:szCs w:val="22"/>
                <w:lang w:val="en-GB"/>
              </w:rPr>
            </w:pPr>
            <w:r>
              <w:rPr>
                <w:lang w:val="en-GB"/>
              </w:rPr>
              <w:t>lv@its.jnj.com</w:t>
            </w:r>
          </w:p>
          <w:p w14:paraId="109ADEFA" w14:textId="77777777" w:rsidR="009B3384" w:rsidRDefault="009B3384">
            <w:pPr>
              <w:widowControl w:val="0"/>
              <w:suppressAutoHyphens w:val="0"/>
              <w:rPr>
                <w:b/>
                <w:bCs/>
                <w:szCs w:val="22"/>
                <w:lang w:val="en-GB"/>
              </w:rPr>
            </w:pPr>
          </w:p>
        </w:tc>
        <w:tc>
          <w:tcPr>
            <w:tcW w:w="4533" w:type="dxa"/>
          </w:tcPr>
          <w:p w14:paraId="109ADEFE" w14:textId="1AC5EB53" w:rsidR="009B3384" w:rsidRDefault="009B3384">
            <w:pPr>
              <w:widowControl w:val="0"/>
              <w:suppressAutoHyphens w:val="0"/>
              <w:rPr>
                <w:b/>
                <w:bCs/>
                <w:szCs w:val="22"/>
                <w:lang w:val="de-DE"/>
              </w:rPr>
            </w:pPr>
          </w:p>
        </w:tc>
      </w:tr>
    </w:tbl>
    <w:p w14:paraId="109ADF00" w14:textId="77777777" w:rsidR="009B3384" w:rsidRDefault="009B3384">
      <w:pPr>
        <w:widowControl w:val="0"/>
        <w:suppressAutoHyphens w:val="0"/>
        <w:rPr>
          <w:lang w:val="de-DE"/>
        </w:rPr>
      </w:pPr>
    </w:p>
    <w:p w14:paraId="109ADF01" w14:textId="77777777" w:rsidR="009B3384" w:rsidRDefault="00800862">
      <w:pPr>
        <w:rPr>
          <w:szCs w:val="22"/>
        </w:rPr>
      </w:pPr>
      <w:r>
        <w:rPr>
          <w:b/>
          <w:szCs w:val="22"/>
        </w:rPr>
        <w:t>Дата на последно преразглеждане на листовката</w:t>
      </w:r>
    </w:p>
    <w:p w14:paraId="109ADF02" w14:textId="77777777" w:rsidR="009B3384" w:rsidRDefault="009B3384">
      <w:pPr>
        <w:rPr>
          <w:szCs w:val="22"/>
        </w:rPr>
      </w:pPr>
    </w:p>
    <w:p w14:paraId="109ADF03" w14:textId="77777777" w:rsidR="009B3384" w:rsidRDefault="00800862">
      <w:pPr>
        <w:rPr>
          <w:szCs w:val="22"/>
        </w:rPr>
      </w:pPr>
      <w:r>
        <w:rPr>
          <w:szCs w:val="22"/>
        </w:rPr>
        <w:t xml:space="preserve">Подробна информация за това лекарство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p>
    <w:p w14:paraId="109ADF04" w14:textId="77777777" w:rsidR="009B3384" w:rsidRDefault="009B3384">
      <w:pPr>
        <w:tabs>
          <w:tab w:val="left" w:pos="7635"/>
        </w:tabs>
        <w:rPr>
          <w:szCs w:val="22"/>
        </w:rPr>
      </w:pPr>
    </w:p>
    <w:p w14:paraId="109ADF05" w14:textId="77777777" w:rsidR="009B3384" w:rsidRDefault="009B3384">
      <w:pPr>
        <w:rPr>
          <w:szCs w:val="22"/>
        </w:rPr>
      </w:pPr>
    </w:p>
    <w:p w14:paraId="109ADF06" w14:textId="77777777" w:rsidR="009B3384" w:rsidRDefault="00800862">
      <w:r>
        <w:t>---------------------------------------------------------------------------------------------------------------------------</w:t>
      </w:r>
    </w:p>
    <w:p w14:paraId="109ADF07" w14:textId="77777777" w:rsidR="009B3384" w:rsidRDefault="009B3384">
      <w:pPr>
        <w:widowControl w:val="0"/>
        <w:jc w:val="center"/>
        <w:rPr>
          <w:szCs w:val="22"/>
        </w:rPr>
      </w:pPr>
    </w:p>
    <w:p w14:paraId="109ADF08" w14:textId="77777777" w:rsidR="009B3384" w:rsidRDefault="00800862">
      <w:pPr>
        <w:widowControl w:val="0"/>
        <w:jc w:val="center"/>
        <w:rPr>
          <w:szCs w:val="22"/>
        </w:rPr>
      </w:pPr>
      <w:r>
        <w:rPr>
          <w:szCs w:val="22"/>
        </w:rPr>
        <w:t>Посочената по-долу информация е предназначена само за медицински специалисти:</w:t>
      </w:r>
    </w:p>
    <w:p w14:paraId="109ADF09" w14:textId="77777777" w:rsidR="009B3384" w:rsidRDefault="009B3384">
      <w:pPr>
        <w:widowControl w:val="0"/>
        <w:rPr>
          <w:szCs w:val="22"/>
        </w:rPr>
      </w:pPr>
    </w:p>
    <w:p w14:paraId="109ADF0A" w14:textId="77777777" w:rsidR="009B3384" w:rsidRDefault="00800862">
      <w:pPr>
        <w:keepNext/>
        <w:rPr>
          <w:u w:val="single"/>
        </w:rPr>
      </w:pPr>
      <w:r>
        <w:rPr>
          <w:u w:val="single"/>
        </w:rPr>
        <w:t>Проследимост</w:t>
      </w:r>
    </w:p>
    <w:p w14:paraId="109ADF0B" w14:textId="77777777" w:rsidR="009B3384" w:rsidRDefault="009B3384">
      <w:pPr>
        <w:keepNext/>
        <w:rPr>
          <w:szCs w:val="22"/>
        </w:rPr>
      </w:pPr>
    </w:p>
    <w:p w14:paraId="109ADF0C" w14:textId="77777777" w:rsidR="009B3384" w:rsidRDefault="00800862">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109ADF0D" w14:textId="77777777" w:rsidR="009B3384" w:rsidRDefault="009B3384">
      <w:pPr>
        <w:widowControl w:val="0"/>
        <w:rPr>
          <w:szCs w:val="22"/>
        </w:rPr>
      </w:pPr>
    </w:p>
    <w:p w14:paraId="109ADF0E" w14:textId="77777777" w:rsidR="009B3384" w:rsidRDefault="00800862">
      <w:pPr>
        <w:keepNext/>
        <w:widowControl w:val="0"/>
        <w:rPr>
          <w:bCs/>
          <w:u w:val="single"/>
        </w:rPr>
      </w:pPr>
      <w:r>
        <w:rPr>
          <w:bCs/>
          <w:u w:val="single"/>
        </w:rPr>
        <w:lastRenderedPageBreak/>
        <w:t>Указания за разреждане:</w:t>
      </w:r>
    </w:p>
    <w:p w14:paraId="109ADF0F" w14:textId="77777777" w:rsidR="009B3384" w:rsidRDefault="009B3384">
      <w:pPr>
        <w:keepNext/>
        <w:widowControl w:val="0"/>
        <w:rPr>
          <w:bCs/>
          <w:u w:val="single"/>
        </w:rPr>
      </w:pPr>
    </w:p>
    <w:p w14:paraId="109ADF10" w14:textId="77777777" w:rsidR="009B3384" w:rsidRDefault="00800862">
      <w:r>
        <w:t>STELARA концентрат за инфузионен разтвор трябва да се разреди и да се подготви от медицински специалист с помощта на асептична техника.</w:t>
      </w:r>
    </w:p>
    <w:p w14:paraId="109ADF11" w14:textId="77777777" w:rsidR="009B3384" w:rsidRDefault="009B3384"/>
    <w:p w14:paraId="109ADF12" w14:textId="5BDEBE17" w:rsidR="009B3384" w:rsidRDefault="00800862">
      <w:pPr>
        <w:ind w:left="567" w:hanging="567"/>
      </w:pPr>
      <w:r>
        <w:t>1.</w:t>
      </w:r>
      <w:r>
        <w:tab/>
        <w:t>За възрастни пациенти и педиатрични пациенти с тегло най-малко 40</w:t>
      </w:r>
      <w:r>
        <w:rPr>
          <w:lang w:val="en-US"/>
        </w:rPr>
        <w:t> </w:t>
      </w:r>
      <w:r>
        <w:t>kg, изчислете дозата и броя на необходимите флакони STELARA въз основа на теглото на пациента (вж. точка</w:t>
      </w:r>
      <w:r>
        <w:rPr>
          <w:szCs w:val="22"/>
        </w:rPr>
        <w:t> </w:t>
      </w:r>
      <w:r w:rsidRPr="00BC6A43">
        <w:t>4.2</w:t>
      </w:r>
      <w:r>
        <w:t>, Таблица</w:t>
      </w:r>
      <w:r>
        <w:rPr>
          <w:szCs w:val="22"/>
        </w:rPr>
        <w:t> </w:t>
      </w:r>
      <w:r>
        <w:t>1</w:t>
      </w:r>
      <w:bookmarkStart w:id="1316" w:name="_Hlk188381763"/>
      <w:del w:id="1317" w:author="RABG09" w:date="2026-06-25T10:19:00Z">
        <w:r w:rsidDel="00BD14F2">
          <w:delText>,</w:delText>
        </w:r>
      </w:del>
      <w:ins w:id="1318" w:author="RABG09" w:date="2026-06-25T10:19:00Z">
        <w:r w:rsidR="00BD14F2" w:rsidRPr="00F9219D">
          <w:t xml:space="preserve"> </w:t>
        </w:r>
        <w:r w:rsidR="00CE0EC4">
          <w:t>и</w:t>
        </w:r>
      </w:ins>
      <w:r>
        <w:t xml:space="preserve"> Таблица</w:t>
      </w:r>
      <w:r>
        <w:rPr>
          <w:lang w:val="en-US"/>
        </w:rPr>
        <w:t> </w:t>
      </w:r>
      <w:bookmarkEnd w:id="1316"/>
      <w:r w:rsidRPr="00BC6A43">
        <w:t>3</w:t>
      </w:r>
      <w:ins w:id="1319" w:author="Reviser" w:date="2026-04-30T15:38:00Z">
        <w:r w:rsidR="006A6A96">
          <w:t xml:space="preserve"> </w:t>
        </w:r>
        <w:del w:id="1320" w:author="RABG09" w:date="2026-06-25T10:20:00Z">
          <w:r w:rsidR="006A6A96" w:rsidDel="00CE0EC4">
            <w:delText>и Таблица</w:delText>
          </w:r>
        </w:del>
      </w:ins>
      <w:ins w:id="1321" w:author="EUCP BE1" w:date="2026-05-19T16:57:00Z">
        <w:del w:id="1322" w:author="RABG09" w:date="2026-06-25T10:20:00Z">
          <w:r w:rsidR="00F72194" w:rsidDel="00CE0EC4">
            <w:rPr>
              <w:lang w:val="en-US"/>
            </w:rPr>
            <w:delText> </w:delText>
          </w:r>
        </w:del>
      </w:ins>
      <w:ins w:id="1323" w:author="Reviser" w:date="2026-04-30T15:38:00Z">
        <w:del w:id="1324" w:author="RABG09" w:date="2026-06-25T10:20:00Z">
          <w:r w:rsidR="006A6A96" w:rsidDel="00CE0EC4">
            <w:delText>5</w:delText>
          </w:r>
        </w:del>
      </w:ins>
      <w:ins w:id="1325" w:author="RABG09" w:date="2026-06-25T10:20:00Z">
        <w:r w:rsidR="00CE0EC4">
          <w:t>в Кратката характеристика на про</w:t>
        </w:r>
        <w:r w:rsidR="008F6E73">
          <w:t>дукта</w:t>
        </w:r>
      </w:ins>
      <w:r>
        <w:t>) или за педиатрични пациенти, които тежат по-малко от 40 </w:t>
      </w:r>
      <w:r>
        <w:rPr>
          <w:lang w:val="en-US"/>
        </w:rPr>
        <w:t>kg</w:t>
      </w:r>
      <w:r>
        <w:t xml:space="preserve">, изчислете дозата и броя на необходимите флакони </w:t>
      </w:r>
      <w:del w:id="1326" w:author="RABG09" w:date="2026-06-25T10:20:00Z">
        <w:r w:rsidDel="008F6E73">
          <w:rPr>
            <w:lang w:val="en-US"/>
          </w:rPr>
          <w:delText>S</w:delText>
        </w:r>
        <w:r w:rsidDel="008F6E73">
          <w:delText xml:space="preserve">TELARA </w:delText>
        </w:r>
      </w:del>
      <w:r>
        <w:t>въз основа на телесната повърхност на пациента (</w:t>
      </w:r>
      <w:r>
        <w:rPr>
          <w:lang w:val="en-GB"/>
        </w:rPr>
        <w:t>BSA</w:t>
      </w:r>
      <w:r>
        <w:t>)</w:t>
      </w:r>
      <w:r w:rsidRPr="00BC6A43">
        <w:t xml:space="preserve"> </w:t>
      </w:r>
      <w:r>
        <w:t>(вж. точка</w:t>
      </w:r>
      <w:r>
        <w:rPr>
          <w:szCs w:val="22"/>
        </w:rPr>
        <w:t> </w:t>
      </w:r>
      <w:r w:rsidRPr="00BC6A43">
        <w:t>4.2</w:t>
      </w:r>
      <w:r>
        <w:t>, Таблица</w:t>
      </w:r>
      <w:r>
        <w:rPr>
          <w:szCs w:val="22"/>
        </w:rPr>
        <w:t> </w:t>
      </w:r>
      <w:r w:rsidRPr="00BC6A43">
        <w:rPr>
          <w:szCs w:val="22"/>
        </w:rPr>
        <w:t>2</w:t>
      </w:r>
      <w:ins w:id="1327" w:author="RABG09" w:date="2026-06-25T10:22:00Z">
        <w:r w:rsidR="003A5C8E">
          <w:rPr>
            <w:szCs w:val="22"/>
          </w:rPr>
          <w:t xml:space="preserve"> </w:t>
        </w:r>
        <w:r w:rsidR="003A5C8E">
          <w:t>в Кратката характеристика на продукта</w:t>
        </w:r>
      </w:ins>
      <w:r>
        <w:t>). Всеки флакон STELARA от 26</w:t>
      </w:r>
      <w:r>
        <w:rPr>
          <w:szCs w:val="22"/>
        </w:rPr>
        <w:t> </w:t>
      </w:r>
      <w:r>
        <w:t>ml съдържа 130</w:t>
      </w:r>
      <w:r>
        <w:rPr>
          <w:szCs w:val="22"/>
        </w:rPr>
        <w:t> </w:t>
      </w:r>
      <w:r>
        <w:t>mg устекинумаб.</w:t>
      </w:r>
    </w:p>
    <w:p w14:paraId="109ADF13" w14:textId="77777777" w:rsidR="009B3384" w:rsidRDefault="00800862">
      <w:pPr>
        <w:ind w:left="567" w:hanging="567"/>
      </w:pPr>
      <w:r>
        <w:t>2.</w:t>
      </w:r>
      <w:r>
        <w:tab/>
        <w:t>Изтеглете и изхвърлете от инфузионния сак от 250</w:t>
      </w:r>
      <w:r>
        <w:rPr>
          <w:szCs w:val="22"/>
        </w:rPr>
        <w:t> </w:t>
      </w:r>
      <w:r>
        <w:t>ml обем от разтвор на натриев хлорид 9 mg/m</w:t>
      </w:r>
      <w:r>
        <w:rPr>
          <w:lang w:val="en-US"/>
        </w:rPr>
        <w:t>l</w:t>
      </w:r>
      <w:r>
        <w:t xml:space="preserve"> (0,9%), равен на обема STELARA, който трябва да се добави</w:t>
      </w:r>
      <w:del w:id="1328" w:author="RABG09" w:date="2026-06-25T11:00:00Z">
        <w:r w:rsidDel="00FF6E32">
          <w:delText>.</w:delText>
        </w:r>
      </w:del>
      <w:r>
        <w:t xml:space="preserve"> (изхвърлете 26</w:t>
      </w:r>
      <w:r>
        <w:rPr>
          <w:szCs w:val="22"/>
        </w:rPr>
        <w:t> </w:t>
      </w:r>
      <w:r>
        <w:t>ml натриев хлорид за всеки необходим флакон STELARA, за 2</w:t>
      </w:r>
      <w:r>
        <w:rPr>
          <w:szCs w:val="22"/>
        </w:rPr>
        <w:t> </w:t>
      </w:r>
      <w:r>
        <w:t>флакона изхвърлете 52</w:t>
      </w:r>
      <w:r>
        <w:rPr>
          <w:szCs w:val="22"/>
        </w:rPr>
        <w:t> </w:t>
      </w:r>
      <w:r>
        <w:t>ml, за 3</w:t>
      </w:r>
      <w:r>
        <w:rPr>
          <w:szCs w:val="22"/>
        </w:rPr>
        <w:t> </w:t>
      </w:r>
      <w:r>
        <w:t>флакона изхвърлете 78</w:t>
      </w:r>
      <w:r>
        <w:rPr>
          <w:szCs w:val="22"/>
        </w:rPr>
        <w:t> </w:t>
      </w:r>
      <w:r>
        <w:t>ml, за 4</w:t>
      </w:r>
      <w:r>
        <w:rPr>
          <w:szCs w:val="22"/>
        </w:rPr>
        <w:t> </w:t>
      </w:r>
      <w:r>
        <w:t>флакона изхвърлете 104</w:t>
      </w:r>
      <w:r>
        <w:rPr>
          <w:szCs w:val="22"/>
        </w:rPr>
        <w:t> </w:t>
      </w:r>
      <w:r>
        <w:t>ml).</w:t>
      </w:r>
    </w:p>
    <w:p w14:paraId="109ADF14" w14:textId="77777777" w:rsidR="009B3384" w:rsidRDefault="00800862">
      <w:pPr>
        <w:ind w:left="567" w:hanging="567"/>
      </w:pPr>
      <w:r>
        <w:t>3.</w:t>
      </w:r>
      <w:r>
        <w:tab/>
        <w:t>Изтеглете 26</w:t>
      </w:r>
      <w:r>
        <w:rPr>
          <w:szCs w:val="22"/>
        </w:rPr>
        <w:t> </w:t>
      </w:r>
      <w:r>
        <w:t>ml STELARA от всеки необходим флакон и ги добавете към инфузионния сак от 250</w:t>
      </w:r>
      <w:r>
        <w:rPr>
          <w:szCs w:val="22"/>
        </w:rPr>
        <w:t> </w:t>
      </w:r>
      <w:r>
        <w:t>ml. Крайният обем в инфузионния сак трябва да бъде 250</w:t>
      </w:r>
      <w:r>
        <w:rPr>
          <w:szCs w:val="22"/>
        </w:rPr>
        <w:t> </w:t>
      </w:r>
      <w:r>
        <w:t>ml. Внимателно смесете.</w:t>
      </w:r>
    </w:p>
    <w:p w14:paraId="109ADF15" w14:textId="4858BB4E" w:rsidR="009B3384" w:rsidRDefault="00800862">
      <w:pPr>
        <w:ind w:left="567" w:hanging="567"/>
      </w:pPr>
      <w:r>
        <w:t>4.</w:t>
      </w:r>
      <w:r w:rsidRPr="00BC6A43">
        <w:tab/>
      </w:r>
      <w:r>
        <w:t xml:space="preserve">При педиатрични пациенти с болестта на Crohn </w:t>
      </w:r>
      <w:ins w:id="1329" w:author="Reviser" w:date="2026-04-30T15:38:00Z">
        <w:r w:rsidR="006A6A96">
          <w:rPr>
            <w:bCs/>
          </w:rPr>
          <w:t>или улцерозен колит</w:t>
        </w:r>
        <w:r w:rsidR="006A6A96">
          <w:t xml:space="preserve"> </w:t>
        </w:r>
      </w:ins>
      <w:r>
        <w:t>с тегло под 40</w:t>
      </w:r>
      <w:r>
        <w:rPr>
          <w:lang w:val="en-US"/>
        </w:rPr>
        <w:t> </w:t>
      </w:r>
      <w:r>
        <w:t>kg дозата се изчислява въз основа на BSA на пациента като еднократна интравенозна (i.v.) доза STELARA. От инфузионeн сак от 100</w:t>
      </w:r>
      <w:r>
        <w:rPr>
          <w:lang w:val="en-US"/>
        </w:rPr>
        <w:t> </w:t>
      </w:r>
      <w:r>
        <w:t>ml с разтвор на натриев хлорид 9</w:t>
      </w:r>
      <w:r>
        <w:rPr>
          <w:lang w:val="en-US"/>
        </w:rPr>
        <w:t> </w:t>
      </w:r>
      <w:r>
        <w:t>mg/ml (0,9%) изтеглете и изхвърлете обем, равен на обема STELARA, който ще се добави. Изтеглете необходимия обем STELARA от всеки флакон и го добавете към инфузионния сак от 100 ml. Крайният обем в инфузионния сак трябва да бъде 100</w:t>
      </w:r>
      <w:r>
        <w:rPr>
          <w:lang w:val="en-US"/>
        </w:rPr>
        <w:t> </w:t>
      </w:r>
      <w:r>
        <w:t>ml. Смесете внимателно.</w:t>
      </w:r>
    </w:p>
    <w:p w14:paraId="109ADF16" w14:textId="62CA472A" w:rsidR="009B3384" w:rsidRDefault="00800862">
      <w:pPr>
        <w:ind w:left="567" w:hanging="567"/>
      </w:pPr>
      <w:r>
        <w:t>5.</w:t>
      </w:r>
      <w:r>
        <w:tab/>
        <w:t>Преди приложението проверете визуално разредения разтвор. Не го употребявайте, ако се наблюдават визуално непрозрачни частици, промяна на цвета или чужди частици.</w:t>
      </w:r>
    </w:p>
    <w:p w14:paraId="109ADF17" w14:textId="0518F3C6" w:rsidR="009B3384" w:rsidRDefault="00800862">
      <w:pPr>
        <w:ind w:left="567" w:hanging="567"/>
      </w:pPr>
      <w:r>
        <w:t>6.</w:t>
      </w:r>
      <w:r>
        <w:tab/>
        <w:t>Приложете разредения разтвор за период от най-малко един час. След като се разреди, прилагането на инфузионният разтвор трябва да се извърши в рамките на осем часа след разреждането в инфузионния сак.</w:t>
      </w:r>
    </w:p>
    <w:p w14:paraId="109ADF18" w14:textId="294C9A6B" w:rsidR="009B3384" w:rsidRDefault="00800862">
      <w:pPr>
        <w:ind w:left="567" w:hanging="567"/>
      </w:pPr>
      <w:r>
        <w:t>7.</w:t>
      </w:r>
      <w:r>
        <w:tab/>
        <w:t>Използвайте само набор за инфузия с вграден, стерилен, апирогенен филтър със слабо свързване на протеини (размер на порите 0,2</w:t>
      </w:r>
      <w:r>
        <w:rPr>
          <w:szCs w:val="22"/>
        </w:rPr>
        <w:t> </w:t>
      </w:r>
      <w:r>
        <w:t>микрометра).</w:t>
      </w:r>
    </w:p>
    <w:p w14:paraId="109ADF19" w14:textId="7ACCCA24" w:rsidR="009B3384" w:rsidRDefault="00800862">
      <w:pPr>
        <w:ind w:left="567" w:hanging="567"/>
      </w:pPr>
      <w:r>
        <w:t>8.</w:t>
      </w:r>
      <w:r>
        <w:tab/>
        <w:t>Всеки флакон е само за еднократно приложение и неизползваният лекарствен продукт трябва да се изхвърли в съответствие с местните изисквания.</w:t>
      </w:r>
    </w:p>
    <w:p w14:paraId="109ADF1A" w14:textId="77777777" w:rsidR="009B3384" w:rsidRDefault="009B3384">
      <w:pPr>
        <w:keepNext/>
        <w:widowControl w:val="0"/>
        <w:rPr>
          <w:bCs/>
          <w:u w:val="single"/>
        </w:rPr>
      </w:pPr>
    </w:p>
    <w:p w14:paraId="109ADF1B" w14:textId="77777777" w:rsidR="009B3384" w:rsidRDefault="00800862">
      <w:pPr>
        <w:keepNext/>
        <w:widowControl w:val="0"/>
      </w:pPr>
      <w:r>
        <w:rPr>
          <w:bCs/>
          <w:u w:val="single"/>
        </w:rPr>
        <w:t>Съхранение</w:t>
      </w:r>
    </w:p>
    <w:p w14:paraId="109ADF1C" w14:textId="77777777" w:rsidR="009B3384" w:rsidRDefault="00800862">
      <w:pPr>
        <w:tabs>
          <w:tab w:val="clear" w:pos="567"/>
          <w:tab w:val="left" w:pos="270"/>
        </w:tabs>
      </w:pPr>
      <w:r>
        <w:t>Ако е необходимо, разреденият инфузионният разтвор може да се съхранява на стайна температура. Прилагането на инфузионният разтвор трябва да се извърши в рамките на осем часа след разреждането в инфузионния сак. Да не се замразява.</w:t>
      </w:r>
      <w:r>
        <w:br w:type="page"/>
      </w:r>
    </w:p>
    <w:p w14:paraId="109ADF1D" w14:textId="77777777" w:rsidR="009B3384" w:rsidRDefault="00800862">
      <w:pPr>
        <w:jc w:val="center"/>
        <w:rPr>
          <w:b/>
          <w:szCs w:val="22"/>
        </w:rPr>
      </w:pPr>
      <w:r>
        <w:rPr>
          <w:b/>
          <w:szCs w:val="22"/>
        </w:rPr>
        <w:lastRenderedPageBreak/>
        <w:t>Листовка: информация за потребителя</w:t>
      </w:r>
    </w:p>
    <w:p w14:paraId="109ADF1E" w14:textId="77777777" w:rsidR="009B3384" w:rsidRDefault="009B3384">
      <w:pPr>
        <w:jc w:val="center"/>
        <w:rPr>
          <w:b/>
          <w:bCs/>
          <w:szCs w:val="22"/>
        </w:rPr>
      </w:pPr>
    </w:p>
    <w:p w14:paraId="109ADF1F" w14:textId="77777777" w:rsidR="009B3384" w:rsidRDefault="00800862">
      <w:pPr>
        <w:jc w:val="center"/>
        <w:rPr>
          <w:b/>
          <w:bCs/>
          <w:szCs w:val="22"/>
        </w:rPr>
      </w:pPr>
      <w:r>
        <w:rPr>
          <w:b/>
          <w:bCs/>
          <w:szCs w:val="22"/>
        </w:rPr>
        <w:t>STELARA 45 mg инжекционен разтвор</w:t>
      </w:r>
    </w:p>
    <w:p w14:paraId="109ADF20" w14:textId="77777777" w:rsidR="009B3384" w:rsidRDefault="00800862">
      <w:pPr>
        <w:jc w:val="center"/>
        <w:rPr>
          <w:szCs w:val="22"/>
        </w:rPr>
      </w:pPr>
      <w:r>
        <w:rPr>
          <w:szCs w:val="22"/>
        </w:rPr>
        <w:t>устекинумаб (</w:t>
      </w:r>
      <w:r>
        <w:rPr>
          <w:iCs/>
          <w:szCs w:val="22"/>
        </w:rPr>
        <w:t>ustekinumab</w:t>
      </w:r>
      <w:r>
        <w:rPr>
          <w:szCs w:val="22"/>
        </w:rPr>
        <w:t>)</w:t>
      </w:r>
    </w:p>
    <w:p w14:paraId="109ADF21" w14:textId="77777777" w:rsidR="009B3384" w:rsidRDefault="009B3384">
      <w:pPr>
        <w:jc w:val="center"/>
        <w:rPr>
          <w:szCs w:val="22"/>
        </w:rPr>
      </w:pPr>
    </w:p>
    <w:p w14:paraId="109ADF22" w14:textId="77777777" w:rsidR="009B3384" w:rsidRDefault="00800862">
      <w:pPr>
        <w:keepNext/>
        <w:rPr>
          <w:b/>
          <w:szCs w:val="22"/>
        </w:rPr>
      </w:pPr>
      <w:r>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09ADF23" w14:textId="77777777" w:rsidR="009B3384" w:rsidRDefault="009B3384">
      <w:pPr>
        <w:keepNext/>
        <w:rPr>
          <w:b/>
          <w:szCs w:val="22"/>
        </w:rPr>
      </w:pPr>
    </w:p>
    <w:p w14:paraId="109ADF24" w14:textId="77777777" w:rsidR="009B3384" w:rsidRDefault="00800862">
      <w:pPr>
        <w:keepNext/>
        <w:rPr>
          <w:b/>
          <w:szCs w:val="22"/>
        </w:rPr>
      </w:pPr>
      <w:r>
        <w:rPr>
          <w:b/>
          <w:szCs w:val="22"/>
        </w:rPr>
        <w:t xml:space="preserve">Тази листовка е написана за пациента, който приема лекарството. Ако сте родител или настойник, който ще прилага </w:t>
      </w:r>
      <w:r>
        <w:rPr>
          <w:b/>
          <w:szCs w:val="22"/>
          <w:lang w:val="en-US"/>
        </w:rPr>
        <w:t>Stelara</w:t>
      </w:r>
      <w:r>
        <w:rPr>
          <w:b/>
          <w:szCs w:val="22"/>
        </w:rPr>
        <w:t xml:space="preserve"> на дете, моля прочетете внимателно тази информация.</w:t>
      </w:r>
    </w:p>
    <w:p w14:paraId="109ADF25" w14:textId="77777777" w:rsidR="009B3384" w:rsidRDefault="009B3384">
      <w:pPr>
        <w:keepNext/>
        <w:rPr>
          <w:b/>
          <w:szCs w:val="22"/>
        </w:rPr>
      </w:pPr>
    </w:p>
    <w:p w14:paraId="109ADF26" w14:textId="77777777" w:rsidR="009B3384" w:rsidRDefault="00800862">
      <w:pPr>
        <w:numPr>
          <w:ilvl w:val="0"/>
          <w:numId w:val="27"/>
        </w:numPr>
        <w:ind w:left="567" w:hanging="567"/>
      </w:pPr>
      <w:r>
        <w:t>Запазете тази листовка. Може да се наложи да я прочетете отново.</w:t>
      </w:r>
    </w:p>
    <w:p w14:paraId="109ADF27" w14:textId="77777777" w:rsidR="009B3384" w:rsidRDefault="00800862">
      <w:pPr>
        <w:numPr>
          <w:ilvl w:val="0"/>
          <w:numId w:val="27"/>
        </w:numPr>
        <w:ind w:left="567" w:hanging="567"/>
      </w:pPr>
      <w:r>
        <w:t>Ако имате някакви допълнителни въпроси, попитайте Вашия лекар или фармацевт.</w:t>
      </w:r>
    </w:p>
    <w:p w14:paraId="109ADF28" w14:textId="77777777" w:rsidR="009B3384" w:rsidRDefault="00800862">
      <w:pPr>
        <w:numPr>
          <w:ilvl w:val="0"/>
          <w:numId w:val="27"/>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9ADF29" w14:textId="77777777" w:rsidR="009B3384" w:rsidRDefault="00800862">
      <w:pPr>
        <w:numPr>
          <w:ilvl w:val="0"/>
          <w:numId w:val="27"/>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09ADF2A" w14:textId="77777777" w:rsidR="009B3384" w:rsidRDefault="009B3384">
      <w:pPr>
        <w:rPr>
          <w:szCs w:val="22"/>
        </w:rPr>
      </w:pPr>
    </w:p>
    <w:p w14:paraId="109ADF2B" w14:textId="77777777" w:rsidR="009B3384" w:rsidRDefault="00800862">
      <w:pPr>
        <w:keepNext/>
        <w:rPr>
          <w:szCs w:val="22"/>
        </w:rPr>
      </w:pPr>
      <w:r>
        <w:rPr>
          <w:b/>
          <w:szCs w:val="22"/>
        </w:rPr>
        <w:t>Какво съдържа тази листовка</w:t>
      </w:r>
    </w:p>
    <w:p w14:paraId="109ADF2C" w14:textId="77777777" w:rsidR="009B3384" w:rsidRDefault="00800862">
      <w:pPr>
        <w:tabs>
          <w:tab w:val="clear" w:pos="567"/>
        </w:tabs>
        <w:rPr>
          <w:szCs w:val="22"/>
        </w:rPr>
      </w:pPr>
      <w:r>
        <w:rPr>
          <w:szCs w:val="22"/>
        </w:rPr>
        <w:t>1.</w:t>
      </w:r>
      <w:r>
        <w:rPr>
          <w:szCs w:val="22"/>
        </w:rPr>
        <w:tab/>
        <w:t>Какво представлява Stelara и за какво се използва</w:t>
      </w:r>
    </w:p>
    <w:p w14:paraId="109ADF2D" w14:textId="77777777" w:rsidR="009B3384" w:rsidRDefault="00800862">
      <w:pPr>
        <w:tabs>
          <w:tab w:val="clear" w:pos="567"/>
        </w:tabs>
        <w:rPr>
          <w:szCs w:val="22"/>
        </w:rPr>
      </w:pPr>
      <w:r>
        <w:rPr>
          <w:szCs w:val="22"/>
        </w:rPr>
        <w:t>2.</w:t>
      </w:r>
      <w:r>
        <w:rPr>
          <w:szCs w:val="22"/>
        </w:rPr>
        <w:tab/>
        <w:t>Какво трябва да знаете, преди да използвате Stelara</w:t>
      </w:r>
    </w:p>
    <w:p w14:paraId="109ADF2E" w14:textId="77777777" w:rsidR="009B3384" w:rsidRDefault="00800862">
      <w:pPr>
        <w:tabs>
          <w:tab w:val="clear" w:pos="567"/>
        </w:tabs>
        <w:rPr>
          <w:szCs w:val="22"/>
        </w:rPr>
      </w:pPr>
      <w:r>
        <w:rPr>
          <w:szCs w:val="22"/>
        </w:rPr>
        <w:t>3.</w:t>
      </w:r>
      <w:r>
        <w:rPr>
          <w:szCs w:val="22"/>
        </w:rPr>
        <w:tab/>
        <w:t>Как да използвате Stelara</w:t>
      </w:r>
    </w:p>
    <w:p w14:paraId="109ADF2F" w14:textId="77777777" w:rsidR="009B3384" w:rsidRDefault="00800862">
      <w:pPr>
        <w:tabs>
          <w:tab w:val="clear" w:pos="567"/>
        </w:tabs>
        <w:rPr>
          <w:szCs w:val="22"/>
        </w:rPr>
      </w:pPr>
      <w:r>
        <w:rPr>
          <w:szCs w:val="22"/>
        </w:rPr>
        <w:t>4.</w:t>
      </w:r>
      <w:r>
        <w:rPr>
          <w:szCs w:val="22"/>
        </w:rPr>
        <w:tab/>
        <w:t>Възможни нежелани реакции</w:t>
      </w:r>
    </w:p>
    <w:p w14:paraId="109ADF30" w14:textId="77777777" w:rsidR="009B3384" w:rsidRDefault="00800862">
      <w:pPr>
        <w:tabs>
          <w:tab w:val="clear" w:pos="567"/>
        </w:tabs>
        <w:rPr>
          <w:szCs w:val="22"/>
        </w:rPr>
      </w:pPr>
      <w:r>
        <w:rPr>
          <w:szCs w:val="22"/>
        </w:rPr>
        <w:t>5.</w:t>
      </w:r>
      <w:r>
        <w:rPr>
          <w:szCs w:val="22"/>
        </w:rPr>
        <w:tab/>
        <w:t>Как да съхранявате Stelara</w:t>
      </w:r>
    </w:p>
    <w:p w14:paraId="109ADF31" w14:textId="77777777" w:rsidR="009B3384" w:rsidRDefault="00800862">
      <w:pPr>
        <w:tabs>
          <w:tab w:val="clear" w:pos="567"/>
        </w:tabs>
        <w:rPr>
          <w:szCs w:val="22"/>
        </w:rPr>
      </w:pPr>
      <w:r>
        <w:rPr>
          <w:szCs w:val="22"/>
        </w:rPr>
        <w:t>6.</w:t>
      </w:r>
      <w:r>
        <w:rPr>
          <w:szCs w:val="22"/>
        </w:rPr>
        <w:tab/>
        <w:t>Съдържание на опаковката и допълнителна информация</w:t>
      </w:r>
    </w:p>
    <w:p w14:paraId="109ADF32" w14:textId="77777777" w:rsidR="009B3384" w:rsidRDefault="009B3384">
      <w:pPr>
        <w:rPr>
          <w:szCs w:val="22"/>
        </w:rPr>
      </w:pPr>
    </w:p>
    <w:p w14:paraId="109ADF33" w14:textId="77777777" w:rsidR="009B3384" w:rsidRDefault="009B3384">
      <w:pPr>
        <w:rPr>
          <w:szCs w:val="22"/>
        </w:rPr>
      </w:pPr>
    </w:p>
    <w:p w14:paraId="109ADF34" w14:textId="77777777" w:rsidR="009B3384" w:rsidRDefault="00800862">
      <w:pPr>
        <w:keepNext/>
        <w:ind w:left="567" w:hanging="567"/>
        <w:outlineLvl w:val="2"/>
        <w:rPr>
          <w:b/>
          <w:bCs/>
          <w:szCs w:val="22"/>
        </w:rPr>
      </w:pPr>
      <w:r>
        <w:rPr>
          <w:b/>
          <w:bCs/>
          <w:szCs w:val="22"/>
        </w:rPr>
        <w:t>1.</w:t>
      </w:r>
      <w:r>
        <w:rPr>
          <w:b/>
          <w:bCs/>
          <w:szCs w:val="22"/>
        </w:rPr>
        <w:tab/>
        <w:t>Какво представлява Stelara и за какво се използва</w:t>
      </w:r>
    </w:p>
    <w:p w14:paraId="109ADF35" w14:textId="77777777" w:rsidR="009B3384" w:rsidRDefault="009B3384">
      <w:pPr>
        <w:keepNext/>
      </w:pPr>
    </w:p>
    <w:p w14:paraId="109ADF36" w14:textId="77777777" w:rsidR="009B3384" w:rsidRDefault="00800862">
      <w:pPr>
        <w:keepNext/>
        <w:rPr>
          <w:b/>
          <w:szCs w:val="22"/>
        </w:rPr>
      </w:pPr>
      <w:r>
        <w:rPr>
          <w:b/>
          <w:szCs w:val="22"/>
        </w:rPr>
        <w:t xml:space="preserve">Какво представлява </w:t>
      </w:r>
      <w:r>
        <w:rPr>
          <w:b/>
          <w:szCs w:val="22"/>
          <w:lang w:val="en-US"/>
        </w:rPr>
        <w:t>Stelara</w:t>
      </w:r>
    </w:p>
    <w:p w14:paraId="109ADF37" w14:textId="77777777" w:rsidR="009B3384" w:rsidRDefault="00800862">
      <w:pPr>
        <w:rPr>
          <w:szCs w:val="22"/>
        </w:rPr>
      </w:pPr>
      <w:r>
        <w:rPr>
          <w:szCs w:val="22"/>
        </w:rPr>
        <w:t>Stelara съдържа активното вещество „устекинумаб”, което е моноклонално антитяло. Моноклоналните антитела са протеини, които разпознават и свързват определени специфични протеини в организма.</w:t>
      </w:r>
    </w:p>
    <w:p w14:paraId="109ADF38" w14:textId="77777777" w:rsidR="009B3384" w:rsidRDefault="009B3384">
      <w:pPr>
        <w:rPr>
          <w:szCs w:val="22"/>
        </w:rPr>
      </w:pPr>
    </w:p>
    <w:p w14:paraId="109ADF39" w14:textId="77777777" w:rsidR="009B3384" w:rsidRDefault="00800862">
      <w:r>
        <w:rPr>
          <w:szCs w:val="22"/>
        </w:rPr>
        <w:t xml:space="preserve">Stelara принадлежи към група лекарства, наречени „имуносупресори”. </w:t>
      </w:r>
      <w:r>
        <w:t>Тези лекарства действат, като намаляват активността на част от имунната система.</w:t>
      </w:r>
    </w:p>
    <w:p w14:paraId="109ADF3A" w14:textId="77777777" w:rsidR="009B3384" w:rsidRDefault="009B3384"/>
    <w:p w14:paraId="109ADF3B" w14:textId="77777777" w:rsidR="009B3384" w:rsidRDefault="00800862">
      <w:pPr>
        <w:keepNext/>
      </w:pPr>
      <w:r>
        <w:rPr>
          <w:b/>
          <w:lang w:val="ru-RU"/>
        </w:rPr>
        <w:t xml:space="preserve">За </w:t>
      </w:r>
      <w:r>
        <w:rPr>
          <w:b/>
        </w:rPr>
        <w:t>какво</w:t>
      </w:r>
      <w:r>
        <w:rPr>
          <w:b/>
          <w:lang w:val="ru-RU"/>
        </w:rPr>
        <w:t xml:space="preserve"> се </w:t>
      </w:r>
      <w:r>
        <w:rPr>
          <w:b/>
        </w:rPr>
        <w:t xml:space="preserve">използва </w:t>
      </w:r>
      <w:r>
        <w:rPr>
          <w:b/>
          <w:szCs w:val="22"/>
          <w:lang w:val="en-US"/>
        </w:rPr>
        <w:t>Stelara</w:t>
      </w:r>
    </w:p>
    <w:p w14:paraId="109ADF3C" w14:textId="77777777" w:rsidR="009B3384" w:rsidRDefault="00800862">
      <w:r>
        <w:t>Stelara се използва за лечение на следните възпалителни заболявания:</w:t>
      </w:r>
    </w:p>
    <w:p w14:paraId="109ADF3D" w14:textId="77777777" w:rsidR="009B3384" w:rsidRDefault="00800862">
      <w:pPr>
        <w:numPr>
          <w:ilvl w:val="0"/>
          <w:numId w:val="30"/>
        </w:numPr>
        <w:tabs>
          <w:tab w:val="clear" w:pos="567"/>
        </w:tabs>
      </w:pPr>
      <w:r>
        <w:t>Плаков псориазис - при възрастни и деца на възраст от 6</w:t>
      </w:r>
      <w:r>
        <w:rPr>
          <w:lang w:val="en-US"/>
        </w:rPr>
        <w:t> </w:t>
      </w:r>
      <w:r>
        <w:t>години и по-големи</w:t>
      </w:r>
    </w:p>
    <w:p w14:paraId="109ADF3E" w14:textId="77777777" w:rsidR="009B3384" w:rsidRDefault="00800862">
      <w:pPr>
        <w:numPr>
          <w:ilvl w:val="0"/>
          <w:numId w:val="30"/>
        </w:numPr>
        <w:tabs>
          <w:tab w:val="clear" w:pos="567"/>
        </w:tabs>
      </w:pPr>
      <w:r>
        <w:t>Псориатичен артрит – при възрастни</w:t>
      </w:r>
    </w:p>
    <w:p w14:paraId="109ADF3F" w14:textId="7EB39B43" w:rsidR="009B3384" w:rsidRDefault="00800862">
      <w:pPr>
        <w:numPr>
          <w:ilvl w:val="0"/>
          <w:numId w:val="30"/>
        </w:numPr>
        <w:tabs>
          <w:tab w:val="clear" w:pos="567"/>
        </w:tabs>
      </w:pPr>
      <w:r>
        <w:t xml:space="preserve">Умерена до тежка болест на Крон – при възрастни </w:t>
      </w:r>
      <w:r>
        <w:rPr>
          <w:bCs/>
        </w:rPr>
        <w:t xml:space="preserve">и деца </w:t>
      </w:r>
      <w:r>
        <w:t>на възраст 2 и повече години</w:t>
      </w:r>
    </w:p>
    <w:p w14:paraId="109ADF40" w14:textId="35FEF4B9" w:rsidR="009B3384" w:rsidRDefault="00800862">
      <w:pPr>
        <w:numPr>
          <w:ilvl w:val="0"/>
          <w:numId w:val="30"/>
        </w:numPr>
        <w:tabs>
          <w:tab w:val="clear" w:pos="567"/>
        </w:tabs>
      </w:pPr>
      <w:r>
        <w:t>Умерен до тежък улцерозен колит – при възрастни</w:t>
      </w:r>
      <w:ins w:id="1330" w:author="Reviser" w:date="2026-04-30T15:39:00Z">
        <w:r w:rsidR="006A6A96">
          <w:t xml:space="preserve"> </w:t>
        </w:r>
        <w:r w:rsidR="006A6A96">
          <w:rPr>
            <w:bCs/>
          </w:rPr>
          <w:t xml:space="preserve">и деца </w:t>
        </w:r>
        <w:r w:rsidR="006A6A96">
          <w:t>на възраст 2 и повече години</w:t>
        </w:r>
      </w:ins>
    </w:p>
    <w:p w14:paraId="109ADF41" w14:textId="77777777" w:rsidR="009B3384" w:rsidRDefault="009B3384"/>
    <w:p w14:paraId="109ADF42" w14:textId="77777777" w:rsidR="009B3384" w:rsidRDefault="00800862">
      <w:pPr>
        <w:keepNext/>
        <w:widowControl w:val="0"/>
        <w:rPr>
          <w:b/>
        </w:rPr>
      </w:pPr>
      <w:r>
        <w:rPr>
          <w:b/>
        </w:rPr>
        <w:t>Плаков псориазис</w:t>
      </w:r>
    </w:p>
    <w:p w14:paraId="109ADF43" w14:textId="77777777" w:rsidR="009B3384" w:rsidRDefault="00800862">
      <w:pPr>
        <w:widowControl w:val="0"/>
      </w:pPr>
      <w:r>
        <w:t>„Плаков псориазис” е кожно заболяване, което води до възпаление, засягащо кожата и ноктите. Stelara намалява възпалението и другите признаци на заболяването.</w:t>
      </w:r>
    </w:p>
    <w:p w14:paraId="109ADF44" w14:textId="77777777" w:rsidR="009B3384" w:rsidRDefault="009B3384">
      <w:pPr>
        <w:widowControl w:val="0"/>
      </w:pPr>
    </w:p>
    <w:p w14:paraId="109ADF45" w14:textId="77777777" w:rsidR="009B3384" w:rsidRDefault="00800862">
      <w:pPr>
        <w:widowControl w:val="0"/>
      </w:pPr>
      <w:r>
        <w:t>Stelara се използва при възрастни с умерен до тежък плаков псориазис, които не могат да използват циклоспорин, метотрексат или фототерапия, или когато тези лечения не действат.</w:t>
      </w:r>
    </w:p>
    <w:p w14:paraId="109ADF46" w14:textId="77777777" w:rsidR="009B3384" w:rsidRDefault="009B3384">
      <w:pPr>
        <w:widowControl w:val="0"/>
      </w:pPr>
    </w:p>
    <w:p w14:paraId="109ADF47" w14:textId="77777777" w:rsidR="009B3384" w:rsidRDefault="00800862">
      <w:r>
        <w:t>Stelara се използва при деца и юноши на възраст 6</w:t>
      </w:r>
      <w:r>
        <w:rPr>
          <w:lang w:val="en-US"/>
        </w:rPr>
        <w:t> </w:t>
      </w:r>
      <w:r>
        <w:t>години и по-големи с умерен до тежък плаков псориазис, които имат непоносимост към фототерапия или други системни терапии, или когато тези лечения не действат.</w:t>
      </w:r>
    </w:p>
    <w:p w14:paraId="109ADF48" w14:textId="77777777" w:rsidR="009B3384" w:rsidRDefault="009B3384">
      <w:pPr>
        <w:rPr>
          <w:szCs w:val="22"/>
        </w:rPr>
      </w:pPr>
    </w:p>
    <w:p w14:paraId="109ADF49" w14:textId="77777777" w:rsidR="009B3384" w:rsidRDefault="00800862">
      <w:pPr>
        <w:keepNext/>
        <w:rPr>
          <w:b/>
          <w:szCs w:val="22"/>
        </w:rPr>
      </w:pPr>
      <w:r>
        <w:rPr>
          <w:b/>
          <w:szCs w:val="22"/>
        </w:rPr>
        <w:lastRenderedPageBreak/>
        <w:t>Псориатичен артрит</w:t>
      </w:r>
    </w:p>
    <w:p w14:paraId="109ADF4A" w14:textId="77777777" w:rsidR="009B3384" w:rsidRDefault="00800862">
      <w:pPr>
        <w:rPr>
          <w:szCs w:val="22"/>
        </w:rPr>
      </w:pPr>
      <w:r>
        <w:rPr>
          <w:szCs w:val="22"/>
        </w:rPr>
        <w:t>Псориатичен артрит е възпалително заболяване на ставите, обикновено съпътствано от псориазис. Ако имате активен псориатичен артрит, първо ще Ви лекуват с други лекарства. Ако не се повлияете достатъчно добре от тези лекарства, може да Ви се предпише Stelara, за да се:</w:t>
      </w:r>
    </w:p>
    <w:p w14:paraId="109ADF4B" w14:textId="77777777" w:rsidR="009B3384" w:rsidRDefault="00800862">
      <w:pPr>
        <w:numPr>
          <w:ilvl w:val="0"/>
          <w:numId w:val="30"/>
        </w:numPr>
        <w:tabs>
          <w:tab w:val="clear" w:pos="567"/>
        </w:tabs>
        <w:rPr>
          <w:szCs w:val="22"/>
        </w:rPr>
      </w:pPr>
      <w:r>
        <w:rPr>
          <w:szCs w:val="22"/>
        </w:rPr>
        <w:t>намалят признаците и симптомите на заболяването Ви;</w:t>
      </w:r>
    </w:p>
    <w:p w14:paraId="109ADF4C" w14:textId="77777777" w:rsidR="009B3384" w:rsidRDefault="00800862">
      <w:pPr>
        <w:numPr>
          <w:ilvl w:val="0"/>
          <w:numId w:val="30"/>
        </w:numPr>
        <w:tabs>
          <w:tab w:val="clear" w:pos="567"/>
        </w:tabs>
        <w:rPr>
          <w:szCs w:val="22"/>
        </w:rPr>
      </w:pPr>
      <w:r>
        <w:rPr>
          <w:szCs w:val="22"/>
        </w:rPr>
        <w:t>подобри физическото Ви състояние;</w:t>
      </w:r>
    </w:p>
    <w:p w14:paraId="109ADF4D" w14:textId="77777777" w:rsidR="009B3384" w:rsidRDefault="00800862">
      <w:pPr>
        <w:numPr>
          <w:ilvl w:val="0"/>
          <w:numId w:val="30"/>
        </w:numPr>
        <w:tabs>
          <w:tab w:val="clear" w:pos="567"/>
        </w:tabs>
        <w:rPr>
          <w:szCs w:val="22"/>
        </w:rPr>
      </w:pPr>
      <w:r>
        <w:rPr>
          <w:szCs w:val="22"/>
        </w:rPr>
        <w:t>забави увреждането на Вашите стави.</w:t>
      </w:r>
    </w:p>
    <w:p w14:paraId="109ADF4E" w14:textId="77777777" w:rsidR="009B3384" w:rsidRDefault="009B3384">
      <w:pPr>
        <w:rPr>
          <w:szCs w:val="22"/>
        </w:rPr>
      </w:pPr>
    </w:p>
    <w:p w14:paraId="109ADF4F" w14:textId="77777777" w:rsidR="009B3384" w:rsidRDefault="00800862">
      <w:pPr>
        <w:keepNext/>
        <w:widowControl w:val="0"/>
        <w:rPr>
          <w:b/>
        </w:rPr>
      </w:pPr>
      <w:r>
        <w:rPr>
          <w:b/>
        </w:rPr>
        <w:t>Болест на Крон</w:t>
      </w:r>
    </w:p>
    <w:p w14:paraId="109ADF50" w14:textId="77777777" w:rsidR="009B3384" w:rsidRDefault="00800862">
      <w:r>
        <w:t xml:space="preserve">Болестта на Крон е възпалително заболяване на червата. Ако имате болест на Крон първо ще Ви се дадат други лекарства. Ако не се повлияете достатъчно или имате непоносимост към тези лекарства, може да Ви се даде </w:t>
      </w:r>
      <w:r>
        <w:rPr>
          <w:lang w:val="en-GB"/>
        </w:rPr>
        <w:t>Stelara</w:t>
      </w:r>
      <w:r>
        <w:t xml:space="preserve"> за намаляване на признаците и симптомите на заболяването Ви.</w:t>
      </w:r>
    </w:p>
    <w:p w14:paraId="109ADF51" w14:textId="77777777" w:rsidR="009B3384" w:rsidRDefault="009B3384">
      <w:pPr>
        <w:rPr>
          <w:szCs w:val="22"/>
        </w:rPr>
      </w:pPr>
    </w:p>
    <w:p w14:paraId="109ADF52" w14:textId="77777777" w:rsidR="009B3384" w:rsidRDefault="00800862">
      <w:pPr>
        <w:keepNext/>
        <w:tabs>
          <w:tab w:val="clear" w:pos="567"/>
        </w:tabs>
        <w:rPr>
          <w:b/>
        </w:rPr>
      </w:pPr>
      <w:r>
        <w:rPr>
          <w:b/>
        </w:rPr>
        <w:t>Улцерозен колит</w:t>
      </w:r>
    </w:p>
    <w:p w14:paraId="109ADF53" w14:textId="77777777" w:rsidR="009B3384" w:rsidRDefault="00800862">
      <w:r>
        <w:t>Улцерозният колит е възпалително заболяване на червата. Ако имате улцерозен колит, първо ще Ви се дадат други лекарства. Ако не се повлиявате добре или имате непоносимост към тези лекарства, може да Ви се даде Stelara за намаляване на признаците и симптомите на Вашето заболяване.</w:t>
      </w:r>
    </w:p>
    <w:p w14:paraId="109ADF54" w14:textId="77777777" w:rsidR="009B3384" w:rsidRDefault="009B3384">
      <w:pPr>
        <w:rPr>
          <w:szCs w:val="22"/>
        </w:rPr>
      </w:pPr>
    </w:p>
    <w:p w14:paraId="109ADF55" w14:textId="77777777" w:rsidR="009B3384" w:rsidRDefault="009B3384">
      <w:pPr>
        <w:rPr>
          <w:szCs w:val="22"/>
        </w:rPr>
      </w:pPr>
    </w:p>
    <w:p w14:paraId="109ADF56" w14:textId="77777777" w:rsidR="009B3384" w:rsidRDefault="00800862">
      <w:pPr>
        <w:keepNext/>
        <w:ind w:left="567" w:hanging="567"/>
        <w:outlineLvl w:val="2"/>
        <w:rPr>
          <w:b/>
          <w:bCs/>
          <w:szCs w:val="22"/>
        </w:rPr>
      </w:pPr>
      <w:r>
        <w:rPr>
          <w:b/>
          <w:bCs/>
          <w:szCs w:val="22"/>
        </w:rPr>
        <w:t>2.</w:t>
      </w:r>
      <w:r>
        <w:rPr>
          <w:b/>
          <w:bCs/>
          <w:szCs w:val="22"/>
        </w:rPr>
        <w:tab/>
        <w:t>Какво трябва да знаете, преди да използвате Stelara</w:t>
      </w:r>
    </w:p>
    <w:p w14:paraId="109ADF57" w14:textId="77777777" w:rsidR="009B3384" w:rsidRDefault="009B3384">
      <w:pPr>
        <w:keepNext/>
        <w:rPr>
          <w:szCs w:val="22"/>
        </w:rPr>
      </w:pPr>
    </w:p>
    <w:p w14:paraId="109ADF58" w14:textId="77777777" w:rsidR="009B3384" w:rsidRDefault="00800862">
      <w:pPr>
        <w:keepNext/>
        <w:rPr>
          <w:szCs w:val="22"/>
        </w:rPr>
      </w:pPr>
      <w:r>
        <w:rPr>
          <w:b/>
          <w:szCs w:val="22"/>
        </w:rPr>
        <w:t>Не използвайте Stelara</w:t>
      </w:r>
    </w:p>
    <w:p w14:paraId="109ADF59" w14:textId="77777777" w:rsidR="009B3384" w:rsidRDefault="00800862">
      <w:pPr>
        <w:numPr>
          <w:ilvl w:val="0"/>
          <w:numId w:val="30"/>
        </w:numPr>
        <w:tabs>
          <w:tab w:val="clear" w:pos="567"/>
        </w:tabs>
        <w:rPr>
          <w:bCs/>
          <w:szCs w:val="22"/>
        </w:rPr>
      </w:pPr>
      <w:r>
        <w:rPr>
          <w:b/>
          <w:szCs w:val="22"/>
        </w:rPr>
        <w:t>Ако сте алергични</w:t>
      </w:r>
      <w:r>
        <w:rPr>
          <w:szCs w:val="22"/>
        </w:rPr>
        <w:t xml:space="preserve"> </w:t>
      </w:r>
      <w:r>
        <w:rPr>
          <w:b/>
          <w:szCs w:val="22"/>
        </w:rPr>
        <w:t>към устекинумаб</w:t>
      </w:r>
      <w:r>
        <w:rPr>
          <w:szCs w:val="22"/>
        </w:rPr>
        <w:t xml:space="preserve"> или някоя от останалите съставки на това лекарство (изброени в точка 6).</w:t>
      </w:r>
    </w:p>
    <w:p w14:paraId="109ADF5A" w14:textId="77777777" w:rsidR="009B3384" w:rsidRDefault="00800862">
      <w:pPr>
        <w:numPr>
          <w:ilvl w:val="0"/>
          <w:numId w:val="30"/>
        </w:numPr>
        <w:tabs>
          <w:tab w:val="clear" w:pos="567"/>
        </w:tabs>
        <w:rPr>
          <w:bCs/>
          <w:szCs w:val="22"/>
        </w:rPr>
      </w:pPr>
      <w:r>
        <w:rPr>
          <w:b/>
          <w:szCs w:val="22"/>
        </w:rPr>
        <w:t>Ако имате активна инфекция</w:t>
      </w:r>
      <w:r>
        <w:rPr>
          <w:szCs w:val="22"/>
        </w:rPr>
        <w:t>, която Вашият лекар намира за значима.</w:t>
      </w:r>
    </w:p>
    <w:p w14:paraId="109ADF5B" w14:textId="77777777" w:rsidR="009B3384" w:rsidRDefault="009B3384">
      <w:pPr>
        <w:rPr>
          <w:szCs w:val="22"/>
        </w:rPr>
      </w:pPr>
    </w:p>
    <w:p w14:paraId="109ADF5C" w14:textId="77777777" w:rsidR="009B3384" w:rsidRDefault="00800862">
      <w:pPr>
        <w:rPr>
          <w:szCs w:val="22"/>
        </w:rPr>
      </w:pPr>
      <w:r>
        <w:rPr>
          <w:szCs w:val="22"/>
        </w:rPr>
        <w:t>Ако не сте сигурни дали някое от изброените по-горе се отнася за Вас, посъветвайте се с Вашия лекар или фармацевт, преди да използвате Stelara.</w:t>
      </w:r>
    </w:p>
    <w:p w14:paraId="109ADF5D" w14:textId="77777777" w:rsidR="009B3384" w:rsidRDefault="009B3384">
      <w:pPr>
        <w:rPr>
          <w:szCs w:val="22"/>
        </w:rPr>
      </w:pPr>
    </w:p>
    <w:p w14:paraId="109ADF5E" w14:textId="77777777" w:rsidR="009B3384" w:rsidRDefault="00800862">
      <w:pPr>
        <w:keepNext/>
        <w:rPr>
          <w:b/>
          <w:szCs w:val="22"/>
        </w:rPr>
      </w:pPr>
      <w:r>
        <w:rPr>
          <w:b/>
          <w:szCs w:val="22"/>
        </w:rPr>
        <w:t>Предупреждения и предпазни мерки</w:t>
      </w:r>
    </w:p>
    <w:p w14:paraId="109ADF5F" w14:textId="77777777" w:rsidR="009B3384" w:rsidRDefault="00800862">
      <w:pPr>
        <w:tabs>
          <w:tab w:val="clear" w:pos="567"/>
          <w:tab w:val="left" w:pos="0"/>
        </w:tabs>
        <w:rPr>
          <w:szCs w:val="22"/>
        </w:rPr>
      </w:pPr>
      <w:r>
        <w:t>Говорете с Вашия лекар или фармацевт преди да използвате Stelara. Вашият лекар ще провери състоянието Ви преди всяко лечение. Уведомете своя лекар за всяка Ваша болест преди всяко лечение. Също така информирайте Вашия лекар, ако наскоро сте били в контакт с човек, който може да има туберкулоза. Вашият лекар ще Ви прегледа и ще направи изследване за туберкулоза, преди да използвате Stelara. Ако Вашият лекар смята, че сте изложени на риск от туберкулоза, може да Ви предпише лекарства за лечението й.</w:t>
      </w:r>
    </w:p>
    <w:p w14:paraId="109ADF60" w14:textId="77777777" w:rsidR="009B3384" w:rsidRDefault="009B3384">
      <w:pPr>
        <w:tabs>
          <w:tab w:val="clear" w:pos="567"/>
          <w:tab w:val="left" w:pos="0"/>
        </w:tabs>
        <w:rPr>
          <w:szCs w:val="22"/>
        </w:rPr>
      </w:pPr>
    </w:p>
    <w:p w14:paraId="109ADF61" w14:textId="77777777" w:rsidR="009B3384" w:rsidRDefault="00800862">
      <w:pPr>
        <w:keepNext/>
        <w:rPr>
          <w:b/>
        </w:rPr>
      </w:pPr>
      <w:r>
        <w:rPr>
          <w:b/>
        </w:rPr>
        <w:t>Следете за сериозни нежелани реакции</w:t>
      </w:r>
    </w:p>
    <w:p w14:paraId="109ADF62" w14:textId="77777777" w:rsidR="009B3384" w:rsidRDefault="00800862">
      <w:r>
        <w:t>Stelara може да предизвика сериозни нежелани реакции, включително алергични реакции и инфекции. Трябва да следите за определени признаци на заболявания, докато приемате Stelara. Вижте „Сериозни нежелани реакции” в точка 4 за пълния списък на тези нежелани реакции.</w:t>
      </w:r>
    </w:p>
    <w:p w14:paraId="109ADF63" w14:textId="77777777" w:rsidR="009B3384" w:rsidRDefault="009B3384">
      <w:pPr>
        <w:rPr>
          <w:szCs w:val="22"/>
        </w:rPr>
      </w:pPr>
    </w:p>
    <w:p w14:paraId="109ADF64" w14:textId="77777777" w:rsidR="009B3384" w:rsidRDefault="00800862">
      <w:pPr>
        <w:keepNext/>
        <w:tabs>
          <w:tab w:val="left" w:pos="1134"/>
        </w:tabs>
        <w:rPr>
          <w:b/>
          <w:szCs w:val="22"/>
        </w:rPr>
      </w:pPr>
      <w:r>
        <w:rPr>
          <w:b/>
          <w:szCs w:val="22"/>
        </w:rPr>
        <w:t>Преди да използвате Stelara информирайте Вашия лекар:</w:t>
      </w:r>
    </w:p>
    <w:p w14:paraId="109ADF65" w14:textId="77777777" w:rsidR="009B3384" w:rsidRDefault="00800862">
      <w:pPr>
        <w:widowControl w:val="0"/>
        <w:numPr>
          <w:ilvl w:val="0"/>
          <w:numId w:val="30"/>
        </w:numPr>
        <w:tabs>
          <w:tab w:val="clear" w:pos="567"/>
        </w:tabs>
        <w:rPr>
          <w:bCs/>
        </w:rPr>
      </w:pPr>
      <w:r>
        <w:rPr>
          <w:b/>
          <w:bCs/>
        </w:rPr>
        <w:t>Ако някога сте имали алергична реакция към Stelara</w:t>
      </w:r>
      <w:r>
        <w:rPr>
          <w:bCs/>
        </w:rPr>
        <w:t>. Ако не сте сигурни, попитайте Вашия лекар.</w:t>
      </w:r>
    </w:p>
    <w:p w14:paraId="109ADF66" w14:textId="77777777" w:rsidR="009B3384" w:rsidRDefault="00800862">
      <w:pPr>
        <w:widowControl w:val="0"/>
        <w:numPr>
          <w:ilvl w:val="0"/>
          <w:numId w:val="30"/>
        </w:numPr>
        <w:tabs>
          <w:tab w:val="clear" w:pos="567"/>
        </w:tabs>
        <w:rPr>
          <w:bCs/>
          <w:szCs w:val="22"/>
        </w:rPr>
      </w:pPr>
      <w:r>
        <w:rPr>
          <w:b/>
          <w:bCs/>
        </w:rPr>
        <w:t xml:space="preserve">Ако някога сте имали някакъв вид рак </w:t>
      </w:r>
      <w:r>
        <w:rPr>
          <w:bCs/>
        </w:rPr>
        <w:t xml:space="preserve">– това е, защото имуносупресорите като </w:t>
      </w:r>
      <w:r>
        <w:t>Stelara отслабват част от имунната система. Това може да повиши риска от рак.</w:t>
      </w:r>
    </w:p>
    <w:p w14:paraId="109ADF67" w14:textId="77777777" w:rsidR="009B3384" w:rsidRDefault="00800862">
      <w:pPr>
        <w:numPr>
          <w:ilvl w:val="0"/>
          <w:numId w:val="30"/>
        </w:numPr>
        <w:tabs>
          <w:tab w:val="clear" w:pos="567"/>
        </w:tabs>
      </w:pPr>
      <w:r>
        <w:rPr>
          <w:b/>
          <w:bCs/>
          <w:szCs w:val="22"/>
        </w:rPr>
        <w:t>Ако сте лекувани за псориазис с други биологични лекарства (лекарство, произведено от биологичен източник и обикновено прилагано чрез инжекция)</w:t>
      </w:r>
      <w:r>
        <w:rPr>
          <w:bCs/>
          <w:szCs w:val="22"/>
        </w:rPr>
        <w:t xml:space="preserve"> - рискът от рак може да е по-висок.</w:t>
      </w:r>
    </w:p>
    <w:p w14:paraId="109ADF68" w14:textId="77777777" w:rsidR="009B3384" w:rsidRDefault="00800862">
      <w:pPr>
        <w:widowControl w:val="0"/>
        <w:numPr>
          <w:ilvl w:val="0"/>
          <w:numId w:val="30"/>
        </w:numPr>
        <w:tabs>
          <w:tab w:val="clear" w:pos="567"/>
        </w:tabs>
        <w:rPr>
          <w:bCs/>
          <w:szCs w:val="22"/>
        </w:rPr>
      </w:pPr>
      <w:r>
        <w:rPr>
          <w:b/>
          <w:bCs/>
        </w:rPr>
        <w:t>Ако имате или наскоро сте имали инфекция.</w:t>
      </w:r>
    </w:p>
    <w:p w14:paraId="109ADF69" w14:textId="77777777" w:rsidR="009B3384" w:rsidRDefault="00800862">
      <w:pPr>
        <w:widowControl w:val="0"/>
        <w:numPr>
          <w:ilvl w:val="0"/>
          <w:numId w:val="30"/>
        </w:numPr>
        <w:tabs>
          <w:tab w:val="clear" w:pos="567"/>
        </w:tabs>
        <w:rPr>
          <w:bCs/>
        </w:rPr>
      </w:pPr>
      <w:r>
        <w:rPr>
          <w:b/>
          <w:bCs/>
        </w:rPr>
        <w:t xml:space="preserve">Ако имате нови или променящи се лезии </w:t>
      </w:r>
      <w:r>
        <w:rPr>
          <w:bCs/>
        </w:rPr>
        <w:t>в участъците с псориазис или по незасегнатата кожа.</w:t>
      </w:r>
    </w:p>
    <w:p w14:paraId="109ADF6A" w14:textId="77777777" w:rsidR="009B3384" w:rsidRDefault="00800862">
      <w:pPr>
        <w:widowControl w:val="0"/>
        <w:numPr>
          <w:ilvl w:val="0"/>
          <w:numId w:val="30"/>
        </w:numPr>
        <w:tabs>
          <w:tab w:val="clear" w:pos="567"/>
        </w:tabs>
        <w:rPr>
          <w:bCs/>
        </w:rPr>
      </w:pPr>
      <w:r>
        <w:rPr>
          <w:b/>
        </w:rPr>
        <w:t>Ако получавате друго лечение за псориазис</w:t>
      </w:r>
      <w:r>
        <w:t xml:space="preserve"> </w:t>
      </w:r>
      <w:r>
        <w:rPr>
          <w:b/>
        </w:rPr>
        <w:t>и/или псориатичен артрит</w:t>
      </w:r>
      <w:r>
        <w:t xml:space="preserve"> – като други </w:t>
      </w:r>
      <w:r>
        <w:lastRenderedPageBreak/>
        <w:t xml:space="preserve">имуносупресори или фототерапия (когато тялото се лекува с тип ултравиолетова (UV) светлина). Тези лечения също може да отслабят част от имунната система. Използването на тези лечения заедно със </w:t>
      </w:r>
      <w:r>
        <w:rPr>
          <w:lang w:val="en-US"/>
        </w:rPr>
        <w:t>Stelara</w:t>
      </w:r>
      <w:r>
        <w:t xml:space="preserve"> не е изследвано. Възможно е обаче, то да увеличи риска от заболявания, свързани с отслабване на имунната система.</w:t>
      </w:r>
    </w:p>
    <w:p w14:paraId="109ADF6B" w14:textId="77777777" w:rsidR="009B3384" w:rsidRDefault="00800862">
      <w:pPr>
        <w:numPr>
          <w:ilvl w:val="0"/>
          <w:numId w:val="30"/>
        </w:numPr>
        <w:tabs>
          <w:tab w:val="clear" w:pos="567"/>
        </w:tabs>
        <w:rPr>
          <w:bCs/>
        </w:rPr>
      </w:pPr>
      <w:r>
        <w:rPr>
          <w:b/>
        </w:rPr>
        <w:t>Ако получавате или някога сте получавали инжекции за лечение на алергии</w:t>
      </w:r>
      <w:r>
        <w:t xml:space="preserve"> – не е известно дали Stelara може да окаже влияние върху тях.</w:t>
      </w:r>
    </w:p>
    <w:p w14:paraId="109ADF6C" w14:textId="77777777" w:rsidR="009B3384" w:rsidRDefault="00800862">
      <w:pPr>
        <w:widowControl w:val="0"/>
        <w:numPr>
          <w:ilvl w:val="0"/>
          <w:numId w:val="30"/>
        </w:numPr>
        <w:tabs>
          <w:tab w:val="clear" w:pos="567"/>
        </w:tabs>
        <w:rPr>
          <w:bCs/>
        </w:rPr>
      </w:pPr>
      <w:r>
        <w:rPr>
          <w:b/>
          <w:bCs/>
        </w:rPr>
        <w:t xml:space="preserve">Ако сте на и над 65 години – </w:t>
      </w:r>
      <w:r>
        <w:rPr>
          <w:bCs/>
        </w:rPr>
        <w:t>може да сте по-склонни към инфекции.</w:t>
      </w:r>
    </w:p>
    <w:p w14:paraId="109ADF6D" w14:textId="77777777" w:rsidR="009B3384" w:rsidRDefault="009B3384"/>
    <w:p w14:paraId="109ADF6E" w14:textId="77777777" w:rsidR="009B3384" w:rsidRDefault="00800862">
      <w:pPr>
        <w:rPr>
          <w:szCs w:val="22"/>
        </w:rPr>
      </w:pPr>
      <w:r>
        <w:rPr>
          <w:szCs w:val="22"/>
        </w:rPr>
        <w:t>Ако не сте сигурни дали някое от гореизброените се отнася за Вас, посъветвайте се с Вашия лекар или фармацевт, преди да използвате Stelara.</w:t>
      </w:r>
    </w:p>
    <w:p w14:paraId="109ADF6F" w14:textId="77777777" w:rsidR="009B3384" w:rsidRDefault="009B3384">
      <w:pPr>
        <w:rPr>
          <w:szCs w:val="22"/>
        </w:rPr>
      </w:pPr>
    </w:p>
    <w:p w14:paraId="109ADF70" w14:textId="77777777" w:rsidR="009B3384" w:rsidRDefault="00800862">
      <w:pPr>
        <w:rPr>
          <w:szCs w:val="22"/>
        </w:rPr>
      </w:pPr>
      <w:r>
        <w:rPr>
          <w:szCs w:val="22"/>
        </w:rPr>
        <w:t>Някои пациенти получават лупус-подобни реакции, включително кожен лупус еритематодес и лупус-подобен синдром, по време на лечение с устекинумаб. Говорете веднага с Вашия лекар, ако получите червен, надигнат, лющещ се обрив, понякога с по-тъмни граници, в изложените на слънце участъци на кожата или ставни болки.</w:t>
      </w:r>
    </w:p>
    <w:p w14:paraId="109ADF71" w14:textId="77777777" w:rsidR="009B3384" w:rsidRDefault="009B3384">
      <w:pPr>
        <w:rPr>
          <w:szCs w:val="22"/>
        </w:rPr>
      </w:pPr>
    </w:p>
    <w:p w14:paraId="109ADF72" w14:textId="77777777" w:rsidR="009B3384" w:rsidRDefault="00800862">
      <w:pPr>
        <w:keepNext/>
        <w:tabs>
          <w:tab w:val="clear" w:pos="567"/>
        </w:tabs>
        <w:rPr>
          <w:b/>
          <w:bCs/>
        </w:rPr>
      </w:pPr>
      <w:r>
        <w:rPr>
          <w:b/>
          <w:bCs/>
        </w:rPr>
        <w:t>Сърдечен инфаркт и инсулти</w:t>
      </w:r>
    </w:p>
    <w:p w14:paraId="109ADF73" w14:textId="77777777" w:rsidR="009B3384" w:rsidRDefault="00800862">
      <w:pPr>
        <w:tabs>
          <w:tab w:val="clear" w:pos="567"/>
        </w:tabs>
      </w:pPr>
      <w:r>
        <w:t>Инфаркт и инсулти са наблюдавани в проучване при пациенти с псориазис, лекувани със Stelara. Вашият лекар редовно ще проверява рисковите фактори за сърдечно заболяване и инсулт при Вас, за да е сигурно, че те се лекуват по подходящ начин. Незабавно потърсете медицинска помощ, ако получите болка в гърдите, слабост или необичайно усещане от едната страна на тялото, отпуснатост на лицето или говорни или зрителни смущения.</w:t>
      </w:r>
    </w:p>
    <w:p w14:paraId="109ADF74" w14:textId="77777777" w:rsidR="009B3384" w:rsidRDefault="009B3384">
      <w:pPr>
        <w:tabs>
          <w:tab w:val="clear" w:pos="567"/>
        </w:tabs>
      </w:pPr>
    </w:p>
    <w:p w14:paraId="109ADF75" w14:textId="77777777" w:rsidR="009B3384" w:rsidRDefault="00800862">
      <w:pPr>
        <w:keepNext/>
        <w:widowControl w:val="0"/>
        <w:rPr>
          <w:b/>
          <w:bCs/>
        </w:rPr>
      </w:pPr>
      <w:r>
        <w:rPr>
          <w:b/>
          <w:bCs/>
        </w:rPr>
        <w:t>Деца и юноши</w:t>
      </w:r>
    </w:p>
    <w:p w14:paraId="109ADF76" w14:textId="66846549" w:rsidR="009B3384" w:rsidRDefault="00800862">
      <w:r>
        <w:t>Stelara не се препоръчва за употреба при деца на възраст под 6 години с псориазис</w:t>
      </w:r>
      <w:bookmarkStart w:id="1331" w:name="_Hlk188382203"/>
      <w:r>
        <w:t xml:space="preserve">, </w:t>
      </w:r>
      <w:r>
        <w:rPr>
          <w:bCs/>
        </w:rPr>
        <w:t>деца</w:t>
      </w:r>
      <w:r>
        <w:t xml:space="preserve"> </w:t>
      </w:r>
      <w:ins w:id="1332" w:author="Reviser" w:date="2026-04-30T15:40:00Z">
        <w:r w:rsidR="006A6A96">
          <w:rPr>
            <w:bCs/>
          </w:rPr>
          <w:t xml:space="preserve">на възраст под 2 години </w:t>
        </w:r>
      </w:ins>
      <w:r>
        <w:rPr>
          <w:bCs/>
        </w:rPr>
        <w:t xml:space="preserve">с болест на </w:t>
      </w:r>
      <w:r>
        <w:t>Крон</w:t>
      </w:r>
      <w:r>
        <w:rPr>
          <w:bCs/>
        </w:rPr>
        <w:t xml:space="preserve"> </w:t>
      </w:r>
      <w:ins w:id="1333" w:author="Reviser" w:date="2026-04-30T15:40:00Z">
        <w:r w:rsidR="006A6A96">
          <w:rPr>
            <w:bCs/>
          </w:rPr>
          <w:t xml:space="preserve">или улцерозен колит </w:t>
        </w:r>
      </w:ins>
      <w:del w:id="1334" w:author="Reviser" w:date="2026-04-30T15:40:00Z">
        <w:r w:rsidDel="006A6A96">
          <w:rPr>
            <w:bCs/>
          </w:rPr>
          <w:delText>на възраст под 2 години</w:delText>
        </w:r>
        <w:bookmarkEnd w:id="1331"/>
        <w:r w:rsidDel="006A6A96">
          <w:rPr>
            <w:bCs/>
          </w:rPr>
          <w:delText xml:space="preserve"> </w:delText>
        </w:r>
      </w:del>
      <w:r>
        <w:t>или при деца на възраст под 18</w:t>
      </w:r>
      <w:r>
        <w:rPr>
          <w:lang w:val="en-GB"/>
        </w:rPr>
        <w:t> </w:t>
      </w:r>
      <w:r>
        <w:t>години с псориатичен артрит</w:t>
      </w:r>
      <w:del w:id="1335" w:author="Reviser" w:date="2026-04-30T15:41:00Z">
        <w:r w:rsidDel="006A6A96">
          <w:delText xml:space="preserve"> </w:delText>
        </w:r>
        <w:r w:rsidDel="006A6A96">
          <w:rPr>
            <w:bCs/>
          </w:rPr>
          <w:delText>или с улцерозен колит</w:delText>
        </w:r>
      </w:del>
      <w:r>
        <w:t>, защото не е проучван при тези възрастови групи.</w:t>
      </w:r>
    </w:p>
    <w:p w14:paraId="109ADF77" w14:textId="77777777" w:rsidR="009B3384" w:rsidRDefault="009B3384">
      <w:pPr>
        <w:rPr>
          <w:szCs w:val="22"/>
        </w:rPr>
      </w:pPr>
    </w:p>
    <w:p w14:paraId="109ADF78" w14:textId="77777777" w:rsidR="009B3384" w:rsidRDefault="00800862">
      <w:pPr>
        <w:keepNext/>
      </w:pPr>
      <w:r>
        <w:rPr>
          <w:b/>
          <w:szCs w:val="22"/>
        </w:rPr>
        <w:t>Други лекарства, ваксини и Stelara</w:t>
      </w:r>
    </w:p>
    <w:p w14:paraId="109ADF79" w14:textId="77777777" w:rsidR="009B3384" w:rsidRDefault="00800862">
      <w:r>
        <w:rPr>
          <w:szCs w:val="22"/>
        </w:rPr>
        <w:t>Трябва да кажете на Вашия лекар или фармацевт:</w:t>
      </w:r>
    </w:p>
    <w:p w14:paraId="109ADF7A" w14:textId="77777777" w:rsidR="009B3384" w:rsidRDefault="00800862">
      <w:pPr>
        <w:numPr>
          <w:ilvl w:val="0"/>
          <w:numId w:val="30"/>
        </w:numPr>
        <w:tabs>
          <w:tab w:val="clear" w:pos="567"/>
        </w:tabs>
      </w:pPr>
      <w:r>
        <w:rPr>
          <w:szCs w:val="22"/>
        </w:rPr>
        <w:t>Ако приемате, наскоро сте приемали или е възможно да приемете други лекарства.</w:t>
      </w:r>
    </w:p>
    <w:p w14:paraId="109ADF7B" w14:textId="77777777" w:rsidR="009B3384" w:rsidRDefault="00800862">
      <w:pPr>
        <w:numPr>
          <w:ilvl w:val="0"/>
          <w:numId w:val="30"/>
        </w:numPr>
        <w:tabs>
          <w:tab w:val="clear" w:pos="567"/>
        </w:tabs>
      </w:pPr>
      <w:r>
        <w:rPr>
          <w:szCs w:val="22"/>
        </w:rPr>
        <w:t>Ако наскоро Ви е правена или планирате да Ви се прави ваксинация. Докато използвате Stelara, някои видове ваксини (живи ваксини) не трябва да се прилагат.</w:t>
      </w:r>
    </w:p>
    <w:p w14:paraId="109ADF7C" w14:textId="77777777" w:rsidR="009B3384" w:rsidRDefault="00800862">
      <w:pPr>
        <w:numPr>
          <w:ilvl w:val="0"/>
          <w:numId w:val="30"/>
        </w:numPr>
        <w:tabs>
          <w:tab w:val="clear" w:pos="567"/>
        </w:tabs>
      </w:pPr>
      <w:r>
        <w:rPr>
          <w:bCs/>
          <w:szCs w:val="22"/>
        </w:rPr>
        <w:t xml:space="preserve">Ако сте получавали Stelara по време на бременността, трябва да кажете на лекаря на бебето Ви за лечението със Stelara, преди то да получи каквато и да е ваксина, включително живи ваксини, като БЦЖ ваксина (използвана за предпазване от туберкулоза). Живите ваксини не се препоръчват за Вашето бебе през първите </w:t>
      </w:r>
      <w:bookmarkStart w:id="1336" w:name="_Hlk172307283"/>
      <w:r>
        <w:rPr>
          <w:bCs/>
          <w:szCs w:val="22"/>
        </w:rPr>
        <w:t>дванадесет</w:t>
      </w:r>
      <w:bookmarkEnd w:id="1336"/>
      <w:r>
        <w:rPr>
          <w:bCs/>
          <w:szCs w:val="22"/>
        </w:rPr>
        <w:t xml:space="preserve"> месеца след раждането, ако сте получавали Stelara по време на бременността, освен ако лекарят на Вашето бебе не препоръча друго.</w:t>
      </w:r>
    </w:p>
    <w:p w14:paraId="109ADF7D" w14:textId="77777777" w:rsidR="009B3384" w:rsidRDefault="009B3384">
      <w:pPr>
        <w:rPr>
          <w:szCs w:val="22"/>
        </w:rPr>
      </w:pPr>
    </w:p>
    <w:p w14:paraId="109ADF7E" w14:textId="77777777" w:rsidR="009B3384" w:rsidRDefault="00800862">
      <w:pPr>
        <w:keepNext/>
      </w:pPr>
      <w:r>
        <w:rPr>
          <w:b/>
          <w:szCs w:val="22"/>
        </w:rPr>
        <w:t>Бременност и кърмене</w:t>
      </w:r>
    </w:p>
    <w:p w14:paraId="109ADF7F" w14:textId="77777777" w:rsidR="009B3384" w:rsidRDefault="00800862">
      <w:pPr>
        <w:numPr>
          <w:ilvl w:val="0"/>
          <w:numId w:val="30"/>
        </w:numPr>
        <w:tabs>
          <w:tab w:val="clear" w:pos="567"/>
        </w:tabs>
      </w:pPr>
      <w:r>
        <w:rPr>
          <w:noProof/>
          <w:szCs w:val="22"/>
        </w:rPr>
        <w:t>Ако сте бременна, смятате, че може да сте бременна или планирате бременност, посъветвайте</w:t>
      </w:r>
      <w:r>
        <w:rPr>
          <w:szCs w:val="22"/>
        </w:rPr>
        <w:t xml:space="preserve"> се с Вашия лекар преди употребата на </w:t>
      </w:r>
      <w:r>
        <w:rPr>
          <w:noProof/>
          <w:szCs w:val="22"/>
        </w:rPr>
        <w:t>това</w:t>
      </w:r>
      <w:r>
        <w:rPr>
          <w:szCs w:val="22"/>
        </w:rPr>
        <w:t xml:space="preserve"> лекарство.</w:t>
      </w:r>
    </w:p>
    <w:p w14:paraId="109ADF80" w14:textId="77777777" w:rsidR="009B3384" w:rsidRDefault="00800862">
      <w:pPr>
        <w:numPr>
          <w:ilvl w:val="0"/>
          <w:numId w:val="30"/>
        </w:numPr>
        <w:tabs>
          <w:tab w:val="clear" w:pos="567"/>
        </w:tabs>
      </w:pPr>
      <w:r>
        <w:t>Не е наблюдаван по-висок риск от вродени дефекти при бебета, изложени на Stelara в утробата. Данните от употребата на Stelara при бременни жени обаче са ограничени. Поради това е за предпочитане да се избягва употребата на Stelara по време на бременност.</w:t>
      </w:r>
    </w:p>
    <w:p w14:paraId="109ADF81" w14:textId="77777777" w:rsidR="009B3384" w:rsidRDefault="00800862">
      <w:pPr>
        <w:numPr>
          <w:ilvl w:val="0"/>
          <w:numId w:val="30"/>
        </w:numPr>
        <w:tabs>
          <w:tab w:val="clear" w:pos="567"/>
        </w:tabs>
      </w:pPr>
      <w:r>
        <w:rPr>
          <w:szCs w:val="22"/>
        </w:rPr>
        <w:t>Ако сте жена с детероден потенциал, желателно е да не забременявате и да използвате подходящ противозачатъчен метод, когато използвате Stelara и поне 15 седмици след последното прилагане на Stelara.</w:t>
      </w:r>
    </w:p>
    <w:p w14:paraId="109ADF82" w14:textId="77777777" w:rsidR="009B3384" w:rsidRDefault="00800862">
      <w:pPr>
        <w:numPr>
          <w:ilvl w:val="0"/>
          <w:numId w:val="30"/>
        </w:numPr>
        <w:tabs>
          <w:tab w:val="clear" w:pos="567"/>
        </w:tabs>
      </w:pPr>
      <w:r>
        <w:rPr>
          <w:bCs/>
          <w:szCs w:val="22"/>
        </w:rPr>
        <w:t>Stelara може да премине през плацентата в нероденото бебе. Ако сте получавали Stelara по време на бременността си, бебето Ви може да има по-висок риск от инфекция.</w:t>
      </w:r>
    </w:p>
    <w:p w14:paraId="109ADF83" w14:textId="77777777" w:rsidR="009B3384" w:rsidRDefault="00800862">
      <w:pPr>
        <w:numPr>
          <w:ilvl w:val="0"/>
          <w:numId w:val="30"/>
        </w:numPr>
        <w:tabs>
          <w:tab w:val="clear" w:pos="567"/>
        </w:tabs>
      </w:pPr>
      <w:r>
        <w:rPr>
          <w:bCs/>
          <w:szCs w:val="22"/>
        </w:rPr>
        <w:t xml:space="preserve">Важно е да кажете на лекарите на Вашето бебе и други медицински специалисти, ако сте получавали Stelara по време на бременността си, преди бебето да получи каквато и да е ваксина. Живи ваксини, като БЦЖ ваксина (използвана за предпазване от туберкулоза), </w:t>
      </w:r>
      <w:r>
        <w:rPr>
          <w:bCs/>
          <w:szCs w:val="22"/>
        </w:rPr>
        <w:lastRenderedPageBreak/>
        <w:t>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DF84" w14:textId="77777777" w:rsidR="009B3384" w:rsidRDefault="00800862">
      <w:pPr>
        <w:numPr>
          <w:ilvl w:val="0"/>
          <w:numId w:val="30"/>
        </w:numPr>
        <w:tabs>
          <w:tab w:val="clear" w:pos="567"/>
        </w:tabs>
      </w:pPr>
      <w:r>
        <w:t xml:space="preserve">Устекинумаб може да премине в кърмата в много малки количества. </w:t>
      </w:r>
      <w:r>
        <w:rPr>
          <w:szCs w:val="22"/>
        </w:rPr>
        <w:t>Посъветвайте се с Вашия лекар, ако кърмите или ако планирате да кърмите. Вие и Вашият лекар трябва да решите дали трябва да кърмите или да използвате Stelara - не правете и двете.</w:t>
      </w:r>
    </w:p>
    <w:p w14:paraId="109ADF85" w14:textId="77777777" w:rsidR="009B3384" w:rsidRDefault="009B3384"/>
    <w:p w14:paraId="109ADF86" w14:textId="77777777" w:rsidR="009B3384" w:rsidRDefault="00800862">
      <w:pPr>
        <w:keepNext/>
        <w:rPr>
          <w:szCs w:val="22"/>
        </w:rPr>
      </w:pPr>
      <w:r>
        <w:rPr>
          <w:b/>
          <w:szCs w:val="22"/>
        </w:rPr>
        <w:t>Шофиране и работа с машини</w:t>
      </w:r>
    </w:p>
    <w:p w14:paraId="109ADF87" w14:textId="77777777" w:rsidR="009B3384" w:rsidRDefault="00800862">
      <w:pPr>
        <w:rPr>
          <w:szCs w:val="22"/>
        </w:rPr>
      </w:pPr>
      <w:r>
        <w:rPr>
          <w:szCs w:val="22"/>
        </w:rPr>
        <w:t>Stelara не повлиява или повлиява пренебрежимо способността за шофиране и работа с машини.</w:t>
      </w:r>
    </w:p>
    <w:p w14:paraId="109ADF88" w14:textId="77777777" w:rsidR="009B3384" w:rsidRDefault="009B3384">
      <w:pPr>
        <w:rPr>
          <w:szCs w:val="22"/>
        </w:rPr>
      </w:pPr>
    </w:p>
    <w:p w14:paraId="109ADF89" w14:textId="77777777" w:rsidR="009B3384" w:rsidRDefault="00800862">
      <w:pPr>
        <w:keepNext/>
        <w:widowControl w:val="0"/>
        <w:rPr>
          <w:b/>
        </w:rPr>
      </w:pPr>
      <w:bookmarkStart w:id="1337" w:name="_Hlk188382062"/>
      <w:r>
        <w:rPr>
          <w:b/>
        </w:rPr>
        <w:t>Stelara съдържа полисорбат 80</w:t>
      </w:r>
    </w:p>
    <w:p w14:paraId="109ADF8A" w14:textId="77777777" w:rsidR="009B3384" w:rsidRDefault="00800862">
      <w:pPr>
        <w:widowControl w:val="0"/>
      </w:pPr>
      <w:r>
        <w:t>Stelara съдържа 0,02 mg полисорбат 80 (E433) във всяка доза, която е еквивалентна на 0,04 mg/ml. Полисорбатите могат да причинят алергични реакции. Трябва да кажете на Вашия лекар, ако имате установени алергии.</w:t>
      </w:r>
    </w:p>
    <w:bookmarkEnd w:id="1337"/>
    <w:p w14:paraId="109ADF8B" w14:textId="77777777" w:rsidR="009B3384" w:rsidRDefault="009B3384">
      <w:pPr>
        <w:rPr>
          <w:szCs w:val="22"/>
        </w:rPr>
      </w:pPr>
    </w:p>
    <w:p w14:paraId="109ADF8C" w14:textId="77777777" w:rsidR="009B3384" w:rsidRDefault="00800862">
      <w:pPr>
        <w:keepNext/>
        <w:ind w:left="567" w:hanging="567"/>
        <w:outlineLvl w:val="2"/>
        <w:rPr>
          <w:b/>
          <w:bCs/>
          <w:szCs w:val="22"/>
        </w:rPr>
      </w:pPr>
      <w:r>
        <w:rPr>
          <w:b/>
          <w:bCs/>
          <w:szCs w:val="22"/>
        </w:rPr>
        <w:t>3.</w:t>
      </w:r>
      <w:r>
        <w:rPr>
          <w:b/>
          <w:bCs/>
          <w:szCs w:val="22"/>
        </w:rPr>
        <w:tab/>
        <w:t>Как да използвате Stelara</w:t>
      </w:r>
    </w:p>
    <w:p w14:paraId="109ADF8D" w14:textId="77777777" w:rsidR="009B3384" w:rsidRDefault="009B3384">
      <w:pPr>
        <w:keepNext/>
        <w:rPr>
          <w:szCs w:val="22"/>
        </w:rPr>
      </w:pPr>
    </w:p>
    <w:p w14:paraId="109ADF8E" w14:textId="77777777" w:rsidR="009B3384" w:rsidRDefault="00800862">
      <w:pPr>
        <w:rPr>
          <w:szCs w:val="22"/>
        </w:rPr>
      </w:pPr>
      <w:r>
        <w:rPr>
          <w:szCs w:val="22"/>
        </w:rPr>
        <w:t xml:space="preserve">Stelara е предназначен за употреба под ръководството и контрола на лекар с опит в лечението на </w:t>
      </w:r>
      <w:r>
        <w:rPr>
          <w:bCs/>
          <w:szCs w:val="22"/>
        </w:rPr>
        <w:t>заболяванията, за които е показано лекарството</w:t>
      </w:r>
      <w:r>
        <w:rPr>
          <w:szCs w:val="22"/>
        </w:rPr>
        <w:t>.</w:t>
      </w:r>
    </w:p>
    <w:p w14:paraId="109ADF8F" w14:textId="77777777" w:rsidR="009B3384" w:rsidRDefault="009B3384">
      <w:pPr>
        <w:rPr>
          <w:szCs w:val="22"/>
        </w:rPr>
      </w:pPr>
    </w:p>
    <w:p w14:paraId="109ADF90" w14:textId="77777777" w:rsidR="009B3384" w:rsidRDefault="00800862">
      <w:pPr>
        <w:rPr>
          <w:szCs w:val="22"/>
        </w:rPr>
      </w:pPr>
      <w:r>
        <w:rPr>
          <w:szCs w:val="22"/>
        </w:rPr>
        <w:t>Винаги използвайте това лекарство точно както Ви е казал Вашият лекар. Ако не сте сигурни в нещо, попитайте Вашия лекар. Посъветвайте се с Вашия лекар за това, кога ще Ви се поставят инжекциите и кога ще са следващите контролни прегледи.</w:t>
      </w:r>
    </w:p>
    <w:p w14:paraId="109ADF91" w14:textId="77777777" w:rsidR="009B3384" w:rsidRDefault="009B3384">
      <w:pPr>
        <w:rPr>
          <w:szCs w:val="22"/>
        </w:rPr>
      </w:pPr>
    </w:p>
    <w:p w14:paraId="109ADF92" w14:textId="77777777" w:rsidR="009B3384" w:rsidRDefault="00800862">
      <w:pPr>
        <w:keepNext/>
        <w:rPr>
          <w:b/>
          <w:bCs/>
          <w:szCs w:val="22"/>
        </w:rPr>
      </w:pPr>
      <w:r>
        <w:rPr>
          <w:b/>
          <w:bCs/>
          <w:szCs w:val="22"/>
        </w:rPr>
        <w:t>Какво количество Stelara се прилага</w:t>
      </w:r>
    </w:p>
    <w:p w14:paraId="109ADF93" w14:textId="77777777" w:rsidR="009B3384" w:rsidRDefault="00800862">
      <w:pPr>
        <w:tabs>
          <w:tab w:val="clear" w:pos="567"/>
          <w:tab w:val="left" w:pos="540"/>
        </w:tabs>
        <w:rPr>
          <w:szCs w:val="22"/>
        </w:rPr>
      </w:pPr>
      <w:r>
        <w:rPr>
          <w:bCs/>
          <w:szCs w:val="22"/>
        </w:rPr>
        <w:t xml:space="preserve">Вашият лекар ще реши какво количество </w:t>
      </w:r>
      <w:r>
        <w:rPr>
          <w:szCs w:val="22"/>
        </w:rPr>
        <w:t>Stelara трябва да получите и за какъв период от време.</w:t>
      </w:r>
    </w:p>
    <w:p w14:paraId="109ADF94" w14:textId="77777777" w:rsidR="009B3384" w:rsidRDefault="009B3384"/>
    <w:p w14:paraId="109ADF95" w14:textId="77777777" w:rsidR="009B3384" w:rsidRDefault="00800862">
      <w:pPr>
        <w:keepNext/>
        <w:tabs>
          <w:tab w:val="clear" w:pos="567"/>
          <w:tab w:val="left" w:pos="540"/>
        </w:tabs>
        <w:rPr>
          <w:b/>
          <w:szCs w:val="22"/>
        </w:rPr>
      </w:pPr>
      <w:r>
        <w:rPr>
          <w:b/>
          <w:szCs w:val="22"/>
        </w:rPr>
        <w:t>Възрастни на 18 години или по-големи</w:t>
      </w:r>
    </w:p>
    <w:p w14:paraId="109ADF96" w14:textId="77777777" w:rsidR="009B3384" w:rsidRDefault="00800862">
      <w:pPr>
        <w:keepNext/>
        <w:tabs>
          <w:tab w:val="clear" w:pos="567"/>
          <w:tab w:val="left" w:pos="540"/>
        </w:tabs>
        <w:rPr>
          <w:b/>
          <w:szCs w:val="22"/>
        </w:rPr>
      </w:pPr>
      <w:r>
        <w:rPr>
          <w:b/>
          <w:bCs/>
          <w:szCs w:val="22"/>
        </w:rPr>
        <w:t>Псориазис или псориатичен артрит</w:t>
      </w:r>
    </w:p>
    <w:p w14:paraId="109ADF97" w14:textId="77777777" w:rsidR="009B3384" w:rsidRDefault="00800862">
      <w:pPr>
        <w:numPr>
          <w:ilvl w:val="0"/>
          <w:numId w:val="30"/>
        </w:numPr>
        <w:tabs>
          <w:tab w:val="clear" w:pos="567"/>
        </w:tabs>
        <w:rPr>
          <w:bCs/>
        </w:rPr>
      </w:pPr>
      <w:r>
        <w:rPr>
          <w:szCs w:val="22"/>
        </w:rPr>
        <w:t xml:space="preserve">Препоръчителната начална доза е 45 mg </w:t>
      </w:r>
      <w:r>
        <w:rPr>
          <w:szCs w:val="22"/>
          <w:lang w:val="en-US"/>
        </w:rPr>
        <w:t>Stelara</w:t>
      </w:r>
      <w:r>
        <w:rPr>
          <w:szCs w:val="22"/>
        </w:rPr>
        <w:t xml:space="preserve">. </w:t>
      </w:r>
      <w:r>
        <w:t>Пациенти с тегло над 100 килограма (kg) може да започнат с доза 90 mg вместо 45 mg.</w:t>
      </w:r>
    </w:p>
    <w:p w14:paraId="109ADF98" w14:textId="77777777" w:rsidR="009B3384" w:rsidRDefault="00800862">
      <w:pPr>
        <w:numPr>
          <w:ilvl w:val="0"/>
          <w:numId w:val="30"/>
        </w:numPr>
        <w:tabs>
          <w:tab w:val="clear" w:pos="567"/>
        </w:tabs>
        <w:rPr>
          <w:bCs/>
          <w:szCs w:val="22"/>
        </w:rPr>
      </w:pPr>
      <w:r>
        <w:rPr>
          <w:szCs w:val="22"/>
        </w:rPr>
        <w:t>След началната доза, следващата Ви доза ще бъде 4 седмици по-късно и след това на всеки 12 седмици.</w:t>
      </w:r>
      <w:r>
        <w:t xml:space="preserve"> </w:t>
      </w:r>
      <w:r>
        <w:rPr>
          <w:szCs w:val="22"/>
        </w:rPr>
        <w:t>Следващите дози обикновено са същите, като началната доза.</w:t>
      </w:r>
    </w:p>
    <w:p w14:paraId="109ADF99" w14:textId="77777777" w:rsidR="009B3384" w:rsidRDefault="009B3384">
      <w:pPr>
        <w:rPr>
          <w:szCs w:val="22"/>
        </w:rPr>
      </w:pPr>
    </w:p>
    <w:p w14:paraId="109ADF9A" w14:textId="77777777" w:rsidR="009B3384" w:rsidRDefault="00800862">
      <w:pPr>
        <w:keepNext/>
        <w:rPr>
          <w:b/>
          <w:bCs/>
          <w:szCs w:val="22"/>
        </w:rPr>
      </w:pPr>
      <w:r>
        <w:rPr>
          <w:b/>
          <w:bCs/>
          <w:szCs w:val="22"/>
        </w:rPr>
        <w:t>Болест на Крон или улцерозен колит</w:t>
      </w:r>
    </w:p>
    <w:p w14:paraId="109ADF9B" w14:textId="77777777" w:rsidR="009B3384" w:rsidRDefault="00800862">
      <w:pPr>
        <w:numPr>
          <w:ilvl w:val="0"/>
          <w:numId w:val="30"/>
        </w:numPr>
        <w:tabs>
          <w:tab w:val="clear" w:pos="567"/>
        </w:tabs>
        <w:rPr>
          <w:bCs/>
          <w:szCs w:val="22"/>
        </w:rPr>
      </w:pPr>
      <w:r>
        <w:t>По време на</w:t>
      </w:r>
      <w:r>
        <w:rPr>
          <w:szCs w:val="22"/>
        </w:rPr>
        <w:t xml:space="preserve"> лечението </w:t>
      </w:r>
      <w:r>
        <w:t xml:space="preserve">Вашият лекар ще Ви приложи </w:t>
      </w:r>
      <w:r>
        <w:rPr>
          <w:szCs w:val="22"/>
        </w:rPr>
        <w:t>първата доза от приблизително 6</w:t>
      </w:r>
      <w:r>
        <w:t> </w:t>
      </w:r>
      <w:r>
        <w:rPr>
          <w:szCs w:val="22"/>
          <w:lang w:val="en-US"/>
        </w:rPr>
        <w:t>mg</w:t>
      </w:r>
      <w:r>
        <w:rPr>
          <w:szCs w:val="22"/>
        </w:rPr>
        <w:t>/</w:t>
      </w:r>
      <w:r>
        <w:rPr>
          <w:szCs w:val="22"/>
          <w:lang w:val="en-US"/>
        </w:rPr>
        <w:t>kg</w:t>
      </w:r>
      <w:r>
        <w:rPr>
          <w:szCs w:val="22"/>
        </w:rPr>
        <w:t xml:space="preserve"> </w:t>
      </w:r>
      <w:r>
        <w:rPr>
          <w:szCs w:val="22"/>
          <w:lang w:val="en-US"/>
        </w:rPr>
        <w:t>Stelara</w:t>
      </w:r>
      <w:r>
        <w:rPr>
          <w:szCs w:val="22"/>
        </w:rPr>
        <w:t xml:space="preserve"> капково във вена на ръката </w:t>
      </w:r>
      <w:r>
        <w:t>(интравенозна инфузия).</w:t>
      </w:r>
      <w:r>
        <w:rPr>
          <w:szCs w:val="22"/>
        </w:rPr>
        <w:t xml:space="preserve"> След началната доза, ще получите следващата доза 90</w:t>
      </w:r>
      <w:r>
        <w:t> </w:t>
      </w:r>
      <w:r>
        <w:rPr>
          <w:szCs w:val="22"/>
          <w:lang w:val="en-US"/>
        </w:rPr>
        <w:t>mg</w:t>
      </w:r>
      <w:r>
        <w:rPr>
          <w:szCs w:val="22"/>
        </w:rPr>
        <w:t xml:space="preserve"> </w:t>
      </w:r>
      <w:r>
        <w:rPr>
          <w:szCs w:val="22"/>
          <w:lang w:val="en-US"/>
        </w:rPr>
        <w:t>Stelara</w:t>
      </w:r>
      <w:r>
        <w:rPr>
          <w:szCs w:val="22"/>
        </w:rPr>
        <w:t xml:space="preserve"> след 8</w:t>
      </w:r>
      <w:r>
        <w:t> </w:t>
      </w:r>
      <w:r>
        <w:rPr>
          <w:szCs w:val="22"/>
        </w:rPr>
        <w:t xml:space="preserve">седмици, след това през 12 седмици чрез инжекция под кожата </w:t>
      </w:r>
      <w:r>
        <w:t>(подкожно)</w:t>
      </w:r>
      <w:r>
        <w:rPr>
          <w:szCs w:val="22"/>
        </w:rPr>
        <w:t>.</w:t>
      </w:r>
    </w:p>
    <w:p w14:paraId="109ADF9C" w14:textId="77777777" w:rsidR="009B3384" w:rsidRDefault="00800862">
      <w:pPr>
        <w:numPr>
          <w:ilvl w:val="0"/>
          <w:numId w:val="30"/>
        </w:numPr>
        <w:tabs>
          <w:tab w:val="clear" w:pos="567"/>
        </w:tabs>
        <w:rPr>
          <w:bCs/>
          <w:szCs w:val="22"/>
        </w:rPr>
      </w:pPr>
      <w:r>
        <w:rPr>
          <w:bCs/>
          <w:szCs w:val="22"/>
        </w:rPr>
        <w:t>При някои пациенти, след първата подкожна инжекция, 90</w:t>
      </w:r>
      <w:r>
        <w:t> </w:t>
      </w:r>
      <w:r>
        <w:rPr>
          <w:bCs/>
          <w:szCs w:val="22"/>
        </w:rPr>
        <w:t>mg Stelara може да се прилага през 8 седмици. Вашият лекар ще реши кога трябва да получите следващата си доза.</w:t>
      </w:r>
    </w:p>
    <w:p w14:paraId="109ADF9D" w14:textId="77777777" w:rsidR="009B3384" w:rsidRDefault="009B3384">
      <w:pPr>
        <w:rPr>
          <w:szCs w:val="22"/>
        </w:rPr>
      </w:pPr>
    </w:p>
    <w:p w14:paraId="109ADF9E" w14:textId="77777777" w:rsidR="009B3384" w:rsidRDefault="00800862">
      <w:pPr>
        <w:keepNext/>
        <w:rPr>
          <w:b/>
          <w:szCs w:val="22"/>
        </w:rPr>
      </w:pPr>
      <w:r>
        <w:rPr>
          <w:b/>
          <w:szCs w:val="22"/>
        </w:rPr>
        <w:t>Деца и юноши на 6 години или по-големи</w:t>
      </w:r>
    </w:p>
    <w:p w14:paraId="109ADF9F" w14:textId="77777777" w:rsidR="009B3384" w:rsidRDefault="00800862">
      <w:pPr>
        <w:keepNext/>
        <w:rPr>
          <w:b/>
          <w:szCs w:val="22"/>
        </w:rPr>
      </w:pPr>
      <w:r>
        <w:rPr>
          <w:b/>
          <w:szCs w:val="22"/>
        </w:rPr>
        <w:t>Псориазис</w:t>
      </w:r>
    </w:p>
    <w:p w14:paraId="109ADFA0" w14:textId="77777777" w:rsidR="009B3384" w:rsidRDefault="00800862">
      <w:pPr>
        <w:numPr>
          <w:ilvl w:val="0"/>
          <w:numId w:val="30"/>
        </w:numPr>
        <w:tabs>
          <w:tab w:val="clear" w:pos="567"/>
        </w:tabs>
      </w:pPr>
      <w:r>
        <w:t>Лекарят трябва да определи правилната за Вас доза, включително и количеството (обема) Stelara, който трябва да се инжектира, за да е правилна дозата. Правилната доза за Вас ще зависи от Вашето телесно тегло по време на всяка доза.</w:t>
      </w:r>
    </w:p>
    <w:p w14:paraId="109ADFA1" w14:textId="77777777" w:rsidR="009B3384" w:rsidRDefault="00800862">
      <w:pPr>
        <w:numPr>
          <w:ilvl w:val="0"/>
          <w:numId w:val="30"/>
        </w:numPr>
        <w:tabs>
          <w:tab w:val="clear" w:pos="567"/>
        </w:tabs>
      </w:pPr>
      <w:r>
        <w:t>Ако тежите по-малко от 60 kg, препоръчителната доза е 0,75 mg Stelara на kg телесно тегло.</w:t>
      </w:r>
    </w:p>
    <w:p w14:paraId="109ADFA2" w14:textId="77777777" w:rsidR="009B3384" w:rsidRDefault="00800862">
      <w:pPr>
        <w:numPr>
          <w:ilvl w:val="0"/>
          <w:numId w:val="30"/>
        </w:numPr>
        <w:tabs>
          <w:tab w:val="clear" w:pos="567"/>
        </w:tabs>
      </w:pPr>
      <w:r>
        <w:t>Ако тежите от 60 kg до 100 kg, препоръчителната доза е 45 mg Stelara.</w:t>
      </w:r>
    </w:p>
    <w:p w14:paraId="109ADFA3" w14:textId="77777777" w:rsidR="009B3384" w:rsidRDefault="00800862">
      <w:pPr>
        <w:numPr>
          <w:ilvl w:val="0"/>
          <w:numId w:val="30"/>
        </w:numPr>
        <w:tabs>
          <w:tab w:val="clear" w:pos="567"/>
        </w:tabs>
      </w:pPr>
      <w:r>
        <w:t>Ако тежите повече от 100 kg, препоръчителната доза е 90 mg Stelara.</w:t>
      </w:r>
    </w:p>
    <w:p w14:paraId="109ADFA4" w14:textId="77777777" w:rsidR="009B3384" w:rsidRDefault="00800862">
      <w:pPr>
        <w:numPr>
          <w:ilvl w:val="0"/>
          <w:numId w:val="30"/>
        </w:numPr>
        <w:tabs>
          <w:tab w:val="clear" w:pos="567"/>
        </w:tabs>
      </w:pPr>
      <w:r>
        <w:t>След началната доза, следващата Ви доза ще бъде 4 седмици по-късно и след това на всеки 12 седмици.</w:t>
      </w:r>
    </w:p>
    <w:p w14:paraId="109ADFA5" w14:textId="77777777" w:rsidR="009B3384" w:rsidRDefault="009B3384">
      <w:pPr>
        <w:tabs>
          <w:tab w:val="clear" w:pos="567"/>
        </w:tabs>
      </w:pPr>
    </w:p>
    <w:p w14:paraId="109ADFA6" w14:textId="77777777" w:rsidR="009B3384" w:rsidRDefault="00800862">
      <w:pPr>
        <w:keepNext/>
        <w:widowControl w:val="0"/>
        <w:numPr>
          <w:ilvl w:val="12"/>
          <w:numId w:val="0"/>
        </w:numPr>
        <w:rPr>
          <w:b/>
          <w:bCs/>
        </w:rPr>
      </w:pPr>
      <w:r>
        <w:rPr>
          <w:b/>
          <w:bCs/>
        </w:rPr>
        <w:lastRenderedPageBreak/>
        <w:t>Деца с тегло под 40</w:t>
      </w:r>
      <w:r>
        <w:rPr>
          <w:b/>
          <w:bCs/>
          <w:lang w:val="en-US"/>
        </w:rPr>
        <w:t> </w:t>
      </w:r>
      <w:r>
        <w:rPr>
          <w:b/>
          <w:bCs/>
        </w:rPr>
        <w:t>kg</w:t>
      </w:r>
    </w:p>
    <w:p w14:paraId="109ADFA7" w14:textId="4444DCAF" w:rsidR="009B3384" w:rsidRDefault="00800862" w:rsidP="00BC6A43">
      <w:pPr>
        <w:keepNext/>
        <w:rPr>
          <w:b/>
          <w:bCs/>
        </w:rPr>
      </w:pPr>
      <w:r>
        <w:rPr>
          <w:b/>
          <w:bCs/>
        </w:rPr>
        <w:t>Болест на Крон</w:t>
      </w:r>
      <w:ins w:id="1338" w:author="Reviser" w:date="2026-04-30T15:42:00Z">
        <w:r w:rsidR="006A6A96">
          <w:rPr>
            <w:b/>
            <w:bCs/>
          </w:rPr>
          <w:t xml:space="preserve"> </w:t>
        </w:r>
        <w:r w:rsidR="006A6A96">
          <w:rPr>
            <w:b/>
            <w:szCs w:val="22"/>
          </w:rPr>
          <w:t>и улцерозен колит</w:t>
        </w:r>
      </w:ins>
    </w:p>
    <w:p w14:paraId="109ADFA8" w14:textId="77777777" w:rsidR="009B3384" w:rsidRDefault="00800862" w:rsidP="00BC6A43">
      <w:pPr>
        <w:keepNext/>
        <w:widowControl w:val="0"/>
        <w:numPr>
          <w:ilvl w:val="0"/>
          <w:numId w:val="30"/>
        </w:numPr>
        <w:suppressAutoHyphens w:val="0"/>
      </w:pPr>
      <w:r>
        <w:t xml:space="preserve">По време на лечението Вашият лекар ще определи препоръчителната за Вас доза за интравенозна инфузия </w:t>
      </w:r>
      <w:r>
        <w:rPr>
          <w:szCs w:val="22"/>
          <w:lang w:eastAsia="en-GB"/>
        </w:rPr>
        <w:t>въз основа на телесната Ви повърхност (</w:t>
      </w:r>
      <w:r>
        <w:rPr>
          <w:szCs w:val="22"/>
          <w:lang w:val="en-GB" w:eastAsia="en-GB"/>
        </w:rPr>
        <w:t>BSA</w:t>
      </w:r>
      <w:r>
        <w:rPr>
          <w:szCs w:val="22"/>
          <w:lang w:eastAsia="en-GB"/>
        </w:rPr>
        <w:t xml:space="preserve">). </w:t>
      </w:r>
      <w:r>
        <w:t xml:space="preserve">Лекарят ще я приложи чрез капково вливане във вена на ръката (интравенозна инфузия). След началната доза Вашият лекар ще определи следващата доза </w:t>
      </w:r>
      <w:r>
        <w:rPr>
          <w:szCs w:val="22"/>
          <w:lang w:eastAsia="en-GB"/>
        </w:rPr>
        <w:t xml:space="preserve">въз основа на Вашата </w:t>
      </w:r>
      <w:r>
        <w:rPr>
          <w:szCs w:val="22"/>
          <w:lang w:val="en-GB" w:eastAsia="en-GB"/>
        </w:rPr>
        <w:t>BSA</w:t>
      </w:r>
      <w:r>
        <w:rPr>
          <w:szCs w:val="22"/>
          <w:lang w:eastAsia="en-GB"/>
        </w:rPr>
        <w:t xml:space="preserve">. Ще получите тази доза </w:t>
      </w:r>
      <w:r>
        <w:rPr>
          <w:szCs w:val="22"/>
          <w:lang w:val="en-GB" w:eastAsia="en-GB"/>
        </w:rPr>
        <w:t>Stelara</w:t>
      </w:r>
      <w:r>
        <w:rPr>
          <w:szCs w:val="22"/>
          <w:lang w:eastAsia="en-GB"/>
        </w:rPr>
        <w:t xml:space="preserve"> </w:t>
      </w:r>
      <w:r>
        <w:rPr>
          <w:szCs w:val="22"/>
        </w:rPr>
        <w:t>след 8 седмици и след това на всеки 12 седмици</w:t>
      </w:r>
      <w:r>
        <w:rPr>
          <w:szCs w:val="22"/>
          <w:lang w:eastAsia="en-GB"/>
        </w:rPr>
        <w:t xml:space="preserve"> </w:t>
      </w:r>
      <w:r>
        <w:t>чрез инжектиране под кожата („подкожно“</w:t>
      </w:r>
      <w:r>
        <w:rPr>
          <w:szCs w:val="22"/>
          <w:lang w:eastAsia="en-GB"/>
        </w:rPr>
        <w:t>).</w:t>
      </w:r>
    </w:p>
    <w:p w14:paraId="109ADFA9" w14:textId="77777777" w:rsidR="009B3384" w:rsidRDefault="00800862" w:rsidP="00BC6A43">
      <w:pPr>
        <w:keepNext/>
        <w:widowControl w:val="0"/>
        <w:numPr>
          <w:ilvl w:val="0"/>
          <w:numId w:val="30"/>
        </w:numPr>
        <w:suppressAutoHyphens w:val="0"/>
      </w:pPr>
      <w:r>
        <w:t>При някои пациенти след първата инжекция под кожата, Stelara</w:t>
      </w:r>
      <w:r>
        <w:rPr>
          <w:szCs w:val="22"/>
          <w:lang w:eastAsia="en-GB"/>
        </w:rPr>
        <w:t xml:space="preserve"> </w:t>
      </w:r>
      <w:r>
        <w:t>може да се прилага през 8</w:t>
      </w:r>
      <w:r>
        <w:rPr>
          <w:lang w:val="en-US"/>
        </w:rPr>
        <w:t> </w:t>
      </w:r>
      <w:r>
        <w:t>седмици или през 4 седмици. Вашият лекар ще реши кога трябва да получите следващата си доза.</w:t>
      </w:r>
    </w:p>
    <w:p w14:paraId="109ADFAA" w14:textId="77777777" w:rsidR="009B3384" w:rsidRDefault="009B3384"/>
    <w:p w14:paraId="109ADFAB" w14:textId="77777777" w:rsidR="009B3384" w:rsidRDefault="00800862">
      <w:pPr>
        <w:keepNext/>
        <w:rPr>
          <w:b/>
          <w:bCs/>
        </w:rPr>
      </w:pPr>
      <w:bookmarkStart w:id="1339" w:name="_Hlk188382580"/>
      <w:r>
        <w:rPr>
          <w:b/>
          <w:bCs/>
        </w:rPr>
        <w:t>Деца с тегло най-малко 40</w:t>
      </w:r>
      <w:r>
        <w:rPr>
          <w:b/>
          <w:bCs/>
          <w:lang w:val="en-US"/>
        </w:rPr>
        <w:t> </w:t>
      </w:r>
      <w:r>
        <w:rPr>
          <w:b/>
          <w:bCs/>
        </w:rPr>
        <w:t>kg</w:t>
      </w:r>
    </w:p>
    <w:p w14:paraId="109ADFAC" w14:textId="408B4659" w:rsidR="009B3384" w:rsidRPr="00BB130F" w:rsidRDefault="00800862">
      <w:pPr>
        <w:keepNext/>
        <w:rPr>
          <w:b/>
          <w:bCs/>
        </w:rPr>
      </w:pPr>
      <w:r>
        <w:rPr>
          <w:b/>
          <w:bCs/>
        </w:rPr>
        <w:t>Болест на Крон</w:t>
      </w:r>
      <w:ins w:id="1340" w:author="Reviser" w:date="2026-04-30T15:42:00Z">
        <w:r w:rsidR="006A6A96">
          <w:rPr>
            <w:b/>
            <w:bCs/>
          </w:rPr>
          <w:t xml:space="preserve"> </w:t>
        </w:r>
        <w:r w:rsidR="006A6A96">
          <w:rPr>
            <w:b/>
            <w:szCs w:val="22"/>
          </w:rPr>
          <w:t>и улцерозен колит</w:t>
        </w:r>
      </w:ins>
    </w:p>
    <w:p w14:paraId="109ADFAD" w14:textId="77777777" w:rsidR="009B3384" w:rsidRDefault="00800862">
      <w:pPr>
        <w:widowControl w:val="0"/>
        <w:numPr>
          <w:ilvl w:val="0"/>
          <w:numId w:val="30"/>
        </w:numPr>
        <w:suppressAutoHyphens w:val="0"/>
      </w:pPr>
      <w:r>
        <w:t>По време на лечението Вашият лекар ще приложи първата доза от приблизително 6</w:t>
      </w:r>
      <w:r>
        <w:rPr>
          <w:lang w:val="en-US"/>
        </w:rPr>
        <w:t> </w:t>
      </w:r>
      <w:r>
        <w:t>mg/kg Stelara чрез капково вливане във вена на ръката Ви (интравенозна инфузия). След началната доза ще получите следващата доза 90</w:t>
      </w:r>
      <w:r>
        <w:rPr>
          <w:lang w:val="en-US"/>
        </w:rPr>
        <w:t> </w:t>
      </w:r>
      <w:r>
        <w:t>mg Stelara след 8</w:t>
      </w:r>
      <w:r>
        <w:rPr>
          <w:lang w:val="en-US"/>
        </w:rPr>
        <w:t> </w:t>
      </w:r>
      <w:r>
        <w:t>седмици, а след това на всеки 12</w:t>
      </w:r>
      <w:r>
        <w:rPr>
          <w:lang w:val="en-US"/>
        </w:rPr>
        <w:t> </w:t>
      </w:r>
      <w:r>
        <w:t>седмици чрез инжекция под кожата („подкожно“).</w:t>
      </w:r>
    </w:p>
    <w:p w14:paraId="109ADFAE" w14:textId="2286CBC1" w:rsidR="009B3384" w:rsidRDefault="00800862">
      <w:pPr>
        <w:widowControl w:val="0"/>
        <w:tabs>
          <w:tab w:val="clear" w:pos="567"/>
        </w:tabs>
        <w:suppressAutoHyphens w:val="0"/>
        <w:pPrChange w:id="1341" w:author="RABG09" w:date="2026-05-14T13:04:00Z">
          <w:pPr>
            <w:widowControl w:val="0"/>
            <w:numPr>
              <w:numId w:val="30"/>
            </w:numPr>
            <w:tabs>
              <w:tab w:val="num" w:pos="567"/>
            </w:tabs>
            <w:suppressAutoHyphens w:val="0"/>
            <w:ind w:left="567" w:hanging="567"/>
          </w:pPr>
        </w:pPrChange>
      </w:pPr>
      <w:r>
        <w:t>При някои пациенти</w:t>
      </w:r>
      <w:del w:id="1342" w:author="Reviser" w:date="2026-04-30T15:42:00Z">
        <w:r w:rsidDel="006A6A96">
          <w:delText>, след първата подкожна инжекция,</w:delText>
        </w:r>
      </w:del>
      <w:r>
        <w:t xml:space="preserve"> 90</w:t>
      </w:r>
      <w:r>
        <w:rPr>
          <w:lang w:val="en-US"/>
        </w:rPr>
        <w:t> </w:t>
      </w:r>
      <w:r>
        <w:t>mg Stelara може да се прилага през 8</w:t>
      </w:r>
      <w:r>
        <w:rPr>
          <w:lang w:val="en-US"/>
        </w:rPr>
        <w:t> </w:t>
      </w:r>
      <w:r>
        <w:t>седмици или през 4 седмици. Вашият лекар ще реши кога трябва да получите следващата си доза.</w:t>
      </w:r>
    </w:p>
    <w:bookmarkEnd w:id="1339"/>
    <w:p w14:paraId="109ADFAF" w14:textId="77777777" w:rsidR="009B3384" w:rsidRDefault="009B3384"/>
    <w:p w14:paraId="109ADFB1" w14:textId="77777777" w:rsidR="009B3384" w:rsidRDefault="00800862">
      <w:pPr>
        <w:keepNext/>
        <w:rPr>
          <w:b/>
          <w:bCs/>
          <w:szCs w:val="22"/>
        </w:rPr>
      </w:pPr>
      <w:r>
        <w:rPr>
          <w:b/>
          <w:bCs/>
          <w:szCs w:val="22"/>
        </w:rPr>
        <w:t>Как се прилага Stelara</w:t>
      </w:r>
    </w:p>
    <w:p w14:paraId="109ADFB2" w14:textId="77777777" w:rsidR="009B3384" w:rsidRDefault="00800862">
      <w:pPr>
        <w:numPr>
          <w:ilvl w:val="0"/>
          <w:numId w:val="30"/>
        </w:numPr>
        <w:tabs>
          <w:tab w:val="clear" w:pos="567"/>
        </w:tabs>
      </w:pPr>
      <w:r>
        <w:t>Stelara се прилага като инжекция под кожата (подкожно). В началото на Вашето лечение, Stelara може да се инжектира от лекар или медицинска сестра.</w:t>
      </w:r>
    </w:p>
    <w:p w14:paraId="109ADFB3" w14:textId="77777777" w:rsidR="009B3384" w:rsidRDefault="00800862">
      <w:pPr>
        <w:numPr>
          <w:ilvl w:val="0"/>
          <w:numId w:val="30"/>
        </w:numPr>
        <w:tabs>
          <w:tab w:val="clear" w:pos="567"/>
        </w:tabs>
        <w:rPr>
          <w:bCs/>
          <w:szCs w:val="22"/>
        </w:rPr>
      </w:pPr>
      <w:r>
        <w:rPr>
          <w:bCs/>
          <w:szCs w:val="22"/>
        </w:rPr>
        <w:t>Вие и Вашият лекар обаче може да решите, че Вие сами може да си инжектирате Stelara. В такъв случай ще преминете обучение как да си инжектирате Stelara самостоятелно.</w:t>
      </w:r>
    </w:p>
    <w:p w14:paraId="109ADFB4" w14:textId="77777777" w:rsidR="009B3384" w:rsidRDefault="00800862">
      <w:pPr>
        <w:numPr>
          <w:ilvl w:val="0"/>
          <w:numId w:val="30"/>
        </w:numPr>
        <w:tabs>
          <w:tab w:val="clear" w:pos="567"/>
        </w:tabs>
        <w:rPr>
          <w:bCs/>
        </w:rPr>
      </w:pPr>
      <w:r>
        <w:t>За указания как да инжектирате Stelara вижте „Указания за приложение” в края на тази листовка.</w:t>
      </w:r>
    </w:p>
    <w:p w14:paraId="109ADFB5" w14:textId="77777777" w:rsidR="009B3384" w:rsidRDefault="00800862">
      <w:pPr>
        <w:tabs>
          <w:tab w:val="clear" w:pos="567"/>
          <w:tab w:val="left" w:pos="540"/>
        </w:tabs>
        <w:rPr>
          <w:bCs/>
          <w:szCs w:val="22"/>
        </w:rPr>
      </w:pPr>
      <w:r>
        <w:rPr>
          <w:bCs/>
          <w:szCs w:val="22"/>
        </w:rPr>
        <w:t>Говорете с Вашия лекар, ако имате въпроси относно това как сами да поставяте инжекцията.</w:t>
      </w:r>
    </w:p>
    <w:p w14:paraId="109ADFB6" w14:textId="77777777" w:rsidR="009B3384" w:rsidRDefault="009B3384">
      <w:pPr>
        <w:tabs>
          <w:tab w:val="clear" w:pos="567"/>
          <w:tab w:val="left" w:pos="540"/>
        </w:tabs>
        <w:rPr>
          <w:szCs w:val="22"/>
        </w:rPr>
      </w:pPr>
    </w:p>
    <w:p w14:paraId="109ADFB7" w14:textId="77777777" w:rsidR="009B3384" w:rsidRDefault="00800862">
      <w:pPr>
        <w:keepNext/>
        <w:rPr>
          <w:b/>
          <w:szCs w:val="22"/>
        </w:rPr>
      </w:pPr>
      <w:r>
        <w:rPr>
          <w:b/>
          <w:szCs w:val="22"/>
        </w:rPr>
        <w:t>Ако сте използвали повече от необходимата доза Stelara</w:t>
      </w:r>
    </w:p>
    <w:p w14:paraId="109ADFB8" w14:textId="77777777" w:rsidR="009B3384" w:rsidRDefault="00800862">
      <w:pPr>
        <w:rPr>
          <w:szCs w:val="22"/>
        </w:rPr>
      </w:pPr>
      <w:r>
        <w:rPr>
          <w:szCs w:val="22"/>
        </w:rPr>
        <w:t>Ако сте използвали или са Ви приложили повече от необходимата доза Stelara, незабавно се посъветвайте с лекар или фармацевт. Винаги носете с Вас картонената опаковка на лекарството, дори и да е празна.</w:t>
      </w:r>
    </w:p>
    <w:p w14:paraId="109ADFB9" w14:textId="77777777" w:rsidR="009B3384" w:rsidRDefault="009B3384">
      <w:pPr>
        <w:rPr>
          <w:szCs w:val="22"/>
        </w:rPr>
      </w:pPr>
    </w:p>
    <w:p w14:paraId="109ADFBA" w14:textId="77777777" w:rsidR="009B3384" w:rsidRDefault="00800862">
      <w:pPr>
        <w:keepNext/>
        <w:rPr>
          <w:szCs w:val="22"/>
        </w:rPr>
      </w:pPr>
      <w:r>
        <w:rPr>
          <w:b/>
          <w:szCs w:val="22"/>
        </w:rPr>
        <w:t>Ако сте пропуснали да използвате Stelara</w:t>
      </w:r>
    </w:p>
    <w:p w14:paraId="109ADFBB" w14:textId="77777777" w:rsidR="009B3384" w:rsidRDefault="00800862">
      <w:pPr>
        <w:rPr>
          <w:szCs w:val="22"/>
        </w:rPr>
      </w:pPr>
      <w:r>
        <w:rPr>
          <w:szCs w:val="22"/>
        </w:rPr>
        <w:t>Ако сте пропуснали доза, свържете се с Вашия лекар или фармацевт. Не прилагайте двойна доза, за да компенсирате пропуснатата доза.</w:t>
      </w:r>
    </w:p>
    <w:p w14:paraId="109ADFBC" w14:textId="77777777" w:rsidR="009B3384" w:rsidRDefault="009B3384">
      <w:pPr>
        <w:rPr>
          <w:szCs w:val="22"/>
        </w:rPr>
      </w:pPr>
    </w:p>
    <w:p w14:paraId="109ADFBD" w14:textId="77777777" w:rsidR="009B3384" w:rsidRDefault="00800862">
      <w:pPr>
        <w:keepNext/>
        <w:rPr>
          <w:b/>
          <w:szCs w:val="22"/>
        </w:rPr>
      </w:pPr>
      <w:r>
        <w:rPr>
          <w:b/>
          <w:szCs w:val="22"/>
        </w:rPr>
        <w:t>Ако сте спрели употребата на Stelara</w:t>
      </w:r>
    </w:p>
    <w:p w14:paraId="109ADFBE" w14:textId="77777777" w:rsidR="009B3384" w:rsidRDefault="00800862">
      <w:pPr>
        <w:rPr>
          <w:szCs w:val="22"/>
        </w:rPr>
      </w:pPr>
      <w:r>
        <w:rPr>
          <w:szCs w:val="22"/>
        </w:rPr>
        <w:t>Не е опасно да спрете употребата на Stelara. Ако обаче я спрете, Вашите симптоми може да се възобновят.</w:t>
      </w:r>
    </w:p>
    <w:p w14:paraId="109ADFBF" w14:textId="77777777" w:rsidR="009B3384" w:rsidRDefault="009B3384">
      <w:pPr>
        <w:rPr>
          <w:szCs w:val="22"/>
        </w:rPr>
      </w:pPr>
    </w:p>
    <w:p w14:paraId="109ADFC0" w14:textId="77777777" w:rsidR="009B3384" w:rsidRDefault="00800862">
      <w:pPr>
        <w:rPr>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109ADFC1" w14:textId="77777777" w:rsidR="009B3384" w:rsidRDefault="009B3384">
      <w:pPr>
        <w:rPr>
          <w:szCs w:val="22"/>
        </w:rPr>
      </w:pPr>
    </w:p>
    <w:p w14:paraId="109ADFC2" w14:textId="77777777" w:rsidR="009B3384" w:rsidRDefault="009B3384">
      <w:pPr>
        <w:rPr>
          <w:szCs w:val="22"/>
        </w:rPr>
      </w:pPr>
    </w:p>
    <w:p w14:paraId="109ADFC3" w14:textId="77777777" w:rsidR="009B3384" w:rsidRDefault="00800862">
      <w:pPr>
        <w:keepNext/>
        <w:ind w:left="567" w:hanging="567"/>
        <w:outlineLvl w:val="2"/>
        <w:rPr>
          <w:b/>
          <w:bCs/>
          <w:szCs w:val="22"/>
        </w:rPr>
      </w:pPr>
      <w:r>
        <w:rPr>
          <w:b/>
          <w:bCs/>
          <w:szCs w:val="22"/>
        </w:rPr>
        <w:t>4.</w:t>
      </w:r>
      <w:r>
        <w:rPr>
          <w:b/>
          <w:bCs/>
          <w:szCs w:val="22"/>
        </w:rPr>
        <w:tab/>
        <w:t>Възможни нежелани реакции</w:t>
      </w:r>
    </w:p>
    <w:p w14:paraId="109ADFC4" w14:textId="77777777" w:rsidR="009B3384" w:rsidRDefault="009B3384">
      <w:pPr>
        <w:keepNext/>
        <w:rPr>
          <w:szCs w:val="22"/>
        </w:rPr>
      </w:pPr>
    </w:p>
    <w:p w14:paraId="109ADFC5" w14:textId="77777777" w:rsidR="009B3384" w:rsidRDefault="00800862">
      <w:pPr>
        <w:rPr>
          <w:szCs w:val="22"/>
        </w:rPr>
      </w:pPr>
      <w:r>
        <w:rPr>
          <w:szCs w:val="22"/>
        </w:rPr>
        <w:t>Както всички лекарства, това лекарство може да предизвика нежелани реакции, въпреки че не всеки ги получава.</w:t>
      </w:r>
    </w:p>
    <w:p w14:paraId="109ADFC6" w14:textId="77777777" w:rsidR="009B3384" w:rsidRDefault="009B3384">
      <w:pPr>
        <w:rPr>
          <w:szCs w:val="22"/>
        </w:rPr>
      </w:pPr>
    </w:p>
    <w:p w14:paraId="109ADFC7" w14:textId="77777777" w:rsidR="009B3384" w:rsidRDefault="00800862">
      <w:pPr>
        <w:keepNext/>
        <w:rPr>
          <w:b/>
          <w:szCs w:val="22"/>
        </w:rPr>
      </w:pPr>
      <w:r>
        <w:rPr>
          <w:b/>
          <w:szCs w:val="22"/>
        </w:rPr>
        <w:t>Сериозни нежелани реакции</w:t>
      </w:r>
    </w:p>
    <w:p w14:paraId="109ADFC8" w14:textId="77777777" w:rsidR="009B3384" w:rsidRDefault="00800862">
      <w:pPr>
        <w:rPr>
          <w:szCs w:val="22"/>
        </w:rPr>
      </w:pPr>
      <w:r>
        <w:rPr>
          <w:szCs w:val="22"/>
        </w:rPr>
        <w:t>Някои пациенти може да имат сериозни нежелани реакции, при които да се налага спешно лечение.</w:t>
      </w:r>
    </w:p>
    <w:p w14:paraId="109ADFC9" w14:textId="77777777" w:rsidR="009B3384" w:rsidRDefault="009B3384">
      <w:pPr>
        <w:rPr>
          <w:szCs w:val="22"/>
        </w:rPr>
      </w:pPr>
    </w:p>
    <w:p w14:paraId="109ADFCA" w14:textId="77777777" w:rsidR="009B3384" w:rsidRDefault="00800862">
      <w:pPr>
        <w:keepNext/>
        <w:widowControl w:val="0"/>
        <w:tabs>
          <w:tab w:val="clear" w:pos="567"/>
        </w:tabs>
        <w:ind w:left="567"/>
        <w:rPr>
          <w:b/>
        </w:rPr>
      </w:pPr>
      <w:r>
        <w:rPr>
          <w:b/>
        </w:rPr>
        <w:lastRenderedPageBreak/>
        <w:t>Алергични реакции – може да изискват спешно лечение. Информирайте Вашия лекар или незабавно потърсете спешна медицинска помощ, ако забележите някой от следните признаци.</w:t>
      </w:r>
    </w:p>
    <w:p w14:paraId="109ADFCB" w14:textId="77777777" w:rsidR="009B3384" w:rsidRDefault="00800862">
      <w:pPr>
        <w:widowControl w:val="0"/>
        <w:numPr>
          <w:ilvl w:val="0"/>
          <w:numId w:val="31"/>
        </w:numPr>
        <w:tabs>
          <w:tab w:val="clear" w:pos="567"/>
          <w:tab w:val="left" w:pos="1134"/>
        </w:tabs>
        <w:ind w:left="1134" w:hanging="567"/>
      </w:pPr>
      <w:r>
        <w:t xml:space="preserve">Сериозните алергични реакции („анафилаксия”) са редки при хора, приемащи Stelara </w:t>
      </w:r>
      <w:r>
        <w:rPr>
          <w:bCs/>
        </w:rPr>
        <w:t>(може да засегнат до 1 на 1 000 души). Признаците включват:</w:t>
      </w:r>
    </w:p>
    <w:p w14:paraId="109ADFCC" w14:textId="77777777" w:rsidR="009B3384" w:rsidRDefault="00800862">
      <w:pPr>
        <w:numPr>
          <w:ilvl w:val="0"/>
          <w:numId w:val="28"/>
        </w:numPr>
        <w:ind w:left="1701" w:hanging="567"/>
      </w:pPr>
      <w:r>
        <w:t>затруднено дишане или преглъщане;</w:t>
      </w:r>
    </w:p>
    <w:p w14:paraId="109ADFCD" w14:textId="77777777" w:rsidR="009B3384" w:rsidRDefault="00800862">
      <w:pPr>
        <w:numPr>
          <w:ilvl w:val="0"/>
          <w:numId w:val="28"/>
        </w:numPr>
        <w:ind w:left="1701" w:hanging="567"/>
      </w:pPr>
      <w:r>
        <w:t>ниско кръвно налягане, което може да причини замаяност или световъртеж;</w:t>
      </w:r>
    </w:p>
    <w:p w14:paraId="109ADFCE" w14:textId="77777777" w:rsidR="009B3384" w:rsidRDefault="00800862">
      <w:pPr>
        <w:numPr>
          <w:ilvl w:val="0"/>
          <w:numId w:val="28"/>
        </w:numPr>
        <w:ind w:left="1701" w:hanging="567"/>
      </w:pPr>
      <w:r>
        <w:t>подуване на лицето, устните, устата или гърлото.</w:t>
      </w:r>
    </w:p>
    <w:p w14:paraId="109ADFCF" w14:textId="77777777" w:rsidR="009B3384" w:rsidRDefault="00800862">
      <w:pPr>
        <w:widowControl w:val="0"/>
        <w:numPr>
          <w:ilvl w:val="0"/>
          <w:numId w:val="31"/>
        </w:numPr>
        <w:tabs>
          <w:tab w:val="clear" w:pos="567"/>
          <w:tab w:val="left" w:pos="1134"/>
        </w:tabs>
        <w:ind w:left="1134" w:hanging="567"/>
      </w:pPr>
      <w:r>
        <w:t>Честите признаци на алергична реакция включват кожен обрив и уртикария (може да засегнат до 1 на 100 души).</w:t>
      </w:r>
    </w:p>
    <w:p w14:paraId="109ADFD0" w14:textId="77777777" w:rsidR="009B3384" w:rsidRDefault="009B3384"/>
    <w:p w14:paraId="109ADFD1" w14:textId="77777777" w:rsidR="009B3384" w:rsidRDefault="00800862">
      <w:pPr>
        <w:tabs>
          <w:tab w:val="clear" w:pos="567"/>
          <w:tab w:val="left" w:pos="630"/>
        </w:tabs>
        <w:ind w:left="567"/>
        <w:rPr>
          <w:b/>
        </w:rPr>
      </w:pPr>
      <w:r>
        <w:rPr>
          <w:b/>
        </w:rPr>
        <w:t>В редки случаи се съобщават алергични белодробни реакции и белодробно възпаление при пациенти, които получават устекинумаб. Уведомете веднага Вашия лекар, ако получите симптоми като кашлица, задух и висока температура.</w:t>
      </w:r>
    </w:p>
    <w:p w14:paraId="109ADFD2" w14:textId="77777777" w:rsidR="009B3384" w:rsidRDefault="009B3384"/>
    <w:p w14:paraId="109ADFD3" w14:textId="77777777" w:rsidR="009B3384" w:rsidRDefault="00800862">
      <w:pPr>
        <w:keepNext/>
        <w:widowControl w:val="0"/>
        <w:ind w:left="567"/>
      </w:pPr>
      <w:r>
        <w:t>Ако получите сериозна алергична реакция, Вашият лекар може да реши, че Вие не трябва да употребявате Stelara отново.</w:t>
      </w:r>
    </w:p>
    <w:p w14:paraId="109ADFD4" w14:textId="77777777" w:rsidR="009B3384" w:rsidRDefault="009B3384"/>
    <w:p w14:paraId="109ADFD5" w14:textId="77777777" w:rsidR="009B3384" w:rsidRDefault="00800862">
      <w:pPr>
        <w:keepNext/>
        <w:ind w:left="567"/>
        <w:rPr>
          <w:bCs/>
        </w:rPr>
      </w:pPr>
      <w:r>
        <w:rPr>
          <w:b/>
        </w:rPr>
        <w:t>Инфекции – може да изискват спешно лечение. Информирайте Вашия лекар, ако забележите някой от следните признаци.</w:t>
      </w:r>
    </w:p>
    <w:p w14:paraId="109ADFD6" w14:textId="77777777" w:rsidR="009B3384" w:rsidRDefault="00800862">
      <w:pPr>
        <w:numPr>
          <w:ilvl w:val="0"/>
          <w:numId w:val="31"/>
        </w:numPr>
        <w:tabs>
          <w:tab w:val="clear" w:pos="567"/>
          <w:tab w:val="left" w:pos="1134"/>
        </w:tabs>
        <w:ind w:left="1134" w:hanging="567"/>
      </w:pPr>
      <w:r>
        <w:t>инфекциите на носа или гърлото и простудата са чести (може да засегнат до 1 на 10 души)</w:t>
      </w:r>
    </w:p>
    <w:p w14:paraId="109ADFD7" w14:textId="77777777" w:rsidR="009B3384" w:rsidRDefault="00800862">
      <w:pPr>
        <w:numPr>
          <w:ilvl w:val="0"/>
          <w:numId w:val="31"/>
        </w:numPr>
        <w:tabs>
          <w:tab w:val="clear" w:pos="567"/>
          <w:tab w:val="left" w:pos="1134"/>
        </w:tabs>
        <w:ind w:left="1134" w:hanging="567"/>
      </w:pPr>
      <w:r>
        <w:t>инфекциите на долните дихателни пътища (гръдни инфекции) са нечести (може да засегнат до 1 на 100 души)</w:t>
      </w:r>
    </w:p>
    <w:p w14:paraId="109ADFD8" w14:textId="77777777" w:rsidR="009B3384" w:rsidRDefault="00800862">
      <w:pPr>
        <w:numPr>
          <w:ilvl w:val="0"/>
          <w:numId w:val="31"/>
        </w:numPr>
        <w:tabs>
          <w:tab w:val="clear" w:pos="567"/>
          <w:tab w:val="left" w:pos="1134"/>
        </w:tabs>
        <w:ind w:left="1134" w:hanging="567"/>
      </w:pPr>
      <w:r>
        <w:t>възпалението на подкожната тъкан (целулит) е нечесто (може да засегне до 1 на 100 души)</w:t>
      </w:r>
    </w:p>
    <w:p w14:paraId="109ADFD9" w14:textId="77777777" w:rsidR="009B3384" w:rsidRDefault="00800862">
      <w:pPr>
        <w:numPr>
          <w:ilvl w:val="0"/>
          <w:numId w:val="31"/>
        </w:numPr>
        <w:tabs>
          <w:tab w:val="clear" w:pos="567"/>
          <w:tab w:val="left" w:pos="1134"/>
        </w:tabs>
        <w:ind w:left="1134" w:hanging="567"/>
      </w:pPr>
      <w:r>
        <w:t>херпесите (вид болезнен обрив с мехури) са нечести (може да засегнат до 1 на 100 души)</w:t>
      </w:r>
    </w:p>
    <w:p w14:paraId="109ADFDA" w14:textId="77777777" w:rsidR="009B3384" w:rsidRDefault="009B3384"/>
    <w:p w14:paraId="109ADFDB" w14:textId="77777777" w:rsidR="009B3384" w:rsidRDefault="00800862">
      <w:pPr>
        <w:ind w:left="567"/>
      </w:pPr>
      <w:r>
        <w:t>Stelara може да намали способността Ви да се борите с инфекции. Някои инфекции може да станат сериозни и може да включват инфекции, причинени от вируси, гъбички, бактерии (включително туберкулоза) или паразити, включително инфекции, които възникват предимно при хора с отслабена имунна система (опортюнистични инфекции). При пациенти, получаващи устекинумаб, се съобщават опортюнистични инфекции на мозъка (енцефалит, менингит), белите дробове и очите.</w:t>
      </w:r>
    </w:p>
    <w:p w14:paraId="109ADFDC" w14:textId="77777777" w:rsidR="009B3384" w:rsidRDefault="009B3384"/>
    <w:p w14:paraId="109ADFDD" w14:textId="77777777" w:rsidR="009B3384" w:rsidRDefault="00800862">
      <w:pPr>
        <w:keepNext/>
      </w:pPr>
      <w:r>
        <w:t>Докато употребявате Stelara, трябва да следите за признаци на инфекция. Те включват:</w:t>
      </w:r>
    </w:p>
    <w:p w14:paraId="109ADFDE" w14:textId="77777777" w:rsidR="009B3384" w:rsidRDefault="00800862">
      <w:pPr>
        <w:numPr>
          <w:ilvl w:val="0"/>
          <w:numId w:val="31"/>
        </w:numPr>
        <w:tabs>
          <w:tab w:val="clear" w:pos="567"/>
          <w:tab w:val="left" w:pos="1134"/>
        </w:tabs>
        <w:ind w:left="1134" w:hanging="567"/>
      </w:pPr>
      <w:r>
        <w:t>висока температура, грипоподобни симптоми, нощно потене, загуба на тегло</w:t>
      </w:r>
    </w:p>
    <w:p w14:paraId="109ADFDF" w14:textId="77777777" w:rsidR="009B3384" w:rsidRDefault="00800862">
      <w:pPr>
        <w:numPr>
          <w:ilvl w:val="0"/>
          <w:numId w:val="31"/>
        </w:numPr>
        <w:tabs>
          <w:tab w:val="clear" w:pos="567"/>
          <w:tab w:val="left" w:pos="1134"/>
        </w:tabs>
        <w:ind w:left="1134" w:hanging="567"/>
      </w:pPr>
      <w:r>
        <w:t>умора или задух, упорита кашлица</w:t>
      </w:r>
    </w:p>
    <w:p w14:paraId="109ADFE0" w14:textId="77777777" w:rsidR="009B3384" w:rsidRDefault="00800862">
      <w:pPr>
        <w:numPr>
          <w:ilvl w:val="0"/>
          <w:numId w:val="31"/>
        </w:numPr>
        <w:tabs>
          <w:tab w:val="clear" w:pos="567"/>
          <w:tab w:val="left" w:pos="1134"/>
        </w:tabs>
        <w:ind w:left="1134" w:hanging="567"/>
      </w:pPr>
      <w:r>
        <w:t>топла, зачервена и болезнена кожа или болезнен кожен обрив с мехури</w:t>
      </w:r>
    </w:p>
    <w:p w14:paraId="109ADFE1" w14:textId="77777777" w:rsidR="009B3384" w:rsidRDefault="00800862">
      <w:pPr>
        <w:numPr>
          <w:ilvl w:val="0"/>
          <w:numId w:val="31"/>
        </w:numPr>
        <w:tabs>
          <w:tab w:val="clear" w:pos="567"/>
          <w:tab w:val="left" w:pos="1134"/>
        </w:tabs>
        <w:ind w:left="1134" w:hanging="567"/>
      </w:pPr>
      <w:r>
        <w:t>парене при уриниране</w:t>
      </w:r>
    </w:p>
    <w:p w14:paraId="109ADFE2" w14:textId="77777777" w:rsidR="009B3384" w:rsidRDefault="00800862">
      <w:pPr>
        <w:numPr>
          <w:ilvl w:val="0"/>
          <w:numId w:val="31"/>
        </w:numPr>
        <w:tabs>
          <w:tab w:val="clear" w:pos="567"/>
          <w:tab w:val="left" w:pos="1134"/>
        </w:tabs>
        <w:ind w:left="1134" w:hanging="567"/>
      </w:pPr>
      <w:r>
        <w:t>диария</w:t>
      </w:r>
    </w:p>
    <w:p w14:paraId="109ADFE3" w14:textId="77777777" w:rsidR="009B3384" w:rsidRDefault="00800862">
      <w:pPr>
        <w:numPr>
          <w:ilvl w:val="0"/>
          <w:numId w:val="31"/>
        </w:numPr>
        <w:tabs>
          <w:tab w:val="clear" w:pos="567"/>
          <w:tab w:val="left" w:pos="1134"/>
        </w:tabs>
        <w:ind w:left="1134" w:hanging="567"/>
      </w:pPr>
      <w:r>
        <w:t>зрително смущение или загуба на зрение</w:t>
      </w:r>
    </w:p>
    <w:p w14:paraId="109ADFE4" w14:textId="77777777" w:rsidR="009B3384" w:rsidRDefault="00800862">
      <w:pPr>
        <w:numPr>
          <w:ilvl w:val="0"/>
          <w:numId w:val="31"/>
        </w:numPr>
        <w:tabs>
          <w:tab w:val="clear" w:pos="567"/>
          <w:tab w:val="left" w:pos="1134"/>
        </w:tabs>
        <w:ind w:left="1134" w:hanging="567"/>
      </w:pPr>
      <w:r>
        <w:t>главоболие, скованост на врата, чувствителност към светлина, гадене или обърканост.</w:t>
      </w:r>
    </w:p>
    <w:p w14:paraId="109ADFE5" w14:textId="77777777" w:rsidR="009B3384" w:rsidRDefault="009B3384"/>
    <w:p w14:paraId="109ADFE6" w14:textId="77777777" w:rsidR="009B3384" w:rsidRDefault="00800862">
      <w:pPr>
        <w:widowControl w:val="0"/>
        <w:ind w:left="567"/>
      </w:pPr>
      <w:r>
        <w:t>Информирайте Вашия лекар веднага, ако забележите някой от тези признаци на инфекция. Те могат да бъдат признаци на инфекции като гръдни инфекции, кожни инфекции, херпес зостер или опортюнистични инфекции, които могат да доведат до сериозни усложнения. Информирайте Вашия лекар, ако имате някаква упорита или повтаряща се инфекция. Вашият лекар може да реши, че не трябва да употребявате Stelara, докато инфекцията не бъде излекувана. Уведомете Вашия лекар, и ако имате отворени рани или наранявания, тъй като може да се инфектират.</w:t>
      </w:r>
    </w:p>
    <w:p w14:paraId="109ADFE7" w14:textId="77777777" w:rsidR="009B3384" w:rsidRDefault="009B3384"/>
    <w:p w14:paraId="109ADFE8" w14:textId="77777777" w:rsidR="009B3384" w:rsidRDefault="00800862">
      <w:pPr>
        <w:widowControl w:val="0"/>
        <w:ind w:left="567"/>
        <w:rPr>
          <w:b/>
        </w:rPr>
      </w:pPr>
      <w:r>
        <w:rPr>
          <w:b/>
        </w:rPr>
        <w:t xml:space="preserve">Лющене на кожата – интензивното зачервяване и лющене на кожата на по-голяма площ по тялото може да са симптоми на еритродермичен псориазис или </w:t>
      </w:r>
      <w:r>
        <w:rPr>
          <w:b/>
        </w:rPr>
        <w:lastRenderedPageBreak/>
        <w:t>ексфолиативен дерматит, които са сериозни кожни заболявания. Ако забележите някой от тези признаци, трябва да информирате Вашия лекар незабавно.</w:t>
      </w:r>
    </w:p>
    <w:p w14:paraId="109ADFE9" w14:textId="77777777" w:rsidR="009B3384" w:rsidRDefault="009B3384">
      <w:pPr>
        <w:widowControl w:val="0"/>
      </w:pPr>
    </w:p>
    <w:p w14:paraId="109ADFEA" w14:textId="77777777" w:rsidR="009B3384" w:rsidRDefault="00800862">
      <w:pPr>
        <w:keepNext/>
        <w:rPr>
          <w:b/>
          <w:szCs w:val="22"/>
        </w:rPr>
      </w:pPr>
      <w:r>
        <w:rPr>
          <w:b/>
          <w:szCs w:val="22"/>
        </w:rPr>
        <w:t>Други нежелани реакции</w:t>
      </w:r>
    </w:p>
    <w:p w14:paraId="109ADFEB" w14:textId="77777777" w:rsidR="009B3384" w:rsidRDefault="009B3384">
      <w:pPr>
        <w:keepNext/>
        <w:rPr>
          <w:szCs w:val="22"/>
        </w:rPr>
      </w:pPr>
    </w:p>
    <w:p w14:paraId="109ADFEC" w14:textId="77777777" w:rsidR="009B3384" w:rsidRDefault="00800862">
      <w:pPr>
        <w:keepNext/>
        <w:ind w:left="567"/>
        <w:rPr>
          <w:szCs w:val="22"/>
        </w:rPr>
      </w:pPr>
      <w:r>
        <w:rPr>
          <w:b/>
          <w:bCs/>
          <w:szCs w:val="22"/>
        </w:rPr>
        <w:t xml:space="preserve">Чести нежелани реакции </w:t>
      </w:r>
      <w:r>
        <w:rPr>
          <w:bCs/>
          <w:szCs w:val="22"/>
        </w:rPr>
        <w:t>(може да засегнат до 1 на 10 души)</w:t>
      </w:r>
      <w:r>
        <w:rPr>
          <w:b/>
          <w:szCs w:val="22"/>
        </w:rPr>
        <w:t>:</w:t>
      </w:r>
    </w:p>
    <w:p w14:paraId="109ADFED" w14:textId="77777777" w:rsidR="009B3384" w:rsidRDefault="00800862">
      <w:pPr>
        <w:numPr>
          <w:ilvl w:val="0"/>
          <w:numId w:val="31"/>
        </w:numPr>
        <w:tabs>
          <w:tab w:val="clear" w:pos="567"/>
          <w:tab w:val="left" w:pos="1134"/>
        </w:tabs>
        <w:ind w:left="1134" w:hanging="567"/>
      </w:pPr>
      <w:r>
        <w:t>диария</w:t>
      </w:r>
    </w:p>
    <w:p w14:paraId="109ADFEE" w14:textId="77777777" w:rsidR="009B3384" w:rsidRDefault="00800862">
      <w:pPr>
        <w:numPr>
          <w:ilvl w:val="0"/>
          <w:numId w:val="31"/>
        </w:numPr>
        <w:tabs>
          <w:tab w:val="clear" w:pos="567"/>
          <w:tab w:val="left" w:pos="1134"/>
        </w:tabs>
        <w:ind w:left="1134" w:hanging="567"/>
      </w:pPr>
      <w:r>
        <w:t>гадене</w:t>
      </w:r>
    </w:p>
    <w:p w14:paraId="109ADFEF" w14:textId="77777777" w:rsidR="009B3384" w:rsidRDefault="00800862">
      <w:pPr>
        <w:numPr>
          <w:ilvl w:val="0"/>
          <w:numId w:val="31"/>
        </w:numPr>
        <w:tabs>
          <w:tab w:val="clear" w:pos="567"/>
          <w:tab w:val="left" w:pos="1134"/>
        </w:tabs>
        <w:ind w:left="1134" w:hanging="567"/>
      </w:pPr>
      <w:r>
        <w:t>повръщане</w:t>
      </w:r>
    </w:p>
    <w:p w14:paraId="109ADFF0" w14:textId="77777777" w:rsidR="009B3384" w:rsidRDefault="00800862">
      <w:pPr>
        <w:numPr>
          <w:ilvl w:val="0"/>
          <w:numId w:val="31"/>
        </w:numPr>
        <w:tabs>
          <w:tab w:val="clear" w:pos="567"/>
          <w:tab w:val="left" w:pos="1134"/>
        </w:tabs>
        <w:ind w:left="1134" w:hanging="567"/>
      </w:pPr>
      <w:r>
        <w:t>умора</w:t>
      </w:r>
    </w:p>
    <w:p w14:paraId="109ADFF1" w14:textId="77777777" w:rsidR="009B3384" w:rsidRDefault="00800862">
      <w:pPr>
        <w:numPr>
          <w:ilvl w:val="0"/>
          <w:numId w:val="31"/>
        </w:numPr>
        <w:tabs>
          <w:tab w:val="clear" w:pos="567"/>
          <w:tab w:val="left" w:pos="1134"/>
        </w:tabs>
        <w:ind w:left="1134" w:hanging="567"/>
      </w:pPr>
      <w:r>
        <w:t>замаяност</w:t>
      </w:r>
    </w:p>
    <w:p w14:paraId="109ADFF2" w14:textId="77777777" w:rsidR="009B3384" w:rsidRDefault="00800862">
      <w:pPr>
        <w:numPr>
          <w:ilvl w:val="0"/>
          <w:numId w:val="31"/>
        </w:numPr>
        <w:tabs>
          <w:tab w:val="clear" w:pos="567"/>
          <w:tab w:val="left" w:pos="1134"/>
        </w:tabs>
        <w:ind w:left="1134" w:hanging="567"/>
      </w:pPr>
      <w:r>
        <w:t>главоболие</w:t>
      </w:r>
    </w:p>
    <w:p w14:paraId="109ADFF3" w14:textId="77777777" w:rsidR="009B3384" w:rsidRDefault="00800862">
      <w:pPr>
        <w:numPr>
          <w:ilvl w:val="0"/>
          <w:numId w:val="31"/>
        </w:numPr>
        <w:tabs>
          <w:tab w:val="clear" w:pos="567"/>
          <w:tab w:val="left" w:pos="1134"/>
        </w:tabs>
        <w:ind w:left="1134" w:hanging="567"/>
      </w:pPr>
      <w:r>
        <w:t>сърбеж (пруритус)</w:t>
      </w:r>
    </w:p>
    <w:p w14:paraId="109ADFF4" w14:textId="77777777" w:rsidR="009B3384" w:rsidRDefault="00800862">
      <w:pPr>
        <w:numPr>
          <w:ilvl w:val="0"/>
          <w:numId w:val="31"/>
        </w:numPr>
        <w:tabs>
          <w:tab w:val="clear" w:pos="567"/>
          <w:tab w:val="left" w:pos="1134"/>
        </w:tabs>
        <w:ind w:left="1134" w:hanging="567"/>
      </w:pPr>
      <w:r>
        <w:t>болка в гърба, мускулите или ставите</w:t>
      </w:r>
    </w:p>
    <w:p w14:paraId="109ADFF5" w14:textId="77777777" w:rsidR="009B3384" w:rsidRDefault="00800862">
      <w:pPr>
        <w:numPr>
          <w:ilvl w:val="0"/>
          <w:numId w:val="31"/>
        </w:numPr>
        <w:tabs>
          <w:tab w:val="clear" w:pos="567"/>
          <w:tab w:val="left" w:pos="1134"/>
        </w:tabs>
        <w:ind w:left="1134" w:hanging="567"/>
      </w:pPr>
      <w:r>
        <w:t>възпалено гърло</w:t>
      </w:r>
    </w:p>
    <w:p w14:paraId="109ADFF6" w14:textId="77777777" w:rsidR="009B3384" w:rsidRDefault="00800862">
      <w:pPr>
        <w:numPr>
          <w:ilvl w:val="0"/>
          <w:numId w:val="31"/>
        </w:numPr>
        <w:tabs>
          <w:tab w:val="clear" w:pos="567"/>
          <w:tab w:val="left" w:pos="1134"/>
        </w:tabs>
        <w:ind w:left="1134" w:hanging="567"/>
      </w:pPr>
      <w:r>
        <w:t>зачервяване и болка на мястото на инжектиране</w:t>
      </w:r>
    </w:p>
    <w:p w14:paraId="109ADFF7" w14:textId="77777777" w:rsidR="009B3384" w:rsidRDefault="00800862">
      <w:pPr>
        <w:numPr>
          <w:ilvl w:val="0"/>
          <w:numId w:val="31"/>
        </w:numPr>
        <w:tabs>
          <w:tab w:val="clear" w:pos="567"/>
          <w:tab w:val="left" w:pos="1134"/>
        </w:tabs>
        <w:ind w:left="1134" w:hanging="567"/>
      </w:pPr>
      <w:r>
        <w:t>инфекция на синусите</w:t>
      </w:r>
    </w:p>
    <w:p w14:paraId="109ADFF8" w14:textId="77777777" w:rsidR="009B3384" w:rsidRDefault="009B3384"/>
    <w:p w14:paraId="109ADFF9" w14:textId="77777777" w:rsidR="009B3384" w:rsidRDefault="00800862">
      <w:pPr>
        <w:keepNext/>
        <w:ind w:left="567"/>
        <w:rPr>
          <w:b/>
          <w:szCs w:val="22"/>
        </w:rPr>
      </w:pPr>
      <w:r>
        <w:rPr>
          <w:b/>
          <w:bCs/>
          <w:szCs w:val="22"/>
        </w:rPr>
        <w:t xml:space="preserve">Нечести нежелани реакции </w:t>
      </w:r>
      <w:r>
        <w:rPr>
          <w:bCs/>
          <w:szCs w:val="22"/>
        </w:rPr>
        <w:t>(може да засегнат до 1 на 100 души)</w:t>
      </w:r>
      <w:r>
        <w:rPr>
          <w:b/>
          <w:szCs w:val="22"/>
        </w:rPr>
        <w:t>:</w:t>
      </w:r>
    </w:p>
    <w:p w14:paraId="109ADFFA" w14:textId="77777777" w:rsidR="009B3384" w:rsidRDefault="00800862">
      <w:pPr>
        <w:numPr>
          <w:ilvl w:val="0"/>
          <w:numId w:val="31"/>
        </w:numPr>
        <w:tabs>
          <w:tab w:val="clear" w:pos="567"/>
          <w:tab w:val="left" w:pos="1134"/>
        </w:tabs>
        <w:ind w:left="1134" w:hanging="567"/>
      </w:pPr>
      <w:r>
        <w:t>инфекции на зъбите</w:t>
      </w:r>
    </w:p>
    <w:p w14:paraId="109ADFFB" w14:textId="77777777" w:rsidR="009B3384" w:rsidRDefault="00800862">
      <w:pPr>
        <w:numPr>
          <w:ilvl w:val="0"/>
          <w:numId w:val="31"/>
        </w:numPr>
        <w:tabs>
          <w:tab w:val="clear" w:pos="567"/>
          <w:tab w:val="left" w:pos="1134"/>
        </w:tabs>
        <w:ind w:left="1134" w:hanging="567"/>
      </w:pPr>
      <w:r>
        <w:t>вагинална инфекция, причинена от гъбички</w:t>
      </w:r>
    </w:p>
    <w:p w14:paraId="109ADFFC" w14:textId="77777777" w:rsidR="009B3384" w:rsidRDefault="00800862">
      <w:pPr>
        <w:numPr>
          <w:ilvl w:val="0"/>
          <w:numId w:val="31"/>
        </w:numPr>
        <w:tabs>
          <w:tab w:val="clear" w:pos="567"/>
          <w:tab w:val="left" w:pos="1134"/>
        </w:tabs>
        <w:ind w:left="1134" w:hanging="567"/>
        <w:rPr>
          <w:szCs w:val="22"/>
        </w:rPr>
      </w:pPr>
      <w:r>
        <w:rPr>
          <w:szCs w:val="22"/>
        </w:rPr>
        <w:t>депресия</w:t>
      </w:r>
    </w:p>
    <w:p w14:paraId="109ADFFD" w14:textId="77777777" w:rsidR="009B3384" w:rsidRDefault="00800862">
      <w:pPr>
        <w:numPr>
          <w:ilvl w:val="0"/>
          <w:numId w:val="31"/>
        </w:numPr>
        <w:tabs>
          <w:tab w:val="clear" w:pos="567"/>
          <w:tab w:val="left" w:pos="1134"/>
        </w:tabs>
        <w:ind w:left="1134" w:hanging="567"/>
        <w:rPr>
          <w:szCs w:val="22"/>
        </w:rPr>
      </w:pPr>
      <w:r>
        <w:rPr>
          <w:szCs w:val="22"/>
        </w:rPr>
        <w:t>запушен нос или хрема</w:t>
      </w:r>
    </w:p>
    <w:p w14:paraId="109ADFFE" w14:textId="77777777" w:rsidR="009B3384" w:rsidRDefault="00800862">
      <w:pPr>
        <w:numPr>
          <w:ilvl w:val="0"/>
          <w:numId w:val="31"/>
        </w:numPr>
        <w:tabs>
          <w:tab w:val="clear" w:pos="567"/>
          <w:tab w:val="left" w:pos="1134"/>
        </w:tabs>
        <w:ind w:left="1134" w:hanging="567"/>
        <w:rPr>
          <w:szCs w:val="22"/>
        </w:rPr>
      </w:pPr>
      <w:r>
        <w:rPr>
          <w:bCs/>
          <w:szCs w:val="22"/>
        </w:rPr>
        <w:t>кървене, посиняване, втвърдяване, подуване и сърбеж на мястото на инжектиране</w:t>
      </w:r>
    </w:p>
    <w:p w14:paraId="109ADFFF" w14:textId="77777777" w:rsidR="009B3384" w:rsidRDefault="00800862">
      <w:pPr>
        <w:numPr>
          <w:ilvl w:val="0"/>
          <w:numId w:val="31"/>
        </w:numPr>
        <w:tabs>
          <w:tab w:val="clear" w:pos="567"/>
          <w:tab w:val="left" w:pos="1134"/>
        </w:tabs>
        <w:ind w:left="1134" w:hanging="567"/>
        <w:rPr>
          <w:szCs w:val="22"/>
        </w:rPr>
      </w:pPr>
      <w:r>
        <w:rPr>
          <w:bCs/>
          <w:szCs w:val="22"/>
        </w:rPr>
        <w:t>усещане за слабост</w:t>
      </w:r>
    </w:p>
    <w:p w14:paraId="109AE000" w14:textId="77777777" w:rsidR="009B3384" w:rsidRDefault="00800862">
      <w:pPr>
        <w:numPr>
          <w:ilvl w:val="0"/>
          <w:numId w:val="31"/>
        </w:numPr>
        <w:tabs>
          <w:tab w:val="clear" w:pos="567"/>
          <w:tab w:val="left" w:pos="1134"/>
        </w:tabs>
        <w:ind w:left="1134" w:hanging="567"/>
        <w:rPr>
          <w:szCs w:val="22"/>
        </w:rPr>
      </w:pPr>
      <w:r>
        <w:rPr>
          <w:szCs w:val="22"/>
        </w:rPr>
        <w:t>спадане на клепача и изкривяване на мускулите на едната половина на лицето („лицева парализа”</w:t>
      </w:r>
      <w:r>
        <w:t xml:space="preserve"> или „парализа на Бел”), която обикновено е временна</w:t>
      </w:r>
    </w:p>
    <w:p w14:paraId="109AE001" w14:textId="77777777" w:rsidR="009B3384" w:rsidRDefault="00800862">
      <w:pPr>
        <w:numPr>
          <w:ilvl w:val="0"/>
          <w:numId w:val="31"/>
        </w:numPr>
        <w:tabs>
          <w:tab w:val="clear" w:pos="567"/>
          <w:tab w:val="left" w:pos="1134"/>
        </w:tabs>
        <w:ind w:left="1134" w:hanging="567"/>
        <w:rPr>
          <w:szCs w:val="22"/>
        </w:rPr>
      </w:pPr>
      <w:r>
        <w:rPr>
          <w:szCs w:val="22"/>
        </w:rPr>
        <w:t>промяна на псориазиса със зачервяване и нови малки, жълти или бели мехури по кожата, понякога придружени с температура (пустулозен псориазис)</w:t>
      </w:r>
    </w:p>
    <w:p w14:paraId="109AE002" w14:textId="77777777" w:rsidR="009B3384" w:rsidRDefault="00800862">
      <w:pPr>
        <w:numPr>
          <w:ilvl w:val="0"/>
          <w:numId w:val="31"/>
        </w:numPr>
        <w:tabs>
          <w:tab w:val="clear" w:pos="567"/>
          <w:tab w:val="left" w:pos="1134"/>
        </w:tabs>
        <w:ind w:left="1134" w:hanging="567"/>
        <w:rPr>
          <w:szCs w:val="22"/>
        </w:rPr>
      </w:pPr>
      <w:r>
        <w:rPr>
          <w:szCs w:val="22"/>
        </w:rPr>
        <w:t>белене на кожата (ексфолиация на кожата)</w:t>
      </w:r>
    </w:p>
    <w:p w14:paraId="109AE003" w14:textId="77777777" w:rsidR="009B3384" w:rsidRDefault="00800862">
      <w:pPr>
        <w:numPr>
          <w:ilvl w:val="0"/>
          <w:numId w:val="31"/>
        </w:numPr>
        <w:tabs>
          <w:tab w:val="clear" w:pos="567"/>
          <w:tab w:val="left" w:pos="1134"/>
        </w:tabs>
        <w:ind w:left="1134" w:hanging="567"/>
        <w:rPr>
          <w:szCs w:val="22"/>
        </w:rPr>
      </w:pPr>
      <w:r>
        <w:rPr>
          <w:szCs w:val="22"/>
        </w:rPr>
        <w:t>акне</w:t>
      </w:r>
    </w:p>
    <w:p w14:paraId="109AE004" w14:textId="77777777" w:rsidR="009B3384" w:rsidRDefault="009B3384">
      <w:pPr>
        <w:rPr>
          <w:szCs w:val="22"/>
        </w:rPr>
      </w:pPr>
    </w:p>
    <w:p w14:paraId="109AE005" w14:textId="77777777" w:rsidR="009B3384" w:rsidRDefault="00800862">
      <w:pPr>
        <w:keepNext/>
        <w:ind w:left="567"/>
      </w:pPr>
      <w:r>
        <w:rPr>
          <w:b/>
        </w:rPr>
        <w:t xml:space="preserve">Редки нежелани лекарствени реакции </w:t>
      </w:r>
      <w:r>
        <w:t>(може да засегнат до 1 на 1</w:t>
      </w:r>
      <w:r>
        <w:rPr>
          <w:lang w:val="nl-BE"/>
        </w:rPr>
        <w:t> </w:t>
      </w:r>
      <w:r>
        <w:t>000 души)</w:t>
      </w:r>
    </w:p>
    <w:p w14:paraId="109AE006" w14:textId="77777777" w:rsidR="009B3384" w:rsidRDefault="00800862">
      <w:pPr>
        <w:numPr>
          <w:ilvl w:val="0"/>
          <w:numId w:val="31"/>
        </w:numPr>
        <w:tabs>
          <w:tab w:val="clear" w:pos="567"/>
          <w:tab w:val="left" w:pos="1134"/>
        </w:tabs>
        <w:ind w:left="1134" w:hanging="567"/>
      </w:pPr>
      <w:r>
        <w:t>Зачервяване и лющене на кожата на по-голяма площ по тялото, които може да сърбят или да са болезнени (ексфолиативен дерматит). Подобни симптоми понякога се развиват като естествена промяна на вида на симптомите на псориазис (еритродермичен псориазис)</w:t>
      </w:r>
    </w:p>
    <w:p w14:paraId="109AE007" w14:textId="77777777" w:rsidR="009B3384" w:rsidRDefault="00800862">
      <w:pPr>
        <w:numPr>
          <w:ilvl w:val="0"/>
          <w:numId w:val="31"/>
        </w:numPr>
        <w:tabs>
          <w:tab w:val="clear" w:pos="567"/>
          <w:tab w:val="left" w:pos="1134"/>
        </w:tabs>
        <w:ind w:left="1134" w:hanging="567"/>
      </w:pPr>
      <w:r>
        <w:t>Възпаление на малките кръвоносни съдове, което може да доведе до кожен обрив с малки червени или лилави подутини, температура или болка в ставите (васкулит).</w:t>
      </w:r>
    </w:p>
    <w:p w14:paraId="109AE008" w14:textId="77777777" w:rsidR="009B3384" w:rsidRDefault="009B3384">
      <w:pPr>
        <w:rPr>
          <w:szCs w:val="22"/>
        </w:rPr>
      </w:pPr>
    </w:p>
    <w:p w14:paraId="109AE009" w14:textId="77777777" w:rsidR="009B3384" w:rsidRDefault="00800862">
      <w:pPr>
        <w:keepNext/>
        <w:ind w:left="567"/>
      </w:pPr>
      <w:r>
        <w:rPr>
          <w:b/>
          <w:szCs w:val="22"/>
        </w:rPr>
        <w:t>Много редки</w:t>
      </w:r>
      <w:r>
        <w:rPr>
          <w:szCs w:val="22"/>
        </w:rPr>
        <w:t xml:space="preserve"> </w:t>
      </w:r>
      <w:r>
        <w:rPr>
          <w:b/>
        </w:rPr>
        <w:t xml:space="preserve">нежелани лекарствени реакции </w:t>
      </w:r>
      <w:r>
        <w:t>(може да засегнат до 1 на 10</w:t>
      </w:r>
      <w:r>
        <w:rPr>
          <w:lang w:val="nl-BE"/>
        </w:rPr>
        <w:t> </w:t>
      </w:r>
      <w:r>
        <w:t>000</w:t>
      </w:r>
      <w:r>
        <w:rPr>
          <w:lang w:val="en-US"/>
        </w:rPr>
        <w:t> </w:t>
      </w:r>
      <w:r>
        <w:t>души)</w:t>
      </w:r>
    </w:p>
    <w:p w14:paraId="109AE00A" w14:textId="77777777" w:rsidR="009B3384" w:rsidRDefault="00800862">
      <w:pPr>
        <w:numPr>
          <w:ilvl w:val="0"/>
          <w:numId w:val="31"/>
        </w:numPr>
        <w:tabs>
          <w:tab w:val="clear" w:pos="567"/>
          <w:tab w:val="left" w:pos="1134"/>
        </w:tabs>
        <w:ind w:left="1134" w:hanging="567"/>
      </w:pPr>
      <w:r>
        <w:t>Образуване на мехури по кожата, която може да бъде зачервена, сърбяща и болезнена (булозен пемфигоид)</w:t>
      </w:r>
    </w:p>
    <w:p w14:paraId="109AE00B" w14:textId="77777777" w:rsidR="009B3384" w:rsidRDefault="00800862">
      <w:pPr>
        <w:numPr>
          <w:ilvl w:val="0"/>
          <w:numId w:val="31"/>
        </w:numPr>
        <w:tabs>
          <w:tab w:val="clear" w:pos="567"/>
          <w:tab w:val="left" w:pos="1134"/>
        </w:tabs>
        <w:ind w:left="1134" w:hanging="567"/>
      </w:pPr>
      <w:r>
        <w:rPr>
          <w:szCs w:val="22"/>
        </w:rPr>
        <w:t>кожен лупус еритематодес и лупус-подобен синдром (червен, надигнат, лющещ се обрив в изложените на слънце участъци на кожата, който може да е придружен от болки в ставите).</w:t>
      </w:r>
    </w:p>
    <w:p w14:paraId="109AE00C" w14:textId="77777777" w:rsidR="009B3384" w:rsidRDefault="009B3384">
      <w:pPr>
        <w:rPr>
          <w:szCs w:val="22"/>
        </w:rPr>
      </w:pPr>
    </w:p>
    <w:p w14:paraId="109AE00D" w14:textId="77777777" w:rsidR="009B3384" w:rsidRDefault="00800862">
      <w:pPr>
        <w:keepNext/>
        <w:rPr>
          <w:szCs w:val="22"/>
        </w:rPr>
      </w:pPr>
      <w:r>
        <w:rPr>
          <w:b/>
          <w:szCs w:val="22"/>
        </w:rPr>
        <w:t>Съобщаване на нежелани реакции</w:t>
      </w:r>
    </w:p>
    <w:p w14:paraId="109AE00E" w14:textId="77777777" w:rsidR="009B3384" w:rsidRDefault="00800862">
      <w:r>
        <w:t>Ако получите някакви нежелани лекарствени реакции, уведомете Вашия лекар или фармацевт. Това включва и всички възможни неописани в тази листовка нежелани реакции.</w:t>
      </w:r>
      <w:r>
        <w:rPr>
          <w:szCs w:val="22"/>
        </w:rPr>
        <w:t xml:space="preserve"> </w:t>
      </w:r>
      <w:r>
        <w:t xml:space="preserve">Можете също да съобщите нежелани реакции директно чрез </w:t>
      </w:r>
      <w:r>
        <w:rPr>
          <w:highlight w:val="lightGray"/>
        </w:rPr>
        <w:t xml:space="preserve">националната система за съобщаване, посочена </w:t>
      </w:r>
      <w:r>
        <w:rPr>
          <w:szCs w:val="22"/>
          <w:highlight w:val="lightGray"/>
        </w:rPr>
        <w:t xml:space="preserve">в </w:t>
      </w:r>
      <w:hyperlink r:id="rId14" w:history="1">
        <w:r>
          <w:rPr>
            <w:rStyle w:val="Hyperlink"/>
            <w:noProof/>
            <w:szCs w:val="22"/>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9AE00F" w14:textId="77777777" w:rsidR="009B3384" w:rsidRDefault="009B3384">
      <w:pPr>
        <w:rPr>
          <w:szCs w:val="22"/>
        </w:rPr>
      </w:pPr>
    </w:p>
    <w:p w14:paraId="109AE010" w14:textId="77777777" w:rsidR="009B3384" w:rsidRDefault="009B3384">
      <w:pPr>
        <w:rPr>
          <w:szCs w:val="22"/>
        </w:rPr>
      </w:pPr>
    </w:p>
    <w:p w14:paraId="109AE011" w14:textId="77777777" w:rsidR="009B3384" w:rsidRDefault="00800862">
      <w:pPr>
        <w:keepNext/>
        <w:ind w:left="567" w:hanging="567"/>
        <w:outlineLvl w:val="2"/>
        <w:rPr>
          <w:b/>
          <w:bCs/>
        </w:rPr>
      </w:pPr>
      <w:r>
        <w:rPr>
          <w:b/>
          <w:bCs/>
        </w:rPr>
        <w:lastRenderedPageBreak/>
        <w:t>5.</w:t>
      </w:r>
      <w:r>
        <w:rPr>
          <w:b/>
          <w:bCs/>
        </w:rPr>
        <w:tab/>
        <w:t>Как да съхранявате Stelara</w:t>
      </w:r>
    </w:p>
    <w:p w14:paraId="109AE012" w14:textId="77777777" w:rsidR="009B3384" w:rsidRDefault="009B3384">
      <w:pPr>
        <w:keepNext/>
      </w:pPr>
    </w:p>
    <w:p w14:paraId="109AE013" w14:textId="77777777" w:rsidR="009B3384" w:rsidRDefault="00800862">
      <w:pPr>
        <w:numPr>
          <w:ilvl w:val="0"/>
          <w:numId w:val="30"/>
        </w:numPr>
        <w:tabs>
          <w:tab w:val="clear" w:pos="567"/>
        </w:tabs>
      </w:pPr>
      <w:r>
        <w:t>Да се съхранява на място, недостъпно за деца.</w:t>
      </w:r>
    </w:p>
    <w:p w14:paraId="109AE014" w14:textId="77777777" w:rsidR="009B3384" w:rsidRDefault="00800862">
      <w:pPr>
        <w:numPr>
          <w:ilvl w:val="0"/>
          <w:numId w:val="30"/>
        </w:numPr>
        <w:tabs>
          <w:tab w:val="clear" w:pos="567"/>
        </w:tabs>
      </w:pPr>
      <w:r>
        <w:t>Да се съхранява в хладилник (2°C–8°C). Да не се замразява.</w:t>
      </w:r>
    </w:p>
    <w:p w14:paraId="109AE015" w14:textId="77777777" w:rsidR="009B3384" w:rsidRDefault="00800862">
      <w:pPr>
        <w:numPr>
          <w:ilvl w:val="0"/>
          <w:numId w:val="30"/>
        </w:numPr>
        <w:tabs>
          <w:tab w:val="clear" w:pos="567"/>
        </w:tabs>
      </w:pPr>
      <w:r>
        <w:t>Съхранявайте флакона в картонената опаковка, за да се предпази от светлина.</w:t>
      </w:r>
    </w:p>
    <w:p w14:paraId="109AE016" w14:textId="25C58F11" w:rsidR="009B3384" w:rsidRDefault="00800862">
      <w:pPr>
        <w:numPr>
          <w:ilvl w:val="0"/>
          <w:numId w:val="30"/>
        </w:numPr>
        <w:tabs>
          <w:tab w:val="clear" w:pos="567"/>
        </w:tabs>
      </w:pPr>
      <w:r>
        <w:t>Не разклащайте флаконите. Продължителното енергично разклащане може да повреди лекарството.</w:t>
      </w:r>
    </w:p>
    <w:p w14:paraId="109AE017" w14:textId="77777777" w:rsidR="009B3384" w:rsidRDefault="009B3384">
      <w:pPr>
        <w:rPr>
          <w:szCs w:val="22"/>
        </w:rPr>
      </w:pPr>
    </w:p>
    <w:p w14:paraId="109AE018" w14:textId="77777777" w:rsidR="009B3384" w:rsidRDefault="00800862">
      <w:pPr>
        <w:keepNext/>
        <w:rPr>
          <w:b/>
          <w:szCs w:val="22"/>
        </w:rPr>
      </w:pPr>
      <w:r>
        <w:rPr>
          <w:b/>
          <w:szCs w:val="22"/>
        </w:rPr>
        <w:t>Не използвайте това лекарство:</w:t>
      </w:r>
    </w:p>
    <w:p w14:paraId="109AE019" w14:textId="77777777" w:rsidR="009B3384" w:rsidRDefault="00800862">
      <w:pPr>
        <w:numPr>
          <w:ilvl w:val="0"/>
          <w:numId w:val="30"/>
        </w:numPr>
        <w:tabs>
          <w:tab w:val="clear" w:pos="567"/>
        </w:tabs>
        <w:rPr>
          <w:bCs/>
          <w:szCs w:val="22"/>
        </w:rPr>
      </w:pPr>
      <w:r>
        <w:rPr>
          <w:szCs w:val="22"/>
        </w:rPr>
        <w:t xml:space="preserve">след срока </w:t>
      </w:r>
      <w:r>
        <w:rPr>
          <w:bCs/>
          <w:szCs w:val="22"/>
        </w:rPr>
        <w:t>на годност, отбелязан върху етикета и картонената опаковка след „</w:t>
      </w:r>
      <w:r>
        <w:rPr>
          <w:bCs/>
          <w:szCs w:val="22"/>
          <w:lang w:val="en-US"/>
        </w:rPr>
        <w:t>EXP</w:t>
      </w:r>
      <w:r>
        <w:rPr>
          <w:bCs/>
          <w:szCs w:val="22"/>
        </w:rPr>
        <w:t>“/„Годен до“. Срокът на годност отговаря на последния ден от посочения месец;</w:t>
      </w:r>
    </w:p>
    <w:p w14:paraId="109AE01A" w14:textId="77777777" w:rsidR="009B3384" w:rsidRDefault="00800862">
      <w:pPr>
        <w:numPr>
          <w:ilvl w:val="0"/>
          <w:numId w:val="30"/>
        </w:numPr>
        <w:tabs>
          <w:tab w:val="clear" w:pos="567"/>
        </w:tabs>
        <w:rPr>
          <w:bCs/>
          <w:szCs w:val="22"/>
        </w:rPr>
      </w:pPr>
      <w:r>
        <w:rPr>
          <w:bCs/>
          <w:szCs w:val="22"/>
        </w:rPr>
        <w:t>ако течността е с променен цвят, мътна или в нея се забелязват плуващи чужди частици (вижте точка 6 „Как изглежда Stelara и какво съдържа опаковката“);</w:t>
      </w:r>
    </w:p>
    <w:p w14:paraId="109AE01B" w14:textId="77777777" w:rsidR="009B3384" w:rsidRDefault="00800862">
      <w:pPr>
        <w:numPr>
          <w:ilvl w:val="0"/>
          <w:numId w:val="30"/>
        </w:numPr>
        <w:tabs>
          <w:tab w:val="clear" w:pos="567"/>
        </w:tabs>
        <w:rPr>
          <w:bCs/>
          <w:szCs w:val="22"/>
        </w:rPr>
      </w:pPr>
      <w:r>
        <w:rPr>
          <w:bCs/>
          <w:szCs w:val="22"/>
        </w:rPr>
        <w:t>ако знаете или смятате, че може да е била изложена на екстремни температури (като инцидентно замръзване или загряване);</w:t>
      </w:r>
    </w:p>
    <w:p w14:paraId="109AE01C" w14:textId="77777777" w:rsidR="009B3384" w:rsidRDefault="00800862">
      <w:pPr>
        <w:numPr>
          <w:ilvl w:val="0"/>
          <w:numId w:val="30"/>
        </w:numPr>
        <w:tabs>
          <w:tab w:val="clear" w:pos="567"/>
        </w:tabs>
        <w:rPr>
          <w:bCs/>
          <w:szCs w:val="22"/>
        </w:rPr>
      </w:pPr>
      <w:r>
        <w:rPr>
          <w:bCs/>
          <w:szCs w:val="22"/>
        </w:rPr>
        <w:t>ако продуктът е бил енергично разклатен;</w:t>
      </w:r>
    </w:p>
    <w:p w14:paraId="109AE01D" w14:textId="77777777" w:rsidR="009B3384" w:rsidRDefault="00800862">
      <w:pPr>
        <w:numPr>
          <w:ilvl w:val="0"/>
          <w:numId w:val="30"/>
        </w:numPr>
        <w:tabs>
          <w:tab w:val="clear" w:pos="567"/>
        </w:tabs>
        <w:rPr>
          <w:bCs/>
          <w:szCs w:val="22"/>
        </w:rPr>
      </w:pPr>
      <w:r>
        <w:rPr>
          <w:bCs/>
          <w:szCs w:val="22"/>
        </w:rPr>
        <w:t>ако обкатката е счупена.</w:t>
      </w:r>
    </w:p>
    <w:p w14:paraId="109AE01E" w14:textId="77777777" w:rsidR="009B3384" w:rsidRDefault="009B3384">
      <w:pPr>
        <w:rPr>
          <w:szCs w:val="22"/>
        </w:rPr>
      </w:pPr>
    </w:p>
    <w:p w14:paraId="109AE01F" w14:textId="77777777" w:rsidR="009B3384" w:rsidRDefault="00800862">
      <w:pPr>
        <w:rPr>
          <w:szCs w:val="22"/>
        </w:rPr>
      </w:pPr>
      <w:r>
        <w:rPr>
          <w:bCs/>
          <w:szCs w:val="22"/>
        </w:rPr>
        <w:t>Stelara</w:t>
      </w:r>
      <w:r>
        <w:rPr>
          <w:szCs w:val="22"/>
        </w:rPr>
        <w:t xml:space="preserve"> e само за еднократна употреба. Неизползваният продукт, останал във флакона и в спринцовката, трябва да се изхвърли. 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09AE020" w14:textId="77777777" w:rsidR="009B3384" w:rsidRDefault="009B3384">
      <w:pPr>
        <w:rPr>
          <w:szCs w:val="22"/>
        </w:rPr>
      </w:pPr>
    </w:p>
    <w:p w14:paraId="109AE021" w14:textId="77777777" w:rsidR="009B3384" w:rsidRDefault="009B3384">
      <w:pPr>
        <w:rPr>
          <w:szCs w:val="22"/>
        </w:rPr>
      </w:pPr>
    </w:p>
    <w:p w14:paraId="109AE022" w14:textId="77777777" w:rsidR="009B3384" w:rsidRDefault="00800862">
      <w:pPr>
        <w:keepNext/>
        <w:ind w:left="567" w:hanging="567"/>
        <w:outlineLvl w:val="2"/>
        <w:rPr>
          <w:b/>
          <w:bCs/>
          <w:szCs w:val="22"/>
        </w:rPr>
      </w:pPr>
      <w:r>
        <w:rPr>
          <w:b/>
          <w:bCs/>
          <w:szCs w:val="22"/>
        </w:rPr>
        <w:t>6.</w:t>
      </w:r>
      <w:r>
        <w:rPr>
          <w:b/>
          <w:bCs/>
          <w:szCs w:val="22"/>
        </w:rPr>
        <w:tab/>
        <w:t>Съдържание на опаковката и допълнителна информация</w:t>
      </w:r>
    </w:p>
    <w:p w14:paraId="109AE023" w14:textId="77777777" w:rsidR="009B3384" w:rsidRDefault="009B3384">
      <w:pPr>
        <w:keepNext/>
        <w:rPr>
          <w:szCs w:val="22"/>
        </w:rPr>
      </w:pPr>
    </w:p>
    <w:p w14:paraId="109AE024" w14:textId="77777777" w:rsidR="009B3384" w:rsidRDefault="00800862">
      <w:pPr>
        <w:keepNext/>
        <w:rPr>
          <w:b/>
          <w:szCs w:val="22"/>
        </w:rPr>
      </w:pPr>
      <w:bookmarkStart w:id="1343" w:name="OLE_LINK1"/>
      <w:r>
        <w:rPr>
          <w:b/>
          <w:szCs w:val="22"/>
        </w:rPr>
        <w:t>Какво съдържа Stelara</w:t>
      </w:r>
      <w:bookmarkEnd w:id="1343"/>
    </w:p>
    <w:p w14:paraId="109AE025" w14:textId="77777777" w:rsidR="009B3384" w:rsidRDefault="00800862">
      <w:pPr>
        <w:numPr>
          <w:ilvl w:val="0"/>
          <w:numId w:val="30"/>
        </w:numPr>
        <w:tabs>
          <w:tab w:val="clear" w:pos="567"/>
        </w:tabs>
        <w:rPr>
          <w:bCs/>
          <w:szCs w:val="22"/>
        </w:rPr>
      </w:pPr>
      <w:r>
        <w:rPr>
          <w:bCs/>
          <w:szCs w:val="22"/>
        </w:rPr>
        <w:t>Активно вещество: устекинумаб. Всеки флакон съдържа 45 mg устекинумаб в 0,5 ml.</w:t>
      </w:r>
    </w:p>
    <w:p w14:paraId="109AE026" w14:textId="77777777" w:rsidR="009B3384" w:rsidRDefault="00800862">
      <w:pPr>
        <w:numPr>
          <w:ilvl w:val="0"/>
          <w:numId w:val="30"/>
        </w:numPr>
        <w:tabs>
          <w:tab w:val="clear" w:pos="567"/>
        </w:tabs>
        <w:rPr>
          <w:bCs/>
          <w:szCs w:val="22"/>
        </w:rPr>
      </w:pPr>
      <w:r>
        <w:rPr>
          <w:bCs/>
          <w:szCs w:val="22"/>
        </w:rPr>
        <w:t xml:space="preserve">Други съставки: L-хистидин, L-хистидинов монохидрохлорид монохидрат, полисорбат 80 </w:t>
      </w:r>
      <w:r>
        <w:rPr>
          <w:iCs/>
          <w:szCs w:val="22"/>
        </w:rPr>
        <w:t>(E433)</w:t>
      </w:r>
      <w:r>
        <w:rPr>
          <w:bCs/>
          <w:szCs w:val="22"/>
        </w:rPr>
        <w:t>, захароза и вода за инжекции.</w:t>
      </w:r>
    </w:p>
    <w:p w14:paraId="109AE027" w14:textId="77777777" w:rsidR="009B3384" w:rsidRDefault="009B3384">
      <w:pPr>
        <w:rPr>
          <w:szCs w:val="22"/>
        </w:rPr>
      </w:pPr>
    </w:p>
    <w:p w14:paraId="109AE028" w14:textId="77777777" w:rsidR="009B3384" w:rsidRDefault="00800862">
      <w:pPr>
        <w:keepNext/>
        <w:rPr>
          <w:b/>
          <w:szCs w:val="22"/>
        </w:rPr>
      </w:pPr>
      <w:r>
        <w:rPr>
          <w:b/>
          <w:szCs w:val="22"/>
        </w:rPr>
        <w:t>Как изглежда Stelara и какво съдържа опаковката</w:t>
      </w:r>
    </w:p>
    <w:p w14:paraId="109AE029" w14:textId="77777777" w:rsidR="009B3384" w:rsidRDefault="00800862">
      <w:pPr>
        <w:rPr>
          <w:szCs w:val="22"/>
        </w:rPr>
      </w:pPr>
      <w:r>
        <w:rPr>
          <w:szCs w:val="22"/>
        </w:rPr>
        <w:t xml:space="preserve">Stelara </w:t>
      </w:r>
      <w:r>
        <w:rPr>
          <w:bCs/>
        </w:rPr>
        <w:t xml:space="preserve">е бистър до </w:t>
      </w:r>
      <w:r>
        <w:rPr>
          <w:szCs w:val="22"/>
        </w:rPr>
        <w:t xml:space="preserve">леко опалесцентен (с перлен блясък), безцветен до бледожълт инжекционен разтвор. Той </w:t>
      </w:r>
      <w:r>
        <w:rPr>
          <w:bCs/>
        </w:rPr>
        <w:t xml:space="preserve">може да съдържа няколко дребни </w:t>
      </w:r>
      <w:r>
        <w:t xml:space="preserve">полупрозрачни или бели частици протеин. Доставя се в картонена опаковка, съдържаща един стъклен флакон от 2 ml с единична доза. Всеки флакон съдържа </w:t>
      </w:r>
      <w:r>
        <w:rPr>
          <w:szCs w:val="22"/>
        </w:rPr>
        <w:t>45 mg устекинумаб в 0,5 ml инжекционен разтвор.</w:t>
      </w:r>
    </w:p>
    <w:p w14:paraId="109AE02A" w14:textId="77777777" w:rsidR="009B3384" w:rsidRDefault="009B3384"/>
    <w:p w14:paraId="109AE02B" w14:textId="77777777" w:rsidR="009B3384" w:rsidRDefault="00800862">
      <w:pPr>
        <w:keepNext/>
        <w:rPr>
          <w:b/>
          <w:bCs/>
        </w:rPr>
      </w:pPr>
      <w:r>
        <w:rPr>
          <w:b/>
          <w:bCs/>
        </w:rPr>
        <w:t>Притежател на разрешението за употреба</w:t>
      </w:r>
    </w:p>
    <w:p w14:paraId="109AE02C" w14:textId="77777777" w:rsidR="009B3384" w:rsidRDefault="00800862">
      <w:pPr>
        <w:rPr>
          <w:szCs w:val="13"/>
        </w:rPr>
      </w:pPr>
      <w:r>
        <w:rPr>
          <w:szCs w:val="13"/>
        </w:rPr>
        <w:t>Janssen-Cilag International NV</w:t>
      </w:r>
    </w:p>
    <w:p w14:paraId="109AE02D" w14:textId="77777777" w:rsidR="009B3384" w:rsidRDefault="00800862">
      <w:pPr>
        <w:rPr>
          <w:szCs w:val="13"/>
        </w:rPr>
      </w:pPr>
      <w:r>
        <w:rPr>
          <w:szCs w:val="13"/>
        </w:rPr>
        <w:t>Turnhoutseweg 30</w:t>
      </w:r>
    </w:p>
    <w:p w14:paraId="109AE02E" w14:textId="77777777" w:rsidR="009B3384" w:rsidRDefault="00800862">
      <w:pPr>
        <w:rPr>
          <w:szCs w:val="13"/>
        </w:rPr>
      </w:pPr>
      <w:r>
        <w:rPr>
          <w:szCs w:val="13"/>
          <w:lang w:val="nl-BE"/>
        </w:rPr>
        <w:t>B</w:t>
      </w:r>
      <w:r>
        <w:rPr>
          <w:szCs w:val="13"/>
        </w:rPr>
        <w:t>-2340 Beerse</w:t>
      </w:r>
    </w:p>
    <w:p w14:paraId="109AE02F" w14:textId="77777777" w:rsidR="009B3384" w:rsidRDefault="00800862">
      <w:r>
        <w:t>Белгия</w:t>
      </w:r>
    </w:p>
    <w:p w14:paraId="109AE030" w14:textId="77777777" w:rsidR="009B3384" w:rsidRDefault="009B3384"/>
    <w:p w14:paraId="109AE031" w14:textId="77777777" w:rsidR="009B3384" w:rsidRDefault="00800862">
      <w:pPr>
        <w:keepNext/>
        <w:rPr>
          <w:b/>
          <w:bCs/>
        </w:rPr>
      </w:pPr>
      <w:r>
        <w:rPr>
          <w:b/>
          <w:bCs/>
        </w:rPr>
        <w:t>Производител</w:t>
      </w:r>
    </w:p>
    <w:p w14:paraId="109AE032" w14:textId="77777777" w:rsidR="009B3384" w:rsidRDefault="00800862">
      <w:r>
        <w:t>Janssen Biologics B.V.</w:t>
      </w:r>
    </w:p>
    <w:p w14:paraId="109AE033" w14:textId="77777777" w:rsidR="009B3384" w:rsidRDefault="00800862">
      <w:r>
        <w:t>Einsteinweg 101</w:t>
      </w:r>
    </w:p>
    <w:p w14:paraId="109AE034" w14:textId="77777777" w:rsidR="009B3384" w:rsidRDefault="00800862">
      <w:r>
        <w:t>2333 CB Leiden</w:t>
      </w:r>
    </w:p>
    <w:p w14:paraId="109AE035" w14:textId="77777777" w:rsidR="009B3384" w:rsidRDefault="00800862">
      <w:r>
        <w:t>Нидерландия</w:t>
      </w:r>
    </w:p>
    <w:p w14:paraId="109AE036" w14:textId="77777777" w:rsidR="009B3384" w:rsidRDefault="009B3384">
      <w:pPr>
        <w:rPr>
          <w:szCs w:val="22"/>
        </w:rPr>
      </w:pPr>
    </w:p>
    <w:p w14:paraId="109AE037" w14:textId="77777777" w:rsidR="009B3384" w:rsidRDefault="00800862">
      <w:r>
        <w:t>За допълнителна информация относно това лекарство, моля, свържете се с локалния представител на притежателя на разрешението за употреба:</w:t>
      </w:r>
    </w:p>
    <w:p w14:paraId="109AE038" w14:textId="77777777" w:rsidR="009B3384" w:rsidRDefault="009B3384">
      <w:pPr>
        <w:keepNext/>
        <w:suppressAutoHyphens w:val="0"/>
        <w:rPr>
          <w:szCs w:val="22"/>
        </w:rPr>
      </w:pPr>
    </w:p>
    <w:tbl>
      <w:tblPr>
        <w:tblW w:w="9075" w:type="dxa"/>
        <w:jc w:val="center"/>
        <w:tblLayout w:type="fixed"/>
        <w:tblLook w:val="04A0" w:firstRow="1" w:lastRow="0" w:firstColumn="1" w:lastColumn="0" w:noHBand="0" w:noVBand="1"/>
      </w:tblPr>
      <w:tblGrid>
        <w:gridCol w:w="10"/>
        <w:gridCol w:w="4260"/>
        <w:gridCol w:w="4805"/>
      </w:tblGrid>
      <w:tr w:rsidR="009B3384" w14:paraId="109AE044" w14:textId="77777777">
        <w:trPr>
          <w:cantSplit/>
          <w:jc w:val="center"/>
        </w:trPr>
        <w:tc>
          <w:tcPr>
            <w:tcW w:w="4270" w:type="dxa"/>
            <w:gridSpan w:val="2"/>
          </w:tcPr>
          <w:p w14:paraId="109AE039" w14:textId="77777777" w:rsidR="009B3384" w:rsidRDefault="00800862">
            <w:pPr>
              <w:widowControl w:val="0"/>
              <w:suppressAutoHyphens w:val="0"/>
              <w:rPr>
                <w:b/>
                <w:szCs w:val="22"/>
                <w:lang w:val="nl-BE"/>
              </w:rPr>
            </w:pPr>
            <w:r>
              <w:rPr>
                <w:b/>
                <w:szCs w:val="22"/>
                <w:lang w:val="nl-BE"/>
              </w:rPr>
              <w:t>België/Belgique/Belgien</w:t>
            </w:r>
          </w:p>
          <w:p w14:paraId="109AE03A" w14:textId="77777777" w:rsidR="009B3384" w:rsidRDefault="00800862">
            <w:pPr>
              <w:widowControl w:val="0"/>
              <w:suppressAutoHyphens w:val="0"/>
              <w:rPr>
                <w:szCs w:val="22"/>
                <w:lang w:val="nl-BE"/>
              </w:rPr>
            </w:pPr>
            <w:r>
              <w:rPr>
                <w:szCs w:val="22"/>
                <w:lang w:val="nl-BE"/>
              </w:rPr>
              <w:t>Janssen-Cilag NV</w:t>
            </w:r>
          </w:p>
          <w:p w14:paraId="109AE03B" w14:textId="270E4C6E" w:rsidR="009B3384" w:rsidRDefault="00800862">
            <w:pPr>
              <w:widowControl w:val="0"/>
              <w:suppressAutoHyphens w:val="0"/>
              <w:rPr>
                <w:szCs w:val="22"/>
                <w:lang w:val="nl-NL"/>
              </w:rPr>
            </w:pPr>
            <w:r>
              <w:rPr>
                <w:szCs w:val="22"/>
                <w:lang w:val="nl-NL"/>
              </w:rPr>
              <w:t xml:space="preserve">Tel/Tél: </w:t>
            </w:r>
            <w:r>
              <w:t>0800 93 377</w:t>
            </w:r>
          </w:p>
          <w:p w14:paraId="109AE03C" w14:textId="6A96D5D9" w:rsidR="009B3384" w:rsidRDefault="00800862">
            <w:pPr>
              <w:suppressAutoHyphens w:val="0"/>
            </w:pPr>
            <w:r w:rsidRPr="00BC6A43">
              <w:t>info_belux@its.jnj.com</w:t>
            </w:r>
          </w:p>
          <w:p w14:paraId="109AE03E" w14:textId="77777777" w:rsidR="009B3384" w:rsidRDefault="009B3384">
            <w:pPr>
              <w:widowControl w:val="0"/>
              <w:suppressAutoHyphens w:val="0"/>
              <w:rPr>
                <w:szCs w:val="22"/>
                <w:lang w:val="nl-NL"/>
              </w:rPr>
            </w:pPr>
          </w:p>
        </w:tc>
        <w:tc>
          <w:tcPr>
            <w:tcW w:w="4805" w:type="dxa"/>
          </w:tcPr>
          <w:p w14:paraId="109AE03F" w14:textId="77777777" w:rsidR="009B3384" w:rsidRDefault="00800862">
            <w:pPr>
              <w:widowControl w:val="0"/>
              <w:suppressAutoHyphens w:val="0"/>
              <w:rPr>
                <w:b/>
                <w:bCs/>
                <w:szCs w:val="22"/>
                <w:lang w:val="fi-FI"/>
              </w:rPr>
            </w:pPr>
            <w:r>
              <w:rPr>
                <w:b/>
                <w:bCs/>
                <w:szCs w:val="22"/>
                <w:lang w:val="fi-FI"/>
              </w:rPr>
              <w:t>Lietuva</w:t>
            </w:r>
          </w:p>
          <w:p w14:paraId="109AE040" w14:textId="77777777" w:rsidR="009B3384" w:rsidRDefault="00800862">
            <w:pPr>
              <w:widowControl w:val="0"/>
              <w:suppressAutoHyphens w:val="0"/>
              <w:rPr>
                <w:szCs w:val="22"/>
                <w:lang w:val="fi-FI"/>
              </w:rPr>
            </w:pPr>
            <w:r>
              <w:rPr>
                <w:szCs w:val="22"/>
                <w:lang w:val="fi-FI"/>
              </w:rPr>
              <w:t>UAB "JOHNSON &amp; JOHNSON"</w:t>
            </w:r>
          </w:p>
          <w:p w14:paraId="109AE041" w14:textId="77777777" w:rsidR="009B3384" w:rsidRDefault="00800862">
            <w:pPr>
              <w:widowControl w:val="0"/>
              <w:suppressAutoHyphens w:val="0"/>
              <w:rPr>
                <w:szCs w:val="22"/>
                <w:lang w:val="fi-FI"/>
              </w:rPr>
            </w:pPr>
            <w:r>
              <w:rPr>
                <w:szCs w:val="22"/>
                <w:lang w:val="fi-FI"/>
              </w:rPr>
              <w:t>Tel: +370 5 278 68 88</w:t>
            </w:r>
          </w:p>
          <w:p w14:paraId="109AE042" w14:textId="77777777" w:rsidR="009B3384" w:rsidRDefault="00800862">
            <w:pPr>
              <w:widowControl w:val="0"/>
              <w:suppressAutoHyphens w:val="0"/>
              <w:rPr>
                <w:szCs w:val="22"/>
                <w:lang w:val="pt-PT"/>
              </w:rPr>
            </w:pPr>
            <w:r>
              <w:rPr>
                <w:szCs w:val="22"/>
                <w:lang w:val="en-GB"/>
              </w:rPr>
              <w:t>lt@its.jnj.com</w:t>
            </w:r>
          </w:p>
          <w:p w14:paraId="109AE043" w14:textId="77777777" w:rsidR="009B3384" w:rsidRDefault="009B3384">
            <w:pPr>
              <w:widowControl w:val="0"/>
              <w:suppressAutoHyphens w:val="0"/>
              <w:rPr>
                <w:szCs w:val="22"/>
                <w:lang w:val="pt-PT"/>
              </w:rPr>
            </w:pPr>
          </w:p>
        </w:tc>
      </w:tr>
      <w:tr w:rsidR="009B3384" w14:paraId="109AE050" w14:textId="77777777">
        <w:trPr>
          <w:cantSplit/>
          <w:jc w:val="center"/>
        </w:trPr>
        <w:tc>
          <w:tcPr>
            <w:tcW w:w="4270" w:type="dxa"/>
            <w:gridSpan w:val="2"/>
          </w:tcPr>
          <w:p w14:paraId="109AE045" w14:textId="77777777" w:rsidR="009B3384" w:rsidRDefault="00800862">
            <w:pPr>
              <w:widowControl w:val="0"/>
              <w:suppressAutoHyphens w:val="0"/>
              <w:rPr>
                <w:b/>
                <w:bCs/>
                <w:szCs w:val="22"/>
              </w:rPr>
            </w:pPr>
            <w:r>
              <w:rPr>
                <w:b/>
                <w:bCs/>
                <w:szCs w:val="22"/>
              </w:rPr>
              <w:t>България</w:t>
            </w:r>
          </w:p>
          <w:p w14:paraId="109AE046" w14:textId="77777777" w:rsidR="009B3384" w:rsidRDefault="00800862">
            <w:pPr>
              <w:widowControl w:val="0"/>
              <w:suppressAutoHyphens w:val="0"/>
              <w:rPr>
                <w:szCs w:val="22"/>
              </w:rPr>
            </w:pPr>
            <w:r>
              <w:rPr>
                <w:szCs w:val="22"/>
              </w:rPr>
              <w:t>„Джонсън &amp; Джонсън България” ЕООД</w:t>
            </w:r>
          </w:p>
          <w:p w14:paraId="109AE047" w14:textId="77777777" w:rsidR="009B3384" w:rsidRDefault="00800862">
            <w:pPr>
              <w:widowControl w:val="0"/>
              <w:suppressAutoHyphens w:val="0"/>
              <w:rPr>
                <w:szCs w:val="22"/>
              </w:rPr>
            </w:pPr>
            <w:r>
              <w:rPr>
                <w:szCs w:val="22"/>
              </w:rPr>
              <w:t>Тел.: +359 2 489 94 00</w:t>
            </w:r>
          </w:p>
          <w:p w14:paraId="109AE048" w14:textId="77777777" w:rsidR="009B3384" w:rsidRDefault="00800862">
            <w:pPr>
              <w:numPr>
                <w:ilvl w:val="12"/>
                <w:numId w:val="0"/>
              </w:numPr>
              <w:suppressAutoHyphens w:val="0"/>
              <w:rPr>
                <w:szCs w:val="22"/>
                <w:lang w:val="en-GB"/>
              </w:rPr>
            </w:pPr>
            <w:r>
              <w:rPr>
                <w:szCs w:val="22"/>
                <w:lang w:val="en-GB"/>
              </w:rPr>
              <w:t>jjsafety@its.jnj.com</w:t>
            </w:r>
          </w:p>
          <w:p w14:paraId="109AE049" w14:textId="77777777" w:rsidR="009B3384" w:rsidRDefault="009B3384">
            <w:pPr>
              <w:widowControl w:val="0"/>
              <w:suppressAutoHyphens w:val="0"/>
              <w:rPr>
                <w:szCs w:val="22"/>
                <w:lang w:val="en-GB"/>
              </w:rPr>
            </w:pPr>
          </w:p>
        </w:tc>
        <w:tc>
          <w:tcPr>
            <w:tcW w:w="4805" w:type="dxa"/>
            <w:hideMark/>
          </w:tcPr>
          <w:p w14:paraId="109AE04A" w14:textId="77777777" w:rsidR="009B3384" w:rsidRDefault="00800862">
            <w:pPr>
              <w:widowControl w:val="0"/>
              <w:suppressAutoHyphens w:val="0"/>
              <w:rPr>
                <w:b/>
                <w:bCs/>
                <w:szCs w:val="22"/>
                <w:lang w:val="en-GB"/>
              </w:rPr>
            </w:pPr>
            <w:r>
              <w:rPr>
                <w:b/>
                <w:bCs/>
                <w:szCs w:val="22"/>
                <w:lang w:val="en-GB"/>
              </w:rPr>
              <w:t>Luxembourg/Luxemburg</w:t>
            </w:r>
          </w:p>
          <w:p w14:paraId="109AE04B" w14:textId="77777777" w:rsidR="009B3384" w:rsidRDefault="00800862">
            <w:pPr>
              <w:widowControl w:val="0"/>
              <w:suppressAutoHyphens w:val="0"/>
              <w:rPr>
                <w:szCs w:val="22"/>
                <w:lang w:val="en-GB"/>
              </w:rPr>
            </w:pPr>
            <w:r>
              <w:rPr>
                <w:szCs w:val="22"/>
                <w:lang w:val="en-GB"/>
              </w:rPr>
              <w:t>Janssen-Cilag NV</w:t>
            </w:r>
          </w:p>
          <w:p w14:paraId="109AE04C" w14:textId="3337769D" w:rsidR="009B3384" w:rsidRDefault="00800862">
            <w:pPr>
              <w:widowControl w:val="0"/>
              <w:suppressAutoHyphens w:val="0"/>
              <w:rPr>
                <w:szCs w:val="22"/>
                <w:lang w:val="en-GB"/>
              </w:rPr>
            </w:pPr>
            <w:proofErr w:type="spellStart"/>
            <w:r>
              <w:rPr>
                <w:szCs w:val="22"/>
                <w:lang w:val="en-GB"/>
              </w:rPr>
              <w:t>Tél</w:t>
            </w:r>
            <w:proofErr w:type="spellEnd"/>
            <w:r>
              <w:rPr>
                <w:szCs w:val="22"/>
                <w:lang w:val="en-GB"/>
              </w:rPr>
              <w:t xml:space="preserve">/Tel: </w:t>
            </w:r>
            <w:r w:rsidRPr="00BC6A43">
              <w:rPr>
                <w:lang w:val="en-GB"/>
              </w:rPr>
              <w:t>800 29 504</w:t>
            </w:r>
          </w:p>
          <w:p w14:paraId="109AE04D" w14:textId="71CE40F8" w:rsidR="009B3384" w:rsidRDefault="00800862">
            <w:pPr>
              <w:widowControl w:val="0"/>
              <w:suppressAutoHyphens w:val="0"/>
            </w:pPr>
            <w:r w:rsidRPr="00BC6A43">
              <w:rPr>
                <w:lang w:val="en-GB"/>
              </w:rPr>
              <w:t>info_belux@its.jnj.com</w:t>
            </w:r>
          </w:p>
          <w:p w14:paraId="109AE04F" w14:textId="77777777" w:rsidR="009B3384" w:rsidRDefault="009B3384">
            <w:pPr>
              <w:widowControl w:val="0"/>
              <w:suppressAutoHyphens w:val="0"/>
              <w:rPr>
                <w:szCs w:val="22"/>
                <w:lang w:val="en-GB"/>
              </w:rPr>
            </w:pPr>
          </w:p>
        </w:tc>
      </w:tr>
      <w:tr w:rsidR="009B3384" w14:paraId="109AE05A" w14:textId="77777777">
        <w:trPr>
          <w:cantSplit/>
          <w:jc w:val="center"/>
        </w:trPr>
        <w:tc>
          <w:tcPr>
            <w:tcW w:w="4270" w:type="dxa"/>
            <w:gridSpan w:val="2"/>
            <w:hideMark/>
          </w:tcPr>
          <w:p w14:paraId="109AE051" w14:textId="77777777" w:rsidR="009B3384" w:rsidRDefault="00800862">
            <w:pPr>
              <w:widowControl w:val="0"/>
              <w:suppressAutoHyphens w:val="0"/>
              <w:rPr>
                <w:b/>
                <w:bCs/>
                <w:szCs w:val="22"/>
              </w:rPr>
            </w:pPr>
            <w:r>
              <w:rPr>
                <w:b/>
                <w:bCs/>
                <w:szCs w:val="22"/>
              </w:rPr>
              <w:t>Č</w:t>
            </w:r>
            <w:proofErr w:type="spellStart"/>
            <w:r>
              <w:rPr>
                <w:b/>
                <w:bCs/>
                <w:szCs w:val="22"/>
                <w:lang w:val="en-GB"/>
              </w:rPr>
              <w:t>esk</w:t>
            </w:r>
            <w:proofErr w:type="spellEnd"/>
            <w:r>
              <w:rPr>
                <w:b/>
                <w:bCs/>
                <w:szCs w:val="22"/>
              </w:rPr>
              <w:t xml:space="preserve">á </w:t>
            </w:r>
            <w:proofErr w:type="spellStart"/>
            <w:r>
              <w:rPr>
                <w:b/>
                <w:bCs/>
                <w:szCs w:val="22"/>
                <w:lang w:val="en-GB"/>
              </w:rPr>
              <w:t>republika</w:t>
            </w:r>
            <w:proofErr w:type="spellEnd"/>
          </w:p>
          <w:p w14:paraId="109AE052" w14:textId="77777777" w:rsidR="009B3384" w:rsidRDefault="00800862">
            <w:pPr>
              <w:widowControl w:val="0"/>
              <w:suppressAutoHyphens w:val="0"/>
              <w:rPr>
                <w:szCs w:val="22"/>
              </w:rPr>
            </w:pPr>
            <w:r>
              <w:rPr>
                <w:szCs w:val="22"/>
                <w:lang w:val="en-GB"/>
              </w:rPr>
              <w:t>Janssen</w:t>
            </w:r>
            <w:r>
              <w:rPr>
                <w:szCs w:val="22"/>
              </w:rPr>
              <w:t>-</w:t>
            </w:r>
            <w:r>
              <w:rPr>
                <w:szCs w:val="22"/>
                <w:lang w:val="en-GB"/>
              </w:rPr>
              <w:t>Cilag</w:t>
            </w:r>
            <w:r>
              <w:rPr>
                <w:szCs w:val="22"/>
              </w:rPr>
              <w:t xml:space="preserve"> </w:t>
            </w:r>
            <w:r>
              <w:rPr>
                <w:szCs w:val="22"/>
                <w:lang w:val="en-GB"/>
              </w:rPr>
              <w:t>s</w:t>
            </w:r>
            <w:r>
              <w:rPr>
                <w:szCs w:val="22"/>
              </w:rPr>
              <w:t>.</w:t>
            </w:r>
            <w:r>
              <w:rPr>
                <w:szCs w:val="22"/>
                <w:lang w:val="en-GB"/>
              </w:rPr>
              <w:t>r</w:t>
            </w:r>
            <w:r>
              <w:rPr>
                <w:szCs w:val="22"/>
              </w:rPr>
              <w:t>.</w:t>
            </w:r>
            <w:r>
              <w:rPr>
                <w:szCs w:val="22"/>
                <w:lang w:val="en-GB"/>
              </w:rPr>
              <w:t>o</w:t>
            </w:r>
            <w:r>
              <w:rPr>
                <w:szCs w:val="22"/>
              </w:rPr>
              <w:t>.</w:t>
            </w:r>
          </w:p>
          <w:p w14:paraId="109AE053" w14:textId="77777777" w:rsidR="009B3384" w:rsidRDefault="00800862">
            <w:pPr>
              <w:widowControl w:val="0"/>
              <w:suppressAutoHyphens w:val="0"/>
              <w:rPr>
                <w:szCs w:val="22"/>
                <w:lang w:val="en-GB"/>
              </w:rPr>
            </w:pPr>
            <w:r>
              <w:rPr>
                <w:szCs w:val="22"/>
                <w:lang w:val="en-GB"/>
              </w:rPr>
              <w:t>Tel: +420 227 012 227</w:t>
            </w:r>
          </w:p>
          <w:p w14:paraId="109AE054" w14:textId="77777777" w:rsidR="009B3384" w:rsidRDefault="009B3384">
            <w:pPr>
              <w:widowControl w:val="0"/>
              <w:suppressAutoHyphens w:val="0"/>
              <w:rPr>
                <w:szCs w:val="22"/>
                <w:lang w:val="en-GB"/>
              </w:rPr>
            </w:pPr>
          </w:p>
        </w:tc>
        <w:tc>
          <w:tcPr>
            <w:tcW w:w="4805" w:type="dxa"/>
          </w:tcPr>
          <w:p w14:paraId="109AE055" w14:textId="77777777" w:rsidR="009B3384" w:rsidRDefault="00800862">
            <w:pPr>
              <w:widowControl w:val="0"/>
              <w:suppressAutoHyphens w:val="0"/>
              <w:rPr>
                <w:b/>
                <w:bCs/>
                <w:szCs w:val="22"/>
                <w:lang w:val="en-GB"/>
              </w:rPr>
            </w:pPr>
            <w:proofErr w:type="spellStart"/>
            <w:r>
              <w:rPr>
                <w:b/>
                <w:bCs/>
                <w:szCs w:val="22"/>
                <w:lang w:val="en-GB"/>
              </w:rPr>
              <w:t>Magyarország</w:t>
            </w:r>
            <w:proofErr w:type="spellEnd"/>
          </w:p>
          <w:p w14:paraId="109AE056" w14:textId="77777777" w:rsidR="009B3384" w:rsidRDefault="00800862">
            <w:pPr>
              <w:widowControl w:val="0"/>
              <w:suppressAutoHyphens w:val="0"/>
              <w:rPr>
                <w:szCs w:val="22"/>
                <w:lang w:val="en-GB"/>
              </w:rPr>
            </w:pPr>
            <w:r>
              <w:rPr>
                <w:szCs w:val="22"/>
                <w:lang w:val="en-GB"/>
              </w:rPr>
              <w:t>Janssen-Cilag Kft.</w:t>
            </w:r>
          </w:p>
          <w:p w14:paraId="109AE057" w14:textId="77777777" w:rsidR="009B3384" w:rsidRDefault="00800862">
            <w:pPr>
              <w:suppressAutoHyphens w:val="0"/>
              <w:autoSpaceDE w:val="0"/>
              <w:autoSpaceDN w:val="0"/>
              <w:adjustRightInd w:val="0"/>
              <w:rPr>
                <w:szCs w:val="22"/>
                <w:lang w:val="en-GB"/>
              </w:rPr>
            </w:pPr>
            <w:r>
              <w:rPr>
                <w:szCs w:val="22"/>
                <w:lang w:val="en-GB"/>
              </w:rPr>
              <w:t>Tel.: +36 1 884 2</w:t>
            </w:r>
            <w:r>
              <w:rPr>
                <w:bCs/>
                <w:szCs w:val="22"/>
                <w:lang w:val="en-GB"/>
              </w:rPr>
              <w:t>858</w:t>
            </w:r>
          </w:p>
          <w:p w14:paraId="109AE058" w14:textId="77777777" w:rsidR="009B3384" w:rsidRDefault="00800862">
            <w:pPr>
              <w:widowControl w:val="0"/>
              <w:suppressAutoHyphens w:val="0"/>
              <w:rPr>
                <w:szCs w:val="22"/>
                <w:lang w:val="en-GB"/>
              </w:rPr>
            </w:pPr>
            <w:r>
              <w:rPr>
                <w:szCs w:val="22"/>
                <w:lang w:val="en-GB"/>
              </w:rPr>
              <w:t>janssenhu@its.jnj.com</w:t>
            </w:r>
          </w:p>
          <w:p w14:paraId="109AE059" w14:textId="77777777" w:rsidR="009B3384" w:rsidRDefault="009B3384">
            <w:pPr>
              <w:widowControl w:val="0"/>
              <w:suppressAutoHyphens w:val="0"/>
              <w:rPr>
                <w:szCs w:val="22"/>
                <w:lang w:val="en-GB"/>
              </w:rPr>
            </w:pPr>
          </w:p>
        </w:tc>
      </w:tr>
      <w:tr w:rsidR="009B3384" w14:paraId="109AE064" w14:textId="77777777">
        <w:trPr>
          <w:cantSplit/>
          <w:jc w:val="center"/>
        </w:trPr>
        <w:tc>
          <w:tcPr>
            <w:tcW w:w="4270" w:type="dxa"/>
            <w:gridSpan w:val="2"/>
          </w:tcPr>
          <w:p w14:paraId="109AE05B" w14:textId="77777777" w:rsidR="009B3384" w:rsidRDefault="00800862">
            <w:pPr>
              <w:widowControl w:val="0"/>
              <w:suppressAutoHyphens w:val="0"/>
              <w:rPr>
                <w:b/>
                <w:bCs/>
                <w:szCs w:val="22"/>
                <w:lang w:val="nb-NO"/>
              </w:rPr>
            </w:pPr>
            <w:r>
              <w:rPr>
                <w:b/>
                <w:bCs/>
                <w:szCs w:val="22"/>
                <w:lang w:val="nb-NO"/>
              </w:rPr>
              <w:t>Danmark</w:t>
            </w:r>
          </w:p>
          <w:p w14:paraId="109AE05C" w14:textId="77777777" w:rsidR="009B3384" w:rsidRDefault="00800862">
            <w:pPr>
              <w:widowControl w:val="0"/>
              <w:suppressAutoHyphens w:val="0"/>
              <w:rPr>
                <w:szCs w:val="22"/>
                <w:lang w:val="nb-NO"/>
              </w:rPr>
            </w:pPr>
            <w:r>
              <w:rPr>
                <w:szCs w:val="22"/>
                <w:lang w:val="nb-NO"/>
              </w:rPr>
              <w:t>Janssen-Cilag A/S</w:t>
            </w:r>
          </w:p>
          <w:p w14:paraId="109AE05D" w14:textId="77777777" w:rsidR="009B3384" w:rsidRDefault="00800862">
            <w:pPr>
              <w:widowControl w:val="0"/>
              <w:suppressAutoHyphens w:val="0"/>
              <w:rPr>
                <w:szCs w:val="22"/>
                <w:lang w:val="nl-NL"/>
              </w:rPr>
            </w:pPr>
            <w:r>
              <w:rPr>
                <w:szCs w:val="22"/>
                <w:lang w:val="nl-NL"/>
              </w:rPr>
              <w:t>Tlf.: +45 4594 8282</w:t>
            </w:r>
          </w:p>
          <w:p w14:paraId="109AE05E" w14:textId="77777777" w:rsidR="009B3384" w:rsidRDefault="00800862">
            <w:pPr>
              <w:widowControl w:val="0"/>
              <w:suppressAutoHyphens w:val="0"/>
              <w:rPr>
                <w:szCs w:val="22"/>
                <w:lang w:val="en-GB"/>
              </w:rPr>
            </w:pPr>
            <w:r>
              <w:rPr>
                <w:szCs w:val="22"/>
                <w:lang w:val="en-GB"/>
              </w:rPr>
              <w:t>jacdk@its.jnj.com</w:t>
            </w:r>
          </w:p>
          <w:p w14:paraId="109AE05F" w14:textId="77777777" w:rsidR="009B3384" w:rsidRDefault="009B3384">
            <w:pPr>
              <w:widowControl w:val="0"/>
              <w:suppressAutoHyphens w:val="0"/>
              <w:rPr>
                <w:szCs w:val="22"/>
                <w:lang w:val="en-GB"/>
              </w:rPr>
            </w:pPr>
          </w:p>
        </w:tc>
        <w:tc>
          <w:tcPr>
            <w:tcW w:w="4805" w:type="dxa"/>
            <w:hideMark/>
          </w:tcPr>
          <w:p w14:paraId="109AE060" w14:textId="77777777" w:rsidR="009B3384" w:rsidRDefault="00800862">
            <w:pPr>
              <w:widowControl w:val="0"/>
              <w:suppressAutoHyphens w:val="0"/>
              <w:rPr>
                <w:b/>
                <w:bCs/>
                <w:szCs w:val="22"/>
                <w:lang w:val="de-DE"/>
              </w:rPr>
            </w:pPr>
            <w:r>
              <w:rPr>
                <w:b/>
                <w:bCs/>
                <w:szCs w:val="22"/>
                <w:lang w:val="de-DE"/>
              </w:rPr>
              <w:t>Malta</w:t>
            </w:r>
          </w:p>
          <w:p w14:paraId="109AE061" w14:textId="77777777" w:rsidR="009B3384" w:rsidRDefault="00800862">
            <w:pPr>
              <w:widowControl w:val="0"/>
              <w:suppressAutoHyphens w:val="0"/>
              <w:rPr>
                <w:szCs w:val="22"/>
                <w:lang w:val="de-DE"/>
              </w:rPr>
            </w:pPr>
            <w:r>
              <w:rPr>
                <w:szCs w:val="22"/>
                <w:lang w:val="de-DE"/>
              </w:rPr>
              <w:t>AM MANGION LTD</w:t>
            </w:r>
          </w:p>
          <w:p w14:paraId="109AE062" w14:textId="77777777" w:rsidR="009B3384" w:rsidRDefault="00800862">
            <w:pPr>
              <w:widowControl w:val="0"/>
              <w:suppressAutoHyphens w:val="0"/>
              <w:rPr>
                <w:szCs w:val="22"/>
                <w:lang w:val="de-DE"/>
              </w:rPr>
            </w:pPr>
            <w:r>
              <w:rPr>
                <w:szCs w:val="22"/>
                <w:lang w:val="de-DE"/>
              </w:rPr>
              <w:t>Tel: +356 2397 6000</w:t>
            </w:r>
          </w:p>
          <w:p w14:paraId="109AE063" w14:textId="77777777" w:rsidR="009B3384" w:rsidRDefault="009B3384">
            <w:pPr>
              <w:widowControl w:val="0"/>
              <w:suppressAutoHyphens w:val="0"/>
              <w:rPr>
                <w:szCs w:val="22"/>
                <w:lang w:val="de-DE"/>
              </w:rPr>
            </w:pPr>
          </w:p>
        </w:tc>
      </w:tr>
      <w:tr w:rsidR="009B3384" w14:paraId="109AE071" w14:textId="77777777">
        <w:trPr>
          <w:cantSplit/>
          <w:jc w:val="center"/>
        </w:trPr>
        <w:tc>
          <w:tcPr>
            <w:tcW w:w="4270" w:type="dxa"/>
            <w:gridSpan w:val="2"/>
          </w:tcPr>
          <w:p w14:paraId="109AE065" w14:textId="77777777" w:rsidR="009B3384" w:rsidRDefault="00800862">
            <w:pPr>
              <w:widowControl w:val="0"/>
              <w:suppressAutoHyphens w:val="0"/>
              <w:rPr>
                <w:b/>
                <w:bCs/>
                <w:szCs w:val="22"/>
                <w:lang w:val="de-DE"/>
              </w:rPr>
            </w:pPr>
            <w:r>
              <w:rPr>
                <w:b/>
                <w:bCs/>
                <w:szCs w:val="22"/>
                <w:lang w:val="de-DE"/>
              </w:rPr>
              <w:t>Deutschland</w:t>
            </w:r>
          </w:p>
          <w:p w14:paraId="109AE066" w14:textId="77777777" w:rsidR="009B3384" w:rsidRDefault="00800862">
            <w:pPr>
              <w:widowControl w:val="0"/>
              <w:suppressAutoHyphens w:val="0"/>
              <w:rPr>
                <w:szCs w:val="22"/>
                <w:lang w:val="de-DE"/>
              </w:rPr>
            </w:pPr>
            <w:r>
              <w:rPr>
                <w:szCs w:val="22"/>
                <w:lang w:val="de-DE"/>
              </w:rPr>
              <w:t>Janssen-Cilag GmbH</w:t>
            </w:r>
          </w:p>
          <w:p w14:paraId="109AE067" w14:textId="77777777" w:rsidR="009B3384" w:rsidRDefault="00800862">
            <w:pPr>
              <w:widowControl w:val="0"/>
              <w:suppressAutoHyphens w:val="0"/>
              <w:rPr>
                <w:szCs w:val="22"/>
                <w:lang w:val="de-DE"/>
              </w:rPr>
            </w:pPr>
            <w:r>
              <w:rPr>
                <w:szCs w:val="22"/>
                <w:lang w:val="de-DE"/>
              </w:rPr>
              <w:t xml:space="preserve">Tel: </w:t>
            </w:r>
            <w:r>
              <w:rPr>
                <w:lang w:val="de-DE"/>
              </w:rPr>
              <w:t xml:space="preserve">0800 086 9247 / </w:t>
            </w:r>
            <w:r>
              <w:rPr>
                <w:szCs w:val="22"/>
                <w:lang w:val="de-DE"/>
              </w:rPr>
              <w:t>+49 2137 955 6955</w:t>
            </w:r>
          </w:p>
          <w:p w14:paraId="109AE069" w14:textId="672625AF" w:rsidR="009B3384" w:rsidRPr="00BC6A43" w:rsidRDefault="00800862">
            <w:pPr>
              <w:widowControl w:val="0"/>
              <w:suppressAutoHyphens w:val="0"/>
              <w:rPr>
                <w:szCs w:val="22"/>
                <w:lang w:val="de-DE"/>
              </w:rPr>
            </w:pPr>
            <w:r w:rsidRPr="00BC6A43">
              <w:rPr>
                <w:lang w:val="de-DE"/>
              </w:rPr>
              <w:t>medinfo-de@its.jnj.com</w:t>
            </w:r>
          </w:p>
          <w:p w14:paraId="109AE06A" w14:textId="77777777" w:rsidR="009B3384" w:rsidRPr="00BC6A43" w:rsidRDefault="009B3384">
            <w:pPr>
              <w:widowControl w:val="0"/>
              <w:suppressAutoHyphens w:val="0"/>
              <w:rPr>
                <w:szCs w:val="22"/>
              </w:rPr>
            </w:pPr>
          </w:p>
        </w:tc>
        <w:tc>
          <w:tcPr>
            <w:tcW w:w="4805" w:type="dxa"/>
            <w:hideMark/>
          </w:tcPr>
          <w:p w14:paraId="109AE06B" w14:textId="77777777" w:rsidR="009B3384" w:rsidRDefault="00800862">
            <w:pPr>
              <w:widowControl w:val="0"/>
              <w:suppressAutoHyphens w:val="0"/>
              <w:rPr>
                <w:b/>
                <w:bCs/>
                <w:szCs w:val="22"/>
                <w:lang w:val="nl-BE"/>
              </w:rPr>
            </w:pPr>
            <w:r>
              <w:rPr>
                <w:b/>
                <w:bCs/>
                <w:szCs w:val="22"/>
                <w:lang w:val="nl-BE"/>
              </w:rPr>
              <w:t>Nederland</w:t>
            </w:r>
          </w:p>
          <w:p w14:paraId="109AE06C" w14:textId="77777777" w:rsidR="009B3384" w:rsidRDefault="00800862">
            <w:pPr>
              <w:widowControl w:val="0"/>
              <w:suppressAutoHyphens w:val="0"/>
              <w:rPr>
                <w:szCs w:val="22"/>
                <w:lang w:val="nl-BE"/>
              </w:rPr>
            </w:pPr>
            <w:r>
              <w:rPr>
                <w:szCs w:val="22"/>
                <w:lang w:val="nl-BE"/>
              </w:rPr>
              <w:t>Janssen-Cilag B.V.</w:t>
            </w:r>
          </w:p>
          <w:p w14:paraId="109AE06D" w14:textId="3D809C2A" w:rsidR="009B3384" w:rsidRPr="00BC6A43" w:rsidRDefault="00800862">
            <w:pPr>
              <w:widowControl w:val="0"/>
              <w:suppressAutoHyphens w:val="0"/>
              <w:rPr>
                <w:szCs w:val="22"/>
                <w:lang w:val="de-DE"/>
              </w:rPr>
            </w:pPr>
            <w:r w:rsidRPr="00BC6A43">
              <w:rPr>
                <w:szCs w:val="22"/>
                <w:lang w:val="de-DE"/>
              </w:rPr>
              <w:t xml:space="preserve">Tel: </w:t>
            </w:r>
            <w:r>
              <w:rPr>
                <w:lang w:val="de-DE"/>
              </w:rPr>
              <w:t>0800 242 42 42</w:t>
            </w:r>
          </w:p>
          <w:p w14:paraId="109AE06F" w14:textId="6BC5E570" w:rsidR="009B3384" w:rsidRPr="00BC6A43" w:rsidRDefault="00800862">
            <w:pPr>
              <w:widowControl w:val="0"/>
              <w:suppressAutoHyphens w:val="0"/>
              <w:rPr>
                <w:szCs w:val="22"/>
                <w:lang w:val="de-DE"/>
              </w:rPr>
            </w:pPr>
            <w:r w:rsidRPr="00BC6A43">
              <w:rPr>
                <w:szCs w:val="22"/>
                <w:lang w:val="de-DE"/>
              </w:rPr>
              <w:t>info_nl@its.jnj.com</w:t>
            </w:r>
          </w:p>
          <w:p w14:paraId="109AE070" w14:textId="77777777" w:rsidR="009B3384" w:rsidRPr="00BC6A43" w:rsidRDefault="009B3384">
            <w:pPr>
              <w:widowControl w:val="0"/>
              <w:suppressAutoHyphens w:val="0"/>
              <w:rPr>
                <w:szCs w:val="22"/>
              </w:rPr>
            </w:pPr>
          </w:p>
        </w:tc>
      </w:tr>
      <w:tr w:rsidR="009B3384" w14:paraId="109AE07C" w14:textId="77777777">
        <w:trPr>
          <w:cantSplit/>
          <w:jc w:val="center"/>
        </w:trPr>
        <w:tc>
          <w:tcPr>
            <w:tcW w:w="4270" w:type="dxa"/>
            <w:gridSpan w:val="2"/>
          </w:tcPr>
          <w:p w14:paraId="109AE072" w14:textId="77777777" w:rsidR="009B3384" w:rsidRDefault="00800862">
            <w:pPr>
              <w:widowControl w:val="0"/>
              <w:suppressAutoHyphens w:val="0"/>
              <w:rPr>
                <w:b/>
                <w:bCs/>
                <w:szCs w:val="22"/>
                <w:lang w:val="fi-FI"/>
              </w:rPr>
            </w:pPr>
            <w:r>
              <w:rPr>
                <w:b/>
                <w:bCs/>
                <w:szCs w:val="22"/>
                <w:lang w:val="fi-FI"/>
              </w:rPr>
              <w:t>Eesti</w:t>
            </w:r>
          </w:p>
          <w:p w14:paraId="109AE073" w14:textId="77777777" w:rsidR="009B3384" w:rsidRDefault="00800862">
            <w:pPr>
              <w:widowControl w:val="0"/>
              <w:suppressAutoHyphens w:val="0"/>
              <w:rPr>
                <w:szCs w:val="22"/>
                <w:lang w:val="fi-FI"/>
              </w:rPr>
            </w:pPr>
            <w:r>
              <w:rPr>
                <w:szCs w:val="22"/>
                <w:lang w:val="fi-FI"/>
              </w:rPr>
              <w:t>UAB "JOHNSON &amp; JOHNSON" Eesti filiaal</w:t>
            </w:r>
          </w:p>
          <w:p w14:paraId="109AE074" w14:textId="77777777" w:rsidR="009B3384" w:rsidRDefault="00800862">
            <w:pPr>
              <w:widowControl w:val="0"/>
              <w:suppressAutoHyphens w:val="0"/>
              <w:rPr>
                <w:szCs w:val="22"/>
                <w:lang w:val="fi-FI"/>
              </w:rPr>
            </w:pPr>
            <w:r>
              <w:rPr>
                <w:szCs w:val="22"/>
                <w:lang w:val="fi-FI"/>
              </w:rPr>
              <w:t>Tel: +372 617 7410</w:t>
            </w:r>
          </w:p>
          <w:p w14:paraId="109AE075" w14:textId="77777777" w:rsidR="009B3384" w:rsidRDefault="00800862">
            <w:pPr>
              <w:widowControl w:val="0"/>
              <w:suppressAutoHyphens w:val="0"/>
              <w:rPr>
                <w:szCs w:val="22"/>
                <w:lang w:val="fi-FI"/>
              </w:rPr>
            </w:pPr>
            <w:r>
              <w:rPr>
                <w:szCs w:val="22"/>
                <w:lang w:val="en-GB"/>
              </w:rPr>
              <w:t>ee@its.jnj.com</w:t>
            </w:r>
          </w:p>
          <w:p w14:paraId="109AE076" w14:textId="77777777" w:rsidR="009B3384" w:rsidRDefault="009B3384">
            <w:pPr>
              <w:widowControl w:val="0"/>
              <w:suppressAutoHyphens w:val="0"/>
              <w:rPr>
                <w:szCs w:val="22"/>
                <w:lang w:val="fi-FI"/>
              </w:rPr>
            </w:pPr>
          </w:p>
        </w:tc>
        <w:tc>
          <w:tcPr>
            <w:tcW w:w="4805" w:type="dxa"/>
            <w:hideMark/>
          </w:tcPr>
          <w:p w14:paraId="109AE077" w14:textId="77777777" w:rsidR="009B3384" w:rsidRDefault="00800862">
            <w:pPr>
              <w:widowControl w:val="0"/>
              <w:suppressAutoHyphens w:val="0"/>
              <w:rPr>
                <w:b/>
                <w:bCs/>
                <w:szCs w:val="22"/>
                <w:lang w:val="nn-NO"/>
              </w:rPr>
            </w:pPr>
            <w:r>
              <w:rPr>
                <w:b/>
                <w:bCs/>
                <w:szCs w:val="22"/>
                <w:lang w:val="nn-NO"/>
              </w:rPr>
              <w:t>Norge</w:t>
            </w:r>
          </w:p>
          <w:p w14:paraId="109AE078" w14:textId="77777777" w:rsidR="009B3384" w:rsidRDefault="00800862">
            <w:pPr>
              <w:widowControl w:val="0"/>
              <w:suppressAutoHyphens w:val="0"/>
              <w:rPr>
                <w:szCs w:val="22"/>
                <w:lang w:val="nn-NO"/>
              </w:rPr>
            </w:pPr>
            <w:r>
              <w:rPr>
                <w:szCs w:val="22"/>
                <w:lang w:val="nn-NO"/>
              </w:rPr>
              <w:t>Janssen-Cilag AS</w:t>
            </w:r>
          </w:p>
          <w:p w14:paraId="109AE079" w14:textId="77777777" w:rsidR="009B3384" w:rsidRDefault="00800862">
            <w:pPr>
              <w:widowControl w:val="0"/>
              <w:suppressAutoHyphens w:val="0"/>
              <w:rPr>
                <w:szCs w:val="22"/>
                <w:lang w:val="nb-NO"/>
              </w:rPr>
            </w:pPr>
            <w:r>
              <w:rPr>
                <w:szCs w:val="22"/>
                <w:lang w:val="nb-NO"/>
              </w:rPr>
              <w:t>Tlf: +47 24 12 65 00</w:t>
            </w:r>
          </w:p>
          <w:p w14:paraId="109AE07A" w14:textId="77777777" w:rsidR="009B3384" w:rsidRDefault="00800862">
            <w:pPr>
              <w:widowControl w:val="0"/>
              <w:suppressAutoHyphens w:val="0"/>
              <w:rPr>
                <w:szCs w:val="22"/>
                <w:lang w:val="en-GB"/>
              </w:rPr>
            </w:pPr>
            <w:r>
              <w:rPr>
                <w:szCs w:val="22"/>
                <w:lang w:val="en-GB"/>
              </w:rPr>
              <w:t>jacno@its.jnj.com</w:t>
            </w:r>
          </w:p>
          <w:p w14:paraId="109AE07B" w14:textId="77777777" w:rsidR="009B3384" w:rsidRDefault="009B3384">
            <w:pPr>
              <w:widowControl w:val="0"/>
              <w:suppressAutoHyphens w:val="0"/>
              <w:rPr>
                <w:szCs w:val="22"/>
                <w:lang w:val="en-GB"/>
              </w:rPr>
            </w:pPr>
          </w:p>
        </w:tc>
      </w:tr>
      <w:tr w:rsidR="009B3384" w14:paraId="109AE085" w14:textId="77777777">
        <w:trPr>
          <w:cantSplit/>
          <w:jc w:val="center"/>
        </w:trPr>
        <w:tc>
          <w:tcPr>
            <w:tcW w:w="4270" w:type="dxa"/>
            <w:gridSpan w:val="2"/>
          </w:tcPr>
          <w:p w14:paraId="109AE07D" w14:textId="77777777" w:rsidR="009B3384" w:rsidRDefault="00800862">
            <w:pPr>
              <w:widowControl w:val="0"/>
              <w:suppressAutoHyphens w:val="0"/>
              <w:rPr>
                <w:b/>
                <w:bCs/>
                <w:szCs w:val="22"/>
                <w:lang w:val="el-GR"/>
              </w:rPr>
            </w:pPr>
            <w:r>
              <w:rPr>
                <w:b/>
                <w:bCs/>
                <w:szCs w:val="22"/>
                <w:lang w:val="el-GR"/>
              </w:rPr>
              <w:t>Ελλάδα</w:t>
            </w:r>
          </w:p>
          <w:p w14:paraId="109AE07E"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Φαρμακευτική Μονοπρόσωπη Α.Ε.Β.Ε.</w:t>
            </w:r>
          </w:p>
          <w:p w14:paraId="109AE07F" w14:textId="77777777" w:rsidR="009B3384" w:rsidRDefault="00800862">
            <w:pPr>
              <w:widowControl w:val="0"/>
              <w:suppressAutoHyphens w:val="0"/>
              <w:rPr>
                <w:szCs w:val="22"/>
                <w:lang w:val="el-GR"/>
              </w:rPr>
            </w:pPr>
            <w:r>
              <w:rPr>
                <w:szCs w:val="22"/>
                <w:lang w:val="en-GB"/>
              </w:rPr>
              <w:t>T</w:t>
            </w:r>
            <w:r>
              <w:rPr>
                <w:szCs w:val="22"/>
                <w:lang w:val="el-GR"/>
              </w:rPr>
              <w:t>ηλ: +30 210 80 90 000</w:t>
            </w:r>
          </w:p>
          <w:p w14:paraId="109AE080" w14:textId="77777777" w:rsidR="009B3384" w:rsidRDefault="009B3384">
            <w:pPr>
              <w:widowControl w:val="0"/>
              <w:suppressAutoHyphens w:val="0"/>
              <w:rPr>
                <w:szCs w:val="22"/>
                <w:lang w:val="el-GR"/>
              </w:rPr>
            </w:pPr>
          </w:p>
        </w:tc>
        <w:tc>
          <w:tcPr>
            <w:tcW w:w="4805" w:type="dxa"/>
            <w:hideMark/>
          </w:tcPr>
          <w:p w14:paraId="109AE081" w14:textId="77777777" w:rsidR="009B3384" w:rsidRDefault="00800862">
            <w:pPr>
              <w:widowControl w:val="0"/>
              <w:suppressAutoHyphens w:val="0"/>
              <w:rPr>
                <w:b/>
                <w:bCs/>
                <w:szCs w:val="22"/>
                <w:lang w:val="el-GR"/>
              </w:rPr>
            </w:pPr>
            <w:r>
              <w:rPr>
                <w:b/>
                <w:bCs/>
                <w:szCs w:val="22"/>
                <w:lang w:val="el-GR"/>
              </w:rPr>
              <w:t>Ö</w:t>
            </w:r>
            <w:proofErr w:type="spellStart"/>
            <w:r>
              <w:rPr>
                <w:b/>
                <w:bCs/>
                <w:szCs w:val="22"/>
                <w:lang w:val="en-GB"/>
              </w:rPr>
              <w:t>sterreich</w:t>
            </w:r>
            <w:proofErr w:type="spellEnd"/>
          </w:p>
          <w:p w14:paraId="109AE082"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w:t>
            </w:r>
            <w:r>
              <w:rPr>
                <w:szCs w:val="22"/>
                <w:lang w:val="en-GB"/>
              </w:rPr>
              <w:t>Pharma</w:t>
            </w:r>
            <w:r>
              <w:rPr>
                <w:szCs w:val="22"/>
                <w:lang w:val="el-GR"/>
              </w:rPr>
              <w:t xml:space="preserve"> </w:t>
            </w:r>
            <w:r>
              <w:rPr>
                <w:szCs w:val="22"/>
                <w:lang w:val="en-GB"/>
              </w:rPr>
              <w:t>GmbH</w:t>
            </w:r>
          </w:p>
          <w:p w14:paraId="109AE083" w14:textId="21FFF1F3" w:rsidR="009B3384" w:rsidRPr="00BC6A43" w:rsidRDefault="00800862">
            <w:pPr>
              <w:widowControl w:val="0"/>
              <w:suppressAutoHyphens w:val="0"/>
              <w:rPr>
                <w:szCs w:val="22"/>
                <w:lang w:val="el-GR"/>
              </w:rPr>
            </w:pPr>
            <w:r>
              <w:rPr>
                <w:szCs w:val="22"/>
                <w:lang w:val="en-GB"/>
              </w:rPr>
              <w:t>Tel</w:t>
            </w:r>
            <w:r>
              <w:rPr>
                <w:szCs w:val="22"/>
                <w:lang w:val="el-GR"/>
              </w:rPr>
              <w:t>: +43 1 610 300</w:t>
            </w:r>
          </w:p>
          <w:p w14:paraId="109AE084" w14:textId="77777777" w:rsidR="009B3384" w:rsidRDefault="009B3384">
            <w:pPr>
              <w:widowControl w:val="0"/>
              <w:suppressAutoHyphens w:val="0"/>
              <w:rPr>
                <w:szCs w:val="22"/>
                <w:lang w:val="el-GR"/>
              </w:rPr>
            </w:pPr>
          </w:p>
        </w:tc>
      </w:tr>
      <w:tr w:rsidR="009B3384" w14:paraId="109AE08F" w14:textId="77777777">
        <w:trPr>
          <w:gridBefore w:val="1"/>
          <w:wBefore w:w="10" w:type="dxa"/>
          <w:cantSplit/>
          <w:jc w:val="center"/>
        </w:trPr>
        <w:tc>
          <w:tcPr>
            <w:tcW w:w="4260" w:type="dxa"/>
          </w:tcPr>
          <w:p w14:paraId="109AE086" w14:textId="77777777" w:rsidR="009B3384" w:rsidRDefault="00800862">
            <w:pPr>
              <w:widowControl w:val="0"/>
              <w:suppressAutoHyphens w:val="0"/>
              <w:rPr>
                <w:b/>
                <w:bCs/>
                <w:szCs w:val="22"/>
                <w:lang w:val="es-ES"/>
              </w:rPr>
            </w:pPr>
            <w:r>
              <w:rPr>
                <w:b/>
                <w:bCs/>
                <w:szCs w:val="22"/>
                <w:lang w:val="es-ES"/>
              </w:rPr>
              <w:t>España</w:t>
            </w:r>
          </w:p>
          <w:p w14:paraId="109AE087" w14:textId="77777777" w:rsidR="009B3384" w:rsidRDefault="00800862">
            <w:pPr>
              <w:widowControl w:val="0"/>
              <w:suppressAutoHyphens w:val="0"/>
              <w:rPr>
                <w:szCs w:val="22"/>
                <w:lang w:val="es-ES"/>
              </w:rPr>
            </w:pPr>
            <w:r>
              <w:rPr>
                <w:szCs w:val="22"/>
                <w:lang w:val="es-ES"/>
              </w:rPr>
              <w:t>Janssen-</w:t>
            </w:r>
            <w:proofErr w:type="spellStart"/>
            <w:r>
              <w:rPr>
                <w:szCs w:val="22"/>
                <w:lang w:val="es-ES"/>
              </w:rPr>
              <w:t>Cilag</w:t>
            </w:r>
            <w:proofErr w:type="spellEnd"/>
            <w:r>
              <w:rPr>
                <w:szCs w:val="22"/>
                <w:lang w:val="es-ES"/>
              </w:rPr>
              <w:t>, S.A.</w:t>
            </w:r>
          </w:p>
          <w:p w14:paraId="109AE088" w14:textId="77777777" w:rsidR="009B3384" w:rsidRDefault="00800862">
            <w:pPr>
              <w:widowControl w:val="0"/>
              <w:suppressAutoHyphens w:val="0"/>
              <w:rPr>
                <w:szCs w:val="22"/>
                <w:lang w:val="de-DE"/>
              </w:rPr>
            </w:pPr>
            <w:r>
              <w:rPr>
                <w:szCs w:val="22"/>
                <w:lang w:val="de-DE"/>
              </w:rPr>
              <w:t>Tel: +34 91 722 81 00</w:t>
            </w:r>
          </w:p>
          <w:p w14:paraId="109AE089" w14:textId="77777777" w:rsidR="009B3384" w:rsidRDefault="00800862">
            <w:pPr>
              <w:widowControl w:val="0"/>
              <w:suppressAutoHyphens w:val="0"/>
              <w:rPr>
                <w:szCs w:val="22"/>
                <w:lang w:val="de-DE"/>
              </w:rPr>
            </w:pPr>
            <w:r>
              <w:rPr>
                <w:szCs w:val="22"/>
                <w:lang w:val="de-DE"/>
              </w:rPr>
              <w:t>contacto@its.jnj.com</w:t>
            </w:r>
          </w:p>
          <w:p w14:paraId="109AE08A" w14:textId="77777777" w:rsidR="009B3384" w:rsidRDefault="009B3384">
            <w:pPr>
              <w:widowControl w:val="0"/>
              <w:suppressAutoHyphens w:val="0"/>
              <w:rPr>
                <w:szCs w:val="22"/>
                <w:lang w:val="de-DE"/>
              </w:rPr>
            </w:pPr>
          </w:p>
        </w:tc>
        <w:tc>
          <w:tcPr>
            <w:tcW w:w="4805" w:type="dxa"/>
          </w:tcPr>
          <w:p w14:paraId="109AE08B" w14:textId="77777777" w:rsidR="009B3384" w:rsidRDefault="00800862">
            <w:pPr>
              <w:widowControl w:val="0"/>
              <w:suppressAutoHyphens w:val="0"/>
              <w:rPr>
                <w:b/>
                <w:bCs/>
                <w:szCs w:val="22"/>
                <w:lang w:val="pl-PL"/>
              </w:rPr>
            </w:pPr>
            <w:r>
              <w:rPr>
                <w:b/>
                <w:bCs/>
                <w:szCs w:val="22"/>
                <w:lang w:val="pl-PL"/>
              </w:rPr>
              <w:t>Polska</w:t>
            </w:r>
          </w:p>
          <w:p w14:paraId="109AE08C" w14:textId="77777777" w:rsidR="009B3384" w:rsidRDefault="00800862">
            <w:pPr>
              <w:widowControl w:val="0"/>
              <w:suppressAutoHyphens w:val="0"/>
              <w:rPr>
                <w:szCs w:val="22"/>
                <w:lang w:val="pl-PL"/>
              </w:rPr>
            </w:pPr>
            <w:r>
              <w:rPr>
                <w:szCs w:val="22"/>
                <w:lang w:val="pl-PL"/>
              </w:rPr>
              <w:t>Janssen-Cilag Polska Sp. z o.o.</w:t>
            </w:r>
          </w:p>
          <w:p w14:paraId="109AE08D" w14:textId="77777777" w:rsidR="009B3384" w:rsidRDefault="00800862">
            <w:pPr>
              <w:widowControl w:val="0"/>
              <w:suppressAutoHyphens w:val="0"/>
              <w:rPr>
                <w:szCs w:val="22"/>
                <w:lang w:val="pl-PL"/>
              </w:rPr>
            </w:pPr>
            <w:r>
              <w:rPr>
                <w:szCs w:val="22"/>
                <w:lang w:val="pl-PL"/>
              </w:rPr>
              <w:t>Tel.: +48 22 237 60 00</w:t>
            </w:r>
          </w:p>
          <w:p w14:paraId="109AE08E" w14:textId="77777777" w:rsidR="009B3384" w:rsidRDefault="009B3384">
            <w:pPr>
              <w:widowControl w:val="0"/>
              <w:suppressAutoHyphens w:val="0"/>
              <w:rPr>
                <w:szCs w:val="22"/>
                <w:lang w:val="pl-PL"/>
              </w:rPr>
            </w:pPr>
          </w:p>
        </w:tc>
      </w:tr>
      <w:tr w:rsidR="009B3384" w14:paraId="109AE099" w14:textId="77777777">
        <w:trPr>
          <w:gridBefore w:val="1"/>
          <w:wBefore w:w="10" w:type="dxa"/>
          <w:cantSplit/>
          <w:jc w:val="center"/>
        </w:trPr>
        <w:tc>
          <w:tcPr>
            <w:tcW w:w="4260" w:type="dxa"/>
          </w:tcPr>
          <w:p w14:paraId="109AE090" w14:textId="77777777" w:rsidR="009B3384" w:rsidRDefault="00800862">
            <w:pPr>
              <w:widowControl w:val="0"/>
              <w:suppressAutoHyphens w:val="0"/>
              <w:rPr>
                <w:b/>
                <w:bCs/>
                <w:szCs w:val="22"/>
                <w:lang w:val="fr-BE"/>
              </w:rPr>
            </w:pPr>
            <w:r>
              <w:rPr>
                <w:b/>
                <w:bCs/>
                <w:szCs w:val="22"/>
                <w:lang w:val="fr-BE"/>
              </w:rPr>
              <w:t>France</w:t>
            </w:r>
          </w:p>
          <w:p w14:paraId="109AE091" w14:textId="77777777" w:rsidR="009B3384" w:rsidRDefault="00800862">
            <w:pPr>
              <w:widowControl w:val="0"/>
              <w:suppressAutoHyphens w:val="0"/>
              <w:rPr>
                <w:szCs w:val="22"/>
                <w:lang w:val="fr-BE"/>
              </w:rPr>
            </w:pPr>
            <w:r>
              <w:rPr>
                <w:szCs w:val="22"/>
                <w:lang w:val="fr-FR"/>
              </w:rPr>
              <w:t>Janssen-Cilag</w:t>
            </w:r>
          </w:p>
          <w:p w14:paraId="109AE092" w14:textId="77777777" w:rsidR="009B3384" w:rsidRDefault="00800862">
            <w:pPr>
              <w:widowControl w:val="0"/>
              <w:suppressAutoHyphens w:val="0"/>
              <w:rPr>
                <w:szCs w:val="22"/>
                <w:lang w:val="fr-FR"/>
              </w:rPr>
            </w:pPr>
            <w:proofErr w:type="gramStart"/>
            <w:r>
              <w:rPr>
                <w:szCs w:val="22"/>
                <w:lang w:val="fr-FR"/>
              </w:rPr>
              <w:t>Tél:</w:t>
            </w:r>
            <w:proofErr w:type="gramEnd"/>
            <w:r>
              <w:rPr>
                <w:szCs w:val="22"/>
                <w:lang w:val="fr-FR"/>
              </w:rPr>
              <w:t xml:space="preserve"> 0 800 25 50 75 / +33 1 55 00 40 03</w:t>
            </w:r>
          </w:p>
          <w:p w14:paraId="109AE093" w14:textId="77777777" w:rsidR="009B3384" w:rsidRDefault="00800862">
            <w:pPr>
              <w:widowControl w:val="0"/>
              <w:suppressAutoHyphens w:val="0"/>
              <w:rPr>
                <w:szCs w:val="22"/>
                <w:lang w:val="fr-FR"/>
              </w:rPr>
            </w:pPr>
            <w:r>
              <w:rPr>
                <w:szCs w:val="22"/>
                <w:lang w:val="fr-FR"/>
              </w:rPr>
              <w:t>medisource@its.jnj.com</w:t>
            </w:r>
          </w:p>
          <w:p w14:paraId="109AE094" w14:textId="77777777" w:rsidR="009B3384" w:rsidRDefault="009B3384">
            <w:pPr>
              <w:widowControl w:val="0"/>
              <w:suppressAutoHyphens w:val="0"/>
              <w:rPr>
                <w:szCs w:val="22"/>
                <w:lang w:val="fr-FR"/>
              </w:rPr>
            </w:pPr>
          </w:p>
        </w:tc>
        <w:tc>
          <w:tcPr>
            <w:tcW w:w="4805" w:type="dxa"/>
            <w:hideMark/>
          </w:tcPr>
          <w:p w14:paraId="109AE095" w14:textId="77777777" w:rsidR="009B3384" w:rsidRDefault="00800862">
            <w:pPr>
              <w:widowControl w:val="0"/>
              <w:suppressAutoHyphens w:val="0"/>
              <w:rPr>
                <w:b/>
                <w:bCs/>
                <w:szCs w:val="22"/>
                <w:lang w:val="pt-PT"/>
              </w:rPr>
            </w:pPr>
            <w:r>
              <w:rPr>
                <w:b/>
                <w:bCs/>
                <w:szCs w:val="22"/>
                <w:lang w:val="pt-PT"/>
              </w:rPr>
              <w:t>Portugal</w:t>
            </w:r>
          </w:p>
          <w:p w14:paraId="109AE096" w14:textId="77777777" w:rsidR="009B3384" w:rsidRDefault="00800862">
            <w:pPr>
              <w:widowControl w:val="0"/>
              <w:suppressAutoHyphens w:val="0"/>
              <w:rPr>
                <w:szCs w:val="22"/>
                <w:lang w:val="pt-PT"/>
              </w:rPr>
            </w:pPr>
            <w:r>
              <w:rPr>
                <w:szCs w:val="22"/>
                <w:lang w:val="pt-PT"/>
              </w:rPr>
              <w:t>Janssen-Cilag Farmacêutica, Lda.</w:t>
            </w:r>
          </w:p>
          <w:p w14:paraId="109AE097" w14:textId="77777777" w:rsidR="009B3384" w:rsidRDefault="00800862">
            <w:pPr>
              <w:widowControl w:val="0"/>
              <w:suppressAutoHyphens w:val="0"/>
              <w:rPr>
                <w:szCs w:val="22"/>
                <w:lang w:val="en-GB"/>
              </w:rPr>
            </w:pPr>
            <w:r>
              <w:rPr>
                <w:szCs w:val="22"/>
                <w:lang w:val="en-GB"/>
              </w:rPr>
              <w:t>Tel: +351 214 368 600</w:t>
            </w:r>
          </w:p>
          <w:p w14:paraId="109AE098" w14:textId="77777777" w:rsidR="009B3384" w:rsidRDefault="009B3384">
            <w:pPr>
              <w:widowControl w:val="0"/>
              <w:suppressAutoHyphens w:val="0"/>
              <w:rPr>
                <w:szCs w:val="22"/>
                <w:lang w:val="en-GB"/>
              </w:rPr>
            </w:pPr>
          </w:p>
        </w:tc>
      </w:tr>
      <w:tr w:rsidR="009B3384" w14:paraId="109AE0A3" w14:textId="77777777">
        <w:trPr>
          <w:gridBefore w:val="1"/>
          <w:wBefore w:w="10" w:type="dxa"/>
          <w:cantSplit/>
          <w:jc w:val="center"/>
        </w:trPr>
        <w:tc>
          <w:tcPr>
            <w:tcW w:w="4260" w:type="dxa"/>
          </w:tcPr>
          <w:p w14:paraId="109AE09A" w14:textId="77777777" w:rsidR="009B3384" w:rsidRDefault="00800862">
            <w:pPr>
              <w:suppressAutoHyphens w:val="0"/>
              <w:rPr>
                <w:szCs w:val="22"/>
              </w:rPr>
            </w:pPr>
            <w:r>
              <w:rPr>
                <w:b/>
                <w:szCs w:val="22"/>
                <w:lang w:val="en-GB"/>
              </w:rPr>
              <w:t>Hrvatska</w:t>
            </w:r>
          </w:p>
          <w:p w14:paraId="109AE09B" w14:textId="77777777" w:rsidR="009B3384" w:rsidRDefault="00800862">
            <w:pPr>
              <w:suppressAutoHyphens w:val="0"/>
              <w:rPr>
                <w:szCs w:val="22"/>
              </w:rPr>
            </w:pPr>
            <w:r>
              <w:rPr>
                <w:szCs w:val="22"/>
                <w:lang w:val="en-GB"/>
              </w:rPr>
              <w:t>Johnson</w:t>
            </w:r>
            <w:r>
              <w:rPr>
                <w:szCs w:val="22"/>
              </w:rPr>
              <w:t xml:space="preserve"> &amp; </w:t>
            </w:r>
            <w:r>
              <w:rPr>
                <w:szCs w:val="22"/>
                <w:lang w:val="en-GB"/>
              </w:rPr>
              <w:t>Johnson</w:t>
            </w:r>
            <w:r>
              <w:rPr>
                <w:szCs w:val="22"/>
              </w:rPr>
              <w:t xml:space="preserve"> </w:t>
            </w:r>
            <w:r>
              <w:rPr>
                <w:szCs w:val="22"/>
                <w:lang w:val="en-GB"/>
              </w:rPr>
              <w:t>S</w:t>
            </w:r>
            <w:r>
              <w:rPr>
                <w:szCs w:val="22"/>
              </w:rPr>
              <w:t>.</w:t>
            </w:r>
            <w:r>
              <w:rPr>
                <w:szCs w:val="22"/>
                <w:lang w:val="en-GB"/>
              </w:rPr>
              <w:t>E</w:t>
            </w:r>
            <w:r>
              <w:rPr>
                <w:szCs w:val="22"/>
              </w:rPr>
              <w:t xml:space="preserve">. </w:t>
            </w:r>
            <w:r>
              <w:rPr>
                <w:szCs w:val="22"/>
                <w:lang w:val="en-GB"/>
              </w:rPr>
              <w:t>d</w:t>
            </w:r>
            <w:r>
              <w:rPr>
                <w:szCs w:val="22"/>
              </w:rPr>
              <w:t>.</w:t>
            </w:r>
            <w:r>
              <w:rPr>
                <w:szCs w:val="22"/>
                <w:lang w:val="en-GB"/>
              </w:rPr>
              <w:t>o</w:t>
            </w:r>
            <w:r>
              <w:rPr>
                <w:szCs w:val="22"/>
              </w:rPr>
              <w:t>.</w:t>
            </w:r>
            <w:r>
              <w:rPr>
                <w:szCs w:val="22"/>
                <w:lang w:val="en-GB"/>
              </w:rPr>
              <w:t>o</w:t>
            </w:r>
            <w:r>
              <w:rPr>
                <w:szCs w:val="22"/>
              </w:rPr>
              <w:t>.</w:t>
            </w:r>
          </w:p>
          <w:p w14:paraId="109AE09C" w14:textId="77777777" w:rsidR="009B3384" w:rsidRDefault="00800862">
            <w:pPr>
              <w:widowControl w:val="0"/>
              <w:suppressAutoHyphens w:val="0"/>
              <w:rPr>
                <w:szCs w:val="22"/>
                <w:lang w:val="en-GB"/>
              </w:rPr>
            </w:pPr>
            <w:r>
              <w:rPr>
                <w:szCs w:val="22"/>
                <w:lang w:val="en-GB"/>
              </w:rPr>
              <w:t>Tel: +385 1 6610 700</w:t>
            </w:r>
          </w:p>
          <w:p w14:paraId="109AE09D" w14:textId="77777777" w:rsidR="009B3384" w:rsidRDefault="00800862">
            <w:pPr>
              <w:widowControl w:val="0"/>
              <w:suppressAutoHyphens w:val="0"/>
              <w:rPr>
                <w:szCs w:val="22"/>
                <w:lang w:val="en-GB"/>
              </w:rPr>
            </w:pPr>
            <w:r>
              <w:rPr>
                <w:szCs w:val="22"/>
                <w:lang w:val="en-GB"/>
              </w:rPr>
              <w:t>jjsafety@JNJCR.JNJ.com</w:t>
            </w:r>
          </w:p>
          <w:p w14:paraId="109AE09E" w14:textId="77777777" w:rsidR="009B3384" w:rsidRDefault="009B3384">
            <w:pPr>
              <w:widowControl w:val="0"/>
              <w:suppressAutoHyphens w:val="0"/>
              <w:rPr>
                <w:szCs w:val="22"/>
                <w:lang w:val="en-GB"/>
              </w:rPr>
            </w:pPr>
          </w:p>
        </w:tc>
        <w:tc>
          <w:tcPr>
            <w:tcW w:w="4805" w:type="dxa"/>
          </w:tcPr>
          <w:p w14:paraId="109AE09F" w14:textId="77777777" w:rsidR="009B3384" w:rsidRDefault="00800862">
            <w:pPr>
              <w:widowControl w:val="0"/>
              <w:suppressAutoHyphens w:val="0"/>
              <w:rPr>
                <w:b/>
                <w:bCs/>
                <w:szCs w:val="22"/>
                <w:lang w:val="en-GB"/>
              </w:rPr>
            </w:pPr>
            <w:proofErr w:type="spellStart"/>
            <w:r>
              <w:rPr>
                <w:b/>
                <w:bCs/>
                <w:szCs w:val="22"/>
                <w:lang w:val="en-GB"/>
              </w:rPr>
              <w:t>România</w:t>
            </w:r>
            <w:proofErr w:type="spellEnd"/>
          </w:p>
          <w:p w14:paraId="109AE0A0" w14:textId="77777777" w:rsidR="009B3384" w:rsidRDefault="00800862">
            <w:pPr>
              <w:widowControl w:val="0"/>
              <w:suppressAutoHyphens w:val="0"/>
              <w:rPr>
                <w:szCs w:val="22"/>
                <w:lang w:val="en-GB"/>
              </w:rPr>
            </w:pPr>
            <w:r>
              <w:rPr>
                <w:szCs w:val="22"/>
                <w:lang w:val="en-GB"/>
              </w:rPr>
              <w:t xml:space="preserve">Johnson &amp; Johnson </w:t>
            </w:r>
            <w:proofErr w:type="spellStart"/>
            <w:r>
              <w:rPr>
                <w:szCs w:val="22"/>
                <w:lang w:val="en-GB"/>
              </w:rPr>
              <w:t>Rom</w:t>
            </w:r>
            <w:r>
              <w:rPr>
                <w:bCs/>
                <w:szCs w:val="22"/>
                <w:lang w:val="en-GB"/>
              </w:rPr>
              <w:t>â</w:t>
            </w:r>
            <w:r>
              <w:rPr>
                <w:szCs w:val="22"/>
                <w:lang w:val="en-GB"/>
              </w:rPr>
              <w:t>nia</w:t>
            </w:r>
            <w:proofErr w:type="spellEnd"/>
            <w:r>
              <w:rPr>
                <w:szCs w:val="22"/>
                <w:lang w:val="en-GB"/>
              </w:rPr>
              <w:t xml:space="preserve"> SRL</w:t>
            </w:r>
          </w:p>
          <w:p w14:paraId="109AE0A1" w14:textId="77777777" w:rsidR="009B3384" w:rsidRDefault="00800862">
            <w:pPr>
              <w:widowControl w:val="0"/>
              <w:suppressAutoHyphens w:val="0"/>
              <w:rPr>
                <w:szCs w:val="22"/>
                <w:lang w:val="en-GB"/>
              </w:rPr>
            </w:pPr>
            <w:r>
              <w:rPr>
                <w:szCs w:val="22"/>
                <w:lang w:val="en-GB"/>
              </w:rPr>
              <w:t>Tel: +40 21 207 1800</w:t>
            </w:r>
          </w:p>
          <w:p w14:paraId="109AE0A2" w14:textId="77777777" w:rsidR="009B3384" w:rsidRDefault="009B3384">
            <w:pPr>
              <w:widowControl w:val="0"/>
              <w:suppressAutoHyphens w:val="0"/>
              <w:rPr>
                <w:szCs w:val="22"/>
                <w:lang w:val="en-GB"/>
              </w:rPr>
            </w:pPr>
          </w:p>
        </w:tc>
      </w:tr>
      <w:tr w:rsidR="009B3384" w14:paraId="109AE0AF" w14:textId="77777777">
        <w:trPr>
          <w:gridBefore w:val="1"/>
          <w:wBefore w:w="10" w:type="dxa"/>
          <w:cantSplit/>
          <w:jc w:val="center"/>
        </w:trPr>
        <w:tc>
          <w:tcPr>
            <w:tcW w:w="4260" w:type="dxa"/>
          </w:tcPr>
          <w:p w14:paraId="109AE0A4" w14:textId="77777777" w:rsidR="009B3384" w:rsidRDefault="00800862">
            <w:pPr>
              <w:widowControl w:val="0"/>
              <w:suppressAutoHyphens w:val="0"/>
              <w:rPr>
                <w:b/>
                <w:bCs/>
                <w:szCs w:val="22"/>
                <w:lang w:val="fr-FR"/>
              </w:rPr>
            </w:pPr>
            <w:r>
              <w:rPr>
                <w:b/>
                <w:bCs/>
                <w:szCs w:val="22"/>
                <w:lang w:val="fr-FR"/>
              </w:rPr>
              <w:t>Ireland</w:t>
            </w:r>
          </w:p>
          <w:p w14:paraId="109AE0A5" w14:textId="77777777" w:rsidR="009B3384" w:rsidRDefault="00800862">
            <w:pPr>
              <w:widowControl w:val="0"/>
              <w:suppressAutoHyphens w:val="0"/>
              <w:rPr>
                <w:szCs w:val="22"/>
                <w:lang w:val="fr-FR"/>
              </w:rPr>
            </w:pPr>
            <w:r>
              <w:rPr>
                <w:szCs w:val="22"/>
                <w:lang w:val="fr-FR"/>
              </w:rPr>
              <w:t>Janssen Sciences Ireland UC</w:t>
            </w:r>
          </w:p>
          <w:p w14:paraId="109AE0A6" w14:textId="77777777" w:rsidR="009B3384" w:rsidRDefault="00800862">
            <w:pPr>
              <w:widowControl w:val="0"/>
              <w:suppressAutoHyphens w:val="0"/>
              <w:rPr>
                <w:szCs w:val="22"/>
                <w:lang w:val="fr-FR"/>
              </w:rPr>
            </w:pPr>
            <w:proofErr w:type="gramStart"/>
            <w:r>
              <w:rPr>
                <w:szCs w:val="22"/>
                <w:lang w:val="fr-FR"/>
              </w:rPr>
              <w:t>Tel:</w:t>
            </w:r>
            <w:proofErr w:type="gramEnd"/>
            <w:r>
              <w:rPr>
                <w:szCs w:val="22"/>
                <w:lang w:val="fr-FR"/>
              </w:rPr>
              <w:t xml:space="preserve"> 1 800 709 122</w:t>
            </w:r>
          </w:p>
          <w:p w14:paraId="109AE0A7" w14:textId="77777777" w:rsidR="009B3384" w:rsidRPr="00BC6A43" w:rsidRDefault="00800862">
            <w:pPr>
              <w:widowControl w:val="0"/>
              <w:suppressAutoHyphens w:val="0"/>
              <w:rPr>
                <w:szCs w:val="22"/>
                <w:lang w:val="fr-BE"/>
              </w:rPr>
            </w:pPr>
            <w:r w:rsidRPr="00BC6A43">
              <w:t>medinfo@its.jnj.com</w:t>
            </w:r>
          </w:p>
          <w:p w14:paraId="109AE0A8" w14:textId="77777777" w:rsidR="009B3384" w:rsidRDefault="009B3384">
            <w:pPr>
              <w:widowControl w:val="0"/>
              <w:suppressAutoHyphens w:val="0"/>
              <w:rPr>
                <w:szCs w:val="22"/>
                <w:lang w:val="fr-FR"/>
              </w:rPr>
            </w:pPr>
          </w:p>
        </w:tc>
        <w:tc>
          <w:tcPr>
            <w:tcW w:w="4805" w:type="dxa"/>
          </w:tcPr>
          <w:p w14:paraId="109AE0A9" w14:textId="77777777" w:rsidR="009B3384" w:rsidRDefault="00800862">
            <w:pPr>
              <w:widowControl w:val="0"/>
              <w:suppressAutoHyphens w:val="0"/>
              <w:rPr>
                <w:b/>
                <w:bCs/>
                <w:szCs w:val="22"/>
                <w:lang w:val="fr-FR"/>
              </w:rPr>
            </w:pPr>
            <w:r>
              <w:rPr>
                <w:b/>
                <w:bCs/>
                <w:szCs w:val="22"/>
                <w:lang w:val="fr-FR"/>
              </w:rPr>
              <w:t>Slovenija</w:t>
            </w:r>
          </w:p>
          <w:p w14:paraId="109AE0AA" w14:textId="77777777" w:rsidR="009B3384" w:rsidRDefault="00800862">
            <w:pPr>
              <w:widowControl w:val="0"/>
              <w:suppressAutoHyphens w:val="0"/>
              <w:rPr>
                <w:szCs w:val="22"/>
                <w:lang w:val="fr-FR"/>
              </w:rPr>
            </w:pPr>
            <w:r>
              <w:rPr>
                <w:szCs w:val="22"/>
                <w:lang w:val="fr-FR"/>
              </w:rPr>
              <w:t xml:space="preserve">Johnson &amp; Johnson </w:t>
            </w:r>
            <w:proofErr w:type="spellStart"/>
            <w:r>
              <w:rPr>
                <w:szCs w:val="22"/>
                <w:lang w:val="fr-FR"/>
              </w:rPr>
              <w:t>d.o.o</w:t>
            </w:r>
            <w:proofErr w:type="spellEnd"/>
            <w:r>
              <w:rPr>
                <w:szCs w:val="22"/>
                <w:lang w:val="fr-FR"/>
              </w:rPr>
              <w:t>.</w:t>
            </w:r>
          </w:p>
          <w:p w14:paraId="109AE0AB" w14:textId="77777777" w:rsidR="009B3384" w:rsidRDefault="00800862">
            <w:pPr>
              <w:widowControl w:val="0"/>
              <w:suppressAutoHyphens w:val="0"/>
              <w:rPr>
                <w:szCs w:val="22"/>
                <w:lang w:val="de-DE"/>
              </w:rPr>
            </w:pPr>
            <w:r>
              <w:rPr>
                <w:szCs w:val="22"/>
                <w:lang w:val="de-DE"/>
              </w:rPr>
              <w:t>Tel: +386 1 401 18 00</w:t>
            </w:r>
          </w:p>
          <w:p w14:paraId="109AE0AD" w14:textId="33007174" w:rsidR="009B3384" w:rsidRDefault="00800862">
            <w:pPr>
              <w:widowControl w:val="0"/>
              <w:suppressAutoHyphens w:val="0"/>
              <w:rPr>
                <w:szCs w:val="22"/>
                <w:lang w:val="de-DE"/>
              </w:rPr>
            </w:pPr>
            <w:r w:rsidRPr="00BC6A43">
              <w:t>JNJ-SI-safety@its.jnj.com</w:t>
            </w:r>
          </w:p>
          <w:p w14:paraId="109AE0AE" w14:textId="77777777" w:rsidR="009B3384" w:rsidRDefault="009B3384">
            <w:pPr>
              <w:widowControl w:val="0"/>
              <w:suppressAutoHyphens w:val="0"/>
              <w:rPr>
                <w:szCs w:val="22"/>
                <w:lang w:val="de-DE"/>
              </w:rPr>
            </w:pPr>
          </w:p>
        </w:tc>
      </w:tr>
      <w:tr w:rsidR="009B3384" w14:paraId="109AE0BA" w14:textId="77777777">
        <w:trPr>
          <w:gridBefore w:val="1"/>
          <w:wBefore w:w="10" w:type="dxa"/>
          <w:cantSplit/>
          <w:jc w:val="center"/>
        </w:trPr>
        <w:tc>
          <w:tcPr>
            <w:tcW w:w="4260" w:type="dxa"/>
            <w:hideMark/>
          </w:tcPr>
          <w:p w14:paraId="109AE0B0" w14:textId="77777777" w:rsidR="009B3384" w:rsidRDefault="00800862">
            <w:pPr>
              <w:widowControl w:val="0"/>
              <w:suppressAutoHyphens w:val="0"/>
              <w:rPr>
                <w:b/>
                <w:bCs/>
                <w:szCs w:val="22"/>
              </w:rPr>
            </w:pPr>
            <w:r>
              <w:rPr>
                <w:b/>
                <w:bCs/>
                <w:szCs w:val="22"/>
              </w:rPr>
              <w:lastRenderedPageBreak/>
              <w:t>Í</w:t>
            </w:r>
            <w:r>
              <w:rPr>
                <w:b/>
                <w:bCs/>
                <w:szCs w:val="22"/>
                <w:lang w:val="de-DE"/>
              </w:rPr>
              <w:t>sland</w:t>
            </w:r>
          </w:p>
          <w:p w14:paraId="109AE0B1" w14:textId="77777777" w:rsidR="009B3384" w:rsidRDefault="00800862">
            <w:pPr>
              <w:widowControl w:val="0"/>
              <w:suppressAutoHyphens w:val="0"/>
              <w:rPr>
                <w:szCs w:val="22"/>
              </w:rPr>
            </w:pPr>
            <w:r>
              <w:rPr>
                <w:szCs w:val="22"/>
                <w:lang w:val="de-DE"/>
              </w:rPr>
              <w:t>Janssen</w:t>
            </w:r>
            <w:r>
              <w:rPr>
                <w:szCs w:val="22"/>
              </w:rPr>
              <w:t>-</w:t>
            </w:r>
            <w:r>
              <w:rPr>
                <w:szCs w:val="22"/>
                <w:lang w:val="de-DE"/>
              </w:rPr>
              <w:t>Cilag</w:t>
            </w:r>
            <w:r>
              <w:rPr>
                <w:szCs w:val="22"/>
              </w:rPr>
              <w:t xml:space="preserve"> </w:t>
            </w:r>
            <w:r>
              <w:rPr>
                <w:szCs w:val="22"/>
                <w:lang w:val="de-DE"/>
              </w:rPr>
              <w:t>AB</w:t>
            </w:r>
          </w:p>
          <w:p w14:paraId="109AE0B2" w14:textId="77777777" w:rsidR="009B3384" w:rsidRDefault="00800862">
            <w:pPr>
              <w:widowControl w:val="0"/>
              <w:suppressAutoHyphens w:val="0"/>
              <w:rPr>
                <w:szCs w:val="22"/>
              </w:rPr>
            </w:pPr>
            <w:r>
              <w:rPr>
                <w:szCs w:val="22"/>
                <w:lang w:val="de-DE"/>
              </w:rPr>
              <w:t>c</w:t>
            </w:r>
            <w:r>
              <w:rPr>
                <w:szCs w:val="22"/>
              </w:rPr>
              <w:t>/</w:t>
            </w:r>
            <w:r>
              <w:rPr>
                <w:szCs w:val="22"/>
                <w:lang w:val="de-DE"/>
              </w:rPr>
              <w:t>o</w:t>
            </w:r>
            <w:r>
              <w:rPr>
                <w:szCs w:val="22"/>
              </w:rPr>
              <w:t xml:space="preserve"> </w:t>
            </w:r>
            <w:r>
              <w:rPr>
                <w:szCs w:val="22"/>
                <w:lang w:val="de-DE"/>
              </w:rPr>
              <w:t>Vistor</w:t>
            </w:r>
            <w:r>
              <w:rPr>
                <w:szCs w:val="22"/>
              </w:rPr>
              <w:t xml:space="preserve"> е</w:t>
            </w:r>
            <w:r>
              <w:rPr>
                <w:szCs w:val="22"/>
                <w:lang w:val="de-DE"/>
              </w:rPr>
              <w:t>hf</w:t>
            </w:r>
            <w:r>
              <w:rPr>
                <w:szCs w:val="22"/>
              </w:rPr>
              <w:t>.</w:t>
            </w:r>
          </w:p>
          <w:p w14:paraId="109AE0B3" w14:textId="77777777" w:rsidR="009B3384" w:rsidRDefault="00800862">
            <w:pPr>
              <w:widowControl w:val="0"/>
              <w:suppressAutoHyphens w:val="0"/>
              <w:rPr>
                <w:szCs w:val="22"/>
              </w:rPr>
            </w:pPr>
            <w:r>
              <w:rPr>
                <w:szCs w:val="22"/>
                <w:lang w:val="de-DE"/>
              </w:rPr>
              <w:t>S</w:t>
            </w:r>
            <w:r>
              <w:rPr>
                <w:szCs w:val="22"/>
              </w:rPr>
              <w:t>í</w:t>
            </w:r>
            <w:r>
              <w:rPr>
                <w:szCs w:val="22"/>
                <w:lang w:val="de-DE"/>
              </w:rPr>
              <w:t>mi</w:t>
            </w:r>
            <w:r>
              <w:rPr>
                <w:szCs w:val="22"/>
              </w:rPr>
              <w:t>: +354 535 7000</w:t>
            </w:r>
          </w:p>
          <w:p w14:paraId="109AE0B4" w14:textId="77777777" w:rsidR="009B3384" w:rsidRDefault="00800862">
            <w:pPr>
              <w:widowControl w:val="0"/>
              <w:suppressAutoHyphens w:val="0"/>
              <w:rPr>
                <w:szCs w:val="22"/>
                <w:lang w:val="it-IT"/>
              </w:rPr>
            </w:pPr>
            <w:r>
              <w:rPr>
                <w:szCs w:val="22"/>
                <w:lang w:val="en-GB"/>
              </w:rPr>
              <w:t>janssen@vistor.is</w:t>
            </w:r>
          </w:p>
          <w:p w14:paraId="109AE0B5" w14:textId="77777777" w:rsidR="009B3384" w:rsidRDefault="009B3384">
            <w:pPr>
              <w:widowControl w:val="0"/>
              <w:suppressAutoHyphens w:val="0"/>
              <w:rPr>
                <w:szCs w:val="22"/>
                <w:lang w:val="it-IT"/>
              </w:rPr>
            </w:pPr>
          </w:p>
        </w:tc>
        <w:tc>
          <w:tcPr>
            <w:tcW w:w="4805" w:type="dxa"/>
          </w:tcPr>
          <w:p w14:paraId="109AE0B6" w14:textId="77777777" w:rsidR="009B3384" w:rsidRDefault="00800862">
            <w:pPr>
              <w:widowControl w:val="0"/>
              <w:suppressAutoHyphens w:val="0"/>
              <w:rPr>
                <w:b/>
                <w:bCs/>
                <w:szCs w:val="22"/>
                <w:lang w:val="it-IT"/>
              </w:rPr>
            </w:pPr>
            <w:r>
              <w:rPr>
                <w:b/>
                <w:bCs/>
                <w:szCs w:val="22"/>
                <w:lang w:val="it-IT"/>
              </w:rPr>
              <w:t>Slovenská republika</w:t>
            </w:r>
          </w:p>
          <w:p w14:paraId="109AE0B7" w14:textId="77777777" w:rsidR="009B3384" w:rsidRDefault="00800862">
            <w:pPr>
              <w:widowControl w:val="0"/>
              <w:suppressAutoHyphens w:val="0"/>
              <w:rPr>
                <w:szCs w:val="22"/>
                <w:lang w:val="it-IT"/>
              </w:rPr>
            </w:pPr>
            <w:r>
              <w:rPr>
                <w:szCs w:val="22"/>
                <w:lang w:val="it-IT"/>
              </w:rPr>
              <w:t>Johnson &amp; Johnson, s.r.o.</w:t>
            </w:r>
          </w:p>
          <w:p w14:paraId="109AE0B8" w14:textId="77777777" w:rsidR="009B3384" w:rsidRDefault="00800862">
            <w:pPr>
              <w:widowControl w:val="0"/>
              <w:suppressAutoHyphens w:val="0"/>
              <w:rPr>
                <w:szCs w:val="22"/>
                <w:lang w:val="it-IT"/>
              </w:rPr>
            </w:pPr>
            <w:r>
              <w:rPr>
                <w:szCs w:val="22"/>
                <w:lang w:val="it-IT"/>
              </w:rPr>
              <w:t>Tel: +421 232 408 400</w:t>
            </w:r>
          </w:p>
          <w:p w14:paraId="109AE0B9" w14:textId="77777777" w:rsidR="009B3384" w:rsidRDefault="009B3384">
            <w:pPr>
              <w:widowControl w:val="0"/>
              <w:suppressAutoHyphens w:val="0"/>
              <w:rPr>
                <w:szCs w:val="22"/>
                <w:lang w:val="it-IT"/>
              </w:rPr>
            </w:pPr>
          </w:p>
        </w:tc>
      </w:tr>
      <w:tr w:rsidR="009B3384" w14:paraId="109AE0C5" w14:textId="77777777">
        <w:trPr>
          <w:gridBefore w:val="1"/>
          <w:wBefore w:w="10" w:type="dxa"/>
          <w:cantSplit/>
          <w:jc w:val="center"/>
        </w:trPr>
        <w:tc>
          <w:tcPr>
            <w:tcW w:w="4260" w:type="dxa"/>
          </w:tcPr>
          <w:p w14:paraId="109AE0BB" w14:textId="77777777" w:rsidR="009B3384" w:rsidRDefault="00800862">
            <w:pPr>
              <w:widowControl w:val="0"/>
              <w:suppressAutoHyphens w:val="0"/>
              <w:rPr>
                <w:b/>
                <w:bCs/>
                <w:szCs w:val="22"/>
                <w:lang w:val="nl-BE"/>
              </w:rPr>
            </w:pPr>
            <w:r>
              <w:rPr>
                <w:b/>
                <w:bCs/>
                <w:szCs w:val="22"/>
                <w:lang w:val="nl-BE"/>
              </w:rPr>
              <w:t>Italia</w:t>
            </w:r>
          </w:p>
          <w:p w14:paraId="109AE0BC" w14:textId="77777777" w:rsidR="009B3384" w:rsidRDefault="00800862">
            <w:pPr>
              <w:widowControl w:val="0"/>
              <w:suppressAutoHyphens w:val="0"/>
              <w:rPr>
                <w:szCs w:val="22"/>
                <w:lang w:val="nl-BE"/>
              </w:rPr>
            </w:pPr>
            <w:r>
              <w:rPr>
                <w:szCs w:val="22"/>
                <w:lang w:val="nl-BE"/>
              </w:rPr>
              <w:t>Janssen-Cilag SpA</w:t>
            </w:r>
          </w:p>
          <w:p w14:paraId="109AE0BD" w14:textId="77777777" w:rsidR="009B3384" w:rsidRDefault="00800862">
            <w:pPr>
              <w:suppressAutoHyphens w:val="0"/>
              <w:rPr>
                <w:szCs w:val="22"/>
                <w:lang w:val="nl-BE"/>
              </w:rPr>
            </w:pPr>
            <w:r>
              <w:rPr>
                <w:szCs w:val="22"/>
                <w:lang w:val="nl-BE"/>
              </w:rPr>
              <w:t>Tel: 800.688.777 / +39 02 2510 1</w:t>
            </w:r>
          </w:p>
          <w:p w14:paraId="109AE0BE" w14:textId="77777777" w:rsidR="009B3384" w:rsidRDefault="00800862">
            <w:pPr>
              <w:suppressAutoHyphens w:val="0"/>
              <w:rPr>
                <w:szCs w:val="22"/>
                <w:lang w:val="it-IT"/>
              </w:rPr>
            </w:pPr>
            <w:r>
              <w:rPr>
                <w:szCs w:val="22"/>
                <w:lang w:val="en-GB"/>
              </w:rPr>
              <w:t>janssenita@its.jnj.com</w:t>
            </w:r>
          </w:p>
          <w:p w14:paraId="109AE0BF" w14:textId="77777777" w:rsidR="009B3384" w:rsidRDefault="009B3384">
            <w:pPr>
              <w:widowControl w:val="0"/>
              <w:suppressAutoHyphens w:val="0"/>
              <w:rPr>
                <w:szCs w:val="22"/>
                <w:lang w:val="it-IT"/>
              </w:rPr>
            </w:pPr>
          </w:p>
        </w:tc>
        <w:tc>
          <w:tcPr>
            <w:tcW w:w="4805" w:type="dxa"/>
            <w:hideMark/>
          </w:tcPr>
          <w:p w14:paraId="109AE0C0" w14:textId="77777777" w:rsidR="009B3384" w:rsidRDefault="00800862">
            <w:pPr>
              <w:widowControl w:val="0"/>
              <w:suppressAutoHyphens w:val="0"/>
              <w:rPr>
                <w:b/>
                <w:bCs/>
                <w:szCs w:val="22"/>
                <w:lang w:val="it-IT"/>
              </w:rPr>
            </w:pPr>
            <w:r>
              <w:rPr>
                <w:b/>
                <w:bCs/>
                <w:szCs w:val="22"/>
                <w:lang w:val="it-IT"/>
              </w:rPr>
              <w:t>Suomi/Finland</w:t>
            </w:r>
          </w:p>
          <w:p w14:paraId="109AE0C1" w14:textId="77777777" w:rsidR="009B3384" w:rsidRDefault="00800862">
            <w:pPr>
              <w:widowControl w:val="0"/>
              <w:suppressAutoHyphens w:val="0"/>
              <w:rPr>
                <w:szCs w:val="22"/>
                <w:lang w:val="it-IT"/>
              </w:rPr>
            </w:pPr>
            <w:r>
              <w:rPr>
                <w:szCs w:val="22"/>
                <w:lang w:val="it-IT"/>
              </w:rPr>
              <w:t>Janssen-Cilag Oy</w:t>
            </w:r>
          </w:p>
          <w:p w14:paraId="109AE0C2" w14:textId="77777777" w:rsidR="009B3384" w:rsidRDefault="00800862">
            <w:pPr>
              <w:widowControl w:val="0"/>
              <w:suppressAutoHyphens w:val="0"/>
              <w:rPr>
                <w:szCs w:val="22"/>
                <w:lang w:val="nl-NL"/>
              </w:rPr>
            </w:pPr>
            <w:r>
              <w:rPr>
                <w:szCs w:val="22"/>
                <w:lang w:val="nl-NL"/>
              </w:rPr>
              <w:t>Puh/Tel: +358 207 531 300</w:t>
            </w:r>
          </w:p>
          <w:p w14:paraId="109AE0C3" w14:textId="77777777" w:rsidR="009B3384" w:rsidRDefault="00800862">
            <w:pPr>
              <w:widowControl w:val="0"/>
              <w:suppressAutoHyphens w:val="0"/>
              <w:rPr>
                <w:szCs w:val="22"/>
                <w:lang w:val="en-GB"/>
              </w:rPr>
            </w:pPr>
            <w:r>
              <w:rPr>
                <w:szCs w:val="22"/>
                <w:lang w:val="en-GB"/>
              </w:rPr>
              <w:t>jacfi@its.jnj.com</w:t>
            </w:r>
          </w:p>
          <w:p w14:paraId="109AE0C4" w14:textId="77777777" w:rsidR="009B3384" w:rsidRDefault="009B3384">
            <w:pPr>
              <w:widowControl w:val="0"/>
              <w:suppressAutoHyphens w:val="0"/>
              <w:rPr>
                <w:szCs w:val="22"/>
                <w:lang w:val="en-GB"/>
              </w:rPr>
            </w:pPr>
          </w:p>
        </w:tc>
      </w:tr>
      <w:tr w:rsidR="009B3384" w14:paraId="109AE0CF" w14:textId="77777777">
        <w:trPr>
          <w:gridBefore w:val="1"/>
          <w:wBefore w:w="10" w:type="dxa"/>
          <w:cantSplit/>
          <w:jc w:val="center"/>
        </w:trPr>
        <w:tc>
          <w:tcPr>
            <w:tcW w:w="4260" w:type="dxa"/>
            <w:hideMark/>
          </w:tcPr>
          <w:p w14:paraId="109AE0C6" w14:textId="77777777" w:rsidR="009B3384" w:rsidRDefault="00800862">
            <w:pPr>
              <w:widowControl w:val="0"/>
              <w:suppressAutoHyphens w:val="0"/>
              <w:rPr>
                <w:b/>
                <w:bCs/>
                <w:szCs w:val="22"/>
                <w:lang w:val="el-GR"/>
              </w:rPr>
            </w:pPr>
            <w:r>
              <w:rPr>
                <w:b/>
                <w:bCs/>
                <w:szCs w:val="22"/>
                <w:lang w:val="el-GR"/>
              </w:rPr>
              <w:t>Κύπρος</w:t>
            </w:r>
          </w:p>
          <w:p w14:paraId="109AE0C7" w14:textId="77777777" w:rsidR="009B3384" w:rsidRDefault="00800862">
            <w:pPr>
              <w:widowControl w:val="0"/>
              <w:suppressAutoHyphens w:val="0"/>
              <w:rPr>
                <w:szCs w:val="22"/>
                <w:lang w:val="el-GR"/>
              </w:rPr>
            </w:pPr>
            <w:r>
              <w:rPr>
                <w:szCs w:val="22"/>
                <w:lang w:val="el-GR"/>
              </w:rPr>
              <w:t>Βαρνάβας Χατζηπαναγής Λτδ</w:t>
            </w:r>
          </w:p>
          <w:p w14:paraId="109AE0C8" w14:textId="77777777" w:rsidR="009B3384" w:rsidRDefault="00800862">
            <w:pPr>
              <w:widowControl w:val="0"/>
              <w:suppressAutoHyphens w:val="0"/>
              <w:rPr>
                <w:szCs w:val="22"/>
                <w:lang w:val="el-GR"/>
              </w:rPr>
            </w:pPr>
            <w:r>
              <w:rPr>
                <w:szCs w:val="22"/>
                <w:lang w:val="en-GB"/>
              </w:rPr>
              <w:t>T</w:t>
            </w:r>
            <w:r>
              <w:rPr>
                <w:szCs w:val="22"/>
                <w:lang w:val="el-GR"/>
              </w:rPr>
              <w:t>ηλ: +357 22 207 700</w:t>
            </w:r>
          </w:p>
          <w:p w14:paraId="109AE0C9" w14:textId="77777777" w:rsidR="009B3384" w:rsidRDefault="009B3384">
            <w:pPr>
              <w:widowControl w:val="0"/>
              <w:suppressAutoHyphens w:val="0"/>
              <w:rPr>
                <w:szCs w:val="22"/>
                <w:lang w:val="el-GR"/>
              </w:rPr>
            </w:pPr>
          </w:p>
        </w:tc>
        <w:tc>
          <w:tcPr>
            <w:tcW w:w="4805" w:type="dxa"/>
          </w:tcPr>
          <w:p w14:paraId="109AE0CA" w14:textId="77777777" w:rsidR="009B3384" w:rsidRDefault="00800862">
            <w:pPr>
              <w:widowControl w:val="0"/>
              <w:suppressAutoHyphens w:val="0"/>
              <w:rPr>
                <w:b/>
                <w:bCs/>
                <w:szCs w:val="22"/>
                <w:lang w:val="de-DE"/>
              </w:rPr>
            </w:pPr>
            <w:r>
              <w:rPr>
                <w:b/>
                <w:bCs/>
                <w:szCs w:val="22"/>
                <w:lang w:val="de-DE"/>
              </w:rPr>
              <w:t>Sverige</w:t>
            </w:r>
          </w:p>
          <w:p w14:paraId="109AE0CB" w14:textId="77777777" w:rsidR="009B3384" w:rsidRDefault="00800862">
            <w:pPr>
              <w:widowControl w:val="0"/>
              <w:suppressAutoHyphens w:val="0"/>
              <w:rPr>
                <w:szCs w:val="22"/>
                <w:lang w:val="de-DE"/>
              </w:rPr>
            </w:pPr>
            <w:r>
              <w:rPr>
                <w:szCs w:val="22"/>
                <w:lang w:val="de-DE"/>
              </w:rPr>
              <w:t>Janssen-Cilag AB</w:t>
            </w:r>
          </w:p>
          <w:p w14:paraId="109AE0CC" w14:textId="77777777" w:rsidR="009B3384" w:rsidRDefault="00800862">
            <w:pPr>
              <w:widowControl w:val="0"/>
              <w:suppressAutoHyphens w:val="0"/>
              <w:rPr>
                <w:szCs w:val="22"/>
                <w:lang w:val="de-DE"/>
              </w:rPr>
            </w:pPr>
            <w:r>
              <w:rPr>
                <w:szCs w:val="22"/>
                <w:lang w:val="de-DE"/>
              </w:rPr>
              <w:t>Tfn: +46 8 626 50 00</w:t>
            </w:r>
          </w:p>
          <w:p w14:paraId="109AE0CD" w14:textId="77777777" w:rsidR="009B3384" w:rsidRDefault="00800862">
            <w:pPr>
              <w:widowControl w:val="0"/>
              <w:suppressAutoHyphens w:val="0"/>
              <w:rPr>
                <w:szCs w:val="22"/>
                <w:lang w:val="en-GB"/>
              </w:rPr>
            </w:pPr>
            <w:r>
              <w:rPr>
                <w:szCs w:val="22"/>
                <w:lang w:val="en-GB"/>
              </w:rPr>
              <w:t>jacse@its.jnj.com</w:t>
            </w:r>
          </w:p>
          <w:p w14:paraId="109AE0CE" w14:textId="77777777" w:rsidR="009B3384" w:rsidRDefault="009B3384">
            <w:pPr>
              <w:widowControl w:val="0"/>
              <w:suppressAutoHyphens w:val="0"/>
              <w:rPr>
                <w:szCs w:val="22"/>
                <w:lang w:val="en-GB"/>
              </w:rPr>
            </w:pPr>
          </w:p>
        </w:tc>
      </w:tr>
      <w:tr w:rsidR="009B3384" w14:paraId="109AE0D9" w14:textId="77777777">
        <w:trPr>
          <w:gridBefore w:val="1"/>
          <w:wBefore w:w="10" w:type="dxa"/>
          <w:cantSplit/>
          <w:jc w:val="center"/>
        </w:trPr>
        <w:tc>
          <w:tcPr>
            <w:tcW w:w="4260" w:type="dxa"/>
            <w:hideMark/>
          </w:tcPr>
          <w:p w14:paraId="109AE0D0" w14:textId="77777777" w:rsidR="009B3384" w:rsidRDefault="00800862">
            <w:pPr>
              <w:widowControl w:val="0"/>
              <w:suppressAutoHyphens w:val="0"/>
              <w:rPr>
                <w:b/>
                <w:bCs/>
                <w:szCs w:val="22"/>
              </w:rPr>
            </w:pPr>
            <w:proofErr w:type="spellStart"/>
            <w:r>
              <w:rPr>
                <w:b/>
                <w:bCs/>
                <w:szCs w:val="22"/>
                <w:lang w:val="en-GB"/>
              </w:rPr>
              <w:t>Latvija</w:t>
            </w:r>
            <w:proofErr w:type="spellEnd"/>
          </w:p>
          <w:p w14:paraId="109AE0D1" w14:textId="77777777" w:rsidR="009B3384" w:rsidRDefault="00800862">
            <w:pPr>
              <w:widowControl w:val="0"/>
              <w:suppressAutoHyphens w:val="0"/>
              <w:rPr>
                <w:szCs w:val="22"/>
              </w:rPr>
            </w:pPr>
            <w:r>
              <w:rPr>
                <w:szCs w:val="22"/>
                <w:lang w:val="en-GB"/>
              </w:rPr>
              <w:t>UAB</w:t>
            </w:r>
            <w:r>
              <w:rPr>
                <w:szCs w:val="22"/>
              </w:rPr>
              <w:t xml:space="preserve"> "</w:t>
            </w:r>
            <w:r>
              <w:rPr>
                <w:szCs w:val="22"/>
                <w:lang w:val="en-GB"/>
              </w:rPr>
              <w:t>JOHNSON</w:t>
            </w:r>
            <w:r>
              <w:rPr>
                <w:szCs w:val="22"/>
              </w:rPr>
              <w:t xml:space="preserve"> &amp; </w:t>
            </w:r>
            <w:r>
              <w:rPr>
                <w:szCs w:val="22"/>
                <w:lang w:val="en-GB"/>
              </w:rPr>
              <w:t>JOHNSON</w:t>
            </w:r>
            <w:r>
              <w:rPr>
                <w:szCs w:val="22"/>
              </w:rPr>
              <w:t xml:space="preserve">" </w:t>
            </w:r>
            <w:proofErr w:type="spellStart"/>
            <w:r>
              <w:rPr>
                <w:szCs w:val="22"/>
                <w:lang w:val="en-GB"/>
              </w:rPr>
              <w:t>fili</w:t>
            </w:r>
            <w:proofErr w:type="spellEnd"/>
            <w:r>
              <w:rPr>
                <w:szCs w:val="22"/>
              </w:rPr>
              <w:t>ā</w:t>
            </w:r>
            <w:r>
              <w:rPr>
                <w:szCs w:val="22"/>
                <w:lang w:val="en-GB"/>
              </w:rPr>
              <w:t>le</w:t>
            </w:r>
            <w:r>
              <w:rPr>
                <w:szCs w:val="22"/>
              </w:rPr>
              <w:t xml:space="preserve"> </w:t>
            </w:r>
            <w:proofErr w:type="spellStart"/>
            <w:r>
              <w:rPr>
                <w:szCs w:val="22"/>
                <w:lang w:val="en-GB"/>
              </w:rPr>
              <w:t>Latvij</w:t>
            </w:r>
            <w:proofErr w:type="spellEnd"/>
            <w:r>
              <w:rPr>
                <w:szCs w:val="22"/>
              </w:rPr>
              <w:t>ā</w:t>
            </w:r>
          </w:p>
          <w:p w14:paraId="109AE0D2" w14:textId="77777777" w:rsidR="009B3384" w:rsidRDefault="00800862">
            <w:pPr>
              <w:widowControl w:val="0"/>
              <w:suppressAutoHyphens w:val="0"/>
              <w:rPr>
                <w:szCs w:val="22"/>
                <w:lang w:val="en-GB"/>
              </w:rPr>
            </w:pPr>
            <w:r>
              <w:rPr>
                <w:szCs w:val="22"/>
                <w:lang w:val="en-GB"/>
              </w:rPr>
              <w:t>Tel: +371 678 93561</w:t>
            </w:r>
          </w:p>
          <w:p w14:paraId="109AE0D3" w14:textId="77777777" w:rsidR="009B3384" w:rsidRDefault="00800862">
            <w:pPr>
              <w:widowControl w:val="0"/>
              <w:suppressAutoHyphens w:val="0"/>
              <w:rPr>
                <w:b/>
                <w:bCs/>
                <w:szCs w:val="22"/>
                <w:lang w:val="en-GB"/>
              </w:rPr>
            </w:pPr>
            <w:r>
              <w:rPr>
                <w:szCs w:val="22"/>
                <w:lang w:val="en-GB"/>
              </w:rPr>
              <w:t>lv@its.jnj.com</w:t>
            </w:r>
          </w:p>
          <w:p w14:paraId="109AE0D4" w14:textId="77777777" w:rsidR="009B3384" w:rsidRDefault="009B3384">
            <w:pPr>
              <w:widowControl w:val="0"/>
              <w:suppressAutoHyphens w:val="0"/>
              <w:rPr>
                <w:b/>
                <w:bCs/>
                <w:szCs w:val="22"/>
                <w:lang w:val="en-GB"/>
              </w:rPr>
            </w:pPr>
          </w:p>
        </w:tc>
        <w:tc>
          <w:tcPr>
            <w:tcW w:w="4805" w:type="dxa"/>
          </w:tcPr>
          <w:p w14:paraId="109AE0D8" w14:textId="7EA42F69" w:rsidR="009B3384" w:rsidRDefault="009B3384">
            <w:pPr>
              <w:widowControl w:val="0"/>
              <w:suppressAutoHyphens w:val="0"/>
              <w:rPr>
                <w:b/>
                <w:bCs/>
                <w:szCs w:val="22"/>
                <w:lang w:val="de-DE"/>
              </w:rPr>
            </w:pPr>
          </w:p>
        </w:tc>
      </w:tr>
    </w:tbl>
    <w:p w14:paraId="109AE0DA" w14:textId="77777777" w:rsidR="009B3384" w:rsidRDefault="009B3384">
      <w:pPr>
        <w:widowControl w:val="0"/>
        <w:suppressAutoHyphens w:val="0"/>
        <w:rPr>
          <w:szCs w:val="22"/>
          <w:lang w:val="de-DE"/>
        </w:rPr>
      </w:pPr>
    </w:p>
    <w:p w14:paraId="109AE0DB" w14:textId="77777777" w:rsidR="009B3384" w:rsidRDefault="00800862">
      <w:pPr>
        <w:rPr>
          <w:szCs w:val="22"/>
        </w:rPr>
      </w:pPr>
      <w:r>
        <w:rPr>
          <w:b/>
          <w:szCs w:val="22"/>
        </w:rPr>
        <w:t>Дата на последно преразглеждане на листовката</w:t>
      </w:r>
    </w:p>
    <w:p w14:paraId="109AE0DC" w14:textId="77777777" w:rsidR="009B3384" w:rsidRDefault="009B3384">
      <w:pPr>
        <w:rPr>
          <w:szCs w:val="22"/>
        </w:rPr>
      </w:pPr>
    </w:p>
    <w:p w14:paraId="109AE0DD" w14:textId="77777777" w:rsidR="009B3384" w:rsidRDefault="00800862">
      <w:pPr>
        <w:rPr>
          <w:szCs w:val="22"/>
        </w:rPr>
      </w:pPr>
      <w:r>
        <w:rPr>
          <w:szCs w:val="22"/>
        </w:rPr>
        <w:t xml:space="preserve">Подробна информация за това лекарство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r>
        <w:br w:type="page"/>
      </w:r>
    </w:p>
    <w:p w14:paraId="109AE0DE" w14:textId="77777777" w:rsidR="009B3384" w:rsidRDefault="00800862">
      <w:pPr>
        <w:rPr>
          <w:b/>
          <w:szCs w:val="22"/>
        </w:rPr>
      </w:pPr>
      <w:r>
        <w:rPr>
          <w:b/>
          <w:szCs w:val="22"/>
        </w:rPr>
        <w:lastRenderedPageBreak/>
        <w:t>Указания за приложение</w:t>
      </w:r>
    </w:p>
    <w:p w14:paraId="109AE0DF" w14:textId="77777777" w:rsidR="009B3384" w:rsidRDefault="009B3384"/>
    <w:p w14:paraId="109AE0E0" w14:textId="77777777" w:rsidR="009B3384" w:rsidRDefault="00800862">
      <w:pPr>
        <w:rPr>
          <w:szCs w:val="22"/>
        </w:rPr>
      </w:pPr>
      <w:r>
        <w:rPr>
          <w:szCs w:val="22"/>
        </w:rPr>
        <w:t xml:space="preserve">В началото на лечението медицински специалист ще Ви постави Вашата първа инжекция. Вие и Вашият лекар обаче може да решите, че Вие сами може да си инжектирате Stelara. В такъв случай ще преминете обучение как да инжектирате Stelara. </w:t>
      </w:r>
      <w:r>
        <w:rPr>
          <w:bCs/>
          <w:szCs w:val="22"/>
        </w:rPr>
        <w:t>Говорете с Вашия лекар, ако имате въпроси относно поставянето на инжекцията.</w:t>
      </w:r>
    </w:p>
    <w:p w14:paraId="109AE0E1" w14:textId="77777777" w:rsidR="009B3384" w:rsidRDefault="00800862">
      <w:pPr>
        <w:numPr>
          <w:ilvl w:val="0"/>
          <w:numId w:val="30"/>
        </w:numPr>
        <w:tabs>
          <w:tab w:val="clear" w:pos="567"/>
        </w:tabs>
        <w:rPr>
          <w:bCs/>
          <w:szCs w:val="22"/>
        </w:rPr>
      </w:pPr>
      <w:r>
        <w:rPr>
          <w:bCs/>
          <w:szCs w:val="22"/>
        </w:rPr>
        <w:t>Не смесвайте Stelara с други течности за инжекция.</w:t>
      </w:r>
    </w:p>
    <w:p w14:paraId="109AE0E2" w14:textId="77777777" w:rsidR="009B3384" w:rsidRDefault="00800862">
      <w:pPr>
        <w:numPr>
          <w:ilvl w:val="0"/>
          <w:numId w:val="30"/>
        </w:numPr>
        <w:tabs>
          <w:tab w:val="clear" w:pos="567"/>
        </w:tabs>
        <w:rPr>
          <w:bCs/>
          <w:szCs w:val="22"/>
        </w:rPr>
      </w:pPr>
      <w:r>
        <w:rPr>
          <w:bCs/>
          <w:szCs w:val="22"/>
        </w:rPr>
        <w:t>Не разклащайте флаконите Stelara. Причината за това е, че силното разклащане може да повреди лекарството. Не употребявайте лекарството, ако е било силно разклатено.</w:t>
      </w:r>
    </w:p>
    <w:p w14:paraId="109AE0E3" w14:textId="77777777" w:rsidR="009B3384" w:rsidRDefault="009B3384"/>
    <w:p w14:paraId="109AE0E4" w14:textId="77777777" w:rsidR="009B3384" w:rsidRDefault="00800862">
      <w:pPr>
        <w:keepNext/>
        <w:rPr>
          <w:b/>
        </w:rPr>
      </w:pPr>
      <w:r>
        <w:rPr>
          <w:b/>
        </w:rPr>
        <w:t>1. Проверете броя на флаконите и подгответе материалите:</w:t>
      </w:r>
    </w:p>
    <w:p w14:paraId="109AE0E5" w14:textId="77777777" w:rsidR="009B3384" w:rsidRDefault="00800862">
      <w:r>
        <w:t>Извадете флакона (флаконите) от хладилника. Оставете флакона да престои около половин час. Това ще позволи на течността да достигне подходяща температура за инжектиране (стайна температура).</w:t>
      </w:r>
    </w:p>
    <w:p w14:paraId="109AE0E6" w14:textId="77777777" w:rsidR="009B3384" w:rsidRDefault="009B3384"/>
    <w:p w14:paraId="109AE0E7" w14:textId="77777777" w:rsidR="009B3384" w:rsidRPr="00F9219D" w:rsidRDefault="00800862">
      <w:r>
        <w:t>Проверете флакона (флаконите), за да се уверите, че</w:t>
      </w:r>
      <w:del w:id="1344" w:author="RABG09" w:date="2026-06-25T10:29:00Z">
        <w:r w:rsidDel="00E12338">
          <w:delText>:</w:delText>
        </w:r>
      </w:del>
    </w:p>
    <w:p w14:paraId="109AE0E8" w14:textId="77777777" w:rsidR="009B3384" w:rsidRDefault="00800862">
      <w:pPr>
        <w:numPr>
          <w:ilvl w:val="0"/>
          <w:numId w:val="30"/>
        </w:numPr>
        <w:tabs>
          <w:tab w:val="clear" w:pos="567"/>
        </w:tabs>
        <w:rPr>
          <w:bCs/>
          <w:szCs w:val="22"/>
        </w:rPr>
      </w:pPr>
      <w:r>
        <w:rPr>
          <w:bCs/>
          <w:szCs w:val="22"/>
        </w:rPr>
        <w:t>броят на флаконите и количеството на активното вещество в дозова единица са верни</w:t>
      </w:r>
    </w:p>
    <w:p w14:paraId="109AE0E9" w14:textId="77777777" w:rsidR="009B3384" w:rsidRDefault="00800862">
      <w:pPr>
        <w:numPr>
          <w:ilvl w:val="0"/>
          <w:numId w:val="29"/>
        </w:numPr>
        <w:ind w:left="1134" w:hanging="567"/>
      </w:pPr>
      <w:r>
        <w:t>Ако Вашата доза е 45 mg или по-малко, ще получите един 45 mg флакон със Stelara.</w:t>
      </w:r>
    </w:p>
    <w:p w14:paraId="109AE0EA" w14:textId="4D9259DA" w:rsidR="009B3384" w:rsidRDefault="00800862">
      <w:pPr>
        <w:numPr>
          <w:ilvl w:val="0"/>
          <w:numId w:val="29"/>
        </w:numPr>
        <w:ind w:left="1134" w:hanging="567"/>
      </w:pPr>
      <w:r>
        <w:t>Ако Вашата доза е повече от 45 mg, ще получите два 45 mg флакона със Stelara и ще трябва да си поставите две инжекции. Изберете две различни места на инжектиране (напр</w:t>
      </w:r>
      <w:ins w:id="1345" w:author="RABG09" w:date="2026-06-25T10:29:00Z">
        <w:r w:rsidR="00662EFB" w:rsidRPr="00F9219D">
          <w:t>.</w:t>
        </w:r>
      </w:ins>
      <w:del w:id="1346" w:author="RABG09" w:date="2026-06-25T10:29:00Z">
        <w:r w:rsidDel="00662EFB">
          <w:delText>имер</w:delText>
        </w:r>
      </w:del>
      <w:r>
        <w:t xml:space="preserve"> едната инжекция в дясното бедро, а другата – в лявото) и ги направете една след друга. Използвайте нова игла и спринцовка за всяка инжекция.</w:t>
      </w:r>
    </w:p>
    <w:p w14:paraId="109AE0EB" w14:textId="77777777" w:rsidR="009B3384" w:rsidRDefault="00800862">
      <w:pPr>
        <w:numPr>
          <w:ilvl w:val="0"/>
          <w:numId w:val="30"/>
        </w:numPr>
        <w:tabs>
          <w:tab w:val="clear" w:pos="567"/>
        </w:tabs>
        <w:rPr>
          <w:bCs/>
          <w:szCs w:val="22"/>
        </w:rPr>
      </w:pPr>
      <w:r>
        <w:rPr>
          <w:bCs/>
          <w:szCs w:val="22"/>
        </w:rPr>
        <w:t>това е правилното лекарство</w:t>
      </w:r>
    </w:p>
    <w:p w14:paraId="109AE0EC" w14:textId="77777777" w:rsidR="009B3384" w:rsidRDefault="00800862">
      <w:pPr>
        <w:numPr>
          <w:ilvl w:val="0"/>
          <w:numId w:val="30"/>
        </w:numPr>
        <w:tabs>
          <w:tab w:val="clear" w:pos="567"/>
        </w:tabs>
        <w:rPr>
          <w:bCs/>
          <w:szCs w:val="22"/>
        </w:rPr>
      </w:pPr>
      <w:r>
        <w:rPr>
          <w:bCs/>
          <w:szCs w:val="22"/>
        </w:rPr>
        <w:t>срокът на годност не е изтекъл</w:t>
      </w:r>
    </w:p>
    <w:p w14:paraId="109AE0ED" w14:textId="77777777" w:rsidR="009B3384" w:rsidRDefault="00800862">
      <w:pPr>
        <w:numPr>
          <w:ilvl w:val="0"/>
          <w:numId w:val="30"/>
        </w:numPr>
        <w:tabs>
          <w:tab w:val="clear" w:pos="567"/>
        </w:tabs>
        <w:rPr>
          <w:bCs/>
          <w:szCs w:val="22"/>
        </w:rPr>
      </w:pPr>
      <w:r>
        <w:rPr>
          <w:bCs/>
          <w:szCs w:val="22"/>
        </w:rPr>
        <w:t>флаконът не е повреден и обкатката не е счупена</w:t>
      </w:r>
    </w:p>
    <w:p w14:paraId="109AE0EE" w14:textId="77777777" w:rsidR="009B3384" w:rsidRDefault="00800862">
      <w:pPr>
        <w:numPr>
          <w:ilvl w:val="0"/>
          <w:numId w:val="30"/>
        </w:numPr>
        <w:tabs>
          <w:tab w:val="clear" w:pos="567"/>
        </w:tabs>
        <w:rPr>
          <w:bCs/>
          <w:szCs w:val="22"/>
        </w:rPr>
      </w:pPr>
      <w:r>
        <w:t>разтворът във флакона е бистър до леко опалесцентен (с перлен блясък) и безцветен до бледожълт</w:t>
      </w:r>
    </w:p>
    <w:p w14:paraId="109AE0EF" w14:textId="77777777" w:rsidR="009B3384" w:rsidRDefault="00800862">
      <w:pPr>
        <w:numPr>
          <w:ilvl w:val="0"/>
          <w:numId w:val="30"/>
        </w:numPr>
        <w:tabs>
          <w:tab w:val="clear" w:pos="567"/>
        </w:tabs>
        <w:rPr>
          <w:bCs/>
          <w:szCs w:val="22"/>
        </w:rPr>
      </w:pPr>
      <w:r>
        <w:rPr>
          <w:bCs/>
          <w:szCs w:val="22"/>
        </w:rPr>
        <w:t>разтворът не е с променен цвят или мътен и не съдържа чужди частици</w:t>
      </w:r>
    </w:p>
    <w:p w14:paraId="109AE0F0" w14:textId="77777777" w:rsidR="009B3384" w:rsidRDefault="00800862">
      <w:pPr>
        <w:numPr>
          <w:ilvl w:val="0"/>
          <w:numId w:val="30"/>
        </w:numPr>
        <w:tabs>
          <w:tab w:val="clear" w:pos="567"/>
        </w:tabs>
        <w:rPr>
          <w:bCs/>
          <w:szCs w:val="22"/>
        </w:rPr>
      </w:pPr>
      <w:r>
        <w:rPr>
          <w:bCs/>
          <w:szCs w:val="22"/>
        </w:rPr>
        <w:t>разтворът не е замръзнал.</w:t>
      </w:r>
    </w:p>
    <w:p w14:paraId="109AE0F1" w14:textId="77777777" w:rsidR="009B3384" w:rsidRDefault="009B3384"/>
    <w:p w14:paraId="109AE0F2" w14:textId="17344FB1" w:rsidR="009B3384" w:rsidRDefault="00800862">
      <w:r>
        <w:t xml:space="preserve">Деца </w:t>
      </w:r>
      <w:bookmarkStart w:id="1347" w:name="_Hlk188382663"/>
      <w:r>
        <w:t xml:space="preserve">с плаков псориазис </w:t>
      </w:r>
      <w:bookmarkEnd w:id="1347"/>
      <w:r>
        <w:t>с тегло под 60</w:t>
      </w:r>
      <w:r>
        <w:rPr>
          <w:lang w:val="en-US"/>
        </w:rPr>
        <w:t> kg</w:t>
      </w:r>
      <w:r>
        <w:t xml:space="preserve"> се нуждаят от доза, по-ниска от 45</w:t>
      </w:r>
      <w:r>
        <w:rPr>
          <w:lang w:val="en-US"/>
        </w:rPr>
        <w:t> mg</w:t>
      </w:r>
      <w:r>
        <w:t xml:space="preserve">, а деца с болест на Крон </w:t>
      </w:r>
      <w:ins w:id="1348" w:author="Reviser" w:date="2026-04-30T15:43:00Z">
        <w:r w:rsidR="001F5D56">
          <w:rPr>
            <w:bCs/>
          </w:rPr>
          <w:t>или улцерозен колит</w:t>
        </w:r>
        <w:r w:rsidR="001F5D56">
          <w:t xml:space="preserve"> </w:t>
        </w:r>
      </w:ins>
      <w:r>
        <w:t>с тегло под 40</w:t>
      </w:r>
      <w:r>
        <w:rPr>
          <w:lang w:val="en-US"/>
        </w:rPr>
        <w:t> kg</w:t>
      </w:r>
      <w:r>
        <w:t xml:space="preserve"> се нуждаят от доза по-малка от 90</w:t>
      </w:r>
      <w:r>
        <w:rPr>
          <w:lang w:val="en-US"/>
        </w:rPr>
        <w:t> mg</w:t>
      </w:r>
      <w:r>
        <w:t>. Уверете се, че знаете точното количество (обем), което трябва да изтеглите от флакона(ите) и вида на спринцовката(ите), необходими за дозиране. Ако не знаете необходимите количество или вид на спринцовката</w:t>
      </w:r>
      <w:del w:id="1349" w:author="Reviser" w:date="2026-04-30T15:44:00Z">
        <w:r w:rsidDel="001F5D56">
          <w:delText>(ите)</w:delText>
        </w:r>
      </w:del>
      <w:r>
        <w:t>, свържете се с Вашия медицински специалист за допълнителни инструкции.</w:t>
      </w:r>
    </w:p>
    <w:p w14:paraId="109AE0F3" w14:textId="77777777" w:rsidR="009B3384" w:rsidRDefault="009B3384"/>
    <w:p w14:paraId="109AE0F4" w14:textId="77777777" w:rsidR="009B3384" w:rsidRDefault="00800862">
      <w:pPr>
        <w:tabs>
          <w:tab w:val="clear" w:pos="567"/>
        </w:tabs>
        <w:rPr>
          <w:bCs/>
          <w:szCs w:val="22"/>
        </w:rPr>
      </w:pPr>
      <w:r>
        <w:rPr>
          <w:bCs/>
          <w:szCs w:val="22"/>
        </w:rPr>
        <w:t xml:space="preserve">Съберете всички материали, от които се нуждаете, и ги поставете върху чиста повърхност. Те включват спринцовка, игла, антисептични кърпички, памучни тампони или марли и </w:t>
      </w:r>
      <w:r>
        <w:t>контейнер за остри предмети</w:t>
      </w:r>
      <w:r>
        <w:rPr>
          <w:bCs/>
          <w:szCs w:val="22"/>
        </w:rPr>
        <w:t xml:space="preserve"> </w:t>
      </w:r>
      <w:r>
        <w:rPr>
          <w:szCs w:val="22"/>
        </w:rPr>
        <w:t>(вж. фигура 1).</w:t>
      </w:r>
    </w:p>
    <w:p w14:paraId="109AE0F5" w14:textId="77777777" w:rsidR="009B3384" w:rsidRDefault="009B3384"/>
    <w:p w14:paraId="109AE0F6" w14:textId="77777777" w:rsidR="009B3384" w:rsidRDefault="00800862">
      <w:pPr>
        <w:keepNext/>
        <w:jc w:val="center"/>
        <w:rPr>
          <w:lang w:val="en-US"/>
        </w:rPr>
      </w:pPr>
      <w:r>
        <w:rPr>
          <w:noProof/>
          <w:lang w:eastAsia="bg-BG"/>
        </w:rPr>
        <w:drawing>
          <wp:inline distT="0" distB="0" distL="0" distR="0" wp14:anchorId="109AEA11" wp14:editId="109AEA12">
            <wp:extent cx="4114800"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a:stretch>
                      <a:fillRect/>
                    </a:stretch>
                  </pic:blipFill>
                  <pic:spPr bwMode="auto">
                    <a:xfrm>
                      <a:off x="0" y="0"/>
                      <a:ext cx="4114800" cy="1924050"/>
                    </a:xfrm>
                    <a:prstGeom prst="rect">
                      <a:avLst/>
                    </a:prstGeom>
                  </pic:spPr>
                </pic:pic>
              </a:graphicData>
            </a:graphic>
          </wp:inline>
        </w:drawing>
      </w:r>
    </w:p>
    <w:p w14:paraId="109AE0F7" w14:textId="77777777" w:rsidR="009B3384" w:rsidRDefault="00800862">
      <w:pPr>
        <w:jc w:val="center"/>
      </w:pPr>
      <w:r>
        <w:t>Фигура 1</w:t>
      </w:r>
    </w:p>
    <w:p w14:paraId="109AE0F8" w14:textId="77777777" w:rsidR="009B3384" w:rsidRDefault="009B3384"/>
    <w:p w14:paraId="109AE0F9" w14:textId="77777777" w:rsidR="009B3384" w:rsidRDefault="00800862">
      <w:pPr>
        <w:keepNext/>
        <w:rPr>
          <w:b/>
        </w:rPr>
      </w:pPr>
      <w:r>
        <w:rPr>
          <w:b/>
        </w:rPr>
        <w:lastRenderedPageBreak/>
        <w:t>2. Изберете и подгответе мястото за инжектиране:</w:t>
      </w:r>
    </w:p>
    <w:p w14:paraId="109AE0FA" w14:textId="77777777" w:rsidR="009B3384" w:rsidRDefault="00800862">
      <w:pPr>
        <w:rPr>
          <w:szCs w:val="22"/>
        </w:rPr>
      </w:pPr>
      <w:r>
        <w:rPr>
          <w:szCs w:val="22"/>
        </w:rPr>
        <w:t>Изберете място за инжектиране (вж. фигура 2)</w:t>
      </w:r>
    </w:p>
    <w:p w14:paraId="109AE0FB" w14:textId="77777777" w:rsidR="009B3384" w:rsidRDefault="00800862">
      <w:pPr>
        <w:numPr>
          <w:ilvl w:val="0"/>
          <w:numId w:val="30"/>
        </w:numPr>
        <w:tabs>
          <w:tab w:val="clear" w:pos="567"/>
        </w:tabs>
        <w:rPr>
          <w:bCs/>
          <w:szCs w:val="22"/>
        </w:rPr>
      </w:pPr>
      <w:r>
        <w:rPr>
          <w:bCs/>
          <w:szCs w:val="22"/>
        </w:rPr>
        <w:t>Stelara се прилага чрез инжекция под кожата (подкожно).</w:t>
      </w:r>
    </w:p>
    <w:p w14:paraId="109AE0FC" w14:textId="77777777" w:rsidR="009B3384" w:rsidRDefault="00800862">
      <w:pPr>
        <w:numPr>
          <w:ilvl w:val="0"/>
          <w:numId w:val="30"/>
        </w:numPr>
        <w:tabs>
          <w:tab w:val="clear" w:pos="567"/>
        </w:tabs>
        <w:rPr>
          <w:bCs/>
          <w:szCs w:val="22"/>
        </w:rPr>
      </w:pPr>
      <w:r>
        <w:rPr>
          <w:bCs/>
          <w:szCs w:val="22"/>
        </w:rPr>
        <w:t>Подходящи места за инжектиране са горната част на бедрото или областта около корема на разстояние най-малко 5 см от пъпа.</w:t>
      </w:r>
    </w:p>
    <w:p w14:paraId="109AE0FD" w14:textId="77777777" w:rsidR="009B3384" w:rsidRDefault="00800862">
      <w:pPr>
        <w:numPr>
          <w:ilvl w:val="0"/>
          <w:numId w:val="30"/>
        </w:numPr>
        <w:tabs>
          <w:tab w:val="clear" w:pos="567"/>
        </w:tabs>
        <w:rPr>
          <w:bCs/>
          <w:szCs w:val="22"/>
        </w:rPr>
      </w:pPr>
      <w:r>
        <w:rPr>
          <w:bCs/>
          <w:szCs w:val="22"/>
        </w:rPr>
        <w:t>Ако е възможно, не използвайте области от кожата с признаци на псориазис.</w:t>
      </w:r>
    </w:p>
    <w:p w14:paraId="109AE0FE" w14:textId="77777777" w:rsidR="009B3384" w:rsidRDefault="00800862">
      <w:pPr>
        <w:numPr>
          <w:ilvl w:val="0"/>
          <w:numId w:val="30"/>
        </w:numPr>
        <w:tabs>
          <w:tab w:val="clear" w:pos="567"/>
        </w:tabs>
        <w:rPr>
          <w:szCs w:val="22"/>
        </w:rPr>
      </w:pPr>
      <w:r>
        <w:rPr>
          <w:bCs/>
          <w:szCs w:val="22"/>
        </w:rPr>
        <w:t xml:space="preserve">Ако някой Ви помага при поставянето на инжекцията, той/тя може да избере и горната част на ръката </w:t>
      </w:r>
      <w:r>
        <w:rPr>
          <w:szCs w:val="22"/>
        </w:rPr>
        <w:t>като място за инжектиране.</w:t>
      </w:r>
    </w:p>
    <w:p w14:paraId="109AE0FF" w14:textId="77777777" w:rsidR="009B3384" w:rsidRDefault="009B3384">
      <w:pPr>
        <w:rPr>
          <w:szCs w:val="22"/>
        </w:rPr>
      </w:pPr>
    </w:p>
    <w:p w14:paraId="109AE100" w14:textId="77777777" w:rsidR="009B3384" w:rsidRDefault="00800862">
      <w:pPr>
        <w:keepNext/>
        <w:jc w:val="center"/>
        <w:rPr>
          <w:szCs w:val="22"/>
          <w:lang w:val="nl-BE"/>
        </w:rPr>
      </w:pPr>
      <w:r>
        <w:rPr>
          <w:noProof/>
          <w:lang w:eastAsia="bg-BG"/>
        </w:rPr>
        <w:drawing>
          <wp:inline distT="0" distB="0" distL="0" distR="0" wp14:anchorId="109AEA13" wp14:editId="109AEA14">
            <wp:extent cx="2924175" cy="173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6"/>
                    <a:stretch>
                      <a:fillRect/>
                    </a:stretch>
                  </pic:blipFill>
                  <pic:spPr bwMode="auto">
                    <a:xfrm>
                      <a:off x="0" y="0"/>
                      <a:ext cx="2924175" cy="1733550"/>
                    </a:xfrm>
                    <a:prstGeom prst="rect">
                      <a:avLst/>
                    </a:prstGeom>
                  </pic:spPr>
                </pic:pic>
              </a:graphicData>
            </a:graphic>
          </wp:inline>
        </w:drawing>
      </w:r>
    </w:p>
    <w:p w14:paraId="109AE101" w14:textId="77777777" w:rsidR="009B3384" w:rsidRDefault="00800862">
      <w:pPr>
        <w:jc w:val="center"/>
        <w:rPr>
          <w:szCs w:val="22"/>
        </w:rPr>
      </w:pPr>
      <w:r>
        <w:rPr>
          <w:szCs w:val="22"/>
        </w:rPr>
        <w:t>Фигура 2</w:t>
      </w:r>
    </w:p>
    <w:p w14:paraId="109AE102" w14:textId="77777777" w:rsidR="009B3384" w:rsidRDefault="009B3384">
      <w:pPr>
        <w:jc w:val="center"/>
        <w:rPr>
          <w:szCs w:val="22"/>
        </w:rPr>
      </w:pPr>
    </w:p>
    <w:p w14:paraId="109AE103" w14:textId="77777777" w:rsidR="009B3384" w:rsidRDefault="00800862">
      <w:pPr>
        <w:rPr>
          <w:szCs w:val="22"/>
        </w:rPr>
      </w:pPr>
      <w:r>
        <w:rPr>
          <w:szCs w:val="22"/>
        </w:rPr>
        <w:t>Подгответе мястото за инжектиране</w:t>
      </w:r>
    </w:p>
    <w:p w14:paraId="109AE104" w14:textId="77777777" w:rsidR="009B3384" w:rsidRDefault="00800862">
      <w:pPr>
        <w:numPr>
          <w:ilvl w:val="0"/>
          <w:numId w:val="30"/>
        </w:numPr>
        <w:tabs>
          <w:tab w:val="clear" w:pos="567"/>
        </w:tabs>
        <w:rPr>
          <w:bCs/>
          <w:szCs w:val="22"/>
        </w:rPr>
      </w:pPr>
      <w:r>
        <w:rPr>
          <w:szCs w:val="22"/>
        </w:rPr>
        <w:t>Измийте ръцете си много добре със сапун и топла вода.</w:t>
      </w:r>
    </w:p>
    <w:p w14:paraId="109AE105" w14:textId="77777777" w:rsidR="009B3384" w:rsidRDefault="00800862">
      <w:pPr>
        <w:numPr>
          <w:ilvl w:val="0"/>
          <w:numId w:val="30"/>
        </w:numPr>
        <w:tabs>
          <w:tab w:val="clear" w:pos="567"/>
        </w:tabs>
        <w:rPr>
          <w:szCs w:val="22"/>
        </w:rPr>
      </w:pPr>
      <w:r>
        <w:rPr>
          <w:bCs/>
          <w:szCs w:val="22"/>
        </w:rPr>
        <w:t>Почистете кожата на мястото за инжектиране с антисептична кърпичка</w:t>
      </w:r>
      <w:r>
        <w:rPr>
          <w:szCs w:val="22"/>
        </w:rPr>
        <w:t>.</w:t>
      </w:r>
    </w:p>
    <w:p w14:paraId="109AE106" w14:textId="77777777" w:rsidR="009B3384" w:rsidRDefault="00800862">
      <w:pPr>
        <w:numPr>
          <w:ilvl w:val="0"/>
          <w:numId w:val="30"/>
        </w:numPr>
        <w:tabs>
          <w:tab w:val="clear" w:pos="567"/>
        </w:tabs>
        <w:rPr>
          <w:szCs w:val="22"/>
        </w:rPr>
      </w:pPr>
      <w:r>
        <w:rPr>
          <w:b/>
          <w:bCs/>
          <w:szCs w:val="22"/>
        </w:rPr>
        <w:t>Не докосвайте</w:t>
      </w:r>
      <w:r>
        <w:rPr>
          <w:bCs/>
          <w:szCs w:val="22"/>
        </w:rPr>
        <w:t xml:space="preserve"> повече тази област до поставянето на инжекцията</w:t>
      </w:r>
      <w:r>
        <w:rPr>
          <w:szCs w:val="22"/>
        </w:rPr>
        <w:t>.</w:t>
      </w:r>
    </w:p>
    <w:p w14:paraId="109AE107" w14:textId="77777777" w:rsidR="009B3384" w:rsidRDefault="009B3384">
      <w:pPr>
        <w:rPr>
          <w:bCs/>
          <w:szCs w:val="22"/>
        </w:rPr>
      </w:pPr>
    </w:p>
    <w:p w14:paraId="109AE108" w14:textId="77777777" w:rsidR="009B3384" w:rsidRDefault="00800862">
      <w:pPr>
        <w:keepNext/>
        <w:tabs>
          <w:tab w:val="clear" w:pos="567"/>
        </w:tabs>
        <w:rPr>
          <w:b/>
          <w:bCs/>
          <w:szCs w:val="22"/>
        </w:rPr>
      </w:pPr>
      <w:r>
        <w:rPr>
          <w:b/>
          <w:bCs/>
          <w:szCs w:val="22"/>
        </w:rPr>
        <w:t>3. Пригответе дозата:</w:t>
      </w:r>
    </w:p>
    <w:p w14:paraId="109AE109" w14:textId="77777777" w:rsidR="009B3384" w:rsidRDefault="00800862">
      <w:pPr>
        <w:numPr>
          <w:ilvl w:val="0"/>
          <w:numId w:val="30"/>
        </w:numPr>
        <w:tabs>
          <w:tab w:val="clear" w:pos="567"/>
        </w:tabs>
        <w:rPr>
          <w:bCs/>
          <w:szCs w:val="22"/>
        </w:rPr>
      </w:pPr>
      <w:r>
        <w:rPr>
          <w:szCs w:val="22"/>
        </w:rPr>
        <w:t>Отворете капачката на флакона. (вж. фигура 3)</w:t>
      </w:r>
    </w:p>
    <w:p w14:paraId="109AE10A" w14:textId="77777777" w:rsidR="009B3384" w:rsidRDefault="009B3384"/>
    <w:p w14:paraId="109AE10B" w14:textId="77777777" w:rsidR="009B3384" w:rsidRDefault="00800862">
      <w:pPr>
        <w:keepNext/>
        <w:jc w:val="center"/>
      </w:pPr>
      <w:r>
        <w:rPr>
          <w:noProof/>
          <w:lang w:eastAsia="bg-BG"/>
        </w:rPr>
        <w:drawing>
          <wp:inline distT="0" distB="0" distL="0" distR="0" wp14:anchorId="109AEA15" wp14:editId="109AEA16">
            <wp:extent cx="1095375"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7"/>
                    <a:stretch>
                      <a:fillRect/>
                    </a:stretch>
                  </pic:blipFill>
                  <pic:spPr bwMode="auto">
                    <a:xfrm>
                      <a:off x="0" y="0"/>
                      <a:ext cx="1095375" cy="1009650"/>
                    </a:xfrm>
                    <a:prstGeom prst="rect">
                      <a:avLst/>
                    </a:prstGeom>
                  </pic:spPr>
                </pic:pic>
              </a:graphicData>
            </a:graphic>
          </wp:inline>
        </w:drawing>
      </w:r>
    </w:p>
    <w:p w14:paraId="109AE10C" w14:textId="77777777" w:rsidR="009B3384" w:rsidRDefault="00800862">
      <w:pPr>
        <w:jc w:val="center"/>
      </w:pPr>
      <w:r>
        <w:t>Фигура 3</w:t>
      </w:r>
    </w:p>
    <w:p w14:paraId="109AE10D" w14:textId="77777777" w:rsidR="009B3384" w:rsidRDefault="009B3384"/>
    <w:p w14:paraId="109AE10E" w14:textId="77777777" w:rsidR="009B3384" w:rsidRDefault="00800862">
      <w:pPr>
        <w:numPr>
          <w:ilvl w:val="0"/>
          <w:numId w:val="30"/>
        </w:numPr>
        <w:tabs>
          <w:tab w:val="clear" w:pos="567"/>
        </w:tabs>
        <w:rPr>
          <w:bCs/>
          <w:szCs w:val="22"/>
        </w:rPr>
      </w:pPr>
      <w:r>
        <w:rPr>
          <w:bCs/>
          <w:szCs w:val="22"/>
        </w:rPr>
        <w:t>Не сваляйте запушалката.</w:t>
      </w:r>
    </w:p>
    <w:p w14:paraId="109AE10F" w14:textId="77777777" w:rsidR="009B3384" w:rsidRDefault="00800862">
      <w:pPr>
        <w:numPr>
          <w:ilvl w:val="0"/>
          <w:numId w:val="30"/>
        </w:numPr>
        <w:tabs>
          <w:tab w:val="clear" w:pos="567"/>
        </w:tabs>
        <w:rPr>
          <w:bCs/>
          <w:szCs w:val="22"/>
        </w:rPr>
      </w:pPr>
      <w:r>
        <w:rPr>
          <w:szCs w:val="22"/>
        </w:rPr>
        <w:t>Почистете запушалката с антисептична марля.</w:t>
      </w:r>
    </w:p>
    <w:p w14:paraId="109AE110" w14:textId="77777777" w:rsidR="009B3384" w:rsidRDefault="00800862">
      <w:pPr>
        <w:numPr>
          <w:ilvl w:val="0"/>
          <w:numId w:val="30"/>
        </w:numPr>
        <w:tabs>
          <w:tab w:val="clear" w:pos="567"/>
        </w:tabs>
        <w:rPr>
          <w:bCs/>
          <w:szCs w:val="22"/>
        </w:rPr>
      </w:pPr>
      <w:r>
        <w:rPr>
          <w:szCs w:val="22"/>
        </w:rPr>
        <w:t>Поставете флакона върху равна повърхност.</w:t>
      </w:r>
    </w:p>
    <w:p w14:paraId="109AE111" w14:textId="77777777" w:rsidR="009B3384" w:rsidRDefault="00800862">
      <w:pPr>
        <w:numPr>
          <w:ilvl w:val="0"/>
          <w:numId w:val="30"/>
        </w:numPr>
        <w:tabs>
          <w:tab w:val="clear" w:pos="567"/>
        </w:tabs>
        <w:rPr>
          <w:bCs/>
          <w:szCs w:val="22"/>
        </w:rPr>
      </w:pPr>
      <w:r>
        <w:rPr>
          <w:szCs w:val="22"/>
        </w:rPr>
        <w:t>Вземете спринцовката и отворете капачката на иглата.</w:t>
      </w:r>
    </w:p>
    <w:p w14:paraId="109AE112" w14:textId="77777777" w:rsidR="009B3384" w:rsidRDefault="00800862">
      <w:pPr>
        <w:numPr>
          <w:ilvl w:val="0"/>
          <w:numId w:val="30"/>
        </w:numPr>
        <w:tabs>
          <w:tab w:val="clear" w:pos="567"/>
        </w:tabs>
        <w:rPr>
          <w:bCs/>
          <w:szCs w:val="22"/>
        </w:rPr>
      </w:pPr>
      <w:r>
        <w:rPr>
          <w:szCs w:val="22"/>
        </w:rPr>
        <w:t>Не докосвайте иглата и не я опирайте в други предмети.</w:t>
      </w:r>
    </w:p>
    <w:p w14:paraId="109AE113" w14:textId="77777777" w:rsidR="009B3384" w:rsidRDefault="00800862">
      <w:pPr>
        <w:numPr>
          <w:ilvl w:val="0"/>
          <w:numId w:val="30"/>
        </w:numPr>
        <w:tabs>
          <w:tab w:val="clear" w:pos="567"/>
        </w:tabs>
        <w:rPr>
          <w:bCs/>
          <w:szCs w:val="22"/>
        </w:rPr>
      </w:pPr>
      <w:r>
        <w:rPr>
          <w:szCs w:val="22"/>
        </w:rPr>
        <w:t>Вкарайте иглата през гумената запушалка.</w:t>
      </w:r>
    </w:p>
    <w:p w14:paraId="109AE114" w14:textId="77777777" w:rsidR="009B3384" w:rsidRDefault="00800862">
      <w:pPr>
        <w:numPr>
          <w:ilvl w:val="0"/>
          <w:numId w:val="30"/>
        </w:numPr>
        <w:tabs>
          <w:tab w:val="clear" w:pos="567"/>
        </w:tabs>
        <w:rPr>
          <w:szCs w:val="22"/>
        </w:rPr>
      </w:pPr>
      <w:r>
        <w:rPr>
          <w:szCs w:val="22"/>
        </w:rPr>
        <w:t>Обърнете флакона и спринцовката надолу.</w:t>
      </w:r>
    </w:p>
    <w:p w14:paraId="109AE115" w14:textId="77777777" w:rsidR="009B3384" w:rsidRDefault="00800862">
      <w:pPr>
        <w:numPr>
          <w:ilvl w:val="0"/>
          <w:numId w:val="30"/>
        </w:numPr>
        <w:tabs>
          <w:tab w:val="clear" w:pos="567"/>
        </w:tabs>
        <w:rPr>
          <w:bCs/>
          <w:szCs w:val="22"/>
        </w:rPr>
      </w:pPr>
      <w:r>
        <w:rPr>
          <w:szCs w:val="22"/>
        </w:rPr>
        <w:t>Изтеглете буталото на спринцовката, докато не се напълни с количеството течност, както е предписано от Вашия лекар.</w:t>
      </w:r>
    </w:p>
    <w:p w14:paraId="109AE116" w14:textId="77777777" w:rsidR="009B3384" w:rsidRDefault="00800862">
      <w:pPr>
        <w:numPr>
          <w:ilvl w:val="0"/>
          <w:numId w:val="30"/>
        </w:numPr>
        <w:tabs>
          <w:tab w:val="clear" w:pos="567"/>
        </w:tabs>
        <w:rPr>
          <w:szCs w:val="22"/>
        </w:rPr>
      </w:pPr>
      <w:r>
        <w:rPr>
          <w:szCs w:val="22"/>
        </w:rPr>
        <w:t>Важно е иглата през цялото време да е в течността. Това предотвратява образуването на въздушни мехурчета в спринцовката. (вж. фигура 4)</w:t>
      </w:r>
    </w:p>
    <w:p w14:paraId="109AE117" w14:textId="77777777" w:rsidR="009B3384" w:rsidRDefault="009B3384"/>
    <w:p w14:paraId="109AE118" w14:textId="77777777" w:rsidR="009B3384" w:rsidRDefault="00800862">
      <w:pPr>
        <w:keepNext/>
        <w:tabs>
          <w:tab w:val="left" w:pos="540"/>
        </w:tabs>
        <w:jc w:val="center"/>
        <w:rPr>
          <w:szCs w:val="22"/>
        </w:rPr>
      </w:pPr>
      <w:r>
        <w:rPr>
          <w:noProof/>
          <w:lang w:eastAsia="bg-BG"/>
        </w:rPr>
        <w:lastRenderedPageBreak/>
        <w:drawing>
          <wp:inline distT="0" distB="0" distL="0" distR="0" wp14:anchorId="109AEA17" wp14:editId="109AEA18">
            <wp:extent cx="1371600" cy="1466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8"/>
                    <a:stretch>
                      <a:fillRect/>
                    </a:stretch>
                  </pic:blipFill>
                  <pic:spPr bwMode="auto">
                    <a:xfrm>
                      <a:off x="0" y="0"/>
                      <a:ext cx="1371600" cy="1466850"/>
                    </a:xfrm>
                    <a:prstGeom prst="rect">
                      <a:avLst/>
                    </a:prstGeom>
                  </pic:spPr>
                </pic:pic>
              </a:graphicData>
            </a:graphic>
          </wp:inline>
        </w:drawing>
      </w:r>
    </w:p>
    <w:p w14:paraId="109AE119" w14:textId="77777777" w:rsidR="009B3384" w:rsidRDefault="00800862">
      <w:pPr>
        <w:tabs>
          <w:tab w:val="left" w:pos="540"/>
        </w:tabs>
        <w:jc w:val="center"/>
        <w:rPr>
          <w:szCs w:val="22"/>
        </w:rPr>
      </w:pPr>
      <w:r>
        <w:rPr>
          <w:szCs w:val="22"/>
        </w:rPr>
        <w:t>Фигура 4</w:t>
      </w:r>
    </w:p>
    <w:p w14:paraId="109AE11A" w14:textId="77777777" w:rsidR="009B3384" w:rsidRDefault="009B3384">
      <w:pPr>
        <w:tabs>
          <w:tab w:val="left" w:pos="540"/>
        </w:tabs>
        <w:rPr>
          <w:szCs w:val="22"/>
        </w:rPr>
      </w:pPr>
    </w:p>
    <w:p w14:paraId="109AE11B" w14:textId="77777777" w:rsidR="009B3384" w:rsidRDefault="00800862">
      <w:pPr>
        <w:numPr>
          <w:ilvl w:val="0"/>
          <w:numId w:val="30"/>
        </w:numPr>
        <w:tabs>
          <w:tab w:val="clear" w:pos="567"/>
        </w:tabs>
        <w:rPr>
          <w:bCs/>
          <w:szCs w:val="22"/>
        </w:rPr>
      </w:pPr>
      <w:r>
        <w:rPr>
          <w:szCs w:val="22"/>
        </w:rPr>
        <w:t>Извадете иглата от флакона.</w:t>
      </w:r>
    </w:p>
    <w:p w14:paraId="109AE11C" w14:textId="77777777" w:rsidR="009B3384" w:rsidRDefault="00800862">
      <w:pPr>
        <w:numPr>
          <w:ilvl w:val="0"/>
          <w:numId w:val="30"/>
        </w:numPr>
        <w:tabs>
          <w:tab w:val="clear" w:pos="567"/>
        </w:tabs>
        <w:rPr>
          <w:szCs w:val="22"/>
        </w:rPr>
      </w:pPr>
      <w:r>
        <w:rPr>
          <w:szCs w:val="22"/>
        </w:rPr>
        <w:t>Задръжте спринцовката с иглата нагоре, за да проверите дали в течността няма въздушни мехурчета.</w:t>
      </w:r>
    </w:p>
    <w:p w14:paraId="109AE11D" w14:textId="77777777" w:rsidR="009B3384" w:rsidRDefault="00800862">
      <w:pPr>
        <w:numPr>
          <w:ilvl w:val="0"/>
          <w:numId w:val="30"/>
        </w:numPr>
        <w:tabs>
          <w:tab w:val="clear" w:pos="567"/>
        </w:tabs>
        <w:rPr>
          <w:bCs/>
          <w:szCs w:val="22"/>
        </w:rPr>
      </w:pPr>
      <w:r>
        <w:rPr>
          <w:szCs w:val="22"/>
        </w:rPr>
        <w:t>Ако има мехурчета, потупайте спринцовката леко с пръст, докато изплуват на повърхността. (вж. фигура 5)</w:t>
      </w:r>
    </w:p>
    <w:p w14:paraId="109AE11E" w14:textId="77777777" w:rsidR="009B3384" w:rsidRDefault="009B3384"/>
    <w:p w14:paraId="109AE11F" w14:textId="77777777" w:rsidR="009B3384" w:rsidRDefault="00800862">
      <w:pPr>
        <w:keepNext/>
        <w:tabs>
          <w:tab w:val="left" w:pos="540"/>
        </w:tabs>
        <w:jc w:val="center"/>
        <w:rPr>
          <w:szCs w:val="22"/>
        </w:rPr>
      </w:pPr>
      <w:r>
        <w:rPr>
          <w:noProof/>
          <w:lang w:eastAsia="bg-BG"/>
        </w:rPr>
        <w:drawing>
          <wp:inline distT="0" distB="0" distL="0" distR="0" wp14:anchorId="109AEA19" wp14:editId="109AEA1A">
            <wp:extent cx="1466850" cy="146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9"/>
                    <a:stretch>
                      <a:fillRect/>
                    </a:stretch>
                  </pic:blipFill>
                  <pic:spPr bwMode="auto">
                    <a:xfrm>
                      <a:off x="0" y="0"/>
                      <a:ext cx="1466850" cy="1466850"/>
                    </a:xfrm>
                    <a:prstGeom prst="rect">
                      <a:avLst/>
                    </a:prstGeom>
                  </pic:spPr>
                </pic:pic>
              </a:graphicData>
            </a:graphic>
          </wp:inline>
        </w:drawing>
      </w:r>
    </w:p>
    <w:p w14:paraId="109AE120" w14:textId="77777777" w:rsidR="009B3384" w:rsidRDefault="00800862">
      <w:pPr>
        <w:tabs>
          <w:tab w:val="left" w:pos="540"/>
        </w:tabs>
        <w:jc w:val="center"/>
        <w:rPr>
          <w:szCs w:val="22"/>
        </w:rPr>
      </w:pPr>
      <w:r>
        <w:rPr>
          <w:szCs w:val="22"/>
        </w:rPr>
        <w:t>Фигура 5</w:t>
      </w:r>
    </w:p>
    <w:p w14:paraId="109AE121" w14:textId="77777777" w:rsidR="009B3384" w:rsidRDefault="009B3384">
      <w:pPr>
        <w:tabs>
          <w:tab w:val="left" w:pos="540"/>
        </w:tabs>
        <w:jc w:val="center"/>
        <w:rPr>
          <w:szCs w:val="22"/>
        </w:rPr>
      </w:pPr>
    </w:p>
    <w:p w14:paraId="109AE122" w14:textId="77777777" w:rsidR="009B3384" w:rsidRDefault="00800862">
      <w:pPr>
        <w:numPr>
          <w:ilvl w:val="0"/>
          <w:numId w:val="30"/>
        </w:numPr>
        <w:tabs>
          <w:tab w:val="clear" w:pos="567"/>
        </w:tabs>
        <w:rPr>
          <w:szCs w:val="22"/>
        </w:rPr>
      </w:pPr>
      <w:r>
        <w:rPr>
          <w:szCs w:val="22"/>
        </w:rPr>
        <w:t>Тогава натиснете буталото, докато целият въздух (но не и течност) излезе.</w:t>
      </w:r>
    </w:p>
    <w:p w14:paraId="109AE123" w14:textId="77777777" w:rsidR="009B3384" w:rsidRDefault="00800862">
      <w:pPr>
        <w:numPr>
          <w:ilvl w:val="0"/>
          <w:numId w:val="30"/>
        </w:numPr>
        <w:tabs>
          <w:tab w:val="clear" w:pos="567"/>
        </w:tabs>
        <w:rPr>
          <w:bCs/>
          <w:szCs w:val="22"/>
        </w:rPr>
      </w:pPr>
      <w:r>
        <w:rPr>
          <w:szCs w:val="22"/>
        </w:rPr>
        <w:t>Не поставяйте инжекцията легнала и не опирайте иглата в други предмети.</w:t>
      </w:r>
    </w:p>
    <w:p w14:paraId="109AE124" w14:textId="77777777" w:rsidR="009B3384" w:rsidRDefault="009B3384"/>
    <w:p w14:paraId="109AE125" w14:textId="77777777" w:rsidR="009B3384" w:rsidRDefault="00800862">
      <w:pPr>
        <w:keepNext/>
        <w:tabs>
          <w:tab w:val="clear" w:pos="567"/>
        </w:tabs>
        <w:rPr>
          <w:b/>
          <w:bCs/>
          <w:szCs w:val="22"/>
        </w:rPr>
      </w:pPr>
      <w:r>
        <w:rPr>
          <w:b/>
          <w:bCs/>
          <w:szCs w:val="22"/>
        </w:rPr>
        <w:t>4. Инжектирайте дозата:</w:t>
      </w:r>
    </w:p>
    <w:p w14:paraId="109AE126" w14:textId="77777777" w:rsidR="009B3384" w:rsidRDefault="00800862">
      <w:pPr>
        <w:numPr>
          <w:ilvl w:val="0"/>
          <w:numId w:val="30"/>
        </w:numPr>
        <w:tabs>
          <w:tab w:val="clear" w:pos="567"/>
        </w:tabs>
        <w:rPr>
          <w:bCs/>
          <w:szCs w:val="22"/>
        </w:rPr>
      </w:pPr>
      <w:r>
        <w:rPr>
          <w:szCs w:val="22"/>
        </w:rPr>
        <w:t>Леко притиснете почистената кожа между палеца и показалеца. Не стискайте силно.</w:t>
      </w:r>
    </w:p>
    <w:p w14:paraId="109AE127" w14:textId="77777777" w:rsidR="009B3384" w:rsidRDefault="00800862">
      <w:pPr>
        <w:numPr>
          <w:ilvl w:val="0"/>
          <w:numId w:val="30"/>
        </w:numPr>
        <w:tabs>
          <w:tab w:val="clear" w:pos="567"/>
        </w:tabs>
        <w:rPr>
          <w:bCs/>
          <w:szCs w:val="22"/>
        </w:rPr>
      </w:pPr>
      <w:r>
        <w:rPr>
          <w:szCs w:val="22"/>
        </w:rPr>
        <w:t>Вкарайте иглата в стиснатата кожа.</w:t>
      </w:r>
    </w:p>
    <w:p w14:paraId="109AE128" w14:textId="77777777" w:rsidR="009B3384" w:rsidRDefault="00800862">
      <w:pPr>
        <w:numPr>
          <w:ilvl w:val="0"/>
          <w:numId w:val="30"/>
        </w:numPr>
        <w:tabs>
          <w:tab w:val="clear" w:pos="567"/>
        </w:tabs>
        <w:rPr>
          <w:bCs/>
          <w:szCs w:val="22"/>
        </w:rPr>
      </w:pPr>
      <w:r>
        <w:rPr>
          <w:szCs w:val="22"/>
        </w:rPr>
        <w:t>Натиснете буталото с палец така, че да се инжектира цялата течност. Натискайте бавно и равномерно, като едновременно с това леко притискате кожата.</w:t>
      </w:r>
    </w:p>
    <w:p w14:paraId="109AE129" w14:textId="77777777" w:rsidR="009B3384" w:rsidRDefault="00800862">
      <w:pPr>
        <w:numPr>
          <w:ilvl w:val="0"/>
          <w:numId w:val="30"/>
        </w:numPr>
        <w:tabs>
          <w:tab w:val="clear" w:pos="567"/>
        </w:tabs>
        <w:rPr>
          <w:bCs/>
          <w:szCs w:val="22"/>
        </w:rPr>
      </w:pPr>
      <w:r>
        <w:rPr>
          <w:szCs w:val="22"/>
        </w:rPr>
        <w:t>Когато буталото стигне до края, извадете иглата и пуснете кожата.</w:t>
      </w:r>
    </w:p>
    <w:p w14:paraId="109AE12A" w14:textId="77777777" w:rsidR="009B3384" w:rsidRDefault="009B3384"/>
    <w:p w14:paraId="109AE12B" w14:textId="77777777" w:rsidR="009B3384" w:rsidRDefault="00800862">
      <w:pPr>
        <w:keepNext/>
        <w:tabs>
          <w:tab w:val="clear" w:pos="567"/>
        </w:tabs>
        <w:rPr>
          <w:b/>
          <w:bCs/>
        </w:rPr>
      </w:pPr>
      <w:r>
        <w:rPr>
          <w:b/>
          <w:bCs/>
        </w:rPr>
        <w:t>5. След инжектиране:</w:t>
      </w:r>
    </w:p>
    <w:p w14:paraId="109AE12D" w14:textId="77777777" w:rsidR="009B3384" w:rsidRDefault="00800862">
      <w:pPr>
        <w:numPr>
          <w:ilvl w:val="0"/>
          <w:numId w:val="30"/>
        </w:numPr>
        <w:tabs>
          <w:tab w:val="clear" w:pos="567"/>
        </w:tabs>
        <w:rPr>
          <w:bCs/>
          <w:szCs w:val="22"/>
        </w:rPr>
      </w:pPr>
      <w:r>
        <w:rPr>
          <w:szCs w:val="22"/>
        </w:rPr>
        <w:t>Възможно е на мястото на инжектиране да има малко количество кръв или течност. Това е нормално.</w:t>
      </w:r>
    </w:p>
    <w:p w14:paraId="109AE12E" w14:textId="1BBF6B32" w:rsidR="009B3384" w:rsidRDefault="00800862">
      <w:pPr>
        <w:numPr>
          <w:ilvl w:val="0"/>
          <w:numId w:val="30"/>
        </w:numPr>
        <w:tabs>
          <w:tab w:val="clear" w:pos="567"/>
        </w:tabs>
        <w:rPr>
          <w:bCs/>
          <w:szCs w:val="22"/>
        </w:rPr>
      </w:pPr>
      <w:r>
        <w:rPr>
          <w:szCs w:val="22"/>
        </w:rPr>
        <w:t>Притиснете мястото на инжектиране с памучен тампон или марля и задръжте 10 секунди.</w:t>
      </w:r>
    </w:p>
    <w:p w14:paraId="109AE12F" w14:textId="77777777" w:rsidR="009B3384" w:rsidRDefault="00800862">
      <w:pPr>
        <w:numPr>
          <w:ilvl w:val="0"/>
          <w:numId w:val="30"/>
        </w:numPr>
        <w:tabs>
          <w:tab w:val="clear" w:pos="567"/>
        </w:tabs>
        <w:rPr>
          <w:bCs/>
          <w:szCs w:val="22"/>
        </w:rPr>
      </w:pPr>
      <w:r>
        <w:rPr>
          <w:szCs w:val="22"/>
        </w:rPr>
        <w:t>Не разтърквайте кожата на мястото на инжектиране. Ако е необходимо, може да сложите малка лепенка върху мястото на инжектиране.</w:t>
      </w:r>
    </w:p>
    <w:p w14:paraId="109AE130" w14:textId="77777777" w:rsidR="009B3384" w:rsidRDefault="009B3384"/>
    <w:p w14:paraId="109AE131" w14:textId="77777777" w:rsidR="009B3384" w:rsidRDefault="00800862">
      <w:pPr>
        <w:keepNext/>
        <w:tabs>
          <w:tab w:val="clear" w:pos="567"/>
          <w:tab w:val="left" w:pos="540"/>
        </w:tabs>
        <w:rPr>
          <w:b/>
          <w:szCs w:val="22"/>
        </w:rPr>
      </w:pPr>
      <w:r>
        <w:rPr>
          <w:b/>
          <w:szCs w:val="22"/>
        </w:rPr>
        <w:t>6. Изхвърляне:</w:t>
      </w:r>
    </w:p>
    <w:p w14:paraId="109AE132" w14:textId="77777777" w:rsidR="009B3384" w:rsidRDefault="00800862">
      <w:pPr>
        <w:numPr>
          <w:ilvl w:val="0"/>
          <w:numId w:val="30"/>
        </w:numPr>
        <w:tabs>
          <w:tab w:val="clear" w:pos="567"/>
        </w:tabs>
        <w:rPr>
          <w:szCs w:val="22"/>
        </w:rPr>
      </w:pPr>
      <w:r>
        <w:rPr>
          <w:szCs w:val="22"/>
        </w:rPr>
        <w:t xml:space="preserve">Използваните спринцовки и игли трябва да се поставят в непробиваем контейнер като контейнера за остри предмети. За Вашата безопасност и здраве и за безопасността на другите, никога не използвайте повторно иглите и спринцовките. Изхвърляйте Вашия контейнер </w:t>
      </w:r>
      <w:r>
        <w:t>за остри предмети</w:t>
      </w:r>
      <w:r>
        <w:rPr>
          <w:bCs/>
          <w:szCs w:val="22"/>
        </w:rPr>
        <w:t xml:space="preserve"> </w:t>
      </w:r>
      <w:r>
        <w:rPr>
          <w:szCs w:val="22"/>
        </w:rPr>
        <w:t>в съответствие с местните разпоредби.</w:t>
      </w:r>
    </w:p>
    <w:p w14:paraId="109AE133" w14:textId="77777777" w:rsidR="009B3384" w:rsidRDefault="00800862">
      <w:pPr>
        <w:numPr>
          <w:ilvl w:val="0"/>
          <w:numId w:val="30"/>
        </w:numPr>
        <w:tabs>
          <w:tab w:val="clear" w:pos="567"/>
        </w:tabs>
        <w:rPr>
          <w:bCs/>
          <w:szCs w:val="22"/>
        </w:rPr>
      </w:pPr>
      <w:r>
        <w:rPr>
          <w:szCs w:val="22"/>
        </w:rPr>
        <w:t>Празните флакони, антисептичните кърпички и други консумативи може да се изхвърлят в общия боклук.</w:t>
      </w:r>
      <w:r>
        <w:br w:type="page"/>
      </w:r>
    </w:p>
    <w:p w14:paraId="109AE134" w14:textId="77777777" w:rsidR="009B3384" w:rsidRDefault="00800862">
      <w:pPr>
        <w:tabs>
          <w:tab w:val="clear" w:pos="567"/>
        </w:tabs>
        <w:jc w:val="center"/>
        <w:rPr>
          <w:b/>
          <w:szCs w:val="22"/>
        </w:rPr>
      </w:pPr>
      <w:r>
        <w:rPr>
          <w:b/>
          <w:szCs w:val="22"/>
        </w:rPr>
        <w:lastRenderedPageBreak/>
        <w:t>Листовка: информация за потребителя</w:t>
      </w:r>
    </w:p>
    <w:p w14:paraId="109AE135" w14:textId="77777777" w:rsidR="009B3384" w:rsidRDefault="009B3384">
      <w:pPr>
        <w:jc w:val="center"/>
        <w:rPr>
          <w:b/>
          <w:bCs/>
          <w:szCs w:val="22"/>
        </w:rPr>
      </w:pPr>
    </w:p>
    <w:p w14:paraId="109AE136" w14:textId="77777777" w:rsidR="009B3384" w:rsidRDefault="00800862">
      <w:pPr>
        <w:jc w:val="center"/>
        <w:rPr>
          <w:b/>
          <w:bCs/>
          <w:szCs w:val="22"/>
        </w:rPr>
      </w:pPr>
      <w:bookmarkStart w:id="1350" w:name="_Hlk530678447"/>
      <w:r>
        <w:rPr>
          <w:b/>
          <w:bCs/>
          <w:szCs w:val="22"/>
        </w:rPr>
        <w:t>STELARA</w:t>
      </w:r>
      <w:bookmarkEnd w:id="1350"/>
      <w:r>
        <w:rPr>
          <w:b/>
          <w:bCs/>
          <w:szCs w:val="22"/>
        </w:rPr>
        <w:t xml:space="preserve"> 45 mg инжекционен разтвор в предварително напълнена спринцовка</w:t>
      </w:r>
    </w:p>
    <w:p w14:paraId="109AE137" w14:textId="77777777" w:rsidR="009B3384" w:rsidRDefault="00800862">
      <w:pPr>
        <w:jc w:val="center"/>
        <w:rPr>
          <w:szCs w:val="22"/>
        </w:rPr>
      </w:pPr>
      <w:r>
        <w:rPr>
          <w:szCs w:val="22"/>
        </w:rPr>
        <w:t>устекинумаб (</w:t>
      </w:r>
      <w:r>
        <w:rPr>
          <w:iCs/>
          <w:szCs w:val="22"/>
        </w:rPr>
        <w:t>ustekinumab</w:t>
      </w:r>
      <w:r>
        <w:rPr>
          <w:szCs w:val="22"/>
        </w:rPr>
        <w:t>)</w:t>
      </w:r>
    </w:p>
    <w:p w14:paraId="109AE138" w14:textId="77777777" w:rsidR="009B3384" w:rsidRDefault="009B3384">
      <w:pPr>
        <w:jc w:val="center"/>
        <w:rPr>
          <w:szCs w:val="22"/>
        </w:rPr>
      </w:pPr>
    </w:p>
    <w:p w14:paraId="109AE139" w14:textId="77777777" w:rsidR="009B3384" w:rsidRDefault="00800862">
      <w:pPr>
        <w:keepNext/>
        <w:rPr>
          <w:b/>
          <w:szCs w:val="22"/>
        </w:rPr>
      </w:pPr>
      <w:r>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09AE13A" w14:textId="77777777" w:rsidR="009B3384" w:rsidRDefault="009B3384">
      <w:pPr>
        <w:keepNext/>
        <w:rPr>
          <w:b/>
          <w:szCs w:val="22"/>
        </w:rPr>
      </w:pPr>
    </w:p>
    <w:p w14:paraId="109AE13B" w14:textId="77777777" w:rsidR="009B3384" w:rsidRDefault="00800862">
      <w:pPr>
        <w:keepNext/>
        <w:rPr>
          <w:b/>
          <w:szCs w:val="22"/>
        </w:rPr>
      </w:pPr>
      <w:r>
        <w:rPr>
          <w:b/>
          <w:szCs w:val="22"/>
        </w:rPr>
        <w:t xml:space="preserve">Тази листовка е написана за пациента, който приема лекарството. Ако сте родител или настойник, който ще прилага </w:t>
      </w:r>
      <w:r>
        <w:rPr>
          <w:b/>
          <w:szCs w:val="22"/>
          <w:lang w:val="en-US"/>
        </w:rPr>
        <w:t>Stelara</w:t>
      </w:r>
      <w:r>
        <w:rPr>
          <w:b/>
          <w:szCs w:val="22"/>
        </w:rPr>
        <w:t xml:space="preserve"> на дете, моля прочетете внимателно тази информация.</w:t>
      </w:r>
    </w:p>
    <w:p w14:paraId="109AE13C" w14:textId="77777777" w:rsidR="009B3384" w:rsidRDefault="009B3384">
      <w:pPr>
        <w:keepNext/>
        <w:rPr>
          <w:b/>
          <w:szCs w:val="22"/>
        </w:rPr>
      </w:pPr>
    </w:p>
    <w:p w14:paraId="109AE13D" w14:textId="77777777" w:rsidR="009B3384" w:rsidRDefault="00800862">
      <w:pPr>
        <w:numPr>
          <w:ilvl w:val="0"/>
          <w:numId w:val="27"/>
        </w:numPr>
        <w:ind w:left="567" w:hanging="567"/>
      </w:pPr>
      <w:r>
        <w:t>Запазете тази листовка. Може да се наложи да я прочетете отново.</w:t>
      </w:r>
    </w:p>
    <w:p w14:paraId="109AE13E" w14:textId="77777777" w:rsidR="009B3384" w:rsidRDefault="00800862">
      <w:pPr>
        <w:numPr>
          <w:ilvl w:val="0"/>
          <w:numId w:val="27"/>
        </w:numPr>
        <w:ind w:left="567" w:hanging="567"/>
      </w:pPr>
      <w:r>
        <w:t>Ако имате някакви допълнителни въпроси, попитайте Вашия лекар или фармацевт.</w:t>
      </w:r>
    </w:p>
    <w:p w14:paraId="109AE13F" w14:textId="77777777" w:rsidR="009B3384" w:rsidRDefault="00800862">
      <w:pPr>
        <w:numPr>
          <w:ilvl w:val="0"/>
          <w:numId w:val="27"/>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9AE140" w14:textId="28F7138D" w:rsidR="009B3384" w:rsidRDefault="00800862">
      <w:pPr>
        <w:numPr>
          <w:ilvl w:val="0"/>
          <w:numId w:val="27"/>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w:t>
      </w:r>
      <w:ins w:id="1351" w:author="RABG09" w:date="2026-05-14T13:05:00Z">
        <w:r w:rsidR="008269F8">
          <w:t> </w:t>
        </w:r>
      </w:ins>
      <w:del w:id="1352" w:author="RABG09" w:date="2026-05-14T13:05:00Z">
        <w:r w:rsidDel="008269F8">
          <w:delText> </w:delText>
        </w:r>
      </w:del>
      <w:r>
        <w:t>4.</w:t>
      </w:r>
    </w:p>
    <w:p w14:paraId="109AE141" w14:textId="77777777" w:rsidR="009B3384" w:rsidRDefault="009B3384">
      <w:pPr>
        <w:rPr>
          <w:szCs w:val="22"/>
        </w:rPr>
      </w:pPr>
    </w:p>
    <w:p w14:paraId="109AE142" w14:textId="77777777" w:rsidR="009B3384" w:rsidRDefault="00800862">
      <w:pPr>
        <w:keepNext/>
        <w:rPr>
          <w:szCs w:val="22"/>
          <w:lang w:val="nl-BE"/>
        </w:rPr>
      </w:pPr>
      <w:r>
        <w:rPr>
          <w:b/>
          <w:szCs w:val="22"/>
        </w:rPr>
        <w:t>Какво съдържа тази листовка</w:t>
      </w:r>
    </w:p>
    <w:p w14:paraId="109AE143" w14:textId="77777777" w:rsidR="009B3384" w:rsidRDefault="00800862">
      <w:pPr>
        <w:tabs>
          <w:tab w:val="clear" w:pos="567"/>
        </w:tabs>
        <w:rPr>
          <w:szCs w:val="22"/>
        </w:rPr>
      </w:pPr>
      <w:r>
        <w:rPr>
          <w:szCs w:val="22"/>
        </w:rPr>
        <w:t>1.</w:t>
      </w:r>
      <w:r>
        <w:rPr>
          <w:szCs w:val="22"/>
        </w:rPr>
        <w:tab/>
        <w:t>Какво представлява Stelara и за какво се използва</w:t>
      </w:r>
    </w:p>
    <w:p w14:paraId="109AE144" w14:textId="77777777" w:rsidR="009B3384" w:rsidRDefault="00800862">
      <w:pPr>
        <w:tabs>
          <w:tab w:val="clear" w:pos="567"/>
        </w:tabs>
        <w:rPr>
          <w:szCs w:val="22"/>
        </w:rPr>
      </w:pPr>
      <w:r>
        <w:rPr>
          <w:szCs w:val="22"/>
        </w:rPr>
        <w:t>2.</w:t>
      </w:r>
      <w:r>
        <w:rPr>
          <w:szCs w:val="22"/>
        </w:rPr>
        <w:tab/>
        <w:t>Какво трябва да знаете, преди да използвате Stelara</w:t>
      </w:r>
    </w:p>
    <w:p w14:paraId="109AE145" w14:textId="77777777" w:rsidR="009B3384" w:rsidRDefault="00800862">
      <w:pPr>
        <w:tabs>
          <w:tab w:val="clear" w:pos="567"/>
        </w:tabs>
        <w:rPr>
          <w:szCs w:val="22"/>
        </w:rPr>
      </w:pPr>
      <w:r>
        <w:rPr>
          <w:szCs w:val="22"/>
        </w:rPr>
        <w:t>3.</w:t>
      </w:r>
      <w:r>
        <w:rPr>
          <w:szCs w:val="22"/>
        </w:rPr>
        <w:tab/>
        <w:t>Как да използвате Stelara</w:t>
      </w:r>
    </w:p>
    <w:p w14:paraId="109AE146" w14:textId="77777777" w:rsidR="009B3384" w:rsidRDefault="00800862">
      <w:pPr>
        <w:tabs>
          <w:tab w:val="clear" w:pos="567"/>
        </w:tabs>
        <w:rPr>
          <w:szCs w:val="22"/>
        </w:rPr>
      </w:pPr>
      <w:r>
        <w:rPr>
          <w:szCs w:val="22"/>
        </w:rPr>
        <w:t>4.</w:t>
      </w:r>
      <w:r>
        <w:rPr>
          <w:szCs w:val="22"/>
        </w:rPr>
        <w:tab/>
        <w:t>Възможни нежелани реакции</w:t>
      </w:r>
    </w:p>
    <w:p w14:paraId="109AE147" w14:textId="77777777" w:rsidR="009B3384" w:rsidRDefault="00800862">
      <w:pPr>
        <w:tabs>
          <w:tab w:val="clear" w:pos="567"/>
        </w:tabs>
        <w:rPr>
          <w:szCs w:val="22"/>
        </w:rPr>
      </w:pPr>
      <w:r>
        <w:rPr>
          <w:szCs w:val="22"/>
        </w:rPr>
        <w:t>5.</w:t>
      </w:r>
      <w:r>
        <w:rPr>
          <w:szCs w:val="22"/>
        </w:rPr>
        <w:tab/>
        <w:t>Как да съхранявате Stelara</w:t>
      </w:r>
    </w:p>
    <w:p w14:paraId="109AE148" w14:textId="77777777" w:rsidR="009B3384" w:rsidRDefault="00800862">
      <w:pPr>
        <w:tabs>
          <w:tab w:val="clear" w:pos="567"/>
        </w:tabs>
        <w:rPr>
          <w:szCs w:val="22"/>
        </w:rPr>
      </w:pPr>
      <w:r>
        <w:rPr>
          <w:szCs w:val="22"/>
        </w:rPr>
        <w:t>6.</w:t>
      </w:r>
      <w:r>
        <w:rPr>
          <w:szCs w:val="22"/>
        </w:rPr>
        <w:tab/>
        <w:t>Съдържание на опаковката и допълнителна информация</w:t>
      </w:r>
    </w:p>
    <w:p w14:paraId="109AE149" w14:textId="77777777" w:rsidR="009B3384" w:rsidRDefault="009B3384">
      <w:pPr>
        <w:rPr>
          <w:szCs w:val="22"/>
        </w:rPr>
      </w:pPr>
    </w:p>
    <w:p w14:paraId="109AE14A" w14:textId="77777777" w:rsidR="009B3384" w:rsidRDefault="009B3384">
      <w:pPr>
        <w:rPr>
          <w:szCs w:val="22"/>
        </w:rPr>
      </w:pPr>
    </w:p>
    <w:p w14:paraId="109AE14B" w14:textId="77777777" w:rsidR="009B3384" w:rsidRDefault="00800862">
      <w:pPr>
        <w:keepNext/>
        <w:ind w:left="567" w:hanging="567"/>
        <w:outlineLvl w:val="2"/>
        <w:rPr>
          <w:b/>
          <w:bCs/>
          <w:szCs w:val="22"/>
        </w:rPr>
      </w:pPr>
      <w:r>
        <w:rPr>
          <w:b/>
          <w:bCs/>
          <w:szCs w:val="22"/>
        </w:rPr>
        <w:t>1.</w:t>
      </w:r>
      <w:r>
        <w:rPr>
          <w:b/>
          <w:bCs/>
          <w:szCs w:val="22"/>
        </w:rPr>
        <w:tab/>
        <w:t>Какво представлява Stelara и за какво се използва</w:t>
      </w:r>
    </w:p>
    <w:p w14:paraId="109AE14C" w14:textId="77777777" w:rsidR="009B3384" w:rsidRDefault="009B3384">
      <w:pPr>
        <w:keepNext/>
      </w:pPr>
    </w:p>
    <w:p w14:paraId="109AE14D" w14:textId="77777777" w:rsidR="009B3384" w:rsidRDefault="00800862">
      <w:pPr>
        <w:keepNext/>
        <w:rPr>
          <w:szCs w:val="22"/>
        </w:rPr>
      </w:pPr>
      <w:r>
        <w:rPr>
          <w:b/>
          <w:szCs w:val="22"/>
        </w:rPr>
        <w:t xml:space="preserve">Какво представлява </w:t>
      </w:r>
      <w:r>
        <w:rPr>
          <w:b/>
          <w:szCs w:val="22"/>
          <w:lang w:val="en-US"/>
        </w:rPr>
        <w:t>Stelara</w:t>
      </w:r>
    </w:p>
    <w:p w14:paraId="109AE14E" w14:textId="77777777" w:rsidR="009B3384" w:rsidRDefault="00800862">
      <w:pPr>
        <w:rPr>
          <w:szCs w:val="22"/>
        </w:rPr>
      </w:pPr>
      <w:r>
        <w:rPr>
          <w:szCs w:val="22"/>
        </w:rPr>
        <w:t>Stelara съдържа активното вещество „устекинумаб”, което е моноклонално антитяло. Моноклоналните антитела са протеини, които разпознават и свързват определени специфични протеини в организма.</w:t>
      </w:r>
    </w:p>
    <w:p w14:paraId="109AE14F" w14:textId="77777777" w:rsidR="009B3384" w:rsidRDefault="009B3384">
      <w:pPr>
        <w:rPr>
          <w:szCs w:val="22"/>
        </w:rPr>
      </w:pPr>
    </w:p>
    <w:p w14:paraId="109AE150" w14:textId="77777777" w:rsidR="009B3384" w:rsidRDefault="00800862">
      <w:r>
        <w:rPr>
          <w:szCs w:val="22"/>
        </w:rPr>
        <w:t xml:space="preserve">Stelara принадлежи към група лекарства, наречени „имуносупресори”. </w:t>
      </w:r>
      <w:r>
        <w:t>Тези лекарства действат, като намаляват активността на част от имунната система.</w:t>
      </w:r>
    </w:p>
    <w:p w14:paraId="109AE151" w14:textId="77777777" w:rsidR="009B3384" w:rsidRDefault="009B3384"/>
    <w:p w14:paraId="109AE152" w14:textId="77777777" w:rsidR="009B3384" w:rsidRDefault="00800862">
      <w:pPr>
        <w:keepNext/>
      </w:pPr>
      <w:r>
        <w:rPr>
          <w:b/>
          <w:lang w:val="ru-RU"/>
        </w:rPr>
        <w:t xml:space="preserve">За </w:t>
      </w:r>
      <w:r>
        <w:rPr>
          <w:b/>
        </w:rPr>
        <w:t>какво</w:t>
      </w:r>
      <w:r>
        <w:rPr>
          <w:b/>
          <w:lang w:val="ru-RU"/>
        </w:rPr>
        <w:t xml:space="preserve"> се </w:t>
      </w:r>
      <w:r>
        <w:rPr>
          <w:b/>
        </w:rPr>
        <w:t xml:space="preserve">използва </w:t>
      </w:r>
      <w:r>
        <w:rPr>
          <w:b/>
          <w:szCs w:val="22"/>
          <w:lang w:val="en-US"/>
        </w:rPr>
        <w:t>Stelara</w:t>
      </w:r>
    </w:p>
    <w:p w14:paraId="109AE153" w14:textId="77777777" w:rsidR="009B3384" w:rsidRDefault="00800862">
      <w:r>
        <w:t>Stelara се използва за лечение на следните възпалителни заболявания:</w:t>
      </w:r>
    </w:p>
    <w:p w14:paraId="109AE154" w14:textId="77777777" w:rsidR="009B3384" w:rsidRDefault="00800862">
      <w:pPr>
        <w:numPr>
          <w:ilvl w:val="0"/>
          <w:numId w:val="30"/>
        </w:numPr>
        <w:tabs>
          <w:tab w:val="clear" w:pos="567"/>
        </w:tabs>
      </w:pPr>
      <w:r>
        <w:t>Плаков псориазис - при възрастни и деца на възраст от 6 години и по-големи</w:t>
      </w:r>
    </w:p>
    <w:p w14:paraId="109AE155" w14:textId="77777777" w:rsidR="009B3384" w:rsidRDefault="00800862">
      <w:pPr>
        <w:numPr>
          <w:ilvl w:val="0"/>
          <w:numId w:val="30"/>
        </w:numPr>
        <w:tabs>
          <w:tab w:val="clear" w:pos="567"/>
        </w:tabs>
      </w:pPr>
      <w:r>
        <w:t>Псориатичен артрит – при възрастни</w:t>
      </w:r>
    </w:p>
    <w:p w14:paraId="109AE156" w14:textId="63B75678" w:rsidR="009B3384" w:rsidRDefault="00800862">
      <w:pPr>
        <w:numPr>
          <w:ilvl w:val="0"/>
          <w:numId w:val="30"/>
        </w:numPr>
        <w:tabs>
          <w:tab w:val="clear" w:pos="567"/>
        </w:tabs>
      </w:pPr>
      <w:r>
        <w:t xml:space="preserve">Умерена до тежка болест на Крон – при възрастни </w:t>
      </w:r>
      <w:r>
        <w:rPr>
          <w:bCs/>
        </w:rPr>
        <w:t xml:space="preserve">и деца </w:t>
      </w:r>
      <w:r>
        <w:t>на възраст 2 и повече години</w:t>
      </w:r>
    </w:p>
    <w:p w14:paraId="109AE157" w14:textId="377C9FE0" w:rsidR="009B3384" w:rsidRDefault="00800862">
      <w:pPr>
        <w:numPr>
          <w:ilvl w:val="0"/>
          <w:numId w:val="30"/>
        </w:numPr>
        <w:tabs>
          <w:tab w:val="clear" w:pos="567"/>
        </w:tabs>
      </w:pPr>
      <w:r>
        <w:t>Умерен до тежък улцерозен колит – при възрастни</w:t>
      </w:r>
      <w:ins w:id="1353" w:author="Reviser" w:date="2026-04-30T15:44:00Z">
        <w:r w:rsidR="001F5D56">
          <w:t xml:space="preserve"> </w:t>
        </w:r>
        <w:r w:rsidR="001F5D56">
          <w:rPr>
            <w:bCs/>
          </w:rPr>
          <w:t xml:space="preserve">и деца </w:t>
        </w:r>
        <w:r w:rsidR="001F5D56">
          <w:t>на възраст 2 и повече години</w:t>
        </w:r>
      </w:ins>
    </w:p>
    <w:p w14:paraId="109AE158" w14:textId="77777777" w:rsidR="009B3384" w:rsidRDefault="009B3384"/>
    <w:p w14:paraId="109AE159" w14:textId="77777777" w:rsidR="009B3384" w:rsidRDefault="00800862">
      <w:pPr>
        <w:keepNext/>
        <w:widowControl w:val="0"/>
        <w:rPr>
          <w:b/>
        </w:rPr>
      </w:pPr>
      <w:r>
        <w:rPr>
          <w:b/>
        </w:rPr>
        <w:t>Плаков псориазис</w:t>
      </w:r>
    </w:p>
    <w:p w14:paraId="109AE15A" w14:textId="77777777" w:rsidR="009B3384" w:rsidRDefault="00800862">
      <w:pPr>
        <w:widowControl w:val="0"/>
      </w:pPr>
      <w:r>
        <w:t>„Плаков псориазис” е кожно заболяване, което води до възпаление, засягащо кожата и ноктите. Stelara намалява възпалението и другите признаци на заболяването.</w:t>
      </w:r>
    </w:p>
    <w:p w14:paraId="109AE15B" w14:textId="77777777" w:rsidR="009B3384" w:rsidRDefault="009B3384">
      <w:pPr>
        <w:widowControl w:val="0"/>
      </w:pPr>
    </w:p>
    <w:p w14:paraId="109AE15C" w14:textId="77777777" w:rsidR="009B3384" w:rsidRDefault="00800862">
      <w:pPr>
        <w:widowControl w:val="0"/>
      </w:pPr>
      <w:r>
        <w:t>Stelara се използва при възрастни с умерен до тежък плаков псориазис, които не могат да използват циклоспорин, метотрексат или фототерапия, или когато тези лечения не действат.</w:t>
      </w:r>
    </w:p>
    <w:p w14:paraId="109AE15D" w14:textId="77777777" w:rsidR="009B3384" w:rsidRDefault="009B3384">
      <w:pPr>
        <w:widowControl w:val="0"/>
      </w:pPr>
    </w:p>
    <w:p w14:paraId="109AE15E" w14:textId="77777777" w:rsidR="009B3384" w:rsidRDefault="00800862">
      <w:r>
        <w:t>Stelara се използва при деца и юноши на възраст 6 години и по-големи с умерен до тежък плаков псориазис, които имат непоносимост към фототерапия или други системни терапии, или когато тези лечения не действат.</w:t>
      </w:r>
    </w:p>
    <w:p w14:paraId="109AE15F" w14:textId="77777777" w:rsidR="009B3384" w:rsidRDefault="009B3384">
      <w:pPr>
        <w:rPr>
          <w:szCs w:val="22"/>
        </w:rPr>
      </w:pPr>
    </w:p>
    <w:p w14:paraId="109AE160" w14:textId="77777777" w:rsidR="009B3384" w:rsidRDefault="00800862">
      <w:pPr>
        <w:keepNext/>
        <w:rPr>
          <w:b/>
          <w:szCs w:val="22"/>
        </w:rPr>
      </w:pPr>
      <w:r>
        <w:rPr>
          <w:b/>
          <w:szCs w:val="22"/>
        </w:rPr>
        <w:lastRenderedPageBreak/>
        <w:t>Псориатичен артрит</w:t>
      </w:r>
    </w:p>
    <w:p w14:paraId="109AE161" w14:textId="77777777" w:rsidR="009B3384" w:rsidRDefault="00800862">
      <w:pPr>
        <w:rPr>
          <w:szCs w:val="22"/>
        </w:rPr>
      </w:pPr>
      <w:r>
        <w:rPr>
          <w:szCs w:val="22"/>
        </w:rPr>
        <w:t>Псориатичен артрит е възпалително заболяване на ставите, обикновено съпътствано от псориазис. Ако имате активен псориатичен артрит, първо ще Ви лекуват с други лекарства. Ако не се повлияете достатъчно добре от тези лекарства, може да Ви се предпише Stelara, за да се:</w:t>
      </w:r>
    </w:p>
    <w:p w14:paraId="109AE162" w14:textId="5ACC3F0F" w:rsidR="009B3384" w:rsidRDefault="00800862">
      <w:pPr>
        <w:numPr>
          <w:ilvl w:val="0"/>
          <w:numId w:val="30"/>
        </w:numPr>
        <w:tabs>
          <w:tab w:val="clear" w:pos="567"/>
        </w:tabs>
        <w:rPr>
          <w:szCs w:val="22"/>
        </w:rPr>
      </w:pPr>
      <w:r>
        <w:rPr>
          <w:szCs w:val="22"/>
        </w:rPr>
        <w:t>Намалят признаците и симптомите на заболяването Ви.</w:t>
      </w:r>
    </w:p>
    <w:p w14:paraId="109AE163" w14:textId="47AE0091" w:rsidR="009B3384" w:rsidRDefault="00800862">
      <w:pPr>
        <w:numPr>
          <w:ilvl w:val="0"/>
          <w:numId w:val="30"/>
        </w:numPr>
        <w:tabs>
          <w:tab w:val="clear" w:pos="567"/>
        </w:tabs>
        <w:rPr>
          <w:szCs w:val="22"/>
        </w:rPr>
      </w:pPr>
      <w:r>
        <w:rPr>
          <w:szCs w:val="22"/>
        </w:rPr>
        <w:t>Подобри физическото Ви състояние.</w:t>
      </w:r>
    </w:p>
    <w:p w14:paraId="109AE164" w14:textId="79588D05" w:rsidR="009B3384" w:rsidRDefault="00800862">
      <w:pPr>
        <w:numPr>
          <w:ilvl w:val="0"/>
          <w:numId w:val="30"/>
        </w:numPr>
        <w:tabs>
          <w:tab w:val="clear" w:pos="567"/>
        </w:tabs>
        <w:rPr>
          <w:szCs w:val="22"/>
        </w:rPr>
      </w:pPr>
      <w:r>
        <w:rPr>
          <w:szCs w:val="22"/>
        </w:rPr>
        <w:t>Забави увреждането на Вашите стави.</w:t>
      </w:r>
    </w:p>
    <w:p w14:paraId="109AE165" w14:textId="77777777" w:rsidR="009B3384" w:rsidRDefault="009B3384">
      <w:pPr>
        <w:rPr>
          <w:szCs w:val="22"/>
        </w:rPr>
      </w:pPr>
    </w:p>
    <w:p w14:paraId="109AE166" w14:textId="77777777" w:rsidR="009B3384" w:rsidRDefault="00800862">
      <w:pPr>
        <w:keepNext/>
        <w:widowControl w:val="0"/>
        <w:rPr>
          <w:b/>
        </w:rPr>
      </w:pPr>
      <w:r>
        <w:rPr>
          <w:b/>
        </w:rPr>
        <w:t>Болест на Крон</w:t>
      </w:r>
    </w:p>
    <w:p w14:paraId="109AE167" w14:textId="77777777" w:rsidR="009B3384" w:rsidRDefault="00800862">
      <w:r>
        <w:t xml:space="preserve">Болестта на Крон е възпалително заболяване на червата. Ако имате болест на Крон първо ще Ви се дадат други лекарства. Ако не се повлияете достатъчно или имате непоносимост към тези лекарства, може да Ви се даде </w:t>
      </w:r>
      <w:r>
        <w:rPr>
          <w:lang w:val="en-GB"/>
        </w:rPr>
        <w:t>Stelara</w:t>
      </w:r>
      <w:r>
        <w:t xml:space="preserve"> за намаляване на признаците и симптомите на заболяването Ви.</w:t>
      </w:r>
    </w:p>
    <w:p w14:paraId="109AE168" w14:textId="77777777" w:rsidR="009B3384" w:rsidRDefault="009B3384">
      <w:pPr>
        <w:rPr>
          <w:szCs w:val="22"/>
        </w:rPr>
      </w:pPr>
    </w:p>
    <w:p w14:paraId="109AE169" w14:textId="77777777" w:rsidR="009B3384" w:rsidRDefault="00800862">
      <w:pPr>
        <w:keepNext/>
        <w:tabs>
          <w:tab w:val="clear" w:pos="567"/>
        </w:tabs>
        <w:rPr>
          <w:b/>
        </w:rPr>
      </w:pPr>
      <w:r>
        <w:rPr>
          <w:b/>
        </w:rPr>
        <w:t>Улцерозен колит</w:t>
      </w:r>
    </w:p>
    <w:p w14:paraId="109AE16A" w14:textId="77777777" w:rsidR="009B3384" w:rsidRDefault="00800862">
      <w:r>
        <w:t>Улцерозният колит е възпалително заболяване на червата. Ако имате улцерозен колит, първо ще Ви се дадат други лекарства. Ако не се повлиявате добре или имате непоносимост към тези лекарства, може да Ви се даде Stelara за намаляване на признаците и симптомите на Вашето заболяване.</w:t>
      </w:r>
    </w:p>
    <w:p w14:paraId="109AE16B" w14:textId="77777777" w:rsidR="009B3384" w:rsidRDefault="009B3384">
      <w:pPr>
        <w:rPr>
          <w:szCs w:val="22"/>
        </w:rPr>
      </w:pPr>
    </w:p>
    <w:p w14:paraId="109AE16C" w14:textId="77777777" w:rsidR="009B3384" w:rsidRDefault="009B3384">
      <w:pPr>
        <w:rPr>
          <w:szCs w:val="22"/>
        </w:rPr>
      </w:pPr>
    </w:p>
    <w:p w14:paraId="109AE16D" w14:textId="77777777" w:rsidR="009B3384" w:rsidRDefault="00800862">
      <w:pPr>
        <w:keepNext/>
        <w:ind w:left="567" w:hanging="567"/>
        <w:outlineLvl w:val="2"/>
        <w:rPr>
          <w:b/>
          <w:bCs/>
        </w:rPr>
      </w:pPr>
      <w:r>
        <w:rPr>
          <w:b/>
          <w:bCs/>
        </w:rPr>
        <w:t>2.</w:t>
      </w:r>
      <w:r>
        <w:rPr>
          <w:b/>
          <w:bCs/>
        </w:rPr>
        <w:tab/>
        <w:t>Какво трябва да знаете, преди да използвате Stelara</w:t>
      </w:r>
    </w:p>
    <w:p w14:paraId="109AE16E" w14:textId="77777777" w:rsidR="009B3384" w:rsidRDefault="009B3384">
      <w:pPr>
        <w:keepNext/>
        <w:rPr>
          <w:szCs w:val="22"/>
        </w:rPr>
      </w:pPr>
    </w:p>
    <w:p w14:paraId="109AE16F" w14:textId="77777777" w:rsidR="009B3384" w:rsidRDefault="00800862">
      <w:pPr>
        <w:keepNext/>
        <w:rPr>
          <w:szCs w:val="22"/>
        </w:rPr>
      </w:pPr>
      <w:r>
        <w:rPr>
          <w:b/>
          <w:szCs w:val="22"/>
        </w:rPr>
        <w:t>Не използвайте Stelara</w:t>
      </w:r>
    </w:p>
    <w:p w14:paraId="109AE170" w14:textId="77777777" w:rsidR="009B3384" w:rsidRDefault="00800862">
      <w:pPr>
        <w:numPr>
          <w:ilvl w:val="0"/>
          <w:numId w:val="30"/>
        </w:numPr>
        <w:tabs>
          <w:tab w:val="clear" w:pos="567"/>
        </w:tabs>
        <w:rPr>
          <w:bCs/>
          <w:szCs w:val="22"/>
        </w:rPr>
      </w:pPr>
      <w:r>
        <w:rPr>
          <w:b/>
          <w:szCs w:val="22"/>
        </w:rPr>
        <w:t>Ако сте алергични към устекинумаб</w:t>
      </w:r>
      <w:r>
        <w:rPr>
          <w:szCs w:val="22"/>
        </w:rPr>
        <w:t xml:space="preserve"> или някоя от останалите съставки на това лекарство (изброени в точка 6).</w:t>
      </w:r>
    </w:p>
    <w:p w14:paraId="109AE171" w14:textId="77777777" w:rsidR="009B3384" w:rsidRDefault="00800862">
      <w:pPr>
        <w:numPr>
          <w:ilvl w:val="0"/>
          <w:numId w:val="30"/>
        </w:numPr>
        <w:tabs>
          <w:tab w:val="clear" w:pos="567"/>
        </w:tabs>
        <w:rPr>
          <w:bCs/>
          <w:szCs w:val="22"/>
        </w:rPr>
      </w:pPr>
      <w:r>
        <w:rPr>
          <w:b/>
          <w:szCs w:val="22"/>
        </w:rPr>
        <w:t>Ако имате активна инфекция</w:t>
      </w:r>
      <w:r>
        <w:rPr>
          <w:szCs w:val="22"/>
        </w:rPr>
        <w:t>, която Вашият лекар намира за значима.</w:t>
      </w:r>
    </w:p>
    <w:p w14:paraId="109AE172" w14:textId="77777777" w:rsidR="009B3384" w:rsidRDefault="009B3384">
      <w:pPr>
        <w:rPr>
          <w:szCs w:val="22"/>
        </w:rPr>
      </w:pPr>
    </w:p>
    <w:p w14:paraId="109AE173" w14:textId="77777777" w:rsidR="009B3384" w:rsidRDefault="00800862">
      <w:pPr>
        <w:rPr>
          <w:szCs w:val="22"/>
        </w:rPr>
      </w:pPr>
      <w:r>
        <w:rPr>
          <w:szCs w:val="22"/>
        </w:rPr>
        <w:t>Ако не сте сигурни дали някое от изброените по-горе се отнася за Вас, посъветвайте се с Вашия лекар или фармацевт, преди да използвате Stelara.</w:t>
      </w:r>
    </w:p>
    <w:p w14:paraId="109AE174" w14:textId="77777777" w:rsidR="009B3384" w:rsidRDefault="009B3384">
      <w:pPr>
        <w:rPr>
          <w:szCs w:val="22"/>
        </w:rPr>
      </w:pPr>
    </w:p>
    <w:p w14:paraId="109AE175" w14:textId="77777777" w:rsidR="009B3384" w:rsidRDefault="00800862">
      <w:pPr>
        <w:keepNext/>
        <w:rPr>
          <w:b/>
          <w:szCs w:val="22"/>
        </w:rPr>
      </w:pPr>
      <w:r>
        <w:rPr>
          <w:b/>
          <w:szCs w:val="22"/>
        </w:rPr>
        <w:t>Предупреждения и предпазни мерки</w:t>
      </w:r>
    </w:p>
    <w:p w14:paraId="109AE176" w14:textId="5526EA8E" w:rsidR="009B3384" w:rsidRDefault="00800862">
      <w:pPr>
        <w:rPr>
          <w:szCs w:val="22"/>
        </w:rPr>
      </w:pPr>
      <w:r>
        <w:t>Говорете с Вашия лекар или фармацевт преди да използвате Stelara. Вашият лекар ще провери състоянието Ви преди всяко лечение. Уведомете своя лекар за всяка Ваша болест преди всяко лечение. Също така информирайте Вашия лекар, ако наскоро сте били в контакт с човек, който може да има туберкулоза. Вашият лекар ще Ви прегледа и ще направи изследване за туберкулоза преди да използвате Stelara. Ако Вашият лекар смята, че сте изложени на риск от туберкулоза, може да Ви предпише лекарства за лечението й.</w:t>
      </w:r>
    </w:p>
    <w:p w14:paraId="109AE177" w14:textId="77777777" w:rsidR="009B3384" w:rsidRDefault="009B3384">
      <w:pPr>
        <w:rPr>
          <w:szCs w:val="22"/>
        </w:rPr>
      </w:pPr>
    </w:p>
    <w:p w14:paraId="109AE178" w14:textId="77777777" w:rsidR="009B3384" w:rsidRDefault="00800862">
      <w:pPr>
        <w:keepNext/>
        <w:rPr>
          <w:b/>
        </w:rPr>
      </w:pPr>
      <w:r>
        <w:rPr>
          <w:b/>
        </w:rPr>
        <w:t>Следете за сериозни нежелани реакции</w:t>
      </w:r>
    </w:p>
    <w:p w14:paraId="109AE179" w14:textId="77777777" w:rsidR="009B3384" w:rsidRDefault="00800862">
      <w:r>
        <w:t>Stelara може да предизвика сериозни нежелани реакции, включително алергични реакции и инфекции. Трябва да следите за определени признаци на заболявания, докато приемате Stelara. Вижте „Сериозни нежелани реакции” в точка 4 за пълния списък на тези нежелани реакции.</w:t>
      </w:r>
    </w:p>
    <w:p w14:paraId="109AE17A" w14:textId="77777777" w:rsidR="009B3384" w:rsidRDefault="009B3384">
      <w:pPr>
        <w:rPr>
          <w:szCs w:val="22"/>
        </w:rPr>
      </w:pPr>
    </w:p>
    <w:p w14:paraId="109AE17B" w14:textId="77777777" w:rsidR="009B3384" w:rsidRDefault="00800862">
      <w:pPr>
        <w:keepNext/>
        <w:rPr>
          <w:b/>
        </w:rPr>
      </w:pPr>
      <w:r>
        <w:rPr>
          <w:b/>
        </w:rPr>
        <w:t>Преди да използвате Stelara информирайте Вашия лекар:</w:t>
      </w:r>
    </w:p>
    <w:p w14:paraId="109AE17C" w14:textId="77777777" w:rsidR="009B3384" w:rsidRDefault="00800862">
      <w:pPr>
        <w:widowControl w:val="0"/>
        <w:numPr>
          <w:ilvl w:val="0"/>
          <w:numId w:val="30"/>
        </w:numPr>
        <w:tabs>
          <w:tab w:val="clear" w:pos="567"/>
        </w:tabs>
        <w:rPr>
          <w:bCs/>
        </w:rPr>
      </w:pPr>
      <w:r>
        <w:rPr>
          <w:b/>
          <w:bCs/>
        </w:rPr>
        <w:t>Ако някога сте имали алергична реакция към Stelara</w:t>
      </w:r>
      <w:r>
        <w:rPr>
          <w:bCs/>
        </w:rPr>
        <w:t>. Ако не сте сигурни, попитайте Вашия лекар.</w:t>
      </w:r>
    </w:p>
    <w:p w14:paraId="109AE17D" w14:textId="77777777" w:rsidR="009B3384" w:rsidRDefault="00800862">
      <w:pPr>
        <w:widowControl w:val="0"/>
        <w:numPr>
          <w:ilvl w:val="0"/>
          <w:numId w:val="30"/>
        </w:numPr>
        <w:tabs>
          <w:tab w:val="clear" w:pos="567"/>
        </w:tabs>
        <w:rPr>
          <w:bCs/>
          <w:szCs w:val="22"/>
        </w:rPr>
      </w:pPr>
      <w:r>
        <w:rPr>
          <w:b/>
          <w:bCs/>
        </w:rPr>
        <w:t xml:space="preserve">Ако някога сте имали някакъв вид рак </w:t>
      </w:r>
      <w:r>
        <w:rPr>
          <w:bCs/>
        </w:rPr>
        <w:t xml:space="preserve">– това е, защото имуносупресорите като </w:t>
      </w:r>
      <w:r>
        <w:t>Stelara отслабват част от имунната система. Това може да повиши риска от рак.</w:t>
      </w:r>
    </w:p>
    <w:p w14:paraId="109AE17E" w14:textId="77777777" w:rsidR="009B3384" w:rsidRDefault="00800862">
      <w:pPr>
        <w:numPr>
          <w:ilvl w:val="0"/>
          <w:numId w:val="30"/>
        </w:numPr>
        <w:tabs>
          <w:tab w:val="clear" w:pos="567"/>
        </w:tabs>
      </w:pPr>
      <w:r>
        <w:rPr>
          <w:b/>
          <w:bCs/>
          <w:szCs w:val="22"/>
        </w:rPr>
        <w:t>Ако сте лекувани за псориазис с други биологични лекарства (лекарство, произведено от биологичен източник и обикновено прилагано чрез инжекция)</w:t>
      </w:r>
      <w:r>
        <w:rPr>
          <w:bCs/>
          <w:szCs w:val="22"/>
        </w:rPr>
        <w:t xml:space="preserve"> - рискът от рак може да е по-висок.</w:t>
      </w:r>
    </w:p>
    <w:p w14:paraId="109AE17F" w14:textId="77777777" w:rsidR="009B3384" w:rsidRDefault="00800862">
      <w:pPr>
        <w:widowControl w:val="0"/>
        <w:numPr>
          <w:ilvl w:val="0"/>
          <w:numId w:val="30"/>
        </w:numPr>
        <w:tabs>
          <w:tab w:val="clear" w:pos="567"/>
        </w:tabs>
        <w:rPr>
          <w:bCs/>
          <w:szCs w:val="22"/>
        </w:rPr>
      </w:pPr>
      <w:r>
        <w:rPr>
          <w:b/>
          <w:bCs/>
        </w:rPr>
        <w:t>Ако имате или наскоро сте имали инфекция.</w:t>
      </w:r>
    </w:p>
    <w:p w14:paraId="109AE180" w14:textId="77777777" w:rsidR="009B3384" w:rsidRDefault="00800862">
      <w:pPr>
        <w:widowControl w:val="0"/>
        <w:numPr>
          <w:ilvl w:val="0"/>
          <w:numId w:val="30"/>
        </w:numPr>
        <w:tabs>
          <w:tab w:val="clear" w:pos="567"/>
        </w:tabs>
        <w:rPr>
          <w:bCs/>
        </w:rPr>
      </w:pPr>
      <w:r>
        <w:rPr>
          <w:b/>
          <w:bCs/>
        </w:rPr>
        <w:t xml:space="preserve">Ако имате нови или променящи се лезии </w:t>
      </w:r>
      <w:r>
        <w:rPr>
          <w:bCs/>
        </w:rPr>
        <w:t>в участъците с псориазис или по незасегнатата кожа.</w:t>
      </w:r>
    </w:p>
    <w:p w14:paraId="109AE181" w14:textId="77777777" w:rsidR="009B3384" w:rsidRDefault="00800862">
      <w:pPr>
        <w:widowControl w:val="0"/>
        <w:numPr>
          <w:ilvl w:val="0"/>
          <w:numId w:val="30"/>
        </w:numPr>
        <w:tabs>
          <w:tab w:val="clear" w:pos="567"/>
        </w:tabs>
        <w:rPr>
          <w:bCs/>
        </w:rPr>
      </w:pPr>
      <w:r>
        <w:rPr>
          <w:b/>
        </w:rPr>
        <w:t>Ако някога сте имали алергична реакция към латекс или инжекция Stelara</w:t>
      </w:r>
      <w:r>
        <w:t xml:space="preserve"> – </w:t>
      </w:r>
      <w:r>
        <w:rPr>
          <w:szCs w:val="22"/>
        </w:rPr>
        <w:lastRenderedPageBreak/>
        <w:t xml:space="preserve">опаковката, в която се намира този лекарствен продукт, съдържа латексова гума, която може да предизвика тежки алергични реакции при хора, чувствителни към латекс. Вижте </w:t>
      </w:r>
      <w:r>
        <w:t>„Следете за сериозни нежелани реакции” в точка 4 за признаците на алергична реакция.</w:t>
      </w:r>
    </w:p>
    <w:p w14:paraId="109AE182" w14:textId="77777777" w:rsidR="009B3384" w:rsidRDefault="00800862">
      <w:pPr>
        <w:widowControl w:val="0"/>
        <w:numPr>
          <w:ilvl w:val="0"/>
          <w:numId w:val="30"/>
        </w:numPr>
        <w:tabs>
          <w:tab w:val="clear" w:pos="567"/>
        </w:tabs>
        <w:rPr>
          <w:bCs/>
        </w:rPr>
      </w:pPr>
      <w:r>
        <w:rPr>
          <w:b/>
        </w:rPr>
        <w:t>Ако получавате друго лечение за псориазис и/или псориатичен артрит</w:t>
      </w:r>
      <w:r>
        <w:t xml:space="preserve"> – като други имуносупресори или фототерапия (когато тялото се лекува с тип ултравиолетова (UV) светлина). Тези лечения също може да отслабят част от имунната система. Използването на тези лечения заедно със </w:t>
      </w:r>
      <w:r>
        <w:rPr>
          <w:lang w:val="en-US"/>
        </w:rPr>
        <w:t>Stelara</w:t>
      </w:r>
      <w:r>
        <w:t xml:space="preserve"> не е изследвано. Възможно е обаче, то да увеличи риска от заболявания, свързани с отслабване на имунната система.</w:t>
      </w:r>
    </w:p>
    <w:p w14:paraId="109AE183" w14:textId="77777777" w:rsidR="009B3384" w:rsidRDefault="00800862">
      <w:pPr>
        <w:numPr>
          <w:ilvl w:val="0"/>
          <w:numId w:val="30"/>
        </w:numPr>
        <w:tabs>
          <w:tab w:val="clear" w:pos="567"/>
        </w:tabs>
        <w:rPr>
          <w:bCs/>
        </w:rPr>
      </w:pPr>
      <w:r>
        <w:rPr>
          <w:b/>
        </w:rPr>
        <w:t>Ако получавате или някога сте получавали инжекции за лечение на алергии</w:t>
      </w:r>
      <w:r>
        <w:t xml:space="preserve"> – не е известно дали Stelara може да окаже влияние върху тях.</w:t>
      </w:r>
    </w:p>
    <w:p w14:paraId="109AE184" w14:textId="77777777" w:rsidR="009B3384" w:rsidRDefault="00800862">
      <w:pPr>
        <w:numPr>
          <w:ilvl w:val="0"/>
          <w:numId w:val="30"/>
        </w:numPr>
        <w:tabs>
          <w:tab w:val="clear" w:pos="567"/>
        </w:tabs>
        <w:rPr>
          <w:bCs/>
        </w:rPr>
      </w:pPr>
      <w:r>
        <w:rPr>
          <w:b/>
        </w:rPr>
        <w:t>Ако сте на и над 65 години</w:t>
      </w:r>
      <w:r>
        <w:t xml:space="preserve"> – може да сте по-склонни към инфекции.</w:t>
      </w:r>
    </w:p>
    <w:p w14:paraId="109AE185" w14:textId="77777777" w:rsidR="009B3384" w:rsidRDefault="009B3384"/>
    <w:p w14:paraId="109AE186" w14:textId="77777777" w:rsidR="009B3384" w:rsidRDefault="00800862">
      <w:pPr>
        <w:rPr>
          <w:szCs w:val="22"/>
        </w:rPr>
      </w:pPr>
      <w:r>
        <w:rPr>
          <w:szCs w:val="22"/>
        </w:rPr>
        <w:t>Ако не сте сигурни дали някое от гореизброените се отнася за Вас, посъветвайте се с Вашия лекар или фармацевт, преди да използвате Stelara.</w:t>
      </w:r>
    </w:p>
    <w:p w14:paraId="109AE187" w14:textId="77777777" w:rsidR="009B3384" w:rsidRDefault="009B3384">
      <w:pPr>
        <w:rPr>
          <w:szCs w:val="22"/>
        </w:rPr>
      </w:pPr>
    </w:p>
    <w:p w14:paraId="109AE188" w14:textId="37F1ADA5" w:rsidR="009B3384" w:rsidRDefault="00800862">
      <w:pPr>
        <w:rPr>
          <w:szCs w:val="22"/>
        </w:rPr>
      </w:pPr>
      <w:r>
        <w:rPr>
          <w:szCs w:val="22"/>
        </w:rPr>
        <w:t>Някои пациенти получават лупус-подобни реакции, включително кожен лупус и лупус-подобен синдром, по време на лечение с устекинумаб. Говорете веднага с Вашия лекар, ако получите червен, надигнат, лющещ се обрив, понякога с по-тъмни граници в изложените на слънце участъци на кожата или ставни болки.</w:t>
      </w:r>
    </w:p>
    <w:p w14:paraId="109AE189" w14:textId="77777777" w:rsidR="009B3384" w:rsidRDefault="009B3384">
      <w:pPr>
        <w:rPr>
          <w:szCs w:val="22"/>
        </w:rPr>
      </w:pPr>
    </w:p>
    <w:p w14:paraId="109AE18A" w14:textId="77777777" w:rsidR="009B3384" w:rsidRDefault="00800862">
      <w:pPr>
        <w:keepNext/>
        <w:tabs>
          <w:tab w:val="clear" w:pos="567"/>
        </w:tabs>
        <w:rPr>
          <w:b/>
          <w:bCs/>
        </w:rPr>
      </w:pPr>
      <w:r>
        <w:rPr>
          <w:b/>
          <w:bCs/>
        </w:rPr>
        <w:t>Сърдечен инфаркт и инсулти</w:t>
      </w:r>
    </w:p>
    <w:p w14:paraId="109AE18B" w14:textId="77777777" w:rsidR="009B3384" w:rsidRDefault="00800862">
      <w:pPr>
        <w:tabs>
          <w:tab w:val="clear" w:pos="567"/>
        </w:tabs>
      </w:pPr>
      <w:r>
        <w:t>Инфаркт и инсулти са наблюдавани в проучване при пациенти с псориазис, лекувани със Stelara. Вашият лекар редовно ще проверява рисковите фактори за сърдечно заболяване и инсулт при Вас, за да е сигурно, че те се лекуват по подходящ начин. Незабавно потърсете медицинска помощ, ако получите болка в гърдите, слабост или необичайно усещане от едната страна на тялото, отпуснатост на лицето или говорни, или зрителни смущения.</w:t>
      </w:r>
    </w:p>
    <w:p w14:paraId="109AE18C" w14:textId="77777777" w:rsidR="009B3384" w:rsidRDefault="009B3384">
      <w:pPr>
        <w:tabs>
          <w:tab w:val="clear" w:pos="567"/>
        </w:tabs>
      </w:pPr>
    </w:p>
    <w:p w14:paraId="109AE18D" w14:textId="77777777" w:rsidR="009B3384" w:rsidRDefault="00800862">
      <w:pPr>
        <w:keepNext/>
        <w:widowControl w:val="0"/>
        <w:rPr>
          <w:b/>
          <w:bCs/>
        </w:rPr>
      </w:pPr>
      <w:r>
        <w:rPr>
          <w:b/>
          <w:bCs/>
        </w:rPr>
        <w:t>Деца и юноши</w:t>
      </w:r>
    </w:p>
    <w:p w14:paraId="109AE18E" w14:textId="63D6BC86" w:rsidR="009B3384" w:rsidRDefault="00800862">
      <w:r>
        <w:t>Stelara не се препоръчва за употреба при деца на възраст под 6 години с псориазис</w:t>
      </w:r>
      <w:bookmarkStart w:id="1354" w:name="_Hlk188382854"/>
      <w:r>
        <w:t xml:space="preserve">, деца </w:t>
      </w:r>
      <w:ins w:id="1355" w:author="Reviser" w:date="2026-04-30T15:45:00Z">
        <w:r w:rsidR="001F5D56">
          <w:rPr>
            <w:bCs/>
          </w:rPr>
          <w:t xml:space="preserve">на възраст под 2 години </w:t>
        </w:r>
      </w:ins>
      <w:r>
        <w:t xml:space="preserve">с болест на Крон </w:t>
      </w:r>
      <w:ins w:id="1356" w:author="RABG09" w:date="2026-05-14T13:07:00Z">
        <w:r w:rsidR="00A3609D">
          <w:t xml:space="preserve">или улцерозен колит, </w:t>
        </w:r>
      </w:ins>
      <w:del w:id="1357" w:author="Reviser" w:date="2026-04-30T15:45:00Z">
        <w:r w:rsidDel="001F5D56">
          <w:rPr>
            <w:bCs/>
          </w:rPr>
          <w:delText xml:space="preserve">на възраст под 2 години </w:delText>
        </w:r>
      </w:del>
      <w:bookmarkEnd w:id="1354"/>
      <w:r>
        <w:t>или при деца на възраст под 18 години с псориатичен артрит</w:t>
      </w:r>
      <w:del w:id="1358" w:author="Reviser" w:date="2026-04-30T15:45:00Z">
        <w:r w:rsidDel="001F5D56">
          <w:delText xml:space="preserve"> или с </w:delText>
        </w:r>
        <w:r w:rsidDel="001F5D56">
          <w:rPr>
            <w:bCs/>
          </w:rPr>
          <w:delText>улцерозен колит</w:delText>
        </w:r>
      </w:del>
      <w:r>
        <w:t>, защото не е проучван при тези възрастови групи.</w:t>
      </w:r>
    </w:p>
    <w:p w14:paraId="109AE18F" w14:textId="77777777" w:rsidR="009B3384" w:rsidRDefault="009B3384">
      <w:pPr>
        <w:rPr>
          <w:szCs w:val="22"/>
        </w:rPr>
      </w:pPr>
    </w:p>
    <w:p w14:paraId="109AE190" w14:textId="77777777" w:rsidR="009B3384" w:rsidRDefault="00800862">
      <w:pPr>
        <w:keepNext/>
      </w:pPr>
      <w:r>
        <w:rPr>
          <w:b/>
          <w:szCs w:val="22"/>
        </w:rPr>
        <w:t>Други лекарства, ваксини и Stelara</w:t>
      </w:r>
    </w:p>
    <w:p w14:paraId="109AE191" w14:textId="77777777" w:rsidR="009B3384" w:rsidRDefault="00800862">
      <w:r>
        <w:rPr>
          <w:szCs w:val="22"/>
        </w:rPr>
        <w:t>Трябва да кажете на Вашия лекар или фармацевт:</w:t>
      </w:r>
    </w:p>
    <w:p w14:paraId="109AE192" w14:textId="77777777" w:rsidR="009B3384" w:rsidRDefault="00800862">
      <w:pPr>
        <w:numPr>
          <w:ilvl w:val="0"/>
          <w:numId w:val="30"/>
        </w:numPr>
        <w:tabs>
          <w:tab w:val="clear" w:pos="567"/>
        </w:tabs>
      </w:pPr>
      <w:r>
        <w:rPr>
          <w:szCs w:val="22"/>
        </w:rPr>
        <w:t>Ако приемате, наскоро сте приемали или е възможно да приемете други лекарства.</w:t>
      </w:r>
    </w:p>
    <w:p w14:paraId="109AE193" w14:textId="77777777" w:rsidR="009B3384" w:rsidRDefault="00800862">
      <w:pPr>
        <w:numPr>
          <w:ilvl w:val="0"/>
          <w:numId w:val="30"/>
        </w:numPr>
        <w:tabs>
          <w:tab w:val="clear" w:pos="567"/>
        </w:tabs>
      </w:pPr>
      <w:r>
        <w:rPr>
          <w:szCs w:val="22"/>
        </w:rPr>
        <w:t>Ако наскоро Ви е правена или планирате да Ви се прави ваксинация. Докато използвате Stelara, някои видове ваксини (живи ваксини) не трябва да се прилагат.</w:t>
      </w:r>
    </w:p>
    <w:p w14:paraId="109AE194" w14:textId="77777777" w:rsidR="009B3384" w:rsidRDefault="00800862">
      <w:pPr>
        <w:numPr>
          <w:ilvl w:val="0"/>
          <w:numId w:val="30"/>
        </w:numPr>
        <w:tabs>
          <w:tab w:val="clear" w:pos="567"/>
        </w:tabs>
      </w:pPr>
      <w:r>
        <w:rPr>
          <w:bCs/>
          <w:szCs w:val="22"/>
        </w:rPr>
        <w:t>Ако сте получавали Stelara по време на бременността, трябва да кажете на лекаря на бебето Ви за лечението със Stelara, преди то да получи каквато и да е ваксина, включително живи ваксини, като БЦЖ ваксина (използвана за предпазване от туберкулоза). Живите ваксини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195" w14:textId="77777777" w:rsidR="009B3384" w:rsidRDefault="009B3384">
      <w:pPr>
        <w:rPr>
          <w:szCs w:val="22"/>
        </w:rPr>
      </w:pPr>
    </w:p>
    <w:p w14:paraId="109AE196" w14:textId="77777777" w:rsidR="009B3384" w:rsidRDefault="00800862">
      <w:pPr>
        <w:keepNext/>
      </w:pPr>
      <w:r>
        <w:rPr>
          <w:b/>
          <w:szCs w:val="22"/>
        </w:rPr>
        <w:t>Бременност и кърмене</w:t>
      </w:r>
    </w:p>
    <w:p w14:paraId="109AE197" w14:textId="77777777" w:rsidR="009B3384" w:rsidRDefault="00800862">
      <w:pPr>
        <w:numPr>
          <w:ilvl w:val="0"/>
          <w:numId w:val="30"/>
        </w:numPr>
        <w:tabs>
          <w:tab w:val="clear" w:pos="567"/>
        </w:tabs>
      </w:pPr>
      <w:r>
        <w:rPr>
          <w:noProof/>
          <w:szCs w:val="22"/>
        </w:rPr>
        <w:t>Ако сте бременна, смятате, че може да сте бременна или планирате бременност, посъветвайте</w:t>
      </w:r>
      <w:r>
        <w:rPr>
          <w:szCs w:val="22"/>
        </w:rPr>
        <w:t xml:space="preserve"> се с Вашия лекар преди употребата на </w:t>
      </w:r>
      <w:r>
        <w:rPr>
          <w:noProof/>
          <w:szCs w:val="22"/>
        </w:rPr>
        <w:t>това</w:t>
      </w:r>
      <w:r>
        <w:rPr>
          <w:szCs w:val="22"/>
        </w:rPr>
        <w:t xml:space="preserve"> лекарство.</w:t>
      </w:r>
    </w:p>
    <w:p w14:paraId="109AE198" w14:textId="77777777" w:rsidR="009B3384" w:rsidRDefault="00800862">
      <w:pPr>
        <w:numPr>
          <w:ilvl w:val="0"/>
          <w:numId w:val="30"/>
        </w:numPr>
        <w:tabs>
          <w:tab w:val="clear" w:pos="567"/>
        </w:tabs>
      </w:pPr>
      <w:r>
        <w:t>Не е наблюдаван по-висок риск от вродени дефекти при бебета, изложени на Stelara в утробата. Данните от употребата на Stelara при бременни жени обаче са ограничени. Поради това е за предпочитане да се избягва употребата на Stelara по време на бременност.</w:t>
      </w:r>
    </w:p>
    <w:p w14:paraId="109AE199" w14:textId="77777777" w:rsidR="009B3384" w:rsidRDefault="00800862">
      <w:pPr>
        <w:numPr>
          <w:ilvl w:val="0"/>
          <w:numId w:val="30"/>
        </w:numPr>
        <w:tabs>
          <w:tab w:val="clear" w:pos="567"/>
        </w:tabs>
      </w:pPr>
      <w:r>
        <w:rPr>
          <w:szCs w:val="22"/>
        </w:rPr>
        <w:t>Ако сте жена с детероден потенциал, желателно е да не забременявате и да използвате подходящ противозачатъчен метод, когато използвате Stelara и поне 15 седмици след последното прилагане на Stelara.</w:t>
      </w:r>
    </w:p>
    <w:p w14:paraId="109AE19A" w14:textId="77777777" w:rsidR="009B3384" w:rsidRDefault="00800862">
      <w:pPr>
        <w:numPr>
          <w:ilvl w:val="0"/>
          <w:numId w:val="30"/>
        </w:numPr>
        <w:tabs>
          <w:tab w:val="clear" w:pos="567"/>
        </w:tabs>
      </w:pPr>
      <w:r>
        <w:rPr>
          <w:bCs/>
          <w:szCs w:val="22"/>
        </w:rPr>
        <w:lastRenderedPageBreak/>
        <w:t>Stelara може да премине през плацентата в нероденото бебе. Ако сте получавали Stelara по време на бременността си, бебето Ви може да има по-висок риск от инфекция.</w:t>
      </w:r>
    </w:p>
    <w:p w14:paraId="109AE19B" w14:textId="77777777" w:rsidR="009B3384" w:rsidRDefault="00800862">
      <w:pPr>
        <w:numPr>
          <w:ilvl w:val="0"/>
          <w:numId w:val="30"/>
        </w:numPr>
        <w:tabs>
          <w:tab w:val="clear" w:pos="567"/>
        </w:tabs>
      </w:pPr>
      <w:r>
        <w:rPr>
          <w:bCs/>
          <w:szCs w:val="22"/>
        </w:rPr>
        <w:t>Важно е да кажете на лекарите на Вашето бебе и други медицински специалисти, ако сте получавали Stelara по време на бременността си, преди бебето да получи каквато и да е ваксина. Живи ваксини, като БЦЖ ваксина (използвана за предпазване от туберкулоза),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19C" w14:textId="77777777" w:rsidR="009B3384" w:rsidRDefault="00800862">
      <w:pPr>
        <w:numPr>
          <w:ilvl w:val="0"/>
          <w:numId w:val="30"/>
        </w:numPr>
        <w:tabs>
          <w:tab w:val="clear" w:pos="567"/>
        </w:tabs>
      </w:pPr>
      <w:r>
        <w:t xml:space="preserve">Устекинумаб може да премине в кърмата в много малки количества. </w:t>
      </w:r>
      <w:r>
        <w:rPr>
          <w:szCs w:val="22"/>
        </w:rPr>
        <w:t>Посъветвайте се с Вашия лекар, ако кърмите или ако планирате да кърмите. Вие и Вашият лекар трябва да решите дали трябва да кърмите или да използвате Stelara - не правете и двете.</w:t>
      </w:r>
    </w:p>
    <w:p w14:paraId="109AE19D" w14:textId="77777777" w:rsidR="009B3384" w:rsidRDefault="009B3384"/>
    <w:p w14:paraId="109AE19E" w14:textId="77777777" w:rsidR="009B3384" w:rsidRDefault="00800862">
      <w:pPr>
        <w:keepNext/>
        <w:rPr>
          <w:szCs w:val="22"/>
        </w:rPr>
      </w:pPr>
      <w:r>
        <w:rPr>
          <w:b/>
          <w:szCs w:val="22"/>
        </w:rPr>
        <w:t>Шофиране и работа с машини</w:t>
      </w:r>
    </w:p>
    <w:p w14:paraId="109AE19F" w14:textId="77777777" w:rsidR="009B3384" w:rsidRDefault="00800862">
      <w:pPr>
        <w:rPr>
          <w:szCs w:val="22"/>
        </w:rPr>
      </w:pPr>
      <w:r>
        <w:rPr>
          <w:szCs w:val="22"/>
        </w:rPr>
        <w:t>Stelara не повлиява или повлиява пренебрежимо способността за шофиране и работа с машини.</w:t>
      </w:r>
    </w:p>
    <w:p w14:paraId="109AE1A0" w14:textId="77777777" w:rsidR="009B3384" w:rsidRDefault="009B3384">
      <w:pPr>
        <w:rPr>
          <w:szCs w:val="22"/>
        </w:rPr>
      </w:pPr>
    </w:p>
    <w:p w14:paraId="109AE1A1" w14:textId="77777777" w:rsidR="009B3384" w:rsidRDefault="00800862">
      <w:pPr>
        <w:keepNext/>
        <w:widowControl w:val="0"/>
        <w:rPr>
          <w:b/>
        </w:rPr>
      </w:pPr>
      <w:r>
        <w:rPr>
          <w:b/>
        </w:rPr>
        <w:t>Stelara съдържа полисорбат 80</w:t>
      </w:r>
    </w:p>
    <w:p w14:paraId="109AE1A2" w14:textId="77777777" w:rsidR="009B3384" w:rsidRDefault="00800862">
      <w:pPr>
        <w:widowControl w:val="0"/>
      </w:pPr>
      <w:r>
        <w:t>Stelara съдържа 0,02 mg полисорбат 80 (E433) във всяка доза, която е еквивалентна на 0,04 mg/ml. Полисорбатите могат да причинят алергични реакции. Трябва да кажете на Вашия лекар, ако имате установени алергии.</w:t>
      </w:r>
    </w:p>
    <w:p w14:paraId="109AE1A3" w14:textId="77777777" w:rsidR="009B3384" w:rsidRDefault="009B3384">
      <w:pPr>
        <w:tabs>
          <w:tab w:val="clear" w:pos="567"/>
        </w:tabs>
        <w:rPr>
          <w:szCs w:val="22"/>
        </w:rPr>
      </w:pPr>
    </w:p>
    <w:p w14:paraId="109AE1A4" w14:textId="77777777" w:rsidR="009B3384" w:rsidRDefault="009B3384">
      <w:pPr>
        <w:tabs>
          <w:tab w:val="clear" w:pos="567"/>
        </w:tabs>
        <w:rPr>
          <w:szCs w:val="22"/>
        </w:rPr>
      </w:pPr>
    </w:p>
    <w:p w14:paraId="109AE1A5" w14:textId="77777777" w:rsidR="009B3384" w:rsidRDefault="00800862">
      <w:pPr>
        <w:keepNext/>
        <w:ind w:left="567" w:hanging="567"/>
        <w:outlineLvl w:val="2"/>
        <w:rPr>
          <w:b/>
          <w:bCs/>
          <w:szCs w:val="22"/>
        </w:rPr>
      </w:pPr>
      <w:r>
        <w:rPr>
          <w:b/>
          <w:bCs/>
          <w:szCs w:val="22"/>
        </w:rPr>
        <w:t>3.</w:t>
      </w:r>
      <w:r>
        <w:rPr>
          <w:b/>
          <w:bCs/>
          <w:szCs w:val="22"/>
        </w:rPr>
        <w:tab/>
        <w:t>Как да използвате Stelara</w:t>
      </w:r>
    </w:p>
    <w:p w14:paraId="109AE1A6" w14:textId="77777777" w:rsidR="009B3384" w:rsidRDefault="009B3384">
      <w:pPr>
        <w:keepNext/>
        <w:rPr>
          <w:szCs w:val="22"/>
        </w:rPr>
      </w:pPr>
    </w:p>
    <w:p w14:paraId="109AE1A7" w14:textId="77777777" w:rsidR="009B3384" w:rsidRDefault="00800862">
      <w:pPr>
        <w:rPr>
          <w:szCs w:val="22"/>
        </w:rPr>
      </w:pPr>
      <w:r>
        <w:rPr>
          <w:szCs w:val="22"/>
        </w:rPr>
        <w:t>Stelara е предназначен за употреба под ръководството и контрола на лекар с опит в лечението на заболявания</w:t>
      </w:r>
      <w:r>
        <w:rPr>
          <w:bCs/>
        </w:rPr>
        <w:t xml:space="preserve">, за които е показан </w:t>
      </w:r>
      <w:r>
        <w:rPr>
          <w:szCs w:val="22"/>
        </w:rPr>
        <w:t>Stelara.</w:t>
      </w:r>
    </w:p>
    <w:p w14:paraId="109AE1A8" w14:textId="77777777" w:rsidR="009B3384" w:rsidRDefault="009B3384">
      <w:pPr>
        <w:rPr>
          <w:szCs w:val="22"/>
        </w:rPr>
      </w:pPr>
    </w:p>
    <w:p w14:paraId="109AE1A9" w14:textId="77777777" w:rsidR="009B3384" w:rsidRDefault="00800862">
      <w:pPr>
        <w:rPr>
          <w:szCs w:val="22"/>
        </w:rPr>
      </w:pPr>
      <w:r>
        <w:rPr>
          <w:szCs w:val="22"/>
        </w:rPr>
        <w:t>Винаги използвайте това лекарство точно както Ви е казал Вашият лекар. Ако не сте сигурни в нещо, попитайте Вашия лекар. Посъветвайте се с Вашия лекар за това, кога ще Ви се поставят инжекциите и кога ще са следващите контролни прегледи.</w:t>
      </w:r>
    </w:p>
    <w:p w14:paraId="109AE1AA" w14:textId="77777777" w:rsidR="009B3384" w:rsidRDefault="009B3384">
      <w:pPr>
        <w:rPr>
          <w:szCs w:val="22"/>
        </w:rPr>
      </w:pPr>
    </w:p>
    <w:p w14:paraId="109AE1AB" w14:textId="77777777" w:rsidR="009B3384" w:rsidRDefault="00800862">
      <w:pPr>
        <w:keepNext/>
        <w:rPr>
          <w:b/>
          <w:bCs/>
          <w:szCs w:val="22"/>
        </w:rPr>
      </w:pPr>
      <w:r>
        <w:rPr>
          <w:b/>
          <w:bCs/>
          <w:szCs w:val="22"/>
        </w:rPr>
        <w:t>Какво количество Stelara се прилага</w:t>
      </w:r>
    </w:p>
    <w:p w14:paraId="109AE1AC" w14:textId="77777777" w:rsidR="009B3384" w:rsidRDefault="00800862">
      <w:pPr>
        <w:tabs>
          <w:tab w:val="clear" w:pos="567"/>
          <w:tab w:val="left" w:pos="540"/>
        </w:tabs>
        <w:rPr>
          <w:szCs w:val="22"/>
        </w:rPr>
      </w:pPr>
      <w:r>
        <w:rPr>
          <w:bCs/>
          <w:szCs w:val="22"/>
        </w:rPr>
        <w:t xml:space="preserve">Вашият лекар ще реши какво количество </w:t>
      </w:r>
      <w:r>
        <w:rPr>
          <w:szCs w:val="22"/>
        </w:rPr>
        <w:t>Stelara трябва да получите и за какъв период от време.</w:t>
      </w:r>
    </w:p>
    <w:p w14:paraId="109AE1AD" w14:textId="77777777" w:rsidR="009B3384" w:rsidRDefault="009B3384">
      <w:pPr>
        <w:tabs>
          <w:tab w:val="clear" w:pos="567"/>
          <w:tab w:val="left" w:pos="540"/>
        </w:tabs>
        <w:rPr>
          <w:szCs w:val="22"/>
        </w:rPr>
      </w:pPr>
    </w:p>
    <w:p w14:paraId="109AE1AE" w14:textId="77777777" w:rsidR="009B3384" w:rsidRDefault="00800862">
      <w:pPr>
        <w:keepNext/>
        <w:tabs>
          <w:tab w:val="clear" w:pos="567"/>
          <w:tab w:val="left" w:pos="540"/>
        </w:tabs>
        <w:rPr>
          <w:b/>
          <w:szCs w:val="22"/>
        </w:rPr>
      </w:pPr>
      <w:r>
        <w:rPr>
          <w:b/>
          <w:szCs w:val="22"/>
        </w:rPr>
        <w:t>Възрастни на 18 години или по-големи</w:t>
      </w:r>
    </w:p>
    <w:p w14:paraId="109AE1AF" w14:textId="77777777" w:rsidR="009B3384" w:rsidRDefault="00800862">
      <w:pPr>
        <w:keepNext/>
        <w:tabs>
          <w:tab w:val="clear" w:pos="567"/>
          <w:tab w:val="left" w:pos="540"/>
        </w:tabs>
        <w:rPr>
          <w:b/>
          <w:szCs w:val="22"/>
        </w:rPr>
      </w:pPr>
      <w:r>
        <w:rPr>
          <w:b/>
          <w:bCs/>
        </w:rPr>
        <w:t>Псориазис или псориатичен артрит</w:t>
      </w:r>
    </w:p>
    <w:p w14:paraId="109AE1B0" w14:textId="77777777" w:rsidR="009B3384" w:rsidRDefault="00800862">
      <w:pPr>
        <w:numPr>
          <w:ilvl w:val="0"/>
          <w:numId w:val="30"/>
        </w:numPr>
        <w:tabs>
          <w:tab w:val="clear" w:pos="567"/>
        </w:tabs>
        <w:rPr>
          <w:bCs/>
        </w:rPr>
      </w:pPr>
      <w:r>
        <w:rPr>
          <w:szCs w:val="22"/>
        </w:rPr>
        <w:t xml:space="preserve">Препоръчителната начална доза е 45 mg </w:t>
      </w:r>
      <w:r>
        <w:rPr>
          <w:szCs w:val="22"/>
          <w:lang w:val="en-US"/>
        </w:rPr>
        <w:t>Stelara</w:t>
      </w:r>
      <w:r>
        <w:rPr>
          <w:szCs w:val="22"/>
        </w:rPr>
        <w:t xml:space="preserve">. </w:t>
      </w:r>
      <w:r>
        <w:t>Пациенти с тегло над 100 килограма (kg) може да започнат с доза 90 mg вместо 45 mg.</w:t>
      </w:r>
    </w:p>
    <w:p w14:paraId="109AE1B1" w14:textId="77777777" w:rsidR="009B3384" w:rsidRDefault="00800862">
      <w:pPr>
        <w:numPr>
          <w:ilvl w:val="0"/>
          <w:numId w:val="30"/>
        </w:numPr>
        <w:tabs>
          <w:tab w:val="clear" w:pos="567"/>
        </w:tabs>
        <w:rPr>
          <w:bCs/>
          <w:szCs w:val="22"/>
        </w:rPr>
      </w:pPr>
      <w:r>
        <w:rPr>
          <w:szCs w:val="22"/>
        </w:rPr>
        <w:t>След началната доза, следващата Ви доза ще бъде 4 седмици по-късно и след това на всеки 12 седмици. Следващите дози обикновено са същите, като началната доза.</w:t>
      </w:r>
    </w:p>
    <w:p w14:paraId="109AE1B2" w14:textId="77777777" w:rsidR="009B3384" w:rsidRDefault="009B3384"/>
    <w:p w14:paraId="109AE1B3" w14:textId="77777777" w:rsidR="009B3384" w:rsidRDefault="00800862">
      <w:pPr>
        <w:keepNext/>
        <w:rPr>
          <w:b/>
          <w:bCs/>
          <w:szCs w:val="22"/>
        </w:rPr>
      </w:pPr>
      <w:r>
        <w:rPr>
          <w:b/>
          <w:bCs/>
          <w:szCs w:val="22"/>
        </w:rPr>
        <w:t>Болест на Крон</w:t>
      </w:r>
      <w:r>
        <w:t xml:space="preserve"> </w:t>
      </w:r>
      <w:r>
        <w:rPr>
          <w:b/>
          <w:bCs/>
          <w:szCs w:val="22"/>
        </w:rPr>
        <w:t>или улцерозен колит</w:t>
      </w:r>
    </w:p>
    <w:p w14:paraId="109AE1B4" w14:textId="77777777" w:rsidR="009B3384" w:rsidRDefault="00800862">
      <w:pPr>
        <w:numPr>
          <w:ilvl w:val="0"/>
          <w:numId w:val="30"/>
        </w:numPr>
        <w:tabs>
          <w:tab w:val="clear" w:pos="567"/>
        </w:tabs>
        <w:rPr>
          <w:bCs/>
          <w:szCs w:val="22"/>
        </w:rPr>
      </w:pPr>
      <w:r>
        <w:t>По време на</w:t>
      </w:r>
      <w:r>
        <w:rPr>
          <w:szCs w:val="22"/>
        </w:rPr>
        <w:t xml:space="preserve"> лечението </w:t>
      </w:r>
      <w:r>
        <w:t xml:space="preserve">Вашият лекар ще Ви приложи </w:t>
      </w:r>
      <w:r>
        <w:rPr>
          <w:szCs w:val="22"/>
        </w:rPr>
        <w:t>първата доза от приблизително 6</w:t>
      </w:r>
      <w:r>
        <w:t> </w:t>
      </w:r>
      <w:r>
        <w:rPr>
          <w:szCs w:val="22"/>
          <w:lang w:val="en-US"/>
        </w:rPr>
        <w:t>mg</w:t>
      </w:r>
      <w:r>
        <w:rPr>
          <w:szCs w:val="22"/>
        </w:rPr>
        <w:t>/</w:t>
      </w:r>
      <w:r>
        <w:rPr>
          <w:szCs w:val="22"/>
          <w:lang w:val="en-US"/>
        </w:rPr>
        <w:t>kg</w:t>
      </w:r>
      <w:r>
        <w:rPr>
          <w:szCs w:val="22"/>
        </w:rPr>
        <w:t xml:space="preserve"> </w:t>
      </w:r>
      <w:r>
        <w:rPr>
          <w:szCs w:val="22"/>
          <w:lang w:val="en-US"/>
        </w:rPr>
        <w:t>Stelara</w:t>
      </w:r>
      <w:r>
        <w:rPr>
          <w:szCs w:val="22"/>
        </w:rPr>
        <w:t xml:space="preserve"> капково във вена на ръката </w:t>
      </w:r>
      <w:r>
        <w:t>(интравенозна инфузия).</w:t>
      </w:r>
      <w:r>
        <w:rPr>
          <w:szCs w:val="22"/>
        </w:rPr>
        <w:t xml:space="preserve"> След началната доза, ще получите следващата доза 90</w:t>
      </w:r>
      <w:r>
        <w:t> </w:t>
      </w:r>
      <w:r>
        <w:rPr>
          <w:szCs w:val="22"/>
          <w:lang w:val="en-US"/>
        </w:rPr>
        <w:t>mg</w:t>
      </w:r>
      <w:r>
        <w:rPr>
          <w:szCs w:val="22"/>
        </w:rPr>
        <w:t xml:space="preserve"> </w:t>
      </w:r>
      <w:r>
        <w:rPr>
          <w:szCs w:val="22"/>
          <w:lang w:val="en-US"/>
        </w:rPr>
        <w:t>Stelara</w:t>
      </w:r>
      <w:r>
        <w:rPr>
          <w:szCs w:val="22"/>
        </w:rPr>
        <w:t xml:space="preserve"> след 8</w:t>
      </w:r>
      <w:r>
        <w:t> </w:t>
      </w:r>
      <w:r>
        <w:rPr>
          <w:szCs w:val="22"/>
        </w:rPr>
        <w:t xml:space="preserve">седмици, след това през 12 седмици чрез инжекция под кожата </w:t>
      </w:r>
      <w:r>
        <w:t>(подкожно)</w:t>
      </w:r>
      <w:r>
        <w:rPr>
          <w:szCs w:val="22"/>
        </w:rPr>
        <w:t>.</w:t>
      </w:r>
    </w:p>
    <w:p w14:paraId="109AE1B5" w14:textId="77777777" w:rsidR="009B3384" w:rsidRDefault="00800862">
      <w:pPr>
        <w:numPr>
          <w:ilvl w:val="0"/>
          <w:numId w:val="30"/>
        </w:numPr>
        <w:tabs>
          <w:tab w:val="clear" w:pos="567"/>
        </w:tabs>
        <w:rPr>
          <w:bCs/>
          <w:szCs w:val="22"/>
        </w:rPr>
      </w:pPr>
      <w:r>
        <w:rPr>
          <w:bCs/>
          <w:szCs w:val="22"/>
        </w:rPr>
        <w:t>При някои пациенти, след първата подкожна инжекция, 90</w:t>
      </w:r>
      <w:r>
        <w:t> </w:t>
      </w:r>
      <w:r>
        <w:rPr>
          <w:bCs/>
          <w:szCs w:val="22"/>
        </w:rPr>
        <w:t>mg Stelara може да се прилага през 8 седмици. Вашият лекар ще реши кога трябва да получите следващата си доза.</w:t>
      </w:r>
    </w:p>
    <w:p w14:paraId="109AE1B6" w14:textId="77777777" w:rsidR="009B3384" w:rsidRDefault="009B3384">
      <w:pPr>
        <w:rPr>
          <w:bCs/>
          <w:szCs w:val="22"/>
        </w:rPr>
      </w:pPr>
    </w:p>
    <w:p w14:paraId="109AE1B7" w14:textId="77777777" w:rsidR="009B3384" w:rsidRDefault="00800862">
      <w:pPr>
        <w:keepNext/>
        <w:rPr>
          <w:b/>
          <w:szCs w:val="22"/>
        </w:rPr>
      </w:pPr>
      <w:r>
        <w:rPr>
          <w:b/>
          <w:szCs w:val="22"/>
        </w:rPr>
        <w:t>Деца и юноши на 6 години или по-големи</w:t>
      </w:r>
    </w:p>
    <w:p w14:paraId="109AE1B8" w14:textId="77777777" w:rsidR="009B3384" w:rsidRDefault="00800862">
      <w:pPr>
        <w:keepNext/>
        <w:rPr>
          <w:b/>
          <w:szCs w:val="22"/>
        </w:rPr>
      </w:pPr>
      <w:r>
        <w:rPr>
          <w:b/>
          <w:szCs w:val="22"/>
        </w:rPr>
        <w:t>Псориазис</w:t>
      </w:r>
    </w:p>
    <w:p w14:paraId="109AE1B9" w14:textId="77777777" w:rsidR="009B3384" w:rsidRDefault="00800862">
      <w:pPr>
        <w:numPr>
          <w:ilvl w:val="0"/>
          <w:numId w:val="30"/>
        </w:numPr>
        <w:tabs>
          <w:tab w:val="clear" w:pos="567"/>
        </w:tabs>
      </w:pPr>
      <w:r>
        <w:t>Лекарят трябва да определи правилната за Вас доза, включително и количеството (обема) Stelara, който трябва да се инжектира, за да е правилна дозата. Правилната доза за Вас ще зависи от Вашето телесно тегло по време на всяка доза.</w:t>
      </w:r>
    </w:p>
    <w:p w14:paraId="109AE1BA" w14:textId="77777777" w:rsidR="009B3384" w:rsidRDefault="00800862">
      <w:pPr>
        <w:numPr>
          <w:ilvl w:val="0"/>
          <w:numId w:val="30"/>
        </w:numPr>
        <w:tabs>
          <w:tab w:val="clear" w:pos="567"/>
        </w:tabs>
      </w:pPr>
      <w:r>
        <w:t>Наличен е флакон от 45 mg за деца, които трябва да получат по-малко от цялата доза 45 mg.</w:t>
      </w:r>
    </w:p>
    <w:p w14:paraId="109AE1BB" w14:textId="77777777" w:rsidR="009B3384" w:rsidRDefault="00800862">
      <w:pPr>
        <w:numPr>
          <w:ilvl w:val="0"/>
          <w:numId w:val="30"/>
        </w:numPr>
        <w:tabs>
          <w:tab w:val="clear" w:pos="567"/>
        </w:tabs>
      </w:pPr>
      <w:r>
        <w:lastRenderedPageBreak/>
        <w:t>Ако тежите по-малко от 60 kg, препоръчителната доза е 0,75 mg Stelara на kg телесно тегло.</w:t>
      </w:r>
    </w:p>
    <w:p w14:paraId="109AE1BC" w14:textId="77777777" w:rsidR="009B3384" w:rsidRDefault="00800862">
      <w:pPr>
        <w:numPr>
          <w:ilvl w:val="0"/>
          <w:numId w:val="30"/>
        </w:numPr>
        <w:tabs>
          <w:tab w:val="clear" w:pos="567"/>
        </w:tabs>
      </w:pPr>
      <w:r>
        <w:t>Ако тежите от 60 kg до 100 kg, препоръчителната доза е 45 mg Stelara.</w:t>
      </w:r>
    </w:p>
    <w:p w14:paraId="109AE1BD" w14:textId="77777777" w:rsidR="009B3384" w:rsidRDefault="00800862">
      <w:pPr>
        <w:numPr>
          <w:ilvl w:val="0"/>
          <w:numId w:val="30"/>
        </w:numPr>
        <w:tabs>
          <w:tab w:val="clear" w:pos="567"/>
        </w:tabs>
      </w:pPr>
      <w:r>
        <w:t>Ако тежите повече от 100 kg, препоръчителната доза е 90 mg Stelara.</w:t>
      </w:r>
    </w:p>
    <w:p w14:paraId="109AE1BE" w14:textId="77777777" w:rsidR="009B3384" w:rsidRDefault="00800862">
      <w:pPr>
        <w:numPr>
          <w:ilvl w:val="0"/>
          <w:numId w:val="30"/>
        </w:numPr>
        <w:tabs>
          <w:tab w:val="clear" w:pos="567"/>
        </w:tabs>
      </w:pPr>
      <w:r>
        <w:t>След началната доза, следващата Ви доза ще бъде 4 седмици по-късно и след това на всеки 12 седмици.</w:t>
      </w:r>
    </w:p>
    <w:p w14:paraId="109AE1BF" w14:textId="77777777" w:rsidR="009B3384" w:rsidRDefault="009B3384">
      <w:pPr>
        <w:tabs>
          <w:tab w:val="clear" w:pos="567"/>
        </w:tabs>
      </w:pPr>
    </w:p>
    <w:p w14:paraId="109AE1C0" w14:textId="77777777" w:rsidR="009B3384" w:rsidRDefault="00800862">
      <w:pPr>
        <w:keepNext/>
        <w:widowControl w:val="0"/>
        <w:numPr>
          <w:ilvl w:val="12"/>
          <w:numId w:val="0"/>
        </w:numPr>
        <w:rPr>
          <w:b/>
          <w:bCs/>
        </w:rPr>
      </w:pPr>
      <w:r>
        <w:rPr>
          <w:b/>
          <w:bCs/>
        </w:rPr>
        <w:t>Деца с тегло под 40</w:t>
      </w:r>
      <w:r>
        <w:rPr>
          <w:b/>
          <w:bCs/>
          <w:lang w:val="en-US"/>
        </w:rPr>
        <w:t> </w:t>
      </w:r>
      <w:r>
        <w:rPr>
          <w:b/>
          <w:bCs/>
        </w:rPr>
        <w:t>kg</w:t>
      </w:r>
    </w:p>
    <w:p w14:paraId="109AE1C1" w14:textId="7091234A" w:rsidR="009B3384" w:rsidRDefault="00800862">
      <w:pPr>
        <w:keepNext/>
        <w:rPr>
          <w:b/>
          <w:bCs/>
        </w:rPr>
      </w:pPr>
      <w:r>
        <w:rPr>
          <w:b/>
          <w:bCs/>
        </w:rPr>
        <w:t>Болест на Крон</w:t>
      </w:r>
      <w:ins w:id="1359" w:author="Reviser" w:date="2026-04-30T15:46:00Z">
        <w:r w:rsidR="001F5D56">
          <w:rPr>
            <w:b/>
            <w:bCs/>
          </w:rPr>
          <w:t xml:space="preserve"> </w:t>
        </w:r>
        <w:r w:rsidR="001F5D56">
          <w:rPr>
            <w:b/>
            <w:szCs w:val="22"/>
          </w:rPr>
          <w:t>и улцерозен колит</w:t>
        </w:r>
      </w:ins>
    </w:p>
    <w:p w14:paraId="109AE1C2" w14:textId="77777777" w:rsidR="009B3384" w:rsidRDefault="00800862">
      <w:pPr>
        <w:widowControl w:val="0"/>
        <w:numPr>
          <w:ilvl w:val="0"/>
          <w:numId w:val="30"/>
        </w:numPr>
        <w:suppressAutoHyphens w:val="0"/>
      </w:pPr>
      <w:r>
        <w:t xml:space="preserve">По време на лечението Вашият лекар ще определи препоръчителната за Вас доза за интравенозна инфузия </w:t>
      </w:r>
      <w:r>
        <w:rPr>
          <w:szCs w:val="22"/>
          <w:lang w:eastAsia="en-GB"/>
        </w:rPr>
        <w:t>въз основа на телесната Ви повърхност (</w:t>
      </w:r>
      <w:r>
        <w:rPr>
          <w:szCs w:val="22"/>
          <w:lang w:val="en-GB" w:eastAsia="en-GB"/>
        </w:rPr>
        <w:t>BSA</w:t>
      </w:r>
      <w:r>
        <w:rPr>
          <w:szCs w:val="22"/>
          <w:lang w:eastAsia="en-GB"/>
        </w:rPr>
        <w:t xml:space="preserve">). </w:t>
      </w:r>
      <w:r>
        <w:t xml:space="preserve">Лекарят ще я приложи чрез капково вливане във вена на ръката (интравенозна инфузия). След началната доза Вашият лекар ще определи следващата доза </w:t>
      </w:r>
      <w:r>
        <w:rPr>
          <w:szCs w:val="22"/>
          <w:lang w:eastAsia="en-GB"/>
        </w:rPr>
        <w:t xml:space="preserve">въз основа на Вашата </w:t>
      </w:r>
      <w:r>
        <w:rPr>
          <w:szCs w:val="22"/>
          <w:lang w:val="en-GB" w:eastAsia="en-GB"/>
        </w:rPr>
        <w:t>BSA</w:t>
      </w:r>
      <w:r>
        <w:rPr>
          <w:szCs w:val="22"/>
          <w:lang w:eastAsia="en-GB"/>
        </w:rPr>
        <w:t xml:space="preserve">. Ще получите тази доза </w:t>
      </w:r>
      <w:r>
        <w:rPr>
          <w:szCs w:val="22"/>
          <w:lang w:val="en-GB" w:eastAsia="en-GB"/>
        </w:rPr>
        <w:t>Stelara</w:t>
      </w:r>
      <w:r>
        <w:rPr>
          <w:szCs w:val="22"/>
          <w:lang w:eastAsia="en-GB"/>
        </w:rPr>
        <w:t xml:space="preserve"> </w:t>
      </w:r>
      <w:r>
        <w:rPr>
          <w:szCs w:val="22"/>
        </w:rPr>
        <w:t>след 8 седмици и след това на всеки 12 седмици</w:t>
      </w:r>
      <w:r>
        <w:rPr>
          <w:szCs w:val="22"/>
          <w:lang w:eastAsia="en-GB"/>
        </w:rPr>
        <w:t xml:space="preserve"> </w:t>
      </w:r>
      <w:r>
        <w:t>чрез инжектиране под кожата („подкожно“</w:t>
      </w:r>
      <w:r>
        <w:rPr>
          <w:szCs w:val="22"/>
          <w:lang w:eastAsia="en-GB"/>
        </w:rPr>
        <w:t>).</w:t>
      </w:r>
    </w:p>
    <w:p w14:paraId="109AE1C3" w14:textId="77777777" w:rsidR="009B3384" w:rsidRDefault="00800862" w:rsidP="00BC6A43">
      <w:pPr>
        <w:widowControl w:val="0"/>
        <w:numPr>
          <w:ilvl w:val="0"/>
          <w:numId w:val="30"/>
        </w:numPr>
        <w:suppressAutoHyphens w:val="0"/>
      </w:pPr>
      <w:r>
        <w:t>При някои пациенти след първата инжекция под кожата, Stelara</w:t>
      </w:r>
      <w:r>
        <w:rPr>
          <w:szCs w:val="22"/>
          <w:lang w:eastAsia="en-GB"/>
        </w:rPr>
        <w:t xml:space="preserve"> </w:t>
      </w:r>
      <w:r>
        <w:t>може да се прилага през 8</w:t>
      </w:r>
      <w:r>
        <w:rPr>
          <w:lang w:val="en-US"/>
        </w:rPr>
        <w:t> </w:t>
      </w:r>
      <w:r>
        <w:t>седмици или през 4 седмици. Вашият лекар ще реши кога трябва да получите следващата си доза.</w:t>
      </w:r>
    </w:p>
    <w:p w14:paraId="109AE1C4" w14:textId="77777777" w:rsidR="009B3384" w:rsidRDefault="009B3384"/>
    <w:p w14:paraId="109AE1C5" w14:textId="77777777" w:rsidR="009B3384" w:rsidRDefault="00800862">
      <w:pPr>
        <w:keepNext/>
        <w:rPr>
          <w:b/>
          <w:bCs/>
        </w:rPr>
      </w:pPr>
      <w:r w:rsidRPr="00BC6A43">
        <w:rPr>
          <w:b/>
          <w:bCs/>
        </w:rPr>
        <w:t>Деца с тегло най-малко 40</w:t>
      </w:r>
      <w:r w:rsidRPr="00BC6A43">
        <w:rPr>
          <w:b/>
          <w:bCs/>
          <w:lang w:val="en-US"/>
        </w:rPr>
        <w:t> </w:t>
      </w:r>
      <w:r w:rsidRPr="00BC6A43">
        <w:rPr>
          <w:b/>
          <w:bCs/>
        </w:rPr>
        <w:t>kg</w:t>
      </w:r>
    </w:p>
    <w:p w14:paraId="109AE1C6" w14:textId="7D66A4BB" w:rsidR="009B3384" w:rsidRDefault="00800862">
      <w:pPr>
        <w:keepNext/>
        <w:rPr>
          <w:b/>
          <w:bCs/>
        </w:rPr>
      </w:pPr>
      <w:r w:rsidRPr="00BC6A43">
        <w:rPr>
          <w:b/>
          <w:bCs/>
        </w:rPr>
        <w:t>Болест на Крон</w:t>
      </w:r>
      <w:ins w:id="1360" w:author="Reviser" w:date="2026-04-30T15:46:00Z">
        <w:r w:rsidR="001F5D56">
          <w:rPr>
            <w:b/>
            <w:bCs/>
          </w:rPr>
          <w:t xml:space="preserve"> </w:t>
        </w:r>
        <w:r w:rsidR="001F5D56">
          <w:rPr>
            <w:b/>
            <w:szCs w:val="22"/>
          </w:rPr>
          <w:t>и улцерозен колит</w:t>
        </w:r>
      </w:ins>
    </w:p>
    <w:p w14:paraId="109AE1C7" w14:textId="77777777" w:rsidR="009B3384" w:rsidRDefault="00800862">
      <w:pPr>
        <w:widowControl w:val="0"/>
        <w:numPr>
          <w:ilvl w:val="0"/>
          <w:numId w:val="30"/>
        </w:numPr>
        <w:suppressAutoHyphens w:val="0"/>
      </w:pPr>
      <w:r>
        <w:t>По време на лечението Вашият лекар ще приложи първата доза от приблизително 6</w:t>
      </w:r>
      <w:r>
        <w:rPr>
          <w:lang w:val="en-US"/>
        </w:rPr>
        <w:t> </w:t>
      </w:r>
      <w:r>
        <w:t>mg/kg Stelara чрез капково вливане във вена на ръката Ви (интравенозна инфузия). След началната доза ще получите следващата доза 90 mg Stelara след 8 седмици, а след това на всеки 12</w:t>
      </w:r>
      <w:r>
        <w:rPr>
          <w:lang w:val="en-US"/>
        </w:rPr>
        <w:t> </w:t>
      </w:r>
      <w:r>
        <w:t>седмици чрез инжекция под кожата („подкожно“).</w:t>
      </w:r>
    </w:p>
    <w:p w14:paraId="109AE1C8" w14:textId="77777777" w:rsidR="009B3384" w:rsidRDefault="00800862">
      <w:pPr>
        <w:widowControl w:val="0"/>
        <w:numPr>
          <w:ilvl w:val="0"/>
          <w:numId w:val="30"/>
        </w:numPr>
        <w:suppressAutoHyphens w:val="0"/>
      </w:pPr>
      <w:r>
        <w:t>При някои пациенти, след първата подкожна инжекция, 90</w:t>
      </w:r>
      <w:r>
        <w:rPr>
          <w:lang w:val="en-US"/>
        </w:rPr>
        <w:t> </w:t>
      </w:r>
      <w:r>
        <w:t>mg Stelara може да се прилага през 8</w:t>
      </w:r>
      <w:r>
        <w:rPr>
          <w:lang w:val="en-US"/>
        </w:rPr>
        <w:t> </w:t>
      </w:r>
      <w:r>
        <w:t>седмици или през 4 седмици. Вашият лекар ще реши кога трябва да получите следващата си доза.</w:t>
      </w:r>
    </w:p>
    <w:p w14:paraId="109AE1CA" w14:textId="77777777" w:rsidR="009B3384" w:rsidRDefault="009B3384">
      <w:pPr>
        <w:rPr>
          <w:szCs w:val="22"/>
        </w:rPr>
      </w:pPr>
    </w:p>
    <w:p w14:paraId="109AE1CB" w14:textId="77777777" w:rsidR="009B3384" w:rsidRDefault="00800862">
      <w:pPr>
        <w:keepNext/>
        <w:rPr>
          <w:b/>
          <w:bCs/>
          <w:szCs w:val="22"/>
        </w:rPr>
      </w:pPr>
      <w:r>
        <w:rPr>
          <w:b/>
          <w:bCs/>
          <w:szCs w:val="22"/>
        </w:rPr>
        <w:t>Как се прилага Stelara</w:t>
      </w:r>
    </w:p>
    <w:p w14:paraId="109AE1CC" w14:textId="77777777" w:rsidR="009B3384" w:rsidRDefault="00800862">
      <w:pPr>
        <w:numPr>
          <w:ilvl w:val="0"/>
          <w:numId w:val="30"/>
        </w:numPr>
        <w:tabs>
          <w:tab w:val="clear" w:pos="567"/>
        </w:tabs>
      </w:pPr>
      <w:r>
        <w:t>Stelara се прилага като инжекция под кожата (подкожно). В началото на Вашето лечение, Stelara може да се инжектира от лекар или медицинска сестра.</w:t>
      </w:r>
    </w:p>
    <w:p w14:paraId="109AE1CD" w14:textId="77777777" w:rsidR="009B3384" w:rsidRDefault="00800862">
      <w:pPr>
        <w:numPr>
          <w:ilvl w:val="0"/>
          <w:numId w:val="30"/>
        </w:numPr>
        <w:tabs>
          <w:tab w:val="clear" w:pos="567"/>
        </w:tabs>
      </w:pPr>
      <w:r>
        <w:t>Вие и Вашият лекар, обаче може да решите, че Вие сами може да си инжектирате Stelara. В такъв случай ще преминете обучение как да си инжектирате Stelara самостоятелно.</w:t>
      </w:r>
    </w:p>
    <w:p w14:paraId="109AE1CE" w14:textId="77777777" w:rsidR="009B3384" w:rsidRDefault="00800862">
      <w:pPr>
        <w:numPr>
          <w:ilvl w:val="0"/>
          <w:numId w:val="30"/>
        </w:numPr>
        <w:tabs>
          <w:tab w:val="clear" w:pos="567"/>
        </w:tabs>
      </w:pPr>
      <w:r>
        <w:t>За указания как да инжектирате Stelara вижте „Указания за приложение” в края на тази листовка.</w:t>
      </w:r>
    </w:p>
    <w:p w14:paraId="109AE1CF" w14:textId="77777777" w:rsidR="009B3384" w:rsidRDefault="00800862">
      <w:pPr>
        <w:tabs>
          <w:tab w:val="clear" w:pos="567"/>
          <w:tab w:val="left" w:pos="540"/>
        </w:tabs>
        <w:rPr>
          <w:bCs/>
          <w:szCs w:val="22"/>
        </w:rPr>
      </w:pPr>
      <w:r>
        <w:rPr>
          <w:bCs/>
          <w:szCs w:val="22"/>
        </w:rPr>
        <w:t>Говорете с Вашия лекар, ако имате въпроси относно това как сами да поставяте инжекцията.</w:t>
      </w:r>
    </w:p>
    <w:p w14:paraId="109AE1D0" w14:textId="77777777" w:rsidR="009B3384" w:rsidRDefault="009B3384">
      <w:pPr>
        <w:rPr>
          <w:szCs w:val="22"/>
        </w:rPr>
      </w:pPr>
    </w:p>
    <w:p w14:paraId="109AE1D1" w14:textId="77777777" w:rsidR="009B3384" w:rsidRDefault="00800862">
      <w:pPr>
        <w:keepNext/>
        <w:rPr>
          <w:b/>
          <w:szCs w:val="22"/>
        </w:rPr>
      </w:pPr>
      <w:r>
        <w:rPr>
          <w:b/>
          <w:szCs w:val="22"/>
        </w:rPr>
        <w:t>Ако сте използвали повече от необходимата доза Stelara</w:t>
      </w:r>
    </w:p>
    <w:p w14:paraId="109AE1D2" w14:textId="77777777" w:rsidR="009B3384" w:rsidRDefault="00800862">
      <w:pPr>
        <w:rPr>
          <w:szCs w:val="22"/>
        </w:rPr>
      </w:pPr>
      <w:r>
        <w:rPr>
          <w:szCs w:val="22"/>
        </w:rPr>
        <w:t>Ако сте използвали или са Ви приложили повече от необходимата доза Stelara, незабавно се посъветвайте с лекар или фармацевт. Винаги носете с Вас картонената опаковка на лекарството, дори и да е празна.</w:t>
      </w:r>
    </w:p>
    <w:p w14:paraId="109AE1D3" w14:textId="77777777" w:rsidR="009B3384" w:rsidRDefault="009B3384">
      <w:pPr>
        <w:rPr>
          <w:szCs w:val="22"/>
        </w:rPr>
      </w:pPr>
    </w:p>
    <w:p w14:paraId="109AE1D4" w14:textId="77777777" w:rsidR="009B3384" w:rsidRDefault="00800862">
      <w:pPr>
        <w:keepNext/>
        <w:rPr>
          <w:szCs w:val="22"/>
        </w:rPr>
      </w:pPr>
      <w:r>
        <w:rPr>
          <w:b/>
          <w:szCs w:val="22"/>
        </w:rPr>
        <w:t>Ако сте пропуснали да използвате Stelara</w:t>
      </w:r>
    </w:p>
    <w:p w14:paraId="109AE1D5" w14:textId="77777777" w:rsidR="009B3384" w:rsidRDefault="00800862">
      <w:pPr>
        <w:rPr>
          <w:szCs w:val="22"/>
        </w:rPr>
      </w:pPr>
      <w:r>
        <w:rPr>
          <w:szCs w:val="22"/>
        </w:rPr>
        <w:t>Ако сте пропуснали доза, свържете се с Вашия лекар или фармацевт. Не прилагайте двойна доза, за да компенсирате пропуснатата доза.</w:t>
      </w:r>
    </w:p>
    <w:p w14:paraId="109AE1D6" w14:textId="77777777" w:rsidR="009B3384" w:rsidRDefault="009B3384">
      <w:pPr>
        <w:rPr>
          <w:szCs w:val="22"/>
        </w:rPr>
      </w:pPr>
    </w:p>
    <w:p w14:paraId="109AE1D7" w14:textId="77777777" w:rsidR="009B3384" w:rsidRDefault="00800862">
      <w:pPr>
        <w:keepNext/>
        <w:rPr>
          <w:b/>
          <w:szCs w:val="22"/>
        </w:rPr>
      </w:pPr>
      <w:r>
        <w:rPr>
          <w:b/>
          <w:szCs w:val="22"/>
        </w:rPr>
        <w:t>Ако сте спрели употребата на Stelara</w:t>
      </w:r>
    </w:p>
    <w:p w14:paraId="109AE1D8" w14:textId="77777777" w:rsidR="009B3384" w:rsidRDefault="00800862">
      <w:pPr>
        <w:rPr>
          <w:szCs w:val="22"/>
        </w:rPr>
      </w:pPr>
      <w:r>
        <w:rPr>
          <w:szCs w:val="22"/>
        </w:rPr>
        <w:t>Не е опасно да спрете употребата на Stelara. Ако обаче я спрете, Вашите симптоми може да се възобновят.</w:t>
      </w:r>
    </w:p>
    <w:p w14:paraId="109AE1D9" w14:textId="77777777" w:rsidR="009B3384" w:rsidRDefault="009B3384">
      <w:pPr>
        <w:rPr>
          <w:szCs w:val="22"/>
        </w:rPr>
      </w:pPr>
    </w:p>
    <w:p w14:paraId="109AE1DA" w14:textId="77777777" w:rsidR="009B3384" w:rsidRDefault="00800862">
      <w:pPr>
        <w:rPr>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109AE1DB" w14:textId="77777777" w:rsidR="009B3384" w:rsidRDefault="009B3384">
      <w:pPr>
        <w:rPr>
          <w:szCs w:val="22"/>
        </w:rPr>
      </w:pPr>
    </w:p>
    <w:p w14:paraId="109AE1DC" w14:textId="77777777" w:rsidR="009B3384" w:rsidRDefault="009B3384">
      <w:pPr>
        <w:rPr>
          <w:szCs w:val="22"/>
        </w:rPr>
      </w:pPr>
    </w:p>
    <w:p w14:paraId="109AE1DD" w14:textId="77777777" w:rsidR="009B3384" w:rsidRDefault="00800862">
      <w:pPr>
        <w:keepNext/>
        <w:ind w:left="567" w:hanging="567"/>
        <w:outlineLvl w:val="2"/>
        <w:rPr>
          <w:b/>
          <w:bCs/>
          <w:szCs w:val="22"/>
        </w:rPr>
      </w:pPr>
      <w:r>
        <w:rPr>
          <w:b/>
          <w:bCs/>
          <w:szCs w:val="22"/>
        </w:rPr>
        <w:lastRenderedPageBreak/>
        <w:t>4.</w:t>
      </w:r>
      <w:r>
        <w:rPr>
          <w:b/>
          <w:bCs/>
          <w:szCs w:val="22"/>
        </w:rPr>
        <w:tab/>
        <w:t>Възможни нежелани реакции</w:t>
      </w:r>
    </w:p>
    <w:p w14:paraId="109AE1DE" w14:textId="77777777" w:rsidR="009B3384" w:rsidRDefault="009B3384">
      <w:pPr>
        <w:keepNext/>
        <w:rPr>
          <w:szCs w:val="22"/>
        </w:rPr>
      </w:pPr>
    </w:p>
    <w:p w14:paraId="109AE1DF" w14:textId="77777777" w:rsidR="009B3384" w:rsidRDefault="00800862">
      <w:pPr>
        <w:rPr>
          <w:szCs w:val="22"/>
        </w:rPr>
      </w:pPr>
      <w:r>
        <w:rPr>
          <w:szCs w:val="22"/>
        </w:rPr>
        <w:t>Както всички лекарства, това лекарство може да предизвика нежелани реакции, въпреки че не всеки ги получава.</w:t>
      </w:r>
    </w:p>
    <w:p w14:paraId="109AE1E0" w14:textId="77777777" w:rsidR="009B3384" w:rsidRDefault="009B3384">
      <w:pPr>
        <w:rPr>
          <w:szCs w:val="22"/>
        </w:rPr>
      </w:pPr>
    </w:p>
    <w:p w14:paraId="109AE1E1" w14:textId="77777777" w:rsidR="009B3384" w:rsidRDefault="00800862">
      <w:pPr>
        <w:keepNext/>
        <w:rPr>
          <w:b/>
          <w:szCs w:val="22"/>
        </w:rPr>
      </w:pPr>
      <w:r>
        <w:rPr>
          <w:b/>
          <w:szCs w:val="22"/>
        </w:rPr>
        <w:t>Сериозни нежелани реакции</w:t>
      </w:r>
    </w:p>
    <w:p w14:paraId="109AE1E2" w14:textId="77777777" w:rsidR="009B3384" w:rsidRDefault="00800862">
      <w:pPr>
        <w:rPr>
          <w:szCs w:val="22"/>
        </w:rPr>
      </w:pPr>
      <w:r>
        <w:rPr>
          <w:szCs w:val="22"/>
        </w:rPr>
        <w:t>Някои пациенти може да имат сериозни нежелани реакции, при които да се налага спешно лечение.</w:t>
      </w:r>
    </w:p>
    <w:p w14:paraId="109AE1E3" w14:textId="77777777" w:rsidR="009B3384" w:rsidRDefault="009B3384">
      <w:pPr>
        <w:rPr>
          <w:szCs w:val="22"/>
        </w:rPr>
      </w:pPr>
    </w:p>
    <w:p w14:paraId="109AE1E4" w14:textId="77777777" w:rsidR="009B3384" w:rsidRDefault="00800862">
      <w:pPr>
        <w:keepNext/>
        <w:widowControl w:val="0"/>
        <w:ind w:left="567"/>
        <w:rPr>
          <w:b/>
        </w:rPr>
      </w:pPr>
      <w:r>
        <w:rPr>
          <w:b/>
        </w:rPr>
        <w:t>Алергични реакции – може да изискват спешно лечение. Информирайте Вашия лекар или незабавно потърсете спешна медицинска помощ, ако забележите някой от следните признаци.</w:t>
      </w:r>
    </w:p>
    <w:p w14:paraId="109AE1E5" w14:textId="77777777" w:rsidR="009B3384" w:rsidRDefault="00800862">
      <w:pPr>
        <w:widowControl w:val="0"/>
        <w:numPr>
          <w:ilvl w:val="0"/>
          <w:numId w:val="31"/>
        </w:numPr>
        <w:tabs>
          <w:tab w:val="clear" w:pos="567"/>
          <w:tab w:val="left" w:pos="1134"/>
        </w:tabs>
        <w:ind w:left="1134" w:hanging="567"/>
      </w:pPr>
      <w:r>
        <w:t>Сериозните алергични реакции („анафилаксия”) са редки при хора, приемащи Stelara (може да засегнат до 1 на 1 000 души). Признаците включват:</w:t>
      </w:r>
    </w:p>
    <w:p w14:paraId="109AE1E6" w14:textId="77777777" w:rsidR="009B3384" w:rsidRDefault="00800862">
      <w:pPr>
        <w:numPr>
          <w:ilvl w:val="0"/>
          <w:numId w:val="28"/>
        </w:numPr>
        <w:ind w:left="1701" w:hanging="567"/>
      </w:pPr>
      <w:r>
        <w:t>затруднено дишане или преглъщане</w:t>
      </w:r>
    </w:p>
    <w:p w14:paraId="109AE1E7" w14:textId="77777777" w:rsidR="009B3384" w:rsidRDefault="00800862">
      <w:pPr>
        <w:numPr>
          <w:ilvl w:val="0"/>
          <w:numId w:val="28"/>
        </w:numPr>
        <w:ind w:left="1701" w:hanging="567"/>
      </w:pPr>
      <w:r>
        <w:t>ниско кръвно налягане, което може да причини замаяност или световъртеж</w:t>
      </w:r>
    </w:p>
    <w:p w14:paraId="109AE1E8" w14:textId="77777777" w:rsidR="009B3384" w:rsidRDefault="00800862">
      <w:pPr>
        <w:numPr>
          <w:ilvl w:val="0"/>
          <w:numId w:val="28"/>
        </w:numPr>
        <w:ind w:left="1701" w:hanging="567"/>
      </w:pPr>
      <w:r>
        <w:t>подуване на лицето, устните, устата или гърлото.</w:t>
      </w:r>
    </w:p>
    <w:p w14:paraId="109AE1E9" w14:textId="77777777" w:rsidR="009B3384" w:rsidRDefault="00800862">
      <w:pPr>
        <w:widowControl w:val="0"/>
        <w:numPr>
          <w:ilvl w:val="0"/>
          <w:numId w:val="31"/>
        </w:numPr>
        <w:tabs>
          <w:tab w:val="clear" w:pos="567"/>
          <w:tab w:val="left" w:pos="1134"/>
        </w:tabs>
        <w:ind w:left="1134" w:hanging="567"/>
      </w:pPr>
      <w:r>
        <w:t>Честите признаци на алергична реакция включват кожен обрив и уртикария (може да засегнат до 1 на 100 души).</w:t>
      </w:r>
    </w:p>
    <w:p w14:paraId="109AE1EA" w14:textId="77777777" w:rsidR="009B3384" w:rsidRDefault="009B3384"/>
    <w:p w14:paraId="109AE1EB" w14:textId="77777777" w:rsidR="009B3384" w:rsidRDefault="00800862">
      <w:pPr>
        <w:tabs>
          <w:tab w:val="clear" w:pos="567"/>
          <w:tab w:val="left" w:pos="630"/>
        </w:tabs>
        <w:ind w:left="567"/>
        <w:rPr>
          <w:b/>
        </w:rPr>
      </w:pPr>
      <w:r>
        <w:rPr>
          <w:b/>
        </w:rPr>
        <w:t>В редки случаи се съобщават алергични белодробни реакции и белодробно възпаление при пациенти, които получават устекинумаб. Уведомете веднага Вашия лекар, ако получите симптоми като кашлица, задух и висока температура.</w:t>
      </w:r>
    </w:p>
    <w:p w14:paraId="109AE1EC" w14:textId="77777777" w:rsidR="009B3384" w:rsidRDefault="009B3384"/>
    <w:p w14:paraId="109AE1ED" w14:textId="77777777" w:rsidR="009B3384" w:rsidRDefault="00800862">
      <w:pPr>
        <w:keepNext/>
        <w:widowControl w:val="0"/>
        <w:ind w:left="567"/>
      </w:pPr>
      <w:r>
        <w:t>Ако получите сериозна алергична реакция, Вашият лекар може да реши, че Вие не трябва да употребявате Stelara отново.</w:t>
      </w:r>
    </w:p>
    <w:p w14:paraId="109AE1EE" w14:textId="77777777" w:rsidR="009B3384" w:rsidRDefault="009B3384"/>
    <w:p w14:paraId="109AE1EF" w14:textId="77777777" w:rsidR="009B3384" w:rsidRDefault="00800862">
      <w:pPr>
        <w:keepNext/>
        <w:widowControl w:val="0"/>
        <w:ind w:left="567"/>
        <w:rPr>
          <w:ins w:id="1361" w:author="RABG09" w:date="2026-05-14T13:09:00Z"/>
          <w:b/>
        </w:rPr>
      </w:pPr>
      <w:r>
        <w:rPr>
          <w:b/>
        </w:rPr>
        <w:t>Инфекции – може да изискват спешно лечение. Информирайте Вашия лекар, ако забележите някой от следните признаци.</w:t>
      </w:r>
    </w:p>
    <w:p w14:paraId="196820EA" w14:textId="77777777" w:rsidR="001A58F7" w:rsidRDefault="001A58F7">
      <w:pPr>
        <w:keepNext/>
        <w:widowControl w:val="0"/>
        <w:ind w:left="567"/>
        <w:rPr>
          <w:b/>
        </w:rPr>
      </w:pPr>
    </w:p>
    <w:p w14:paraId="109AE1F0" w14:textId="5ACD78E0" w:rsidR="009B3384" w:rsidRDefault="00800862">
      <w:pPr>
        <w:numPr>
          <w:ilvl w:val="0"/>
          <w:numId w:val="31"/>
        </w:numPr>
        <w:tabs>
          <w:tab w:val="clear" w:pos="567"/>
          <w:tab w:val="left" w:pos="1134"/>
        </w:tabs>
        <w:ind w:left="1134" w:hanging="567"/>
      </w:pPr>
      <w:r>
        <w:t>Инфекциите на носа или гърлото и простудата са чести (може да засегнат до 1 на 10 души)</w:t>
      </w:r>
    </w:p>
    <w:p w14:paraId="109AE1F1" w14:textId="17A31367" w:rsidR="009B3384" w:rsidRDefault="00800862">
      <w:pPr>
        <w:numPr>
          <w:ilvl w:val="0"/>
          <w:numId w:val="31"/>
        </w:numPr>
        <w:tabs>
          <w:tab w:val="clear" w:pos="567"/>
          <w:tab w:val="left" w:pos="1134"/>
        </w:tabs>
        <w:ind w:left="1134" w:hanging="567"/>
      </w:pPr>
      <w:r>
        <w:t>Инфекциите на долните дихателни пътища (гръдни инфекции) са нечести (може да засегнат до 1 на 100 души)</w:t>
      </w:r>
    </w:p>
    <w:p w14:paraId="109AE1F2" w14:textId="662C0AB7" w:rsidR="009B3384" w:rsidRDefault="00800862">
      <w:pPr>
        <w:numPr>
          <w:ilvl w:val="0"/>
          <w:numId w:val="31"/>
        </w:numPr>
        <w:tabs>
          <w:tab w:val="clear" w:pos="567"/>
          <w:tab w:val="left" w:pos="1134"/>
        </w:tabs>
        <w:ind w:left="1134" w:hanging="567"/>
      </w:pPr>
      <w:r>
        <w:t>Възпалението на подкожната тъкан (целулит) е нечесто (може да засегне до 1 на 100 души)</w:t>
      </w:r>
    </w:p>
    <w:p w14:paraId="109AE1F3" w14:textId="42A40671" w:rsidR="009B3384" w:rsidRDefault="00800862">
      <w:pPr>
        <w:numPr>
          <w:ilvl w:val="0"/>
          <w:numId w:val="31"/>
        </w:numPr>
        <w:tabs>
          <w:tab w:val="clear" w:pos="567"/>
          <w:tab w:val="left" w:pos="1134"/>
        </w:tabs>
        <w:ind w:left="1134" w:hanging="567"/>
      </w:pPr>
      <w:r>
        <w:t>Херпесите (вид болезнен обрив с мехури) са нечести (може да засегнат до 1 на 100 души)</w:t>
      </w:r>
    </w:p>
    <w:p w14:paraId="109AE1F4" w14:textId="77777777" w:rsidR="009B3384" w:rsidRDefault="009B3384"/>
    <w:p w14:paraId="109AE1F5" w14:textId="77777777" w:rsidR="009B3384" w:rsidRDefault="00800862">
      <w:pPr>
        <w:pPrChange w:id="1362" w:author="RABG09" w:date="2026-05-14T13:11:00Z">
          <w:pPr>
            <w:ind w:left="567"/>
          </w:pPr>
        </w:pPrChange>
      </w:pPr>
      <w:r>
        <w:rPr>
          <w:lang w:val="en-US"/>
        </w:rPr>
        <w:t>Stelara</w:t>
      </w:r>
      <w:r>
        <w:t xml:space="preserve"> може да намали способността Ви да се борите с инфекции. Някои инфекции може да станат сериозни и може да включват инфекции, причинени от вируси, гъбички, бактерии (включително туберкулоза) или паразити, включително инфекции, които възникват предимно при хора с отслабена имунна система (опортюнистични инфекции). При пациенти, получаващи устекинумаб, се съобщават опортюнистични инфекции на мозъка (енцефалит, менингит), белите дробове и очите.</w:t>
      </w:r>
    </w:p>
    <w:p w14:paraId="109AE1F6" w14:textId="77777777" w:rsidR="009B3384" w:rsidRDefault="009B3384" w:rsidP="009C2FD2"/>
    <w:p w14:paraId="109AE1F7" w14:textId="77777777" w:rsidR="009B3384" w:rsidRDefault="00800862">
      <w:pPr>
        <w:keepNext/>
        <w:ind w:left="567" w:hanging="567"/>
        <w:pPrChange w:id="1363" w:author="RABG09" w:date="2026-05-14T13:11:00Z">
          <w:pPr>
            <w:keepNext/>
            <w:ind w:left="567"/>
          </w:pPr>
        </w:pPrChange>
      </w:pPr>
      <w:r>
        <w:t>Докато употребявате Stelara, трябва да следите за признаци на инфекция. Те включват:</w:t>
      </w:r>
    </w:p>
    <w:p w14:paraId="109AE1F8" w14:textId="77777777" w:rsidR="009B3384" w:rsidRDefault="00800862">
      <w:pPr>
        <w:numPr>
          <w:ilvl w:val="0"/>
          <w:numId w:val="31"/>
        </w:numPr>
        <w:tabs>
          <w:tab w:val="clear" w:pos="567"/>
          <w:tab w:val="left" w:pos="1134"/>
        </w:tabs>
        <w:ind w:left="1134" w:hanging="567"/>
      </w:pPr>
      <w:r>
        <w:t>висока температура, грипоподобни симптоми, нощно потене, загуба на тегло</w:t>
      </w:r>
    </w:p>
    <w:p w14:paraId="109AE1F9" w14:textId="77777777" w:rsidR="009B3384" w:rsidRDefault="00800862">
      <w:pPr>
        <w:numPr>
          <w:ilvl w:val="0"/>
          <w:numId w:val="31"/>
        </w:numPr>
        <w:tabs>
          <w:tab w:val="clear" w:pos="567"/>
          <w:tab w:val="left" w:pos="1134"/>
        </w:tabs>
        <w:ind w:left="1134" w:hanging="567"/>
      </w:pPr>
      <w:r>
        <w:t>умора или задух, упорита кашлица</w:t>
      </w:r>
    </w:p>
    <w:p w14:paraId="109AE1FA" w14:textId="77777777" w:rsidR="009B3384" w:rsidRDefault="00800862">
      <w:pPr>
        <w:numPr>
          <w:ilvl w:val="0"/>
          <w:numId w:val="31"/>
        </w:numPr>
        <w:tabs>
          <w:tab w:val="clear" w:pos="567"/>
          <w:tab w:val="left" w:pos="1134"/>
        </w:tabs>
        <w:ind w:left="1134" w:hanging="567"/>
      </w:pPr>
      <w:r>
        <w:t>топла, зачервена и болезнена кожа или болезнен кожен обрив с мехури</w:t>
      </w:r>
    </w:p>
    <w:p w14:paraId="109AE1FB" w14:textId="77777777" w:rsidR="009B3384" w:rsidRDefault="00800862">
      <w:pPr>
        <w:numPr>
          <w:ilvl w:val="0"/>
          <w:numId w:val="31"/>
        </w:numPr>
        <w:tabs>
          <w:tab w:val="clear" w:pos="567"/>
          <w:tab w:val="left" w:pos="1134"/>
        </w:tabs>
        <w:ind w:left="1134" w:hanging="567"/>
      </w:pPr>
      <w:r>
        <w:t>парене при уриниране</w:t>
      </w:r>
    </w:p>
    <w:p w14:paraId="109AE1FC" w14:textId="77777777" w:rsidR="009B3384" w:rsidRDefault="00800862">
      <w:pPr>
        <w:numPr>
          <w:ilvl w:val="0"/>
          <w:numId w:val="31"/>
        </w:numPr>
        <w:tabs>
          <w:tab w:val="clear" w:pos="567"/>
          <w:tab w:val="left" w:pos="1134"/>
        </w:tabs>
        <w:ind w:left="1134" w:hanging="567"/>
      </w:pPr>
      <w:r>
        <w:t>диария</w:t>
      </w:r>
    </w:p>
    <w:p w14:paraId="109AE1FD" w14:textId="77777777" w:rsidR="009B3384" w:rsidRDefault="00800862">
      <w:pPr>
        <w:numPr>
          <w:ilvl w:val="0"/>
          <w:numId w:val="31"/>
        </w:numPr>
        <w:tabs>
          <w:tab w:val="clear" w:pos="567"/>
          <w:tab w:val="left" w:pos="1134"/>
        </w:tabs>
        <w:ind w:left="1134" w:hanging="567"/>
      </w:pPr>
      <w:r>
        <w:t>зрително смущение или загуба на зрение</w:t>
      </w:r>
    </w:p>
    <w:p w14:paraId="109AE1FE" w14:textId="77777777" w:rsidR="009B3384" w:rsidRDefault="00800862">
      <w:pPr>
        <w:numPr>
          <w:ilvl w:val="0"/>
          <w:numId w:val="31"/>
        </w:numPr>
        <w:tabs>
          <w:tab w:val="clear" w:pos="567"/>
          <w:tab w:val="left" w:pos="1134"/>
        </w:tabs>
        <w:ind w:left="1134" w:hanging="567"/>
      </w:pPr>
      <w:r>
        <w:t>главоболие, скованост на врата, чувствителност към светлина, гадене или обърканост.</w:t>
      </w:r>
    </w:p>
    <w:p w14:paraId="109AE1FF" w14:textId="77777777" w:rsidR="009B3384" w:rsidRDefault="009B3384"/>
    <w:p w14:paraId="109AE200" w14:textId="77777777" w:rsidR="009B3384" w:rsidRDefault="00800862">
      <w:pPr>
        <w:widowControl w:val="0"/>
        <w:ind w:left="567"/>
      </w:pPr>
      <w:r>
        <w:lastRenderedPageBreak/>
        <w:t>Информирайте Вашия лекар веднага, ако забележите някой от тези признаци на инфекция. Те могат да бъдат признаци на инфекции като гръдни инфекции, кожни инфекции, херпес зостер или опортюнистични инфекции, които могат да доведат до сериозни усложнения. Информирайте Вашия лекар, ако имате някаква упорита или повтаряща се инфекция. Вашият лекар може да реши, че не трябва да употребявате Stelara, докато инфекцията не бъде излекувана. Уведомете Вашия лекар, и ако имате отворени рани или наранявания, тъй като може да се инфектират.</w:t>
      </w:r>
    </w:p>
    <w:p w14:paraId="109AE201" w14:textId="77777777" w:rsidR="009B3384" w:rsidRDefault="009B3384"/>
    <w:p w14:paraId="109AE202" w14:textId="77777777" w:rsidR="009B3384" w:rsidRDefault="00800862">
      <w:pPr>
        <w:widowControl w:val="0"/>
        <w:ind w:left="567"/>
        <w:rPr>
          <w:b/>
        </w:rPr>
      </w:pPr>
      <w:r>
        <w:rPr>
          <w:b/>
        </w:rPr>
        <w:t>Лющене на кожата – интензивното зачервяване и лющене на кожата на по-голяма площ по тялото може да са симптоми на еритродермичен псориазис или ексфолиативен дерматит, които са сериозни кожни заболявания. Ако забележите някой от тези признаци, трябва да информирате Вашия лекар незабавно.</w:t>
      </w:r>
    </w:p>
    <w:p w14:paraId="109AE203" w14:textId="77777777" w:rsidR="009B3384" w:rsidRDefault="009B3384">
      <w:pPr>
        <w:widowControl w:val="0"/>
      </w:pPr>
    </w:p>
    <w:p w14:paraId="109AE204" w14:textId="77777777" w:rsidR="009B3384" w:rsidRDefault="00800862">
      <w:pPr>
        <w:keepNext/>
        <w:rPr>
          <w:b/>
          <w:szCs w:val="22"/>
        </w:rPr>
      </w:pPr>
      <w:r>
        <w:rPr>
          <w:b/>
          <w:szCs w:val="22"/>
        </w:rPr>
        <w:t>Други нежелани реакции</w:t>
      </w:r>
    </w:p>
    <w:p w14:paraId="109AE205" w14:textId="77777777" w:rsidR="009B3384" w:rsidRDefault="009B3384">
      <w:pPr>
        <w:keepNext/>
      </w:pPr>
    </w:p>
    <w:p w14:paraId="109AE206" w14:textId="77777777" w:rsidR="009B3384" w:rsidRDefault="00800862">
      <w:pPr>
        <w:keepNext/>
        <w:ind w:left="567"/>
        <w:rPr>
          <w:szCs w:val="22"/>
        </w:rPr>
      </w:pPr>
      <w:r>
        <w:rPr>
          <w:b/>
          <w:bCs/>
          <w:szCs w:val="22"/>
        </w:rPr>
        <w:t xml:space="preserve">Чести нежелани реакции </w:t>
      </w:r>
      <w:r>
        <w:rPr>
          <w:bCs/>
          <w:szCs w:val="22"/>
        </w:rPr>
        <w:t>(може да засегнат до 1 на 10 души)</w:t>
      </w:r>
      <w:r>
        <w:rPr>
          <w:b/>
          <w:szCs w:val="22"/>
        </w:rPr>
        <w:t>:</w:t>
      </w:r>
    </w:p>
    <w:p w14:paraId="109AE207" w14:textId="77777777" w:rsidR="009B3384" w:rsidRDefault="00800862">
      <w:pPr>
        <w:numPr>
          <w:ilvl w:val="0"/>
          <w:numId w:val="31"/>
        </w:numPr>
        <w:tabs>
          <w:tab w:val="clear" w:pos="567"/>
          <w:tab w:val="left" w:pos="1134"/>
        </w:tabs>
        <w:ind w:left="1134" w:hanging="567"/>
      </w:pPr>
      <w:r>
        <w:t>диария</w:t>
      </w:r>
    </w:p>
    <w:p w14:paraId="109AE208" w14:textId="77777777" w:rsidR="009B3384" w:rsidRDefault="00800862">
      <w:pPr>
        <w:numPr>
          <w:ilvl w:val="0"/>
          <w:numId w:val="31"/>
        </w:numPr>
        <w:tabs>
          <w:tab w:val="clear" w:pos="567"/>
          <w:tab w:val="left" w:pos="1134"/>
        </w:tabs>
        <w:ind w:left="1134" w:hanging="567"/>
      </w:pPr>
      <w:r>
        <w:t>гадене</w:t>
      </w:r>
    </w:p>
    <w:p w14:paraId="109AE209" w14:textId="77777777" w:rsidR="009B3384" w:rsidRDefault="00800862">
      <w:pPr>
        <w:numPr>
          <w:ilvl w:val="0"/>
          <w:numId w:val="31"/>
        </w:numPr>
        <w:tabs>
          <w:tab w:val="clear" w:pos="567"/>
          <w:tab w:val="left" w:pos="1134"/>
        </w:tabs>
        <w:ind w:left="1134" w:hanging="567"/>
      </w:pPr>
      <w:r>
        <w:t>повръщане</w:t>
      </w:r>
    </w:p>
    <w:p w14:paraId="109AE20A" w14:textId="77777777" w:rsidR="009B3384" w:rsidRDefault="00800862">
      <w:pPr>
        <w:numPr>
          <w:ilvl w:val="0"/>
          <w:numId w:val="31"/>
        </w:numPr>
        <w:tabs>
          <w:tab w:val="clear" w:pos="567"/>
          <w:tab w:val="left" w:pos="1134"/>
        </w:tabs>
        <w:ind w:left="1134" w:hanging="567"/>
      </w:pPr>
      <w:r>
        <w:t>умора</w:t>
      </w:r>
    </w:p>
    <w:p w14:paraId="109AE20B" w14:textId="77777777" w:rsidR="009B3384" w:rsidRDefault="00800862">
      <w:pPr>
        <w:numPr>
          <w:ilvl w:val="0"/>
          <w:numId w:val="31"/>
        </w:numPr>
        <w:tabs>
          <w:tab w:val="clear" w:pos="567"/>
          <w:tab w:val="left" w:pos="1134"/>
        </w:tabs>
        <w:ind w:left="1134" w:hanging="567"/>
      </w:pPr>
      <w:r>
        <w:t>замаяност</w:t>
      </w:r>
    </w:p>
    <w:p w14:paraId="109AE20C" w14:textId="77777777" w:rsidR="009B3384" w:rsidRDefault="00800862">
      <w:pPr>
        <w:numPr>
          <w:ilvl w:val="0"/>
          <w:numId w:val="31"/>
        </w:numPr>
        <w:tabs>
          <w:tab w:val="clear" w:pos="567"/>
          <w:tab w:val="left" w:pos="1134"/>
        </w:tabs>
        <w:ind w:left="1134" w:hanging="567"/>
      </w:pPr>
      <w:r>
        <w:t>главоболие</w:t>
      </w:r>
    </w:p>
    <w:p w14:paraId="109AE20D" w14:textId="77777777" w:rsidR="009B3384" w:rsidRDefault="00800862">
      <w:pPr>
        <w:numPr>
          <w:ilvl w:val="0"/>
          <w:numId w:val="31"/>
        </w:numPr>
        <w:tabs>
          <w:tab w:val="clear" w:pos="567"/>
          <w:tab w:val="left" w:pos="1134"/>
        </w:tabs>
        <w:ind w:left="1134" w:hanging="567"/>
      </w:pPr>
      <w:r>
        <w:t>сърбеж (пруритус)</w:t>
      </w:r>
    </w:p>
    <w:p w14:paraId="109AE20E" w14:textId="77777777" w:rsidR="009B3384" w:rsidRDefault="00800862">
      <w:pPr>
        <w:numPr>
          <w:ilvl w:val="0"/>
          <w:numId w:val="31"/>
        </w:numPr>
        <w:tabs>
          <w:tab w:val="clear" w:pos="567"/>
          <w:tab w:val="left" w:pos="1134"/>
        </w:tabs>
        <w:ind w:left="1134" w:hanging="567"/>
      </w:pPr>
      <w:r>
        <w:t>болка в гърба, мускулите или ставите</w:t>
      </w:r>
    </w:p>
    <w:p w14:paraId="109AE20F" w14:textId="77777777" w:rsidR="009B3384" w:rsidRDefault="00800862">
      <w:pPr>
        <w:numPr>
          <w:ilvl w:val="0"/>
          <w:numId w:val="31"/>
        </w:numPr>
        <w:tabs>
          <w:tab w:val="clear" w:pos="567"/>
          <w:tab w:val="left" w:pos="1134"/>
        </w:tabs>
        <w:ind w:left="1134" w:hanging="567"/>
      </w:pPr>
      <w:r>
        <w:t>възпалено гърло</w:t>
      </w:r>
    </w:p>
    <w:p w14:paraId="109AE210" w14:textId="77777777" w:rsidR="009B3384" w:rsidRDefault="00800862">
      <w:pPr>
        <w:numPr>
          <w:ilvl w:val="0"/>
          <w:numId w:val="31"/>
        </w:numPr>
        <w:tabs>
          <w:tab w:val="clear" w:pos="567"/>
          <w:tab w:val="left" w:pos="1134"/>
        </w:tabs>
        <w:ind w:left="1134" w:hanging="567"/>
      </w:pPr>
      <w:r>
        <w:t>зачервяване и болка на мястото на инжектиране</w:t>
      </w:r>
    </w:p>
    <w:p w14:paraId="109AE211" w14:textId="77777777" w:rsidR="009B3384" w:rsidRDefault="00800862">
      <w:pPr>
        <w:numPr>
          <w:ilvl w:val="0"/>
          <w:numId w:val="31"/>
        </w:numPr>
        <w:tabs>
          <w:tab w:val="clear" w:pos="567"/>
          <w:tab w:val="left" w:pos="1134"/>
        </w:tabs>
        <w:ind w:left="1134" w:hanging="567"/>
      </w:pPr>
      <w:r>
        <w:t>инфекция на синусите</w:t>
      </w:r>
    </w:p>
    <w:p w14:paraId="109AE212" w14:textId="77777777" w:rsidR="009B3384" w:rsidRDefault="009B3384"/>
    <w:p w14:paraId="109AE213" w14:textId="77777777" w:rsidR="009B3384" w:rsidRDefault="00800862">
      <w:pPr>
        <w:keepNext/>
        <w:ind w:left="567"/>
        <w:rPr>
          <w:b/>
          <w:szCs w:val="22"/>
        </w:rPr>
      </w:pPr>
      <w:r>
        <w:rPr>
          <w:b/>
          <w:bCs/>
          <w:szCs w:val="22"/>
        </w:rPr>
        <w:t xml:space="preserve">Нечести нежелани реакции </w:t>
      </w:r>
      <w:r>
        <w:rPr>
          <w:bCs/>
          <w:szCs w:val="22"/>
        </w:rPr>
        <w:t>(може да засегнат до 1 на 100 души)</w:t>
      </w:r>
      <w:r>
        <w:rPr>
          <w:b/>
          <w:szCs w:val="22"/>
        </w:rPr>
        <w:t>:</w:t>
      </w:r>
    </w:p>
    <w:p w14:paraId="109AE214" w14:textId="77777777" w:rsidR="009B3384" w:rsidRDefault="00800862">
      <w:pPr>
        <w:numPr>
          <w:ilvl w:val="0"/>
          <w:numId w:val="31"/>
        </w:numPr>
        <w:tabs>
          <w:tab w:val="clear" w:pos="567"/>
          <w:tab w:val="left" w:pos="1134"/>
        </w:tabs>
        <w:ind w:left="1134" w:hanging="567"/>
      </w:pPr>
      <w:r>
        <w:t>инфекции на зъбите</w:t>
      </w:r>
    </w:p>
    <w:p w14:paraId="109AE215" w14:textId="77777777" w:rsidR="009B3384" w:rsidRDefault="00800862">
      <w:pPr>
        <w:numPr>
          <w:ilvl w:val="0"/>
          <w:numId w:val="31"/>
        </w:numPr>
        <w:tabs>
          <w:tab w:val="clear" w:pos="567"/>
          <w:tab w:val="left" w:pos="1134"/>
        </w:tabs>
        <w:ind w:left="1134" w:hanging="567"/>
      </w:pPr>
      <w:r>
        <w:t>вагинална инфекция, причинена от гъбички</w:t>
      </w:r>
    </w:p>
    <w:p w14:paraId="109AE216" w14:textId="77777777" w:rsidR="009B3384" w:rsidRDefault="00800862">
      <w:pPr>
        <w:numPr>
          <w:ilvl w:val="0"/>
          <w:numId w:val="31"/>
        </w:numPr>
        <w:tabs>
          <w:tab w:val="clear" w:pos="567"/>
          <w:tab w:val="left" w:pos="1134"/>
        </w:tabs>
        <w:ind w:left="1134" w:hanging="567"/>
        <w:rPr>
          <w:szCs w:val="22"/>
        </w:rPr>
      </w:pPr>
      <w:r>
        <w:rPr>
          <w:szCs w:val="22"/>
        </w:rPr>
        <w:t>депресия</w:t>
      </w:r>
    </w:p>
    <w:p w14:paraId="109AE217" w14:textId="77777777" w:rsidR="009B3384" w:rsidRDefault="00800862">
      <w:pPr>
        <w:numPr>
          <w:ilvl w:val="0"/>
          <w:numId w:val="31"/>
        </w:numPr>
        <w:tabs>
          <w:tab w:val="clear" w:pos="567"/>
          <w:tab w:val="left" w:pos="1134"/>
        </w:tabs>
        <w:ind w:left="1134" w:hanging="567"/>
        <w:rPr>
          <w:szCs w:val="22"/>
        </w:rPr>
      </w:pPr>
      <w:r>
        <w:rPr>
          <w:szCs w:val="22"/>
        </w:rPr>
        <w:t>запушен нос или хрема</w:t>
      </w:r>
    </w:p>
    <w:p w14:paraId="109AE218" w14:textId="77777777" w:rsidR="009B3384" w:rsidRDefault="00800862">
      <w:pPr>
        <w:numPr>
          <w:ilvl w:val="0"/>
          <w:numId w:val="31"/>
        </w:numPr>
        <w:tabs>
          <w:tab w:val="clear" w:pos="567"/>
          <w:tab w:val="left" w:pos="1134"/>
        </w:tabs>
        <w:ind w:left="1134" w:hanging="567"/>
        <w:rPr>
          <w:szCs w:val="22"/>
        </w:rPr>
      </w:pPr>
      <w:r>
        <w:rPr>
          <w:bCs/>
          <w:szCs w:val="22"/>
        </w:rPr>
        <w:t>кървене, посиняване, втвърдяване, подуване и сърбеж на мястото на инжектиране</w:t>
      </w:r>
    </w:p>
    <w:p w14:paraId="109AE219" w14:textId="77777777" w:rsidR="009B3384" w:rsidRDefault="00800862">
      <w:pPr>
        <w:numPr>
          <w:ilvl w:val="0"/>
          <w:numId w:val="31"/>
        </w:numPr>
        <w:tabs>
          <w:tab w:val="clear" w:pos="567"/>
          <w:tab w:val="left" w:pos="1134"/>
        </w:tabs>
        <w:ind w:left="1134" w:hanging="567"/>
        <w:rPr>
          <w:szCs w:val="22"/>
        </w:rPr>
      </w:pPr>
      <w:r>
        <w:rPr>
          <w:bCs/>
          <w:szCs w:val="22"/>
        </w:rPr>
        <w:t>усещане за слабост</w:t>
      </w:r>
    </w:p>
    <w:p w14:paraId="109AE21A" w14:textId="77777777" w:rsidR="009B3384" w:rsidRDefault="00800862">
      <w:pPr>
        <w:numPr>
          <w:ilvl w:val="0"/>
          <w:numId w:val="31"/>
        </w:numPr>
        <w:tabs>
          <w:tab w:val="clear" w:pos="567"/>
          <w:tab w:val="left" w:pos="1134"/>
        </w:tabs>
        <w:ind w:left="1134" w:hanging="567"/>
        <w:rPr>
          <w:szCs w:val="22"/>
        </w:rPr>
      </w:pPr>
      <w:r>
        <w:rPr>
          <w:szCs w:val="22"/>
        </w:rPr>
        <w:t>спадане на клепача и изкривяване на мускулите на едната половина на лицето („лицева парализа”</w:t>
      </w:r>
      <w:r>
        <w:t xml:space="preserve"> или „парализа на Бел”), която обикновено е временна</w:t>
      </w:r>
    </w:p>
    <w:p w14:paraId="109AE21B" w14:textId="77777777" w:rsidR="009B3384" w:rsidRDefault="00800862">
      <w:pPr>
        <w:numPr>
          <w:ilvl w:val="0"/>
          <w:numId w:val="31"/>
        </w:numPr>
        <w:tabs>
          <w:tab w:val="clear" w:pos="567"/>
          <w:tab w:val="left" w:pos="1134"/>
        </w:tabs>
        <w:ind w:left="1134" w:hanging="567"/>
        <w:rPr>
          <w:szCs w:val="22"/>
        </w:rPr>
      </w:pPr>
      <w:r>
        <w:rPr>
          <w:szCs w:val="22"/>
        </w:rPr>
        <w:t>промяна на псориазиса със зачервяване и нови малки, жълти или бели мехури по кожата, понякога придружени с температура (пустулозен псориазис)</w:t>
      </w:r>
    </w:p>
    <w:p w14:paraId="109AE21C" w14:textId="77777777" w:rsidR="009B3384" w:rsidRDefault="00800862">
      <w:pPr>
        <w:numPr>
          <w:ilvl w:val="0"/>
          <w:numId w:val="31"/>
        </w:numPr>
        <w:tabs>
          <w:tab w:val="clear" w:pos="567"/>
          <w:tab w:val="left" w:pos="1134"/>
        </w:tabs>
        <w:ind w:left="1134" w:hanging="567"/>
        <w:rPr>
          <w:szCs w:val="22"/>
        </w:rPr>
      </w:pPr>
      <w:r>
        <w:rPr>
          <w:szCs w:val="22"/>
        </w:rPr>
        <w:t>белене на кожата (ексфолиация на кожата)</w:t>
      </w:r>
    </w:p>
    <w:p w14:paraId="109AE21D" w14:textId="77777777" w:rsidR="009B3384" w:rsidRDefault="00800862">
      <w:pPr>
        <w:numPr>
          <w:ilvl w:val="0"/>
          <w:numId w:val="31"/>
        </w:numPr>
        <w:tabs>
          <w:tab w:val="clear" w:pos="567"/>
          <w:tab w:val="left" w:pos="1134"/>
        </w:tabs>
        <w:ind w:left="1134" w:hanging="567"/>
        <w:rPr>
          <w:szCs w:val="22"/>
        </w:rPr>
      </w:pPr>
      <w:r>
        <w:rPr>
          <w:szCs w:val="22"/>
        </w:rPr>
        <w:t>акне</w:t>
      </w:r>
    </w:p>
    <w:p w14:paraId="109AE21E" w14:textId="77777777" w:rsidR="009B3384" w:rsidRDefault="009B3384">
      <w:pPr>
        <w:rPr>
          <w:szCs w:val="22"/>
        </w:rPr>
      </w:pPr>
    </w:p>
    <w:p w14:paraId="109AE21F" w14:textId="77777777" w:rsidR="009B3384" w:rsidRDefault="00800862">
      <w:pPr>
        <w:keepNext/>
        <w:ind w:left="567"/>
      </w:pPr>
      <w:r>
        <w:rPr>
          <w:b/>
        </w:rPr>
        <w:t xml:space="preserve">Редки нежелани лекарствени реакции </w:t>
      </w:r>
      <w:r>
        <w:t>(може да засегнат до 1 на 1</w:t>
      </w:r>
      <w:r>
        <w:rPr>
          <w:lang w:val="nl-BE"/>
        </w:rPr>
        <w:t> </w:t>
      </w:r>
      <w:r>
        <w:t>000 души)</w:t>
      </w:r>
    </w:p>
    <w:p w14:paraId="109AE220" w14:textId="1D949313" w:rsidR="009B3384" w:rsidRDefault="0094397D">
      <w:pPr>
        <w:numPr>
          <w:ilvl w:val="0"/>
          <w:numId w:val="31"/>
        </w:numPr>
        <w:tabs>
          <w:tab w:val="clear" w:pos="567"/>
          <w:tab w:val="left" w:pos="1134"/>
        </w:tabs>
        <w:ind w:left="1134" w:hanging="567"/>
      </w:pPr>
      <w:ins w:id="1364" w:author="RABG09" w:date="2026-05-14T13:12:00Z">
        <w:r>
          <w:t>з</w:t>
        </w:r>
      </w:ins>
      <w:del w:id="1365" w:author="RABG09" w:date="2026-05-14T13:12:00Z">
        <w:r w:rsidR="00800862" w:rsidDel="0094397D">
          <w:delText>З</w:delText>
        </w:r>
      </w:del>
      <w:r w:rsidR="00800862">
        <w:t>ачервяване и лющене на кожата на по-голяма площ по тялото, които може да сърбят или да са болезнени (ексфолиативен дерматит). Подобни симптоми понякога се развиват като естествена промяна на вида на симптомите на псориазис (еритродермичен псориазис)</w:t>
      </w:r>
    </w:p>
    <w:p w14:paraId="109AE221" w14:textId="77D8F0D0" w:rsidR="009B3384" w:rsidRDefault="0094397D">
      <w:pPr>
        <w:numPr>
          <w:ilvl w:val="0"/>
          <w:numId w:val="31"/>
        </w:numPr>
        <w:tabs>
          <w:tab w:val="clear" w:pos="567"/>
          <w:tab w:val="left" w:pos="1134"/>
        </w:tabs>
        <w:ind w:left="1134" w:hanging="567"/>
      </w:pPr>
      <w:ins w:id="1366" w:author="RABG09" w:date="2026-05-14T13:12:00Z">
        <w:r>
          <w:t>в</w:t>
        </w:r>
      </w:ins>
      <w:del w:id="1367" w:author="RABG09" w:date="2026-05-14T13:12:00Z">
        <w:r w:rsidR="00800862" w:rsidDel="0094397D">
          <w:delText>В</w:delText>
        </w:r>
      </w:del>
      <w:r w:rsidR="00800862">
        <w:t>ъзпаление на малките кръвоносни съдове, което може да доведе до кожен обрив с малки червени или лилави подутини, температура или болка в ставите (васкулит).</w:t>
      </w:r>
    </w:p>
    <w:p w14:paraId="109AE222" w14:textId="77777777" w:rsidR="009B3384" w:rsidRDefault="009B3384">
      <w:pPr>
        <w:rPr>
          <w:szCs w:val="22"/>
        </w:rPr>
      </w:pPr>
    </w:p>
    <w:p w14:paraId="109AE223" w14:textId="77777777" w:rsidR="009B3384" w:rsidRDefault="00800862">
      <w:pPr>
        <w:keepNext/>
        <w:ind w:left="567"/>
      </w:pPr>
      <w:r>
        <w:rPr>
          <w:b/>
          <w:szCs w:val="22"/>
        </w:rPr>
        <w:t>Много редки</w:t>
      </w:r>
      <w:r>
        <w:rPr>
          <w:szCs w:val="22"/>
        </w:rPr>
        <w:t xml:space="preserve"> </w:t>
      </w:r>
      <w:r>
        <w:rPr>
          <w:b/>
        </w:rPr>
        <w:t xml:space="preserve">нежелани лекарствени реакции </w:t>
      </w:r>
      <w:r>
        <w:t>(може да засегнат до 1 на 10</w:t>
      </w:r>
      <w:r>
        <w:rPr>
          <w:lang w:val="nl-BE"/>
        </w:rPr>
        <w:t> </w:t>
      </w:r>
      <w:r>
        <w:t>000</w:t>
      </w:r>
      <w:r>
        <w:rPr>
          <w:lang w:val="en-US"/>
        </w:rPr>
        <w:t> </w:t>
      </w:r>
      <w:r>
        <w:t>души)</w:t>
      </w:r>
    </w:p>
    <w:p w14:paraId="109AE224" w14:textId="5C514B5B" w:rsidR="009B3384" w:rsidRDefault="0094397D">
      <w:pPr>
        <w:numPr>
          <w:ilvl w:val="0"/>
          <w:numId w:val="31"/>
        </w:numPr>
        <w:tabs>
          <w:tab w:val="clear" w:pos="567"/>
          <w:tab w:val="left" w:pos="1134"/>
        </w:tabs>
        <w:ind w:left="1134" w:hanging="567"/>
      </w:pPr>
      <w:ins w:id="1368" w:author="RABG09" w:date="2026-05-14T13:13:00Z">
        <w:r>
          <w:t>о</w:t>
        </w:r>
      </w:ins>
      <w:del w:id="1369" w:author="RABG09" w:date="2026-05-14T13:13:00Z">
        <w:r w:rsidR="00800862" w:rsidDel="0094397D">
          <w:delText>О</w:delText>
        </w:r>
      </w:del>
      <w:r w:rsidR="00800862">
        <w:t>бразуване на мехури по кожата, която може да бъде зачервена, сърбяща и болезнена (булозен пемфигоид)</w:t>
      </w:r>
      <w:ins w:id="1370" w:author="RABG09" w:date="2026-05-14T13:13:00Z">
        <w:r w:rsidR="008B4FC4">
          <w:t>.</w:t>
        </w:r>
      </w:ins>
    </w:p>
    <w:p w14:paraId="109AE225" w14:textId="77777777" w:rsidR="009B3384" w:rsidRDefault="00800862">
      <w:pPr>
        <w:numPr>
          <w:ilvl w:val="0"/>
          <w:numId w:val="31"/>
        </w:numPr>
        <w:tabs>
          <w:tab w:val="clear" w:pos="567"/>
          <w:tab w:val="left" w:pos="1134"/>
        </w:tabs>
        <w:ind w:left="1134" w:hanging="567"/>
      </w:pPr>
      <w:r>
        <w:rPr>
          <w:szCs w:val="22"/>
        </w:rPr>
        <w:t>кожен лупус еритематодес и лупус-подобен синдром (червен, надигнат, лющещ се обрив в изложените на слънце участъци на кожата, който може да е придружен от болки в ставите).</w:t>
      </w:r>
    </w:p>
    <w:p w14:paraId="109AE226" w14:textId="77777777" w:rsidR="009B3384" w:rsidRDefault="009B3384">
      <w:pPr>
        <w:rPr>
          <w:szCs w:val="22"/>
        </w:rPr>
      </w:pPr>
    </w:p>
    <w:p w14:paraId="109AE227" w14:textId="77777777" w:rsidR="009B3384" w:rsidRDefault="00800862">
      <w:pPr>
        <w:keepNext/>
        <w:rPr>
          <w:szCs w:val="22"/>
        </w:rPr>
      </w:pPr>
      <w:r>
        <w:rPr>
          <w:b/>
          <w:szCs w:val="22"/>
        </w:rPr>
        <w:t>Съобщаване на нежелани реакции</w:t>
      </w:r>
    </w:p>
    <w:p w14:paraId="109AE228" w14:textId="77777777" w:rsidR="009B3384" w:rsidRDefault="00800862">
      <w:pPr>
        <w:rPr>
          <w:szCs w:val="22"/>
        </w:rPr>
      </w:pPr>
      <w:r>
        <w:t xml:space="preserve">Ако </w:t>
      </w:r>
      <w:r>
        <w:rPr>
          <w:szCs w:val="24"/>
        </w:rPr>
        <w:t xml:space="preserve">получите някакви нежелани </w:t>
      </w:r>
      <w:r>
        <w:t>лекарствени реакции</w:t>
      </w:r>
      <w:r>
        <w:rPr>
          <w:szCs w:val="24"/>
        </w:rPr>
        <w:t>,</w:t>
      </w:r>
      <w:r>
        <w:t xml:space="preserve"> уведомете</w:t>
      </w:r>
      <w:r>
        <w:rPr>
          <w:szCs w:val="24"/>
        </w:rPr>
        <w:t xml:space="preserve"> </w:t>
      </w:r>
      <w:r>
        <w:t>Вашия лекар или фармацевт</w:t>
      </w:r>
      <w:r>
        <w:rPr>
          <w:szCs w:val="24"/>
        </w:rPr>
        <w:t>. Това включва и всички възможни неописани в тази листовка нежелани реакции.</w:t>
      </w:r>
      <w:r>
        <w:t xml:space="preserve"> Можете също да съобщите нежелани реакции директно чрез </w:t>
      </w:r>
      <w:r>
        <w:rPr>
          <w:highlight w:val="lightGray"/>
        </w:rPr>
        <w:t xml:space="preserve">националната система за съобщаване, посочена </w:t>
      </w:r>
      <w:r>
        <w:rPr>
          <w:szCs w:val="22"/>
          <w:highlight w:val="lightGray"/>
        </w:rPr>
        <w:t xml:space="preserve">в </w:t>
      </w:r>
      <w:hyperlink r:id="rId20" w:history="1">
        <w:r>
          <w:rPr>
            <w:rStyle w:val="Hyperlink"/>
            <w:noProof/>
            <w:szCs w:val="22"/>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9AE229" w14:textId="77777777" w:rsidR="009B3384" w:rsidRDefault="009B3384">
      <w:pPr>
        <w:rPr>
          <w:szCs w:val="22"/>
        </w:rPr>
      </w:pPr>
    </w:p>
    <w:p w14:paraId="109AE22A" w14:textId="77777777" w:rsidR="009B3384" w:rsidRDefault="009B3384">
      <w:pPr>
        <w:rPr>
          <w:szCs w:val="22"/>
        </w:rPr>
      </w:pPr>
    </w:p>
    <w:p w14:paraId="109AE22B" w14:textId="77777777" w:rsidR="009B3384" w:rsidRDefault="00800862">
      <w:pPr>
        <w:keepNext/>
        <w:ind w:left="567" w:hanging="567"/>
        <w:outlineLvl w:val="2"/>
        <w:rPr>
          <w:b/>
          <w:bCs/>
          <w:szCs w:val="22"/>
        </w:rPr>
      </w:pPr>
      <w:r>
        <w:rPr>
          <w:b/>
          <w:bCs/>
          <w:szCs w:val="22"/>
        </w:rPr>
        <w:t>5.</w:t>
      </w:r>
      <w:r>
        <w:rPr>
          <w:b/>
          <w:bCs/>
          <w:szCs w:val="22"/>
        </w:rPr>
        <w:tab/>
      </w:r>
      <w:r>
        <w:rPr>
          <w:b/>
          <w:bCs/>
        </w:rPr>
        <w:t xml:space="preserve">Как да съхранявате </w:t>
      </w:r>
      <w:r>
        <w:rPr>
          <w:b/>
          <w:bCs/>
          <w:szCs w:val="22"/>
        </w:rPr>
        <w:t>Stelara</w:t>
      </w:r>
    </w:p>
    <w:p w14:paraId="109AE22C" w14:textId="77777777" w:rsidR="009B3384" w:rsidRDefault="009B3384">
      <w:pPr>
        <w:keepNext/>
        <w:rPr>
          <w:szCs w:val="22"/>
        </w:rPr>
      </w:pPr>
    </w:p>
    <w:p w14:paraId="109AE22D" w14:textId="77777777" w:rsidR="009B3384" w:rsidRDefault="00800862">
      <w:pPr>
        <w:numPr>
          <w:ilvl w:val="0"/>
          <w:numId w:val="30"/>
        </w:numPr>
        <w:tabs>
          <w:tab w:val="clear" w:pos="567"/>
        </w:tabs>
      </w:pPr>
      <w:r>
        <w:t>Да се съхранява на място, недостъпно за деца.</w:t>
      </w:r>
    </w:p>
    <w:p w14:paraId="109AE22E" w14:textId="77777777" w:rsidR="009B3384" w:rsidRDefault="00800862">
      <w:pPr>
        <w:numPr>
          <w:ilvl w:val="0"/>
          <w:numId w:val="30"/>
        </w:numPr>
        <w:tabs>
          <w:tab w:val="clear" w:pos="567"/>
        </w:tabs>
      </w:pPr>
      <w:r>
        <w:t>Да се съхранява в хладилник (2°C–8°C). Да не се замразява.</w:t>
      </w:r>
    </w:p>
    <w:p w14:paraId="109AE22F" w14:textId="77777777" w:rsidR="009B3384" w:rsidRDefault="00800862">
      <w:pPr>
        <w:numPr>
          <w:ilvl w:val="0"/>
          <w:numId w:val="30"/>
        </w:numPr>
        <w:tabs>
          <w:tab w:val="clear" w:pos="567"/>
        </w:tabs>
      </w:pPr>
      <w:r>
        <w:t>Съхранявайте предварително напълнената спринцовка в картонената опаковка, за да се предпази от светлина.</w:t>
      </w:r>
    </w:p>
    <w:p w14:paraId="109AE230" w14:textId="77777777" w:rsidR="009B3384" w:rsidRDefault="00800862">
      <w:pPr>
        <w:widowControl w:val="0"/>
        <w:numPr>
          <w:ilvl w:val="0"/>
          <w:numId w:val="30"/>
        </w:numPr>
        <w:tabs>
          <w:tab w:val="clear" w:pos="567"/>
        </w:tabs>
      </w:pPr>
      <w:r>
        <w:t>Ако е необходимо, отделните предварително напълнени спринцовки Stelara може също да се съхраняват при стайна температура до 30</w:t>
      </w:r>
      <w:r>
        <w:rPr>
          <w:rFonts w:eastAsia="Symbol"/>
        </w:rPr>
        <w:t>°</w:t>
      </w:r>
      <w:r>
        <w:t>C за максимум един период до 30 дни в оригиналната картонена опаковка, за да се предпазят от светлина. Запишете датата, на която предварително напълнената спринцовка е извадена за първи път от хладилника и датата на изхвърляне на обозначените на външната картонена опаковка места. Датата на изхвърляне не трябва да е след оригиналния срок на годност, отпечатан върху картонената опаковка. След като веднъж спринцовката е била съхранявана при стайна температура (до 30</w:t>
      </w:r>
      <w:r>
        <w:rPr>
          <w:rFonts w:eastAsia="Symbol"/>
        </w:rPr>
        <w:t>°</w:t>
      </w:r>
      <w:r>
        <w:t>C), тя не трябва да се връща в хладилника. Изхвърлете спринцовката, ако не се използва след съхранение при стайна температура в рамките на 30 дни или след изтичане на оригиналния срок на годност, в зависимост от това, кое от двете настъпи по-рано.</w:t>
      </w:r>
    </w:p>
    <w:p w14:paraId="109AE231" w14:textId="2997EF79" w:rsidR="009B3384" w:rsidRDefault="00800862">
      <w:pPr>
        <w:numPr>
          <w:ilvl w:val="0"/>
          <w:numId w:val="30"/>
        </w:numPr>
        <w:tabs>
          <w:tab w:val="clear" w:pos="567"/>
        </w:tabs>
      </w:pPr>
      <w:r>
        <w:t>Не разклащайте предварително напълнените спринцовки. Продължителното енергично разклащане може да повреди лекарството.</w:t>
      </w:r>
    </w:p>
    <w:p w14:paraId="109AE232" w14:textId="77777777" w:rsidR="009B3384" w:rsidRDefault="009B3384">
      <w:pPr>
        <w:rPr>
          <w:szCs w:val="22"/>
        </w:rPr>
      </w:pPr>
    </w:p>
    <w:p w14:paraId="109AE233" w14:textId="77777777" w:rsidR="009B3384" w:rsidRDefault="00800862">
      <w:pPr>
        <w:keepNext/>
        <w:rPr>
          <w:b/>
          <w:szCs w:val="22"/>
        </w:rPr>
      </w:pPr>
      <w:r>
        <w:rPr>
          <w:b/>
          <w:szCs w:val="22"/>
        </w:rPr>
        <w:t>Не използвайте това лекарство:</w:t>
      </w:r>
    </w:p>
    <w:p w14:paraId="109AE234" w14:textId="324CC6B7" w:rsidR="009B3384" w:rsidRDefault="00800862">
      <w:pPr>
        <w:numPr>
          <w:ilvl w:val="0"/>
          <w:numId w:val="30"/>
        </w:numPr>
        <w:tabs>
          <w:tab w:val="clear" w:pos="567"/>
        </w:tabs>
        <w:rPr>
          <w:bCs/>
          <w:szCs w:val="22"/>
        </w:rPr>
      </w:pPr>
      <w:r>
        <w:rPr>
          <w:szCs w:val="22"/>
        </w:rPr>
        <w:t xml:space="preserve">След срока </w:t>
      </w:r>
      <w:r>
        <w:rPr>
          <w:bCs/>
          <w:szCs w:val="22"/>
        </w:rPr>
        <w:t>на годност, отбелязан върху етикета и картонената опаковка след „</w:t>
      </w:r>
      <w:r>
        <w:rPr>
          <w:bCs/>
          <w:szCs w:val="22"/>
          <w:lang w:val="en-US"/>
        </w:rPr>
        <w:t>EXP</w:t>
      </w:r>
      <w:r>
        <w:rPr>
          <w:bCs/>
          <w:szCs w:val="22"/>
        </w:rPr>
        <w:t>“/„Годен до:“. Срокът на годност отговаря на последния ден от посочения месец.</w:t>
      </w:r>
    </w:p>
    <w:p w14:paraId="109AE235" w14:textId="5807514F" w:rsidR="009B3384" w:rsidRDefault="00800862">
      <w:pPr>
        <w:numPr>
          <w:ilvl w:val="0"/>
          <w:numId w:val="30"/>
        </w:numPr>
        <w:tabs>
          <w:tab w:val="clear" w:pos="567"/>
        </w:tabs>
        <w:rPr>
          <w:bCs/>
          <w:szCs w:val="22"/>
        </w:rPr>
      </w:pPr>
      <w:r>
        <w:rPr>
          <w:bCs/>
          <w:szCs w:val="22"/>
        </w:rPr>
        <w:t>Ако течността е с променен цвят, мътна или в нея се забелязват плуващи чужди частици (вижте точка 6 „Как изглежда Stelara и какво съдържа опаковката“).</w:t>
      </w:r>
    </w:p>
    <w:p w14:paraId="109AE236" w14:textId="0FB11539" w:rsidR="009B3384" w:rsidRDefault="00800862">
      <w:pPr>
        <w:numPr>
          <w:ilvl w:val="0"/>
          <w:numId w:val="30"/>
        </w:numPr>
        <w:tabs>
          <w:tab w:val="clear" w:pos="567"/>
        </w:tabs>
        <w:rPr>
          <w:bCs/>
          <w:szCs w:val="22"/>
        </w:rPr>
      </w:pPr>
      <w:r>
        <w:rPr>
          <w:bCs/>
          <w:szCs w:val="22"/>
        </w:rPr>
        <w:t>Ако знаете или смятате, че може да е била изложена на екстремни температури (като инцидентно замръзване или загряване).</w:t>
      </w:r>
    </w:p>
    <w:p w14:paraId="109AE237" w14:textId="1787EAB9" w:rsidR="009B3384" w:rsidRDefault="00800862">
      <w:pPr>
        <w:numPr>
          <w:ilvl w:val="0"/>
          <w:numId w:val="30"/>
        </w:numPr>
        <w:tabs>
          <w:tab w:val="clear" w:pos="567"/>
        </w:tabs>
        <w:rPr>
          <w:bCs/>
          <w:szCs w:val="22"/>
        </w:rPr>
      </w:pPr>
      <w:r>
        <w:rPr>
          <w:bCs/>
          <w:szCs w:val="22"/>
        </w:rPr>
        <w:t>Ако продуктът е бил енергично разклатен.</w:t>
      </w:r>
    </w:p>
    <w:p w14:paraId="109AE238" w14:textId="77777777" w:rsidR="009B3384" w:rsidRDefault="009B3384">
      <w:pPr>
        <w:rPr>
          <w:szCs w:val="22"/>
        </w:rPr>
      </w:pPr>
    </w:p>
    <w:p w14:paraId="109AE239" w14:textId="77777777" w:rsidR="009B3384" w:rsidRDefault="00800862">
      <w:r>
        <w:rPr>
          <w:bCs/>
          <w:szCs w:val="22"/>
        </w:rPr>
        <w:t>Stelara</w:t>
      </w:r>
      <w:r>
        <w:rPr>
          <w:szCs w:val="22"/>
        </w:rPr>
        <w:t xml:space="preserve"> e само за еднократна употреба. Неизползваният продукт, останал в спринцовката, трябва да се изхвърли. </w:t>
      </w:r>
      <w:r>
        <w:rPr>
          <w:szCs w:val="24"/>
        </w:rPr>
        <w:t>Не изхвърляйте лекарствата</w:t>
      </w:r>
      <w:r>
        <w:t xml:space="preserve"> в канализацията или в контейнера за домашни отпадъци</w:t>
      </w:r>
      <w:r>
        <w:rPr>
          <w:szCs w:val="24"/>
        </w:rPr>
        <w:t>.</w:t>
      </w:r>
      <w:r>
        <w:t xml:space="preserve"> Попитайте Вашия фармацевт как да </w:t>
      </w:r>
      <w:r>
        <w:rPr>
          <w:szCs w:val="24"/>
        </w:rPr>
        <w:t>изхвърляте лекарствата, които вече не използвате</w:t>
      </w:r>
      <w:r>
        <w:t>. Тези мерки ще спомогнат за опазване на околната среда.</w:t>
      </w:r>
    </w:p>
    <w:p w14:paraId="109AE23A" w14:textId="77777777" w:rsidR="009B3384" w:rsidRDefault="009B3384">
      <w:pPr>
        <w:rPr>
          <w:szCs w:val="22"/>
        </w:rPr>
      </w:pPr>
    </w:p>
    <w:p w14:paraId="109AE23B" w14:textId="77777777" w:rsidR="009B3384" w:rsidRDefault="009B3384">
      <w:pPr>
        <w:rPr>
          <w:szCs w:val="22"/>
        </w:rPr>
      </w:pPr>
    </w:p>
    <w:p w14:paraId="109AE23C" w14:textId="77777777" w:rsidR="009B3384" w:rsidRDefault="00800862">
      <w:pPr>
        <w:keepNext/>
        <w:ind w:left="567" w:hanging="567"/>
        <w:outlineLvl w:val="2"/>
        <w:rPr>
          <w:b/>
          <w:bCs/>
          <w:szCs w:val="22"/>
        </w:rPr>
      </w:pPr>
      <w:r>
        <w:rPr>
          <w:b/>
          <w:bCs/>
          <w:szCs w:val="22"/>
        </w:rPr>
        <w:t>6.</w:t>
      </w:r>
      <w:r>
        <w:rPr>
          <w:b/>
          <w:bCs/>
          <w:szCs w:val="22"/>
        </w:rPr>
        <w:tab/>
        <w:t>Съдържание на опаковката и допълнителна информация</w:t>
      </w:r>
    </w:p>
    <w:p w14:paraId="109AE23D" w14:textId="77777777" w:rsidR="009B3384" w:rsidRDefault="009B3384">
      <w:pPr>
        <w:keepNext/>
        <w:rPr>
          <w:szCs w:val="22"/>
        </w:rPr>
      </w:pPr>
    </w:p>
    <w:p w14:paraId="109AE23E" w14:textId="77777777" w:rsidR="009B3384" w:rsidRDefault="00800862">
      <w:pPr>
        <w:keepNext/>
        <w:rPr>
          <w:b/>
          <w:szCs w:val="22"/>
        </w:rPr>
      </w:pPr>
      <w:r>
        <w:rPr>
          <w:b/>
          <w:szCs w:val="22"/>
        </w:rPr>
        <w:t>Какво съдържа Stelara</w:t>
      </w:r>
    </w:p>
    <w:p w14:paraId="109AE23F" w14:textId="77777777" w:rsidR="009B3384" w:rsidRDefault="00800862">
      <w:pPr>
        <w:numPr>
          <w:ilvl w:val="0"/>
          <w:numId w:val="30"/>
        </w:numPr>
        <w:tabs>
          <w:tab w:val="clear" w:pos="567"/>
        </w:tabs>
        <w:rPr>
          <w:bCs/>
          <w:szCs w:val="22"/>
        </w:rPr>
      </w:pPr>
      <w:r>
        <w:rPr>
          <w:bCs/>
          <w:szCs w:val="22"/>
        </w:rPr>
        <w:t>Активно вещество: устекинумаб. Всяка предварително напълнена спринцовка съдържа 45 mg устекинумаб в 0,5 ml.</w:t>
      </w:r>
    </w:p>
    <w:p w14:paraId="109AE240" w14:textId="77777777" w:rsidR="009B3384" w:rsidRDefault="00800862">
      <w:pPr>
        <w:numPr>
          <w:ilvl w:val="0"/>
          <w:numId w:val="30"/>
        </w:numPr>
        <w:tabs>
          <w:tab w:val="clear" w:pos="567"/>
        </w:tabs>
        <w:rPr>
          <w:bCs/>
          <w:szCs w:val="22"/>
        </w:rPr>
      </w:pPr>
      <w:r>
        <w:rPr>
          <w:bCs/>
          <w:szCs w:val="22"/>
        </w:rPr>
        <w:t xml:space="preserve">Други съставки: L-хистидин, L-хистидинов монохидрохлорид монохидрат, полисорбат 80 </w:t>
      </w:r>
      <w:r>
        <w:rPr>
          <w:iCs/>
          <w:szCs w:val="22"/>
        </w:rPr>
        <w:t>(E433)</w:t>
      </w:r>
      <w:r>
        <w:rPr>
          <w:bCs/>
          <w:szCs w:val="22"/>
        </w:rPr>
        <w:t>, захароза и вода за инжекции.</w:t>
      </w:r>
    </w:p>
    <w:p w14:paraId="109AE241" w14:textId="77777777" w:rsidR="009B3384" w:rsidRDefault="009B3384">
      <w:pPr>
        <w:rPr>
          <w:szCs w:val="22"/>
        </w:rPr>
      </w:pPr>
    </w:p>
    <w:p w14:paraId="109AE242" w14:textId="77777777" w:rsidR="009B3384" w:rsidRDefault="00800862">
      <w:pPr>
        <w:keepNext/>
        <w:rPr>
          <w:b/>
          <w:szCs w:val="22"/>
        </w:rPr>
      </w:pPr>
      <w:r>
        <w:rPr>
          <w:b/>
          <w:szCs w:val="22"/>
        </w:rPr>
        <w:t>Как изглежда Stelara и какво съдържа опаковката</w:t>
      </w:r>
    </w:p>
    <w:p w14:paraId="109AE243" w14:textId="77777777" w:rsidR="009B3384" w:rsidRDefault="00800862">
      <w:pPr>
        <w:rPr>
          <w:szCs w:val="22"/>
        </w:rPr>
      </w:pPr>
      <w:r>
        <w:rPr>
          <w:szCs w:val="22"/>
        </w:rPr>
        <w:t xml:space="preserve">Stelara </w:t>
      </w:r>
      <w:r>
        <w:rPr>
          <w:bCs/>
        </w:rPr>
        <w:t xml:space="preserve">е бистър до </w:t>
      </w:r>
      <w:r>
        <w:rPr>
          <w:szCs w:val="22"/>
        </w:rPr>
        <w:t xml:space="preserve">леко опалесцентен (с перлен блясък), безцветен до бледожълт инжекционен разтвор. Той </w:t>
      </w:r>
      <w:r>
        <w:rPr>
          <w:bCs/>
        </w:rPr>
        <w:t xml:space="preserve">може да съдържа няколко дребни </w:t>
      </w:r>
      <w:r>
        <w:t xml:space="preserve">полупрозрачни или бели частици протеин. Доставя се в картонена опаковка, съдържаща една стъклена предварително напълнена </w:t>
      </w:r>
      <w:r>
        <w:lastRenderedPageBreak/>
        <w:t xml:space="preserve">спринцовка от 1 ml с единична доза. Всяка предварително напълнена спринцовка съдържа </w:t>
      </w:r>
      <w:r>
        <w:rPr>
          <w:szCs w:val="22"/>
        </w:rPr>
        <w:t>45 mg устекинумаб в 0,5 ml инжекционен разтвор.</w:t>
      </w:r>
    </w:p>
    <w:p w14:paraId="109AE244" w14:textId="77777777" w:rsidR="009B3384" w:rsidRDefault="009B3384"/>
    <w:p w14:paraId="109AE245" w14:textId="77777777" w:rsidR="009B3384" w:rsidRDefault="00800862">
      <w:pPr>
        <w:keepNext/>
        <w:rPr>
          <w:b/>
          <w:bCs/>
        </w:rPr>
      </w:pPr>
      <w:r>
        <w:rPr>
          <w:b/>
          <w:bCs/>
        </w:rPr>
        <w:t>Притежател на разрешението за употреба</w:t>
      </w:r>
    </w:p>
    <w:p w14:paraId="109AE246" w14:textId="77777777" w:rsidR="009B3384" w:rsidRDefault="00800862">
      <w:pPr>
        <w:rPr>
          <w:szCs w:val="13"/>
        </w:rPr>
      </w:pPr>
      <w:r>
        <w:rPr>
          <w:szCs w:val="13"/>
        </w:rPr>
        <w:t>Janssen-Cilag International NV</w:t>
      </w:r>
    </w:p>
    <w:p w14:paraId="109AE247" w14:textId="77777777" w:rsidR="009B3384" w:rsidRDefault="00800862">
      <w:pPr>
        <w:rPr>
          <w:szCs w:val="13"/>
        </w:rPr>
      </w:pPr>
      <w:r>
        <w:rPr>
          <w:szCs w:val="13"/>
        </w:rPr>
        <w:t>Turnhoutseweg 30</w:t>
      </w:r>
    </w:p>
    <w:p w14:paraId="109AE248" w14:textId="77777777" w:rsidR="009B3384" w:rsidRDefault="00800862">
      <w:pPr>
        <w:rPr>
          <w:szCs w:val="13"/>
        </w:rPr>
      </w:pPr>
      <w:r>
        <w:rPr>
          <w:szCs w:val="13"/>
          <w:lang w:val="en-US"/>
        </w:rPr>
        <w:t>B</w:t>
      </w:r>
      <w:r>
        <w:rPr>
          <w:szCs w:val="13"/>
        </w:rPr>
        <w:t>-2340 Beerse</w:t>
      </w:r>
    </w:p>
    <w:p w14:paraId="109AE249" w14:textId="77777777" w:rsidR="009B3384" w:rsidRDefault="00800862">
      <w:r>
        <w:t>Белгия</w:t>
      </w:r>
    </w:p>
    <w:p w14:paraId="109AE24A" w14:textId="77777777" w:rsidR="009B3384" w:rsidRDefault="009B3384"/>
    <w:p w14:paraId="109AE24B" w14:textId="77777777" w:rsidR="009B3384" w:rsidRDefault="00800862">
      <w:pPr>
        <w:keepNext/>
        <w:rPr>
          <w:b/>
          <w:bCs/>
        </w:rPr>
      </w:pPr>
      <w:r>
        <w:rPr>
          <w:b/>
          <w:bCs/>
        </w:rPr>
        <w:t>Производител</w:t>
      </w:r>
    </w:p>
    <w:p w14:paraId="109AE24C" w14:textId="77777777" w:rsidR="009B3384" w:rsidRDefault="00800862">
      <w:r>
        <w:t>Janssen Biologics B.V.</w:t>
      </w:r>
    </w:p>
    <w:p w14:paraId="109AE24D" w14:textId="77777777" w:rsidR="009B3384" w:rsidRDefault="00800862">
      <w:r>
        <w:t>Einsteinweg 101</w:t>
      </w:r>
    </w:p>
    <w:p w14:paraId="109AE24E" w14:textId="77777777" w:rsidR="009B3384" w:rsidRDefault="00800862">
      <w:r>
        <w:t>2333 CB Leiden</w:t>
      </w:r>
    </w:p>
    <w:p w14:paraId="109AE24F" w14:textId="77777777" w:rsidR="009B3384" w:rsidRDefault="00800862">
      <w:r>
        <w:t>Нидерландия</w:t>
      </w:r>
    </w:p>
    <w:p w14:paraId="109AE250" w14:textId="77777777" w:rsidR="009B3384" w:rsidRDefault="009B3384">
      <w:pPr>
        <w:rPr>
          <w:szCs w:val="22"/>
        </w:rPr>
      </w:pPr>
    </w:p>
    <w:p w14:paraId="109AE251" w14:textId="77777777" w:rsidR="009B3384" w:rsidRDefault="00800862">
      <w:pPr>
        <w:rPr>
          <w:szCs w:val="22"/>
        </w:rPr>
      </w:pPr>
      <w:r>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109AE252" w14:textId="77777777" w:rsidR="009B3384" w:rsidRDefault="009B3384">
      <w:pPr>
        <w:keepNext/>
        <w:suppressAutoHyphens w:val="0"/>
        <w:rPr>
          <w:szCs w:val="22"/>
        </w:rPr>
      </w:pPr>
    </w:p>
    <w:tbl>
      <w:tblPr>
        <w:tblW w:w="9075" w:type="dxa"/>
        <w:jc w:val="center"/>
        <w:tblLayout w:type="fixed"/>
        <w:tblLook w:val="04A0" w:firstRow="1" w:lastRow="0" w:firstColumn="1" w:lastColumn="0" w:noHBand="0" w:noVBand="1"/>
      </w:tblPr>
      <w:tblGrid>
        <w:gridCol w:w="10"/>
        <w:gridCol w:w="4260"/>
        <w:gridCol w:w="4805"/>
      </w:tblGrid>
      <w:tr w:rsidR="009B3384" w14:paraId="109AE25E" w14:textId="77777777">
        <w:trPr>
          <w:cantSplit/>
          <w:jc w:val="center"/>
        </w:trPr>
        <w:tc>
          <w:tcPr>
            <w:tcW w:w="4270" w:type="dxa"/>
            <w:gridSpan w:val="2"/>
          </w:tcPr>
          <w:p w14:paraId="109AE253" w14:textId="77777777" w:rsidR="009B3384" w:rsidRDefault="00800862">
            <w:pPr>
              <w:widowControl w:val="0"/>
              <w:suppressAutoHyphens w:val="0"/>
              <w:rPr>
                <w:b/>
                <w:szCs w:val="22"/>
                <w:lang w:val="nl-BE"/>
              </w:rPr>
            </w:pPr>
            <w:r>
              <w:rPr>
                <w:b/>
                <w:szCs w:val="22"/>
                <w:lang w:val="nl-BE"/>
              </w:rPr>
              <w:t>België/Belgique/Belgien</w:t>
            </w:r>
          </w:p>
          <w:p w14:paraId="109AE254" w14:textId="77777777" w:rsidR="009B3384" w:rsidRDefault="00800862">
            <w:pPr>
              <w:widowControl w:val="0"/>
              <w:suppressAutoHyphens w:val="0"/>
              <w:rPr>
                <w:szCs w:val="22"/>
                <w:lang w:val="nl-BE"/>
              </w:rPr>
            </w:pPr>
            <w:r>
              <w:rPr>
                <w:szCs w:val="22"/>
                <w:lang w:val="nl-BE"/>
              </w:rPr>
              <w:t>Janssen-Cilag NV</w:t>
            </w:r>
          </w:p>
          <w:p w14:paraId="109AE255" w14:textId="54448BD4" w:rsidR="009B3384" w:rsidRDefault="00800862">
            <w:pPr>
              <w:widowControl w:val="0"/>
              <w:suppressAutoHyphens w:val="0"/>
              <w:rPr>
                <w:szCs w:val="22"/>
                <w:lang w:val="nl-NL"/>
              </w:rPr>
            </w:pPr>
            <w:r>
              <w:rPr>
                <w:szCs w:val="22"/>
                <w:lang w:val="nl-NL"/>
              </w:rPr>
              <w:t xml:space="preserve">Tel/Tél: </w:t>
            </w:r>
            <w:r>
              <w:t>0800 93 377</w:t>
            </w:r>
          </w:p>
          <w:p w14:paraId="109AE257" w14:textId="632EFBE4" w:rsidR="009B3384" w:rsidRDefault="00800862">
            <w:pPr>
              <w:suppressAutoHyphens w:val="0"/>
              <w:rPr>
                <w:szCs w:val="22"/>
                <w:lang w:val="nl-NL"/>
              </w:rPr>
            </w:pPr>
            <w:r w:rsidRPr="00BC6A43">
              <w:t>info_belux@its.jnj.com</w:t>
            </w:r>
          </w:p>
          <w:p w14:paraId="109AE258" w14:textId="77777777" w:rsidR="009B3384" w:rsidRDefault="009B3384">
            <w:pPr>
              <w:widowControl w:val="0"/>
              <w:suppressAutoHyphens w:val="0"/>
              <w:rPr>
                <w:szCs w:val="22"/>
                <w:lang w:val="nl-NL"/>
              </w:rPr>
            </w:pPr>
          </w:p>
        </w:tc>
        <w:tc>
          <w:tcPr>
            <w:tcW w:w="4805" w:type="dxa"/>
          </w:tcPr>
          <w:p w14:paraId="109AE259" w14:textId="77777777" w:rsidR="009B3384" w:rsidRDefault="00800862">
            <w:pPr>
              <w:widowControl w:val="0"/>
              <w:suppressAutoHyphens w:val="0"/>
              <w:rPr>
                <w:b/>
                <w:bCs/>
                <w:szCs w:val="22"/>
                <w:lang w:val="fi-FI"/>
              </w:rPr>
            </w:pPr>
            <w:r>
              <w:rPr>
                <w:b/>
                <w:bCs/>
                <w:szCs w:val="22"/>
                <w:lang w:val="fi-FI"/>
              </w:rPr>
              <w:t>Lietuva</w:t>
            </w:r>
          </w:p>
          <w:p w14:paraId="109AE25A" w14:textId="77777777" w:rsidR="009B3384" w:rsidRDefault="00800862">
            <w:pPr>
              <w:widowControl w:val="0"/>
              <w:suppressAutoHyphens w:val="0"/>
              <w:rPr>
                <w:szCs w:val="22"/>
                <w:lang w:val="fi-FI"/>
              </w:rPr>
            </w:pPr>
            <w:r>
              <w:rPr>
                <w:szCs w:val="22"/>
                <w:lang w:val="fi-FI"/>
              </w:rPr>
              <w:t>UAB "JOHNSON &amp; JOHNSON"</w:t>
            </w:r>
          </w:p>
          <w:p w14:paraId="109AE25B" w14:textId="77777777" w:rsidR="009B3384" w:rsidRDefault="00800862">
            <w:pPr>
              <w:widowControl w:val="0"/>
              <w:suppressAutoHyphens w:val="0"/>
              <w:rPr>
                <w:szCs w:val="22"/>
                <w:lang w:val="fi-FI"/>
              </w:rPr>
            </w:pPr>
            <w:r>
              <w:rPr>
                <w:szCs w:val="22"/>
                <w:lang w:val="fi-FI"/>
              </w:rPr>
              <w:t>Tel: +370 5 278 68 88</w:t>
            </w:r>
          </w:p>
          <w:p w14:paraId="109AE25C" w14:textId="77777777" w:rsidR="009B3384" w:rsidRDefault="00800862">
            <w:pPr>
              <w:widowControl w:val="0"/>
              <w:suppressAutoHyphens w:val="0"/>
              <w:rPr>
                <w:szCs w:val="22"/>
                <w:lang w:val="pt-PT"/>
              </w:rPr>
            </w:pPr>
            <w:r>
              <w:rPr>
                <w:szCs w:val="22"/>
                <w:lang w:val="en-GB"/>
              </w:rPr>
              <w:t>lt@its.jnj.com</w:t>
            </w:r>
          </w:p>
          <w:p w14:paraId="109AE25D" w14:textId="77777777" w:rsidR="009B3384" w:rsidRDefault="009B3384">
            <w:pPr>
              <w:widowControl w:val="0"/>
              <w:suppressAutoHyphens w:val="0"/>
              <w:rPr>
                <w:szCs w:val="22"/>
                <w:lang w:val="pt-PT"/>
              </w:rPr>
            </w:pPr>
          </w:p>
        </w:tc>
      </w:tr>
      <w:tr w:rsidR="009B3384" w14:paraId="109AE269" w14:textId="77777777">
        <w:trPr>
          <w:cantSplit/>
          <w:jc w:val="center"/>
        </w:trPr>
        <w:tc>
          <w:tcPr>
            <w:tcW w:w="4270" w:type="dxa"/>
            <w:gridSpan w:val="2"/>
          </w:tcPr>
          <w:p w14:paraId="109AE25F" w14:textId="77777777" w:rsidR="009B3384" w:rsidRDefault="00800862">
            <w:pPr>
              <w:widowControl w:val="0"/>
              <w:suppressAutoHyphens w:val="0"/>
              <w:rPr>
                <w:b/>
                <w:bCs/>
                <w:szCs w:val="22"/>
              </w:rPr>
            </w:pPr>
            <w:r>
              <w:rPr>
                <w:b/>
                <w:bCs/>
                <w:szCs w:val="22"/>
              </w:rPr>
              <w:t>България</w:t>
            </w:r>
          </w:p>
          <w:p w14:paraId="109AE260" w14:textId="77777777" w:rsidR="009B3384" w:rsidRDefault="00800862">
            <w:pPr>
              <w:widowControl w:val="0"/>
              <w:suppressAutoHyphens w:val="0"/>
              <w:rPr>
                <w:szCs w:val="22"/>
              </w:rPr>
            </w:pPr>
            <w:r>
              <w:rPr>
                <w:szCs w:val="22"/>
              </w:rPr>
              <w:t>„Джонсън &amp; Джонсън България” ЕООД</w:t>
            </w:r>
          </w:p>
          <w:p w14:paraId="109AE261" w14:textId="77777777" w:rsidR="009B3384" w:rsidRDefault="00800862">
            <w:pPr>
              <w:widowControl w:val="0"/>
              <w:suppressAutoHyphens w:val="0"/>
              <w:rPr>
                <w:szCs w:val="22"/>
              </w:rPr>
            </w:pPr>
            <w:r>
              <w:rPr>
                <w:szCs w:val="22"/>
              </w:rPr>
              <w:t>Тел.: +359 2 489 94 00</w:t>
            </w:r>
          </w:p>
          <w:p w14:paraId="109AE262" w14:textId="77777777" w:rsidR="009B3384" w:rsidRDefault="00800862">
            <w:pPr>
              <w:numPr>
                <w:ilvl w:val="12"/>
                <w:numId w:val="0"/>
              </w:numPr>
              <w:suppressAutoHyphens w:val="0"/>
              <w:rPr>
                <w:szCs w:val="22"/>
                <w:lang w:val="en-GB"/>
              </w:rPr>
            </w:pPr>
            <w:r>
              <w:rPr>
                <w:szCs w:val="22"/>
                <w:lang w:val="en-GB"/>
              </w:rPr>
              <w:t>jjsafety@its.jnj.com</w:t>
            </w:r>
          </w:p>
          <w:p w14:paraId="109AE263" w14:textId="77777777" w:rsidR="009B3384" w:rsidRDefault="009B3384">
            <w:pPr>
              <w:widowControl w:val="0"/>
              <w:suppressAutoHyphens w:val="0"/>
              <w:rPr>
                <w:szCs w:val="22"/>
                <w:lang w:val="en-GB"/>
              </w:rPr>
            </w:pPr>
          </w:p>
        </w:tc>
        <w:tc>
          <w:tcPr>
            <w:tcW w:w="4805" w:type="dxa"/>
            <w:hideMark/>
          </w:tcPr>
          <w:p w14:paraId="109AE264" w14:textId="77777777" w:rsidR="009B3384" w:rsidRDefault="00800862">
            <w:pPr>
              <w:widowControl w:val="0"/>
              <w:suppressAutoHyphens w:val="0"/>
              <w:rPr>
                <w:b/>
                <w:bCs/>
                <w:szCs w:val="22"/>
                <w:lang w:val="en-GB"/>
              </w:rPr>
            </w:pPr>
            <w:r>
              <w:rPr>
                <w:b/>
                <w:bCs/>
                <w:szCs w:val="22"/>
                <w:lang w:val="en-GB"/>
              </w:rPr>
              <w:t>Luxembourg/Luxemburg</w:t>
            </w:r>
          </w:p>
          <w:p w14:paraId="109AE265" w14:textId="77777777" w:rsidR="009B3384" w:rsidRDefault="00800862">
            <w:pPr>
              <w:widowControl w:val="0"/>
              <w:suppressAutoHyphens w:val="0"/>
              <w:rPr>
                <w:szCs w:val="22"/>
                <w:lang w:val="en-GB"/>
              </w:rPr>
            </w:pPr>
            <w:r>
              <w:rPr>
                <w:szCs w:val="22"/>
                <w:lang w:val="en-GB"/>
              </w:rPr>
              <w:t>Janssen-Cilag NV</w:t>
            </w:r>
          </w:p>
          <w:p w14:paraId="109AE266" w14:textId="1C82571C" w:rsidR="009B3384" w:rsidRDefault="00800862">
            <w:pPr>
              <w:widowControl w:val="0"/>
              <w:suppressAutoHyphens w:val="0"/>
              <w:rPr>
                <w:szCs w:val="22"/>
                <w:lang w:val="en-GB"/>
              </w:rPr>
            </w:pPr>
            <w:proofErr w:type="spellStart"/>
            <w:r>
              <w:rPr>
                <w:szCs w:val="22"/>
                <w:lang w:val="en-GB"/>
              </w:rPr>
              <w:t>Tél</w:t>
            </w:r>
            <w:proofErr w:type="spellEnd"/>
            <w:r>
              <w:rPr>
                <w:szCs w:val="22"/>
                <w:lang w:val="en-GB"/>
              </w:rPr>
              <w:t xml:space="preserve">/Tel: </w:t>
            </w:r>
            <w:r w:rsidRPr="00BC6A43">
              <w:rPr>
                <w:lang w:val="en-GB"/>
              </w:rPr>
              <w:t>800 29 504</w:t>
            </w:r>
          </w:p>
          <w:p w14:paraId="109AE267" w14:textId="7BE3036A" w:rsidR="009B3384" w:rsidRDefault="00800862">
            <w:pPr>
              <w:widowControl w:val="0"/>
              <w:suppressAutoHyphens w:val="0"/>
              <w:rPr>
                <w:szCs w:val="22"/>
                <w:lang w:val="en-GB"/>
              </w:rPr>
            </w:pPr>
            <w:r w:rsidRPr="00BC6A43">
              <w:rPr>
                <w:lang w:val="en-GB"/>
              </w:rPr>
              <w:t>info_belux@its.jnj.com</w:t>
            </w:r>
          </w:p>
          <w:p w14:paraId="109AE268" w14:textId="77777777" w:rsidR="009B3384" w:rsidRDefault="009B3384">
            <w:pPr>
              <w:widowControl w:val="0"/>
              <w:suppressAutoHyphens w:val="0"/>
              <w:rPr>
                <w:szCs w:val="22"/>
                <w:lang w:val="en-GB"/>
              </w:rPr>
            </w:pPr>
          </w:p>
        </w:tc>
      </w:tr>
      <w:tr w:rsidR="009B3384" w14:paraId="109AE273" w14:textId="77777777">
        <w:trPr>
          <w:cantSplit/>
          <w:jc w:val="center"/>
        </w:trPr>
        <w:tc>
          <w:tcPr>
            <w:tcW w:w="4270" w:type="dxa"/>
            <w:gridSpan w:val="2"/>
            <w:hideMark/>
          </w:tcPr>
          <w:p w14:paraId="109AE26A" w14:textId="77777777" w:rsidR="009B3384" w:rsidRDefault="00800862">
            <w:pPr>
              <w:widowControl w:val="0"/>
              <w:suppressAutoHyphens w:val="0"/>
              <w:rPr>
                <w:b/>
                <w:bCs/>
                <w:szCs w:val="22"/>
              </w:rPr>
            </w:pPr>
            <w:r>
              <w:rPr>
                <w:b/>
                <w:bCs/>
                <w:szCs w:val="22"/>
              </w:rPr>
              <w:t>Č</w:t>
            </w:r>
            <w:proofErr w:type="spellStart"/>
            <w:r>
              <w:rPr>
                <w:b/>
                <w:bCs/>
                <w:szCs w:val="22"/>
                <w:lang w:val="en-GB"/>
              </w:rPr>
              <w:t>esk</w:t>
            </w:r>
            <w:proofErr w:type="spellEnd"/>
            <w:r>
              <w:rPr>
                <w:b/>
                <w:bCs/>
                <w:szCs w:val="22"/>
              </w:rPr>
              <w:t xml:space="preserve">á </w:t>
            </w:r>
            <w:proofErr w:type="spellStart"/>
            <w:r>
              <w:rPr>
                <w:b/>
                <w:bCs/>
                <w:szCs w:val="22"/>
                <w:lang w:val="en-GB"/>
              </w:rPr>
              <w:t>republika</w:t>
            </w:r>
            <w:proofErr w:type="spellEnd"/>
          </w:p>
          <w:p w14:paraId="109AE26B" w14:textId="77777777" w:rsidR="009B3384" w:rsidRDefault="00800862">
            <w:pPr>
              <w:widowControl w:val="0"/>
              <w:suppressAutoHyphens w:val="0"/>
              <w:rPr>
                <w:szCs w:val="22"/>
              </w:rPr>
            </w:pPr>
            <w:r>
              <w:rPr>
                <w:szCs w:val="22"/>
                <w:lang w:val="en-GB"/>
              </w:rPr>
              <w:t>Janssen</w:t>
            </w:r>
            <w:r>
              <w:rPr>
                <w:szCs w:val="22"/>
              </w:rPr>
              <w:t>-</w:t>
            </w:r>
            <w:r>
              <w:rPr>
                <w:szCs w:val="22"/>
                <w:lang w:val="en-GB"/>
              </w:rPr>
              <w:t>Cilag</w:t>
            </w:r>
            <w:r>
              <w:rPr>
                <w:szCs w:val="22"/>
              </w:rPr>
              <w:t xml:space="preserve"> </w:t>
            </w:r>
            <w:r>
              <w:rPr>
                <w:szCs w:val="22"/>
                <w:lang w:val="en-GB"/>
              </w:rPr>
              <w:t>s</w:t>
            </w:r>
            <w:r>
              <w:rPr>
                <w:szCs w:val="22"/>
              </w:rPr>
              <w:t>.</w:t>
            </w:r>
            <w:r>
              <w:rPr>
                <w:szCs w:val="22"/>
                <w:lang w:val="en-GB"/>
              </w:rPr>
              <w:t>r</w:t>
            </w:r>
            <w:r>
              <w:rPr>
                <w:szCs w:val="22"/>
              </w:rPr>
              <w:t>.</w:t>
            </w:r>
            <w:r>
              <w:rPr>
                <w:szCs w:val="22"/>
                <w:lang w:val="en-GB"/>
              </w:rPr>
              <w:t>o</w:t>
            </w:r>
            <w:r>
              <w:rPr>
                <w:szCs w:val="22"/>
              </w:rPr>
              <w:t>.</w:t>
            </w:r>
          </w:p>
          <w:p w14:paraId="109AE26C" w14:textId="77777777" w:rsidR="009B3384" w:rsidRDefault="00800862">
            <w:pPr>
              <w:widowControl w:val="0"/>
              <w:suppressAutoHyphens w:val="0"/>
              <w:rPr>
                <w:szCs w:val="22"/>
                <w:lang w:val="en-GB"/>
              </w:rPr>
            </w:pPr>
            <w:r>
              <w:rPr>
                <w:szCs w:val="22"/>
                <w:lang w:val="en-GB"/>
              </w:rPr>
              <w:t>Tel: +420 227 012 227</w:t>
            </w:r>
          </w:p>
          <w:p w14:paraId="109AE26D" w14:textId="77777777" w:rsidR="009B3384" w:rsidRDefault="009B3384">
            <w:pPr>
              <w:widowControl w:val="0"/>
              <w:suppressAutoHyphens w:val="0"/>
              <w:rPr>
                <w:szCs w:val="22"/>
                <w:lang w:val="en-GB"/>
              </w:rPr>
            </w:pPr>
          </w:p>
        </w:tc>
        <w:tc>
          <w:tcPr>
            <w:tcW w:w="4805" w:type="dxa"/>
          </w:tcPr>
          <w:p w14:paraId="109AE26E" w14:textId="77777777" w:rsidR="009B3384" w:rsidRDefault="00800862">
            <w:pPr>
              <w:widowControl w:val="0"/>
              <w:suppressAutoHyphens w:val="0"/>
              <w:rPr>
                <w:b/>
                <w:bCs/>
                <w:szCs w:val="22"/>
                <w:lang w:val="en-GB"/>
              </w:rPr>
            </w:pPr>
            <w:proofErr w:type="spellStart"/>
            <w:r>
              <w:rPr>
                <w:b/>
                <w:bCs/>
                <w:szCs w:val="22"/>
                <w:lang w:val="en-GB"/>
              </w:rPr>
              <w:t>Magyarország</w:t>
            </w:r>
            <w:proofErr w:type="spellEnd"/>
          </w:p>
          <w:p w14:paraId="109AE26F" w14:textId="77777777" w:rsidR="009B3384" w:rsidRDefault="00800862">
            <w:pPr>
              <w:widowControl w:val="0"/>
              <w:suppressAutoHyphens w:val="0"/>
              <w:rPr>
                <w:szCs w:val="22"/>
                <w:lang w:val="en-GB"/>
              </w:rPr>
            </w:pPr>
            <w:r>
              <w:rPr>
                <w:szCs w:val="22"/>
                <w:lang w:val="en-GB"/>
              </w:rPr>
              <w:t>Janssen-Cilag Kft.</w:t>
            </w:r>
          </w:p>
          <w:p w14:paraId="109AE270" w14:textId="77777777" w:rsidR="009B3384" w:rsidRDefault="00800862">
            <w:pPr>
              <w:suppressAutoHyphens w:val="0"/>
              <w:autoSpaceDE w:val="0"/>
              <w:autoSpaceDN w:val="0"/>
              <w:adjustRightInd w:val="0"/>
              <w:rPr>
                <w:szCs w:val="22"/>
                <w:lang w:val="en-GB"/>
              </w:rPr>
            </w:pPr>
            <w:r>
              <w:rPr>
                <w:szCs w:val="22"/>
                <w:lang w:val="en-GB"/>
              </w:rPr>
              <w:t>Tel.: +36 1 884 2</w:t>
            </w:r>
            <w:r>
              <w:rPr>
                <w:bCs/>
                <w:szCs w:val="22"/>
                <w:lang w:val="en-GB"/>
              </w:rPr>
              <w:t>858</w:t>
            </w:r>
          </w:p>
          <w:p w14:paraId="109AE271" w14:textId="77777777" w:rsidR="009B3384" w:rsidRDefault="00800862">
            <w:pPr>
              <w:widowControl w:val="0"/>
              <w:suppressAutoHyphens w:val="0"/>
              <w:rPr>
                <w:szCs w:val="22"/>
                <w:lang w:val="en-GB"/>
              </w:rPr>
            </w:pPr>
            <w:r>
              <w:rPr>
                <w:szCs w:val="22"/>
                <w:lang w:val="en-GB"/>
              </w:rPr>
              <w:t>janssenhu@its.jnj.com</w:t>
            </w:r>
          </w:p>
          <w:p w14:paraId="109AE272" w14:textId="77777777" w:rsidR="009B3384" w:rsidRDefault="009B3384">
            <w:pPr>
              <w:widowControl w:val="0"/>
              <w:suppressAutoHyphens w:val="0"/>
              <w:rPr>
                <w:szCs w:val="22"/>
                <w:lang w:val="en-GB"/>
              </w:rPr>
            </w:pPr>
          </w:p>
        </w:tc>
      </w:tr>
      <w:tr w:rsidR="009B3384" w14:paraId="109AE27D" w14:textId="77777777">
        <w:trPr>
          <w:cantSplit/>
          <w:jc w:val="center"/>
        </w:trPr>
        <w:tc>
          <w:tcPr>
            <w:tcW w:w="4270" w:type="dxa"/>
            <w:gridSpan w:val="2"/>
          </w:tcPr>
          <w:p w14:paraId="109AE274" w14:textId="77777777" w:rsidR="009B3384" w:rsidRDefault="00800862">
            <w:pPr>
              <w:widowControl w:val="0"/>
              <w:suppressAutoHyphens w:val="0"/>
              <w:rPr>
                <w:b/>
                <w:bCs/>
                <w:szCs w:val="22"/>
                <w:lang w:val="nb-NO"/>
              </w:rPr>
            </w:pPr>
            <w:r>
              <w:rPr>
                <w:b/>
                <w:bCs/>
                <w:szCs w:val="22"/>
                <w:lang w:val="nb-NO"/>
              </w:rPr>
              <w:t>Danmark</w:t>
            </w:r>
          </w:p>
          <w:p w14:paraId="109AE275" w14:textId="77777777" w:rsidR="009B3384" w:rsidRDefault="00800862">
            <w:pPr>
              <w:widowControl w:val="0"/>
              <w:suppressAutoHyphens w:val="0"/>
              <w:rPr>
                <w:szCs w:val="22"/>
                <w:lang w:val="nb-NO"/>
              </w:rPr>
            </w:pPr>
            <w:r>
              <w:rPr>
                <w:szCs w:val="22"/>
                <w:lang w:val="nb-NO"/>
              </w:rPr>
              <w:t>Janssen-Cilag A/S</w:t>
            </w:r>
          </w:p>
          <w:p w14:paraId="109AE276" w14:textId="77777777" w:rsidR="009B3384" w:rsidRDefault="00800862">
            <w:pPr>
              <w:widowControl w:val="0"/>
              <w:suppressAutoHyphens w:val="0"/>
              <w:rPr>
                <w:szCs w:val="22"/>
                <w:lang w:val="nl-NL"/>
              </w:rPr>
            </w:pPr>
            <w:r>
              <w:rPr>
                <w:szCs w:val="22"/>
                <w:lang w:val="nl-NL"/>
              </w:rPr>
              <w:t>Tlf.: +45 4594 8282</w:t>
            </w:r>
          </w:p>
          <w:p w14:paraId="109AE277" w14:textId="77777777" w:rsidR="009B3384" w:rsidRDefault="00800862">
            <w:pPr>
              <w:widowControl w:val="0"/>
              <w:suppressAutoHyphens w:val="0"/>
              <w:rPr>
                <w:szCs w:val="22"/>
                <w:lang w:val="en-GB"/>
              </w:rPr>
            </w:pPr>
            <w:r>
              <w:rPr>
                <w:szCs w:val="22"/>
                <w:lang w:val="en-GB"/>
              </w:rPr>
              <w:t>jacdk@its.jnj.com</w:t>
            </w:r>
          </w:p>
          <w:p w14:paraId="109AE278" w14:textId="77777777" w:rsidR="009B3384" w:rsidRDefault="009B3384">
            <w:pPr>
              <w:widowControl w:val="0"/>
              <w:suppressAutoHyphens w:val="0"/>
              <w:rPr>
                <w:szCs w:val="22"/>
                <w:lang w:val="en-GB"/>
              </w:rPr>
            </w:pPr>
          </w:p>
        </w:tc>
        <w:tc>
          <w:tcPr>
            <w:tcW w:w="4805" w:type="dxa"/>
            <w:hideMark/>
          </w:tcPr>
          <w:p w14:paraId="109AE279" w14:textId="77777777" w:rsidR="009B3384" w:rsidRDefault="00800862">
            <w:pPr>
              <w:widowControl w:val="0"/>
              <w:suppressAutoHyphens w:val="0"/>
              <w:rPr>
                <w:b/>
                <w:bCs/>
                <w:szCs w:val="22"/>
                <w:lang w:val="de-DE"/>
              </w:rPr>
            </w:pPr>
            <w:r>
              <w:rPr>
                <w:b/>
                <w:bCs/>
                <w:szCs w:val="22"/>
                <w:lang w:val="de-DE"/>
              </w:rPr>
              <w:t>Malta</w:t>
            </w:r>
          </w:p>
          <w:p w14:paraId="109AE27A" w14:textId="77777777" w:rsidR="009B3384" w:rsidRDefault="00800862">
            <w:pPr>
              <w:widowControl w:val="0"/>
              <w:suppressAutoHyphens w:val="0"/>
              <w:rPr>
                <w:szCs w:val="22"/>
                <w:lang w:val="de-DE"/>
              </w:rPr>
            </w:pPr>
            <w:r>
              <w:rPr>
                <w:szCs w:val="22"/>
                <w:lang w:val="de-DE"/>
              </w:rPr>
              <w:t>AM MANGION LTD</w:t>
            </w:r>
          </w:p>
          <w:p w14:paraId="109AE27B" w14:textId="77777777" w:rsidR="009B3384" w:rsidRDefault="00800862">
            <w:pPr>
              <w:widowControl w:val="0"/>
              <w:suppressAutoHyphens w:val="0"/>
              <w:rPr>
                <w:szCs w:val="22"/>
                <w:lang w:val="de-DE"/>
              </w:rPr>
            </w:pPr>
            <w:r>
              <w:rPr>
                <w:szCs w:val="22"/>
                <w:lang w:val="de-DE"/>
              </w:rPr>
              <w:t>Tel: +356 2397 6000</w:t>
            </w:r>
          </w:p>
          <w:p w14:paraId="109AE27C" w14:textId="77777777" w:rsidR="009B3384" w:rsidRDefault="009B3384">
            <w:pPr>
              <w:widowControl w:val="0"/>
              <w:suppressAutoHyphens w:val="0"/>
              <w:rPr>
                <w:szCs w:val="22"/>
                <w:lang w:val="de-DE"/>
              </w:rPr>
            </w:pPr>
          </w:p>
        </w:tc>
      </w:tr>
      <w:tr w:rsidR="009B3384" w14:paraId="109AE288" w14:textId="77777777">
        <w:trPr>
          <w:cantSplit/>
          <w:jc w:val="center"/>
        </w:trPr>
        <w:tc>
          <w:tcPr>
            <w:tcW w:w="4270" w:type="dxa"/>
            <w:gridSpan w:val="2"/>
          </w:tcPr>
          <w:p w14:paraId="109AE27E" w14:textId="77777777" w:rsidR="009B3384" w:rsidRDefault="00800862">
            <w:pPr>
              <w:widowControl w:val="0"/>
              <w:suppressAutoHyphens w:val="0"/>
              <w:rPr>
                <w:b/>
                <w:bCs/>
                <w:szCs w:val="22"/>
                <w:lang w:val="de-DE"/>
              </w:rPr>
            </w:pPr>
            <w:r>
              <w:rPr>
                <w:b/>
                <w:bCs/>
                <w:szCs w:val="22"/>
                <w:lang w:val="de-DE"/>
              </w:rPr>
              <w:t>Deutschland</w:t>
            </w:r>
          </w:p>
          <w:p w14:paraId="109AE27F" w14:textId="77777777" w:rsidR="009B3384" w:rsidRDefault="00800862">
            <w:pPr>
              <w:widowControl w:val="0"/>
              <w:suppressAutoHyphens w:val="0"/>
              <w:rPr>
                <w:szCs w:val="22"/>
                <w:lang w:val="de-DE"/>
              </w:rPr>
            </w:pPr>
            <w:r>
              <w:rPr>
                <w:szCs w:val="22"/>
                <w:lang w:val="de-DE"/>
              </w:rPr>
              <w:t>Janssen-Cilag GmbH</w:t>
            </w:r>
          </w:p>
          <w:p w14:paraId="109AE280" w14:textId="77777777" w:rsidR="009B3384" w:rsidRDefault="00800862">
            <w:pPr>
              <w:widowControl w:val="0"/>
              <w:suppressAutoHyphens w:val="0"/>
              <w:rPr>
                <w:szCs w:val="22"/>
                <w:lang w:val="de-DE"/>
              </w:rPr>
            </w:pPr>
            <w:r>
              <w:rPr>
                <w:szCs w:val="22"/>
                <w:lang w:val="de-DE"/>
              </w:rPr>
              <w:t xml:space="preserve">Tel: </w:t>
            </w:r>
            <w:r>
              <w:rPr>
                <w:lang w:val="de-DE"/>
              </w:rPr>
              <w:t xml:space="preserve">0800 086 9247 / </w:t>
            </w:r>
            <w:r>
              <w:rPr>
                <w:szCs w:val="22"/>
                <w:lang w:val="de-DE"/>
              </w:rPr>
              <w:t>+49 2137 955 6955</w:t>
            </w:r>
          </w:p>
          <w:p w14:paraId="109AE281" w14:textId="5B7837E9" w:rsidR="009B3384" w:rsidRPr="00BC6A43" w:rsidRDefault="00800862">
            <w:pPr>
              <w:widowControl w:val="0"/>
              <w:suppressAutoHyphens w:val="0"/>
              <w:rPr>
                <w:szCs w:val="22"/>
                <w:lang w:val="de-DE"/>
              </w:rPr>
            </w:pPr>
            <w:r w:rsidRPr="00BC6A43">
              <w:rPr>
                <w:lang w:val="de-DE"/>
              </w:rPr>
              <w:t>medinfo-de@its.jnj.com</w:t>
            </w:r>
          </w:p>
          <w:p w14:paraId="109AE282" w14:textId="77777777" w:rsidR="009B3384" w:rsidRPr="00BC6A43" w:rsidRDefault="009B3384">
            <w:pPr>
              <w:widowControl w:val="0"/>
              <w:suppressAutoHyphens w:val="0"/>
              <w:rPr>
                <w:szCs w:val="22"/>
                <w:lang w:val="de-DE"/>
              </w:rPr>
            </w:pPr>
          </w:p>
        </w:tc>
        <w:tc>
          <w:tcPr>
            <w:tcW w:w="4805" w:type="dxa"/>
            <w:hideMark/>
          </w:tcPr>
          <w:p w14:paraId="109AE283" w14:textId="77777777" w:rsidR="009B3384" w:rsidRDefault="00800862">
            <w:pPr>
              <w:widowControl w:val="0"/>
              <w:suppressAutoHyphens w:val="0"/>
              <w:rPr>
                <w:b/>
                <w:bCs/>
                <w:szCs w:val="22"/>
                <w:lang w:val="nl-BE"/>
              </w:rPr>
            </w:pPr>
            <w:r>
              <w:rPr>
                <w:b/>
                <w:bCs/>
                <w:szCs w:val="22"/>
                <w:lang w:val="nl-BE"/>
              </w:rPr>
              <w:t>Nederland</w:t>
            </w:r>
          </w:p>
          <w:p w14:paraId="109AE284" w14:textId="77777777" w:rsidR="009B3384" w:rsidRDefault="00800862">
            <w:pPr>
              <w:widowControl w:val="0"/>
              <w:suppressAutoHyphens w:val="0"/>
              <w:rPr>
                <w:szCs w:val="22"/>
                <w:lang w:val="nl-BE"/>
              </w:rPr>
            </w:pPr>
            <w:r>
              <w:rPr>
                <w:szCs w:val="22"/>
                <w:lang w:val="nl-BE"/>
              </w:rPr>
              <w:t>Janssen-Cilag B.V.</w:t>
            </w:r>
          </w:p>
          <w:p w14:paraId="109AE285" w14:textId="2E05DCEF" w:rsidR="009B3384" w:rsidRPr="00BC6A43" w:rsidRDefault="00800862">
            <w:pPr>
              <w:widowControl w:val="0"/>
              <w:suppressAutoHyphens w:val="0"/>
              <w:rPr>
                <w:szCs w:val="22"/>
                <w:lang w:val="de-DE"/>
              </w:rPr>
            </w:pPr>
            <w:r w:rsidRPr="00BC6A43">
              <w:rPr>
                <w:szCs w:val="22"/>
                <w:lang w:val="de-DE"/>
              </w:rPr>
              <w:t xml:space="preserve">Tel: </w:t>
            </w:r>
            <w:r>
              <w:rPr>
                <w:lang w:val="de-DE"/>
              </w:rPr>
              <w:t>0800 242 42 42</w:t>
            </w:r>
          </w:p>
          <w:p w14:paraId="109AE286" w14:textId="31F976E5" w:rsidR="009B3384" w:rsidRPr="00BC6A43" w:rsidRDefault="00800862">
            <w:pPr>
              <w:widowControl w:val="0"/>
              <w:suppressAutoHyphens w:val="0"/>
              <w:rPr>
                <w:szCs w:val="22"/>
                <w:lang w:val="de-DE"/>
              </w:rPr>
            </w:pPr>
            <w:r w:rsidRPr="00BC6A43">
              <w:rPr>
                <w:szCs w:val="22"/>
                <w:lang w:val="de-DE"/>
              </w:rPr>
              <w:t>info_nl@its.jnj.com</w:t>
            </w:r>
          </w:p>
          <w:p w14:paraId="109AE287" w14:textId="77777777" w:rsidR="009B3384" w:rsidRPr="00BC6A43" w:rsidRDefault="009B3384">
            <w:pPr>
              <w:widowControl w:val="0"/>
              <w:suppressAutoHyphens w:val="0"/>
              <w:rPr>
                <w:szCs w:val="22"/>
                <w:lang w:val="de-DE"/>
              </w:rPr>
            </w:pPr>
          </w:p>
        </w:tc>
      </w:tr>
      <w:tr w:rsidR="009B3384" w14:paraId="109AE293" w14:textId="77777777">
        <w:trPr>
          <w:cantSplit/>
          <w:jc w:val="center"/>
        </w:trPr>
        <w:tc>
          <w:tcPr>
            <w:tcW w:w="4270" w:type="dxa"/>
            <w:gridSpan w:val="2"/>
          </w:tcPr>
          <w:p w14:paraId="109AE289" w14:textId="77777777" w:rsidR="009B3384" w:rsidRDefault="00800862">
            <w:pPr>
              <w:widowControl w:val="0"/>
              <w:suppressAutoHyphens w:val="0"/>
              <w:rPr>
                <w:b/>
                <w:bCs/>
                <w:szCs w:val="22"/>
                <w:lang w:val="fi-FI"/>
              </w:rPr>
            </w:pPr>
            <w:r>
              <w:rPr>
                <w:b/>
                <w:bCs/>
                <w:szCs w:val="22"/>
                <w:lang w:val="fi-FI"/>
              </w:rPr>
              <w:t>Eesti</w:t>
            </w:r>
          </w:p>
          <w:p w14:paraId="109AE28A" w14:textId="77777777" w:rsidR="009B3384" w:rsidRDefault="00800862">
            <w:pPr>
              <w:widowControl w:val="0"/>
              <w:suppressAutoHyphens w:val="0"/>
              <w:rPr>
                <w:szCs w:val="22"/>
                <w:lang w:val="fi-FI"/>
              </w:rPr>
            </w:pPr>
            <w:r>
              <w:rPr>
                <w:szCs w:val="22"/>
                <w:lang w:val="fi-FI"/>
              </w:rPr>
              <w:t>UAB "JOHNSON &amp; JOHNSON" Eesti filiaal</w:t>
            </w:r>
          </w:p>
          <w:p w14:paraId="109AE28B" w14:textId="77777777" w:rsidR="009B3384" w:rsidRDefault="00800862">
            <w:pPr>
              <w:widowControl w:val="0"/>
              <w:suppressAutoHyphens w:val="0"/>
              <w:rPr>
                <w:szCs w:val="22"/>
                <w:lang w:val="fi-FI"/>
              </w:rPr>
            </w:pPr>
            <w:r>
              <w:rPr>
                <w:szCs w:val="22"/>
                <w:lang w:val="fi-FI"/>
              </w:rPr>
              <w:t>Tel: +372 617 7410</w:t>
            </w:r>
          </w:p>
          <w:p w14:paraId="109AE28C" w14:textId="77777777" w:rsidR="009B3384" w:rsidRDefault="00800862">
            <w:pPr>
              <w:widowControl w:val="0"/>
              <w:suppressAutoHyphens w:val="0"/>
              <w:rPr>
                <w:szCs w:val="22"/>
                <w:lang w:val="fi-FI"/>
              </w:rPr>
            </w:pPr>
            <w:r>
              <w:rPr>
                <w:szCs w:val="22"/>
                <w:lang w:val="en-GB"/>
              </w:rPr>
              <w:t>ee@its.jnj.com</w:t>
            </w:r>
          </w:p>
          <w:p w14:paraId="109AE28D" w14:textId="77777777" w:rsidR="009B3384" w:rsidRDefault="009B3384">
            <w:pPr>
              <w:widowControl w:val="0"/>
              <w:suppressAutoHyphens w:val="0"/>
              <w:rPr>
                <w:szCs w:val="22"/>
                <w:lang w:val="fi-FI"/>
              </w:rPr>
            </w:pPr>
          </w:p>
        </w:tc>
        <w:tc>
          <w:tcPr>
            <w:tcW w:w="4805" w:type="dxa"/>
            <w:hideMark/>
          </w:tcPr>
          <w:p w14:paraId="109AE28E" w14:textId="77777777" w:rsidR="009B3384" w:rsidRDefault="00800862">
            <w:pPr>
              <w:widowControl w:val="0"/>
              <w:suppressAutoHyphens w:val="0"/>
              <w:rPr>
                <w:b/>
                <w:bCs/>
                <w:szCs w:val="22"/>
                <w:lang w:val="nn-NO"/>
              </w:rPr>
            </w:pPr>
            <w:r>
              <w:rPr>
                <w:b/>
                <w:bCs/>
                <w:szCs w:val="22"/>
                <w:lang w:val="nn-NO"/>
              </w:rPr>
              <w:t>Norge</w:t>
            </w:r>
          </w:p>
          <w:p w14:paraId="109AE28F" w14:textId="77777777" w:rsidR="009B3384" w:rsidRDefault="00800862">
            <w:pPr>
              <w:widowControl w:val="0"/>
              <w:suppressAutoHyphens w:val="0"/>
              <w:rPr>
                <w:szCs w:val="22"/>
                <w:lang w:val="nn-NO"/>
              </w:rPr>
            </w:pPr>
            <w:r>
              <w:rPr>
                <w:szCs w:val="22"/>
                <w:lang w:val="nn-NO"/>
              </w:rPr>
              <w:t>Janssen-Cilag AS</w:t>
            </w:r>
          </w:p>
          <w:p w14:paraId="109AE290" w14:textId="77777777" w:rsidR="009B3384" w:rsidRDefault="00800862">
            <w:pPr>
              <w:widowControl w:val="0"/>
              <w:suppressAutoHyphens w:val="0"/>
              <w:rPr>
                <w:szCs w:val="22"/>
                <w:lang w:val="nb-NO"/>
              </w:rPr>
            </w:pPr>
            <w:r>
              <w:rPr>
                <w:szCs w:val="22"/>
                <w:lang w:val="nb-NO"/>
              </w:rPr>
              <w:t>Tlf: +47 24 12 65 00</w:t>
            </w:r>
          </w:p>
          <w:p w14:paraId="109AE291" w14:textId="77777777" w:rsidR="009B3384" w:rsidRDefault="00800862">
            <w:pPr>
              <w:widowControl w:val="0"/>
              <w:suppressAutoHyphens w:val="0"/>
              <w:rPr>
                <w:szCs w:val="22"/>
                <w:lang w:val="en-GB"/>
              </w:rPr>
            </w:pPr>
            <w:r>
              <w:rPr>
                <w:szCs w:val="22"/>
                <w:lang w:val="en-GB"/>
              </w:rPr>
              <w:t>jacno@its.jnj.com</w:t>
            </w:r>
          </w:p>
          <w:p w14:paraId="109AE292" w14:textId="77777777" w:rsidR="009B3384" w:rsidRDefault="009B3384">
            <w:pPr>
              <w:widowControl w:val="0"/>
              <w:suppressAutoHyphens w:val="0"/>
              <w:rPr>
                <w:szCs w:val="22"/>
                <w:lang w:val="en-GB"/>
              </w:rPr>
            </w:pPr>
          </w:p>
        </w:tc>
      </w:tr>
      <w:tr w:rsidR="009B3384" w14:paraId="109AE29C" w14:textId="77777777">
        <w:trPr>
          <w:cantSplit/>
          <w:jc w:val="center"/>
        </w:trPr>
        <w:tc>
          <w:tcPr>
            <w:tcW w:w="4270" w:type="dxa"/>
            <w:gridSpan w:val="2"/>
          </w:tcPr>
          <w:p w14:paraId="109AE294" w14:textId="77777777" w:rsidR="009B3384" w:rsidRDefault="00800862">
            <w:pPr>
              <w:widowControl w:val="0"/>
              <w:suppressAutoHyphens w:val="0"/>
              <w:rPr>
                <w:b/>
                <w:bCs/>
                <w:szCs w:val="22"/>
                <w:lang w:val="el-GR"/>
              </w:rPr>
            </w:pPr>
            <w:r>
              <w:rPr>
                <w:b/>
                <w:bCs/>
                <w:szCs w:val="22"/>
                <w:lang w:val="el-GR"/>
              </w:rPr>
              <w:t>Ελλάδα</w:t>
            </w:r>
          </w:p>
          <w:p w14:paraId="109AE295"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Φαρμακευτική Μονοπρόσωπη Α.Ε.Β.Ε.</w:t>
            </w:r>
          </w:p>
          <w:p w14:paraId="109AE296" w14:textId="77777777" w:rsidR="009B3384" w:rsidRDefault="00800862">
            <w:pPr>
              <w:widowControl w:val="0"/>
              <w:suppressAutoHyphens w:val="0"/>
              <w:rPr>
                <w:szCs w:val="22"/>
                <w:lang w:val="el-GR"/>
              </w:rPr>
            </w:pPr>
            <w:r>
              <w:rPr>
                <w:szCs w:val="22"/>
                <w:lang w:val="en-GB"/>
              </w:rPr>
              <w:t>T</w:t>
            </w:r>
            <w:r>
              <w:rPr>
                <w:szCs w:val="22"/>
                <w:lang w:val="el-GR"/>
              </w:rPr>
              <w:t>ηλ: +30 210 80 90 000</w:t>
            </w:r>
          </w:p>
          <w:p w14:paraId="109AE297" w14:textId="77777777" w:rsidR="009B3384" w:rsidRDefault="009B3384">
            <w:pPr>
              <w:widowControl w:val="0"/>
              <w:suppressAutoHyphens w:val="0"/>
              <w:rPr>
                <w:szCs w:val="22"/>
                <w:lang w:val="el-GR"/>
              </w:rPr>
            </w:pPr>
          </w:p>
        </w:tc>
        <w:tc>
          <w:tcPr>
            <w:tcW w:w="4805" w:type="dxa"/>
            <w:hideMark/>
          </w:tcPr>
          <w:p w14:paraId="109AE298" w14:textId="77777777" w:rsidR="009B3384" w:rsidRDefault="00800862">
            <w:pPr>
              <w:widowControl w:val="0"/>
              <w:suppressAutoHyphens w:val="0"/>
              <w:rPr>
                <w:b/>
                <w:bCs/>
                <w:szCs w:val="22"/>
                <w:lang w:val="el-GR"/>
              </w:rPr>
            </w:pPr>
            <w:r>
              <w:rPr>
                <w:b/>
                <w:bCs/>
                <w:szCs w:val="22"/>
                <w:lang w:val="el-GR"/>
              </w:rPr>
              <w:t>Ö</w:t>
            </w:r>
            <w:r>
              <w:rPr>
                <w:b/>
                <w:bCs/>
                <w:szCs w:val="22"/>
                <w:lang w:val="de-DE"/>
              </w:rPr>
              <w:t>sterreich</w:t>
            </w:r>
          </w:p>
          <w:p w14:paraId="109AE299" w14:textId="77777777" w:rsidR="009B3384" w:rsidRDefault="00800862">
            <w:pPr>
              <w:widowControl w:val="0"/>
              <w:suppressAutoHyphens w:val="0"/>
              <w:rPr>
                <w:szCs w:val="22"/>
                <w:lang w:val="el-GR"/>
              </w:rPr>
            </w:pPr>
            <w:r>
              <w:rPr>
                <w:szCs w:val="22"/>
                <w:lang w:val="de-DE"/>
              </w:rPr>
              <w:t>Janssen</w:t>
            </w:r>
            <w:r>
              <w:rPr>
                <w:szCs w:val="22"/>
                <w:lang w:val="el-GR"/>
              </w:rPr>
              <w:t>-</w:t>
            </w:r>
            <w:r>
              <w:rPr>
                <w:szCs w:val="22"/>
                <w:lang w:val="de-DE"/>
              </w:rPr>
              <w:t>Cilag</w:t>
            </w:r>
            <w:r>
              <w:rPr>
                <w:szCs w:val="22"/>
                <w:lang w:val="el-GR"/>
              </w:rPr>
              <w:t xml:space="preserve"> </w:t>
            </w:r>
            <w:r>
              <w:rPr>
                <w:szCs w:val="22"/>
                <w:lang w:val="de-DE"/>
              </w:rPr>
              <w:t>Pharma</w:t>
            </w:r>
            <w:r>
              <w:rPr>
                <w:szCs w:val="22"/>
                <w:lang w:val="el-GR"/>
              </w:rPr>
              <w:t xml:space="preserve"> </w:t>
            </w:r>
            <w:r>
              <w:rPr>
                <w:szCs w:val="22"/>
                <w:lang w:val="de-DE"/>
              </w:rPr>
              <w:t>GmbH</w:t>
            </w:r>
          </w:p>
          <w:p w14:paraId="109AE29A" w14:textId="4A530043" w:rsidR="009B3384" w:rsidRPr="00BC6A43" w:rsidRDefault="00800862">
            <w:pPr>
              <w:widowControl w:val="0"/>
              <w:suppressAutoHyphens w:val="0"/>
              <w:rPr>
                <w:szCs w:val="22"/>
                <w:lang w:val="el-GR"/>
              </w:rPr>
            </w:pPr>
            <w:r>
              <w:rPr>
                <w:szCs w:val="22"/>
                <w:lang w:val="nl-NL"/>
              </w:rPr>
              <w:t>Tel</w:t>
            </w:r>
            <w:r>
              <w:rPr>
                <w:szCs w:val="22"/>
                <w:lang w:val="el-GR"/>
              </w:rPr>
              <w:t>: +43 1 610 300</w:t>
            </w:r>
          </w:p>
          <w:p w14:paraId="109AE29B" w14:textId="77777777" w:rsidR="009B3384" w:rsidRDefault="009B3384">
            <w:pPr>
              <w:widowControl w:val="0"/>
              <w:suppressAutoHyphens w:val="0"/>
              <w:rPr>
                <w:szCs w:val="22"/>
                <w:lang w:val="el-GR"/>
              </w:rPr>
            </w:pPr>
          </w:p>
        </w:tc>
      </w:tr>
      <w:tr w:rsidR="009B3384" w14:paraId="109AE2A6" w14:textId="77777777">
        <w:trPr>
          <w:gridBefore w:val="1"/>
          <w:wBefore w:w="10" w:type="dxa"/>
          <w:cantSplit/>
          <w:jc w:val="center"/>
        </w:trPr>
        <w:tc>
          <w:tcPr>
            <w:tcW w:w="4260" w:type="dxa"/>
          </w:tcPr>
          <w:p w14:paraId="109AE29D" w14:textId="77777777" w:rsidR="009B3384" w:rsidRDefault="00800862">
            <w:pPr>
              <w:widowControl w:val="0"/>
              <w:suppressAutoHyphens w:val="0"/>
              <w:rPr>
                <w:b/>
                <w:bCs/>
                <w:szCs w:val="22"/>
                <w:lang w:val="es-ES"/>
              </w:rPr>
            </w:pPr>
            <w:r>
              <w:rPr>
                <w:b/>
                <w:bCs/>
                <w:szCs w:val="22"/>
                <w:lang w:val="es-ES"/>
              </w:rPr>
              <w:lastRenderedPageBreak/>
              <w:t>España</w:t>
            </w:r>
          </w:p>
          <w:p w14:paraId="109AE29E" w14:textId="77777777" w:rsidR="009B3384" w:rsidRDefault="00800862">
            <w:pPr>
              <w:widowControl w:val="0"/>
              <w:suppressAutoHyphens w:val="0"/>
              <w:rPr>
                <w:szCs w:val="22"/>
                <w:lang w:val="es-ES"/>
              </w:rPr>
            </w:pPr>
            <w:r>
              <w:rPr>
                <w:szCs w:val="22"/>
                <w:lang w:val="es-ES"/>
              </w:rPr>
              <w:t>Janssen-</w:t>
            </w:r>
            <w:proofErr w:type="spellStart"/>
            <w:r>
              <w:rPr>
                <w:szCs w:val="22"/>
                <w:lang w:val="es-ES"/>
              </w:rPr>
              <w:t>Cilag</w:t>
            </w:r>
            <w:proofErr w:type="spellEnd"/>
            <w:r>
              <w:rPr>
                <w:szCs w:val="22"/>
                <w:lang w:val="es-ES"/>
              </w:rPr>
              <w:t>, S.A.</w:t>
            </w:r>
          </w:p>
          <w:p w14:paraId="109AE29F" w14:textId="77777777" w:rsidR="009B3384" w:rsidRDefault="00800862">
            <w:pPr>
              <w:widowControl w:val="0"/>
              <w:suppressAutoHyphens w:val="0"/>
              <w:rPr>
                <w:szCs w:val="22"/>
                <w:lang w:val="de-DE"/>
              </w:rPr>
            </w:pPr>
            <w:r>
              <w:rPr>
                <w:szCs w:val="22"/>
                <w:lang w:val="de-DE"/>
              </w:rPr>
              <w:t>Tel: +34 91 722 81 00</w:t>
            </w:r>
          </w:p>
          <w:p w14:paraId="109AE2A0" w14:textId="77777777" w:rsidR="009B3384" w:rsidRDefault="00800862">
            <w:pPr>
              <w:widowControl w:val="0"/>
              <w:suppressAutoHyphens w:val="0"/>
              <w:rPr>
                <w:szCs w:val="22"/>
                <w:lang w:val="de-DE"/>
              </w:rPr>
            </w:pPr>
            <w:r>
              <w:rPr>
                <w:szCs w:val="22"/>
                <w:lang w:val="de-DE"/>
              </w:rPr>
              <w:t>contacto@its.jnj.com</w:t>
            </w:r>
          </w:p>
          <w:p w14:paraId="109AE2A1" w14:textId="77777777" w:rsidR="009B3384" w:rsidRDefault="009B3384">
            <w:pPr>
              <w:widowControl w:val="0"/>
              <w:suppressAutoHyphens w:val="0"/>
              <w:rPr>
                <w:szCs w:val="22"/>
                <w:lang w:val="de-DE"/>
              </w:rPr>
            </w:pPr>
          </w:p>
        </w:tc>
        <w:tc>
          <w:tcPr>
            <w:tcW w:w="4805" w:type="dxa"/>
          </w:tcPr>
          <w:p w14:paraId="109AE2A2" w14:textId="77777777" w:rsidR="009B3384" w:rsidRDefault="00800862">
            <w:pPr>
              <w:widowControl w:val="0"/>
              <w:suppressAutoHyphens w:val="0"/>
              <w:rPr>
                <w:b/>
                <w:bCs/>
                <w:szCs w:val="22"/>
                <w:lang w:val="pl-PL"/>
              </w:rPr>
            </w:pPr>
            <w:r>
              <w:rPr>
                <w:b/>
                <w:bCs/>
                <w:szCs w:val="22"/>
                <w:lang w:val="pl-PL"/>
              </w:rPr>
              <w:t>Polska</w:t>
            </w:r>
          </w:p>
          <w:p w14:paraId="109AE2A3" w14:textId="77777777" w:rsidR="009B3384" w:rsidRDefault="00800862">
            <w:pPr>
              <w:widowControl w:val="0"/>
              <w:suppressAutoHyphens w:val="0"/>
              <w:rPr>
                <w:szCs w:val="22"/>
                <w:lang w:val="pl-PL"/>
              </w:rPr>
            </w:pPr>
            <w:r>
              <w:rPr>
                <w:szCs w:val="22"/>
                <w:lang w:val="pl-PL"/>
              </w:rPr>
              <w:t>Janssen-Cilag Polska Sp. z o.o.</w:t>
            </w:r>
          </w:p>
          <w:p w14:paraId="109AE2A4" w14:textId="77777777" w:rsidR="009B3384" w:rsidRDefault="00800862">
            <w:pPr>
              <w:widowControl w:val="0"/>
              <w:suppressAutoHyphens w:val="0"/>
              <w:rPr>
                <w:szCs w:val="22"/>
                <w:lang w:val="pl-PL"/>
              </w:rPr>
            </w:pPr>
            <w:r>
              <w:rPr>
                <w:szCs w:val="22"/>
                <w:lang w:val="pl-PL"/>
              </w:rPr>
              <w:t>Tel.: +48 22 237 60 00</w:t>
            </w:r>
          </w:p>
          <w:p w14:paraId="109AE2A5" w14:textId="77777777" w:rsidR="009B3384" w:rsidRDefault="009B3384">
            <w:pPr>
              <w:widowControl w:val="0"/>
              <w:suppressAutoHyphens w:val="0"/>
              <w:rPr>
                <w:szCs w:val="22"/>
                <w:lang w:val="pl-PL"/>
              </w:rPr>
            </w:pPr>
          </w:p>
        </w:tc>
      </w:tr>
      <w:tr w:rsidR="009B3384" w14:paraId="109AE2B0" w14:textId="77777777">
        <w:trPr>
          <w:gridBefore w:val="1"/>
          <w:wBefore w:w="10" w:type="dxa"/>
          <w:cantSplit/>
          <w:jc w:val="center"/>
        </w:trPr>
        <w:tc>
          <w:tcPr>
            <w:tcW w:w="4260" w:type="dxa"/>
          </w:tcPr>
          <w:p w14:paraId="109AE2A7" w14:textId="77777777" w:rsidR="009B3384" w:rsidRDefault="00800862">
            <w:pPr>
              <w:widowControl w:val="0"/>
              <w:suppressAutoHyphens w:val="0"/>
              <w:rPr>
                <w:b/>
                <w:bCs/>
                <w:szCs w:val="22"/>
                <w:lang w:val="fr-BE"/>
              </w:rPr>
            </w:pPr>
            <w:r>
              <w:rPr>
                <w:b/>
                <w:bCs/>
                <w:szCs w:val="22"/>
                <w:lang w:val="fr-BE"/>
              </w:rPr>
              <w:t>France</w:t>
            </w:r>
          </w:p>
          <w:p w14:paraId="109AE2A8" w14:textId="77777777" w:rsidR="009B3384" w:rsidRDefault="00800862">
            <w:pPr>
              <w:widowControl w:val="0"/>
              <w:suppressAutoHyphens w:val="0"/>
              <w:rPr>
                <w:szCs w:val="22"/>
                <w:lang w:val="fr-BE"/>
              </w:rPr>
            </w:pPr>
            <w:r>
              <w:rPr>
                <w:szCs w:val="22"/>
                <w:lang w:val="fr-FR"/>
              </w:rPr>
              <w:t>Janssen-Cilag</w:t>
            </w:r>
          </w:p>
          <w:p w14:paraId="109AE2A9" w14:textId="77777777" w:rsidR="009B3384" w:rsidRDefault="00800862">
            <w:pPr>
              <w:widowControl w:val="0"/>
              <w:suppressAutoHyphens w:val="0"/>
              <w:rPr>
                <w:szCs w:val="22"/>
                <w:lang w:val="fr-FR"/>
              </w:rPr>
            </w:pPr>
            <w:proofErr w:type="gramStart"/>
            <w:r>
              <w:rPr>
                <w:szCs w:val="22"/>
                <w:lang w:val="fr-FR"/>
              </w:rPr>
              <w:t>Tél:</w:t>
            </w:r>
            <w:proofErr w:type="gramEnd"/>
            <w:r>
              <w:rPr>
                <w:szCs w:val="22"/>
                <w:lang w:val="fr-FR"/>
              </w:rPr>
              <w:t xml:space="preserve"> 0 800 25 50 75 / +33 1 55 00 40 03</w:t>
            </w:r>
          </w:p>
          <w:p w14:paraId="109AE2AA" w14:textId="77777777" w:rsidR="009B3384" w:rsidRDefault="00800862">
            <w:pPr>
              <w:widowControl w:val="0"/>
              <w:suppressAutoHyphens w:val="0"/>
              <w:rPr>
                <w:szCs w:val="22"/>
                <w:lang w:val="fr-FR"/>
              </w:rPr>
            </w:pPr>
            <w:r>
              <w:rPr>
                <w:szCs w:val="22"/>
                <w:lang w:val="fr-FR"/>
              </w:rPr>
              <w:t>medisource@its.jnj.com</w:t>
            </w:r>
          </w:p>
          <w:p w14:paraId="109AE2AB" w14:textId="77777777" w:rsidR="009B3384" w:rsidRDefault="009B3384">
            <w:pPr>
              <w:widowControl w:val="0"/>
              <w:suppressAutoHyphens w:val="0"/>
              <w:rPr>
                <w:szCs w:val="22"/>
                <w:lang w:val="fr-FR"/>
              </w:rPr>
            </w:pPr>
          </w:p>
        </w:tc>
        <w:tc>
          <w:tcPr>
            <w:tcW w:w="4805" w:type="dxa"/>
            <w:hideMark/>
          </w:tcPr>
          <w:p w14:paraId="109AE2AC" w14:textId="77777777" w:rsidR="009B3384" w:rsidRDefault="00800862">
            <w:pPr>
              <w:widowControl w:val="0"/>
              <w:suppressAutoHyphens w:val="0"/>
              <w:rPr>
                <w:b/>
                <w:bCs/>
                <w:szCs w:val="22"/>
                <w:lang w:val="pt-PT"/>
              </w:rPr>
            </w:pPr>
            <w:r>
              <w:rPr>
                <w:b/>
                <w:bCs/>
                <w:szCs w:val="22"/>
                <w:lang w:val="pt-PT"/>
              </w:rPr>
              <w:t>Portugal</w:t>
            </w:r>
          </w:p>
          <w:p w14:paraId="109AE2AD" w14:textId="77777777" w:rsidR="009B3384" w:rsidRDefault="00800862">
            <w:pPr>
              <w:widowControl w:val="0"/>
              <w:suppressAutoHyphens w:val="0"/>
              <w:rPr>
                <w:szCs w:val="22"/>
                <w:lang w:val="pt-PT"/>
              </w:rPr>
            </w:pPr>
            <w:r>
              <w:rPr>
                <w:szCs w:val="22"/>
                <w:lang w:val="pt-PT"/>
              </w:rPr>
              <w:t>Janssen-Cilag Farmacêutica, Lda.</w:t>
            </w:r>
          </w:p>
          <w:p w14:paraId="109AE2AE" w14:textId="77777777" w:rsidR="009B3384" w:rsidRDefault="00800862">
            <w:pPr>
              <w:widowControl w:val="0"/>
              <w:suppressAutoHyphens w:val="0"/>
              <w:rPr>
                <w:szCs w:val="22"/>
                <w:lang w:val="en-GB"/>
              </w:rPr>
            </w:pPr>
            <w:r>
              <w:rPr>
                <w:szCs w:val="22"/>
                <w:lang w:val="en-GB"/>
              </w:rPr>
              <w:t>Tel: +351 214 368 600</w:t>
            </w:r>
          </w:p>
          <w:p w14:paraId="109AE2AF" w14:textId="77777777" w:rsidR="009B3384" w:rsidRDefault="009B3384">
            <w:pPr>
              <w:widowControl w:val="0"/>
              <w:suppressAutoHyphens w:val="0"/>
              <w:rPr>
                <w:szCs w:val="22"/>
                <w:lang w:val="en-GB"/>
              </w:rPr>
            </w:pPr>
          </w:p>
        </w:tc>
      </w:tr>
      <w:tr w:rsidR="009B3384" w14:paraId="109AE2BA" w14:textId="77777777">
        <w:trPr>
          <w:gridBefore w:val="1"/>
          <w:wBefore w:w="10" w:type="dxa"/>
          <w:cantSplit/>
          <w:jc w:val="center"/>
        </w:trPr>
        <w:tc>
          <w:tcPr>
            <w:tcW w:w="4260" w:type="dxa"/>
          </w:tcPr>
          <w:p w14:paraId="109AE2B1" w14:textId="77777777" w:rsidR="009B3384" w:rsidRDefault="00800862">
            <w:pPr>
              <w:suppressAutoHyphens w:val="0"/>
              <w:rPr>
                <w:szCs w:val="22"/>
              </w:rPr>
            </w:pPr>
            <w:r>
              <w:rPr>
                <w:b/>
                <w:szCs w:val="22"/>
                <w:lang w:val="en-GB"/>
              </w:rPr>
              <w:t>Hrvatska</w:t>
            </w:r>
          </w:p>
          <w:p w14:paraId="109AE2B2" w14:textId="77777777" w:rsidR="009B3384" w:rsidRDefault="00800862">
            <w:pPr>
              <w:suppressAutoHyphens w:val="0"/>
              <w:rPr>
                <w:szCs w:val="22"/>
              </w:rPr>
            </w:pPr>
            <w:r>
              <w:rPr>
                <w:szCs w:val="22"/>
                <w:lang w:val="en-GB"/>
              </w:rPr>
              <w:t>Johnson</w:t>
            </w:r>
            <w:r>
              <w:rPr>
                <w:szCs w:val="22"/>
              </w:rPr>
              <w:t xml:space="preserve"> &amp; </w:t>
            </w:r>
            <w:r>
              <w:rPr>
                <w:szCs w:val="22"/>
                <w:lang w:val="en-GB"/>
              </w:rPr>
              <w:t>Johnson</w:t>
            </w:r>
            <w:r>
              <w:rPr>
                <w:szCs w:val="22"/>
              </w:rPr>
              <w:t xml:space="preserve"> </w:t>
            </w:r>
            <w:r>
              <w:rPr>
                <w:szCs w:val="22"/>
                <w:lang w:val="en-GB"/>
              </w:rPr>
              <w:t>S</w:t>
            </w:r>
            <w:r>
              <w:rPr>
                <w:szCs w:val="22"/>
              </w:rPr>
              <w:t>.</w:t>
            </w:r>
            <w:r>
              <w:rPr>
                <w:szCs w:val="22"/>
                <w:lang w:val="en-GB"/>
              </w:rPr>
              <w:t>E</w:t>
            </w:r>
            <w:r>
              <w:rPr>
                <w:szCs w:val="22"/>
              </w:rPr>
              <w:t xml:space="preserve">. </w:t>
            </w:r>
            <w:r>
              <w:rPr>
                <w:szCs w:val="22"/>
                <w:lang w:val="en-GB"/>
              </w:rPr>
              <w:t>d</w:t>
            </w:r>
            <w:r>
              <w:rPr>
                <w:szCs w:val="22"/>
              </w:rPr>
              <w:t>.</w:t>
            </w:r>
            <w:r>
              <w:rPr>
                <w:szCs w:val="22"/>
                <w:lang w:val="en-GB"/>
              </w:rPr>
              <w:t>o</w:t>
            </w:r>
            <w:r>
              <w:rPr>
                <w:szCs w:val="22"/>
              </w:rPr>
              <w:t>.</w:t>
            </w:r>
            <w:r>
              <w:rPr>
                <w:szCs w:val="22"/>
                <w:lang w:val="en-GB"/>
              </w:rPr>
              <w:t>o</w:t>
            </w:r>
            <w:r>
              <w:rPr>
                <w:szCs w:val="22"/>
              </w:rPr>
              <w:t>.</w:t>
            </w:r>
          </w:p>
          <w:p w14:paraId="109AE2B3" w14:textId="77777777" w:rsidR="009B3384" w:rsidRDefault="00800862">
            <w:pPr>
              <w:widowControl w:val="0"/>
              <w:suppressAutoHyphens w:val="0"/>
              <w:rPr>
                <w:szCs w:val="22"/>
                <w:lang w:val="en-GB"/>
              </w:rPr>
            </w:pPr>
            <w:r>
              <w:rPr>
                <w:szCs w:val="22"/>
                <w:lang w:val="en-GB"/>
              </w:rPr>
              <w:t>Tel: +385 1 6610 700</w:t>
            </w:r>
          </w:p>
          <w:p w14:paraId="109AE2B4" w14:textId="77777777" w:rsidR="009B3384" w:rsidRDefault="00800862">
            <w:pPr>
              <w:widowControl w:val="0"/>
              <w:suppressAutoHyphens w:val="0"/>
              <w:rPr>
                <w:szCs w:val="22"/>
                <w:lang w:val="en-GB"/>
              </w:rPr>
            </w:pPr>
            <w:r>
              <w:rPr>
                <w:szCs w:val="22"/>
                <w:lang w:val="en-GB"/>
              </w:rPr>
              <w:t>jjsafety@JNJCR.JNJ.com</w:t>
            </w:r>
          </w:p>
          <w:p w14:paraId="109AE2B5" w14:textId="77777777" w:rsidR="009B3384" w:rsidRDefault="009B3384">
            <w:pPr>
              <w:widowControl w:val="0"/>
              <w:suppressAutoHyphens w:val="0"/>
              <w:rPr>
                <w:szCs w:val="22"/>
                <w:lang w:val="en-GB"/>
              </w:rPr>
            </w:pPr>
          </w:p>
        </w:tc>
        <w:tc>
          <w:tcPr>
            <w:tcW w:w="4805" w:type="dxa"/>
          </w:tcPr>
          <w:p w14:paraId="109AE2B6" w14:textId="77777777" w:rsidR="009B3384" w:rsidRDefault="00800862">
            <w:pPr>
              <w:widowControl w:val="0"/>
              <w:suppressAutoHyphens w:val="0"/>
              <w:rPr>
                <w:b/>
                <w:bCs/>
                <w:szCs w:val="22"/>
                <w:lang w:val="en-GB"/>
              </w:rPr>
            </w:pPr>
            <w:proofErr w:type="spellStart"/>
            <w:r>
              <w:rPr>
                <w:b/>
                <w:bCs/>
                <w:szCs w:val="22"/>
                <w:lang w:val="en-GB"/>
              </w:rPr>
              <w:t>România</w:t>
            </w:r>
            <w:proofErr w:type="spellEnd"/>
          </w:p>
          <w:p w14:paraId="109AE2B7" w14:textId="77777777" w:rsidR="009B3384" w:rsidRDefault="00800862">
            <w:pPr>
              <w:widowControl w:val="0"/>
              <w:suppressAutoHyphens w:val="0"/>
              <w:rPr>
                <w:szCs w:val="22"/>
                <w:lang w:val="en-GB"/>
              </w:rPr>
            </w:pPr>
            <w:r>
              <w:rPr>
                <w:szCs w:val="22"/>
                <w:lang w:val="en-GB"/>
              </w:rPr>
              <w:t xml:space="preserve">Johnson &amp; Johnson </w:t>
            </w:r>
            <w:proofErr w:type="spellStart"/>
            <w:r>
              <w:rPr>
                <w:szCs w:val="22"/>
                <w:lang w:val="en-GB"/>
              </w:rPr>
              <w:t>Rom</w:t>
            </w:r>
            <w:r>
              <w:rPr>
                <w:bCs/>
                <w:szCs w:val="22"/>
                <w:lang w:val="en-GB"/>
              </w:rPr>
              <w:t>â</w:t>
            </w:r>
            <w:r>
              <w:rPr>
                <w:szCs w:val="22"/>
                <w:lang w:val="en-GB"/>
              </w:rPr>
              <w:t>nia</w:t>
            </w:r>
            <w:proofErr w:type="spellEnd"/>
            <w:r>
              <w:rPr>
                <w:szCs w:val="22"/>
                <w:lang w:val="en-GB"/>
              </w:rPr>
              <w:t xml:space="preserve"> SRL</w:t>
            </w:r>
          </w:p>
          <w:p w14:paraId="109AE2B8" w14:textId="77777777" w:rsidR="009B3384" w:rsidRDefault="00800862">
            <w:pPr>
              <w:widowControl w:val="0"/>
              <w:suppressAutoHyphens w:val="0"/>
              <w:rPr>
                <w:szCs w:val="22"/>
                <w:lang w:val="en-GB"/>
              </w:rPr>
            </w:pPr>
            <w:r>
              <w:rPr>
                <w:szCs w:val="22"/>
                <w:lang w:val="en-GB"/>
              </w:rPr>
              <w:t>Tel: +40 21 207 1800</w:t>
            </w:r>
          </w:p>
          <w:p w14:paraId="109AE2B9" w14:textId="77777777" w:rsidR="009B3384" w:rsidRDefault="009B3384">
            <w:pPr>
              <w:widowControl w:val="0"/>
              <w:suppressAutoHyphens w:val="0"/>
              <w:rPr>
                <w:szCs w:val="22"/>
                <w:lang w:val="en-GB"/>
              </w:rPr>
            </w:pPr>
          </w:p>
        </w:tc>
      </w:tr>
      <w:tr w:rsidR="009B3384" w14:paraId="109AE2C6" w14:textId="77777777">
        <w:trPr>
          <w:gridBefore w:val="1"/>
          <w:wBefore w:w="10" w:type="dxa"/>
          <w:cantSplit/>
          <w:jc w:val="center"/>
        </w:trPr>
        <w:tc>
          <w:tcPr>
            <w:tcW w:w="4260" w:type="dxa"/>
          </w:tcPr>
          <w:p w14:paraId="109AE2BB" w14:textId="77777777" w:rsidR="009B3384" w:rsidRDefault="00800862">
            <w:pPr>
              <w:widowControl w:val="0"/>
              <w:suppressAutoHyphens w:val="0"/>
              <w:rPr>
                <w:b/>
                <w:bCs/>
                <w:szCs w:val="22"/>
                <w:lang w:val="fr-FR"/>
              </w:rPr>
            </w:pPr>
            <w:r>
              <w:rPr>
                <w:b/>
                <w:bCs/>
                <w:szCs w:val="22"/>
                <w:lang w:val="fr-FR"/>
              </w:rPr>
              <w:t>Ireland</w:t>
            </w:r>
          </w:p>
          <w:p w14:paraId="109AE2BC" w14:textId="77777777" w:rsidR="009B3384" w:rsidRDefault="00800862">
            <w:pPr>
              <w:widowControl w:val="0"/>
              <w:suppressAutoHyphens w:val="0"/>
              <w:rPr>
                <w:szCs w:val="22"/>
                <w:lang w:val="fr-FR"/>
              </w:rPr>
            </w:pPr>
            <w:r>
              <w:rPr>
                <w:szCs w:val="22"/>
                <w:lang w:val="fr-FR"/>
              </w:rPr>
              <w:t>Janssen Sciences Ireland UC</w:t>
            </w:r>
          </w:p>
          <w:p w14:paraId="109AE2BD" w14:textId="77777777" w:rsidR="009B3384" w:rsidRDefault="00800862">
            <w:pPr>
              <w:widowControl w:val="0"/>
              <w:suppressAutoHyphens w:val="0"/>
              <w:rPr>
                <w:szCs w:val="22"/>
                <w:lang w:val="fr-FR"/>
              </w:rPr>
            </w:pPr>
            <w:proofErr w:type="gramStart"/>
            <w:r>
              <w:rPr>
                <w:szCs w:val="22"/>
                <w:lang w:val="fr-FR"/>
              </w:rPr>
              <w:t>Tel:</w:t>
            </w:r>
            <w:proofErr w:type="gramEnd"/>
            <w:r>
              <w:rPr>
                <w:szCs w:val="22"/>
                <w:lang w:val="fr-FR"/>
              </w:rPr>
              <w:t xml:space="preserve"> 1 800 709 122</w:t>
            </w:r>
          </w:p>
          <w:p w14:paraId="109AE2BE" w14:textId="77777777" w:rsidR="009B3384" w:rsidRPr="00BC6A43" w:rsidRDefault="00800862">
            <w:pPr>
              <w:widowControl w:val="0"/>
              <w:suppressAutoHyphens w:val="0"/>
              <w:rPr>
                <w:szCs w:val="22"/>
                <w:lang w:val="fr-BE"/>
              </w:rPr>
            </w:pPr>
            <w:r w:rsidRPr="00BC6A43">
              <w:t>medinfo@its.jnj.com</w:t>
            </w:r>
          </w:p>
          <w:p w14:paraId="109AE2BF" w14:textId="77777777" w:rsidR="009B3384" w:rsidRDefault="009B3384">
            <w:pPr>
              <w:widowControl w:val="0"/>
              <w:suppressAutoHyphens w:val="0"/>
              <w:rPr>
                <w:szCs w:val="22"/>
                <w:lang w:val="fr-FR"/>
              </w:rPr>
            </w:pPr>
          </w:p>
        </w:tc>
        <w:tc>
          <w:tcPr>
            <w:tcW w:w="4805" w:type="dxa"/>
          </w:tcPr>
          <w:p w14:paraId="109AE2C0" w14:textId="77777777" w:rsidR="009B3384" w:rsidRDefault="00800862">
            <w:pPr>
              <w:widowControl w:val="0"/>
              <w:suppressAutoHyphens w:val="0"/>
              <w:rPr>
                <w:b/>
                <w:bCs/>
                <w:szCs w:val="22"/>
                <w:lang w:val="fr-FR"/>
              </w:rPr>
            </w:pPr>
            <w:r>
              <w:rPr>
                <w:b/>
                <w:bCs/>
                <w:szCs w:val="22"/>
                <w:lang w:val="fr-FR"/>
              </w:rPr>
              <w:t>Slovenija</w:t>
            </w:r>
          </w:p>
          <w:p w14:paraId="109AE2C1" w14:textId="77777777" w:rsidR="009B3384" w:rsidRDefault="00800862">
            <w:pPr>
              <w:widowControl w:val="0"/>
              <w:suppressAutoHyphens w:val="0"/>
              <w:rPr>
                <w:szCs w:val="22"/>
                <w:lang w:val="fr-FR"/>
              </w:rPr>
            </w:pPr>
            <w:r>
              <w:rPr>
                <w:szCs w:val="22"/>
                <w:lang w:val="fr-FR"/>
              </w:rPr>
              <w:t xml:space="preserve">Johnson &amp; Johnson </w:t>
            </w:r>
            <w:proofErr w:type="spellStart"/>
            <w:r>
              <w:rPr>
                <w:szCs w:val="22"/>
                <w:lang w:val="fr-FR"/>
              </w:rPr>
              <w:t>d.o.o</w:t>
            </w:r>
            <w:proofErr w:type="spellEnd"/>
            <w:r>
              <w:rPr>
                <w:szCs w:val="22"/>
                <w:lang w:val="fr-FR"/>
              </w:rPr>
              <w:t>.</w:t>
            </w:r>
          </w:p>
          <w:p w14:paraId="109AE2C2" w14:textId="77777777" w:rsidR="009B3384" w:rsidRDefault="00800862">
            <w:pPr>
              <w:widowControl w:val="0"/>
              <w:suppressAutoHyphens w:val="0"/>
              <w:rPr>
                <w:szCs w:val="22"/>
                <w:lang w:val="de-DE"/>
              </w:rPr>
            </w:pPr>
            <w:r>
              <w:rPr>
                <w:szCs w:val="22"/>
                <w:lang w:val="de-DE"/>
              </w:rPr>
              <w:t>Tel: +386 1 401 18 00</w:t>
            </w:r>
          </w:p>
          <w:p w14:paraId="109AE2C4" w14:textId="7D7B26F2" w:rsidR="009B3384" w:rsidRDefault="00800862" w:rsidP="00BC6A43">
            <w:pPr>
              <w:widowControl w:val="0"/>
              <w:rPr>
                <w:szCs w:val="22"/>
                <w:lang w:val="de-DE"/>
              </w:rPr>
            </w:pPr>
            <w:r>
              <w:rPr>
                <w:lang w:val="de-CH"/>
              </w:rPr>
              <w:t>JNJ-SI-safety@its.jnj.com</w:t>
            </w:r>
          </w:p>
          <w:p w14:paraId="109AE2C5" w14:textId="77777777" w:rsidR="009B3384" w:rsidRDefault="009B3384">
            <w:pPr>
              <w:widowControl w:val="0"/>
              <w:suppressAutoHyphens w:val="0"/>
              <w:rPr>
                <w:szCs w:val="22"/>
                <w:lang w:val="de-DE"/>
              </w:rPr>
            </w:pPr>
          </w:p>
        </w:tc>
      </w:tr>
      <w:tr w:rsidR="009B3384" w14:paraId="109AE2D1" w14:textId="77777777">
        <w:trPr>
          <w:gridBefore w:val="1"/>
          <w:wBefore w:w="10" w:type="dxa"/>
          <w:cantSplit/>
          <w:jc w:val="center"/>
        </w:trPr>
        <w:tc>
          <w:tcPr>
            <w:tcW w:w="4260" w:type="dxa"/>
            <w:hideMark/>
          </w:tcPr>
          <w:p w14:paraId="109AE2C7" w14:textId="77777777" w:rsidR="009B3384" w:rsidRDefault="00800862">
            <w:pPr>
              <w:widowControl w:val="0"/>
              <w:suppressAutoHyphens w:val="0"/>
              <w:rPr>
                <w:b/>
                <w:bCs/>
                <w:szCs w:val="22"/>
              </w:rPr>
            </w:pPr>
            <w:r>
              <w:rPr>
                <w:b/>
                <w:bCs/>
                <w:szCs w:val="22"/>
              </w:rPr>
              <w:t>Í</w:t>
            </w:r>
            <w:r>
              <w:rPr>
                <w:b/>
                <w:bCs/>
                <w:szCs w:val="22"/>
                <w:lang w:val="de-DE"/>
              </w:rPr>
              <w:t>sland</w:t>
            </w:r>
          </w:p>
          <w:p w14:paraId="109AE2C8" w14:textId="77777777" w:rsidR="009B3384" w:rsidRDefault="00800862">
            <w:pPr>
              <w:widowControl w:val="0"/>
              <w:suppressAutoHyphens w:val="0"/>
              <w:rPr>
                <w:szCs w:val="22"/>
              </w:rPr>
            </w:pPr>
            <w:r>
              <w:rPr>
                <w:szCs w:val="22"/>
                <w:lang w:val="de-DE"/>
              </w:rPr>
              <w:t>Janssen</w:t>
            </w:r>
            <w:r>
              <w:rPr>
                <w:szCs w:val="22"/>
              </w:rPr>
              <w:t>-</w:t>
            </w:r>
            <w:r>
              <w:rPr>
                <w:szCs w:val="22"/>
                <w:lang w:val="de-DE"/>
              </w:rPr>
              <w:t>Cilag</w:t>
            </w:r>
            <w:r>
              <w:rPr>
                <w:szCs w:val="22"/>
              </w:rPr>
              <w:t xml:space="preserve"> </w:t>
            </w:r>
            <w:r>
              <w:rPr>
                <w:szCs w:val="22"/>
                <w:lang w:val="de-DE"/>
              </w:rPr>
              <w:t>AB</w:t>
            </w:r>
          </w:p>
          <w:p w14:paraId="109AE2C9" w14:textId="77777777" w:rsidR="009B3384" w:rsidRDefault="00800862">
            <w:pPr>
              <w:widowControl w:val="0"/>
              <w:suppressAutoHyphens w:val="0"/>
              <w:rPr>
                <w:szCs w:val="22"/>
              </w:rPr>
            </w:pPr>
            <w:r>
              <w:rPr>
                <w:szCs w:val="22"/>
                <w:lang w:val="de-DE"/>
              </w:rPr>
              <w:t>c</w:t>
            </w:r>
            <w:r>
              <w:rPr>
                <w:szCs w:val="22"/>
              </w:rPr>
              <w:t>/</w:t>
            </w:r>
            <w:r>
              <w:rPr>
                <w:szCs w:val="22"/>
                <w:lang w:val="de-DE"/>
              </w:rPr>
              <w:t>o</w:t>
            </w:r>
            <w:r>
              <w:rPr>
                <w:szCs w:val="22"/>
              </w:rPr>
              <w:t xml:space="preserve"> </w:t>
            </w:r>
            <w:r>
              <w:rPr>
                <w:szCs w:val="22"/>
                <w:lang w:val="de-DE"/>
              </w:rPr>
              <w:t>Vistor</w:t>
            </w:r>
            <w:r>
              <w:rPr>
                <w:szCs w:val="22"/>
              </w:rPr>
              <w:t xml:space="preserve"> е</w:t>
            </w:r>
            <w:r>
              <w:rPr>
                <w:szCs w:val="22"/>
                <w:lang w:val="de-DE"/>
              </w:rPr>
              <w:t>hf</w:t>
            </w:r>
            <w:r>
              <w:rPr>
                <w:szCs w:val="22"/>
              </w:rPr>
              <w:t>.</w:t>
            </w:r>
          </w:p>
          <w:p w14:paraId="109AE2CA" w14:textId="77777777" w:rsidR="009B3384" w:rsidRDefault="00800862">
            <w:pPr>
              <w:widowControl w:val="0"/>
              <w:suppressAutoHyphens w:val="0"/>
              <w:rPr>
                <w:szCs w:val="22"/>
              </w:rPr>
            </w:pPr>
            <w:r>
              <w:rPr>
                <w:szCs w:val="22"/>
                <w:lang w:val="de-DE"/>
              </w:rPr>
              <w:t>S</w:t>
            </w:r>
            <w:r>
              <w:rPr>
                <w:szCs w:val="22"/>
              </w:rPr>
              <w:t>í</w:t>
            </w:r>
            <w:r>
              <w:rPr>
                <w:szCs w:val="22"/>
                <w:lang w:val="de-DE"/>
              </w:rPr>
              <w:t>mi</w:t>
            </w:r>
            <w:r>
              <w:rPr>
                <w:szCs w:val="22"/>
              </w:rPr>
              <w:t>: +354 535 7000</w:t>
            </w:r>
          </w:p>
          <w:p w14:paraId="109AE2CB" w14:textId="77777777" w:rsidR="009B3384" w:rsidRDefault="00800862">
            <w:pPr>
              <w:widowControl w:val="0"/>
              <w:suppressAutoHyphens w:val="0"/>
              <w:rPr>
                <w:szCs w:val="22"/>
                <w:lang w:val="it-IT"/>
              </w:rPr>
            </w:pPr>
            <w:r>
              <w:rPr>
                <w:szCs w:val="22"/>
                <w:lang w:val="en-GB"/>
              </w:rPr>
              <w:t>janssen@vistor.is</w:t>
            </w:r>
          </w:p>
          <w:p w14:paraId="109AE2CC" w14:textId="77777777" w:rsidR="009B3384" w:rsidRDefault="009B3384">
            <w:pPr>
              <w:widowControl w:val="0"/>
              <w:suppressAutoHyphens w:val="0"/>
              <w:rPr>
                <w:szCs w:val="22"/>
                <w:lang w:val="it-IT"/>
              </w:rPr>
            </w:pPr>
          </w:p>
        </w:tc>
        <w:tc>
          <w:tcPr>
            <w:tcW w:w="4805" w:type="dxa"/>
          </w:tcPr>
          <w:p w14:paraId="109AE2CD" w14:textId="77777777" w:rsidR="009B3384" w:rsidRDefault="00800862">
            <w:pPr>
              <w:widowControl w:val="0"/>
              <w:suppressAutoHyphens w:val="0"/>
              <w:rPr>
                <w:b/>
                <w:bCs/>
                <w:szCs w:val="22"/>
                <w:lang w:val="it-IT"/>
              </w:rPr>
            </w:pPr>
            <w:r>
              <w:rPr>
                <w:b/>
                <w:bCs/>
                <w:szCs w:val="22"/>
                <w:lang w:val="it-IT"/>
              </w:rPr>
              <w:t>Slovenská republika</w:t>
            </w:r>
          </w:p>
          <w:p w14:paraId="109AE2CE" w14:textId="77777777" w:rsidR="009B3384" w:rsidRDefault="00800862">
            <w:pPr>
              <w:widowControl w:val="0"/>
              <w:suppressAutoHyphens w:val="0"/>
              <w:rPr>
                <w:szCs w:val="22"/>
                <w:lang w:val="it-IT"/>
              </w:rPr>
            </w:pPr>
            <w:r>
              <w:rPr>
                <w:szCs w:val="22"/>
                <w:lang w:val="it-IT"/>
              </w:rPr>
              <w:t>Johnson &amp; Johnson, s.r.o.</w:t>
            </w:r>
          </w:p>
          <w:p w14:paraId="109AE2CF" w14:textId="77777777" w:rsidR="009B3384" w:rsidRDefault="00800862">
            <w:pPr>
              <w:widowControl w:val="0"/>
              <w:suppressAutoHyphens w:val="0"/>
              <w:rPr>
                <w:szCs w:val="22"/>
                <w:lang w:val="it-IT"/>
              </w:rPr>
            </w:pPr>
            <w:r>
              <w:rPr>
                <w:szCs w:val="22"/>
                <w:lang w:val="it-IT"/>
              </w:rPr>
              <w:t>Tel: +421 232 408 400</w:t>
            </w:r>
          </w:p>
          <w:p w14:paraId="109AE2D0" w14:textId="77777777" w:rsidR="009B3384" w:rsidRDefault="009B3384">
            <w:pPr>
              <w:widowControl w:val="0"/>
              <w:suppressAutoHyphens w:val="0"/>
              <w:rPr>
                <w:szCs w:val="22"/>
                <w:lang w:val="it-IT"/>
              </w:rPr>
            </w:pPr>
          </w:p>
        </w:tc>
      </w:tr>
      <w:tr w:rsidR="009B3384" w14:paraId="109AE2DC" w14:textId="77777777">
        <w:trPr>
          <w:gridBefore w:val="1"/>
          <w:wBefore w:w="10" w:type="dxa"/>
          <w:cantSplit/>
          <w:jc w:val="center"/>
        </w:trPr>
        <w:tc>
          <w:tcPr>
            <w:tcW w:w="4260" w:type="dxa"/>
          </w:tcPr>
          <w:p w14:paraId="109AE2D2" w14:textId="77777777" w:rsidR="009B3384" w:rsidRDefault="00800862">
            <w:pPr>
              <w:widowControl w:val="0"/>
              <w:suppressAutoHyphens w:val="0"/>
              <w:rPr>
                <w:b/>
                <w:bCs/>
                <w:szCs w:val="22"/>
                <w:lang w:val="nl-BE"/>
              </w:rPr>
            </w:pPr>
            <w:r>
              <w:rPr>
                <w:b/>
                <w:bCs/>
                <w:szCs w:val="22"/>
                <w:lang w:val="nl-BE"/>
              </w:rPr>
              <w:t>Italia</w:t>
            </w:r>
          </w:p>
          <w:p w14:paraId="109AE2D3" w14:textId="77777777" w:rsidR="009B3384" w:rsidRDefault="00800862">
            <w:pPr>
              <w:widowControl w:val="0"/>
              <w:suppressAutoHyphens w:val="0"/>
              <w:rPr>
                <w:szCs w:val="22"/>
                <w:lang w:val="nl-BE"/>
              </w:rPr>
            </w:pPr>
            <w:r>
              <w:rPr>
                <w:szCs w:val="22"/>
                <w:lang w:val="nl-BE"/>
              </w:rPr>
              <w:t>Janssen-Cilag SpA</w:t>
            </w:r>
          </w:p>
          <w:p w14:paraId="109AE2D4" w14:textId="77777777" w:rsidR="009B3384" w:rsidRDefault="00800862">
            <w:pPr>
              <w:suppressAutoHyphens w:val="0"/>
              <w:rPr>
                <w:szCs w:val="22"/>
                <w:lang w:val="nl-BE"/>
              </w:rPr>
            </w:pPr>
            <w:r>
              <w:rPr>
                <w:szCs w:val="22"/>
                <w:lang w:val="nl-BE"/>
              </w:rPr>
              <w:t>Tel: 800.688.777 / +39 02 2510 1</w:t>
            </w:r>
          </w:p>
          <w:p w14:paraId="109AE2D5" w14:textId="77777777" w:rsidR="009B3384" w:rsidRDefault="00800862">
            <w:pPr>
              <w:suppressAutoHyphens w:val="0"/>
              <w:rPr>
                <w:szCs w:val="22"/>
                <w:lang w:val="it-IT"/>
              </w:rPr>
            </w:pPr>
            <w:r>
              <w:rPr>
                <w:szCs w:val="22"/>
                <w:lang w:val="en-GB"/>
              </w:rPr>
              <w:t>janssenita@its.jnj.com</w:t>
            </w:r>
          </w:p>
          <w:p w14:paraId="109AE2D6" w14:textId="77777777" w:rsidR="009B3384" w:rsidRDefault="009B3384">
            <w:pPr>
              <w:widowControl w:val="0"/>
              <w:suppressAutoHyphens w:val="0"/>
              <w:rPr>
                <w:szCs w:val="22"/>
                <w:lang w:val="it-IT"/>
              </w:rPr>
            </w:pPr>
          </w:p>
        </w:tc>
        <w:tc>
          <w:tcPr>
            <w:tcW w:w="4805" w:type="dxa"/>
            <w:hideMark/>
          </w:tcPr>
          <w:p w14:paraId="109AE2D7" w14:textId="77777777" w:rsidR="009B3384" w:rsidRDefault="00800862">
            <w:pPr>
              <w:widowControl w:val="0"/>
              <w:suppressAutoHyphens w:val="0"/>
              <w:rPr>
                <w:b/>
                <w:bCs/>
                <w:szCs w:val="22"/>
                <w:lang w:val="it-IT"/>
              </w:rPr>
            </w:pPr>
            <w:r>
              <w:rPr>
                <w:b/>
                <w:bCs/>
                <w:szCs w:val="22"/>
                <w:lang w:val="it-IT"/>
              </w:rPr>
              <w:t>Suomi/Finland</w:t>
            </w:r>
          </w:p>
          <w:p w14:paraId="109AE2D8" w14:textId="77777777" w:rsidR="009B3384" w:rsidRDefault="00800862">
            <w:pPr>
              <w:widowControl w:val="0"/>
              <w:suppressAutoHyphens w:val="0"/>
              <w:rPr>
                <w:szCs w:val="22"/>
                <w:lang w:val="it-IT"/>
              </w:rPr>
            </w:pPr>
            <w:r>
              <w:rPr>
                <w:szCs w:val="22"/>
                <w:lang w:val="it-IT"/>
              </w:rPr>
              <w:t>Janssen-Cilag Oy</w:t>
            </w:r>
          </w:p>
          <w:p w14:paraId="109AE2D9" w14:textId="77777777" w:rsidR="009B3384" w:rsidRDefault="00800862">
            <w:pPr>
              <w:widowControl w:val="0"/>
              <w:suppressAutoHyphens w:val="0"/>
              <w:rPr>
                <w:szCs w:val="22"/>
                <w:lang w:val="nl-NL"/>
              </w:rPr>
            </w:pPr>
            <w:r>
              <w:rPr>
                <w:szCs w:val="22"/>
                <w:lang w:val="nl-NL"/>
              </w:rPr>
              <w:t>Puh/Tel: +358 207 531 300</w:t>
            </w:r>
          </w:p>
          <w:p w14:paraId="109AE2DA" w14:textId="77777777" w:rsidR="009B3384" w:rsidRDefault="00800862">
            <w:pPr>
              <w:widowControl w:val="0"/>
              <w:suppressAutoHyphens w:val="0"/>
              <w:rPr>
                <w:szCs w:val="22"/>
                <w:lang w:val="en-GB"/>
              </w:rPr>
            </w:pPr>
            <w:r>
              <w:rPr>
                <w:szCs w:val="22"/>
                <w:lang w:val="en-GB"/>
              </w:rPr>
              <w:t>jacfi@its.jnj.com</w:t>
            </w:r>
          </w:p>
          <w:p w14:paraId="109AE2DB" w14:textId="77777777" w:rsidR="009B3384" w:rsidRDefault="009B3384">
            <w:pPr>
              <w:widowControl w:val="0"/>
              <w:suppressAutoHyphens w:val="0"/>
              <w:rPr>
                <w:szCs w:val="22"/>
                <w:lang w:val="en-GB"/>
              </w:rPr>
            </w:pPr>
          </w:p>
        </w:tc>
      </w:tr>
      <w:tr w:rsidR="009B3384" w14:paraId="109AE2E6" w14:textId="77777777">
        <w:trPr>
          <w:gridBefore w:val="1"/>
          <w:wBefore w:w="10" w:type="dxa"/>
          <w:cantSplit/>
          <w:jc w:val="center"/>
        </w:trPr>
        <w:tc>
          <w:tcPr>
            <w:tcW w:w="4260" w:type="dxa"/>
            <w:hideMark/>
          </w:tcPr>
          <w:p w14:paraId="109AE2DD" w14:textId="77777777" w:rsidR="009B3384" w:rsidRDefault="00800862">
            <w:pPr>
              <w:widowControl w:val="0"/>
              <w:suppressAutoHyphens w:val="0"/>
              <w:rPr>
                <w:b/>
                <w:bCs/>
                <w:szCs w:val="22"/>
                <w:lang w:val="el-GR"/>
              </w:rPr>
            </w:pPr>
            <w:r>
              <w:rPr>
                <w:b/>
                <w:bCs/>
                <w:szCs w:val="22"/>
                <w:lang w:val="el-GR"/>
              </w:rPr>
              <w:t>Κύπρος</w:t>
            </w:r>
          </w:p>
          <w:p w14:paraId="109AE2DE" w14:textId="77777777" w:rsidR="009B3384" w:rsidRDefault="00800862">
            <w:pPr>
              <w:widowControl w:val="0"/>
              <w:suppressAutoHyphens w:val="0"/>
              <w:rPr>
                <w:szCs w:val="22"/>
                <w:lang w:val="el-GR"/>
              </w:rPr>
            </w:pPr>
            <w:r>
              <w:rPr>
                <w:szCs w:val="22"/>
                <w:lang w:val="el-GR"/>
              </w:rPr>
              <w:t>Βαρνάβας Χατζηπαναγής Λτδ</w:t>
            </w:r>
          </w:p>
          <w:p w14:paraId="109AE2DF" w14:textId="77777777" w:rsidR="009B3384" w:rsidRDefault="00800862">
            <w:pPr>
              <w:widowControl w:val="0"/>
              <w:suppressAutoHyphens w:val="0"/>
              <w:rPr>
                <w:szCs w:val="22"/>
                <w:lang w:val="el-GR"/>
              </w:rPr>
            </w:pPr>
            <w:r>
              <w:rPr>
                <w:szCs w:val="22"/>
                <w:lang w:val="en-GB"/>
              </w:rPr>
              <w:t>T</w:t>
            </w:r>
            <w:r>
              <w:rPr>
                <w:szCs w:val="22"/>
                <w:lang w:val="el-GR"/>
              </w:rPr>
              <w:t>ηλ: +357 22 207 700</w:t>
            </w:r>
          </w:p>
          <w:p w14:paraId="109AE2E0" w14:textId="77777777" w:rsidR="009B3384" w:rsidRDefault="009B3384">
            <w:pPr>
              <w:widowControl w:val="0"/>
              <w:suppressAutoHyphens w:val="0"/>
              <w:rPr>
                <w:szCs w:val="22"/>
                <w:lang w:val="el-GR"/>
              </w:rPr>
            </w:pPr>
          </w:p>
        </w:tc>
        <w:tc>
          <w:tcPr>
            <w:tcW w:w="4805" w:type="dxa"/>
          </w:tcPr>
          <w:p w14:paraId="109AE2E1" w14:textId="77777777" w:rsidR="009B3384" w:rsidRDefault="00800862">
            <w:pPr>
              <w:widowControl w:val="0"/>
              <w:suppressAutoHyphens w:val="0"/>
              <w:rPr>
                <w:b/>
                <w:bCs/>
                <w:szCs w:val="22"/>
                <w:lang w:val="de-DE"/>
              </w:rPr>
            </w:pPr>
            <w:r>
              <w:rPr>
                <w:b/>
                <w:bCs/>
                <w:szCs w:val="22"/>
                <w:lang w:val="de-DE"/>
              </w:rPr>
              <w:t>Sverige</w:t>
            </w:r>
          </w:p>
          <w:p w14:paraId="109AE2E2" w14:textId="77777777" w:rsidR="009B3384" w:rsidRDefault="00800862">
            <w:pPr>
              <w:widowControl w:val="0"/>
              <w:suppressAutoHyphens w:val="0"/>
              <w:rPr>
                <w:szCs w:val="22"/>
                <w:lang w:val="de-DE"/>
              </w:rPr>
            </w:pPr>
            <w:r>
              <w:rPr>
                <w:szCs w:val="22"/>
                <w:lang w:val="de-DE"/>
              </w:rPr>
              <w:t>Janssen-Cilag AB</w:t>
            </w:r>
          </w:p>
          <w:p w14:paraId="109AE2E3" w14:textId="77777777" w:rsidR="009B3384" w:rsidRDefault="00800862">
            <w:pPr>
              <w:widowControl w:val="0"/>
              <w:suppressAutoHyphens w:val="0"/>
              <w:rPr>
                <w:szCs w:val="22"/>
                <w:lang w:val="de-DE"/>
              </w:rPr>
            </w:pPr>
            <w:r>
              <w:rPr>
                <w:szCs w:val="22"/>
                <w:lang w:val="de-DE"/>
              </w:rPr>
              <w:t>Tfn: +46 8 626 50 00</w:t>
            </w:r>
          </w:p>
          <w:p w14:paraId="109AE2E4" w14:textId="77777777" w:rsidR="009B3384" w:rsidRDefault="00800862">
            <w:pPr>
              <w:widowControl w:val="0"/>
              <w:suppressAutoHyphens w:val="0"/>
              <w:rPr>
                <w:szCs w:val="22"/>
                <w:lang w:val="en-GB"/>
              </w:rPr>
            </w:pPr>
            <w:r>
              <w:rPr>
                <w:szCs w:val="22"/>
                <w:lang w:val="en-GB"/>
              </w:rPr>
              <w:t>jacse@its.jnj.com</w:t>
            </w:r>
          </w:p>
          <w:p w14:paraId="109AE2E5" w14:textId="77777777" w:rsidR="009B3384" w:rsidRDefault="009B3384">
            <w:pPr>
              <w:widowControl w:val="0"/>
              <w:suppressAutoHyphens w:val="0"/>
              <w:rPr>
                <w:szCs w:val="22"/>
                <w:lang w:val="en-GB"/>
              </w:rPr>
            </w:pPr>
          </w:p>
        </w:tc>
      </w:tr>
      <w:tr w:rsidR="009B3384" w14:paraId="109AE2F0" w14:textId="77777777">
        <w:trPr>
          <w:gridBefore w:val="1"/>
          <w:wBefore w:w="10" w:type="dxa"/>
          <w:cantSplit/>
          <w:jc w:val="center"/>
        </w:trPr>
        <w:tc>
          <w:tcPr>
            <w:tcW w:w="4260" w:type="dxa"/>
            <w:hideMark/>
          </w:tcPr>
          <w:p w14:paraId="109AE2E7" w14:textId="77777777" w:rsidR="009B3384" w:rsidRDefault="00800862">
            <w:pPr>
              <w:widowControl w:val="0"/>
              <w:suppressAutoHyphens w:val="0"/>
              <w:rPr>
                <w:b/>
                <w:bCs/>
                <w:szCs w:val="22"/>
              </w:rPr>
            </w:pPr>
            <w:proofErr w:type="spellStart"/>
            <w:r>
              <w:rPr>
                <w:b/>
                <w:bCs/>
                <w:szCs w:val="22"/>
                <w:lang w:val="en-GB"/>
              </w:rPr>
              <w:t>Latvija</w:t>
            </w:r>
            <w:proofErr w:type="spellEnd"/>
          </w:p>
          <w:p w14:paraId="109AE2E8" w14:textId="77777777" w:rsidR="009B3384" w:rsidRDefault="00800862">
            <w:pPr>
              <w:widowControl w:val="0"/>
              <w:suppressAutoHyphens w:val="0"/>
              <w:rPr>
                <w:szCs w:val="22"/>
              </w:rPr>
            </w:pPr>
            <w:r>
              <w:rPr>
                <w:szCs w:val="22"/>
                <w:lang w:val="en-GB"/>
              </w:rPr>
              <w:t>UAB</w:t>
            </w:r>
            <w:r>
              <w:rPr>
                <w:szCs w:val="22"/>
              </w:rPr>
              <w:t xml:space="preserve"> "</w:t>
            </w:r>
            <w:r>
              <w:rPr>
                <w:szCs w:val="22"/>
                <w:lang w:val="en-GB"/>
              </w:rPr>
              <w:t>JOHNSON</w:t>
            </w:r>
            <w:r>
              <w:rPr>
                <w:szCs w:val="22"/>
              </w:rPr>
              <w:t xml:space="preserve"> &amp; </w:t>
            </w:r>
            <w:r>
              <w:rPr>
                <w:szCs w:val="22"/>
                <w:lang w:val="en-GB"/>
              </w:rPr>
              <w:t>JOHNSON</w:t>
            </w:r>
            <w:r>
              <w:rPr>
                <w:szCs w:val="22"/>
              </w:rPr>
              <w:t xml:space="preserve">" </w:t>
            </w:r>
            <w:proofErr w:type="spellStart"/>
            <w:r>
              <w:rPr>
                <w:szCs w:val="22"/>
                <w:lang w:val="en-GB"/>
              </w:rPr>
              <w:t>fili</w:t>
            </w:r>
            <w:proofErr w:type="spellEnd"/>
            <w:r>
              <w:rPr>
                <w:szCs w:val="22"/>
              </w:rPr>
              <w:t>ā</w:t>
            </w:r>
            <w:r>
              <w:rPr>
                <w:szCs w:val="22"/>
                <w:lang w:val="en-GB"/>
              </w:rPr>
              <w:t>le</w:t>
            </w:r>
            <w:r>
              <w:rPr>
                <w:szCs w:val="22"/>
              </w:rPr>
              <w:t xml:space="preserve"> </w:t>
            </w:r>
            <w:proofErr w:type="spellStart"/>
            <w:r>
              <w:rPr>
                <w:szCs w:val="22"/>
                <w:lang w:val="en-GB"/>
              </w:rPr>
              <w:t>Latvij</w:t>
            </w:r>
            <w:proofErr w:type="spellEnd"/>
            <w:r>
              <w:rPr>
                <w:szCs w:val="22"/>
              </w:rPr>
              <w:t>ā</w:t>
            </w:r>
          </w:p>
          <w:p w14:paraId="109AE2E9" w14:textId="77777777" w:rsidR="009B3384" w:rsidRDefault="00800862">
            <w:pPr>
              <w:widowControl w:val="0"/>
              <w:suppressAutoHyphens w:val="0"/>
              <w:rPr>
                <w:szCs w:val="22"/>
                <w:lang w:val="en-GB"/>
              </w:rPr>
            </w:pPr>
            <w:r>
              <w:rPr>
                <w:szCs w:val="22"/>
                <w:lang w:val="en-GB"/>
              </w:rPr>
              <w:t>Tel: +371 678 93561</w:t>
            </w:r>
          </w:p>
          <w:p w14:paraId="109AE2EA" w14:textId="77777777" w:rsidR="009B3384" w:rsidRDefault="00800862">
            <w:pPr>
              <w:widowControl w:val="0"/>
              <w:suppressAutoHyphens w:val="0"/>
              <w:rPr>
                <w:b/>
                <w:bCs/>
                <w:szCs w:val="22"/>
                <w:lang w:val="en-GB"/>
              </w:rPr>
            </w:pPr>
            <w:r>
              <w:rPr>
                <w:szCs w:val="22"/>
                <w:lang w:val="en-GB"/>
              </w:rPr>
              <w:t>lv@its.jnj.com</w:t>
            </w:r>
          </w:p>
          <w:p w14:paraId="109AE2EB" w14:textId="77777777" w:rsidR="009B3384" w:rsidRDefault="009B3384">
            <w:pPr>
              <w:widowControl w:val="0"/>
              <w:suppressAutoHyphens w:val="0"/>
              <w:rPr>
                <w:b/>
                <w:bCs/>
                <w:szCs w:val="22"/>
                <w:lang w:val="en-GB"/>
              </w:rPr>
            </w:pPr>
          </w:p>
        </w:tc>
        <w:tc>
          <w:tcPr>
            <w:tcW w:w="4805" w:type="dxa"/>
          </w:tcPr>
          <w:p w14:paraId="109AE2EF" w14:textId="243AE1B8" w:rsidR="009B3384" w:rsidRDefault="009B3384">
            <w:pPr>
              <w:widowControl w:val="0"/>
              <w:suppressAutoHyphens w:val="0"/>
              <w:rPr>
                <w:b/>
                <w:bCs/>
                <w:szCs w:val="22"/>
                <w:lang w:val="de-DE"/>
              </w:rPr>
            </w:pPr>
          </w:p>
        </w:tc>
      </w:tr>
    </w:tbl>
    <w:p w14:paraId="109AE2F1" w14:textId="77777777" w:rsidR="009B3384" w:rsidRDefault="009B3384">
      <w:pPr>
        <w:widowControl w:val="0"/>
        <w:suppressAutoHyphens w:val="0"/>
        <w:rPr>
          <w:szCs w:val="22"/>
          <w:lang w:val="de-DE"/>
        </w:rPr>
      </w:pPr>
    </w:p>
    <w:p w14:paraId="109AE2F2" w14:textId="77777777" w:rsidR="009B3384" w:rsidRDefault="00800862">
      <w:pPr>
        <w:rPr>
          <w:szCs w:val="22"/>
        </w:rPr>
      </w:pPr>
      <w:r>
        <w:rPr>
          <w:b/>
          <w:szCs w:val="22"/>
        </w:rPr>
        <w:t>Дата на последно преразглеждане на листовката</w:t>
      </w:r>
    </w:p>
    <w:p w14:paraId="109AE2F3" w14:textId="77777777" w:rsidR="009B3384" w:rsidRDefault="009B3384">
      <w:pPr>
        <w:rPr>
          <w:szCs w:val="22"/>
        </w:rPr>
      </w:pPr>
    </w:p>
    <w:p w14:paraId="109AE2F4" w14:textId="77777777" w:rsidR="009B3384" w:rsidRDefault="00800862">
      <w:pPr>
        <w:rPr>
          <w:szCs w:val="22"/>
        </w:rPr>
      </w:pPr>
      <w:r>
        <w:rPr>
          <w:szCs w:val="22"/>
        </w:rPr>
        <w:t xml:space="preserve">Подробна информация за това лекарство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r>
        <w:br w:type="page"/>
      </w:r>
    </w:p>
    <w:p w14:paraId="109AE2F5" w14:textId="77777777" w:rsidR="009B3384" w:rsidRDefault="00800862">
      <w:pPr>
        <w:rPr>
          <w:b/>
          <w:szCs w:val="22"/>
        </w:rPr>
      </w:pPr>
      <w:r>
        <w:rPr>
          <w:b/>
          <w:szCs w:val="22"/>
        </w:rPr>
        <w:lastRenderedPageBreak/>
        <w:t>Указания за приложение</w:t>
      </w:r>
    </w:p>
    <w:p w14:paraId="109AE2F6" w14:textId="77777777" w:rsidR="009B3384" w:rsidRDefault="009B3384"/>
    <w:p w14:paraId="109AE2F7" w14:textId="77777777" w:rsidR="009B3384" w:rsidRDefault="00800862">
      <w:pPr>
        <w:rPr>
          <w:szCs w:val="22"/>
        </w:rPr>
      </w:pPr>
      <w:r>
        <w:rPr>
          <w:szCs w:val="22"/>
        </w:rPr>
        <w:t xml:space="preserve">В началото на лечението медицински специалист ще Ви постави Вашата първа инжекция. Вие и Вашият лекар обаче може да решите, че Вие сами може да си инжектирате Stelara. В такъв случай ще преминете обучение как да инжектирате Stelara. </w:t>
      </w:r>
      <w:r>
        <w:rPr>
          <w:bCs/>
          <w:szCs w:val="22"/>
        </w:rPr>
        <w:t>Говорете с Вашия лекар, ако имате въпроси относно поставянето на инжекцията.</w:t>
      </w:r>
    </w:p>
    <w:p w14:paraId="109AE2F8" w14:textId="77777777" w:rsidR="009B3384" w:rsidRDefault="00800862">
      <w:pPr>
        <w:numPr>
          <w:ilvl w:val="0"/>
          <w:numId w:val="30"/>
        </w:numPr>
        <w:tabs>
          <w:tab w:val="clear" w:pos="567"/>
        </w:tabs>
        <w:rPr>
          <w:bCs/>
        </w:rPr>
      </w:pPr>
      <w:r>
        <w:t>Не смесвайте Stelara с други течности за инжекция.</w:t>
      </w:r>
    </w:p>
    <w:p w14:paraId="109AE2F9" w14:textId="77777777" w:rsidR="009B3384" w:rsidRDefault="00800862">
      <w:pPr>
        <w:numPr>
          <w:ilvl w:val="0"/>
          <w:numId w:val="30"/>
        </w:numPr>
        <w:tabs>
          <w:tab w:val="clear" w:pos="567"/>
        </w:tabs>
        <w:rPr>
          <w:bCs/>
        </w:rPr>
      </w:pPr>
      <w:r>
        <w:t>Не разклащайте предварително напълнените спринцовки Stelara. Причината за това е, че силното разклащане може да повреди лекарството. Не употребявайте лекарството, ако е било силно разклатено.</w:t>
      </w:r>
    </w:p>
    <w:p w14:paraId="109AE2FA" w14:textId="77777777" w:rsidR="009B3384" w:rsidRDefault="009B3384"/>
    <w:p w14:paraId="109AE2FB" w14:textId="77777777" w:rsidR="009B3384" w:rsidRDefault="00800862">
      <w:r>
        <w:t>На фигура 1 е показано как изглежда предварително напълнената спринцовка.</w:t>
      </w:r>
    </w:p>
    <w:p w14:paraId="109AE2FC" w14:textId="77777777" w:rsidR="009B3384" w:rsidRDefault="009B3384"/>
    <w:p w14:paraId="109AE2FD" w14:textId="77777777" w:rsidR="009B3384" w:rsidRDefault="00800862">
      <w:pPr>
        <w:keepNext/>
        <w:jc w:val="center"/>
      </w:pPr>
      <w:r>
        <w:rPr>
          <w:noProof/>
          <w:lang w:eastAsia="bg-BG"/>
        </w:rPr>
        <w:drawing>
          <wp:inline distT="0" distB="0" distL="0" distR="0" wp14:anchorId="109AEA1B" wp14:editId="109AEA1C">
            <wp:extent cx="5848350" cy="2562225"/>
            <wp:effectExtent l="0" t="0" r="0" b="0"/>
            <wp:docPr id="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pic:cNvPicPr>
                      <a:picLocks noChangeAspect="1" noChangeArrowheads="1"/>
                    </pic:cNvPicPr>
                  </pic:nvPicPr>
                  <pic:blipFill>
                    <a:blip r:embed="rId21"/>
                    <a:stretch>
                      <a:fillRect/>
                    </a:stretch>
                  </pic:blipFill>
                  <pic:spPr bwMode="auto">
                    <a:xfrm>
                      <a:off x="0" y="0"/>
                      <a:ext cx="5848350" cy="2562225"/>
                    </a:xfrm>
                    <a:prstGeom prst="rect">
                      <a:avLst/>
                    </a:prstGeom>
                  </pic:spPr>
                </pic:pic>
              </a:graphicData>
            </a:graphic>
          </wp:inline>
        </w:drawing>
      </w:r>
    </w:p>
    <w:p w14:paraId="109AE2FE" w14:textId="77777777" w:rsidR="009B3384" w:rsidRDefault="00800862">
      <w:pPr>
        <w:jc w:val="center"/>
        <w:rPr>
          <w:szCs w:val="22"/>
        </w:rPr>
      </w:pPr>
      <w:r>
        <w:rPr>
          <w:szCs w:val="22"/>
        </w:rPr>
        <w:t>Фигура 1</w:t>
      </w:r>
    </w:p>
    <w:p w14:paraId="109AE2FF" w14:textId="77777777" w:rsidR="009B3384" w:rsidRDefault="009B3384">
      <w:pPr>
        <w:jc w:val="center"/>
        <w:rPr>
          <w:szCs w:val="22"/>
        </w:rPr>
      </w:pPr>
    </w:p>
    <w:p w14:paraId="109AE300" w14:textId="77777777" w:rsidR="009B3384" w:rsidRDefault="00800862">
      <w:pPr>
        <w:keepNext/>
        <w:rPr>
          <w:b/>
          <w:bCs/>
          <w:szCs w:val="18"/>
        </w:rPr>
      </w:pPr>
      <w:r>
        <w:rPr>
          <w:b/>
          <w:bCs/>
          <w:szCs w:val="18"/>
        </w:rPr>
        <w:t>1. Проверете броя на предварително напълнените спринцовки и подгответе материалите:</w:t>
      </w:r>
    </w:p>
    <w:p w14:paraId="109AE301" w14:textId="77777777" w:rsidR="009B3384" w:rsidRDefault="00800862">
      <w:r>
        <w:t>Подготовка за използване на предварително напълнената спринцовка</w:t>
      </w:r>
    </w:p>
    <w:p w14:paraId="109AE302" w14:textId="77777777" w:rsidR="009B3384" w:rsidRDefault="00800862">
      <w:pPr>
        <w:numPr>
          <w:ilvl w:val="0"/>
          <w:numId w:val="30"/>
        </w:numPr>
        <w:tabs>
          <w:tab w:val="clear" w:pos="567"/>
        </w:tabs>
        <w:rPr>
          <w:bCs/>
        </w:rPr>
      </w:pPr>
      <w:r>
        <w:t>Извадете предварително напълнената спринцовка/спринцовки от хладилника. Оставете я да престои около половин час извън кутията. Това ще позволи на течността да достигне подходяща температура за инжектиране (стайна температура). Н</w:t>
      </w:r>
      <w:r>
        <w:rPr>
          <w:szCs w:val="24"/>
        </w:rPr>
        <w:t>е сваляйте капачката на иглата, докато течността не достигне стайна температура.</w:t>
      </w:r>
    </w:p>
    <w:p w14:paraId="109AE303" w14:textId="77777777" w:rsidR="009B3384" w:rsidRDefault="00800862">
      <w:pPr>
        <w:numPr>
          <w:ilvl w:val="0"/>
          <w:numId w:val="30"/>
        </w:numPr>
        <w:tabs>
          <w:tab w:val="clear" w:pos="567"/>
        </w:tabs>
        <w:rPr>
          <w:bCs/>
        </w:rPr>
      </w:pPr>
      <w:r>
        <w:t>Хванете корпуса на спринцовката така, че покритата с капачка игла да сочи нагоре.</w:t>
      </w:r>
    </w:p>
    <w:p w14:paraId="109AE304" w14:textId="77777777" w:rsidR="009B3384" w:rsidRDefault="00800862">
      <w:pPr>
        <w:numPr>
          <w:ilvl w:val="0"/>
          <w:numId w:val="30"/>
        </w:numPr>
        <w:tabs>
          <w:tab w:val="clear" w:pos="567"/>
        </w:tabs>
        <w:rPr>
          <w:bCs/>
        </w:rPr>
      </w:pPr>
      <w:r>
        <w:t>Не хващайте главата на буталото, буталото, страниците на предпазителя на иглата или капачката на иглата.</w:t>
      </w:r>
    </w:p>
    <w:p w14:paraId="109AE305" w14:textId="77777777" w:rsidR="009B3384" w:rsidRDefault="00800862">
      <w:pPr>
        <w:numPr>
          <w:ilvl w:val="0"/>
          <w:numId w:val="30"/>
        </w:numPr>
        <w:tabs>
          <w:tab w:val="clear" w:pos="567"/>
        </w:tabs>
        <w:rPr>
          <w:bCs/>
        </w:rPr>
      </w:pPr>
      <w:r>
        <w:t>Не издърпвайте буталото.</w:t>
      </w:r>
    </w:p>
    <w:p w14:paraId="109AE306" w14:textId="77777777" w:rsidR="009B3384" w:rsidRDefault="00800862">
      <w:pPr>
        <w:numPr>
          <w:ilvl w:val="0"/>
          <w:numId w:val="30"/>
        </w:numPr>
        <w:tabs>
          <w:tab w:val="clear" w:pos="567"/>
        </w:tabs>
        <w:rPr>
          <w:bCs/>
        </w:rPr>
      </w:pPr>
      <w:r>
        <w:t>Не сваляйте капачката на иглата от спринцовката, докато не прочетете в инструкцията за това.</w:t>
      </w:r>
    </w:p>
    <w:p w14:paraId="109AE307" w14:textId="77777777" w:rsidR="009B3384" w:rsidRDefault="00800862">
      <w:pPr>
        <w:numPr>
          <w:ilvl w:val="0"/>
          <w:numId w:val="30"/>
        </w:numPr>
        <w:tabs>
          <w:tab w:val="clear" w:pos="567"/>
        </w:tabs>
        <w:rPr>
          <w:bCs/>
        </w:rPr>
      </w:pPr>
      <w:r>
        <w:t>Не докосвайте активиращите скоби на предпазителя на иглата (указани със звездичка * на фигура 1), за да избегнете преждевременното покриване на иглата с предпазителя.</w:t>
      </w:r>
    </w:p>
    <w:p w14:paraId="109AE308" w14:textId="77777777" w:rsidR="009B3384" w:rsidRDefault="009B3384"/>
    <w:p w14:paraId="109AE309" w14:textId="77777777" w:rsidR="009B3384" w:rsidRDefault="00800862">
      <w:r>
        <w:t>Проверете предварително напълнената спринцовка/спринцовки, за да се уверите, че</w:t>
      </w:r>
    </w:p>
    <w:p w14:paraId="109AE30A" w14:textId="77777777" w:rsidR="009B3384" w:rsidRDefault="00800862">
      <w:pPr>
        <w:numPr>
          <w:ilvl w:val="0"/>
          <w:numId w:val="30"/>
        </w:numPr>
        <w:tabs>
          <w:tab w:val="clear" w:pos="567"/>
        </w:tabs>
        <w:rPr>
          <w:bCs/>
        </w:rPr>
      </w:pPr>
      <w:r>
        <w:t>броят на предварително напълнените спринцовки и количеството на активното вещество в дозова единица са верни</w:t>
      </w:r>
    </w:p>
    <w:p w14:paraId="109AE30B" w14:textId="77777777" w:rsidR="009B3384" w:rsidRDefault="00800862">
      <w:pPr>
        <w:numPr>
          <w:ilvl w:val="0"/>
          <w:numId w:val="29"/>
        </w:numPr>
        <w:ind w:left="1134" w:hanging="567"/>
      </w:pPr>
      <w:r>
        <w:t>ако Вашата доза е 45 mg, ще получите една 45 mg предварително напълнена спринцовка Stelara;</w:t>
      </w:r>
    </w:p>
    <w:p w14:paraId="109AE30C" w14:textId="77777777" w:rsidR="009B3384" w:rsidRDefault="00800862">
      <w:pPr>
        <w:numPr>
          <w:ilvl w:val="0"/>
          <w:numId w:val="29"/>
        </w:numPr>
        <w:ind w:left="1134" w:hanging="567"/>
      </w:pPr>
      <w:r>
        <w:t>ако Вашата доза е 90 mg, ще получите две 45 mg предварително напълнени спринцовки Stelara и ще трябва да си поставите две инжекции. Изберете две различни места на инжектиране (например едната инжекция в дясното бедро, а другата – в лявото) и ги направете една след друга;</w:t>
      </w:r>
    </w:p>
    <w:p w14:paraId="109AE30D" w14:textId="77777777" w:rsidR="009B3384" w:rsidRDefault="00800862">
      <w:pPr>
        <w:numPr>
          <w:ilvl w:val="0"/>
          <w:numId w:val="30"/>
        </w:numPr>
        <w:tabs>
          <w:tab w:val="clear" w:pos="567"/>
        </w:tabs>
        <w:rPr>
          <w:bCs/>
        </w:rPr>
      </w:pPr>
      <w:r>
        <w:t>това е правилното лекарство;</w:t>
      </w:r>
    </w:p>
    <w:p w14:paraId="109AE30E" w14:textId="77777777" w:rsidR="009B3384" w:rsidRDefault="00800862">
      <w:pPr>
        <w:numPr>
          <w:ilvl w:val="0"/>
          <w:numId w:val="30"/>
        </w:numPr>
        <w:tabs>
          <w:tab w:val="clear" w:pos="567"/>
        </w:tabs>
        <w:rPr>
          <w:bCs/>
        </w:rPr>
      </w:pPr>
      <w:r>
        <w:lastRenderedPageBreak/>
        <w:t>срокът на годност не е изтекъл;</w:t>
      </w:r>
    </w:p>
    <w:p w14:paraId="109AE30F" w14:textId="77777777" w:rsidR="009B3384" w:rsidRDefault="00800862">
      <w:pPr>
        <w:numPr>
          <w:ilvl w:val="0"/>
          <w:numId w:val="30"/>
        </w:numPr>
        <w:tabs>
          <w:tab w:val="clear" w:pos="567"/>
        </w:tabs>
        <w:rPr>
          <w:bCs/>
        </w:rPr>
      </w:pPr>
      <w:r>
        <w:t>предварително напълнената спринцовка не е повредена;</w:t>
      </w:r>
    </w:p>
    <w:p w14:paraId="109AE310" w14:textId="77777777" w:rsidR="009B3384" w:rsidRDefault="00800862">
      <w:pPr>
        <w:numPr>
          <w:ilvl w:val="0"/>
          <w:numId w:val="30"/>
        </w:numPr>
        <w:tabs>
          <w:tab w:val="clear" w:pos="567"/>
        </w:tabs>
        <w:rPr>
          <w:bCs/>
        </w:rPr>
      </w:pPr>
      <w:r>
        <w:rPr>
          <w:szCs w:val="22"/>
        </w:rPr>
        <w:t xml:space="preserve">разтворът в спринцовката е </w:t>
      </w:r>
      <w:r>
        <w:t>бистър</w:t>
      </w:r>
      <w:r>
        <w:rPr>
          <w:szCs w:val="22"/>
        </w:rPr>
        <w:t xml:space="preserve"> до леко опалесцентен (с перлен блясък) и безцветен до бледо жълт;</w:t>
      </w:r>
    </w:p>
    <w:p w14:paraId="109AE311" w14:textId="77777777" w:rsidR="009B3384" w:rsidRDefault="00800862">
      <w:pPr>
        <w:numPr>
          <w:ilvl w:val="0"/>
          <w:numId w:val="30"/>
        </w:numPr>
        <w:tabs>
          <w:tab w:val="clear" w:pos="567"/>
        </w:tabs>
        <w:rPr>
          <w:bCs/>
        </w:rPr>
      </w:pPr>
      <w:r>
        <w:rPr>
          <w:szCs w:val="22"/>
        </w:rPr>
        <w:t>разтворът в спринцовката не е с променен цвят или мътен и не съдържа чужди частици</w:t>
      </w:r>
      <w:r>
        <w:t>;</w:t>
      </w:r>
    </w:p>
    <w:p w14:paraId="109AE312" w14:textId="77777777" w:rsidR="009B3384" w:rsidRDefault="00800862">
      <w:pPr>
        <w:numPr>
          <w:ilvl w:val="0"/>
          <w:numId w:val="30"/>
        </w:numPr>
        <w:tabs>
          <w:tab w:val="clear" w:pos="567"/>
        </w:tabs>
        <w:rPr>
          <w:bCs/>
        </w:rPr>
      </w:pPr>
      <w:r>
        <w:rPr>
          <w:szCs w:val="22"/>
        </w:rPr>
        <w:t>разтворът в спринцовката не е замръзнал</w:t>
      </w:r>
      <w:r>
        <w:t>.</w:t>
      </w:r>
    </w:p>
    <w:p w14:paraId="109AE313" w14:textId="77777777" w:rsidR="009B3384" w:rsidRDefault="009B3384"/>
    <w:p w14:paraId="109AE314" w14:textId="77777777" w:rsidR="009B3384" w:rsidRDefault="00800862">
      <w:pPr>
        <w:tabs>
          <w:tab w:val="clear" w:pos="567"/>
        </w:tabs>
        <w:rPr>
          <w:bCs/>
        </w:rPr>
      </w:pPr>
      <w:r>
        <w:t xml:space="preserve">Съберете всички материали, от които се нуждаете и ги поставете върху чиста повърхност. Те включват антисептични </w:t>
      </w:r>
      <w:r>
        <w:rPr>
          <w:bCs/>
          <w:szCs w:val="22"/>
        </w:rPr>
        <w:t>кърпички</w:t>
      </w:r>
      <w:r>
        <w:t>, памучни тампони или марли и контейнер за остри предмети.</w:t>
      </w:r>
    </w:p>
    <w:p w14:paraId="109AE315" w14:textId="77777777" w:rsidR="009B3384" w:rsidRDefault="009B3384">
      <w:pPr>
        <w:tabs>
          <w:tab w:val="left" w:pos="1710"/>
        </w:tabs>
        <w:rPr>
          <w:szCs w:val="22"/>
        </w:rPr>
      </w:pPr>
    </w:p>
    <w:p w14:paraId="109AE316" w14:textId="77777777" w:rsidR="009B3384" w:rsidRDefault="00800862">
      <w:pPr>
        <w:keepNext/>
        <w:rPr>
          <w:b/>
        </w:rPr>
      </w:pPr>
      <w:r>
        <w:rPr>
          <w:b/>
        </w:rPr>
        <w:t>2. Изберете и подгответе мястото за инжектиране:</w:t>
      </w:r>
    </w:p>
    <w:p w14:paraId="109AE317" w14:textId="77777777" w:rsidR="009B3384" w:rsidRDefault="00800862">
      <w:pPr>
        <w:rPr>
          <w:szCs w:val="22"/>
        </w:rPr>
      </w:pPr>
      <w:r>
        <w:rPr>
          <w:szCs w:val="22"/>
        </w:rPr>
        <w:t>Изберете място за инжектиране (вж. фигура 2)</w:t>
      </w:r>
    </w:p>
    <w:p w14:paraId="109AE318" w14:textId="77777777" w:rsidR="009B3384" w:rsidRDefault="00800862">
      <w:pPr>
        <w:numPr>
          <w:ilvl w:val="0"/>
          <w:numId w:val="30"/>
        </w:numPr>
        <w:tabs>
          <w:tab w:val="clear" w:pos="567"/>
        </w:tabs>
        <w:rPr>
          <w:bCs/>
          <w:szCs w:val="22"/>
        </w:rPr>
      </w:pPr>
      <w:r>
        <w:rPr>
          <w:bCs/>
          <w:szCs w:val="22"/>
        </w:rPr>
        <w:t>Stelara се прилага чрез инжекция под кожата (подкожно).</w:t>
      </w:r>
    </w:p>
    <w:p w14:paraId="109AE319" w14:textId="77777777" w:rsidR="009B3384" w:rsidRDefault="00800862">
      <w:pPr>
        <w:numPr>
          <w:ilvl w:val="0"/>
          <w:numId w:val="30"/>
        </w:numPr>
        <w:tabs>
          <w:tab w:val="clear" w:pos="567"/>
        </w:tabs>
        <w:rPr>
          <w:bCs/>
          <w:szCs w:val="22"/>
        </w:rPr>
      </w:pPr>
      <w:r>
        <w:rPr>
          <w:bCs/>
          <w:szCs w:val="22"/>
        </w:rPr>
        <w:t>Подходящи места за инжектиране са горната част на бедрото или областта около корема на разстояние най-малко 5 см от пъпа.</w:t>
      </w:r>
    </w:p>
    <w:p w14:paraId="109AE31A" w14:textId="77777777" w:rsidR="009B3384" w:rsidRDefault="00800862">
      <w:pPr>
        <w:numPr>
          <w:ilvl w:val="0"/>
          <w:numId w:val="30"/>
        </w:numPr>
        <w:tabs>
          <w:tab w:val="clear" w:pos="567"/>
        </w:tabs>
        <w:rPr>
          <w:bCs/>
          <w:szCs w:val="22"/>
        </w:rPr>
      </w:pPr>
      <w:r>
        <w:rPr>
          <w:bCs/>
          <w:szCs w:val="22"/>
        </w:rPr>
        <w:t>Ако е възможно, не използвайте области от кожата с признаци на псориазис.</w:t>
      </w:r>
    </w:p>
    <w:p w14:paraId="109AE31B" w14:textId="77777777" w:rsidR="009B3384" w:rsidRDefault="00800862">
      <w:pPr>
        <w:numPr>
          <w:ilvl w:val="0"/>
          <w:numId w:val="30"/>
        </w:numPr>
        <w:tabs>
          <w:tab w:val="clear" w:pos="567"/>
        </w:tabs>
        <w:rPr>
          <w:szCs w:val="22"/>
        </w:rPr>
      </w:pPr>
      <w:r>
        <w:rPr>
          <w:bCs/>
          <w:szCs w:val="22"/>
        </w:rPr>
        <w:t xml:space="preserve">Ако някой Ви помага при поставянето на инжекцията, той/тя може да избере и горната част на ръката </w:t>
      </w:r>
      <w:r>
        <w:rPr>
          <w:szCs w:val="22"/>
        </w:rPr>
        <w:t>като място за инжектиране.</w:t>
      </w:r>
    </w:p>
    <w:p w14:paraId="109AE31C" w14:textId="77777777" w:rsidR="009B3384" w:rsidRDefault="009B3384">
      <w:pPr>
        <w:rPr>
          <w:szCs w:val="22"/>
        </w:rPr>
      </w:pPr>
    </w:p>
    <w:p w14:paraId="109AE31D" w14:textId="77777777" w:rsidR="009B3384" w:rsidRDefault="00800862">
      <w:pPr>
        <w:keepNext/>
        <w:jc w:val="center"/>
        <w:rPr>
          <w:szCs w:val="22"/>
        </w:rPr>
      </w:pPr>
      <w:r>
        <w:rPr>
          <w:noProof/>
          <w:lang w:eastAsia="bg-BG"/>
        </w:rPr>
        <w:drawing>
          <wp:inline distT="0" distB="0" distL="0" distR="0" wp14:anchorId="109AEA1D" wp14:editId="109AEA1E">
            <wp:extent cx="2924175" cy="1733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6"/>
                    <a:stretch>
                      <a:fillRect/>
                    </a:stretch>
                  </pic:blipFill>
                  <pic:spPr bwMode="auto">
                    <a:xfrm>
                      <a:off x="0" y="0"/>
                      <a:ext cx="2924175" cy="1733550"/>
                    </a:xfrm>
                    <a:prstGeom prst="rect">
                      <a:avLst/>
                    </a:prstGeom>
                  </pic:spPr>
                </pic:pic>
              </a:graphicData>
            </a:graphic>
          </wp:inline>
        </w:drawing>
      </w:r>
    </w:p>
    <w:p w14:paraId="109AE31E" w14:textId="77777777" w:rsidR="009B3384" w:rsidRDefault="00800862">
      <w:pPr>
        <w:jc w:val="center"/>
        <w:rPr>
          <w:szCs w:val="22"/>
        </w:rPr>
      </w:pPr>
      <w:r>
        <w:rPr>
          <w:szCs w:val="22"/>
        </w:rPr>
        <w:t>Фигура 2</w:t>
      </w:r>
    </w:p>
    <w:p w14:paraId="109AE31F" w14:textId="77777777" w:rsidR="009B3384" w:rsidRDefault="009B3384">
      <w:pPr>
        <w:jc w:val="center"/>
        <w:rPr>
          <w:szCs w:val="22"/>
        </w:rPr>
      </w:pPr>
    </w:p>
    <w:p w14:paraId="109AE320" w14:textId="77777777" w:rsidR="009B3384" w:rsidRDefault="00800862">
      <w:pPr>
        <w:rPr>
          <w:szCs w:val="22"/>
        </w:rPr>
      </w:pPr>
      <w:r>
        <w:rPr>
          <w:szCs w:val="22"/>
        </w:rPr>
        <w:t>Подгответе мястото за инжектиране</w:t>
      </w:r>
    </w:p>
    <w:p w14:paraId="109AE321" w14:textId="77777777" w:rsidR="009B3384" w:rsidRDefault="00800862">
      <w:pPr>
        <w:numPr>
          <w:ilvl w:val="0"/>
          <w:numId w:val="30"/>
        </w:numPr>
        <w:tabs>
          <w:tab w:val="clear" w:pos="567"/>
        </w:tabs>
        <w:rPr>
          <w:bCs/>
          <w:szCs w:val="22"/>
        </w:rPr>
      </w:pPr>
      <w:r>
        <w:rPr>
          <w:szCs w:val="22"/>
        </w:rPr>
        <w:t>Измийте ръцете си много добре със сапун и топла вода.</w:t>
      </w:r>
    </w:p>
    <w:p w14:paraId="109AE322" w14:textId="77777777" w:rsidR="009B3384" w:rsidRDefault="00800862">
      <w:pPr>
        <w:numPr>
          <w:ilvl w:val="0"/>
          <w:numId w:val="30"/>
        </w:numPr>
        <w:tabs>
          <w:tab w:val="clear" w:pos="567"/>
        </w:tabs>
        <w:rPr>
          <w:szCs w:val="22"/>
        </w:rPr>
      </w:pPr>
      <w:r>
        <w:rPr>
          <w:bCs/>
          <w:szCs w:val="22"/>
        </w:rPr>
        <w:t>Почистете кожата на мястото за инжектиране с антисептична кърпичка</w:t>
      </w:r>
      <w:r>
        <w:rPr>
          <w:szCs w:val="22"/>
        </w:rPr>
        <w:t>.</w:t>
      </w:r>
    </w:p>
    <w:p w14:paraId="109AE323" w14:textId="77777777" w:rsidR="009B3384" w:rsidRDefault="00800862">
      <w:pPr>
        <w:numPr>
          <w:ilvl w:val="0"/>
          <w:numId w:val="30"/>
        </w:numPr>
        <w:tabs>
          <w:tab w:val="clear" w:pos="567"/>
        </w:tabs>
        <w:rPr>
          <w:szCs w:val="22"/>
        </w:rPr>
      </w:pPr>
      <w:r>
        <w:rPr>
          <w:b/>
          <w:bCs/>
          <w:szCs w:val="22"/>
        </w:rPr>
        <w:t>Не докосвайте</w:t>
      </w:r>
      <w:r>
        <w:rPr>
          <w:bCs/>
          <w:szCs w:val="22"/>
        </w:rPr>
        <w:t xml:space="preserve"> повече тази област до поставянето на инжекцията</w:t>
      </w:r>
      <w:r>
        <w:rPr>
          <w:szCs w:val="22"/>
        </w:rPr>
        <w:t>.</w:t>
      </w:r>
    </w:p>
    <w:p w14:paraId="109AE324" w14:textId="77777777" w:rsidR="009B3384" w:rsidRDefault="009B3384">
      <w:pPr>
        <w:tabs>
          <w:tab w:val="left" w:pos="540"/>
        </w:tabs>
        <w:rPr>
          <w:szCs w:val="22"/>
        </w:rPr>
      </w:pPr>
    </w:p>
    <w:p w14:paraId="109AE325" w14:textId="77777777" w:rsidR="009B3384" w:rsidRDefault="00800862">
      <w:pPr>
        <w:keepNext/>
        <w:rPr>
          <w:b/>
          <w:bCs/>
          <w:szCs w:val="18"/>
        </w:rPr>
      </w:pPr>
      <w:r>
        <w:rPr>
          <w:b/>
          <w:bCs/>
          <w:szCs w:val="18"/>
        </w:rPr>
        <w:t>3. Свалете капачката на иглата (вж. фигура 3):</w:t>
      </w:r>
    </w:p>
    <w:p w14:paraId="109AE326" w14:textId="77777777" w:rsidR="009B3384" w:rsidRDefault="00800862">
      <w:pPr>
        <w:numPr>
          <w:ilvl w:val="0"/>
          <w:numId w:val="30"/>
        </w:numPr>
        <w:tabs>
          <w:tab w:val="clear" w:pos="567"/>
        </w:tabs>
        <w:rPr>
          <w:bCs/>
        </w:rPr>
      </w:pPr>
      <w:r>
        <w:t xml:space="preserve">Капачката на иглата </w:t>
      </w:r>
      <w:r>
        <w:rPr>
          <w:b/>
        </w:rPr>
        <w:t>не</w:t>
      </w:r>
      <w:r>
        <w:t xml:space="preserve"> трябва да се сваля, докато не сте готови да инжектирате дозата.</w:t>
      </w:r>
    </w:p>
    <w:p w14:paraId="109AE327" w14:textId="77777777" w:rsidR="009B3384" w:rsidRDefault="00800862">
      <w:pPr>
        <w:numPr>
          <w:ilvl w:val="0"/>
          <w:numId w:val="30"/>
        </w:numPr>
        <w:tabs>
          <w:tab w:val="clear" w:pos="567"/>
        </w:tabs>
        <w:rPr>
          <w:bCs/>
        </w:rPr>
      </w:pPr>
      <w:r>
        <w:t>Вземете предварително напълнената спринцовка и хванете корпуса й с една ръка.</w:t>
      </w:r>
    </w:p>
    <w:p w14:paraId="109AE328" w14:textId="77777777" w:rsidR="009B3384" w:rsidRDefault="00800862">
      <w:pPr>
        <w:numPr>
          <w:ilvl w:val="0"/>
          <w:numId w:val="30"/>
        </w:numPr>
        <w:tabs>
          <w:tab w:val="clear" w:pos="567"/>
        </w:tabs>
        <w:rPr>
          <w:bCs/>
        </w:rPr>
      </w:pPr>
      <w:r>
        <w:t>Рязко издърпайте капачката на иглата в права посока и я изхвърлете. Докато правите това, не докосвайте буталото.</w:t>
      </w:r>
    </w:p>
    <w:p w14:paraId="109AE329" w14:textId="77777777" w:rsidR="009B3384" w:rsidRDefault="009B3384"/>
    <w:p w14:paraId="109AE32A" w14:textId="77777777" w:rsidR="009B3384" w:rsidRDefault="00800862">
      <w:pPr>
        <w:keepNext/>
        <w:jc w:val="center"/>
      </w:pPr>
      <w:r>
        <w:rPr>
          <w:noProof/>
          <w:lang w:eastAsia="bg-BG"/>
        </w:rPr>
        <w:drawing>
          <wp:inline distT="0" distB="0" distL="0" distR="0" wp14:anchorId="109AEA1F" wp14:editId="109AEA20">
            <wp:extent cx="2838450" cy="1466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2"/>
                    <a:stretch>
                      <a:fillRect/>
                    </a:stretch>
                  </pic:blipFill>
                  <pic:spPr bwMode="auto">
                    <a:xfrm>
                      <a:off x="0" y="0"/>
                      <a:ext cx="2838450" cy="1466850"/>
                    </a:xfrm>
                    <a:prstGeom prst="rect">
                      <a:avLst/>
                    </a:prstGeom>
                  </pic:spPr>
                </pic:pic>
              </a:graphicData>
            </a:graphic>
          </wp:inline>
        </w:drawing>
      </w:r>
    </w:p>
    <w:p w14:paraId="109AE32B" w14:textId="77777777" w:rsidR="009B3384" w:rsidRDefault="00800862">
      <w:pPr>
        <w:jc w:val="center"/>
        <w:rPr>
          <w:bCs/>
        </w:rPr>
      </w:pPr>
      <w:r>
        <w:rPr>
          <w:bCs/>
        </w:rPr>
        <w:t>Фигура 3</w:t>
      </w:r>
    </w:p>
    <w:p w14:paraId="109AE32C" w14:textId="77777777" w:rsidR="009B3384" w:rsidRDefault="009B3384">
      <w:pPr>
        <w:jc w:val="center"/>
        <w:rPr>
          <w:bCs/>
        </w:rPr>
      </w:pPr>
    </w:p>
    <w:p w14:paraId="109AE32D" w14:textId="77777777" w:rsidR="009B3384" w:rsidRDefault="00800862">
      <w:pPr>
        <w:numPr>
          <w:ilvl w:val="0"/>
          <w:numId w:val="30"/>
        </w:numPr>
        <w:tabs>
          <w:tab w:val="clear" w:pos="567"/>
        </w:tabs>
        <w:rPr>
          <w:bCs/>
        </w:rPr>
      </w:pPr>
      <w:r>
        <w:t>Може да забележите въздушен мехур в предварително напълнената спринцовка или капка течност на върха на иглата. Това е нормално и не е необходимо да се отстраняват.</w:t>
      </w:r>
    </w:p>
    <w:p w14:paraId="109AE32E" w14:textId="77777777" w:rsidR="009B3384" w:rsidRDefault="00800862">
      <w:pPr>
        <w:numPr>
          <w:ilvl w:val="0"/>
          <w:numId w:val="30"/>
        </w:numPr>
        <w:tabs>
          <w:tab w:val="clear" w:pos="567"/>
        </w:tabs>
        <w:rPr>
          <w:bCs/>
        </w:rPr>
      </w:pPr>
      <w:r>
        <w:lastRenderedPageBreak/>
        <w:t>Не докосвайте иглата и не я допирайте в други повърхности.</w:t>
      </w:r>
    </w:p>
    <w:p w14:paraId="109AE32F" w14:textId="77777777" w:rsidR="009B3384" w:rsidRDefault="00800862">
      <w:pPr>
        <w:numPr>
          <w:ilvl w:val="0"/>
          <w:numId w:val="30"/>
        </w:numPr>
        <w:tabs>
          <w:tab w:val="clear" w:pos="567"/>
        </w:tabs>
        <w:rPr>
          <w:bCs/>
        </w:rPr>
      </w:pPr>
      <w:r>
        <w:t>Не използвайте предварително напълнената спринцовка, ако я изтървете с отворена игла. Ако това се случи, се свържете с Вашия лекар или фармацевт.</w:t>
      </w:r>
    </w:p>
    <w:p w14:paraId="109AE330" w14:textId="77777777" w:rsidR="009B3384" w:rsidRDefault="00800862">
      <w:pPr>
        <w:numPr>
          <w:ilvl w:val="0"/>
          <w:numId w:val="30"/>
        </w:numPr>
        <w:tabs>
          <w:tab w:val="clear" w:pos="567"/>
        </w:tabs>
        <w:rPr>
          <w:bCs/>
        </w:rPr>
      </w:pPr>
      <w:r>
        <w:t>Инжектирайте дозата веднага, щом свалите капачката на иглата.</w:t>
      </w:r>
    </w:p>
    <w:p w14:paraId="109AE331" w14:textId="77777777" w:rsidR="009B3384" w:rsidRDefault="009B3384"/>
    <w:p w14:paraId="109AE332" w14:textId="77777777" w:rsidR="009B3384" w:rsidRDefault="00800862">
      <w:pPr>
        <w:keepNext/>
        <w:rPr>
          <w:b/>
          <w:bCs/>
          <w:szCs w:val="18"/>
        </w:rPr>
      </w:pPr>
      <w:r>
        <w:rPr>
          <w:b/>
          <w:bCs/>
          <w:szCs w:val="18"/>
        </w:rPr>
        <w:t>4. Инжектирайте дозата:</w:t>
      </w:r>
    </w:p>
    <w:p w14:paraId="109AE333" w14:textId="77777777" w:rsidR="009B3384" w:rsidRDefault="00800862">
      <w:pPr>
        <w:numPr>
          <w:ilvl w:val="0"/>
          <w:numId w:val="30"/>
        </w:numPr>
        <w:tabs>
          <w:tab w:val="clear" w:pos="567"/>
        </w:tabs>
        <w:rPr>
          <w:bCs/>
        </w:rPr>
      </w:pPr>
      <w:r>
        <w:t>Хванете предварително напълнената спринцовка между средния пръст и показалеца на едната ръка и поставете палеца си върху главата на буталото, а с другата ръка леко стиснете почистената кожа между палеца и показалеца. Не стискайте силно.</w:t>
      </w:r>
    </w:p>
    <w:p w14:paraId="109AE334" w14:textId="77777777" w:rsidR="009B3384" w:rsidRDefault="00800862">
      <w:pPr>
        <w:numPr>
          <w:ilvl w:val="0"/>
          <w:numId w:val="30"/>
        </w:numPr>
        <w:tabs>
          <w:tab w:val="clear" w:pos="567"/>
        </w:tabs>
        <w:rPr>
          <w:bCs/>
        </w:rPr>
      </w:pPr>
      <w:r>
        <w:rPr>
          <w:bCs/>
        </w:rPr>
        <w:t>Не издърпвайте буталото.</w:t>
      </w:r>
    </w:p>
    <w:p w14:paraId="109AE335" w14:textId="77777777" w:rsidR="009B3384" w:rsidRDefault="00800862">
      <w:pPr>
        <w:numPr>
          <w:ilvl w:val="0"/>
          <w:numId w:val="30"/>
        </w:numPr>
        <w:tabs>
          <w:tab w:val="clear" w:pos="567"/>
        </w:tabs>
        <w:rPr>
          <w:bCs/>
        </w:rPr>
      </w:pPr>
      <w:r>
        <w:rPr>
          <w:bCs/>
        </w:rPr>
        <w:t>С едно бързо движение вкарайте иглата в кожата, докъдето може (вж. фигура 4).</w:t>
      </w:r>
    </w:p>
    <w:p w14:paraId="109AE336" w14:textId="77777777" w:rsidR="009B3384" w:rsidRDefault="009B3384"/>
    <w:p w14:paraId="109AE337" w14:textId="77777777" w:rsidR="009B3384" w:rsidRDefault="00800862">
      <w:pPr>
        <w:keepNext/>
        <w:jc w:val="center"/>
      </w:pPr>
      <w:r>
        <w:rPr>
          <w:noProof/>
          <w:lang w:eastAsia="bg-BG"/>
        </w:rPr>
        <w:drawing>
          <wp:inline distT="0" distB="0" distL="0" distR="0" wp14:anchorId="109AEA21" wp14:editId="109AEA22">
            <wp:extent cx="2009775" cy="1466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3"/>
                    <a:stretch>
                      <a:fillRect/>
                    </a:stretch>
                  </pic:blipFill>
                  <pic:spPr bwMode="auto">
                    <a:xfrm>
                      <a:off x="0" y="0"/>
                      <a:ext cx="2009775" cy="1466850"/>
                    </a:xfrm>
                    <a:prstGeom prst="rect">
                      <a:avLst/>
                    </a:prstGeom>
                  </pic:spPr>
                </pic:pic>
              </a:graphicData>
            </a:graphic>
          </wp:inline>
        </w:drawing>
      </w:r>
    </w:p>
    <w:p w14:paraId="109AE338" w14:textId="77777777" w:rsidR="009B3384" w:rsidRDefault="00800862">
      <w:pPr>
        <w:jc w:val="center"/>
        <w:rPr>
          <w:bCs/>
        </w:rPr>
      </w:pPr>
      <w:r>
        <w:rPr>
          <w:bCs/>
        </w:rPr>
        <w:t>Фигура 4</w:t>
      </w:r>
    </w:p>
    <w:p w14:paraId="109AE339" w14:textId="77777777" w:rsidR="009B3384" w:rsidRDefault="009B3384">
      <w:pPr>
        <w:rPr>
          <w:bCs/>
        </w:rPr>
      </w:pPr>
    </w:p>
    <w:p w14:paraId="109AE33A" w14:textId="77777777" w:rsidR="009B3384" w:rsidRDefault="00800862">
      <w:pPr>
        <w:numPr>
          <w:ilvl w:val="0"/>
          <w:numId w:val="30"/>
        </w:numPr>
        <w:tabs>
          <w:tab w:val="clear" w:pos="567"/>
        </w:tabs>
        <w:rPr>
          <w:bCs/>
        </w:rPr>
      </w:pPr>
      <w:r>
        <w:t>Инжектирайте цялото количество от лекарството, като натискате буталото, докато главата му достигне между страниците на предпазителя на иглата (вж. фигура 5).</w:t>
      </w:r>
    </w:p>
    <w:p w14:paraId="109AE33B" w14:textId="77777777" w:rsidR="009B3384" w:rsidRDefault="009B3384">
      <w:pPr>
        <w:rPr>
          <w:bCs/>
        </w:rPr>
      </w:pPr>
    </w:p>
    <w:p w14:paraId="109AE33C" w14:textId="77777777" w:rsidR="009B3384" w:rsidRDefault="00800862">
      <w:pPr>
        <w:keepNext/>
        <w:jc w:val="center"/>
        <w:rPr>
          <w:bCs/>
        </w:rPr>
      </w:pPr>
      <w:r>
        <w:rPr>
          <w:noProof/>
          <w:lang w:eastAsia="bg-BG"/>
        </w:rPr>
        <w:drawing>
          <wp:inline distT="0" distB="0" distL="0" distR="0" wp14:anchorId="109AEA23" wp14:editId="109AEA24">
            <wp:extent cx="1733550" cy="1466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4"/>
                    <a:stretch>
                      <a:fillRect/>
                    </a:stretch>
                  </pic:blipFill>
                  <pic:spPr bwMode="auto">
                    <a:xfrm>
                      <a:off x="0" y="0"/>
                      <a:ext cx="1733550" cy="1466850"/>
                    </a:xfrm>
                    <a:prstGeom prst="rect">
                      <a:avLst/>
                    </a:prstGeom>
                  </pic:spPr>
                </pic:pic>
              </a:graphicData>
            </a:graphic>
          </wp:inline>
        </w:drawing>
      </w:r>
    </w:p>
    <w:p w14:paraId="109AE33D" w14:textId="77777777" w:rsidR="009B3384" w:rsidRDefault="009B3384">
      <w:pPr>
        <w:keepNext/>
        <w:jc w:val="center"/>
        <w:rPr>
          <w:bCs/>
          <w:lang w:val="nl-BE"/>
        </w:rPr>
      </w:pPr>
    </w:p>
    <w:p w14:paraId="109AE33E" w14:textId="77777777" w:rsidR="009B3384" w:rsidRDefault="00800862">
      <w:pPr>
        <w:jc w:val="center"/>
        <w:rPr>
          <w:bCs/>
        </w:rPr>
      </w:pPr>
      <w:r>
        <w:rPr>
          <w:bCs/>
        </w:rPr>
        <w:t>Фигура 5</w:t>
      </w:r>
    </w:p>
    <w:p w14:paraId="109AE33F" w14:textId="77777777" w:rsidR="009B3384" w:rsidRDefault="009B3384">
      <w:pPr>
        <w:jc w:val="center"/>
        <w:rPr>
          <w:bCs/>
        </w:rPr>
      </w:pPr>
    </w:p>
    <w:p w14:paraId="109AE340" w14:textId="77777777" w:rsidR="009B3384" w:rsidRDefault="00800862">
      <w:pPr>
        <w:numPr>
          <w:ilvl w:val="0"/>
          <w:numId w:val="30"/>
        </w:numPr>
        <w:tabs>
          <w:tab w:val="clear" w:pos="567"/>
        </w:tabs>
        <w:rPr>
          <w:bCs/>
        </w:rPr>
      </w:pPr>
      <w:r>
        <w:rPr>
          <w:bCs/>
        </w:rPr>
        <w:t>Когато буталото стигне до края, не отпускайте натиска върху главата му, извадете иглата и пуснете кожата (</w:t>
      </w:r>
      <w:r>
        <w:t>вж. фигура </w:t>
      </w:r>
      <w:r>
        <w:rPr>
          <w:bCs/>
        </w:rPr>
        <w:t>6).</w:t>
      </w:r>
    </w:p>
    <w:p w14:paraId="109AE341" w14:textId="77777777" w:rsidR="009B3384" w:rsidRDefault="009B3384">
      <w:pPr>
        <w:rPr>
          <w:bCs/>
        </w:rPr>
      </w:pPr>
    </w:p>
    <w:p w14:paraId="109AE342" w14:textId="77777777" w:rsidR="009B3384" w:rsidRDefault="00800862">
      <w:pPr>
        <w:keepNext/>
        <w:jc w:val="center"/>
        <w:rPr>
          <w:bCs/>
        </w:rPr>
      </w:pPr>
      <w:r>
        <w:rPr>
          <w:noProof/>
          <w:lang w:eastAsia="bg-BG"/>
        </w:rPr>
        <w:drawing>
          <wp:inline distT="0" distB="0" distL="0" distR="0" wp14:anchorId="109AEA25" wp14:editId="109AEA26">
            <wp:extent cx="2381250" cy="1647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5"/>
                    <a:stretch>
                      <a:fillRect/>
                    </a:stretch>
                  </pic:blipFill>
                  <pic:spPr bwMode="auto">
                    <a:xfrm>
                      <a:off x="0" y="0"/>
                      <a:ext cx="2381250" cy="1647825"/>
                    </a:xfrm>
                    <a:prstGeom prst="rect">
                      <a:avLst/>
                    </a:prstGeom>
                  </pic:spPr>
                </pic:pic>
              </a:graphicData>
            </a:graphic>
          </wp:inline>
        </w:drawing>
      </w:r>
    </w:p>
    <w:p w14:paraId="109AE343" w14:textId="77777777" w:rsidR="009B3384" w:rsidRDefault="00800862">
      <w:pPr>
        <w:jc w:val="center"/>
        <w:rPr>
          <w:bCs/>
        </w:rPr>
      </w:pPr>
      <w:r>
        <w:rPr>
          <w:bCs/>
        </w:rPr>
        <w:t>Фигура 6</w:t>
      </w:r>
    </w:p>
    <w:p w14:paraId="109AE344" w14:textId="77777777" w:rsidR="009B3384" w:rsidRDefault="009B3384">
      <w:pPr>
        <w:rPr>
          <w:bCs/>
        </w:rPr>
      </w:pPr>
    </w:p>
    <w:p w14:paraId="109AE345" w14:textId="77777777" w:rsidR="009B3384" w:rsidRDefault="00800862">
      <w:pPr>
        <w:numPr>
          <w:ilvl w:val="0"/>
          <w:numId w:val="30"/>
        </w:numPr>
        <w:tabs>
          <w:tab w:val="clear" w:pos="567"/>
        </w:tabs>
        <w:rPr>
          <w:bCs/>
        </w:rPr>
      </w:pPr>
      <w:r>
        <w:rPr>
          <w:bCs/>
        </w:rPr>
        <w:t>Бавно отстранете палеца си от главата на буталото, за да позволите на празната спринцовка да се придвижи нагоре, докато цялата игла се покрие с предпазителя, както е показано на фигура 7:</w:t>
      </w:r>
    </w:p>
    <w:p w14:paraId="109AE346" w14:textId="77777777" w:rsidR="009B3384" w:rsidRDefault="009B3384">
      <w:pPr>
        <w:rPr>
          <w:bCs/>
        </w:rPr>
      </w:pPr>
    </w:p>
    <w:p w14:paraId="109AE347" w14:textId="77777777" w:rsidR="009B3384" w:rsidRDefault="00800862">
      <w:pPr>
        <w:keepNext/>
        <w:jc w:val="center"/>
        <w:rPr>
          <w:bCs/>
        </w:rPr>
      </w:pPr>
      <w:r>
        <w:rPr>
          <w:noProof/>
          <w:lang w:eastAsia="bg-BG"/>
        </w:rPr>
        <w:drawing>
          <wp:inline distT="0" distB="0" distL="0" distR="0" wp14:anchorId="109AEA27" wp14:editId="109AEA28">
            <wp:extent cx="2190750" cy="1828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6"/>
                    <a:stretch>
                      <a:fillRect/>
                    </a:stretch>
                  </pic:blipFill>
                  <pic:spPr bwMode="auto">
                    <a:xfrm>
                      <a:off x="0" y="0"/>
                      <a:ext cx="2190750" cy="1828800"/>
                    </a:xfrm>
                    <a:prstGeom prst="rect">
                      <a:avLst/>
                    </a:prstGeom>
                  </pic:spPr>
                </pic:pic>
              </a:graphicData>
            </a:graphic>
          </wp:inline>
        </w:drawing>
      </w:r>
    </w:p>
    <w:p w14:paraId="109AE348" w14:textId="77777777" w:rsidR="009B3384" w:rsidRDefault="00800862">
      <w:pPr>
        <w:jc w:val="center"/>
        <w:rPr>
          <w:bCs/>
        </w:rPr>
      </w:pPr>
      <w:r>
        <w:rPr>
          <w:bCs/>
        </w:rPr>
        <w:t>Фигура 7</w:t>
      </w:r>
    </w:p>
    <w:p w14:paraId="109AE349" w14:textId="77777777" w:rsidR="009B3384" w:rsidRDefault="009B3384">
      <w:pPr>
        <w:jc w:val="center"/>
        <w:rPr>
          <w:bCs/>
        </w:rPr>
      </w:pPr>
    </w:p>
    <w:p w14:paraId="109AE34A" w14:textId="77777777" w:rsidR="009B3384" w:rsidRDefault="00800862">
      <w:pPr>
        <w:keepNext/>
        <w:tabs>
          <w:tab w:val="clear" w:pos="567"/>
        </w:tabs>
        <w:rPr>
          <w:b/>
          <w:bCs/>
        </w:rPr>
      </w:pPr>
      <w:r>
        <w:rPr>
          <w:b/>
          <w:bCs/>
        </w:rPr>
        <w:t>5. След инжектиране:</w:t>
      </w:r>
    </w:p>
    <w:p w14:paraId="109AE34C" w14:textId="77777777" w:rsidR="009B3384" w:rsidRDefault="00800862">
      <w:pPr>
        <w:numPr>
          <w:ilvl w:val="0"/>
          <w:numId w:val="30"/>
        </w:numPr>
        <w:tabs>
          <w:tab w:val="clear" w:pos="567"/>
        </w:tabs>
        <w:rPr>
          <w:bCs/>
          <w:szCs w:val="22"/>
        </w:rPr>
      </w:pPr>
      <w:r>
        <w:rPr>
          <w:szCs w:val="22"/>
        </w:rPr>
        <w:t>Възможно е на мястото на инжектиране да има малко количество кръв или течност. Това е нормално.</w:t>
      </w:r>
    </w:p>
    <w:p w14:paraId="109AE34D" w14:textId="0679B4C4" w:rsidR="009B3384" w:rsidRDefault="00800862">
      <w:pPr>
        <w:numPr>
          <w:ilvl w:val="0"/>
          <w:numId w:val="30"/>
        </w:numPr>
        <w:tabs>
          <w:tab w:val="clear" w:pos="567"/>
        </w:tabs>
        <w:rPr>
          <w:bCs/>
          <w:szCs w:val="22"/>
        </w:rPr>
      </w:pPr>
      <w:r>
        <w:rPr>
          <w:szCs w:val="22"/>
        </w:rPr>
        <w:t>Притиснете мястото на инжектиране с памучен тампон или марля и задръжте 10 секунди.</w:t>
      </w:r>
    </w:p>
    <w:p w14:paraId="109AE34E" w14:textId="77777777" w:rsidR="009B3384" w:rsidRDefault="00800862">
      <w:pPr>
        <w:numPr>
          <w:ilvl w:val="0"/>
          <w:numId w:val="30"/>
        </w:numPr>
        <w:tabs>
          <w:tab w:val="clear" w:pos="567"/>
        </w:tabs>
        <w:rPr>
          <w:bCs/>
          <w:szCs w:val="22"/>
        </w:rPr>
      </w:pPr>
      <w:r>
        <w:rPr>
          <w:szCs w:val="22"/>
        </w:rPr>
        <w:t>Не разтърквайте кожата на мястото на инжектиране. Ако е необходимо, може да сложите малка лепенка върху мястото на инжектиране.</w:t>
      </w:r>
    </w:p>
    <w:p w14:paraId="109AE34F" w14:textId="77777777" w:rsidR="009B3384" w:rsidRDefault="009B3384">
      <w:pPr>
        <w:tabs>
          <w:tab w:val="left" w:pos="540"/>
        </w:tabs>
        <w:rPr>
          <w:szCs w:val="22"/>
        </w:rPr>
      </w:pPr>
    </w:p>
    <w:p w14:paraId="109AE350" w14:textId="77777777" w:rsidR="009B3384" w:rsidRDefault="00800862">
      <w:pPr>
        <w:keepNext/>
        <w:tabs>
          <w:tab w:val="clear" w:pos="567"/>
          <w:tab w:val="left" w:pos="540"/>
        </w:tabs>
        <w:rPr>
          <w:b/>
          <w:szCs w:val="22"/>
        </w:rPr>
      </w:pPr>
      <w:r>
        <w:rPr>
          <w:b/>
          <w:szCs w:val="22"/>
        </w:rPr>
        <w:t>6. Изхвърляне:</w:t>
      </w:r>
    </w:p>
    <w:p w14:paraId="109AE351" w14:textId="77777777" w:rsidR="009B3384" w:rsidRDefault="00800862">
      <w:pPr>
        <w:numPr>
          <w:ilvl w:val="0"/>
          <w:numId w:val="30"/>
        </w:numPr>
        <w:tabs>
          <w:tab w:val="clear" w:pos="567"/>
        </w:tabs>
        <w:rPr>
          <w:szCs w:val="22"/>
        </w:rPr>
      </w:pPr>
      <w:r>
        <w:rPr>
          <w:szCs w:val="22"/>
        </w:rPr>
        <w:t xml:space="preserve">Използваните спринцовки трябва да се поставят в непробиваем контейнер, като контейнера за остри предмети (вж. фигура 8). За Вашата безопасност и здраве и за безопасността на другите, никога не използвайте повторно спринцовките. Изхвърляйте Вашия контейнер </w:t>
      </w:r>
      <w:r>
        <w:t>за остри предмети</w:t>
      </w:r>
      <w:r>
        <w:rPr>
          <w:bCs/>
          <w:szCs w:val="22"/>
        </w:rPr>
        <w:t xml:space="preserve"> </w:t>
      </w:r>
      <w:r>
        <w:rPr>
          <w:szCs w:val="22"/>
        </w:rPr>
        <w:t>в съответствие с местните разпоредби.</w:t>
      </w:r>
    </w:p>
    <w:p w14:paraId="109AE352" w14:textId="77777777" w:rsidR="009B3384" w:rsidRDefault="00800862">
      <w:pPr>
        <w:numPr>
          <w:ilvl w:val="0"/>
          <w:numId w:val="30"/>
        </w:numPr>
        <w:tabs>
          <w:tab w:val="clear" w:pos="567"/>
        </w:tabs>
        <w:rPr>
          <w:bCs/>
          <w:szCs w:val="22"/>
        </w:rPr>
      </w:pPr>
      <w:r>
        <w:rPr>
          <w:szCs w:val="22"/>
        </w:rPr>
        <w:t>Антисептичните кърпички и други консумативи може да се изхвърлят в общия боклук.</w:t>
      </w:r>
    </w:p>
    <w:p w14:paraId="109AE353" w14:textId="77777777" w:rsidR="009B3384" w:rsidRDefault="009B3384">
      <w:pPr>
        <w:rPr>
          <w:szCs w:val="22"/>
        </w:rPr>
      </w:pPr>
    </w:p>
    <w:p w14:paraId="109AE354" w14:textId="77777777" w:rsidR="009B3384" w:rsidRDefault="00800862">
      <w:pPr>
        <w:keepNext/>
        <w:jc w:val="center"/>
        <w:rPr>
          <w:szCs w:val="22"/>
        </w:rPr>
      </w:pPr>
      <w:r>
        <w:rPr>
          <w:noProof/>
          <w:lang w:eastAsia="bg-BG"/>
        </w:rPr>
        <w:drawing>
          <wp:inline distT="0" distB="0" distL="0" distR="0" wp14:anchorId="109AEA29" wp14:editId="109AEA2A">
            <wp:extent cx="1095375" cy="3019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7"/>
                    <a:stretch>
                      <a:fillRect/>
                    </a:stretch>
                  </pic:blipFill>
                  <pic:spPr bwMode="auto">
                    <a:xfrm>
                      <a:off x="0" y="0"/>
                      <a:ext cx="1095375" cy="3019425"/>
                    </a:xfrm>
                    <a:prstGeom prst="rect">
                      <a:avLst/>
                    </a:prstGeom>
                  </pic:spPr>
                </pic:pic>
              </a:graphicData>
            </a:graphic>
          </wp:inline>
        </w:drawing>
      </w:r>
    </w:p>
    <w:p w14:paraId="109AE355" w14:textId="77777777" w:rsidR="009B3384" w:rsidRDefault="00800862">
      <w:pPr>
        <w:jc w:val="center"/>
        <w:rPr>
          <w:szCs w:val="22"/>
        </w:rPr>
      </w:pPr>
      <w:r>
        <w:rPr>
          <w:szCs w:val="22"/>
        </w:rPr>
        <w:t>Фигура 8</w:t>
      </w:r>
      <w:r>
        <w:br w:type="page"/>
      </w:r>
    </w:p>
    <w:p w14:paraId="109AE356" w14:textId="77777777" w:rsidR="009B3384" w:rsidRDefault="00800862">
      <w:pPr>
        <w:jc w:val="center"/>
        <w:rPr>
          <w:b/>
          <w:szCs w:val="22"/>
        </w:rPr>
      </w:pPr>
      <w:r>
        <w:rPr>
          <w:b/>
          <w:szCs w:val="22"/>
        </w:rPr>
        <w:lastRenderedPageBreak/>
        <w:t>Листовка: информация за потребителя</w:t>
      </w:r>
    </w:p>
    <w:p w14:paraId="109AE357" w14:textId="77777777" w:rsidR="009B3384" w:rsidRDefault="009B3384">
      <w:pPr>
        <w:jc w:val="center"/>
        <w:rPr>
          <w:b/>
          <w:bCs/>
          <w:szCs w:val="22"/>
        </w:rPr>
      </w:pPr>
    </w:p>
    <w:p w14:paraId="109AE358" w14:textId="77777777" w:rsidR="009B3384" w:rsidRDefault="00800862">
      <w:pPr>
        <w:jc w:val="center"/>
        <w:rPr>
          <w:b/>
          <w:bCs/>
          <w:szCs w:val="22"/>
        </w:rPr>
      </w:pPr>
      <w:r>
        <w:rPr>
          <w:b/>
          <w:bCs/>
          <w:szCs w:val="22"/>
        </w:rPr>
        <w:t>STELARA 90 mg инжекционен разтвор в предварително напълнена спринцовка</w:t>
      </w:r>
    </w:p>
    <w:p w14:paraId="109AE359" w14:textId="77777777" w:rsidR="009B3384" w:rsidRDefault="00800862">
      <w:pPr>
        <w:jc w:val="center"/>
        <w:rPr>
          <w:szCs w:val="22"/>
        </w:rPr>
      </w:pPr>
      <w:r>
        <w:rPr>
          <w:szCs w:val="22"/>
        </w:rPr>
        <w:t>устекинумаб (</w:t>
      </w:r>
      <w:r>
        <w:rPr>
          <w:iCs/>
          <w:szCs w:val="22"/>
        </w:rPr>
        <w:t>ustekinumab</w:t>
      </w:r>
      <w:r>
        <w:rPr>
          <w:szCs w:val="22"/>
        </w:rPr>
        <w:t>)</w:t>
      </w:r>
    </w:p>
    <w:p w14:paraId="109AE35A" w14:textId="77777777" w:rsidR="009B3384" w:rsidRDefault="009B3384">
      <w:pPr>
        <w:jc w:val="center"/>
        <w:rPr>
          <w:szCs w:val="22"/>
        </w:rPr>
      </w:pPr>
    </w:p>
    <w:p w14:paraId="109AE35B" w14:textId="77777777" w:rsidR="009B3384" w:rsidRDefault="00800862">
      <w:pPr>
        <w:keepNext/>
        <w:rPr>
          <w:b/>
          <w:szCs w:val="22"/>
        </w:rPr>
      </w:pPr>
      <w:r>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09AE35C" w14:textId="77777777" w:rsidR="009B3384" w:rsidRDefault="009B3384">
      <w:pPr>
        <w:keepNext/>
        <w:rPr>
          <w:b/>
          <w:szCs w:val="22"/>
        </w:rPr>
      </w:pPr>
    </w:p>
    <w:p w14:paraId="109AE35D" w14:textId="77777777" w:rsidR="009B3384" w:rsidRDefault="00800862">
      <w:pPr>
        <w:keepNext/>
        <w:rPr>
          <w:b/>
          <w:szCs w:val="22"/>
        </w:rPr>
      </w:pPr>
      <w:r>
        <w:rPr>
          <w:b/>
          <w:szCs w:val="22"/>
        </w:rPr>
        <w:t xml:space="preserve">Тази листовка е написана за пациента, който приема лекарството. Ако сте родител или настойник, който ще прилага </w:t>
      </w:r>
      <w:r>
        <w:rPr>
          <w:b/>
          <w:szCs w:val="22"/>
          <w:lang w:val="en-US"/>
        </w:rPr>
        <w:t>Stelara</w:t>
      </w:r>
      <w:r>
        <w:rPr>
          <w:b/>
          <w:szCs w:val="22"/>
        </w:rPr>
        <w:t xml:space="preserve"> на дете, моля прочетете внимателно тази информация.</w:t>
      </w:r>
    </w:p>
    <w:p w14:paraId="109AE35E" w14:textId="77777777" w:rsidR="009B3384" w:rsidRDefault="009B3384">
      <w:pPr>
        <w:keepNext/>
        <w:rPr>
          <w:b/>
          <w:szCs w:val="22"/>
        </w:rPr>
      </w:pPr>
    </w:p>
    <w:p w14:paraId="109AE35F" w14:textId="77777777" w:rsidR="009B3384" w:rsidRDefault="00800862">
      <w:pPr>
        <w:numPr>
          <w:ilvl w:val="0"/>
          <w:numId w:val="27"/>
        </w:numPr>
        <w:ind w:left="567" w:hanging="567"/>
      </w:pPr>
      <w:r>
        <w:t>Запазете тази листовка. Може да се наложи да я прочетете отново.</w:t>
      </w:r>
    </w:p>
    <w:p w14:paraId="109AE360" w14:textId="77777777" w:rsidR="009B3384" w:rsidRDefault="00800862">
      <w:pPr>
        <w:numPr>
          <w:ilvl w:val="0"/>
          <w:numId w:val="27"/>
        </w:numPr>
        <w:ind w:left="567" w:hanging="567"/>
      </w:pPr>
      <w:r>
        <w:t>Ако имате някакви допълнителни въпроси, попитайте Вашия лекар или фармацевт.</w:t>
      </w:r>
    </w:p>
    <w:p w14:paraId="109AE361" w14:textId="77777777" w:rsidR="009B3384" w:rsidRDefault="00800862">
      <w:pPr>
        <w:numPr>
          <w:ilvl w:val="0"/>
          <w:numId w:val="27"/>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9AE362" w14:textId="77777777" w:rsidR="009B3384" w:rsidRDefault="00800862">
      <w:pPr>
        <w:numPr>
          <w:ilvl w:val="0"/>
          <w:numId w:val="27"/>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09AE363" w14:textId="77777777" w:rsidR="009B3384" w:rsidRDefault="009B3384">
      <w:pPr>
        <w:rPr>
          <w:szCs w:val="22"/>
        </w:rPr>
      </w:pPr>
    </w:p>
    <w:p w14:paraId="109AE364" w14:textId="77777777" w:rsidR="009B3384" w:rsidRDefault="00800862">
      <w:pPr>
        <w:keepNext/>
        <w:rPr>
          <w:szCs w:val="22"/>
          <w:lang w:val="nl-BE"/>
        </w:rPr>
      </w:pPr>
      <w:r>
        <w:rPr>
          <w:b/>
          <w:szCs w:val="22"/>
        </w:rPr>
        <w:t>Какво съдържа тази листовка</w:t>
      </w:r>
    </w:p>
    <w:p w14:paraId="109AE365" w14:textId="77777777" w:rsidR="009B3384" w:rsidRDefault="00800862">
      <w:pPr>
        <w:tabs>
          <w:tab w:val="clear" w:pos="567"/>
        </w:tabs>
        <w:rPr>
          <w:szCs w:val="22"/>
        </w:rPr>
      </w:pPr>
      <w:r>
        <w:rPr>
          <w:szCs w:val="22"/>
        </w:rPr>
        <w:t>1.</w:t>
      </w:r>
      <w:r>
        <w:rPr>
          <w:szCs w:val="22"/>
        </w:rPr>
        <w:tab/>
        <w:t>Какво представлява Stelara и за какво се използва</w:t>
      </w:r>
    </w:p>
    <w:p w14:paraId="109AE366" w14:textId="77777777" w:rsidR="009B3384" w:rsidRDefault="00800862">
      <w:pPr>
        <w:tabs>
          <w:tab w:val="clear" w:pos="567"/>
        </w:tabs>
        <w:rPr>
          <w:szCs w:val="22"/>
        </w:rPr>
      </w:pPr>
      <w:r>
        <w:rPr>
          <w:szCs w:val="22"/>
        </w:rPr>
        <w:t>2.</w:t>
      </w:r>
      <w:r>
        <w:rPr>
          <w:szCs w:val="22"/>
        </w:rPr>
        <w:tab/>
        <w:t>Какво трябва да знаете, преди да използвате Stelara</w:t>
      </w:r>
    </w:p>
    <w:p w14:paraId="109AE367" w14:textId="77777777" w:rsidR="009B3384" w:rsidRDefault="00800862">
      <w:pPr>
        <w:tabs>
          <w:tab w:val="clear" w:pos="567"/>
        </w:tabs>
        <w:rPr>
          <w:szCs w:val="22"/>
        </w:rPr>
      </w:pPr>
      <w:r>
        <w:rPr>
          <w:szCs w:val="22"/>
        </w:rPr>
        <w:t>3.</w:t>
      </w:r>
      <w:r>
        <w:rPr>
          <w:szCs w:val="22"/>
        </w:rPr>
        <w:tab/>
        <w:t>Как да използвате Stelara</w:t>
      </w:r>
    </w:p>
    <w:p w14:paraId="109AE368" w14:textId="77777777" w:rsidR="009B3384" w:rsidRDefault="00800862">
      <w:pPr>
        <w:tabs>
          <w:tab w:val="clear" w:pos="567"/>
        </w:tabs>
        <w:rPr>
          <w:szCs w:val="22"/>
        </w:rPr>
      </w:pPr>
      <w:r>
        <w:rPr>
          <w:szCs w:val="22"/>
        </w:rPr>
        <w:t>4.</w:t>
      </w:r>
      <w:r>
        <w:rPr>
          <w:szCs w:val="22"/>
        </w:rPr>
        <w:tab/>
        <w:t>Възможни нежелани реакции</w:t>
      </w:r>
    </w:p>
    <w:p w14:paraId="109AE369" w14:textId="77777777" w:rsidR="009B3384" w:rsidRDefault="00800862">
      <w:pPr>
        <w:tabs>
          <w:tab w:val="clear" w:pos="567"/>
        </w:tabs>
        <w:rPr>
          <w:szCs w:val="22"/>
        </w:rPr>
      </w:pPr>
      <w:r>
        <w:rPr>
          <w:szCs w:val="22"/>
        </w:rPr>
        <w:t>5.</w:t>
      </w:r>
      <w:r>
        <w:rPr>
          <w:szCs w:val="22"/>
        </w:rPr>
        <w:tab/>
        <w:t>Как да съхранявате Stelara</w:t>
      </w:r>
    </w:p>
    <w:p w14:paraId="109AE36A" w14:textId="77777777" w:rsidR="009B3384" w:rsidRDefault="00800862">
      <w:pPr>
        <w:tabs>
          <w:tab w:val="clear" w:pos="567"/>
        </w:tabs>
        <w:rPr>
          <w:szCs w:val="22"/>
        </w:rPr>
      </w:pPr>
      <w:r>
        <w:rPr>
          <w:szCs w:val="22"/>
        </w:rPr>
        <w:t>6.</w:t>
      </w:r>
      <w:r>
        <w:rPr>
          <w:szCs w:val="22"/>
        </w:rPr>
        <w:tab/>
        <w:t>Съдържание на опаковката и допълнителна информация</w:t>
      </w:r>
    </w:p>
    <w:p w14:paraId="109AE36B" w14:textId="77777777" w:rsidR="009B3384" w:rsidRDefault="009B3384">
      <w:pPr>
        <w:rPr>
          <w:szCs w:val="22"/>
        </w:rPr>
      </w:pPr>
    </w:p>
    <w:p w14:paraId="109AE36C" w14:textId="77777777" w:rsidR="009B3384" w:rsidRDefault="009B3384">
      <w:pPr>
        <w:rPr>
          <w:szCs w:val="22"/>
        </w:rPr>
      </w:pPr>
    </w:p>
    <w:p w14:paraId="109AE36D" w14:textId="77777777" w:rsidR="009B3384" w:rsidRDefault="00800862">
      <w:pPr>
        <w:keepNext/>
        <w:ind w:left="567" w:hanging="567"/>
        <w:outlineLvl w:val="2"/>
        <w:rPr>
          <w:b/>
          <w:bCs/>
          <w:szCs w:val="22"/>
        </w:rPr>
      </w:pPr>
      <w:r>
        <w:rPr>
          <w:b/>
          <w:bCs/>
          <w:szCs w:val="22"/>
        </w:rPr>
        <w:t>1.</w:t>
      </w:r>
      <w:r>
        <w:rPr>
          <w:b/>
          <w:bCs/>
          <w:szCs w:val="22"/>
        </w:rPr>
        <w:tab/>
        <w:t>Какво представлява Stelara и за какво се използва</w:t>
      </w:r>
    </w:p>
    <w:p w14:paraId="109AE36E" w14:textId="77777777" w:rsidR="009B3384" w:rsidRDefault="009B3384">
      <w:pPr>
        <w:keepNext/>
      </w:pPr>
    </w:p>
    <w:p w14:paraId="109AE36F" w14:textId="77777777" w:rsidR="009B3384" w:rsidRDefault="00800862">
      <w:pPr>
        <w:keepNext/>
        <w:rPr>
          <w:b/>
          <w:szCs w:val="22"/>
        </w:rPr>
      </w:pPr>
      <w:r>
        <w:rPr>
          <w:b/>
          <w:szCs w:val="22"/>
        </w:rPr>
        <w:t xml:space="preserve">Какво представлява </w:t>
      </w:r>
      <w:r>
        <w:rPr>
          <w:b/>
          <w:szCs w:val="22"/>
          <w:lang w:val="en-US"/>
        </w:rPr>
        <w:t>Stelara</w:t>
      </w:r>
    </w:p>
    <w:p w14:paraId="109AE370" w14:textId="77777777" w:rsidR="009B3384" w:rsidRDefault="00800862">
      <w:pPr>
        <w:rPr>
          <w:szCs w:val="22"/>
        </w:rPr>
      </w:pPr>
      <w:r>
        <w:rPr>
          <w:szCs w:val="22"/>
        </w:rPr>
        <w:t>Stelara съдържа активното вещество „устекинумаб”, което е моноклонално антитяло. Моноклоналните антитела са протеини, които разпознават и свързват определени специфични протеини в организма.</w:t>
      </w:r>
    </w:p>
    <w:p w14:paraId="109AE371" w14:textId="77777777" w:rsidR="009B3384" w:rsidRDefault="009B3384">
      <w:pPr>
        <w:rPr>
          <w:szCs w:val="22"/>
        </w:rPr>
      </w:pPr>
    </w:p>
    <w:p w14:paraId="109AE372" w14:textId="77777777" w:rsidR="009B3384" w:rsidRDefault="00800862">
      <w:r>
        <w:rPr>
          <w:szCs w:val="22"/>
        </w:rPr>
        <w:t xml:space="preserve">Stelara принадлежи към група лекарства, наречени „имуносупресори”. </w:t>
      </w:r>
      <w:r>
        <w:t>Тези лекарства действат, като намаляват активността на част от имунната система.</w:t>
      </w:r>
    </w:p>
    <w:p w14:paraId="109AE373" w14:textId="77777777" w:rsidR="009B3384" w:rsidRDefault="009B3384"/>
    <w:p w14:paraId="109AE374" w14:textId="77777777" w:rsidR="009B3384" w:rsidRDefault="00800862">
      <w:pPr>
        <w:rPr>
          <w:b/>
          <w:szCs w:val="22"/>
        </w:rPr>
      </w:pPr>
      <w:r>
        <w:rPr>
          <w:b/>
          <w:lang w:val="ru-RU"/>
        </w:rPr>
        <w:t xml:space="preserve">За </w:t>
      </w:r>
      <w:r>
        <w:rPr>
          <w:b/>
        </w:rPr>
        <w:t>какво</w:t>
      </w:r>
      <w:r>
        <w:rPr>
          <w:b/>
          <w:lang w:val="ru-RU"/>
        </w:rPr>
        <w:t xml:space="preserve"> се </w:t>
      </w:r>
      <w:r>
        <w:rPr>
          <w:b/>
        </w:rPr>
        <w:t xml:space="preserve">използва </w:t>
      </w:r>
      <w:r>
        <w:rPr>
          <w:b/>
          <w:szCs w:val="22"/>
          <w:lang w:val="en-US"/>
        </w:rPr>
        <w:t>Stelara</w:t>
      </w:r>
    </w:p>
    <w:p w14:paraId="109AE375" w14:textId="77777777" w:rsidR="009B3384" w:rsidRDefault="00800862">
      <w:r>
        <w:t>Stelara се използва за лечение на следните възпалителни заболявания:</w:t>
      </w:r>
    </w:p>
    <w:p w14:paraId="109AE376" w14:textId="77777777" w:rsidR="009B3384" w:rsidRDefault="00800862">
      <w:pPr>
        <w:numPr>
          <w:ilvl w:val="0"/>
          <w:numId w:val="30"/>
        </w:numPr>
        <w:tabs>
          <w:tab w:val="clear" w:pos="567"/>
        </w:tabs>
        <w:rPr>
          <w:szCs w:val="22"/>
        </w:rPr>
      </w:pPr>
      <w:r>
        <w:rPr>
          <w:szCs w:val="22"/>
        </w:rPr>
        <w:t>Плаков псориазис</w:t>
      </w:r>
      <w:r>
        <w:t xml:space="preserve"> - при възрастни и деца на възраст от 6 години и по-големи</w:t>
      </w:r>
    </w:p>
    <w:p w14:paraId="109AE377" w14:textId="77777777" w:rsidR="009B3384" w:rsidRDefault="00800862">
      <w:pPr>
        <w:numPr>
          <w:ilvl w:val="0"/>
          <w:numId w:val="30"/>
        </w:numPr>
        <w:tabs>
          <w:tab w:val="clear" w:pos="567"/>
        </w:tabs>
        <w:rPr>
          <w:szCs w:val="22"/>
        </w:rPr>
      </w:pPr>
      <w:r>
        <w:rPr>
          <w:szCs w:val="22"/>
        </w:rPr>
        <w:t>Псориатичен артрит</w:t>
      </w:r>
      <w:r>
        <w:t xml:space="preserve"> – при възрастни</w:t>
      </w:r>
    </w:p>
    <w:p w14:paraId="109AE378" w14:textId="7290CE43" w:rsidR="009B3384" w:rsidRDefault="00800862">
      <w:pPr>
        <w:numPr>
          <w:ilvl w:val="0"/>
          <w:numId w:val="30"/>
        </w:numPr>
        <w:tabs>
          <w:tab w:val="clear" w:pos="567"/>
        </w:tabs>
        <w:rPr>
          <w:szCs w:val="22"/>
        </w:rPr>
      </w:pPr>
      <w:r>
        <w:t>Умерена до тежка болест на Крон – при възрастни</w:t>
      </w:r>
      <w:r>
        <w:rPr>
          <w:bCs/>
        </w:rPr>
        <w:t xml:space="preserve"> и деца </w:t>
      </w:r>
      <w:r>
        <w:t>на възраст 2 и повече години</w:t>
      </w:r>
    </w:p>
    <w:p w14:paraId="109AE379" w14:textId="0CDD65B3" w:rsidR="009B3384" w:rsidRPr="003B65CC" w:rsidRDefault="00800862" w:rsidP="003B65CC">
      <w:pPr>
        <w:numPr>
          <w:ilvl w:val="0"/>
          <w:numId w:val="30"/>
        </w:numPr>
        <w:tabs>
          <w:tab w:val="clear" w:pos="567"/>
        </w:tabs>
        <w:rPr>
          <w:szCs w:val="22"/>
        </w:rPr>
      </w:pPr>
      <w:r>
        <w:t>Умерен до тежък улцерозен колит – при възрастни</w:t>
      </w:r>
      <w:ins w:id="1371" w:author="Reviser" w:date="2026-04-30T15:47:00Z">
        <w:r w:rsidR="003B65CC">
          <w:t xml:space="preserve"> </w:t>
        </w:r>
      </w:ins>
      <w:ins w:id="1372" w:author="Reviser" w:date="2026-04-30T15:48:00Z">
        <w:r w:rsidR="003B65CC">
          <w:rPr>
            <w:bCs/>
          </w:rPr>
          <w:t xml:space="preserve">и деца </w:t>
        </w:r>
        <w:r w:rsidR="003B65CC">
          <w:t>на възраст 2 и повече години</w:t>
        </w:r>
      </w:ins>
    </w:p>
    <w:p w14:paraId="109AE37A" w14:textId="77777777" w:rsidR="009B3384" w:rsidRDefault="009B3384"/>
    <w:p w14:paraId="109AE37B" w14:textId="77777777" w:rsidR="009B3384" w:rsidRDefault="00800862">
      <w:pPr>
        <w:keepNext/>
        <w:widowControl w:val="0"/>
        <w:rPr>
          <w:b/>
        </w:rPr>
      </w:pPr>
      <w:r>
        <w:rPr>
          <w:b/>
        </w:rPr>
        <w:t>Плаков псориазис</w:t>
      </w:r>
    </w:p>
    <w:p w14:paraId="109AE37C" w14:textId="77777777" w:rsidR="009B3384" w:rsidRDefault="00800862">
      <w:pPr>
        <w:widowControl w:val="0"/>
      </w:pPr>
      <w:r>
        <w:t>„Плаков псориазис” е кожно заболяване, което води до възпаление, засягащо кожата и ноктите. Stelara намалява възпалението и другите признаци на заболяването.</w:t>
      </w:r>
    </w:p>
    <w:p w14:paraId="109AE37D" w14:textId="77777777" w:rsidR="009B3384" w:rsidRDefault="009B3384">
      <w:pPr>
        <w:widowControl w:val="0"/>
      </w:pPr>
    </w:p>
    <w:p w14:paraId="109AE37E" w14:textId="77777777" w:rsidR="009B3384" w:rsidRDefault="00800862">
      <w:pPr>
        <w:widowControl w:val="0"/>
      </w:pPr>
      <w:r>
        <w:t>Stelara се използва при възрастни с умерен до тежък плаков псориазис, които не могат да използват циклоспорин, метотрексат или фототерапия, или когато тези лечения не действат.</w:t>
      </w:r>
    </w:p>
    <w:p w14:paraId="109AE37F" w14:textId="77777777" w:rsidR="009B3384" w:rsidRDefault="009B3384">
      <w:pPr>
        <w:widowControl w:val="0"/>
      </w:pPr>
    </w:p>
    <w:p w14:paraId="109AE380" w14:textId="77777777" w:rsidR="009B3384" w:rsidRDefault="00800862">
      <w:r>
        <w:t>Stelara се използва при деца и юноши на възраст 6 години и по-големи с умерен до тежък плаков псориазис, които имат непоносимост към фототерапия или други системни терапии, или когато тези лечения не действат.</w:t>
      </w:r>
    </w:p>
    <w:p w14:paraId="109AE381" w14:textId="77777777" w:rsidR="009B3384" w:rsidRDefault="009B3384">
      <w:pPr>
        <w:rPr>
          <w:szCs w:val="22"/>
        </w:rPr>
      </w:pPr>
    </w:p>
    <w:p w14:paraId="109AE382" w14:textId="77777777" w:rsidR="009B3384" w:rsidRDefault="00800862">
      <w:pPr>
        <w:keepNext/>
        <w:rPr>
          <w:b/>
          <w:szCs w:val="22"/>
        </w:rPr>
      </w:pPr>
      <w:r>
        <w:rPr>
          <w:b/>
          <w:szCs w:val="22"/>
        </w:rPr>
        <w:lastRenderedPageBreak/>
        <w:t>Псориатичен артрит</w:t>
      </w:r>
    </w:p>
    <w:p w14:paraId="109AE383" w14:textId="77777777" w:rsidR="009B3384" w:rsidRDefault="00800862">
      <w:pPr>
        <w:rPr>
          <w:szCs w:val="22"/>
        </w:rPr>
      </w:pPr>
      <w:r>
        <w:rPr>
          <w:szCs w:val="22"/>
        </w:rPr>
        <w:t>Псориатичен артрит е възпалително заболяване на ставите, обикновено съпътствано от псориазис. Ако имате активен псориатичен артрит, първо ще Ви лекуват с други лекарства. Ако не се повлияете достатъчно добре от тези лекарства, може да Ви се предпише Stelara, за да се:</w:t>
      </w:r>
    </w:p>
    <w:p w14:paraId="109AE384" w14:textId="77777777" w:rsidR="009B3384" w:rsidRDefault="00800862">
      <w:pPr>
        <w:numPr>
          <w:ilvl w:val="0"/>
          <w:numId w:val="30"/>
        </w:numPr>
        <w:tabs>
          <w:tab w:val="clear" w:pos="567"/>
        </w:tabs>
        <w:rPr>
          <w:szCs w:val="22"/>
        </w:rPr>
      </w:pPr>
      <w:r>
        <w:rPr>
          <w:szCs w:val="22"/>
        </w:rPr>
        <w:t>намалят признаците и симптомите на заболяването Ви;</w:t>
      </w:r>
    </w:p>
    <w:p w14:paraId="109AE385" w14:textId="77777777" w:rsidR="009B3384" w:rsidRDefault="00800862">
      <w:pPr>
        <w:numPr>
          <w:ilvl w:val="0"/>
          <w:numId w:val="30"/>
        </w:numPr>
        <w:tabs>
          <w:tab w:val="clear" w:pos="567"/>
        </w:tabs>
        <w:rPr>
          <w:szCs w:val="22"/>
        </w:rPr>
      </w:pPr>
      <w:r>
        <w:rPr>
          <w:szCs w:val="22"/>
        </w:rPr>
        <w:t>подобри физическото Ви състояние;</w:t>
      </w:r>
    </w:p>
    <w:p w14:paraId="109AE386" w14:textId="77777777" w:rsidR="009B3384" w:rsidRDefault="00800862">
      <w:pPr>
        <w:numPr>
          <w:ilvl w:val="0"/>
          <w:numId w:val="30"/>
        </w:numPr>
        <w:tabs>
          <w:tab w:val="clear" w:pos="567"/>
        </w:tabs>
        <w:rPr>
          <w:szCs w:val="22"/>
        </w:rPr>
      </w:pPr>
      <w:r>
        <w:rPr>
          <w:szCs w:val="22"/>
        </w:rPr>
        <w:t>забави увреждането на Вашите стави.</w:t>
      </w:r>
    </w:p>
    <w:p w14:paraId="109AE387" w14:textId="77777777" w:rsidR="009B3384" w:rsidRDefault="009B3384">
      <w:pPr>
        <w:rPr>
          <w:szCs w:val="22"/>
        </w:rPr>
      </w:pPr>
    </w:p>
    <w:p w14:paraId="109AE388" w14:textId="77777777" w:rsidR="009B3384" w:rsidRDefault="00800862">
      <w:pPr>
        <w:keepNext/>
        <w:rPr>
          <w:b/>
          <w:szCs w:val="22"/>
        </w:rPr>
      </w:pPr>
      <w:r>
        <w:rPr>
          <w:b/>
          <w:szCs w:val="22"/>
        </w:rPr>
        <w:t>Болест на Крон</w:t>
      </w:r>
    </w:p>
    <w:p w14:paraId="109AE389" w14:textId="77777777" w:rsidR="009B3384" w:rsidRDefault="00800862">
      <w:pPr>
        <w:rPr>
          <w:szCs w:val="22"/>
        </w:rPr>
      </w:pPr>
      <w:r>
        <w:rPr>
          <w:szCs w:val="22"/>
        </w:rPr>
        <w:t xml:space="preserve">Болестта на Крон е възпалително заболяване на червата. Ако имате болест на Крон първо ще Ви се дадат други лекарства. Ако не се повлияете достатъчно или имате непоносимост към тези лекарства, може да Ви се даде </w:t>
      </w:r>
      <w:r>
        <w:rPr>
          <w:szCs w:val="22"/>
          <w:lang w:val="en-GB"/>
        </w:rPr>
        <w:t>Stelara</w:t>
      </w:r>
      <w:r>
        <w:rPr>
          <w:szCs w:val="22"/>
        </w:rPr>
        <w:t xml:space="preserve"> за намаляване на признаците и симптомите на заболяването Ви.</w:t>
      </w:r>
    </w:p>
    <w:p w14:paraId="109AE38A" w14:textId="77777777" w:rsidR="009B3384" w:rsidRDefault="009B3384">
      <w:pPr>
        <w:rPr>
          <w:szCs w:val="22"/>
        </w:rPr>
      </w:pPr>
    </w:p>
    <w:p w14:paraId="109AE38B" w14:textId="77777777" w:rsidR="009B3384" w:rsidRDefault="00800862">
      <w:pPr>
        <w:keepNext/>
        <w:tabs>
          <w:tab w:val="clear" w:pos="567"/>
        </w:tabs>
        <w:rPr>
          <w:b/>
        </w:rPr>
      </w:pPr>
      <w:r>
        <w:rPr>
          <w:b/>
        </w:rPr>
        <w:t>Улцерозен колит</w:t>
      </w:r>
    </w:p>
    <w:p w14:paraId="109AE38C" w14:textId="77777777" w:rsidR="009B3384" w:rsidRDefault="00800862">
      <w:r>
        <w:t>Улцерозният колит е възпалително заболяване на червата. Ако имате улцерозен колит, първо ще Ви се дадат други лекарства. Ако не се повлиявате добре или имате непоносимост към тези лекарства, може да Ви се даде Stelara за намаляване на признаците и симптомите на Вашето заболяване.</w:t>
      </w:r>
    </w:p>
    <w:p w14:paraId="109AE38D" w14:textId="77777777" w:rsidR="009B3384" w:rsidRDefault="009B3384">
      <w:pPr>
        <w:rPr>
          <w:szCs w:val="22"/>
        </w:rPr>
      </w:pPr>
    </w:p>
    <w:p w14:paraId="109AE38E" w14:textId="77777777" w:rsidR="009B3384" w:rsidRDefault="009B3384">
      <w:pPr>
        <w:rPr>
          <w:szCs w:val="22"/>
        </w:rPr>
      </w:pPr>
    </w:p>
    <w:p w14:paraId="109AE38F" w14:textId="77777777" w:rsidR="009B3384" w:rsidRDefault="00800862">
      <w:pPr>
        <w:keepNext/>
        <w:ind w:left="567" w:hanging="567"/>
        <w:outlineLvl w:val="2"/>
        <w:rPr>
          <w:b/>
          <w:bCs/>
          <w:szCs w:val="22"/>
        </w:rPr>
      </w:pPr>
      <w:r>
        <w:rPr>
          <w:b/>
          <w:bCs/>
          <w:szCs w:val="22"/>
        </w:rPr>
        <w:t>2.</w:t>
      </w:r>
      <w:r>
        <w:rPr>
          <w:b/>
          <w:bCs/>
          <w:szCs w:val="22"/>
        </w:rPr>
        <w:tab/>
        <w:t>Какво трябва да знаете, преди да използвате Stelara</w:t>
      </w:r>
    </w:p>
    <w:p w14:paraId="109AE390" w14:textId="77777777" w:rsidR="009B3384" w:rsidRDefault="009B3384">
      <w:pPr>
        <w:keepNext/>
        <w:rPr>
          <w:szCs w:val="22"/>
        </w:rPr>
      </w:pPr>
    </w:p>
    <w:p w14:paraId="109AE391" w14:textId="77777777" w:rsidR="009B3384" w:rsidRDefault="00800862">
      <w:pPr>
        <w:keepNext/>
        <w:rPr>
          <w:szCs w:val="22"/>
        </w:rPr>
      </w:pPr>
      <w:r>
        <w:rPr>
          <w:b/>
          <w:szCs w:val="22"/>
        </w:rPr>
        <w:t>Не използвайте Stelara</w:t>
      </w:r>
    </w:p>
    <w:p w14:paraId="109AE392" w14:textId="77777777" w:rsidR="009B3384" w:rsidRDefault="00800862">
      <w:pPr>
        <w:numPr>
          <w:ilvl w:val="0"/>
          <w:numId w:val="30"/>
        </w:numPr>
        <w:tabs>
          <w:tab w:val="clear" w:pos="567"/>
        </w:tabs>
        <w:rPr>
          <w:bCs/>
          <w:szCs w:val="22"/>
        </w:rPr>
      </w:pPr>
      <w:r>
        <w:rPr>
          <w:b/>
          <w:szCs w:val="22"/>
        </w:rPr>
        <w:t>Ако сте алергични към устекинумаб</w:t>
      </w:r>
      <w:r>
        <w:rPr>
          <w:szCs w:val="22"/>
        </w:rPr>
        <w:t xml:space="preserve"> или някоя от останалите съставки на това лекарство (изброени в точка 6).</w:t>
      </w:r>
    </w:p>
    <w:p w14:paraId="109AE393" w14:textId="77777777" w:rsidR="009B3384" w:rsidRDefault="00800862">
      <w:pPr>
        <w:numPr>
          <w:ilvl w:val="0"/>
          <w:numId w:val="30"/>
        </w:numPr>
        <w:tabs>
          <w:tab w:val="clear" w:pos="567"/>
        </w:tabs>
        <w:rPr>
          <w:bCs/>
          <w:szCs w:val="22"/>
        </w:rPr>
      </w:pPr>
      <w:r>
        <w:rPr>
          <w:b/>
          <w:szCs w:val="22"/>
        </w:rPr>
        <w:t>Ако имате активна инфекция</w:t>
      </w:r>
      <w:r>
        <w:rPr>
          <w:szCs w:val="22"/>
        </w:rPr>
        <w:t>, която Вашият лекар намира за значима.</w:t>
      </w:r>
    </w:p>
    <w:p w14:paraId="109AE394" w14:textId="77777777" w:rsidR="009B3384" w:rsidRDefault="009B3384">
      <w:pPr>
        <w:rPr>
          <w:szCs w:val="22"/>
        </w:rPr>
      </w:pPr>
    </w:p>
    <w:p w14:paraId="109AE395" w14:textId="77777777" w:rsidR="009B3384" w:rsidRDefault="00800862">
      <w:pPr>
        <w:rPr>
          <w:szCs w:val="22"/>
        </w:rPr>
      </w:pPr>
      <w:r>
        <w:rPr>
          <w:szCs w:val="22"/>
        </w:rPr>
        <w:t>Ако не сте сигурни дали някое от изброените по-горе се отнася за Вас, посъветвайте се с Вашия лекар или фармацевт, преди да използвате Stelara.</w:t>
      </w:r>
    </w:p>
    <w:p w14:paraId="109AE396" w14:textId="77777777" w:rsidR="009B3384" w:rsidRDefault="009B3384">
      <w:pPr>
        <w:rPr>
          <w:szCs w:val="22"/>
        </w:rPr>
      </w:pPr>
    </w:p>
    <w:p w14:paraId="109AE397" w14:textId="77777777" w:rsidR="009B3384" w:rsidRDefault="00800862">
      <w:pPr>
        <w:keepNext/>
        <w:rPr>
          <w:b/>
          <w:szCs w:val="22"/>
        </w:rPr>
      </w:pPr>
      <w:r>
        <w:rPr>
          <w:b/>
          <w:szCs w:val="22"/>
        </w:rPr>
        <w:t>Предупреждения и предпазни мерки</w:t>
      </w:r>
    </w:p>
    <w:p w14:paraId="109AE398" w14:textId="77777777" w:rsidR="009B3384" w:rsidRDefault="00800862">
      <w:r>
        <w:t>Говорете с Вашия лекар или фармацевт преди да използвате Stelara. Вашият лекар ще провери състоянието Ви преди всяко лечение. Уведомете своя лекар за всяка Ваша болест преди всяко лечение. Също така информирайте Вашия лекар, ако наскоро сте били в контакт с човек, който може да има туберкулоза. Вашият лекар ще Ви прегледа и ще направи изследване за туберкулоза, преди да използвате Stelara. Ако Вашият лекар смята, че сте изложени на риск от туберкулоза, може да Ви предпише лекарства за лечението й.</w:t>
      </w:r>
    </w:p>
    <w:p w14:paraId="109AE399" w14:textId="77777777" w:rsidR="009B3384" w:rsidRDefault="009B3384">
      <w:pPr>
        <w:rPr>
          <w:szCs w:val="22"/>
        </w:rPr>
      </w:pPr>
    </w:p>
    <w:p w14:paraId="109AE39A" w14:textId="77777777" w:rsidR="009B3384" w:rsidRDefault="00800862">
      <w:pPr>
        <w:keepNext/>
        <w:rPr>
          <w:b/>
        </w:rPr>
      </w:pPr>
      <w:r>
        <w:rPr>
          <w:b/>
        </w:rPr>
        <w:t>Следете за сериозни нежелани реакции</w:t>
      </w:r>
    </w:p>
    <w:p w14:paraId="109AE39B" w14:textId="77777777" w:rsidR="009B3384" w:rsidRDefault="00800862">
      <w:r>
        <w:t>Stelara може да предизвика сериозни нежелани реакции, включително алергични реакции и инфекции. Трябва да следите за определени признаци на заболявания, докато приемате Stelara. Вижте „Сериозни нежелани реакции” в точка 4 за пълния списък на тези нежелани реакции.</w:t>
      </w:r>
    </w:p>
    <w:p w14:paraId="109AE39C" w14:textId="77777777" w:rsidR="009B3384" w:rsidRDefault="009B3384">
      <w:pPr>
        <w:tabs>
          <w:tab w:val="left" w:pos="1134"/>
        </w:tabs>
        <w:rPr>
          <w:bCs/>
          <w:szCs w:val="22"/>
        </w:rPr>
      </w:pPr>
    </w:p>
    <w:p w14:paraId="109AE39D" w14:textId="77777777" w:rsidR="009B3384" w:rsidRDefault="00800862">
      <w:pPr>
        <w:keepNext/>
        <w:tabs>
          <w:tab w:val="left" w:pos="1134"/>
        </w:tabs>
        <w:rPr>
          <w:b/>
          <w:bCs/>
          <w:szCs w:val="22"/>
        </w:rPr>
      </w:pPr>
      <w:r>
        <w:rPr>
          <w:b/>
          <w:bCs/>
          <w:szCs w:val="22"/>
        </w:rPr>
        <w:t>Преди да използвате Stelara информирайте Вашия лекар:</w:t>
      </w:r>
    </w:p>
    <w:p w14:paraId="109AE39E" w14:textId="77777777" w:rsidR="009B3384" w:rsidRDefault="00800862">
      <w:pPr>
        <w:widowControl w:val="0"/>
        <w:numPr>
          <w:ilvl w:val="0"/>
          <w:numId w:val="30"/>
        </w:numPr>
        <w:tabs>
          <w:tab w:val="clear" w:pos="567"/>
        </w:tabs>
        <w:rPr>
          <w:bCs/>
        </w:rPr>
      </w:pPr>
      <w:r>
        <w:rPr>
          <w:b/>
        </w:rPr>
        <w:t>Ако някога сте имали алергична реакция към Stelara</w:t>
      </w:r>
      <w:r>
        <w:t>. Ако не сте сигурни, попитайте Вашия лекар.</w:t>
      </w:r>
    </w:p>
    <w:p w14:paraId="109AE39F" w14:textId="77777777" w:rsidR="009B3384" w:rsidRDefault="00800862">
      <w:pPr>
        <w:widowControl w:val="0"/>
        <w:numPr>
          <w:ilvl w:val="0"/>
          <w:numId w:val="30"/>
        </w:numPr>
        <w:tabs>
          <w:tab w:val="clear" w:pos="567"/>
        </w:tabs>
        <w:rPr>
          <w:bCs/>
          <w:szCs w:val="22"/>
        </w:rPr>
      </w:pPr>
      <w:r>
        <w:rPr>
          <w:b/>
          <w:bCs/>
        </w:rPr>
        <w:t xml:space="preserve">Ако някога сте имали някакъв вид рак </w:t>
      </w:r>
      <w:r>
        <w:rPr>
          <w:bCs/>
        </w:rPr>
        <w:t xml:space="preserve">– това е, защото имуносупресорите като </w:t>
      </w:r>
      <w:r>
        <w:t>Stelara отслабват част от имунната система. Това може да повиши риска от рак.</w:t>
      </w:r>
    </w:p>
    <w:p w14:paraId="109AE3A0" w14:textId="77777777" w:rsidR="009B3384" w:rsidRDefault="00800862">
      <w:pPr>
        <w:numPr>
          <w:ilvl w:val="0"/>
          <w:numId w:val="30"/>
        </w:numPr>
        <w:tabs>
          <w:tab w:val="clear" w:pos="567"/>
        </w:tabs>
      </w:pPr>
      <w:r>
        <w:rPr>
          <w:b/>
          <w:bCs/>
          <w:szCs w:val="22"/>
        </w:rPr>
        <w:t>Ако сте лекувани за псориазис с други биологични лекарства (лекарство, произведено от биологичен източник и обикновено прилагано чрез инжекция)</w:t>
      </w:r>
      <w:r>
        <w:rPr>
          <w:bCs/>
          <w:szCs w:val="22"/>
        </w:rPr>
        <w:t xml:space="preserve"> - рискът от рак може да е по-висок.</w:t>
      </w:r>
    </w:p>
    <w:p w14:paraId="109AE3A1" w14:textId="77777777" w:rsidR="009B3384" w:rsidRDefault="00800862">
      <w:pPr>
        <w:widowControl w:val="0"/>
        <w:numPr>
          <w:ilvl w:val="0"/>
          <w:numId w:val="30"/>
        </w:numPr>
        <w:tabs>
          <w:tab w:val="clear" w:pos="567"/>
        </w:tabs>
        <w:rPr>
          <w:bCs/>
          <w:szCs w:val="22"/>
        </w:rPr>
      </w:pPr>
      <w:r>
        <w:rPr>
          <w:b/>
        </w:rPr>
        <w:t>Ако имате или наскоро сте имали инфекция.</w:t>
      </w:r>
    </w:p>
    <w:p w14:paraId="109AE3A2" w14:textId="77777777" w:rsidR="009B3384" w:rsidRDefault="00800862">
      <w:pPr>
        <w:widowControl w:val="0"/>
        <w:numPr>
          <w:ilvl w:val="0"/>
          <w:numId w:val="30"/>
        </w:numPr>
        <w:tabs>
          <w:tab w:val="clear" w:pos="567"/>
        </w:tabs>
        <w:rPr>
          <w:bCs/>
        </w:rPr>
      </w:pPr>
      <w:r>
        <w:rPr>
          <w:b/>
        </w:rPr>
        <w:t xml:space="preserve">Ако имате нови или променящи се лезии </w:t>
      </w:r>
      <w:r>
        <w:t>в участъците с псориазис или по незасегнатата кожа.</w:t>
      </w:r>
    </w:p>
    <w:p w14:paraId="109AE3A3" w14:textId="77777777" w:rsidR="009B3384" w:rsidRDefault="00800862">
      <w:pPr>
        <w:widowControl w:val="0"/>
        <w:numPr>
          <w:ilvl w:val="0"/>
          <w:numId w:val="30"/>
        </w:numPr>
        <w:tabs>
          <w:tab w:val="clear" w:pos="567"/>
        </w:tabs>
        <w:rPr>
          <w:bCs/>
        </w:rPr>
      </w:pPr>
      <w:r>
        <w:rPr>
          <w:b/>
        </w:rPr>
        <w:t>Ако някога сте имали алергична реакция към латекс или инжекция Stelara</w:t>
      </w:r>
      <w:r>
        <w:t xml:space="preserve"> – </w:t>
      </w:r>
      <w:r>
        <w:rPr>
          <w:szCs w:val="22"/>
        </w:rPr>
        <w:lastRenderedPageBreak/>
        <w:t xml:space="preserve">опаковката, в която се намира този лекарствен продукт, съдържа латексова гума, която може да предизвика тежки алергични реакции при хора, чувствителни към латекс. Вижте </w:t>
      </w:r>
      <w:r>
        <w:t>„Следете за сериозни нежелани реакции” в точка 4 за признаците на алергична реакция.</w:t>
      </w:r>
    </w:p>
    <w:p w14:paraId="109AE3A4" w14:textId="77777777" w:rsidR="009B3384" w:rsidRDefault="00800862">
      <w:pPr>
        <w:widowControl w:val="0"/>
        <w:numPr>
          <w:ilvl w:val="0"/>
          <w:numId w:val="30"/>
        </w:numPr>
        <w:tabs>
          <w:tab w:val="clear" w:pos="567"/>
        </w:tabs>
        <w:rPr>
          <w:bCs/>
        </w:rPr>
      </w:pPr>
      <w:r>
        <w:rPr>
          <w:b/>
        </w:rPr>
        <w:t>Ако получавате друго лечение за псориазис и/или псориатичен артрит</w:t>
      </w:r>
      <w:r>
        <w:t xml:space="preserve"> – като други имуносупресори или фототерапия (когато тялото се лекува с тип ултравиолетова (UV) светлина). Тези лечения също може да отслабят част от имунната система. Използването на тези лечения заедно със </w:t>
      </w:r>
      <w:r>
        <w:rPr>
          <w:lang w:val="en-US"/>
        </w:rPr>
        <w:t>Stelara</w:t>
      </w:r>
      <w:r>
        <w:t xml:space="preserve"> не е изследвано. Възможно е обаче, то да увеличи риска от заболявания, свързани с отслабване на имунната система.</w:t>
      </w:r>
    </w:p>
    <w:p w14:paraId="109AE3A5" w14:textId="77777777" w:rsidR="009B3384" w:rsidRDefault="00800862">
      <w:pPr>
        <w:numPr>
          <w:ilvl w:val="0"/>
          <w:numId w:val="30"/>
        </w:numPr>
        <w:tabs>
          <w:tab w:val="clear" w:pos="567"/>
        </w:tabs>
        <w:rPr>
          <w:bCs/>
        </w:rPr>
      </w:pPr>
      <w:r>
        <w:rPr>
          <w:b/>
        </w:rPr>
        <w:t>Ако получавате или някога сте получавали инжекции за лечение на алергии</w:t>
      </w:r>
      <w:r>
        <w:t xml:space="preserve"> – не е известно дали Stelara може да окаже влияние върху тях.</w:t>
      </w:r>
    </w:p>
    <w:p w14:paraId="109AE3A6" w14:textId="77777777" w:rsidR="009B3384" w:rsidRDefault="00800862">
      <w:pPr>
        <w:numPr>
          <w:ilvl w:val="0"/>
          <w:numId w:val="30"/>
        </w:numPr>
        <w:tabs>
          <w:tab w:val="clear" w:pos="567"/>
        </w:tabs>
        <w:rPr>
          <w:bCs/>
        </w:rPr>
      </w:pPr>
      <w:r>
        <w:rPr>
          <w:b/>
        </w:rPr>
        <w:t>Ако сте на и над 65 години</w:t>
      </w:r>
      <w:r>
        <w:t xml:space="preserve"> – може да сте по-склонни към инфекции.</w:t>
      </w:r>
    </w:p>
    <w:p w14:paraId="109AE3A7" w14:textId="77777777" w:rsidR="009B3384" w:rsidRDefault="009B3384">
      <w:pPr>
        <w:tabs>
          <w:tab w:val="clear" w:pos="567"/>
        </w:tabs>
        <w:rPr>
          <w:bCs/>
        </w:rPr>
      </w:pPr>
    </w:p>
    <w:p w14:paraId="109AE3A8" w14:textId="77777777" w:rsidR="009B3384" w:rsidRDefault="00800862">
      <w:r>
        <w:t>Ако не сте сигурни дали някое от гореизброените се отнася за Вас, посъветвайте се с Вашия лекар или фармацевт, преди да използвате Stelara.</w:t>
      </w:r>
    </w:p>
    <w:p w14:paraId="109AE3A9" w14:textId="77777777" w:rsidR="009B3384" w:rsidRDefault="009B3384">
      <w:pPr>
        <w:rPr>
          <w:szCs w:val="22"/>
        </w:rPr>
      </w:pPr>
    </w:p>
    <w:p w14:paraId="109AE3AA" w14:textId="77777777" w:rsidR="009B3384" w:rsidRDefault="00800862">
      <w:pPr>
        <w:rPr>
          <w:szCs w:val="22"/>
        </w:rPr>
      </w:pPr>
      <w:r>
        <w:rPr>
          <w:szCs w:val="22"/>
        </w:rPr>
        <w:t>Някои пациенти получават лупус-подобни реакции, включително кожен лупус еритематодес и лупус-подобен синдром, по време на лечение с устекинумаб. Говорете веднага с Вашия лекар, ако получите червен, надигнат, лющещ се обрив, понякога с по-тъмни граници, в изложените на слънце участъци на кожата или ставни болки.</w:t>
      </w:r>
    </w:p>
    <w:p w14:paraId="109AE3AB" w14:textId="77777777" w:rsidR="009B3384" w:rsidRDefault="009B3384">
      <w:pPr>
        <w:rPr>
          <w:szCs w:val="22"/>
        </w:rPr>
      </w:pPr>
    </w:p>
    <w:p w14:paraId="109AE3AC" w14:textId="77777777" w:rsidR="009B3384" w:rsidRDefault="00800862">
      <w:pPr>
        <w:keepNext/>
        <w:tabs>
          <w:tab w:val="clear" w:pos="567"/>
        </w:tabs>
        <w:rPr>
          <w:b/>
          <w:bCs/>
        </w:rPr>
      </w:pPr>
      <w:r>
        <w:rPr>
          <w:b/>
          <w:bCs/>
        </w:rPr>
        <w:t>Сърдечен инфаркт и инсулти</w:t>
      </w:r>
    </w:p>
    <w:p w14:paraId="109AE3AD" w14:textId="77777777" w:rsidR="009B3384" w:rsidRDefault="00800862">
      <w:pPr>
        <w:tabs>
          <w:tab w:val="clear" w:pos="567"/>
        </w:tabs>
      </w:pPr>
      <w:r>
        <w:t>Инфаркт и инсулти са наблюдавани в проучване при пациенти с псориазис, лекувани със Stelara. Вашият лекар редовно ще проверява рисковите фактори за сърдечно заболяване и инсулт при Вас, за да е сигурно, че те се лекуват по подходящ начин. Незабавно потърсете медицинска помощ, ако получите болка в гърдите, слабост или необичайно усещане от едната страна на тялото, отпуснатост на лицето или говорни или зрителни смущения.</w:t>
      </w:r>
    </w:p>
    <w:p w14:paraId="109AE3AE" w14:textId="77777777" w:rsidR="009B3384" w:rsidRDefault="009B3384">
      <w:pPr>
        <w:tabs>
          <w:tab w:val="clear" w:pos="567"/>
        </w:tabs>
      </w:pPr>
    </w:p>
    <w:p w14:paraId="109AE3AF" w14:textId="77777777" w:rsidR="009B3384" w:rsidRDefault="00800862">
      <w:pPr>
        <w:keepNext/>
        <w:widowControl w:val="0"/>
        <w:rPr>
          <w:b/>
          <w:bCs/>
        </w:rPr>
      </w:pPr>
      <w:r>
        <w:rPr>
          <w:b/>
          <w:bCs/>
        </w:rPr>
        <w:t>Деца и юноши</w:t>
      </w:r>
    </w:p>
    <w:p w14:paraId="109AE3B0" w14:textId="4D7935FB" w:rsidR="009B3384" w:rsidRDefault="00800862">
      <w:r>
        <w:t>Stelara не се препоръчва за употреба при деца на възраст под 6 години с псориазис</w:t>
      </w:r>
      <w:bookmarkStart w:id="1373" w:name="_Hlk188384094"/>
      <w:r>
        <w:t xml:space="preserve">, деца </w:t>
      </w:r>
      <w:ins w:id="1374" w:author="Reviser" w:date="2026-04-30T15:49:00Z">
        <w:r w:rsidR="003B65CC">
          <w:rPr>
            <w:bCs/>
          </w:rPr>
          <w:t xml:space="preserve">на възраст под 2 години </w:t>
        </w:r>
      </w:ins>
      <w:r>
        <w:t xml:space="preserve">с болест на Крон </w:t>
      </w:r>
      <w:ins w:id="1375" w:author="Reviser" w:date="2026-04-30T15:49:00Z">
        <w:r w:rsidR="003B65CC">
          <w:rPr>
            <w:bCs/>
          </w:rPr>
          <w:t>или улцерозен колит</w:t>
        </w:r>
      </w:ins>
      <w:ins w:id="1376" w:author="RABG09" w:date="2026-05-14T13:14:00Z">
        <w:r w:rsidR="00497B64">
          <w:rPr>
            <w:bCs/>
          </w:rPr>
          <w:t>,</w:t>
        </w:r>
      </w:ins>
      <w:ins w:id="1377" w:author="Reviser" w:date="2026-04-30T15:49:00Z">
        <w:r w:rsidR="003B65CC" w:rsidDel="003B65CC">
          <w:rPr>
            <w:bCs/>
          </w:rPr>
          <w:t xml:space="preserve"> </w:t>
        </w:r>
      </w:ins>
      <w:del w:id="1378" w:author="Reviser" w:date="2026-04-30T15:49:00Z">
        <w:r w:rsidDel="003B65CC">
          <w:rPr>
            <w:bCs/>
          </w:rPr>
          <w:delText xml:space="preserve">на възраст под 2 години </w:delText>
        </w:r>
      </w:del>
      <w:bookmarkEnd w:id="1373"/>
      <w:r>
        <w:t>или при деца на възраст под 18</w:t>
      </w:r>
      <w:r>
        <w:rPr>
          <w:lang w:val="en-GB"/>
        </w:rPr>
        <w:t> </w:t>
      </w:r>
      <w:r>
        <w:t>години с псориатичен артрит</w:t>
      </w:r>
      <w:del w:id="1379" w:author="Reviser" w:date="2026-04-30T15:49:00Z">
        <w:r w:rsidDel="003B65CC">
          <w:delText xml:space="preserve"> или с </w:delText>
        </w:r>
        <w:r w:rsidDel="003B65CC">
          <w:rPr>
            <w:bCs/>
          </w:rPr>
          <w:delText>улцерозен колит</w:delText>
        </w:r>
      </w:del>
      <w:r>
        <w:t>, защото не е проучван при тези възрастови групи.</w:t>
      </w:r>
    </w:p>
    <w:p w14:paraId="109AE3B1" w14:textId="77777777" w:rsidR="009B3384" w:rsidRDefault="009B3384">
      <w:pPr>
        <w:rPr>
          <w:szCs w:val="22"/>
        </w:rPr>
      </w:pPr>
    </w:p>
    <w:p w14:paraId="109AE3B2" w14:textId="77777777" w:rsidR="009B3384" w:rsidRDefault="00800862">
      <w:pPr>
        <w:keepNext/>
      </w:pPr>
      <w:r>
        <w:rPr>
          <w:b/>
          <w:szCs w:val="22"/>
        </w:rPr>
        <w:t>Други лекарства, ваксини и Stelara</w:t>
      </w:r>
    </w:p>
    <w:p w14:paraId="109AE3B3" w14:textId="77777777" w:rsidR="009B3384" w:rsidRDefault="00800862">
      <w:r>
        <w:rPr>
          <w:szCs w:val="22"/>
        </w:rPr>
        <w:t>Трябва да кажете на Вашия лекар или фармацевт:</w:t>
      </w:r>
    </w:p>
    <w:p w14:paraId="109AE3B4" w14:textId="77777777" w:rsidR="009B3384" w:rsidRDefault="00800862">
      <w:pPr>
        <w:numPr>
          <w:ilvl w:val="0"/>
          <w:numId w:val="30"/>
        </w:numPr>
        <w:tabs>
          <w:tab w:val="clear" w:pos="567"/>
        </w:tabs>
      </w:pPr>
      <w:r>
        <w:rPr>
          <w:szCs w:val="22"/>
        </w:rPr>
        <w:t>Ако приемате, наскоро сте приемали или е възможно да приемете други лекарства.</w:t>
      </w:r>
    </w:p>
    <w:p w14:paraId="109AE3B5" w14:textId="77777777" w:rsidR="009B3384" w:rsidRDefault="00800862">
      <w:pPr>
        <w:numPr>
          <w:ilvl w:val="0"/>
          <w:numId w:val="30"/>
        </w:numPr>
        <w:tabs>
          <w:tab w:val="clear" w:pos="567"/>
        </w:tabs>
      </w:pPr>
      <w:r>
        <w:rPr>
          <w:szCs w:val="22"/>
        </w:rPr>
        <w:t>Ако наскоро Ви е правена или планирате да Ви се прави ваксинация. Докато използвате Stelara, някои видове ваксини (живи ваксини) не трябва да се прилагат.</w:t>
      </w:r>
    </w:p>
    <w:p w14:paraId="109AE3B6" w14:textId="77777777" w:rsidR="009B3384" w:rsidRDefault="00800862">
      <w:pPr>
        <w:numPr>
          <w:ilvl w:val="0"/>
          <w:numId w:val="30"/>
        </w:numPr>
        <w:tabs>
          <w:tab w:val="clear" w:pos="567"/>
        </w:tabs>
      </w:pPr>
      <w:r>
        <w:rPr>
          <w:bCs/>
          <w:szCs w:val="22"/>
        </w:rPr>
        <w:t>Ако сте получавали Stelara по време на бременността, трябва да кажете на лекаря на бебето Ви за лечението със Stelara, преди то да получи каквато и да е ваксина, включително живи ваксини, като БЦЖ ваксина (използвана за предпазване от туберкулоза). Живите ваксини не се препоръчват за Вашето бебе през дванадесет шест месеца след раждането, ако сте получавали Stelara по време на бременността, освен ако лекарят на Вашето бебе не препоръча друго.</w:t>
      </w:r>
    </w:p>
    <w:p w14:paraId="109AE3B7" w14:textId="77777777" w:rsidR="009B3384" w:rsidRDefault="009B3384">
      <w:pPr>
        <w:rPr>
          <w:szCs w:val="22"/>
        </w:rPr>
      </w:pPr>
    </w:p>
    <w:p w14:paraId="109AE3B8" w14:textId="77777777" w:rsidR="009B3384" w:rsidRDefault="00800862">
      <w:pPr>
        <w:keepNext/>
      </w:pPr>
      <w:r>
        <w:rPr>
          <w:b/>
          <w:szCs w:val="22"/>
        </w:rPr>
        <w:t>Бременност и кърмене</w:t>
      </w:r>
    </w:p>
    <w:p w14:paraId="109AE3B9" w14:textId="77777777" w:rsidR="009B3384" w:rsidRDefault="00800862">
      <w:pPr>
        <w:numPr>
          <w:ilvl w:val="0"/>
          <w:numId w:val="30"/>
        </w:numPr>
        <w:tabs>
          <w:tab w:val="clear" w:pos="567"/>
        </w:tabs>
      </w:pPr>
      <w:r>
        <w:rPr>
          <w:noProof/>
          <w:szCs w:val="22"/>
        </w:rPr>
        <w:t>Ако сте бременна, смятате, че може да сте бременна или планирате бременност, посъветвайте</w:t>
      </w:r>
      <w:r>
        <w:rPr>
          <w:szCs w:val="22"/>
        </w:rPr>
        <w:t xml:space="preserve"> се с Вашия лекар преди употребата на </w:t>
      </w:r>
      <w:r>
        <w:rPr>
          <w:noProof/>
          <w:szCs w:val="22"/>
        </w:rPr>
        <w:t>това</w:t>
      </w:r>
      <w:r>
        <w:rPr>
          <w:szCs w:val="22"/>
        </w:rPr>
        <w:t xml:space="preserve"> лекарство.</w:t>
      </w:r>
    </w:p>
    <w:p w14:paraId="109AE3BA" w14:textId="77777777" w:rsidR="009B3384" w:rsidRDefault="00800862">
      <w:pPr>
        <w:numPr>
          <w:ilvl w:val="0"/>
          <w:numId w:val="30"/>
        </w:numPr>
        <w:tabs>
          <w:tab w:val="clear" w:pos="567"/>
        </w:tabs>
      </w:pPr>
      <w:r>
        <w:t>Не е наблюдаван по-висок риск от вродени дефекти при бебета, изложени на Stelara в утробата. Данните от употребата на Stelara при бременни жени обаче са ограничени. Поради това е за предпочитане да се избягва употребата на Stelara по време на бременност.</w:t>
      </w:r>
    </w:p>
    <w:p w14:paraId="109AE3BB" w14:textId="77777777" w:rsidR="009B3384" w:rsidRDefault="00800862">
      <w:pPr>
        <w:numPr>
          <w:ilvl w:val="0"/>
          <w:numId w:val="30"/>
        </w:numPr>
        <w:tabs>
          <w:tab w:val="clear" w:pos="567"/>
        </w:tabs>
      </w:pPr>
      <w:r>
        <w:rPr>
          <w:szCs w:val="22"/>
        </w:rPr>
        <w:t>Ако сте жена с детероден потенциал, желателно е да не забременявате и да използвате подходящ противозачатъчен метод, когато използвате Stelara и поне 15 седмици след последното прилагане на Stelara.</w:t>
      </w:r>
    </w:p>
    <w:p w14:paraId="109AE3BC" w14:textId="77777777" w:rsidR="009B3384" w:rsidRDefault="00800862">
      <w:pPr>
        <w:numPr>
          <w:ilvl w:val="0"/>
          <w:numId w:val="30"/>
        </w:numPr>
        <w:tabs>
          <w:tab w:val="clear" w:pos="567"/>
        </w:tabs>
      </w:pPr>
      <w:r>
        <w:rPr>
          <w:bCs/>
          <w:szCs w:val="22"/>
        </w:rPr>
        <w:lastRenderedPageBreak/>
        <w:t>Stelara може да премине през плацентата в нероденото бебе. Ако сте получавали Stelara по време на бременността си, бебето Ви може да има по-висок риск от инфекция.</w:t>
      </w:r>
    </w:p>
    <w:p w14:paraId="109AE3BD" w14:textId="77777777" w:rsidR="009B3384" w:rsidRDefault="00800862">
      <w:pPr>
        <w:numPr>
          <w:ilvl w:val="0"/>
          <w:numId w:val="30"/>
        </w:numPr>
        <w:tabs>
          <w:tab w:val="clear" w:pos="567"/>
        </w:tabs>
      </w:pPr>
      <w:r>
        <w:rPr>
          <w:bCs/>
          <w:szCs w:val="22"/>
        </w:rPr>
        <w:t>Важно е да кажете на лекарите на Вашето бебе и други медицински специалисти, ако сте получавали Stelara по време на бременността си, преди бебето да получи каквато и да е ваксина. Живи ваксини, като БЦЖ ваксина (използвана за предпазване от туберкулоза),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3BE" w14:textId="77777777" w:rsidR="009B3384" w:rsidRDefault="00800862">
      <w:pPr>
        <w:numPr>
          <w:ilvl w:val="0"/>
          <w:numId w:val="30"/>
        </w:numPr>
        <w:tabs>
          <w:tab w:val="clear" w:pos="567"/>
        </w:tabs>
      </w:pPr>
      <w:r>
        <w:t xml:space="preserve">Устекинумаб може да премине в кърмата в много малки количества. </w:t>
      </w:r>
      <w:r>
        <w:rPr>
          <w:szCs w:val="22"/>
        </w:rPr>
        <w:t>Посъветвайте се с Вашия лекар, ако кърмите или ако планирате да кърмите. Вие и Вашият лекар трябва да решите дали трябва да кърмите или да използвате Stelara - не правете и двете.</w:t>
      </w:r>
    </w:p>
    <w:p w14:paraId="109AE3BF" w14:textId="77777777" w:rsidR="009B3384" w:rsidRDefault="009B3384"/>
    <w:p w14:paraId="109AE3C0" w14:textId="77777777" w:rsidR="009B3384" w:rsidRDefault="00800862">
      <w:pPr>
        <w:keepNext/>
        <w:rPr>
          <w:szCs w:val="22"/>
        </w:rPr>
      </w:pPr>
      <w:r>
        <w:rPr>
          <w:b/>
          <w:szCs w:val="22"/>
        </w:rPr>
        <w:t>Шофиране и работа с машини</w:t>
      </w:r>
    </w:p>
    <w:p w14:paraId="109AE3C1" w14:textId="77777777" w:rsidR="009B3384" w:rsidRDefault="00800862">
      <w:pPr>
        <w:rPr>
          <w:szCs w:val="22"/>
        </w:rPr>
      </w:pPr>
      <w:r>
        <w:rPr>
          <w:szCs w:val="22"/>
        </w:rPr>
        <w:t>Stelara не повлиява или повлиява пренебрежимо способността за шофиране и работа с машини.</w:t>
      </w:r>
    </w:p>
    <w:p w14:paraId="109AE3C2" w14:textId="77777777" w:rsidR="009B3384" w:rsidRDefault="009B3384">
      <w:pPr>
        <w:rPr>
          <w:szCs w:val="22"/>
        </w:rPr>
      </w:pPr>
    </w:p>
    <w:p w14:paraId="109AE3C3" w14:textId="77777777" w:rsidR="009B3384" w:rsidRDefault="00800862">
      <w:pPr>
        <w:keepNext/>
        <w:widowControl w:val="0"/>
        <w:rPr>
          <w:b/>
        </w:rPr>
      </w:pPr>
      <w:r>
        <w:rPr>
          <w:b/>
        </w:rPr>
        <w:t>Stelara съдържа полисорбат 80</w:t>
      </w:r>
    </w:p>
    <w:p w14:paraId="109AE3C4" w14:textId="77777777" w:rsidR="009B3384" w:rsidRDefault="00800862">
      <w:pPr>
        <w:widowControl w:val="0"/>
      </w:pPr>
      <w:r>
        <w:t>Stelara съдържа 0,04 mg полисорбат 80 (E433) във всяка доза, която е еквивалентна на 0,04 mg/ml. Полисорбатите могат да причинят алергични реакции. Трябва да кажете на Вашия лекар, ако имате установени алергии.</w:t>
      </w:r>
    </w:p>
    <w:p w14:paraId="109AE3C5" w14:textId="77777777" w:rsidR="009B3384" w:rsidRDefault="009B3384">
      <w:pPr>
        <w:rPr>
          <w:szCs w:val="22"/>
        </w:rPr>
      </w:pPr>
    </w:p>
    <w:p w14:paraId="109AE3C6" w14:textId="77777777" w:rsidR="009B3384" w:rsidRDefault="009B3384">
      <w:pPr>
        <w:rPr>
          <w:szCs w:val="22"/>
        </w:rPr>
      </w:pPr>
    </w:p>
    <w:p w14:paraId="109AE3C7" w14:textId="77777777" w:rsidR="009B3384" w:rsidRDefault="00800862">
      <w:pPr>
        <w:keepNext/>
        <w:ind w:left="567" w:hanging="567"/>
        <w:outlineLvl w:val="2"/>
        <w:rPr>
          <w:b/>
          <w:bCs/>
          <w:szCs w:val="22"/>
        </w:rPr>
      </w:pPr>
      <w:r>
        <w:rPr>
          <w:b/>
          <w:bCs/>
          <w:szCs w:val="22"/>
        </w:rPr>
        <w:t>3.</w:t>
      </w:r>
      <w:r>
        <w:rPr>
          <w:b/>
          <w:bCs/>
          <w:szCs w:val="22"/>
        </w:rPr>
        <w:tab/>
        <w:t>Как да използвате Stelara</w:t>
      </w:r>
    </w:p>
    <w:p w14:paraId="109AE3C8" w14:textId="77777777" w:rsidR="009B3384" w:rsidRDefault="009B3384">
      <w:pPr>
        <w:keepNext/>
        <w:rPr>
          <w:szCs w:val="22"/>
        </w:rPr>
      </w:pPr>
    </w:p>
    <w:p w14:paraId="109AE3C9" w14:textId="77777777" w:rsidR="009B3384" w:rsidRDefault="00800862">
      <w:pPr>
        <w:rPr>
          <w:szCs w:val="22"/>
        </w:rPr>
      </w:pPr>
      <w:r>
        <w:rPr>
          <w:szCs w:val="22"/>
        </w:rPr>
        <w:t>Stelara е предназначен за употреба под ръководството и контрола на лекар с опит в лечението на заболявания</w:t>
      </w:r>
      <w:r>
        <w:rPr>
          <w:bCs/>
          <w:szCs w:val="22"/>
        </w:rPr>
        <w:t xml:space="preserve">, за които е показан </w:t>
      </w:r>
      <w:r>
        <w:rPr>
          <w:szCs w:val="22"/>
        </w:rPr>
        <w:t>Stelara.</w:t>
      </w:r>
    </w:p>
    <w:p w14:paraId="109AE3CA" w14:textId="77777777" w:rsidR="009B3384" w:rsidRDefault="009B3384">
      <w:pPr>
        <w:rPr>
          <w:szCs w:val="22"/>
        </w:rPr>
      </w:pPr>
    </w:p>
    <w:p w14:paraId="109AE3CB" w14:textId="77777777" w:rsidR="009B3384" w:rsidRDefault="00800862">
      <w:pPr>
        <w:rPr>
          <w:szCs w:val="22"/>
        </w:rPr>
      </w:pPr>
      <w:r>
        <w:rPr>
          <w:szCs w:val="22"/>
        </w:rPr>
        <w:t>Винаги използвайте това лекарство точно както Ви е казал Вашият лекар. Ако не сте сигурни в нещо, попитайте Вашия лекар. Посъветвайте се с Вашия лекар за това, кога ще Ви се поставят инжекциите и кога ще са следващите контролни прегледи.</w:t>
      </w:r>
    </w:p>
    <w:p w14:paraId="109AE3CC" w14:textId="77777777" w:rsidR="009B3384" w:rsidRDefault="009B3384">
      <w:pPr>
        <w:rPr>
          <w:szCs w:val="22"/>
        </w:rPr>
      </w:pPr>
    </w:p>
    <w:p w14:paraId="109AE3CD" w14:textId="77777777" w:rsidR="009B3384" w:rsidRDefault="00800862">
      <w:pPr>
        <w:keepNext/>
        <w:rPr>
          <w:b/>
          <w:bCs/>
          <w:szCs w:val="22"/>
        </w:rPr>
      </w:pPr>
      <w:r>
        <w:rPr>
          <w:b/>
          <w:bCs/>
          <w:szCs w:val="22"/>
        </w:rPr>
        <w:t>Какво количество Stelara се прилага</w:t>
      </w:r>
    </w:p>
    <w:p w14:paraId="109AE3CE" w14:textId="77777777" w:rsidR="009B3384" w:rsidRDefault="00800862">
      <w:pPr>
        <w:tabs>
          <w:tab w:val="clear" w:pos="567"/>
          <w:tab w:val="left" w:pos="540"/>
        </w:tabs>
        <w:rPr>
          <w:szCs w:val="22"/>
        </w:rPr>
      </w:pPr>
      <w:r>
        <w:rPr>
          <w:bCs/>
          <w:szCs w:val="22"/>
        </w:rPr>
        <w:t xml:space="preserve">Вашият лекар ще реши какво количество </w:t>
      </w:r>
      <w:r>
        <w:rPr>
          <w:szCs w:val="22"/>
        </w:rPr>
        <w:t>Stelara трябва да получите и за какъв период от време.</w:t>
      </w:r>
    </w:p>
    <w:p w14:paraId="109AE3CF" w14:textId="77777777" w:rsidR="009B3384" w:rsidRDefault="009B3384">
      <w:pPr>
        <w:tabs>
          <w:tab w:val="clear" w:pos="567"/>
          <w:tab w:val="left" w:pos="540"/>
        </w:tabs>
        <w:rPr>
          <w:szCs w:val="22"/>
        </w:rPr>
      </w:pPr>
    </w:p>
    <w:p w14:paraId="109AE3D0" w14:textId="77777777" w:rsidR="009B3384" w:rsidRDefault="00800862">
      <w:pPr>
        <w:keepNext/>
        <w:tabs>
          <w:tab w:val="clear" w:pos="567"/>
          <w:tab w:val="left" w:pos="540"/>
        </w:tabs>
        <w:rPr>
          <w:b/>
          <w:szCs w:val="22"/>
        </w:rPr>
      </w:pPr>
      <w:r>
        <w:rPr>
          <w:b/>
          <w:szCs w:val="22"/>
        </w:rPr>
        <w:t>Възрастни на 18 години или по-големи</w:t>
      </w:r>
    </w:p>
    <w:p w14:paraId="109AE3D1" w14:textId="77777777" w:rsidR="009B3384" w:rsidRDefault="00800862">
      <w:pPr>
        <w:keepNext/>
        <w:tabs>
          <w:tab w:val="clear" w:pos="567"/>
          <w:tab w:val="left" w:pos="540"/>
        </w:tabs>
        <w:rPr>
          <w:b/>
          <w:szCs w:val="22"/>
        </w:rPr>
      </w:pPr>
      <w:r>
        <w:rPr>
          <w:b/>
          <w:szCs w:val="22"/>
        </w:rPr>
        <w:t>Псориазис или псориатичен артрит</w:t>
      </w:r>
    </w:p>
    <w:p w14:paraId="109AE3D2" w14:textId="77777777" w:rsidR="009B3384" w:rsidRDefault="00800862">
      <w:pPr>
        <w:numPr>
          <w:ilvl w:val="0"/>
          <w:numId w:val="30"/>
        </w:numPr>
        <w:tabs>
          <w:tab w:val="clear" w:pos="567"/>
        </w:tabs>
        <w:rPr>
          <w:bCs/>
        </w:rPr>
      </w:pPr>
      <w:r>
        <w:rPr>
          <w:szCs w:val="22"/>
        </w:rPr>
        <w:t xml:space="preserve">Препоръчителната начална доза е 45 mg </w:t>
      </w:r>
      <w:r>
        <w:rPr>
          <w:szCs w:val="22"/>
          <w:lang w:val="en-US"/>
        </w:rPr>
        <w:t>Stelara</w:t>
      </w:r>
      <w:r>
        <w:rPr>
          <w:szCs w:val="22"/>
        </w:rPr>
        <w:t xml:space="preserve">. </w:t>
      </w:r>
      <w:r>
        <w:t>Пациенти с тегло над 100 килограма (kg) може да започнат с доза 90 mg вместо 45 mg.</w:t>
      </w:r>
    </w:p>
    <w:p w14:paraId="109AE3D3" w14:textId="77777777" w:rsidR="009B3384" w:rsidRDefault="00800862">
      <w:pPr>
        <w:numPr>
          <w:ilvl w:val="0"/>
          <w:numId w:val="30"/>
        </w:numPr>
        <w:tabs>
          <w:tab w:val="clear" w:pos="567"/>
        </w:tabs>
        <w:rPr>
          <w:bCs/>
          <w:szCs w:val="22"/>
        </w:rPr>
      </w:pPr>
      <w:r>
        <w:rPr>
          <w:szCs w:val="22"/>
        </w:rPr>
        <w:t>След началната доза, следващата Ви доза ще бъде 4 седмици по-късно и след това на всеки 12 седмици. Следващите дози обикновено са същите, като началната доза.</w:t>
      </w:r>
    </w:p>
    <w:p w14:paraId="109AE3D4" w14:textId="77777777" w:rsidR="009B3384" w:rsidRDefault="009B3384"/>
    <w:p w14:paraId="109AE3D5" w14:textId="77777777" w:rsidR="009B3384" w:rsidRDefault="00800862">
      <w:pPr>
        <w:keepNext/>
        <w:rPr>
          <w:b/>
          <w:bCs/>
          <w:szCs w:val="22"/>
        </w:rPr>
      </w:pPr>
      <w:r>
        <w:rPr>
          <w:b/>
          <w:bCs/>
          <w:szCs w:val="22"/>
        </w:rPr>
        <w:t>Болест на Крон</w:t>
      </w:r>
      <w:r>
        <w:t xml:space="preserve"> </w:t>
      </w:r>
      <w:r>
        <w:rPr>
          <w:b/>
          <w:bCs/>
          <w:szCs w:val="22"/>
        </w:rPr>
        <w:t>или улцерозен колит</w:t>
      </w:r>
    </w:p>
    <w:p w14:paraId="109AE3D6" w14:textId="77777777" w:rsidR="009B3384" w:rsidRDefault="00800862">
      <w:pPr>
        <w:numPr>
          <w:ilvl w:val="0"/>
          <w:numId w:val="30"/>
        </w:numPr>
        <w:tabs>
          <w:tab w:val="clear" w:pos="567"/>
        </w:tabs>
        <w:rPr>
          <w:bCs/>
          <w:szCs w:val="22"/>
        </w:rPr>
      </w:pPr>
      <w:r>
        <w:t>По време на</w:t>
      </w:r>
      <w:r>
        <w:rPr>
          <w:szCs w:val="22"/>
        </w:rPr>
        <w:t xml:space="preserve"> лечението </w:t>
      </w:r>
      <w:r>
        <w:t xml:space="preserve">Вашият лекар ще Ви приложи </w:t>
      </w:r>
      <w:r>
        <w:rPr>
          <w:szCs w:val="22"/>
        </w:rPr>
        <w:t>първата доза от приблизително 6</w:t>
      </w:r>
      <w:r>
        <w:t> </w:t>
      </w:r>
      <w:r>
        <w:rPr>
          <w:szCs w:val="22"/>
          <w:lang w:val="en-US"/>
        </w:rPr>
        <w:t>mg</w:t>
      </w:r>
      <w:r>
        <w:rPr>
          <w:szCs w:val="22"/>
        </w:rPr>
        <w:t>/</w:t>
      </w:r>
      <w:r>
        <w:rPr>
          <w:szCs w:val="22"/>
          <w:lang w:val="en-US"/>
        </w:rPr>
        <w:t>kg</w:t>
      </w:r>
      <w:r>
        <w:rPr>
          <w:szCs w:val="22"/>
        </w:rPr>
        <w:t xml:space="preserve"> </w:t>
      </w:r>
      <w:r>
        <w:rPr>
          <w:szCs w:val="22"/>
          <w:lang w:val="en-US"/>
        </w:rPr>
        <w:t>Stelara</w:t>
      </w:r>
      <w:r>
        <w:rPr>
          <w:szCs w:val="22"/>
        </w:rPr>
        <w:t xml:space="preserve"> капково във вена на ръката </w:t>
      </w:r>
      <w:r>
        <w:t>(интравенозна инфузия).</w:t>
      </w:r>
      <w:r>
        <w:rPr>
          <w:szCs w:val="22"/>
        </w:rPr>
        <w:t xml:space="preserve"> След началната доза, ще получите следващата доза 90</w:t>
      </w:r>
      <w:r>
        <w:t> </w:t>
      </w:r>
      <w:r>
        <w:rPr>
          <w:szCs w:val="22"/>
          <w:lang w:val="en-US"/>
        </w:rPr>
        <w:t>mg</w:t>
      </w:r>
      <w:r>
        <w:rPr>
          <w:szCs w:val="22"/>
        </w:rPr>
        <w:t xml:space="preserve"> </w:t>
      </w:r>
      <w:r>
        <w:rPr>
          <w:szCs w:val="22"/>
          <w:lang w:val="en-US"/>
        </w:rPr>
        <w:t>Stelara</w:t>
      </w:r>
      <w:r>
        <w:rPr>
          <w:szCs w:val="22"/>
        </w:rPr>
        <w:t xml:space="preserve"> след 8</w:t>
      </w:r>
      <w:r>
        <w:t> </w:t>
      </w:r>
      <w:r>
        <w:rPr>
          <w:szCs w:val="22"/>
        </w:rPr>
        <w:t xml:space="preserve">седмици, след това през 12 седмици чрез инжекция под кожата </w:t>
      </w:r>
      <w:r>
        <w:t>(подкожно)</w:t>
      </w:r>
      <w:r>
        <w:rPr>
          <w:szCs w:val="22"/>
        </w:rPr>
        <w:t>.</w:t>
      </w:r>
    </w:p>
    <w:p w14:paraId="109AE3D7" w14:textId="77777777" w:rsidR="009B3384" w:rsidRDefault="00800862">
      <w:pPr>
        <w:numPr>
          <w:ilvl w:val="0"/>
          <w:numId w:val="30"/>
        </w:numPr>
        <w:tabs>
          <w:tab w:val="clear" w:pos="567"/>
        </w:tabs>
        <w:rPr>
          <w:bCs/>
          <w:szCs w:val="22"/>
        </w:rPr>
      </w:pPr>
      <w:r>
        <w:rPr>
          <w:bCs/>
          <w:szCs w:val="22"/>
        </w:rPr>
        <w:t>При някои пациенти, след първата подкожна инжекция, 90</w:t>
      </w:r>
      <w:r>
        <w:t> </w:t>
      </w:r>
      <w:r>
        <w:rPr>
          <w:bCs/>
          <w:szCs w:val="22"/>
        </w:rPr>
        <w:t>mg Stelara може да се прилага през 8 седмици. Вашият лекар ще реши кога трябва да получите следващата си доза.</w:t>
      </w:r>
    </w:p>
    <w:p w14:paraId="109AE3D8" w14:textId="77777777" w:rsidR="009B3384" w:rsidRDefault="009B3384"/>
    <w:p w14:paraId="109AE3D9" w14:textId="77777777" w:rsidR="009B3384" w:rsidRDefault="00800862">
      <w:pPr>
        <w:keepNext/>
        <w:rPr>
          <w:b/>
          <w:szCs w:val="22"/>
        </w:rPr>
      </w:pPr>
      <w:r>
        <w:rPr>
          <w:b/>
          <w:szCs w:val="22"/>
        </w:rPr>
        <w:t>Деца и юноши на 6 години или по-големи</w:t>
      </w:r>
    </w:p>
    <w:p w14:paraId="109AE3DA" w14:textId="77777777" w:rsidR="009B3384" w:rsidRDefault="00800862">
      <w:pPr>
        <w:keepNext/>
        <w:rPr>
          <w:b/>
          <w:szCs w:val="22"/>
        </w:rPr>
      </w:pPr>
      <w:r>
        <w:rPr>
          <w:b/>
        </w:rPr>
        <w:t>Псориазис</w:t>
      </w:r>
    </w:p>
    <w:p w14:paraId="109AE3DB" w14:textId="77777777" w:rsidR="009B3384" w:rsidRDefault="00800862">
      <w:pPr>
        <w:numPr>
          <w:ilvl w:val="0"/>
          <w:numId w:val="30"/>
        </w:numPr>
        <w:tabs>
          <w:tab w:val="clear" w:pos="567"/>
        </w:tabs>
      </w:pPr>
      <w:r>
        <w:t>Лекарят трябва да определи правилната за Вас доза, включително и количеството (обема) Stelara, който трябва да се инжектира, за да е правилна дозата. Правилната доза за Вас ще зависи от Вашето телесно тегло по време на всяка доза.</w:t>
      </w:r>
    </w:p>
    <w:p w14:paraId="109AE3DC" w14:textId="77777777" w:rsidR="009B3384" w:rsidRDefault="00800862">
      <w:pPr>
        <w:numPr>
          <w:ilvl w:val="0"/>
          <w:numId w:val="30"/>
        </w:numPr>
        <w:tabs>
          <w:tab w:val="clear" w:pos="567"/>
        </w:tabs>
      </w:pPr>
      <w:r>
        <w:t>Наличен е флакон от 45 mg за деца, които трябва да получат по-малко от цялата доза 45 mg.</w:t>
      </w:r>
    </w:p>
    <w:p w14:paraId="109AE3DD" w14:textId="77777777" w:rsidR="009B3384" w:rsidRDefault="00800862">
      <w:pPr>
        <w:numPr>
          <w:ilvl w:val="0"/>
          <w:numId w:val="30"/>
        </w:numPr>
        <w:tabs>
          <w:tab w:val="clear" w:pos="567"/>
        </w:tabs>
      </w:pPr>
      <w:r>
        <w:lastRenderedPageBreak/>
        <w:t>Ако тежите по-малко от 60 kg, препоръчителната доза е 0,75 mg Stelara на kg телесно тегло.</w:t>
      </w:r>
    </w:p>
    <w:p w14:paraId="109AE3DE" w14:textId="77777777" w:rsidR="009B3384" w:rsidRDefault="00800862">
      <w:pPr>
        <w:numPr>
          <w:ilvl w:val="0"/>
          <w:numId w:val="30"/>
        </w:numPr>
        <w:tabs>
          <w:tab w:val="clear" w:pos="567"/>
        </w:tabs>
      </w:pPr>
      <w:r>
        <w:t>Ако тежите от 60 kg до 100 kg, препоръчителната доза е 45 mg Stelara.</w:t>
      </w:r>
    </w:p>
    <w:p w14:paraId="109AE3DF" w14:textId="77777777" w:rsidR="009B3384" w:rsidRDefault="00800862">
      <w:pPr>
        <w:numPr>
          <w:ilvl w:val="0"/>
          <w:numId w:val="30"/>
        </w:numPr>
        <w:tabs>
          <w:tab w:val="clear" w:pos="567"/>
        </w:tabs>
      </w:pPr>
      <w:r>
        <w:t>Ако тежите повече от 100 kg, препоръчителната доза е 90 mg Stelara.</w:t>
      </w:r>
    </w:p>
    <w:p w14:paraId="109AE3E0" w14:textId="77777777" w:rsidR="009B3384" w:rsidRDefault="00800862">
      <w:pPr>
        <w:numPr>
          <w:ilvl w:val="0"/>
          <w:numId w:val="30"/>
        </w:numPr>
        <w:tabs>
          <w:tab w:val="clear" w:pos="567"/>
        </w:tabs>
      </w:pPr>
      <w:r>
        <w:t>След началната доза, следващата Ви доза ще бъде 4 седмици по-късно и след това на всеки 12 седмици.</w:t>
      </w:r>
    </w:p>
    <w:p w14:paraId="109AE3E1" w14:textId="77777777" w:rsidR="009B3384" w:rsidRDefault="009B3384">
      <w:pPr>
        <w:tabs>
          <w:tab w:val="clear" w:pos="567"/>
        </w:tabs>
      </w:pPr>
    </w:p>
    <w:p w14:paraId="109AE3E2" w14:textId="77777777" w:rsidR="009B3384" w:rsidRDefault="00800862">
      <w:pPr>
        <w:keepNext/>
        <w:widowControl w:val="0"/>
        <w:numPr>
          <w:ilvl w:val="12"/>
          <w:numId w:val="0"/>
        </w:numPr>
        <w:rPr>
          <w:b/>
          <w:bCs/>
        </w:rPr>
      </w:pPr>
      <w:r>
        <w:rPr>
          <w:b/>
          <w:bCs/>
        </w:rPr>
        <w:t>Деца с тегло под 40</w:t>
      </w:r>
      <w:r>
        <w:rPr>
          <w:b/>
          <w:bCs/>
          <w:lang w:val="en-US"/>
        </w:rPr>
        <w:t> </w:t>
      </w:r>
      <w:r>
        <w:rPr>
          <w:b/>
          <w:bCs/>
        </w:rPr>
        <w:t>kg</w:t>
      </w:r>
    </w:p>
    <w:p w14:paraId="109AE3E3" w14:textId="13D710D6" w:rsidR="009B3384" w:rsidRDefault="00800862">
      <w:pPr>
        <w:keepNext/>
        <w:rPr>
          <w:b/>
          <w:bCs/>
        </w:rPr>
      </w:pPr>
      <w:r>
        <w:rPr>
          <w:b/>
          <w:bCs/>
        </w:rPr>
        <w:t>Болест на Крон</w:t>
      </w:r>
      <w:ins w:id="1380" w:author="Reviser" w:date="2026-04-30T15:50:00Z">
        <w:r w:rsidR="003B65CC">
          <w:rPr>
            <w:b/>
            <w:bCs/>
          </w:rPr>
          <w:t xml:space="preserve"> </w:t>
        </w:r>
        <w:r w:rsidR="003B65CC">
          <w:rPr>
            <w:b/>
            <w:szCs w:val="22"/>
          </w:rPr>
          <w:t>и улцерозен колит</w:t>
        </w:r>
      </w:ins>
    </w:p>
    <w:p w14:paraId="109AE3E4" w14:textId="77777777" w:rsidR="009B3384" w:rsidRDefault="00800862">
      <w:pPr>
        <w:widowControl w:val="0"/>
        <w:numPr>
          <w:ilvl w:val="0"/>
          <w:numId w:val="30"/>
        </w:numPr>
        <w:suppressAutoHyphens w:val="0"/>
      </w:pPr>
      <w:r>
        <w:t xml:space="preserve">По време на лечението Вашият лекар ще определи препоръчителната за Вас доза за интравенозна инфузия </w:t>
      </w:r>
      <w:r>
        <w:rPr>
          <w:szCs w:val="22"/>
          <w:lang w:eastAsia="en-GB"/>
        </w:rPr>
        <w:t>въз основа на телесната Ви повърхност (</w:t>
      </w:r>
      <w:r>
        <w:rPr>
          <w:szCs w:val="22"/>
          <w:lang w:val="en-GB" w:eastAsia="en-GB"/>
        </w:rPr>
        <w:t>BSA</w:t>
      </w:r>
      <w:r>
        <w:rPr>
          <w:szCs w:val="22"/>
          <w:lang w:eastAsia="en-GB"/>
        </w:rPr>
        <w:t xml:space="preserve">). </w:t>
      </w:r>
      <w:r>
        <w:t xml:space="preserve">Лекарят ще я приложи чрез капково вливане във вена на ръката (интравенозна инфузия). След началната доза Вашият лекар ще определи следващата доза </w:t>
      </w:r>
      <w:r>
        <w:rPr>
          <w:szCs w:val="22"/>
          <w:lang w:eastAsia="en-GB"/>
        </w:rPr>
        <w:t xml:space="preserve">въз основа на Вашата </w:t>
      </w:r>
      <w:r>
        <w:rPr>
          <w:szCs w:val="22"/>
          <w:lang w:val="en-GB" w:eastAsia="en-GB"/>
        </w:rPr>
        <w:t>BSA</w:t>
      </w:r>
      <w:r>
        <w:rPr>
          <w:szCs w:val="22"/>
          <w:lang w:eastAsia="en-GB"/>
        </w:rPr>
        <w:t xml:space="preserve">. Ще получите тази доза </w:t>
      </w:r>
      <w:r>
        <w:rPr>
          <w:szCs w:val="22"/>
          <w:lang w:val="en-GB" w:eastAsia="en-GB"/>
        </w:rPr>
        <w:t>Stelara</w:t>
      </w:r>
      <w:r>
        <w:rPr>
          <w:szCs w:val="22"/>
          <w:lang w:eastAsia="en-GB"/>
        </w:rPr>
        <w:t xml:space="preserve"> </w:t>
      </w:r>
      <w:r>
        <w:rPr>
          <w:szCs w:val="22"/>
        </w:rPr>
        <w:t>след 8 седмици и след това на всеки 12 седмици</w:t>
      </w:r>
      <w:r>
        <w:rPr>
          <w:szCs w:val="22"/>
          <w:lang w:eastAsia="en-GB"/>
        </w:rPr>
        <w:t xml:space="preserve"> </w:t>
      </w:r>
      <w:r>
        <w:t>чрез инжектиране под кожата („подкожно“</w:t>
      </w:r>
      <w:r>
        <w:rPr>
          <w:szCs w:val="22"/>
          <w:lang w:eastAsia="en-GB"/>
        </w:rPr>
        <w:t>).</w:t>
      </w:r>
    </w:p>
    <w:p w14:paraId="109AE3E5" w14:textId="77777777" w:rsidR="009B3384" w:rsidRDefault="00800862" w:rsidP="00BC6A43">
      <w:pPr>
        <w:widowControl w:val="0"/>
        <w:numPr>
          <w:ilvl w:val="0"/>
          <w:numId w:val="30"/>
        </w:numPr>
        <w:suppressAutoHyphens w:val="0"/>
      </w:pPr>
      <w:r>
        <w:t>При някои пациенти след първата инжекция под кожата доза Stelara</w:t>
      </w:r>
      <w:r>
        <w:rPr>
          <w:szCs w:val="22"/>
          <w:lang w:eastAsia="en-GB"/>
        </w:rPr>
        <w:t xml:space="preserve"> </w:t>
      </w:r>
      <w:r>
        <w:t>може да се прилага през 8</w:t>
      </w:r>
      <w:r>
        <w:rPr>
          <w:lang w:val="en-US"/>
        </w:rPr>
        <w:t> </w:t>
      </w:r>
      <w:r>
        <w:t>седмици или през 4 седмици. Вашият лекар ще реши кога трябва да получите следващата си доза.</w:t>
      </w:r>
    </w:p>
    <w:p w14:paraId="109AE3E6" w14:textId="77777777" w:rsidR="009B3384" w:rsidRDefault="009B3384">
      <w:pPr>
        <w:rPr>
          <w:szCs w:val="22"/>
        </w:rPr>
      </w:pPr>
    </w:p>
    <w:p w14:paraId="109AE3E7" w14:textId="77777777" w:rsidR="009B3384" w:rsidRDefault="00800862">
      <w:pPr>
        <w:keepNext/>
        <w:rPr>
          <w:b/>
          <w:bCs/>
        </w:rPr>
      </w:pPr>
      <w:bookmarkStart w:id="1381" w:name="_Hlk188382912"/>
      <w:r w:rsidRPr="00BC6A43">
        <w:rPr>
          <w:b/>
          <w:bCs/>
        </w:rPr>
        <w:t>Деца с тегло най-малко 40</w:t>
      </w:r>
      <w:r w:rsidRPr="00BC6A43">
        <w:rPr>
          <w:b/>
          <w:bCs/>
          <w:lang w:val="en-US"/>
        </w:rPr>
        <w:t> </w:t>
      </w:r>
      <w:r w:rsidRPr="00BC6A43">
        <w:rPr>
          <w:b/>
          <w:bCs/>
        </w:rPr>
        <w:t>kg</w:t>
      </w:r>
    </w:p>
    <w:p w14:paraId="109AE3E8" w14:textId="6EDEBF2B" w:rsidR="009B3384" w:rsidRDefault="00800862">
      <w:pPr>
        <w:keepNext/>
        <w:rPr>
          <w:b/>
          <w:bCs/>
        </w:rPr>
      </w:pPr>
      <w:r w:rsidRPr="00BC6A43">
        <w:rPr>
          <w:b/>
          <w:bCs/>
        </w:rPr>
        <w:t>Болест на Крон</w:t>
      </w:r>
      <w:ins w:id="1382" w:author="Reviser" w:date="2026-04-30T15:50:00Z">
        <w:r w:rsidR="003B65CC">
          <w:rPr>
            <w:b/>
            <w:bCs/>
          </w:rPr>
          <w:t xml:space="preserve"> </w:t>
        </w:r>
        <w:r w:rsidR="003B65CC">
          <w:rPr>
            <w:b/>
            <w:szCs w:val="22"/>
          </w:rPr>
          <w:t>и улцерозен колит</w:t>
        </w:r>
      </w:ins>
    </w:p>
    <w:p w14:paraId="109AE3E9" w14:textId="77777777" w:rsidR="009B3384" w:rsidRDefault="00800862">
      <w:pPr>
        <w:widowControl w:val="0"/>
        <w:numPr>
          <w:ilvl w:val="0"/>
          <w:numId w:val="30"/>
        </w:numPr>
        <w:suppressAutoHyphens w:val="0"/>
      </w:pPr>
      <w:r>
        <w:t>По време на лечението Вашият лекар ще приложи първата доза от приблизително 6</w:t>
      </w:r>
      <w:r>
        <w:rPr>
          <w:lang w:val="en-US"/>
        </w:rPr>
        <w:t> </w:t>
      </w:r>
      <w:r>
        <w:t>mg/kg Stelara чрез капково вливане във вена на ръката Ви (интравенозна инфузия). След началната доза ще получите следващата доза 90</w:t>
      </w:r>
      <w:r>
        <w:rPr>
          <w:lang w:val="en-US"/>
        </w:rPr>
        <w:t> </w:t>
      </w:r>
      <w:r>
        <w:t>mg Stelara след 8</w:t>
      </w:r>
      <w:r>
        <w:rPr>
          <w:lang w:val="en-US"/>
        </w:rPr>
        <w:t> </w:t>
      </w:r>
      <w:r>
        <w:t>седмици, а след това на всеки 12</w:t>
      </w:r>
      <w:r>
        <w:rPr>
          <w:lang w:val="en-US"/>
        </w:rPr>
        <w:t> </w:t>
      </w:r>
      <w:r>
        <w:t>седмици чрез инжекция под кожата („подкожно“).</w:t>
      </w:r>
    </w:p>
    <w:p w14:paraId="109AE3EA" w14:textId="77777777" w:rsidR="009B3384" w:rsidRDefault="00800862">
      <w:pPr>
        <w:widowControl w:val="0"/>
        <w:numPr>
          <w:ilvl w:val="0"/>
          <w:numId w:val="30"/>
        </w:numPr>
        <w:suppressAutoHyphens w:val="0"/>
      </w:pPr>
      <w:r>
        <w:t>При някои пациенти, след първата подкожна инжекция, 90</w:t>
      </w:r>
      <w:r>
        <w:rPr>
          <w:lang w:val="en-US"/>
        </w:rPr>
        <w:t> </w:t>
      </w:r>
      <w:r>
        <w:t>mg Stelara може да се прилага през 8</w:t>
      </w:r>
      <w:r>
        <w:rPr>
          <w:lang w:val="en-US"/>
        </w:rPr>
        <w:t> </w:t>
      </w:r>
      <w:r>
        <w:t>седмици или през 4 седмици. Вашият лекар ще реши кога трябва да получите следващата си доза.</w:t>
      </w:r>
    </w:p>
    <w:bookmarkEnd w:id="1381"/>
    <w:p w14:paraId="109AE3EC" w14:textId="77777777" w:rsidR="009B3384" w:rsidRPr="00BC6A43" w:rsidRDefault="009B3384" w:rsidP="00BC6A43"/>
    <w:p w14:paraId="109AE3ED" w14:textId="77777777" w:rsidR="009B3384" w:rsidRDefault="00800862">
      <w:pPr>
        <w:keepNext/>
        <w:rPr>
          <w:b/>
          <w:bCs/>
          <w:szCs w:val="22"/>
        </w:rPr>
      </w:pPr>
      <w:r>
        <w:rPr>
          <w:b/>
          <w:bCs/>
          <w:szCs w:val="22"/>
        </w:rPr>
        <w:t>Как се прилага Stelara</w:t>
      </w:r>
    </w:p>
    <w:p w14:paraId="109AE3EE" w14:textId="77777777" w:rsidR="009B3384" w:rsidRDefault="00800862">
      <w:pPr>
        <w:numPr>
          <w:ilvl w:val="0"/>
          <w:numId w:val="30"/>
        </w:numPr>
        <w:tabs>
          <w:tab w:val="clear" w:pos="567"/>
        </w:tabs>
      </w:pPr>
      <w:r>
        <w:t>Stelara се прилага като инжекция под кожата (подкожно). В началото на Вашето лечение, Stelara може да се инжектира от лекар или медицинска сестра.</w:t>
      </w:r>
    </w:p>
    <w:p w14:paraId="109AE3EF" w14:textId="77777777" w:rsidR="009B3384" w:rsidRDefault="00800862">
      <w:pPr>
        <w:numPr>
          <w:ilvl w:val="0"/>
          <w:numId w:val="30"/>
        </w:numPr>
        <w:tabs>
          <w:tab w:val="clear" w:pos="567"/>
        </w:tabs>
      </w:pPr>
      <w:r>
        <w:t>Вие и Вашият лекар обаче може да решите, че Вие сами може да си инжектирате Stelara. В такъв случай ще преминете обучение как да си инжектирате Stelara самостоятелно.</w:t>
      </w:r>
    </w:p>
    <w:p w14:paraId="109AE3F0" w14:textId="77777777" w:rsidR="009B3384" w:rsidRDefault="00800862">
      <w:pPr>
        <w:numPr>
          <w:ilvl w:val="0"/>
          <w:numId w:val="30"/>
        </w:numPr>
        <w:tabs>
          <w:tab w:val="clear" w:pos="567"/>
        </w:tabs>
      </w:pPr>
      <w:r>
        <w:t>За указания как да инжектирате Stelara вижте „Указания за приложение” в края на тази листовка.</w:t>
      </w:r>
    </w:p>
    <w:p w14:paraId="109AE3F1" w14:textId="77777777" w:rsidR="009B3384" w:rsidRDefault="00800862">
      <w:pPr>
        <w:tabs>
          <w:tab w:val="clear" w:pos="567"/>
          <w:tab w:val="left" w:pos="540"/>
        </w:tabs>
        <w:rPr>
          <w:bCs/>
          <w:szCs w:val="22"/>
        </w:rPr>
      </w:pPr>
      <w:r>
        <w:rPr>
          <w:bCs/>
          <w:szCs w:val="22"/>
        </w:rPr>
        <w:t>Говорете с Вашия лекар, ако имате въпроси относно това как сами да поставяте инжекцията.</w:t>
      </w:r>
    </w:p>
    <w:p w14:paraId="109AE3F2" w14:textId="77777777" w:rsidR="009B3384" w:rsidRDefault="009B3384">
      <w:pPr>
        <w:rPr>
          <w:szCs w:val="22"/>
        </w:rPr>
      </w:pPr>
    </w:p>
    <w:p w14:paraId="109AE3F3" w14:textId="77777777" w:rsidR="009B3384" w:rsidRDefault="00800862">
      <w:pPr>
        <w:keepNext/>
        <w:rPr>
          <w:b/>
          <w:szCs w:val="22"/>
        </w:rPr>
      </w:pPr>
      <w:r>
        <w:rPr>
          <w:b/>
          <w:szCs w:val="22"/>
        </w:rPr>
        <w:t>Ако сте използвали повече от необходимата доза Stelara</w:t>
      </w:r>
    </w:p>
    <w:p w14:paraId="109AE3F4" w14:textId="77777777" w:rsidR="009B3384" w:rsidRDefault="00800862">
      <w:pPr>
        <w:rPr>
          <w:szCs w:val="22"/>
        </w:rPr>
      </w:pPr>
      <w:r>
        <w:rPr>
          <w:szCs w:val="22"/>
        </w:rPr>
        <w:t>Ако сте използвали или са Ви приложили повече от необходимата доза Stelara, незабавно се посъветвайте с лекар или фармацевт. Винаги носете с Вас картонената опаковка на лекарството, дори и да е празна.</w:t>
      </w:r>
    </w:p>
    <w:p w14:paraId="109AE3F5" w14:textId="77777777" w:rsidR="009B3384" w:rsidRDefault="009B3384">
      <w:pPr>
        <w:rPr>
          <w:szCs w:val="22"/>
        </w:rPr>
      </w:pPr>
    </w:p>
    <w:p w14:paraId="109AE3F6" w14:textId="77777777" w:rsidR="009B3384" w:rsidRDefault="00800862">
      <w:pPr>
        <w:keepNext/>
        <w:rPr>
          <w:szCs w:val="22"/>
        </w:rPr>
      </w:pPr>
      <w:r>
        <w:rPr>
          <w:b/>
          <w:szCs w:val="22"/>
        </w:rPr>
        <w:t>Ако сте пропуснали да използвате Stelara</w:t>
      </w:r>
    </w:p>
    <w:p w14:paraId="109AE3F7" w14:textId="77777777" w:rsidR="009B3384" w:rsidRDefault="00800862">
      <w:pPr>
        <w:rPr>
          <w:szCs w:val="22"/>
        </w:rPr>
      </w:pPr>
      <w:r>
        <w:rPr>
          <w:szCs w:val="22"/>
        </w:rPr>
        <w:t>Ако сте пропуснали доза, свържете се с Вашия лекар или фармацевт. Не прилагайте двойна доза, за да компенсирате пропуснатата доза.</w:t>
      </w:r>
    </w:p>
    <w:p w14:paraId="109AE3F8" w14:textId="77777777" w:rsidR="009B3384" w:rsidRDefault="009B3384">
      <w:pPr>
        <w:rPr>
          <w:szCs w:val="22"/>
        </w:rPr>
      </w:pPr>
    </w:p>
    <w:p w14:paraId="109AE3F9" w14:textId="77777777" w:rsidR="009B3384" w:rsidRDefault="00800862">
      <w:pPr>
        <w:keepNext/>
        <w:rPr>
          <w:b/>
          <w:szCs w:val="22"/>
        </w:rPr>
      </w:pPr>
      <w:r>
        <w:rPr>
          <w:b/>
          <w:szCs w:val="22"/>
        </w:rPr>
        <w:t>Ако сте спрели употребата на Stelara</w:t>
      </w:r>
    </w:p>
    <w:p w14:paraId="109AE3FA" w14:textId="77777777" w:rsidR="009B3384" w:rsidRDefault="00800862">
      <w:pPr>
        <w:rPr>
          <w:szCs w:val="22"/>
        </w:rPr>
      </w:pPr>
      <w:r>
        <w:rPr>
          <w:szCs w:val="22"/>
        </w:rPr>
        <w:t>Не е опасно да спрете употребата на Stelara. Ако обаче я спрете, Вашите симптоми може да се възобновят.</w:t>
      </w:r>
    </w:p>
    <w:p w14:paraId="109AE3FB" w14:textId="77777777" w:rsidR="009B3384" w:rsidRDefault="009B3384">
      <w:pPr>
        <w:rPr>
          <w:szCs w:val="22"/>
        </w:rPr>
      </w:pPr>
    </w:p>
    <w:p w14:paraId="109AE3FC" w14:textId="77777777" w:rsidR="009B3384" w:rsidRDefault="00800862">
      <w:pPr>
        <w:rPr>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109AE3FD" w14:textId="77777777" w:rsidR="009B3384" w:rsidRDefault="009B3384">
      <w:pPr>
        <w:rPr>
          <w:szCs w:val="22"/>
        </w:rPr>
      </w:pPr>
    </w:p>
    <w:p w14:paraId="109AE3FE" w14:textId="77777777" w:rsidR="009B3384" w:rsidRDefault="009B3384">
      <w:pPr>
        <w:rPr>
          <w:szCs w:val="22"/>
        </w:rPr>
      </w:pPr>
    </w:p>
    <w:p w14:paraId="109AE3FF" w14:textId="77777777" w:rsidR="009B3384" w:rsidRDefault="00800862">
      <w:pPr>
        <w:keepNext/>
        <w:ind w:left="567" w:hanging="567"/>
        <w:outlineLvl w:val="2"/>
        <w:rPr>
          <w:b/>
          <w:bCs/>
          <w:szCs w:val="22"/>
        </w:rPr>
      </w:pPr>
      <w:r>
        <w:rPr>
          <w:b/>
          <w:bCs/>
          <w:szCs w:val="22"/>
        </w:rPr>
        <w:lastRenderedPageBreak/>
        <w:t>4.</w:t>
      </w:r>
      <w:r>
        <w:rPr>
          <w:b/>
          <w:bCs/>
          <w:szCs w:val="22"/>
        </w:rPr>
        <w:tab/>
        <w:t>Възможни нежелани реакции</w:t>
      </w:r>
    </w:p>
    <w:p w14:paraId="109AE400" w14:textId="77777777" w:rsidR="009B3384" w:rsidRDefault="009B3384">
      <w:pPr>
        <w:keepNext/>
        <w:rPr>
          <w:szCs w:val="22"/>
        </w:rPr>
      </w:pPr>
    </w:p>
    <w:p w14:paraId="109AE401" w14:textId="77777777" w:rsidR="009B3384" w:rsidRDefault="00800862">
      <w:pPr>
        <w:rPr>
          <w:szCs w:val="22"/>
        </w:rPr>
      </w:pPr>
      <w:r>
        <w:rPr>
          <w:szCs w:val="22"/>
        </w:rPr>
        <w:t>Както всички лекарства, това лекарство може да предизвика нежелани реакции, въпреки че не всеки ги получава.</w:t>
      </w:r>
    </w:p>
    <w:p w14:paraId="109AE402" w14:textId="77777777" w:rsidR="009B3384" w:rsidRDefault="009B3384">
      <w:pPr>
        <w:rPr>
          <w:szCs w:val="22"/>
        </w:rPr>
      </w:pPr>
    </w:p>
    <w:p w14:paraId="109AE403" w14:textId="77777777" w:rsidR="009B3384" w:rsidRDefault="00800862">
      <w:pPr>
        <w:keepNext/>
        <w:rPr>
          <w:b/>
          <w:szCs w:val="22"/>
        </w:rPr>
      </w:pPr>
      <w:r>
        <w:rPr>
          <w:b/>
          <w:szCs w:val="22"/>
        </w:rPr>
        <w:t>Сериозни нежелани реакции</w:t>
      </w:r>
    </w:p>
    <w:p w14:paraId="109AE404" w14:textId="77777777" w:rsidR="009B3384" w:rsidRDefault="00800862">
      <w:pPr>
        <w:rPr>
          <w:szCs w:val="22"/>
        </w:rPr>
      </w:pPr>
      <w:r>
        <w:rPr>
          <w:szCs w:val="22"/>
        </w:rPr>
        <w:t>Някои пациенти може да имат сериозни нежелани реакции, при които да се налага спешно лечение.</w:t>
      </w:r>
    </w:p>
    <w:p w14:paraId="109AE405" w14:textId="77777777" w:rsidR="009B3384" w:rsidRDefault="009B3384">
      <w:pPr>
        <w:rPr>
          <w:szCs w:val="22"/>
        </w:rPr>
      </w:pPr>
    </w:p>
    <w:p w14:paraId="109AE406" w14:textId="77777777" w:rsidR="009B3384" w:rsidRDefault="00800862">
      <w:pPr>
        <w:keepNext/>
        <w:widowControl w:val="0"/>
        <w:ind w:left="567"/>
      </w:pPr>
      <w:r>
        <w:rPr>
          <w:b/>
        </w:rPr>
        <w:t>Алергични реакции – може да изискват спешно лечение. Информирайте Вашия лекар или незабавно потърсете спешна медицинска помощ, ако забележите някой от следните признаци.</w:t>
      </w:r>
    </w:p>
    <w:p w14:paraId="109AE407" w14:textId="77777777" w:rsidR="009B3384" w:rsidRDefault="00800862">
      <w:pPr>
        <w:numPr>
          <w:ilvl w:val="0"/>
          <w:numId w:val="31"/>
        </w:numPr>
        <w:tabs>
          <w:tab w:val="clear" w:pos="567"/>
          <w:tab w:val="left" w:pos="1134"/>
        </w:tabs>
        <w:ind w:left="1134" w:hanging="567"/>
      </w:pPr>
      <w:r>
        <w:t>Сериозните алергични реакции („анафилаксия”) са редки при хора, приемащи Stelara (може да засегнат до 1 на 1 000 души). Признаците включват:</w:t>
      </w:r>
    </w:p>
    <w:p w14:paraId="109AE408" w14:textId="77777777" w:rsidR="009B3384" w:rsidRDefault="00800862">
      <w:pPr>
        <w:numPr>
          <w:ilvl w:val="0"/>
          <w:numId w:val="28"/>
        </w:numPr>
        <w:ind w:left="1701" w:hanging="567"/>
      </w:pPr>
      <w:r>
        <w:t>затруднено дишане или преглъщане</w:t>
      </w:r>
    </w:p>
    <w:p w14:paraId="109AE409" w14:textId="77777777" w:rsidR="009B3384" w:rsidRDefault="00800862">
      <w:pPr>
        <w:numPr>
          <w:ilvl w:val="0"/>
          <w:numId w:val="28"/>
        </w:numPr>
        <w:ind w:left="1701" w:hanging="567"/>
      </w:pPr>
      <w:r>
        <w:t>ниско кръвно налягане, което може да причини замаяност или световъртеж</w:t>
      </w:r>
    </w:p>
    <w:p w14:paraId="109AE40A" w14:textId="77777777" w:rsidR="009B3384" w:rsidRDefault="00800862">
      <w:pPr>
        <w:numPr>
          <w:ilvl w:val="0"/>
          <w:numId w:val="28"/>
        </w:numPr>
        <w:ind w:left="1701" w:hanging="567"/>
      </w:pPr>
      <w:r>
        <w:t>подуване на лицето, устните, устата или гърлото.</w:t>
      </w:r>
    </w:p>
    <w:p w14:paraId="109AE40B" w14:textId="77777777" w:rsidR="009B3384" w:rsidRDefault="00800862">
      <w:pPr>
        <w:numPr>
          <w:ilvl w:val="0"/>
          <w:numId w:val="31"/>
        </w:numPr>
        <w:tabs>
          <w:tab w:val="clear" w:pos="567"/>
          <w:tab w:val="left" w:pos="1134"/>
        </w:tabs>
        <w:ind w:left="1134" w:hanging="567"/>
      </w:pPr>
      <w:r>
        <w:t>Честите признаци на алергична реакция включват кожен обрив и уртикария (може да засегнат до 1 на 100 души).</w:t>
      </w:r>
    </w:p>
    <w:p w14:paraId="109AE40C" w14:textId="77777777" w:rsidR="009B3384" w:rsidRDefault="009B3384"/>
    <w:p w14:paraId="109AE40D" w14:textId="77777777" w:rsidR="009B3384" w:rsidRDefault="00800862">
      <w:pPr>
        <w:tabs>
          <w:tab w:val="clear" w:pos="567"/>
          <w:tab w:val="left" w:pos="630"/>
        </w:tabs>
        <w:ind w:left="567"/>
        <w:rPr>
          <w:b/>
        </w:rPr>
      </w:pPr>
      <w:r>
        <w:rPr>
          <w:b/>
        </w:rPr>
        <w:t>В редки случаи се съобщават алергични белодробни реакции и белодробно възпаление при пациенти, които получават устекинумаб. Уведомете веднага Вашия лекар, ако получите симптоми като кашлица, задух и висока температура.</w:t>
      </w:r>
    </w:p>
    <w:p w14:paraId="109AE40E" w14:textId="77777777" w:rsidR="009B3384" w:rsidRDefault="009B3384"/>
    <w:p w14:paraId="109AE40F" w14:textId="77777777" w:rsidR="009B3384" w:rsidRDefault="00800862">
      <w:pPr>
        <w:keepNext/>
        <w:widowControl w:val="0"/>
        <w:ind w:left="567"/>
      </w:pPr>
      <w:r>
        <w:t>Ако получите сериозна алергична реакция, Вашият лекар може да реши, че Вие не трябва да употребявате Stelara отново.</w:t>
      </w:r>
    </w:p>
    <w:p w14:paraId="109AE410" w14:textId="77777777" w:rsidR="009B3384" w:rsidRDefault="009B3384"/>
    <w:p w14:paraId="109AE411" w14:textId="77777777" w:rsidR="009B3384" w:rsidRDefault="00800862">
      <w:pPr>
        <w:keepNext/>
        <w:widowControl w:val="0"/>
        <w:ind w:left="567"/>
        <w:rPr>
          <w:b/>
        </w:rPr>
      </w:pPr>
      <w:r>
        <w:rPr>
          <w:b/>
        </w:rPr>
        <w:t>Инфекции – може да изискват спешно лечение. Информирайте Вашия лекар, ако забележите някой от следните признаци.</w:t>
      </w:r>
    </w:p>
    <w:p w14:paraId="109AE412" w14:textId="77777777" w:rsidR="009B3384" w:rsidRDefault="00800862">
      <w:pPr>
        <w:numPr>
          <w:ilvl w:val="0"/>
          <w:numId w:val="31"/>
        </w:numPr>
        <w:tabs>
          <w:tab w:val="clear" w:pos="567"/>
          <w:tab w:val="left" w:pos="1134"/>
        </w:tabs>
        <w:ind w:left="1134" w:hanging="567"/>
      </w:pPr>
      <w:r>
        <w:t>инфекциите на носа или гърлото и простудата са чести (може да засегнат до 1 на 10 души)</w:t>
      </w:r>
    </w:p>
    <w:p w14:paraId="109AE413" w14:textId="77777777" w:rsidR="009B3384" w:rsidRDefault="00800862">
      <w:pPr>
        <w:numPr>
          <w:ilvl w:val="0"/>
          <w:numId w:val="31"/>
        </w:numPr>
        <w:tabs>
          <w:tab w:val="clear" w:pos="567"/>
          <w:tab w:val="left" w:pos="1134"/>
        </w:tabs>
        <w:ind w:left="1134" w:hanging="567"/>
      </w:pPr>
      <w:r>
        <w:t>инфекциите на долните дихателни пътища (гръдни инфекции) са нечести (може да засегнат до 1 на 100 души)</w:t>
      </w:r>
    </w:p>
    <w:p w14:paraId="109AE414" w14:textId="77777777" w:rsidR="009B3384" w:rsidRDefault="00800862">
      <w:pPr>
        <w:numPr>
          <w:ilvl w:val="0"/>
          <w:numId w:val="31"/>
        </w:numPr>
        <w:tabs>
          <w:tab w:val="clear" w:pos="567"/>
          <w:tab w:val="left" w:pos="1134"/>
        </w:tabs>
        <w:ind w:left="1134" w:hanging="567"/>
      </w:pPr>
      <w:r>
        <w:t>възпалението на подкожната тъкан (целулит) е нечесто (може да засегне до 1 на 100 души)</w:t>
      </w:r>
    </w:p>
    <w:p w14:paraId="109AE415" w14:textId="77777777" w:rsidR="009B3384" w:rsidRDefault="00800862">
      <w:pPr>
        <w:numPr>
          <w:ilvl w:val="0"/>
          <w:numId w:val="31"/>
        </w:numPr>
        <w:tabs>
          <w:tab w:val="clear" w:pos="567"/>
          <w:tab w:val="left" w:pos="1134"/>
        </w:tabs>
        <w:ind w:left="1134" w:hanging="567"/>
      </w:pPr>
      <w:r>
        <w:t>херпесите (вид болезнен обрив с мехури) са нечести (може да засегнат до 1 на 100 души)</w:t>
      </w:r>
    </w:p>
    <w:p w14:paraId="109AE416" w14:textId="77777777" w:rsidR="009B3384" w:rsidRDefault="009B3384"/>
    <w:p w14:paraId="109AE417" w14:textId="77777777" w:rsidR="009B3384" w:rsidRDefault="00800862">
      <w:pPr>
        <w:ind w:left="567"/>
      </w:pPr>
      <w:r>
        <w:t>Stelara може да намали способността Ви да се борите с инфекции. Някои инфекции може да станат сериозни и може да включват инфекции, причинени от вируси, гъбички, бактерии (включително туберкулоза) или паразити, включително инфекции, които възникват предимно при хора с отслабена имунна система (опортюнистични инфекции). При пациенти, получаващи устекинумаб, се съобщават опортюнистични инфекции на мозъка (енцефалит, менингит), белите дробове и очите.</w:t>
      </w:r>
    </w:p>
    <w:p w14:paraId="109AE418" w14:textId="77777777" w:rsidR="009B3384" w:rsidRDefault="009B3384"/>
    <w:p w14:paraId="109AE419" w14:textId="77777777" w:rsidR="009B3384" w:rsidRDefault="00800862">
      <w:pPr>
        <w:keepNext/>
        <w:ind w:left="567"/>
      </w:pPr>
      <w:r>
        <w:t>Докато употребявате Stelara, трябва да следите за признаци на инфекция. Те включват:</w:t>
      </w:r>
    </w:p>
    <w:p w14:paraId="109AE41A" w14:textId="77777777" w:rsidR="009B3384" w:rsidRDefault="00800862">
      <w:pPr>
        <w:numPr>
          <w:ilvl w:val="0"/>
          <w:numId w:val="31"/>
        </w:numPr>
        <w:tabs>
          <w:tab w:val="clear" w:pos="567"/>
          <w:tab w:val="left" w:pos="1134"/>
        </w:tabs>
        <w:ind w:left="1134" w:hanging="567"/>
      </w:pPr>
      <w:r>
        <w:t>висока температура, грипоподобни симптоми, нощно потене, загуба на тегло</w:t>
      </w:r>
    </w:p>
    <w:p w14:paraId="109AE41B" w14:textId="77777777" w:rsidR="009B3384" w:rsidRDefault="00800862">
      <w:pPr>
        <w:numPr>
          <w:ilvl w:val="0"/>
          <w:numId w:val="31"/>
        </w:numPr>
        <w:tabs>
          <w:tab w:val="clear" w:pos="567"/>
          <w:tab w:val="left" w:pos="1134"/>
        </w:tabs>
        <w:ind w:left="1134" w:hanging="567"/>
      </w:pPr>
      <w:r>
        <w:t>умора или задух, упорита кашлица</w:t>
      </w:r>
    </w:p>
    <w:p w14:paraId="109AE41C" w14:textId="77777777" w:rsidR="009B3384" w:rsidRDefault="00800862">
      <w:pPr>
        <w:numPr>
          <w:ilvl w:val="0"/>
          <w:numId w:val="31"/>
        </w:numPr>
        <w:tabs>
          <w:tab w:val="clear" w:pos="567"/>
          <w:tab w:val="left" w:pos="1134"/>
        </w:tabs>
        <w:ind w:left="1134" w:hanging="567"/>
      </w:pPr>
      <w:r>
        <w:t>топла, зачервена и болезнена кожа или болезнен кожен обрив с мехури</w:t>
      </w:r>
    </w:p>
    <w:p w14:paraId="109AE41D" w14:textId="77777777" w:rsidR="009B3384" w:rsidRDefault="00800862">
      <w:pPr>
        <w:numPr>
          <w:ilvl w:val="0"/>
          <w:numId w:val="31"/>
        </w:numPr>
        <w:tabs>
          <w:tab w:val="clear" w:pos="567"/>
          <w:tab w:val="left" w:pos="1134"/>
        </w:tabs>
        <w:ind w:left="1134" w:hanging="567"/>
      </w:pPr>
      <w:r>
        <w:t>парене при уриниране</w:t>
      </w:r>
    </w:p>
    <w:p w14:paraId="109AE41E" w14:textId="77777777" w:rsidR="009B3384" w:rsidRDefault="00800862">
      <w:pPr>
        <w:numPr>
          <w:ilvl w:val="0"/>
          <w:numId w:val="31"/>
        </w:numPr>
        <w:tabs>
          <w:tab w:val="clear" w:pos="567"/>
          <w:tab w:val="left" w:pos="1134"/>
        </w:tabs>
        <w:ind w:left="1134" w:hanging="567"/>
      </w:pPr>
      <w:r>
        <w:t>диария</w:t>
      </w:r>
    </w:p>
    <w:p w14:paraId="109AE41F" w14:textId="77777777" w:rsidR="009B3384" w:rsidRDefault="00800862">
      <w:pPr>
        <w:numPr>
          <w:ilvl w:val="0"/>
          <w:numId w:val="31"/>
        </w:numPr>
        <w:tabs>
          <w:tab w:val="clear" w:pos="567"/>
          <w:tab w:val="left" w:pos="1134"/>
        </w:tabs>
        <w:ind w:left="1134" w:hanging="567"/>
      </w:pPr>
      <w:r>
        <w:t>зрително смущение или загуба на зрение</w:t>
      </w:r>
    </w:p>
    <w:p w14:paraId="109AE420" w14:textId="77777777" w:rsidR="009B3384" w:rsidRDefault="00800862">
      <w:pPr>
        <w:numPr>
          <w:ilvl w:val="0"/>
          <w:numId w:val="31"/>
        </w:numPr>
        <w:tabs>
          <w:tab w:val="clear" w:pos="567"/>
          <w:tab w:val="left" w:pos="1134"/>
        </w:tabs>
        <w:ind w:left="1134" w:hanging="567"/>
      </w:pPr>
      <w:r>
        <w:t>главоболие, скованост на врата, чувствителност към светлина, гадене или обърканост.</w:t>
      </w:r>
    </w:p>
    <w:p w14:paraId="109AE421" w14:textId="77777777" w:rsidR="009B3384" w:rsidRDefault="009B3384"/>
    <w:p w14:paraId="109AE422" w14:textId="77777777" w:rsidR="009B3384" w:rsidRDefault="00800862">
      <w:pPr>
        <w:widowControl w:val="0"/>
        <w:ind w:left="567"/>
      </w:pPr>
      <w:r>
        <w:t xml:space="preserve">Информирайте Вашия лекар веднага, ако забележите някой от тези признаци на </w:t>
      </w:r>
      <w:r>
        <w:lastRenderedPageBreak/>
        <w:t>инфекция. Те могат да бъдат признаци на инфекции като гръдни инфекции, кожни инфекции, херпес зостер или опортюнистични инфекции, които могат да доведат до сериозни усложнения. Информирайте Вашия лекар, ако имате някаква упорита или повтаряща се инфекция. Вашият лекар може да реши, че не трябва да употребявате Stelara, докато инфекцията не бъде излекувана. Уведомете Вашия лекар, и ако имате отворени рани или наранявания, тъй като може да се инфектират.</w:t>
      </w:r>
    </w:p>
    <w:p w14:paraId="109AE423" w14:textId="77777777" w:rsidR="009B3384" w:rsidRDefault="009B3384"/>
    <w:p w14:paraId="109AE424" w14:textId="77777777" w:rsidR="009B3384" w:rsidRDefault="00800862">
      <w:pPr>
        <w:widowControl w:val="0"/>
        <w:ind w:left="567"/>
        <w:rPr>
          <w:b/>
        </w:rPr>
      </w:pPr>
      <w:r>
        <w:rPr>
          <w:b/>
        </w:rPr>
        <w:t>Лющене на кожата – интензивното зачервяване и лющене на кожата на по-голяма площ по тялото може да са симптоми на еритродермичен псориазис или ексфолиативен дерматит, които са сериозни кожни заболявания. Ако забележите някой от тези признаци, трябва да информирате Вашия лекар незабавно.</w:t>
      </w:r>
    </w:p>
    <w:p w14:paraId="109AE425" w14:textId="77777777" w:rsidR="009B3384" w:rsidRDefault="009B3384">
      <w:pPr>
        <w:widowControl w:val="0"/>
      </w:pPr>
    </w:p>
    <w:p w14:paraId="109AE426" w14:textId="77777777" w:rsidR="009B3384" w:rsidRDefault="00800862">
      <w:pPr>
        <w:keepNext/>
        <w:rPr>
          <w:b/>
          <w:szCs w:val="22"/>
        </w:rPr>
      </w:pPr>
      <w:r>
        <w:rPr>
          <w:b/>
          <w:szCs w:val="22"/>
        </w:rPr>
        <w:t>Други нежелани реакции</w:t>
      </w:r>
    </w:p>
    <w:p w14:paraId="109AE427" w14:textId="77777777" w:rsidR="009B3384" w:rsidRDefault="009B3384">
      <w:pPr>
        <w:keepNext/>
      </w:pPr>
    </w:p>
    <w:p w14:paraId="109AE428" w14:textId="77777777" w:rsidR="009B3384" w:rsidRDefault="00800862">
      <w:pPr>
        <w:keepNext/>
        <w:ind w:left="567"/>
        <w:rPr>
          <w:szCs w:val="22"/>
        </w:rPr>
      </w:pPr>
      <w:r>
        <w:rPr>
          <w:b/>
          <w:bCs/>
          <w:szCs w:val="22"/>
        </w:rPr>
        <w:t xml:space="preserve">Чести нежелани реакции </w:t>
      </w:r>
      <w:r>
        <w:rPr>
          <w:bCs/>
          <w:szCs w:val="22"/>
        </w:rPr>
        <w:t>(може да засегнат до 1 на 10 души)</w:t>
      </w:r>
      <w:r>
        <w:rPr>
          <w:b/>
          <w:szCs w:val="22"/>
        </w:rPr>
        <w:t>:</w:t>
      </w:r>
    </w:p>
    <w:p w14:paraId="109AE429" w14:textId="77777777" w:rsidR="009B3384" w:rsidRDefault="00800862">
      <w:pPr>
        <w:numPr>
          <w:ilvl w:val="0"/>
          <w:numId w:val="31"/>
        </w:numPr>
        <w:tabs>
          <w:tab w:val="clear" w:pos="567"/>
          <w:tab w:val="left" w:pos="1134"/>
        </w:tabs>
        <w:ind w:left="1134" w:hanging="567"/>
      </w:pPr>
      <w:r>
        <w:t>диария</w:t>
      </w:r>
    </w:p>
    <w:p w14:paraId="109AE42A" w14:textId="77777777" w:rsidR="009B3384" w:rsidRDefault="00800862">
      <w:pPr>
        <w:numPr>
          <w:ilvl w:val="0"/>
          <w:numId w:val="31"/>
        </w:numPr>
        <w:tabs>
          <w:tab w:val="clear" w:pos="567"/>
          <w:tab w:val="left" w:pos="1134"/>
        </w:tabs>
        <w:ind w:left="1134" w:hanging="567"/>
      </w:pPr>
      <w:r>
        <w:t>гадене</w:t>
      </w:r>
    </w:p>
    <w:p w14:paraId="109AE42B" w14:textId="77777777" w:rsidR="009B3384" w:rsidRDefault="00800862">
      <w:pPr>
        <w:numPr>
          <w:ilvl w:val="0"/>
          <w:numId w:val="31"/>
        </w:numPr>
        <w:tabs>
          <w:tab w:val="clear" w:pos="567"/>
          <w:tab w:val="left" w:pos="1134"/>
        </w:tabs>
        <w:ind w:left="1134" w:hanging="567"/>
      </w:pPr>
      <w:r>
        <w:t>повръщане</w:t>
      </w:r>
    </w:p>
    <w:p w14:paraId="109AE42C" w14:textId="77777777" w:rsidR="009B3384" w:rsidRDefault="00800862">
      <w:pPr>
        <w:numPr>
          <w:ilvl w:val="0"/>
          <w:numId w:val="31"/>
        </w:numPr>
        <w:tabs>
          <w:tab w:val="clear" w:pos="567"/>
          <w:tab w:val="left" w:pos="1134"/>
        </w:tabs>
        <w:ind w:left="1134" w:hanging="567"/>
      </w:pPr>
      <w:r>
        <w:t>умора</w:t>
      </w:r>
    </w:p>
    <w:p w14:paraId="109AE42D" w14:textId="77777777" w:rsidR="009B3384" w:rsidRDefault="00800862">
      <w:pPr>
        <w:numPr>
          <w:ilvl w:val="0"/>
          <w:numId w:val="31"/>
        </w:numPr>
        <w:tabs>
          <w:tab w:val="clear" w:pos="567"/>
          <w:tab w:val="left" w:pos="1134"/>
        </w:tabs>
        <w:ind w:left="1134" w:hanging="567"/>
      </w:pPr>
      <w:r>
        <w:t>замаяност</w:t>
      </w:r>
    </w:p>
    <w:p w14:paraId="109AE42E" w14:textId="77777777" w:rsidR="009B3384" w:rsidRDefault="00800862">
      <w:pPr>
        <w:numPr>
          <w:ilvl w:val="0"/>
          <w:numId w:val="31"/>
        </w:numPr>
        <w:tabs>
          <w:tab w:val="clear" w:pos="567"/>
          <w:tab w:val="left" w:pos="1134"/>
        </w:tabs>
        <w:ind w:left="1134" w:hanging="567"/>
      </w:pPr>
      <w:r>
        <w:t>главоболие</w:t>
      </w:r>
    </w:p>
    <w:p w14:paraId="109AE42F" w14:textId="77777777" w:rsidR="009B3384" w:rsidRDefault="00800862">
      <w:pPr>
        <w:numPr>
          <w:ilvl w:val="0"/>
          <w:numId w:val="31"/>
        </w:numPr>
        <w:tabs>
          <w:tab w:val="clear" w:pos="567"/>
          <w:tab w:val="left" w:pos="1134"/>
        </w:tabs>
        <w:ind w:left="1134" w:hanging="567"/>
      </w:pPr>
      <w:r>
        <w:t>сърбеж (пруритус)</w:t>
      </w:r>
    </w:p>
    <w:p w14:paraId="109AE430" w14:textId="77777777" w:rsidR="009B3384" w:rsidRDefault="00800862">
      <w:pPr>
        <w:numPr>
          <w:ilvl w:val="0"/>
          <w:numId w:val="31"/>
        </w:numPr>
        <w:tabs>
          <w:tab w:val="clear" w:pos="567"/>
          <w:tab w:val="left" w:pos="1134"/>
        </w:tabs>
        <w:ind w:left="1134" w:hanging="567"/>
      </w:pPr>
      <w:r>
        <w:t>болка в гърба, мускулите или ставите</w:t>
      </w:r>
    </w:p>
    <w:p w14:paraId="109AE431" w14:textId="77777777" w:rsidR="009B3384" w:rsidRDefault="00800862">
      <w:pPr>
        <w:numPr>
          <w:ilvl w:val="0"/>
          <w:numId w:val="31"/>
        </w:numPr>
        <w:tabs>
          <w:tab w:val="clear" w:pos="567"/>
          <w:tab w:val="left" w:pos="1134"/>
        </w:tabs>
        <w:ind w:left="1134" w:hanging="567"/>
      </w:pPr>
      <w:r>
        <w:t>възпалено гърло</w:t>
      </w:r>
    </w:p>
    <w:p w14:paraId="109AE432" w14:textId="77777777" w:rsidR="009B3384" w:rsidRDefault="00800862">
      <w:pPr>
        <w:numPr>
          <w:ilvl w:val="0"/>
          <w:numId w:val="31"/>
        </w:numPr>
        <w:tabs>
          <w:tab w:val="clear" w:pos="567"/>
          <w:tab w:val="left" w:pos="1134"/>
        </w:tabs>
        <w:ind w:left="1134" w:hanging="567"/>
      </w:pPr>
      <w:r>
        <w:t>зачервяване и болка на мястото на инжектиране</w:t>
      </w:r>
    </w:p>
    <w:p w14:paraId="109AE433" w14:textId="77777777" w:rsidR="009B3384" w:rsidRDefault="00800862">
      <w:pPr>
        <w:numPr>
          <w:ilvl w:val="0"/>
          <w:numId w:val="31"/>
        </w:numPr>
        <w:tabs>
          <w:tab w:val="clear" w:pos="567"/>
          <w:tab w:val="left" w:pos="1134"/>
        </w:tabs>
        <w:ind w:left="1134" w:hanging="567"/>
      </w:pPr>
      <w:r>
        <w:t>инфекция на синусите</w:t>
      </w:r>
    </w:p>
    <w:p w14:paraId="109AE434" w14:textId="77777777" w:rsidR="009B3384" w:rsidRDefault="009B3384"/>
    <w:p w14:paraId="109AE435" w14:textId="77777777" w:rsidR="009B3384" w:rsidRDefault="00800862">
      <w:pPr>
        <w:keepNext/>
        <w:ind w:left="567"/>
        <w:rPr>
          <w:b/>
          <w:szCs w:val="22"/>
        </w:rPr>
      </w:pPr>
      <w:r>
        <w:rPr>
          <w:b/>
          <w:bCs/>
          <w:szCs w:val="22"/>
        </w:rPr>
        <w:t xml:space="preserve">Нечести нежелани реакции </w:t>
      </w:r>
      <w:r>
        <w:rPr>
          <w:bCs/>
          <w:szCs w:val="22"/>
        </w:rPr>
        <w:t>(може да засегнат до 1 на 100 души)</w:t>
      </w:r>
      <w:r>
        <w:rPr>
          <w:b/>
          <w:szCs w:val="22"/>
        </w:rPr>
        <w:t>:</w:t>
      </w:r>
    </w:p>
    <w:p w14:paraId="109AE436" w14:textId="77777777" w:rsidR="009B3384" w:rsidRDefault="00800862">
      <w:pPr>
        <w:numPr>
          <w:ilvl w:val="0"/>
          <w:numId w:val="31"/>
        </w:numPr>
        <w:tabs>
          <w:tab w:val="clear" w:pos="567"/>
          <w:tab w:val="left" w:pos="1134"/>
        </w:tabs>
        <w:ind w:left="1134" w:hanging="567"/>
      </w:pPr>
      <w:r>
        <w:t>инфекции на зъбите</w:t>
      </w:r>
    </w:p>
    <w:p w14:paraId="109AE437" w14:textId="77777777" w:rsidR="009B3384" w:rsidRDefault="00800862">
      <w:pPr>
        <w:numPr>
          <w:ilvl w:val="0"/>
          <w:numId w:val="31"/>
        </w:numPr>
        <w:tabs>
          <w:tab w:val="clear" w:pos="567"/>
          <w:tab w:val="left" w:pos="1134"/>
        </w:tabs>
        <w:ind w:left="1134" w:hanging="567"/>
      </w:pPr>
      <w:r>
        <w:t>вагинална инфекция, причинена от гъбички</w:t>
      </w:r>
    </w:p>
    <w:p w14:paraId="109AE438" w14:textId="77777777" w:rsidR="009B3384" w:rsidRDefault="00800862">
      <w:pPr>
        <w:numPr>
          <w:ilvl w:val="0"/>
          <w:numId w:val="31"/>
        </w:numPr>
        <w:tabs>
          <w:tab w:val="clear" w:pos="567"/>
          <w:tab w:val="left" w:pos="1134"/>
        </w:tabs>
        <w:ind w:left="1134" w:hanging="567"/>
        <w:rPr>
          <w:szCs w:val="22"/>
        </w:rPr>
      </w:pPr>
      <w:r>
        <w:rPr>
          <w:szCs w:val="22"/>
        </w:rPr>
        <w:t>депресия</w:t>
      </w:r>
    </w:p>
    <w:p w14:paraId="109AE439" w14:textId="77777777" w:rsidR="009B3384" w:rsidRDefault="00800862">
      <w:pPr>
        <w:numPr>
          <w:ilvl w:val="0"/>
          <w:numId w:val="31"/>
        </w:numPr>
        <w:tabs>
          <w:tab w:val="clear" w:pos="567"/>
          <w:tab w:val="left" w:pos="1134"/>
        </w:tabs>
        <w:ind w:left="1134" w:hanging="567"/>
        <w:rPr>
          <w:szCs w:val="22"/>
        </w:rPr>
      </w:pPr>
      <w:r>
        <w:rPr>
          <w:szCs w:val="22"/>
        </w:rPr>
        <w:t>запушен нос или хрема</w:t>
      </w:r>
    </w:p>
    <w:p w14:paraId="109AE43A" w14:textId="77777777" w:rsidR="009B3384" w:rsidRDefault="00800862">
      <w:pPr>
        <w:numPr>
          <w:ilvl w:val="0"/>
          <w:numId w:val="31"/>
        </w:numPr>
        <w:tabs>
          <w:tab w:val="clear" w:pos="567"/>
          <w:tab w:val="left" w:pos="1134"/>
        </w:tabs>
        <w:ind w:left="1134" w:hanging="567"/>
        <w:rPr>
          <w:szCs w:val="22"/>
        </w:rPr>
      </w:pPr>
      <w:r>
        <w:rPr>
          <w:bCs/>
          <w:szCs w:val="22"/>
        </w:rPr>
        <w:t>кървене, посиняване, втвърдяване</w:t>
      </w:r>
      <w:r>
        <w:rPr>
          <w:szCs w:val="22"/>
        </w:rPr>
        <w:t>, подуване и сърбеж на мястото на инжектиране</w:t>
      </w:r>
    </w:p>
    <w:p w14:paraId="109AE43B" w14:textId="77777777" w:rsidR="009B3384" w:rsidRDefault="00800862">
      <w:pPr>
        <w:numPr>
          <w:ilvl w:val="0"/>
          <w:numId w:val="31"/>
        </w:numPr>
        <w:tabs>
          <w:tab w:val="clear" w:pos="567"/>
          <w:tab w:val="left" w:pos="1134"/>
        </w:tabs>
        <w:ind w:left="1134" w:hanging="567"/>
        <w:rPr>
          <w:szCs w:val="22"/>
        </w:rPr>
      </w:pPr>
      <w:r>
        <w:rPr>
          <w:bCs/>
        </w:rPr>
        <w:t>усещане за слабост</w:t>
      </w:r>
    </w:p>
    <w:p w14:paraId="109AE43C" w14:textId="77777777" w:rsidR="009B3384" w:rsidRDefault="00800862">
      <w:pPr>
        <w:numPr>
          <w:ilvl w:val="0"/>
          <w:numId w:val="31"/>
        </w:numPr>
        <w:tabs>
          <w:tab w:val="clear" w:pos="567"/>
          <w:tab w:val="left" w:pos="1134"/>
        </w:tabs>
        <w:ind w:left="1134" w:hanging="567"/>
        <w:rPr>
          <w:szCs w:val="22"/>
        </w:rPr>
      </w:pPr>
      <w:r>
        <w:rPr>
          <w:szCs w:val="22"/>
        </w:rPr>
        <w:t>спадане на клепача и изкривяване на мускулите на едната половина на лицето („лицева парализа”</w:t>
      </w:r>
      <w:r>
        <w:t xml:space="preserve"> или „парализа на Бел”), която обикновено е временна</w:t>
      </w:r>
    </w:p>
    <w:p w14:paraId="109AE43D" w14:textId="77777777" w:rsidR="009B3384" w:rsidRDefault="00800862">
      <w:pPr>
        <w:numPr>
          <w:ilvl w:val="0"/>
          <w:numId w:val="31"/>
        </w:numPr>
        <w:tabs>
          <w:tab w:val="clear" w:pos="567"/>
          <w:tab w:val="left" w:pos="1134"/>
        </w:tabs>
        <w:ind w:left="1134" w:hanging="567"/>
        <w:rPr>
          <w:szCs w:val="22"/>
        </w:rPr>
      </w:pPr>
      <w:r>
        <w:rPr>
          <w:szCs w:val="22"/>
        </w:rPr>
        <w:t>промяна на псориазиса със зачервяване и нови малки, жълти или бели мехури по кожата, понякога придружени с температура (пустулозен псориазис)</w:t>
      </w:r>
    </w:p>
    <w:p w14:paraId="109AE43E" w14:textId="77777777" w:rsidR="009B3384" w:rsidRDefault="00800862">
      <w:pPr>
        <w:numPr>
          <w:ilvl w:val="0"/>
          <w:numId w:val="31"/>
        </w:numPr>
        <w:tabs>
          <w:tab w:val="clear" w:pos="567"/>
          <w:tab w:val="left" w:pos="1134"/>
        </w:tabs>
        <w:ind w:left="1134" w:hanging="567"/>
        <w:rPr>
          <w:szCs w:val="22"/>
        </w:rPr>
      </w:pPr>
      <w:r>
        <w:rPr>
          <w:szCs w:val="22"/>
        </w:rPr>
        <w:t>белене на кожата (ексфолиация на кожата)</w:t>
      </w:r>
    </w:p>
    <w:p w14:paraId="109AE43F" w14:textId="77777777" w:rsidR="009B3384" w:rsidRDefault="00800862">
      <w:pPr>
        <w:numPr>
          <w:ilvl w:val="0"/>
          <w:numId w:val="31"/>
        </w:numPr>
        <w:tabs>
          <w:tab w:val="clear" w:pos="567"/>
          <w:tab w:val="left" w:pos="1134"/>
        </w:tabs>
        <w:ind w:left="1134" w:hanging="567"/>
        <w:rPr>
          <w:szCs w:val="22"/>
        </w:rPr>
      </w:pPr>
      <w:r>
        <w:rPr>
          <w:szCs w:val="22"/>
        </w:rPr>
        <w:t>акне</w:t>
      </w:r>
    </w:p>
    <w:p w14:paraId="109AE440" w14:textId="77777777" w:rsidR="009B3384" w:rsidRDefault="009B3384">
      <w:pPr>
        <w:rPr>
          <w:szCs w:val="22"/>
        </w:rPr>
      </w:pPr>
    </w:p>
    <w:p w14:paraId="109AE441" w14:textId="77777777" w:rsidR="009B3384" w:rsidRDefault="00800862">
      <w:pPr>
        <w:keepNext/>
        <w:ind w:left="567"/>
      </w:pPr>
      <w:r>
        <w:rPr>
          <w:b/>
        </w:rPr>
        <w:t xml:space="preserve">Редки нежелани лекарствени реакции </w:t>
      </w:r>
      <w:r>
        <w:t>(може да засегнат до 1 на 1</w:t>
      </w:r>
      <w:r>
        <w:rPr>
          <w:lang w:val="nl-BE"/>
        </w:rPr>
        <w:t> </w:t>
      </w:r>
      <w:r>
        <w:t>000 души)</w:t>
      </w:r>
    </w:p>
    <w:p w14:paraId="109AE442" w14:textId="77777777" w:rsidR="009B3384" w:rsidRDefault="00800862">
      <w:pPr>
        <w:numPr>
          <w:ilvl w:val="0"/>
          <w:numId w:val="31"/>
        </w:numPr>
        <w:tabs>
          <w:tab w:val="clear" w:pos="567"/>
          <w:tab w:val="left" w:pos="1134"/>
        </w:tabs>
        <w:ind w:left="1134" w:hanging="567"/>
      </w:pPr>
      <w:r>
        <w:t>Зачервяване и лющене на кожата на по-голяма площ по тялото, които може да сърбят или да са болезнени (ексфолиативен дерматит). Подобни симптоми понякога се развиват като естествена промяна на вида на симптомите на псориазис (еритродермичен псориазис)</w:t>
      </w:r>
    </w:p>
    <w:p w14:paraId="109AE443" w14:textId="77777777" w:rsidR="009B3384" w:rsidRDefault="00800862">
      <w:pPr>
        <w:numPr>
          <w:ilvl w:val="0"/>
          <w:numId w:val="31"/>
        </w:numPr>
        <w:tabs>
          <w:tab w:val="clear" w:pos="567"/>
          <w:tab w:val="left" w:pos="1134"/>
        </w:tabs>
        <w:ind w:left="1134" w:hanging="567"/>
      </w:pPr>
      <w:r>
        <w:t>Възпаление на малките кръвоносни съдове, което може да доведе до кожен обрив с малки червени или лилави подутини, температура или болка в ставите (васкулит).</w:t>
      </w:r>
    </w:p>
    <w:p w14:paraId="109AE444" w14:textId="77777777" w:rsidR="009B3384" w:rsidRDefault="009B3384">
      <w:pPr>
        <w:tabs>
          <w:tab w:val="clear" w:pos="567"/>
          <w:tab w:val="left" w:pos="1134"/>
        </w:tabs>
        <w:rPr>
          <w:szCs w:val="22"/>
        </w:rPr>
      </w:pPr>
    </w:p>
    <w:p w14:paraId="109AE445" w14:textId="77777777" w:rsidR="009B3384" w:rsidRDefault="00800862">
      <w:pPr>
        <w:keepNext/>
        <w:ind w:left="567"/>
      </w:pPr>
      <w:r>
        <w:rPr>
          <w:b/>
          <w:szCs w:val="22"/>
        </w:rPr>
        <w:t>Много редки</w:t>
      </w:r>
      <w:r>
        <w:rPr>
          <w:szCs w:val="22"/>
        </w:rPr>
        <w:t xml:space="preserve"> </w:t>
      </w:r>
      <w:r>
        <w:rPr>
          <w:b/>
        </w:rPr>
        <w:t xml:space="preserve">нежелани лекарствени реакции </w:t>
      </w:r>
      <w:r>
        <w:t>(може да засегнат до 1 на 10</w:t>
      </w:r>
      <w:r>
        <w:rPr>
          <w:lang w:val="nl-BE"/>
        </w:rPr>
        <w:t> </w:t>
      </w:r>
      <w:r>
        <w:t>000</w:t>
      </w:r>
      <w:r>
        <w:rPr>
          <w:lang w:val="en-US"/>
        </w:rPr>
        <w:t> </w:t>
      </w:r>
      <w:r>
        <w:t>души)</w:t>
      </w:r>
    </w:p>
    <w:p w14:paraId="109AE446" w14:textId="77777777" w:rsidR="009B3384" w:rsidRDefault="00800862">
      <w:pPr>
        <w:numPr>
          <w:ilvl w:val="0"/>
          <w:numId w:val="31"/>
        </w:numPr>
        <w:ind w:left="1134" w:hanging="567"/>
      </w:pPr>
      <w:r>
        <w:t>Образуване на мехури по кожата, която може да бъде зачервена, сърбяща и болезнена (булозен пемфигоид)</w:t>
      </w:r>
    </w:p>
    <w:p w14:paraId="109AE447" w14:textId="77777777" w:rsidR="009B3384" w:rsidRDefault="00800862">
      <w:pPr>
        <w:numPr>
          <w:ilvl w:val="0"/>
          <w:numId w:val="31"/>
        </w:numPr>
        <w:ind w:left="1134" w:hanging="567"/>
      </w:pPr>
      <w:r>
        <w:t>кожен лупус еритематодес и лупус-подобен синдром (червен, надигнат, лющещ се обрив в изложените на слънце участъци на кожата, който може да е придружен от болки в ставите).</w:t>
      </w:r>
    </w:p>
    <w:p w14:paraId="109AE448" w14:textId="77777777" w:rsidR="009B3384" w:rsidRDefault="009B3384">
      <w:pPr>
        <w:tabs>
          <w:tab w:val="clear" w:pos="567"/>
          <w:tab w:val="left" w:pos="1134"/>
        </w:tabs>
        <w:rPr>
          <w:szCs w:val="22"/>
        </w:rPr>
      </w:pPr>
    </w:p>
    <w:p w14:paraId="109AE449" w14:textId="77777777" w:rsidR="009B3384" w:rsidRDefault="00800862">
      <w:pPr>
        <w:keepNext/>
        <w:rPr>
          <w:szCs w:val="22"/>
        </w:rPr>
      </w:pPr>
      <w:r>
        <w:rPr>
          <w:b/>
          <w:szCs w:val="22"/>
        </w:rPr>
        <w:lastRenderedPageBreak/>
        <w:t>Съобщаване на нежелани реакции</w:t>
      </w:r>
    </w:p>
    <w:p w14:paraId="109AE44A" w14:textId="77777777" w:rsidR="009B3384" w:rsidRDefault="00800862">
      <w:r>
        <w:t xml:space="preserve">Ако получите някакви нежелани лекарствени реакции, уведомете Вашия лекар или фармацевт. Това включва и всички възможни неописани в тази листовка нежелани реакции. Можете също да съобщите нежелани реакции директно чрез </w:t>
      </w:r>
      <w:r>
        <w:rPr>
          <w:highlight w:val="lightGray"/>
        </w:rPr>
        <w:t xml:space="preserve">националната система за съобщаване, посочена </w:t>
      </w:r>
      <w:r>
        <w:rPr>
          <w:szCs w:val="22"/>
          <w:highlight w:val="lightGray"/>
        </w:rPr>
        <w:t xml:space="preserve">в </w:t>
      </w:r>
      <w:hyperlink r:id="rId28" w:history="1">
        <w:r>
          <w:rPr>
            <w:rStyle w:val="Hyperlink"/>
            <w:noProof/>
            <w:szCs w:val="22"/>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9AE44B" w14:textId="77777777" w:rsidR="009B3384" w:rsidRDefault="009B3384">
      <w:pPr>
        <w:rPr>
          <w:szCs w:val="22"/>
        </w:rPr>
      </w:pPr>
    </w:p>
    <w:p w14:paraId="109AE44C" w14:textId="77777777" w:rsidR="009B3384" w:rsidRDefault="009B3384">
      <w:pPr>
        <w:rPr>
          <w:szCs w:val="22"/>
        </w:rPr>
      </w:pPr>
    </w:p>
    <w:p w14:paraId="109AE44D" w14:textId="77777777" w:rsidR="009B3384" w:rsidRDefault="00800862">
      <w:pPr>
        <w:keepNext/>
        <w:ind w:left="567" w:hanging="567"/>
        <w:outlineLvl w:val="2"/>
        <w:rPr>
          <w:b/>
          <w:bCs/>
        </w:rPr>
      </w:pPr>
      <w:r>
        <w:rPr>
          <w:b/>
          <w:bCs/>
        </w:rPr>
        <w:t>5.</w:t>
      </w:r>
      <w:r>
        <w:rPr>
          <w:b/>
          <w:bCs/>
        </w:rPr>
        <w:tab/>
        <w:t>Как да съхранявате Stelara</w:t>
      </w:r>
    </w:p>
    <w:p w14:paraId="109AE44E" w14:textId="77777777" w:rsidR="009B3384" w:rsidRDefault="009B3384">
      <w:pPr>
        <w:keepNext/>
        <w:rPr>
          <w:szCs w:val="22"/>
        </w:rPr>
      </w:pPr>
    </w:p>
    <w:p w14:paraId="109AE44F" w14:textId="77777777" w:rsidR="009B3384" w:rsidRDefault="00800862">
      <w:pPr>
        <w:numPr>
          <w:ilvl w:val="0"/>
          <w:numId w:val="30"/>
        </w:numPr>
        <w:tabs>
          <w:tab w:val="clear" w:pos="567"/>
        </w:tabs>
      </w:pPr>
      <w:r>
        <w:t>Да се съхранява на място, недостъпно за деца.</w:t>
      </w:r>
    </w:p>
    <w:p w14:paraId="109AE450" w14:textId="77777777" w:rsidR="009B3384" w:rsidRDefault="00800862">
      <w:pPr>
        <w:numPr>
          <w:ilvl w:val="0"/>
          <w:numId w:val="30"/>
        </w:numPr>
        <w:tabs>
          <w:tab w:val="clear" w:pos="567"/>
        </w:tabs>
      </w:pPr>
      <w:r>
        <w:t>Да се съхранява в хладилник (2°C–8°C). Да не се замразява.</w:t>
      </w:r>
    </w:p>
    <w:p w14:paraId="109AE451" w14:textId="77777777" w:rsidR="009B3384" w:rsidRDefault="00800862">
      <w:pPr>
        <w:numPr>
          <w:ilvl w:val="0"/>
          <w:numId w:val="30"/>
        </w:numPr>
        <w:tabs>
          <w:tab w:val="clear" w:pos="567"/>
        </w:tabs>
      </w:pPr>
      <w:r>
        <w:t>Съхранявайте предварително напълнената спринцовка в картонената опаковка, за да се предпази от светлина.</w:t>
      </w:r>
    </w:p>
    <w:p w14:paraId="109AE452" w14:textId="77777777" w:rsidR="009B3384" w:rsidRDefault="00800862">
      <w:pPr>
        <w:widowControl w:val="0"/>
        <w:numPr>
          <w:ilvl w:val="0"/>
          <w:numId w:val="30"/>
        </w:numPr>
        <w:tabs>
          <w:tab w:val="clear" w:pos="567"/>
        </w:tabs>
      </w:pPr>
      <w:r>
        <w:t>Ако е необходимо, отделните предварително напълнени спринцовки Stelara може също да се съхраняват при стайна температура до 30</w:t>
      </w:r>
      <w:r>
        <w:rPr>
          <w:rFonts w:eastAsia="Symbol"/>
        </w:rPr>
        <w:t>°</w:t>
      </w:r>
      <w:r>
        <w:t>C за максимум един период до 30 дни в оригиналната картонена опаковка, за да се предпазят от светлина. Запишете датата, на която предварително напълнената спринцовка е извадена за първи път от хладилника и датата на изхвърляне на обозначените на външната картонена опаковка места. Датата на изхвърляне не трябва да е след оригиналния срок на годност, отпечатан върху картонената опаковка. След като веднъж спринцовката е била съхранявана при стайна температура (до 30</w:t>
      </w:r>
      <w:r>
        <w:rPr>
          <w:rFonts w:eastAsia="Symbol"/>
        </w:rPr>
        <w:t>°</w:t>
      </w:r>
      <w:r>
        <w:t>C), тя не трябва да се връща в хладилника. Изхвърлете спринцовката, ако не се използва след съхранение при стайна температура в рамките на 30 дни или след изтичане на оригиналния срок на годност, в зависимост от това, кое от двете настъпи по-рано.</w:t>
      </w:r>
    </w:p>
    <w:p w14:paraId="109AE453" w14:textId="073FE9AA" w:rsidR="009B3384" w:rsidRDefault="00800862">
      <w:pPr>
        <w:numPr>
          <w:ilvl w:val="0"/>
          <w:numId w:val="30"/>
        </w:numPr>
        <w:tabs>
          <w:tab w:val="clear" w:pos="567"/>
        </w:tabs>
      </w:pPr>
      <w:r>
        <w:t>Не разклащайте предварително напълнените спринцовки. Продължителното енергично разклащане може да повреди лекарството.</w:t>
      </w:r>
    </w:p>
    <w:p w14:paraId="109AE454" w14:textId="77777777" w:rsidR="009B3384" w:rsidRDefault="009B3384">
      <w:pPr>
        <w:rPr>
          <w:szCs w:val="22"/>
        </w:rPr>
      </w:pPr>
    </w:p>
    <w:p w14:paraId="109AE455" w14:textId="77777777" w:rsidR="009B3384" w:rsidRDefault="00800862">
      <w:pPr>
        <w:keepNext/>
        <w:rPr>
          <w:b/>
          <w:szCs w:val="22"/>
        </w:rPr>
      </w:pPr>
      <w:r>
        <w:rPr>
          <w:b/>
          <w:szCs w:val="22"/>
        </w:rPr>
        <w:t>Не използвайте това лекарство:</w:t>
      </w:r>
    </w:p>
    <w:p w14:paraId="109AE456" w14:textId="77777777" w:rsidR="009B3384" w:rsidRDefault="00800862">
      <w:pPr>
        <w:numPr>
          <w:ilvl w:val="0"/>
          <w:numId w:val="30"/>
        </w:numPr>
        <w:tabs>
          <w:tab w:val="clear" w:pos="567"/>
        </w:tabs>
        <w:rPr>
          <w:bCs/>
          <w:szCs w:val="22"/>
        </w:rPr>
      </w:pPr>
      <w:r>
        <w:rPr>
          <w:szCs w:val="22"/>
        </w:rPr>
        <w:t xml:space="preserve">след срока </w:t>
      </w:r>
      <w:r>
        <w:rPr>
          <w:bCs/>
          <w:szCs w:val="22"/>
        </w:rPr>
        <w:t>на годност, отбелязан върху етикета и картонената опаковка след „</w:t>
      </w:r>
      <w:r>
        <w:rPr>
          <w:bCs/>
          <w:szCs w:val="22"/>
          <w:lang w:val="en-US"/>
        </w:rPr>
        <w:t>EXP</w:t>
      </w:r>
      <w:r>
        <w:rPr>
          <w:bCs/>
          <w:szCs w:val="22"/>
        </w:rPr>
        <w:t>“/„Годен до:“. Срокът на годност отговаря на последния ден от посочения месец;</w:t>
      </w:r>
    </w:p>
    <w:p w14:paraId="109AE457" w14:textId="77777777" w:rsidR="009B3384" w:rsidRDefault="00800862">
      <w:pPr>
        <w:numPr>
          <w:ilvl w:val="0"/>
          <w:numId w:val="30"/>
        </w:numPr>
        <w:tabs>
          <w:tab w:val="clear" w:pos="567"/>
        </w:tabs>
        <w:rPr>
          <w:bCs/>
          <w:szCs w:val="22"/>
        </w:rPr>
      </w:pPr>
      <w:r>
        <w:rPr>
          <w:bCs/>
          <w:szCs w:val="22"/>
        </w:rPr>
        <w:t>ако течността е с променен цвят, мътна или в нея се забелязват плуващи чужди частици (вижте точка 6 „Как изглежда Stelara и какво съдържа опаковката“);</w:t>
      </w:r>
    </w:p>
    <w:p w14:paraId="109AE458" w14:textId="77777777" w:rsidR="009B3384" w:rsidRDefault="00800862">
      <w:pPr>
        <w:numPr>
          <w:ilvl w:val="0"/>
          <w:numId w:val="30"/>
        </w:numPr>
        <w:tabs>
          <w:tab w:val="clear" w:pos="567"/>
        </w:tabs>
        <w:rPr>
          <w:bCs/>
          <w:szCs w:val="22"/>
        </w:rPr>
      </w:pPr>
      <w:r>
        <w:rPr>
          <w:bCs/>
          <w:szCs w:val="22"/>
        </w:rPr>
        <w:t>ако знаете или смятате, че може да е била изложена на екстремни температури (като инцидентно замръзване или загряване);</w:t>
      </w:r>
    </w:p>
    <w:p w14:paraId="109AE459" w14:textId="77777777" w:rsidR="009B3384" w:rsidRDefault="00800862">
      <w:pPr>
        <w:numPr>
          <w:ilvl w:val="0"/>
          <w:numId w:val="30"/>
        </w:numPr>
        <w:tabs>
          <w:tab w:val="clear" w:pos="567"/>
        </w:tabs>
        <w:rPr>
          <w:bCs/>
          <w:szCs w:val="22"/>
        </w:rPr>
      </w:pPr>
      <w:r>
        <w:rPr>
          <w:bCs/>
          <w:szCs w:val="22"/>
        </w:rPr>
        <w:t>ако продуктът е бил енергично разклатен.</w:t>
      </w:r>
    </w:p>
    <w:p w14:paraId="109AE45A" w14:textId="77777777" w:rsidR="009B3384" w:rsidRDefault="009B3384">
      <w:pPr>
        <w:rPr>
          <w:szCs w:val="22"/>
        </w:rPr>
      </w:pPr>
    </w:p>
    <w:p w14:paraId="109AE45B" w14:textId="77777777" w:rsidR="009B3384" w:rsidRDefault="00800862">
      <w:pPr>
        <w:rPr>
          <w:szCs w:val="22"/>
        </w:rPr>
      </w:pPr>
      <w:r>
        <w:rPr>
          <w:bCs/>
          <w:szCs w:val="22"/>
        </w:rPr>
        <w:t>Stelara</w:t>
      </w:r>
      <w:r>
        <w:rPr>
          <w:szCs w:val="22"/>
        </w:rPr>
        <w:t xml:space="preserve"> e само за еднократна употреба. Неизползваният продукт, останал в спринцовката, трябва да се изхвърли. </w:t>
      </w:r>
      <w:r>
        <w:rPr>
          <w:szCs w:val="24"/>
        </w:rPr>
        <w:t>Не изхвърляйте лекарствата</w:t>
      </w:r>
      <w:r>
        <w:t xml:space="preserve"> в канализацията или в контейнера за домашни отпадъци</w:t>
      </w:r>
      <w:r>
        <w:rPr>
          <w:szCs w:val="24"/>
        </w:rPr>
        <w:t>.</w:t>
      </w:r>
      <w:r>
        <w:t xml:space="preserve"> Попитайте Вашия фармацевт как да </w:t>
      </w:r>
      <w:r>
        <w:rPr>
          <w:szCs w:val="24"/>
        </w:rPr>
        <w:t>изхвърляте лекарствата, които вече не използвате</w:t>
      </w:r>
      <w:r>
        <w:t>. Тези мерки ще спомогнат за опазване на околната среда.</w:t>
      </w:r>
    </w:p>
    <w:p w14:paraId="109AE45C" w14:textId="77777777" w:rsidR="009B3384" w:rsidRDefault="009B3384">
      <w:pPr>
        <w:rPr>
          <w:szCs w:val="22"/>
        </w:rPr>
      </w:pPr>
    </w:p>
    <w:p w14:paraId="109AE45D" w14:textId="77777777" w:rsidR="009B3384" w:rsidRDefault="009B3384">
      <w:pPr>
        <w:rPr>
          <w:szCs w:val="22"/>
        </w:rPr>
      </w:pPr>
    </w:p>
    <w:p w14:paraId="109AE45E" w14:textId="77777777" w:rsidR="009B3384" w:rsidRDefault="00800862">
      <w:pPr>
        <w:keepNext/>
        <w:ind w:left="567" w:hanging="567"/>
        <w:outlineLvl w:val="2"/>
        <w:rPr>
          <w:b/>
          <w:bCs/>
          <w:szCs w:val="22"/>
        </w:rPr>
      </w:pPr>
      <w:r>
        <w:rPr>
          <w:b/>
          <w:bCs/>
          <w:szCs w:val="22"/>
        </w:rPr>
        <w:t>6.</w:t>
      </w:r>
      <w:r>
        <w:rPr>
          <w:b/>
          <w:bCs/>
          <w:szCs w:val="22"/>
        </w:rPr>
        <w:tab/>
        <w:t>Съдържание на опаковката и допълнителна информация</w:t>
      </w:r>
    </w:p>
    <w:p w14:paraId="109AE45F" w14:textId="77777777" w:rsidR="009B3384" w:rsidRDefault="009B3384">
      <w:pPr>
        <w:keepNext/>
        <w:rPr>
          <w:szCs w:val="22"/>
        </w:rPr>
      </w:pPr>
    </w:p>
    <w:p w14:paraId="109AE460" w14:textId="77777777" w:rsidR="009B3384" w:rsidRDefault="00800862">
      <w:pPr>
        <w:keepNext/>
        <w:rPr>
          <w:b/>
          <w:szCs w:val="22"/>
        </w:rPr>
      </w:pPr>
      <w:r>
        <w:rPr>
          <w:b/>
          <w:szCs w:val="22"/>
        </w:rPr>
        <w:t>Какво съдържа Stelara</w:t>
      </w:r>
    </w:p>
    <w:p w14:paraId="109AE461" w14:textId="77777777" w:rsidR="009B3384" w:rsidRDefault="00800862">
      <w:pPr>
        <w:numPr>
          <w:ilvl w:val="0"/>
          <w:numId w:val="30"/>
        </w:numPr>
        <w:tabs>
          <w:tab w:val="clear" w:pos="567"/>
        </w:tabs>
        <w:rPr>
          <w:bCs/>
          <w:szCs w:val="22"/>
        </w:rPr>
      </w:pPr>
      <w:r>
        <w:rPr>
          <w:bCs/>
          <w:szCs w:val="22"/>
        </w:rPr>
        <w:t>Активно вещество: устекинумаб. Всяка предварително напълнена спринцовка съдържа 90 mg устекинумаб в 1 ml.</w:t>
      </w:r>
    </w:p>
    <w:p w14:paraId="109AE462" w14:textId="77777777" w:rsidR="009B3384" w:rsidRDefault="00800862">
      <w:pPr>
        <w:numPr>
          <w:ilvl w:val="0"/>
          <w:numId w:val="30"/>
        </w:numPr>
        <w:tabs>
          <w:tab w:val="clear" w:pos="567"/>
        </w:tabs>
        <w:rPr>
          <w:bCs/>
          <w:szCs w:val="22"/>
        </w:rPr>
      </w:pPr>
      <w:r>
        <w:rPr>
          <w:bCs/>
          <w:szCs w:val="22"/>
        </w:rPr>
        <w:t xml:space="preserve">Други съставки: L-хистидин, L-хистидинов монохидрохлорид монохидрат, полисорбат 80 </w:t>
      </w:r>
      <w:r>
        <w:rPr>
          <w:iCs/>
          <w:szCs w:val="22"/>
        </w:rPr>
        <w:t>(E433)</w:t>
      </w:r>
      <w:r>
        <w:rPr>
          <w:bCs/>
          <w:szCs w:val="22"/>
        </w:rPr>
        <w:t>, захароза и вода за инжекции.</w:t>
      </w:r>
    </w:p>
    <w:p w14:paraId="109AE463" w14:textId="77777777" w:rsidR="009B3384" w:rsidRDefault="009B3384">
      <w:pPr>
        <w:rPr>
          <w:szCs w:val="22"/>
        </w:rPr>
      </w:pPr>
    </w:p>
    <w:p w14:paraId="109AE464" w14:textId="77777777" w:rsidR="009B3384" w:rsidRDefault="00800862">
      <w:pPr>
        <w:keepNext/>
        <w:rPr>
          <w:b/>
          <w:szCs w:val="22"/>
        </w:rPr>
      </w:pPr>
      <w:r>
        <w:rPr>
          <w:b/>
          <w:szCs w:val="22"/>
        </w:rPr>
        <w:t>Как изглежда Stelara и какво съдържа опаковката</w:t>
      </w:r>
    </w:p>
    <w:p w14:paraId="109AE465" w14:textId="77777777" w:rsidR="009B3384" w:rsidRDefault="00800862">
      <w:pPr>
        <w:rPr>
          <w:szCs w:val="22"/>
        </w:rPr>
      </w:pPr>
      <w:r>
        <w:rPr>
          <w:szCs w:val="22"/>
        </w:rPr>
        <w:t xml:space="preserve">Stelara </w:t>
      </w:r>
      <w:r>
        <w:rPr>
          <w:bCs/>
        </w:rPr>
        <w:t xml:space="preserve">е бистър до </w:t>
      </w:r>
      <w:r>
        <w:rPr>
          <w:szCs w:val="22"/>
        </w:rPr>
        <w:t xml:space="preserve">леко опалесцентен (с перлен блясък), безцветен до бледожълт инжекционен разтвор. Той </w:t>
      </w:r>
      <w:r>
        <w:rPr>
          <w:bCs/>
        </w:rPr>
        <w:t xml:space="preserve">може да съдържа няколко дребни </w:t>
      </w:r>
      <w:r>
        <w:t xml:space="preserve">полупрозрачни или бели частици протеин. Доставя се в картонена опаковка, съдържаща една стъклена предварително напълнена </w:t>
      </w:r>
      <w:r>
        <w:lastRenderedPageBreak/>
        <w:t>спринцовка от 1 ml с единична доза. Всяка предварително напълнена спринцовка съдържа 90</w:t>
      </w:r>
      <w:r>
        <w:rPr>
          <w:szCs w:val="22"/>
        </w:rPr>
        <w:t> mg устекинумаб в 1 ml инжекционен разтвор.</w:t>
      </w:r>
    </w:p>
    <w:p w14:paraId="109AE466" w14:textId="77777777" w:rsidR="009B3384" w:rsidRDefault="009B3384"/>
    <w:p w14:paraId="109AE467" w14:textId="77777777" w:rsidR="009B3384" w:rsidRDefault="00800862">
      <w:pPr>
        <w:keepNext/>
        <w:rPr>
          <w:b/>
          <w:bCs/>
        </w:rPr>
      </w:pPr>
      <w:r>
        <w:rPr>
          <w:b/>
          <w:bCs/>
        </w:rPr>
        <w:t>Притежател на разрешението за употреба</w:t>
      </w:r>
    </w:p>
    <w:p w14:paraId="109AE468" w14:textId="77777777" w:rsidR="009B3384" w:rsidRDefault="00800862">
      <w:pPr>
        <w:rPr>
          <w:szCs w:val="13"/>
        </w:rPr>
      </w:pPr>
      <w:r>
        <w:rPr>
          <w:szCs w:val="13"/>
        </w:rPr>
        <w:t>Janssen-Cilag International NV</w:t>
      </w:r>
    </w:p>
    <w:p w14:paraId="109AE469" w14:textId="77777777" w:rsidR="009B3384" w:rsidRDefault="00800862">
      <w:pPr>
        <w:rPr>
          <w:szCs w:val="13"/>
        </w:rPr>
      </w:pPr>
      <w:r>
        <w:rPr>
          <w:szCs w:val="13"/>
        </w:rPr>
        <w:t>Turnhoutseweg 30</w:t>
      </w:r>
    </w:p>
    <w:p w14:paraId="109AE46A" w14:textId="77777777" w:rsidR="009B3384" w:rsidRDefault="00800862">
      <w:pPr>
        <w:rPr>
          <w:szCs w:val="13"/>
        </w:rPr>
      </w:pPr>
      <w:r>
        <w:rPr>
          <w:szCs w:val="13"/>
          <w:lang w:val="en-US"/>
        </w:rPr>
        <w:t>B</w:t>
      </w:r>
      <w:r>
        <w:rPr>
          <w:szCs w:val="13"/>
        </w:rPr>
        <w:t>-2340 Beerse</w:t>
      </w:r>
    </w:p>
    <w:p w14:paraId="109AE46B" w14:textId="77777777" w:rsidR="009B3384" w:rsidRDefault="00800862">
      <w:r>
        <w:t>Белгия</w:t>
      </w:r>
    </w:p>
    <w:p w14:paraId="109AE46C" w14:textId="77777777" w:rsidR="009B3384" w:rsidRDefault="009B3384"/>
    <w:p w14:paraId="109AE46D" w14:textId="77777777" w:rsidR="009B3384" w:rsidRDefault="00800862">
      <w:pPr>
        <w:keepNext/>
        <w:rPr>
          <w:b/>
          <w:bCs/>
        </w:rPr>
      </w:pPr>
      <w:r>
        <w:rPr>
          <w:b/>
          <w:bCs/>
        </w:rPr>
        <w:t>Производител</w:t>
      </w:r>
    </w:p>
    <w:p w14:paraId="109AE46E" w14:textId="77777777" w:rsidR="009B3384" w:rsidRDefault="00800862">
      <w:r>
        <w:t>Janssen Biologics B.V.</w:t>
      </w:r>
    </w:p>
    <w:p w14:paraId="109AE46F" w14:textId="77777777" w:rsidR="009B3384" w:rsidRDefault="00800862">
      <w:r>
        <w:t>Einsteinweg 101</w:t>
      </w:r>
    </w:p>
    <w:p w14:paraId="109AE470" w14:textId="77777777" w:rsidR="009B3384" w:rsidRDefault="00800862">
      <w:r>
        <w:t>2333 CB Leiden</w:t>
      </w:r>
    </w:p>
    <w:p w14:paraId="109AE471" w14:textId="77777777" w:rsidR="009B3384" w:rsidRDefault="00800862">
      <w:r>
        <w:t>Нидерландия</w:t>
      </w:r>
    </w:p>
    <w:p w14:paraId="109AE472" w14:textId="77777777" w:rsidR="009B3384" w:rsidRDefault="009B3384">
      <w:pPr>
        <w:rPr>
          <w:szCs w:val="22"/>
        </w:rPr>
      </w:pPr>
    </w:p>
    <w:p w14:paraId="109AE473" w14:textId="77777777" w:rsidR="009B3384" w:rsidRDefault="00800862">
      <w:pPr>
        <w:rPr>
          <w:szCs w:val="22"/>
        </w:rPr>
      </w:pPr>
      <w:r>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109AE474" w14:textId="77777777" w:rsidR="009B3384" w:rsidRDefault="009B3384">
      <w:pPr>
        <w:keepNext/>
        <w:suppressAutoHyphens w:val="0"/>
        <w:rPr>
          <w:szCs w:val="22"/>
        </w:rPr>
      </w:pPr>
    </w:p>
    <w:tbl>
      <w:tblPr>
        <w:tblW w:w="9075" w:type="dxa"/>
        <w:jc w:val="center"/>
        <w:tblLayout w:type="fixed"/>
        <w:tblLook w:val="04A0" w:firstRow="1" w:lastRow="0" w:firstColumn="1" w:lastColumn="0" w:noHBand="0" w:noVBand="1"/>
      </w:tblPr>
      <w:tblGrid>
        <w:gridCol w:w="10"/>
        <w:gridCol w:w="4260"/>
        <w:gridCol w:w="4805"/>
      </w:tblGrid>
      <w:tr w:rsidR="009B3384" w14:paraId="109AE480" w14:textId="77777777">
        <w:trPr>
          <w:cantSplit/>
          <w:jc w:val="center"/>
        </w:trPr>
        <w:tc>
          <w:tcPr>
            <w:tcW w:w="4270" w:type="dxa"/>
            <w:gridSpan w:val="2"/>
          </w:tcPr>
          <w:p w14:paraId="109AE475" w14:textId="77777777" w:rsidR="009B3384" w:rsidRDefault="00800862">
            <w:pPr>
              <w:widowControl w:val="0"/>
              <w:suppressAutoHyphens w:val="0"/>
              <w:rPr>
                <w:b/>
                <w:szCs w:val="22"/>
                <w:lang w:val="nl-BE"/>
              </w:rPr>
            </w:pPr>
            <w:r>
              <w:rPr>
                <w:b/>
                <w:szCs w:val="22"/>
                <w:lang w:val="nl-BE"/>
              </w:rPr>
              <w:t>België/Belgique/Belgien</w:t>
            </w:r>
          </w:p>
          <w:p w14:paraId="109AE476" w14:textId="77777777" w:rsidR="009B3384" w:rsidRDefault="00800862">
            <w:pPr>
              <w:widowControl w:val="0"/>
              <w:suppressAutoHyphens w:val="0"/>
              <w:rPr>
                <w:szCs w:val="22"/>
                <w:lang w:val="nl-BE"/>
              </w:rPr>
            </w:pPr>
            <w:r>
              <w:rPr>
                <w:szCs w:val="22"/>
                <w:lang w:val="nl-BE"/>
              </w:rPr>
              <w:t>Janssen-Cilag NV</w:t>
            </w:r>
          </w:p>
          <w:p w14:paraId="109AE477" w14:textId="39F3C6C5" w:rsidR="009B3384" w:rsidRDefault="00800862">
            <w:pPr>
              <w:widowControl w:val="0"/>
              <w:suppressAutoHyphens w:val="0"/>
              <w:rPr>
                <w:szCs w:val="22"/>
                <w:lang w:val="nl-NL"/>
              </w:rPr>
            </w:pPr>
            <w:r>
              <w:rPr>
                <w:szCs w:val="22"/>
                <w:lang w:val="nl-NL"/>
              </w:rPr>
              <w:t xml:space="preserve">Tel/Tél: </w:t>
            </w:r>
            <w:r>
              <w:t>0800 93 377</w:t>
            </w:r>
          </w:p>
          <w:p w14:paraId="109AE478" w14:textId="581D4D41" w:rsidR="009B3384" w:rsidRDefault="00800862">
            <w:pPr>
              <w:suppressAutoHyphens w:val="0"/>
            </w:pPr>
            <w:r w:rsidRPr="00BC6A43">
              <w:t>info_belux@its.jnj.com</w:t>
            </w:r>
          </w:p>
          <w:p w14:paraId="109AE47A" w14:textId="77777777" w:rsidR="009B3384" w:rsidRPr="00BC6A43" w:rsidRDefault="009B3384">
            <w:pPr>
              <w:widowControl w:val="0"/>
              <w:suppressAutoHyphens w:val="0"/>
              <w:rPr>
                <w:szCs w:val="22"/>
              </w:rPr>
            </w:pPr>
          </w:p>
        </w:tc>
        <w:tc>
          <w:tcPr>
            <w:tcW w:w="4805" w:type="dxa"/>
          </w:tcPr>
          <w:p w14:paraId="109AE47B" w14:textId="77777777" w:rsidR="009B3384" w:rsidRDefault="00800862">
            <w:pPr>
              <w:widowControl w:val="0"/>
              <w:suppressAutoHyphens w:val="0"/>
              <w:rPr>
                <w:b/>
                <w:bCs/>
                <w:szCs w:val="22"/>
                <w:lang w:val="fi-FI"/>
              </w:rPr>
            </w:pPr>
            <w:r>
              <w:rPr>
                <w:b/>
                <w:bCs/>
                <w:szCs w:val="22"/>
                <w:lang w:val="fi-FI"/>
              </w:rPr>
              <w:t>Lietuva</w:t>
            </w:r>
          </w:p>
          <w:p w14:paraId="109AE47C" w14:textId="77777777" w:rsidR="009B3384" w:rsidRDefault="00800862">
            <w:pPr>
              <w:widowControl w:val="0"/>
              <w:suppressAutoHyphens w:val="0"/>
              <w:rPr>
                <w:szCs w:val="22"/>
                <w:lang w:val="fi-FI"/>
              </w:rPr>
            </w:pPr>
            <w:r>
              <w:rPr>
                <w:szCs w:val="22"/>
                <w:lang w:val="fi-FI"/>
              </w:rPr>
              <w:t>UAB "JOHNSON &amp; JOHNSON"</w:t>
            </w:r>
          </w:p>
          <w:p w14:paraId="109AE47D" w14:textId="77777777" w:rsidR="009B3384" w:rsidRDefault="00800862">
            <w:pPr>
              <w:widowControl w:val="0"/>
              <w:suppressAutoHyphens w:val="0"/>
              <w:rPr>
                <w:szCs w:val="22"/>
                <w:lang w:val="fi-FI"/>
              </w:rPr>
            </w:pPr>
            <w:r>
              <w:rPr>
                <w:szCs w:val="22"/>
                <w:lang w:val="fi-FI"/>
              </w:rPr>
              <w:t>Tel: +370 5 278 68 88</w:t>
            </w:r>
          </w:p>
          <w:p w14:paraId="109AE47E" w14:textId="77777777" w:rsidR="009B3384" w:rsidRDefault="00800862">
            <w:pPr>
              <w:widowControl w:val="0"/>
              <w:suppressAutoHyphens w:val="0"/>
              <w:rPr>
                <w:szCs w:val="22"/>
                <w:lang w:val="pt-PT"/>
              </w:rPr>
            </w:pPr>
            <w:r>
              <w:rPr>
                <w:szCs w:val="22"/>
                <w:lang w:val="en-GB"/>
              </w:rPr>
              <w:t>lt@its.jnj.com</w:t>
            </w:r>
          </w:p>
          <w:p w14:paraId="109AE47F" w14:textId="77777777" w:rsidR="009B3384" w:rsidRDefault="009B3384">
            <w:pPr>
              <w:widowControl w:val="0"/>
              <w:suppressAutoHyphens w:val="0"/>
              <w:rPr>
                <w:szCs w:val="22"/>
                <w:lang w:val="pt-PT"/>
              </w:rPr>
            </w:pPr>
          </w:p>
        </w:tc>
      </w:tr>
      <w:tr w:rsidR="009B3384" w14:paraId="109AE48C" w14:textId="77777777">
        <w:trPr>
          <w:cantSplit/>
          <w:jc w:val="center"/>
        </w:trPr>
        <w:tc>
          <w:tcPr>
            <w:tcW w:w="4270" w:type="dxa"/>
            <w:gridSpan w:val="2"/>
          </w:tcPr>
          <w:p w14:paraId="109AE481" w14:textId="77777777" w:rsidR="009B3384" w:rsidRDefault="00800862">
            <w:pPr>
              <w:widowControl w:val="0"/>
              <w:suppressAutoHyphens w:val="0"/>
              <w:rPr>
                <w:b/>
                <w:bCs/>
                <w:szCs w:val="22"/>
              </w:rPr>
            </w:pPr>
            <w:r>
              <w:rPr>
                <w:b/>
                <w:bCs/>
                <w:szCs w:val="22"/>
              </w:rPr>
              <w:t>България</w:t>
            </w:r>
          </w:p>
          <w:p w14:paraId="109AE482" w14:textId="77777777" w:rsidR="009B3384" w:rsidRDefault="00800862">
            <w:pPr>
              <w:widowControl w:val="0"/>
              <w:suppressAutoHyphens w:val="0"/>
              <w:rPr>
                <w:szCs w:val="22"/>
              </w:rPr>
            </w:pPr>
            <w:r>
              <w:rPr>
                <w:szCs w:val="22"/>
              </w:rPr>
              <w:t>„Джонсън &amp; Джонсън България” ЕООД</w:t>
            </w:r>
          </w:p>
          <w:p w14:paraId="109AE483" w14:textId="77777777" w:rsidR="009B3384" w:rsidRDefault="00800862">
            <w:pPr>
              <w:widowControl w:val="0"/>
              <w:suppressAutoHyphens w:val="0"/>
              <w:rPr>
                <w:szCs w:val="22"/>
              </w:rPr>
            </w:pPr>
            <w:r>
              <w:rPr>
                <w:szCs w:val="22"/>
              </w:rPr>
              <w:t>Тел.: +359 2 489 94 00</w:t>
            </w:r>
          </w:p>
          <w:p w14:paraId="109AE484" w14:textId="77777777" w:rsidR="009B3384" w:rsidRDefault="00800862">
            <w:pPr>
              <w:numPr>
                <w:ilvl w:val="12"/>
                <w:numId w:val="0"/>
              </w:numPr>
              <w:suppressAutoHyphens w:val="0"/>
              <w:rPr>
                <w:szCs w:val="22"/>
                <w:lang w:val="en-GB"/>
              </w:rPr>
            </w:pPr>
            <w:r>
              <w:rPr>
                <w:szCs w:val="22"/>
                <w:lang w:val="en-GB"/>
              </w:rPr>
              <w:t>jjsafety@its.jnj.com</w:t>
            </w:r>
          </w:p>
          <w:p w14:paraId="109AE485" w14:textId="77777777" w:rsidR="009B3384" w:rsidRDefault="009B3384">
            <w:pPr>
              <w:widowControl w:val="0"/>
              <w:suppressAutoHyphens w:val="0"/>
              <w:rPr>
                <w:szCs w:val="22"/>
                <w:lang w:val="en-GB"/>
              </w:rPr>
            </w:pPr>
          </w:p>
        </w:tc>
        <w:tc>
          <w:tcPr>
            <w:tcW w:w="4805" w:type="dxa"/>
            <w:hideMark/>
          </w:tcPr>
          <w:p w14:paraId="109AE486" w14:textId="77777777" w:rsidR="009B3384" w:rsidRDefault="00800862">
            <w:pPr>
              <w:widowControl w:val="0"/>
              <w:suppressAutoHyphens w:val="0"/>
              <w:rPr>
                <w:b/>
                <w:bCs/>
                <w:szCs w:val="22"/>
                <w:lang w:val="en-GB"/>
              </w:rPr>
            </w:pPr>
            <w:r>
              <w:rPr>
                <w:b/>
                <w:bCs/>
                <w:szCs w:val="22"/>
                <w:lang w:val="en-GB"/>
              </w:rPr>
              <w:t>Luxembourg/Luxemburg</w:t>
            </w:r>
          </w:p>
          <w:p w14:paraId="109AE487" w14:textId="77777777" w:rsidR="009B3384" w:rsidRDefault="00800862">
            <w:pPr>
              <w:widowControl w:val="0"/>
              <w:suppressAutoHyphens w:val="0"/>
              <w:rPr>
                <w:szCs w:val="22"/>
                <w:lang w:val="en-GB"/>
              </w:rPr>
            </w:pPr>
            <w:r>
              <w:rPr>
                <w:szCs w:val="22"/>
                <w:lang w:val="en-GB"/>
              </w:rPr>
              <w:t>Janssen-Cilag NV</w:t>
            </w:r>
          </w:p>
          <w:p w14:paraId="109AE488" w14:textId="130747C0" w:rsidR="009B3384" w:rsidRDefault="00800862">
            <w:pPr>
              <w:widowControl w:val="0"/>
              <w:suppressAutoHyphens w:val="0"/>
              <w:rPr>
                <w:szCs w:val="22"/>
                <w:lang w:val="en-GB"/>
              </w:rPr>
            </w:pPr>
            <w:proofErr w:type="spellStart"/>
            <w:r>
              <w:rPr>
                <w:szCs w:val="22"/>
                <w:lang w:val="en-GB"/>
              </w:rPr>
              <w:t>Tél</w:t>
            </w:r>
            <w:proofErr w:type="spellEnd"/>
            <w:r>
              <w:rPr>
                <w:szCs w:val="22"/>
                <w:lang w:val="en-GB"/>
              </w:rPr>
              <w:t xml:space="preserve">/Tel: </w:t>
            </w:r>
            <w:r>
              <w:rPr>
                <w:lang w:val="en-GB"/>
              </w:rPr>
              <w:t>800 29 504</w:t>
            </w:r>
          </w:p>
          <w:p w14:paraId="109AE48A" w14:textId="577EE25D" w:rsidR="009B3384" w:rsidRDefault="00800862">
            <w:pPr>
              <w:widowControl w:val="0"/>
              <w:suppressAutoHyphens w:val="0"/>
              <w:rPr>
                <w:szCs w:val="22"/>
                <w:lang w:val="en-GB"/>
              </w:rPr>
            </w:pPr>
            <w:r w:rsidRPr="00BC6A43">
              <w:rPr>
                <w:lang w:val="en-GB"/>
              </w:rPr>
              <w:t>info_belux@its.jnj.com</w:t>
            </w:r>
          </w:p>
          <w:p w14:paraId="109AE48B" w14:textId="77777777" w:rsidR="009B3384" w:rsidRDefault="009B3384">
            <w:pPr>
              <w:widowControl w:val="0"/>
              <w:suppressAutoHyphens w:val="0"/>
              <w:rPr>
                <w:szCs w:val="22"/>
                <w:lang w:val="en-GB"/>
              </w:rPr>
            </w:pPr>
          </w:p>
        </w:tc>
      </w:tr>
      <w:tr w:rsidR="009B3384" w14:paraId="109AE496" w14:textId="77777777">
        <w:trPr>
          <w:cantSplit/>
          <w:jc w:val="center"/>
        </w:trPr>
        <w:tc>
          <w:tcPr>
            <w:tcW w:w="4270" w:type="dxa"/>
            <w:gridSpan w:val="2"/>
            <w:hideMark/>
          </w:tcPr>
          <w:p w14:paraId="109AE48D" w14:textId="77777777" w:rsidR="009B3384" w:rsidRDefault="00800862">
            <w:pPr>
              <w:widowControl w:val="0"/>
              <w:suppressAutoHyphens w:val="0"/>
              <w:rPr>
                <w:b/>
                <w:bCs/>
                <w:szCs w:val="22"/>
              </w:rPr>
            </w:pPr>
            <w:r>
              <w:rPr>
                <w:b/>
                <w:bCs/>
                <w:szCs w:val="22"/>
              </w:rPr>
              <w:t>Č</w:t>
            </w:r>
            <w:proofErr w:type="spellStart"/>
            <w:r>
              <w:rPr>
                <w:b/>
                <w:bCs/>
                <w:szCs w:val="22"/>
                <w:lang w:val="en-GB"/>
              </w:rPr>
              <w:t>esk</w:t>
            </w:r>
            <w:proofErr w:type="spellEnd"/>
            <w:r>
              <w:rPr>
                <w:b/>
                <w:bCs/>
                <w:szCs w:val="22"/>
              </w:rPr>
              <w:t xml:space="preserve">á </w:t>
            </w:r>
            <w:proofErr w:type="spellStart"/>
            <w:r>
              <w:rPr>
                <w:b/>
                <w:bCs/>
                <w:szCs w:val="22"/>
                <w:lang w:val="en-GB"/>
              </w:rPr>
              <w:t>republika</w:t>
            </w:r>
            <w:proofErr w:type="spellEnd"/>
          </w:p>
          <w:p w14:paraId="109AE48E" w14:textId="77777777" w:rsidR="009B3384" w:rsidRDefault="00800862">
            <w:pPr>
              <w:widowControl w:val="0"/>
              <w:suppressAutoHyphens w:val="0"/>
              <w:rPr>
                <w:szCs w:val="22"/>
              </w:rPr>
            </w:pPr>
            <w:r>
              <w:rPr>
                <w:szCs w:val="22"/>
                <w:lang w:val="en-GB"/>
              </w:rPr>
              <w:t>Janssen</w:t>
            </w:r>
            <w:r>
              <w:rPr>
                <w:szCs w:val="22"/>
              </w:rPr>
              <w:t>-</w:t>
            </w:r>
            <w:r>
              <w:rPr>
                <w:szCs w:val="22"/>
                <w:lang w:val="en-GB"/>
              </w:rPr>
              <w:t>Cilag</w:t>
            </w:r>
            <w:r>
              <w:rPr>
                <w:szCs w:val="22"/>
              </w:rPr>
              <w:t xml:space="preserve"> </w:t>
            </w:r>
            <w:r>
              <w:rPr>
                <w:szCs w:val="22"/>
                <w:lang w:val="en-GB"/>
              </w:rPr>
              <w:t>s</w:t>
            </w:r>
            <w:r>
              <w:rPr>
                <w:szCs w:val="22"/>
              </w:rPr>
              <w:t>.</w:t>
            </w:r>
            <w:r>
              <w:rPr>
                <w:szCs w:val="22"/>
                <w:lang w:val="en-GB"/>
              </w:rPr>
              <w:t>r</w:t>
            </w:r>
            <w:r>
              <w:rPr>
                <w:szCs w:val="22"/>
              </w:rPr>
              <w:t>.</w:t>
            </w:r>
            <w:r>
              <w:rPr>
                <w:szCs w:val="22"/>
                <w:lang w:val="en-GB"/>
              </w:rPr>
              <w:t>o</w:t>
            </w:r>
            <w:r>
              <w:rPr>
                <w:szCs w:val="22"/>
              </w:rPr>
              <w:t>.</w:t>
            </w:r>
          </w:p>
          <w:p w14:paraId="109AE48F" w14:textId="77777777" w:rsidR="009B3384" w:rsidRDefault="00800862">
            <w:pPr>
              <w:widowControl w:val="0"/>
              <w:suppressAutoHyphens w:val="0"/>
              <w:rPr>
                <w:szCs w:val="22"/>
                <w:lang w:val="en-GB"/>
              </w:rPr>
            </w:pPr>
            <w:r>
              <w:rPr>
                <w:szCs w:val="22"/>
                <w:lang w:val="en-GB"/>
              </w:rPr>
              <w:t>Tel: +420 227 012 227</w:t>
            </w:r>
          </w:p>
          <w:p w14:paraId="109AE490" w14:textId="77777777" w:rsidR="009B3384" w:rsidRDefault="009B3384">
            <w:pPr>
              <w:widowControl w:val="0"/>
              <w:suppressAutoHyphens w:val="0"/>
              <w:rPr>
                <w:szCs w:val="22"/>
                <w:lang w:val="en-GB"/>
              </w:rPr>
            </w:pPr>
          </w:p>
        </w:tc>
        <w:tc>
          <w:tcPr>
            <w:tcW w:w="4805" w:type="dxa"/>
          </w:tcPr>
          <w:p w14:paraId="109AE491" w14:textId="77777777" w:rsidR="009B3384" w:rsidRDefault="00800862">
            <w:pPr>
              <w:widowControl w:val="0"/>
              <w:suppressAutoHyphens w:val="0"/>
              <w:rPr>
                <w:b/>
                <w:bCs/>
                <w:szCs w:val="22"/>
                <w:lang w:val="en-GB"/>
              </w:rPr>
            </w:pPr>
            <w:proofErr w:type="spellStart"/>
            <w:r>
              <w:rPr>
                <w:b/>
                <w:bCs/>
                <w:szCs w:val="22"/>
                <w:lang w:val="en-GB"/>
              </w:rPr>
              <w:t>Magyarország</w:t>
            </w:r>
            <w:proofErr w:type="spellEnd"/>
          </w:p>
          <w:p w14:paraId="109AE492" w14:textId="77777777" w:rsidR="009B3384" w:rsidRDefault="00800862">
            <w:pPr>
              <w:widowControl w:val="0"/>
              <w:suppressAutoHyphens w:val="0"/>
              <w:rPr>
                <w:szCs w:val="22"/>
                <w:lang w:val="en-GB"/>
              </w:rPr>
            </w:pPr>
            <w:r>
              <w:rPr>
                <w:szCs w:val="22"/>
                <w:lang w:val="en-GB"/>
              </w:rPr>
              <w:t>Janssen-Cilag Kft.</w:t>
            </w:r>
          </w:p>
          <w:p w14:paraId="109AE493" w14:textId="77777777" w:rsidR="009B3384" w:rsidRDefault="00800862">
            <w:pPr>
              <w:suppressAutoHyphens w:val="0"/>
              <w:autoSpaceDE w:val="0"/>
              <w:autoSpaceDN w:val="0"/>
              <w:adjustRightInd w:val="0"/>
              <w:rPr>
                <w:szCs w:val="22"/>
                <w:lang w:val="en-GB"/>
              </w:rPr>
            </w:pPr>
            <w:r>
              <w:rPr>
                <w:szCs w:val="22"/>
                <w:lang w:val="en-GB"/>
              </w:rPr>
              <w:t>Tel.: +36 1 884 2</w:t>
            </w:r>
            <w:r>
              <w:rPr>
                <w:bCs/>
                <w:szCs w:val="22"/>
                <w:lang w:val="en-GB"/>
              </w:rPr>
              <w:t>858</w:t>
            </w:r>
          </w:p>
          <w:p w14:paraId="109AE494" w14:textId="77777777" w:rsidR="009B3384" w:rsidRDefault="00800862">
            <w:pPr>
              <w:widowControl w:val="0"/>
              <w:suppressAutoHyphens w:val="0"/>
              <w:rPr>
                <w:szCs w:val="22"/>
                <w:lang w:val="en-GB"/>
              </w:rPr>
            </w:pPr>
            <w:r>
              <w:rPr>
                <w:szCs w:val="22"/>
                <w:lang w:val="en-GB"/>
              </w:rPr>
              <w:t>janssenhu@its.jnj.com</w:t>
            </w:r>
          </w:p>
          <w:p w14:paraId="109AE495" w14:textId="77777777" w:rsidR="009B3384" w:rsidRDefault="009B3384">
            <w:pPr>
              <w:widowControl w:val="0"/>
              <w:suppressAutoHyphens w:val="0"/>
              <w:rPr>
                <w:szCs w:val="22"/>
                <w:lang w:val="en-GB"/>
              </w:rPr>
            </w:pPr>
          </w:p>
        </w:tc>
      </w:tr>
      <w:tr w:rsidR="009B3384" w14:paraId="109AE4A0" w14:textId="77777777">
        <w:trPr>
          <w:cantSplit/>
          <w:jc w:val="center"/>
        </w:trPr>
        <w:tc>
          <w:tcPr>
            <w:tcW w:w="4270" w:type="dxa"/>
            <w:gridSpan w:val="2"/>
          </w:tcPr>
          <w:p w14:paraId="109AE497" w14:textId="77777777" w:rsidR="009B3384" w:rsidRDefault="00800862">
            <w:pPr>
              <w:widowControl w:val="0"/>
              <w:suppressAutoHyphens w:val="0"/>
              <w:rPr>
                <w:b/>
                <w:bCs/>
                <w:szCs w:val="22"/>
                <w:lang w:val="nb-NO"/>
              </w:rPr>
            </w:pPr>
            <w:r>
              <w:rPr>
                <w:b/>
                <w:bCs/>
                <w:szCs w:val="22"/>
                <w:lang w:val="nb-NO"/>
              </w:rPr>
              <w:t>Danmark</w:t>
            </w:r>
          </w:p>
          <w:p w14:paraId="109AE498" w14:textId="77777777" w:rsidR="009B3384" w:rsidRDefault="00800862">
            <w:pPr>
              <w:widowControl w:val="0"/>
              <w:suppressAutoHyphens w:val="0"/>
              <w:rPr>
                <w:szCs w:val="22"/>
                <w:lang w:val="nb-NO"/>
              </w:rPr>
            </w:pPr>
            <w:r>
              <w:rPr>
                <w:szCs w:val="22"/>
                <w:lang w:val="nb-NO"/>
              </w:rPr>
              <w:t>Janssen-Cilag A/S</w:t>
            </w:r>
          </w:p>
          <w:p w14:paraId="109AE499" w14:textId="77777777" w:rsidR="009B3384" w:rsidRDefault="00800862">
            <w:pPr>
              <w:widowControl w:val="0"/>
              <w:suppressAutoHyphens w:val="0"/>
              <w:rPr>
                <w:szCs w:val="22"/>
                <w:lang w:val="nl-NL"/>
              </w:rPr>
            </w:pPr>
            <w:r>
              <w:rPr>
                <w:szCs w:val="22"/>
                <w:lang w:val="nl-NL"/>
              </w:rPr>
              <w:t>Tlf.: +45 4594 8282</w:t>
            </w:r>
          </w:p>
          <w:p w14:paraId="109AE49A" w14:textId="77777777" w:rsidR="009B3384" w:rsidRDefault="00800862">
            <w:pPr>
              <w:widowControl w:val="0"/>
              <w:suppressAutoHyphens w:val="0"/>
              <w:rPr>
                <w:szCs w:val="22"/>
                <w:lang w:val="en-GB"/>
              </w:rPr>
            </w:pPr>
            <w:r>
              <w:rPr>
                <w:szCs w:val="22"/>
                <w:lang w:val="en-GB"/>
              </w:rPr>
              <w:t>jacdk@its.jnj.com</w:t>
            </w:r>
          </w:p>
          <w:p w14:paraId="109AE49B" w14:textId="77777777" w:rsidR="009B3384" w:rsidRDefault="009B3384">
            <w:pPr>
              <w:widowControl w:val="0"/>
              <w:suppressAutoHyphens w:val="0"/>
              <w:rPr>
                <w:szCs w:val="22"/>
                <w:lang w:val="en-GB"/>
              </w:rPr>
            </w:pPr>
          </w:p>
        </w:tc>
        <w:tc>
          <w:tcPr>
            <w:tcW w:w="4805" w:type="dxa"/>
            <w:hideMark/>
          </w:tcPr>
          <w:p w14:paraId="109AE49C" w14:textId="77777777" w:rsidR="009B3384" w:rsidRDefault="00800862">
            <w:pPr>
              <w:widowControl w:val="0"/>
              <w:suppressAutoHyphens w:val="0"/>
              <w:rPr>
                <w:b/>
                <w:bCs/>
                <w:szCs w:val="22"/>
                <w:lang w:val="de-DE"/>
              </w:rPr>
            </w:pPr>
            <w:r>
              <w:rPr>
                <w:b/>
                <w:bCs/>
                <w:szCs w:val="22"/>
                <w:lang w:val="de-DE"/>
              </w:rPr>
              <w:t>Malta</w:t>
            </w:r>
          </w:p>
          <w:p w14:paraId="109AE49D" w14:textId="77777777" w:rsidR="009B3384" w:rsidRDefault="00800862">
            <w:pPr>
              <w:widowControl w:val="0"/>
              <w:suppressAutoHyphens w:val="0"/>
              <w:rPr>
                <w:szCs w:val="22"/>
                <w:lang w:val="de-DE"/>
              </w:rPr>
            </w:pPr>
            <w:r>
              <w:rPr>
                <w:szCs w:val="22"/>
                <w:lang w:val="de-DE"/>
              </w:rPr>
              <w:t>AM MANGION LTD</w:t>
            </w:r>
          </w:p>
          <w:p w14:paraId="109AE49E" w14:textId="77777777" w:rsidR="009B3384" w:rsidRDefault="00800862">
            <w:pPr>
              <w:widowControl w:val="0"/>
              <w:suppressAutoHyphens w:val="0"/>
              <w:rPr>
                <w:szCs w:val="22"/>
                <w:lang w:val="de-DE"/>
              </w:rPr>
            </w:pPr>
            <w:r>
              <w:rPr>
                <w:szCs w:val="22"/>
                <w:lang w:val="de-DE"/>
              </w:rPr>
              <w:t>Tel: +356 2397 6000</w:t>
            </w:r>
          </w:p>
          <w:p w14:paraId="109AE49F" w14:textId="77777777" w:rsidR="009B3384" w:rsidRDefault="009B3384">
            <w:pPr>
              <w:widowControl w:val="0"/>
              <w:suppressAutoHyphens w:val="0"/>
              <w:rPr>
                <w:szCs w:val="22"/>
                <w:lang w:val="de-DE"/>
              </w:rPr>
            </w:pPr>
          </w:p>
        </w:tc>
      </w:tr>
      <w:tr w:rsidR="009B3384" w14:paraId="109AE4AC" w14:textId="77777777">
        <w:trPr>
          <w:cantSplit/>
          <w:jc w:val="center"/>
        </w:trPr>
        <w:tc>
          <w:tcPr>
            <w:tcW w:w="4270" w:type="dxa"/>
            <w:gridSpan w:val="2"/>
          </w:tcPr>
          <w:p w14:paraId="109AE4A1" w14:textId="77777777" w:rsidR="009B3384" w:rsidRDefault="00800862">
            <w:pPr>
              <w:widowControl w:val="0"/>
              <w:suppressAutoHyphens w:val="0"/>
              <w:rPr>
                <w:b/>
                <w:bCs/>
                <w:szCs w:val="22"/>
                <w:lang w:val="de-DE"/>
              </w:rPr>
            </w:pPr>
            <w:r>
              <w:rPr>
                <w:b/>
                <w:bCs/>
                <w:szCs w:val="22"/>
                <w:lang w:val="de-DE"/>
              </w:rPr>
              <w:t>Deutschland</w:t>
            </w:r>
          </w:p>
          <w:p w14:paraId="109AE4A2" w14:textId="77777777" w:rsidR="009B3384" w:rsidRDefault="00800862">
            <w:pPr>
              <w:widowControl w:val="0"/>
              <w:suppressAutoHyphens w:val="0"/>
              <w:rPr>
                <w:szCs w:val="22"/>
                <w:lang w:val="de-DE"/>
              </w:rPr>
            </w:pPr>
            <w:r>
              <w:rPr>
                <w:szCs w:val="22"/>
                <w:lang w:val="de-DE"/>
              </w:rPr>
              <w:t>Janssen-Cilag GmbH</w:t>
            </w:r>
          </w:p>
          <w:p w14:paraId="109AE4A3" w14:textId="77777777" w:rsidR="009B3384" w:rsidRDefault="00800862">
            <w:pPr>
              <w:widowControl w:val="0"/>
              <w:suppressAutoHyphens w:val="0"/>
              <w:rPr>
                <w:szCs w:val="22"/>
                <w:lang w:val="de-DE"/>
              </w:rPr>
            </w:pPr>
            <w:r>
              <w:rPr>
                <w:szCs w:val="22"/>
                <w:lang w:val="de-DE"/>
              </w:rPr>
              <w:t xml:space="preserve">Tel: </w:t>
            </w:r>
            <w:r>
              <w:rPr>
                <w:lang w:val="de-DE"/>
              </w:rPr>
              <w:t xml:space="preserve">0800 086 9247 / </w:t>
            </w:r>
            <w:r>
              <w:rPr>
                <w:szCs w:val="22"/>
                <w:lang w:val="de-DE"/>
              </w:rPr>
              <w:t>+49 2137 955 6955</w:t>
            </w:r>
          </w:p>
          <w:p w14:paraId="109AE4A4" w14:textId="6BBEFC54" w:rsidR="009B3384" w:rsidRPr="00BC6A43" w:rsidRDefault="00800862">
            <w:pPr>
              <w:widowControl w:val="0"/>
              <w:suppressAutoHyphens w:val="0"/>
              <w:rPr>
                <w:szCs w:val="22"/>
                <w:lang w:val="de-DE"/>
              </w:rPr>
            </w:pPr>
            <w:r w:rsidRPr="00BC6A43">
              <w:rPr>
                <w:lang w:val="de-DE"/>
              </w:rPr>
              <w:t>medinfo-de@its.jnj.com</w:t>
            </w:r>
          </w:p>
          <w:p w14:paraId="109AE4A5" w14:textId="77777777" w:rsidR="009B3384" w:rsidRPr="00BC6A43" w:rsidRDefault="009B3384">
            <w:pPr>
              <w:widowControl w:val="0"/>
              <w:suppressAutoHyphens w:val="0"/>
              <w:rPr>
                <w:szCs w:val="22"/>
                <w:lang w:val="de-DE"/>
              </w:rPr>
            </w:pPr>
          </w:p>
        </w:tc>
        <w:tc>
          <w:tcPr>
            <w:tcW w:w="4805" w:type="dxa"/>
            <w:hideMark/>
          </w:tcPr>
          <w:p w14:paraId="109AE4A6" w14:textId="77777777" w:rsidR="009B3384" w:rsidRDefault="00800862">
            <w:pPr>
              <w:widowControl w:val="0"/>
              <w:suppressAutoHyphens w:val="0"/>
              <w:rPr>
                <w:b/>
                <w:bCs/>
                <w:szCs w:val="22"/>
                <w:lang w:val="nl-BE"/>
              </w:rPr>
            </w:pPr>
            <w:r>
              <w:rPr>
                <w:b/>
                <w:bCs/>
                <w:szCs w:val="22"/>
                <w:lang w:val="nl-BE"/>
              </w:rPr>
              <w:t>Nederland</w:t>
            </w:r>
          </w:p>
          <w:p w14:paraId="109AE4A7" w14:textId="77777777" w:rsidR="009B3384" w:rsidRDefault="00800862">
            <w:pPr>
              <w:widowControl w:val="0"/>
              <w:suppressAutoHyphens w:val="0"/>
              <w:rPr>
                <w:szCs w:val="22"/>
                <w:lang w:val="nl-BE"/>
              </w:rPr>
            </w:pPr>
            <w:r>
              <w:rPr>
                <w:szCs w:val="22"/>
                <w:lang w:val="nl-BE"/>
              </w:rPr>
              <w:t>Janssen-Cilag B.V.</w:t>
            </w:r>
          </w:p>
          <w:p w14:paraId="109AE4A8" w14:textId="18E31409" w:rsidR="009B3384" w:rsidRPr="00BB130F" w:rsidRDefault="00800862">
            <w:pPr>
              <w:widowControl w:val="0"/>
              <w:suppressAutoHyphens w:val="0"/>
              <w:rPr>
                <w:szCs w:val="22"/>
                <w:lang w:val="de-DE"/>
              </w:rPr>
            </w:pPr>
            <w:r w:rsidRPr="00BB130F">
              <w:rPr>
                <w:szCs w:val="22"/>
                <w:lang w:val="de-DE"/>
              </w:rPr>
              <w:t xml:space="preserve">Tel: </w:t>
            </w:r>
            <w:r>
              <w:rPr>
                <w:lang w:val="de-DE"/>
              </w:rPr>
              <w:t>0800 242 42 42</w:t>
            </w:r>
          </w:p>
          <w:p w14:paraId="109AE4AA" w14:textId="77777777" w:rsidR="009B3384" w:rsidRPr="00BB130F" w:rsidRDefault="00800862">
            <w:pPr>
              <w:widowControl w:val="0"/>
              <w:suppressAutoHyphens w:val="0"/>
              <w:rPr>
                <w:szCs w:val="22"/>
                <w:lang w:val="de-DE"/>
              </w:rPr>
            </w:pPr>
            <w:r w:rsidRPr="00BB130F">
              <w:rPr>
                <w:szCs w:val="22"/>
                <w:lang w:val="de-DE"/>
              </w:rPr>
              <w:t>info_nl@its.jnj.com</w:t>
            </w:r>
          </w:p>
          <w:p w14:paraId="109AE4AB" w14:textId="77777777" w:rsidR="009B3384" w:rsidRPr="00BB130F" w:rsidRDefault="009B3384">
            <w:pPr>
              <w:widowControl w:val="0"/>
              <w:suppressAutoHyphens w:val="0"/>
              <w:rPr>
                <w:szCs w:val="22"/>
                <w:lang w:val="de-DE"/>
              </w:rPr>
            </w:pPr>
          </w:p>
        </w:tc>
      </w:tr>
      <w:tr w:rsidR="009B3384" w14:paraId="109AE4B7" w14:textId="77777777">
        <w:trPr>
          <w:cantSplit/>
          <w:jc w:val="center"/>
        </w:trPr>
        <w:tc>
          <w:tcPr>
            <w:tcW w:w="4270" w:type="dxa"/>
            <w:gridSpan w:val="2"/>
          </w:tcPr>
          <w:p w14:paraId="109AE4AD" w14:textId="77777777" w:rsidR="009B3384" w:rsidRDefault="00800862">
            <w:pPr>
              <w:widowControl w:val="0"/>
              <w:suppressAutoHyphens w:val="0"/>
              <w:rPr>
                <w:b/>
                <w:bCs/>
                <w:szCs w:val="22"/>
                <w:lang w:val="fi-FI"/>
              </w:rPr>
            </w:pPr>
            <w:r>
              <w:rPr>
                <w:b/>
                <w:bCs/>
                <w:szCs w:val="22"/>
                <w:lang w:val="fi-FI"/>
              </w:rPr>
              <w:t>Eesti</w:t>
            </w:r>
          </w:p>
          <w:p w14:paraId="109AE4AE" w14:textId="77777777" w:rsidR="009B3384" w:rsidRDefault="00800862">
            <w:pPr>
              <w:widowControl w:val="0"/>
              <w:suppressAutoHyphens w:val="0"/>
              <w:rPr>
                <w:szCs w:val="22"/>
                <w:lang w:val="fi-FI"/>
              </w:rPr>
            </w:pPr>
            <w:r>
              <w:rPr>
                <w:szCs w:val="22"/>
                <w:lang w:val="fi-FI"/>
              </w:rPr>
              <w:t>UAB "JOHNSON &amp; JOHNSON" Eesti filiaal</w:t>
            </w:r>
          </w:p>
          <w:p w14:paraId="109AE4AF" w14:textId="77777777" w:rsidR="009B3384" w:rsidRDefault="00800862">
            <w:pPr>
              <w:widowControl w:val="0"/>
              <w:suppressAutoHyphens w:val="0"/>
              <w:rPr>
                <w:szCs w:val="22"/>
                <w:lang w:val="fi-FI"/>
              </w:rPr>
            </w:pPr>
            <w:r>
              <w:rPr>
                <w:szCs w:val="22"/>
                <w:lang w:val="fi-FI"/>
              </w:rPr>
              <w:t>Tel: +372 617 7410</w:t>
            </w:r>
          </w:p>
          <w:p w14:paraId="109AE4B0" w14:textId="77777777" w:rsidR="009B3384" w:rsidRDefault="00800862">
            <w:pPr>
              <w:widowControl w:val="0"/>
              <w:suppressAutoHyphens w:val="0"/>
              <w:rPr>
                <w:szCs w:val="22"/>
                <w:lang w:val="fi-FI"/>
              </w:rPr>
            </w:pPr>
            <w:r>
              <w:rPr>
                <w:szCs w:val="22"/>
                <w:lang w:val="en-GB"/>
              </w:rPr>
              <w:t>ee@its.jnj.com</w:t>
            </w:r>
          </w:p>
          <w:p w14:paraId="109AE4B1" w14:textId="77777777" w:rsidR="009B3384" w:rsidRDefault="009B3384">
            <w:pPr>
              <w:widowControl w:val="0"/>
              <w:suppressAutoHyphens w:val="0"/>
              <w:rPr>
                <w:szCs w:val="22"/>
                <w:lang w:val="fi-FI"/>
              </w:rPr>
            </w:pPr>
          </w:p>
        </w:tc>
        <w:tc>
          <w:tcPr>
            <w:tcW w:w="4805" w:type="dxa"/>
            <w:hideMark/>
          </w:tcPr>
          <w:p w14:paraId="109AE4B2" w14:textId="77777777" w:rsidR="009B3384" w:rsidRDefault="00800862">
            <w:pPr>
              <w:widowControl w:val="0"/>
              <w:suppressAutoHyphens w:val="0"/>
              <w:rPr>
                <w:b/>
                <w:bCs/>
                <w:szCs w:val="22"/>
                <w:lang w:val="nn-NO"/>
              </w:rPr>
            </w:pPr>
            <w:r>
              <w:rPr>
                <w:b/>
                <w:bCs/>
                <w:szCs w:val="22"/>
                <w:lang w:val="nn-NO"/>
              </w:rPr>
              <w:t>Norge</w:t>
            </w:r>
          </w:p>
          <w:p w14:paraId="109AE4B3" w14:textId="77777777" w:rsidR="009B3384" w:rsidRDefault="00800862">
            <w:pPr>
              <w:widowControl w:val="0"/>
              <w:suppressAutoHyphens w:val="0"/>
              <w:rPr>
                <w:szCs w:val="22"/>
                <w:lang w:val="nn-NO"/>
              </w:rPr>
            </w:pPr>
            <w:r>
              <w:rPr>
                <w:szCs w:val="22"/>
                <w:lang w:val="nn-NO"/>
              </w:rPr>
              <w:t>Janssen-Cilag AS</w:t>
            </w:r>
          </w:p>
          <w:p w14:paraId="109AE4B4" w14:textId="77777777" w:rsidR="009B3384" w:rsidRDefault="00800862">
            <w:pPr>
              <w:widowControl w:val="0"/>
              <w:suppressAutoHyphens w:val="0"/>
              <w:rPr>
                <w:szCs w:val="22"/>
                <w:lang w:val="nb-NO"/>
              </w:rPr>
            </w:pPr>
            <w:r>
              <w:rPr>
                <w:szCs w:val="22"/>
                <w:lang w:val="nb-NO"/>
              </w:rPr>
              <w:t>Tlf: +47 24 12 65 00</w:t>
            </w:r>
          </w:p>
          <w:p w14:paraId="109AE4B5" w14:textId="77777777" w:rsidR="009B3384" w:rsidRDefault="00800862">
            <w:pPr>
              <w:widowControl w:val="0"/>
              <w:suppressAutoHyphens w:val="0"/>
              <w:rPr>
                <w:szCs w:val="22"/>
                <w:lang w:val="en-GB"/>
              </w:rPr>
            </w:pPr>
            <w:r>
              <w:rPr>
                <w:szCs w:val="22"/>
                <w:lang w:val="en-GB"/>
              </w:rPr>
              <w:t>jacno@its.jnj.com</w:t>
            </w:r>
          </w:p>
          <w:p w14:paraId="109AE4B6" w14:textId="77777777" w:rsidR="009B3384" w:rsidRDefault="009B3384">
            <w:pPr>
              <w:widowControl w:val="0"/>
              <w:suppressAutoHyphens w:val="0"/>
              <w:rPr>
                <w:szCs w:val="22"/>
                <w:lang w:val="en-GB"/>
              </w:rPr>
            </w:pPr>
          </w:p>
        </w:tc>
      </w:tr>
      <w:tr w:rsidR="009B3384" w14:paraId="109AE4C0" w14:textId="77777777">
        <w:trPr>
          <w:cantSplit/>
          <w:jc w:val="center"/>
        </w:trPr>
        <w:tc>
          <w:tcPr>
            <w:tcW w:w="4270" w:type="dxa"/>
            <w:gridSpan w:val="2"/>
          </w:tcPr>
          <w:p w14:paraId="109AE4B8" w14:textId="77777777" w:rsidR="009B3384" w:rsidRDefault="00800862">
            <w:pPr>
              <w:widowControl w:val="0"/>
              <w:suppressAutoHyphens w:val="0"/>
              <w:rPr>
                <w:b/>
                <w:bCs/>
                <w:szCs w:val="22"/>
                <w:lang w:val="el-GR"/>
              </w:rPr>
            </w:pPr>
            <w:r>
              <w:rPr>
                <w:b/>
                <w:bCs/>
                <w:szCs w:val="22"/>
                <w:lang w:val="el-GR"/>
              </w:rPr>
              <w:t>Ελλάδα</w:t>
            </w:r>
          </w:p>
          <w:p w14:paraId="109AE4B9"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Φαρμακευτική Μονοπρόσωπη Α.Ε.Β.Ε.</w:t>
            </w:r>
          </w:p>
          <w:p w14:paraId="109AE4BA" w14:textId="77777777" w:rsidR="009B3384" w:rsidRDefault="00800862">
            <w:pPr>
              <w:widowControl w:val="0"/>
              <w:suppressAutoHyphens w:val="0"/>
              <w:rPr>
                <w:szCs w:val="22"/>
                <w:lang w:val="el-GR"/>
              </w:rPr>
            </w:pPr>
            <w:r>
              <w:rPr>
                <w:szCs w:val="22"/>
                <w:lang w:val="en-GB"/>
              </w:rPr>
              <w:t>T</w:t>
            </w:r>
            <w:r>
              <w:rPr>
                <w:szCs w:val="22"/>
                <w:lang w:val="el-GR"/>
              </w:rPr>
              <w:t>ηλ: +30 210 80 90 000</w:t>
            </w:r>
          </w:p>
          <w:p w14:paraId="109AE4BB" w14:textId="77777777" w:rsidR="009B3384" w:rsidRDefault="009B3384">
            <w:pPr>
              <w:widowControl w:val="0"/>
              <w:suppressAutoHyphens w:val="0"/>
              <w:rPr>
                <w:szCs w:val="22"/>
                <w:lang w:val="el-GR"/>
              </w:rPr>
            </w:pPr>
          </w:p>
        </w:tc>
        <w:tc>
          <w:tcPr>
            <w:tcW w:w="4805" w:type="dxa"/>
            <w:hideMark/>
          </w:tcPr>
          <w:p w14:paraId="109AE4BC" w14:textId="77777777" w:rsidR="009B3384" w:rsidRDefault="00800862">
            <w:pPr>
              <w:widowControl w:val="0"/>
              <w:suppressAutoHyphens w:val="0"/>
              <w:rPr>
                <w:b/>
                <w:bCs/>
                <w:szCs w:val="22"/>
                <w:lang w:val="el-GR"/>
              </w:rPr>
            </w:pPr>
            <w:r>
              <w:rPr>
                <w:b/>
                <w:bCs/>
                <w:szCs w:val="22"/>
                <w:lang w:val="el-GR"/>
              </w:rPr>
              <w:t>Ö</w:t>
            </w:r>
            <w:r>
              <w:rPr>
                <w:b/>
                <w:bCs/>
                <w:szCs w:val="22"/>
                <w:lang w:val="de-DE"/>
              </w:rPr>
              <w:t>sterreich</w:t>
            </w:r>
          </w:p>
          <w:p w14:paraId="109AE4BD" w14:textId="77777777" w:rsidR="009B3384" w:rsidRDefault="00800862">
            <w:pPr>
              <w:widowControl w:val="0"/>
              <w:suppressAutoHyphens w:val="0"/>
              <w:rPr>
                <w:szCs w:val="22"/>
                <w:lang w:val="el-GR"/>
              </w:rPr>
            </w:pPr>
            <w:r>
              <w:rPr>
                <w:szCs w:val="22"/>
                <w:lang w:val="de-DE"/>
              </w:rPr>
              <w:t>Janssen</w:t>
            </w:r>
            <w:r>
              <w:rPr>
                <w:szCs w:val="22"/>
                <w:lang w:val="el-GR"/>
              </w:rPr>
              <w:t>-</w:t>
            </w:r>
            <w:r>
              <w:rPr>
                <w:szCs w:val="22"/>
                <w:lang w:val="de-DE"/>
              </w:rPr>
              <w:t>Cilag</w:t>
            </w:r>
            <w:r>
              <w:rPr>
                <w:szCs w:val="22"/>
                <w:lang w:val="el-GR"/>
              </w:rPr>
              <w:t xml:space="preserve"> </w:t>
            </w:r>
            <w:r>
              <w:rPr>
                <w:szCs w:val="22"/>
                <w:lang w:val="de-DE"/>
              </w:rPr>
              <w:t>Pharma</w:t>
            </w:r>
            <w:r>
              <w:rPr>
                <w:szCs w:val="22"/>
                <w:lang w:val="el-GR"/>
              </w:rPr>
              <w:t xml:space="preserve"> </w:t>
            </w:r>
            <w:r>
              <w:rPr>
                <w:szCs w:val="22"/>
                <w:lang w:val="de-DE"/>
              </w:rPr>
              <w:t>GmbH</w:t>
            </w:r>
          </w:p>
          <w:p w14:paraId="109AE4BE" w14:textId="222E74A5" w:rsidR="009B3384" w:rsidRPr="00BC6A43" w:rsidRDefault="00800862">
            <w:pPr>
              <w:widowControl w:val="0"/>
              <w:suppressAutoHyphens w:val="0"/>
              <w:rPr>
                <w:szCs w:val="22"/>
                <w:lang w:val="el-GR"/>
              </w:rPr>
            </w:pPr>
            <w:r>
              <w:rPr>
                <w:szCs w:val="22"/>
                <w:lang w:val="nl-NL"/>
              </w:rPr>
              <w:t>Tel</w:t>
            </w:r>
            <w:r>
              <w:rPr>
                <w:szCs w:val="22"/>
                <w:lang w:val="el-GR"/>
              </w:rPr>
              <w:t>: +43 1 610 300</w:t>
            </w:r>
          </w:p>
          <w:p w14:paraId="109AE4BF" w14:textId="77777777" w:rsidR="009B3384" w:rsidRDefault="009B3384">
            <w:pPr>
              <w:widowControl w:val="0"/>
              <w:suppressAutoHyphens w:val="0"/>
              <w:rPr>
                <w:szCs w:val="22"/>
                <w:lang w:val="el-GR"/>
              </w:rPr>
            </w:pPr>
          </w:p>
        </w:tc>
      </w:tr>
      <w:tr w:rsidR="009B3384" w14:paraId="109AE4CA" w14:textId="77777777">
        <w:trPr>
          <w:gridBefore w:val="1"/>
          <w:wBefore w:w="10" w:type="dxa"/>
          <w:cantSplit/>
          <w:jc w:val="center"/>
        </w:trPr>
        <w:tc>
          <w:tcPr>
            <w:tcW w:w="4260" w:type="dxa"/>
          </w:tcPr>
          <w:p w14:paraId="109AE4C1" w14:textId="77777777" w:rsidR="009B3384" w:rsidRDefault="00800862">
            <w:pPr>
              <w:widowControl w:val="0"/>
              <w:suppressAutoHyphens w:val="0"/>
              <w:rPr>
                <w:b/>
                <w:bCs/>
                <w:szCs w:val="22"/>
                <w:lang w:val="es-ES"/>
              </w:rPr>
            </w:pPr>
            <w:r>
              <w:rPr>
                <w:b/>
                <w:bCs/>
                <w:szCs w:val="22"/>
                <w:lang w:val="es-ES"/>
              </w:rPr>
              <w:lastRenderedPageBreak/>
              <w:t>España</w:t>
            </w:r>
          </w:p>
          <w:p w14:paraId="109AE4C2" w14:textId="77777777" w:rsidR="009B3384" w:rsidRDefault="00800862">
            <w:pPr>
              <w:widowControl w:val="0"/>
              <w:suppressAutoHyphens w:val="0"/>
              <w:rPr>
                <w:szCs w:val="22"/>
                <w:lang w:val="es-ES"/>
              </w:rPr>
            </w:pPr>
            <w:r>
              <w:rPr>
                <w:szCs w:val="22"/>
                <w:lang w:val="es-ES"/>
              </w:rPr>
              <w:t>Janssen-</w:t>
            </w:r>
            <w:proofErr w:type="spellStart"/>
            <w:r>
              <w:rPr>
                <w:szCs w:val="22"/>
                <w:lang w:val="es-ES"/>
              </w:rPr>
              <w:t>Cilag</w:t>
            </w:r>
            <w:proofErr w:type="spellEnd"/>
            <w:r>
              <w:rPr>
                <w:szCs w:val="22"/>
                <w:lang w:val="es-ES"/>
              </w:rPr>
              <w:t>, S.A.</w:t>
            </w:r>
          </w:p>
          <w:p w14:paraId="109AE4C3" w14:textId="77777777" w:rsidR="009B3384" w:rsidRDefault="00800862">
            <w:pPr>
              <w:widowControl w:val="0"/>
              <w:suppressAutoHyphens w:val="0"/>
              <w:rPr>
                <w:szCs w:val="22"/>
                <w:lang w:val="de-DE"/>
              </w:rPr>
            </w:pPr>
            <w:r>
              <w:rPr>
                <w:szCs w:val="22"/>
                <w:lang w:val="de-DE"/>
              </w:rPr>
              <w:t>Tel: +34 91 722 81 00</w:t>
            </w:r>
          </w:p>
          <w:p w14:paraId="109AE4C4" w14:textId="77777777" w:rsidR="009B3384" w:rsidRDefault="00800862">
            <w:pPr>
              <w:widowControl w:val="0"/>
              <w:suppressAutoHyphens w:val="0"/>
              <w:rPr>
                <w:szCs w:val="22"/>
                <w:lang w:val="de-DE"/>
              </w:rPr>
            </w:pPr>
            <w:r>
              <w:rPr>
                <w:szCs w:val="22"/>
                <w:lang w:val="de-DE"/>
              </w:rPr>
              <w:t>contacto@its.jnj.com</w:t>
            </w:r>
          </w:p>
          <w:p w14:paraId="109AE4C5" w14:textId="77777777" w:rsidR="009B3384" w:rsidRDefault="009B3384">
            <w:pPr>
              <w:widowControl w:val="0"/>
              <w:suppressAutoHyphens w:val="0"/>
              <w:rPr>
                <w:szCs w:val="22"/>
                <w:lang w:val="de-DE"/>
              </w:rPr>
            </w:pPr>
          </w:p>
        </w:tc>
        <w:tc>
          <w:tcPr>
            <w:tcW w:w="4805" w:type="dxa"/>
          </w:tcPr>
          <w:p w14:paraId="109AE4C6" w14:textId="77777777" w:rsidR="009B3384" w:rsidRDefault="00800862">
            <w:pPr>
              <w:widowControl w:val="0"/>
              <w:suppressAutoHyphens w:val="0"/>
              <w:rPr>
                <w:b/>
                <w:bCs/>
                <w:szCs w:val="22"/>
                <w:lang w:val="pl-PL"/>
              </w:rPr>
            </w:pPr>
            <w:r>
              <w:rPr>
                <w:b/>
                <w:bCs/>
                <w:szCs w:val="22"/>
                <w:lang w:val="pl-PL"/>
              </w:rPr>
              <w:t>Polska</w:t>
            </w:r>
          </w:p>
          <w:p w14:paraId="109AE4C7" w14:textId="77777777" w:rsidR="009B3384" w:rsidRDefault="00800862">
            <w:pPr>
              <w:widowControl w:val="0"/>
              <w:suppressAutoHyphens w:val="0"/>
              <w:rPr>
                <w:szCs w:val="22"/>
                <w:lang w:val="pl-PL"/>
              </w:rPr>
            </w:pPr>
            <w:r>
              <w:rPr>
                <w:szCs w:val="22"/>
                <w:lang w:val="pl-PL"/>
              </w:rPr>
              <w:t>Janssen-Cilag Polska Sp. z o.o.</w:t>
            </w:r>
          </w:p>
          <w:p w14:paraId="109AE4C8" w14:textId="77777777" w:rsidR="009B3384" w:rsidRDefault="00800862">
            <w:pPr>
              <w:widowControl w:val="0"/>
              <w:suppressAutoHyphens w:val="0"/>
              <w:rPr>
                <w:szCs w:val="22"/>
                <w:lang w:val="pl-PL"/>
              </w:rPr>
            </w:pPr>
            <w:r>
              <w:rPr>
                <w:szCs w:val="22"/>
                <w:lang w:val="pl-PL"/>
              </w:rPr>
              <w:t>Tel.: +48 22 237 60 00</w:t>
            </w:r>
          </w:p>
          <w:p w14:paraId="109AE4C9" w14:textId="77777777" w:rsidR="009B3384" w:rsidRDefault="009B3384">
            <w:pPr>
              <w:widowControl w:val="0"/>
              <w:suppressAutoHyphens w:val="0"/>
              <w:rPr>
                <w:szCs w:val="22"/>
                <w:lang w:val="pl-PL"/>
              </w:rPr>
            </w:pPr>
          </w:p>
        </w:tc>
      </w:tr>
      <w:tr w:rsidR="009B3384" w14:paraId="109AE4D4" w14:textId="77777777">
        <w:trPr>
          <w:gridBefore w:val="1"/>
          <w:wBefore w:w="10" w:type="dxa"/>
          <w:cantSplit/>
          <w:jc w:val="center"/>
        </w:trPr>
        <w:tc>
          <w:tcPr>
            <w:tcW w:w="4260" w:type="dxa"/>
          </w:tcPr>
          <w:p w14:paraId="109AE4CB" w14:textId="77777777" w:rsidR="009B3384" w:rsidRDefault="00800862">
            <w:pPr>
              <w:widowControl w:val="0"/>
              <w:suppressAutoHyphens w:val="0"/>
              <w:rPr>
                <w:b/>
                <w:bCs/>
                <w:szCs w:val="22"/>
                <w:lang w:val="fr-BE"/>
              </w:rPr>
            </w:pPr>
            <w:r>
              <w:rPr>
                <w:b/>
                <w:bCs/>
                <w:szCs w:val="22"/>
                <w:lang w:val="fr-BE"/>
              </w:rPr>
              <w:t>France</w:t>
            </w:r>
          </w:p>
          <w:p w14:paraId="109AE4CC" w14:textId="77777777" w:rsidR="009B3384" w:rsidRDefault="00800862">
            <w:pPr>
              <w:widowControl w:val="0"/>
              <w:suppressAutoHyphens w:val="0"/>
              <w:rPr>
                <w:szCs w:val="22"/>
                <w:lang w:val="fr-BE"/>
              </w:rPr>
            </w:pPr>
            <w:r>
              <w:rPr>
                <w:szCs w:val="22"/>
                <w:lang w:val="fr-FR"/>
              </w:rPr>
              <w:t>Janssen-Cilag</w:t>
            </w:r>
          </w:p>
          <w:p w14:paraId="109AE4CD" w14:textId="77777777" w:rsidR="009B3384" w:rsidRDefault="00800862">
            <w:pPr>
              <w:widowControl w:val="0"/>
              <w:suppressAutoHyphens w:val="0"/>
              <w:rPr>
                <w:szCs w:val="22"/>
                <w:lang w:val="fr-FR"/>
              </w:rPr>
            </w:pPr>
            <w:proofErr w:type="gramStart"/>
            <w:r>
              <w:rPr>
                <w:szCs w:val="22"/>
                <w:lang w:val="fr-FR"/>
              </w:rPr>
              <w:t>Tél:</w:t>
            </w:r>
            <w:proofErr w:type="gramEnd"/>
            <w:r>
              <w:rPr>
                <w:szCs w:val="22"/>
                <w:lang w:val="fr-FR"/>
              </w:rPr>
              <w:t xml:space="preserve"> 0 800 25 50 75 / +33 1 55 00 40 03</w:t>
            </w:r>
          </w:p>
          <w:p w14:paraId="109AE4CE" w14:textId="77777777" w:rsidR="009B3384" w:rsidRDefault="00800862">
            <w:pPr>
              <w:widowControl w:val="0"/>
              <w:suppressAutoHyphens w:val="0"/>
              <w:rPr>
                <w:szCs w:val="22"/>
                <w:lang w:val="fr-FR"/>
              </w:rPr>
            </w:pPr>
            <w:r>
              <w:rPr>
                <w:szCs w:val="22"/>
                <w:lang w:val="fr-FR"/>
              </w:rPr>
              <w:t>medisource@its.jnj.com</w:t>
            </w:r>
          </w:p>
          <w:p w14:paraId="109AE4CF" w14:textId="77777777" w:rsidR="009B3384" w:rsidRDefault="009B3384">
            <w:pPr>
              <w:widowControl w:val="0"/>
              <w:suppressAutoHyphens w:val="0"/>
              <w:rPr>
                <w:szCs w:val="22"/>
                <w:lang w:val="fr-FR"/>
              </w:rPr>
            </w:pPr>
          </w:p>
        </w:tc>
        <w:tc>
          <w:tcPr>
            <w:tcW w:w="4805" w:type="dxa"/>
            <w:hideMark/>
          </w:tcPr>
          <w:p w14:paraId="109AE4D0" w14:textId="77777777" w:rsidR="009B3384" w:rsidRDefault="00800862">
            <w:pPr>
              <w:widowControl w:val="0"/>
              <w:suppressAutoHyphens w:val="0"/>
              <w:rPr>
                <w:b/>
                <w:bCs/>
                <w:szCs w:val="22"/>
                <w:lang w:val="pt-PT"/>
              </w:rPr>
            </w:pPr>
            <w:r>
              <w:rPr>
                <w:b/>
                <w:bCs/>
                <w:szCs w:val="22"/>
                <w:lang w:val="pt-PT"/>
              </w:rPr>
              <w:t>Portugal</w:t>
            </w:r>
          </w:p>
          <w:p w14:paraId="109AE4D1" w14:textId="77777777" w:rsidR="009B3384" w:rsidRDefault="00800862">
            <w:pPr>
              <w:widowControl w:val="0"/>
              <w:suppressAutoHyphens w:val="0"/>
              <w:rPr>
                <w:szCs w:val="22"/>
                <w:lang w:val="pt-PT"/>
              </w:rPr>
            </w:pPr>
            <w:r>
              <w:rPr>
                <w:szCs w:val="22"/>
                <w:lang w:val="pt-PT"/>
              </w:rPr>
              <w:t>Janssen-Cilag Farmacêutica, Lda.</w:t>
            </w:r>
          </w:p>
          <w:p w14:paraId="109AE4D2" w14:textId="77777777" w:rsidR="009B3384" w:rsidRDefault="00800862">
            <w:pPr>
              <w:widowControl w:val="0"/>
              <w:suppressAutoHyphens w:val="0"/>
              <w:rPr>
                <w:szCs w:val="22"/>
                <w:lang w:val="en-GB"/>
              </w:rPr>
            </w:pPr>
            <w:r>
              <w:rPr>
                <w:szCs w:val="22"/>
                <w:lang w:val="en-GB"/>
              </w:rPr>
              <w:t>Tel: +351 214 368 600</w:t>
            </w:r>
          </w:p>
          <w:p w14:paraId="109AE4D3" w14:textId="77777777" w:rsidR="009B3384" w:rsidRDefault="009B3384">
            <w:pPr>
              <w:widowControl w:val="0"/>
              <w:suppressAutoHyphens w:val="0"/>
              <w:rPr>
                <w:szCs w:val="22"/>
                <w:lang w:val="en-GB"/>
              </w:rPr>
            </w:pPr>
          </w:p>
        </w:tc>
      </w:tr>
      <w:tr w:rsidR="009B3384" w14:paraId="109AE4DE" w14:textId="77777777">
        <w:trPr>
          <w:gridBefore w:val="1"/>
          <w:wBefore w:w="10" w:type="dxa"/>
          <w:cantSplit/>
          <w:jc w:val="center"/>
        </w:trPr>
        <w:tc>
          <w:tcPr>
            <w:tcW w:w="4260" w:type="dxa"/>
          </w:tcPr>
          <w:p w14:paraId="109AE4D5" w14:textId="77777777" w:rsidR="009B3384" w:rsidRDefault="00800862">
            <w:pPr>
              <w:suppressAutoHyphens w:val="0"/>
              <w:rPr>
                <w:szCs w:val="22"/>
              </w:rPr>
            </w:pPr>
            <w:r>
              <w:rPr>
                <w:b/>
                <w:szCs w:val="22"/>
                <w:lang w:val="en-GB"/>
              </w:rPr>
              <w:t>Hrvatska</w:t>
            </w:r>
          </w:p>
          <w:p w14:paraId="109AE4D6" w14:textId="77777777" w:rsidR="009B3384" w:rsidRDefault="00800862">
            <w:pPr>
              <w:suppressAutoHyphens w:val="0"/>
              <w:rPr>
                <w:szCs w:val="22"/>
              </w:rPr>
            </w:pPr>
            <w:r>
              <w:rPr>
                <w:szCs w:val="22"/>
                <w:lang w:val="en-GB"/>
              </w:rPr>
              <w:t>Johnson</w:t>
            </w:r>
            <w:r>
              <w:rPr>
                <w:szCs w:val="22"/>
              </w:rPr>
              <w:t xml:space="preserve"> &amp; </w:t>
            </w:r>
            <w:r>
              <w:rPr>
                <w:szCs w:val="22"/>
                <w:lang w:val="en-GB"/>
              </w:rPr>
              <w:t>Johnson</w:t>
            </w:r>
            <w:r>
              <w:rPr>
                <w:szCs w:val="22"/>
              </w:rPr>
              <w:t xml:space="preserve"> </w:t>
            </w:r>
            <w:r>
              <w:rPr>
                <w:szCs w:val="22"/>
                <w:lang w:val="en-GB"/>
              </w:rPr>
              <w:t>S</w:t>
            </w:r>
            <w:r>
              <w:rPr>
                <w:szCs w:val="22"/>
              </w:rPr>
              <w:t>.</w:t>
            </w:r>
            <w:r>
              <w:rPr>
                <w:szCs w:val="22"/>
                <w:lang w:val="en-GB"/>
              </w:rPr>
              <w:t>E</w:t>
            </w:r>
            <w:r>
              <w:rPr>
                <w:szCs w:val="22"/>
              </w:rPr>
              <w:t xml:space="preserve">. </w:t>
            </w:r>
            <w:r>
              <w:rPr>
                <w:szCs w:val="22"/>
                <w:lang w:val="en-GB"/>
              </w:rPr>
              <w:t>d</w:t>
            </w:r>
            <w:r>
              <w:rPr>
                <w:szCs w:val="22"/>
              </w:rPr>
              <w:t>.</w:t>
            </w:r>
            <w:r>
              <w:rPr>
                <w:szCs w:val="22"/>
                <w:lang w:val="en-GB"/>
              </w:rPr>
              <w:t>o</w:t>
            </w:r>
            <w:r>
              <w:rPr>
                <w:szCs w:val="22"/>
              </w:rPr>
              <w:t>.</w:t>
            </w:r>
            <w:r>
              <w:rPr>
                <w:szCs w:val="22"/>
                <w:lang w:val="en-GB"/>
              </w:rPr>
              <w:t>o</w:t>
            </w:r>
            <w:r>
              <w:rPr>
                <w:szCs w:val="22"/>
              </w:rPr>
              <w:t>.</w:t>
            </w:r>
          </w:p>
          <w:p w14:paraId="109AE4D7" w14:textId="77777777" w:rsidR="009B3384" w:rsidRDefault="00800862">
            <w:pPr>
              <w:widowControl w:val="0"/>
              <w:suppressAutoHyphens w:val="0"/>
              <w:rPr>
                <w:szCs w:val="22"/>
                <w:lang w:val="en-GB"/>
              </w:rPr>
            </w:pPr>
            <w:r>
              <w:rPr>
                <w:szCs w:val="22"/>
                <w:lang w:val="en-GB"/>
              </w:rPr>
              <w:t>Tel: +385 1 6610 700</w:t>
            </w:r>
          </w:p>
          <w:p w14:paraId="109AE4D8" w14:textId="77777777" w:rsidR="009B3384" w:rsidRDefault="00800862">
            <w:pPr>
              <w:widowControl w:val="0"/>
              <w:suppressAutoHyphens w:val="0"/>
              <w:rPr>
                <w:szCs w:val="22"/>
                <w:lang w:val="en-GB"/>
              </w:rPr>
            </w:pPr>
            <w:r>
              <w:rPr>
                <w:szCs w:val="22"/>
                <w:lang w:val="en-GB"/>
              </w:rPr>
              <w:t>jjsafety@JNJCR.JNJ.com</w:t>
            </w:r>
          </w:p>
          <w:p w14:paraId="109AE4D9" w14:textId="77777777" w:rsidR="009B3384" w:rsidRDefault="009B3384">
            <w:pPr>
              <w:widowControl w:val="0"/>
              <w:suppressAutoHyphens w:val="0"/>
              <w:rPr>
                <w:szCs w:val="22"/>
                <w:lang w:val="en-GB"/>
              </w:rPr>
            </w:pPr>
          </w:p>
        </w:tc>
        <w:tc>
          <w:tcPr>
            <w:tcW w:w="4805" w:type="dxa"/>
          </w:tcPr>
          <w:p w14:paraId="109AE4DA" w14:textId="77777777" w:rsidR="009B3384" w:rsidRDefault="00800862">
            <w:pPr>
              <w:widowControl w:val="0"/>
              <w:suppressAutoHyphens w:val="0"/>
              <w:rPr>
                <w:b/>
                <w:bCs/>
                <w:szCs w:val="22"/>
                <w:lang w:val="en-GB"/>
              </w:rPr>
            </w:pPr>
            <w:proofErr w:type="spellStart"/>
            <w:r>
              <w:rPr>
                <w:b/>
                <w:bCs/>
                <w:szCs w:val="22"/>
                <w:lang w:val="en-GB"/>
              </w:rPr>
              <w:t>România</w:t>
            </w:r>
            <w:proofErr w:type="spellEnd"/>
          </w:p>
          <w:p w14:paraId="109AE4DB" w14:textId="77777777" w:rsidR="009B3384" w:rsidRDefault="00800862">
            <w:pPr>
              <w:widowControl w:val="0"/>
              <w:suppressAutoHyphens w:val="0"/>
              <w:rPr>
                <w:szCs w:val="22"/>
                <w:lang w:val="en-GB"/>
              </w:rPr>
            </w:pPr>
            <w:r>
              <w:rPr>
                <w:szCs w:val="22"/>
                <w:lang w:val="en-GB"/>
              </w:rPr>
              <w:t xml:space="preserve">Johnson &amp; Johnson </w:t>
            </w:r>
            <w:proofErr w:type="spellStart"/>
            <w:r>
              <w:rPr>
                <w:szCs w:val="22"/>
                <w:lang w:val="en-GB"/>
              </w:rPr>
              <w:t>Rom</w:t>
            </w:r>
            <w:r>
              <w:rPr>
                <w:bCs/>
                <w:szCs w:val="22"/>
                <w:lang w:val="en-GB"/>
              </w:rPr>
              <w:t>â</w:t>
            </w:r>
            <w:r>
              <w:rPr>
                <w:szCs w:val="22"/>
                <w:lang w:val="en-GB"/>
              </w:rPr>
              <w:t>nia</w:t>
            </w:r>
            <w:proofErr w:type="spellEnd"/>
            <w:r>
              <w:rPr>
                <w:szCs w:val="22"/>
                <w:lang w:val="en-GB"/>
              </w:rPr>
              <w:t xml:space="preserve"> SRL</w:t>
            </w:r>
          </w:p>
          <w:p w14:paraId="109AE4DC" w14:textId="77777777" w:rsidR="009B3384" w:rsidRDefault="00800862">
            <w:pPr>
              <w:widowControl w:val="0"/>
              <w:suppressAutoHyphens w:val="0"/>
              <w:rPr>
                <w:szCs w:val="22"/>
                <w:lang w:val="en-GB"/>
              </w:rPr>
            </w:pPr>
            <w:r>
              <w:rPr>
                <w:szCs w:val="22"/>
                <w:lang w:val="en-GB"/>
              </w:rPr>
              <w:t>Tel: +40 21 207 1800</w:t>
            </w:r>
          </w:p>
          <w:p w14:paraId="109AE4DD" w14:textId="77777777" w:rsidR="009B3384" w:rsidRDefault="009B3384">
            <w:pPr>
              <w:widowControl w:val="0"/>
              <w:suppressAutoHyphens w:val="0"/>
              <w:rPr>
                <w:szCs w:val="22"/>
                <w:lang w:val="en-GB"/>
              </w:rPr>
            </w:pPr>
          </w:p>
        </w:tc>
      </w:tr>
      <w:tr w:rsidR="009B3384" w14:paraId="109AE4EA" w14:textId="77777777">
        <w:trPr>
          <w:gridBefore w:val="1"/>
          <w:wBefore w:w="10" w:type="dxa"/>
          <w:cantSplit/>
          <w:jc w:val="center"/>
        </w:trPr>
        <w:tc>
          <w:tcPr>
            <w:tcW w:w="4260" w:type="dxa"/>
          </w:tcPr>
          <w:p w14:paraId="109AE4DF" w14:textId="77777777" w:rsidR="009B3384" w:rsidRDefault="00800862">
            <w:pPr>
              <w:widowControl w:val="0"/>
              <w:suppressAutoHyphens w:val="0"/>
              <w:rPr>
                <w:b/>
                <w:bCs/>
                <w:szCs w:val="22"/>
                <w:lang w:val="fr-FR"/>
              </w:rPr>
            </w:pPr>
            <w:r>
              <w:rPr>
                <w:b/>
                <w:bCs/>
                <w:szCs w:val="22"/>
                <w:lang w:val="fr-FR"/>
              </w:rPr>
              <w:t>Ireland</w:t>
            </w:r>
          </w:p>
          <w:p w14:paraId="109AE4E0" w14:textId="77777777" w:rsidR="009B3384" w:rsidRDefault="00800862">
            <w:pPr>
              <w:widowControl w:val="0"/>
              <w:suppressAutoHyphens w:val="0"/>
              <w:rPr>
                <w:szCs w:val="22"/>
                <w:lang w:val="fr-FR"/>
              </w:rPr>
            </w:pPr>
            <w:r>
              <w:rPr>
                <w:szCs w:val="22"/>
                <w:lang w:val="fr-FR"/>
              </w:rPr>
              <w:t>Janssen Sciences Ireland UC</w:t>
            </w:r>
          </w:p>
          <w:p w14:paraId="109AE4E1" w14:textId="77777777" w:rsidR="009B3384" w:rsidRDefault="00800862">
            <w:pPr>
              <w:widowControl w:val="0"/>
              <w:suppressAutoHyphens w:val="0"/>
              <w:rPr>
                <w:szCs w:val="22"/>
                <w:lang w:val="fr-FR"/>
              </w:rPr>
            </w:pPr>
            <w:proofErr w:type="gramStart"/>
            <w:r>
              <w:rPr>
                <w:szCs w:val="22"/>
                <w:lang w:val="fr-FR"/>
              </w:rPr>
              <w:t>Tel:</w:t>
            </w:r>
            <w:proofErr w:type="gramEnd"/>
            <w:r>
              <w:rPr>
                <w:szCs w:val="22"/>
                <w:lang w:val="fr-FR"/>
              </w:rPr>
              <w:t xml:space="preserve"> 1 800 709 122</w:t>
            </w:r>
          </w:p>
          <w:p w14:paraId="109AE4E2" w14:textId="77777777" w:rsidR="009B3384" w:rsidRPr="00BC6A43" w:rsidRDefault="00800862">
            <w:pPr>
              <w:widowControl w:val="0"/>
              <w:suppressAutoHyphens w:val="0"/>
              <w:rPr>
                <w:szCs w:val="22"/>
                <w:lang w:val="fr-BE"/>
              </w:rPr>
            </w:pPr>
            <w:r w:rsidRPr="00BC6A43">
              <w:t>medinfo@its.jnj.com</w:t>
            </w:r>
          </w:p>
          <w:p w14:paraId="109AE4E3" w14:textId="77777777" w:rsidR="009B3384" w:rsidRDefault="009B3384">
            <w:pPr>
              <w:widowControl w:val="0"/>
              <w:suppressAutoHyphens w:val="0"/>
              <w:rPr>
                <w:szCs w:val="22"/>
                <w:lang w:val="fr-FR"/>
              </w:rPr>
            </w:pPr>
          </w:p>
        </w:tc>
        <w:tc>
          <w:tcPr>
            <w:tcW w:w="4805" w:type="dxa"/>
          </w:tcPr>
          <w:p w14:paraId="109AE4E4" w14:textId="77777777" w:rsidR="009B3384" w:rsidRDefault="00800862">
            <w:pPr>
              <w:widowControl w:val="0"/>
              <w:suppressAutoHyphens w:val="0"/>
              <w:rPr>
                <w:b/>
                <w:bCs/>
                <w:szCs w:val="22"/>
                <w:lang w:val="fr-FR"/>
              </w:rPr>
            </w:pPr>
            <w:r>
              <w:rPr>
                <w:b/>
                <w:bCs/>
                <w:szCs w:val="22"/>
                <w:lang w:val="fr-FR"/>
              </w:rPr>
              <w:t>Slovenija</w:t>
            </w:r>
          </w:p>
          <w:p w14:paraId="109AE4E5" w14:textId="77777777" w:rsidR="009B3384" w:rsidRDefault="00800862">
            <w:pPr>
              <w:widowControl w:val="0"/>
              <w:suppressAutoHyphens w:val="0"/>
              <w:rPr>
                <w:szCs w:val="22"/>
                <w:lang w:val="fr-FR"/>
              </w:rPr>
            </w:pPr>
            <w:r>
              <w:rPr>
                <w:szCs w:val="22"/>
                <w:lang w:val="fr-FR"/>
              </w:rPr>
              <w:t xml:space="preserve">Johnson &amp; Johnson </w:t>
            </w:r>
            <w:proofErr w:type="spellStart"/>
            <w:r>
              <w:rPr>
                <w:szCs w:val="22"/>
                <w:lang w:val="fr-FR"/>
              </w:rPr>
              <w:t>d.o.o</w:t>
            </w:r>
            <w:proofErr w:type="spellEnd"/>
            <w:r>
              <w:rPr>
                <w:szCs w:val="22"/>
                <w:lang w:val="fr-FR"/>
              </w:rPr>
              <w:t>.</w:t>
            </w:r>
          </w:p>
          <w:p w14:paraId="109AE4E6" w14:textId="77777777" w:rsidR="009B3384" w:rsidRDefault="00800862">
            <w:pPr>
              <w:widowControl w:val="0"/>
              <w:suppressAutoHyphens w:val="0"/>
              <w:rPr>
                <w:szCs w:val="22"/>
                <w:lang w:val="de-DE"/>
              </w:rPr>
            </w:pPr>
            <w:r>
              <w:rPr>
                <w:szCs w:val="22"/>
                <w:lang w:val="de-DE"/>
              </w:rPr>
              <w:t>Tel: +386 1 401 18 00</w:t>
            </w:r>
          </w:p>
          <w:p w14:paraId="109AE4E8" w14:textId="37E31ACC" w:rsidR="009B3384" w:rsidRDefault="00800862" w:rsidP="00BC6A43">
            <w:pPr>
              <w:widowControl w:val="0"/>
              <w:rPr>
                <w:szCs w:val="22"/>
                <w:lang w:val="de-DE"/>
              </w:rPr>
            </w:pPr>
            <w:r>
              <w:rPr>
                <w:lang w:val="de-CH"/>
              </w:rPr>
              <w:t>JNJ-SI-safety@its.jnj.com</w:t>
            </w:r>
          </w:p>
          <w:p w14:paraId="109AE4E9" w14:textId="77777777" w:rsidR="009B3384" w:rsidRDefault="009B3384">
            <w:pPr>
              <w:widowControl w:val="0"/>
              <w:suppressAutoHyphens w:val="0"/>
              <w:rPr>
                <w:szCs w:val="22"/>
                <w:lang w:val="de-DE"/>
              </w:rPr>
            </w:pPr>
          </w:p>
        </w:tc>
      </w:tr>
      <w:tr w:rsidR="009B3384" w14:paraId="109AE4F5" w14:textId="77777777">
        <w:trPr>
          <w:gridBefore w:val="1"/>
          <w:wBefore w:w="10" w:type="dxa"/>
          <w:cantSplit/>
          <w:jc w:val="center"/>
        </w:trPr>
        <w:tc>
          <w:tcPr>
            <w:tcW w:w="4260" w:type="dxa"/>
            <w:hideMark/>
          </w:tcPr>
          <w:p w14:paraId="109AE4EB" w14:textId="77777777" w:rsidR="009B3384" w:rsidRDefault="00800862">
            <w:pPr>
              <w:widowControl w:val="0"/>
              <w:suppressAutoHyphens w:val="0"/>
              <w:rPr>
                <w:b/>
                <w:bCs/>
                <w:szCs w:val="22"/>
              </w:rPr>
            </w:pPr>
            <w:r>
              <w:rPr>
                <w:b/>
                <w:bCs/>
                <w:szCs w:val="22"/>
              </w:rPr>
              <w:t>Í</w:t>
            </w:r>
            <w:r>
              <w:rPr>
                <w:b/>
                <w:bCs/>
                <w:szCs w:val="22"/>
                <w:lang w:val="de-DE"/>
              </w:rPr>
              <w:t>sland</w:t>
            </w:r>
          </w:p>
          <w:p w14:paraId="109AE4EC" w14:textId="77777777" w:rsidR="009B3384" w:rsidRDefault="00800862">
            <w:pPr>
              <w:widowControl w:val="0"/>
              <w:suppressAutoHyphens w:val="0"/>
              <w:rPr>
                <w:szCs w:val="22"/>
              </w:rPr>
            </w:pPr>
            <w:r>
              <w:rPr>
                <w:szCs w:val="22"/>
                <w:lang w:val="de-DE"/>
              </w:rPr>
              <w:t>Janssen</w:t>
            </w:r>
            <w:r>
              <w:rPr>
                <w:szCs w:val="22"/>
              </w:rPr>
              <w:t>-</w:t>
            </w:r>
            <w:r>
              <w:rPr>
                <w:szCs w:val="22"/>
                <w:lang w:val="de-DE"/>
              </w:rPr>
              <w:t>Cilag</w:t>
            </w:r>
            <w:r>
              <w:rPr>
                <w:szCs w:val="22"/>
              </w:rPr>
              <w:t xml:space="preserve"> </w:t>
            </w:r>
            <w:r>
              <w:rPr>
                <w:szCs w:val="22"/>
                <w:lang w:val="de-DE"/>
              </w:rPr>
              <w:t>AB</w:t>
            </w:r>
          </w:p>
          <w:p w14:paraId="109AE4ED" w14:textId="77777777" w:rsidR="009B3384" w:rsidRDefault="00800862">
            <w:pPr>
              <w:widowControl w:val="0"/>
              <w:suppressAutoHyphens w:val="0"/>
              <w:rPr>
                <w:szCs w:val="22"/>
              </w:rPr>
            </w:pPr>
            <w:r>
              <w:rPr>
                <w:szCs w:val="22"/>
                <w:lang w:val="de-DE"/>
              </w:rPr>
              <w:t>c</w:t>
            </w:r>
            <w:r>
              <w:rPr>
                <w:szCs w:val="22"/>
              </w:rPr>
              <w:t>/</w:t>
            </w:r>
            <w:r>
              <w:rPr>
                <w:szCs w:val="22"/>
                <w:lang w:val="de-DE"/>
              </w:rPr>
              <w:t>o</w:t>
            </w:r>
            <w:r>
              <w:rPr>
                <w:szCs w:val="22"/>
              </w:rPr>
              <w:t xml:space="preserve"> </w:t>
            </w:r>
            <w:r>
              <w:rPr>
                <w:szCs w:val="22"/>
                <w:lang w:val="de-DE"/>
              </w:rPr>
              <w:t>Vistor</w:t>
            </w:r>
            <w:r>
              <w:rPr>
                <w:szCs w:val="22"/>
              </w:rPr>
              <w:t xml:space="preserve"> е</w:t>
            </w:r>
            <w:r>
              <w:rPr>
                <w:szCs w:val="22"/>
                <w:lang w:val="de-DE"/>
              </w:rPr>
              <w:t>hf</w:t>
            </w:r>
            <w:r>
              <w:rPr>
                <w:szCs w:val="22"/>
              </w:rPr>
              <w:t>.</w:t>
            </w:r>
          </w:p>
          <w:p w14:paraId="109AE4EE" w14:textId="77777777" w:rsidR="009B3384" w:rsidRDefault="00800862">
            <w:pPr>
              <w:widowControl w:val="0"/>
              <w:suppressAutoHyphens w:val="0"/>
              <w:rPr>
                <w:szCs w:val="22"/>
              </w:rPr>
            </w:pPr>
            <w:r>
              <w:rPr>
                <w:szCs w:val="22"/>
                <w:lang w:val="de-DE"/>
              </w:rPr>
              <w:t>S</w:t>
            </w:r>
            <w:r>
              <w:rPr>
                <w:szCs w:val="22"/>
              </w:rPr>
              <w:t>í</w:t>
            </w:r>
            <w:r>
              <w:rPr>
                <w:szCs w:val="22"/>
                <w:lang w:val="de-DE"/>
              </w:rPr>
              <w:t>mi</w:t>
            </w:r>
            <w:r>
              <w:rPr>
                <w:szCs w:val="22"/>
              </w:rPr>
              <w:t>: +354 535 7000</w:t>
            </w:r>
          </w:p>
          <w:p w14:paraId="109AE4EF" w14:textId="77777777" w:rsidR="009B3384" w:rsidRDefault="00800862">
            <w:pPr>
              <w:widowControl w:val="0"/>
              <w:suppressAutoHyphens w:val="0"/>
              <w:rPr>
                <w:szCs w:val="22"/>
                <w:lang w:val="it-IT"/>
              </w:rPr>
            </w:pPr>
            <w:r>
              <w:rPr>
                <w:szCs w:val="22"/>
                <w:lang w:val="en-GB"/>
              </w:rPr>
              <w:t>janssen@vistor.is</w:t>
            </w:r>
          </w:p>
          <w:p w14:paraId="109AE4F0" w14:textId="77777777" w:rsidR="009B3384" w:rsidRDefault="009B3384">
            <w:pPr>
              <w:widowControl w:val="0"/>
              <w:suppressAutoHyphens w:val="0"/>
              <w:rPr>
                <w:szCs w:val="22"/>
                <w:lang w:val="it-IT"/>
              </w:rPr>
            </w:pPr>
          </w:p>
        </w:tc>
        <w:tc>
          <w:tcPr>
            <w:tcW w:w="4805" w:type="dxa"/>
          </w:tcPr>
          <w:p w14:paraId="109AE4F1" w14:textId="77777777" w:rsidR="009B3384" w:rsidRDefault="00800862">
            <w:pPr>
              <w:widowControl w:val="0"/>
              <w:suppressAutoHyphens w:val="0"/>
              <w:rPr>
                <w:b/>
                <w:bCs/>
                <w:szCs w:val="22"/>
                <w:lang w:val="it-IT"/>
              </w:rPr>
            </w:pPr>
            <w:r>
              <w:rPr>
                <w:b/>
                <w:bCs/>
                <w:szCs w:val="22"/>
                <w:lang w:val="it-IT"/>
              </w:rPr>
              <w:t>Slovenská republika</w:t>
            </w:r>
          </w:p>
          <w:p w14:paraId="109AE4F2" w14:textId="77777777" w:rsidR="009B3384" w:rsidRDefault="00800862">
            <w:pPr>
              <w:widowControl w:val="0"/>
              <w:suppressAutoHyphens w:val="0"/>
              <w:rPr>
                <w:szCs w:val="22"/>
                <w:lang w:val="it-IT"/>
              </w:rPr>
            </w:pPr>
            <w:r>
              <w:rPr>
                <w:szCs w:val="22"/>
                <w:lang w:val="it-IT"/>
              </w:rPr>
              <w:t>Johnson &amp; Johnson, s.r.o.</w:t>
            </w:r>
          </w:p>
          <w:p w14:paraId="109AE4F3" w14:textId="77777777" w:rsidR="009B3384" w:rsidRDefault="00800862">
            <w:pPr>
              <w:widowControl w:val="0"/>
              <w:suppressAutoHyphens w:val="0"/>
              <w:rPr>
                <w:szCs w:val="22"/>
                <w:lang w:val="it-IT"/>
              </w:rPr>
            </w:pPr>
            <w:r>
              <w:rPr>
                <w:szCs w:val="22"/>
                <w:lang w:val="it-IT"/>
              </w:rPr>
              <w:t>Tel: +421 232 408 400</w:t>
            </w:r>
          </w:p>
          <w:p w14:paraId="109AE4F4" w14:textId="77777777" w:rsidR="009B3384" w:rsidRDefault="009B3384">
            <w:pPr>
              <w:widowControl w:val="0"/>
              <w:suppressAutoHyphens w:val="0"/>
              <w:rPr>
                <w:szCs w:val="22"/>
                <w:lang w:val="it-IT"/>
              </w:rPr>
            </w:pPr>
          </w:p>
        </w:tc>
      </w:tr>
      <w:tr w:rsidR="009B3384" w14:paraId="109AE500" w14:textId="77777777">
        <w:trPr>
          <w:gridBefore w:val="1"/>
          <w:wBefore w:w="10" w:type="dxa"/>
          <w:cantSplit/>
          <w:jc w:val="center"/>
        </w:trPr>
        <w:tc>
          <w:tcPr>
            <w:tcW w:w="4260" w:type="dxa"/>
          </w:tcPr>
          <w:p w14:paraId="109AE4F6" w14:textId="77777777" w:rsidR="009B3384" w:rsidRDefault="00800862">
            <w:pPr>
              <w:widowControl w:val="0"/>
              <w:suppressAutoHyphens w:val="0"/>
              <w:rPr>
                <w:b/>
                <w:bCs/>
                <w:szCs w:val="22"/>
                <w:lang w:val="nl-BE"/>
              </w:rPr>
            </w:pPr>
            <w:r>
              <w:rPr>
                <w:b/>
                <w:bCs/>
                <w:szCs w:val="22"/>
                <w:lang w:val="nl-BE"/>
              </w:rPr>
              <w:t>Italia</w:t>
            </w:r>
          </w:p>
          <w:p w14:paraId="109AE4F7" w14:textId="77777777" w:rsidR="009B3384" w:rsidRDefault="00800862">
            <w:pPr>
              <w:widowControl w:val="0"/>
              <w:suppressAutoHyphens w:val="0"/>
              <w:rPr>
                <w:szCs w:val="22"/>
                <w:lang w:val="nl-BE"/>
              </w:rPr>
            </w:pPr>
            <w:r>
              <w:rPr>
                <w:szCs w:val="22"/>
                <w:lang w:val="nl-BE"/>
              </w:rPr>
              <w:t>Janssen-Cilag SpA</w:t>
            </w:r>
          </w:p>
          <w:p w14:paraId="109AE4F8" w14:textId="77777777" w:rsidR="009B3384" w:rsidRDefault="00800862">
            <w:pPr>
              <w:suppressAutoHyphens w:val="0"/>
              <w:rPr>
                <w:szCs w:val="22"/>
                <w:lang w:val="nl-BE"/>
              </w:rPr>
            </w:pPr>
            <w:r>
              <w:rPr>
                <w:szCs w:val="22"/>
                <w:lang w:val="nl-BE"/>
              </w:rPr>
              <w:t>Tel: 800.688.777 / +39 02 2510 1</w:t>
            </w:r>
          </w:p>
          <w:p w14:paraId="109AE4F9" w14:textId="77777777" w:rsidR="009B3384" w:rsidRDefault="00800862">
            <w:pPr>
              <w:suppressAutoHyphens w:val="0"/>
              <w:rPr>
                <w:szCs w:val="22"/>
                <w:lang w:val="it-IT"/>
              </w:rPr>
            </w:pPr>
            <w:r>
              <w:rPr>
                <w:szCs w:val="22"/>
                <w:lang w:val="en-GB"/>
              </w:rPr>
              <w:t>janssenita@its.jnj.com</w:t>
            </w:r>
          </w:p>
          <w:p w14:paraId="109AE4FA" w14:textId="77777777" w:rsidR="009B3384" w:rsidRDefault="009B3384">
            <w:pPr>
              <w:widowControl w:val="0"/>
              <w:suppressAutoHyphens w:val="0"/>
              <w:rPr>
                <w:szCs w:val="22"/>
                <w:lang w:val="it-IT"/>
              </w:rPr>
            </w:pPr>
          </w:p>
        </w:tc>
        <w:tc>
          <w:tcPr>
            <w:tcW w:w="4805" w:type="dxa"/>
            <w:hideMark/>
          </w:tcPr>
          <w:p w14:paraId="109AE4FB" w14:textId="77777777" w:rsidR="009B3384" w:rsidRDefault="00800862">
            <w:pPr>
              <w:widowControl w:val="0"/>
              <w:suppressAutoHyphens w:val="0"/>
              <w:rPr>
                <w:b/>
                <w:bCs/>
                <w:szCs w:val="22"/>
                <w:lang w:val="it-IT"/>
              </w:rPr>
            </w:pPr>
            <w:r>
              <w:rPr>
                <w:b/>
                <w:bCs/>
                <w:szCs w:val="22"/>
                <w:lang w:val="it-IT"/>
              </w:rPr>
              <w:t>Suomi/Finland</w:t>
            </w:r>
          </w:p>
          <w:p w14:paraId="109AE4FC" w14:textId="77777777" w:rsidR="009B3384" w:rsidRDefault="00800862">
            <w:pPr>
              <w:widowControl w:val="0"/>
              <w:suppressAutoHyphens w:val="0"/>
              <w:rPr>
                <w:szCs w:val="22"/>
                <w:lang w:val="it-IT"/>
              </w:rPr>
            </w:pPr>
            <w:r>
              <w:rPr>
                <w:szCs w:val="22"/>
                <w:lang w:val="it-IT"/>
              </w:rPr>
              <w:t>Janssen-Cilag Oy</w:t>
            </w:r>
          </w:p>
          <w:p w14:paraId="109AE4FD" w14:textId="77777777" w:rsidR="009B3384" w:rsidRDefault="00800862">
            <w:pPr>
              <w:widowControl w:val="0"/>
              <w:suppressAutoHyphens w:val="0"/>
              <w:rPr>
                <w:szCs w:val="22"/>
                <w:lang w:val="nl-NL"/>
              </w:rPr>
            </w:pPr>
            <w:r>
              <w:rPr>
                <w:szCs w:val="22"/>
                <w:lang w:val="nl-NL"/>
              </w:rPr>
              <w:t>Puh/Tel: +358 207 531 300</w:t>
            </w:r>
          </w:p>
          <w:p w14:paraId="109AE4FE" w14:textId="77777777" w:rsidR="009B3384" w:rsidRDefault="00800862">
            <w:pPr>
              <w:widowControl w:val="0"/>
              <w:suppressAutoHyphens w:val="0"/>
              <w:rPr>
                <w:szCs w:val="22"/>
                <w:lang w:val="en-GB"/>
              </w:rPr>
            </w:pPr>
            <w:r>
              <w:rPr>
                <w:szCs w:val="22"/>
                <w:lang w:val="en-GB"/>
              </w:rPr>
              <w:t>jacfi@its.jnj.com</w:t>
            </w:r>
          </w:p>
          <w:p w14:paraId="109AE4FF" w14:textId="77777777" w:rsidR="009B3384" w:rsidRDefault="009B3384">
            <w:pPr>
              <w:widowControl w:val="0"/>
              <w:suppressAutoHyphens w:val="0"/>
              <w:rPr>
                <w:szCs w:val="22"/>
                <w:lang w:val="en-GB"/>
              </w:rPr>
            </w:pPr>
          </w:p>
        </w:tc>
      </w:tr>
      <w:tr w:rsidR="009B3384" w14:paraId="109AE50A" w14:textId="77777777">
        <w:trPr>
          <w:gridBefore w:val="1"/>
          <w:wBefore w:w="10" w:type="dxa"/>
          <w:cantSplit/>
          <w:jc w:val="center"/>
        </w:trPr>
        <w:tc>
          <w:tcPr>
            <w:tcW w:w="4260" w:type="dxa"/>
            <w:hideMark/>
          </w:tcPr>
          <w:p w14:paraId="109AE501" w14:textId="77777777" w:rsidR="009B3384" w:rsidRDefault="00800862">
            <w:pPr>
              <w:widowControl w:val="0"/>
              <w:suppressAutoHyphens w:val="0"/>
              <w:rPr>
                <w:b/>
                <w:bCs/>
                <w:szCs w:val="22"/>
                <w:lang w:val="el-GR"/>
              </w:rPr>
            </w:pPr>
            <w:r>
              <w:rPr>
                <w:b/>
                <w:bCs/>
                <w:szCs w:val="22"/>
                <w:lang w:val="el-GR"/>
              </w:rPr>
              <w:t>Κύπρος</w:t>
            </w:r>
          </w:p>
          <w:p w14:paraId="109AE502" w14:textId="77777777" w:rsidR="009B3384" w:rsidRDefault="00800862">
            <w:pPr>
              <w:widowControl w:val="0"/>
              <w:suppressAutoHyphens w:val="0"/>
              <w:rPr>
                <w:szCs w:val="22"/>
                <w:lang w:val="el-GR"/>
              </w:rPr>
            </w:pPr>
            <w:r>
              <w:rPr>
                <w:szCs w:val="22"/>
                <w:lang w:val="el-GR"/>
              </w:rPr>
              <w:t>Βαρνάβας Χατζηπαναγής Λτδ</w:t>
            </w:r>
          </w:p>
          <w:p w14:paraId="109AE503" w14:textId="77777777" w:rsidR="009B3384" w:rsidRDefault="00800862">
            <w:pPr>
              <w:widowControl w:val="0"/>
              <w:suppressAutoHyphens w:val="0"/>
              <w:rPr>
                <w:szCs w:val="22"/>
                <w:lang w:val="el-GR"/>
              </w:rPr>
            </w:pPr>
            <w:r>
              <w:rPr>
                <w:szCs w:val="22"/>
                <w:lang w:val="en-GB"/>
              </w:rPr>
              <w:t>T</w:t>
            </w:r>
            <w:r>
              <w:rPr>
                <w:szCs w:val="22"/>
                <w:lang w:val="el-GR"/>
              </w:rPr>
              <w:t>ηλ: +357 22 207 700</w:t>
            </w:r>
          </w:p>
          <w:p w14:paraId="109AE504" w14:textId="77777777" w:rsidR="009B3384" w:rsidRDefault="009B3384">
            <w:pPr>
              <w:widowControl w:val="0"/>
              <w:suppressAutoHyphens w:val="0"/>
              <w:rPr>
                <w:szCs w:val="22"/>
                <w:lang w:val="el-GR"/>
              </w:rPr>
            </w:pPr>
          </w:p>
        </w:tc>
        <w:tc>
          <w:tcPr>
            <w:tcW w:w="4805" w:type="dxa"/>
          </w:tcPr>
          <w:p w14:paraId="109AE505" w14:textId="77777777" w:rsidR="009B3384" w:rsidRDefault="00800862">
            <w:pPr>
              <w:widowControl w:val="0"/>
              <w:suppressAutoHyphens w:val="0"/>
              <w:rPr>
                <w:b/>
                <w:bCs/>
                <w:szCs w:val="22"/>
                <w:lang w:val="de-DE"/>
              </w:rPr>
            </w:pPr>
            <w:r>
              <w:rPr>
                <w:b/>
                <w:bCs/>
                <w:szCs w:val="22"/>
                <w:lang w:val="de-DE"/>
              </w:rPr>
              <w:t>Sverige</w:t>
            </w:r>
          </w:p>
          <w:p w14:paraId="109AE506" w14:textId="77777777" w:rsidR="009B3384" w:rsidRDefault="00800862">
            <w:pPr>
              <w:widowControl w:val="0"/>
              <w:suppressAutoHyphens w:val="0"/>
              <w:rPr>
                <w:szCs w:val="22"/>
                <w:lang w:val="de-DE"/>
              </w:rPr>
            </w:pPr>
            <w:r>
              <w:rPr>
                <w:szCs w:val="22"/>
                <w:lang w:val="de-DE"/>
              </w:rPr>
              <w:t>Janssen-Cilag AB</w:t>
            </w:r>
          </w:p>
          <w:p w14:paraId="109AE507" w14:textId="77777777" w:rsidR="009B3384" w:rsidRDefault="00800862">
            <w:pPr>
              <w:widowControl w:val="0"/>
              <w:suppressAutoHyphens w:val="0"/>
              <w:rPr>
                <w:szCs w:val="22"/>
                <w:lang w:val="de-DE"/>
              </w:rPr>
            </w:pPr>
            <w:r>
              <w:rPr>
                <w:szCs w:val="22"/>
                <w:lang w:val="de-DE"/>
              </w:rPr>
              <w:t>Tfn: +46 8 626 50 00</w:t>
            </w:r>
          </w:p>
          <w:p w14:paraId="109AE508" w14:textId="77777777" w:rsidR="009B3384" w:rsidRDefault="00800862">
            <w:pPr>
              <w:widowControl w:val="0"/>
              <w:suppressAutoHyphens w:val="0"/>
              <w:rPr>
                <w:szCs w:val="22"/>
                <w:lang w:val="en-GB"/>
              </w:rPr>
            </w:pPr>
            <w:r>
              <w:rPr>
                <w:szCs w:val="22"/>
                <w:lang w:val="en-GB"/>
              </w:rPr>
              <w:t>jacse@its.jnj.com</w:t>
            </w:r>
          </w:p>
          <w:p w14:paraId="109AE509" w14:textId="77777777" w:rsidR="009B3384" w:rsidRDefault="009B3384">
            <w:pPr>
              <w:widowControl w:val="0"/>
              <w:suppressAutoHyphens w:val="0"/>
              <w:rPr>
                <w:szCs w:val="22"/>
                <w:lang w:val="en-GB"/>
              </w:rPr>
            </w:pPr>
          </w:p>
        </w:tc>
      </w:tr>
      <w:tr w:rsidR="009B3384" w14:paraId="109AE514" w14:textId="77777777">
        <w:trPr>
          <w:gridBefore w:val="1"/>
          <w:wBefore w:w="10" w:type="dxa"/>
          <w:cantSplit/>
          <w:jc w:val="center"/>
        </w:trPr>
        <w:tc>
          <w:tcPr>
            <w:tcW w:w="4260" w:type="dxa"/>
            <w:hideMark/>
          </w:tcPr>
          <w:p w14:paraId="109AE50B" w14:textId="77777777" w:rsidR="009B3384" w:rsidRDefault="00800862">
            <w:pPr>
              <w:widowControl w:val="0"/>
              <w:suppressAutoHyphens w:val="0"/>
              <w:rPr>
                <w:b/>
                <w:bCs/>
                <w:szCs w:val="22"/>
              </w:rPr>
            </w:pPr>
            <w:proofErr w:type="spellStart"/>
            <w:r>
              <w:rPr>
                <w:b/>
                <w:bCs/>
                <w:szCs w:val="22"/>
                <w:lang w:val="en-GB"/>
              </w:rPr>
              <w:t>Latvija</w:t>
            </w:r>
            <w:proofErr w:type="spellEnd"/>
          </w:p>
          <w:p w14:paraId="109AE50C" w14:textId="77777777" w:rsidR="009B3384" w:rsidRDefault="00800862">
            <w:pPr>
              <w:widowControl w:val="0"/>
              <w:suppressAutoHyphens w:val="0"/>
              <w:rPr>
                <w:szCs w:val="22"/>
              </w:rPr>
            </w:pPr>
            <w:r>
              <w:rPr>
                <w:szCs w:val="22"/>
                <w:lang w:val="en-GB"/>
              </w:rPr>
              <w:t>UAB</w:t>
            </w:r>
            <w:r>
              <w:rPr>
                <w:szCs w:val="22"/>
              </w:rPr>
              <w:t xml:space="preserve"> "</w:t>
            </w:r>
            <w:r>
              <w:rPr>
                <w:szCs w:val="22"/>
                <w:lang w:val="en-GB"/>
              </w:rPr>
              <w:t>JOHNSON</w:t>
            </w:r>
            <w:r>
              <w:rPr>
                <w:szCs w:val="22"/>
              </w:rPr>
              <w:t xml:space="preserve"> &amp; </w:t>
            </w:r>
            <w:r>
              <w:rPr>
                <w:szCs w:val="22"/>
                <w:lang w:val="en-GB"/>
              </w:rPr>
              <w:t>JOHNSON</w:t>
            </w:r>
            <w:r>
              <w:rPr>
                <w:szCs w:val="22"/>
              </w:rPr>
              <w:t xml:space="preserve">" </w:t>
            </w:r>
            <w:proofErr w:type="spellStart"/>
            <w:r>
              <w:rPr>
                <w:szCs w:val="22"/>
                <w:lang w:val="en-GB"/>
              </w:rPr>
              <w:t>fili</w:t>
            </w:r>
            <w:proofErr w:type="spellEnd"/>
            <w:r>
              <w:rPr>
                <w:szCs w:val="22"/>
              </w:rPr>
              <w:t>ā</w:t>
            </w:r>
            <w:r>
              <w:rPr>
                <w:szCs w:val="22"/>
                <w:lang w:val="en-GB"/>
              </w:rPr>
              <w:t>le</w:t>
            </w:r>
            <w:r>
              <w:rPr>
                <w:szCs w:val="22"/>
              </w:rPr>
              <w:t xml:space="preserve"> </w:t>
            </w:r>
            <w:proofErr w:type="spellStart"/>
            <w:r>
              <w:rPr>
                <w:szCs w:val="22"/>
                <w:lang w:val="en-GB"/>
              </w:rPr>
              <w:t>Latvij</w:t>
            </w:r>
            <w:proofErr w:type="spellEnd"/>
            <w:r>
              <w:rPr>
                <w:szCs w:val="22"/>
              </w:rPr>
              <w:t>ā</w:t>
            </w:r>
          </w:p>
          <w:p w14:paraId="109AE50D" w14:textId="77777777" w:rsidR="009B3384" w:rsidRDefault="00800862">
            <w:pPr>
              <w:widowControl w:val="0"/>
              <w:suppressAutoHyphens w:val="0"/>
              <w:rPr>
                <w:szCs w:val="22"/>
                <w:lang w:val="en-GB"/>
              </w:rPr>
            </w:pPr>
            <w:r>
              <w:rPr>
                <w:szCs w:val="22"/>
                <w:lang w:val="en-GB"/>
              </w:rPr>
              <w:t>Tel: +371 678 93561</w:t>
            </w:r>
          </w:p>
          <w:p w14:paraId="109AE50E" w14:textId="77777777" w:rsidR="009B3384" w:rsidRDefault="00800862">
            <w:pPr>
              <w:widowControl w:val="0"/>
              <w:suppressAutoHyphens w:val="0"/>
              <w:rPr>
                <w:b/>
                <w:bCs/>
                <w:szCs w:val="22"/>
                <w:lang w:val="en-GB"/>
              </w:rPr>
            </w:pPr>
            <w:r>
              <w:rPr>
                <w:szCs w:val="22"/>
                <w:lang w:val="en-GB"/>
              </w:rPr>
              <w:t>lv@its.jnj.com</w:t>
            </w:r>
          </w:p>
          <w:p w14:paraId="109AE50F" w14:textId="77777777" w:rsidR="009B3384" w:rsidRDefault="009B3384">
            <w:pPr>
              <w:widowControl w:val="0"/>
              <w:suppressAutoHyphens w:val="0"/>
              <w:rPr>
                <w:b/>
                <w:bCs/>
                <w:szCs w:val="22"/>
                <w:lang w:val="en-GB"/>
              </w:rPr>
            </w:pPr>
          </w:p>
        </w:tc>
        <w:tc>
          <w:tcPr>
            <w:tcW w:w="4805" w:type="dxa"/>
          </w:tcPr>
          <w:p w14:paraId="109AE513" w14:textId="381696B1" w:rsidR="009B3384" w:rsidRDefault="009B3384">
            <w:pPr>
              <w:widowControl w:val="0"/>
              <w:suppressAutoHyphens w:val="0"/>
              <w:rPr>
                <w:b/>
                <w:bCs/>
                <w:szCs w:val="22"/>
                <w:lang w:val="de-DE"/>
              </w:rPr>
            </w:pPr>
          </w:p>
        </w:tc>
      </w:tr>
    </w:tbl>
    <w:p w14:paraId="109AE515" w14:textId="77777777" w:rsidR="009B3384" w:rsidRDefault="009B3384">
      <w:pPr>
        <w:widowControl w:val="0"/>
        <w:suppressAutoHyphens w:val="0"/>
        <w:rPr>
          <w:szCs w:val="22"/>
          <w:lang w:val="de-DE"/>
        </w:rPr>
      </w:pPr>
    </w:p>
    <w:p w14:paraId="109AE516" w14:textId="77777777" w:rsidR="009B3384" w:rsidRDefault="00800862">
      <w:pPr>
        <w:rPr>
          <w:szCs w:val="22"/>
        </w:rPr>
      </w:pPr>
      <w:r>
        <w:rPr>
          <w:b/>
          <w:szCs w:val="22"/>
        </w:rPr>
        <w:t>Дата на последно преразглеждане на листовката</w:t>
      </w:r>
    </w:p>
    <w:p w14:paraId="109AE517" w14:textId="77777777" w:rsidR="009B3384" w:rsidRDefault="009B3384">
      <w:pPr>
        <w:rPr>
          <w:szCs w:val="22"/>
        </w:rPr>
      </w:pPr>
    </w:p>
    <w:p w14:paraId="109AE518" w14:textId="77777777" w:rsidR="009B3384" w:rsidRDefault="00800862">
      <w:pPr>
        <w:rPr>
          <w:szCs w:val="22"/>
        </w:rPr>
      </w:pPr>
      <w:r>
        <w:rPr>
          <w:szCs w:val="22"/>
        </w:rPr>
        <w:t xml:space="preserve">Подробна информация за това лекарство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r>
        <w:br w:type="page"/>
      </w:r>
    </w:p>
    <w:p w14:paraId="109AE519" w14:textId="77777777" w:rsidR="009B3384" w:rsidRDefault="00800862">
      <w:pPr>
        <w:rPr>
          <w:b/>
          <w:szCs w:val="22"/>
        </w:rPr>
      </w:pPr>
      <w:r>
        <w:rPr>
          <w:b/>
          <w:szCs w:val="22"/>
        </w:rPr>
        <w:lastRenderedPageBreak/>
        <w:t>Указания за приложение</w:t>
      </w:r>
    </w:p>
    <w:p w14:paraId="109AE51A" w14:textId="77777777" w:rsidR="009B3384" w:rsidRDefault="009B3384">
      <w:pPr>
        <w:rPr>
          <w:b/>
          <w:szCs w:val="22"/>
        </w:rPr>
      </w:pPr>
    </w:p>
    <w:p w14:paraId="109AE51B" w14:textId="77777777" w:rsidR="009B3384" w:rsidRDefault="00800862">
      <w:pPr>
        <w:rPr>
          <w:szCs w:val="22"/>
        </w:rPr>
      </w:pPr>
      <w:r>
        <w:rPr>
          <w:szCs w:val="22"/>
        </w:rPr>
        <w:t xml:space="preserve">В началото на лечението медицински специалист ще Ви постави Вашата първа инжекция. Вие и Вашият лекар обаче може да решите, че Вие сами може да си инжектирате Stelara. В такъв случай ще преминете обучение как да инжектирате Stelara. </w:t>
      </w:r>
      <w:r>
        <w:rPr>
          <w:bCs/>
          <w:szCs w:val="22"/>
        </w:rPr>
        <w:t>Говорете с Вашия лекар, ако имате въпроси относно поставянето на инжекцията.</w:t>
      </w:r>
    </w:p>
    <w:p w14:paraId="109AE51C" w14:textId="77777777" w:rsidR="009B3384" w:rsidRDefault="00800862">
      <w:pPr>
        <w:numPr>
          <w:ilvl w:val="0"/>
          <w:numId w:val="30"/>
        </w:numPr>
        <w:tabs>
          <w:tab w:val="clear" w:pos="567"/>
        </w:tabs>
        <w:rPr>
          <w:bCs/>
        </w:rPr>
      </w:pPr>
      <w:r>
        <w:t>Не смесвайте Stelara с други течности за инжекция.</w:t>
      </w:r>
    </w:p>
    <w:p w14:paraId="109AE51D" w14:textId="77777777" w:rsidR="009B3384" w:rsidRDefault="00800862">
      <w:pPr>
        <w:numPr>
          <w:ilvl w:val="0"/>
          <w:numId w:val="30"/>
        </w:numPr>
        <w:tabs>
          <w:tab w:val="clear" w:pos="567"/>
        </w:tabs>
        <w:rPr>
          <w:bCs/>
        </w:rPr>
      </w:pPr>
      <w:r>
        <w:t>Не разклащайте предварително напълнените спринцовки Stelara. Причината за това е, че силното разклащане може да повреди лекарството. Не употребявайте лекарството, ако е било силно разклатено.</w:t>
      </w:r>
    </w:p>
    <w:p w14:paraId="109AE51E" w14:textId="77777777" w:rsidR="009B3384" w:rsidRDefault="009B3384"/>
    <w:p w14:paraId="109AE51F" w14:textId="77777777" w:rsidR="009B3384" w:rsidRDefault="00800862">
      <w:r>
        <w:t>На фигура 1 е показано как изглежда предварително напълнената спринцовка.</w:t>
      </w:r>
    </w:p>
    <w:p w14:paraId="109AE520" w14:textId="77777777" w:rsidR="009B3384" w:rsidRDefault="009B3384"/>
    <w:p w14:paraId="109AE521" w14:textId="77777777" w:rsidR="009B3384" w:rsidRDefault="00800862">
      <w:pPr>
        <w:keepNext/>
        <w:jc w:val="center"/>
        <w:rPr>
          <w:szCs w:val="22"/>
        </w:rPr>
      </w:pPr>
      <w:r>
        <w:rPr>
          <w:noProof/>
          <w:lang w:eastAsia="bg-BG"/>
        </w:rPr>
        <w:drawing>
          <wp:inline distT="0" distB="0" distL="0" distR="0" wp14:anchorId="109AEA2B" wp14:editId="109AEA2C">
            <wp:extent cx="5848350" cy="25622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1"/>
                    <a:stretch>
                      <a:fillRect/>
                    </a:stretch>
                  </pic:blipFill>
                  <pic:spPr bwMode="auto">
                    <a:xfrm>
                      <a:off x="0" y="0"/>
                      <a:ext cx="5848350" cy="2562225"/>
                    </a:xfrm>
                    <a:prstGeom prst="rect">
                      <a:avLst/>
                    </a:prstGeom>
                  </pic:spPr>
                </pic:pic>
              </a:graphicData>
            </a:graphic>
          </wp:inline>
        </w:drawing>
      </w:r>
    </w:p>
    <w:p w14:paraId="109AE522" w14:textId="77777777" w:rsidR="009B3384" w:rsidRDefault="00800862">
      <w:pPr>
        <w:jc w:val="center"/>
        <w:rPr>
          <w:szCs w:val="22"/>
        </w:rPr>
      </w:pPr>
      <w:r>
        <w:rPr>
          <w:szCs w:val="22"/>
        </w:rPr>
        <w:t>Фигура 1</w:t>
      </w:r>
    </w:p>
    <w:p w14:paraId="109AE523" w14:textId="77777777" w:rsidR="009B3384" w:rsidRDefault="009B3384"/>
    <w:p w14:paraId="109AE524" w14:textId="77777777" w:rsidR="009B3384" w:rsidRDefault="00800862">
      <w:pPr>
        <w:keepNext/>
        <w:rPr>
          <w:b/>
          <w:bCs/>
          <w:szCs w:val="18"/>
        </w:rPr>
      </w:pPr>
      <w:r>
        <w:rPr>
          <w:b/>
          <w:bCs/>
          <w:szCs w:val="18"/>
        </w:rPr>
        <w:t>1. Проверете броя на предварително напълнените спринцовки и подгответе материалите:</w:t>
      </w:r>
    </w:p>
    <w:p w14:paraId="109AE525" w14:textId="77777777" w:rsidR="009B3384" w:rsidRDefault="00800862">
      <w:r>
        <w:t>Подготовка за използване на предварително напълнената спринцовка:</w:t>
      </w:r>
    </w:p>
    <w:p w14:paraId="109AE526" w14:textId="77777777" w:rsidR="009B3384" w:rsidRDefault="00800862">
      <w:pPr>
        <w:numPr>
          <w:ilvl w:val="0"/>
          <w:numId w:val="30"/>
        </w:numPr>
        <w:tabs>
          <w:tab w:val="clear" w:pos="567"/>
        </w:tabs>
        <w:rPr>
          <w:bCs/>
        </w:rPr>
      </w:pPr>
      <w:r>
        <w:t>Извадете предварително напълнената спринцовка/спринцовки от хладилника. Оставете я да престои около половин час извън кутията. Това ще позволи на течността да достигне подходяща температура за инжектиране (стайна температура). Н</w:t>
      </w:r>
      <w:r>
        <w:rPr>
          <w:szCs w:val="24"/>
        </w:rPr>
        <w:t>е сваляйте капачката на иглата докато течността не достигне стайна температура.</w:t>
      </w:r>
    </w:p>
    <w:p w14:paraId="109AE527" w14:textId="77777777" w:rsidR="009B3384" w:rsidRDefault="00800862">
      <w:pPr>
        <w:numPr>
          <w:ilvl w:val="0"/>
          <w:numId w:val="30"/>
        </w:numPr>
        <w:tabs>
          <w:tab w:val="clear" w:pos="567"/>
        </w:tabs>
        <w:rPr>
          <w:bCs/>
        </w:rPr>
      </w:pPr>
      <w:r>
        <w:t>Хванете корпуса на спринцовката така, че покритата с капачка игла да сочи нагоре.</w:t>
      </w:r>
    </w:p>
    <w:p w14:paraId="109AE528" w14:textId="77777777" w:rsidR="009B3384" w:rsidRDefault="00800862">
      <w:pPr>
        <w:numPr>
          <w:ilvl w:val="0"/>
          <w:numId w:val="30"/>
        </w:numPr>
        <w:tabs>
          <w:tab w:val="clear" w:pos="567"/>
        </w:tabs>
        <w:rPr>
          <w:bCs/>
        </w:rPr>
      </w:pPr>
      <w:r>
        <w:t>Не хващайте главата на буталото, буталото, страниците на предпазителя на иглата или капачката на иглата.</w:t>
      </w:r>
    </w:p>
    <w:p w14:paraId="109AE529" w14:textId="77777777" w:rsidR="009B3384" w:rsidRDefault="00800862">
      <w:pPr>
        <w:numPr>
          <w:ilvl w:val="0"/>
          <w:numId w:val="30"/>
        </w:numPr>
        <w:tabs>
          <w:tab w:val="clear" w:pos="567"/>
        </w:tabs>
        <w:rPr>
          <w:bCs/>
        </w:rPr>
      </w:pPr>
      <w:r>
        <w:t>Не издърпвайте буталото.</w:t>
      </w:r>
    </w:p>
    <w:p w14:paraId="109AE52A" w14:textId="77777777" w:rsidR="009B3384" w:rsidRDefault="00800862">
      <w:pPr>
        <w:numPr>
          <w:ilvl w:val="0"/>
          <w:numId w:val="30"/>
        </w:numPr>
        <w:tabs>
          <w:tab w:val="clear" w:pos="567"/>
        </w:tabs>
        <w:rPr>
          <w:bCs/>
        </w:rPr>
      </w:pPr>
      <w:r>
        <w:t>Не сваляйте капачката на иглата от спринцовката, докато не прочетете в инструкцията за това.</w:t>
      </w:r>
    </w:p>
    <w:p w14:paraId="109AE52B" w14:textId="77777777" w:rsidR="009B3384" w:rsidRDefault="00800862">
      <w:pPr>
        <w:numPr>
          <w:ilvl w:val="0"/>
          <w:numId w:val="30"/>
        </w:numPr>
        <w:tabs>
          <w:tab w:val="clear" w:pos="567"/>
        </w:tabs>
        <w:rPr>
          <w:bCs/>
        </w:rPr>
      </w:pPr>
      <w:r>
        <w:t>Не докосвайте активиращите скоби на предпазителя на иглата (указани със звездичка * на фиг. 1), за да избегнете преждевременното покриване на иглата с предпазителя.</w:t>
      </w:r>
    </w:p>
    <w:p w14:paraId="109AE52C" w14:textId="77777777" w:rsidR="009B3384" w:rsidRDefault="009B3384"/>
    <w:p w14:paraId="109AE52D" w14:textId="77777777" w:rsidR="009B3384" w:rsidRDefault="00800862">
      <w:r>
        <w:t>Проверете предварително напълнената спринцовка/спринцовки, за да се уверите, че:</w:t>
      </w:r>
    </w:p>
    <w:p w14:paraId="109AE52E" w14:textId="77777777" w:rsidR="009B3384" w:rsidRDefault="00800862">
      <w:pPr>
        <w:numPr>
          <w:ilvl w:val="0"/>
          <w:numId w:val="30"/>
        </w:numPr>
        <w:tabs>
          <w:tab w:val="clear" w:pos="567"/>
        </w:tabs>
        <w:rPr>
          <w:bCs/>
        </w:rPr>
      </w:pPr>
      <w:r>
        <w:t>броят на предварително напълнените спринцовки и количеството на активното вещество в дозова единица са верни:</w:t>
      </w:r>
    </w:p>
    <w:p w14:paraId="109AE52F" w14:textId="77777777" w:rsidR="009B3384" w:rsidRDefault="00800862">
      <w:pPr>
        <w:numPr>
          <w:ilvl w:val="0"/>
          <w:numId w:val="29"/>
        </w:numPr>
        <w:ind w:left="1134" w:hanging="567"/>
      </w:pPr>
      <w:r>
        <w:t>ако Вашата доза е 90 mg, ще получите една 90 mg предварително напълнена спринцовка Stelara;</w:t>
      </w:r>
    </w:p>
    <w:p w14:paraId="109AE530" w14:textId="77777777" w:rsidR="009B3384" w:rsidRDefault="00800862">
      <w:pPr>
        <w:numPr>
          <w:ilvl w:val="0"/>
          <w:numId w:val="30"/>
        </w:numPr>
        <w:tabs>
          <w:tab w:val="clear" w:pos="567"/>
        </w:tabs>
        <w:rPr>
          <w:bCs/>
        </w:rPr>
      </w:pPr>
      <w:r>
        <w:t>това е правилното лекарство;</w:t>
      </w:r>
    </w:p>
    <w:p w14:paraId="109AE531" w14:textId="77777777" w:rsidR="009B3384" w:rsidRDefault="00800862">
      <w:pPr>
        <w:numPr>
          <w:ilvl w:val="0"/>
          <w:numId w:val="30"/>
        </w:numPr>
        <w:tabs>
          <w:tab w:val="clear" w:pos="567"/>
        </w:tabs>
        <w:rPr>
          <w:bCs/>
        </w:rPr>
      </w:pPr>
      <w:r>
        <w:t>срокът на годност не е изтекъл;</w:t>
      </w:r>
    </w:p>
    <w:p w14:paraId="109AE532" w14:textId="77777777" w:rsidR="009B3384" w:rsidRDefault="00800862">
      <w:pPr>
        <w:numPr>
          <w:ilvl w:val="0"/>
          <w:numId w:val="30"/>
        </w:numPr>
        <w:tabs>
          <w:tab w:val="clear" w:pos="567"/>
        </w:tabs>
        <w:rPr>
          <w:bCs/>
        </w:rPr>
      </w:pPr>
      <w:r>
        <w:t>предварително напълнената спринцовка не е повредена;</w:t>
      </w:r>
    </w:p>
    <w:p w14:paraId="109AE533" w14:textId="77777777" w:rsidR="009B3384" w:rsidRDefault="00800862">
      <w:pPr>
        <w:numPr>
          <w:ilvl w:val="0"/>
          <w:numId w:val="30"/>
        </w:numPr>
        <w:tabs>
          <w:tab w:val="clear" w:pos="567"/>
        </w:tabs>
        <w:rPr>
          <w:bCs/>
        </w:rPr>
      </w:pPr>
      <w:r>
        <w:rPr>
          <w:szCs w:val="22"/>
        </w:rPr>
        <w:t>разтворът в спринцовката е бистър до леко опалесцентен (с перлен блясък) и безцветен до бледо жълт;</w:t>
      </w:r>
    </w:p>
    <w:p w14:paraId="109AE534" w14:textId="77777777" w:rsidR="009B3384" w:rsidRDefault="00800862">
      <w:pPr>
        <w:numPr>
          <w:ilvl w:val="0"/>
          <w:numId w:val="30"/>
        </w:numPr>
        <w:tabs>
          <w:tab w:val="clear" w:pos="567"/>
        </w:tabs>
        <w:rPr>
          <w:bCs/>
        </w:rPr>
      </w:pPr>
      <w:r>
        <w:rPr>
          <w:szCs w:val="22"/>
        </w:rPr>
        <w:lastRenderedPageBreak/>
        <w:t>разтворът в спринцовката не е с променен цвят или мътен и не съдържа чужди частици</w:t>
      </w:r>
      <w:r>
        <w:t>;</w:t>
      </w:r>
    </w:p>
    <w:p w14:paraId="109AE535" w14:textId="77777777" w:rsidR="009B3384" w:rsidRDefault="00800862">
      <w:pPr>
        <w:numPr>
          <w:ilvl w:val="0"/>
          <w:numId w:val="30"/>
        </w:numPr>
        <w:tabs>
          <w:tab w:val="clear" w:pos="567"/>
        </w:tabs>
        <w:rPr>
          <w:bCs/>
        </w:rPr>
      </w:pPr>
      <w:r>
        <w:rPr>
          <w:szCs w:val="22"/>
        </w:rPr>
        <w:t>разтворът в спринцовката не е замръзнал</w:t>
      </w:r>
      <w:r>
        <w:t>.</w:t>
      </w:r>
    </w:p>
    <w:p w14:paraId="109AE536" w14:textId="77777777" w:rsidR="009B3384" w:rsidRDefault="009B3384"/>
    <w:p w14:paraId="109AE537" w14:textId="77777777" w:rsidR="009B3384" w:rsidRDefault="00800862">
      <w:pPr>
        <w:tabs>
          <w:tab w:val="clear" w:pos="567"/>
        </w:tabs>
        <w:rPr>
          <w:bCs/>
        </w:rPr>
      </w:pPr>
      <w:r>
        <w:t xml:space="preserve">Съберете всички материали, от които се нуждаете, и ги поставете върху чиста повърхност. Те включват антисептични </w:t>
      </w:r>
      <w:r>
        <w:rPr>
          <w:bCs/>
          <w:szCs w:val="22"/>
        </w:rPr>
        <w:t>кърпички</w:t>
      </w:r>
      <w:r>
        <w:t>, памучни тампони или марли и контейнер за остри предмети.</w:t>
      </w:r>
    </w:p>
    <w:p w14:paraId="109AE538" w14:textId="77777777" w:rsidR="009B3384" w:rsidRDefault="009B3384">
      <w:pPr>
        <w:tabs>
          <w:tab w:val="left" w:pos="1710"/>
        </w:tabs>
        <w:rPr>
          <w:szCs w:val="22"/>
        </w:rPr>
      </w:pPr>
    </w:p>
    <w:p w14:paraId="109AE539" w14:textId="77777777" w:rsidR="009B3384" w:rsidRDefault="00800862">
      <w:pPr>
        <w:keepNext/>
        <w:rPr>
          <w:b/>
        </w:rPr>
      </w:pPr>
      <w:r>
        <w:rPr>
          <w:b/>
        </w:rPr>
        <w:t>2. Изберете и подгответе мястото за инжектиране:</w:t>
      </w:r>
    </w:p>
    <w:p w14:paraId="109AE53A" w14:textId="77777777" w:rsidR="009B3384" w:rsidRDefault="00800862">
      <w:pPr>
        <w:rPr>
          <w:szCs w:val="22"/>
        </w:rPr>
      </w:pPr>
      <w:r>
        <w:rPr>
          <w:szCs w:val="22"/>
        </w:rPr>
        <w:t>Изберете място за инжектиране (вж. фигура 2)</w:t>
      </w:r>
    </w:p>
    <w:p w14:paraId="109AE53B" w14:textId="77777777" w:rsidR="009B3384" w:rsidRDefault="00800862">
      <w:pPr>
        <w:numPr>
          <w:ilvl w:val="0"/>
          <w:numId w:val="30"/>
        </w:numPr>
        <w:tabs>
          <w:tab w:val="clear" w:pos="567"/>
        </w:tabs>
        <w:rPr>
          <w:bCs/>
          <w:szCs w:val="22"/>
        </w:rPr>
      </w:pPr>
      <w:r>
        <w:rPr>
          <w:bCs/>
          <w:szCs w:val="22"/>
        </w:rPr>
        <w:t>Stelara се прилага чрез инжекция под кожата (подкожно).</w:t>
      </w:r>
    </w:p>
    <w:p w14:paraId="109AE53C" w14:textId="77777777" w:rsidR="009B3384" w:rsidRDefault="00800862">
      <w:pPr>
        <w:numPr>
          <w:ilvl w:val="0"/>
          <w:numId w:val="30"/>
        </w:numPr>
        <w:tabs>
          <w:tab w:val="clear" w:pos="567"/>
        </w:tabs>
        <w:rPr>
          <w:bCs/>
          <w:szCs w:val="22"/>
        </w:rPr>
      </w:pPr>
      <w:r>
        <w:rPr>
          <w:bCs/>
          <w:szCs w:val="22"/>
        </w:rPr>
        <w:t>Подходящи места за инжектиране са горната част на бедрото или областта около корема на разстояние най-малко 5 см от пъпа.</w:t>
      </w:r>
    </w:p>
    <w:p w14:paraId="109AE53D" w14:textId="77777777" w:rsidR="009B3384" w:rsidRDefault="00800862">
      <w:pPr>
        <w:numPr>
          <w:ilvl w:val="0"/>
          <w:numId w:val="30"/>
        </w:numPr>
        <w:tabs>
          <w:tab w:val="clear" w:pos="567"/>
        </w:tabs>
        <w:rPr>
          <w:bCs/>
          <w:szCs w:val="22"/>
        </w:rPr>
      </w:pPr>
      <w:r>
        <w:rPr>
          <w:bCs/>
          <w:szCs w:val="22"/>
        </w:rPr>
        <w:t>Ако е възможно, не използвайте области от кожата с признаци на псориазис.</w:t>
      </w:r>
    </w:p>
    <w:p w14:paraId="109AE53E" w14:textId="77777777" w:rsidR="009B3384" w:rsidRDefault="00800862">
      <w:pPr>
        <w:numPr>
          <w:ilvl w:val="0"/>
          <w:numId w:val="30"/>
        </w:numPr>
        <w:tabs>
          <w:tab w:val="clear" w:pos="567"/>
        </w:tabs>
        <w:rPr>
          <w:szCs w:val="22"/>
        </w:rPr>
      </w:pPr>
      <w:r>
        <w:rPr>
          <w:bCs/>
          <w:szCs w:val="22"/>
        </w:rPr>
        <w:t>Ако някой Ви помага при поставянето на инжекцията, той/тя може да избере и горната част на ръката</w:t>
      </w:r>
      <w:r>
        <w:rPr>
          <w:szCs w:val="22"/>
        </w:rPr>
        <w:t xml:space="preserve"> като място за инжектиране.</w:t>
      </w:r>
    </w:p>
    <w:p w14:paraId="109AE53F" w14:textId="77777777" w:rsidR="009B3384" w:rsidRDefault="009B3384">
      <w:pPr>
        <w:rPr>
          <w:szCs w:val="22"/>
        </w:rPr>
      </w:pPr>
    </w:p>
    <w:p w14:paraId="109AE540" w14:textId="77777777" w:rsidR="009B3384" w:rsidRDefault="00800862">
      <w:pPr>
        <w:keepNext/>
        <w:jc w:val="center"/>
        <w:rPr>
          <w:szCs w:val="22"/>
          <w:lang w:val="nl-BE"/>
        </w:rPr>
      </w:pPr>
      <w:r>
        <w:rPr>
          <w:noProof/>
          <w:lang w:eastAsia="bg-BG"/>
        </w:rPr>
        <w:drawing>
          <wp:inline distT="0" distB="0" distL="0" distR="0" wp14:anchorId="109AEA2D" wp14:editId="109AEA2E">
            <wp:extent cx="2924175" cy="1733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6"/>
                    <a:stretch>
                      <a:fillRect/>
                    </a:stretch>
                  </pic:blipFill>
                  <pic:spPr bwMode="auto">
                    <a:xfrm>
                      <a:off x="0" y="0"/>
                      <a:ext cx="2924175" cy="1733550"/>
                    </a:xfrm>
                    <a:prstGeom prst="rect">
                      <a:avLst/>
                    </a:prstGeom>
                  </pic:spPr>
                </pic:pic>
              </a:graphicData>
            </a:graphic>
          </wp:inline>
        </w:drawing>
      </w:r>
    </w:p>
    <w:p w14:paraId="109AE541" w14:textId="77777777" w:rsidR="009B3384" w:rsidRDefault="00800862">
      <w:pPr>
        <w:jc w:val="center"/>
        <w:rPr>
          <w:szCs w:val="22"/>
        </w:rPr>
      </w:pPr>
      <w:r>
        <w:rPr>
          <w:szCs w:val="22"/>
        </w:rPr>
        <w:t>Фигура 2</w:t>
      </w:r>
    </w:p>
    <w:p w14:paraId="109AE542" w14:textId="77777777" w:rsidR="009B3384" w:rsidRDefault="009B3384">
      <w:pPr>
        <w:rPr>
          <w:szCs w:val="22"/>
        </w:rPr>
      </w:pPr>
    </w:p>
    <w:p w14:paraId="109AE543" w14:textId="77777777" w:rsidR="009B3384" w:rsidRDefault="00800862">
      <w:pPr>
        <w:rPr>
          <w:szCs w:val="22"/>
        </w:rPr>
      </w:pPr>
      <w:r>
        <w:rPr>
          <w:szCs w:val="22"/>
        </w:rPr>
        <w:t>Подгответе мястото за инжектиране</w:t>
      </w:r>
    </w:p>
    <w:p w14:paraId="109AE544" w14:textId="77777777" w:rsidR="009B3384" w:rsidRDefault="00800862">
      <w:pPr>
        <w:numPr>
          <w:ilvl w:val="0"/>
          <w:numId w:val="30"/>
        </w:numPr>
      </w:pPr>
      <w:r>
        <w:t>Измийте ръцете си много добре със сапун и топла вода.</w:t>
      </w:r>
    </w:p>
    <w:p w14:paraId="109AE545" w14:textId="77777777" w:rsidR="009B3384" w:rsidRDefault="00800862">
      <w:pPr>
        <w:numPr>
          <w:ilvl w:val="0"/>
          <w:numId w:val="30"/>
        </w:numPr>
      </w:pPr>
      <w:r>
        <w:t>Почистете кожата на мястото за инжектиране с антисептична кърпичка.</w:t>
      </w:r>
    </w:p>
    <w:p w14:paraId="109AE546" w14:textId="77777777" w:rsidR="009B3384" w:rsidRDefault="00800862">
      <w:pPr>
        <w:numPr>
          <w:ilvl w:val="0"/>
          <w:numId w:val="30"/>
        </w:numPr>
        <w:tabs>
          <w:tab w:val="clear" w:pos="567"/>
        </w:tabs>
        <w:rPr>
          <w:szCs w:val="22"/>
        </w:rPr>
      </w:pPr>
      <w:r>
        <w:rPr>
          <w:b/>
          <w:bCs/>
          <w:szCs w:val="22"/>
        </w:rPr>
        <w:t>Не докосвайте</w:t>
      </w:r>
      <w:r>
        <w:rPr>
          <w:bCs/>
          <w:szCs w:val="22"/>
        </w:rPr>
        <w:t xml:space="preserve"> повече тази област до поставянето на инжекцията</w:t>
      </w:r>
      <w:r>
        <w:rPr>
          <w:szCs w:val="22"/>
        </w:rPr>
        <w:t>.</w:t>
      </w:r>
    </w:p>
    <w:p w14:paraId="109AE547" w14:textId="77777777" w:rsidR="009B3384" w:rsidRDefault="009B3384">
      <w:pPr>
        <w:tabs>
          <w:tab w:val="clear" w:pos="567"/>
          <w:tab w:val="left" w:pos="540"/>
        </w:tabs>
        <w:rPr>
          <w:szCs w:val="22"/>
        </w:rPr>
      </w:pPr>
    </w:p>
    <w:p w14:paraId="109AE548" w14:textId="77777777" w:rsidR="009B3384" w:rsidRDefault="009B3384">
      <w:pPr>
        <w:tabs>
          <w:tab w:val="clear" w:pos="567"/>
          <w:tab w:val="left" w:pos="540"/>
        </w:tabs>
        <w:rPr>
          <w:szCs w:val="22"/>
        </w:rPr>
      </w:pPr>
    </w:p>
    <w:p w14:paraId="109AE549" w14:textId="77777777" w:rsidR="009B3384" w:rsidRDefault="00800862">
      <w:pPr>
        <w:keepNext/>
        <w:rPr>
          <w:b/>
          <w:bCs/>
          <w:szCs w:val="18"/>
        </w:rPr>
      </w:pPr>
      <w:r>
        <w:rPr>
          <w:b/>
          <w:bCs/>
          <w:szCs w:val="18"/>
        </w:rPr>
        <w:t>3. Свалете капачката на иглата (вж. фигура 3):</w:t>
      </w:r>
    </w:p>
    <w:p w14:paraId="109AE54A" w14:textId="77777777" w:rsidR="009B3384" w:rsidRDefault="00800862">
      <w:pPr>
        <w:numPr>
          <w:ilvl w:val="0"/>
          <w:numId w:val="30"/>
        </w:numPr>
      </w:pPr>
      <w:r>
        <w:t>Капачката на иглата не трябва да се сваля, докато не сте готови да инжектирате дозата.</w:t>
      </w:r>
    </w:p>
    <w:p w14:paraId="109AE54B" w14:textId="77777777" w:rsidR="009B3384" w:rsidRDefault="00800862">
      <w:pPr>
        <w:numPr>
          <w:ilvl w:val="0"/>
          <w:numId w:val="30"/>
        </w:numPr>
      </w:pPr>
      <w:r>
        <w:t>Вземете предварително напълнената спринцовка и хванете корпуса й с една ръка.</w:t>
      </w:r>
    </w:p>
    <w:p w14:paraId="109AE54C" w14:textId="77777777" w:rsidR="009B3384" w:rsidRDefault="00800862">
      <w:pPr>
        <w:numPr>
          <w:ilvl w:val="0"/>
          <w:numId w:val="30"/>
        </w:numPr>
      </w:pPr>
      <w:r>
        <w:t>Рязко издърпайте капачката на иглата в права посока и я изхвърлете. Докато правите това, не докосвайте буталото.</w:t>
      </w:r>
    </w:p>
    <w:p w14:paraId="109AE54D" w14:textId="77777777" w:rsidR="009B3384" w:rsidRDefault="009B3384"/>
    <w:p w14:paraId="109AE54E" w14:textId="77777777" w:rsidR="009B3384" w:rsidRDefault="00800862">
      <w:pPr>
        <w:keepNext/>
        <w:jc w:val="center"/>
      </w:pPr>
      <w:r>
        <w:rPr>
          <w:noProof/>
          <w:lang w:eastAsia="bg-BG"/>
        </w:rPr>
        <w:drawing>
          <wp:inline distT="0" distB="0" distL="0" distR="0" wp14:anchorId="109AEA2F" wp14:editId="109AEA30">
            <wp:extent cx="2838450" cy="1466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22"/>
                    <a:stretch>
                      <a:fillRect/>
                    </a:stretch>
                  </pic:blipFill>
                  <pic:spPr bwMode="auto">
                    <a:xfrm>
                      <a:off x="0" y="0"/>
                      <a:ext cx="2838450" cy="1466850"/>
                    </a:xfrm>
                    <a:prstGeom prst="rect">
                      <a:avLst/>
                    </a:prstGeom>
                  </pic:spPr>
                </pic:pic>
              </a:graphicData>
            </a:graphic>
          </wp:inline>
        </w:drawing>
      </w:r>
    </w:p>
    <w:p w14:paraId="109AE54F" w14:textId="77777777" w:rsidR="009B3384" w:rsidRDefault="00800862">
      <w:pPr>
        <w:jc w:val="center"/>
      </w:pPr>
      <w:r>
        <w:t>Фигура 3</w:t>
      </w:r>
    </w:p>
    <w:p w14:paraId="109AE550" w14:textId="77777777" w:rsidR="009B3384" w:rsidRDefault="009B3384">
      <w:pPr>
        <w:jc w:val="center"/>
      </w:pPr>
    </w:p>
    <w:p w14:paraId="109AE551" w14:textId="77777777" w:rsidR="009B3384" w:rsidRDefault="00800862">
      <w:pPr>
        <w:numPr>
          <w:ilvl w:val="0"/>
          <w:numId w:val="30"/>
        </w:numPr>
      </w:pPr>
      <w:r>
        <w:t>Може да забележите въздушен мехур в предварително напълнената спринцовка или капка течност на върха на иглата. Това е нормално и не е необходимо да се отстраняват.</w:t>
      </w:r>
    </w:p>
    <w:p w14:paraId="109AE552" w14:textId="77777777" w:rsidR="009B3384" w:rsidRDefault="00800862">
      <w:pPr>
        <w:numPr>
          <w:ilvl w:val="0"/>
          <w:numId w:val="30"/>
        </w:numPr>
      </w:pPr>
      <w:r>
        <w:t>Не докосвайте иглата и не я допирайте в други повърхности.</w:t>
      </w:r>
    </w:p>
    <w:p w14:paraId="109AE553" w14:textId="77777777" w:rsidR="009B3384" w:rsidRDefault="00800862">
      <w:pPr>
        <w:numPr>
          <w:ilvl w:val="0"/>
          <w:numId w:val="30"/>
        </w:numPr>
      </w:pPr>
      <w:r>
        <w:t>Не използвайте предварително напълнената спринцовка, ако я изтървете с отворена игла. Ако това се случи, се свържете с Вашия лекар или фармацевт.</w:t>
      </w:r>
    </w:p>
    <w:p w14:paraId="109AE554" w14:textId="77777777" w:rsidR="009B3384" w:rsidRDefault="00800862">
      <w:pPr>
        <w:numPr>
          <w:ilvl w:val="0"/>
          <w:numId w:val="30"/>
        </w:numPr>
      </w:pPr>
      <w:r>
        <w:lastRenderedPageBreak/>
        <w:t>Инжектирайте дозата веднага, щом свалите капачката на иглата.</w:t>
      </w:r>
    </w:p>
    <w:p w14:paraId="109AE555" w14:textId="77777777" w:rsidR="009B3384" w:rsidRDefault="009B3384"/>
    <w:p w14:paraId="109AE556" w14:textId="77777777" w:rsidR="009B3384" w:rsidRDefault="00800862">
      <w:pPr>
        <w:keepNext/>
        <w:rPr>
          <w:b/>
          <w:bCs/>
          <w:szCs w:val="18"/>
        </w:rPr>
      </w:pPr>
      <w:r>
        <w:rPr>
          <w:b/>
          <w:bCs/>
          <w:szCs w:val="18"/>
        </w:rPr>
        <w:t>4. Инжектирайте дозата:</w:t>
      </w:r>
    </w:p>
    <w:p w14:paraId="109AE557" w14:textId="77777777" w:rsidR="009B3384" w:rsidRDefault="00800862">
      <w:pPr>
        <w:numPr>
          <w:ilvl w:val="0"/>
          <w:numId w:val="30"/>
        </w:numPr>
      </w:pPr>
      <w:r>
        <w:t>Хванете предварително напълнената спринцовка между средния пръст и показалеца на едната ръка и поставете палеца си върху главата на буталото, а с другата ръка леко стиснете почистената кожа между палеца и показалеца. Не стискайте силно.</w:t>
      </w:r>
    </w:p>
    <w:p w14:paraId="109AE558" w14:textId="77777777" w:rsidR="009B3384" w:rsidRDefault="00800862">
      <w:pPr>
        <w:numPr>
          <w:ilvl w:val="0"/>
          <w:numId w:val="30"/>
        </w:numPr>
      </w:pPr>
      <w:r>
        <w:t>Не издърпвайте буталото.</w:t>
      </w:r>
    </w:p>
    <w:p w14:paraId="109AE559" w14:textId="77777777" w:rsidR="009B3384" w:rsidRDefault="00800862">
      <w:pPr>
        <w:numPr>
          <w:ilvl w:val="0"/>
          <w:numId w:val="30"/>
        </w:numPr>
      </w:pPr>
      <w:r>
        <w:t>С едно бързо движение вкарайте иглата в кожата, докъдето може (вж. фигура 4).</w:t>
      </w:r>
    </w:p>
    <w:p w14:paraId="109AE55A" w14:textId="77777777" w:rsidR="009B3384" w:rsidRDefault="009B3384"/>
    <w:p w14:paraId="109AE55B" w14:textId="77777777" w:rsidR="009B3384" w:rsidRDefault="00800862">
      <w:pPr>
        <w:keepNext/>
        <w:jc w:val="center"/>
      </w:pPr>
      <w:r>
        <w:rPr>
          <w:noProof/>
          <w:lang w:eastAsia="bg-BG"/>
        </w:rPr>
        <w:drawing>
          <wp:inline distT="0" distB="0" distL="0" distR="0" wp14:anchorId="109AEA31" wp14:editId="109AEA32">
            <wp:extent cx="2009775" cy="1466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3"/>
                    <a:stretch>
                      <a:fillRect/>
                    </a:stretch>
                  </pic:blipFill>
                  <pic:spPr bwMode="auto">
                    <a:xfrm>
                      <a:off x="0" y="0"/>
                      <a:ext cx="2009775" cy="1466850"/>
                    </a:xfrm>
                    <a:prstGeom prst="rect">
                      <a:avLst/>
                    </a:prstGeom>
                  </pic:spPr>
                </pic:pic>
              </a:graphicData>
            </a:graphic>
          </wp:inline>
        </w:drawing>
      </w:r>
    </w:p>
    <w:p w14:paraId="109AE55C" w14:textId="77777777" w:rsidR="009B3384" w:rsidRDefault="00800862">
      <w:pPr>
        <w:tabs>
          <w:tab w:val="clear" w:pos="567"/>
          <w:tab w:val="left" w:pos="0"/>
        </w:tabs>
        <w:jc w:val="center"/>
        <w:rPr>
          <w:szCs w:val="22"/>
        </w:rPr>
      </w:pPr>
      <w:r>
        <w:rPr>
          <w:szCs w:val="22"/>
        </w:rPr>
        <w:t>Фигура 4</w:t>
      </w:r>
    </w:p>
    <w:p w14:paraId="109AE55D" w14:textId="77777777" w:rsidR="009B3384" w:rsidRDefault="009B3384">
      <w:pPr>
        <w:tabs>
          <w:tab w:val="clear" w:pos="567"/>
          <w:tab w:val="left" w:pos="540"/>
        </w:tabs>
        <w:rPr>
          <w:szCs w:val="22"/>
        </w:rPr>
      </w:pPr>
    </w:p>
    <w:p w14:paraId="109AE55E" w14:textId="77777777" w:rsidR="009B3384" w:rsidRDefault="00800862">
      <w:pPr>
        <w:numPr>
          <w:ilvl w:val="0"/>
          <w:numId w:val="30"/>
        </w:numPr>
      </w:pPr>
      <w:r>
        <w:t>Инжектирайте цялото количество от лекарството, като натискате буталото, докато главата му достигне между страниците на предпазителя на иглата (вж. фигура 5).</w:t>
      </w:r>
    </w:p>
    <w:p w14:paraId="109AE55F" w14:textId="77777777" w:rsidR="009B3384" w:rsidRDefault="009B3384"/>
    <w:p w14:paraId="109AE560" w14:textId="77777777" w:rsidR="009B3384" w:rsidRDefault="00800862">
      <w:pPr>
        <w:keepNext/>
        <w:jc w:val="center"/>
      </w:pPr>
      <w:r>
        <w:rPr>
          <w:noProof/>
          <w:lang w:eastAsia="bg-BG"/>
        </w:rPr>
        <w:drawing>
          <wp:inline distT="0" distB="0" distL="0" distR="0" wp14:anchorId="109AEA33" wp14:editId="109AEA34">
            <wp:extent cx="1733550" cy="1466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24"/>
                    <a:stretch>
                      <a:fillRect/>
                    </a:stretch>
                  </pic:blipFill>
                  <pic:spPr bwMode="auto">
                    <a:xfrm>
                      <a:off x="0" y="0"/>
                      <a:ext cx="1733550" cy="1466850"/>
                    </a:xfrm>
                    <a:prstGeom prst="rect">
                      <a:avLst/>
                    </a:prstGeom>
                  </pic:spPr>
                </pic:pic>
              </a:graphicData>
            </a:graphic>
          </wp:inline>
        </w:drawing>
      </w:r>
    </w:p>
    <w:p w14:paraId="109AE561" w14:textId="77777777" w:rsidR="009B3384" w:rsidRDefault="00800862">
      <w:pPr>
        <w:tabs>
          <w:tab w:val="clear" w:pos="567"/>
          <w:tab w:val="left" w:pos="540"/>
        </w:tabs>
        <w:jc w:val="center"/>
        <w:rPr>
          <w:szCs w:val="22"/>
        </w:rPr>
      </w:pPr>
      <w:r>
        <w:rPr>
          <w:szCs w:val="22"/>
        </w:rPr>
        <w:t>Фигура 5</w:t>
      </w:r>
    </w:p>
    <w:p w14:paraId="109AE562" w14:textId="77777777" w:rsidR="009B3384" w:rsidRDefault="009B3384">
      <w:pPr>
        <w:tabs>
          <w:tab w:val="left" w:pos="540"/>
        </w:tabs>
        <w:rPr>
          <w:szCs w:val="22"/>
        </w:rPr>
      </w:pPr>
    </w:p>
    <w:p w14:paraId="109AE563" w14:textId="77777777" w:rsidR="009B3384" w:rsidRDefault="00800862">
      <w:pPr>
        <w:numPr>
          <w:ilvl w:val="0"/>
          <w:numId w:val="30"/>
        </w:numPr>
      </w:pPr>
      <w:r>
        <w:t>Когато буталото стигне до края, не отпускайте натиска върху главата му, извадете иглата и пуснете кожата (вж. фигура 6).</w:t>
      </w:r>
    </w:p>
    <w:p w14:paraId="109AE564" w14:textId="77777777" w:rsidR="009B3384" w:rsidRDefault="009B3384"/>
    <w:p w14:paraId="109AE565" w14:textId="77777777" w:rsidR="009B3384" w:rsidRDefault="00800862">
      <w:pPr>
        <w:keepNext/>
        <w:jc w:val="center"/>
      </w:pPr>
      <w:r>
        <w:rPr>
          <w:noProof/>
          <w:lang w:eastAsia="bg-BG"/>
        </w:rPr>
        <w:drawing>
          <wp:inline distT="0" distB="0" distL="0" distR="0" wp14:anchorId="109AEA35" wp14:editId="109AEA36">
            <wp:extent cx="2381250" cy="16478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5"/>
                    <a:stretch>
                      <a:fillRect/>
                    </a:stretch>
                  </pic:blipFill>
                  <pic:spPr bwMode="auto">
                    <a:xfrm>
                      <a:off x="0" y="0"/>
                      <a:ext cx="2381250" cy="1647825"/>
                    </a:xfrm>
                    <a:prstGeom prst="rect">
                      <a:avLst/>
                    </a:prstGeom>
                  </pic:spPr>
                </pic:pic>
              </a:graphicData>
            </a:graphic>
          </wp:inline>
        </w:drawing>
      </w:r>
    </w:p>
    <w:p w14:paraId="109AE566" w14:textId="77777777" w:rsidR="009B3384" w:rsidRDefault="00800862">
      <w:pPr>
        <w:jc w:val="center"/>
        <w:rPr>
          <w:szCs w:val="22"/>
        </w:rPr>
      </w:pPr>
      <w:r>
        <w:rPr>
          <w:szCs w:val="22"/>
        </w:rPr>
        <w:t>Фигура 6</w:t>
      </w:r>
    </w:p>
    <w:p w14:paraId="109AE567" w14:textId="77777777" w:rsidR="009B3384" w:rsidRDefault="00800862">
      <w:pPr>
        <w:numPr>
          <w:ilvl w:val="0"/>
          <w:numId w:val="30"/>
        </w:numPr>
      </w:pPr>
      <w:r>
        <w:t>Бавно отстранете палеца си от главата на буталото, за да позволите на празната спринцовка да се придвижи нагоре, докато цялата игла се покрие с предпазителя, както е показано на фигура 7:</w:t>
      </w:r>
    </w:p>
    <w:p w14:paraId="109AE568" w14:textId="77777777" w:rsidR="009B3384" w:rsidRDefault="009B3384"/>
    <w:p w14:paraId="109AE569" w14:textId="77777777" w:rsidR="009B3384" w:rsidRDefault="00800862">
      <w:pPr>
        <w:keepNext/>
        <w:jc w:val="center"/>
      </w:pPr>
      <w:r>
        <w:rPr>
          <w:noProof/>
          <w:lang w:eastAsia="bg-BG"/>
        </w:rPr>
        <w:lastRenderedPageBreak/>
        <w:drawing>
          <wp:inline distT="0" distB="0" distL="0" distR="0" wp14:anchorId="109AEA37" wp14:editId="109AEA38">
            <wp:extent cx="2190750" cy="1828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6"/>
                    <a:stretch>
                      <a:fillRect/>
                    </a:stretch>
                  </pic:blipFill>
                  <pic:spPr bwMode="auto">
                    <a:xfrm>
                      <a:off x="0" y="0"/>
                      <a:ext cx="2190750" cy="1828800"/>
                    </a:xfrm>
                    <a:prstGeom prst="rect">
                      <a:avLst/>
                    </a:prstGeom>
                  </pic:spPr>
                </pic:pic>
              </a:graphicData>
            </a:graphic>
          </wp:inline>
        </w:drawing>
      </w:r>
    </w:p>
    <w:p w14:paraId="109AE56A" w14:textId="77777777" w:rsidR="009B3384" w:rsidRDefault="00800862">
      <w:pPr>
        <w:jc w:val="center"/>
      </w:pPr>
      <w:r>
        <w:t>Фигура 7</w:t>
      </w:r>
    </w:p>
    <w:p w14:paraId="109AE56B" w14:textId="77777777" w:rsidR="009B3384" w:rsidRDefault="009B3384"/>
    <w:p w14:paraId="109AE56C" w14:textId="77777777" w:rsidR="009B3384" w:rsidRDefault="00800862">
      <w:pPr>
        <w:keepNext/>
        <w:rPr>
          <w:b/>
        </w:rPr>
      </w:pPr>
      <w:r>
        <w:rPr>
          <w:b/>
        </w:rPr>
        <w:t>5. След инжектиране:</w:t>
      </w:r>
    </w:p>
    <w:p w14:paraId="109AE56E" w14:textId="77777777" w:rsidR="009B3384" w:rsidRDefault="00800862">
      <w:pPr>
        <w:numPr>
          <w:ilvl w:val="0"/>
          <w:numId w:val="30"/>
        </w:numPr>
      </w:pPr>
      <w:r>
        <w:t>Възможно е на мястото на инжектиране да има малко количество кръв или течност. Това е нормално.</w:t>
      </w:r>
    </w:p>
    <w:p w14:paraId="109AE56F" w14:textId="19DDACB9" w:rsidR="009B3384" w:rsidRDefault="00800862">
      <w:pPr>
        <w:numPr>
          <w:ilvl w:val="0"/>
          <w:numId w:val="30"/>
        </w:numPr>
      </w:pPr>
      <w:r>
        <w:t>Притиснете мястото на инжектиране с памучен тампон или марля и задръжте 10 секунди.</w:t>
      </w:r>
    </w:p>
    <w:p w14:paraId="109AE570" w14:textId="77777777" w:rsidR="009B3384" w:rsidRDefault="00800862">
      <w:pPr>
        <w:numPr>
          <w:ilvl w:val="0"/>
          <w:numId w:val="30"/>
        </w:numPr>
      </w:pPr>
      <w:r>
        <w:t>Не разтърквайте кожата на мястото на инжектиране. Ако е необходимо, може да сложите малка лепенка върху мястото на инжектиране.</w:t>
      </w:r>
    </w:p>
    <w:p w14:paraId="109AE571" w14:textId="77777777" w:rsidR="009B3384" w:rsidRDefault="009B3384"/>
    <w:p w14:paraId="109AE572" w14:textId="77777777" w:rsidR="009B3384" w:rsidRDefault="00800862">
      <w:pPr>
        <w:keepNext/>
        <w:rPr>
          <w:b/>
        </w:rPr>
      </w:pPr>
      <w:r>
        <w:rPr>
          <w:b/>
        </w:rPr>
        <w:t>6. Изхвърляне:</w:t>
      </w:r>
    </w:p>
    <w:p w14:paraId="109AE573" w14:textId="77777777" w:rsidR="009B3384" w:rsidRDefault="00800862">
      <w:pPr>
        <w:numPr>
          <w:ilvl w:val="0"/>
          <w:numId w:val="30"/>
        </w:numPr>
      </w:pPr>
      <w:r>
        <w:t>Използваните спринцовки трябва да се поставят в непробиваем контейнер като контейнера за остри предмети (вж. фигура 8). За Вашата безопасност и здраве и за безопасността на другите, никога не използвайте повторно спринцовките. Изхвърляйте Вашия контейнер за остри предмети в съответствие с местните разпоредби.</w:t>
      </w:r>
    </w:p>
    <w:p w14:paraId="109AE574" w14:textId="77777777" w:rsidR="009B3384" w:rsidRDefault="00800862">
      <w:pPr>
        <w:numPr>
          <w:ilvl w:val="0"/>
          <w:numId w:val="30"/>
        </w:numPr>
      </w:pPr>
      <w:r>
        <w:t>Антисептичните кърпички и други консумативи може да се изхвърлят в общия боклук.</w:t>
      </w:r>
    </w:p>
    <w:p w14:paraId="109AE575" w14:textId="77777777" w:rsidR="009B3384" w:rsidRDefault="009B3384">
      <w:pPr>
        <w:tabs>
          <w:tab w:val="clear" w:pos="567"/>
        </w:tabs>
      </w:pPr>
    </w:p>
    <w:p w14:paraId="109AE576" w14:textId="77777777" w:rsidR="009B3384" w:rsidRDefault="00800862">
      <w:pPr>
        <w:keepNext/>
        <w:tabs>
          <w:tab w:val="clear" w:pos="567"/>
        </w:tabs>
        <w:jc w:val="center"/>
      </w:pPr>
      <w:r>
        <w:rPr>
          <w:noProof/>
          <w:lang w:eastAsia="bg-BG"/>
        </w:rPr>
        <w:drawing>
          <wp:inline distT="0" distB="0" distL="0" distR="0" wp14:anchorId="109AEA39" wp14:editId="109AEA3A">
            <wp:extent cx="1095375" cy="3019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7"/>
                    <a:stretch>
                      <a:fillRect/>
                    </a:stretch>
                  </pic:blipFill>
                  <pic:spPr bwMode="auto">
                    <a:xfrm>
                      <a:off x="0" y="0"/>
                      <a:ext cx="1095375" cy="3019425"/>
                    </a:xfrm>
                    <a:prstGeom prst="rect">
                      <a:avLst/>
                    </a:prstGeom>
                  </pic:spPr>
                </pic:pic>
              </a:graphicData>
            </a:graphic>
          </wp:inline>
        </w:drawing>
      </w:r>
    </w:p>
    <w:p w14:paraId="109AE577" w14:textId="77777777" w:rsidR="009B3384" w:rsidRDefault="00800862">
      <w:pPr>
        <w:jc w:val="center"/>
      </w:pPr>
      <w:r>
        <w:t>Фигура 8</w:t>
      </w:r>
    </w:p>
    <w:p w14:paraId="109AE578" w14:textId="77777777" w:rsidR="009B3384" w:rsidRDefault="00800862">
      <w:pPr>
        <w:tabs>
          <w:tab w:val="clear" w:pos="567"/>
        </w:tabs>
        <w:rPr>
          <w:bCs/>
          <w:szCs w:val="22"/>
        </w:rPr>
      </w:pPr>
      <w:r>
        <w:rPr>
          <w:bCs/>
          <w:szCs w:val="22"/>
        </w:rPr>
        <w:br w:type="page"/>
      </w:r>
    </w:p>
    <w:p w14:paraId="109AE579" w14:textId="77777777" w:rsidR="009B3384" w:rsidRDefault="00800862">
      <w:pPr>
        <w:tabs>
          <w:tab w:val="clear" w:pos="567"/>
        </w:tabs>
        <w:jc w:val="center"/>
        <w:rPr>
          <w:b/>
          <w:szCs w:val="22"/>
        </w:rPr>
      </w:pPr>
      <w:r>
        <w:rPr>
          <w:b/>
          <w:szCs w:val="22"/>
        </w:rPr>
        <w:lastRenderedPageBreak/>
        <w:t>Листовка: информация за потребителя</w:t>
      </w:r>
    </w:p>
    <w:p w14:paraId="109AE57A" w14:textId="77777777" w:rsidR="009B3384" w:rsidRDefault="009B3384">
      <w:pPr>
        <w:jc w:val="center"/>
        <w:rPr>
          <w:b/>
          <w:bCs/>
          <w:szCs w:val="22"/>
        </w:rPr>
      </w:pPr>
    </w:p>
    <w:p w14:paraId="109AE57B" w14:textId="77777777" w:rsidR="009B3384" w:rsidRDefault="00800862">
      <w:pPr>
        <w:jc w:val="center"/>
        <w:rPr>
          <w:b/>
          <w:bCs/>
          <w:szCs w:val="22"/>
        </w:rPr>
      </w:pPr>
      <w:r>
        <w:rPr>
          <w:b/>
          <w:bCs/>
          <w:szCs w:val="22"/>
        </w:rPr>
        <w:t>STELARA 45 mg инжекционен разтвор в предварително напълнена писалка</w:t>
      </w:r>
    </w:p>
    <w:p w14:paraId="109AE57C" w14:textId="77777777" w:rsidR="009B3384" w:rsidRDefault="00800862">
      <w:pPr>
        <w:jc w:val="center"/>
        <w:rPr>
          <w:szCs w:val="22"/>
        </w:rPr>
      </w:pPr>
      <w:r>
        <w:rPr>
          <w:szCs w:val="22"/>
        </w:rPr>
        <w:t>устекинумаб (</w:t>
      </w:r>
      <w:r>
        <w:rPr>
          <w:iCs/>
          <w:szCs w:val="22"/>
        </w:rPr>
        <w:t>ustekinumab</w:t>
      </w:r>
      <w:r>
        <w:rPr>
          <w:szCs w:val="22"/>
        </w:rPr>
        <w:t>)</w:t>
      </w:r>
    </w:p>
    <w:p w14:paraId="109AE57D" w14:textId="77777777" w:rsidR="009B3384" w:rsidRDefault="009B3384">
      <w:pPr>
        <w:jc w:val="center"/>
        <w:rPr>
          <w:szCs w:val="22"/>
        </w:rPr>
      </w:pPr>
    </w:p>
    <w:p w14:paraId="109AE57E" w14:textId="77777777" w:rsidR="009B3384" w:rsidRDefault="00800862">
      <w:pPr>
        <w:keepNext/>
        <w:rPr>
          <w:b/>
          <w:szCs w:val="22"/>
        </w:rPr>
      </w:pPr>
      <w:r>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09AE57F" w14:textId="77777777" w:rsidR="009B3384" w:rsidRDefault="009B3384">
      <w:pPr>
        <w:keepNext/>
        <w:rPr>
          <w:b/>
          <w:szCs w:val="22"/>
        </w:rPr>
      </w:pPr>
    </w:p>
    <w:p w14:paraId="16FE8D6E" w14:textId="77777777" w:rsidR="00274EC9" w:rsidRDefault="00800862" w:rsidP="00765DF6">
      <w:pPr>
        <w:rPr>
          <w:b/>
          <w:szCs w:val="22"/>
        </w:rPr>
      </w:pPr>
      <w:r>
        <w:rPr>
          <w:b/>
          <w:szCs w:val="22"/>
        </w:rPr>
        <w:t>Тази листовка е написана за пациента, който приема лекарството.</w:t>
      </w:r>
    </w:p>
    <w:p w14:paraId="6D002AD1" w14:textId="77777777" w:rsidR="00274EC9" w:rsidRDefault="00274EC9" w:rsidP="00765DF6">
      <w:pPr>
        <w:rPr>
          <w:b/>
          <w:szCs w:val="22"/>
        </w:rPr>
      </w:pPr>
    </w:p>
    <w:p w14:paraId="109AE580" w14:textId="4755EA7E" w:rsidR="009B3384" w:rsidRDefault="00800862" w:rsidP="00F9219D">
      <w:pPr>
        <w:numPr>
          <w:ilvl w:val="0"/>
          <w:numId w:val="27"/>
        </w:numPr>
        <w:ind w:left="567" w:hanging="567"/>
      </w:pPr>
      <w:r>
        <w:t>Запазете тази листовка. Може да се наложи да я прочетете отново.</w:t>
      </w:r>
    </w:p>
    <w:p w14:paraId="109AE581" w14:textId="77777777" w:rsidR="009B3384" w:rsidRDefault="00800862" w:rsidP="00F9219D">
      <w:pPr>
        <w:numPr>
          <w:ilvl w:val="0"/>
          <w:numId w:val="27"/>
        </w:numPr>
        <w:ind w:left="567" w:hanging="567"/>
      </w:pPr>
      <w:r>
        <w:t>Ако имате някакви допълнителни въпроси, попитайте Вашия лекар или фармацевт.</w:t>
      </w:r>
    </w:p>
    <w:p w14:paraId="109AE582" w14:textId="77777777" w:rsidR="009B3384" w:rsidRDefault="00800862" w:rsidP="00F9219D">
      <w:pPr>
        <w:numPr>
          <w:ilvl w:val="0"/>
          <w:numId w:val="27"/>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9AE583" w14:textId="77777777" w:rsidR="009B3384" w:rsidRDefault="00800862" w:rsidP="00F9219D">
      <w:pPr>
        <w:numPr>
          <w:ilvl w:val="0"/>
          <w:numId w:val="27"/>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09AE584" w14:textId="77777777" w:rsidR="009B3384" w:rsidRDefault="009B3384">
      <w:pPr>
        <w:rPr>
          <w:szCs w:val="22"/>
        </w:rPr>
      </w:pPr>
    </w:p>
    <w:p w14:paraId="109AE585" w14:textId="77777777" w:rsidR="009B3384" w:rsidRDefault="00800862">
      <w:pPr>
        <w:keepNext/>
        <w:rPr>
          <w:szCs w:val="22"/>
          <w:lang w:val="nl-BE"/>
        </w:rPr>
      </w:pPr>
      <w:r>
        <w:rPr>
          <w:b/>
          <w:szCs w:val="22"/>
        </w:rPr>
        <w:t>Какво съдържа тази листовка</w:t>
      </w:r>
    </w:p>
    <w:p w14:paraId="109AE586" w14:textId="77777777" w:rsidR="009B3384" w:rsidRDefault="00800862">
      <w:pPr>
        <w:tabs>
          <w:tab w:val="clear" w:pos="567"/>
        </w:tabs>
        <w:rPr>
          <w:szCs w:val="22"/>
        </w:rPr>
      </w:pPr>
      <w:r>
        <w:rPr>
          <w:szCs w:val="22"/>
        </w:rPr>
        <w:t>1.</w:t>
      </w:r>
      <w:r>
        <w:rPr>
          <w:szCs w:val="22"/>
        </w:rPr>
        <w:tab/>
        <w:t>Какво представлява Stelara и за какво се използва</w:t>
      </w:r>
    </w:p>
    <w:p w14:paraId="109AE587" w14:textId="77777777" w:rsidR="009B3384" w:rsidRDefault="00800862">
      <w:pPr>
        <w:tabs>
          <w:tab w:val="clear" w:pos="567"/>
        </w:tabs>
        <w:rPr>
          <w:szCs w:val="22"/>
        </w:rPr>
      </w:pPr>
      <w:r>
        <w:rPr>
          <w:szCs w:val="22"/>
        </w:rPr>
        <w:t>2.</w:t>
      </w:r>
      <w:r>
        <w:rPr>
          <w:szCs w:val="22"/>
        </w:rPr>
        <w:tab/>
        <w:t>Какво трябва да знаете, преди да използвате Stelara</w:t>
      </w:r>
    </w:p>
    <w:p w14:paraId="109AE588" w14:textId="77777777" w:rsidR="009B3384" w:rsidRDefault="00800862">
      <w:pPr>
        <w:tabs>
          <w:tab w:val="clear" w:pos="567"/>
        </w:tabs>
        <w:rPr>
          <w:szCs w:val="22"/>
        </w:rPr>
      </w:pPr>
      <w:r>
        <w:rPr>
          <w:szCs w:val="22"/>
        </w:rPr>
        <w:t>3.</w:t>
      </w:r>
      <w:r>
        <w:rPr>
          <w:szCs w:val="22"/>
        </w:rPr>
        <w:tab/>
        <w:t>Как да използвате Stelara</w:t>
      </w:r>
    </w:p>
    <w:p w14:paraId="109AE589" w14:textId="77777777" w:rsidR="009B3384" w:rsidRDefault="00800862">
      <w:pPr>
        <w:tabs>
          <w:tab w:val="clear" w:pos="567"/>
        </w:tabs>
        <w:rPr>
          <w:szCs w:val="22"/>
        </w:rPr>
      </w:pPr>
      <w:r>
        <w:rPr>
          <w:szCs w:val="22"/>
        </w:rPr>
        <w:t>4.</w:t>
      </w:r>
      <w:r>
        <w:rPr>
          <w:szCs w:val="22"/>
        </w:rPr>
        <w:tab/>
        <w:t>Възможни нежелани реакции</w:t>
      </w:r>
    </w:p>
    <w:p w14:paraId="109AE58A" w14:textId="77777777" w:rsidR="009B3384" w:rsidRDefault="00800862">
      <w:pPr>
        <w:tabs>
          <w:tab w:val="clear" w:pos="567"/>
        </w:tabs>
        <w:rPr>
          <w:szCs w:val="22"/>
        </w:rPr>
      </w:pPr>
      <w:r>
        <w:rPr>
          <w:szCs w:val="22"/>
        </w:rPr>
        <w:t>5.</w:t>
      </w:r>
      <w:r>
        <w:rPr>
          <w:szCs w:val="22"/>
        </w:rPr>
        <w:tab/>
        <w:t>Как да съхранявате Stelara</w:t>
      </w:r>
    </w:p>
    <w:p w14:paraId="109AE58B" w14:textId="77777777" w:rsidR="009B3384" w:rsidRDefault="00800862">
      <w:pPr>
        <w:tabs>
          <w:tab w:val="clear" w:pos="567"/>
        </w:tabs>
        <w:rPr>
          <w:szCs w:val="22"/>
        </w:rPr>
      </w:pPr>
      <w:r>
        <w:rPr>
          <w:szCs w:val="22"/>
        </w:rPr>
        <w:t>6.</w:t>
      </w:r>
      <w:r>
        <w:rPr>
          <w:szCs w:val="22"/>
        </w:rPr>
        <w:tab/>
        <w:t>Съдържание на опаковката и допълнителна информация</w:t>
      </w:r>
    </w:p>
    <w:p w14:paraId="109AE58C" w14:textId="77777777" w:rsidR="009B3384" w:rsidRDefault="009B3384">
      <w:pPr>
        <w:rPr>
          <w:szCs w:val="22"/>
        </w:rPr>
      </w:pPr>
    </w:p>
    <w:p w14:paraId="109AE58D" w14:textId="77777777" w:rsidR="009B3384" w:rsidRDefault="009B3384">
      <w:pPr>
        <w:rPr>
          <w:szCs w:val="22"/>
        </w:rPr>
      </w:pPr>
    </w:p>
    <w:p w14:paraId="109AE58E" w14:textId="77777777" w:rsidR="009B3384" w:rsidRDefault="00800862">
      <w:pPr>
        <w:keepNext/>
        <w:ind w:left="567" w:hanging="567"/>
        <w:outlineLvl w:val="2"/>
        <w:rPr>
          <w:b/>
          <w:bCs/>
          <w:szCs w:val="22"/>
        </w:rPr>
      </w:pPr>
      <w:r>
        <w:rPr>
          <w:b/>
          <w:bCs/>
          <w:szCs w:val="22"/>
        </w:rPr>
        <w:t>1.</w:t>
      </w:r>
      <w:r>
        <w:rPr>
          <w:b/>
          <w:bCs/>
          <w:szCs w:val="22"/>
        </w:rPr>
        <w:tab/>
        <w:t>Какво представлява Stelara и за какво се използва</w:t>
      </w:r>
    </w:p>
    <w:p w14:paraId="109AE58F" w14:textId="77777777" w:rsidR="009B3384" w:rsidRDefault="009B3384">
      <w:pPr>
        <w:keepNext/>
      </w:pPr>
    </w:p>
    <w:p w14:paraId="109AE590" w14:textId="77777777" w:rsidR="009B3384" w:rsidRDefault="00800862">
      <w:pPr>
        <w:keepNext/>
        <w:rPr>
          <w:szCs w:val="22"/>
        </w:rPr>
      </w:pPr>
      <w:r>
        <w:rPr>
          <w:b/>
          <w:szCs w:val="22"/>
        </w:rPr>
        <w:t xml:space="preserve">Какво представлява </w:t>
      </w:r>
      <w:r>
        <w:rPr>
          <w:b/>
          <w:szCs w:val="22"/>
          <w:lang w:val="en-US"/>
        </w:rPr>
        <w:t>Stelara</w:t>
      </w:r>
    </w:p>
    <w:p w14:paraId="109AE591" w14:textId="77777777" w:rsidR="009B3384" w:rsidRDefault="00800862">
      <w:pPr>
        <w:rPr>
          <w:szCs w:val="22"/>
        </w:rPr>
      </w:pPr>
      <w:r>
        <w:rPr>
          <w:szCs w:val="22"/>
          <w:lang w:val="en-GB"/>
        </w:rPr>
        <w:t>Stelara</w:t>
      </w:r>
      <w:r>
        <w:rPr>
          <w:szCs w:val="22"/>
        </w:rPr>
        <w:t xml:space="preserve"> съдържа активното вещество „устекинумаб”, което е моноклонално антитяло. Моноклоналните антитела са протеини, които разпознават и свързват определени специфични протеини в организма.</w:t>
      </w:r>
    </w:p>
    <w:p w14:paraId="109AE592" w14:textId="77777777" w:rsidR="009B3384" w:rsidRDefault="009B3384">
      <w:pPr>
        <w:rPr>
          <w:szCs w:val="22"/>
        </w:rPr>
      </w:pPr>
    </w:p>
    <w:p w14:paraId="109AE593" w14:textId="77777777" w:rsidR="009B3384" w:rsidRDefault="00800862">
      <w:r>
        <w:rPr>
          <w:szCs w:val="22"/>
        </w:rPr>
        <w:t xml:space="preserve">Stelara принадлежи към група лекарства, наречени „имуносупресори”. </w:t>
      </w:r>
      <w:r>
        <w:t>Тези лекарства действат, като намаляват активността на част от имунната система.</w:t>
      </w:r>
    </w:p>
    <w:p w14:paraId="109AE594" w14:textId="77777777" w:rsidR="009B3384" w:rsidRDefault="009B3384"/>
    <w:p w14:paraId="109AE595" w14:textId="77777777" w:rsidR="009B3384" w:rsidRDefault="00800862">
      <w:pPr>
        <w:keepNext/>
      </w:pPr>
      <w:r>
        <w:rPr>
          <w:b/>
        </w:rPr>
        <w:t xml:space="preserve">За какво се използва </w:t>
      </w:r>
      <w:r>
        <w:rPr>
          <w:b/>
          <w:szCs w:val="22"/>
          <w:lang w:val="en-US"/>
        </w:rPr>
        <w:t>Stelara</w:t>
      </w:r>
    </w:p>
    <w:p w14:paraId="109AE596" w14:textId="77777777" w:rsidR="009B3384" w:rsidRDefault="00800862">
      <w:r>
        <w:t>Stelara, приложена с използването на предварително напълнена писалка, се използва за лечение на следните възпалителни заболявания:</w:t>
      </w:r>
    </w:p>
    <w:p w14:paraId="109AE597" w14:textId="77777777" w:rsidR="009B3384" w:rsidRDefault="00800862">
      <w:pPr>
        <w:numPr>
          <w:ilvl w:val="0"/>
          <w:numId w:val="30"/>
        </w:numPr>
        <w:tabs>
          <w:tab w:val="clear" w:pos="567"/>
        </w:tabs>
      </w:pPr>
      <w:r>
        <w:t>Плаков псориазис - при възрастни</w:t>
      </w:r>
    </w:p>
    <w:p w14:paraId="109AE598" w14:textId="77777777" w:rsidR="009B3384" w:rsidRDefault="00800862">
      <w:pPr>
        <w:numPr>
          <w:ilvl w:val="0"/>
          <w:numId w:val="30"/>
        </w:numPr>
        <w:tabs>
          <w:tab w:val="clear" w:pos="567"/>
        </w:tabs>
      </w:pPr>
      <w:r>
        <w:t>Псориатичен артрит – при възрастни</w:t>
      </w:r>
    </w:p>
    <w:p w14:paraId="109AE599" w14:textId="77777777" w:rsidR="009B3384" w:rsidRDefault="00800862">
      <w:pPr>
        <w:numPr>
          <w:ilvl w:val="0"/>
          <w:numId w:val="30"/>
        </w:numPr>
        <w:tabs>
          <w:tab w:val="clear" w:pos="567"/>
        </w:tabs>
        <w:rPr>
          <w:bCs/>
        </w:rPr>
      </w:pPr>
      <w:r>
        <w:t>Умерена до тежка болест на Крон – при възрастни</w:t>
      </w:r>
    </w:p>
    <w:p w14:paraId="109AE59A" w14:textId="77777777" w:rsidR="009B3384" w:rsidRDefault="00800862">
      <w:pPr>
        <w:numPr>
          <w:ilvl w:val="0"/>
          <w:numId w:val="30"/>
        </w:numPr>
        <w:tabs>
          <w:tab w:val="clear" w:pos="567"/>
        </w:tabs>
      </w:pPr>
      <w:r>
        <w:t>Умерен до тежък улцерозен колит – при възрастни</w:t>
      </w:r>
    </w:p>
    <w:p w14:paraId="109AE59B" w14:textId="77777777" w:rsidR="009B3384" w:rsidRDefault="009B3384"/>
    <w:p w14:paraId="109AE59C" w14:textId="77777777" w:rsidR="009B3384" w:rsidRDefault="00800862">
      <w:pPr>
        <w:keepNext/>
        <w:widowControl w:val="0"/>
        <w:rPr>
          <w:b/>
        </w:rPr>
      </w:pPr>
      <w:r>
        <w:rPr>
          <w:b/>
        </w:rPr>
        <w:t>Плаков псориазис</w:t>
      </w:r>
    </w:p>
    <w:p w14:paraId="109AE59D" w14:textId="77777777" w:rsidR="009B3384" w:rsidRDefault="00800862">
      <w:pPr>
        <w:widowControl w:val="0"/>
      </w:pPr>
      <w:r>
        <w:t>„Плаков псориазис” е кожно заболяване, което води до възпаление, засягащо кожата и ноктите. Stelara намалява възпалението и другите признаци на заболяването.</w:t>
      </w:r>
    </w:p>
    <w:p w14:paraId="109AE59E" w14:textId="77777777" w:rsidR="009B3384" w:rsidRDefault="009B3384">
      <w:pPr>
        <w:widowControl w:val="0"/>
      </w:pPr>
    </w:p>
    <w:p w14:paraId="109AE59F" w14:textId="77777777" w:rsidR="009B3384" w:rsidRDefault="00800862">
      <w:pPr>
        <w:widowControl w:val="0"/>
      </w:pPr>
      <w:r>
        <w:t>Stelara, приложена с използването на предварително напълнена писалка, се използва при възрастни с умерен до тежък плаков псориазис, които не могат да използват циклоспорин, метотрексат или фототерапия, или когато тези лечения не действат.</w:t>
      </w:r>
    </w:p>
    <w:p w14:paraId="109AE5A0" w14:textId="77777777" w:rsidR="009B3384" w:rsidRDefault="009B3384">
      <w:pPr>
        <w:widowControl w:val="0"/>
      </w:pPr>
    </w:p>
    <w:p w14:paraId="109AE5A1" w14:textId="77777777" w:rsidR="009B3384" w:rsidRDefault="00800862">
      <w:pPr>
        <w:keepNext/>
        <w:rPr>
          <w:b/>
          <w:szCs w:val="22"/>
        </w:rPr>
      </w:pPr>
      <w:r>
        <w:rPr>
          <w:b/>
          <w:szCs w:val="22"/>
        </w:rPr>
        <w:t>Псориатичен артрит</w:t>
      </w:r>
    </w:p>
    <w:p w14:paraId="109AE5A2" w14:textId="77777777" w:rsidR="009B3384" w:rsidRDefault="00800862">
      <w:pPr>
        <w:rPr>
          <w:szCs w:val="22"/>
        </w:rPr>
      </w:pPr>
      <w:r>
        <w:rPr>
          <w:szCs w:val="22"/>
        </w:rPr>
        <w:t>Псориатичен артрит е възпалително заболяване на ставите, обикновено съпътствано от псориазис. Ако имате активен псориатичен артрит, първо ще Ви лекуват с други лекарства. Ако не се повлияете достатъчно добре от тези лекарства, може да Ви се предпише Stelara, за да се:</w:t>
      </w:r>
    </w:p>
    <w:p w14:paraId="109AE5A3" w14:textId="77777777" w:rsidR="009B3384" w:rsidRDefault="00800862">
      <w:pPr>
        <w:numPr>
          <w:ilvl w:val="0"/>
          <w:numId w:val="30"/>
        </w:numPr>
        <w:tabs>
          <w:tab w:val="clear" w:pos="567"/>
        </w:tabs>
        <w:rPr>
          <w:szCs w:val="22"/>
        </w:rPr>
      </w:pPr>
      <w:r>
        <w:rPr>
          <w:szCs w:val="22"/>
        </w:rPr>
        <w:lastRenderedPageBreak/>
        <w:t>намалят признаците и симптомите на заболяването Ви;</w:t>
      </w:r>
    </w:p>
    <w:p w14:paraId="109AE5A4" w14:textId="77777777" w:rsidR="009B3384" w:rsidRDefault="00800862">
      <w:pPr>
        <w:numPr>
          <w:ilvl w:val="0"/>
          <w:numId w:val="30"/>
        </w:numPr>
        <w:tabs>
          <w:tab w:val="clear" w:pos="567"/>
        </w:tabs>
        <w:rPr>
          <w:szCs w:val="22"/>
        </w:rPr>
      </w:pPr>
      <w:r>
        <w:rPr>
          <w:szCs w:val="22"/>
        </w:rPr>
        <w:t>подобри физическото Ви състояние;</w:t>
      </w:r>
    </w:p>
    <w:p w14:paraId="109AE5A5" w14:textId="77777777" w:rsidR="009B3384" w:rsidRDefault="00800862">
      <w:pPr>
        <w:numPr>
          <w:ilvl w:val="0"/>
          <w:numId w:val="30"/>
        </w:numPr>
        <w:tabs>
          <w:tab w:val="clear" w:pos="567"/>
        </w:tabs>
        <w:rPr>
          <w:szCs w:val="22"/>
        </w:rPr>
      </w:pPr>
      <w:r>
        <w:rPr>
          <w:szCs w:val="22"/>
        </w:rPr>
        <w:t>забави увреждането на Вашите стави.</w:t>
      </w:r>
    </w:p>
    <w:p w14:paraId="109AE5A6" w14:textId="77777777" w:rsidR="009B3384" w:rsidRDefault="009B3384">
      <w:pPr>
        <w:rPr>
          <w:szCs w:val="22"/>
        </w:rPr>
      </w:pPr>
    </w:p>
    <w:p w14:paraId="109AE5A7" w14:textId="77777777" w:rsidR="009B3384" w:rsidRDefault="00800862">
      <w:pPr>
        <w:keepNext/>
        <w:widowControl w:val="0"/>
        <w:rPr>
          <w:b/>
        </w:rPr>
      </w:pPr>
      <w:r>
        <w:rPr>
          <w:b/>
        </w:rPr>
        <w:t>Болест на Крон</w:t>
      </w:r>
    </w:p>
    <w:p w14:paraId="109AE5A8" w14:textId="77777777" w:rsidR="009B3384" w:rsidRDefault="00800862">
      <w:r>
        <w:t xml:space="preserve">Болестта на Крон е възпалително заболяване на червата. Ако имате болест на Крон първо ще Ви се дадат други лекарства. Ако не се повлияете достатъчно или имате непоносимост към тези лекарства, може да Ви се даде </w:t>
      </w:r>
      <w:r>
        <w:rPr>
          <w:lang w:val="en-GB"/>
        </w:rPr>
        <w:t>Stelara</w:t>
      </w:r>
      <w:r>
        <w:t xml:space="preserve"> за намаляване на признаците и симптомите на заболяването Ви.</w:t>
      </w:r>
    </w:p>
    <w:p w14:paraId="109AE5A9" w14:textId="77777777" w:rsidR="009B3384" w:rsidRDefault="009B3384">
      <w:pPr>
        <w:rPr>
          <w:szCs w:val="22"/>
        </w:rPr>
      </w:pPr>
    </w:p>
    <w:p w14:paraId="109AE5AA" w14:textId="77777777" w:rsidR="009B3384" w:rsidRDefault="00800862">
      <w:pPr>
        <w:keepNext/>
        <w:tabs>
          <w:tab w:val="clear" w:pos="567"/>
        </w:tabs>
        <w:rPr>
          <w:b/>
        </w:rPr>
      </w:pPr>
      <w:r>
        <w:rPr>
          <w:b/>
        </w:rPr>
        <w:t>Улцерозен колит</w:t>
      </w:r>
    </w:p>
    <w:p w14:paraId="109AE5AB" w14:textId="77777777" w:rsidR="009B3384" w:rsidRDefault="00800862">
      <w:r>
        <w:t>Улцерозният колит е възпалително заболяване на червата. Ако имате улцерозен колит, първо ще Ви се дадат други лекарства. Ако не се повлиявате добре или имате непоносимост към тези лекарства, може да Ви се даде Stelara за намаляване на признаците и симптомите на Вашето заболяване.</w:t>
      </w:r>
    </w:p>
    <w:p w14:paraId="109AE5AC" w14:textId="77777777" w:rsidR="009B3384" w:rsidRDefault="009B3384">
      <w:pPr>
        <w:rPr>
          <w:szCs w:val="22"/>
        </w:rPr>
      </w:pPr>
    </w:p>
    <w:p w14:paraId="109AE5AD" w14:textId="77777777" w:rsidR="009B3384" w:rsidRDefault="009B3384">
      <w:pPr>
        <w:rPr>
          <w:szCs w:val="22"/>
        </w:rPr>
      </w:pPr>
    </w:p>
    <w:p w14:paraId="109AE5AE" w14:textId="77777777" w:rsidR="009B3384" w:rsidRDefault="00800862">
      <w:pPr>
        <w:keepNext/>
        <w:ind w:left="567" w:hanging="567"/>
        <w:outlineLvl w:val="2"/>
        <w:rPr>
          <w:b/>
          <w:bCs/>
        </w:rPr>
      </w:pPr>
      <w:r>
        <w:rPr>
          <w:b/>
          <w:bCs/>
        </w:rPr>
        <w:t>2.</w:t>
      </w:r>
      <w:r>
        <w:rPr>
          <w:b/>
          <w:bCs/>
        </w:rPr>
        <w:tab/>
        <w:t>Какво трябва да знаете, преди да използвате Stelara</w:t>
      </w:r>
    </w:p>
    <w:p w14:paraId="109AE5AF" w14:textId="77777777" w:rsidR="009B3384" w:rsidRDefault="009B3384">
      <w:pPr>
        <w:keepNext/>
        <w:rPr>
          <w:szCs w:val="22"/>
        </w:rPr>
      </w:pPr>
    </w:p>
    <w:p w14:paraId="109AE5B0" w14:textId="77777777" w:rsidR="009B3384" w:rsidRDefault="00800862">
      <w:pPr>
        <w:keepNext/>
        <w:rPr>
          <w:szCs w:val="22"/>
        </w:rPr>
      </w:pPr>
      <w:r>
        <w:rPr>
          <w:b/>
          <w:szCs w:val="22"/>
        </w:rPr>
        <w:t>Не използвайте Stelara</w:t>
      </w:r>
    </w:p>
    <w:p w14:paraId="109AE5B1" w14:textId="77777777" w:rsidR="009B3384" w:rsidRDefault="00800862">
      <w:pPr>
        <w:numPr>
          <w:ilvl w:val="0"/>
          <w:numId w:val="30"/>
        </w:numPr>
        <w:tabs>
          <w:tab w:val="clear" w:pos="567"/>
        </w:tabs>
        <w:rPr>
          <w:bCs/>
          <w:szCs w:val="22"/>
        </w:rPr>
      </w:pPr>
      <w:r>
        <w:rPr>
          <w:bCs/>
          <w:szCs w:val="22"/>
        </w:rPr>
        <w:t>Ако сте алергични към устекинумаб</w:t>
      </w:r>
      <w:r>
        <w:rPr>
          <w:szCs w:val="22"/>
        </w:rPr>
        <w:t xml:space="preserve"> или някоя от останалите съставки на това лекарство (изброени в точка 6).</w:t>
      </w:r>
    </w:p>
    <w:p w14:paraId="109AE5B2" w14:textId="77777777" w:rsidR="009B3384" w:rsidRDefault="00800862">
      <w:pPr>
        <w:numPr>
          <w:ilvl w:val="0"/>
          <w:numId w:val="30"/>
        </w:numPr>
        <w:tabs>
          <w:tab w:val="clear" w:pos="567"/>
        </w:tabs>
        <w:rPr>
          <w:bCs/>
          <w:szCs w:val="22"/>
        </w:rPr>
      </w:pPr>
      <w:r>
        <w:rPr>
          <w:bCs/>
          <w:szCs w:val="22"/>
        </w:rPr>
        <w:t>Ако имате активна инфекция</w:t>
      </w:r>
      <w:r>
        <w:rPr>
          <w:szCs w:val="22"/>
        </w:rPr>
        <w:t>, която Вашият лекар намира за значима.</w:t>
      </w:r>
    </w:p>
    <w:p w14:paraId="109AE5B3" w14:textId="77777777" w:rsidR="009B3384" w:rsidRDefault="009B3384">
      <w:pPr>
        <w:rPr>
          <w:szCs w:val="22"/>
        </w:rPr>
      </w:pPr>
    </w:p>
    <w:p w14:paraId="109AE5B4" w14:textId="77777777" w:rsidR="009B3384" w:rsidRDefault="00800862">
      <w:pPr>
        <w:rPr>
          <w:szCs w:val="22"/>
        </w:rPr>
      </w:pPr>
      <w:r>
        <w:rPr>
          <w:szCs w:val="22"/>
        </w:rPr>
        <w:t>Ако не сте сигурни дали някое от изброените по-горе се отнася за Вас, посъветвайте се с Вашия лекар или фармацевт, преди да използвате Stelara.</w:t>
      </w:r>
    </w:p>
    <w:p w14:paraId="109AE5B5" w14:textId="77777777" w:rsidR="009B3384" w:rsidRDefault="009B3384">
      <w:pPr>
        <w:rPr>
          <w:szCs w:val="22"/>
        </w:rPr>
      </w:pPr>
    </w:p>
    <w:p w14:paraId="109AE5B6" w14:textId="77777777" w:rsidR="009B3384" w:rsidRDefault="00800862">
      <w:pPr>
        <w:keepNext/>
        <w:rPr>
          <w:b/>
          <w:szCs w:val="22"/>
        </w:rPr>
      </w:pPr>
      <w:r>
        <w:rPr>
          <w:b/>
          <w:szCs w:val="22"/>
        </w:rPr>
        <w:t>Предупреждения и предпазни мерки</w:t>
      </w:r>
    </w:p>
    <w:p w14:paraId="109AE5B7" w14:textId="77777777" w:rsidR="009B3384" w:rsidRDefault="00800862">
      <w:pPr>
        <w:rPr>
          <w:szCs w:val="22"/>
        </w:rPr>
      </w:pPr>
      <w:r>
        <w:t>Говорете с Вашия лекар или фармацевт преди да използвате Stelara. Вашият лекар ще провери състоянието Ви преди всяко лечение. Уведомете своя лекар за всяка Ваша болест преди всяко лечение. Също така информирайте Вашия лекар, ако наскоро сте били в контакт с човек, който може да има туберкулоза. Вашият лекар ще Ви прегледа и ще направи изследване за туберкулоза, преди да използвате Stelara. Ако Вашият лекар смята, че сте изложени на риск от туберкулоза, може да Ви предпише лекарства за лечението й.</w:t>
      </w:r>
    </w:p>
    <w:p w14:paraId="109AE5B8" w14:textId="77777777" w:rsidR="009B3384" w:rsidRDefault="009B3384">
      <w:pPr>
        <w:rPr>
          <w:szCs w:val="22"/>
        </w:rPr>
      </w:pPr>
    </w:p>
    <w:p w14:paraId="109AE5B9" w14:textId="77777777" w:rsidR="009B3384" w:rsidRDefault="00800862">
      <w:pPr>
        <w:keepNext/>
        <w:rPr>
          <w:b/>
        </w:rPr>
      </w:pPr>
      <w:r>
        <w:rPr>
          <w:b/>
        </w:rPr>
        <w:t>Следете за сериозни нежелани реакции</w:t>
      </w:r>
    </w:p>
    <w:p w14:paraId="109AE5BA" w14:textId="77777777" w:rsidR="009B3384" w:rsidRDefault="00800862">
      <w:r>
        <w:t>Stelara може да предизвика сериозни нежелани реакции, включително алергични реакции и инфекции. Трябва да следите за определени признаци на заболявания, докато приемате Stelara. Вижте „Сериозни нежелани реакции” в точка 4 за пълния списък на тези нежелани реакции.</w:t>
      </w:r>
    </w:p>
    <w:p w14:paraId="109AE5BB" w14:textId="77777777" w:rsidR="009B3384" w:rsidRDefault="009B3384">
      <w:pPr>
        <w:rPr>
          <w:szCs w:val="22"/>
        </w:rPr>
      </w:pPr>
    </w:p>
    <w:p w14:paraId="109AE5BC" w14:textId="77777777" w:rsidR="009B3384" w:rsidRDefault="00800862">
      <w:pPr>
        <w:keepNext/>
        <w:rPr>
          <w:b/>
        </w:rPr>
      </w:pPr>
      <w:r>
        <w:rPr>
          <w:b/>
        </w:rPr>
        <w:t>Преди да използвате Stelara информирайте Вашия лекар:</w:t>
      </w:r>
    </w:p>
    <w:p w14:paraId="109AE5BD" w14:textId="77777777" w:rsidR="009B3384" w:rsidRDefault="00800862">
      <w:pPr>
        <w:widowControl w:val="0"/>
        <w:numPr>
          <w:ilvl w:val="0"/>
          <w:numId w:val="30"/>
        </w:numPr>
        <w:tabs>
          <w:tab w:val="clear" w:pos="567"/>
        </w:tabs>
        <w:rPr>
          <w:bCs/>
        </w:rPr>
      </w:pPr>
      <w:r>
        <w:rPr>
          <w:b/>
          <w:bCs/>
        </w:rPr>
        <w:t>Ако някога сте имали алергична реакция към Stelara</w:t>
      </w:r>
      <w:r>
        <w:rPr>
          <w:bCs/>
        </w:rPr>
        <w:t>. Ако не сте сигурни, попитайте Вашия лекар.</w:t>
      </w:r>
    </w:p>
    <w:p w14:paraId="109AE5BE" w14:textId="77777777" w:rsidR="009B3384" w:rsidRDefault="00800862">
      <w:pPr>
        <w:widowControl w:val="0"/>
        <w:numPr>
          <w:ilvl w:val="0"/>
          <w:numId w:val="30"/>
        </w:numPr>
        <w:tabs>
          <w:tab w:val="clear" w:pos="567"/>
        </w:tabs>
        <w:rPr>
          <w:bCs/>
          <w:szCs w:val="22"/>
        </w:rPr>
      </w:pPr>
      <w:r>
        <w:rPr>
          <w:b/>
          <w:bCs/>
        </w:rPr>
        <w:t xml:space="preserve">Ако някога сте имали някакъв вид рак </w:t>
      </w:r>
      <w:r>
        <w:rPr>
          <w:bCs/>
        </w:rPr>
        <w:t xml:space="preserve">– това е, защото имуносупресорите като </w:t>
      </w:r>
      <w:r>
        <w:t>Stelara отслабват част от имунната система. Това може да повиши риска от рак.</w:t>
      </w:r>
    </w:p>
    <w:p w14:paraId="109AE5BF" w14:textId="77777777" w:rsidR="009B3384" w:rsidRDefault="00800862">
      <w:pPr>
        <w:numPr>
          <w:ilvl w:val="0"/>
          <w:numId w:val="30"/>
        </w:numPr>
        <w:tabs>
          <w:tab w:val="clear" w:pos="567"/>
        </w:tabs>
      </w:pPr>
      <w:r>
        <w:rPr>
          <w:b/>
          <w:bCs/>
          <w:szCs w:val="22"/>
        </w:rPr>
        <w:t>Ако сте лекувани за псориазис с други биологични лекарства (лекарство, произведено от биологичен източник и обикновено прилагано чрез инжекция)</w:t>
      </w:r>
      <w:r>
        <w:rPr>
          <w:bCs/>
          <w:szCs w:val="22"/>
        </w:rPr>
        <w:t xml:space="preserve"> - рискът от рак може да е по-висок.</w:t>
      </w:r>
    </w:p>
    <w:p w14:paraId="109AE5C0" w14:textId="77777777" w:rsidR="009B3384" w:rsidRDefault="00800862">
      <w:pPr>
        <w:widowControl w:val="0"/>
        <w:numPr>
          <w:ilvl w:val="0"/>
          <w:numId w:val="30"/>
        </w:numPr>
        <w:tabs>
          <w:tab w:val="clear" w:pos="567"/>
        </w:tabs>
        <w:rPr>
          <w:bCs/>
          <w:szCs w:val="22"/>
        </w:rPr>
      </w:pPr>
      <w:r>
        <w:rPr>
          <w:b/>
          <w:bCs/>
        </w:rPr>
        <w:t>Ако имате или наскоро сте имали инфекция.</w:t>
      </w:r>
    </w:p>
    <w:p w14:paraId="109AE5C1" w14:textId="77777777" w:rsidR="009B3384" w:rsidRDefault="00800862">
      <w:pPr>
        <w:widowControl w:val="0"/>
        <w:numPr>
          <w:ilvl w:val="0"/>
          <w:numId w:val="30"/>
        </w:numPr>
        <w:tabs>
          <w:tab w:val="clear" w:pos="567"/>
        </w:tabs>
        <w:rPr>
          <w:bCs/>
        </w:rPr>
      </w:pPr>
      <w:r>
        <w:rPr>
          <w:b/>
          <w:bCs/>
        </w:rPr>
        <w:t xml:space="preserve">Ако имате нови или променящи се лезии </w:t>
      </w:r>
      <w:r>
        <w:rPr>
          <w:bCs/>
        </w:rPr>
        <w:t>в участъците с псориазис или по незасегнатата кожа.</w:t>
      </w:r>
    </w:p>
    <w:p w14:paraId="109AE5C2" w14:textId="77777777" w:rsidR="009B3384" w:rsidRDefault="00800862">
      <w:pPr>
        <w:widowControl w:val="0"/>
        <w:numPr>
          <w:ilvl w:val="0"/>
          <w:numId w:val="30"/>
        </w:numPr>
        <w:tabs>
          <w:tab w:val="clear" w:pos="567"/>
        </w:tabs>
        <w:rPr>
          <w:bCs/>
        </w:rPr>
      </w:pPr>
      <w:r>
        <w:rPr>
          <w:b/>
        </w:rPr>
        <w:t>Ако някога сте имали алергична реакция към латекс или инжекция Stelara</w:t>
      </w:r>
      <w:r>
        <w:t xml:space="preserve"> – </w:t>
      </w:r>
      <w:r>
        <w:rPr>
          <w:szCs w:val="22"/>
        </w:rPr>
        <w:t xml:space="preserve">опаковката, в която се намира този лекарствен продукт, съдържа латексова гума, която може да предизвика тежки алергични реакции при хора, чувствителни към латекс. Вижте </w:t>
      </w:r>
      <w:r>
        <w:t>„Следете за сериозни нежелани рекации” в точка 4 за признаците на алергична реакция.</w:t>
      </w:r>
    </w:p>
    <w:p w14:paraId="109AE5C3" w14:textId="77777777" w:rsidR="009B3384" w:rsidRDefault="00800862">
      <w:pPr>
        <w:widowControl w:val="0"/>
        <w:numPr>
          <w:ilvl w:val="0"/>
          <w:numId w:val="30"/>
        </w:numPr>
        <w:tabs>
          <w:tab w:val="clear" w:pos="567"/>
        </w:tabs>
        <w:rPr>
          <w:bCs/>
        </w:rPr>
      </w:pPr>
      <w:r>
        <w:rPr>
          <w:b/>
        </w:rPr>
        <w:t>Ако получавате друго лечение за псориазис и/или псориатичен артрит</w:t>
      </w:r>
      <w:r>
        <w:t xml:space="preserve"> – като други </w:t>
      </w:r>
      <w:r>
        <w:lastRenderedPageBreak/>
        <w:t xml:space="preserve">имуносупресори или фототерапия (когато тялото се лекува с тип ултравиолетова (UV) светлина). Тези лечения също може да отслабят част от имунната система. Използването на тези лечения заедно със </w:t>
      </w:r>
      <w:r>
        <w:rPr>
          <w:lang w:val="en-US"/>
        </w:rPr>
        <w:t>Stelara</w:t>
      </w:r>
      <w:r>
        <w:t xml:space="preserve"> не е изследвано. Възможно е обаче, то да увеличи риска от заболявания, свързани с отслабване на имунната система.</w:t>
      </w:r>
    </w:p>
    <w:p w14:paraId="109AE5C4" w14:textId="77777777" w:rsidR="009B3384" w:rsidRDefault="00800862">
      <w:pPr>
        <w:numPr>
          <w:ilvl w:val="0"/>
          <w:numId w:val="30"/>
        </w:numPr>
        <w:tabs>
          <w:tab w:val="clear" w:pos="567"/>
        </w:tabs>
        <w:rPr>
          <w:bCs/>
        </w:rPr>
      </w:pPr>
      <w:r>
        <w:rPr>
          <w:b/>
        </w:rPr>
        <w:t>Ако получавате или някога сте получавали инжекции за лечение на алергии</w:t>
      </w:r>
      <w:r>
        <w:t xml:space="preserve"> – не е известно дали Stelara може да окаже влияние върху тях.</w:t>
      </w:r>
    </w:p>
    <w:p w14:paraId="109AE5C5" w14:textId="77777777" w:rsidR="009B3384" w:rsidRDefault="00800862">
      <w:pPr>
        <w:numPr>
          <w:ilvl w:val="0"/>
          <w:numId w:val="30"/>
        </w:numPr>
        <w:tabs>
          <w:tab w:val="clear" w:pos="567"/>
        </w:tabs>
        <w:rPr>
          <w:bCs/>
        </w:rPr>
      </w:pPr>
      <w:r>
        <w:rPr>
          <w:b/>
        </w:rPr>
        <w:t>Ако сте на и над 65 години</w:t>
      </w:r>
      <w:r>
        <w:t xml:space="preserve"> – може да сте по-склонни към инфекции.</w:t>
      </w:r>
    </w:p>
    <w:p w14:paraId="109AE5C6" w14:textId="77777777" w:rsidR="009B3384" w:rsidRDefault="009B3384"/>
    <w:p w14:paraId="109AE5C7" w14:textId="77777777" w:rsidR="009B3384" w:rsidRDefault="00800862">
      <w:pPr>
        <w:rPr>
          <w:szCs w:val="22"/>
        </w:rPr>
      </w:pPr>
      <w:r>
        <w:rPr>
          <w:szCs w:val="22"/>
        </w:rPr>
        <w:t>Ако не сте сигурни дали някое от гореизброените се отнася за Вас, посъветвайте се с Вашия лекар или фармацевт, преди да използвате Stelara.</w:t>
      </w:r>
    </w:p>
    <w:p w14:paraId="109AE5C8" w14:textId="77777777" w:rsidR="009B3384" w:rsidRDefault="009B3384">
      <w:pPr>
        <w:rPr>
          <w:szCs w:val="22"/>
        </w:rPr>
      </w:pPr>
    </w:p>
    <w:p w14:paraId="109AE5C9" w14:textId="77777777" w:rsidR="009B3384" w:rsidRDefault="00800862">
      <w:pPr>
        <w:rPr>
          <w:szCs w:val="22"/>
        </w:rPr>
      </w:pPr>
      <w:r>
        <w:rPr>
          <w:szCs w:val="22"/>
        </w:rPr>
        <w:t>Някои пациенти получават лупус-подобни реакции, включително кожен лупус еритематодес и лупус-подобен синдром, по време на лечение с устекинумаб. Говорете веднага с Вашия лекар, ако получите червен, надигнат, лющещ се обрив, понякога с по-тъмни граници, в изложените на слънце участъци на кожата или ставни болки.</w:t>
      </w:r>
    </w:p>
    <w:p w14:paraId="109AE5CA" w14:textId="77777777" w:rsidR="009B3384" w:rsidRDefault="009B3384">
      <w:pPr>
        <w:rPr>
          <w:szCs w:val="22"/>
        </w:rPr>
      </w:pPr>
    </w:p>
    <w:p w14:paraId="109AE5CB" w14:textId="77777777" w:rsidR="009B3384" w:rsidRDefault="00800862">
      <w:pPr>
        <w:keepNext/>
        <w:tabs>
          <w:tab w:val="clear" w:pos="567"/>
        </w:tabs>
        <w:rPr>
          <w:b/>
          <w:bCs/>
        </w:rPr>
      </w:pPr>
      <w:r>
        <w:rPr>
          <w:b/>
          <w:bCs/>
        </w:rPr>
        <w:t>Сърдечен инфаркт и инсулти</w:t>
      </w:r>
    </w:p>
    <w:p w14:paraId="109AE5CC" w14:textId="77777777" w:rsidR="009B3384" w:rsidRDefault="00800862">
      <w:pPr>
        <w:tabs>
          <w:tab w:val="clear" w:pos="567"/>
        </w:tabs>
      </w:pPr>
      <w:r>
        <w:t>Инфаркт и инсулти са наблюдавани в проучване при пациенти с псориазис, лекувани със Stelara. Вашият лекар редовно ще проверява рисковите фактори за сърдечно заболяване и инсулт при Вас, за да е сигурно, че те се лекуват по подходящ начин. Незабавно потърсете медицинска помощ, ако получите болка в гърдите, слабост или необичайно усещане от едната страна на тялото, отпуснатост на лицето или говорни или зрителни смущения.</w:t>
      </w:r>
    </w:p>
    <w:p w14:paraId="109AE5CD" w14:textId="77777777" w:rsidR="009B3384" w:rsidRDefault="009B3384">
      <w:pPr>
        <w:tabs>
          <w:tab w:val="clear" w:pos="567"/>
        </w:tabs>
      </w:pPr>
    </w:p>
    <w:p w14:paraId="109AE5CE" w14:textId="77777777" w:rsidR="009B3384" w:rsidRDefault="00800862">
      <w:pPr>
        <w:keepNext/>
        <w:widowControl w:val="0"/>
        <w:rPr>
          <w:b/>
          <w:bCs/>
        </w:rPr>
      </w:pPr>
      <w:r>
        <w:rPr>
          <w:b/>
          <w:bCs/>
        </w:rPr>
        <w:t>Деца и юноши</w:t>
      </w:r>
    </w:p>
    <w:p w14:paraId="109AE5CF" w14:textId="002ED5F7" w:rsidR="009B3384" w:rsidRDefault="00800862">
      <w:r>
        <w:t xml:space="preserve">Stelara </w:t>
      </w:r>
      <w:r>
        <w:rPr>
          <w:iCs/>
          <w:szCs w:val="22"/>
        </w:rPr>
        <w:t xml:space="preserve">предварително напълнена писалка </w:t>
      </w:r>
      <w:r>
        <w:t>не се препоръчва за употреба при деца на възраст под 18 години с псориазис</w:t>
      </w:r>
      <w:ins w:id="1383" w:author="Reviser" w:date="2026-04-30T15:52:00Z">
        <w:r w:rsidR="003B65CC">
          <w:t>,</w:t>
        </w:r>
      </w:ins>
      <w:r>
        <w:t xml:space="preserve"> </w:t>
      </w:r>
      <w:del w:id="1384" w:author="Reviser" w:date="2026-04-30T15:52:00Z">
        <w:r w:rsidDel="003B65CC">
          <w:delText xml:space="preserve">или </w:delText>
        </w:r>
      </w:del>
      <w:r>
        <w:t>болест на Крон</w:t>
      </w:r>
      <w:ins w:id="1385" w:author="Reviser" w:date="2026-04-30T15:51:00Z">
        <w:r w:rsidR="003B65CC">
          <w:t xml:space="preserve"> </w:t>
        </w:r>
      </w:ins>
      <w:ins w:id="1386" w:author="Reviser" w:date="2026-04-30T15:52:00Z">
        <w:r w:rsidR="003B65CC">
          <w:rPr>
            <w:bCs/>
          </w:rPr>
          <w:t>или улцерозен колит</w:t>
        </w:r>
      </w:ins>
      <w:r>
        <w:t xml:space="preserve">, защото не е проучван при тази възрастова група. Вместо това при деца на възраст 6 или повече години и юноши с псориазис трябва да се използва </w:t>
      </w:r>
      <w:r>
        <w:rPr>
          <w:iCs/>
          <w:szCs w:val="22"/>
        </w:rPr>
        <w:t>предварително напълнена спринцовка или флакон.</w:t>
      </w:r>
      <w:r>
        <w:t xml:space="preserve"> </w:t>
      </w:r>
      <w:bookmarkStart w:id="1387" w:name="_Hlk188384842"/>
      <w:r>
        <w:t xml:space="preserve">Вместо това при деца с болест на Крон </w:t>
      </w:r>
      <w:ins w:id="1388" w:author="Reviser" w:date="2026-04-30T15:53:00Z">
        <w:r w:rsidR="003B65CC">
          <w:rPr>
            <w:bCs/>
          </w:rPr>
          <w:t>или улцерозен колит</w:t>
        </w:r>
        <w:r w:rsidR="003B65CC">
          <w:t xml:space="preserve"> </w:t>
        </w:r>
      </w:ins>
      <w:r>
        <w:t>на възраст 2 и повече години</w:t>
      </w:r>
      <w:r>
        <w:rPr>
          <w:bCs/>
        </w:rPr>
        <w:t xml:space="preserve"> </w:t>
      </w:r>
      <w:r>
        <w:t xml:space="preserve">трябва да се използва инфузионен разтвор, </w:t>
      </w:r>
      <w:ins w:id="1389" w:author="RABG09" w:date="2026-06-25T10:40:00Z">
        <w:r w:rsidR="00B1129C">
          <w:rPr>
            <w:iCs/>
            <w:szCs w:val="22"/>
          </w:rPr>
          <w:t>флакон</w:t>
        </w:r>
        <w:r w:rsidR="00B1129C" w:rsidRPr="00F9219D">
          <w:rPr>
            <w:iCs/>
            <w:szCs w:val="22"/>
          </w:rPr>
          <w:t xml:space="preserve"> </w:t>
        </w:r>
        <w:r w:rsidR="00FF43E2">
          <w:rPr>
            <w:iCs/>
            <w:szCs w:val="22"/>
          </w:rPr>
          <w:t>или</w:t>
        </w:r>
        <w:r w:rsidR="00B1129C">
          <w:rPr>
            <w:iCs/>
            <w:szCs w:val="22"/>
          </w:rPr>
          <w:t xml:space="preserve"> </w:t>
        </w:r>
      </w:ins>
      <w:r>
        <w:rPr>
          <w:iCs/>
          <w:szCs w:val="22"/>
        </w:rPr>
        <w:t>предварително напълнена спринцовка</w:t>
      </w:r>
      <w:del w:id="1390" w:author="RABG09" w:date="2026-06-25T10:40:00Z">
        <w:r w:rsidDel="00FF43E2">
          <w:rPr>
            <w:iCs/>
            <w:szCs w:val="22"/>
          </w:rPr>
          <w:delText xml:space="preserve"> </w:delText>
        </w:r>
      </w:del>
      <w:del w:id="1391" w:author="RABG09" w:date="2026-06-25T10:41:00Z">
        <w:r w:rsidDel="00FF43E2">
          <w:rPr>
            <w:iCs/>
            <w:szCs w:val="22"/>
          </w:rPr>
          <w:delText>или</w:delText>
        </w:r>
      </w:del>
      <w:del w:id="1392" w:author="RABG09" w:date="2026-06-25T10:40:00Z">
        <w:r w:rsidDel="00B1129C">
          <w:rPr>
            <w:iCs/>
            <w:szCs w:val="22"/>
          </w:rPr>
          <w:delText xml:space="preserve"> флакон</w:delText>
        </w:r>
      </w:del>
      <w:r>
        <w:rPr>
          <w:iCs/>
          <w:szCs w:val="22"/>
        </w:rPr>
        <w:t>.</w:t>
      </w:r>
      <w:bookmarkEnd w:id="1387"/>
    </w:p>
    <w:p w14:paraId="109AE5D0" w14:textId="77777777" w:rsidR="009B3384" w:rsidRDefault="009B3384"/>
    <w:p w14:paraId="109AE5D1" w14:textId="2BB69FF4" w:rsidR="009B3384" w:rsidRDefault="00800862">
      <w:r>
        <w:t>Stelara не се препоръчва за употреба при деца и юноши на възраст под 18</w:t>
      </w:r>
      <w:r>
        <w:rPr>
          <w:lang w:val="en-GB"/>
        </w:rPr>
        <w:t> </w:t>
      </w:r>
      <w:r>
        <w:t>години с псориатичен артрит</w:t>
      </w:r>
      <w:ins w:id="1393" w:author="RABG09" w:date="2026-07-15T14:33:00Z" w16du:dateUtc="2026-07-15T11:33:00Z">
        <w:r w:rsidR="00CE45BF">
          <w:t>,</w:t>
        </w:r>
      </w:ins>
      <w:del w:id="1394" w:author="Reviser" w:date="2026-04-30T15:53:00Z">
        <w:r w:rsidDel="005862E3">
          <w:delText xml:space="preserve">, </w:delText>
        </w:r>
        <w:r w:rsidDel="005862E3">
          <w:rPr>
            <w:bCs/>
          </w:rPr>
          <w:delText>или с улцерозен колит,</w:delText>
        </w:r>
      </w:del>
      <w:r>
        <w:rPr>
          <w:bCs/>
        </w:rPr>
        <w:t xml:space="preserve"> </w:t>
      </w:r>
      <w:ins w:id="1395" w:author="RABG09" w:date="2026-07-15T14:32:00Z" w16du:dateUtc="2026-07-15T11:32:00Z">
        <w:r w:rsidR="00C45959">
          <w:rPr>
            <w:bCs/>
          </w:rPr>
          <w:t xml:space="preserve">или </w:t>
        </w:r>
        <w:r w:rsidR="004C1A9A">
          <w:t xml:space="preserve">при деца </w:t>
        </w:r>
        <w:r w:rsidR="004C1A9A">
          <w:rPr>
            <w:bCs/>
          </w:rPr>
          <w:t xml:space="preserve">на възраст под </w:t>
        </w:r>
        <w:r w:rsidR="004C1A9A" w:rsidRPr="00D21647">
          <w:rPr>
            <w:bCs/>
          </w:rPr>
          <w:t>6</w:t>
        </w:r>
        <w:r w:rsidR="004C1A9A">
          <w:rPr>
            <w:bCs/>
          </w:rPr>
          <w:t xml:space="preserve"> години</w:t>
        </w:r>
        <w:r w:rsidR="004C1A9A">
          <w:t xml:space="preserve"> с</w:t>
        </w:r>
        <w:r w:rsidR="004C1A9A" w:rsidRPr="00D21647">
          <w:t xml:space="preserve"> </w:t>
        </w:r>
        <w:r w:rsidR="004C1A9A">
          <w:t>псориазис</w:t>
        </w:r>
      </w:ins>
      <w:ins w:id="1396" w:author="RABG09" w:date="2026-07-15T14:33:00Z" w16du:dateUtc="2026-07-15T11:33:00Z">
        <w:r w:rsidR="00CE45BF">
          <w:t>,</w:t>
        </w:r>
      </w:ins>
      <w:ins w:id="1397" w:author="RABG09" w:date="2026-07-15T14:32:00Z" w16du:dateUtc="2026-07-15T11:32:00Z">
        <w:r w:rsidR="004C1A9A">
          <w:t xml:space="preserve"> </w:t>
        </w:r>
      </w:ins>
      <w:r>
        <w:rPr>
          <w:bCs/>
        </w:rPr>
        <w:t>или</w:t>
      </w:r>
      <w:r>
        <w:t xml:space="preserve"> </w:t>
      </w:r>
      <w:ins w:id="1398" w:author="RABG09" w:date="2026-05-14T13:18:00Z">
        <w:r w:rsidR="00936D5D">
          <w:t xml:space="preserve">при </w:t>
        </w:r>
      </w:ins>
      <w:r>
        <w:t xml:space="preserve">деца </w:t>
      </w:r>
      <w:ins w:id="1399" w:author="Reviser" w:date="2026-04-30T15:54:00Z">
        <w:r w:rsidR="005862E3">
          <w:rPr>
            <w:bCs/>
          </w:rPr>
          <w:t>на възраст под 2 години</w:t>
        </w:r>
        <w:r w:rsidR="005862E3">
          <w:t xml:space="preserve"> </w:t>
        </w:r>
      </w:ins>
      <w:r>
        <w:t>с болест на Крон</w:t>
      </w:r>
      <w:ins w:id="1400" w:author="Reviser" w:date="2026-04-30T15:54:00Z">
        <w:r w:rsidR="005862E3">
          <w:t xml:space="preserve"> </w:t>
        </w:r>
        <w:r w:rsidR="005862E3">
          <w:rPr>
            <w:bCs/>
          </w:rPr>
          <w:t>или улцерозен колит</w:t>
        </w:r>
      </w:ins>
      <w:del w:id="1401" w:author="Reviser" w:date="2026-04-30T15:54:00Z">
        <w:r w:rsidDel="005862E3">
          <w:delText xml:space="preserve"> </w:delText>
        </w:r>
        <w:r w:rsidDel="005862E3">
          <w:rPr>
            <w:bCs/>
          </w:rPr>
          <w:delText>на възраст под 2 години</w:delText>
        </w:r>
      </w:del>
      <w:r>
        <w:t>, защото не е проучван при тези възрастови групи.</w:t>
      </w:r>
    </w:p>
    <w:p w14:paraId="109AE5D2" w14:textId="77777777" w:rsidR="009B3384" w:rsidRDefault="009B3384">
      <w:pPr>
        <w:rPr>
          <w:szCs w:val="22"/>
        </w:rPr>
      </w:pPr>
    </w:p>
    <w:p w14:paraId="109AE5D3" w14:textId="77777777" w:rsidR="009B3384" w:rsidRDefault="00800862">
      <w:pPr>
        <w:keepNext/>
      </w:pPr>
      <w:r>
        <w:rPr>
          <w:b/>
          <w:szCs w:val="22"/>
        </w:rPr>
        <w:t>Други лекарства, ваксини и Stelara</w:t>
      </w:r>
    </w:p>
    <w:p w14:paraId="109AE5D4" w14:textId="77777777" w:rsidR="009B3384" w:rsidRDefault="00800862">
      <w:r>
        <w:rPr>
          <w:szCs w:val="22"/>
        </w:rPr>
        <w:t>Трябва да кажете на Вашия лекар или фармацевт:</w:t>
      </w:r>
    </w:p>
    <w:p w14:paraId="109AE5D5" w14:textId="77777777" w:rsidR="009B3384" w:rsidRDefault="00800862">
      <w:pPr>
        <w:numPr>
          <w:ilvl w:val="0"/>
          <w:numId w:val="30"/>
        </w:numPr>
        <w:tabs>
          <w:tab w:val="clear" w:pos="567"/>
        </w:tabs>
      </w:pPr>
      <w:r>
        <w:rPr>
          <w:szCs w:val="22"/>
        </w:rPr>
        <w:t>Ако приемате, наскоро сте приемали или е възможно да приемете други лекарства.</w:t>
      </w:r>
    </w:p>
    <w:p w14:paraId="109AE5D6" w14:textId="77777777" w:rsidR="009B3384" w:rsidRDefault="00800862">
      <w:pPr>
        <w:numPr>
          <w:ilvl w:val="0"/>
          <w:numId w:val="30"/>
        </w:numPr>
        <w:tabs>
          <w:tab w:val="clear" w:pos="567"/>
        </w:tabs>
      </w:pPr>
      <w:r>
        <w:rPr>
          <w:szCs w:val="22"/>
        </w:rPr>
        <w:t>Ако наскоро Ви е правена или планирате да Ви се прави ваксинация. Докато използвате Stelara, някои видове ваксини (живи ваксини) не трябва да се прилагат.</w:t>
      </w:r>
    </w:p>
    <w:p w14:paraId="109AE5D7" w14:textId="77777777" w:rsidR="009B3384" w:rsidRDefault="00800862">
      <w:pPr>
        <w:numPr>
          <w:ilvl w:val="0"/>
          <w:numId w:val="30"/>
        </w:numPr>
        <w:tabs>
          <w:tab w:val="clear" w:pos="567"/>
        </w:tabs>
      </w:pPr>
      <w:r>
        <w:rPr>
          <w:bCs/>
          <w:szCs w:val="22"/>
        </w:rPr>
        <w:t>Ако сте получавали Stelara по време на бременността, трябва да кажете на лекаря на бебето Ви за лечението със Stelara, преди то да получи каквато и да е ваксина, включително живи ваксини, като БЦЖ ваксина (използвана за предпазване от туберкулоза). Живите ваксини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5D8" w14:textId="77777777" w:rsidR="009B3384" w:rsidRDefault="009B3384">
      <w:pPr>
        <w:rPr>
          <w:szCs w:val="22"/>
        </w:rPr>
      </w:pPr>
    </w:p>
    <w:p w14:paraId="109AE5D9" w14:textId="77777777" w:rsidR="009B3384" w:rsidRDefault="00800862">
      <w:pPr>
        <w:keepNext/>
      </w:pPr>
      <w:r>
        <w:rPr>
          <w:b/>
          <w:szCs w:val="22"/>
        </w:rPr>
        <w:t>Бременност и кърмене</w:t>
      </w:r>
    </w:p>
    <w:p w14:paraId="109AE5DA" w14:textId="77777777" w:rsidR="009B3384" w:rsidRDefault="00800862">
      <w:pPr>
        <w:numPr>
          <w:ilvl w:val="0"/>
          <w:numId w:val="30"/>
        </w:numPr>
        <w:tabs>
          <w:tab w:val="clear" w:pos="567"/>
        </w:tabs>
      </w:pPr>
      <w:r>
        <w:rPr>
          <w:noProof/>
          <w:szCs w:val="22"/>
        </w:rPr>
        <w:t>Ако сте бременна, смятате, че може да сте бременна или планирате бременност, посъветвайте</w:t>
      </w:r>
      <w:r>
        <w:rPr>
          <w:szCs w:val="22"/>
        </w:rPr>
        <w:t xml:space="preserve"> се с Вашия лекар преди употребата на </w:t>
      </w:r>
      <w:r>
        <w:rPr>
          <w:noProof/>
          <w:szCs w:val="22"/>
        </w:rPr>
        <w:t>това</w:t>
      </w:r>
      <w:r>
        <w:rPr>
          <w:szCs w:val="22"/>
        </w:rPr>
        <w:t xml:space="preserve"> лекарство.</w:t>
      </w:r>
    </w:p>
    <w:p w14:paraId="109AE5DB" w14:textId="77777777" w:rsidR="009B3384" w:rsidRDefault="00800862">
      <w:pPr>
        <w:numPr>
          <w:ilvl w:val="0"/>
          <w:numId w:val="30"/>
        </w:numPr>
        <w:tabs>
          <w:tab w:val="clear" w:pos="567"/>
        </w:tabs>
      </w:pPr>
      <w:r>
        <w:t>Не е наблюдаван по-висок риск от вродени дефекти при бебета, изложени на Stelara в утробата. Данните от употребата на Stelara при бременни жени обаче са ограничени. Поради това е за предпочитане да се избягва употребата на Stelara по време на бременност.</w:t>
      </w:r>
    </w:p>
    <w:p w14:paraId="109AE5DC" w14:textId="77777777" w:rsidR="009B3384" w:rsidRDefault="00800862">
      <w:pPr>
        <w:numPr>
          <w:ilvl w:val="0"/>
          <w:numId w:val="30"/>
        </w:numPr>
        <w:tabs>
          <w:tab w:val="clear" w:pos="567"/>
        </w:tabs>
      </w:pPr>
      <w:r>
        <w:rPr>
          <w:szCs w:val="22"/>
        </w:rPr>
        <w:lastRenderedPageBreak/>
        <w:t>Ако сте жена с детероден потенциал, желателно е да не забременявате и да използвате подходящ противозачатъчен метод, когато използвате Stelara и поне 15 седмици след последното прилагане на Stelara.</w:t>
      </w:r>
    </w:p>
    <w:p w14:paraId="109AE5DD" w14:textId="77777777" w:rsidR="009B3384" w:rsidRDefault="00800862">
      <w:pPr>
        <w:numPr>
          <w:ilvl w:val="0"/>
          <w:numId w:val="30"/>
        </w:numPr>
        <w:tabs>
          <w:tab w:val="clear" w:pos="567"/>
        </w:tabs>
      </w:pPr>
      <w:r>
        <w:rPr>
          <w:bCs/>
          <w:szCs w:val="22"/>
        </w:rPr>
        <w:t>Stelara може да премине през плацентата в нероденото бебе. Ако сте получавали Stelara по време на бременността си, бебето Ви може да има по-висок риск от инфекция.</w:t>
      </w:r>
    </w:p>
    <w:p w14:paraId="109AE5DE" w14:textId="77777777" w:rsidR="009B3384" w:rsidRDefault="00800862">
      <w:pPr>
        <w:numPr>
          <w:ilvl w:val="0"/>
          <w:numId w:val="30"/>
        </w:numPr>
        <w:tabs>
          <w:tab w:val="clear" w:pos="567"/>
        </w:tabs>
      </w:pPr>
      <w:r>
        <w:rPr>
          <w:bCs/>
          <w:szCs w:val="22"/>
        </w:rPr>
        <w:t>Важно е да кажете на лекарите на Вашето бебе и други медицински специалисти, ако сте получавали Stelara по време на бременността си, преди бебето да получи каквато и да е ваксина. Живи ваксини, като БЦЖ ваксина (използвана за предпазване от туберкулоза),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5DF" w14:textId="77777777" w:rsidR="009B3384" w:rsidRDefault="00800862">
      <w:pPr>
        <w:numPr>
          <w:ilvl w:val="0"/>
          <w:numId w:val="30"/>
        </w:numPr>
        <w:tabs>
          <w:tab w:val="clear" w:pos="567"/>
        </w:tabs>
      </w:pPr>
      <w:r>
        <w:t xml:space="preserve">Устекинумаб може да премине в кърмата в много малки количества. </w:t>
      </w:r>
      <w:r>
        <w:rPr>
          <w:szCs w:val="22"/>
        </w:rPr>
        <w:t>Посъветвайте се с Вашия лекар, ако кърмите или ако планирате да кърмите. Вие и Вашият лекар трябва да решите дали трябва да кърмите или да използвате Stelara - не правете и двете.</w:t>
      </w:r>
    </w:p>
    <w:p w14:paraId="109AE5E0" w14:textId="77777777" w:rsidR="009B3384" w:rsidRDefault="009B3384"/>
    <w:p w14:paraId="109AE5E1" w14:textId="77777777" w:rsidR="009B3384" w:rsidRDefault="00800862">
      <w:pPr>
        <w:keepNext/>
        <w:rPr>
          <w:szCs w:val="22"/>
        </w:rPr>
      </w:pPr>
      <w:r>
        <w:rPr>
          <w:b/>
          <w:szCs w:val="22"/>
        </w:rPr>
        <w:t>Шофиране и работа с машини</w:t>
      </w:r>
    </w:p>
    <w:p w14:paraId="109AE5E2" w14:textId="77777777" w:rsidR="009B3384" w:rsidRDefault="00800862">
      <w:pPr>
        <w:rPr>
          <w:szCs w:val="22"/>
        </w:rPr>
      </w:pPr>
      <w:r>
        <w:rPr>
          <w:szCs w:val="22"/>
        </w:rPr>
        <w:t>Stelara не повлиява или повлиява пренебрежимо способността за шофиране и работа с машини.</w:t>
      </w:r>
    </w:p>
    <w:p w14:paraId="109AE5E3" w14:textId="77777777" w:rsidR="009B3384" w:rsidRDefault="009B3384">
      <w:pPr>
        <w:rPr>
          <w:szCs w:val="22"/>
        </w:rPr>
      </w:pPr>
    </w:p>
    <w:p w14:paraId="109AE5E4" w14:textId="77777777" w:rsidR="009B3384" w:rsidRDefault="00800862">
      <w:pPr>
        <w:keepNext/>
        <w:widowControl w:val="0"/>
        <w:rPr>
          <w:b/>
        </w:rPr>
      </w:pPr>
      <w:r>
        <w:rPr>
          <w:b/>
        </w:rPr>
        <w:t>Stelara съдържа полисорбат 80</w:t>
      </w:r>
    </w:p>
    <w:p w14:paraId="109AE5E5" w14:textId="77777777" w:rsidR="009B3384" w:rsidRDefault="00800862">
      <w:pPr>
        <w:widowControl w:val="0"/>
      </w:pPr>
      <w:r>
        <w:t>Stelara съдържа 0,02 mg полисорбат 80 (E433) във всяка доза, която е еквивалентна на 0,04 mg/ml. Полисорбатите могат да причинят алергични реакции. Трябва да кажете на Вашия лекар, ако имате установени алергии.</w:t>
      </w:r>
    </w:p>
    <w:p w14:paraId="109AE5E6" w14:textId="77777777" w:rsidR="009B3384" w:rsidRDefault="009B3384">
      <w:pPr>
        <w:rPr>
          <w:szCs w:val="22"/>
        </w:rPr>
      </w:pPr>
    </w:p>
    <w:p w14:paraId="109AE5E7" w14:textId="77777777" w:rsidR="009B3384" w:rsidRDefault="009B3384">
      <w:pPr>
        <w:tabs>
          <w:tab w:val="clear" w:pos="567"/>
        </w:tabs>
        <w:rPr>
          <w:szCs w:val="22"/>
        </w:rPr>
      </w:pPr>
    </w:p>
    <w:p w14:paraId="109AE5E8" w14:textId="77777777" w:rsidR="009B3384" w:rsidRDefault="00800862">
      <w:pPr>
        <w:keepNext/>
        <w:ind w:left="567" w:hanging="567"/>
        <w:outlineLvl w:val="2"/>
        <w:rPr>
          <w:b/>
          <w:bCs/>
          <w:szCs w:val="22"/>
        </w:rPr>
      </w:pPr>
      <w:r>
        <w:rPr>
          <w:b/>
          <w:bCs/>
          <w:szCs w:val="22"/>
        </w:rPr>
        <w:t>3.</w:t>
      </w:r>
      <w:r>
        <w:rPr>
          <w:b/>
          <w:bCs/>
          <w:szCs w:val="22"/>
        </w:rPr>
        <w:tab/>
        <w:t>Как да използвате Stelara</w:t>
      </w:r>
    </w:p>
    <w:p w14:paraId="109AE5E9" w14:textId="77777777" w:rsidR="009B3384" w:rsidRDefault="009B3384">
      <w:pPr>
        <w:keepNext/>
        <w:rPr>
          <w:szCs w:val="22"/>
        </w:rPr>
      </w:pPr>
    </w:p>
    <w:p w14:paraId="109AE5EA" w14:textId="77777777" w:rsidR="009B3384" w:rsidRDefault="00800862">
      <w:pPr>
        <w:rPr>
          <w:szCs w:val="22"/>
        </w:rPr>
      </w:pPr>
      <w:r>
        <w:rPr>
          <w:szCs w:val="22"/>
        </w:rPr>
        <w:t>Stelara е предназначен за употреба под ръководството и контрола на лекар с опит в лечението на заболявания</w:t>
      </w:r>
      <w:r>
        <w:rPr>
          <w:bCs/>
        </w:rPr>
        <w:t xml:space="preserve">, за които е показан </w:t>
      </w:r>
      <w:r>
        <w:rPr>
          <w:bCs/>
          <w:lang w:val="en-US"/>
        </w:rPr>
        <w:t>Stelara</w:t>
      </w:r>
      <w:r>
        <w:rPr>
          <w:szCs w:val="22"/>
        </w:rPr>
        <w:t>.</w:t>
      </w:r>
    </w:p>
    <w:p w14:paraId="109AE5EB" w14:textId="77777777" w:rsidR="009B3384" w:rsidRDefault="009B3384">
      <w:pPr>
        <w:rPr>
          <w:szCs w:val="22"/>
        </w:rPr>
      </w:pPr>
    </w:p>
    <w:p w14:paraId="109AE5EC" w14:textId="77777777" w:rsidR="009B3384" w:rsidRDefault="00800862">
      <w:pPr>
        <w:rPr>
          <w:szCs w:val="22"/>
        </w:rPr>
      </w:pPr>
      <w:r>
        <w:rPr>
          <w:szCs w:val="22"/>
        </w:rPr>
        <w:t>Винаги използвайте това лекарство точно както Ви е казал Вашият лекар. Ако не сте сигурни в нещо, попитайте Вашия лекар. Посъветвайте се с Вашия лекар за това, кога ще Ви се поставят инжекциите и кога ще са следващите контролни прегледи.</w:t>
      </w:r>
    </w:p>
    <w:p w14:paraId="109AE5ED" w14:textId="77777777" w:rsidR="009B3384" w:rsidRDefault="009B3384">
      <w:pPr>
        <w:rPr>
          <w:szCs w:val="22"/>
        </w:rPr>
      </w:pPr>
    </w:p>
    <w:p w14:paraId="109AE5EE" w14:textId="77777777" w:rsidR="009B3384" w:rsidRDefault="00800862">
      <w:pPr>
        <w:keepNext/>
        <w:rPr>
          <w:b/>
          <w:bCs/>
          <w:szCs w:val="22"/>
        </w:rPr>
      </w:pPr>
      <w:r>
        <w:rPr>
          <w:b/>
          <w:bCs/>
          <w:szCs w:val="22"/>
        </w:rPr>
        <w:t>Какво количество Stelara се прилага</w:t>
      </w:r>
    </w:p>
    <w:p w14:paraId="109AE5EF" w14:textId="77777777" w:rsidR="009B3384" w:rsidRDefault="00800862">
      <w:pPr>
        <w:tabs>
          <w:tab w:val="clear" w:pos="567"/>
          <w:tab w:val="left" w:pos="540"/>
        </w:tabs>
        <w:rPr>
          <w:szCs w:val="22"/>
        </w:rPr>
      </w:pPr>
      <w:r>
        <w:rPr>
          <w:bCs/>
          <w:szCs w:val="22"/>
        </w:rPr>
        <w:t xml:space="preserve">Вашият лекар ще реши какво количество </w:t>
      </w:r>
      <w:r>
        <w:rPr>
          <w:szCs w:val="22"/>
        </w:rPr>
        <w:t>Stelara трябва да получите и за какъв период от време.</w:t>
      </w:r>
    </w:p>
    <w:p w14:paraId="109AE5F0" w14:textId="77777777" w:rsidR="009B3384" w:rsidRDefault="009B3384">
      <w:pPr>
        <w:tabs>
          <w:tab w:val="clear" w:pos="567"/>
          <w:tab w:val="left" w:pos="540"/>
        </w:tabs>
        <w:rPr>
          <w:szCs w:val="22"/>
        </w:rPr>
      </w:pPr>
    </w:p>
    <w:p w14:paraId="109AE5F1" w14:textId="77777777" w:rsidR="009B3384" w:rsidRDefault="00800862">
      <w:pPr>
        <w:keepNext/>
        <w:tabs>
          <w:tab w:val="clear" w:pos="567"/>
          <w:tab w:val="left" w:pos="540"/>
        </w:tabs>
        <w:rPr>
          <w:b/>
          <w:szCs w:val="22"/>
        </w:rPr>
      </w:pPr>
      <w:r>
        <w:rPr>
          <w:b/>
          <w:szCs w:val="22"/>
        </w:rPr>
        <w:t>Възрастни на 18 години или по-големи</w:t>
      </w:r>
    </w:p>
    <w:p w14:paraId="109AE5F2" w14:textId="77777777" w:rsidR="009B3384" w:rsidRDefault="00800862">
      <w:pPr>
        <w:keepNext/>
        <w:tabs>
          <w:tab w:val="clear" w:pos="567"/>
          <w:tab w:val="left" w:pos="540"/>
        </w:tabs>
        <w:rPr>
          <w:b/>
          <w:szCs w:val="22"/>
        </w:rPr>
      </w:pPr>
      <w:r>
        <w:rPr>
          <w:b/>
          <w:bCs/>
        </w:rPr>
        <w:t>Псориазис или псориатичен артрит</w:t>
      </w:r>
    </w:p>
    <w:p w14:paraId="109AE5F3" w14:textId="77777777" w:rsidR="009B3384" w:rsidRDefault="00800862">
      <w:pPr>
        <w:numPr>
          <w:ilvl w:val="0"/>
          <w:numId w:val="30"/>
        </w:numPr>
        <w:tabs>
          <w:tab w:val="clear" w:pos="567"/>
        </w:tabs>
        <w:rPr>
          <w:bCs/>
        </w:rPr>
      </w:pPr>
      <w:r>
        <w:rPr>
          <w:szCs w:val="22"/>
        </w:rPr>
        <w:t xml:space="preserve">Препоръчителната начална доза е 45 mg </w:t>
      </w:r>
      <w:r>
        <w:rPr>
          <w:szCs w:val="22"/>
          <w:lang w:val="en-US"/>
        </w:rPr>
        <w:t>Stelara</w:t>
      </w:r>
      <w:r>
        <w:rPr>
          <w:szCs w:val="22"/>
        </w:rPr>
        <w:t xml:space="preserve">. </w:t>
      </w:r>
      <w:r>
        <w:t>Пациенти с тегло над 100 килограма (kg) може да започнат с доза 90 mg вместо 45 mg.</w:t>
      </w:r>
    </w:p>
    <w:p w14:paraId="109AE5F4" w14:textId="77777777" w:rsidR="009B3384" w:rsidRDefault="00800862">
      <w:pPr>
        <w:numPr>
          <w:ilvl w:val="0"/>
          <w:numId w:val="30"/>
        </w:numPr>
        <w:tabs>
          <w:tab w:val="clear" w:pos="567"/>
        </w:tabs>
        <w:rPr>
          <w:bCs/>
          <w:szCs w:val="22"/>
        </w:rPr>
      </w:pPr>
      <w:r>
        <w:rPr>
          <w:szCs w:val="22"/>
        </w:rPr>
        <w:t>След началната доза, следващата Ви доза ще бъде 4 седмици по-късно и след това на всеки 12 седмици. Следващите дози обикновено са същите, като началната доза.</w:t>
      </w:r>
    </w:p>
    <w:p w14:paraId="109AE5F5" w14:textId="77777777" w:rsidR="009B3384" w:rsidRDefault="009B3384"/>
    <w:p w14:paraId="109AE5F6" w14:textId="77777777" w:rsidR="009B3384" w:rsidRDefault="00800862">
      <w:pPr>
        <w:keepNext/>
        <w:rPr>
          <w:b/>
          <w:bCs/>
          <w:szCs w:val="22"/>
        </w:rPr>
      </w:pPr>
      <w:r>
        <w:rPr>
          <w:b/>
          <w:bCs/>
          <w:szCs w:val="22"/>
        </w:rPr>
        <w:t>Болест на Крон</w:t>
      </w:r>
      <w:r>
        <w:t xml:space="preserve"> </w:t>
      </w:r>
      <w:r>
        <w:rPr>
          <w:b/>
          <w:bCs/>
          <w:szCs w:val="22"/>
        </w:rPr>
        <w:t>или улцерозен колит</w:t>
      </w:r>
    </w:p>
    <w:p w14:paraId="109AE5F7" w14:textId="77777777" w:rsidR="009B3384" w:rsidRDefault="00800862">
      <w:pPr>
        <w:numPr>
          <w:ilvl w:val="0"/>
          <w:numId w:val="30"/>
        </w:numPr>
        <w:tabs>
          <w:tab w:val="clear" w:pos="567"/>
        </w:tabs>
        <w:rPr>
          <w:bCs/>
          <w:szCs w:val="22"/>
        </w:rPr>
      </w:pPr>
      <w:r>
        <w:t>По време на</w:t>
      </w:r>
      <w:r>
        <w:rPr>
          <w:szCs w:val="22"/>
        </w:rPr>
        <w:t xml:space="preserve"> лечението </w:t>
      </w:r>
      <w:r>
        <w:t xml:space="preserve">Вашият лекар ще Ви приложи </w:t>
      </w:r>
      <w:r>
        <w:rPr>
          <w:szCs w:val="22"/>
        </w:rPr>
        <w:t>първата доза от приблизително 6</w:t>
      </w:r>
      <w:r>
        <w:t> </w:t>
      </w:r>
      <w:r>
        <w:rPr>
          <w:szCs w:val="22"/>
          <w:lang w:val="en-US"/>
        </w:rPr>
        <w:t>mg</w:t>
      </w:r>
      <w:r>
        <w:rPr>
          <w:szCs w:val="22"/>
        </w:rPr>
        <w:t>/</w:t>
      </w:r>
      <w:r>
        <w:rPr>
          <w:szCs w:val="22"/>
          <w:lang w:val="en-US"/>
        </w:rPr>
        <w:t>kg</w:t>
      </w:r>
      <w:r>
        <w:rPr>
          <w:szCs w:val="22"/>
        </w:rPr>
        <w:t xml:space="preserve"> </w:t>
      </w:r>
      <w:r>
        <w:rPr>
          <w:szCs w:val="22"/>
          <w:lang w:val="en-US"/>
        </w:rPr>
        <w:t>Stelara</w:t>
      </w:r>
      <w:r>
        <w:rPr>
          <w:szCs w:val="22"/>
        </w:rPr>
        <w:t xml:space="preserve"> капково във вена на ръката </w:t>
      </w:r>
      <w:r>
        <w:t>(интравенозна инфузия).</w:t>
      </w:r>
      <w:r>
        <w:rPr>
          <w:szCs w:val="22"/>
        </w:rPr>
        <w:t xml:space="preserve"> След началната доза, ще получите следващата доза 90</w:t>
      </w:r>
      <w:r>
        <w:t> </w:t>
      </w:r>
      <w:r>
        <w:rPr>
          <w:szCs w:val="22"/>
          <w:lang w:val="en-US"/>
        </w:rPr>
        <w:t>mg</w:t>
      </w:r>
      <w:r>
        <w:rPr>
          <w:szCs w:val="22"/>
        </w:rPr>
        <w:t xml:space="preserve"> </w:t>
      </w:r>
      <w:r>
        <w:rPr>
          <w:szCs w:val="22"/>
          <w:lang w:val="en-US"/>
        </w:rPr>
        <w:t>Stelara</w:t>
      </w:r>
      <w:r>
        <w:rPr>
          <w:szCs w:val="22"/>
        </w:rPr>
        <w:t xml:space="preserve"> след 8</w:t>
      </w:r>
      <w:r>
        <w:t> </w:t>
      </w:r>
      <w:r>
        <w:rPr>
          <w:szCs w:val="22"/>
        </w:rPr>
        <w:t xml:space="preserve">седмици, след това през 12 седмици чрез инжекция под кожата </w:t>
      </w:r>
      <w:r>
        <w:t>(подкожно)</w:t>
      </w:r>
      <w:r>
        <w:rPr>
          <w:szCs w:val="22"/>
        </w:rPr>
        <w:t>.</w:t>
      </w:r>
    </w:p>
    <w:p w14:paraId="109AE5F8" w14:textId="77777777" w:rsidR="009B3384" w:rsidRDefault="00800862">
      <w:pPr>
        <w:numPr>
          <w:ilvl w:val="0"/>
          <w:numId w:val="30"/>
        </w:numPr>
        <w:tabs>
          <w:tab w:val="clear" w:pos="567"/>
        </w:tabs>
        <w:rPr>
          <w:bCs/>
          <w:szCs w:val="22"/>
        </w:rPr>
      </w:pPr>
      <w:r>
        <w:rPr>
          <w:bCs/>
          <w:szCs w:val="22"/>
        </w:rPr>
        <w:t>При някои пациенти, след първата подкожна инжекция, 90</w:t>
      </w:r>
      <w:r>
        <w:t> </w:t>
      </w:r>
      <w:r>
        <w:rPr>
          <w:bCs/>
          <w:szCs w:val="22"/>
        </w:rPr>
        <w:t>mg Stelara може да се прилага през 8 седмици. Вашият лекар ще реши кога трябва да получите следващата си доза.</w:t>
      </w:r>
    </w:p>
    <w:p w14:paraId="109AE5F9" w14:textId="77777777" w:rsidR="009B3384" w:rsidRDefault="009B3384">
      <w:pPr>
        <w:rPr>
          <w:szCs w:val="22"/>
        </w:rPr>
      </w:pPr>
    </w:p>
    <w:p w14:paraId="109AE5FA" w14:textId="77777777" w:rsidR="009B3384" w:rsidRDefault="00800862">
      <w:pPr>
        <w:keepNext/>
        <w:rPr>
          <w:b/>
          <w:bCs/>
          <w:szCs w:val="22"/>
        </w:rPr>
      </w:pPr>
      <w:r>
        <w:rPr>
          <w:b/>
          <w:bCs/>
          <w:szCs w:val="22"/>
        </w:rPr>
        <w:t>Как се прилага Stelara</w:t>
      </w:r>
    </w:p>
    <w:p w14:paraId="109AE5FB" w14:textId="77777777" w:rsidR="009B3384" w:rsidRDefault="00800862">
      <w:pPr>
        <w:numPr>
          <w:ilvl w:val="0"/>
          <w:numId w:val="30"/>
        </w:numPr>
        <w:tabs>
          <w:tab w:val="clear" w:pos="567"/>
        </w:tabs>
      </w:pPr>
      <w:r>
        <w:t>Stelara се прилага като инжекция под кожата (подкожно). В началото на Вашето лечение, Stelara може да се инжектира от лекар или медицинска сестра.</w:t>
      </w:r>
    </w:p>
    <w:p w14:paraId="109AE5FC" w14:textId="77777777" w:rsidR="009B3384" w:rsidRDefault="00800862">
      <w:pPr>
        <w:numPr>
          <w:ilvl w:val="0"/>
          <w:numId w:val="30"/>
        </w:numPr>
        <w:tabs>
          <w:tab w:val="clear" w:pos="567"/>
        </w:tabs>
      </w:pPr>
      <w:r>
        <w:t>Вие и Вашият лекар, обаче може да решите, че Вие сами може да си инжектирате Stelara. В такъв случай ще преминете обучение как да си инжектирате Stelara самостоятелно.</w:t>
      </w:r>
    </w:p>
    <w:p w14:paraId="109AE5FD" w14:textId="77777777" w:rsidR="009B3384" w:rsidRDefault="00800862">
      <w:pPr>
        <w:numPr>
          <w:ilvl w:val="0"/>
          <w:numId w:val="30"/>
        </w:numPr>
        <w:tabs>
          <w:tab w:val="clear" w:pos="567"/>
        </w:tabs>
      </w:pPr>
      <w:r>
        <w:lastRenderedPageBreak/>
        <w:t>За указания как да инжектирате Stelara вижте „Указания за приложение” в края на тази листовка.</w:t>
      </w:r>
    </w:p>
    <w:p w14:paraId="109AE5FE" w14:textId="77777777" w:rsidR="009B3384" w:rsidRDefault="00800862">
      <w:pPr>
        <w:tabs>
          <w:tab w:val="clear" w:pos="567"/>
          <w:tab w:val="left" w:pos="540"/>
        </w:tabs>
        <w:rPr>
          <w:bCs/>
          <w:szCs w:val="22"/>
        </w:rPr>
      </w:pPr>
      <w:r>
        <w:rPr>
          <w:bCs/>
          <w:szCs w:val="22"/>
        </w:rPr>
        <w:t>Говорете с Вашия лекар, ако имате въпроси относно това как сами да поставяте инжекцията.</w:t>
      </w:r>
    </w:p>
    <w:p w14:paraId="109AE5FF" w14:textId="77777777" w:rsidR="009B3384" w:rsidRDefault="009B3384">
      <w:pPr>
        <w:rPr>
          <w:szCs w:val="22"/>
        </w:rPr>
      </w:pPr>
    </w:p>
    <w:p w14:paraId="109AE600" w14:textId="77777777" w:rsidR="009B3384" w:rsidRDefault="00800862">
      <w:pPr>
        <w:keepNext/>
        <w:rPr>
          <w:b/>
          <w:szCs w:val="22"/>
        </w:rPr>
      </w:pPr>
      <w:r>
        <w:rPr>
          <w:b/>
          <w:szCs w:val="22"/>
        </w:rPr>
        <w:t>Ако сте използвали повече от необходимата доза Stelara</w:t>
      </w:r>
    </w:p>
    <w:p w14:paraId="109AE601" w14:textId="77777777" w:rsidR="009B3384" w:rsidRDefault="00800862">
      <w:pPr>
        <w:rPr>
          <w:szCs w:val="22"/>
        </w:rPr>
      </w:pPr>
      <w:r>
        <w:rPr>
          <w:szCs w:val="22"/>
        </w:rPr>
        <w:t>Ако сте използвали или са Ви приложили повече от необходимата доза Stelara, незабавно се посъветвайте с лекар или фармацевт. Винаги носете с Вас картонената опаковка на лекарството, дори и да е празна.</w:t>
      </w:r>
    </w:p>
    <w:p w14:paraId="109AE602" w14:textId="77777777" w:rsidR="009B3384" w:rsidRDefault="009B3384">
      <w:pPr>
        <w:rPr>
          <w:szCs w:val="22"/>
        </w:rPr>
      </w:pPr>
    </w:p>
    <w:p w14:paraId="109AE603" w14:textId="77777777" w:rsidR="009B3384" w:rsidRDefault="00800862">
      <w:pPr>
        <w:keepNext/>
        <w:rPr>
          <w:szCs w:val="22"/>
        </w:rPr>
      </w:pPr>
      <w:r>
        <w:rPr>
          <w:b/>
          <w:szCs w:val="22"/>
        </w:rPr>
        <w:t>Ако сте пропуснали да използвате Stelara</w:t>
      </w:r>
    </w:p>
    <w:p w14:paraId="109AE604" w14:textId="77777777" w:rsidR="009B3384" w:rsidRDefault="00800862">
      <w:pPr>
        <w:rPr>
          <w:szCs w:val="22"/>
        </w:rPr>
      </w:pPr>
      <w:r>
        <w:rPr>
          <w:szCs w:val="22"/>
        </w:rPr>
        <w:t>Ако сте пропуснали доза, свържете се с Вашия лекар или фармацевт. Не прилагайте двойна доза, за да компенсирате пропуснатата доза.</w:t>
      </w:r>
    </w:p>
    <w:p w14:paraId="109AE605" w14:textId="77777777" w:rsidR="009B3384" w:rsidRDefault="009B3384">
      <w:pPr>
        <w:rPr>
          <w:szCs w:val="22"/>
        </w:rPr>
      </w:pPr>
    </w:p>
    <w:p w14:paraId="109AE606" w14:textId="77777777" w:rsidR="009B3384" w:rsidRDefault="00800862">
      <w:pPr>
        <w:keepNext/>
        <w:rPr>
          <w:b/>
          <w:szCs w:val="22"/>
        </w:rPr>
      </w:pPr>
      <w:r>
        <w:rPr>
          <w:b/>
          <w:szCs w:val="22"/>
        </w:rPr>
        <w:t>Ако сте спрели употребата на Stelara</w:t>
      </w:r>
    </w:p>
    <w:p w14:paraId="109AE607" w14:textId="77777777" w:rsidR="009B3384" w:rsidRDefault="00800862">
      <w:pPr>
        <w:rPr>
          <w:szCs w:val="22"/>
        </w:rPr>
      </w:pPr>
      <w:r>
        <w:rPr>
          <w:szCs w:val="22"/>
        </w:rPr>
        <w:t>Не е опасно да спрете употребата на Stelara. Ако обаче я спрете, Вашите симптоми може да се възобновят.</w:t>
      </w:r>
    </w:p>
    <w:p w14:paraId="109AE608" w14:textId="77777777" w:rsidR="009B3384" w:rsidRDefault="009B3384">
      <w:pPr>
        <w:rPr>
          <w:szCs w:val="22"/>
        </w:rPr>
      </w:pPr>
    </w:p>
    <w:p w14:paraId="109AE609" w14:textId="77777777" w:rsidR="009B3384" w:rsidRDefault="00800862">
      <w:pPr>
        <w:rPr>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109AE60A" w14:textId="77777777" w:rsidR="009B3384" w:rsidRDefault="009B3384">
      <w:pPr>
        <w:rPr>
          <w:szCs w:val="22"/>
        </w:rPr>
      </w:pPr>
    </w:p>
    <w:p w14:paraId="109AE60B" w14:textId="77777777" w:rsidR="009B3384" w:rsidRDefault="009B3384">
      <w:pPr>
        <w:rPr>
          <w:szCs w:val="22"/>
        </w:rPr>
      </w:pPr>
    </w:p>
    <w:p w14:paraId="109AE60C" w14:textId="77777777" w:rsidR="009B3384" w:rsidRDefault="00800862">
      <w:pPr>
        <w:keepNext/>
        <w:ind w:left="567" w:hanging="567"/>
        <w:outlineLvl w:val="2"/>
        <w:rPr>
          <w:b/>
          <w:bCs/>
          <w:szCs w:val="22"/>
        </w:rPr>
      </w:pPr>
      <w:r>
        <w:rPr>
          <w:b/>
          <w:bCs/>
          <w:szCs w:val="22"/>
        </w:rPr>
        <w:t>4.</w:t>
      </w:r>
      <w:r>
        <w:rPr>
          <w:b/>
          <w:bCs/>
          <w:szCs w:val="22"/>
        </w:rPr>
        <w:tab/>
        <w:t>Възможни нежелани реакции</w:t>
      </w:r>
    </w:p>
    <w:p w14:paraId="109AE60D" w14:textId="77777777" w:rsidR="009B3384" w:rsidRDefault="009B3384">
      <w:pPr>
        <w:keepNext/>
        <w:rPr>
          <w:szCs w:val="22"/>
        </w:rPr>
      </w:pPr>
    </w:p>
    <w:p w14:paraId="109AE60E" w14:textId="77777777" w:rsidR="009B3384" w:rsidRDefault="00800862">
      <w:pPr>
        <w:rPr>
          <w:szCs w:val="22"/>
        </w:rPr>
      </w:pPr>
      <w:r>
        <w:rPr>
          <w:szCs w:val="22"/>
        </w:rPr>
        <w:t>Както всички лекарства, това лекарство може да предизвика нежелани реакции, въпреки че не всеки ги получава.</w:t>
      </w:r>
    </w:p>
    <w:p w14:paraId="109AE60F" w14:textId="77777777" w:rsidR="009B3384" w:rsidRDefault="009B3384">
      <w:pPr>
        <w:rPr>
          <w:szCs w:val="22"/>
        </w:rPr>
      </w:pPr>
    </w:p>
    <w:p w14:paraId="109AE610" w14:textId="77777777" w:rsidR="009B3384" w:rsidRDefault="00800862">
      <w:pPr>
        <w:keepNext/>
        <w:rPr>
          <w:b/>
          <w:szCs w:val="22"/>
        </w:rPr>
      </w:pPr>
      <w:r>
        <w:rPr>
          <w:b/>
          <w:szCs w:val="22"/>
        </w:rPr>
        <w:t>Сериозни нежелани реакции</w:t>
      </w:r>
    </w:p>
    <w:p w14:paraId="109AE611" w14:textId="77777777" w:rsidR="009B3384" w:rsidRDefault="00800862">
      <w:pPr>
        <w:rPr>
          <w:szCs w:val="22"/>
        </w:rPr>
      </w:pPr>
      <w:r>
        <w:rPr>
          <w:szCs w:val="22"/>
        </w:rPr>
        <w:t>Някои пациенти може да имат сериозни нежелани реакции, при които да се налага спешно лечение.</w:t>
      </w:r>
    </w:p>
    <w:p w14:paraId="109AE612" w14:textId="77777777" w:rsidR="009B3384" w:rsidRDefault="009B3384">
      <w:pPr>
        <w:rPr>
          <w:szCs w:val="22"/>
        </w:rPr>
      </w:pPr>
    </w:p>
    <w:p w14:paraId="109AE613" w14:textId="77777777" w:rsidR="009B3384" w:rsidRDefault="00800862">
      <w:pPr>
        <w:keepNext/>
        <w:widowControl w:val="0"/>
        <w:rPr>
          <w:b/>
        </w:rPr>
      </w:pPr>
      <w:r>
        <w:rPr>
          <w:b/>
        </w:rPr>
        <w:t>Алергични реакции – може да изискват спешно лечение. Информирайте Вашия лекар или незабавно потърсете спешна медицинска помощ, ако забележите някой от следните признаци.</w:t>
      </w:r>
    </w:p>
    <w:p w14:paraId="109AE614" w14:textId="77777777" w:rsidR="009B3384" w:rsidRDefault="00800862">
      <w:pPr>
        <w:widowControl w:val="0"/>
        <w:numPr>
          <w:ilvl w:val="0"/>
          <w:numId w:val="30"/>
        </w:numPr>
        <w:tabs>
          <w:tab w:val="left" w:pos="1134"/>
        </w:tabs>
      </w:pPr>
      <w:r>
        <w:t>Сериозните алергични реакции („анафилаксия”) са редки при хора, приемащи Stelara (може да засегнат до 1 на 1 000 души). Признаците включват:</w:t>
      </w:r>
    </w:p>
    <w:p w14:paraId="109AE615" w14:textId="77777777" w:rsidR="009B3384" w:rsidRDefault="00800862">
      <w:pPr>
        <w:numPr>
          <w:ilvl w:val="0"/>
          <w:numId w:val="28"/>
        </w:numPr>
        <w:ind w:left="1134" w:hanging="567"/>
      </w:pPr>
      <w:r>
        <w:t>затруднено дишане или преглъщане</w:t>
      </w:r>
    </w:p>
    <w:p w14:paraId="109AE616" w14:textId="77777777" w:rsidR="009B3384" w:rsidRDefault="00800862">
      <w:pPr>
        <w:numPr>
          <w:ilvl w:val="0"/>
          <w:numId w:val="28"/>
        </w:numPr>
        <w:ind w:left="1134" w:hanging="567"/>
      </w:pPr>
      <w:r>
        <w:t>ниско кръвно налягане, което може да причини замаяност или световъртеж</w:t>
      </w:r>
    </w:p>
    <w:p w14:paraId="109AE617" w14:textId="77777777" w:rsidR="009B3384" w:rsidRDefault="00800862">
      <w:pPr>
        <w:numPr>
          <w:ilvl w:val="0"/>
          <w:numId w:val="28"/>
        </w:numPr>
        <w:ind w:left="1134" w:hanging="567"/>
      </w:pPr>
      <w:r>
        <w:t>подуване на лицето, устните, устата или гърлото.</w:t>
      </w:r>
    </w:p>
    <w:p w14:paraId="109AE618" w14:textId="77777777" w:rsidR="009B3384" w:rsidRDefault="00800862">
      <w:pPr>
        <w:widowControl w:val="0"/>
        <w:numPr>
          <w:ilvl w:val="0"/>
          <w:numId w:val="30"/>
        </w:numPr>
        <w:tabs>
          <w:tab w:val="left" w:pos="1134"/>
        </w:tabs>
      </w:pPr>
      <w:r>
        <w:t>Честите признаци на алергична реакция включват кожен обрив и уртикария (може да засегнат до 1 на 100 души).</w:t>
      </w:r>
    </w:p>
    <w:p w14:paraId="109AE619" w14:textId="77777777" w:rsidR="009B3384" w:rsidRDefault="009B3384"/>
    <w:p w14:paraId="109AE61A" w14:textId="77777777" w:rsidR="009B3384" w:rsidRDefault="00800862">
      <w:pPr>
        <w:tabs>
          <w:tab w:val="clear" w:pos="567"/>
          <w:tab w:val="left" w:pos="630"/>
        </w:tabs>
        <w:rPr>
          <w:b/>
        </w:rPr>
      </w:pPr>
      <w:r>
        <w:rPr>
          <w:b/>
        </w:rPr>
        <w:t>В редки случаи се съобщават алергични белодробни реакции и белодробно възпаление при пациенти, които получават устекинумаб. Уведомете веднага Вашия лекар, ако получите симптоми като кашлица, задух и висока температура.</w:t>
      </w:r>
    </w:p>
    <w:p w14:paraId="109AE61B" w14:textId="77777777" w:rsidR="009B3384" w:rsidRDefault="009B3384"/>
    <w:p w14:paraId="109AE61C" w14:textId="77777777" w:rsidR="009B3384" w:rsidRDefault="00800862">
      <w:pPr>
        <w:keepNext/>
        <w:widowControl w:val="0"/>
      </w:pPr>
      <w:r>
        <w:t>Ако получите сериозна алергична реакция, Вашият лекар може да реши, че Вие не трябва да употребявате Stelara отново.</w:t>
      </w:r>
    </w:p>
    <w:p w14:paraId="109AE61D" w14:textId="77777777" w:rsidR="009B3384" w:rsidRDefault="009B3384"/>
    <w:p w14:paraId="109AE61E" w14:textId="77777777" w:rsidR="009B3384" w:rsidRDefault="00800862">
      <w:pPr>
        <w:keepNext/>
        <w:widowControl w:val="0"/>
        <w:rPr>
          <w:b/>
        </w:rPr>
      </w:pPr>
      <w:r>
        <w:rPr>
          <w:b/>
        </w:rPr>
        <w:t>Инфекции – може да изискват спешно лечение. Информирайте Вашия лекар, ако забележите някой от следните признаци.</w:t>
      </w:r>
    </w:p>
    <w:p w14:paraId="109AE61F" w14:textId="37DDDAE0" w:rsidR="009B3384" w:rsidRDefault="00800862">
      <w:pPr>
        <w:numPr>
          <w:ilvl w:val="0"/>
          <w:numId w:val="30"/>
        </w:numPr>
        <w:tabs>
          <w:tab w:val="left" w:pos="1134"/>
        </w:tabs>
      </w:pPr>
      <w:r>
        <w:t>Инфекциите на носа или гърлото и простудата са чести (може да засегнат до 1 на 10 души)</w:t>
      </w:r>
    </w:p>
    <w:p w14:paraId="109AE620" w14:textId="552283D0" w:rsidR="009B3384" w:rsidRDefault="00800862">
      <w:pPr>
        <w:numPr>
          <w:ilvl w:val="0"/>
          <w:numId w:val="30"/>
        </w:numPr>
        <w:tabs>
          <w:tab w:val="left" w:pos="1134"/>
        </w:tabs>
      </w:pPr>
      <w:r>
        <w:t>Инфекциите на долните дихателни пътища (гръдни инфекции) са нечести (може да засегнат до 1 на 100 души)</w:t>
      </w:r>
    </w:p>
    <w:p w14:paraId="109AE621" w14:textId="2827A47F" w:rsidR="009B3384" w:rsidRDefault="00800862">
      <w:pPr>
        <w:numPr>
          <w:ilvl w:val="0"/>
          <w:numId w:val="30"/>
        </w:numPr>
        <w:tabs>
          <w:tab w:val="left" w:pos="1134"/>
        </w:tabs>
      </w:pPr>
      <w:r>
        <w:t>Възпалението на подкожната тъкан (целулит) е нечесто (може да засегне до 1 на 100 души)</w:t>
      </w:r>
    </w:p>
    <w:p w14:paraId="109AE622" w14:textId="13DE5F20" w:rsidR="009B3384" w:rsidRDefault="00800862">
      <w:pPr>
        <w:numPr>
          <w:ilvl w:val="0"/>
          <w:numId w:val="30"/>
        </w:numPr>
        <w:tabs>
          <w:tab w:val="left" w:pos="1134"/>
        </w:tabs>
      </w:pPr>
      <w:r>
        <w:t>Херпесите (вид болезнен обрив с мехури) са нечести (може да засегнат до 1 на 100 души)</w:t>
      </w:r>
    </w:p>
    <w:p w14:paraId="109AE623" w14:textId="77777777" w:rsidR="009B3384" w:rsidRDefault="009B3384"/>
    <w:p w14:paraId="109AE624" w14:textId="77777777" w:rsidR="009B3384" w:rsidRDefault="00800862">
      <w:r>
        <w:rPr>
          <w:lang w:val="en-US"/>
        </w:rPr>
        <w:t>Stelara</w:t>
      </w:r>
      <w:r>
        <w:t xml:space="preserve"> може да намали способността Ви да се борите с инфекции. Някои инфекции може да станат сериозни и може да включват инфекции, причинени от вируси, гъбички, бактерии (включително туберкулоза) или паразити, включително инфекции, които възникват предимно при хора с отслабена имунна система (опортюнистични инфекции). При пациенти, получаващи устекинумаб, се съобщават опортюнистични инфекции на мозъка (енцефалит, менингит), белите дробове и очите.</w:t>
      </w:r>
    </w:p>
    <w:p w14:paraId="109AE625" w14:textId="77777777" w:rsidR="009B3384" w:rsidRDefault="009B3384"/>
    <w:p w14:paraId="109AE626" w14:textId="77777777" w:rsidR="009B3384" w:rsidRDefault="00800862">
      <w:pPr>
        <w:keepNext/>
      </w:pPr>
      <w:r>
        <w:t>Докато употребявате Stelara, трябва да следите за признаци на инфекция. Те включват:</w:t>
      </w:r>
    </w:p>
    <w:p w14:paraId="109AE627" w14:textId="77777777" w:rsidR="009B3384" w:rsidRDefault="00800862">
      <w:pPr>
        <w:numPr>
          <w:ilvl w:val="0"/>
          <w:numId w:val="30"/>
        </w:numPr>
        <w:tabs>
          <w:tab w:val="left" w:pos="1134"/>
        </w:tabs>
      </w:pPr>
      <w:r>
        <w:t>висока температура, грипоподобни симптоми, нощно потене, загуба на тегло</w:t>
      </w:r>
    </w:p>
    <w:p w14:paraId="109AE628" w14:textId="77777777" w:rsidR="009B3384" w:rsidRDefault="00800862">
      <w:pPr>
        <w:numPr>
          <w:ilvl w:val="0"/>
          <w:numId w:val="30"/>
        </w:numPr>
        <w:tabs>
          <w:tab w:val="left" w:pos="1134"/>
        </w:tabs>
      </w:pPr>
      <w:r>
        <w:t>умора или задух, упорита кашлица</w:t>
      </w:r>
    </w:p>
    <w:p w14:paraId="109AE629" w14:textId="77777777" w:rsidR="009B3384" w:rsidRDefault="00800862">
      <w:pPr>
        <w:numPr>
          <w:ilvl w:val="0"/>
          <w:numId w:val="30"/>
        </w:numPr>
        <w:tabs>
          <w:tab w:val="left" w:pos="1134"/>
        </w:tabs>
      </w:pPr>
      <w:r>
        <w:t>топла, зачервена и болезнена кожа или болезнен кожен обрив с мехури</w:t>
      </w:r>
    </w:p>
    <w:p w14:paraId="109AE62A" w14:textId="77777777" w:rsidR="009B3384" w:rsidRDefault="00800862">
      <w:pPr>
        <w:numPr>
          <w:ilvl w:val="0"/>
          <w:numId w:val="30"/>
        </w:numPr>
        <w:tabs>
          <w:tab w:val="left" w:pos="1134"/>
        </w:tabs>
      </w:pPr>
      <w:r>
        <w:t>парене при уриниране</w:t>
      </w:r>
    </w:p>
    <w:p w14:paraId="109AE62B" w14:textId="77777777" w:rsidR="009B3384" w:rsidRDefault="00800862">
      <w:pPr>
        <w:numPr>
          <w:ilvl w:val="0"/>
          <w:numId w:val="30"/>
        </w:numPr>
        <w:tabs>
          <w:tab w:val="left" w:pos="1134"/>
        </w:tabs>
      </w:pPr>
      <w:r>
        <w:t>диария</w:t>
      </w:r>
    </w:p>
    <w:p w14:paraId="109AE62C" w14:textId="77777777" w:rsidR="009B3384" w:rsidRDefault="00800862">
      <w:pPr>
        <w:numPr>
          <w:ilvl w:val="0"/>
          <w:numId w:val="30"/>
        </w:numPr>
        <w:tabs>
          <w:tab w:val="left" w:pos="1134"/>
        </w:tabs>
      </w:pPr>
      <w:r>
        <w:t>зрително смущение или загуба на зрение</w:t>
      </w:r>
    </w:p>
    <w:p w14:paraId="109AE62D" w14:textId="77777777" w:rsidR="009B3384" w:rsidRDefault="00800862">
      <w:pPr>
        <w:numPr>
          <w:ilvl w:val="0"/>
          <w:numId w:val="30"/>
        </w:numPr>
        <w:tabs>
          <w:tab w:val="left" w:pos="1134"/>
        </w:tabs>
      </w:pPr>
      <w:r>
        <w:t>главоболие, скованост на врата, чувствителност към светлина, гадене или обърканост.</w:t>
      </w:r>
    </w:p>
    <w:p w14:paraId="109AE62E" w14:textId="77777777" w:rsidR="009B3384" w:rsidRDefault="009B3384"/>
    <w:p w14:paraId="109AE62F" w14:textId="77777777" w:rsidR="009B3384" w:rsidRDefault="00800862">
      <w:pPr>
        <w:widowControl w:val="0"/>
      </w:pPr>
      <w:r>
        <w:t>Информирайте Вашия лекар веднага, ако забележите някой от тези признаци на инфекция. Те могат да бъдат признаци на инфекции като гръдни инфекции, кожни инфекции, херпес зостер или опортюнистични инфекции, които могат да доведат до сериозни усложнения. Информирайте Вашия лекар, ако имате някаква упорита или повтаряща се инфекция. Вашият лекар може да реши, че не трябва да употребявате Stelara, докато инфекцията не бъде излекувана. Уведомете Вашия лекар, и ако имате отворени рани или наранявания, тъй като може да се инфектират.</w:t>
      </w:r>
    </w:p>
    <w:p w14:paraId="109AE630" w14:textId="77777777" w:rsidR="009B3384" w:rsidRDefault="009B3384"/>
    <w:p w14:paraId="109AE631" w14:textId="77777777" w:rsidR="009B3384" w:rsidRDefault="00800862">
      <w:pPr>
        <w:widowControl w:val="0"/>
        <w:rPr>
          <w:b/>
        </w:rPr>
      </w:pPr>
      <w:r>
        <w:rPr>
          <w:b/>
        </w:rPr>
        <w:t>Лющене на кожата – интензивното зачервяване и лющене на кожата на по-голяма площ по тялото може да са симптоми на еритродермичен псориазис или ексфолиативен дерматит, които са сериозни кожни заболявания. Ако забележите някой от тези признаци, трябва да информирате Вашия лекар незабавно.</w:t>
      </w:r>
    </w:p>
    <w:p w14:paraId="109AE632" w14:textId="77777777" w:rsidR="009B3384" w:rsidRDefault="009B3384">
      <w:pPr>
        <w:widowControl w:val="0"/>
      </w:pPr>
    </w:p>
    <w:p w14:paraId="109AE633" w14:textId="77777777" w:rsidR="009B3384" w:rsidRDefault="00800862">
      <w:pPr>
        <w:keepNext/>
        <w:rPr>
          <w:b/>
          <w:szCs w:val="22"/>
        </w:rPr>
      </w:pPr>
      <w:r>
        <w:rPr>
          <w:b/>
          <w:szCs w:val="22"/>
        </w:rPr>
        <w:t>Други нежелани реакции</w:t>
      </w:r>
    </w:p>
    <w:p w14:paraId="109AE634" w14:textId="77777777" w:rsidR="009B3384" w:rsidRDefault="009B3384">
      <w:pPr>
        <w:keepNext/>
      </w:pPr>
    </w:p>
    <w:p w14:paraId="109AE635" w14:textId="77777777" w:rsidR="009B3384" w:rsidRDefault="00800862">
      <w:pPr>
        <w:keepNext/>
        <w:rPr>
          <w:szCs w:val="22"/>
        </w:rPr>
      </w:pPr>
      <w:r>
        <w:rPr>
          <w:b/>
          <w:bCs/>
          <w:szCs w:val="22"/>
        </w:rPr>
        <w:t xml:space="preserve">Чести нежелани реакции </w:t>
      </w:r>
      <w:r>
        <w:rPr>
          <w:bCs/>
          <w:szCs w:val="22"/>
        </w:rPr>
        <w:t>(може да засегнат до 1 на 10 души)</w:t>
      </w:r>
      <w:r>
        <w:rPr>
          <w:b/>
          <w:szCs w:val="22"/>
        </w:rPr>
        <w:t>:</w:t>
      </w:r>
    </w:p>
    <w:p w14:paraId="109AE636" w14:textId="77777777" w:rsidR="009B3384" w:rsidRDefault="00800862">
      <w:pPr>
        <w:numPr>
          <w:ilvl w:val="0"/>
          <w:numId w:val="30"/>
        </w:numPr>
        <w:tabs>
          <w:tab w:val="left" w:pos="1134"/>
        </w:tabs>
      </w:pPr>
      <w:r>
        <w:t>диария</w:t>
      </w:r>
    </w:p>
    <w:p w14:paraId="109AE637" w14:textId="77777777" w:rsidR="009B3384" w:rsidRDefault="00800862">
      <w:pPr>
        <w:numPr>
          <w:ilvl w:val="0"/>
          <w:numId w:val="30"/>
        </w:numPr>
        <w:tabs>
          <w:tab w:val="left" w:pos="1134"/>
        </w:tabs>
      </w:pPr>
      <w:r>
        <w:t>гадене</w:t>
      </w:r>
    </w:p>
    <w:p w14:paraId="109AE638" w14:textId="77777777" w:rsidR="009B3384" w:rsidRDefault="00800862">
      <w:pPr>
        <w:numPr>
          <w:ilvl w:val="0"/>
          <w:numId w:val="30"/>
        </w:numPr>
        <w:tabs>
          <w:tab w:val="left" w:pos="1134"/>
        </w:tabs>
      </w:pPr>
      <w:r>
        <w:t>повръщане</w:t>
      </w:r>
    </w:p>
    <w:p w14:paraId="109AE639" w14:textId="77777777" w:rsidR="009B3384" w:rsidRDefault="00800862">
      <w:pPr>
        <w:numPr>
          <w:ilvl w:val="0"/>
          <w:numId w:val="30"/>
        </w:numPr>
        <w:tabs>
          <w:tab w:val="left" w:pos="1134"/>
        </w:tabs>
      </w:pPr>
      <w:r>
        <w:t>умора</w:t>
      </w:r>
    </w:p>
    <w:p w14:paraId="109AE63A" w14:textId="77777777" w:rsidR="009B3384" w:rsidRDefault="00800862">
      <w:pPr>
        <w:numPr>
          <w:ilvl w:val="0"/>
          <w:numId w:val="30"/>
        </w:numPr>
        <w:tabs>
          <w:tab w:val="left" w:pos="1134"/>
        </w:tabs>
      </w:pPr>
      <w:r>
        <w:t>замаяност</w:t>
      </w:r>
    </w:p>
    <w:p w14:paraId="109AE63B" w14:textId="77777777" w:rsidR="009B3384" w:rsidRDefault="00800862">
      <w:pPr>
        <w:numPr>
          <w:ilvl w:val="0"/>
          <w:numId w:val="30"/>
        </w:numPr>
        <w:tabs>
          <w:tab w:val="left" w:pos="1134"/>
        </w:tabs>
      </w:pPr>
      <w:r>
        <w:t>главоболие</w:t>
      </w:r>
    </w:p>
    <w:p w14:paraId="109AE63C" w14:textId="77777777" w:rsidR="009B3384" w:rsidRDefault="00800862">
      <w:pPr>
        <w:numPr>
          <w:ilvl w:val="0"/>
          <w:numId w:val="30"/>
        </w:numPr>
        <w:tabs>
          <w:tab w:val="left" w:pos="1134"/>
        </w:tabs>
      </w:pPr>
      <w:r>
        <w:t>сърбеж (пруритус)</w:t>
      </w:r>
    </w:p>
    <w:p w14:paraId="109AE63D" w14:textId="77777777" w:rsidR="009B3384" w:rsidRDefault="00800862">
      <w:pPr>
        <w:numPr>
          <w:ilvl w:val="0"/>
          <w:numId w:val="30"/>
        </w:numPr>
        <w:tabs>
          <w:tab w:val="left" w:pos="1134"/>
        </w:tabs>
      </w:pPr>
      <w:r>
        <w:t>болка в гърба, мускулите или ставите</w:t>
      </w:r>
    </w:p>
    <w:p w14:paraId="109AE63E" w14:textId="77777777" w:rsidR="009B3384" w:rsidRDefault="00800862">
      <w:pPr>
        <w:numPr>
          <w:ilvl w:val="0"/>
          <w:numId w:val="30"/>
        </w:numPr>
        <w:tabs>
          <w:tab w:val="left" w:pos="1134"/>
        </w:tabs>
      </w:pPr>
      <w:r>
        <w:t>възпалено гърло</w:t>
      </w:r>
    </w:p>
    <w:p w14:paraId="109AE63F" w14:textId="77777777" w:rsidR="009B3384" w:rsidRDefault="00800862">
      <w:pPr>
        <w:numPr>
          <w:ilvl w:val="0"/>
          <w:numId w:val="30"/>
        </w:numPr>
        <w:tabs>
          <w:tab w:val="left" w:pos="1134"/>
        </w:tabs>
      </w:pPr>
      <w:r>
        <w:t>зачервяване и болка на мястото на инжектиране</w:t>
      </w:r>
    </w:p>
    <w:p w14:paraId="109AE640" w14:textId="77777777" w:rsidR="009B3384" w:rsidRDefault="00800862">
      <w:pPr>
        <w:numPr>
          <w:ilvl w:val="0"/>
          <w:numId w:val="30"/>
        </w:numPr>
        <w:tabs>
          <w:tab w:val="left" w:pos="1134"/>
        </w:tabs>
      </w:pPr>
      <w:r>
        <w:t>инфекция на синусите</w:t>
      </w:r>
    </w:p>
    <w:p w14:paraId="109AE641" w14:textId="77777777" w:rsidR="009B3384" w:rsidRDefault="009B3384"/>
    <w:p w14:paraId="109AE642" w14:textId="77777777" w:rsidR="009B3384" w:rsidRDefault="00800862">
      <w:pPr>
        <w:keepNext/>
        <w:rPr>
          <w:b/>
          <w:szCs w:val="22"/>
        </w:rPr>
      </w:pPr>
      <w:r>
        <w:rPr>
          <w:b/>
          <w:bCs/>
          <w:szCs w:val="22"/>
        </w:rPr>
        <w:t xml:space="preserve">Нечести нежелани реакции </w:t>
      </w:r>
      <w:r>
        <w:rPr>
          <w:bCs/>
          <w:szCs w:val="22"/>
        </w:rPr>
        <w:t>(може да засегнат до 1 на 100 души)</w:t>
      </w:r>
      <w:r>
        <w:rPr>
          <w:b/>
          <w:szCs w:val="22"/>
        </w:rPr>
        <w:t>:</w:t>
      </w:r>
    </w:p>
    <w:p w14:paraId="109AE643" w14:textId="77777777" w:rsidR="009B3384" w:rsidRDefault="00800862">
      <w:pPr>
        <w:numPr>
          <w:ilvl w:val="0"/>
          <w:numId w:val="30"/>
        </w:numPr>
        <w:tabs>
          <w:tab w:val="left" w:pos="1134"/>
        </w:tabs>
      </w:pPr>
      <w:r>
        <w:t>инфекции на зъбите</w:t>
      </w:r>
    </w:p>
    <w:p w14:paraId="109AE644" w14:textId="77777777" w:rsidR="009B3384" w:rsidRDefault="00800862">
      <w:pPr>
        <w:numPr>
          <w:ilvl w:val="0"/>
          <w:numId w:val="30"/>
        </w:numPr>
        <w:tabs>
          <w:tab w:val="left" w:pos="1134"/>
        </w:tabs>
      </w:pPr>
      <w:r>
        <w:t>вагинална инфекция, причинена от гъбички</w:t>
      </w:r>
    </w:p>
    <w:p w14:paraId="109AE645" w14:textId="77777777" w:rsidR="009B3384" w:rsidRDefault="00800862">
      <w:pPr>
        <w:numPr>
          <w:ilvl w:val="0"/>
          <w:numId w:val="30"/>
        </w:numPr>
        <w:tabs>
          <w:tab w:val="left" w:pos="1134"/>
        </w:tabs>
        <w:rPr>
          <w:szCs w:val="22"/>
        </w:rPr>
      </w:pPr>
      <w:r>
        <w:rPr>
          <w:szCs w:val="22"/>
        </w:rPr>
        <w:t>депресия</w:t>
      </w:r>
    </w:p>
    <w:p w14:paraId="109AE646" w14:textId="77777777" w:rsidR="009B3384" w:rsidRDefault="00800862">
      <w:pPr>
        <w:numPr>
          <w:ilvl w:val="0"/>
          <w:numId w:val="30"/>
        </w:numPr>
        <w:tabs>
          <w:tab w:val="left" w:pos="1134"/>
        </w:tabs>
        <w:rPr>
          <w:szCs w:val="22"/>
        </w:rPr>
      </w:pPr>
      <w:r>
        <w:rPr>
          <w:szCs w:val="22"/>
        </w:rPr>
        <w:t>запушен нос или хрема</w:t>
      </w:r>
    </w:p>
    <w:p w14:paraId="109AE647" w14:textId="77777777" w:rsidR="009B3384" w:rsidRDefault="00800862">
      <w:pPr>
        <w:numPr>
          <w:ilvl w:val="0"/>
          <w:numId w:val="30"/>
        </w:numPr>
        <w:tabs>
          <w:tab w:val="left" w:pos="1134"/>
        </w:tabs>
        <w:rPr>
          <w:szCs w:val="22"/>
        </w:rPr>
      </w:pPr>
      <w:r>
        <w:rPr>
          <w:bCs/>
          <w:szCs w:val="22"/>
        </w:rPr>
        <w:t>кървене, посиняване, втвърдяване, подуване и сърбеж на мястото на инжектиране</w:t>
      </w:r>
    </w:p>
    <w:p w14:paraId="109AE648" w14:textId="77777777" w:rsidR="009B3384" w:rsidRDefault="00800862">
      <w:pPr>
        <w:numPr>
          <w:ilvl w:val="0"/>
          <w:numId w:val="30"/>
        </w:numPr>
        <w:tabs>
          <w:tab w:val="left" w:pos="1134"/>
        </w:tabs>
        <w:rPr>
          <w:szCs w:val="22"/>
        </w:rPr>
      </w:pPr>
      <w:r>
        <w:rPr>
          <w:bCs/>
          <w:szCs w:val="22"/>
        </w:rPr>
        <w:t>усещане за слабост</w:t>
      </w:r>
    </w:p>
    <w:p w14:paraId="109AE649" w14:textId="77777777" w:rsidR="009B3384" w:rsidRDefault="00800862">
      <w:pPr>
        <w:numPr>
          <w:ilvl w:val="0"/>
          <w:numId w:val="30"/>
        </w:numPr>
        <w:tabs>
          <w:tab w:val="left" w:pos="1134"/>
        </w:tabs>
        <w:rPr>
          <w:szCs w:val="22"/>
        </w:rPr>
      </w:pPr>
      <w:r>
        <w:rPr>
          <w:szCs w:val="22"/>
        </w:rPr>
        <w:t>спадане на клепача и изкривяване на мускулите на едната половина на лицето („лицева парализа”</w:t>
      </w:r>
      <w:r>
        <w:t xml:space="preserve"> или „парализа на Бел”), която обикновено е временна</w:t>
      </w:r>
    </w:p>
    <w:p w14:paraId="109AE64A" w14:textId="77777777" w:rsidR="009B3384" w:rsidRDefault="00800862">
      <w:pPr>
        <w:numPr>
          <w:ilvl w:val="0"/>
          <w:numId w:val="30"/>
        </w:numPr>
        <w:tabs>
          <w:tab w:val="left" w:pos="1134"/>
        </w:tabs>
        <w:rPr>
          <w:szCs w:val="22"/>
        </w:rPr>
      </w:pPr>
      <w:r>
        <w:rPr>
          <w:szCs w:val="22"/>
        </w:rPr>
        <w:lastRenderedPageBreak/>
        <w:t>промяна на псориазиса със зачервяване и нови малки, жълти или бели мехури по кожата, понякога придружени с температура (пустулозен псориазис)</w:t>
      </w:r>
    </w:p>
    <w:p w14:paraId="109AE64B" w14:textId="77777777" w:rsidR="009B3384" w:rsidRDefault="00800862">
      <w:pPr>
        <w:numPr>
          <w:ilvl w:val="0"/>
          <w:numId w:val="30"/>
        </w:numPr>
        <w:tabs>
          <w:tab w:val="left" w:pos="1134"/>
        </w:tabs>
        <w:rPr>
          <w:szCs w:val="22"/>
        </w:rPr>
      </w:pPr>
      <w:r>
        <w:rPr>
          <w:szCs w:val="22"/>
        </w:rPr>
        <w:t>белене на кожата (ексфолиация на кожата)</w:t>
      </w:r>
    </w:p>
    <w:p w14:paraId="109AE64C" w14:textId="77777777" w:rsidR="009B3384" w:rsidRDefault="00800862">
      <w:pPr>
        <w:numPr>
          <w:ilvl w:val="0"/>
          <w:numId w:val="30"/>
        </w:numPr>
        <w:tabs>
          <w:tab w:val="left" w:pos="1134"/>
        </w:tabs>
        <w:rPr>
          <w:szCs w:val="22"/>
        </w:rPr>
      </w:pPr>
      <w:r>
        <w:rPr>
          <w:szCs w:val="22"/>
        </w:rPr>
        <w:t>акне</w:t>
      </w:r>
    </w:p>
    <w:p w14:paraId="109AE64D" w14:textId="77777777" w:rsidR="009B3384" w:rsidRDefault="009B3384">
      <w:pPr>
        <w:rPr>
          <w:szCs w:val="22"/>
        </w:rPr>
      </w:pPr>
    </w:p>
    <w:p w14:paraId="109AE64E" w14:textId="77777777" w:rsidR="009B3384" w:rsidRDefault="00800862">
      <w:pPr>
        <w:keepNext/>
      </w:pPr>
      <w:r>
        <w:rPr>
          <w:b/>
        </w:rPr>
        <w:t xml:space="preserve">Редки нежелани лекарствени реакции </w:t>
      </w:r>
      <w:r>
        <w:t>(може да засегнат до 1 на 1</w:t>
      </w:r>
      <w:r>
        <w:rPr>
          <w:lang w:val="nl-BE"/>
        </w:rPr>
        <w:t> </w:t>
      </w:r>
      <w:r>
        <w:t>000 души)</w:t>
      </w:r>
    </w:p>
    <w:p w14:paraId="109AE64F" w14:textId="578DF8EE" w:rsidR="009B3384" w:rsidRDefault="00800862">
      <w:pPr>
        <w:numPr>
          <w:ilvl w:val="0"/>
          <w:numId w:val="30"/>
        </w:numPr>
        <w:tabs>
          <w:tab w:val="left" w:pos="1134"/>
        </w:tabs>
      </w:pPr>
      <w:del w:id="1402" w:author="RABG09" w:date="2026-05-14T13:21:00Z">
        <w:r w:rsidDel="0031013C">
          <w:delText>З</w:delText>
        </w:r>
      </w:del>
      <w:ins w:id="1403" w:author="RABG09" w:date="2026-05-14T13:21:00Z">
        <w:r w:rsidR="0031013C">
          <w:t>з</w:t>
        </w:r>
      </w:ins>
      <w:r>
        <w:t>ачервяване и лющене на кожата на по-голяма площ по тялото, които може да сърбят или да са болезнени (ексфолиативен дерматит). Подобни симптоми понякога се развиват като естествена промяна на вида на симптомите на псориазис (еритродермичен псориазис)</w:t>
      </w:r>
    </w:p>
    <w:p w14:paraId="109AE650" w14:textId="226794CD" w:rsidR="009B3384" w:rsidRDefault="00800862">
      <w:pPr>
        <w:numPr>
          <w:ilvl w:val="0"/>
          <w:numId w:val="30"/>
        </w:numPr>
        <w:tabs>
          <w:tab w:val="left" w:pos="1134"/>
        </w:tabs>
      </w:pPr>
      <w:del w:id="1404" w:author="RABG09" w:date="2026-05-14T13:22:00Z">
        <w:r w:rsidDel="0031013C">
          <w:delText>В</w:delText>
        </w:r>
      </w:del>
      <w:ins w:id="1405" w:author="RABG09" w:date="2026-05-14T13:22:00Z">
        <w:r w:rsidR="0031013C">
          <w:t>в</w:t>
        </w:r>
      </w:ins>
      <w:r>
        <w:t>ъзпаление на малките кръвоносни съдове, което може да доведе до кожен обрив с малки червени или лилави подутини, температура или болка в ставите (васкулит).</w:t>
      </w:r>
    </w:p>
    <w:p w14:paraId="109AE651" w14:textId="77777777" w:rsidR="009B3384" w:rsidRDefault="009B3384">
      <w:pPr>
        <w:rPr>
          <w:szCs w:val="22"/>
        </w:rPr>
      </w:pPr>
    </w:p>
    <w:p w14:paraId="109AE652" w14:textId="77777777" w:rsidR="009B3384" w:rsidRDefault="00800862">
      <w:pPr>
        <w:keepNext/>
      </w:pPr>
      <w:r>
        <w:rPr>
          <w:b/>
          <w:szCs w:val="22"/>
        </w:rPr>
        <w:t>Много редки</w:t>
      </w:r>
      <w:r>
        <w:rPr>
          <w:szCs w:val="22"/>
        </w:rPr>
        <w:t xml:space="preserve"> </w:t>
      </w:r>
      <w:r>
        <w:rPr>
          <w:b/>
        </w:rPr>
        <w:t xml:space="preserve">нежелани лекарствени реакции </w:t>
      </w:r>
      <w:r>
        <w:t>(може да засегнат до 1 на 10</w:t>
      </w:r>
      <w:r>
        <w:rPr>
          <w:lang w:val="nl-BE"/>
        </w:rPr>
        <w:t> </w:t>
      </w:r>
      <w:r>
        <w:t>000</w:t>
      </w:r>
      <w:r>
        <w:rPr>
          <w:lang w:val="en-US"/>
        </w:rPr>
        <w:t> </w:t>
      </w:r>
      <w:r>
        <w:t>души)</w:t>
      </w:r>
    </w:p>
    <w:p w14:paraId="109AE653" w14:textId="53A9A930" w:rsidR="009B3384" w:rsidRDefault="00800862">
      <w:pPr>
        <w:numPr>
          <w:ilvl w:val="0"/>
          <w:numId w:val="30"/>
        </w:numPr>
        <w:tabs>
          <w:tab w:val="left" w:pos="1134"/>
        </w:tabs>
      </w:pPr>
      <w:del w:id="1406" w:author="RABG09" w:date="2026-05-14T13:22:00Z">
        <w:r w:rsidDel="0031013C">
          <w:delText>О</w:delText>
        </w:r>
      </w:del>
      <w:ins w:id="1407" w:author="RABG09" w:date="2026-05-14T13:22:00Z">
        <w:r w:rsidR="0031013C">
          <w:t>о</w:t>
        </w:r>
      </w:ins>
      <w:r>
        <w:t>бразуване на мехури по кожата, която може да бъде зачервена, сърбяща и болезнена (булозен пемфигоид)</w:t>
      </w:r>
      <w:ins w:id="1408" w:author="RABG09" w:date="2026-05-14T13:22:00Z">
        <w:r w:rsidR="00647989">
          <w:t>.</w:t>
        </w:r>
      </w:ins>
    </w:p>
    <w:p w14:paraId="109AE654" w14:textId="77777777" w:rsidR="009B3384" w:rsidRDefault="00800862">
      <w:pPr>
        <w:numPr>
          <w:ilvl w:val="0"/>
          <w:numId w:val="30"/>
        </w:numPr>
        <w:tabs>
          <w:tab w:val="left" w:pos="1134"/>
        </w:tabs>
      </w:pPr>
      <w:r>
        <w:rPr>
          <w:szCs w:val="22"/>
        </w:rPr>
        <w:t>кожен лупус еритематодес и лупус-подобен синдром (червен, надигнат, лющещ се обрив в изложените на слънце участъци на кожата, който може да е придружен от болки в ставите).</w:t>
      </w:r>
    </w:p>
    <w:p w14:paraId="109AE655" w14:textId="77777777" w:rsidR="009B3384" w:rsidRDefault="009B3384">
      <w:pPr>
        <w:rPr>
          <w:szCs w:val="22"/>
        </w:rPr>
      </w:pPr>
    </w:p>
    <w:p w14:paraId="109AE656" w14:textId="77777777" w:rsidR="009B3384" w:rsidRDefault="00800862">
      <w:pPr>
        <w:keepNext/>
        <w:rPr>
          <w:szCs w:val="22"/>
        </w:rPr>
      </w:pPr>
      <w:r>
        <w:rPr>
          <w:b/>
          <w:szCs w:val="22"/>
        </w:rPr>
        <w:t>Съобщаване на нежелани реакции</w:t>
      </w:r>
    </w:p>
    <w:p w14:paraId="109AE657" w14:textId="77777777" w:rsidR="009B3384" w:rsidRDefault="00800862">
      <w:pPr>
        <w:rPr>
          <w:szCs w:val="22"/>
        </w:rPr>
      </w:pPr>
      <w:r>
        <w:t xml:space="preserve">Ако </w:t>
      </w:r>
      <w:r>
        <w:rPr>
          <w:szCs w:val="24"/>
        </w:rPr>
        <w:t xml:space="preserve">получите някакви нежелани </w:t>
      </w:r>
      <w:r>
        <w:t>лекарствени реакции</w:t>
      </w:r>
      <w:r>
        <w:rPr>
          <w:szCs w:val="24"/>
        </w:rPr>
        <w:t>,</w:t>
      </w:r>
      <w:r>
        <w:t xml:space="preserve"> уведомете</w:t>
      </w:r>
      <w:r>
        <w:rPr>
          <w:szCs w:val="24"/>
        </w:rPr>
        <w:t xml:space="preserve"> </w:t>
      </w:r>
      <w:r>
        <w:t>Вашия лекар или фармацевт</w:t>
      </w:r>
      <w:r>
        <w:rPr>
          <w:szCs w:val="24"/>
        </w:rPr>
        <w:t>. Това включва и всички възможни неописани в тази листовка нежелани реакции.</w:t>
      </w:r>
      <w:r>
        <w:t xml:space="preserve"> Можете също да съобщите нежелани реакции директно чрез </w:t>
      </w:r>
      <w:r>
        <w:rPr>
          <w:highlight w:val="lightGray"/>
        </w:rPr>
        <w:t xml:space="preserve">националната система за съобщаване, посочена </w:t>
      </w:r>
      <w:r>
        <w:rPr>
          <w:szCs w:val="22"/>
          <w:highlight w:val="lightGray"/>
        </w:rPr>
        <w:t xml:space="preserve">в </w:t>
      </w:r>
      <w:hyperlink r:id="rId29" w:history="1">
        <w:r>
          <w:rPr>
            <w:rStyle w:val="Hyperlink"/>
            <w:noProof/>
            <w:szCs w:val="22"/>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9AE658" w14:textId="77777777" w:rsidR="009B3384" w:rsidRDefault="009B3384">
      <w:pPr>
        <w:rPr>
          <w:szCs w:val="22"/>
        </w:rPr>
      </w:pPr>
    </w:p>
    <w:p w14:paraId="109AE659" w14:textId="77777777" w:rsidR="009B3384" w:rsidRDefault="009B3384">
      <w:pPr>
        <w:rPr>
          <w:szCs w:val="22"/>
        </w:rPr>
      </w:pPr>
    </w:p>
    <w:p w14:paraId="109AE65A" w14:textId="77777777" w:rsidR="009B3384" w:rsidRDefault="00800862">
      <w:pPr>
        <w:keepNext/>
        <w:ind w:left="567" w:hanging="567"/>
        <w:outlineLvl w:val="2"/>
        <w:rPr>
          <w:b/>
          <w:bCs/>
          <w:szCs w:val="22"/>
        </w:rPr>
      </w:pPr>
      <w:r>
        <w:rPr>
          <w:b/>
          <w:bCs/>
          <w:szCs w:val="22"/>
        </w:rPr>
        <w:t>5.</w:t>
      </w:r>
      <w:r>
        <w:rPr>
          <w:b/>
          <w:bCs/>
          <w:szCs w:val="22"/>
        </w:rPr>
        <w:tab/>
      </w:r>
      <w:r>
        <w:rPr>
          <w:b/>
          <w:bCs/>
        </w:rPr>
        <w:t xml:space="preserve">Как да съхранявате </w:t>
      </w:r>
      <w:r>
        <w:rPr>
          <w:b/>
          <w:bCs/>
          <w:szCs w:val="22"/>
        </w:rPr>
        <w:t>Stelara</w:t>
      </w:r>
    </w:p>
    <w:p w14:paraId="109AE65B" w14:textId="77777777" w:rsidR="009B3384" w:rsidRDefault="009B3384">
      <w:pPr>
        <w:keepNext/>
        <w:rPr>
          <w:szCs w:val="22"/>
        </w:rPr>
      </w:pPr>
    </w:p>
    <w:p w14:paraId="109AE65C" w14:textId="77777777" w:rsidR="009B3384" w:rsidRDefault="00800862">
      <w:pPr>
        <w:numPr>
          <w:ilvl w:val="0"/>
          <w:numId w:val="30"/>
        </w:numPr>
        <w:tabs>
          <w:tab w:val="clear" w:pos="567"/>
        </w:tabs>
      </w:pPr>
      <w:r>
        <w:t>Да се съхранява на място, недостъпно за деца.</w:t>
      </w:r>
    </w:p>
    <w:p w14:paraId="109AE65D" w14:textId="77777777" w:rsidR="009B3384" w:rsidRDefault="00800862">
      <w:pPr>
        <w:numPr>
          <w:ilvl w:val="0"/>
          <w:numId w:val="30"/>
        </w:numPr>
        <w:tabs>
          <w:tab w:val="clear" w:pos="567"/>
        </w:tabs>
      </w:pPr>
      <w:r>
        <w:t>Да се съхранява в хладилник (2°C–8°C). Да не се замразява.</w:t>
      </w:r>
    </w:p>
    <w:p w14:paraId="109AE65E" w14:textId="77777777" w:rsidR="009B3384" w:rsidRDefault="00800862">
      <w:pPr>
        <w:numPr>
          <w:ilvl w:val="0"/>
          <w:numId w:val="30"/>
        </w:numPr>
        <w:tabs>
          <w:tab w:val="clear" w:pos="567"/>
        </w:tabs>
      </w:pPr>
      <w:r>
        <w:t xml:space="preserve">Съхранявайте предварително напълнената </w:t>
      </w:r>
      <w:bookmarkStart w:id="1409" w:name="_Hlk135647717"/>
      <w:r>
        <w:t>писалка</w:t>
      </w:r>
      <w:bookmarkEnd w:id="1409"/>
      <w:r>
        <w:t xml:space="preserve"> в картонената опаковка, за да се предпази от светлина.</w:t>
      </w:r>
    </w:p>
    <w:p w14:paraId="109AE65F" w14:textId="77777777" w:rsidR="009B3384" w:rsidRDefault="00800862">
      <w:pPr>
        <w:widowControl w:val="0"/>
        <w:numPr>
          <w:ilvl w:val="0"/>
          <w:numId w:val="30"/>
        </w:numPr>
        <w:tabs>
          <w:tab w:val="clear" w:pos="567"/>
        </w:tabs>
      </w:pPr>
      <w:r>
        <w:t>Ако е необходимо, отделните предварително напълнени писалки Stelara може също да се съхраняват при стайна температура до 30</w:t>
      </w:r>
      <w:r>
        <w:rPr>
          <w:rFonts w:eastAsia="Symbol"/>
        </w:rPr>
        <w:t>°</w:t>
      </w:r>
      <w:r>
        <w:t>C за максимум един период до 30 дни в оригиналната картонена опаковка, за да се предпазят от светлина. Запишете датата, на която предварително напълнената писалка е извадена за първи път от хладилника и датата на изхвърляне на обозначените на външната картонена опаковка места. Датата на изхвърляне не трябва да е след оригиналния срок на годност, отпечатан върху картонената опаковка. След като веднъж писалката е била съхранявана при стайна температура (до 30</w:t>
      </w:r>
      <w:r>
        <w:rPr>
          <w:rFonts w:eastAsia="Symbol"/>
        </w:rPr>
        <w:t>°</w:t>
      </w:r>
      <w:r>
        <w:t>C), тя не трябва да се връща в хладилника. Изхвърлете писалката, ако не се използва след съхранение при стайна температура в рамките на 30 дни или след изтичане на оригиналния срок на годност, в зависимост от това, кое от двете настъпи по-рано.</w:t>
      </w:r>
    </w:p>
    <w:p w14:paraId="109AE660" w14:textId="0A3C6B6B" w:rsidR="009B3384" w:rsidRDefault="00800862">
      <w:pPr>
        <w:numPr>
          <w:ilvl w:val="0"/>
          <w:numId w:val="30"/>
        </w:numPr>
        <w:tabs>
          <w:tab w:val="clear" w:pos="567"/>
        </w:tabs>
      </w:pPr>
      <w:r>
        <w:t>Не разклащайте предварително напълнен</w:t>
      </w:r>
      <w:ins w:id="1410" w:author="RABG09" w:date="2026-06-25T10:43:00Z">
        <w:r w:rsidR="004A3CBE">
          <w:t>ата</w:t>
        </w:r>
      </w:ins>
      <w:del w:id="1411" w:author="RABG09" w:date="2026-06-25T10:43:00Z">
        <w:r w:rsidDel="004A3CBE">
          <w:delText>ите</w:delText>
        </w:r>
      </w:del>
      <w:r>
        <w:t xml:space="preserve"> писалк</w:t>
      </w:r>
      <w:ins w:id="1412" w:author="RABG09" w:date="2026-06-25T10:43:00Z">
        <w:r w:rsidR="004A3CBE">
          <w:t>а</w:t>
        </w:r>
      </w:ins>
      <w:del w:id="1413" w:author="RABG09" w:date="2026-06-25T10:43:00Z">
        <w:r w:rsidDel="004A3CBE">
          <w:delText>и</w:delText>
        </w:r>
      </w:del>
      <w:r>
        <w:t>. Продължителното енергично разклащане може да повреди лекарството.</w:t>
      </w:r>
    </w:p>
    <w:p w14:paraId="109AE661" w14:textId="77777777" w:rsidR="009B3384" w:rsidRDefault="009B3384">
      <w:pPr>
        <w:rPr>
          <w:szCs w:val="22"/>
        </w:rPr>
      </w:pPr>
    </w:p>
    <w:p w14:paraId="109AE662" w14:textId="77777777" w:rsidR="009B3384" w:rsidRDefault="00800862">
      <w:pPr>
        <w:keepNext/>
        <w:rPr>
          <w:b/>
          <w:szCs w:val="22"/>
        </w:rPr>
      </w:pPr>
      <w:r>
        <w:rPr>
          <w:b/>
          <w:szCs w:val="22"/>
        </w:rPr>
        <w:t>Не използвайте това лекарство:</w:t>
      </w:r>
    </w:p>
    <w:p w14:paraId="109AE663" w14:textId="77777777" w:rsidR="009B3384" w:rsidRDefault="00800862">
      <w:pPr>
        <w:numPr>
          <w:ilvl w:val="0"/>
          <w:numId w:val="30"/>
        </w:numPr>
        <w:tabs>
          <w:tab w:val="clear" w:pos="567"/>
        </w:tabs>
        <w:rPr>
          <w:bCs/>
          <w:szCs w:val="22"/>
        </w:rPr>
      </w:pPr>
      <w:r>
        <w:rPr>
          <w:szCs w:val="22"/>
        </w:rPr>
        <w:t xml:space="preserve">след срока </w:t>
      </w:r>
      <w:r>
        <w:rPr>
          <w:bCs/>
          <w:szCs w:val="22"/>
        </w:rPr>
        <w:t>на годност, отбелязан върху етикета и картонената опаковка след „</w:t>
      </w:r>
      <w:r>
        <w:rPr>
          <w:bCs/>
          <w:szCs w:val="22"/>
          <w:lang w:val="en-US"/>
        </w:rPr>
        <w:t>EXP</w:t>
      </w:r>
      <w:r>
        <w:rPr>
          <w:bCs/>
          <w:szCs w:val="22"/>
        </w:rPr>
        <w:t>“/„Годен до:“. Срокът на годност отговаря на последния ден от посочения месец;</w:t>
      </w:r>
    </w:p>
    <w:p w14:paraId="109AE664" w14:textId="77777777" w:rsidR="009B3384" w:rsidRDefault="00800862">
      <w:pPr>
        <w:numPr>
          <w:ilvl w:val="0"/>
          <w:numId w:val="30"/>
        </w:numPr>
        <w:tabs>
          <w:tab w:val="clear" w:pos="567"/>
        </w:tabs>
        <w:rPr>
          <w:bCs/>
          <w:szCs w:val="22"/>
        </w:rPr>
      </w:pPr>
      <w:r>
        <w:rPr>
          <w:bCs/>
          <w:szCs w:val="22"/>
        </w:rPr>
        <w:t>ако течността е с променен цвят, мътна или в нея се забелязват плуващи чужди частици (вижте точка 6 „Как изглежда Stelara и какво съдържа опаковката“);</w:t>
      </w:r>
    </w:p>
    <w:p w14:paraId="109AE665" w14:textId="77777777" w:rsidR="009B3384" w:rsidRDefault="00800862">
      <w:pPr>
        <w:numPr>
          <w:ilvl w:val="0"/>
          <w:numId w:val="30"/>
        </w:numPr>
        <w:tabs>
          <w:tab w:val="clear" w:pos="567"/>
        </w:tabs>
        <w:rPr>
          <w:bCs/>
          <w:szCs w:val="22"/>
        </w:rPr>
      </w:pPr>
      <w:r>
        <w:rPr>
          <w:bCs/>
          <w:szCs w:val="22"/>
        </w:rPr>
        <w:t>ако знаете или смятате, че може да е била изложена на екстремни температури (като инцидентно замръзване или загряване);</w:t>
      </w:r>
    </w:p>
    <w:p w14:paraId="109AE666" w14:textId="77777777" w:rsidR="009B3384" w:rsidRDefault="00800862">
      <w:pPr>
        <w:numPr>
          <w:ilvl w:val="0"/>
          <w:numId w:val="30"/>
        </w:numPr>
        <w:tabs>
          <w:tab w:val="clear" w:pos="567"/>
        </w:tabs>
        <w:rPr>
          <w:bCs/>
          <w:szCs w:val="22"/>
        </w:rPr>
      </w:pPr>
      <w:r>
        <w:rPr>
          <w:bCs/>
          <w:szCs w:val="22"/>
        </w:rPr>
        <w:t>ако продуктът е бил енергично разклатен.</w:t>
      </w:r>
    </w:p>
    <w:p w14:paraId="109AE667" w14:textId="77777777" w:rsidR="009B3384" w:rsidRDefault="009B3384">
      <w:pPr>
        <w:rPr>
          <w:szCs w:val="22"/>
        </w:rPr>
      </w:pPr>
    </w:p>
    <w:p w14:paraId="109AE668" w14:textId="77777777" w:rsidR="009B3384" w:rsidRDefault="00800862">
      <w:r>
        <w:rPr>
          <w:bCs/>
          <w:szCs w:val="22"/>
        </w:rPr>
        <w:t>Stelara</w:t>
      </w:r>
      <w:r>
        <w:rPr>
          <w:szCs w:val="22"/>
        </w:rPr>
        <w:t xml:space="preserve"> e само за еднократна употреба. Неизползваният продукт, останал в </w:t>
      </w:r>
      <w:r>
        <w:t>писалката</w:t>
      </w:r>
      <w:r>
        <w:rPr>
          <w:szCs w:val="22"/>
        </w:rPr>
        <w:t xml:space="preserve">, трябва да се изхвърли. </w:t>
      </w:r>
      <w:r>
        <w:rPr>
          <w:szCs w:val="24"/>
        </w:rPr>
        <w:t>Не изхвърляйте лекарствата</w:t>
      </w:r>
      <w:r>
        <w:t xml:space="preserve"> в канализацията или в контейнера за домашни отпадъци</w:t>
      </w:r>
      <w:r>
        <w:rPr>
          <w:szCs w:val="24"/>
        </w:rPr>
        <w:t>.</w:t>
      </w:r>
      <w:r>
        <w:t xml:space="preserve"> Попитайте Вашия фармацевт как да </w:t>
      </w:r>
      <w:r>
        <w:rPr>
          <w:szCs w:val="24"/>
        </w:rPr>
        <w:t>изхвърляте лекарствата, които вече не използвате</w:t>
      </w:r>
      <w:r>
        <w:t>. Тези мерки ще спомогнат за опазване на околната среда.</w:t>
      </w:r>
    </w:p>
    <w:p w14:paraId="109AE669" w14:textId="77777777" w:rsidR="009B3384" w:rsidRDefault="009B3384">
      <w:pPr>
        <w:rPr>
          <w:szCs w:val="22"/>
        </w:rPr>
      </w:pPr>
    </w:p>
    <w:p w14:paraId="109AE66A" w14:textId="77777777" w:rsidR="009B3384" w:rsidRDefault="009B3384">
      <w:pPr>
        <w:rPr>
          <w:szCs w:val="22"/>
        </w:rPr>
      </w:pPr>
    </w:p>
    <w:p w14:paraId="109AE66B" w14:textId="77777777" w:rsidR="009B3384" w:rsidRDefault="00800862">
      <w:pPr>
        <w:keepNext/>
        <w:ind w:left="567" w:hanging="567"/>
        <w:outlineLvl w:val="2"/>
        <w:rPr>
          <w:b/>
          <w:bCs/>
          <w:szCs w:val="22"/>
        </w:rPr>
      </w:pPr>
      <w:r>
        <w:rPr>
          <w:b/>
          <w:bCs/>
          <w:szCs w:val="22"/>
        </w:rPr>
        <w:t>6.</w:t>
      </w:r>
      <w:r>
        <w:rPr>
          <w:b/>
          <w:bCs/>
          <w:szCs w:val="22"/>
        </w:rPr>
        <w:tab/>
        <w:t>Съдържание на опаковката и допълнителна информация</w:t>
      </w:r>
    </w:p>
    <w:p w14:paraId="109AE66C" w14:textId="77777777" w:rsidR="009B3384" w:rsidRDefault="009B3384">
      <w:pPr>
        <w:keepNext/>
        <w:rPr>
          <w:szCs w:val="22"/>
        </w:rPr>
      </w:pPr>
    </w:p>
    <w:p w14:paraId="109AE66D" w14:textId="77777777" w:rsidR="009B3384" w:rsidRDefault="00800862">
      <w:pPr>
        <w:keepNext/>
        <w:rPr>
          <w:b/>
          <w:szCs w:val="22"/>
        </w:rPr>
      </w:pPr>
      <w:r>
        <w:rPr>
          <w:b/>
          <w:szCs w:val="22"/>
        </w:rPr>
        <w:t>Какво съдържа Stelara</w:t>
      </w:r>
    </w:p>
    <w:p w14:paraId="109AE66E" w14:textId="77777777" w:rsidR="009B3384" w:rsidRDefault="00800862">
      <w:pPr>
        <w:numPr>
          <w:ilvl w:val="0"/>
          <w:numId w:val="30"/>
        </w:numPr>
        <w:tabs>
          <w:tab w:val="clear" w:pos="567"/>
        </w:tabs>
        <w:rPr>
          <w:bCs/>
          <w:szCs w:val="22"/>
        </w:rPr>
      </w:pPr>
      <w:r>
        <w:rPr>
          <w:bCs/>
          <w:szCs w:val="22"/>
        </w:rPr>
        <w:t xml:space="preserve">Активно вещество: устекинумаб. Всяка предварително напълнена </w:t>
      </w:r>
      <w:r>
        <w:t>писалка</w:t>
      </w:r>
      <w:r>
        <w:rPr>
          <w:bCs/>
          <w:szCs w:val="22"/>
        </w:rPr>
        <w:t xml:space="preserve"> съдържа 45 mg устекинумаб в 0,5 ml.</w:t>
      </w:r>
    </w:p>
    <w:p w14:paraId="109AE66F" w14:textId="77777777" w:rsidR="009B3384" w:rsidRDefault="00800862">
      <w:pPr>
        <w:numPr>
          <w:ilvl w:val="0"/>
          <w:numId w:val="30"/>
        </w:numPr>
        <w:tabs>
          <w:tab w:val="clear" w:pos="567"/>
        </w:tabs>
        <w:rPr>
          <w:bCs/>
          <w:szCs w:val="22"/>
        </w:rPr>
      </w:pPr>
      <w:r>
        <w:rPr>
          <w:bCs/>
          <w:szCs w:val="22"/>
        </w:rPr>
        <w:t xml:space="preserve">Други съставки: L-хистидин, L-хистидинов монохидрохлорид монохидрат, полисорбат 80 </w:t>
      </w:r>
      <w:r>
        <w:rPr>
          <w:iCs/>
          <w:szCs w:val="22"/>
        </w:rPr>
        <w:t>(E433)</w:t>
      </w:r>
      <w:r>
        <w:rPr>
          <w:bCs/>
          <w:szCs w:val="22"/>
        </w:rPr>
        <w:t>, захароза и вода за инжекции.</w:t>
      </w:r>
    </w:p>
    <w:p w14:paraId="109AE670" w14:textId="77777777" w:rsidR="009B3384" w:rsidRDefault="009B3384">
      <w:pPr>
        <w:rPr>
          <w:szCs w:val="22"/>
        </w:rPr>
      </w:pPr>
    </w:p>
    <w:p w14:paraId="109AE671" w14:textId="77777777" w:rsidR="009B3384" w:rsidRDefault="00800862">
      <w:pPr>
        <w:keepNext/>
        <w:rPr>
          <w:b/>
          <w:szCs w:val="22"/>
        </w:rPr>
      </w:pPr>
      <w:r>
        <w:rPr>
          <w:b/>
          <w:szCs w:val="22"/>
        </w:rPr>
        <w:t>Как изглежда Stelara и какво съдържа опаковката</w:t>
      </w:r>
    </w:p>
    <w:p w14:paraId="109AE672" w14:textId="77777777" w:rsidR="009B3384" w:rsidRDefault="00800862">
      <w:pPr>
        <w:rPr>
          <w:szCs w:val="22"/>
        </w:rPr>
      </w:pPr>
      <w:r>
        <w:rPr>
          <w:szCs w:val="22"/>
        </w:rPr>
        <w:t xml:space="preserve">Stelara </w:t>
      </w:r>
      <w:r>
        <w:rPr>
          <w:bCs/>
        </w:rPr>
        <w:t xml:space="preserve">е бистър до </w:t>
      </w:r>
      <w:r>
        <w:rPr>
          <w:szCs w:val="22"/>
        </w:rPr>
        <w:t xml:space="preserve">леко опалесцентен (с перлен блясък), безцветен до бледожълт инжекционен разтвор. Той </w:t>
      </w:r>
      <w:r>
        <w:rPr>
          <w:bCs/>
        </w:rPr>
        <w:t xml:space="preserve">може да съдържа няколко дребни </w:t>
      </w:r>
      <w:r>
        <w:t xml:space="preserve">полупрозрачни или бели частици протеин. Доставя се в картонена опаковка, съдържаща една стъклена предварително напълнена писалка от 1 ml с единична доза. Всяка предварително напълнена писалка съдържа </w:t>
      </w:r>
      <w:r>
        <w:rPr>
          <w:szCs w:val="22"/>
        </w:rPr>
        <w:t>45 mg устекинумаб в 0,5 ml инжекционен разтвор.</w:t>
      </w:r>
    </w:p>
    <w:p w14:paraId="109AE673" w14:textId="77777777" w:rsidR="009B3384" w:rsidRDefault="009B3384"/>
    <w:p w14:paraId="109AE674" w14:textId="77777777" w:rsidR="009B3384" w:rsidRDefault="00800862">
      <w:pPr>
        <w:keepNext/>
        <w:rPr>
          <w:b/>
          <w:bCs/>
        </w:rPr>
      </w:pPr>
      <w:r>
        <w:rPr>
          <w:b/>
          <w:bCs/>
        </w:rPr>
        <w:t>Притежател на разрешението за употреба</w:t>
      </w:r>
    </w:p>
    <w:p w14:paraId="109AE675" w14:textId="77777777" w:rsidR="009B3384" w:rsidRDefault="00800862">
      <w:pPr>
        <w:rPr>
          <w:szCs w:val="13"/>
        </w:rPr>
      </w:pPr>
      <w:r>
        <w:rPr>
          <w:szCs w:val="13"/>
        </w:rPr>
        <w:t>Janssen-Cilag International NV</w:t>
      </w:r>
    </w:p>
    <w:p w14:paraId="109AE676" w14:textId="77777777" w:rsidR="009B3384" w:rsidRDefault="00800862">
      <w:pPr>
        <w:rPr>
          <w:szCs w:val="13"/>
        </w:rPr>
      </w:pPr>
      <w:r>
        <w:rPr>
          <w:szCs w:val="13"/>
        </w:rPr>
        <w:t>Turnhoutseweg 30</w:t>
      </w:r>
    </w:p>
    <w:p w14:paraId="109AE677" w14:textId="77777777" w:rsidR="009B3384" w:rsidRDefault="00800862">
      <w:pPr>
        <w:rPr>
          <w:szCs w:val="13"/>
        </w:rPr>
      </w:pPr>
      <w:r>
        <w:rPr>
          <w:szCs w:val="13"/>
          <w:lang w:val="en-US"/>
        </w:rPr>
        <w:t>B</w:t>
      </w:r>
      <w:r>
        <w:rPr>
          <w:szCs w:val="13"/>
        </w:rPr>
        <w:t>-2340 Beerse</w:t>
      </w:r>
    </w:p>
    <w:p w14:paraId="109AE678" w14:textId="77777777" w:rsidR="009B3384" w:rsidRDefault="00800862">
      <w:r>
        <w:t>Белгия</w:t>
      </w:r>
    </w:p>
    <w:p w14:paraId="109AE679" w14:textId="77777777" w:rsidR="009B3384" w:rsidRDefault="009B3384"/>
    <w:p w14:paraId="109AE67A" w14:textId="77777777" w:rsidR="009B3384" w:rsidRDefault="00800862">
      <w:pPr>
        <w:keepNext/>
        <w:rPr>
          <w:b/>
          <w:bCs/>
        </w:rPr>
      </w:pPr>
      <w:r>
        <w:rPr>
          <w:b/>
          <w:bCs/>
        </w:rPr>
        <w:t>Производител</w:t>
      </w:r>
    </w:p>
    <w:p w14:paraId="109AE67B" w14:textId="77777777" w:rsidR="009B3384" w:rsidRDefault="00800862">
      <w:r>
        <w:t>Janssen Biologics B.V.</w:t>
      </w:r>
    </w:p>
    <w:p w14:paraId="109AE67C" w14:textId="77777777" w:rsidR="009B3384" w:rsidRDefault="00800862">
      <w:r>
        <w:t>Einsteinweg 101</w:t>
      </w:r>
    </w:p>
    <w:p w14:paraId="109AE67D" w14:textId="77777777" w:rsidR="009B3384" w:rsidRDefault="00800862">
      <w:r>
        <w:t>2333 CB Leiden</w:t>
      </w:r>
    </w:p>
    <w:p w14:paraId="109AE67E" w14:textId="77777777" w:rsidR="009B3384" w:rsidRDefault="00800862">
      <w:r>
        <w:t>Нидерландия</w:t>
      </w:r>
    </w:p>
    <w:p w14:paraId="109AE67F" w14:textId="77777777" w:rsidR="009B3384" w:rsidRDefault="009B3384">
      <w:pPr>
        <w:rPr>
          <w:szCs w:val="22"/>
        </w:rPr>
      </w:pPr>
    </w:p>
    <w:p w14:paraId="109AE680" w14:textId="77777777" w:rsidR="009B3384" w:rsidRDefault="00800862">
      <w:pPr>
        <w:rPr>
          <w:szCs w:val="22"/>
        </w:rPr>
      </w:pPr>
      <w:r>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109AE681" w14:textId="77777777" w:rsidR="009B3384" w:rsidRDefault="009B3384">
      <w:pPr>
        <w:keepNext/>
        <w:suppressAutoHyphens w:val="0"/>
        <w:rPr>
          <w:szCs w:val="22"/>
        </w:rPr>
      </w:pPr>
    </w:p>
    <w:tbl>
      <w:tblPr>
        <w:tblW w:w="9075" w:type="dxa"/>
        <w:jc w:val="center"/>
        <w:tblLayout w:type="fixed"/>
        <w:tblLook w:val="04A0" w:firstRow="1" w:lastRow="0" w:firstColumn="1" w:lastColumn="0" w:noHBand="0" w:noVBand="1"/>
      </w:tblPr>
      <w:tblGrid>
        <w:gridCol w:w="10"/>
        <w:gridCol w:w="4260"/>
        <w:gridCol w:w="4805"/>
      </w:tblGrid>
      <w:tr w:rsidR="009B3384" w14:paraId="109AE68D" w14:textId="77777777">
        <w:trPr>
          <w:cantSplit/>
          <w:jc w:val="center"/>
        </w:trPr>
        <w:tc>
          <w:tcPr>
            <w:tcW w:w="4270" w:type="dxa"/>
            <w:gridSpan w:val="2"/>
          </w:tcPr>
          <w:p w14:paraId="109AE682" w14:textId="77777777" w:rsidR="009B3384" w:rsidRDefault="00800862">
            <w:pPr>
              <w:widowControl w:val="0"/>
              <w:suppressAutoHyphens w:val="0"/>
              <w:rPr>
                <w:b/>
                <w:szCs w:val="22"/>
                <w:lang w:val="nl-BE"/>
              </w:rPr>
            </w:pPr>
            <w:r>
              <w:rPr>
                <w:b/>
                <w:szCs w:val="22"/>
                <w:lang w:val="nl-BE"/>
              </w:rPr>
              <w:t>België/Belgique/Belgien</w:t>
            </w:r>
          </w:p>
          <w:p w14:paraId="109AE683" w14:textId="77777777" w:rsidR="009B3384" w:rsidRDefault="00800862">
            <w:pPr>
              <w:widowControl w:val="0"/>
              <w:suppressAutoHyphens w:val="0"/>
              <w:rPr>
                <w:szCs w:val="22"/>
                <w:lang w:val="nl-BE"/>
              </w:rPr>
            </w:pPr>
            <w:r>
              <w:rPr>
                <w:szCs w:val="22"/>
                <w:lang w:val="nl-BE"/>
              </w:rPr>
              <w:t>Janssen-Cilag NV</w:t>
            </w:r>
          </w:p>
          <w:p w14:paraId="109AE684" w14:textId="323A9783" w:rsidR="009B3384" w:rsidRDefault="00800862">
            <w:pPr>
              <w:widowControl w:val="0"/>
              <w:suppressAutoHyphens w:val="0"/>
              <w:rPr>
                <w:szCs w:val="22"/>
                <w:lang w:val="nl-NL"/>
              </w:rPr>
            </w:pPr>
            <w:r>
              <w:rPr>
                <w:szCs w:val="22"/>
                <w:lang w:val="nl-NL"/>
              </w:rPr>
              <w:t xml:space="preserve">Tel/Tél: </w:t>
            </w:r>
            <w:r>
              <w:t>0800 93 377</w:t>
            </w:r>
          </w:p>
          <w:p w14:paraId="109AE686" w14:textId="09090EFD" w:rsidR="009B3384" w:rsidRDefault="00800862">
            <w:pPr>
              <w:suppressAutoHyphens w:val="0"/>
              <w:rPr>
                <w:szCs w:val="22"/>
                <w:lang w:val="nl-NL"/>
              </w:rPr>
            </w:pPr>
            <w:r w:rsidRPr="00BC6A43">
              <w:t>info_belux@its.jnj.com</w:t>
            </w:r>
          </w:p>
          <w:p w14:paraId="109AE687" w14:textId="77777777" w:rsidR="009B3384" w:rsidRDefault="009B3384">
            <w:pPr>
              <w:widowControl w:val="0"/>
              <w:suppressAutoHyphens w:val="0"/>
              <w:rPr>
                <w:szCs w:val="22"/>
                <w:lang w:val="nl-NL"/>
              </w:rPr>
            </w:pPr>
          </w:p>
        </w:tc>
        <w:tc>
          <w:tcPr>
            <w:tcW w:w="4805" w:type="dxa"/>
          </w:tcPr>
          <w:p w14:paraId="109AE688" w14:textId="77777777" w:rsidR="009B3384" w:rsidRDefault="00800862">
            <w:pPr>
              <w:widowControl w:val="0"/>
              <w:suppressAutoHyphens w:val="0"/>
              <w:rPr>
                <w:b/>
                <w:bCs/>
                <w:szCs w:val="22"/>
                <w:lang w:val="fi-FI"/>
              </w:rPr>
            </w:pPr>
            <w:r>
              <w:rPr>
                <w:b/>
                <w:bCs/>
                <w:szCs w:val="22"/>
                <w:lang w:val="fi-FI"/>
              </w:rPr>
              <w:t>Lietuva</w:t>
            </w:r>
          </w:p>
          <w:p w14:paraId="109AE689" w14:textId="77777777" w:rsidR="009B3384" w:rsidRDefault="00800862">
            <w:pPr>
              <w:widowControl w:val="0"/>
              <w:suppressAutoHyphens w:val="0"/>
              <w:rPr>
                <w:szCs w:val="22"/>
                <w:lang w:val="fi-FI"/>
              </w:rPr>
            </w:pPr>
            <w:r>
              <w:rPr>
                <w:szCs w:val="22"/>
                <w:lang w:val="fi-FI"/>
              </w:rPr>
              <w:t>UAB "JOHNSON &amp; JOHNSON"</w:t>
            </w:r>
          </w:p>
          <w:p w14:paraId="109AE68A" w14:textId="77777777" w:rsidR="009B3384" w:rsidRDefault="00800862">
            <w:pPr>
              <w:widowControl w:val="0"/>
              <w:suppressAutoHyphens w:val="0"/>
              <w:rPr>
                <w:szCs w:val="22"/>
                <w:lang w:val="fi-FI"/>
              </w:rPr>
            </w:pPr>
            <w:r>
              <w:rPr>
                <w:szCs w:val="22"/>
                <w:lang w:val="fi-FI"/>
              </w:rPr>
              <w:t>Tel: +370 5 278 68 88</w:t>
            </w:r>
          </w:p>
          <w:p w14:paraId="109AE68B" w14:textId="77777777" w:rsidR="009B3384" w:rsidRDefault="00800862">
            <w:pPr>
              <w:widowControl w:val="0"/>
              <w:suppressAutoHyphens w:val="0"/>
              <w:rPr>
                <w:szCs w:val="22"/>
                <w:lang w:val="pt-PT"/>
              </w:rPr>
            </w:pPr>
            <w:r>
              <w:rPr>
                <w:szCs w:val="22"/>
                <w:lang w:val="en-GB"/>
              </w:rPr>
              <w:t>lt@its.jnj.com</w:t>
            </w:r>
          </w:p>
          <w:p w14:paraId="109AE68C" w14:textId="77777777" w:rsidR="009B3384" w:rsidRDefault="009B3384">
            <w:pPr>
              <w:widowControl w:val="0"/>
              <w:suppressAutoHyphens w:val="0"/>
              <w:rPr>
                <w:szCs w:val="22"/>
                <w:lang w:val="pt-PT"/>
              </w:rPr>
            </w:pPr>
          </w:p>
        </w:tc>
      </w:tr>
      <w:tr w:rsidR="009B3384" w14:paraId="109AE698" w14:textId="77777777">
        <w:trPr>
          <w:cantSplit/>
          <w:jc w:val="center"/>
        </w:trPr>
        <w:tc>
          <w:tcPr>
            <w:tcW w:w="4270" w:type="dxa"/>
            <w:gridSpan w:val="2"/>
          </w:tcPr>
          <w:p w14:paraId="109AE68E" w14:textId="77777777" w:rsidR="009B3384" w:rsidRDefault="00800862">
            <w:pPr>
              <w:widowControl w:val="0"/>
              <w:suppressAutoHyphens w:val="0"/>
              <w:rPr>
                <w:b/>
                <w:bCs/>
                <w:szCs w:val="22"/>
              </w:rPr>
            </w:pPr>
            <w:r>
              <w:rPr>
                <w:b/>
                <w:bCs/>
                <w:szCs w:val="22"/>
              </w:rPr>
              <w:t>България</w:t>
            </w:r>
          </w:p>
          <w:p w14:paraId="109AE68F" w14:textId="77777777" w:rsidR="009B3384" w:rsidRDefault="00800862">
            <w:pPr>
              <w:widowControl w:val="0"/>
              <w:suppressAutoHyphens w:val="0"/>
              <w:rPr>
                <w:szCs w:val="22"/>
              </w:rPr>
            </w:pPr>
            <w:r>
              <w:rPr>
                <w:szCs w:val="22"/>
              </w:rPr>
              <w:t>„Джонсън &amp; Джонсън България” ЕООД</w:t>
            </w:r>
          </w:p>
          <w:p w14:paraId="109AE690" w14:textId="77777777" w:rsidR="009B3384" w:rsidRDefault="00800862">
            <w:pPr>
              <w:widowControl w:val="0"/>
              <w:suppressAutoHyphens w:val="0"/>
              <w:rPr>
                <w:szCs w:val="22"/>
              </w:rPr>
            </w:pPr>
            <w:r>
              <w:rPr>
                <w:szCs w:val="22"/>
              </w:rPr>
              <w:t>Тел.: +359 2 489 94 00</w:t>
            </w:r>
          </w:p>
          <w:p w14:paraId="109AE691" w14:textId="77777777" w:rsidR="009B3384" w:rsidRDefault="00800862">
            <w:pPr>
              <w:numPr>
                <w:ilvl w:val="12"/>
                <w:numId w:val="0"/>
              </w:numPr>
              <w:suppressAutoHyphens w:val="0"/>
              <w:rPr>
                <w:szCs w:val="22"/>
                <w:lang w:val="en-GB"/>
              </w:rPr>
            </w:pPr>
            <w:r>
              <w:rPr>
                <w:szCs w:val="22"/>
                <w:lang w:val="en-GB"/>
              </w:rPr>
              <w:t>jjsafety@its.jnj.com</w:t>
            </w:r>
          </w:p>
          <w:p w14:paraId="109AE692" w14:textId="77777777" w:rsidR="009B3384" w:rsidRDefault="009B3384">
            <w:pPr>
              <w:widowControl w:val="0"/>
              <w:suppressAutoHyphens w:val="0"/>
              <w:rPr>
                <w:szCs w:val="22"/>
                <w:lang w:val="en-GB"/>
              </w:rPr>
            </w:pPr>
          </w:p>
        </w:tc>
        <w:tc>
          <w:tcPr>
            <w:tcW w:w="4805" w:type="dxa"/>
            <w:hideMark/>
          </w:tcPr>
          <w:p w14:paraId="109AE693" w14:textId="77777777" w:rsidR="009B3384" w:rsidRDefault="00800862">
            <w:pPr>
              <w:widowControl w:val="0"/>
              <w:suppressAutoHyphens w:val="0"/>
              <w:rPr>
                <w:b/>
                <w:bCs/>
                <w:szCs w:val="22"/>
                <w:lang w:val="en-GB"/>
              </w:rPr>
            </w:pPr>
            <w:r>
              <w:rPr>
                <w:b/>
                <w:bCs/>
                <w:szCs w:val="22"/>
                <w:lang w:val="en-GB"/>
              </w:rPr>
              <w:t>Luxembourg/Luxemburg</w:t>
            </w:r>
          </w:p>
          <w:p w14:paraId="109AE694" w14:textId="77777777" w:rsidR="009B3384" w:rsidRDefault="00800862">
            <w:pPr>
              <w:widowControl w:val="0"/>
              <w:suppressAutoHyphens w:val="0"/>
              <w:rPr>
                <w:szCs w:val="22"/>
                <w:lang w:val="en-GB"/>
              </w:rPr>
            </w:pPr>
            <w:r>
              <w:rPr>
                <w:szCs w:val="22"/>
                <w:lang w:val="en-GB"/>
              </w:rPr>
              <w:t>Janssen-Cilag NV</w:t>
            </w:r>
          </w:p>
          <w:p w14:paraId="109AE695" w14:textId="3B90BE8D" w:rsidR="009B3384" w:rsidRDefault="00800862">
            <w:pPr>
              <w:widowControl w:val="0"/>
              <w:suppressAutoHyphens w:val="0"/>
              <w:rPr>
                <w:szCs w:val="22"/>
                <w:lang w:val="en-GB"/>
              </w:rPr>
            </w:pPr>
            <w:proofErr w:type="spellStart"/>
            <w:r>
              <w:rPr>
                <w:szCs w:val="22"/>
                <w:lang w:val="en-GB"/>
              </w:rPr>
              <w:t>Tél</w:t>
            </w:r>
            <w:proofErr w:type="spellEnd"/>
            <w:r>
              <w:rPr>
                <w:szCs w:val="22"/>
                <w:lang w:val="en-GB"/>
              </w:rPr>
              <w:t xml:space="preserve">/Tel: </w:t>
            </w:r>
            <w:r>
              <w:rPr>
                <w:lang w:val="en-GB"/>
              </w:rPr>
              <w:t>800 29 504</w:t>
            </w:r>
          </w:p>
          <w:p w14:paraId="109AE696" w14:textId="63BA1E50" w:rsidR="009B3384" w:rsidRDefault="00800862">
            <w:pPr>
              <w:widowControl w:val="0"/>
              <w:suppressAutoHyphens w:val="0"/>
              <w:rPr>
                <w:szCs w:val="22"/>
                <w:lang w:val="en-GB"/>
              </w:rPr>
            </w:pPr>
            <w:r w:rsidRPr="00BC6A43">
              <w:rPr>
                <w:lang w:val="en-GB"/>
              </w:rPr>
              <w:t>info_belux@its.jnj.com</w:t>
            </w:r>
          </w:p>
          <w:p w14:paraId="109AE697" w14:textId="77777777" w:rsidR="009B3384" w:rsidRDefault="009B3384">
            <w:pPr>
              <w:widowControl w:val="0"/>
              <w:suppressAutoHyphens w:val="0"/>
              <w:rPr>
                <w:szCs w:val="22"/>
                <w:lang w:val="en-GB"/>
              </w:rPr>
            </w:pPr>
          </w:p>
        </w:tc>
      </w:tr>
      <w:tr w:rsidR="009B3384" w14:paraId="109AE6A2" w14:textId="77777777">
        <w:trPr>
          <w:cantSplit/>
          <w:jc w:val="center"/>
        </w:trPr>
        <w:tc>
          <w:tcPr>
            <w:tcW w:w="4270" w:type="dxa"/>
            <w:gridSpan w:val="2"/>
            <w:hideMark/>
          </w:tcPr>
          <w:p w14:paraId="109AE699" w14:textId="77777777" w:rsidR="009B3384" w:rsidRDefault="00800862">
            <w:pPr>
              <w:widowControl w:val="0"/>
              <w:suppressAutoHyphens w:val="0"/>
              <w:rPr>
                <w:b/>
                <w:bCs/>
                <w:szCs w:val="22"/>
              </w:rPr>
            </w:pPr>
            <w:r>
              <w:rPr>
                <w:b/>
                <w:bCs/>
                <w:szCs w:val="22"/>
              </w:rPr>
              <w:t>Č</w:t>
            </w:r>
            <w:proofErr w:type="spellStart"/>
            <w:r>
              <w:rPr>
                <w:b/>
                <w:bCs/>
                <w:szCs w:val="22"/>
                <w:lang w:val="en-GB"/>
              </w:rPr>
              <w:t>esk</w:t>
            </w:r>
            <w:proofErr w:type="spellEnd"/>
            <w:r>
              <w:rPr>
                <w:b/>
                <w:bCs/>
                <w:szCs w:val="22"/>
              </w:rPr>
              <w:t xml:space="preserve">á </w:t>
            </w:r>
            <w:proofErr w:type="spellStart"/>
            <w:r>
              <w:rPr>
                <w:b/>
                <w:bCs/>
                <w:szCs w:val="22"/>
                <w:lang w:val="en-GB"/>
              </w:rPr>
              <w:t>republika</w:t>
            </w:r>
            <w:proofErr w:type="spellEnd"/>
          </w:p>
          <w:p w14:paraId="109AE69A" w14:textId="77777777" w:rsidR="009B3384" w:rsidRDefault="00800862">
            <w:pPr>
              <w:widowControl w:val="0"/>
              <w:suppressAutoHyphens w:val="0"/>
              <w:rPr>
                <w:szCs w:val="22"/>
              </w:rPr>
            </w:pPr>
            <w:r>
              <w:rPr>
                <w:szCs w:val="22"/>
                <w:lang w:val="en-GB"/>
              </w:rPr>
              <w:t>Janssen</w:t>
            </w:r>
            <w:r>
              <w:rPr>
                <w:szCs w:val="22"/>
              </w:rPr>
              <w:t>-</w:t>
            </w:r>
            <w:r>
              <w:rPr>
                <w:szCs w:val="22"/>
                <w:lang w:val="en-GB"/>
              </w:rPr>
              <w:t>Cilag</w:t>
            </w:r>
            <w:r>
              <w:rPr>
                <w:szCs w:val="22"/>
              </w:rPr>
              <w:t xml:space="preserve"> </w:t>
            </w:r>
            <w:r>
              <w:rPr>
                <w:szCs w:val="22"/>
                <w:lang w:val="en-GB"/>
              </w:rPr>
              <w:t>s</w:t>
            </w:r>
            <w:r>
              <w:rPr>
                <w:szCs w:val="22"/>
              </w:rPr>
              <w:t>.</w:t>
            </w:r>
            <w:r>
              <w:rPr>
                <w:szCs w:val="22"/>
                <w:lang w:val="en-GB"/>
              </w:rPr>
              <w:t>r</w:t>
            </w:r>
            <w:r>
              <w:rPr>
                <w:szCs w:val="22"/>
              </w:rPr>
              <w:t>.</w:t>
            </w:r>
            <w:r>
              <w:rPr>
                <w:szCs w:val="22"/>
                <w:lang w:val="en-GB"/>
              </w:rPr>
              <w:t>o</w:t>
            </w:r>
            <w:r>
              <w:rPr>
                <w:szCs w:val="22"/>
              </w:rPr>
              <w:t>.</w:t>
            </w:r>
          </w:p>
          <w:p w14:paraId="109AE69B" w14:textId="77777777" w:rsidR="009B3384" w:rsidRDefault="00800862">
            <w:pPr>
              <w:widowControl w:val="0"/>
              <w:suppressAutoHyphens w:val="0"/>
              <w:rPr>
                <w:szCs w:val="22"/>
                <w:lang w:val="en-GB"/>
              </w:rPr>
            </w:pPr>
            <w:r>
              <w:rPr>
                <w:szCs w:val="22"/>
                <w:lang w:val="en-GB"/>
              </w:rPr>
              <w:t>Tel: +420 227 012 227</w:t>
            </w:r>
          </w:p>
          <w:p w14:paraId="109AE69C" w14:textId="77777777" w:rsidR="009B3384" w:rsidRDefault="009B3384">
            <w:pPr>
              <w:widowControl w:val="0"/>
              <w:suppressAutoHyphens w:val="0"/>
              <w:rPr>
                <w:szCs w:val="22"/>
                <w:lang w:val="en-GB"/>
              </w:rPr>
            </w:pPr>
          </w:p>
        </w:tc>
        <w:tc>
          <w:tcPr>
            <w:tcW w:w="4805" w:type="dxa"/>
          </w:tcPr>
          <w:p w14:paraId="109AE69D" w14:textId="77777777" w:rsidR="009B3384" w:rsidRDefault="00800862">
            <w:pPr>
              <w:widowControl w:val="0"/>
              <w:suppressAutoHyphens w:val="0"/>
              <w:rPr>
                <w:b/>
                <w:bCs/>
                <w:szCs w:val="22"/>
                <w:lang w:val="en-GB"/>
              </w:rPr>
            </w:pPr>
            <w:proofErr w:type="spellStart"/>
            <w:r>
              <w:rPr>
                <w:b/>
                <w:bCs/>
                <w:szCs w:val="22"/>
                <w:lang w:val="en-GB"/>
              </w:rPr>
              <w:t>Magyarország</w:t>
            </w:r>
            <w:proofErr w:type="spellEnd"/>
          </w:p>
          <w:p w14:paraId="109AE69E" w14:textId="77777777" w:rsidR="009B3384" w:rsidRDefault="00800862">
            <w:pPr>
              <w:widowControl w:val="0"/>
              <w:suppressAutoHyphens w:val="0"/>
              <w:rPr>
                <w:szCs w:val="22"/>
                <w:lang w:val="en-GB"/>
              </w:rPr>
            </w:pPr>
            <w:r>
              <w:rPr>
                <w:szCs w:val="22"/>
                <w:lang w:val="en-GB"/>
              </w:rPr>
              <w:t>Janssen-Cilag Kft.</w:t>
            </w:r>
          </w:p>
          <w:p w14:paraId="109AE69F" w14:textId="77777777" w:rsidR="009B3384" w:rsidRDefault="00800862">
            <w:pPr>
              <w:suppressAutoHyphens w:val="0"/>
              <w:autoSpaceDE w:val="0"/>
              <w:autoSpaceDN w:val="0"/>
              <w:adjustRightInd w:val="0"/>
              <w:rPr>
                <w:szCs w:val="22"/>
                <w:lang w:val="en-GB"/>
              </w:rPr>
            </w:pPr>
            <w:r>
              <w:rPr>
                <w:szCs w:val="22"/>
                <w:lang w:val="en-GB"/>
              </w:rPr>
              <w:t>Tel.: +36 1 884 2</w:t>
            </w:r>
            <w:r>
              <w:rPr>
                <w:bCs/>
                <w:szCs w:val="22"/>
                <w:lang w:val="en-GB"/>
              </w:rPr>
              <w:t>858</w:t>
            </w:r>
          </w:p>
          <w:p w14:paraId="109AE6A0" w14:textId="77777777" w:rsidR="009B3384" w:rsidRDefault="00800862">
            <w:pPr>
              <w:widowControl w:val="0"/>
              <w:suppressAutoHyphens w:val="0"/>
              <w:rPr>
                <w:szCs w:val="22"/>
                <w:lang w:val="en-GB"/>
              </w:rPr>
            </w:pPr>
            <w:r>
              <w:rPr>
                <w:szCs w:val="22"/>
                <w:lang w:val="en-GB"/>
              </w:rPr>
              <w:t>janssenhu@its.jnj.com</w:t>
            </w:r>
          </w:p>
          <w:p w14:paraId="109AE6A1" w14:textId="77777777" w:rsidR="009B3384" w:rsidRDefault="009B3384">
            <w:pPr>
              <w:widowControl w:val="0"/>
              <w:suppressAutoHyphens w:val="0"/>
              <w:rPr>
                <w:szCs w:val="22"/>
                <w:lang w:val="en-GB"/>
              </w:rPr>
            </w:pPr>
          </w:p>
        </w:tc>
      </w:tr>
      <w:tr w:rsidR="009B3384" w14:paraId="109AE6AC" w14:textId="77777777">
        <w:trPr>
          <w:cantSplit/>
          <w:jc w:val="center"/>
        </w:trPr>
        <w:tc>
          <w:tcPr>
            <w:tcW w:w="4270" w:type="dxa"/>
            <w:gridSpan w:val="2"/>
          </w:tcPr>
          <w:p w14:paraId="109AE6A3" w14:textId="77777777" w:rsidR="009B3384" w:rsidRDefault="00800862">
            <w:pPr>
              <w:widowControl w:val="0"/>
              <w:suppressAutoHyphens w:val="0"/>
              <w:rPr>
                <w:b/>
                <w:bCs/>
                <w:szCs w:val="22"/>
                <w:lang w:val="nb-NO"/>
              </w:rPr>
            </w:pPr>
            <w:r>
              <w:rPr>
                <w:b/>
                <w:bCs/>
                <w:szCs w:val="22"/>
                <w:lang w:val="nb-NO"/>
              </w:rPr>
              <w:t>Danmark</w:t>
            </w:r>
          </w:p>
          <w:p w14:paraId="109AE6A4" w14:textId="77777777" w:rsidR="009B3384" w:rsidRDefault="00800862">
            <w:pPr>
              <w:widowControl w:val="0"/>
              <w:suppressAutoHyphens w:val="0"/>
              <w:rPr>
                <w:szCs w:val="22"/>
                <w:lang w:val="nb-NO"/>
              </w:rPr>
            </w:pPr>
            <w:r>
              <w:rPr>
                <w:szCs w:val="22"/>
                <w:lang w:val="nb-NO"/>
              </w:rPr>
              <w:t>Janssen-Cilag A/S</w:t>
            </w:r>
          </w:p>
          <w:p w14:paraId="109AE6A5" w14:textId="77777777" w:rsidR="009B3384" w:rsidRDefault="00800862">
            <w:pPr>
              <w:widowControl w:val="0"/>
              <w:suppressAutoHyphens w:val="0"/>
              <w:rPr>
                <w:szCs w:val="22"/>
                <w:lang w:val="nl-NL"/>
              </w:rPr>
            </w:pPr>
            <w:r>
              <w:rPr>
                <w:szCs w:val="22"/>
                <w:lang w:val="nl-NL"/>
              </w:rPr>
              <w:t>Tlf.: +45 4594 8282</w:t>
            </w:r>
          </w:p>
          <w:p w14:paraId="109AE6A6" w14:textId="77777777" w:rsidR="009B3384" w:rsidRDefault="00800862">
            <w:pPr>
              <w:widowControl w:val="0"/>
              <w:suppressAutoHyphens w:val="0"/>
              <w:rPr>
                <w:szCs w:val="22"/>
                <w:lang w:val="en-GB"/>
              </w:rPr>
            </w:pPr>
            <w:r>
              <w:rPr>
                <w:szCs w:val="22"/>
                <w:lang w:val="en-GB"/>
              </w:rPr>
              <w:t>jacdk@its.jnj.com</w:t>
            </w:r>
          </w:p>
          <w:p w14:paraId="109AE6A7" w14:textId="77777777" w:rsidR="009B3384" w:rsidRDefault="009B3384">
            <w:pPr>
              <w:widowControl w:val="0"/>
              <w:suppressAutoHyphens w:val="0"/>
              <w:rPr>
                <w:szCs w:val="22"/>
                <w:lang w:val="en-GB"/>
              </w:rPr>
            </w:pPr>
          </w:p>
        </w:tc>
        <w:tc>
          <w:tcPr>
            <w:tcW w:w="4805" w:type="dxa"/>
            <w:hideMark/>
          </w:tcPr>
          <w:p w14:paraId="109AE6A8" w14:textId="77777777" w:rsidR="009B3384" w:rsidRDefault="00800862">
            <w:pPr>
              <w:widowControl w:val="0"/>
              <w:suppressAutoHyphens w:val="0"/>
              <w:rPr>
                <w:b/>
                <w:bCs/>
                <w:szCs w:val="22"/>
                <w:lang w:val="de-DE"/>
              </w:rPr>
            </w:pPr>
            <w:r>
              <w:rPr>
                <w:b/>
                <w:bCs/>
                <w:szCs w:val="22"/>
                <w:lang w:val="de-DE"/>
              </w:rPr>
              <w:t>Malta</w:t>
            </w:r>
          </w:p>
          <w:p w14:paraId="109AE6A9" w14:textId="77777777" w:rsidR="009B3384" w:rsidRDefault="00800862">
            <w:pPr>
              <w:widowControl w:val="0"/>
              <w:suppressAutoHyphens w:val="0"/>
              <w:rPr>
                <w:szCs w:val="22"/>
                <w:lang w:val="de-DE"/>
              </w:rPr>
            </w:pPr>
            <w:r>
              <w:rPr>
                <w:szCs w:val="22"/>
                <w:lang w:val="de-DE"/>
              </w:rPr>
              <w:t>AM MANGION LTD</w:t>
            </w:r>
          </w:p>
          <w:p w14:paraId="109AE6AA" w14:textId="77777777" w:rsidR="009B3384" w:rsidRDefault="00800862">
            <w:pPr>
              <w:widowControl w:val="0"/>
              <w:suppressAutoHyphens w:val="0"/>
              <w:rPr>
                <w:szCs w:val="22"/>
                <w:lang w:val="de-DE"/>
              </w:rPr>
            </w:pPr>
            <w:r>
              <w:rPr>
                <w:szCs w:val="22"/>
                <w:lang w:val="de-DE"/>
              </w:rPr>
              <w:t>Tel: +356 2397 6000</w:t>
            </w:r>
          </w:p>
          <w:p w14:paraId="109AE6AB" w14:textId="77777777" w:rsidR="009B3384" w:rsidRDefault="009B3384">
            <w:pPr>
              <w:widowControl w:val="0"/>
              <w:suppressAutoHyphens w:val="0"/>
              <w:rPr>
                <w:szCs w:val="22"/>
                <w:lang w:val="de-DE"/>
              </w:rPr>
            </w:pPr>
          </w:p>
        </w:tc>
      </w:tr>
      <w:tr w:rsidR="009B3384" w14:paraId="109AE6B7" w14:textId="77777777">
        <w:trPr>
          <w:cantSplit/>
          <w:jc w:val="center"/>
        </w:trPr>
        <w:tc>
          <w:tcPr>
            <w:tcW w:w="4270" w:type="dxa"/>
            <w:gridSpan w:val="2"/>
          </w:tcPr>
          <w:p w14:paraId="109AE6AD" w14:textId="77777777" w:rsidR="009B3384" w:rsidRDefault="00800862">
            <w:pPr>
              <w:widowControl w:val="0"/>
              <w:suppressAutoHyphens w:val="0"/>
              <w:rPr>
                <w:b/>
                <w:bCs/>
                <w:szCs w:val="22"/>
                <w:lang w:val="de-DE"/>
              </w:rPr>
            </w:pPr>
            <w:r>
              <w:rPr>
                <w:b/>
                <w:bCs/>
                <w:szCs w:val="22"/>
                <w:lang w:val="de-DE"/>
              </w:rPr>
              <w:lastRenderedPageBreak/>
              <w:t>Deutschland</w:t>
            </w:r>
          </w:p>
          <w:p w14:paraId="109AE6AE" w14:textId="77777777" w:rsidR="009B3384" w:rsidRDefault="00800862">
            <w:pPr>
              <w:widowControl w:val="0"/>
              <w:suppressAutoHyphens w:val="0"/>
              <w:rPr>
                <w:szCs w:val="22"/>
                <w:lang w:val="de-DE"/>
              </w:rPr>
            </w:pPr>
            <w:r>
              <w:rPr>
                <w:szCs w:val="22"/>
                <w:lang w:val="de-DE"/>
              </w:rPr>
              <w:t>Janssen-Cilag GmbH</w:t>
            </w:r>
          </w:p>
          <w:p w14:paraId="109AE6AF" w14:textId="77777777" w:rsidR="009B3384" w:rsidRDefault="00800862">
            <w:pPr>
              <w:widowControl w:val="0"/>
              <w:suppressAutoHyphens w:val="0"/>
              <w:rPr>
                <w:szCs w:val="22"/>
                <w:lang w:val="de-DE"/>
              </w:rPr>
            </w:pPr>
            <w:r>
              <w:rPr>
                <w:szCs w:val="22"/>
                <w:lang w:val="de-DE"/>
              </w:rPr>
              <w:t xml:space="preserve">Tel: </w:t>
            </w:r>
            <w:r>
              <w:rPr>
                <w:lang w:val="de-DE"/>
              </w:rPr>
              <w:t xml:space="preserve">0800 086 9247 / </w:t>
            </w:r>
            <w:r>
              <w:rPr>
                <w:szCs w:val="22"/>
                <w:lang w:val="de-DE"/>
              </w:rPr>
              <w:t>+49 2137 955 6955</w:t>
            </w:r>
          </w:p>
          <w:p w14:paraId="109AE6B0" w14:textId="3B20F181" w:rsidR="009B3384" w:rsidRPr="00BC6A43" w:rsidRDefault="00800862">
            <w:pPr>
              <w:widowControl w:val="0"/>
              <w:suppressAutoHyphens w:val="0"/>
              <w:rPr>
                <w:szCs w:val="22"/>
                <w:lang w:val="de-DE"/>
              </w:rPr>
            </w:pPr>
            <w:r w:rsidRPr="00BC6A43">
              <w:rPr>
                <w:lang w:val="de-DE"/>
              </w:rPr>
              <w:t>medinfo-de@its.jnj.com</w:t>
            </w:r>
          </w:p>
          <w:p w14:paraId="109AE6B1" w14:textId="77777777" w:rsidR="009B3384" w:rsidRPr="00BC6A43" w:rsidRDefault="009B3384">
            <w:pPr>
              <w:widowControl w:val="0"/>
              <w:suppressAutoHyphens w:val="0"/>
              <w:rPr>
                <w:szCs w:val="22"/>
                <w:lang w:val="de-DE"/>
              </w:rPr>
            </w:pPr>
          </w:p>
        </w:tc>
        <w:tc>
          <w:tcPr>
            <w:tcW w:w="4805" w:type="dxa"/>
            <w:hideMark/>
          </w:tcPr>
          <w:p w14:paraId="109AE6B2" w14:textId="77777777" w:rsidR="009B3384" w:rsidRDefault="00800862">
            <w:pPr>
              <w:widowControl w:val="0"/>
              <w:suppressAutoHyphens w:val="0"/>
              <w:rPr>
                <w:b/>
                <w:bCs/>
                <w:szCs w:val="22"/>
                <w:lang w:val="nl-BE"/>
              </w:rPr>
            </w:pPr>
            <w:r>
              <w:rPr>
                <w:b/>
                <w:bCs/>
                <w:szCs w:val="22"/>
                <w:lang w:val="nl-BE"/>
              </w:rPr>
              <w:t>Nederland</w:t>
            </w:r>
          </w:p>
          <w:p w14:paraId="109AE6B3" w14:textId="77777777" w:rsidR="009B3384" w:rsidRDefault="00800862">
            <w:pPr>
              <w:widowControl w:val="0"/>
              <w:suppressAutoHyphens w:val="0"/>
              <w:rPr>
                <w:szCs w:val="22"/>
                <w:lang w:val="nl-BE"/>
              </w:rPr>
            </w:pPr>
            <w:r>
              <w:rPr>
                <w:szCs w:val="22"/>
                <w:lang w:val="nl-BE"/>
              </w:rPr>
              <w:t>Janssen-Cilag B.V.</w:t>
            </w:r>
          </w:p>
          <w:p w14:paraId="109AE6B4" w14:textId="79DDACB7" w:rsidR="009B3384" w:rsidRPr="00BC6A43" w:rsidRDefault="00800862">
            <w:pPr>
              <w:widowControl w:val="0"/>
              <w:suppressAutoHyphens w:val="0"/>
              <w:rPr>
                <w:szCs w:val="22"/>
                <w:lang w:val="de-DE"/>
              </w:rPr>
            </w:pPr>
            <w:r w:rsidRPr="00BC6A43">
              <w:rPr>
                <w:szCs w:val="22"/>
                <w:lang w:val="de-DE"/>
              </w:rPr>
              <w:t xml:space="preserve">Tel: </w:t>
            </w:r>
            <w:r>
              <w:rPr>
                <w:lang w:val="de-DE"/>
              </w:rPr>
              <w:t>0800 242 42 42</w:t>
            </w:r>
          </w:p>
          <w:p w14:paraId="109AE6B5" w14:textId="4837D3ED" w:rsidR="009B3384" w:rsidRPr="00BC6A43" w:rsidRDefault="00800862">
            <w:pPr>
              <w:widowControl w:val="0"/>
              <w:suppressAutoHyphens w:val="0"/>
              <w:rPr>
                <w:szCs w:val="22"/>
                <w:lang w:val="de-DE"/>
              </w:rPr>
            </w:pPr>
            <w:r w:rsidRPr="00BC6A43">
              <w:rPr>
                <w:szCs w:val="22"/>
                <w:lang w:val="de-DE"/>
              </w:rPr>
              <w:t>info_nl@its.jnj.com</w:t>
            </w:r>
          </w:p>
          <w:p w14:paraId="109AE6B6" w14:textId="77777777" w:rsidR="009B3384" w:rsidRPr="00BC6A43" w:rsidRDefault="009B3384">
            <w:pPr>
              <w:widowControl w:val="0"/>
              <w:suppressAutoHyphens w:val="0"/>
              <w:rPr>
                <w:szCs w:val="22"/>
                <w:lang w:val="de-DE"/>
              </w:rPr>
            </w:pPr>
          </w:p>
        </w:tc>
      </w:tr>
      <w:tr w:rsidR="009B3384" w14:paraId="109AE6C2" w14:textId="77777777">
        <w:trPr>
          <w:cantSplit/>
          <w:jc w:val="center"/>
        </w:trPr>
        <w:tc>
          <w:tcPr>
            <w:tcW w:w="4270" w:type="dxa"/>
            <w:gridSpan w:val="2"/>
          </w:tcPr>
          <w:p w14:paraId="109AE6B8" w14:textId="77777777" w:rsidR="009B3384" w:rsidRDefault="00800862">
            <w:pPr>
              <w:widowControl w:val="0"/>
              <w:suppressAutoHyphens w:val="0"/>
              <w:rPr>
                <w:b/>
                <w:bCs/>
                <w:szCs w:val="22"/>
                <w:lang w:val="fi-FI"/>
              </w:rPr>
            </w:pPr>
            <w:r>
              <w:rPr>
                <w:b/>
                <w:bCs/>
                <w:szCs w:val="22"/>
                <w:lang w:val="fi-FI"/>
              </w:rPr>
              <w:t>Eesti</w:t>
            </w:r>
          </w:p>
          <w:p w14:paraId="109AE6B9" w14:textId="77777777" w:rsidR="009B3384" w:rsidRDefault="00800862">
            <w:pPr>
              <w:widowControl w:val="0"/>
              <w:suppressAutoHyphens w:val="0"/>
              <w:rPr>
                <w:szCs w:val="22"/>
                <w:lang w:val="fi-FI"/>
              </w:rPr>
            </w:pPr>
            <w:r>
              <w:rPr>
                <w:szCs w:val="22"/>
                <w:lang w:val="fi-FI"/>
              </w:rPr>
              <w:t>UAB "JOHNSON &amp; JOHNSON" Eesti filiaal</w:t>
            </w:r>
          </w:p>
          <w:p w14:paraId="109AE6BA" w14:textId="77777777" w:rsidR="009B3384" w:rsidRDefault="00800862">
            <w:pPr>
              <w:widowControl w:val="0"/>
              <w:suppressAutoHyphens w:val="0"/>
              <w:rPr>
                <w:szCs w:val="22"/>
                <w:lang w:val="fi-FI"/>
              </w:rPr>
            </w:pPr>
            <w:r>
              <w:rPr>
                <w:szCs w:val="22"/>
                <w:lang w:val="fi-FI"/>
              </w:rPr>
              <w:t>Tel: +372 617 7410</w:t>
            </w:r>
          </w:p>
          <w:p w14:paraId="109AE6BB" w14:textId="77777777" w:rsidR="009B3384" w:rsidRDefault="00800862">
            <w:pPr>
              <w:widowControl w:val="0"/>
              <w:suppressAutoHyphens w:val="0"/>
              <w:rPr>
                <w:szCs w:val="22"/>
                <w:lang w:val="fi-FI"/>
              </w:rPr>
            </w:pPr>
            <w:r>
              <w:rPr>
                <w:szCs w:val="22"/>
                <w:lang w:val="en-GB"/>
              </w:rPr>
              <w:t>ee@its.jnj.com</w:t>
            </w:r>
          </w:p>
          <w:p w14:paraId="109AE6BC" w14:textId="77777777" w:rsidR="009B3384" w:rsidRDefault="009B3384">
            <w:pPr>
              <w:widowControl w:val="0"/>
              <w:suppressAutoHyphens w:val="0"/>
              <w:rPr>
                <w:szCs w:val="22"/>
                <w:lang w:val="fi-FI"/>
              </w:rPr>
            </w:pPr>
          </w:p>
        </w:tc>
        <w:tc>
          <w:tcPr>
            <w:tcW w:w="4805" w:type="dxa"/>
            <w:hideMark/>
          </w:tcPr>
          <w:p w14:paraId="109AE6BD" w14:textId="77777777" w:rsidR="009B3384" w:rsidRDefault="00800862">
            <w:pPr>
              <w:widowControl w:val="0"/>
              <w:suppressAutoHyphens w:val="0"/>
              <w:rPr>
                <w:b/>
                <w:bCs/>
                <w:szCs w:val="22"/>
                <w:lang w:val="nn-NO"/>
              </w:rPr>
            </w:pPr>
            <w:r>
              <w:rPr>
                <w:b/>
                <w:bCs/>
                <w:szCs w:val="22"/>
                <w:lang w:val="nn-NO"/>
              </w:rPr>
              <w:t>Norge</w:t>
            </w:r>
          </w:p>
          <w:p w14:paraId="109AE6BE" w14:textId="77777777" w:rsidR="009B3384" w:rsidRDefault="00800862">
            <w:pPr>
              <w:widowControl w:val="0"/>
              <w:suppressAutoHyphens w:val="0"/>
              <w:rPr>
                <w:szCs w:val="22"/>
                <w:lang w:val="nn-NO"/>
              </w:rPr>
            </w:pPr>
            <w:r>
              <w:rPr>
                <w:szCs w:val="22"/>
                <w:lang w:val="nn-NO"/>
              </w:rPr>
              <w:t>Janssen-Cilag AS</w:t>
            </w:r>
          </w:p>
          <w:p w14:paraId="109AE6BF" w14:textId="77777777" w:rsidR="009B3384" w:rsidRDefault="00800862">
            <w:pPr>
              <w:widowControl w:val="0"/>
              <w:suppressAutoHyphens w:val="0"/>
              <w:rPr>
                <w:szCs w:val="22"/>
                <w:lang w:val="nb-NO"/>
              </w:rPr>
            </w:pPr>
            <w:r>
              <w:rPr>
                <w:szCs w:val="22"/>
                <w:lang w:val="nb-NO"/>
              </w:rPr>
              <w:t>Tlf: +47 24 12 65 00</w:t>
            </w:r>
          </w:p>
          <w:p w14:paraId="109AE6C0" w14:textId="77777777" w:rsidR="009B3384" w:rsidRDefault="00800862">
            <w:pPr>
              <w:widowControl w:val="0"/>
              <w:suppressAutoHyphens w:val="0"/>
              <w:rPr>
                <w:szCs w:val="22"/>
                <w:lang w:val="en-GB"/>
              </w:rPr>
            </w:pPr>
            <w:r>
              <w:rPr>
                <w:szCs w:val="22"/>
                <w:lang w:val="en-GB"/>
              </w:rPr>
              <w:t>jacno@its.jnj.com</w:t>
            </w:r>
          </w:p>
          <w:p w14:paraId="109AE6C1" w14:textId="77777777" w:rsidR="009B3384" w:rsidRDefault="009B3384">
            <w:pPr>
              <w:widowControl w:val="0"/>
              <w:suppressAutoHyphens w:val="0"/>
              <w:rPr>
                <w:szCs w:val="22"/>
                <w:lang w:val="en-GB"/>
              </w:rPr>
            </w:pPr>
          </w:p>
        </w:tc>
      </w:tr>
      <w:tr w:rsidR="009B3384" w14:paraId="109AE6CB" w14:textId="77777777">
        <w:trPr>
          <w:cantSplit/>
          <w:jc w:val="center"/>
        </w:trPr>
        <w:tc>
          <w:tcPr>
            <w:tcW w:w="4270" w:type="dxa"/>
            <w:gridSpan w:val="2"/>
          </w:tcPr>
          <w:p w14:paraId="109AE6C3" w14:textId="77777777" w:rsidR="009B3384" w:rsidRDefault="00800862">
            <w:pPr>
              <w:widowControl w:val="0"/>
              <w:suppressAutoHyphens w:val="0"/>
              <w:rPr>
                <w:b/>
                <w:bCs/>
                <w:szCs w:val="22"/>
                <w:lang w:val="el-GR"/>
              </w:rPr>
            </w:pPr>
            <w:r>
              <w:rPr>
                <w:b/>
                <w:bCs/>
                <w:szCs w:val="22"/>
                <w:lang w:val="el-GR"/>
              </w:rPr>
              <w:t>Ελλάδα</w:t>
            </w:r>
          </w:p>
          <w:p w14:paraId="109AE6C4"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Φαρμακευτική Μονοπρόσωπη Α.Ε.Β.Ε.</w:t>
            </w:r>
          </w:p>
          <w:p w14:paraId="109AE6C5" w14:textId="77777777" w:rsidR="009B3384" w:rsidRDefault="00800862">
            <w:pPr>
              <w:widowControl w:val="0"/>
              <w:suppressAutoHyphens w:val="0"/>
              <w:rPr>
                <w:szCs w:val="22"/>
                <w:lang w:val="el-GR"/>
              </w:rPr>
            </w:pPr>
            <w:r>
              <w:rPr>
                <w:szCs w:val="22"/>
                <w:lang w:val="en-GB"/>
              </w:rPr>
              <w:t>T</w:t>
            </w:r>
            <w:r>
              <w:rPr>
                <w:szCs w:val="22"/>
                <w:lang w:val="el-GR"/>
              </w:rPr>
              <w:t>ηλ: +30 210 80 90 000</w:t>
            </w:r>
          </w:p>
          <w:p w14:paraId="109AE6C6" w14:textId="77777777" w:rsidR="009B3384" w:rsidRDefault="009B3384">
            <w:pPr>
              <w:widowControl w:val="0"/>
              <w:suppressAutoHyphens w:val="0"/>
              <w:rPr>
                <w:szCs w:val="22"/>
                <w:lang w:val="el-GR"/>
              </w:rPr>
            </w:pPr>
          </w:p>
        </w:tc>
        <w:tc>
          <w:tcPr>
            <w:tcW w:w="4805" w:type="dxa"/>
            <w:hideMark/>
          </w:tcPr>
          <w:p w14:paraId="109AE6C7" w14:textId="77777777" w:rsidR="009B3384" w:rsidRDefault="00800862">
            <w:pPr>
              <w:widowControl w:val="0"/>
              <w:suppressAutoHyphens w:val="0"/>
              <w:rPr>
                <w:b/>
                <w:bCs/>
                <w:szCs w:val="22"/>
                <w:lang w:val="el-GR"/>
              </w:rPr>
            </w:pPr>
            <w:r>
              <w:rPr>
                <w:b/>
                <w:bCs/>
                <w:szCs w:val="22"/>
                <w:lang w:val="el-GR"/>
              </w:rPr>
              <w:t>Ö</w:t>
            </w:r>
            <w:r>
              <w:rPr>
                <w:b/>
                <w:bCs/>
                <w:szCs w:val="22"/>
                <w:lang w:val="de-DE"/>
              </w:rPr>
              <w:t>sterreich</w:t>
            </w:r>
          </w:p>
          <w:p w14:paraId="109AE6C8" w14:textId="77777777" w:rsidR="009B3384" w:rsidRDefault="00800862">
            <w:pPr>
              <w:widowControl w:val="0"/>
              <w:suppressAutoHyphens w:val="0"/>
              <w:rPr>
                <w:szCs w:val="22"/>
                <w:lang w:val="el-GR"/>
              </w:rPr>
            </w:pPr>
            <w:r>
              <w:rPr>
                <w:szCs w:val="22"/>
                <w:lang w:val="de-DE"/>
              </w:rPr>
              <w:t>Janssen</w:t>
            </w:r>
            <w:r>
              <w:rPr>
                <w:szCs w:val="22"/>
                <w:lang w:val="el-GR"/>
              </w:rPr>
              <w:t>-</w:t>
            </w:r>
            <w:r>
              <w:rPr>
                <w:szCs w:val="22"/>
                <w:lang w:val="de-DE"/>
              </w:rPr>
              <w:t>Cilag</w:t>
            </w:r>
            <w:r>
              <w:rPr>
                <w:szCs w:val="22"/>
                <w:lang w:val="el-GR"/>
              </w:rPr>
              <w:t xml:space="preserve"> </w:t>
            </w:r>
            <w:r>
              <w:rPr>
                <w:szCs w:val="22"/>
                <w:lang w:val="de-DE"/>
              </w:rPr>
              <w:t>Pharma</w:t>
            </w:r>
            <w:r>
              <w:rPr>
                <w:szCs w:val="22"/>
                <w:lang w:val="el-GR"/>
              </w:rPr>
              <w:t xml:space="preserve"> </w:t>
            </w:r>
            <w:r>
              <w:rPr>
                <w:szCs w:val="22"/>
                <w:lang w:val="de-DE"/>
              </w:rPr>
              <w:t>GmbH</w:t>
            </w:r>
          </w:p>
          <w:p w14:paraId="109AE6C9" w14:textId="20CA1739" w:rsidR="009B3384" w:rsidRPr="00BC6A43" w:rsidRDefault="00800862">
            <w:pPr>
              <w:widowControl w:val="0"/>
              <w:suppressAutoHyphens w:val="0"/>
              <w:rPr>
                <w:szCs w:val="22"/>
                <w:lang w:val="el-GR"/>
              </w:rPr>
            </w:pPr>
            <w:r>
              <w:rPr>
                <w:szCs w:val="22"/>
                <w:lang w:val="nl-NL"/>
              </w:rPr>
              <w:t>Tel</w:t>
            </w:r>
            <w:r>
              <w:rPr>
                <w:szCs w:val="22"/>
                <w:lang w:val="el-GR"/>
              </w:rPr>
              <w:t>: +43 1 610 300</w:t>
            </w:r>
          </w:p>
          <w:p w14:paraId="109AE6CA" w14:textId="77777777" w:rsidR="009B3384" w:rsidRDefault="009B3384">
            <w:pPr>
              <w:widowControl w:val="0"/>
              <w:suppressAutoHyphens w:val="0"/>
              <w:rPr>
                <w:szCs w:val="22"/>
                <w:lang w:val="el-GR"/>
              </w:rPr>
            </w:pPr>
          </w:p>
        </w:tc>
      </w:tr>
      <w:tr w:rsidR="009B3384" w14:paraId="109AE6D5" w14:textId="77777777">
        <w:trPr>
          <w:gridBefore w:val="1"/>
          <w:wBefore w:w="10" w:type="dxa"/>
          <w:cantSplit/>
          <w:jc w:val="center"/>
        </w:trPr>
        <w:tc>
          <w:tcPr>
            <w:tcW w:w="4260" w:type="dxa"/>
          </w:tcPr>
          <w:p w14:paraId="109AE6CC" w14:textId="77777777" w:rsidR="009B3384" w:rsidRDefault="00800862">
            <w:pPr>
              <w:widowControl w:val="0"/>
              <w:suppressAutoHyphens w:val="0"/>
              <w:rPr>
                <w:b/>
                <w:bCs/>
                <w:szCs w:val="22"/>
                <w:lang w:val="es-ES"/>
              </w:rPr>
            </w:pPr>
            <w:r>
              <w:rPr>
                <w:b/>
                <w:bCs/>
                <w:szCs w:val="22"/>
                <w:lang w:val="es-ES"/>
              </w:rPr>
              <w:t>España</w:t>
            </w:r>
          </w:p>
          <w:p w14:paraId="109AE6CD" w14:textId="77777777" w:rsidR="009B3384" w:rsidRDefault="00800862">
            <w:pPr>
              <w:widowControl w:val="0"/>
              <w:suppressAutoHyphens w:val="0"/>
              <w:rPr>
                <w:szCs w:val="22"/>
                <w:lang w:val="es-ES"/>
              </w:rPr>
            </w:pPr>
            <w:r>
              <w:rPr>
                <w:szCs w:val="22"/>
                <w:lang w:val="es-ES"/>
              </w:rPr>
              <w:t>Janssen-</w:t>
            </w:r>
            <w:proofErr w:type="spellStart"/>
            <w:r>
              <w:rPr>
                <w:szCs w:val="22"/>
                <w:lang w:val="es-ES"/>
              </w:rPr>
              <w:t>Cilag</w:t>
            </w:r>
            <w:proofErr w:type="spellEnd"/>
            <w:r>
              <w:rPr>
                <w:szCs w:val="22"/>
                <w:lang w:val="es-ES"/>
              </w:rPr>
              <w:t>, S.A.</w:t>
            </w:r>
          </w:p>
          <w:p w14:paraId="109AE6CE" w14:textId="77777777" w:rsidR="009B3384" w:rsidRDefault="00800862">
            <w:pPr>
              <w:widowControl w:val="0"/>
              <w:suppressAutoHyphens w:val="0"/>
              <w:rPr>
                <w:szCs w:val="22"/>
                <w:lang w:val="de-DE"/>
              </w:rPr>
            </w:pPr>
            <w:r>
              <w:rPr>
                <w:szCs w:val="22"/>
                <w:lang w:val="de-DE"/>
              </w:rPr>
              <w:t>Tel: +34 91 722 81 00</w:t>
            </w:r>
          </w:p>
          <w:p w14:paraId="109AE6CF" w14:textId="77777777" w:rsidR="009B3384" w:rsidRDefault="00800862">
            <w:pPr>
              <w:widowControl w:val="0"/>
              <w:suppressAutoHyphens w:val="0"/>
              <w:rPr>
                <w:szCs w:val="22"/>
                <w:lang w:val="de-DE"/>
              </w:rPr>
            </w:pPr>
            <w:r>
              <w:rPr>
                <w:szCs w:val="22"/>
                <w:lang w:val="de-DE"/>
              </w:rPr>
              <w:t>contacto@its.jnj.com</w:t>
            </w:r>
          </w:p>
          <w:p w14:paraId="109AE6D0" w14:textId="77777777" w:rsidR="009B3384" w:rsidRDefault="009B3384">
            <w:pPr>
              <w:widowControl w:val="0"/>
              <w:suppressAutoHyphens w:val="0"/>
              <w:rPr>
                <w:szCs w:val="22"/>
                <w:lang w:val="de-DE"/>
              </w:rPr>
            </w:pPr>
          </w:p>
        </w:tc>
        <w:tc>
          <w:tcPr>
            <w:tcW w:w="4805" w:type="dxa"/>
          </w:tcPr>
          <w:p w14:paraId="109AE6D1" w14:textId="77777777" w:rsidR="009B3384" w:rsidRDefault="00800862">
            <w:pPr>
              <w:widowControl w:val="0"/>
              <w:suppressAutoHyphens w:val="0"/>
              <w:rPr>
                <w:b/>
                <w:bCs/>
                <w:szCs w:val="22"/>
                <w:lang w:val="pl-PL"/>
              </w:rPr>
            </w:pPr>
            <w:r>
              <w:rPr>
                <w:b/>
                <w:bCs/>
                <w:szCs w:val="22"/>
                <w:lang w:val="pl-PL"/>
              </w:rPr>
              <w:t>Polska</w:t>
            </w:r>
          </w:p>
          <w:p w14:paraId="109AE6D2" w14:textId="77777777" w:rsidR="009B3384" w:rsidRDefault="00800862">
            <w:pPr>
              <w:widowControl w:val="0"/>
              <w:suppressAutoHyphens w:val="0"/>
              <w:rPr>
                <w:szCs w:val="22"/>
                <w:lang w:val="pl-PL"/>
              </w:rPr>
            </w:pPr>
            <w:r>
              <w:rPr>
                <w:szCs w:val="22"/>
                <w:lang w:val="pl-PL"/>
              </w:rPr>
              <w:t>Janssen-Cilag Polska Sp. z o.o.</w:t>
            </w:r>
          </w:p>
          <w:p w14:paraId="109AE6D3" w14:textId="77777777" w:rsidR="009B3384" w:rsidRDefault="00800862">
            <w:pPr>
              <w:widowControl w:val="0"/>
              <w:suppressAutoHyphens w:val="0"/>
              <w:rPr>
                <w:szCs w:val="22"/>
                <w:lang w:val="pl-PL"/>
              </w:rPr>
            </w:pPr>
            <w:r>
              <w:rPr>
                <w:szCs w:val="22"/>
                <w:lang w:val="pl-PL"/>
              </w:rPr>
              <w:t>Tel.: +48 22 237 60 00</w:t>
            </w:r>
          </w:p>
          <w:p w14:paraId="109AE6D4" w14:textId="77777777" w:rsidR="009B3384" w:rsidRDefault="009B3384">
            <w:pPr>
              <w:widowControl w:val="0"/>
              <w:suppressAutoHyphens w:val="0"/>
              <w:rPr>
                <w:szCs w:val="22"/>
                <w:lang w:val="pl-PL"/>
              </w:rPr>
            </w:pPr>
          </w:p>
        </w:tc>
      </w:tr>
      <w:tr w:rsidR="009B3384" w14:paraId="109AE6DF" w14:textId="77777777">
        <w:trPr>
          <w:gridBefore w:val="1"/>
          <w:wBefore w:w="10" w:type="dxa"/>
          <w:cantSplit/>
          <w:jc w:val="center"/>
        </w:trPr>
        <w:tc>
          <w:tcPr>
            <w:tcW w:w="4260" w:type="dxa"/>
          </w:tcPr>
          <w:p w14:paraId="109AE6D6" w14:textId="77777777" w:rsidR="009B3384" w:rsidRDefault="00800862">
            <w:pPr>
              <w:widowControl w:val="0"/>
              <w:suppressAutoHyphens w:val="0"/>
              <w:rPr>
                <w:b/>
                <w:bCs/>
                <w:szCs w:val="22"/>
                <w:lang w:val="fr-BE"/>
              </w:rPr>
            </w:pPr>
            <w:r>
              <w:rPr>
                <w:b/>
                <w:bCs/>
                <w:szCs w:val="22"/>
                <w:lang w:val="fr-BE"/>
              </w:rPr>
              <w:t>France</w:t>
            </w:r>
          </w:p>
          <w:p w14:paraId="109AE6D7" w14:textId="77777777" w:rsidR="009B3384" w:rsidRDefault="00800862">
            <w:pPr>
              <w:widowControl w:val="0"/>
              <w:suppressAutoHyphens w:val="0"/>
              <w:rPr>
                <w:szCs w:val="22"/>
                <w:lang w:val="fr-BE"/>
              </w:rPr>
            </w:pPr>
            <w:r>
              <w:rPr>
                <w:szCs w:val="22"/>
                <w:lang w:val="fr-FR"/>
              </w:rPr>
              <w:t>Janssen-Cilag</w:t>
            </w:r>
          </w:p>
          <w:p w14:paraId="109AE6D8" w14:textId="77777777" w:rsidR="009B3384" w:rsidRDefault="00800862">
            <w:pPr>
              <w:widowControl w:val="0"/>
              <w:suppressAutoHyphens w:val="0"/>
              <w:rPr>
                <w:szCs w:val="22"/>
                <w:lang w:val="fr-FR"/>
              </w:rPr>
            </w:pPr>
            <w:proofErr w:type="gramStart"/>
            <w:r>
              <w:rPr>
                <w:szCs w:val="22"/>
                <w:lang w:val="fr-FR"/>
              </w:rPr>
              <w:t>Tél:</w:t>
            </w:r>
            <w:proofErr w:type="gramEnd"/>
            <w:r>
              <w:rPr>
                <w:szCs w:val="22"/>
                <w:lang w:val="fr-FR"/>
              </w:rPr>
              <w:t xml:space="preserve"> 0 800 25 50 75 / +33 1 55 00 40 03</w:t>
            </w:r>
          </w:p>
          <w:p w14:paraId="109AE6D9" w14:textId="77777777" w:rsidR="009B3384" w:rsidRDefault="00800862">
            <w:pPr>
              <w:widowControl w:val="0"/>
              <w:suppressAutoHyphens w:val="0"/>
              <w:rPr>
                <w:szCs w:val="22"/>
                <w:lang w:val="fr-FR"/>
              </w:rPr>
            </w:pPr>
            <w:r>
              <w:rPr>
                <w:szCs w:val="22"/>
                <w:lang w:val="fr-FR"/>
              </w:rPr>
              <w:t>medisource@its.jnj.com</w:t>
            </w:r>
          </w:p>
          <w:p w14:paraId="109AE6DA" w14:textId="77777777" w:rsidR="009B3384" w:rsidRDefault="009B3384">
            <w:pPr>
              <w:widowControl w:val="0"/>
              <w:suppressAutoHyphens w:val="0"/>
              <w:rPr>
                <w:szCs w:val="22"/>
                <w:lang w:val="fr-FR"/>
              </w:rPr>
            </w:pPr>
          </w:p>
        </w:tc>
        <w:tc>
          <w:tcPr>
            <w:tcW w:w="4805" w:type="dxa"/>
            <w:hideMark/>
          </w:tcPr>
          <w:p w14:paraId="109AE6DB" w14:textId="77777777" w:rsidR="009B3384" w:rsidRDefault="00800862">
            <w:pPr>
              <w:widowControl w:val="0"/>
              <w:suppressAutoHyphens w:val="0"/>
              <w:rPr>
                <w:b/>
                <w:bCs/>
                <w:szCs w:val="22"/>
                <w:lang w:val="pt-PT"/>
              </w:rPr>
            </w:pPr>
            <w:r>
              <w:rPr>
                <w:b/>
                <w:bCs/>
                <w:szCs w:val="22"/>
                <w:lang w:val="pt-PT"/>
              </w:rPr>
              <w:t>Portugal</w:t>
            </w:r>
          </w:p>
          <w:p w14:paraId="109AE6DC" w14:textId="77777777" w:rsidR="009B3384" w:rsidRDefault="00800862">
            <w:pPr>
              <w:widowControl w:val="0"/>
              <w:suppressAutoHyphens w:val="0"/>
              <w:rPr>
                <w:szCs w:val="22"/>
                <w:lang w:val="pt-PT"/>
              </w:rPr>
            </w:pPr>
            <w:r>
              <w:rPr>
                <w:szCs w:val="22"/>
                <w:lang w:val="pt-PT"/>
              </w:rPr>
              <w:t>Janssen-Cilag Farmacêutica, Lda.</w:t>
            </w:r>
          </w:p>
          <w:p w14:paraId="109AE6DD" w14:textId="77777777" w:rsidR="009B3384" w:rsidRDefault="00800862">
            <w:pPr>
              <w:widowControl w:val="0"/>
              <w:suppressAutoHyphens w:val="0"/>
              <w:rPr>
                <w:szCs w:val="22"/>
                <w:lang w:val="en-GB"/>
              </w:rPr>
            </w:pPr>
            <w:r>
              <w:rPr>
                <w:szCs w:val="22"/>
                <w:lang w:val="en-GB"/>
              </w:rPr>
              <w:t>Tel: +351 214 368 600</w:t>
            </w:r>
          </w:p>
          <w:p w14:paraId="109AE6DE" w14:textId="77777777" w:rsidR="009B3384" w:rsidRDefault="009B3384">
            <w:pPr>
              <w:widowControl w:val="0"/>
              <w:suppressAutoHyphens w:val="0"/>
              <w:rPr>
                <w:szCs w:val="22"/>
                <w:lang w:val="en-GB"/>
              </w:rPr>
            </w:pPr>
          </w:p>
        </w:tc>
      </w:tr>
      <w:tr w:rsidR="009B3384" w14:paraId="109AE6E9" w14:textId="77777777">
        <w:trPr>
          <w:gridBefore w:val="1"/>
          <w:wBefore w:w="10" w:type="dxa"/>
          <w:cantSplit/>
          <w:jc w:val="center"/>
        </w:trPr>
        <w:tc>
          <w:tcPr>
            <w:tcW w:w="4260" w:type="dxa"/>
          </w:tcPr>
          <w:p w14:paraId="109AE6E0" w14:textId="77777777" w:rsidR="009B3384" w:rsidRDefault="00800862">
            <w:pPr>
              <w:suppressAutoHyphens w:val="0"/>
              <w:rPr>
                <w:szCs w:val="22"/>
              </w:rPr>
            </w:pPr>
            <w:r>
              <w:rPr>
                <w:b/>
                <w:szCs w:val="22"/>
                <w:lang w:val="en-GB"/>
              </w:rPr>
              <w:t>Hrvatska</w:t>
            </w:r>
          </w:p>
          <w:p w14:paraId="109AE6E1" w14:textId="77777777" w:rsidR="009B3384" w:rsidRDefault="00800862">
            <w:pPr>
              <w:suppressAutoHyphens w:val="0"/>
              <w:rPr>
                <w:szCs w:val="22"/>
              </w:rPr>
            </w:pPr>
            <w:r>
              <w:rPr>
                <w:szCs w:val="22"/>
                <w:lang w:val="en-GB"/>
              </w:rPr>
              <w:t>Johnson</w:t>
            </w:r>
            <w:r>
              <w:rPr>
                <w:szCs w:val="22"/>
              </w:rPr>
              <w:t xml:space="preserve"> &amp; </w:t>
            </w:r>
            <w:r>
              <w:rPr>
                <w:szCs w:val="22"/>
                <w:lang w:val="en-GB"/>
              </w:rPr>
              <w:t>Johnson</w:t>
            </w:r>
            <w:r>
              <w:rPr>
                <w:szCs w:val="22"/>
              </w:rPr>
              <w:t xml:space="preserve"> </w:t>
            </w:r>
            <w:r>
              <w:rPr>
                <w:szCs w:val="22"/>
                <w:lang w:val="en-GB"/>
              </w:rPr>
              <w:t>S</w:t>
            </w:r>
            <w:r>
              <w:rPr>
                <w:szCs w:val="22"/>
              </w:rPr>
              <w:t>.</w:t>
            </w:r>
            <w:r>
              <w:rPr>
                <w:szCs w:val="22"/>
                <w:lang w:val="en-GB"/>
              </w:rPr>
              <w:t>E</w:t>
            </w:r>
            <w:r>
              <w:rPr>
                <w:szCs w:val="22"/>
              </w:rPr>
              <w:t xml:space="preserve">. </w:t>
            </w:r>
            <w:r>
              <w:rPr>
                <w:szCs w:val="22"/>
                <w:lang w:val="en-GB"/>
              </w:rPr>
              <w:t>d</w:t>
            </w:r>
            <w:r>
              <w:rPr>
                <w:szCs w:val="22"/>
              </w:rPr>
              <w:t>.</w:t>
            </w:r>
            <w:r>
              <w:rPr>
                <w:szCs w:val="22"/>
                <w:lang w:val="en-GB"/>
              </w:rPr>
              <w:t>o</w:t>
            </w:r>
            <w:r>
              <w:rPr>
                <w:szCs w:val="22"/>
              </w:rPr>
              <w:t>.</w:t>
            </w:r>
            <w:r>
              <w:rPr>
                <w:szCs w:val="22"/>
                <w:lang w:val="en-GB"/>
              </w:rPr>
              <w:t>o</w:t>
            </w:r>
            <w:r>
              <w:rPr>
                <w:szCs w:val="22"/>
              </w:rPr>
              <w:t>.</w:t>
            </w:r>
          </w:p>
          <w:p w14:paraId="109AE6E2" w14:textId="77777777" w:rsidR="009B3384" w:rsidRDefault="00800862">
            <w:pPr>
              <w:widowControl w:val="0"/>
              <w:suppressAutoHyphens w:val="0"/>
              <w:rPr>
                <w:szCs w:val="22"/>
                <w:lang w:val="en-GB"/>
              </w:rPr>
            </w:pPr>
            <w:r>
              <w:rPr>
                <w:szCs w:val="22"/>
                <w:lang w:val="en-GB"/>
              </w:rPr>
              <w:t>Tel: +385 1 6610 700</w:t>
            </w:r>
          </w:p>
          <w:p w14:paraId="109AE6E3" w14:textId="77777777" w:rsidR="009B3384" w:rsidRDefault="00800862">
            <w:pPr>
              <w:widowControl w:val="0"/>
              <w:suppressAutoHyphens w:val="0"/>
              <w:rPr>
                <w:szCs w:val="22"/>
                <w:lang w:val="en-GB"/>
              </w:rPr>
            </w:pPr>
            <w:r>
              <w:rPr>
                <w:szCs w:val="22"/>
                <w:lang w:val="en-GB"/>
              </w:rPr>
              <w:t>jjsafety@JNJCR.JNJ.com</w:t>
            </w:r>
          </w:p>
          <w:p w14:paraId="109AE6E4" w14:textId="77777777" w:rsidR="009B3384" w:rsidRDefault="009B3384">
            <w:pPr>
              <w:widowControl w:val="0"/>
              <w:suppressAutoHyphens w:val="0"/>
              <w:rPr>
                <w:szCs w:val="22"/>
                <w:lang w:val="en-GB"/>
              </w:rPr>
            </w:pPr>
          </w:p>
        </w:tc>
        <w:tc>
          <w:tcPr>
            <w:tcW w:w="4805" w:type="dxa"/>
          </w:tcPr>
          <w:p w14:paraId="109AE6E5" w14:textId="77777777" w:rsidR="009B3384" w:rsidRDefault="00800862">
            <w:pPr>
              <w:widowControl w:val="0"/>
              <w:suppressAutoHyphens w:val="0"/>
              <w:rPr>
                <w:b/>
                <w:bCs/>
                <w:szCs w:val="22"/>
                <w:lang w:val="en-GB"/>
              </w:rPr>
            </w:pPr>
            <w:proofErr w:type="spellStart"/>
            <w:r>
              <w:rPr>
                <w:b/>
                <w:bCs/>
                <w:szCs w:val="22"/>
                <w:lang w:val="en-GB"/>
              </w:rPr>
              <w:t>România</w:t>
            </w:r>
            <w:proofErr w:type="spellEnd"/>
          </w:p>
          <w:p w14:paraId="109AE6E6" w14:textId="77777777" w:rsidR="009B3384" w:rsidRDefault="00800862">
            <w:pPr>
              <w:widowControl w:val="0"/>
              <w:suppressAutoHyphens w:val="0"/>
              <w:rPr>
                <w:szCs w:val="22"/>
                <w:lang w:val="en-GB"/>
              </w:rPr>
            </w:pPr>
            <w:r>
              <w:rPr>
                <w:szCs w:val="22"/>
                <w:lang w:val="en-GB"/>
              </w:rPr>
              <w:t xml:space="preserve">Johnson &amp; Johnson </w:t>
            </w:r>
            <w:proofErr w:type="spellStart"/>
            <w:r>
              <w:rPr>
                <w:szCs w:val="22"/>
                <w:lang w:val="en-GB"/>
              </w:rPr>
              <w:t>Rom</w:t>
            </w:r>
            <w:r>
              <w:rPr>
                <w:bCs/>
                <w:szCs w:val="22"/>
                <w:lang w:val="en-GB"/>
              </w:rPr>
              <w:t>â</w:t>
            </w:r>
            <w:r>
              <w:rPr>
                <w:szCs w:val="22"/>
                <w:lang w:val="en-GB"/>
              </w:rPr>
              <w:t>nia</w:t>
            </w:r>
            <w:proofErr w:type="spellEnd"/>
            <w:r>
              <w:rPr>
                <w:szCs w:val="22"/>
                <w:lang w:val="en-GB"/>
              </w:rPr>
              <w:t xml:space="preserve"> SRL</w:t>
            </w:r>
          </w:p>
          <w:p w14:paraId="109AE6E7" w14:textId="77777777" w:rsidR="009B3384" w:rsidRDefault="00800862">
            <w:pPr>
              <w:widowControl w:val="0"/>
              <w:suppressAutoHyphens w:val="0"/>
              <w:rPr>
                <w:szCs w:val="22"/>
                <w:lang w:val="en-GB"/>
              </w:rPr>
            </w:pPr>
            <w:r>
              <w:rPr>
                <w:szCs w:val="22"/>
                <w:lang w:val="en-GB"/>
              </w:rPr>
              <w:t>Tel: +40 21 207 1800</w:t>
            </w:r>
          </w:p>
          <w:p w14:paraId="109AE6E8" w14:textId="77777777" w:rsidR="009B3384" w:rsidRDefault="009B3384">
            <w:pPr>
              <w:widowControl w:val="0"/>
              <w:suppressAutoHyphens w:val="0"/>
              <w:rPr>
                <w:szCs w:val="22"/>
                <w:lang w:val="en-GB"/>
              </w:rPr>
            </w:pPr>
          </w:p>
        </w:tc>
      </w:tr>
      <w:tr w:rsidR="009B3384" w14:paraId="109AE6F5" w14:textId="77777777">
        <w:trPr>
          <w:gridBefore w:val="1"/>
          <w:wBefore w:w="10" w:type="dxa"/>
          <w:cantSplit/>
          <w:jc w:val="center"/>
        </w:trPr>
        <w:tc>
          <w:tcPr>
            <w:tcW w:w="4260" w:type="dxa"/>
          </w:tcPr>
          <w:p w14:paraId="109AE6EA" w14:textId="77777777" w:rsidR="009B3384" w:rsidRDefault="00800862">
            <w:pPr>
              <w:widowControl w:val="0"/>
              <w:suppressAutoHyphens w:val="0"/>
              <w:rPr>
                <w:b/>
                <w:bCs/>
                <w:szCs w:val="22"/>
                <w:lang w:val="fr-FR"/>
              </w:rPr>
            </w:pPr>
            <w:r>
              <w:rPr>
                <w:b/>
                <w:bCs/>
                <w:szCs w:val="22"/>
                <w:lang w:val="fr-FR"/>
              </w:rPr>
              <w:t>Ireland</w:t>
            </w:r>
          </w:p>
          <w:p w14:paraId="109AE6EB" w14:textId="77777777" w:rsidR="009B3384" w:rsidRDefault="00800862">
            <w:pPr>
              <w:widowControl w:val="0"/>
              <w:suppressAutoHyphens w:val="0"/>
              <w:rPr>
                <w:szCs w:val="22"/>
                <w:lang w:val="fr-FR"/>
              </w:rPr>
            </w:pPr>
            <w:r>
              <w:rPr>
                <w:szCs w:val="22"/>
                <w:lang w:val="fr-FR"/>
              </w:rPr>
              <w:t>Janssen Sciences Ireland UC</w:t>
            </w:r>
          </w:p>
          <w:p w14:paraId="109AE6EC" w14:textId="77777777" w:rsidR="009B3384" w:rsidRDefault="00800862">
            <w:pPr>
              <w:widowControl w:val="0"/>
              <w:suppressAutoHyphens w:val="0"/>
              <w:rPr>
                <w:szCs w:val="22"/>
                <w:lang w:val="fr-FR"/>
              </w:rPr>
            </w:pPr>
            <w:proofErr w:type="gramStart"/>
            <w:r>
              <w:rPr>
                <w:szCs w:val="22"/>
                <w:lang w:val="fr-FR"/>
              </w:rPr>
              <w:t>Tel:</w:t>
            </w:r>
            <w:proofErr w:type="gramEnd"/>
            <w:r>
              <w:rPr>
                <w:szCs w:val="22"/>
                <w:lang w:val="fr-FR"/>
              </w:rPr>
              <w:t xml:space="preserve"> 1 800 709 122</w:t>
            </w:r>
          </w:p>
          <w:p w14:paraId="109AE6ED" w14:textId="77777777" w:rsidR="009B3384" w:rsidRPr="00BC6A43" w:rsidRDefault="00800862">
            <w:pPr>
              <w:widowControl w:val="0"/>
              <w:suppressAutoHyphens w:val="0"/>
              <w:rPr>
                <w:szCs w:val="22"/>
                <w:lang w:val="fr-BE"/>
              </w:rPr>
            </w:pPr>
            <w:r w:rsidRPr="00BC6A43">
              <w:t>medinfo@its.jnj.com</w:t>
            </w:r>
          </w:p>
          <w:p w14:paraId="109AE6EE" w14:textId="77777777" w:rsidR="009B3384" w:rsidRDefault="009B3384">
            <w:pPr>
              <w:widowControl w:val="0"/>
              <w:suppressAutoHyphens w:val="0"/>
              <w:rPr>
                <w:szCs w:val="22"/>
                <w:lang w:val="fr-FR"/>
              </w:rPr>
            </w:pPr>
          </w:p>
        </w:tc>
        <w:tc>
          <w:tcPr>
            <w:tcW w:w="4805" w:type="dxa"/>
          </w:tcPr>
          <w:p w14:paraId="109AE6EF" w14:textId="77777777" w:rsidR="009B3384" w:rsidRDefault="00800862">
            <w:pPr>
              <w:widowControl w:val="0"/>
              <w:suppressAutoHyphens w:val="0"/>
              <w:rPr>
                <w:b/>
                <w:bCs/>
                <w:szCs w:val="22"/>
                <w:lang w:val="fr-FR"/>
              </w:rPr>
            </w:pPr>
            <w:r>
              <w:rPr>
                <w:b/>
                <w:bCs/>
                <w:szCs w:val="22"/>
                <w:lang w:val="fr-FR"/>
              </w:rPr>
              <w:t>Slovenija</w:t>
            </w:r>
          </w:p>
          <w:p w14:paraId="109AE6F0" w14:textId="77777777" w:rsidR="009B3384" w:rsidRDefault="00800862">
            <w:pPr>
              <w:widowControl w:val="0"/>
              <w:suppressAutoHyphens w:val="0"/>
              <w:rPr>
                <w:szCs w:val="22"/>
                <w:lang w:val="fr-FR"/>
              </w:rPr>
            </w:pPr>
            <w:r>
              <w:rPr>
                <w:szCs w:val="22"/>
                <w:lang w:val="fr-FR"/>
              </w:rPr>
              <w:t xml:space="preserve">Johnson &amp; Johnson </w:t>
            </w:r>
            <w:proofErr w:type="spellStart"/>
            <w:r>
              <w:rPr>
                <w:szCs w:val="22"/>
                <w:lang w:val="fr-FR"/>
              </w:rPr>
              <w:t>d.o.o</w:t>
            </w:r>
            <w:proofErr w:type="spellEnd"/>
            <w:r>
              <w:rPr>
                <w:szCs w:val="22"/>
                <w:lang w:val="fr-FR"/>
              </w:rPr>
              <w:t>.</w:t>
            </w:r>
          </w:p>
          <w:p w14:paraId="109AE6F1" w14:textId="77777777" w:rsidR="009B3384" w:rsidRDefault="00800862">
            <w:pPr>
              <w:widowControl w:val="0"/>
              <w:suppressAutoHyphens w:val="0"/>
              <w:rPr>
                <w:szCs w:val="22"/>
                <w:lang w:val="de-DE"/>
              </w:rPr>
            </w:pPr>
            <w:r>
              <w:rPr>
                <w:szCs w:val="22"/>
                <w:lang w:val="de-DE"/>
              </w:rPr>
              <w:t>Tel: +386 1 401 18 00</w:t>
            </w:r>
          </w:p>
          <w:p w14:paraId="109AE6F3" w14:textId="448745C3" w:rsidR="009B3384" w:rsidRDefault="00800862" w:rsidP="00BC6A43">
            <w:pPr>
              <w:widowControl w:val="0"/>
              <w:rPr>
                <w:szCs w:val="22"/>
                <w:lang w:val="de-DE"/>
              </w:rPr>
            </w:pPr>
            <w:r w:rsidRPr="00BC6A43">
              <w:t>JNJ-SI-safety@its.jnj.com</w:t>
            </w:r>
          </w:p>
          <w:p w14:paraId="109AE6F4" w14:textId="77777777" w:rsidR="009B3384" w:rsidRDefault="009B3384">
            <w:pPr>
              <w:widowControl w:val="0"/>
              <w:suppressAutoHyphens w:val="0"/>
              <w:rPr>
                <w:szCs w:val="22"/>
                <w:lang w:val="de-DE"/>
              </w:rPr>
            </w:pPr>
          </w:p>
        </w:tc>
      </w:tr>
      <w:tr w:rsidR="009B3384" w14:paraId="109AE700" w14:textId="77777777">
        <w:trPr>
          <w:gridBefore w:val="1"/>
          <w:wBefore w:w="10" w:type="dxa"/>
          <w:cantSplit/>
          <w:jc w:val="center"/>
        </w:trPr>
        <w:tc>
          <w:tcPr>
            <w:tcW w:w="4260" w:type="dxa"/>
            <w:hideMark/>
          </w:tcPr>
          <w:p w14:paraId="109AE6F6" w14:textId="77777777" w:rsidR="009B3384" w:rsidRDefault="00800862">
            <w:pPr>
              <w:widowControl w:val="0"/>
              <w:suppressAutoHyphens w:val="0"/>
              <w:rPr>
                <w:b/>
                <w:bCs/>
                <w:szCs w:val="22"/>
              </w:rPr>
            </w:pPr>
            <w:r>
              <w:rPr>
                <w:b/>
                <w:bCs/>
                <w:szCs w:val="22"/>
              </w:rPr>
              <w:t>Í</w:t>
            </w:r>
            <w:r>
              <w:rPr>
                <w:b/>
                <w:bCs/>
                <w:szCs w:val="22"/>
                <w:lang w:val="de-DE"/>
              </w:rPr>
              <w:t>sland</w:t>
            </w:r>
          </w:p>
          <w:p w14:paraId="109AE6F7" w14:textId="77777777" w:rsidR="009B3384" w:rsidRDefault="00800862">
            <w:pPr>
              <w:widowControl w:val="0"/>
              <w:suppressAutoHyphens w:val="0"/>
              <w:rPr>
                <w:szCs w:val="22"/>
              </w:rPr>
            </w:pPr>
            <w:r>
              <w:rPr>
                <w:szCs w:val="22"/>
                <w:lang w:val="de-DE"/>
              </w:rPr>
              <w:t>Janssen</w:t>
            </w:r>
            <w:r>
              <w:rPr>
                <w:szCs w:val="22"/>
              </w:rPr>
              <w:t>-</w:t>
            </w:r>
            <w:r>
              <w:rPr>
                <w:szCs w:val="22"/>
                <w:lang w:val="de-DE"/>
              </w:rPr>
              <w:t>Cilag</w:t>
            </w:r>
            <w:r>
              <w:rPr>
                <w:szCs w:val="22"/>
              </w:rPr>
              <w:t xml:space="preserve"> </w:t>
            </w:r>
            <w:r>
              <w:rPr>
                <w:szCs w:val="22"/>
                <w:lang w:val="de-DE"/>
              </w:rPr>
              <w:t>AB</w:t>
            </w:r>
          </w:p>
          <w:p w14:paraId="109AE6F8" w14:textId="77777777" w:rsidR="009B3384" w:rsidRDefault="00800862">
            <w:pPr>
              <w:widowControl w:val="0"/>
              <w:suppressAutoHyphens w:val="0"/>
              <w:rPr>
                <w:szCs w:val="22"/>
              </w:rPr>
            </w:pPr>
            <w:r>
              <w:rPr>
                <w:szCs w:val="22"/>
                <w:lang w:val="de-DE"/>
              </w:rPr>
              <w:t>c</w:t>
            </w:r>
            <w:r>
              <w:rPr>
                <w:szCs w:val="22"/>
              </w:rPr>
              <w:t>/</w:t>
            </w:r>
            <w:r>
              <w:rPr>
                <w:szCs w:val="22"/>
                <w:lang w:val="de-DE"/>
              </w:rPr>
              <w:t>o</w:t>
            </w:r>
            <w:r>
              <w:rPr>
                <w:szCs w:val="22"/>
              </w:rPr>
              <w:t xml:space="preserve"> </w:t>
            </w:r>
            <w:r>
              <w:rPr>
                <w:szCs w:val="22"/>
                <w:lang w:val="de-DE"/>
              </w:rPr>
              <w:t>Vistor</w:t>
            </w:r>
            <w:r>
              <w:rPr>
                <w:szCs w:val="22"/>
              </w:rPr>
              <w:t xml:space="preserve"> е</w:t>
            </w:r>
            <w:r>
              <w:rPr>
                <w:szCs w:val="22"/>
                <w:lang w:val="de-DE"/>
              </w:rPr>
              <w:t>hf</w:t>
            </w:r>
            <w:r>
              <w:rPr>
                <w:szCs w:val="22"/>
              </w:rPr>
              <w:t>.</w:t>
            </w:r>
          </w:p>
          <w:p w14:paraId="109AE6F9" w14:textId="77777777" w:rsidR="009B3384" w:rsidRDefault="00800862">
            <w:pPr>
              <w:widowControl w:val="0"/>
              <w:suppressAutoHyphens w:val="0"/>
              <w:rPr>
                <w:szCs w:val="22"/>
              </w:rPr>
            </w:pPr>
            <w:r>
              <w:rPr>
                <w:szCs w:val="22"/>
                <w:lang w:val="de-DE"/>
              </w:rPr>
              <w:t>S</w:t>
            </w:r>
            <w:r>
              <w:rPr>
                <w:szCs w:val="22"/>
              </w:rPr>
              <w:t>í</w:t>
            </w:r>
            <w:r>
              <w:rPr>
                <w:szCs w:val="22"/>
                <w:lang w:val="de-DE"/>
              </w:rPr>
              <w:t>mi</w:t>
            </w:r>
            <w:r>
              <w:rPr>
                <w:szCs w:val="22"/>
              </w:rPr>
              <w:t>: +354 535 7000</w:t>
            </w:r>
          </w:p>
          <w:p w14:paraId="109AE6FA" w14:textId="77777777" w:rsidR="009B3384" w:rsidRDefault="00800862">
            <w:pPr>
              <w:widowControl w:val="0"/>
              <w:suppressAutoHyphens w:val="0"/>
              <w:rPr>
                <w:szCs w:val="22"/>
                <w:lang w:val="it-IT"/>
              </w:rPr>
            </w:pPr>
            <w:r>
              <w:rPr>
                <w:szCs w:val="22"/>
                <w:lang w:val="en-GB"/>
              </w:rPr>
              <w:t>janssen@vistor.is</w:t>
            </w:r>
          </w:p>
          <w:p w14:paraId="109AE6FB" w14:textId="77777777" w:rsidR="009B3384" w:rsidRDefault="009B3384">
            <w:pPr>
              <w:widowControl w:val="0"/>
              <w:suppressAutoHyphens w:val="0"/>
              <w:rPr>
                <w:szCs w:val="22"/>
                <w:lang w:val="it-IT"/>
              </w:rPr>
            </w:pPr>
          </w:p>
        </w:tc>
        <w:tc>
          <w:tcPr>
            <w:tcW w:w="4805" w:type="dxa"/>
          </w:tcPr>
          <w:p w14:paraId="109AE6FC" w14:textId="77777777" w:rsidR="009B3384" w:rsidRDefault="00800862">
            <w:pPr>
              <w:widowControl w:val="0"/>
              <w:suppressAutoHyphens w:val="0"/>
              <w:rPr>
                <w:b/>
                <w:bCs/>
                <w:szCs w:val="22"/>
                <w:lang w:val="it-IT"/>
              </w:rPr>
            </w:pPr>
            <w:r>
              <w:rPr>
                <w:b/>
                <w:bCs/>
                <w:szCs w:val="22"/>
                <w:lang w:val="it-IT"/>
              </w:rPr>
              <w:t>Slovenská republika</w:t>
            </w:r>
          </w:p>
          <w:p w14:paraId="109AE6FD" w14:textId="77777777" w:rsidR="009B3384" w:rsidRDefault="00800862">
            <w:pPr>
              <w:widowControl w:val="0"/>
              <w:suppressAutoHyphens w:val="0"/>
              <w:rPr>
                <w:szCs w:val="22"/>
                <w:lang w:val="it-IT"/>
              </w:rPr>
            </w:pPr>
            <w:r>
              <w:rPr>
                <w:szCs w:val="22"/>
                <w:lang w:val="it-IT"/>
              </w:rPr>
              <w:t>Johnson &amp; Johnson, s.r.o.</w:t>
            </w:r>
          </w:p>
          <w:p w14:paraId="109AE6FE" w14:textId="77777777" w:rsidR="009B3384" w:rsidRDefault="00800862">
            <w:pPr>
              <w:widowControl w:val="0"/>
              <w:suppressAutoHyphens w:val="0"/>
              <w:rPr>
                <w:szCs w:val="22"/>
                <w:lang w:val="it-IT"/>
              </w:rPr>
            </w:pPr>
            <w:r>
              <w:rPr>
                <w:szCs w:val="22"/>
                <w:lang w:val="it-IT"/>
              </w:rPr>
              <w:t>Tel: +421 232 408 400</w:t>
            </w:r>
          </w:p>
          <w:p w14:paraId="109AE6FF" w14:textId="77777777" w:rsidR="009B3384" w:rsidRDefault="009B3384">
            <w:pPr>
              <w:widowControl w:val="0"/>
              <w:suppressAutoHyphens w:val="0"/>
              <w:rPr>
                <w:szCs w:val="22"/>
                <w:lang w:val="it-IT"/>
              </w:rPr>
            </w:pPr>
          </w:p>
        </w:tc>
      </w:tr>
      <w:tr w:rsidR="009B3384" w14:paraId="109AE70B" w14:textId="77777777">
        <w:trPr>
          <w:gridBefore w:val="1"/>
          <w:wBefore w:w="10" w:type="dxa"/>
          <w:cantSplit/>
          <w:jc w:val="center"/>
        </w:trPr>
        <w:tc>
          <w:tcPr>
            <w:tcW w:w="4260" w:type="dxa"/>
          </w:tcPr>
          <w:p w14:paraId="109AE701" w14:textId="77777777" w:rsidR="009B3384" w:rsidRDefault="00800862">
            <w:pPr>
              <w:widowControl w:val="0"/>
              <w:suppressAutoHyphens w:val="0"/>
              <w:rPr>
                <w:b/>
                <w:bCs/>
                <w:szCs w:val="22"/>
                <w:lang w:val="nl-BE"/>
              </w:rPr>
            </w:pPr>
            <w:r>
              <w:rPr>
                <w:b/>
                <w:bCs/>
                <w:szCs w:val="22"/>
                <w:lang w:val="nl-BE"/>
              </w:rPr>
              <w:t>Italia</w:t>
            </w:r>
          </w:p>
          <w:p w14:paraId="109AE702" w14:textId="77777777" w:rsidR="009B3384" w:rsidRDefault="00800862">
            <w:pPr>
              <w:widowControl w:val="0"/>
              <w:suppressAutoHyphens w:val="0"/>
              <w:rPr>
                <w:szCs w:val="22"/>
                <w:lang w:val="nl-BE"/>
              </w:rPr>
            </w:pPr>
            <w:r>
              <w:rPr>
                <w:szCs w:val="22"/>
                <w:lang w:val="nl-BE"/>
              </w:rPr>
              <w:t>Janssen-Cilag SpA</w:t>
            </w:r>
          </w:p>
          <w:p w14:paraId="109AE703" w14:textId="77777777" w:rsidR="009B3384" w:rsidRDefault="00800862">
            <w:pPr>
              <w:suppressAutoHyphens w:val="0"/>
              <w:rPr>
                <w:szCs w:val="22"/>
                <w:lang w:val="nl-BE"/>
              </w:rPr>
            </w:pPr>
            <w:r>
              <w:rPr>
                <w:szCs w:val="22"/>
                <w:lang w:val="nl-BE"/>
              </w:rPr>
              <w:t>Tel: 800.688.777 / +39 02 2510 1</w:t>
            </w:r>
          </w:p>
          <w:p w14:paraId="109AE704" w14:textId="77777777" w:rsidR="009B3384" w:rsidRDefault="00800862">
            <w:pPr>
              <w:suppressAutoHyphens w:val="0"/>
              <w:rPr>
                <w:szCs w:val="22"/>
                <w:lang w:val="it-IT"/>
              </w:rPr>
            </w:pPr>
            <w:r>
              <w:rPr>
                <w:szCs w:val="22"/>
                <w:lang w:val="en-GB"/>
              </w:rPr>
              <w:t>janssenita@its.jnj.com</w:t>
            </w:r>
          </w:p>
          <w:p w14:paraId="109AE705" w14:textId="77777777" w:rsidR="009B3384" w:rsidRDefault="009B3384">
            <w:pPr>
              <w:widowControl w:val="0"/>
              <w:suppressAutoHyphens w:val="0"/>
              <w:rPr>
                <w:szCs w:val="22"/>
                <w:lang w:val="it-IT"/>
              </w:rPr>
            </w:pPr>
          </w:p>
        </w:tc>
        <w:tc>
          <w:tcPr>
            <w:tcW w:w="4805" w:type="dxa"/>
            <w:hideMark/>
          </w:tcPr>
          <w:p w14:paraId="109AE706" w14:textId="77777777" w:rsidR="009B3384" w:rsidRDefault="00800862">
            <w:pPr>
              <w:widowControl w:val="0"/>
              <w:suppressAutoHyphens w:val="0"/>
              <w:rPr>
                <w:b/>
                <w:bCs/>
                <w:szCs w:val="22"/>
                <w:lang w:val="it-IT"/>
              </w:rPr>
            </w:pPr>
            <w:r>
              <w:rPr>
                <w:b/>
                <w:bCs/>
                <w:szCs w:val="22"/>
                <w:lang w:val="it-IT"/>
              </w:rPr>
              <w:t>Suomi/Finland</w:t>
            </w:r>
          </w:p>
          <w:p w14:paraId="109AE707" w14:textId="77777777" w:rsidR="009B3384" w:rsidRDefault="00800862">
            <w:pPr>
              <w:widowControl w:val="0"/>
              <w:suppressAutoHyphens w:val="0"/>
              <w:rPr>
                <w:szCs w:val="22"/>
                <w:lang w:val="it-IT"/>
              </w:rPr>
            </w:pPr>
            <w:r>
              <w:rPr>
                <w:szCs w:val="22"/>
                <w:lang w:val="it-IT"/>
              </w:rPr>
              <w:t>Janssen-Cilag Oy</w:t>
            </w:r>
          </w:p>
          <w:p w14:paraId="109AE708" w14:textId="77777777" w:rsidR="009B3384" w:rsidRDefault="00800862">
            <w:pPr>
              <w:widowControl w:val="0"/>
              <w:suppressAutoHyphens w:val="0"/>
              <w:rPr>
                <w:szCs w:val="22"/>
                <w:lang w:val="nl-NL"/>
              </w:rPr>
            </w:pPr>
            <w:r>
              <w:rPr>
                <w:szCs w:val="22"/>
                <w:lang w:val="nl-NL"/>
              </w:rPr>
              <w:t>Puh/Tel: +358 207 531 300</w:t>
            </w:r>
          </w:p>
          <w:p w14:paraId="109AE709" w14:textId="77777777" w:rsidR="009B3384" w:rsidRDefault="00800862">
            <w:pPr>
              <w:widowControl w:val="0"/>
              <w:suppressAutoHyphens w:val="0"/>
              <w:rPr>
                <w:szCs w:val="22"/>
                <w:lang w:val="en-GB"/>
              </w:rPr>
            </w:pPr>
            <w:r>
              <w:rPr>
                <w:szCs w:val="22"/>
                <w:lang w:val="en-GB"/>
              </w:rPr>
              <w:t>jacfi@its.jnj.com</w:t>
            </w:r>
          </w:p>
          <w:p w14:paraId="109AE70A" w14:textId="77777777" w:rsidR="009B3384" w:rsidRDefault="009B3384">
            <w:pPr>
              <w:widowControl w:val="0"/>
              <w:suppressAutoHyphens w:val="0"/>
              <w:rPr>
                <w:szCs w:val="22"/>
                <w:lang w:val="en-GB"/>
              </w:rPr>
            </w:pPr>
          </w:p>
        </w:tc>
      </w:tr>
      <w:tr w:rsidR="009B3384" w14:paraId="109AE715" w14:textId="77777777">
        <w:trPr>
          <w:gridBefore w:val="1"/>
          <w:wBefore w:w="10" w:type="dxa"/>
          <w:cantSplit/>
          <w:jc w:val="center"/>
        </w:trPr>
        <w:tc>
          <w:tcPr>
            <w:tcW w:w="4260" w:type="dxa"/>
            <w:hideMark/>
          </w:tcPr>
          <w:p w14:paraId="109AE70C" w14:textId="77777777" w:rsidR="009B3384" w:rsidRDefault="00800862">
            <w:pPr>
              <w:widowControl w:val="0"/>
              <w:suppressAutoHyphens w:val="0"/>
              <w:rPr>
                <w:b/>
                <w:bCs/>
                <w:szCs w:val="22"/>
                <w:lang w:val="el-GR"/>
              </w:rPr>
            </w:pPr>
            <w:r>
              <w:rPr>
                <w:b/>
                <w:bCs/>
                <w:szCs w:val="22"/>
                <w:lang w:val="el-GR"/>
              </w:rPr>
              <w:t>Κύπρος</w:t>
            </w:r>
          </w:p>
          <w:p w14:paraId="109AE70D" w14:textId="77777777" w:rsidR="009B3384" w:rsidRDefault="00800862">
            <w:pPr>
              <w:widowControl w:val="0"/>
              <w:suppressAutoHyphens w:val="0"/>
              <w:rPr>
                <w:szCs w:val="22"/>
                <w:lang w:val="el-GR"/>
              </w:rPr>
            </w:pPr>
            <w:r>
              <w:rPr>
                <w:szCs w:val="22"/>
                <w:lang w:val="el-GR"/>
              </w:rPr>
              <w:t>Βαρνάβας Χατζηπαναγής Λτδ</w:t>
            </w:r>
          </w:p>
          <w:p w14:paraId="109AE70E" w14:textId="77777777" w:rsidR="009B3384" w:rsidRDefault="00800862">
            <w:pPr>
              <w:widowControl w:val="0"/>
              <w:suppressAutoHyphens w:val="0"/>
              <w:rPr>
                <w:szCs w:val="22"/>
                <w:lang w:val="el-GR"/>
              </w:rPr>
            </w:pPr>
            <w:r>
              <w:rPr>
                <w:szCs w:val="22"/>
                <w:lang w:val="en-GB"/>
              </w:rPr>
              <w:t>T</w:t>
            </w:r>
            <w:r>
              <w:rPr>
                <w:szCs w:val="22"/>
                <w:lang w:val="el-GR"/>
              </w:rPr>
              <w:t>ηλ: +357 22 207 700</w:t>
            </w:r>
          </w:p>
          <w:p w14:paraId="109AE70F" w14:textId="77777777" w:rsidR="009B3384" w:rsidRDefault="009B3384">
            <w:pPr>
              <w:widowControl w:val="0"/>
              <w:suppressAutoHyphens w:val="0"/>
              <w:rPr>
                <w:szCs w:val="22"/>
                <w:lang w:val="el-GR"/>
              </w:rPr>
            </w:pPr>
          </w:p>
        </w:tc>
        <w:tc>
          <w:tcPr>
            <w:tcW w:w="4805" w:type="dxa"/>
          </w:tcPr>
          <w:p w14:paraId="109AE710" w14:textId="77777777" w:rsidR="009B3384" w:rsidRDefault="00800862">
            <w:pPr>
              <w:widowControl w:val="0"/>
              <w:suppressAutoHyphens w:val="0"/>
              <w:rPr>
                <w:b/>
                <w:bCs/>
                <w:szCs w:val="22"/>
                <w:lang w:val="de-DE"/>
              </w:rPr>
            </w:pPr>
            <w:r>
              <w:rPr>
                <w:b/>
                <w:bCs/>
                <w:szCs w:val="22"/>
                <w:lang w:val="de-DE"/>
              </w:rPr>
              <w:t>Sverige</w:t>
            </w:r>
          </w:p>
          <w:p w14:paraId="109AE711" w14:textId="77777777" w:rsidR="009B3384" w:rsidRDefault="00800862">
            <w:pPr>
              <w:widowControl w:val="0"/>
              <w:suppressAutoHyphens w:val="0"/>
              <w:rPr>
                <w:szCs w:val="22"/>
                <w:lang w:val="de-DE"/>
              </w:rPr>
            </w:pPr>
            <w:r>
              <w:rPr>
                <w:szCs w:val="22"/>
                <w:lang w:val="de-DE"/>
              </w:rPr>
              <w:t>Janssen-Cilag AB</w:t>
            </w:r>
          </w:p>
          <w:p w14:paraId="109AE712" w14:textId="77777777" w:rsidR="009B3384" w:rsidRDefault="00800862">
            <w:pPr>
              <w:widowControl w:val="0"/>
              <w:suppressAutoHyphens w:val="0"/>
              <w:rPr>
                <w:szCs w:val="22"/>
                <w:lang w:val="de-DE"/>
              </w:rPr>
            </w:pPr>
            <w:r>
              <w:rPr>
                <w:szCs w:val="22"/>
                <w:lang w:val="de-DE"/>
              </w:rPr>
              <w:t>Tfn: +46 8 626 50 00</w:t>
            </w:r>
          </w:p>
          <w:p w14:paraId="109AE713" w14:textId="77777777" w:rsidR="009B3384" w:rsidRDefault="00800862">
            <w:pPr>
              <w:widowControl w:val="0"/>
              <w:suppressAutoHyphens w:val="0"/>
              <w:rPr>
                <w:szCs w:val="22"/>
                <w:lang w:val="en-GB"/>
              </w:rPr>
            </w:pPr>
            <w:r>
              <w:rPr>
                <w:szCs w:val="22"/>
                <w:lang w:val="en-GB"/>
              </w:rPr>
              <w:t>jacse@its.jnj.com</w:t>
            </w:r>
          </w:p>
          <w:p w14:paraId="109AE714" w14:textId="77777777" w:rsidR="009B3384" w:rsidRDefault="009B3384">
            <w:pPr>
              <w:widowControl w:val="0"/>
              <w:suppressAutoHyphens w:val="0"/>
              <w:rPr>
                <w:szCs w:val="22"/>
                <w:lang w:val="en-GB"/>
              </w:rPr>
            </w:pPr>
          </w:p>
        </w:tc>
      </w:tr>
      <w:tr w:rsidR="009B3384" w14:paraId="109AE71F" w14:textId="77777777">
        <w:trPr>
          <w:gridBefore w:val="1"/>
          <w:wBefore w:w="10" w:type="dxa"/>
          <w:cantSplit/>
          <w:jc w:val="center"/>
        </w:trPr>
        <w:tc>
          <w:tcPr>
            <w:tcW w:w="4260" w:type="dxa"/>
            <w:hideMark/>
          </w:tcPr>
          <w:p w14:paraId="109AE716" w14:textId="77777777" w:rsidR="009B3384" w:rsidRDefault="00800862">
            <w:pPr>
              <w:widowControl w:val="0"/>
              <w:suppressAutoHyphens w:val="0"/>
              <w:rPr>
                <w:b/>
                <w:bCs/>
                <w:szCs w:val="22"/>
              </w:rPr>
            </w:pPr>
            <w:proofErr w:type="spellStart"/>
            <w:r>
              <w:rPr>
                <w:b/>
                <w:bCs/>
                <w:szCs w:val="22"/>
                <w:lang w:val="en-GB"/>
              </w:rPr>
              <w:t>Latvija</w:t>
            </w:r>
            <w:proofErr w:type="spellEnd"/>
          </w:p>
          <w:p w14:paraId="109AE717" w14:textId="77777777" w:rsidR="009B3384" w:rsidRDefault="00800862">
            <w:pPr>
              <w:widowControl w:val="0"/>
              <w:suppressAutoHyphens w:val="0"/>
              <w:rPr>
                <w:szCs w:val="22"/>
              </w:rPr>
            </w:pPr>
            <w:r>
              <w:rPr>
                <w:szCs w:val="22"/>
                <w:lang w:val="en-GB"/>
              </w:rPr>
              <w:t>UAB</w:t>
            </w:r>
            <w:r>
              <w:rPr>
                <w:szCs w:val="22"/>
              </w:rPr>
              <w:t xml:space="preserve"> "</w:t>
            </w:r>
            <w:r>
              <w:rPr>
                <w:szCs w:val="22"/>
                <w:lang w:val="en-GB"/>
              </w:rPr>
              <w:t>JOHNSON</w:t>
            </w:r>
            <w:r>
              <w:rPr>
                <w:szCs w:val="22"/>
              </w:rPr>
              <w:t xml:space="preserve"> &amp; </w:t>
            </w:r>
            <w:r>
              <w:rPr>
                <w:szCs w:val="22"/>
                <w:lang w:val="en-GB"/>
              </w:rPr>
              <w:t>JOHNSON</w:t>
            </w:r>
            <w:r>
              <w:rPr>
                <w:szCs w:val="22"/>
              </w:rPr>
              <w:t xml:space="preserve">" </w:t>
            </w:r>
            <w:proofErr w:type="spellStart"/>
            <w:r>
              <w:rPr>
                <w:szCs w:val="22"/>
                <w:lang w:val="en-GB"/>
              </w:rPr>
              <w:t>fili</w:t>
            </w:r>
            <w:proofErr w:type="spellEnd"/>
            <w:r>
              <w:rPr>
                <w:szCs w:val="22"/>
              </w:rPr>
              <w:t>ā</w:t>
            </w:r>
            <w:r>
              <w:rPr>
                <w:szCs w:val="22"/>
                <w:lang w:val="en-GB"/>
              </w:rPr>
              <w:t>le</w:t>
            </w:r>
            <w:r>
              <w:rPr>
                <w:szCs w:val="22"/>
              </w:rPr>
              <w:t xml:space="preserve"> </w:t>
            </w:r>
            <w:proofErr w:type="spellStart"/>
            <w:r>
              <w:rPr>
                <w:szCs w:val="22"/>
                <w:lang w:val="en-GB"/>
              </w:rPr>
              <w:t>Latvij</w:t>
            </w:r>
            <w:proofErr w:type="spellEnd"/>
            <w:r>
              <w:rPr>
                <w:szCs w:val="22"/>
              </w:rPr>
              <w:t>ā</w:t>
            </w:r>
          </w:p>
          <w:p w14:paraId="109AE718" w14:textId="77777777" w:rsidR="009B3384" w:rsidRDefault="00800862">
            <w:pPr>
              <w:widowControl w:val="0"/>
              <w:suppressAutoHyphens w:val="0"/>
              <w:rPr>
                <w:szCs w:val="22"/>
                <w:lang w:val="en-GB"/>
              </w:rPr>
            </w:pPr>
            <w:r>
              <w:rPr>
                <w:szCs w:val="22"/>
                <w:lang w:val="en-GB"/>
              </w:rPr>
              <w:t>Tel: +371 678 93561</w:t>
            </w:r>
          </w:p>
          <w:p w14:paraId="109AE719" w14:textId="77777777" w:rsidR="009B3384" w:rsidRDefault="00800862">
            <w:pPr>
              <w:widowControl w:val="0"/>
              <w:suppressAutoHyphens w:val="0"/>
              <w:rPr>
                <w:b/>
                <w:bCs/>
                <w:szCs w:val="22"/>
                <w:lang w:val="en-GB"/>
              </w:rPr>
            </w:pPr>
            <w:r>
              <w:rPr>
                <w:szCs w:val="22"/>
                <w:lang w:val="en-GB"/>
              </w:rPr>
              <w:t>lv@its.jnj.com</w:t>
            </w:r>
          </w:p>
          <w:p w14:paraId="109AE71A" w14:textId="77777777" w:rsidR="009B3384" w:rsidRDefault="009B3384">
            <w:pPr>
              <w:widowControl w:val="0"/>
              <w:suppressAutoHyphens w:val="0"/>
              <w:rPr>
                <w:b/>
                <w:bCs/>
                <w:szCs w:val="22"/>
                <w:lang w:val="en-GB"/>
              </w:rPr>
            </w:pPr>
          </w:p>
        </w:tc>
        <w:tc>
          <w:tcPr>
            <w:tcW w:w="4805" w:type="dxa"/>
          </w:tcPr>
          <w:p w14:paraId="109AE71E" w14:textId="54F97654" w:rsidR="009B3384" w:rsidRDefault="009B3384">
            <w:pPr>
              <w:widowControl w:val="0"/>
              <w:suppressAutoHyphens w:val="0"/>
              <w:rPr>
                <w:b/>
                <w:bCs/>
                <w:szCs w:val="22"/>
                <w:lang w:val="de-DE"/>
              </w:rPr>
            </w:pPr>
          </w:p>
        </w:tc>
      </w:tr>
    </w:tbl>
    <w:p w14:paraId="109AE720" w14:textId="77777777" w:rsidR="009B3384" w:rsidRDefault="009B3384">
      <w:pPr>
        <w:widowControl w:val="0"/>
        <w:suppressAutoHyphens w:val="0"/>
        <w:rPr>
          <w:szCs w:val="22"/>
          <w:lang w:val="de-DE"/>
        </w:rPr>
      </w:pPr>
    </w:p>
    <w:p w14:paraId="109AE721" w14:textId="77777777" w:rsidR="009B3384" w:rsidRDefault="00800862">
      <w:pPr>
        <w:rPr>
          <w:szCs w:val="22"/>
        </w:rPr>
      </w:pPr>
      <w:r>
        <w:rPr>
          <w:b/>
          <w:szCs w:val="22"/>
        </w:rPr>
        <w:t>Дата на последно преразглеждане на листовката</w:t>
      </w:r>
    </w:p>
    <w:p w14:paraId="109AE722" w14:textId="77777777" w:rsidR="009B3384" w:rsidRDefault="009B3384">
      <w:pPr>
        <w:rPr>
          <w:szCs w:val="22"/>
        </w:rPr>
      </w:pPr>
    </w:p>
    <w:p w14:paraId="109AE723" w14:textId="77777777" w:rsidR="009B3384" w:rsidRDefault="009B3384">
      <w:pPr>
        <w:rPr>
          <w:szCs w:val="22"/>
        </w:rPr>
      </w:pPr>
    </w:p>
    <w:p w14:paraId="109AE724" w14:textId="77777777" w:rsidR="009B3384" w:rsidRDefault="009B3384">
      <w:pPr>
        <w:rPr>
          <w:szCs w:val="22"/>
        </w:rPr>
      </w:pPr>
    </w:p>
    <w:p w14:paraId="109AE725" w14:textId="77777777" w:rsidR="009B3384" w:rsidRDefault="00800862">
      <w:pPr>
        <w:pageBreakBefore/>
        <w:tabs>
          <w:tab w:val="clear" w:pos="567"/>
        </w:tabs>
      </w:pPr>
      <w:r>
        <w:rPr>
          <w:szCs w:val="22"/>
        </w:rPr>
        <w:lastRenderedPageBreak/>
        <w:t xml:space="preserve">Подробна информация за това лекарство е предоставена на уебсайта на Европейската агенция по лекарствата </w:t>
      </w:r>
      <w:r>
        <w:fldChar w:fldCharType="begin"/>
      </w:r>
      <w:r>
        <w:instrText>HYPERLINK "https://www.ema.europa.eu/"</w:instrText>
      </w:r>
      <w:r>
        <w:fldChar w:fldCharType="separate"/>
      </w:r>
      <w:r>
        <w:rPr>
          <w:rStyle w:val="Hyperlink"/>
          <w:noProof/>
        </w:rPr>
        <w:t>https://www.ema.europa.eu</w:t>
      </w:r>
      <w:r>
        <w:fldChar w:fldCharType="end"/>
      </w:r>
      <w:r>
        <w:t>.</w:t>
      </w:r>
    </w:p>
    <w:p w14:paraId="109AE726" w14:textId="77777777" w:rsidR="009B3384" w:rsidRDefault="00800862">
      <w:pPr>
        <w:tabs>
          <w:tab w:val="clear" w:pos="567"/>
        </w:tabs>
        <w:jc w:val="center"/>
      </w:pPr>
      <w:r>
        <w:br w:type="page"/>
      </w:r>
      <w:r>
        <w:lastRenderedPageBreak/>
        <w:fldChar w:fldCharType="begin"/>
      </w:r>
      <w:r>
        <w:instrText xml:space="preserve">  </w:instrText>
      </w:r>
      <w:r>
        <w:fldChar w:fldCharType="end"/>
      </w:r>
      <w:r>
        <w:rPr>
          <w:rFonts w:eastAsia="Calibri"/>
          <w:b/>
          <w:bCs/>
          <w:szCs w:val="22"/>
        </w:rPr>
        <w:t>Указания за употреба</w:t>
      </w:r>
    </w:p>
    <w:p w14:paraId="109AE727" w14:textId="77777777" w:rsidR="009B3384" w:rsidRDefault="00800862">
      <w:pPr>
        <w:jc w:val="center"/>
      </w:pPr>
      <w:r>
        <w:rPr>
          <w:rFonts w:eastAsia="Calibri"/>
          <w:b/>
          <w:szCs w:val="22"/>
        </w:rPr>
        <w:t>Stelara</w:t>
      </w:r>
    </w:p>
    <w:p w14:paraId="109AE728" w14:textId="77777777" w:rsidR="009B3384" w:rsidRDefault="00800862">
      <w:pPr>
        <w:jc w:val="center"/>
      </w:pPr>
      <w:r>
        <w:rPr>
          <w:b/>
          <w:bCs/>
          <w:szCs w:val="22"/>
        </w:rPr>
        <w:t>(устекинумаб)</w:t>
      </w:r>
    </w:p>
    <w:p w14:paraId="109AE729" w14:textId="77777777" w:rsidR="009B3384" w:rsidRDefault="00800862">
      <w:pPr>
        <w:jc w:val="center"/>
      </w:pPr>
      <w:r>
        <w:rPr>
          <w:b/>
          <w:bCs/>
          <w:szCs w:val="22"/>
        </w:rPr>
        <w:t>инжекция за подкожно приложение</w:t>
      </w:r>
    </w:p>
    <w:p w14:paraId="109AE72A" w14:textId="77777777" w:rsidR="009B3384" w:rsidRDefault="00800862">
      <w:pPr>
        <w:jc w:val="center"/>
      </w:pPr>
      <w:r>
        <w:rPr>
          <w:rFonts w:eastAsia="Calibri"/>
          <w:b/>
          <w:bCs/>
          <w:szCs w:val="22"/>
        </w:rPr>
        <w:t>предварително напълнена писалка</w:t>
      </w:r>
    </w:p>
    <w:p w14:paraId="109AE72B" w14:textId="77777777" w:rsidR="009B3384" w:rsidRDefault="009B3384">
      <w:pPr>
        <w:jc w:val="center"/>
        <w:rPr>
          <w:rFonts w:eastAsia="Calibri"/>
          <w:b/>
          <w:bCs/>
          <w:szCs w:val="22"/>
        </w:rPr>
      </w:pPr>
    </w:p>
    <w:p w14:paraId="109AE72C" w14:textId="77777777" w:rsidR="009B3384" w:rsidRDefault="00800862">
      <w:pPr>
        <w:tabs>
          <w:tab w:val="clear" w:pos="567"/>
        </w:tabs>
        <w:rPr>
          <w:rFonts w:eastAsia="Calibri"/>
          <w:szCs w:val="22"/>
        </w:rPr>
      </w:pPr>
      <w:r>
        <w:rPr>
          <w:noProof/>
          <w:lang w:eastAsia="bg-BG"/>
        </w:rPr>
        <w:drawing>
          <wp:inline distT="0" distB="0" distL="0" distR="0" wp14:anchorId="109AEA3B" wp14:editId="109AEA3C">
            <wp:extent cx="1866900" cy="18669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l="-18" t="-17" r="-18" b="-17"/>
                    <a:stretch>
                      <a:fillRect/>
                    </a:stretch>
                  </pic:blipFill>
                  <pic:spPr bwMode="auto">
                    <a:xfrm>
                      <a:off x="0" y="0"/>
                      <a:ext cx="1866900" cy="1866900"/>
                    </a:xfrm>
                    <a:prstGeom prst="rect">
                      <a:avLst/>
                    </a:prstGeom>
                    <a:solidFill>
                      <a:srgbClr val="FFFFFF"/>
                    </a:solidFill>
                    <a:ln>
                      <a:noFill/>
                    </a:ln>
                  </pic:spPr>
                </pic:pic>
              </a:graphicData>
            </a:graphic>
          </wp:inline>
        </w:drawing>
      </w:r>
    </w:p>
    <w:p w14:paraId="109AE72D" w14:textId="77777777" w:rsidR="009B3384" w:rsidRDefault="009B3384">
      <w:pPr>
        <w:tabs>
          <w:tab w:val="clear" w:pos="567"/>
        </w:tabs>
        <w:rPr>
          <w:rFonts w:eastAsia="Calibri"/>
          <w:szCs w:val="22"/>
        </w:rPr>
      </w:pPr>
    </w:p>
    <w:p w14:paraId="109AE72E" w14:textId="77777777" w:rsidR="009B3384" w:rsidRDefault="00800862">
      <w:pPr>
        <w:tabs>
          <w:tab w:val="clear" w:pos="567"/>
        </w:tabs>
        <w:rPr>
          <w:rFonts w:eastAsia="Calibri"/>
          <w:bCs/>
          <w:szCs w:val="22"/>
        </w:rPr>
      </w:pPr>
      <w:r>
        <w:rPr>
          <w:rFonts w:eastAsia="Calibri"/>
          <w:bCs/>
          <w:szCs w:val="22"/>
        </w:rPr>
        <w:t>Настоящите "Указания за употреба" съдържат информация за това как да си инжектирате Stelara.</w:t>
      </w:r>
    </w:p>
    <w:p w14:paraId="109AE72F" w14:textId="77777777" w:rsidR="009B3384" w:rsidRDefault="009B3384">
      <w:pPr>
        <w:tabs>
          <w:tab w:val="clear" w:pos="567"/>
        </w:tabs>
        <w:rPr>
          <w:rFonts w:eastAsia="Calibri"/>
          <w:bCs/>
          <w:szCs w:val="22"/>
        </w:rPr>
      </w:pPr>
    </w:p>
    <w:p w14:paraId="109AE730" w14:textId="77777777" w:rsidR="009B3384" w:rsidRDefault="00800862">
      <w:pPr>
        <w:tabs>
          <w:tab w:val="clear" w:pos="567"/>
        </w:tabs>
        <w:rPr>
          <w:rFonts w:eastAsia="Calibri"/>
          <w:b/>
          <w:bCs/>
          <w:szCs w:val="22"/>
        </w:rPr>
      </w:pPr>
      <w:r>
        <w:rPr>
          <w:rFonts w:eastAsia="Calibri"/>
          <w:b/>
          <w:bCs/>
          <w:szCs w:val="22"/>
        </w:rPr>
        <w:t>Важно</w:t>
      </w:r>
    </w:p>
    <w:p w14:paraId="109AE731" w14:textId="77777777" w:rsidR="009B3384" w:rsidRDefault="00800862">
      <w:pPr>
        <w:tabs>
          <w:tab w:val="clear" w:pos="567"/>
        </w:tabs>
        <w:rPr>
          <w:rFonts w:eastAsia="Calibri"/>
          <w:bCs/>
          <w:szCs w:val="22"/>
        </w:rPr>
      </w:pPr>
      <w:r>
        <w:rPr>
          <w:rFonts w:eastAsia="Calibri"/>
          <w:bCs/>
          <w:szCs w:val="22"/>
        </w:rPr>
        <w:t>Stelara се предлага в предварително напълнена писалка за еднократна употреба, съдържаща една доза 45 mg или една доза 90 mg.</w:t>
      </w:r>
      <w:bookmarkStart w:id="1414" w:name="_Hlk86050984"/>
    </w:p>
    <w:p w14:paraId="109AE732" w14:textId="77777777" w:rsidR="009B3384" w:rsidRDefault="009B3384">
      <w:pPr>
        <w:tabs>
          <w:tab w:val="clear" w:pos="567"/>
        </w:tabs>
      </w:pPr>
    </w:p>
    <w:p w14:paraId="109AE733"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b/>
          <w:bCs/>
        </w:rPr>
      </w:pPr>
      <w:r w:rsidRPr="00BC6A43">
        <w:rPr>
          <w:rFonts w:eastAsia="Calibri"/>
          <w:b/>
          <w:bCs/>
          <w:szCs w:val="22"/>
        </w:rPr>
        <w:t>По време на инжектирането натиснете дръжката докрай надолу, докато престане да се вижда лилавото тяло, за да инжектирате пълната доза. НЕ ВДИГАЙТЕ ПРЕДВАРИТЕЛНО НАПЪЛНЕНАТА ПИСАЛКА по време на инжектирането! Ако го направите, предварително напълнената писалка ще се заключи и няма да получите пълната доза.</w:t>
      </w:r>
      <w:bookmarkEnd w:id="1414"/>
    </w:p>
    <w:p w14:paraId="109AE734" w14:textId="77777777" w:rsidR="009B3384" w:rsidRDefault="009B3384">
      <w:pPr>
        <w:widowControl w:val="0"/>
        <w:tabs>
          <w:tab w:val="clear" w:pos="567"/>
          <w:tab w:val="left" w:pos="216"/>
          <w:tab w:val="left" w:pos="360"/>
          <w:tab w:val="left" w:pos="540"/>
        </w:tabs>
        <w:rPr>
          <w:rFonts w:eastAsia="Calibri"/>
          <w:szCs w:val="22"/>
        </w:rPr>
      </w:pPr>
    </w:p>
    <w:p w14:paraId="109AE735" w14:textId="77777777" w:rsidR="009B3384" w:rsidRDefault="00800862">
      <w:pPr>
        <w:widowControl w:val="0"/>
        <w:tabs>
          <w:tab w:val="clear" w:pos="567"/>
          <w:tab w:val="left" w:pos="216"/>
          <w:tab w:val="left" w:pos="360"/>
          <w:tab w:val="left" w:pos="540"/>
        </w:tabs>
        <w:rPr>
          <w:rFonts w:eastAsia="Calibri"/>
          <w:b/>
          <w:bCs/>
          <w:szCs w:val="22"/>
        </w:rPr>
      </w:pPr>
      <w:r>
        <w:rPr>
          <w:rFonts w:eastAsia="Calibri"/>
          <w:bCs/>
          <w:szCs w:val="22"/>
        </w:rPr>
        <w:t xml:space="preserve">Ако Вашият лекар реши, че Вие или обгрижващото Ви лице може да поставяте инжекциите си Stelara у дома, трябва да получите обучение за правилния начин за подготовка и инжектиране на Stelara с помощта на предварително напълнената писалка. </w:t>
      </w:r>
      <w:r>
        <w:rPr>
          <w:rFonts w:eastAsia="Calibri"/>
          <w:b/>
          <w:bCs/>
          <w:szCs w:val="22"/>
        </w:rPr>
        <w:t>Не се опитвайте да се инжектирате сами, докато не бъдете обучени от Вашия лекар.</w:t>
      </w:r>
    </w:p>
    <w:p w14:paraId="109AE736" w14:textId="77777777" w:rsidR="009B3384" w:rsidRDefault="009B3384">
      <w:pPr>
        <w:widowControl w:val="0"/>
        <w:tabs>
          <w:tab w:val="clear" w:pos="567"/>
          <w:tab w:val="left" w:pos="216"/>
          <w:tab w:val="left" w:pos="360"/>
          <w:tab w:val="left" w:pos="540"/>
        </w:tabs>
        <w:rPr>
          <w:rFonts w:eastAsia="Calibri"/>
          <w:b/>
          <w:bCs/>
          <w:szCs w:val="22"/>
        </w:rPr>
      </w:pPr>
    </w:p>
    <w:p w14:paraId="109AE737" w14:textId="77777777" w:rsidR="009B3384" w:rsidRDefault="00800862">
      <w:pPr>
        <w:widowControl w:val="0"/>
        <w:tabs>
          <w:tab w:val="clear" w:pos="567"/>
          <w:tab w:val="left" w:pos="216"/>
          <w:tab w:val="left" w:pos="360"/>
          <w:tab w:val="left" w:pos="540"/>
        </w:tabs>
        <w:rPr>
          <w:rFonts w:eastAsia="Calibri"/>
          <w:bCs/>
          <w:szCs w:val="22"/>
        </w:rPr>
      </w:pPr>
      <w:r>
        <w:rPr>
          <w:rFonts w:eastAsia="Calibri"/>
          <w:bCs/>
          <w:szCs w:val="22"/>
        </w:rPr>
        <w:t>Всяка предварително напълнена писалка може да се използва само веднъж. Изхвърлете я (вижте Стъпка 3) след употреба, дори ако в нея е останало лекарство.</w:t>
      </w:r>
    </w:p>
    <w:p w14:paraId="109AE738" w14:textId="77777777" w:rsidR="009B3384" w:rsidRDefault="009B3384">
      <w:pPr>
        <w:widowControl w:val="0"/>
        <w:tabs>
          <w:tab w:val="clear" w:pos="567"/>
          <w:tab w:val="left" w:pos="216"/>
          <w:tab w:val="left" w:pos="360"/>
          <w:tab w:val="left" w:pos="540"/>
        </w:tabs>
        <w:rPr>
          <w:rFonts w:eastAsia="Calibri"/>
          <w:bCs/>
          <w:szCs w:val="22"/>
        </w:rPr>
      </w:pPr>
    </w:p>
    <w:p w14:paraId="109AE739" w14:textId="77777777" w:rsidR="009B3384" w:rsidRDefault="00800862">
      <w:pPr>
        <w:widowControl w:val="0"/>
        <w:tabs>
          <w:tab w:val="clear" w:pos="567"/>
          <w:tab w:val="left" w:pos="216"/>
          <w:tab w:val="left" w:pos="360"/>
          <w:tab w:val="left" w:pos="540"/>
        </w:tabs>
      </w:pPr>
      <w:r>
        <w:rPr>
          <w:rFonts w:eastAsia="Calibri"/>
          <w:b/>
          <w:bCs/>
          <w:szCs w:val="22"/>
        </w:rPr>
        <w:t>Не използвайте повторно предварително напълнената писалка.</w:t>
      </w:r>
    </w:p>
    <w:p w14:paraId="109AE73A" w14:textId="77777777" w:rsidR="009B3384" w:rsidRDefault="009B3384">
      <w:pPr>
        <w:widowControl w:val="0"/>
        <w:tabs>
          <w:tab w:val="clear" w:pos="567"/>
          <w:tab w:val="left" w:pos="216"/>
          <w:tab w:val="left" w:pos="360"/>
          <w:tab w:val="left" w:pos="540"/>
        </w:tabs>
      </w:pPr>
    </w:p>
    <w:p w14:paraId="109AE73B" w14:textId="77777777" w:rsidR="009B3384" w:rsidRDefault="00800862">
      <w:pPr>
        <w:widowControl w:val="0"/>
        <w:tabs>
          <w:tab w:val="clear" w:pos="567"/>
          <w:tab w:val="left" w:pos="216"/>
          <w:tab w:val="left" w:pos="360"/>
          <w:tab w:val="left" w:pos="540"/>
        </w:tabs>
        <w:rPr>
          <w:rFonts w:eastAsia="Calibri"/>
          <w:bCs/>
          <w:szCs w:val="22"/>
        </w:rPr>
      </w:pPr>
      <w:r>
        <w:rPr>
          <w:rFonts w:eastAsia="Calibri"/>
          <w:b/>
          <w:bCs/>
          <w:szCs w:val="22"/>
        </w:rPr>
        <w:t xml:space="preserve">Прочетете тези "Указания за употреба" преди да използвате предварително напълнената писалка Stelara и всеки път, когато получавате нова предварително напълнена писалка. </w:t>
      </w:r>
      <w:r>
        <w:rPr>
          <w:rFonts w:eastAsia="Calibri"/>
          <w:bCs/>
          <w:szCs w:val="22"/>
        </w:rPr>
        <w:t>Възможно е да има нова информация. Тази листовка не замества разговора с Вашия лекар относно Вашето заболявяне или лечение.</w:t>
      </w:r>
    </w:p>
    <w:p w14:paraId="109AE73C" w14:textId="77777777" w:rsidR="009B3384" w:rsidRDefault="009B3384">
      <w:pPr>
        <w:widowControl w:val="0"/>
        <w:tabs>
          <w:tab w:val="clear" w:pos="567"/>
          <w:tab w:val="left" w:pos="216"/>
          <w:tab w:val="left" w:pos="360"/>
          <w:tab w:val="left" w:pos="540"/>
        </w:tabs>
        <w:rPr>
          <w:rFonts w:eastAsia="Calibri"/>
          <w:bCs/>
          <w:szCs w:val="22"/>
        </w:rPr>
      </w:pPr>
    </w:p>
    <w:p w14:paraId="109AE73D" w14:textId="77777777" w:rsidR="009B3384" w:rsidRDefault="00800862">
      <w:pPr>
        <w:widowControl w:val="0"/>
        <w:tabs>
          <w:tab w:val="clear" w:pos="567"/>
          <w:tab w:val="left" w:pos="216"/>
          <w:tab w:val="left" w:pos="360"/>
          <w:tab w:val="left" w:pos="540"/>
        </w:tabs>
      </w:pPr>
      <w:r>
        <w:rPr>
          <w:rFonts w:eastAsia="Calibri"/>
          <w:bCs/>
          <w:szCs w:val="22"/>
        </w:rPr>
        <w:t>Ако не можете да си поставите сами инжекцията:</w:t>
      </w:r>
    </w:p>
    <w:p w14:paraId="109AE73E" w14:textId="77777777" w:rsidR="009B3384" w:rsidRDefault="00800862">
      <w:pPr>
        <w:keepNext/>
        <w:numPr>
          <w:ilvl w:val="0"/>
          <w:numId w:val="30"/>
        </w:numPr>
      </w:pPr>
      <w:r>
        <w:rPr>
          <w:rFonts w:eastAsia="Calibri"/>
          <w:bCs/>
          <w:szCs w:val="22"/>
        </w:rPr>
        <w:t>помолете Вашия лекар или медицинска сестра да Ви помогнат или</w:t>
      </w:r>
    </w:p>
    <w:p w14:paraId="109AE73F" w14:textId="77777777" w:rsidR="009B3384" w:rsidRDefault="00800862">
      <w:pPr>
        <w:numPr>
          <w:ilvl w:val="0"/>
          <w:numId w:val="30"/>
        </w:numPr>
      </w:pPr>
      <w:r>
        <w:rPr>
          <w:rFonts w:eastAsia="Calibri"/>
          <w:bCs/>
          <w:szCs w:val="22"/>
        </w:rPr>
        <w:t>помолете някой, който е обучен от лекар или медицинска сестра, да Ви поставя инжекциите.</w:t>
      </w:r>
    </w:p>
    <w:p w14:paraId="109AE740" w14:textId="77777777" w:rsidR="009B3384" w:rsidRDefault="009B3384">
      <w:pPr>
        <w:rPr>
          <w:rFonts w:eastAsia="Calibri"/>
          <w:bCs/>
          <w:szCs w:val="22"/>
        </w:rPr>
      </w:pPr>
    </w:p>
    <w:p w14:paraId="109AE741" w14:textId="77777777" w:rsidR="009B3384" w:rsidRDefault="00800862">
      <w:pPr>
        <w:rPr>
          <w:rFonts w:eastAsia="Calibri"/>
          <w:bCs/>
          <w:szCs w:val="22"/>
        </w:rPr>
      </w:pPr>
      <w:r>
        <w:rPr>
          <w:rFonts w:eastAsia="Calibri"/>
          <w:bCs/>
          <w:szCs w:val="22"/>
        </w:rPr>
        <w:t>За да се намали рискът от случайно убождане с игла, всяка предварително напълнена писалка има предпазител за иглата, който автоматично покрива иглата и се заключва, след като сте поставили инжекцията и инжекторът е вдигнат. Не повдигайте предварително напълнената писалка по време на инжектиране, докато инжекцията не приключи.</w:t>
      </w:r>
    </w:p>
    <w:p w14:paraId="109AE742" w14:textId="77777777" w:rsidR="009B3384" w:rsidRDefault="009B3384">
      <w:pPr>
        <w:rPr>
          <w:rFonts w:eastAsia="Calibri"/>
          <w:bCs/>
          <w:szCs w:val="22"/>
        </w:rPr>
      </w:pPr>
    </w:p>
    <w:p w14:paraId="109AE743" w14:textId="77777777" w:rsidR="009B3384" w:rsidRDefault="00800862">
      <w:pPr>
        <w:rPr>
          <w:rFonts w:eastAsia="Calibri"/>
          <w:b/>
          <w:bCs/>
          <w:szCs w:val="22"/>
        </w:rPr>
      </w:pPr>
      <w:r>
        <w:rPr>
          <w:rFonts w:eastAsia="Calibri"/>
          <w:bCs/>
          <w:szCs w:val="22"/>
        </w:rPr>
        <w:lastRenderedPageBreak/>
        <w:t xml:space="preserve">Предпазителят на иглата в долната капачка на предварително напълнената писалка съдържа латекс. </w:t>
      </w:r>
      <w:r>
        <w:rPr>
          <w:rFonts w:eastAsia="Calibri"/>
          <w:b/>
          <w:bCs/>
          <w:szCs w:val="22"/>
        </w:rPr>
        <w:t>Не пипайте предпазителя на иглата, ако сте алергични към латекс.</w:t>
      </w:r>
    </w:p>
    <w:p w14:paraId="109AE744" w14:textId="77777777" w:rsidR="009B3384" w:rsidRDefault="00800862">
      <w:r>
        <w:rPr>
          <w:rFonts w:eastAsia="Calibri"/>
          <w:bCs/>
          <w:szCs w:val="22"/>
        </w:rPr>
        <w:t>Моля, прочетете внимателно и листовката преди да започнете инжектирането и обсъдете всички въпроси, които може да имате, с Вашия лекар или медицинска сестра.</w:t>
      </w:r>
    </w:p>
    <w:p w14:paraId="109AE745" w14:textId="77777777" w:rsidR="009B3384" w:rsidRDefault="009B3384">
      <w:pPr>
        <w:widowControl w:val="0"/>
        <w:tabs>
          <w:tab w:val="clear" w:pos="567"/>
          <w:tab w:val="left" w:pos="216"/>
          <w:tab w:val="left" w:pos="360"/>
          <w:tab w:val="left" w:pos="540"/>
        </w:tabs>
        <w:rPr>
          <w:rFonts w:eastAsia="Calibri"/>
          <w:szCs w:val="22"/>
        </w:rPr>
      </w:pPr>
    </w:p>
    <w:p w14:paraId="109AE746" w14:textId="77777777" w:rsidR="009B3384" w:rsidRDefault="00800862">
      <w:pPr>
        <w:keepNext/>
        <w:tabs>
          <w:tab w:val="clear" w:pos="567"/>
        </w:tabs>
      </w:pPr>
      <w:r>
        <w:rPr>
          <w:noProof/>
          <w:lang w:eastAsia="bg-BG"/>
        </w:rPr>
        <w:drawing>
          <wp:inline distT="0" distB="0" distL="0" distR="0" wp14:anchorId="109AEA3D" wp14:editId="109AEA3E">
            <wp:extent cx="476250" cy="4476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l="-194" t="-208" r="-194" b="-208"/>
                    <a:stretch>
                      <a:fillRect/>
                    </a:stretch>
                  </pic:blipFill>
                  <pic:spPr bwMode="auto">
                    <a:xfrm>
                      <a:off x="0" y="0"/>
                      <a:ext cx="476250" cy="447675"/>
                    </a:xfrm>
                    <a:prstGeom prst="rect">
                      <a:avLst/>
                    </a:prstGeom>
                    <a:solidFill>
                      <a:srgbClr val="FFFFFF"/>
                    </a:solidFill>
                    <a:ln>
                      <a:noFill/>
                    </a:ln>
                  </pic:spPr>
                </pic:pic>
              </a:graphicData>
            </a:graphic>
          </wp:inline>
        </w:drawing>
      </w:r>
      <w:r>
        <w:rPr>
          <w:rFonts w:eastAsia="Calibri"/>
          <w:b/>
          <w:szCs w:val="22"/>
        </w:rPr>
        <w:t>Информация за съхранение</w:t>
      </w:r>
    </w:p>
    <w:p w14:paraId="109AE747" w14:textId="77777777" w:rsidR="009B3384" w:rsidRDefault="00800862">
      <w:pPr>
        <w:widowControl w:val="0"/>
        <w:tabs>
          <w:tab w:val="clear" w:pos="567"/>
          <w:tab w:val="left" w:pos="216"/>
          <w:tab w:val="left" w:pos="360"/>
          <w:tab w:val="left" w:pos="540"/>
        </w:tabs>
        <w:rPr>
          <w:rFonts w:eastAsia="Calibri"/>
          <w:szCs w:val="22"/>
        </w:rPr>
      </w:pPr>
      <w:r>
        <w:rPr>
          <w:rFonts w:eastAsia="Calibri"/>
          <w:szCs w:val="22"/>
        </w:rPr>
        <w:t xml:space="preserve">Съхранявайте в хладилник на температура от 2° до 8°С. Ако е необходимо, съхранявайте на стайна температура до 30°С за период до 30 дни в оригиналната картонена опаковка. </w:t>
      </w:r>
      <w:r>
        <w:rPr>
          <w:rFonts w:eastAsia="Calibri"/>
          <w:b/>
          <w:bCs/>
          <w:szCs w:val="22"/>
        </w:rPr>
        <w:t>Не връщайте в хладилника</w:t>
      </w:r>
      <w:r>
        <w:rPr>
          <w:rFonts w:eastAsia="Calibri"/>
          <w:szCs w:val="22"/>
        </w:rPr>
        <w:t>, след като сте съхранявали на стайна температура.</w:t>
      </w:r>
    </w:p>
    <w:p w14:paraId="109AE748" w14:textId="77777777" w:rsidR="009B3384" w:rsidRDefault="009B3384">
      <w:pPr>
        <w:widowControl w:val="0"/>
        <w:tabs>
          <w:tab w:val="clear" w:pos="567"/>
          <w:tab w:val="left" w:pos="216"/>
          <w:tab w:val="left" w:pos="360"/>
          <w:tab w:val="left" w:pos="540"/>
        </w:tabs>
        <w:rPr>
          <w:rFonts w:eastAsia="Calibri"/>
          <w:szCs w:val="22"/>
        </w:rPr>
      </w:pPr>
    </w:p>
    <w:p w14:paraId="109AE749" w14:textId="77777777" w:rsidR="009B3384" w:rsidRDefault="00800862">
      <w:pPr>
        <w:widowControl w:val="0"/>
        <w:tabs>
          <w:tab w:val="clear" w:pos="567"/>
          <w:tab w:val="left" w:pos="216"/>
          <w:tab w:val="left" w:pos="360"/>
          <w:tab w:val="left" w:pos="540"/>
        </w:tabs>
        <w:rPr>
          <w:rFonts w:eastAsia="Calibri"/>
          <w:szCs w:val="22"/>
        </w:rPr>
      </w:pPr>
      <w:r>
        <w:rPr>
          <w:rFonts w:eastAsia="Calibri"/>
          <w:b/>
          <w:bCs/>
          <w:szCs w:val="22"/>
        </w:rPr>
        <w:t>Не замразявайте</w:t>
      </w:r>
      <w:r>
        <w:rPr>
          <w:rFonts w:eastAsia="Calibri"/>
          <w:szCs w:val="22"/>
        </w:rPr>
        <w:t xml:space="preserve"> предварително напълнената писалка.</w:t>
      </w:r>
    </w:p>
    <w:p w14:paraId="109AE74A" w14:textId="77777777" w:rsidR="009B3384" w:rsidRDefault="009B3384">
      <w:pPr>
        <w:widowControl w:val="0"/>
        <w:tabs>
          <w:tab w:val="clear" w:pos="567"/>
          <w:tab w:val="left" w:pos="216"/>
          <w:tab w:val="left" w:pos="360"/>
          <w:tab w:val="left" w:pos="540"/>
        </w:tabs>
        <w:rPr>
          <w:rFonts w:eastAsia="Calibri"/>
          <w:szCs w:val="22"/>
        </w:rPr>
      </w:pPr>
    </w:p>
    <w:p w14:paraId="109AE74B" w14:textId="77777777" w:rsidR="009B3384" w:rsidRDefault="00800862">
      <w:pPr>
        <w:widowControl w:val="0"/>
        <w:tabs>
          <w:tab w:val="clear" w:pos="567"/>
          <w:tab w:val="left" w:pos="216"/>
          <w:tab w:val="left" w:pos="360"/>
          <w:tab w:val="left" w:pos="540"/>
        </w:tabs>
        <w:rPr>
          <w:rFonts w:eastAsia="Calibri"/>
          <w:b/>
          <w:bCs/>
          <w:szCs w:val="22"/>
        </w:rPr>
      </w:pPr>
      <w:r>
        <w:rPr>
          <w:rFonts w:eastAsia="Calibri"/>
          <w:b/>
          <w:bCs/>
          <w:szCs w:val="22"/>
        </w:rPr>
        <w:t>Съхранявайте предварително напълнената писалка и всички лекарства на място, недостъпно за деца.</w:t>
      </w:r>
    </w:p>
    <w:p w14:paraId="109AE74C" w14:textId="77777777" w:rsidR="009B3384" w:rsidRDefault="009B3384">
      <w:pPr>
        <w:widowControl w:val="0"/>
        <w:tabs>
          <w:tab w:val="clear" w:pos="567"/>
          <w:tab w:val="left" w:pos="216"/>
          <w:tab w:val="left" w:pos="360"/>
          <w:tab w:val="left" w:pos="540"/>
        </w:tabs>
        <w:rPr>
          <w:rFonts w:eastAsia="Calibri"/>
          <w:b/>
          <w:bCs/>
          <w:szCs w:val="22"/>
        </w:rPr>
      </w:pPr>
    </w:p>
    <w:p w14:paraId="109AE74D" w14:textId="77777777" w:rsidR="009B3384" w:rsidRDefault="00800862">
      <w:pPr>
        <w:widowControl w:val="0"/>
        <w:tabs>
          <w:tab w:val="clear" w:pos="567"/>
          <w:tab w:val="left" w:pos="216"/>
          <w:tab w:val="left" w:pos="360"/>
          <w:tab w:val="left" w:pos="540"/>
        </w:tabs>
        <w:rPr>
          <w:rFonts w:eastAsia="Calibri"/>
          <w:szCs w:val="22"/>
        </w:rPr>
      </w:pPr>
      <w:r>
        <w:rPr>
          <w:rFonts w:eastAsia="Calibri"/>
          <w:b/>
          <w:bCs/>
          <w:szCs w:val="22"/>
        </w:rPr>
        <w:t>Не разклащайте</w:t>
      </w:r>
      <w:r>
        <w:rPr>
          <w:rFonts w:eastAsia="Calibri"/>
          <w:szCs w:val="22"/>
        </w:rPr>
        <w:t xml:space="preserve"> предварително напълнената писалка. Разклащането може да повреди лекарството Stelara. Ако предварително напълнената писалка е била разклатена, не я използвайте. Вземете нова предварително напълнена писалка.</w:t>
      </w:r>
    </w:p>
    <w:p w14:paraId="109AE74E" w14:textId="77777777" w:rsidR="009B3384" w:rsidRDefault="009B3384">
      <w:pPr>
        <w:widowControl w:val="0"/>
        <w:tabs>
          <w:tab w:val="clear" w:pos="567"/>
          <w:tab w:val="left" w:pos="216"/>
          <w:tab w:val="left" w:pos="360"/>
          <w:tab w:val="left" w:pos="540"/>
        </w:tabs>
        <w:rPr>
          <w:rFonts w:eastAsia="Calibri"/>
          <w:szCs w:val="22"/>
        </w:rPr>
      </w:pPr>
    </w:p>
    <w:p w14:paraId="109AE74F" w14:textId="77777777" w:rsidR="009B3384" w:rsidRDefault="00800862">
      <w:pPr>
        <w:widowControl w:val="0"/>
        <w:tabs>
          <w:tab w:val="clear" w:pos="567"/>
          <w:tab w:val="left" w:pos="216"/>
          <w:tab w:val="left" w:pos="360"/>
          <w:tab w:val="left" w:pos="540"/>
        </w:tabs>
      </w:pPr>
      <w:r>
        <w:rPr>
          <w:rFonts w:eastAsia="Calibri"/>
          <w:b/>
          <w:bCs/>
          <w:szCs w:val="22"/>
        </w:rPr>
        <w:t>Съхранявайте предварително напълнената писалка в оригиналната картонена опаковка, за да я предпазите от светлина и физическо увреждане.</w:t>
      </w:r>
    </w:p>
    <w:p w14:paraId="109AE750" w14:textId="77777777" w:rsidR="009B3384" w:rsidRDefault="009B3384">
      <w:pPr>
        <w:rPr>
          <w:rFonts w:eastAsia="Calibri"/>
          <w:szCs w:val="22"/>
        </w:rPr>
      </w:pPr>
    </w:p>
    <w:p w14:paraId="109AE751" w14:textId="77777777" w:rsidR="009B3384" w:rsidRDefault="00800862">
      <w:pPr>
        <w:keepNext/>
        <w:widowControl w:val="0"/>
        <w:tabs>
          <w:tab w:val="clear" w:pos="567"/>
          <w:tab w:val="left" w:pos="216"/>
          <w:tab w:val="left" w:pos="360"/>
          <w:tab w:val="left" w:pos="540"/>
        </w:tabs>
      </w:pPr>
      <w:r>
        <w:rPr>
          <w:noProof/>
          <w:lang w:eastAsia="bg-BG"/>
        </w:rPr>
        <w:drawing>
          <wp:inline distT="0" distB="0" distL="0" distR="0" wp14:anchorId="109AEA3F" wp14:editId="109AEA40">
            <wp:extent cx="438150" cy="457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l="-224" t="-214" r="-224" b="-214"/>
                    <a:stretch>
                      <a:fillRect/>
                    </a:stretch>
                  </pic:blipFill>
                  <pic:spPr bwMode="auto">
                    <a:xfrm>
                      <a:off x="0" y="0"/>
                      <a:ext cx="438150" cy="457200"/>
                    </a:xfrm>
                    <a:prstGeom prst="rect">
                      <a:avLst/>
                    </a:prstGeom>
                    <a:solidFill>
                      <a:srgbClr val="FFFFFF"/>
                    </a:solidFill>
                    <a:ln>
                      <a:noFill/>
                    </a:ln>
                  </pic:spPr>
                </pic:pic>
              </a:graphicData>
            </a:graphic>
          </wp:inline>
        </w:drawing>
      </w:r>
      <w:r>
        <w:rPr>
          <w:b/>
          <w:bCs/>
        </w:rPr>
        <w:t>Имате нужда от помощ</w:t>
      </w:r>
      <w:r>
        <w:rPr>
          <w:rFonts w:eastAsia="Calibri"/>
          <w:b/>
          <w:szCs w:val="22"/>
        </w:rPr>
        <w:t>?</w:t>
      </w:r>
    </w:p>
    <w:p w14:paraId="109AE752" w14:textId="77777777" w:rsidR="009B3384" w:rsidRDefault="00800862">
      <w:pPr>
        <w:widowControl w:val="0"/>
        <w:tabs>
          <w:tab w:val="clear" w:pos="567"/>
          <w:tab w:val="left" w:pos="216"/>
          <w:tab w:val="left" w:pos="360"/>
          <w:tab w:val="left" w:pos="540"/>
        </w:tabs>
      </w:pPr>
      <w:r>
        <w:rPr>
          <w:rFonts w:eastAsia="Calibri"/>
          <w:szCs w:val="22"/>
        </w:rPr>
        <w:t>Обадете се на Вашия лекар, за да обсъдите всички въпроси, които може да имате. За допълнителна помощ или за да споделите мнението си, вижте листовката за информация за контакт с локалния представител.</w:t>
      </w:r>
    </w:p>
    <w:p w14:paraId="109AE753" w14:textId="77777777" w:rsidR="009B3384" w:rsidRDefault="00800862">
      <w:pPr>
        <w:tabs>
          <w:tab w:val="clear" w:pos="567"/>
        </w:tabs>
        <w:rPr>
          <w:rFonts w:eastAsia="Calibri"/>
          <w:szCs w:val="22"/>
          <w:highlight w:val="yellow"/>
        </w:rPr>
      </w:pPr>
      <w:r>
        <w:rPr>
          <w:rFonts w:eastAsia="Calibri"/>
          <w:szCs w:val="22"/>
          <w:highlight w:val="yellow"/>
        </w:rPr>
        <w:br w:type="page"/>
      </w:r>
    </w:p>
    <w:p w14:paraId="109AE754" w14:textId="77777777" w:rsidR="009B3384" w:rsidRDefault="009B3384">
      <w:pPr>
        <w:pageBreakBefore/>
        <w:rPr>
          <w:rFonts w:eastAsia="Calibri"/>
          <w:szCs w:val="22"/>
          <w:highlight w:val="yellow"/>
        </w:rPr>
      </w:pPr>
    </w:p>
    <w:p w14:paraId="109AE755" w14:textId="24D60CC5" w:rsidR="009B3384" w:rsidRDefault="00800862">
      <w:r>
        <w:rPr>
          <w:noProof/>
        </w:rPr>
        <w:t xml:space="preserve"> </w:t>
      </w:r>
      <w:del w:id="1415" w:author="RABG09" w:date="2026-06-25T10:49:00Z">
        <w:r w:rsidDel="00FE4BEC">
          <w:rPr>
            <w:noProof/>
            <w:lang w:eastAsia="bg-BG"/>
          </w:rPr>
          <w:drawing>
            <wp:inline distT="0" distB="0" distL="0" distR="0" wp14:anchorId="109AEA43" wp14:editId="46809080">
              <wp:extent cx="2978303" cy="3854648"/>
              <wp:effectExtent l="0" t="0" r="0" b="0"/>
              <wp:docPr id="24069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96764" name=""/>
                      <pic:cNvPicPr/>
                    </pic:nvPicPr>
                    <pic:blipFill>
                      <a:blip r:embed="rId33"/>
                      <a:stretch>
                        <a:fillRect/>
                      </a:stretch>
                    </pic:blipFill>
                    <pic:spPr>
                      <a:xfrm>
                        <a:off x="0" y="0"/>
                        <a:ext cx="2978303" cy="3854648"/>
                      </a:xfrm>
                      <a:prstGeom prst="rect">
                        <a:avLst/>
                      </a:prstGeom>
                    </pic:spPr>
                  </pic:pic>
                </a:graphicData>
              </a:graphic>
            </wp:inline>
          </w:drawing>
        </w:r>
      </w:del>
      <w:ins w:id="1416" w:author="RABG09" w:date="2026-06-25T10:50:00Z">
        <w:r w:rsidR="00FE4BEC" w:rsidRPr="00FE4BEC">
          <w:rPr>
            <w:noProof/>
          </w:rPr>
          <w:t xml:space="preserve"> </w:t>
        </w:r>
        <w:r w:rsidR="00FE4BEC" w:rsidRPr="00FE4BEC">
          <w:rPr>
            <w:noProof/>
            <w:lang w:eastAsia="bg-BG"/>
          </w:rPr>
          <w:drawing>
            <wp:inline distT="0" distB="0" distL="0" distR="0" wp14:anchorId="6B5014F5" wp14:editId="1F7A1601">
              <wp:extent cx="3379304" cy="4518227"/>
              <wp:effectExtent l="0" t="0" r="0" b="0"/>
              <wp:docPr id="35496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6126" name=""/>
                      <pic:cNvPicPr/>
                    </pic:nvPicPr>
                    <pic:blipFill>
                      <a:blip r:embed="rId34"/>
                      <a:stretch>
                        <a:fillRect/>
                      </a:stretch>
                    </pic:blipFill>
                    <pic:spPr>
                      <a:xfrm>
                        <a:off x="0" y="0"/>
                        <a:ext cx="3391066" cy="4533953"/>
                      </a:xfrm>
                      <a:prstGeom prst="rect">
                        <a:avLst/>
                      </a:prstGeom>
                    </pic:spPr>
                  </pic:pic>
                </a:graphicData>
              </a:graphic>
            </wp:inline>
          </w:drawing>
        </w:r>
      </w:ins>
    </w:p>
    <w:p w14:paraId="109AE756" w14:textId="77777777" w:rsidR="009B3384" w:rsidRDefault="009B3384">
      <w:pPr>
        <w:rPr>
          <w:rFonts w:eastAsia="Calibri"/>
          <w:szCs w:val="22"/>
          <w:highlight w:val="yellow"/>
          <w:lang w:val="en-US"/>
        </w:rPr>
      </w:pPr>
    </w:p>
    <w:p w14:paraId="109AE757" w14:textId="77777777" w:rsidR="009B3384" w:rsidRPr="00BC6A43" w:rsidRDefault="00800862" w:rsidP="00BC6A43">
      <w:pPr>
        <w:rPr>
          <w:b/>
          <w:bCs/>
          <w:noProof/>
          <w:szCs w:val="22"/>
          <w:lang w:val="en-GB"/>
        </w:rPr>
      </w:pPr>
      <w:r w:rsidRPr="00BC6A43">
        <w:rPr>
          <w:b/>
          <w:bCs/>
          <w:noProof/>
          <w:szCs w:val="22"/>
          <w:lang w:val="en-GB"/>
        </w:rPr>
        <w:t>1. Подготовка на Stelara за инжектиране</w:t>
      </w:r>
    </w:p>
    <w:p w14:paraId="109AE758" w14:textId="77777777" w:rsidR="009B3384" w:rsidRDefault="009B3384">
      <w:pPr>
        <w:tabs>
          <w:tab w:val="clear" w:pos="567"/>
        </w:tabs>
        <w:rPr>
          <w:rFonts w:eastAsia="Calibri"/>
          <w:szCs w:val="22"/>
          <w:highlight w:val="yellow"/>
          <w:lang w:val="en-US"/>
        </w:rPr>
      </w:pPr>
    </w:p>
    <w:p w14:paraId="109AE759" w14:textId="77777777" w:rsidR="009B3384" w:rsidRDefault="00800862">
      <w:pPr>
        <w:keepNext/>
        <w:keepLines/>
        <w:tabs>
          <w:tab w:val="left" w:pos="1080"/>
        </w:tabs>
        <w:rPr>
          <w:szCs w:val="22"/>
          <w:highlight w:val="yellow"/>
        </w:rPr>
      </w:pPr>
      <w:r>
        <w:rPr>
          <w:noProof/>
          <w:lang w:eastAsia="bg-BG"/>
        </w:rPr>
        <w:lastRenderedPageBreak/>
        <w:drawing>
          <wp:inline distT="0" distB="0" distL="0" distR="0" wp14:anchorId="109AEA45" wp14:editId="109AEA46">
            <wp:extent cx="2110251" cy="1876425"/>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18981" cy="1884187"/>
                    </a:xfrm>
                    <a:prstGeom prst="rect">
                      <a:avLst/>
                    </a:prstGeom>
                  </pic:spPr>
                </pic:pic>
              </a:graphicData>
            </a:graphic>
          </wp:inline>
        </w:drawing>
      </w:r>
    </w:p>
    <w:p w14:paraId="109AE75A" w14:textId="77777777" w:rsidR="009B3384" w:rsidRDefault="009B3384">
      <w:pPr>
        <w:rPr>
          <w:szCs w:val="22"/>
          <w:highlight w:val="yellow"/>
        </w:rPr>
      </w:pPr>
    </w:p>
    <w:p w14:paraId="109AE75B" w14:textId="77777777" w:rsidR="009B3384" w:rsidRDefault="00800862">
      <w:pPr>
        <w:keepNext/>
        <w:tabs>
          <w:tab w:val="clear" w:pos="567"/>
        </w:tabs>
      </w:pPr>
      <w:r>
        <w:rPr>
          <w:rFonts w:eastAsia="Calibri"/>
          <w:b/>
          <w:bCs/>
          <w:szCs w:val="22"/>
        </w:rPr>
        <w:t>Вземете картонената(ите) опаковка(и)</w:t>
      </w:r>
    </w:p>
    <w:p w14:paraId="109AE75C" w14:textId="77777777" w:rsidR="009B3384" w:rsidRDefault="00800862">
      <w:pPr>
        <w:widowControl w:val="0"/>
        <w:tabs>
          <w:tab w:val="clear" w:pos="567"/>
          <w:tab w:val="left" w:pos="216"/>
          <w:tab w:val="left" w:pos="360"/>
          <w:tab w:val="left" w:pos="540"/>
        </w:tabs>
        <w:rPr>
          <w:szCs w:val="22"/>
        </w:rPr>
      </w:pPr>
      <w:r>
        <w:rPr>
          <w:szCs w:val="22"/>
        </w:rPr>
        <w:t>Ако е(са) съхранявана(и) в хладилник, извадете картонената(ите) опаковка(и) с предварително напълнената писалка от хладилника и я(ги) поставете на равна повърхност.</w:t>
      </w:r>
    </w:p>
    <w:p w14:paraId="109AE75D" w14:textId="77777777" w:rsidR="009B3384" w:rsidRDefault="00800862">
      <w:pPr>
        <w:widowControl w:val="0"/>
        <w:tabs>
          <w:tab w:val="clear" w:pos="567"/>
          <w:tab w:val="left" w:pos="216"/>
          <w:tab w:val="left" w:pos="360"/>
          <w:tab w:val="left" w:pos="540"/>
        </w:tabs>
        <w:rPr>
          <w:szCs w:val="22"/>
        </w:rPr>
      </w:pPr>
      <w:r>
        <w:rPr>
          <w:szCs w:val="22"/>
        </w:rPr>
        <w:t xml:space="preserve">Оставете </w:t>
      </w:r>
      <w:r>
        <w:rPr>
          <w:b/>
          <w:bCs/>
          <w:szCs w:val="22"/>
        </w:rPr>
        <w:t>на стайна температура за най-малко 30 минути</w:t>
      </w:r>
      <w:r>
        <w:rPr>
          <w:szCs w:val="22"/>
        </w:rPr>
        <w:t xml:space="preserve"> преди употреба.</w:t>
      </w:r>
    </w:p>
    <w:p w14:paraId="109AE75E" w14:textId="77777777" w:rsidR="009B3384" w:rsidRDefault="00800862">
      <w:pPr>
        <w:widowControl w:val="0"/>
        <w:tabs>
          <w:tab w:val="clear" w:pos="567"/>
          <w:tab w:val="left" w:pos="216"/>
          <w:tab w:val="left" w:pos="360"/>
          <w:tab w:val="left" w:pos="540"/>
        </w:tabs>
        <w:rPr>
          <w:szCs w:val="22"/>
        </w:rPr>
      </w:pPr>
      <w:r>
        <w:rPr>
          <w:b/>
          <w:bCs/>
          <w:szCs w:val="22"/>
        </w:rPr>
        <w:t>Не</w:t>
      </w:r>
      <w:r>
        <w:rPr>
          <w:szCs w:val="22"/>
        </w:rPr>
        <w:t xml:space="preserve"> затопляйте по никакъв друг начин.</w:t>
      </w:r>
    </w:p>
    <w:p w14:paraId="109AE75F" w14:textId="77777777" w:rsidR="009B3384" w:rsidRDefault="009B3384">
      <w:pPr>
        <w:widowControl w:val="0"/>
        <w:tabs>
          <w:tab w:val="clear" w:pos="567"/>
          <w:tab w:val="left" w:pos="216"/>
          <w:tab w:val="left" w:pos="360"/>
          <w:tab w:val="left" w:pos="540"/>
        </w:tabs>
      </w:pPr>
    </w:p>
    <w:p w14:paraId="109AE760" w14:textId="77777777" w:rsidR="009B3384" w:rsidRDefault="00800862" w:rsidP="00BC6A43">
      <w:pPr>
        <w:pBdr>
          <w:top w:val="single" w:sz="12" w:space="1" w:color="000000"/>
          <w:left w:val="single" w:sz="12" w:space="4" w:color="000000"/>
          <w:bottom w:val="single" w:sz="12" w:space="1" w:color="000000"/>
          <w:right w:val="single" w:sz="12" w:space="4" w:color="000000"/>
        </w:pBdr>
        <w:rPr>
          <w:szCs w:val="22"/>
        </w:rPr>
      </w:pPr>
      <w:r>
        <w:rPr>
          <w:szCs w:val="22"/>
        </w:rPr>
        <w:t>Ако Вашата доза е 45 mg, ще получите една предварително напълнена писалка от 45 mg.</w:t>
      </w:r>
    </w:p>
    <w:p w14:paraId="109AE761" w14:textId="77777777" w:rsidR="009B3384" w:rsidRDefault="00800862" w:rsidP="00BC6A43">
      <w:pPr>
        <w:pBdr>
          <w:top w:val="single" w:sz="12" w:space="1" w:color="000000"/>
          <w:left w:val="single" w:sz="12" w:space="4" w:color="000000"/>
          <w:bottom w:val="single" w:sz="12" w:space="1" w:color="000000"/>
          <w:right w:val="single" w:sz="12" w:space="4" w:color="000000"/>
        </w:pBdr>
      </w:pPr>
      <w:r>
        <w:rPr>
          <w:szCs w:val="22"/>
        </w:rPr>
        <w:t>Ако дозата Ви е 90 mg, ще получите една от 90 mg или две от 45 mg предварително напълнени писалки. Ако получите две предварително напълнени писалки от 45 mg, следвайте Стъпки 1-3 и за двете инжекции.</w:t>
      </w:r>
    </w:p>
    <w:p w14:paraId="109AE762" w14:textId="77777777" w:rsidR="009B3384" w:rsidRDefault="00800862" w:rsidP="00BC6A43">
      <w:pPr>
        <w:pBdr>
          <w:top w:val="single" w:sz="12" w:space="1" w:color="000000"/>
          <w:left w:val="single" w:sz="12" w:space="4" w:color="000000"/>
          <w:bottom w:val="single" w:sz="12" w:space="1" w:color="000000"/>
          <w:right w:val="single" w:sz="12" w:space="4" w:color="000000"/>
        </w:pBdr>
      </w:pPr>
      <w:r>
        <w:rPr>
          <w:b/>
          <w:bCs/>
          <w:szCs w:val="22"/>
        </w:rPr>
        <w:t>Изберете различно място за инжектиране на втората инжекция.</w:t>
      </w:r>
    </w:p>
    <w:p w14:paraId="109AE763" w14:textId="77777777" w:rsidR="009B3384" w:rsidRDefault="009B3384">
      <w:pPr>
        <w:rPr>
          <w:b/>
          <w:bCs/>
          <w:szCs w:val="22"/>
        </w:rPr>
      </w:pPr>
    </w:p>
    <w:p w14:paraId="109AE764" w14:textId="77777777" w:rsidR="009B3384" w:rsidRDefault="00800862">
      <w:pPr>
        <w:widowControl w:val="0"/>
        <w:tabs>
          <w:tab w:val="clear" w:pos="567"/>
          <w:tab w:val="left" w:pos="216"/>
          <w:tab w:val="left" w:pos="360"/>
          <w:tab w:val="left" w:pos="540"/>
        </w:tabs>
        <w:rPr>
          <w:rFonts w:eastAsia="Calibri"/>
          <w:szCs w:val="22"/>
          <w:highlight w:val="yellow"/>
        </w:rPr>
      </w:pPr>
      <w:r>
        <w:rPr>
          <w:noProof/>
          <w:lang w:eastAsia="bg-BG"/>
        </w:rPr>
        <w:drawing>
          <wp:inline distT="0" distB="0" distL="0" distR="0" wp14:anchorId="109AEA47" wp14:editId="109AEA48">
            <wp:extent cx="2105025" cy="184856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14418" cy="1856817"/>
                    </a:xfrm>
                    <a:prstGeom prst="rect">
                      <a:avLst/>
                    </a:prstGeom>
                  </pic:spPr>
                </pic:pic>
              </a:graphicData>
            </a:graphic>
          </wp:inline>
        </w:drawing>
      </w:r>
    </w:p>
    <w:p w14:paraId="109AE765" w14:textId="77777777" w:rsidR="009B3384" w:rsidRDefault="009B3384">
      <w:pPr>
        <w:rPr>
          <w:rFonts w:eastAsia="Calibri"/>
          <w:szCs w:val="22"/>
          <w:highlight w:val="yellow"/>
        </w:rPr>
      </w:pPr>
    </w:p>
    <w:p w14:paraId="109AE766" w14:textId="77777777" w:rsidR="009B3384" w:rsidRDefault="00800862">
      <w:pPr>
        <w:rPr>
          <w:rFonts w:eastAsia="Calibri"/>
          <w:b/>
          <w:bCs/>
          <w:szCs w:val="22"/>
        </w:rPr>
      </w:pPr>
      <w:r>
        <w:rPr>
          <w:rFonts w:eastAsia="Calibri"/>
          <w:b/>
          <w:bCs/>
          <w:szCs w:val="22"/>
        </w:rPr>
        <w:t>Проверете датата на изтичане на срока на годност („Годен до:“) и запечатването на картонената(ите) опаковка(и)</w:t>
      </w:r>
    </w:p>
    <w:p w14:paraId="109AE767" w14:textId="77777777" w:rsidR="009B3384" w:rsidRDefault="00800862">
      <w:pPr>
        <w:rPr>
          <w:rFonts w:eastAsia="Calibri"/>
          <w:szCs w:val="22"/>
        </w:rPr>
      </w:pPr>
      <w:r>
        <w:rPr>
          <w:rFonts w:eastAsia="Calibri"/>
          <w:b/>
          <w:bCs/>
          <w:szCs w:val="22"/>
        </w:rPr>
        <w:t>Не</w:t>
      </w:r>
      <w:r>
        <w:rPr>
          <w:rFonts w:eastAsia="Calibri"/>
          <w:szCs w:val="22"/>
        </w:rPr>
        <w:t xml:space="preserve"> използвайте предварително напълнената писалка, ако запечатването на картонената опаковка е нарушено или ако срокът на годност е изтекъл.</w:t>
      </w:r>
    </w:p>
    <w:p w14:paraId="109AE768" w14:textId="77777777" w:rsidR="009B3384" w:rsidRDefault="00800862">
      <w:r>
        <w:rPr>
          <w:rFonts w:eastAsia="Calibri"/>
          <w:b/>
          <w:bCs/>
          <w:szCs w:val="22"/>
        </w:rPr>
        <w:t>Не</w:t>
      </w:r>
      <w:r>
        <w:rPr>
          <w:rFonts w:eastAsia="Calibri"/>
          <w:szCs w:val="22"/>
        </w:rPr>
        <w:t xml:space="preserve"> използвайте предварително напълнената писалка, ако е била съхранявана на стайна температура за повече от 30 дни или ако е била съхранявана на температура над 30°С. Обадете се на Вашия лекар или фармацевт за нова предварително напълнена писалка.</w:t>
      </w:r>
    </w:p>
    <w:p w14:paraId="109AE769" w14:textId="77777777" w:rsidR="009B3384" w:rsidRDefault="009B3384">
      <w:pPr>
        <w:rPr>
          <w:rFonts w:eastAsia="Calibri"/>
          <w:szCs w:val="22"/>
        </w:rPr>
      </w:pPr>
    </w:p>
    <w:p w14:paraId="109AE76A" w14:textId="77777777" w:rsidR="009B3384" w:rsidRDefault="00800862">
      <w:pPr>
        <w:widowControl w:val="0"/>
        <w:tabs>
          <w:tab w:val="clear" w:pos="567"/>
          <w:tab w:val="left" w:pos="216"/>
          <w:tab w:val="left" w:pos="360"/>
          <w:tab w:val="left" w:pos="540"/>
        </w:tabs>
        <w:rPr>
          <w:rFonts w:eastAsia="Calibri"/>
          <w:szCs w:val="22"/>
          <w:highlight w:val="yellow"/>
          <w:lang w:val="en-US"/>
        </w:rPr>
      </w:pPr>
      <w:r>
        <w:rPr>
          <w:noProof/>
          <w:lang w:eastAsia="bg-BG"/>
        </w:rPr>
        <w:drawing>
          <wp:inline distT="0" distB="0" distL="0" distR="0" wp14:anchorId="109AEA49" wp14:editId="109AEA4A">
            <wp:extent cx="1866900" cy="18764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l="-8" t="-9" r="-8" b="-9"/>
                    <a:stretch>
                      <a:fillRect/>
                    </a:stretch>
                  </pic:blipFill>
                  <pic:spPr bwMode="auto">
                    <a:xfrm>
                      <a:off x="0" y="0"/>
                      <a:ext cx="1866900" cy="1876425"/>
                    </a:xfrm>
                    <a:prstGeom prst="rect">
                      <a:avLst/>
                    </a:prstGeom>
                    <a:solidFill>
                      <a:srgbClr val="FFFFFF"/>
                    </a:solidFill>
                    <a:ln>
                      <a:noFill/>
                    </a:ln>
                  </pic:spPr>
                </pic:pic>
              </a:graphicData>
            </a:graphic>
          </wp:inline>
        </w:drawing>
      </w:r>
    </w:p>
    <w:p w14:paraId="109AE76B" w14:textId="77777777" w:rsidR="009B3384" w:rsidRDefault="009B3384">
      <w:pPr>
        <w:rPr>
          <w:rFonts w:eastAsia="Calibri"/>
          <w:szCs w:val="22"/>
          <w:highlight w:val="yellow"/>
        </w:rPr>
      </w:pPr>
    </w:p>
    <w:p w14:paraId="109AE76C" w14:textId="77777777" w:rsidR="009B3384" w:rsidRDefault="00800862">
      <w:pPr>
        <w:rPr>
          <w:rFonts w:eastAsia="Calibri"/>
          <w:b/>
          <w:bCs/>
          <w:szCs w:val="22"/>
        </w:rPr>
      </w:pPr>
      <w:r>
        <w:rPr>
          <w:rFonts w:eastAsia="Calibri"/>
          <w:b/>
          <w:bCs/>
          <w:szCs w:val="22"/>
        </w:rPr>
        <w:t>Изберете място за инжектиране</w:t>
      </w:r>
    </w:p>
    <w:p w14:paraId="109AE76D" w14:textId="77777777" w:rsidR="009B3384" w:rsidRDefault="00800862">
      <w:r>
        <w:rPr>
          <w:rFonts w:eastAsia="Calibri"/>
          <w:szCs w:val="22"/>
        </w:rPr>
        <w:t>Изберете един от следните участъци за инжектиране:</w:t>
      </w:r>
    </w:p>
    <w:p w14:paraId="109AE76E" w14:textId="77777777" w:rsidR="009B3384" w:rsidRDefault="00800862">
      <w:pPr>
        <w:widowControl w:val="0"/>
        <w:numPr>
          <w:ilvl w:val="0"/>
          <w:numId w:val="30"/>
        </w:numPr>
      </w:pPr>
      <w:r>
        <w:rPr>
          <w:rFonts w:eastAsia="Calibri"/>
          <w:szCs w:val="22"/>
        </w:rPr>
        <w:t>Предната част на бедрата</w:t>
      </w:r>
    </w:p>
    <w:p w14:paraId="109AE76F" w14:textId="77777777" w:rsidR="009B3384" w:rsidRDefault="00800862">
      <w:pPr>
        <w:widowControl w:val="0"/>
        <w:numPr>
          <w:ilvl w:val="0"/>
          <w:numId w:val="30"/>
        </w:numPr>
      </w:pPr>
      <w:r>
        <w:rPr>
          <w:rFonts w:eastAsia="Calibri"/>
          <w:szCs w:val="22"/>
        </w:rPr>
        <w:t>Долната част на корема, с изключение на 5-сантиметровата зона точно около пъпа</w:t>
      </w:r>
    </w:p>
    <w:p w14:paraId="109AE770" w14:textId="77777777" w:rsidR="009B3384" w:rsidRDefault="009B3384"/>
    <w:p w14:paraId="109AE771" w14:textId="77777777" w:rsidR="009B3384" w:rsidRDefault="00800862">
      <w:pPr>
        <w:widowControl w:val="0"/>
      </w:pPr>
      <w:r>
        <w:rPr>
          <w:rFonts w:eastAsia="Calibri"/>
          <w:szCs w:val="22"/>
        </w:rPr>
        <w:t>Ако някой друг Ви поставя инжекцията, може да използва също:</w:t>
      </w:r>
    </w:p>
    <w:p w14:paraId="109AE772" w14:textId="77777777" w:rsidR="009B3384" w:rsidRDefault="00800862">
      <w:pPr>
        <w:widowControl w:val="0"/>
        <w:numPr>
          <w:ilvl w:val="0"/>
          <w:numId w:val="30"/>
        </w:numPr>
      </w:pPr>
      <w:r>
        <w:rPr>
          <w:rFonts w:eastAsia="Calibri"/>
          <w:bCs/>
          <w:szCs w:val="22"/>
        </w:rPr>
        <w:t xml:space="preserve"> задната част на мишниците</w:t>
      </w:r>
    </w:p>
    <w:p w14:paraId="109AE773" w14:textId="77777777" w:rsidR="009B3384" w:rsidRDefault="009B3384">
      <w:pPr>
        <w:rPr>
          <w:rFonts w:eastAsia="Calibri"/>
          <w:szCs w:val="22"/>
        </w:rPr>
      </w:pPr>
    </w:p>
    <w:p w14:paraId="109AE774" w14:textId="77777777" w:rsidR="009B3384" w:rsidRDefault="00800862">
      <w:pPr>
        <w:widowControl w:val="0"/>
        <w:tabs>
          <w:tab w:val="clear" w:pos="567"/>
          <w:tab w:val="left" w:pos="216"/>
          <w:tab w:val="left" w:pos="360"/>
          <w:tab w:val="left" w:pos="540"/>
        </w:tabs>
        <w:rPr>
          <w:rFonts w:eastAsia="Calibri"/>
          <w:szCs w:val="22"/>
        </w:rPr>
      </w:pPr>
      <w:r>
        <w:rPr>
          <w:rFonts w:eastAsia="Calibri"/>
          <w:b/>
          <w:bCs/>
          <w:szCs w:val="22"/>
        </w:rPr>
        <w:t>Не</w:t>
      </w:r>
      <w:r>
        <w:rPr>
          <w:rFonts w:eastAsia="Calibri"/>
          <w:szCs w:val="22"/>
        </w:rPr>
        <w:t xml:space="preserve"> инжектирайте в кожа, която е чувствителна, насинена, зачервена или втвърдена.</w:t>
      </w:r>
    </w:p>
    <w:p w14:paraId="109AE775" w14:textId="77777777" w:rsidR="009B3384" w:rsidRDefault="009B3384">
      <w:pPr>
        <w:widowControl w:val="0"/>
        <w:tabs>
          <w:tab w:val="clear" w:pos="567"/>
          <w:tab w:val="left" w:pos="216"/>
          <w:tab w:val="left" w:pos="360"/>
          <w:tab w:val="left" w:pos="540"/>
        </w:tabs>
      </w:pPr>
    </w:p>
    <w:p w14:paraId="109AE776"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b/>
          <w:bCs/>
        </w:rPr>
      </w:pPr>
      <w:r>
        <w:rPr>
          <w:rFonts w:eastAsia="Calibri"/>
          <w:b/>
          <w:bCs/>
          <w:szCs w:val="22"/>
        </w:rPr>
        <w:t>Използвайте различно място за инжектиране при всяко инжектиране.</w:t>
      </w:r>
    </w:p>
    <w:p w14:paraId="109AE777" w14:textId="77777777" w:rsidR="009B3384" w:rsidRDefault="009B3384">
      <w:pPr>
        <w:keepNext/>
        <w:rPr>
          <w:rFonts w:eastAsia="Calibri"/>
          <w:szCs w:val="22"/>
        </w:rPr>
      </w:pPr>
    </w:p>
    <w:p w14:paraId="109AE778" w14:textId="77777777" w:rsidR="009B3384" w:rsidRDefault="00800862">
      <w:pPr>
        <w:widowControl w:val="0"/>
        <w:tabs>
          <w:tab w:val="clear" w:pos="567"/>
          <w:tab w:val="left" w:pos="216"/>
          <w:tab w:val="left" w:pos="360"/>
          <w:tab w:val="left" w:pos="540"/>
        </w:tabs>
        <w:rPr>
          <w:rFonts w:eastAsia="Calibri"/>
          <w:szCs w:val="22"/>
          <w:highlight w:val="yellow"/>
        </w:rPr>
      </w:pPr>
      <w:r>
        <w:rPr>
          <w:noProof/>
          <w:lang w:eastAsia="bg-BG"/>
        </w:rPr>
        <w:drawing>
          <wp:inline distT="0" distB="0" distL="0" distR="0" wp14:anchorId="109AEA4B" wp14:editId="109AEA4C">
            <wp:extent cx="1876425" cy="18764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l="-11" t="-11" r="-11" b="-11"/>
                    <a:stretch>
                      <a:fillRect/>
                    </a:stretch>
                  </pic:blipFill>
                  <pic:spPr bwMode="auto">
                    <a:xfrm>
                      <a:off x="0" y="0"/>
                      <a:ext cx="1876425" cy="1876425"/>
                    </a:xfrm>
                    <a:prstGeom prst="rect">
                      <a:avLst/>
                    </a:prstGeom>
                    <a:solidFill>
                      <a:srgbClr val="FFFFFF"/>
                    </a:solidFill>
                    <a:ln>
                      <a:noFill/>
                    </a:ln>
                  </pic:spPr>
                </pic:pic>
              </a:graphicData>
            </a:graphic>
          </wp:inline>
        </w:drawing>
      </w:r>
    </w:p>
    <w:p w14:paraId="109AE779" w14:textId="77777777" w:rsidR="009B3384" w:rsidRDefault="009B3384">
      <w:pPr>
        <w:rPr>
          <w:rFonts w:eastAsia="Calibri"/>
          <w:szCs w:val="22"/>
          <w:highlight w:val="yellow"/>
        </w:rPr>
      </w:pPr>
    </w:p>
    <w:p w14:paraId="109AE77A" w14:textId="77777777" w:rsidR="009B3384" w:rsidRDefault="00800862">
      <w:pPr>
        <w:keepNext/>
        <w:tabs>
          <w:tab w:val="clear" w:pos="567"/>
        </w:tabs>
        <w:rPr>
          <w:rFonts w:eastAsia="Calibri"/>
          <w:b/>
          <w:bCs/>
          <w:szCs w:val="22"/>
        </w:rPr>
      </w:pPr>
      <w:r>
        <w:rPr>
          <w:rFonts w:eastAsia="Calibri"/>
          <w:b/>
          <w:bCs/>
          <w:szCs w:val="22"/>
        </w:rPr>
        <w:t>Измийте ръцете си</w:t>
      </w:r>
    </w:p>
    <w:p w14:paraId="109AE77B" w14:textId="77777777" w:rsidR="009B3384" w:rsidRDefault="00800862">
      <w:pPr>
        <w:tabs>
          <w:tab w:val="clear" w:pos="567"/>
        </w:tabs>
        <w:rPr>
          <w:rFonts w:eastAsia="Calibri"/>
          <w:szCs w:val="22"/>
        </w:rPr>
      </w:pPr>
      <w:r>
        <w:rPr>
          <w:rFonts w:eastAsia="Calibri"/>
          <w:szCs w:val="22"/>
        </w:rPr>
        <w:t>Измийте добре ръцете си със сапун и топла вода.</w:t>
      </w:r>
    </w:p>
    <w:p w14:paraId="109AE77C" w14:textId="77777777" w:rsidR="009B3384" w:rsidRDefault="009B3384">
      <w:pPr>
        <w:tabs>
          <w:tab w:val="clear" w:pos="567"/>
        </w:tabs>
        <w:rPr>
          <w:rFonts w:eastAsia="Calibri"/>
          <w:szCs w:val="22"/>
        </w:rPr>
      </w:pPr>
    </w:p>
    <w:p w14:paraId="109AE77D" w14:textId="77777777" w:rsidR="009B3384" w:rsidRDefault="00800862">
      <w:pPr>
        <w:tabs>
          <w:tab w:val="clear" w:pos="567"/>
        </w:tabs>
        <w:rPr>
          <w:rFonts w:eastAsia="Calibri"/>
          <w:b/>
          <w:bCs/>
          <w:szCs w:val="22"/>
        </w:rPr>
      </w:pPr>
      <w:r>
        <w:rPr>
          <w:rFonts w:eastAsia="Calibri"/>
          <w:b/>
          <w:bCs/>
          <w:szCs w:val="22"/>
        </w:rPr>
        <w:t>Почистете мястото на инжектиране</w:t>
      </w:r>
    </w:p>
    <w:p w14:paraId="109AE77E" w14:textId="77777777" w:rsidR="009B3384" w:rsidRDefault="00800862">
      <w:pPr>
        <w:tabs>
          <w:tab w:val="clear" w:pos="567"/>
        </w:tabs>
        <w:rPr>
          <w:rFonts w:eastAsia="Calibri"/>
          <w:szCs w:val="22"/>
        </w:rPr>
      </w:pPr>
      <w:r>
        <w:rPr>
          <w:rFonts w:eastAsia="Calibri"/>
          <w:szCs w:val="22"/>
        </w:rPr>
        <w:t>Избършете избраното от Вас място за инжектиране с тампон със спирт и го оставете да изсъхне.</w:t>
      </w:r>
    </w:p>
    <w:p w14:paraId="109AE77F" w14:textId="77777777" w:rsidR="009B3384" w:rsidRDefault="00800862">
      <w:pPr>
        <w:tabs>
          <w:tab w:val="clear" w:pos="567"/>
        </w:tabs>
      </w:pPr>
      <w:r>
        <w:rPr>
          <w:rFonts w:eastAsia="Calibri"/>
          <w:b/>
          <w:bCs/>
          <w:szCs w:val="22"/>
        </w:rPr>
        <w:t>Не</w:t>
      </w:r>
      <w:r>
        <w:rPr>
          <w:rFonts w:eastAsia="Calibri"/>
          <w:szCs w:val="22"/>
        </w:rPr>
        <w:t xml:space="preserve"> докосвайте, не вейте и не духайте върху мястото на инжектиране, след като сте го почистили.</w:t>
      </w:r>
    </w:p>
    <w:p w14:paraId="109AE780" w14:textId="77777777" w:rsidR="009B3384" w:rsidRDefault="009B3384">
      <w:pPr>
        <w:tabs>
          <w:tab w:val="clear" w:pos="567"/>
        </w:tabs>
        <w:rPr>
          <w:rFonts w:eastAsia="Calibri"/>
          <w:szCs w:val="22"/>
          <w:highlight w:val="yellow"/>
        </w:rPr>
      </w:pPr>
    </w:p>
    <w:p w14:paraId="109AE781" w14:textId="77777777" w:rsidR="009B3384" w:rsidRDefault="00800862">
      <w:pPr>
        <w:tabs>
          <w:tab w:val="clear" w:pos="567"/>
        </w:tabs>
        <w:rPr>
          <w:rFonts w:eastAsia="Calibri"/>
          <w:szCs w:val="22"/>
          <w:highlight w:val="yellow"/>
          <w:lang w:val="en-US"/>
        </w:rPr>
      </w:pPr>
      <w:r>
        <w:rPr>
          <w:noProof/>
          <w:lang w:eastAsia="bg-BG"/>
        </w:rPr>
        <w:drawing>
          <wp:inline distT="0" distB="0" distL="0" distR="0" wp14:anchorId="109AEA4D" wp14:editId="109AEA4E">
            <wp:extent cx="1876425" cy="187642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l="-23" t="-26" r="-23" b="-26"/>
                    <a:stretch>
                      <a:fillRect/>
                    </a:stretch>
                  </pic:blipFill>
                  <pic:spPr bwMode="auto">
                    <a:xfrm>
                      <a:off x="0" y="0"/>
                      <a:ext cx="1876425" cy="1876425"/>
                    </a:xfrm>
                    <a:prstGeom prst="rect">
                      <a:avLst/>
                    </a:prstGeom>
                    <a:solidFill>
                      <a:srgbClr val="FFFFFF"/>
                    </a:solidFill>
                    <a:ln>
                      <a:noFill/>
                    </a:ln>
                  </pic:spPr>
                </pic:pic>
              </a:graphicData>
            </a:graphic>
          </wp:inline>
        </w:drawing>
      </w:r>
    </w:p>
    <w:p w14:paraId="109AE782" w14:textId="77777777" w:rsidR="009B3384" w:rsidRDefault="009B3384">
      <w:pPr>
        <w:rPr>
          <w:rFonts w:eastAsia="Calibri"/>
          <w:szCs w:val="22"/>
          <w:highlight w:val="yellow"/>
        </w:rPr>
      </w:pPr>
    </w:p>
    <w:p w14:paraId="109AE783" w14:textId="77777777" w:rsidR="009B3384" w:rsidRDefault="00800862">
      <w:pPr>
        <w:keepNext/>
        <w:tabs>
          <w:tab w:val="clear" w:pos="567"/>
        </w:tabs>
        <w:rPr>
          <w:rFonts w:eastAsia="Calibri"/>
          <w:b/>
          <w:bCs/>
          <w:szCs w:val="22"/>
        </w:rPr>
      </w:pPr>
      <w:r>
        <w:rPr>
          <w:rFonts w:eastAsia="Calibri"/>
          <w:b/>
          <w:bCs/>
          <w:szCs w:val="22"/>
        </w:rPr>
        <w:t>Проверете течността в прозорчето</w:t>
      </w:r>
    </w:p>
    <w:p w14:paraId="109AE784" w14:textId="77777777" w:rsidR="009B3384" w:rsidRDefault="00800862">
      <w:pPr>
        <w:tabs>
          <w:tab w:val="clear" w:pos="567"/>
        </w:tabs>
        <w:rPr>
          <w:rFonts w:eastAsia="Calibri"/>
          <w:szCs w:val="22"/>
        </w:rPr>
      </w:pPr>
      <w:r>
        <w:rPr>
          <w:rFonts w:eastAsia="Calibri"/>
          <w:szCs w:val="22"/>
        </w:rPr>
        <w:t>Изберете добре осветена, чиста и равна работна повърхност.</w:t>
      </w:r>
    </w:p>
    <w:p w14:paraId="109AE785" w14:textId="77777777" w:rsidR="009B3384" w:rsidRDefault="00800862">
      <w:pPr>
        <w:tabs>
          <w:tab w:val="clear" w:pos="567"/>
        </w:tabs>
        <w:rPr>
          <w:rFonts w:eastAsia="Calibri"/>
          <w:szCs w:val="22"/>
        </w:rPr>
      </w:pPr>
      <w:r>
        <w:rPr>
          <w:rFonts w:eastAsia="Calibri"/>
          <w:szCs w:val="22"/>
        </w:rPr>
        <w:t>Извадете предварително напълнената писалка от картонената опаковка и проверете за повреда.</w:t>
      </w:r>
    </w:p>
    <w:p w14:paraId="109AE786" w14:textId="77777777" w:rsidR="009B3384" w:rsidRDefault="00800862">
      <w:pPr>
        <w:tabs>
          <w:tab w:val="clear" w:pos="567"/>
        </w:tabs>
        <w:rPr>
          <w:rFonts w:eastAsia="Calibri"/>
          <w:szCs w:val="22"/>
        </w:rPr>
      </w:pPr>
      <w:r>
        <w:rPr>
          <w:rFonts w:eastAsia="Calibri"/>
          <w:szCs w:val="22"/>
        </w:rPr>
        <w:t xml:space="preserve">Проверете течността в прозорчето. Тя трябва да бъде </w:t>
      </w:r>
      <w:r>
        <w:rPr>
          <w:rFonts w:eastAsia="Calibri"/>
          <w:b/>
          <w:bCs/>
          <w:szCs w:val="22"/>
        </w:rPr>
        <w:t>прозрачна до леко опалесцентна</w:t>
      </w:r>
      <w:r>
        <w:rPr>
          <w:rFonts w:eastAsia="Calibri"/>
          <w:szCs w:val="22"/>
        </w:rPr>
        <w:t xml:space="preserve"> и </w:t>
      </w:r>
      <w:r>
        <w:rPr>
          <w:rFonts w:eastAsia="Calibri"/>
          <w:b/>
          <w:bCs/>
          <w:szCs w:val="22"/>
        </w:rPr>
        <w:t>безцветна до бледожълта</w:t>
      </w:r>
      <w:r>
        <w:rPr>
          <w:rFonts w:eastAsia="Calibri"/>
          <w:szCs w:val="22"/>
        </w:rPr>
        <w:t xml:space="preserve"> и може да съдържа </w:t>
      </w:r>
      <w:r>
        <w:rPr>
          <w:rFonts w:eastAsia="Calibri"/>
          <w:b/>
          <w:bCs/>
          <w:szCs w:val="22"/>
        </w:rPr>
        <w:t>малки бели или прозрачни частици</w:t>
      </w:r>
      <w:r>
        <w:rPr>
          <w:rFonts w:eastAsia="Calibri"/>
          <w:szCs w:val="22"/>
        </w:rPr>
        <w:t xml:space="preserve"> и </w:t>
      </w:r>
      <w:r>
        <w:rPr>
          <w:rFonts w:eastAsia="Calibri"/>
          <w:b/>
          <w:bCs/>
          <w:szCs w:val="22"/>
        </w:rPr>
        <w:t>едно или повече въздушни мехурчета</w:t>
      </w:r>
      <w:r>
        <w:rPr>
          <w:rFonts w:eastAsia="Calibri"/>
          <w:szCs w:val="22"/>
        </w:rPr>
        <w:t>. Това е нормално.</w:t>
      </w:r>
    </w:p>
    <w:p w14:paraId="109AE787" w14:textId="77777777" w:rsidR="009B3384" w:rsidRDefault="00800862">
      <w:pPr>
        <w:tabs>
          <w:tab w:val="clear" w:pos="567"/>
        </w:tabs>
      </w:pPr>
      <w:r>
        <w:rPr>
          <w:rFonts w:eastAsia="Calibri"/>
          <w:b/>
          <w:bCs/>
          <w:szCs w:val="22"/>
        </w:rPr>
        <w:t>Не</w:t>
      </w:r>
      <w:r>
        <w:rPr>
          <w:rFonts w:eastAsia="Calibri"/>
          <w:szCs w:val="22"/>
        </w:rPr>
        <w:t xml:space="preserve"> инжектирайте, ако течността е замръзнала, мътна, с променен цвят или съдържа големи частици. Обадете се на Вашия лекар или фармацевт за нова предварително напълнена писалка.</w:t>
      </w:r>
    </w:p>
    <w:p w14:paraId="109AE788" w14:textId="77777777" w:rsidR="009B3384" w:rsidRDefault="009B3384">
      <w:pPr>
        <w:tabs>
          <w:tab w:val="clear" w:pos="567"/>
        </w:tabs>
        <w:rPr>
          <w:rFonts w:eastAsia="Calibri"/>
          <w:szCs w:val="22"/>
        </w:rPr>
      </w:pPr>
    </w:p>
    <w:p w14:paraId="109AE789" w14:textId="77777777" w:rsidR="009B3384" w:rsidRPr="00BC6A43" w:rsidRDefault="00800862" w:rsidP="00BC6A43">
      <w:pPr>
        <w:keepNext/>
        <w:suppressAutoHyphens w:val="0"/>
        <w:rPr>
          <w:b/>
          <w:noProof/>
          <w:szCs w:val="22"/>
          <w:lang w:val="en-GB"/>
        </w:rPr>
      </w:pPr>
      <w:r w:rsidRPr="00BC6A43">
        <w:rPr>
          <w:b/>
          <w:noProof/>
          <w:szCs w:val="22"/>
          <w:lang w:val="en-GB"/>
        </w:rPr>
        <w:lastRenderedPageBreak/>
        <w:t>2. Инжектиране на Stelara</w:t>
      </w:r>
    </w:p>
    <w:p w14:paraId="109AE78A" w14:textId="77777777" w:rsidR="009B3384" w:rsidRDefault="009B3384">
      <w:pPr>
        <w:keepNext/>
        <w:rPr>
          <w:rFonts w:eastAsia="Calibri"/>
          <w:szCs w:val="22"/>
          <w:highlight w:val="yellow"/>
          <w:lang w:val="en-US"/>
        </w:rPr>
      </w:pPr>
    </w:p>
    <w:p w14:paraId="109AE78B" w14:textId="77777777" w:rsidR="009B3384" w:rsidRDefault="00800862">
      <w:pPr>
        <w:tabs>
          <w:tab w:val="clear" w:pos="567"/>
        </w:tabs>
        <w:rPr>
          <w:rFonts w:eastAsia="Calibri"/>
          <w:szCs w:val="22"/>
          <w:highlight w:val="yellow"/>
          <w:lang w:val="en-US"/>
        </w:rPr>
      </w:pPr>
      <w:r>
        <w:rPr>
          <w:noProof/>
          <w:lang w:eastAsia="bg-BG"/>
        </w:rPr>
        <w:drawing>
          <wp:inline distT="0" distB="0" distL="0" distR="0" wp14:anchorId="109AEA4F" wp14:editId="109AEA50">
            <wp:extent cx="1866900" cy="18764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l="-18" t="-21" r="-18" b="-21"/>
                    <a:stretch>
                      <a:fillRect/>
                    </a:stretch>
                  </pic:blipFill>
                  <pic:spPr bwMode="auto">
                    <a:xfrm>
                      <a:off x="0" y="0"/>
                      <a:ext cx="1866900" cy="1876425"/>
                    </a:xfrm>
                    <a:prstGeom prst="rect">
                      <a:avLst/>
                    </a:prstGeom>
                    <a:solidFill>
                      <a:srgbClr val="FFFFFF"/>
                    </a:solidFill>
                    <a:ln>
                      <a:noFill/>
                    </a:ln>
                  </pic:spPr>
                </pic:pic>
              </a:graphicData>
            </a:graphic>
          </wp:inline>
        </w:drawing>
      </w:r>
    </w:p>
    <w:p w14:paraId="109AE78C" w14:textId="77777777" w:rsidR="009B3384" w:rsidRDefault="009B3384">
      <w:pPr>
        <w:rPr>
          <w:rFonts w:eastAsia="Calibri"/>
          <w:szCs w:val="22"/>
          <w:highlight w:val="yellow"/>
        </w:rPr>
      </w:pPr>
    </w:p>
    <w:p w14:paraId="109AE78D" w14:textId="77777777" w:rsidR="009B3384" w:rsidRDefault="00800862">
      <w:pPr>
        <w:keepNext/>
        <w:tabs>
          <w:tab w:val="clear" w:pos="567"/>
        </w:tabs>
        <w:rPr>
          <w:rFonts w:eastAsia="Calibri"/>
          <w:b/>
          <w:bCs/>
          <w:szCs w:val="22"/>
        </w:rPr>
      </w:pPr>
      <w:r>
        <w:rPr>
          <w:rFonts w:eastAsia="Calibri"/>
          <w:b/>
          <w:bCs/>
          <w:szCs w:val="22"/>
        </w:rPr>
        <w:t>Издърпайте долната капачка</w:t>
      </w:r>
    </w:p>
    <w:p w14:paraId="109AE78E" w14:textId="77777777" w:rsidR="009B3384" w:rsidRDefault="00800862">
      <w:pPr>
        <w:tabs>
          <w:tab w:val="clear" w:pos="567"/>
        </w:tabs>
        <w:rPr>
          <w:rFonts w:eastAsia="Calibri"/>
          <w:szCs w:val="22"/>
        </w:rPr>
      </w:pPr>
      <w:r>
        <w:rPr>
          <w:rFonts w:eastAsia="Calibri"/>
          <w:b/>
          <w:bCs/>
          <w:szCs w:val="22"/>
        </w:rPr>
        <w:t>Дръжте ръцете си далеч от предпазителя на иглата</w:t>
      </w:r>
      <w:r>
        <w:rPr>
          <w:rFonts w:eastAsia="Calibri"/>
          <w:szCs w:val="22"/>
        </w:rPr>
        <w:t>, след като свалите капачката. Нормално е да видите няколко капки течност.</w:t>
      </w:r>
    </w:p>
    <w:p w14:paraId="109AE78F" w14:textId="77777777" w:rsidR="009B3384" w:rsidRDefault="00800862">
      <w:pPr>
        <w:tabs>
          <w:tab w:val="clear" w:pos="567"/>
        </w:tabs>
        <w:rPr>
          <w:rFonts w:eastAsia="Calibri"/>
          <w:b/>
          <w:bCs/>
          <w:szCs w:val="22"/>
        </w:rPr>
      </w:pPr>
      <w:r>
        <w:rPr>
          <w:rFonts w:eastAsia="Calibri"/>
          <w:b/>
          <w:bCs/>
          <w:szCs w:val="22"/>
        </w:rPr>
        <w:t>Инжектирайте Stelara в рамките на 5 минути след отстраняване на капачката.</w:t>
      </w:r>
    </w:p>
    <w:p w14:paraId="109AE790" w14:textId="77777777" w:rsidR="009B3384" w:rsidRDefault="00800862">
      <w:pPr>
        <w:tabs>
          <w:tab w:val="clear" w:pos="567"/>
        </w:tabs>
        <w:rPr>
          <w:rFonts w:eastAsia="Calibri"/>
          <w:szCs w:val="22"/>
        </w:rPr>
      </w:pPr>
      <w:r>
        <w:rPr>
          <w:rFonts w:eastAsia="Calibri"/>
          <w:b/>
          <w:bCs/>
          <w:szCs w:val="22"/>
        </w:rPr>
        <w:t>Не</w:t>
      </w:r>
      <w:r>
        <w:rPr>
          <w:rFonts w:eastAsia="Calibri"/>
          <w:szCs w:val="22"/>
        </w:rPr>
        <w:t xml:space="preserve"> поставяйте капачката обратно. Това може да доведе до увреждане на иглата.</w:t>
      </w:r>
    </w:p>
    <w:p w14:paraId="109AE791" w14:textId="77777777" w:rsidR="009B3384" w:rsidRDefault="00800862">
      <w:pPr>
        <w:tabs>
          <w:tab w:val="clear" w:pos="567"/>
        </w:tabs>
      </w:pPr>
      <w:r>
        <w:rPr>
          <w:rFonts w:eastAsia="Calibri"/>
          <w:b/>
          <w:bCs/>
          <w:szCs w:val="22"/>
        </w:rPr>
        <w:t>Не</w:t>
      </w:r>
      <w:r>
        <w:rPr>
          <w:rFonts w:eastAsia="Calibri"/>
          <w:szCs w:val="22"/>
        </w:rPr>
        <w:t xml:space="preserve"> използвайте предварително напълнената писалка, ако тя бъде изпусната след отстраняване на капачката. Обадете се на Вашия лекар или фармацевт за нова предварително напълнена писалка.</w:t>
      </w:r>
    </w:p>
    <w:p w14:paraId="109AE792" w14:textId="77777777" w:rsidR="009B3384" w:rsidRDefault="009B3384">
      <w:pPr>
        <w:tabs>
          <w:tab w:val="clear" w:pos="567"/>
        </w:tabs>
        <w:rPr>
          <w:rFonts w:eastAsia="Calibri"/>
          <w:szCs w:val="22"/>
        </w:rPr>
      </w:pPr>
    </w:p>
    <w:p w14:paraId="109AE793" w14:textId="77777777" w:rsidR="009B3384" w:rsidRDefault="00800862">
      <w:pPr>
        <w:tabs>
          <w:tab w:val="left" w:pos="1080"/>
        </w:tabs>
        <w:rPr>
          <w:rFonts w:eastAsia="Calibri"/>
          <w:szCs w:val="22"/>
          <w:highlight w:val="yellow"/>
          <w:lang w:val="en-US"/>
        </w:rPr>
      </w:pPr>
      <w:r>
        <w:rPr>
          <w:noProof/>
          <w:lang w:eastAsia="bg-BG"/>
        </w:rPr>
        <w:drawing>
          <wp:inline distT="0" distB="0" distL="0" distR="0" wp14:anchorId="109AEA51" wp14:editId="109AEA52">
            <wp:extent cx="1866900" cy="18764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l="-17" t="-18" r="-17" b="-18"/>
                    <a:stretch>
                      <a:fillRect/>
                    </a:stretch>
                  </pic:blipFill>
                  <pic:spPr bwMode="auto">
                    <a:xfrm>
                      <a:off x="0" y="0"/>
                      <a:ext cx="1866900" cy="1876425"/>
                    </a:xfrm>
                    <a:prstGeom prst="rect">
                      <a:avLst/>
                    </a:prstGeom>
                    <a:solidFill>
                      <a:srgbClr val="FFFFFF"/>
                    </a:solidFill>
                    <a:ln>
                      <a:noFill/>
                    </a:ln>
                  </pic:spPr>
                </pic:pic>
              </a:graphicData>
            </a:graphic>
          </wp:inline>
        </w:drawing>
      </w:r>
    </w:p>
    <w:p w14:paraId="109AE794" w14:textId="77777777" w:rsidR="009B3384" w:rsidRDefault="009B3384">
      <w:pPr>
        <w:rPr>
          <w:rFonts w:eastAsia="Calibri"/>
          <w:szCs w:val="22"/>
          <w:highlight w:val="yellow"/>
        </w:rPr>
      </w:pPr>
    </w:p>
    <w:p w14:paraId="109AE795" w14:textId="77777777" w:rsidR="009B3384" w:rsidRDefault="00800862">
      <w:pPr>
        <w:keepNext/>
        <w:tabs>
          <w:tab w:val="clear" w:pos="567"/>
        </w:tabs>
        <w:rPr>
          <w:rFonts w:eastAsia="Calibri"/>
          <w:b/>
          <w:bCs/>
          <w:szCs w:val="22"/>
        </w:rPr>
      </w:pPr>
      <w:r>
        <w:rPr>
          <w:rFonts w:eastAsia="Calibri"/>
          <w:b/>
          <w:bCs/>
          <w:szCs w:val="22"/>
        </w:rPr>
        <w:t>Поставете направо върху кожата. Натиснете дръжката докрай надолу, докато престане да се вижда лилавото тяло.</w:t>
      </w:r>
    </w:p>
    <w:p w14:paraId="109AE796" w14:textId="77777777" w:rsidR="009B3384" w:rsidRDefault="009B3384">
      <w:pPr>
        <w:keepNext/>
        <w:tabs>
          <w:tab w:val="clear" w:pos="567"/>
        </w:tabs>
        <w:rPr>
          <w:rFonts w:eastAsia="Calibri"/>
          <w:b/>
          <w:bCs/>
          <w:szCs w:val="22"/>
        </w:rPr>
      </w:pPr>
    </w:p>
    <w:p w14:paraId="109AE797"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rFonts w:eastAsia="Calibri"/>
          <w:b/>
          <w:bCs/>
          <w:szCs w:val="22"/>
        </w:rPr>
      </w:pPr>
      <w:r w:rsidRPr="00BC6A43">
        <w:rPr>
          <w:rFonts w:eastAsia="Calibri"/>
          <w:b/>
          <w:bCs/>
          <w:szCs w:val="22"/>
        </w:rPr>
        <w:t>НЕ ВДИГАЙТЕ НАПЪЛНЕНАТА ПРЕДВАРИТЕЛНО ПИСАЛКА по време на инжектирането!</w:t>
      </w:r>
    </w:p>
    <w:p w14:paraId="109AE798"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szCs w:val="22"/>
        </w:rPr>
      </w:pPr>
      <w:r w:rsidRPr="00BC6A43">
        <w:rPr>
          <w:rFonts w:eastAsia="Calibri"/>
          <w:szCs w:val="22"/>
        </w:rPr>
        <w:t>Ако го направите, предпазителят на иглата ще се заключи, като се появи жълта лента, и няма да получите пълната доза.</w:t>
      </w:r>
    </w:p>
    <w:p w14:paraId="109AE799" w14:textId="77777777" w:rsidR="009B3384" w:rsidRDefault="00800862">
      <w:pPr>
        <w:keepNext/>
        <w:tabs>
          <w:tab w:val="clear" w:pos="567"/>
        </w:tabs>
      </w:pPr>
      <w:r>
        <w:rPr>
          <w:noProof/>
          <w:lang w:eastAsia="bg-BG"/>
        </w:rPr>
        <mc:AlternateContent>
          <mc:Choice Requires="wps">
            <w:drawing>
              <wp:anchor distT="72390" distB="72390" distL="0" distR="18415" simplePos="0" relativeHeight="251665408" behindDoc="0" locked="0" layoutInCell="0" allowOverlap="1" wp14:anchorId="109AEA53" wp14:editId="109AEA54">
                <wp:simplePos x="0" y="0"/>
                <wp:positionH relativeFrom="character">
                  <wp:posOffset>0</wp:posOffset>
                </wp:positionH>
                <wp:positionV relativeFrom="paragraph">
                  <wp:posOffset>591820</wp:posOffset>
                </wp:positionV>
                <wp:extent cx="5563235" cy="789940"/>
                <wp:effectExtent l="5080" t="5080" r="3810" b="508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7899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AEA87" w14:textId="77777777" w:rsidR="009B5D7A" w:rsidRDefault="009B5D7A"/>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EA53" id="Text Box 61" o:spid="_x0000_s1028" type="#_x0000_t202" style="position:absolute;margin-left:0;margin-top:46.6pt;width:438.05pt;height:62.2pt;z-index:251665408;visibility:visible;mso-wrap-style:square;mso-width-percent:0;mso-height-percent:0;mso-wrap-distance-left:0;mso-wrap-distance-top:5.7pt;mso-wrap-distance-right:1.45pt;mso-wrap-distance-bottom:5.7pt;mso-position-horizontal:absolute;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" o:allowincell="f" stroked="f">
                <v:fill opacity="0"/>
                <v:textbox inset="7.25pt,3.65pt,7.25pt,3.65pt">
                  <w:txbxContent>
                    <w:p w14:paraId="109AEA87" w14:textId="77777777" w:rsidR="009B5D7A" w:rsidRDefault="009B5D7A"/>
                  </w:txbxContent>
                </v:textbox>
              </v:shape>
            </w:pict>
          </mc:Fallback>
        </mc:AlternateContent>
      </w:r>
    </w:p>
    <w:p w14:paraId="109AE79A" w14:textId="77777777" w:rsidR="009B3384" w:rsidRDefault="00800862">
      <w:pPr>
        <w:tabs>
          <w:tab w:val="clear" w:pos="567"/>
          <w:tab w:val="left" w:pos="216"/>
          <w:tab w:val="left" w:pos="360"/>
          <w:tab w:val="left" w:pos="540"/>
        </w:tabs>
        <w:rPr>
          <w:rFonts w:eastAsia="Calibri"/>
          <w:szCs w:val="22"/>
        </w:rPr>
      </w:pPr>
      <w:r>
        <w:rPr>
          <w:rFonts w:eastAsia="Calibri"/>
          <w:szCs w:val="22"/>
        </w:rPr>
        <w:t>Може да чуете щракване, когато инжектирането започне. Продължете да натискате.</w:t>
      </w:r>
    </w:p>
    <w:p w14:paraId="109AE79B" w14:textId="77777777" w:rsidR="009B3384" w:rsidRDefault="00800862">
      <w:pPr>
        <w:tabs>
          <w:tab w:val="clear" w:pos="567"/>
          <w:tab w:val="left" w:pos="216"/>
          <w:tab w:val="left" w:pos="360"/>
          <w:tab w:val="left" w:pos="540"/>
        </w:tabs>
        <w:rPr>
          <w:rFonts w:eastAsia="Calibri"/>
          <w:b/>
          <w:bCs/>
          <w:szCs w:val="22"/>
        </w:rPr>
      </w:pPr>
      <w:r>
        <w:rPr>
          <w:rFonts w:eastAsia="Calibri"/>
          <w:b/>
          <w:bCs/>
          <w:szCs w:val="22"/>
        </w:rPr>
        <w:t>Ако усетите съпротивление, продължете да натискате. Това е нормално.</w:t>
      </w:r>
    </w:p>
    <w:p w14:paraId="109AE79C" w14:textId="77777777" w:rsidR="009B3384" w:rsidRDefault="00800862">
      <w:pPr>
        <w:tabs>
          <w:tab w:val="clear" w:pos="567"/>
          <w:tab w:val="left" w:pos="216"/>
          <w:tab w:val="left" w:pos="360"/>
          <w:tab w:val="left" w:pos="540"/>
        </w:tabs>
      </w:pPr>
      <w:r>
        <w:rPr>
          <w:rFonts w:eastAsia="Calibri"/>
          <w:szCs w:val="22"/>
        </w:rPr>
        <w:t>Лекарството се инжектира, докато натискате. Правете това със скорост, която е удобна за Вас.</w:t>
      </w:r>
    </w:p>
    <w:p w14:paraId="109AE79D" w14:textId="77777777" w:rsidR="009B3384" w:rsidRDefault="009B3384">
      <w:pPr>
        <w:keepNext/>
        <w:tabs>
          <w:tab w:val="clear" w:pos="567"/>
          <w:tab w:val="left" w:pos="216"/>
          <w:tab w:val="left" w:pos="360"/>
          <w:tab w:val="left" w:pos="540"/>
        </w:tabs>
        <w:rPr>
          <w:noProof/>
        </w:rPr>
      </w:pPr>
    </w:p>
    <w:p w14:paraId="109AE79E" w14:textId="77777777" w:rsidR="009B3384" w:rsidRDefault="00800862">
      <w:pPr>
        <w:keepNext/>
        <w:tabs>
          <w:tab w:val="clear" w:pos="567"/>
          <w:tab w:val="left" w:pos="216"/>
          <w:tab w:val="left" w:pos="360"/>
          <w:tab w:val="left" w:pos="540"/>
        </w:tabs>
        <w:rPr>
          <w:rFonts w:eastAsia="Calibri"/>
          <w:szCs w:val="22"/>
          <w:lang w:val="en-US"/>
        </w:rPr>
      </w:pPr>
      <w:r>
        <w:rPr>
          <w:noProof/>
          <w:lang w:eastAsia="bg-BG"/>
        </w:rPr>
        <w:drawing>
          <wp:inline distT="0" distB="0" distL="0" distR="0" wp14:anchorId="109AEA55" wp14:editId="109AEA56">
            <wp:extent cx="1876425" cy="168397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85374" cy="1692002"/>
                    </a:xfrm>
                    <a:prstGeom prst="rect">
                      <a:avLst/>
                    </a:prstGeom>
                  </pic:spPr>
                </pic:pic>
              </a:graphicData>
            </a:graphic>
          </wp:inline>
        </w:drawing>
      </w:r>
    </w:p>
    <w:p w14:paraId="109AE79F" w14:textId="77777777" w:rsidR="009B3384" w:rsidRDefault="009B3384">
      <w:pPr>
        <w:keepNext/>
        <w:rPr>
          <w:rFonts w:eastAsia="Calibri"/>
          <w:szCs w:val="22"/>
        </w:rPr>
      </w:pPr>
    </w:p>
    <w:p w14:paraId="109AE7A0" w14:textId="77777777" w:rsidR="009B3384" w:rsidRDefault="00800862">
      <w:pPr>
        <w:keepNext/>
        <w:tabs>
          <w:tab w:val="clear" w:pos="567"/>
        </w:tabs>
      </w:pPr>
      <w:r>
        <w:rPr>
          <w:rFonts w:eastAsia="Calibri"/>
          <w:b/>
          <w:bCs/>
          <w:szCs w:val="22"/>
        </w:rPr>
        <w:t>Уверете се, че инжектирането е завършено</w:t>
      </w:r>
    </w:p>
    <w:p w14:paraId="109AE7A1" w14:textId="77777777" w:rsidR="009B3384" w:rsidRDefault="00800862">
      <w:pPr>
        <w:keepNext/>
        <w:tabs>
          <w:tab w:val="clear" w:pos="567"/>
          <w:tab w:val="left" w:pos="216"/>
          <w:tab w:val="left" w:pos="360"/>
          <w:tab w:val="left" w:pos="540"/>
        </w:tabs>
        <w:textAlignment w:val="center"/>
      </w:pPr>
      <w:r>
        <w:rPr>
          <w:rFonts w:eastAsia="Calibri"/>
          <w:szCs w:val="22"/>
        </w:rPr>
        <w:t>Инжектирането е завършено, когато:</w:t>
      </w:r>
    </w:p>
    <w:p w14:paraId="109AE7A2" w14:textId="77777777" w:rsidR="009B3384" w:rsidRDefault="00800862">
      <w:pPr>
        <w:widowControl w:val="0"/>
        <w:numPr>
          <w:ilvl w:val="0"/>
          <w:numId w:val="30"/>
        </w:numPr>
        <w:tabs>
          <w:tab w:val="left" w:pos="540"/>
        </w:tabs>
        <w:textAlignment w:val="center"/>
      </w:pPr>
      <w:r>
        <w:rPr>
          <w:rFonts w:eastAsia="Calibri"/>
          <w:b/>
          <w:bCs/>
          <w:szCs w:val="22"/>
        </w:rPr>
        <w:t>Лилавото тяло не се вижда.</w:t>
      </w:r>
    </w:p>
    <w:p w14:paraId="109AE7A3" w14:textId="77777777" w:rsidR="009B3384" w:rsidRDefault="00800862">
      <w:pPr>
        <w:widowControl w:val="0"/>
        <w:numPr>
          <w:ilvl w:val="0"/>
          <w:numId w:val="30"/>
        </w:numPr>
        <w:tabs>
          <w:tab w:val="left" w:pos="540"/>
        </w:tabs>
        <w:textAlignment w:val="center"/>
      </w:pPr>
      <w:r>
        <w:rPr>
          <w:rFonts w:eastAsia="Calibri"/>
          <w:szCs w:val="22"/>
        </w:rPr>
        <w:t>Вече не можете да натискате дръжката надолу.</w:t>
      </w:r>
    </w:p>
    <w:p w14:paraId="109AE7A4" w14:textId="77777777" w:rsidR="009B3384" w:rsidRDefault="00800862">
      <w:pPr>
        <w:widowControl w:val="0"/>
        <w:numPr>
          <w:ilvl w:val="0"/>
          <w:numId w:val="30"/>
        </w:numPr>
        <w:tabs>
          <w:tab w:val="left" w:pos="540"/>
        </w:tabs>
        <w:textAlignment w:val="center"/>
      </w:pPr>
      <w:r>
        <w:rPr>
          <w:rFonts w:eastAsia="Calibri"/>
          <w:szCs w:val="22"/>
        </w:rPr>
        <w:t>Може да чуете щракване.</w:t>
      </w:r>
    </w:p>
    <w:p w14:paraId="109AE7A5" w14:textId="77777777" w:rsidR="009B3384" w:rsidRDefault="009B3384">
      <w:pPr>
        <w:rPr>
          <w:rFonts w:eastAsia="Calibri"/>
          <w:szCs w:val="22"/>
        </w:rPr>
      </w:pPr>
    </w:p>
    <w:p w14:paraId="109AE7A6" w14:textId="77777777" w:rsidR="009B3384" w:rsidRDefault="00800862">
      <w:pPr>
        <w:rPr>
          <w:rFonts w:eastAsia="Calibri"/>
          <w:szCs w:val="22"/>
          <w:highlight w:val="yellow"/>
          <w:lang w:val="en-US"/>
        </w:rPr>
      </w:pPr>
      <w:r>
        <w:rPr>
          <w:noProof/>
          <w:lang w:eastAsia="bg-BG"/>
        </w:rPr>
        <w:drawing>
          <wp:inline distT="0" distB="0" distL="0" distR="0" wp14:anchorId="109AEA57" wp14:editId="109AEA58">
            <wp:extent cx="1866900" cy="18669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l="-18" t="-20" r="-18" b="-20"/>
                    <a:stretch>
                      <a:fillRect/>
                    </a:stretch>
                  </pic:blipFill>
                  <pic:spPr bwMode="auto">
                    <a:xfrm>
                      <a:off x="0" y="0"/>
                      <a:ext cx="1866900" cy="1866900"/>
                    </a:xfrm>
                    <a:prstGeom prst="rect">
                      <a:avLst/>
                    </a:prstGeom>
                    <a:solidFill>
                      <a:srgbClr val="FFFFFF"/>
                    </a:solidFill>
                    <a:ln>
                      <a:noFill/>
                    </a:ln>
                  </pic:spPr>
                </pic:pic>
              </a:graphicData>
            </a:graphic>
          </wp:inline>
        </w:drawing>
      </w:r>
    </w:p>
    <w:p w14:paraId="109AE7A7" w14:textId="77777777" w:rsidR="009B3384" w:rsidRDefault="009B3384">
      <w:pPr>
        <w:rPr>
          <w:rFonts w:eastAsia="Calibri"/>
          <w:szCs w:val="22"/>
          <w:highlight w:val="yellow"/>
        </w:rPr>
      </w:pPr>
    </w:p>
    <w:p w14:paraId="109AE7A8" w14:textId="77777777" w:rsidR="009B3384" w:rsidRDefault="00800862">
      <w:pPr>
        <w:keepNext/>
        <w:tabs>
          <w:tab w:val="clear" w:pos="567"/>
        </w:tabs>
      </w:pPr>
      <w:r>
        <w:rPr>
          <w:rFonts w:eastAsia="Calibri"/>
          <w:b/>
          <w:bCs/>
          <w:szCs w:val="22"/>
        </w:rPr>
        <w:t>Вдигнете право нагоре</w:t>
      </w:r>
    </w:p>
    <w:p w14:paraId="109AE7A9" w14:textId="77777777" w:rsidR="009B3384" w:rsidRDefault="00800862">
      <w:pPr>
        <w:widowControl w:val="0"/>
        <w:tabs>
          <w:tab w:val="clear" w:pos="567"/>
          <w:tab w:val="left" w:pos="216"/>
          <w:tab w:val="left" w:pos="360"/>
          <w:tab w:val="left" w:pos="540"/>
        </w:tabs>
        <w:textAlignment w:val="center"/>
      </w:pPr>
      <w:r>
        <w:rPr>
          <w:rFonts w:eastAsia="Calibri"/>
          <w:szCs w:val="22"/>
        </w:rPr>
        <w:t>Жълтата лента показва, че предпазителят на иглата е заключен на място.</w:t>
      </w:r>
    </w:p>
    <w:p w14:paraId="109AE7AA" w14:textId="77777777" w:rsidR="009B3384" w:rsidRDefault="009B3384">
      <w:pPr>
        <w:rPr>
          <w:rFonts w:eastAsia="Calibri"/>
          <w:szCs w:val="22"/>
        </w:rPr>
      </w:pPr>
    </w:p>
    <w:p w14:paraId="109AE7AB" w14:textId="77777777" w:rsidR="009B3384" w:rsidRDefault="009B3384">
      <w:pPr>
        <w:rPr>
          <w:rFonts w:eastAsia="Calibri"/>
          <w:szCs w:val="22"/>
        </w:rPr>
      </w:pPr>
    </w:p>
    <w:p w14:paraId="109AE7AC" w14:textId="77777777" w:rsidR="009B3384" w:rsidRPr="00BC6A43" w:rsidRDefault="00800862" w:rsidP="00BC6A43">
      <w:pPr>
        <w:keepNext/>
        <w:suppressAutoHyphens w:val="0"/>
        <w:rPr>
          <w:b/>
          <w:noProof/>
          <w:szCs w:val="22"/>
          <w:lang w:val="en-GB"/>
        </w:rPr>
      </w:pPr>
      <w:r w:rsidRPr="00BC6A43">
        <w:rPr>
          <w:b/>
          <w:noProof/>
          <w:szCs w:val="22"/>
          <w:lang w:val="en-GB"/>
        </w:rPr>
        <w:t>3. След инжектирането</w:t>
      </w:r>
    </w:p>
    <w:p w14:paraId="109AE7AD" w14:textId="77777777" w:rsidR="009B3384" w:rsidRDefault="009B3384">
      <w:pPr>
        <w:keepNext/>
        <w:rPr>
          <w:rFonts w:eastAsia="Calibri"/>
          <w:szCs w:val="22"/>
        </w:rPr>
      </w:pPr>
    </w:p>
    <w:p w14:paraId="109AE7AE" w14:textId="77777777" w:rsidR="009B3384" w:rsidRDefault="00800862">
      <w:pPr>
        <w:rPr>
          <w:rFonts w:eastAsia="Calibri"/>
          <w:szCs w:val="22"/>
          <w:highlight w:val="yellow"/>
        </w:rPr>
      </w:pPr>
      <w:r>
        <w:rPr>
          <w:noProof/>
          <w:lang w:eastAsia="bg-BG"/>
        </w:rPr>
        <w:drawing>
          <wp:inline distT="0" distB="0" distL="0" distR="0" wp14:anchorId="109AEA59" wp14:editId="109AEA5A">
            <wp:extent cx="1876425" cy="18669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l="-18" t="-21" r="-18" b="-21"/>
                    <a:stretch>
                      <a:fillRect/>
                    </a:stretch>
                  </pic:blipFill>
                  <pic:spPr bwMode="auto">
                    <a:xfrm>
                      <a:off x="0" y="0"/>
                      <a:ext cx="1876425" cy="1866900"/>
                    </a:xfrm>
                    <a:prstGeom prst="rect">
                      <a:avLst/>
                    </a:prstGeom>
                    <a:solidFill>
                      <a:srgbClr val="FFFFFF"/>
                    </a:solidFill>
                    <a:ln>
                      <a:noFill/>
                    </a:ln>
                  </pic:spPr>
                </pic:pic>
              </a:graphicData>
            </a:graphic>
          </wp:inline>
        </w:drawing>
      </w:r>
    </w:p>
    <w:p w14:paraId="109AE7AF" w14:textId="77777777" w:rsidR="009B3384" w:rsidRDefault="009B3384">
      <w:pPr>
        <w:rPr>
          <w:rFonts w:eastAsia="Calibri"/>
          <w:szCs w:val="22"/>
          <w:highlight w:val="yellow"/>
        </w:rPr>
      </w:pPr>
    </w:p>
    <w:p w14:paraId="109AE7B0" w14:textId="77777777" w:rsidR="009B3384" w:rsidRDefault="00800862">
      <w:pPr>
        <w:keepNext/>
        <w:tabs>
          <w:tab w:val="clear" w:pos="567"/>
          <w:tab w:val="left" w:pos="216"/>
          <w:tab w:val="left" w:pos="360"/>
          <w:tab w:val="left" w:pos="540"/>
        </w:tabs>
        <w:rPr>
          <w:rFonts w:eastAsia="Calibri"/>
          <w:b/>
          <w:bCs/>
          <w:szCs w:val="22"/>
        </w:rPr>
      </w:pPr>
      <w:r>
        <w:rPr>
          <w:rFonts w:eastAsia="Calibri"/>
          <w:b/>
          <w:bCs/>
          <w:szCs w:val="22"/>
        </w:rPr>
        <w:t>Изхвърлете предварително напълнената писалка</w:t>
      </w:r>
    </w:p>
    <w:p w14:paraId="109AE7B1" w14:textId="77777777" w:rsidR="009B3384" w:rsidRDefault="00800862">
      <w:pPr>
        <w:tabs>
          <w:tab w:val="clear" w:pos="567"/>
          <w:tab w:val="left" w:pos="216"/>
          <w:tab w:val="left" w:pos="360"/>
          <w:tab w:val="left" w:pos="540"/>
        </w:tabs>
        <w:rPr>
          <w:rFonts w:eastAsia="Calibri"/>
          <w:szCs w:val="22"/>
        </w:rPr>
      </w:pPr>
      <w:r>
        <w:rPr>
          <w:rFonts w:eastAsia="Calibri"/>
          <w:szCs w:val="22"/>
        </w:rPr>
        <w:t>Веднага след употреба поставете използваната предварително напълнена писалка в контейнер за изхвърляне на остри предмети.</w:t>
      </w:r>
    </w:p>
    <w:p w14:paraId="109AE7B2" w14:textId="77777777" w:rsidR="009B3384" w:rsidRDefault="00800862">
      <w:pPr>
        <w:tabs>
          <w:tab w:val="clear" w:pos="567"/>
          <w:tab w:val="left" w:pos="216"/>
          <w:tab w:val="left" w:pos="360"/>
          <w:tab w:val="left" w:pos="540"/>
        </w:tabs>
        <w:rPr>
          <w:rFonts w:eastAsia="Calibri"/>
          <w:szCs w:val="22"/>
        </w:rPr>
      </w:pPr>
      <w:r>
        <w:rPr>
          <w:rFonts w:eastAsia="Calibri"/>
          <w:b/>
          <w:bCs/>
          <w:szCs w:val="22"/>
        </w:rPr>
        <w:t>Не</w:t>
      </w:r>
      <w:r>
        <w:rPr>
          <w:rFonts w:eastAsia="Calibri"/>
          <w:szCs w:val="22"/>
        </w:rPr>
        <w:t xml:space="preserve"> изхвърляйте предварително напълнените писалки в контейнера за битови отпадъци.</w:t>
      </w:r>
    </w:p>
    <w:p w14:paraId="109AE7B3" w14:textId="77777777" w:rsidR="009B3384" w:rsidRDefault="00800862">
      <w:pPr>
        <w:tabs>
          <w:tab w:val="clear" w:pos="567"/>
          <w:tab w:val="left" w:pos="216"/>
          <w:tab w:val="left" w:pos="360"/>
          <w:tab w:val="left" w:pos="540"/>
        </w:tabs>
      </w:pPr>
      <w:r>
        <w:rPr>
          <w:rFonts w:eastAsia="Calibri"/>
          <w:b/>
          <w:bCs/>
          <w:szCs w:val="22"/>
        </w:rPr>
        <w:t>Не</w:t>
      </w:r>
      <w:r>
        <w:rPr>
          <w:rFonts w:eastAsia="Calibri"/>
          <w:szCs w:val="22"/>
        </w:rPr>
        <w:t xml:space="preserve"> рециклирайте използвания контейнер за изхвърляне на остри предмети.</w:t>
      </w:r>
    </w:p>
    <w:p w14:paraId="109AE7B4" w14:textId="77777777" w:rsidR="009B3384" w:rsidRDefault="009B3384">
      <w:pPr>
        <w:tabs>
          <w:tab w:val="clear" w:pos="567"/>
          <w:tab w:val="left" w:pos="216"/>
          <w:tab w:val="left" w:pos="360"/>
          <w:tab w:val="left" w:pos="540"/>
        </w:tabs>
        <w:rPr>
          <w:szCs w:val="22"/>
        </w:rPr>
      </w:pPr>
    </w:p>
    <w:p w14:paraId="109AE7B5" w14:textId="77777777" w:rsidR="009B3384" w:rsidRDefault="00800862">
      <w:pPr>
        <w:tabs>
          <w:tab w:val="clear" w:pos="567"/>
        </w:tabs>
        <w:rPr>
          <w:rFonts w:eastAsia="Calibri"/>
          <w:szCs w:val="22"/>
          <w:highlight w:val="yellow"/>
          <w:lang w:val="en-US"/>
        </w:rPr>
      </w:pPr>
      <w:r>
        <w:rPr>
          <w:noProof/>
          <w:lang w:eastAsia="bg-BG"/>
        </w:rPr>
        <w:lastRenderedPageBreak/>
        <w:drawing>
          <wp:inline distT="0" distB="0" distL="0" distR="0" wp14:anchorId="109AEA5B" wp14:editId="109AEA5C">
            <wp:extent cx="1876425" cy="18764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l="-11" t="-11" r="-11" b="-11"/>
                    <a:stretch>
                      <a:fillRect/>
                    </a:stretch>
                  </pic:blipFill>
                  <pic:spPr bwMode="auto">
                    <a:xfrm>
                      <a:off x="0" y="0"/>
                      <a:ext cx="1876425" cy="1876425"/>
                    </a:xfrm>
                    <a:prstGeom prst="rect">
                      <a:avLst/>
                    </a:prstGeom>
                    <a:solidFill>
                      <a:srgbClr val="FFFFFF"/>
                    </a:solidFill>
                    <a:ln>
                      <a:noFill/>
                    </a:ln>
                  </pic:spPr>
                </pic:pic>
              </a:graphicData>
            </a:graphic>
          </wp:inline>
        </w:drawing>
      </w:r>
    </w:p>
    <w:p w14:paraId="109AE7B6" w14:textId="77777777" w:rsidR="009B3384" w:rsidRDefault="009B3384">
      <w:pPr>
        <w:rPr>
          <w:rFonts w:eastAsia="Calibri"/>
          <w:szCs w:val="22"/>
          <w:highlight w:val="yellow"/>
        </w:rPr>
      </w:pPr>
    </w:p>
    <w:p w14:paraId="109AE7B7" w14:textId="77777777" w:rsidR="009B3384" w:rsidRDefault="00800862">
      <w:pPr>
        <w:keepNext/>
        <w:tabs>
          <w:tab w:val="clear" w:pos="567"/>
        </w:tabs>
        <w:rPr>
          <w:rFonts w:eastAsia="Calibri"/>
          <w:b/>
          <w:bCs/>
          <w:szCs w:val="22"/>
        </w:rPr>
      </w:pPr>
      <w:r>
        <w:rPr>
          <w:rFonts w:eastAsia="Calibri"/>
          <w:b/>
          <w:bCs/>
          <w:szCs w:val="22"/>
        </w:rPr>
        <w:t>Проверете мястото на инжектиране</w:t>
      </w:r>
    </w:p>
    <w:p w14:paraId="109AE7B8" w14:textId="77777777" w:rsidR="009B3384" w:rsidRDefault="00800862">
      <w:pPr>
        <w:tabs>
          <w:tab w:val="clear" w:pos="567"/>
        </w:tabs>
        <w:rPr>
          <w:rFonts w:eastAsia="Calibri"/>
          <w:szCs w:val="22"/>
        </w:rPr>
      </w:pPr>
      <w:r>
        <w:rPr>
          <w:rFonts w:eastAsia="Calibri"/>
          <w:szCs w:val="22"/>
        </w:rPr>
        <w:t>Възможно е на мястото на инжектиране да има малко количество кръв или течност. Това е нормално. Притиснете парче памук или марля към мястото на инжектиране, докато кървенето спре.</w:t>
      </w:r>
    </w:p>
    <w:p w14:paraId="109AE7B9" w14:textId="77777777" w:rsidR="009B3384" w:rsidRDefault="00800862">
      <w:pPr>
        <w:tabs>
          <w:tab w:val="clear" w:pos="567"/>
        </w:tabs>
        <w:rPr>
          <w:rFonts w:eastAsia="Calibri"/>
          <w:szCs w:val="22"/>
        </w:rPr>
      </w:pPr>
      <w:r>
        <w:rPr>
          <w:rFonts w:eastAsia="Calibri"/>
          <w:b/>
          <w:bCs/>
          <w:szCs w:val="22"/>
        </w:rPr>
        <w:t>Не</w:t>
      </w:r>
      <w:r>
        <w:rPr>
          <w:rFonts w:eastAsia="Calibri"/>
          <w:szCs w:val="22"/>
        </w:rPr>
        <w:t xml:space="preserve"> разтривайте мястото на инжектиране.</w:t>
      </w:r>
    </w:p>
    <w:p w14:paraId="109AE7BA" w14:textId="77777777" w:rsidR="009B3384" w:rsidRDefault="00800862">
      <w:pPr>
        <w:tabs>
          <w:tab w:val="clear" w:pos="567"/>
        </w:tabs>
        <w:rPr>
          <w:rFonts w:eastAsia="Calibri"/>
          <w:szCs w:val="22"/>
        </w:rPr>
      </w:pPr>
      <w:r>
        <w:rPr>
          <w:rFonts w:eastAsia="Calibri"/>
          <w:szCs w:val="22"/>
        </w:rPr>
        <w:t>Ако е необходимо, покрийте мястото на инжектиране с превръзка.</w:t>
      </w:r>
    </w:p>
    <w:p w14:paraId="109AE7BB" w14:textId="77777777" w:rsidR="009B3384" w:rsidRDefault="009B3384">
      <w:pPr>
        <w:tabs>
          <w:tab w:val="clear" w:pos="567"/>
        </w:tabs>
      </w:pPr>
    </w:p>
    <w:p w14:paraId="109AE7BC" w14:textId="77777777" w:rsidR="009B3384" w:rsidRDefault="00800862" w:rsidP="00BC6A43">
      <w:pPr>
        <w:pBdr>
          <w:top w:val="single" w:sz="12" w:space="1" w:color="000000"/>
          <w:left w:val="single" w:sz="12" w:space="4" w:color="000000"/>
          <w:bottom w:val="single" w:sz="12" w:space="1" w:color="000000"/>
          <w:right w:val="single" w:sz="12" w:space="4" w:color="000000"/>
        </w:pBdr>
      </w:pPr>
      <w:r>
        <w:rPr>
          <w:rFonts w:eastAsia="Calibri"/>
          <w:szCs w:val="22"/>
        </w:rPr>
        <w:t>Ако получите две предварително напълнени писалки от 45</w:t>
      </w:r>
      <w:r>
        <w:rPr>
          <w:rFonts w:eastAsia="Calibri"/>
          <w:szCs w:val="22"/>
          <w:lang w:val="en-US"/>
        </w:rPr>
        <w:t> </w:t>
      </w:r>
      <w:r>
        <w:rPr>
          <w:rFonts w:eastAsia="Calibri"/>
          <w:szCs w:val="22"/>
        </w:rPr>
        <w:t>mg за доза 90</w:t>
      </w:r>
      <w:r>
        <w:rPr>
          <w:rFonts w:eastAsia="Calibri"/>
          <w:szCs w:val="22"/>
          <w:lang w:val="en-US"/>
        </w:rPr>
        <w:t> </w:t>
      </w:r>
      <w:r>
        <w:rPr>
          <w:rFonts w:eastAsia="Calibri"/>
          <w:szCs w:val="22"/>
        </w:rPr>
        <w:t xml:space="preserve">mg, повторете Стъпки 1-3 с втората предварително напълнена писалка. </w:t>
      </w:r>
      <w:r>
        <w:rPr>
          <w:rFonts w:eastAsia="Calibri"/>
          <w:b/>
          <w:bCs/>
          <w:szCs w:val="22"/>
        </w:rPr>
        <w:t>Изберете друго място за инжектиране на втората инжекция</w:t>
      </w:r>
      <w:r>
        <w:rPr>
          <w:rFonts w:eastAsia="Calibri"/>
          <w:szCs w:val="22"/>
        </w:rPr>
        <w:t>.</w:t>
      </w:r>
    </w:p>
    <w:p w14:paraId="109AE7BD" w14:textId="77777777" w:rsidR="009B3384" w:rsidRDefault="009B3384">
      <w:pPr>
        <w:rPr>
          <w:rFonts w:eastAsia="Calibri"/>
          <w:szCs w:val="22"/>
        </w:rPr>
      </w:pPr>
    </w:p>
    <w:p w14:paraId="109AE7BE" w14:textId="77777777" w:rsidR="009B3384" w:rsidRDefault="00800862">
      <w:pPr>
        <w:jc w:val="center"/>
        <w:rPr>
          <w:szCs w:val="22"/>
        </w:rPr>
      </w:pPr>
      <w:r>
        <w:br w:type="page"/>
      </w:r>
    </w:p>
    <w:p w14:paraId="109AE7BF" w14:textId="77777777" w:rsidR="009B3384" w:rsidRDefault="00800862">
      <w:pPr>
        <w:jc w:val="center"/>
        <w:rPr>
          <w:b/>
          <w:szCs w:val="22"/>
        </w:rPr>
      </w:pPr>
      <w:r>
        <w:rPr>
          <w:b/>
          <w:szCs w:val="22"/>
        </w:rPr>
        <w:lastRenderedPageBreak/>
        <w:t>Листовка: информация за потребителя</w:t>
      </w:r>
    </w:p>
    <w:p w14:paraId="109AE7C0" w14:textId="77777777" w:rsidR="009B3384" w:rsidRDefault="009B3384">
      <w:pPr>
        <w:jc w:val="center"/>
        <w:rPr>
          <w:b/>
          <w:bCs/>
          <w:szCs w:val="22"/>
        </w:rPr>
      </w:pPr>
    </w:p>
    <w:p w14:paraId="109AE7C1" w14:textId="77777777" w:rsidR="009B3384" w:rsidRDefault="00800862">
      <w:pPr>
        <w:jc w:val="center"/>
        <w:rPr>
          <w:b/>
          <w:bCs/>
          <w:szCs w:val="22"/>
        </w:rPr>
      </w:pPr>
      <w:r>
        <w:rPr>
          <w:b/>
          <w:bCs/>
          <w:szCs w:val="22"/>
        </w:rPr>
        <w:t>STELARA 90 mg инжекционен разтвор в предварително напълнена писалка</w:t>
      </w:r>
    </w:p>
    <w:p w14:paraId="109AE7C2" w14:textId="77777777" w:rsidR="009B3384" w:rsidRDefault="00800862">
      <w:pPr>
        <w:jc w:val="center"/>
        <w:rPr>
          <w:szCs w:val="22"/>
        </w:rPr>
      </w:pPr>
      <w:r>
        <w:rPr>
          <w:szCs w:val="22"/>
        </w:rPr>
        <w:t>устекинумаб (</w:t>
      </w:r>
      <w:r>
        <w:rPr>
          <w:iCs/>
          <w:szCs w:val="22"/>
        </w:rPr>
        <w:t>ustekinumab</w:t>
      </w:r>
      <w:r>
        <w:rPr>
          <w:szCs w:val="22"/>
        </w:rPr>
        <w:t>)</w:t>
      </w:r>
    </w:p>
    <w:p w14:paraId="109AE7C3" w14:textId="77777777" w:rsidR="009B3384" w:rsidRDefault="009B3384">
      <w:pPr>
        <w:jc w:val="center"/>
        <w:rPr>
          <w:szCs w:val="22"/>
        </w:rPr>
      </w:pPr>
    </w:p>
    <w:p w14:paraId="109AE7C4" w14:textId="77777777" w:rsidR="009B3384" w:rsidRDefault="00800862">
      <w:pPr>
        <w:keepNext/>
        <w:rPr>
          <w:b/>
          <w:szCs w:val="22"/>
        </w:rPr>
      </w:pPr>
      <w:r>
        <w:rPr>
          <w:b/>
          <w:szCs w:val="22"/>
        </w:rPr>
        <w:t>Прочетете внимателно цялата листовка, преди да започнете да използвате това лекарство, тъй като тя съдържа важна за Вас информация.</w:t>
      </w:r>
    </w:p>
    <w:p w14:paraId="109AE7C5" w14:textId="77777777" w:rsidR="009B3384" w:rsidRDefault="009B3384">
      <w:pPr>
        <w:keepNext/>
        <w:rPr>
          <w:b/>
          <w:szCs w:val="22"/>
        </w:rPr>
      </w:pPr>
    </w:p>
    <w:p w14:paraId="109AE7C6" w14:textId="77777777" w:rsidR="009B3384" w:rsidRDefault="00800862">
      <w:pPr>
        <w:keepNext/>
        <w:rPr>
          <w:b/>
          <w:szCs w:val="22"/>
        </w:rPr>
      </w:pPr>
      <w:r>
        <w:rPr>
          <w:b/>
          <w:szCs w:val="22"/>
        </w:rPr>
        <w:t>Тази листовка е написана за пациента, който приема лекарството.</w:t>
      </w:r>
    </w:p>
    <w:p w14:paraId="109AE7C7" w14:textId="77777777" w:rsidR="009B3384" w:rsidRDefault="009B3384">
      <w:pPr>
        <w:keepNext/>
        <w:rPr>
          <w:bCs/>
          <w:szCs w:val="22"/>
        </w:rPr>
      </w:pPr>
    </w:p>
    <w:p w14:paraId="109AE7C8" w14:textId="77777777" w:rsidR="009B3384" w:rsidRDefault="00800862">
      <w:pPr>
        <w:numPr>
          <w:ilvl w:val="0"/>
          <w:numId w:val="27"/>
        </w:numPr>
        <w:ind w:left="567" w:hanging="567"/>
      </w:pPr>
      <w:r>
        <w:t>Запазете тази листовка. Може да се наложи да я прочетете отново.</w:t>
      </w:r>
    </w:p>
    <w:p w14:paraId="109AE7C9" w14:textId="77777777" w:rsidR="009B3384" w:rsidRDefault="00800862">
      <w:pPr>
        <w:numPr>
          <w:ilvl w:val="0"/>
          <w:numId w:val="27"/>
        </w:numPr>
        <w:ind w:left="567" w:hanging="567"/>
      </w:pPr>
      <w:r>
        <w:t>Ако имате някакви допълнителни въпроси, попитайте Вашия лекар или фармацевт.</w:t>
      </w:r>
    </w:p>
    <w:p w14:paraId="109AE7CA" w14:textId="77777777" w:rsidR="009B3384" w:rsidRDefault="00800862">
      <w:pPr>
        <w:numPr>
          <w:ilvl w:val="0"/>
          <w:numId w:val="27"/>
        </w:numPr>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09AE7CB" w14:textId="77777777" w:rsidR="009B3384" w:rsidRDefault="00800862">
      <w:pPr>
        <w:numPr>
          <w:ilvl w:val="0"/>
          <w:numId w:val="27"/>
        </w:numPr>
        <w:ind w:left="567" w:hanging="567"/>
      </w:pPr>
      <w: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109AE7CC" w14:textId="77777777" w:rsidR="009B3384" w:rsidRDefault="009B3384">
      <w:pPr>
        <w:rPr>
          <w:szCs w:val="22"/>
        </w:rPr>
      </w:pPr>
    </w:p>
    <w:p w14:paraId="109AE7CD" w14:textId="77777777" w:rsidR="009B3384" w:rsidRDefault="00800862">
      <w:pPr>
        <w:keepNext/>
        <w:rPr>
          <w:szCs w:val="22"/>
          <w:lang w:val="nl-BE"/>
        </w:rPr>
      </w:pPr>
      <w:r>
        <w:rPr>
          <w:b/>
          <w:szCs w:val="22"/>
        </w:rPr>
        <w:t>Какво съдържа тази листовка</w:t>
      </w:r>
    </w:p>
    <w:p w14:paraId="109AE7CE" w14:textId="77777777" w:rsidR="009B3384" w:rsidRDefault="00800862">
      <w:pPr>
        <w:tabs>
          <w:tab w:val="clear" w:pos="567"/>
        </w:tabs>
        <w:rPr>
          <w:szCs w:val="22"/>
        </w:rPr>
      </w:pPr>
      <w:r>
        <w:rPr>
          <w:szCs w:val="22"/>
        </w:rPr>
        <w:t>1.</w:t>
      </w:r>
      <w:r>
        <w:rPr>
          <w:szCs w:val="22"/>
        </w:rPr>
        <w:tab/>
        <w:t>Какво представлява Stelara и за какво се използва</w:t>
      </w:r>
    </w:p>
    <w:p w14:paraId="109AE7CF" w14:textId="77777777" w:rsidR="009B3384" w:rsidRDefault="00800862">
      <w:pPr>
        <w:tabs>
          <w:tab w:val="clear" w:pos="567"/>
        </w:tabs>
        <w:rPr>
          <w:szCs w:val="22"/>
        </w:rPr>
      </w:pPr>
      <w:r>
        <w:rPr>
          <w:szCs w:val="22"/>
        </w:rPr>
        <w:t>2.</w:t>
      </w:r>
      <w:r>
        <w:rPr>
          <w:szCs w:val="22"/>
        </w:rPr>
        <w:tab/>
        <w:t>Какво трябва да знаете, преди да използвате Stelara</w:t>
      </w:r>
    </w:p>
    <w:p w14:paraId="109AE7D0" w14:textId="77777777" w:rsidR="009B3384" w:rsidRDefault="00800862">
      <w:pPr>
        <w:tabs>
          <w:tab w:val="clear" w:pos="567"/>
        </w:tabs>
        <w:rPr>
          <w:szCs w:val="22"/>
        </w:rPr>
      </w:pPr>
      <w:r>
        <w:rPr>
          <w:szCs w:val="22"/>
        </w:rPr>
        <w:t>3.</w:t>
      </w:r>
      <w:r>
        <w:rPr>
          <w:szCs w:val="22"/>
        </w:rPr>
        <w:tab/>
        <w:t>Как да използвате Stelara</w:t>
      </w:r>
    </w:p>
    <w:p w14:paraId="109AE7D1" w14:textId="77777777" w:rsidR="009B3384" w:rsidRDefault="00800862">
      <w:pPr>
        <w:tabs>
          <w:tab w:val="clear" w:pos="567"/>
        </w:tabs>
        <w:rPr>
          <w:szCs w:val="22"/>
        </w:rPr>
      </w:pPr>
      <w:r>
        <w:rPr>
          <w:szCs w:val="22"/>
        </w:rPr>
        <w:t>4.</w:t>
      </w:r>
      <w:r>
        <w:rPr>
          <w:szCs w:val="22"/>
        </w:rPr>
        <w:tab/>
        <w:t>Възможни нежелани реакции</w:t>
      </w:r>
    </w:p>
    <w:p w14:paraId="109AE7D2" w14:textId="77777777" w:rsidR="009B3384" w:rsidRDefault="00800862">
      <w:pPr>
        <w:tabs>
          <w:tab w:val="clear" w:pos="567"/>
        </w:tabs>
        <w:rPr>
          <w:szCs w:val="22"/>
        </w:rPr>
      </w:pPr>
      <w:r>
        <w:rPr>
          <w:szCs w:val="22"/>
        </w:rPr>
        <w:t>5.</w:t>
      </w:r>
      <w:r>
        <w:rPr>
          <w:szCs w:val="22"/>
        </w:rPr>
        <w:tab/>
        <w:t>Как да съхранявате Stelara</w:t>
      </w:r>
    </w:p>
    <w:p w14:paraId="109AE7D3" w14:textId="77777777" w:rsidR="009B3384" w:rsidRDefault="00800862">
      <w:pPr>
        <w:tabs>
          <w:tab w:val="clear" w:pos="567"/>
        </w:tabs>
        <w:rPr>
          <w:szCs w:val="22"/>
        </w:rPr>
      </w:pPr>
      <w:r>
        <w:rPr>
          <w:szCs w:val="22"/>
        </w:rPr>
        <w:t>6.</w:t>
      </w:r>
      <w:r>
        <w:rPr>
          <w:szCs w:val="22"/>
        </w:rPr>
        <w:tab/>
        <w:t>Съдържание на опаковката и допълнителна информация</w:t>
      </w:r>
    </w:p>
    <w:p w14:paraId="109AE7D4" w14:textId="77777777" w:rsidR="009B3384" w:rsidRDefault="009B3384">
      <w:pPr>
        <w:rPr>
          <w:szCs w:val="22"/>
        </w:rPr>
      </w:pPr>
    </w:p>
    <w:p w14:paraId="109AE7D5" w14:textId="77777777" w:rsidR="009B3384" w:rsidRDefault="009B3384">
      <w:pPr>
        <w:rPr>
          <w:szCs w:val="22"/>
        </w:rPr>
      </w:pPr>
    </w:p>
    <w:p w14:paraId="109AE7D6" w14:textId="77777777" w:rsidR="009B3384" w:rsidRDefault="00800862">
      <w:pPr>
        <w:keepNext/>
        <w:ind w:left="567" w:hanging="567"/>
        <w:outlineLvl w:val="2"/>
        <w:rPr>
          <w:b/>
          <w:bCs/>
          <w:szCs w:val="22"/>
        </w:rPr>
      </w:pPr>
      <w:r>
        <w:rPr>
          <w:b/>
          <w:bCs/>
          <w:szCs w:val="22"/>
        </w:rPr>
        <w:t>1.</w:t>
      </w:r>
      <w:r>
        <w:rPr>
          <w:b/>
          <w:bCs/>
          <w:szCs w:val="22"/>
        </w:rPr>
        <w:tab/>
        <w:t>Какво представлява Stelara и за какво се използва</w:t>
      </w:r>
    </w:p>
    <w:p w14:paraId="109AE7D7" w14:textId="77777777" w:rsidR="009B3384" w:rsidRDefault="009B3384">
      <w:pPr>
        <w:keepNext/>
      </w:pPr>
    </w:p>
    <w:p w14:paraId="109AE7D8" w14:textId="77777777" w:rsidR="009B3384" w:rsidRDefault="00800862">
      <w:pPr>
        <w:keepNext/>
        <w:rPr>
          <w:b/>
          <w:szCs w:val="22"/>
        </w:rPr>
      </w:pPr>
      <w:r>
        <w:rPr>
          <w:b/>
          <w:szCs w:val="22"/>
        </w:rPr>
        <w:t xml:space="preserve">Какво представлява </w:t>
      </w:r>
      <w:r>
        <w:rPr>
          <w:b/>
          <w:szCs w:val="22"/>
          <w:lang w:val="en-US"/>
        </w:rPr>
        <w:t>Stelara</w:t>
      </w:r>
    </w:p>
    <w:p w14:paraId="109AE7D9" w14:textId="77777777" w:rsidR="009B3384" w:rsidRDefault="00800862">
      <w:pPr>
        <w:rPr>
          <w:szCs w:val="22"/>
        </w:rPr>
      </w:pPr>
      <w:r>
        <w:rPr>
          <w:szCs w:val="22"/>
        </w:rPr>
        <w:t>Stelara съдържа активното вещество „устекинумаб”, което е моноклонално антитяло. Моноклоналните антитела са протеини, които разпознават и свързват определени специфични протеини в организма.</w:t>
      </w:r>
    </w:p>
    <w:p w14:paraId="109AE7DA" w14:textId="77777777" w:rsidR="009B3384" w:rsidRDefault="009B3384">
      <w:pPr>
        <w:rPr>
          <w:szCs w:val="22"/>
        </w:rPr>
      </w:pPr>
    </w:p>
    <w:p w14:paraId="109AE7DB" w14:textId="77777777" w:rsidR="009B3384" w:rsidRDefault="00800862">
      <w:r>
        <w:rPr>
          <w:szCs w:val="22"/>
        </w:rPr>
        <w:t xml:space="preserve">Stelara принадлежи към група лекарства, наречени „имуносупресори”. </w:t>
      </w:r>
      <w:r>
        <w:t>Тези лекарства действат, като намаляват активността на част от имунната система.</w:t>
      </w:r>
    </w:p>
    <w:p w14:paraId="109AE7DC" w14:textId="77777777" w:rsidR="009B3384" w:rsidRDefault="009B3384"/>
    <w:p w14:paraId="109AE7DD" w14:textId="77777777" w:rsidR="009B3384" w:rsidRDefault="00800862">
      <w:pPr>
        <w:rPr>
          <w:b/>
          <w:szCs w:val="22"/>
        </w:rPr>
      </w:pPr>
      <w:r>
        <w:rPr>
          <w:b/>
          <w:lang w:val="ru-RU"/>
        </w:rPr>
        <w:t xml:space="preserve">За </w:t>
      </w:r>
      <w:r>
        <w:rPr>
          <w:b/>
        </w:rPr>
        <w:t>какво</w:t>
      </w:r>
      <w:r>
        <w:rPr>
          <w:b/>
          <w:lang w:val="ru-RU"/>
        </w:rPr>
        <w:t xml:space="preserve"> се </w:t>
      </w:r>
      <w:r>
        <w:rPr>
          <w:b/>
        </w:rPr>
        <w:t xml:space="preserve">използва </w:t>
      </w:r>
      <w:r>
        <w:rPr>
          <w:b/>
          <w:szCs w:val="22"/>
          <w:lang w:val="en-US"/>
        </w:rPr>
        <w:t>Stelara</w:t>
      </w:r>
    </w:p>
    <w:p w14:paraId="109AE7DE" w14:textId="77777777" w:rsidR="009B3384" w:rsidRDefault="00800862">
      <w:r>
        <w:t>Stelara, приложена с използването на предварително напълнена писалка, се използва за лечение на следните възпалителни заболявания:</w:t>
      </w:r>
    </w:p>
    <w:p w14:paraId="109AE7DF" w14:textId="77777777" w:rsidR="009B3384" w:rsidRDefault="00800862">
      <w:pPr>
        <w:numPr>
          <w:ilvl w:val="0"/>
          <w:numId w:val="30"/>
        </w:numPr>
        <w:tabs>
          <w:tab w:val="clear" w:pos="567"/>
        </w:tabs>
        <w:rPr>
          <w:szCs w:val="22"/>
        </w:rPr>
      </w:pPr>
      <w:r>
        <w:rPr>
          <w:szCs w:val="22"/>
        </w:rPr>
        <w:t>Плаков псориазис</w:t>
      </w:r>
      <w:r>
        <w:t xml:space="preserve"> - при възрастни и деца на възраст от 6 години и по-големи</w:t>
      </w:r>
    </w:p>
    <w:p w14:paraId="109AE7E0" w14:textId="77777777" w:rsidR="009B3384" w:rsidRDefault="00800862">
      <w:pPr>
        <w:numPr>
          <w:ilvl w:val="0"/>
          <w:numId w:val="30"/>
        </w:numPr>
        <w:tabs>
          <w:tab w:val="clear" w:pos="567"/>
        </w:tabs>
        <w:rPr>
          <w:szCs w:val="22"/>
        </w:rPr>
      </w:pPr>
      <w:r>
        <w:rPr>
          <w:szCs w:val="22"/>
        </w:rPr>
        <w:t>Псориатичен артрит</w:t>
      </w:r>
      <w:r>
        <w:t xml:space="preserve"> – при възрастни</w:t>
      </w:r>
    </w:p>
    <w:p w14:paraId="109AE7E1" w14:textId="77777777" w:rsidR="009B3384" w:rsidRDefault="00800862">
      <w:pPr>
        <w:numPr>
          <w:ilvl w:val="0"/>
          <w:numId w:val="30"/>
        </w:numPr>
        <w:tabs>
          <w:tab w:val="clear" w:pos="567"/>
        </w:tabs>
        <w:rPr>
          <w:szCs w:val="22"/>
        </w:rPr>
      </w:pPr>
      <w:r>
        <w:t>Умерена до тежка болест на Крон – при възрастни</w:t>
      </w:r>
    </w:p>
    <w:p w14:paraId="109AE7E2" w14:textId="77777777" w:rsidR="009B3384" w:rsidRDefault="00800862">
      <w:pPr>
        <w:numPr>
          <w:ilvl w:val="0"/>
          <w:numId w:val="30"/>
        </w:numPr>
        <w:tabs>
          <w:tab w:val="clear" w:pos="567"/>
        </w:tabs>
        <w:rPr>
          <w:szCs w:val="22"/>
        </w:rPr>
      </w:pPr>
      <w:r>
        <w:t>Умерен до тежък улцерозен колит – при възрастни</w:t>
      </w:r>
    </w:p>
    <w:p w14:paraId="109AE7E3" w14:textId="77777777" w:rsidR="009B3384" w:rsidRDefault="009B3384"/>
    <w:p w14:paraId="109AE7E4" w14:textId="77777777" w:rsidR="009B3384" w:rsidRDefault="00800862">
      <w:pPr>
        <w:keepNext/>
        <w:widowControl w:val="0"/>
        <w:rPr>
          <w:b/>
        </w:rPr>
      </w:pPr>
      <w:r>
        <w:rPr>
          <w:b/>
        </w:rPr>
        <w:t>Плаков псориазис</w:t>
      </w:r>
    </w:p>
    <w:p w14:paraId="109AE7E5" w14:textId="77777777" w:rsidR="009B3384" w:rsidRDefault="00800862">
      <w:pPr>
        <w:widowControl w:val="0"/>
      </w:pPr>
      <w:r>
        <w:t>„Плаков псориазис” е кожно заболяване, което води до възпаление, засягащо кожата и ноктите. Stelara намалява възпалението и другите признаци на заболяването.</w:t>
      </w:r>
    </w:p>
    <w:p w14:paraId="109AE7E6" w14:textId="77777777" w:rsidR="009B3384" w:rsidRDefault="009B3384">
      <w:pPr>
        <w:widowControl w:val="0"/>
      </w:pPr>
    </w:p>
    <w:p w14:paraId="109AE7E7" w14:textId="77777777" w:rsidR="009B3384" w:rsidRDefault="00800862">
      <w:pPr>
        <w:widowControl w:val="0"/>
      </w:pPr>
      <w:r>
        <w:t>Stelara, приложена с използването на предварително напълнена писалка, се използва при възрастни с умерен до тежък плаков псориазис, които не могат да използват циклоспорин, метотрексат или фототерапия, или когато тези лечения не действат.</w:t>
      </w:r>
    </w:p>
    <w:p w14:paraId="109AE7E8" w14:textId="77777777" w:rsidR="009B3384" w:rsidRDefault="009B3384">
      <w:pPr>
        <w:widowControl w:val="0"/>
      </w:pPr>
    </w:p>
    <w:p w14:paraId="109AE7E9" w14:textId="77777777" w:rsidR="009B3384" w:rsidRDefault="00800862">
      <w:pPr>
        <w:keepNext/>
        <w:rPr>
          <w:b/>
          <w:szCs w:val="22"/>
        </w:rPr>
      </w:pPr>
      <w:r>
        <w:rPr>
          <w:b/>
          <w:szCs w:val="22"/>
        </w:rPr>
        <w:t>Псориатичен артрит</w:t>
      </w:r>
    </w:p>
    <w:p w14:paraId="109AE7EA" w14:textId="77777777" w:rsidR="009B3384" w:rsidRDefault="00800862">
      <w:pPr>
        <w:rPr>
          <w:szCs w:val="22"/>
        </w:rPr>
      </w:pPr>
      <w:r>
        <w:rPr>
          <w:szCs w:val="22"/>
        </w:rPr>
        <w:t>Псориатичен артрит е възпалително заболяване на ставите, обикновено съпътствано от псориазис. Ако имате активен псориатичен артрит, първо ще Ви лекуват с други лекарства. Ако не се повлияете достатъчно добре от тези лекарства, може да Ви се предпише Stelara, за да се:</w:t>
      </w:r>
    </w:p>
    <w:p w14:paraId="109AE7EB" w14:textId="77777777" w:rsidR="009B3384" w:rsidRDefault="00800862">
      <w:pPr>
        <w:numPr>
          <w:ilvl w:val="0"/>
          <w:numId w:val="30"/>
        </w:numPr>
        <w:tabs>
          <w:tab w:val="clear" w:pos="567"/>
        </w:tabs>
        <w:rPr>
          <w:szCs w:val="22"/>
        </w:rPr>
      </w:pPr>
      <w:r>
        <w:rPr>
          <w:szCs w:val="22"/>
        </w:rPr>
        <w:lastRenderedPageBreak/>
        <w:t>намалят признаците и симптомите на заболяването Ви;</w:t>
      </w:r>
    </w:p>
    <w:p w14:paraId="109AE7EC" w14:textId="77777777" w:rsidR="009B3384" w:rsidRDefault="00800862">
      <w:pPr>
        <w:numPr>
          <w:ilvl w:val="0"/>
          <w:numId w:val="30"/>
        </w:numPr>
        <w:tabs>
          <w:tab w:val="clear" w:pos="567"/>
        </w:tabs>
        <w:rPr>
          <w:szCs w:val="22"/>
        </w:rPr>
      </w:pPr>
      <w:r>
        <w:rPr>
          <w:szCs w:val="22"/>
        </w:rPr>
        <w:t>подобри физическото Ви състояние;</w:t>
      </w:r>
    </w:p>
    <w:p w14:paraId="109AE7ED" w14:textId="77777777" w:rsidR="009B3384" w:rsidRDefault="00800862">
      <w:pPr>
        <w:numPr>
          <w:ilvl w:val="0"/>
          <w:numId w:val="30"/>
        </w:numPr>
        <w:tabs>
          <w:tab w:val="clear" w:pos="567"/>
        </w:tabs>
        <w:rPr>
          <w:szCs w:val="22"/>
        </w:rPr>
      </w:pPr>
      <w:r>
        <w:rPr>
          <w:szCs w:val="22"/>
        </w:rPr>
        <w:t>забави увреждането на Вашите стави.</w:t>
      </w:r>
    </w:p>
    <w:p w14:paraId="109AE7EE" w14:textId="77777777" w:rsidR="009B3384" w:rsidRDefault="009B3384">
      <w:pPr>
        <w:rPr>
          <w:szCs w:val="22"/>
        </w:rPr>
      </w:pPr>
    </w:p>
    <w:p w14:paraId="109AE7EF" w14:textId="77777777" w:rsidR="009B3384" w:rsidRDefault="00800862">
      <w:pPr>
        <w:keepNext/>
        <w:rPr>
          <w:b/>
          <w:szCs w:val="22"/>
        </w:rPr>
      </w:pPr>
      <w:r>
        <w:rPr>
          <w:b/>
          <w:szCs w:val="22"/>
        </w:rPr>
        <w:t>Болест на Крон</w:t>
      </w:r>
    </w:p>
    <w:p w14:paraId="109AE7F0" w14:textId="77777777" w:rsidR="009B3384" w:rsidRDefault="00800862">
      <w:pPr>
        <w:rPr>
          <w:szCs w:val="22"/>
        </w:rPr>
      </w:pPr>
      <w:r>
        <w:rPr>
          <w:szCs w:val="22"/>
        </w:rPr>
        <w:t xml:space="preserve">Болестта на Крон е възпалително заболяване на червата. Ако имате болест на Крон първо ще Ви се дадат други лекарства. Ако не се повлияете достатъчно или имате непоносимост към тези лекарства, може да Ви се даде </w:t>
      </w:r>
      <w:r>
        <w:rPr>
          <w:szCs w:val="22"/>
          <w:lang w:val="en-GB"/>
        </w:rPr>
        <w:t>Stelara</w:t>
      </w:r>
      <w:r>
        <w:rPr>
          <w:szCs w:val="22"/>
        </w:rPr>
        <w:t xml:space="preserve"> за намаляване на признаците и симптомите на заболяването Ви.</w:t>
      </w:r>
    </w:p>
    <w:p w14:paraId="109AE7F1" w14:textId="77777777" w:rsidR="009B3384" w:rsidRDefault="009B3384">
      <w:pPr>
        <w:rPr>
          <w:szCs w:val="22"/>
        </w:rPr>
      </w:pPr>
    </w:p>
    <w:p w14:paraId="109AE7F2" w14:textId="77777777" w:rsidR="009B3384" w:rsidRDefault="00800862">
      <w:pPr>
        <w:keepNext/>
        <w:tabs>
          <w:tab w:val="clear" w:pos="567"/>
        </w:tabs>
        <w:rPr>
          <w:b/>
        </w:rPr>
      </w:pPr>
      <w:r>
        <w:rPr>
          <w:b/>
        </w:rPr>
        <w:t>Улцерозен колит</w:t>
      </w:r>
    </w:p>
    <w:p w14:paraId="109AE7F3" w14:textId="77777777" w:rsidR="009B3384" w:rsidRDefault="00800862">
      <w:r>
        <w:t>Улцерозният колит е възпалително заболяване на червата. Ако имате улцерозен колит, първо ще Ви се дадат други лекарства. Ако не се повлиявате добре или имате непоносимост към тези лекарства, може да Ви се даде Stelara за намаляване на признаците и симптомите на Вашето заболяване.</w:t>
      </w:r>
    </w:p>
    <w:p w14:paraId="109AE7F4" w14:textId="77777777" w:rsidR="009B3384" w:rsidRDefault="009B3384">
      <w:pPr>
        <w:rPr>
          <w:szCs w:val="22"/>
        </w:rPr>
      </w:pPr>
    </w:p>
    <w:p w14:paraId="109AE7F5" w14:textId="77777777" w:rsidR="009B3384" w:rsidRDefault="009B3384">
      <w:pPr>
        <w:rPr>
          <w:szCs w:val="22"/>
        </w:rPr>
      </w:pPr>
    </w:p>
    <w:p w14:paraId="109AE7F6" w14:textId="77777777" w:rsidR="009B3384" w:rsidRDefault="00800862">
      <w:pPr>
        <w:keepNext/>
        <w:ind w:left="567" w:hanging="567"/>
        <w:outlineLvl w:val="2"/>
        <w:rPr>
          <w:b/>
          <w:bCs/>
          <w:szCs w:val="22"/>
        </w:rPr>
      </w:pPr>
      <w:r>
        <w:rPr>
          <w:b/>
          <w:bCs/>
          <w:szCs w:val="22"/>
        </w:rPr>
        <w:t>2.</w:t>
      </w:r>
      <w:r>
        <w:rPr>
          <w:b/>
          <w:bCs/>
          <w:szCs w:val="22"/>
        </w:rPr>
        <w:tab/>
        <w:t>Какво трябва да знаете, преди да използвате Stelara</w:t>
      </w:r>
    </w:p>
    <w:p w14:paraId="109AE7F7" w14:textId="77777777" w:rsidR="009B3384" w:rsidRDefault="009B3384">
      <w:pPr>
        <w:keepNext/>
        <w:rPr>
          <w:szCs w:val="22"/>
        </w:rPr>
      </w:pPr>
    </w:p>
    <w:p w14:paraId="109AE7F8" w14:textId="77777777" w:rsidR="009B3384" w:rsidRDefault="00800862">
      <w:pPr>
        <w:keepNext/>
        <w:rPr>
          <w:szCs w:val="22"/>
        </w:rPr>
      </w:pPr>
      <w:r>
        <w:rPr>
          <w:b/>
          <w:szCs w:val="22"/>
        </w:rPr>
        <w:t>Не използвайте Stelara</w:t>
      </w:r>
    </w:p>
    <w:p w14:paraId="109AE7F9" w14:textId="77777777" w:rsidR="009B3384" w:rsidRDefault="00800862">
      <w:pPr>
        <w:numPr>
          <w:ilvl w:val="0"/>
          <w:numId w:val="30"/>
        </w:numPr>
        <w:tabs>
          <w:tab w:val="clear" w:pos="567"/>
        </w:tabs>
        <w:rPr>
          <w:bCs/>
          <w:szCs w:val="22"/>
        </w:rPr>
      </w:pPr>
      <w:r>
        <w:rPr>
          <w:b/>
          <w:szCs w:val="22"/>
        </w:rPr>
        <w:t>Ако сте алергични към устекинумаб</w:t>
      </w:r>
      <w:r>
        <w:rPr>
          <w:szCs w:val="22"/>
        </w:rPr>
        <w:t xml:space="preserve"> или някоя от останалите съставки на това лекарство (изброени в точка 6).</w:t>
      </w:r>
    </w:p>
    <w:p w14:paraId="109AE7FA" w14:textId="77777777" w:rsidR="009B3384" w:rsidRDefault="00800862">
      <w:pPr>
        <w:numPr>
          <w:ilvl w:val="0"/>
          <w:numId w:val="30"/>
        </w:numPr>
        <w:tabs>
          <w:tab w:val="clear" w:pos="567"/>
        </w:tabs>
        <w:rPr>
          <w:bCs/>
          <w:szCs w:val="22"/>
        </w:rPr>
      </w:pPr>
      <w:r>
        <w:rPr>
          <w:b/>
          <w:szCs w:val="22"/>
        </w:rPr>
        <w:t>Ако имате активна инфекция</w:t>
      </w:r>
      <w:r>
        <w:rPr>
          <w:szCs w:val="22"/>
        </w:rPr>
        <w:t>, която Вашият лекар намира за значима.</w:t>
      </w:r>
    </w:p>
    <w:p w14:paraId="109AE7FB" w14:textId="77777777" w:rsidR="009B3384" w:rsidRDefault="009B3384">
      <w:pPr>
        <w:rPr>
          <w:szCs w:val="22"/>
        </w:rPr>
      </w:pPr>
    </w:p>
    <w:p w14:paraId="109AE7FC" w14:textId="77777777" w:rsidR="009B3384" w:rsidRDefault="00800862">
      <w:pPr>
        <w:rPr>
          <w:szCs w:val="22"/>
        </w:rPr>
      </w:pPr>
      <w:r>
        <w:rPr>
          <w:szCs w:val="22"/>
        </w:rPr>
        <w:t>Ако не сте сигурни дали някое от изброените по-горе се отнася за Вас, посъветвайте се с Вашия лекар или фармацевт, преди да използвате Stelara.</w:t>
      </w:r>
    </w:p>
    <w:p w14:paraId="109AE7FD" w14:textId="77777777" w:rsidR="009B3384" w:rsidRDefault="009B3384">
      <w:pPr>
        <w:rPr>
          <w:szCs w:val="22"/>
        </w:rPr>
      </w:pPr>
    </w:p>
    <w:p w14:paraId="109AE7FE" w14:textId="77777777" w:rsidR="009B3384" w:rsidRDefault="00800862">
      <w:pPr>
        <w:keepNext/>
        <w:rPr>
          <w:b/>
          <w:szCs w:val="22"/>
        </w:rPr>
      </w:pPr>
      <w:r>
        <w:rPr>
          <w:b/>
          <w:szCs w:val="22"/>
        </w:rPr>
        <w:t>Предупреждения и предпазни мерки</w:t>
      </w:r>
    </w:p>
    <w:p w14:paraId="109AE7FF" w14:textId="77777777" w:rsidR="009B3384" w:rsidRDefault="00800862">
      <w:r>
        <w:t>Говорете с Вашия лекар или фармацевт преди да използвате Stelara. Вашият лекар ще провери състоянието Ви преди всяко лечение. Уведомете своя лекар за всяка Ваша болест преди всяко лечение. Също така информирайте Вашия лекар, ако наскоро сте били в контакт с човек, който може да има туберкулоза. Вашият лекар ще Ви прегледа и ще направи изследване за туберкулоза, преди да използвате Stelara. Ако Вашият лекар смята, че сте изложени на риск от туберкулоза, може да Ви предпише лекарства за лечението й.</w:t>
      </w:r>
    </w:p>
    <w:p w14:paraId="109AE800" w14:textId="77777777" w:rsidR="009B3384" w:rsidRDefault="009B3384">
      <w:pPr>
        <w:rPr>
          <w:szCs w:val="22"/>
        </w:rPr>
      </w:pPr>
    </w:p>
    <w:p w14:paraId="109AE801" w14:textId="77777777" w:rsidR="009B3384" w:rsidRDefault="00800862">
      <w:pPr>
        <w:keepNext/>
        <w:rPr>
          <w:b/>
        </w:rPr>
      </w:pPr>
      <w:r>
        <w:rPr>
          <w:b/>
        </w:rPr>
        <w:t>Следете за сериозни нежелани реакции</w:t>
      </w:r>
    </w:p>
    <w:p w14:paraId="109AE802" w14:textId="77777777" w:rsidR="009B3384" w:rsidRDefault="00800862">
      <w:r>
        <w:t>Stelara може да предизвика сериозни нежелани реакции, включително алергични реакции и инфекции. Трябва да следите за определени признаци на заболявания, докато приемате Stelara. Вижте „Сериозни нежелани реакции” в точка 4 за пълния списък на тези нежелани реакции.</w:t>
      </w:r>
    </w:p>
    <w:p w14:paraId="109AE803" w14:textId="77777777" w:rsidR="009B3384" w:rsidRDefault="009B3384">
      <w:pPr>
        <w:tabs>
          <w:tab w:val="left" w:pos="1134"/>
        </w:tabs>
        <w:rPr>
          <w:bCs/>
          <w:szCs w:val="22"/>
        </w:rPr>
      </w:pPr>
    </w:p>
    <w:p w14:paraId="109AE804" w14:textId="77777777" w:rsidR="009B3384" w:rsidRDefault="00800862">
      <w:pPr>
        <w:keepNext/>
        <w:tabs>
          <w:tab w:val="left" w:pos="1134"/>
        </w:tabs>
        <w:rPr>
          <w:b/>
          <w:bCs/>
          <w:szCs w:val="22"/>
        </w:rPr>
      </w:pPr>
      <w:r>
        <w:rPr>
          <w:b/>
          <w:bCs/>
          <w:szCs w:val="22"/>
        </w:rPr>
        <w:t>Преди да използвате Stelara информирайте Вашия лекар:</w:t>
      </w:r>
    </w:p>
    <w:p w14:paraId="109AE805" w14:textId="77777777" w:rsidR="009B3384" w:rsidRDefault="00800862">
      <w:pPr>
        <w:widowControl w:val="0"/>
        <w:numPr>
          <w:ilvl w:val="0"/>
          <w:numId w:val="30"/>
        </w:numPr>
        <w:tabs>
          <w:tab w:val="clear" w:pos="567"/>
        </w:tabs>
        <w:rPr>
          <w:bCs/>
        </w:rPr>
      </w:pPr>
      <w:r>
        <w:rPr>
          <w:b/>
        </w:rPr>
        <w:t>Ако някога сте имали алергична реакция към Stelara</w:t>
      </w:r>
      <w:r>
        <w:t>. Ако не сте сигурни, попитайте Вашия лекар.</w:t>
      </w:r>
    </w:p>
    <w:p w14:paraId="109AE806" w14:textId="77777777" w:rsidR="009B3384" w:rsidRDefault="00800862">
      <w:pPr>
        <w:widowControl w:val="0"/>
        <w:numPr>
          <w:ilvl w:val="0"/>
          <w:numId w:val="30"/>
        </w:numPr>
        <w:tabs>
          <w:tab w:val="clear" w:pos="567"/>
        </w:tabs>
        <w:rPr>
          <w:bCs/>
          <w:szCs w:val="22"/>
        </w:rPr>
      </w:pPr>
      <w:r>
        <w:rPr>
          <w:b/>
          <w:bCs/>
        </w:rPr>
        <w:t xml:space="preserve">Ако някога сте имали някакъв вид рак </w:t>
      </w:r>
      <w:r>
        <w:rPr>
          <w:bCs/>
        </w:rPr>
        <w:t xml:space="preserve">– това е, защото имуносупресорите като </w:t>
      </w:r>
      <w:r>
        <w:t>Stelara отслабват част от имунната система. Това може да повиши риска от рак.</w:t>
      </w:r>
    </w:p>
    <w:p w14:paraId="109AE807" w14:textId="77777777" w:rsidR="009B3384" w:rsidRDefault="00800862">
      <w:pPr>
        <w:numPr>
          <w:ilvl w:val="0"/>
          <w:numId w:val="30"/>
        </w:numPr>
        <w:tabs>
          <w:tab w:val="clear" w:pos="567"/>
        </w:tabs>
      </w:pPr>
      <w:r>
        <w:rPr>
          <w:b/>
          <w:bCs/>
          <w:szCs w:val="22"/>
        </w:rPr>
        <w:t>Ако сте лекувани за псориазис с други биологични лекарства (лекарство, произведено от биологичен източник и обикновено прилагано чрез инжекция)</w:t>
      </w:r>
      <w:r>
        <w:rPr>
          <w:bCs/>
          <w:szCs w:val="22"/>
        </w:rPr>
        <w:t xml:space="preserve"> - рискът от рак може да е по-висок.</w:t>
      </w:r>
    </w:p>
    <w:p w14:paraId="109AE808" w14:textId="77777777" w:rsidR="009B3384" w:rsidRDefault="00800862">
      <w:pPr>
        <w:widowControl w:val="0"/>
        <w:numPr>
          <w:ilvl w:val="0"/>
          <w:numId w:val="30"/>
        </w:numPr>
        <w:tabs>
          <w:tab w:val="clear" w:pos="567"/>
        </w:tabs>
        <w:rPr>
          <w:bCs/>
          <w:szCs w:val="22"/>
        </w:rPr>
      </w:pPr>
      <w:r>
        <w:rPr>
          <w:b/>
        </w:rPr>
        <w:t>Ако имате или наскоро сте имали инфекция.</w:t>
      </w:r>
    </w:p>
    <w:p w14:paraId="109AE809" w14:textId="77777777" w:rsidR="009B3384" w:rsidRDefault="00800862">
      <w:pPr>
        <w:widowControl w:val="0"/>
        <w:numPr>
          <w:ilvl w:val="0"/>
          <w:numId w:val="30"/>
        </w:numPr>
        <w:tabs>
          <w:tab w:val="clear" w:pos="567"/>
        </w:tabs>
        <w:rPr>
          <w:bCs/>
        </w:rPr>
      </w:pPr>
      <w:r>
        <w:rPr>
          <w:b/>
        </w:rPr>
        <w:t xml:space="preserve">Ако имате нови или променящи се лезии </w:t>
      </w:r>
      <w:r>
        <w:t>в участъците с псориазис или по незасегнатата кожа.</w:t>
      </w:r>
    </w:p>
    <w:p w14:paraId="109AE80A" w14:textId="77777777" w:rsidR="009B3384" w:rsidRDefault="00800862">
      <w:pPr>
        <w:widowControl w:val="0"/>
        <w:numPr>
          <w:ilvl w:val="0"/>
          <w:numId w:val="30"/>
        </w:numPr>
        <w:tabs>
          <w:tab w:val="clear" w:pos="567"/>
        </w:tabs>
        <w:rPr>
          <w:bCs/>
        </w:rPr>
      </w:pPr>
      <w:r>
        <w:rPr>
          <w:b/>
        </w:rPr>
        <w:t>Ако някога сте имали алергична реакция към латекс или инжекция Stelara</w:t>
      </w:r>
      <w:r>
        <w:t xml:space="preserve"> – </w:t>
      </w:r>
      <w:r>
        <w:rPr>
          <w:szCs w:val="22"/>
        </w:rPr>
        <w:t xml:space="preserve">опаковката, в която се намира този лекарствен продукт, съдържа латексова гума, която може да предизвика тежки алергични реакции при хора, чувствителни към латекс. Вижте </w:t>
      </w:r>
      <w:r>
        <w:t>„Следете за сериозни нежелани реакции” в точка 4 за признаците на алергична реакция.</w:t>
      </w:r>
    </w:p>
    <w:p w14:paraId="109AE80B" w14:textId="77777777" w:rsidR="009B3384" w:rsidRDefault="00800862">
      <w:pPr>
        <w:widowControl w:val="0"/>
        <w:numPr>
          <w:ilvl w:val="0"/>
          <w:numId w:val="30"/>
        </w:numPr>
        <w:tabs>
          <w:tab w:val="clear" w:pos="567"/>
        </w:tabs>
        <w:rPr>
          <w:bCs/>
        </w:rPr>
      </w:pPr>
      <w:r>
        <w:rPr>
          <w:b/>
        </w:rPr>
        <w:t>Ако получавате друго лечение за псориазис и/или псориатичен артрит</w:t>
      </w:r>
      <w:r>
        <w:t xml:space="preserve"> – като други </w:t>
      </w:r>
      <w:r>
        <w:lastRenderedPageBreak/>
        <w:t xml:space="preserve">имуносупресори или фототерапия (когато тялото се лекува с тип ултравиолетова (UV) светлина). Тези лечения също може да отслабят част от имунната система. Използването на тези лечения заедно със </w:t>
      </w:r>
      <w:r>
        <w:rPr>
          <w:lang w:val="en-US"/>
        </w:rPr>
        <w:t>Stelara</w:t>
      </w:r>
      <w:r>
        <w:t xml:space="preserve"> не е изследвано. Възможно е обаче, то да увеличи риска от заболявания, свързани с отслабване на имунната система.</w:t>
      </w:r>
    </w:p>
    <w:p w14:paraId="109AE80C" w14:textId="77777777" w:rsidR="009B3384" w:rsidRDefault="00800862">
      <w:pPr>
        <w:numPr>
          <w:ilvl w:val="0"/>
          <w:numId w:val="30"/>
        </w:numPr>
        <w:tabs>
          <w:tab w:val="clear" w:pos="567"/>
        </w:tabs>
        <w:rPr>
          <w:bCs/>
        </w:rPr>
      </w:pPr>
      <w:r>
        <w:rPr>
          <w:b/>
        </w:rPr>
        <w:t>Ако получавате или някога сте получавали инжекции за лечение на алергии</w:t>
      </w:r>
      <w:r>
        <w:t xml:space="preserve"> – не е известно дали Stelara може да окаже влияние върху тях.</w:t>
      </w:r>
    </w:p>
    <w:p w14:paraId="109AE80D" w14:textId="77777777" w:rsidR="009B3384" w:rsidRDefault="00800862">
      <w:pPr>
        <w:numPr>
          <w:ilvl w:val="0"/>
          <w:numId w:val="30"/>
        </w:numPr>
        <w:tabs>
          <w:tab w:val="clear" w:pos="567"/>
        </w:tabs>
        <w:rPr>
          <w:bCs/>
        </w:rPr>
      </w:pPr>
      <w:r>
        <w:rPr>
          <w:b/>
        </w:rPr>
        <w:t>Ако сте на и над 65 години</w:t>
      </w:r>
      <w:r>
        <w:t xml:space="preserve"> – може да сте по-склонни към инфекции.</w:t>
      </w:r>
    </w:p>
    <w:p w14:paraId="109AE80E" w14:textId="77777777" w:rsidR="009B3384" w:rsidRDefault="009B3384">
      <w:pPr>
        <w:tabs>
          <w:tab w:val="clear" w:pos="567"/>
        </w:tabs>
        <w:rPr>
          <w:bCs/>
        </w:rPr>
      </w:pPr>
    </w:p>
    <w:p w14:paraId="109AE80F" w14:textId="77777777" w:rsidR="009B3384" w:rsidRDefault="00800862">
      <w:r>
        <w:t>Ако не сте сигурни дали някое от гореизброените се отнася за Вас, посъветвайте се с Вашия лекар или фармацевт, преди да използвате Stelara.</w:t>
      </w:r>
    </w:p>
    <w:p w14:paraId="109AE810" w14:textId="77777777" w:rsidR="009B3384" w:rsidRDefault="009B3384">
      <w:pPr>
        <w:rPr>
          <w:szCs w:val="22"/>
        </w:rPr>
      </w:pPr>
    </w:p>
    <w:p w14:paraId="109AE811" w14:textId="77777777" w:rsidR="009B3384" w:rsidRDefault="00800862">
      <w:pPr>
        <w:rPr>
          <w:szCs w:val="22"/>
        </w:rPr>
      </w:pPr>
      <w:r>
        <w:rPr>
          <w:szCs w:val="22"/>
        </w:rPr>
        <w:t>Някои пациенти получават лупус-подобни реакции, включително кожен лупус еритематодес и лупус-подобен синдром, по време на лечение с устекинумаб. Говорете веднага с Вашия лекар, ако получите червен, надигнат, лющещ се обрив, понякога с по-тъмни граници, в изложените на слънце участъци на кожата или ставни болки.</w:t>
      </w:r>
    </w:p>
    <w:p w14:paraId="109AE812" w14:textId="77777777" w:rsidR="009B3384" w:rsidRDefault="009B3384">
      <w:pPr>
        <w:rPr>
          <w:szCs w:val="22"/>
        </w:rPr>
      </w:pPr>
    </w:p>
    <w:p w14:paraId="109AE813" w14:textId="77777777" w:rsidR="009B3384" w:rsidRDefault="00800862">
      <w:pPr>
        <w:keepNext/>
        <w:tabs>
          <w:tab w:val="clear" w:pos="567"/>
        </w:tabs>
        <w:rPr>
          <w:b/>
          <w:bCs/>
        </w:rPr>
      </w:pPr>
      <w:r>
        <w:rPr>
          <w:b/>
          <w:bCs/>
        </w:rPr>
        <w:t>Сърдечен инфаркт и инсулти</w:t>
      </w:r>
    </w:p>
    <w:p w14:paraId="109AE814" w14:textId="77777777" w:rsidR="009B3384" w:rsidRDefault="00800862">
      <w:pPr>
        <w:tabs>
          <w:tab w:val="clear" w:pos="567"/>
        </w:tabs>
      </w:pPr>
      <w:r>
        <w:t>Инфаркт и инсулти са наблюдавани в проучване при пациенти с псориазис, лекувани със Stelara. Вашият лекар редовно ще проверява рисковите фактори за сърдечно заболяване и инсулт при Вас, за да е сигурно, че те се лекуват по подходящ начин. Незабавно потърсете медицинска помощ, ако получите болка в гърдите, слабост или необичайно усещане от едната страна на тялото, отпуснатост на лицето или говорни или зрителни смущения.</w:t>
      </w:r>
    </w:p>
    <w:p w14:paraId="109AE815" w14:textId="77777777" w:rsidR="009B3384" w:rsidRDefault="009B3384">
      <w:pPr>
        <w:tabs>
          <w:tab w:val="clear" w:pos="567"/>
        </w:tabs>
      </w:pPr>
    </w:p>
    <w:p w14:paraId="109AE816" w14:textId="77777777" w:rsidR="009B3384" w:rsidRDefault="00800862">
      <w:pPr>
        <w:keepNext/>
        <w:widowControl w:val="0"/>
        <w:rPr>
          <w:b/>
          <w:bCs/>
        </w:rPr>
      </w:pPr>
      <w:r>
        <w:rPr>
          <w:b/>
          <w:bCs/>
        </w:rPr>
        <w:t>Деца и юноши</w:t>
      </w:r>
    </w:p>
    <w:p w14:paraId="109AE817" w14:textId="2A0674D6" w:rsidR="009B3384" w:rsidRDefault="00800862">
      <w:r>
        <w:t xml:space="preserve">Stelara </w:t>
      </w:r>
      <w:r>
        <w:rPr>
          <w:iCs/>
          <w:szCs w:val="22"/>
        </w:rPr>
        <w:t xml:space="preserve">предварително напълнена писалка </w:t>
      </w:r>
      <w:r>
        <w:t>не се препоръчва за употреба при деца на възраст под 18 години с псориазис</w:t>
      </w:r>
      <w:ins w:id="1417" w:author="Reviser" w:date="2026-04-30T15:57:00Z">
        <w:r w:rsidR="005862E3">
          <w:t>,</w:t>
        </w:r>
      </w:ins>
      <w:r>
        <w:t xml:space="preserve"> </w:t>
      </w:r>
      <w:del w:id="1418" w:author="Reviser" w:date="2026-04-30T15:57:00Z">
        <w:r w:rsidDel="005862E3">
          <w:delText xml:space="preserve">или </w:delText>
        </w:r>
      </w:del>
      <w:r>
        <w:t>болест на Крон</w:t>
      </w:r>
      <w:ins w:id="1419" w:author="Reviser" w:date="2026-04-30T15:57:00Z">
        <w:r w:rsidR="005862E3">
          <w:t xml:space="preserve"> </w:t>
        </w:r>
        <w:r w:rsidR="005862E3">
          <w:rPr>
            <w:bCs/>
          </w:rPr>
          <w:t>или улцерозен колит</w:t>
        </w:r>
      </w:ins>
      <w:r>
        <w:t xml:space="preserve">, защото не е проучван при тази възрастова група. Вместо това при деца на възраст 6 или повече години и юноши с псориазис трябва да се използва </w:t>
      </w:r>
      <w:r>
        <w:rPr>
          <w:iCs/>
          <w:szCs w:val="22"/>
        </w:rPr>
        <w:t>предварително напълнена спринцовка или флакон.</w:t>
      </w:r>
      <w:r>
        <w:t xml:space="preserve"> Вместо това при деца </w:t>
      </w:r>
      <w:ins w:id="1420" w:author="Reviser" w:date="2026-04-30T15:58:00Z">
        <w:r w:rsidR="005862E3">
          <w:rPr>
            <w:bCs/>
          </w:rPr>
          <w:t xml:space="preserve">на възраст 2 и повече години </w:t>
        </w:r>
      </w:ins>
      <w:r>
        <w:t xml:space="preserve">с болест на Крон </w:t>
      </w:r>
      <w:ins w:id="1421" w:author="Reviser" w:date="2026-04-30T15:58:00Z">
        <w:r w:rsidR="005862E3">
          <w:rPr>
            <w:bCs/>
          </w:rPr>
          <w:t>или улцерозен колит</w:t>
        </w:r>
        <w:r w:rsidR="005862E3" w:rsidDel="005862E3">
          <w:rPr>
            <w:bCs/>
          </w:rPr>
          <w:t xml:space="preserve"> </w:t>
        </w:r>
      </w:ins>
      <w:del w:id="1422" w:author="Reviser" w:date="2026-04-30T15:58:00Z">
        <w:r w:rsidDel="005862E3">
          <w:rPr>
            <w:bCs/>
          </w:rPr>
          <w:delText xml:space="preserve">на възраст 2 и повече години </w:delText>
        </w:r>
      </w:del>
      <w:r>
        <w:t xml:space="preserve">трябва да се използва инфузионен разтвор, </w:t>
      </w:r>
      <w:ins w:id="1423" w:author="RABG09" w:date="2026-06-25T10:52:00Z">
        <w:r w:rsidR="00F41CE9">
          <w:rPr>
            <w:iCs/>
            <w:szCs w:val="22"/>
          </w:rPr>
          <w:t xml:space="preserve">флакон или </w:t>
        </w:r>
      </w:ins>
      <w:r>
        <w:rPr>
          <w:iCs/>
          <w:szCs w:val="22"/>
        </w:rPr>
        <w:t xml:space="preserve">предварително напълнена спринцовка </w:t>
      </w:r>
      <w:del w:id="1424" w:author="RABG09" w:date="2026-06-25T10:52:00Z">
        <w:r w:rsidDel="00F41CE9">
          <w:rPr>
            <w:iCs/>
            <w:szCs w:val="22"/>
          </w:rPr>
          <w:delText>или флакон</w:delText>
        </w:r>
      </w:del>
      <w:r>
        <w:rPr>
          <w:iCs/>
          <w:szCs w:val="22"/>
        </w:rPr>
        <w:t>.</w:t>
      </w:r>
    </w:p>
    <w:p w14:paraId="109AE818" w14:textId="77777777" w:rsidR="009B3384" w:rsidRDefault="009B3384"/>
    <w:p w14:paraId="109AE819" w14:textId="27A14BF4" w:rsidR="009B3384" w:rsidRDefault="00800862">
      <w:r>
        <w:t>Stelara не се препоръчва за употреба при деца и юноши на възраст под 18</w:t>
      </w:r>
      <w:r>
        <w:rPr>
          <w:lang w:val="en-GB"/>
        </w:rPr>
        <w:t> </w:t>
      </w:r>
      <w:r>
        <w:t>години с псориатичен артрит</w:t>
      </w:r>
      <w:ins w:id="1425" w:author="RABG09" w:date="2026-05-14T13:31:00Z">
        <w:r w:rsidR="00026535">
          <w:t>,</w:t>
        </w:r>
      </w:ins>
      <w:del w:id="1426" w:author="RABG09" w:date="2026-05-14T13:30:00Z">
        <w:r w:rsidDel="00212B10">
          <w:delText xml:space="preserve">, </w:delText>
        </w:r>
        <w:r w:rsidDel="00212B10">
          <w:rPr>
            <w:bCs/>
          </w:rPr>
          <w:delText>с улцерозен колит</w:delText>
        </w:r>
      </w:del>
      <w:r>
        <w:rPr>
          <w:bCs/>
        </w:rPr>
        <w:t xml:space="preserve"> </w:t>
      </w:r>
      <w:ins w:id="1427" w:author="RABG09" w:date="2026-06-25T10:53:00Z">
        <w:r w:rsidR="00861C01">
          <w:rPr>
            <w:bCs/>
          </w:rPr>
          <w:t>ил</w:t>
        </w:r>
        <w:r w:rsidR="004B7D12">
          <w:rPr>
            <w:bCs/>
          </w:rPr>
          <w:t>и при деца на възраст под 6 години с п</w:t>
        </w:r>
      </w:ins>
      <w:ins w:id="1428" w:author="RABG09" w:date="2026-06-25T10:54:00Z">
        <w:r w:rsidR="00775268">
          <w:rPr>
            <w:bCs/>
          </w:rPr>
          <w:t>с</w:t>
        </w:r>
      </w:ins>
      <w:ins w:id="1429" w:author="RABG09" w:date="2026-06-25T10:53:00Z">
        <w:r w:rsidR="004B7D12">
          <w:rPr>
            <w:bCs/>
          </w:rPr>
          <w:t>ориазис</w:t>
        </w:r>
      </w:ins>
      <w:ins w:id="1430" w:author="RABG09" w:date="2026-06-25T10:54:00Z">
        <w:r w:rsidR="00775268">
          <w:rPr>
            <w:bCs/>
          </w:rPr>
          <w:t xml:space="preserve">, </w:t>
        </w:r>
      </w:ins>
      <w:r>
        <w:rPr>
          <w:bCs/>
        </w:rPr>
        <w:t xml:space="preserve">или </w:t>
      </w:r>
      <w:ins w:id="1431" w:author="RABG09" w:date="2026-05-14T13:31:00Z">
        <w:r w:rsidR="00026535">
          <w:rPr>
            <w:bCs/>
          </w:rPr>
          <w:t xml:space="preserve">при </w:t>
        </w:r>
      </w:ins>
      <w:r>
        <w:t xml:space="preserve">деца </w:t>
      </w:r>
      <w:ins w:id="1432" w:author="Reviser" w:date="2026-04-30T15:58:00Z">
        <w:r w:rsidR="005862E3">
          <w:rPr>
            <w:bCs/>
          </w:rPr>
          <w:t>на възраст под 2 години</w:t>
        </w:r>
        <w:r w:rsidR="005862E3">
          <w:t xml:space="preserve"> </w:t>
        </w:r>
      </w:ins>
      <w:r>
        <w:t>с болест на Крон</w:t>
      </w:r>
      <w:ins w:id="1433" w:author="Reviser" w:date="2026-04-30T15:59:00Z">
        <w:r w:rsidR="005862E3">
          <w:t xml:space="preserve"> </w:t>
        </w:r>
        <w:r w:rsidR="005862E3">
          <w:rPr>
            <w:bCs/>
          </w:rPr>
          <w:t>или улцерозен колит</w:t>
        </w:r>
      </w:ins>
      <w:del w:id="1434" w:author="Reviser" w:date="2026-04-30T15:58:00Z">
        <w:r w:rsidDel="005862E3">
          <w:delText xml:space="preserve"> </w:delText>
        </w:r>
        <w:r w:rsidDel="005862E3">
          <w:rPr>
            <w:bCs/>
          </w:rPr>
          <w:delText>на възраст под 2 години</w:delText>
        </w:r>
      </w:del>
      <w:r>
        <w:t>, защото не е проучван при тези възрастови групи.</w:t>
      </w:r>
    </w:p>
    <w:p w14:paraId="109AE81A" w14:textId="77777777" w:rsidR="009B3384" w:rsidRDefault="009B3384">
      <w:pPr>
        <w:rPr>
          <w:szCs w:val="22"/>
        </w:rPr>
      </w:pPr>
    </w:p>
    <w:p w14:paraId="109AE81B" w14:textId="77777777" w:rsidR="009B3384" w:rsidRDefault="00800862">
      <w:pPr>
        <w:keepNext/>
      </w:pPr>
      <w:r>
        <w:rPr>
          <w:b/>
          <w:szCs w:val="22"/>
        </w:rPr>
        <w:t>Други лекарства, ваксини и Stelara</w:t>
      </w:r>
    </w:p>
    <w:p w14:paraId="109AE81C" w14:textId="77777777" w:rsidR="009B3384" w:rsidRDefault="00800862">
      <w:r>
        <w:rPr>
          <w:szCs w:val="22"/>
        </w:rPr>
        <w:t>Трябва да кажете на Вашия лекар или фармацевт:</w:t>
      </w:r>
    </w:p>
    <w:p w14:paraId="109AE81D" w14:textId="77777777" w:rsidR="009B3384" w:rsidRDefault="00800862">
      <w:pPr>
        <w:numPr>
          <w:ilvl w:val="0"/>
          <w:numId w:val="30"/>
        </w:numPr>
        <w:tabs>
          <w:tab w:val="clear" w:pos="567"/>
        </w:tabs>
      </w:pPr>
      <w:r>
        <w:rPr>
          <w:szCs w:val="22"/>
        </w:rPr>
        <w:t>Ако приемате, наскоро сте приемали или е възможно да приемете други лекарства.</w:t>
      </w:r>
    </w:p>
    <w:p w14:paraId="109AE81E" w14:textId="77777777" w:rsidR="009B3384" w:rsidRDefault="00800862">
      <w:pPr>
        <w:numPr>
          <w:ilvl w:val="0"/>
          <w:numId w:val="30"/>
        </w:numPr>
        <w:tabs>
          <w:tab w:val="clear" w:pos="567"/>
        </w:tabs>
      </w:pPr>
      <w:r>
        <w:rPr>
          <w:szCs w:val="22"/>
        </w:rPr>
        <w:t>Ако наскоро Ви е правена или планирате да Ви се прави ваксинация. Докато използвате Stelara, някои видове ваксини (живи ваксини) не трябва да се прилагат.</w:t>
      </w:r>
    </w:p>
    <w:p w14:paraId="109AE81F" w14:textId="77777777" w:rsidR="009B3384" w:rsidRDefault="00800862">
      <w:pPr>
        <w:numPr>
          <w:ilvl w:val="0"/>
          <w:numId w:val="30"/>
        </w:numPr>
        <w:tabs>
          <w:tab w:val="clear" w:pos="567"/>
        </w:tabs>
      </w:pPr>
      <w:r>
        <w:rPr>
          <w:bCs/>
          <w:szCs w:val="22"/>
        </w:rPr>
        <w:t>Ако сте получавали Stelara по време на бременността, трябва да кажете на лекаря на бебето Ви за лечението със Stelara, преди то да получи каквато и да е ваксина, включително живи ваксини, като БЦЖ ваксина (използвана за предпазване от туберкулоза). Живите ваксини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820" w14:textId="77777777" w:rsidR="009B3384" w:rsidRDefault="009B3384">
      <w:pPr>
        <w:rPr>
          <w:szCs w:val="22"/>
        </w:rPr>
      </w:pPr>
    </w:p>
    <w:p w14:paraId="109AE821" w14:textId="77777777" w:rsidR="009B3384" w:rsidRDefault="00800862">
      <w:pPr>
        <w:keepNext/>
      </w:pPr>
      <w:r>
        <w:rPr>
          <w:b/>
          <w:szCs w:val="22"/>
        </w:rPr>
        <w:t>Бременност и кърмене</w:t>
      </w:r>
    </w:p>
    <w:p w14:paraId="109AE822" w14:textId="77777777" w:rsidR="009B3384" w:rsidRDefault="00800862">
      <w:pPr>
        <w:numPr>
          <w:ilvl w:val="0"/>
          <w:numId w:val="30"/>
        </w:numPr>
        <w:tabs>
          <w:tab w:val="clear" w:pos="567"/>
        </w:tabs>
      </w:pPr>
      <w:r>
        <w:rPr>
          <w:noProof/>
          <w:szCs w:val="22"/>
        </w:rPr>
        <w:t>Ако сте бременна, смятате, че може да сте бременна или планирате бременност, посъветвайте</w:t>
      </w:r>
      <w:r>
        <w:rPr>
          <w:szCs w:val="22"/>
        </w:rPr>
        <w:t xml:space="preserve"> се с Вашия лекар преди употребата на </w:t>
      </w:r>
      <w:r>
        <w:rPr>
          <w:noProof/>
          <w:szCs w:val="22"/>
        </w:rPr>
        <w:t>това</w:t>
      </w:r>
      <w:r>
        <w:rPr>
          <w:szCs w:val="22"/>
        </w:rPr>
        <w:t xml:space="preserve"> лекарство.</w:t>
      </w:r>
    </w:p>
    <w:p w14:paraId="109AE823" w14:textId="77777777" w:rsidR="009B3384" w:rsidRDefault="00800862">
      <w:pPr>
        <w:numPr>
          <w:ilvl w:val="0"/>
          <w:numId w:val="30"/>
        </w:numPr>
        <w:tabs>
          <w:tab w:val="clear" w:pos="567"/>
        </w:tabs>
      </w:pPr>
      <w:r>
        <w:t>Не е наблюдаван по-висок риск от вродени дефекти при бебета, изложени на Stelara в утробата. Данните от употребата на Stelara при бременни жени обаче са ограничени. Поради това е за предпочитане да се избягва употребата на Stelara по време на бременност.</w:t>
      </w:r>
    </w:p>
    <w:p w14:paraId="109AE824" w14:textId="77777777" w:rsidR="009B3384" w:rsidRDefault="00800862">
      <w:pPr>
        <w:numPr>
          <w:ilvl w:val="0"/>
          <w:numId w:val="30"/>
        </w:numPr>
        <w:tabs>
          <w:tab w:val="clear" w:pos="567"/>
        </w:tabs>
      </w:pPr>
      <w:r>
        <w:rPr>
          <w:szCs w:val="22"/>
        </w:rPr>
        <w:lastRenderedPageBreak/>
        <w:t>Ако сте жена с детероден потенциал, желателно е да не забременявате и да използвате подходящ противозачатъчен метод, когато използвате Stelara и поне 15 седмици след последното прилагане на Stelara.</w:t>
      </w:r>
    </w:p>
    <w:p w14:paraId="109AE825" w14:textId="77777777" w:rsidR="009B3384" w:rsidRDefault="00800862">
      <w:pPr>
        <w:numPr>
          <w:ilvl w:val="0"/>
          <w:numId w:val="30"/>
        </w:numPr>
        <w:tabs>
          <w:tab w:val="clear" w:pos="567"/>
        </w:tabs>
      </w:pPr>
      <w:r>
        <w:rPr>
          <w:bCs/>
          <w:szCs w:val="22"/>
        </w:rPr>
        <w:t>Stelara може да премине през плацентата в нероденото бебе. Ако сте получавали Stelara по време на бременността си, бебето Ви може да има по-висок риск от инфекция.</w:t>
      </w:r>
    </w:p>
    <w:p w14:paraId="109AE826" w14:textId="77777777" w:rsidR="009B3384" w:rsidRDefault="00800862">
      <w:pPr>
        <w:numPr>
          <w:ilvl w:val="0"/>
          <w:numId w:val="30"/>
        </w:numPr>
        <w:tabs>
          <w:tab w:val="clear" w:pos="567"/>
        </w:tabs>
      </w:pPr>
      <w:r>
        <w:rPr>
          <w:bCs/>
          <w:szCs w:val="22"/>
        </w:rPr>
        <w:t>Важно е да кажете на лекарите на Вашето бебе и други медицински специалисти, ако сте получавали Stelara по време на бременността си, преди бебето да получи каквато и да е ваксина. Живи ваксини, като БЦЖ ваксина (използвана за предпазване от туберкулоза), не се препоръчват за Вашето бебе през първите дванадесет месеца след раждането, ако сте получавали Stelara по време на бременността, освен ако лекарят на Вашето бебе не препоръча друго.</w:t>
      </w:r>
    </w:p>
    <w:p w14:paraId="109AE827" w14:textId="77777777" w:rsidR="009B3384" w:rsidRDefault="00800862">
      <w:pPr>
        <w:numPr>
          <w:ilvl w:val="0"/>
          <w:numId w:val="30"/>
        </w:numPr>
        <w:tabs>
          <w:tab w:val="clear" w:pos="567"/>
        </w:tabs>
      </w:pPr>
      <w:r>
        <w:t xml:space="preserve">Устекинумаб може да премине в кърмата в много малки количества. </w:t>
      </w:r>
      <w:r>
        <w:rPr>
          <w:szCs w:val="22"/>
        </w:rPr>
        <w:t>Посъветвайте се с Вашия лекар, ако кърмите или ако планирате да кърмите. Вие и Вашият лекар трябва да решите дали трябва да кърмите или да използвате Stelara - не правете и двете.</w:t>
      </w:r>
    </w:p>
    <w:p w14:paraId="109AE828" w14:textId="77777777" w:rsidR="009B3384" w:rsidRDefault="009B3384"/>
    <w:p w14:paraId="109AE829" w14:textId="77777777" w:rsidR="009B3384" w:rsidRDefault="00800862">
      <w:pPr>
        <w:keepNext/>
        <w:rPr>
          <w:szCs w:val="22"/>
        </w:rPr>
      </w:pPr>
      <w:r>
        <w:rPr>
          <w:b/>
          <w:szCs w:val="22"/>
        </w:rPr>
        <w:t>Шофиране и работа с машини</w:t>
      </w:r>
    </w:p>
    <w:p w14:paraId="109AE82A" w14:textId="77777777" w:rsidR="009B3384" w:rsidRDefault="00800862">
      <w:pPr>
        <w:rPr>
          <w:szCs w:val="22"/>
        </w:rPr>
      </w:pPr>
      <w:r>
        <w:rPr>
          <w:szCs w:val="22"/>
        </w:rPr>
        <w:t>Stelara не повлиява или повлиява пренебрежимо способността за шофиране и работа с машини.</w:t>
      </w:r>
    </w:p>
    <w:p w14:paraId="109AE82B" w14:textId="77777777" w:rsidR="009B3384" w:rsidRDefault="009B3384">
      <w:pPr>
        <w:rPr>
          <w:szCs w:val="22"/>
        </w:rPr>
      </w:pPr>
    </w:p>
    <w:p w14:paraId="109AE82C" w14:textId="77777777" w:rsidR="009B3384" w:rsidRDefault="00800862">
      <w:pPr>
        <w:keepNext/>
        <w:widowControl w:val="0"/>
        <w:rPr>
          <w:b/>
        </w:rPr>
      </w:pPr>
      <w:r>
        <w:rPr>
          <w:b/>
        </w:rPr>
        <w:t>Stelara съдържа полисорбат 80</w:t>
      </w:r>
    </w:p>
    <w:p w14:paraId="109AE82D" w14:textId="77777777" w:rsidR="009B3384" w:rsidRDefault="00800862">
      <w:pPr>
        <w:widowControl w:val="0"/>
      </w:pPr>
      <w:r>
        <w:t>Stelara съдържа 0,04 mg полисорбат 80 (E433) във всяка доза, която е еквивалентна на 0,04 mg/ml. Полисорбатите могат да причинят алергични реакции. Трябва да кажете на Вашия лекар, ако имате установени алергии.</w:t>
      </w:r>
    </w:p>
    <w:p w14:paraId="109AE82E" w14:textId="77777777" w:rsidR="009B3384" w:rsidRDefault="009B3384">
      <w:pPr>
        <w:rPr>
          <w:szCs w:val="22"/>
        </w:rPr>
      </w:pPr>
    </w:p>
    <w:p w14:paraId="109AE82F" w14:textId="77777777" w:rsidR="009B3384" w:rsidRDefault="009B3384">
      <w:pPr>
        <w:rPr>
          <w:szCs w:val="22"/>
        </w:rPr>
      </w:pPr>
    </w:p>
    <w:p w14:paraId="109AE830" w14:textId="77777777" w:rsidR="009B3384" w:rsidRDefault="00800862">
      <w:pPr>
        <w:keepNext/>
        <w:ind w:left="567" w:hanging="567"/>
        <w:outlineLvl w:val="2"/>
        <w:rPr>
          <w:b/>
          <w:bCs/>
          <w:szCs w:val="22"/>
        </w:rPr>
      </w:pPr>
      <w:r>
        <w:rPr>
          <w:b/>
          <w:bCs/>
          <w:szCs w:val="22"/>
        </w:rPr>
        <w:t>3.</w:t>
      </w:r>
      <w:r>
        <w:rPr>
          <w:b/>
          <w:bCs/>
          <w:szCs w:val="22"/>
        </w:rPr>
        <w:tab/>
        <w:t>Как да използвате Stelara</w:t>
      </w:r>
    </w:p>
    <w:p w14:paraId="109AE831" w14:textId="77777777" w:rsidR="009B3384" w:rsidRDefault="009B3384">
      <w:pPr>
        <w:keepNext/>
        <w:rPr>
          <w:szCs w:val="22"/>
        </w:rPr>
      </w:pPr>
    </w:p>
    <w:p w14:paraId="109AE832" w14:textId="77777777" w:rsidR="009B3384" w:rsidRDefault="00800862">
      <w:pPr>
        <w:rPr>
          <w:szCs w:val="22"/>
        </w:rPr>
      </w:pPr>
      <w:r>
        <w:rPr>
          <w:szCs w:val="22"/>
        </w:rPr>
        <w:t>Stelara е предназначен за употреба под ръководството и контрола на лекар с опит в лечението на заболявания</w:t>
      </w:r>
      <w:r>
        <w:rPr>
          <w:bCs/>
          <w:szCs w:val="22"/>
        </w:rPr>
        <w:t xml:space="preserve">, за които е показан </w:t>
      </w:r>
      <w:r>
        <w:rPr>
          <w:szCs w:val="22"/>
        </w:rPr>
        <w:t>Stelara.</w:t>
      </w:r>
    </w:p>
    <w:p w14:paraId="109AE833" w14:textId="77777777" w:rsidR="009B3384" w:rsidRDefault="009B3384">
      <w:pPr>
        <w:rPr>
          <w:szCs w:val="22"/>
        </w:rPr>
      </w:pPr>
    </w:p>
    <w:p w14:paraId="109AE834" w14:textId="77777777" w:rsidR="009B3384" w:rsidRDefault="00800862">
      <w:pPr>
        <w:rPr>
          <w:szCs w:val="22"/>
        </w:rPr>
      </w:pPr>
      <w:r>
        <w:rPr>
          <w:szCs w:val="22"/>
        </w:rPr>
        <w:t>Винаги използвайте това лекарство точно както Ви е казал Вашият лекар. Ако не сте сигурни в нещо, попитайте Вашия лекар. Посъветвайте се с Вашия лекар за това, кога ще Ви се поставят инжекциите и кога ще са следващите контролни прегледи.</w:t>
      </w:r>
    </w:p>
    <w:p w14:paraId="109AE835" w14:textId="77777777" w:rsidR="009B3384" w:rsidRDefault="009B3384">
      <w:pPr>
        <w:rPr>
          <w:szCs w:val="22"/>
        </w:rPr>
      </w:pPr>
    </w:p>
    <w:p w14:paraId="109AE836" w14:textId="77777777" w:rsidR="009B3384" w:rsidRDefault="00800862">
      <w:pPr>
        <w:keepNext/>
        <w:rPr>
          <w:b/>
          <w:bCs/>
          <w:szCs w:val="22"/>
        </w:rPr>
      </w:pPr>
      <w:r>
        <w:rPr>
          <w:b/>
          <w:bCs/>
          <w:szCs w:val="22"/>
        </w:rPr>
        <w:t>Какво количество Stelara се прилага</w:t>
      </w:r>
    </w:p>
    <w:p w14:paraId="109AE837" w14:textId="77777777" w:rsidR="009B3384" w:rsidRDefault="00800862">
      <w:pPr>
        <w:tabs>
          <w:tab w:val="clear" w:pos="567"/>
          <w:tab w:val="left" w:pos="540"/>
        </w:tabs>
        <w:rPr>
          <w:szCs w:val="22"/>
        </w:rPr>
      </w:pPr>
      <w:r>
        <w:rPr>
          <w:bCs/>
          <w:szCs w:val="22"/>
        </w:rPr>
        <w:t xml:space="preserve">Вашият лекар ще реши какво количество </w:t>
      </w:r>
      <w:r>
        <w:rPr>
          <w:szCs w:val="22"/>
        </w:rPr>
        <w:t>Stelara трябва да получите и за какъв период от време.</w:t>
      </w:r>
    </w:p>
    <w:p w14:paraId="109AE838" w14:textId="77777777" w:rsidR="009B3384" w:rsidRDefault="009B3384">
      <w:pPr>
        <w:tabs>
          <w:tab w:val="clear" w:pos="567"/>
          <w:tab w:val="left" w:pos="540"/>
        </w:tabs>
        <w:rPr>
          <w:szCs w:val="22"/>
        </w:rPr>
      </w:pPr>
    </w:p>
    <w:p w14:paraId="109AE839" w14:textId="77777777" w:rsidR="009B3384" w:rsidRDefault="00800862">
      <w:pPr>
        <w:keepNext/>
        <w:tabs>
          <w:tab w:val="clear" w:pos="567"/>
          <w:tab w:val="left" w:pos="540"/>
        </w:tabs>
        <w:rPr>
          <w:b/>
          <w:szCs w:val="22"/>
        </w:rPr>
      </w:pPr>
      <w:r>
        <w:rPr>
          <w:b/>
          <w:szCs w:val="22"/>
        </w:rPr>
        <w:t>Възрастни на 18 години или по-големи</w:t>
      </w:r>
    </w:p>
    <w:p w14:paraId="109AE83A" w14:textId="77777777" w:rsidR="009B3384" w:rsidRDefault="00800862">
      <w:pPr>
        <w:keepNext/>
        <w:tabs>
          <w:tab w:val="clear" w:pos="567"/>
          <w:tab w:val="left" w:pos="540"/>
        </w:tabs>
        <w:rPr>
          <w:b/>
          <w:szCs w:val="22"/>
        </w:rPr>
      </w:pPr>
      <w:r>
        <w:rPr>
          <w:b/>
          <w:szCs w:val="22"/>
        </w:rPr>
        <w:t>Псориазис или псориатичен артрит</w:t>
      </w:r>
    </w:p>
    <w:p w14:paraId="109AE83B" w14:textId="77777777" w:rsidR="009B3384" w:rsidRDefault="00800862">
      <w:pPr>
        <w:numPr>
          <w:ilvl w:val="0"/>
          <w:numId w:val="30"/>
        </w:numPr>
        <w:tabs>
          <w:tab w:val="clear" w:pos="567"/>
        </w:tabs>
        <w:rPr>
          <w:bCs/>
        </w:rPr>
      </w:pPr>
      <w:r>
        <w:rPr>
          <w:szCs w:val="22"/>
        </w:rPr>
        <w:t xml:space="preserve">Препоръчителната начална доза е 45 mg </w:t>
      </w:r>
      <w:r>
        <w:rPr>
          <w:szCs w:val="22"/>
          <w:lang w:val="en-US"/>
        </w:rPr>
        <w:t>Stelara</w:t>
      </w:r>
      <w:r>
        <w:rPr>
          <w:szCs w:val="22"/>
        </w:rPr>
        <w:t xml:space="preserve">. </w:t>
      </w:r>
      <w:r>
        <w:t>Пациенти с тегло над 100 килограма (kg) може да започнат с доза 90 mg вместо 45 mg.</w:t>
      </w:r>
    </w:p>
    <w:p w14:paraId="109AE83C" w14:textId="77777777" w:rsidR="009B3384" w:rsidRDefault="00800862">
      <w:pPr>
        <w:numPr>
          <w:ilvl w:val="0"/>
          <w:numId w:val="30"/>
        </w:numPr>
        <w:tabs>
          <w:tab w:val="clear" w:pos="567"/>
        </w:tabs>
        <w:rPr>
          <w:bCs/>
          <w:szCs w:val="22"/>
        </w:rPr>
      </w:pPr>
      <w:r>
        <w:rPr>
          <w:szCs w:val="22"/>
        </w:rPr>
        <w:t>След началната доза, следващата Ви доза ще бъде 4 седмици по-късно и след това на всеки 12 седмици. Следващите дози обикновено са същите, като началната доза.</w:t>
      </w:r>
    </w:p>
    <w:p w14:paraId="109AE83D" w14:textId="77777777" w:rsidR="009B3384" w:rsidRDefault="009B3384"/>
    <w:p w14:paraId="109AE83E" w14:textId="77777777" w:rsidR="009B3384" w:rsidRDefault="00800862">
      <w:pPr>
        <w:keepNext/>
        <w:rPr>
          <w:b/>
          <w:bCs/>
          <w:szCs w:val="22"/>
        </w:rPr>
      </w:pPr>
      <w:r>
        <w:rPr>
          <w:b/>
          <w:bCs/>
          <w:szCs w:val="22"/>
        </w:rPr>
        <w:t>Болест на Крон</w:t>
      </w:r>
      <w:r>
        <w:t xml:space="preserve"> </w:t>
      </w:r>
      <w:r>
        <w:rPr>
          <w:b/>
          <w:bCs/>
          <w:szCs w:val="22"/>
        </w:rPr>
        <w:t>или улцерозен колит</w:t>
      </w:r>
    </w:p>
    <w:p w14:paraId="109AE83F" w14:textId="77777777" w:rsidR="009B3384" w:rsidRDefault="00800862">
      <w:pPr>
        <w:numPr>
          <w:ilvl w:val="0"/>
          <w:numId w:val="30"/>
        </w:numPr>
        <w:tabs>
          <w:tab w:val="clear" w:pos="567"/>
        </w:tabs>
        <w:rPr>
          <w:bCs/>
          <w:szCs w:val="22"/>
        </w:rPr>
      </w:pPr>
      <w:r>
        <w:t>По време на</w:t>
      </w:r>
      <w:r>
        <w:rPr>
          <w:szCs w:val="22"/>
        </w:rPr>
        <w:t xml:space="preserve"> лечението </w:t>
      </w:r>
      <w:r>
        <w:t xml:space="preserve">Вашият лекар ще Ви приложи </w:t>
      </w:r>
      <w:r>
        <w:rPr>
          <w:szCs w:val="22"/>
        </w:rPr>
        <w:t>първата доза от приблизително 6</w:t>
      </w:r>
      <w:r>
        <w:t> </w:t>
      </w:r>
      <w:r>
        <w:rPr>
          <w:szCs w:val="22"/>
          <w:lang w:val="en-US"/>
        </w:rPr>
        <w:t>mg</w:t>
      </w:r>
      <w:r>
        <w:rPr>
          <w:szCs w:val="22"/>
        </w:rPr>
        <w:t>/</w:t>
      </w:r>
      <w:r>
        <w:rPr>
          <w:szCs w:val="22"/>
          <w:lang w:val="en-US"/>
        </w:rPr>
        <w:t>kg</w:t>
      </w:r>
      <w:r>
        <w:rPr>
          <w:szCs w:val="22"/>
        </w:rPr>
        <w:t xml:space="preserve"> </w:t>
      </w:r>
      <w:r>
        <w:rPr>
          <w:szCs w:val="22"/>
          <w:lang w:val="en-US"/>
        </w:rPr>
        <w:t>Stelara</w:t>
      </w:r>
      <w:r>
        <w:rPr>
          <w:szCs w:val="22"/>
        </w:rPr>
        <w:t xml:space="preserve"> капково във вена на ръката </w:t>
      </w:r>
      <w:r>
        <w:t>(интравенозна инфузия).</w:t>
      </w:r>
      <w:r>
        <w:rPr>
          <w:szCs w:val="22"/>
        </w:rPr>
        <w:t xml:space="preserve"> След началната доза, ще получите следващата доза 90</w:t>
      </w:r>
      <w:r>
        <w:t> </w:t>
      </w:r>
      <w:r>
        <w:rPr>
          <w:szCs w:val="22"/>
          <w:lang w:val="en-US"/>
        </w:rPr>
        <w:t>mg</w:t>
      </w:r>
      <w:r>
        <w:rPr>
          <w:szCs w:val="22"/>
        </w:rPr>
        <w:t xml:space="preserve"> </w:t>
      </w:r>
      <w:r>
        <w:rPr>
          <w:szCs w:val="22"/>
          <w:lang w:val="en-US"/>
        </w:rPr>
        <w:t>Stelara</w:t>
      </w:r>
      <w:r>
        <w:rPr>
          <w:szCs w:val="22"/>
        </w:rPr>
        <w:t xml:space="preserve"> след 8</w:t>
      </w:r>
      <w:r>
        <w:t> </w:t>
      </w:r>
      <w:r>
        <w:rPr>
          <w:szCs w:val="22"/>
        </w:rPr>
        <w:t xml:space="preserve">седмици, след това през 12 седмици чрез инжекция под кожата </w:t>
      </w:r>
      <w:r>
        <w:t>(подкожно)</w:t>
      </w:r>
      <w:r>
        <w:rPr>
          <w:szCs w:val="22"/>
        </w:rPr>
        <w:t>.</w:t>
      </w:r>
    </w:p>
    <w:p w14:paraId="109AE840" w14:textId="77777777" w:rsidR="009B3384" w:rsidRDefault="00800862">
      <w:pPr>
        <w:numPr>
          <w:ilvl w:val="0"/>
          <w:numId w:val="30"/>
        </w:numPr>
        <w:tabs>
          <w:tab w:val="clear" w:pos="567"/>
        </w:tabs>
        <w:rPr>
          <w:bCs/>
          <w:szCs w:val="22"/>
        </w:rPr>
      </w:pPr>
      <w:r>
        <w:rPr>
          <w:bCs/>
          <w:szCs w:val="22"/>
        </w:rPr>
        <w:t>При някои пациенти, след първата подкожна инжекция, 90</w:t>
      </w:r>
      <w:r>
        <w:t> </w:t>
      </w:r>
      <w:r>
        <w:rPr>
          <w:bCs/>
          <w:szCs w:val="22"/>
        </w:rPr>
        <w:t>mg Stelara може да се прилага през 8 седмици. Вашият лекар ще реши кога трябва да получите следващата си доза.</w:t>
      </w:r>
    </w:p>
    <w:p w14:paraId="109AE841" w14:textId="77777777" w:rsidR="009B3384" w:rsidRDefault="009B3384">
      <w:pPr>
        <w:rPr>
          <w:szCs w:val="22"/>
        </w:rPr>
      </w:pPr>
    </w:p>
    <w:p w14:paraId="109AE842" w14:textId="77777777" w:rsidR="009B3384" w:rsidRDefault="00800862">
      <w:pPr>
        <w:keepNext/>
        <w:rPr>
          <w:b/>
          <w:bCs/>
          <w:szCs w:val="22"/>
        </w:rPr>
      </w:pPr>
      <w:r>
        <w:rPr>
          <w:b/>
          <w:bCs/>
          <w:szCs w:val="22"/>
        </w:rPr>
        <w:t>Как се прилага Stelara</w:t>
      </w:r>
    </w:p>
    <w:p w14:paraId="109AE843" w14:textId="77777777" w:rsidR="009B3384" w:rsidRDefault="00800862">
      <w:pPr>
        <w:numPr>
          <w:ilvl w:val="0"/>
          <w:numId w:val="30"/>
        </w:numPr>
        <w:tabs>
          <w:tab w:val="clear" w:pos="567"/>
        </w:tabs>
      </w:pPr>
      <w:r>
        <w:t>Stelara се прилага като инжекция под кожата (подкожно). В началото на Вашето лечение, Stelara може да се инжектира от лекар или медицинска сестра.</w:t>
      </w:r>
    </w:p>
    <w:p w14:paraId="109AE844" w14:textId="77777777" w:rsidR="009B3384" w:rsidRDefault="00800862">
      <w:pPr>
        <w:numPr>
          <w:ilvl w:val="0"/>
          <w:numId w:val="30"/>
        </w:numPr>
        <w:tabs>
          <w:tab w:val="clear" w:pos="567"/>
        </w:tabs>
      </w:pPr>
      <w:r>
        <w:t>Вие и Вашият лекар обаче може да решите, че Вие сами може да си инжектирате Stelara. В такъв случай ще преминете обучение как да си инжектирате Stelara самостоятелно.</w:t>
      </w:r>
    </w:p>
    <w:p w14:paraId="109AE845" w14:textId="77777777" w:rsidR="009B3384" w:rsidRDefault="00800862">
      <w:pPr>
        <w:numPr>
          <w:ilvl w:val="0"/>
          <w:numId w:val="30"/>
        </w:numPr>
        <w:tabs>
          <w:tab w:val="clear" w:pos="567"/>
        </w:tabs>
      </w:pPr>
      <w:r>
        <w:lastRenderedPageBreak/>
        <w:t>За указания как да инжектирате Stelara вижте „Указания за приложение” в края на тази листовка.</w:t>
      </w:r>
    </w:p>
    <w:p w14:paraId="109AE846" w14:textId="77777777" w:rsidR="009B3384" w:rsidRDefault="00800862">
      <w:pPr>
        <w:tabs>
          <w:tab w:val="clear" w:pos="567"/>
          <w:tab w:val="left" w:pos="540"/>
        </w:tabs>
        <w:rPr>
          <w:bCs/>
          <w:szCs w:val="22"/>
        </w:rPr>
      </w:pPr>
      <w:r>
        <w:rPr>
          <w:bCs/>
          <w:szCs w:val="22"/>
        </w:rPr>
        <w:t>Говорете с Вашия лекар, ако имате въпроси относно това как сами да поставяте инжекцията.</w:t>
      </w:r>
    </w:p>
    <w:p w14:paraId="109AE847" w14:textId="77777777" w:rsidR="009B3384" w:rsidRDefault="009B3384">
      <w:pPr>
        <w:rPr>
          <w:szCs w:val="22"/>
        </w:rPr>
      </w:pPr>
    </w:p>
    <w:p w14:paraId="109AE848" w14:textId="77777777" w:rsidR="009B3384" w:rsidRDefault="00800862">
      <w:pPr>
        <w:keepNext/>
        <w:rPr>
          <w:b/>
          <w:szCs w:val="22"/>
        </w:rPr>
      </w:pPr>
      <w:r>
        <w:rPr>
          <w:b/>
          <w:szCs w:val="22"/>
        </w:rPr>
        <w:t>Ако сте използвали повече от необходимата доза Stelara</w:t>
      </w:r>
    </w:p>
    <w:p w14:paraId="109AE849" w14:textId="77777777" w:rsidR="009B3384" w:rsidRDefault="00800862">
      <w:pPr>
        <w:rPr>
          <w:szCs w:val="22"/>
        </w:rPr>
      </w:pPr>
      <w:r>
        <w:rPr>
          <w:szCs w:val="22"/>
        </w:rPr>
        <w:t>Ако сте използвали или са Ви приложили повече от необходимата доза Stelara, незабавно се посъветвайте с лекар или фармацевт. Винаги носете с Вас картонената опаковка на лекарството, дори и да е празна.</w:t>
      </w:r>
    </w:p>
    <w:p w14:paraId="109AE84A" w14:textId="77777777" w:rsidR="009B3384" w:rsidRDefault="009B3384">
      <w:pPr>
        <w:rPr>
          <w:szCs w:val="22"/>
        </w:rPr>
      </w:pPr>
    </w:p>
    <w:p w14:paraId="109AE84B" w14:textId="77777777" w:rsidR="009B3384" w:rsidRDefault="00800862">
      <w:pPr>
        <w:keepNext/>
        <w:rPr>
          <w:szCs w:val="22"/>
        </w:rPr>
      </w:pPr>
      <w:r>
        <w:rPr>
          <w:b/>
          <w:szCs w:val="22"/>
        </w:rPr>
        <w:t>Ако сте пропуснали да използвате Stelara</w:t>
      </w:r>
    </w:p>
    <w:p w14:paraId="109AE84C" w14:textId="77777777" w:rsidR="009B3384" w:rsidRDefault="00800862">
      <w:pPr>
        <w:rPr>
          <w:szCs w:val="22"/>
        </w:rPr>
      </w:pPr>
      <w:r>
        <w:rPr>
          <w:szCs w:val="22"/>
        </w:rPr>
        <w:t>Ако сте пропуснали доза, свържете се с Вашия лекар или фармацевт. Не прилагайте двойна доза, за да компенсирате пропуснатата доза.</w:t>
      </w:r>
    </w:p>
    <w:p w14:paraId="109AE84D" w14:textId="77777777" w:rsidR="009B3384" w:rsidRDefault="009B3384">
      <w:pPr>
        <w:rPr>
          <w:szCs w:val="22"/>
        </w:rPr>
      </w:pPr>
    </w:p>
    <w:p w14:paraId="109AE84E" w14:textId="77777777" w:rsidR="009B3384" w:rsidRDefault="00800862">
      <w:pPr>
        <w:keepNext/>
        <w:rPr>
          <w:b/>
          <w:szCs w:val="22"/>
        </w:rPr>
      </w:pPr>
      <w:r>
        <w:rPr>
          <w:b/>
          <w:szCs w:val="22"/>
        </w:rPr>
        <w:t>Ако сте спрели употребата на Stelara</w:t>
      </w:r>
    </w:p>
    <w:p w14:paraId="109AE84F" w14:textId="77777777" w:rsidR="009B3384" w:rsidRDefault="00800862">
      <w:pPr>
        <w:rPr>
          <w:szCs w:val="22"/>
        </w:rPr>
      </w:pPr>
      <w:r>
        <w:rPr>
          <w:szCs w:val="22"/>
        </w:rPr>
        <w:t>Не е опасно да спрете употребата на Stelara. Ако обаче я спрете, Вашите симптоми може да се възобновят.</w:t>
      </w:r>
    </w:p>
    <w:p w14:paraId="109AE850" w14:textId="77777777" w:rsidR="009B3384" w:rsidRDefault="009B3384">
      <w:pPr>
        <w:rPr>
          <w:szCs w:val="22"/>
        </w:rPr>
      </w:pPr>
    </w:p>
    <w:p w14:paraId="109AE851" w14:textId="77777777" w:rsidR="009B3384" w:rsidRDefault="00800862">
      <w:pPr>
        <w:rPr>
          <w:szCs w:val="22"/>
        </w:rPr>
      </w:pPr>
      <w:r>
        <w:rPr>
          <w:szCs w:val="22"/>
        </w:rPr>
        <w:t>Ако имате някакви допълнителни въпроси, свързани с употребата на това лекарство, попитайте Вашия лекар или фармацевт.</w:t>
      </w:r>
    </w:p>
    <w:p w14:paraId="109AE852" w14:textId="77777777" w:rsidR="009B3384" w:rsidRDefault="009B3384">
      <w:pPr>
        <w:rPr>
          <w:szCs w:val="22"/>
        </w:rPr>
      </w:pPr>
    </w:p>
    <w:p w14:paraId="109AE853" w14:textId="77777777" w:rsidR="009B3384" w:rsidRDefault="009B3384">
      <w:pPr>
        <w:rPr>
          <w:szCs w:val="22"/>
        </w:rPr>
      </w:pPr>
    </w:p>
    <w:p w14:paraId="109AE854" w14:textId="77777777" w:rsidR="009B3384" w:rsidRDefault="00800862">
      <w:pPr>
        <w:keepNext/>
        <w:ind w:left="567" w:hanging="567"/>
        <w:outlineLvl w:val="2"/>
        <w:rPr>
          <w:b/>
          <w:bCs/>
          <w:szCs w:val="22"/>
        </w:rPr>
      </w:pPr>
      <w:r>
        <w:rPr>
          <w:b/>
          <w:bCs/>
          <w:szCs w:val="22"/>
        </w:rPr>
        <w:t>4.</w:t>
      </w:r>
      <w:r>
        <w:rPr>
          <w:b/>
          <w:bCs/>
          <w:szCs w:val="22"/>
        </w:rPr>
        <w:tab/>
        <w:t>Възможни нежелани реакции</w:t>
      </w:r>
    </w:p>
    <w:p w14:paraId="109AE855" w14:textId="77777777" w:rsidR="009B3384" w:rsidRDefault="009B3384">
      <w:pPr>
        <w:keepNext/>
        <w:rPr>
          <w:szCs w:val="22"/>
        </w:rPr>
      </w:pPr>
    </w:p>
    <w:p w14:paraId="109AE856" w14:textId="77777777" w:rsidR="009B3384" w:rsidRDefault="00800862">
      <w:pPr>
        <w:rPr>
          <w:szCs w:val="22"/>
        </w:rPr>
      </w:pPr>
      <w:r>
        <w:rPr>
          <w:szCs w:val="22"/>
        </w:rPr>
        <w:t>Както всички лекарства, това лекарство може да предизвика нежелани реакции, въпреки че не всеки ги получава.</w:t>
      </w:r>
    </w:p>
    <w:p w14:paraId="109AE857" w14:textId="77777777" w:rsidR="009B3384" w:rsidRDefault="009B3384">
      <w:pPr>
        <w:rPr>
          <w:szCs w:val="22"/>
        </w:rPr>
      </w:pPr>
    </w:p>
    <w:p w14:paraId="109AE858" w14:textId="77777777" w:rsidR="009B3384" w:rsidRDefault="00800862">
      <w:pPr>
        <w:keepNext/>
        <w:rPr>
          <w:b/>
          <w:szCs w:val="22"/>
        </w:rPr>
      </w:pPr>
      <w:r>
        <w:rPr>
          <w:b/>
          <w:szCs w:val="22"/>
        </w:rPr>
        <w:t>Сериозни нежелани реакции</w:t>
      </w:r>
    </w:p>
    <w:p w14:paraId="109AE859" w14:textId="77777777" w:rsidR="009B3384" w:rsidRDefault="00800862">
      <w:pPr>
        <w:rPr>
          <w:szCs w:val="22"/>
        </w:rPr>
      </w:pPr>
      <w:r>
        <w:rPr>
          <w:szCs w:val="22"/>
        </w:rPr>
        <w:t>Някои пациенти може да имат сериозни нежелани реакции, при които да се налага спешно лечение.</w:t>
      </w:r>
    </w:p>
    <w:p w14:paraId="109AE85A" w14:textId="77777777" w:rsidR="009B3384" w:rsidRDefault="009B3384">
      <w:pPr>
        <w:rPr>
          <w:szCs w:val="22"/>
        </w:rPr>
      </w:pPr>
    </w:p>
    <w:p w14:paraId="109AE85B" w14:textId="77777777" w:rsidR="009B3384" w:rsidRDefault="00800862">
      <w:pPr>
        <w:keepNext/>
        <w:widowControl w:val="0"/>
      </w:pPr>
      <w:r>
        <w:rPr>
          <w:b/>
        </w:rPr>
        <w:t>Алергични реакции – може да изискват спешно лечение. Информирайте Вашия лекар или незабавно потърсете спешна медицинска помощ, ако забележите някой от следните признаци.</w:t>
      </w:r>
    </w:p>
    <w:p w14:paraId="109AE85C" w14:textId="77777777" w:rsidR="009B3384" w:rsidRDefault="00800862">
      <w:pPr>
        <w:numPr>
          <w:ilvl w:val="0"/>
          <w:numId w:val="30"/>
        </w:numPr>
        <w:tabs>
          <w:tab w:val="left" w:pos="1134"/>
        </w:tabs>
      </w:pPr>
      <w:r>
        <w:t>Сериозните алергични реакции („анафилаксия”) са редки при хора, приемащи Stelara (може да засегнат до 1 на 1 000 души). Признаците включват:</w:t>
      </w:r>
    </w:p>
    <w:p w14:paraId="109AE85D" w14:textId="77777777" w:rsidR="009B3384" w:rsidRDefault="00800862">
      <w:pPr>
        <w:numPr>
          <w:ilvl w:val="0"/>
          <w:numId w:val="28"/>
        </w:numPr>
        <w:ind w:left="1134" w:hanging="567"/>
      </w:pPr>
      <w:r>
        <w:t>затруднено дишане или преглъщане</w:t>
      </w:r>
    </w:p>
    <w:p w14:paraId="109AE85E" w14:textId="77777777" w:rsidR="009B3384" w:rsidRDefault="00800862">
      <w:pPr>
        <w:numPr>
          <w:ilvl w:val="0"/>
          <w:numId w:val="28"/>
        </w:numPr>
        <w:ind w:left="1134" w:hanging="567"/>
      </w:pPr>
      <w:r>
        <w:t>ниско кръвно налягане, което може да причини замаяност или световъртеж</w:t>
      </w:r>
    </w:p>
    <w:p w14:paraId="109AE85F" w14:textId="77777777" w:rsidR="009B3384" w:rsidRDefault="00800862">
      <w:pPr>
        <w:numPr>
          <w:ilvl w:val="0"/>
          <w:numId w:val="28"/>
        </w:numPr>
        <w:ind w:left="1134" w:hanging="567"/>
      </w:pPr>
      <w:r>
        <w:t>подуване на лицето, устните, устата или гърлото.</w:t>
      </w:r>
    </w:p>
    <w:p w14:paraId="109AE860" w14:textId="77777777" w:rsidR="009B3384" w:rsidRDefault="00800862">
      <w:pPr>
        <w:numPr>
          <w:ilvl w:val="0"/>
          <w:numId w:val="30"/>
        </w:numPr>
        <w:tabs>
          <w:tab w:val="left" w:pos="1134"/>
        </w:tabs>
      </w:pPr>
      <w:r>
        <w:t>Честите признаци на алергична реакция включват кожен обрив и уртикария (може да засегнат до 1 на 100 души).</w:t>
      </w:r>
    </w:p>
    <w:p w14:paraId="109AE861" w14:textId="77777777" w:rsidR="009B3384" w:rsidRDefault="009B3384"/>
    <w:p w14:paraId="109AE862" w14:textId="77777777" w:rsidR="009B3384" w:rsidRDefault="00800862">
      <w:pPr>
        <w:tabs>
          <w:tab w:val="clear" w:pos="567"/>
          <w:tab w:val="left" w:pos="630"/>
        </w:tabs>
        <w:rPr>
          <w:b/>
        </w:rPr>
      </w:pPr>
      <w:r>
        <w:rPr>
          <w:b/>
        </w:rPr>
        <w:t>В редки случаи се съобщават алергични белодробни реакции и белодробно възпаление при пациенти, които получават устекинумаб. Уведомете веднага Вашия лекар, ако получите симптоми като кашлица, задух и висока температура.</w:t>
      </w:r>
    </w:p>
    <w:p w14:paraId="109AE863" w14:textId="77777777" w:rsidR="009B3384" w:rsidRDefault="009B3384"/>
    <w:p w14:paraId="109AE864" w14:textId="77777777" w:rsidR="009B3384" w:rsidRDefault="00800862">
      <w:pPr>
        <w:keepNext/>
        <w:widowControl w:val="0"/>
      </w:pPr>
      <w:r>
        <w:t>Ако получите сериозна алергична реакция, Вашият лекар може да реши, че Вие не трябва да употребявате Stelara отново.</w:t>
      </w:r>
    </w:p>
    <w:p w14:paraId="109AE865" w14:textId="77777777" w:rsidR="009B3384" w:rsidRDefault="009B3384"/>
    <w:p w14:paraId="109AE866" w14:textId="77777777" w:rsidR="009B3384" w:rsidRDefault="00800862">
      <w:pPr>
        <w:keepNext/>
        <w:widowControl w:val="0"/>
        <w:rPr>
          <w:b/>
        </w:rPr>
      </w:pPr>
      <w:r>
        <w:rPr>
          <w:b/>
        </w:rPr>
        <w:t>Инфекции – може да изискват спешно лечение. Информирайте Вашия лекар, ако забележите някой от следните признаци.</w:t>
      </w:r>
    </w:p>
    <w:p w14:paraId="109AE867" w14:textId="77777777" w:rsidR="009B3384" w:rsidRDefault="00800862">
      <w:pPr>
        <w:numPr>
          <w:ilvl w:val="0"/>
          <w:numId w:val="30"/>
        </w:numPr>
        <w:tabs>
          <w:tab w:val="left" w:pos="1134"/>
        </w:tabs>
      </w:pPr>
      <w:r>
        <w:t>инфекциите на носа или гърлото и простудата са чести (може да засегнат до 1 на 10 души)</w:t>
      </w:r>
    </w:p>
    <w:p w14:paraId="109AE868" w14:textId="77777777" w:rsidR="009B3384" w:rsidRDefault="00800862">
      <w:pPr>
        <w:numPr>
          <w:ilvl w:val="0"/>
          <w:numId w:val="30"/>
        </w:numPr>
        <w:tabs>
          <w:tab w:val="left" w:pos="1134"/>
        </w:tabs>
      </w:pPr>
      <w:r>
        <w:t>инфекциите на долните дихателни пътища (гръдни инфекции) са нечести (може да засегнат до 1 на 100 души)</w:t>
      </w:r>
    </w:p>
    <w:p w14:paraId="109AE869" w14:textId="77777777" w:rsidR="009B3384" w:rsidRDefault="00800862">
      <w:pPr>
        <w:numPr>
          <w:ilvl w:val="0"/>
          <w:numId w:val="30"/>
        </w:numPr>
        <w:tabs>
          <w:tab w:val="left" w:pos="1134"/>
        </w:tabs>
      </w:pPr>
      <w:r>
        <w:t>възпалението на подкожната тъкан (целулит) е нечесто (може да засегне до 1 на 100 души)</w:t>
      </w:r>
    </w:p>
    <w:p w14:paraId="109AE86A" w14:textId="77777777" w:rsidR="009B3384" w:rsidRDefault="00800862">
      <w:pPr>
        <w:numPr>
          <w:ilvl w:val="0"/>
          <w:numId w:val="30"/>
        </w:numPr>
        <w:tabs>
          <w:tab w:val="left" w:pos="1134"/>
        </w:tabs>
      </w:pPr>
      <w:r>
        <w:t>херпесите (вид болезнен обрив с мехури) са нечести (може да засегнат до 1 на 100 души)</w:t>
      </w:r>
    </w:p>
    <w:p w14:paraId="109AE86B" w14:textId="77777777" w:rsidR="009B3384" w:rsidRDefault="009B3384"/>
    <w:p w14:paraId="109AE86C" w14:textId="77777777" w:rsidR="009B3384" w:rsidRDefault="00800862">
      <w:r>
        <w:t>Stelara може да намали способността Ви да се борите с инфекции. Някои инфекции може да станат сериозни и може да включват инфекции, причинени от вируси, гъбички, бактерии (включително туберкулоза) или паразити, включително инфекции, които възникват предимно при хора с отслабена имунна система (опортюнистични инфекции). При пациенти, получаващи устекинумаб, се съобщават опортюнистични инфекции на мозъка (енцефалит, менингит), белите дробове и очите.</w:t>
      </w:r>
    </w:p>
    <w:p w14:paraId="109AE86D" w14:textId="77777777" w:rsidR="009B3384" w:rsidRDefault="009B3384"/>
    <w:p w14:paraId="109AE86E" w14:textId="77777777" w:rsidR="009B3384" w:rsidRDefault="00800862">
      <w:pPr>
        <w:keepNext/>
      </w:pPr>
      <w:r>
        <w:t>Докато употребявате Stelara, трябва да следите за признаци на инфекция. Те включват:</w:t>
      </w:r>
    </w:p>
    <w:p w14:paraId="109AE86F" w14:textId="77777777" w:rsidR="009B3384" w:rsidRDefault="00800862">
      <w:pPr>
        <w:numPr>
          <w:ilvl w:val="0"/>
          <w:numId w:val="30"/>
        </w:numPr>
        <w:tabs>
          <w:tab w:val="left" w:pos="1134"/>
        </w:tabs>
      </w:pPr>
      <w:r>
        <w:t>висока температура, грипоподобни симптоми, нощно потене, загуба на тегло</w:t>
      </w:r>
    </w:p>
    <w:p w14:paraId="109AE870" w14:textId="77777777" w:rsidR="009B3384" w:rsidRDefault="00800862">
      <w:pPr>
        <w:numPr>
          <w:ilvl w:val="0"/>
          <w:numId w:val="30"/>
        </w:numPr>
        <w:tabs>
          <w:tab w:val="left" w:pos="1134"/>
        </w:tabs>
      </w:pPr>
      <w:r>
        <w:t>умора или задух, упорита кашлица</w:t>
      </w:r>
    </w:p>
    <w:p w14:paraId="109AE871" w14:textId="77777777" w:rsidR="009B3384" w:rsidRDefault="00800862">
      <w:pPr>
        <w:numPr>
          <w:ilvl w:val="0"/>
          <w:numId w:val="30"/>
        </w:numPr>
        <w:tabs>
          <w:tab w:val="left" w:pos="1134"/>
        </w:tabs>
      </w:pPr>
      <w:r>
        <w:t>топла, зачервена и болезнена кожа или болезнен кожен обрив с мехури</w:t>
      </w:r>
    </w:p>
    <w:p w14:paraId="109AE872" w14:textId="77777777" w:rsidR="009B3384" w:rsidRDefault="00800862">
      <w:pPr>
        <w:numPr>
          <w:ilvl w:val="0"/>
          <w:numId w:val="30"/>
        </w:numPr>
        <w:tabs>
          <w:tab w:val="left" w:pos="1134"/>
        </w:tabs>
      </w:pPr>
      <w:r>
        <w:t>парене при уриниране</w:t>
      </w:r>
    </w:p>
    <w:p w14:paraId="109AE873" w14:textId="77777777" w:rsidR="009B3384" w:rsidRDefault="00800862">
      <w:pPr>
        <w:numPr>
          <w:ilvl w:val="0"/>
          <w:numId w:val="30"/>
        </w:numPr>
        <w:tabs>
          <w:tab w:val="left" w:pos="1134"/>
        </w:tabs>
      </w:pPr>
      <w:r>
        <w:t>диария</w:t>
      </w:r>
    </w:p>
    <w:p w14:paraId="109AE874" w14:textId="77777777" w:rsidR="009B3384" w:rsidRDefault="00800862">
      <w:pPr>
        <w:numPr>
          <w:ilvl w:val="0"/>
          <w:numId w:val="30"/>
        </w:numPr>
        <w:tabs>
          <w:tab w:val="left" w:pos="1134"/>
        </w:tabs>
      </w:pPr>
      <w:r>
        <w:t>зрително смущение или загуба на зрение</w:t>
      </w:r>
    </w:p>
    <w:p w14:paraId="109AE875" w14:textId="77777777" w:rsidR="009B3384" w:rsidRDefault="00800862">
      <w:pPr>
        <w:numPr>
          <w:ilvl w:val="0"/>
          <w:numId w:val="30"/>
        </w:numPr>
        <w:tabs>
          <w:tab w:val="left" w:pos="1134"/>
        </w:tabs>
      </w:pPr>
      <w:r>
        <w:t>главоболие, скованост на врата, чувствителност към светлина, гадене или обърканост.</w:t>
      </w:r>
    </w:p>
    <w:p w14:paraId="109AE876" w14:textId="77777777" w:rsidR="009B3384" w:rsidRDefault="009B3384"/>
    <w:p w14:paraId="109AE877" w14:textId="77777777" w:rsidR="009B3384" w:rsidRDefault="00800862">
      <w:pPr>
        <w:widowControl w:val="0"/>
      </w:pPr>
      <w:r>
        <w:t>Информирайте Вашия лекар веднага, ако забележите някой от тези признаци на инфекция. Те могат да бъдат признаци на инфекции като гръдни инфекции, кожни инфекции, херпес зостер или опортюнистични инфекции, които могат да доведат до сериозни усложнения. Информирайте Вашия лекар, ако имате някаква упорита или повтаряща се инфекция. Вашият лекар може да реши, че не трябва да употребявате Stelara, докато инфекцията не бъде излекувана. Уведомете Вашия лекар, и ако имате отворени рани или наранявания, тъй като може да се инфектират.</w:t>
      </w:r>
    </w:p>
    <w:p w14:paraId="109AE878" w14:textId="77777777" w:rsidR="009B3384" w:rsidRDefault="009B3384"/>
    <w:p w14:paraId="109AE879" w14:textId="77777777" w:rsidR="009B3384" w:rsidRDefault="00800862">
      <w:pPr>
        <w:widowControl w:val="0"/>
        <w:rPr>
          <w:b/>
        </w:rPr>
      </w:pPr>
      <w:r>
        <w:rPr>
          <w:b/>
        </w:rPr>
        <w:t>Лющене на кожата – интензивното зачервяване и лющене на кожата на по-голяма площ по тялото може да са симптоми на еритродермичен псориазис или ексфолиативен дерматит, които са сериозни кожни заболявания. Ако забележите някой от тези признаци, трябва да информирате Вашия лекар незабавно.</w:t>
      </w:r>
    </w:p>
    <w:p w14:paraId="109AE87A" w14:textId="77777777" w:rsidR="009B3384" w:rsidRDefault="009B3384">
      <w:pPr>
        <w:widowControl w:val="0"/>
      </w:pPr>
    </w:p>
    <w:p w14:paraId="109AE87B" w14:textId="77777777" w:rsidR="009B3384" w:rsidRDefault="00800862">
      <w:pPr>
        <w:keepNext/>
        <w:rPr>
          <w:b/>
          <w:szCs w:val="22"/>
        </w:rPr>
      </w:pPr>
      <w:r>
        <w:rPr>
          <w:b/>
          <w:szCs w:val="22"/>
        </w:rPr>
        <w:t>Други нежелани реакции</w:t>
      </w:r>
    </w:p>
    <w:p w14:paraId="109AE87C" w14:textId="77777777" w:rsidR="009B3384" w:rsidRDefault="009B3384">
      <w:pPr>
        <w:keepNext/>
      </w:pPr>
    </w:p>
    <w:p w14:paraId="109AE87D" w14:textId="77777777" w:rsidR="009B3384" w:rsidRDefault="00800862">
      <w:pPr>
        <w:keepNext/>
        <w:rPr>
          <w:szCs w:val="22"/>
        </w:rPr>
      </w:pPr>
      <w:r>
        <w:rPr>
          <w:b/>
          <w:bCs/>
          <w:szCs w:val="22"/>
        </w:rPr>
        <w:t xml:space="preserve">Чести нежелани реакции </w:t>
      </w:r>
      <w:r>
        <w:rPr>
          <w:bCs/>
          <w:szCs w:val="22"/>
        </w:rPr>
        <w:t>(може да засегнат до 1 на 10 души)</w:t>
      </w:r>
      <w:r>
        <w:rPr>
          <w:b/>
          <w:szCs w:val="22"/>
        </w:rPr>
        <w:t>:</w:t>
      </w:r>
    </w:p>
    <w:p w14:paraId="109AE87E" w14:textId="77777777" w:rsidR="009B3384" w:rsidRDefault="00800862">
      <w:pPr>
        <w:numPr>
          <w:ilvl w:val="0"/>
          <w:numId w:val="30"/>
        </w:numPr>
        <w:tabs>
          <w:tab w:val="left" w:pos="1134"/>
        </w:tabs>
      </w:pPr>
      <w:r>
        <w:t>диария</w:t>
      </w:r>
    </w:p>
    <w:p w14:paraId="109AE87F" w14:textId="77777777" w:rsidR="009B3384" w:rsidRDefault="00800862">
      <w:pPr>
        <w:numPr>
          <w:ilvl w:val="0"/>
          <w:numId w:val="30"/>
        </w:numPr>
        <w:tabs>
          <w:tab w:val="left" w:pos="1134"/>
        </w:tabs>
      </w:pPr>
      <w:r>
        <w:t>гадене</w:t>
      </w:r>
    </w:p>
    <w:p w14:paraId="109AE880" w14:textId="77777777" w:rsidR="009B3384" w:rsidRDefault="00800862">
      <w:pPr>
        <w:numPr>
          <w:ilvl w:val="0"/>
          <w:numId w:val="30"/>
        </w:numPr>
        <w:tabs>
          <w:tab w:val="left" w:pos="1134"/>
        </w:tabs>
      </w:pPr>
      <w:r>
        <w:t>повръщане</w:t>
      </w:r>
    </w:p>
    <w:p w14:paraId="109AE881" w14:textId="77777777" w:rsidR="009B3384" w:rsidRDefault="00800862">
      <w:pPr>
        <w:numPr>
          <w:ilvl w:val="0"/>
          <w:numId w:val="30"/>
        </w:numPr>
        <w:tabs>
          <w:tab w:val="left" w:pos="1134"/>
        </w:tabs>
      </w:pPr>
      <w:r>
        <w:t>умора</w:t>
      </w:r>
    </w:p>
    <w:p w14:paraId="109AE882" w14:textId="77777777" w:rsidR="009B3384" w:rsidRDefault="00800862">
      <w:pPr>
        <w:numPr>
          <w:ilvl w:val="0"/>
          <w:numId w:val="30"/>
        </w:numPr>
        <w:tabs>
          <w:tab w:val="left" w:pos="1134"/>
        </w:tabs>
      </w:pPr>
      <w:r>
        <w:t>замаяност</w:t>
      </w:r>
    </w:p>
    <w:p w14:paraId="109AE883" w14:textId="77777777" w:rsidR="009B3384" w:rsidRDefault="00800862">
      <w:pPr>
        <w:numPr>
          <w:ilvl w:val="0"/>
          <w:numId w:val="30"/>
        </w:numPr>
        <w:tabs>
          <w:tab w:val="left" w:pos="1134"/>
        </w:tabs>
      </w:pPr>
      <w:r>
        <w:t>главоболие</w:t>
      </w:r>
    </w:p>
    <w:p w14:paraId="109AE884" w14:textId="77777777" w:rsidR="009B3384" w:rsidRDefault="00800862">
      <w:pPr>
        <w:numPr>
          <w:ilvl w:val="0"/>
          <w:numId w:val="30"/>
        </w:numPr>
        <w:tabs>
          <w:tab w:val="left" w:pos="1134"/>
        </w:tabs>
      </w:pPr>
      <w:r>
        <w:t>сърбеж (пруритус)</w:t>
      </w:r>
    </w:p>
    <w:p w14:paraId="109AE885" w14:textId="77777777" w:rsidR="009B3384" w:rsidRDefault="00800862">
      <w:pPr>
        <w:numPr>
          <w:ilvl w:val="0"/>
          <w:numId w:val="30"/>
        </w:numPr>
        <w:tabs>
          <w:tab w:val="left" w:pos="1134"/>
        </w:tabs>
      </w:pPr>
      <w:r>
        <w:t>болка в гърба, мускулите или ставите</w:t>
      </w:r>
    </w:p>
    <w:p w14:paraId="109AE886" w14:textId="77777777" w:rsidR="009B3384" w:rsidRDefault="00800862">
      <w:pPr>
        <w:numPr>
          <w:ilvl w:val="0"/>
          <w:numId w:val="30"/>
        </w:numPr>
        <w:tabs>
          <w:tab w:val="left" w:pos="1134"/>
        </w:tabs>
      </w:pPr>
      <w:r>
        <w:t>възпалено гърло</w:t>
      </w:r>
    </w:p>
    <w:p w14:paraId="109AE887" w14:textId="77777777" w:rsidR="009B3384" w:rsidRDefault="00800862">
      <w:pPr>
        <w:numPr>
          <w:ilvl w:val="0"/>
          <w:numId w:val="30"/>
        </w:numPr>
        <w:tabs>
          <w:tab w:val="left" w:pos="1134"/>
        </w:tabs>
      </w:pPr>
      <w:r>
        <w:t>зачервяване и болка на мястото на инжектиране</w:t>
      </w:r>
    </w:p>
    <w:p w14:paraId="109AE888" w14:textId="77777777" w:rsidR="009B3384" w:rsidRDefault="00800862">
      <w:pPr>
        <w:numPr>
          <w:ilvl w:val="0"/>
          <w:numId w:val="30"/>
        </w:numPr>
        <w:tabs>
          <w:tab w:val="left" w:pos="1134"/>
        </w:tabs>
      </w:pPr>
      <w:r>
        <w:t>инфекция на синусите</w:t>
      </w:r>
    </w:p>
    <w:p w14:paraId="109AE889" w14:textId="77777777" w:rsidR="009B3384" w:rsidRDefault="009B3384"/>
    <w:p w14:paraId="109AE88A" w14:textId="77777777" w:rsidR="009B3384" w:rsidRDefault="00800862">
      <w:pPr>
        <w:keepNext/>
        <w:rPr>
          <w:b/>
          <w:szCs w:val="22"/>
        </w:rPr>
      </w:pPr>
      <w:r>
        <w:rPr>
          <w:b/>
          <w:bCs/>
          <w:szCs w:val="22"/>
        </w:rPr>
        <w:t xml:space="preserve">Нечести нежелани реакции </w:t>
      </w:r>
      <w:r>
        <w:rPr>
          <w:bCs/>
          <w:szCs w:val="22"/>
        </w:rPr>
        <w:t>(може да засегнат до 1 на 100 души)</w:t>
      </w:r>
      <w:r>
        <w:rPr>
          <w:b/>
          <w:szCs w:val="22"/>
        </w:rPr>
        <w:t>:</w:t>
      </w:r>
    </w:p>
    <w:p w14:paraId="109AE88B" w14:textId="77777777" w:rsidR="009B3384" w:rsidRDefault="00800862">
      <w:pPr>
        <w:numPr>
          <w:ilvl w:val="0"/>
          <w:numId w:val="30"/>
        </w:numPr>
        <w:tabs>
          <w:tab w:val="left" w:pos="1134"/>
        </w:tabs>
      </w:pPr>
      <w:r>
        <w:t>инфекции на зъбите</w:t>
      </w:r>
    </w:p>
    <w:p w14:paraId="109AE88C" w14:textId="77777777" w:rsidR="009B3384" w:rsidRDefault="00800862">
      <w:pPr>
        <w:numPr>
          <w:ilvl w:val="0"/>
          <w:numId w:val="30"/>
        </w:numPr>
        <w:tabs>
          <w:tab w:val="left" w:pos="1134"/>
        </w:tabs>
      </w:pPr>
      <w:r>
        <w:t>вагинална инфекция, причинена от гъбички</w:t>
      </w:r>
    </w:p>
    <w:p w14:paraId="109AE88D" w14:textId="77777777" w:rsidR="009B3384" w:rsidRDefault="00800862">
      <w:pPr>
        <w:numPr>
          <w:ilvl w:val="0"/>
          <w:numId w:val="30"/>
        </w:numPr>
        <w:tabs>
          <w:tab w:val="left" w:pos="1134"/>
        </w:tabs>
        <w:rPr>
          <w:szCs w:val="22"/>
        </w:rPr>
      </w:pPr>
      <w:r>
        <w:rPr>
          <w:szCs w:val="22"/>
        </w:rPr>
        <w:t>депресия</w:t>
      </w:r>
    </w:p>
    <w:p w14:paraId="109AE88E" w14:textId="77777777" w:rsidR="009B3384" w:rsidRDefault="00800862">
      <w:pPr>
        <w:numPr>
          <w:ilvl w:val="0"/>
          <w:numId w:val="30"/>
        </w:numPr>
        <w:tabs>
          <w:tab w:val="left" w:pos="1134"/>
        </w:tabs>
        <w:rPr>
          <w:szCs w:val="22"/>
        </w:rPr>
      </w:pPr>
      <w:r>
        <w:rPr>
          <w:szCs w:val="22"/>
        </w:rPr>
        <w:t>запушен нос или хрема</w:t>
      </w:r>
    </w:p>
    <w:p w14:paraId="109AE88F" w14:textId="77777777" w:rsidR="009B3384" w:rsidRDefault="00800862">
      <w:pPr>
        <w:numPr>
          <w:ilvl w:val="0"/>
          <w:numId w:val="30"/>
        </w:numPr>
        <w:tabs>
          <w:tab w:val="left" w:pos="1134"/>
        </w:tabs>
        <w:rPr>
          <w:szCs w:val="22"/>
        </w:rPr>
      </w:pPr>
      <w:r>
        <w:rPr>
          <w:bCs/>
          <w:szCs w:val="22"/>
        </w:rPr>
        <w:t>кървене, посиняване, втвърдяване</w:t>
      </w:r>
      <w:r>
        <w:rPr>
          <w:szCs w:val="22"/>
        </w:rPr>
        <w:t>, подуване и сърбеж на мястото на инжектиране</w:t>
      </w:r>
    </w:p>
    <w:p w14:paraId="109AE890" w14:textId="77777777" w:rsidR="009B3384" w:rsidRDefault="00800862">
      <w:pPr>
        <w:numPr>
          <w:ilvl w:val="0"/>
          <w:numId w:val="30"/>
        </w:numPr>
        <w:tabs>
          <w:tab w:val="left" w:pos="1134"/>
        </w:tabs>
        <w:rPr>
          <w:szCs w:val="22"/>
        </w:rPr>
      </w:pPr>
      <w:r>
        <w:rPr>
          <w:bCs/>
        </w:rPr>
        <w:t>усещане за слабост</w:t>
      </w:r>
    </w:p>
    <w:p w14:paraId="109AE891" w14:textId="77777777" w:rsidR="009B3384" w:rsidRDefault="00800862">
      <w:pPr>
        <w:numPr>
          <w:ilvl w:val="0"/>
          <w:numId w:val="30"/>
        </w:numPr>
        <w:tabs>
          <w:tab w:val="left" w:pos="1134"/>
        </w:tabs>
        <w:rPr>
          <w:szCs w:val="22"/>
        </w:rPr>
      </w:pPr>
      <w:r>
        <w:rPr>
          <w:szCs w:val="22"/>
        </w:rPr>
        <w:t>спадане на клепача и изкривяване на мускулите на едната половина на лицето („лицева парализа”</w:t>
      </w:r>
      <w:r>
        <w:t xml:space="preserve"> или „парализа на Бел”), която обикновено е временна</w:t>
      </w:r>
    </w:p>
    <w:p w14:paraId="109AE892" w14:textId="77777777" w:rsidR="009B3384" w:rsidRDefault="00800862">
      <w:pPr>
        <w:numPr>
          <w:ilvl w:val="0"/>
          <w:numId w:val="30"/>
        </w:numPr>
        <w:tabs>
          <w:tab w:val="left" w:pos="1134"/>
        </w:tabs>
        <w:rPr>
          <w:szCs w:val="22"/>
        </w:rPr>
      </w:pPr>
      <w:r>
        <w:rPr>
          <w:szCs w:val="22"/>
        </w:rPr>
        <w:lastRenderedPageBreak/>
        <w:t>промяна на псориазиса със зачервяване и нови малки, жълти или бели мехури по кожата, понякога придружени с температура (пустулозен псориазис)</w:t>
      </w:r>
    </w:p>
    <w:p w14:paraId="109AE893" w14:textId="77777777" w:rsidR="009B3384" w:rsidRDefault="00800862">
      <w:pPr>
        <w:numPr>
          <w:ilvl w:val="0"/>
          <w:numId w:val="30"/>
        </w:numPr>
        <w:tabs>
          <w:tab w:val="left" w:pos="1134"/>
        </w:tabs>
        <w:rPr>
          <w:szCs w:val="22"/>
        </w:rPr>
      </w:pPr>
      <w:r>
        <w:rPr>
          <w:szCs w:val="22"/>
        </w:rPr>
        <w:t>белене на кожата (ексфолиация на кожата)</w:t>
      </w:r>
    </w:p>
    <w:p w14:paraId="109AE894" w14:textId="77777777" w:rsidR="009B3384" w:rsidRDefault="00800862">
      <w:pPr>
        <w:numPr>
          <w:ilvl w:val="0"/>
          <w:numId w:val="30"/>
        </w:numPr>
        <w:tabs>
          <w:tab w:val="left" w:pos="1134"/>
        </w:tabs>
        <w:rPr>
          <w:szCs w:val="22"/>
        </w:rPr>
      </w:pPr>
      <w:r>
        <w:rPr>
          <w:szCs w:val="22"/>
        </w:rPr>
        <w:t>акне</w:t>
      </w:r>
    </w:p>
    <w:p w14:paraId="109AE895" w14:textId="77777777" w:rsidR="009B3384" w:rsidRDefault="009B3384">
      <w:pPr>
        <w:rPr>
          <w:szCs w:val="22"/>
        </w:rPr>
      </w:pPr>
    </w:p>
    <w:p w14:paraId="109AE896" w14:textId="77777777" w:rsidR="009B3384" w:rsidRDefault="00800862">
      <w:pPr>
        <w:keepNext/>
      </w:pPr>
      <w:r>
        <w:rPr>
          <w:b/>
        </w:rPr>
        <w:t xml:space="preserve">Редки нежелани лекарствени реакции </w:t>
      </w:r>
      <w:r>
        <w:t>(може да засегнат до 1 на 1</w:t>
      </w:r>
      <w:r>
        <w:rPr>
          <w:lang w:val="nl-BE"/>
        </w:rPr>
        <w:t> </w:t>
      </w:r>
      <w:r>
        <w:t>000 души)</w:t>
      </w:r>
    </w:p>
    <w:p w14:paraId="109AE897" w14:textId="77777777" w:rsidR="009B3384" w:rsidRDefault="00800862">
      <w:pPr>
        <w:numPr>
          <w:ilvl w:val="0"/>
          <w:numId w:val="30"/>
        </w:numPr>
        <w:tabs>
          <w:tab w:val="left" w:pos="1134"/>
        </w:tabs>
      </w:pPr>
      <w:r>
        <w:t>Зачервяване и лющене на кожата на по-голяма площ по тялото, които може да сърбят или да са болезнени (ексфолиативен дерматит). Подобни симптоми понякога се развиват като естествена промяна на вида на симптомите на псориазис (еритродермичен псориазис)</w:t>
      </w:r>
    </w:p>
    <w:p w14:paraId="109AE898" w14:textId="77777777" w:rsidR="009B3384" w:rsidRDefault="00800862">
      <w:pPr>
        <w:numPr>
          <w:ilvl w:val="0"/>
          <w:numId w:val="30"/>
        </w:numPr>
        <w:tabs>
          <w:tab w:val="left" w:pos="1134"/>
        </w:tabs>
      </w:pPr>
      <w:r>
        <w:t>Възпаление на малките кръвоносни съдове, което може да доведе до кожен обрив с малки червени или лилави подутини, температура или болка в ставите (васкулит).</w:t>
      </w:r>
    </w:p>
    <w:p w14:paraId="109AE899" w14:textId="77777777" w:rsidR="009B3384" w:rsidRDefault="009B3384">
      <w:pPr>
        <w:tabs>
          <w:tab w:val="clear" w:pos="567"/>
          <w:tab w:val="left" w:pos="1134"/>
        </w:tabs>
        <w:rPr>
          <w:szCs w:val="22"/>
        </w:rPr>
      </w:pPr>
    </w:p>
    <w:p w14:paraId="109AE89A" w14:textId="77777777" w:rsidR="009B3384" w:rsidRDefault="00800862">
      <w:pPr>
        <w:keepNext/>
      </w:pPr>
      <w:r>
        <w:rPr>
          <w:b/>
          <w:szCs w:val="22"/>
        </w:rPr>
        <w:t>Много редки</w:t>
      </w:r>
      <w:r>
        <w:rPr>
          <w:szCs w:val="22"/>
        </w:rPr>
        <w:t xml:space="preserve"> </w:t>
      </w:r>
      <w:r>
        <w:rPr>
          <w:b/>
        </w:rPr>
        <w:t xml:space="preserve">нежелани лекарствени реакции </w:t>
      </w:r>
      <w:r>
        <w:t>(може да засегнат до 1 на 10</w:t>
      </w:r>
      <w:r>
        <w:rPr>
          <w:lang w:val="nl-BE"/>
        </w:rPr>
        <w:t> </w:t>
      </w:r>
      <w:r>
        <w:t>000</w:t>
      </w:r>
      <w:r>
        <w:rPr>
          <w:lang w:val="en-US"/>
        </w:rPr>
        <w:t> </w:t>
      </w:r>
      <w:r>
        <w:t>души)</w:t>
      </w:r>
    </w:p>
    <w:p w14:paraId="109AE89B" w14:textId="77777777" w:rsidR="009B3384" w:rsidRDefault="00800862">
      <w:pPr>
        <w:numPr>
          <w:ilvl w:val="0"/>
          <w:numId w:val="30"/>
        </w:numPr>
      </w:pPr>
      <w:r>
        <w:t>Образуване на мехури по кожата, която може да бъде зачервена, сърбяща и болезнена (булозен пемфигоид)</w:t>
      </w:r>
    </w:p>
    <w:p w14:paraId="109AE89C" w14:textId="77777777" w:rsidR="009B3384" w:rsidRDefault="00800862">
      <w:pPr>
        <w:numPr>
          <w:ilvl w:val="0"/>
          <w:numId w:val="30"/>
        </w:numPr>
      </w:pPr>
      <w:r>
        <w:t>кожен лупус еритематодес и лупус-подобен синдром (червен, надигнат, лющещ се обрив в изложените на слънце участъци на кожата, който може да е придружен от болки в ставите).</w:t>
      </w:r>
    </w:p>
    <w:p w14:paraId="109AE89D" w14:textId="77777777" w:rsidR="009B3384" w:rsidRDefault="009B3384">
      <w:pPr>
        <w:tabs>
          <w:tab w:val="clear" w:pos="567"/>
          <w:tab w:val="left" w:pos="1134"/>
        </w:tabs>
        <w:rPr>
          <w:szCs w:val="22"/>
        </w:rPr>
      </w:pPr>
    </w:p>
    <w:p w14:paraId="109AE89E" w14:textId="77777777" w:rsidR="009B3384" w:rsidRDefault="00800862">
      <w:pPr>
        <w:keepNext/>
        <w:rPr>
          <w:szCs w:val="22"/>
        </w:rPr>
      </w:pPr>
      <w:r>
        <w:rPr>
          <w:b/>
          <w:szCs w:val="22"/>
        </w:rPr>
        <w:t>Съобщаване на нежелани реакции</w:t>
      </w:r>
    </w:p>
    <w:p w14:paraId="109AE89F" w14:textId="77777777" w:rsidR="009B3384" w:rsidRDefault="00800862">
      <w:r>
        <w:t xml:space="preserve">Ако получите някакви нежелани лекарствени реакции, уведомете Вашия лекар или фармацевт. Това включва и всички възможни неописани в тази листовка нежелани реакции. Можете също да съобщите нежелани реакции директно чрез </w:t>
      </w:r>
      <w:r>
        <w:rPr>
          <w:highlight w:val="lightGray"/>
        </w:rPr>
        <w:t xml:space="preserve">националната система за съобщаване, посочена </w:t>
      </w:r>
      <w:r>
        <w:rPr>
          <w:szCs w:val="22"/>
          <w:highlight w:val="lightGray"/>
        </w:rPr>
        <w:t xml:space="preserve">в </w:t>
      </w:r>
      <w:hyperlink r:id="rId46" w:history="1">
        <w:r>
          <w:rPr>
            <w:rStyle w:val="Hyperlink"/>
            <w:noProof/>
            <w:szCs w:val="22"/>
            <w:highlight w:val="lightGray"/>
          </w:rPr>
          <w:t>Приложение V</w:t>
        </w:r>
      </w:hyperlink>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09AE8A0" w14:textId="77777777" w:rsidR="009B3384" w:rsidRDefault="009B3384">
      <w:pPr>
        <w:rPr>
          <w:szCs w:val="22"/>
        </w:rPr>
      </w:pPr>
    </w:p>
    <w:p w14:paraId="109AE8A1" w14:textId="77777777" w:rsidR="009B3384" w:rsidRDefault="009B3384">
      <w:pPr>
        <w:rPr>
          <w:szCs w:val="22"/>
        </w:rPr>
      </w:pPr>
    </w:p>
    <w:p w14:paraId="109AE8A2" w14:textId="77777777" w:rsidR="009B3384" w:rsidRDefault="00800862">
      <w:pPr>
        <w:keepNext/>
        <w:ind w:left="567" w:hanging="567"/>
        <w:outlineLvl w:val="2"/>
        <w:rPr>
          <w:b/>
          <w:bCs/>
        </w:rPr>
      </w:pPr>
      <w:r>
        <w:rPr>
          <w:b/>
          <w:bCs/>
        </w:rPr>
        <w:t>5.</w:t>
      </w:r>
      <w:r>
        <w:rPr>
          <w:b/>
          <w:bCs/>
        </w:rPr>
        <w:tab/>
        <w:t>Как да съхранявате Stelara</w:t>
      </w:r>
    </w:p>
    <w:p w14:paraId="109AE8A3" w14:textId="77777777" w:rsidR="009B3384" w:rsidRDefault="009B3384">
      <w:pPr>
        <w:keepNext/>
        <w:rPr>
          <w:szCs w:val="22"/>
        </w:rPr>
      </w:pPr>
    </w:p>
    <w:p w14:paraId="109AE8A4" w14:textId="77777777" w:rsidR="009B3384" w:rsidRDefault="00800862">
      <w:pPr>
        <w:numPr>
          <w:ilvl w:val="0"/>
          <w:numId w:val="30"/>
        </w:numPr>
        <w:tabs>
          <w:tab w:val="clear" w:pos="567"/>
        </w:tabs>
      </w:pPr>
      <w:r>
        <w:t>Да се съхранява на място, недостъпно за деца.</w:t>
      </w:r>
    </w:p>
    <w:p w14:paraId="109AE8A5" w14:textId="77777777" w:rsidR="009B3384" w:rsidRDefault="00800862">
      <w:pPr>
        <w:numPr>
          <w:ilvl w:val="0"/>
          <w:numId w:val="30"/>
        </w:numPr>
        <w:tabs>
          <w:tab w:val="clear" w:pos="567"/>
        </w:tabs>
      </w:pPr>
      <w:r>
        <w:t>Да се съхранява в хладилник (2°C–8°C). Да не се замразява.</w:t>
      </w:r>
    </w:p>
    <w:p w14:paraId="109AE8A6" w14:textId="77777777" w:rsidR="009B3384" w:rsidRDefault="00800862">
      <w:pPr>
        <w:numPr>
          <w:ilvl w:val="0"/>
          <w:numId w:val="30"/>
        </w:numPr>
        <w:tabs>
          <w:tab w:val="clear" w:pos="567"/>
        </w:tabs>
      </w:pPr>
      <w:r>
        <w:t xml:space="preserve">Съхранявайте предварително напълнената </w:t>
      </w:r>
      <w:bookmarkStart w:id="1435" w:name="_Hlk135651668"/>
      <w:r>
        <w:t>писалка</w:t>
      </w:r>
      <w:bookmarkEnd w:id="1435"/>
      <w:r>
        <w:t xml:space="preserve"> в картонената опаковка, за да се предпази от светлина.</w:t>
      </w:r>
    </w:p>
    <w:p w14:paraId="109AE8A7" w14:textId="77777777" w:rsidR="009B3384" w:rsidRDefault="00800862">
      <w:pPr>
        <w:widowControl w:val="0"/>
        <w:numPr>
          <w:ilvl w:val="0"/>
          <w:numId w:val="30"/>
        </w:numPr>
        <w:tabs>
          <w:tab w:val="clear" w:pos="567"/>
        </w:tabs>
      </w:pPr>
      <w:r>
        <w:t>Ако е необходимо, отделните предварително напълнени писалки Stelara може също да се съхраняват при стайна температура до 30</w:t>
      </w:r>
      <w:r>
        <w:rPr>
          <w:rFonts w:eastAsia="Symbol"/>
        </w:rPr>
        <w:t>°</w:t>
      </w:r>
      <w:r>
        <w:t>C за максимум един период до 30 дни в оригиналната картонена опаковка, за да се предпазят от светлина. Запишете датата, на която предварително напълнената писалка е извадена за първи път от хладилника и датата на изхвърляне на обозначените на външната картонена опаковка места. Датата на изхвърляне не трябва да е след оригиналния срок на годност, отпечатан върху картонената опаковка. След като веднъж писалката е била съхранявана при стайна температура (до 30</w:t>
      </w:r>
      <w:r>
        <w:rPr>
          <w:rFonts w:eastAsia="Symbol"/>
        </w:rPr>
        <w:t>°</w:t>
      </w:r>
      <w:r>
        <w:t>C), тя не трябва да се връща в хладилника. Изхвърлете писалката, ако не се използва след съхранение при стайна температура в рамките на 30 дни или след изтичане на оригиналния срок на годност, в зависимост от това, кое от двете настъпи по-рано.</w:t>
      </w:r>
    </w:p>
    <w:p w14:paraId="109AE8A8" w14:textId="4FB1B3F4" w:rsidR="009B3384" w:rsidRDefault="00800862">
      <w:pPr>
        <w:numPr>
          <w:ilvl w:val="0"/>
          <w:numId w:val="30"/>
        </w:numPr>
        <w:tabs>
          <w:tab w:val="clear" w:pos="567"/>
        </w:tabs>
      </w:pPr>
      <w:r>
        <w:t>Не разклащайте предварително напълнената писалка. Продължителното енергично разклащане може да повреди лекарството.</w:t>
      </w:r>
    </w:p>
    <w:p w14:paraId="109AE8A9" w14:textId="77777777" w:rsidR="009B3384" w:rsidRDefault="009B3384">
      <w:pPr>
        <w:rPr>
          <w:szCs w:val="22"/>
        </w:rPr>
      </w:pPr>
    </w:p>
    <w:p w14:paraId="109AE8AA" w14:textId="77777777" w:rsidR="009B3384" w:rsidRDefault="00800862">
      <w:pPr>
        <w:keepNext/>
        <w:rPr>
          <w:b/>
          <w:szCs w:val="22"/>
        </w:rPr>
      </w:pPr>
      <w:r>
        <w:rPr>
          <w:b/>
          <w:szCs w:val="22"/>
        </w:rPr>
        <w:t>Не използвайте това лекарство:</w:t>
      </w:r>
    </w:p>
    <w:p w14:paraId="109AE8AB" w14:textId="77777777" w:rsidR="009B3384" w:rsidRDefault="00800862">
      <w:pPr>
        <w:numPr>
          <w:ilvl w:val="0"/>
          <w:numId w:val="30"/>
        </w:numPr>
        <w:tabs>
          <w:tab w:val="clear" w:pos="567"/>
        </w:tabs>
        <w:rPr>
          <w:bCs/>
          <w:szCs w:val="22"/>
        </w:rPr>
      </w:pPr>
      <w:r>
        <w:rPr>
          <w:szCs w:val="22"/>
        </w:rPr>
        <w:t xml:space="preserve">след срока </w:t>
      </w:r>
      <w:r>
        <w:rPr>
          <w:bCs/>
          <w:szCs w:val="22"/>
        </w:rPr>
        <w:t xml:space="preserve">на годност, отбелязан върху етикета и картонената опаковка след </w:t>
      </w:r>
      <w:bookmarkStart w:id="1436" w:name="_Hlk137630051"/>
      <w:r>
        <w:rPr>
          <w:bCs/>
          <w:szCs w:val="22"/>
        </w:rPr>
        <w:t>„</w:t>
      </w:r>
      <w:r>
        <w:rPr>
          <w:bCs/>
          <w:szCs w:val="22"/>
          <w:lang w:val="en-US"/>
        </w:rPr>
        <w:t>EXP</w:t>
      </w:r>
      <w:r>
        <w:rPr>
          <w:bCs/>
          <w:szCs w:val="22"/>
        </w:rPr>
        <w:t>“/</w:t>
      </w:r>
      <w:bookmarkEnd w:id="1436"/>
      <w:r>
        <w:rPr>
          <w:bCs/>
          <w:szCs w:val="22"/>
        </w:rPr>
        <w:t>„Годен до:“. Срокът на годност отговаря на последния ден от посочения месец;</w:t>
      </w:r>
    </w:p>
    <w:p w14:paraId="109AE8AC" w14:textId="77777777" w:rsidR="009B3384" w:rsidRDefault="00800862">
      <w:pPr>
        <w:numPr>
          <w:ilvl w:val="0"/>
          <w:numId w:val="30"/>
        </w:numPr>
        <w:tabs>
          <w:tab w:val="clear" w:pos="567"/>
        </w:tabs>
        <w:rPr>
          <w:bCs/>
          <w:szCs w:val="22"/>
        </w:rPr>
      </w:pPr>
      <w:r>
        <w:rPr>
          <w:bCs/>
          <w:szCs w:val="22"/>
        </w:rPr>
        <w:t>ако течността е с променен цвят, мътна или в нея се забелязват плуващи чужди частици (вижте точка 6 „Как изглежда Stelara и какво съдържа опаковката“);</w:t>
      </w:r>
    </w:p>
    <w:p w14:paraId="109AE8AD" w14:textId="77777777" w:rsidR="009B3384" w:rsidRDefault="00800862">
      <w:pPr>
        <w:numPr>
          <w:ilvl w:val="0"/>
          <w:numId w:val="30"/>
        </w:numPr>
        <w:tabs>
          <w:tab w:val="clear" w:pos="567"/>
        </w:tabs>
        <w:rPr>
          <w:bCs/>
          <w:szCs w:val="22"/>
        </w:rPr>
      </w:pPr>
      <w:r>
        <w:rPr>
          <w:bCs/>
          <w:szCs w:val="22"/>
        </w:rPr>
        <w:t>ако знаете или смятате, че може да е била изложена на екстремни температури (като инцидентно замръзване или загряване);</w:t>
      </w:r>
    </w:p>
    <w:p w14:paraId="109AE8AE" w14:textId="77777777" w:rsidR="009B3384" w:rsidRDefault="00800862">
      <w:pPr>
        <w:numPr>
          <w:ilvl w:val="0"/>
          <w:numId w:val="30"/>
        </w:numPr>
        <w:tabs>
          <w:tab w:val="clear" w:pos="567"/>
        </w:tabs>
        <w:rPr>
          <w:bCs/>
          <w:szCs w:val="22"/>
        </w:rPr>
      </w:pPr>
      <w:r>
        <w:rPr>
          <w:bCs/>
          <w:szCs w:val="22"/>
        </w:rPr>
        <w:t>ако продуктът е бил енергично разклатен.</w:t>
      </w:r>
    </w:p>
    <w:p w14:paraId="109AE8AF" w14:textId="77777777" w:rsidR="009B3384" w:rsidRDefault="009B3384">
      <w:pPr>
        <w:rPr>
          <w:szCs w:val="22"/>
        </w:rPr>
      </w:pPr>
    </w:p>
    <w:p w14:paraId="109AE8B0" w14:textId="77777777" w:rsidR="009B3384" w:rsidRDefault="00800862">
      <w:pPr>
        <w:rPr>
          <w:szCs w:val="22"/>
        </w:rPr>
      </w:pPr>
      <w:r>
        <w:rPr>
          <w:bCs/>
          <w:szCs w:val="22"/>
        </w:rPr>
        <w:lastRenderedPageBreak/>
        <w:t>Stelara</w:t>
      </w:r>
      <w:r>
        <w:rPr>
          <w:szCs w:val="22"/>
        </w:rPr>
        <w:t xml:space="preserve"> e само за еднократна употреба. Неизползваният продукт, останал в </w:t>
      </w:r>
      <w:r>
        <w:t>писалка</w:t>
      </w:r>
      <w:r>
        <w:rPr>
          <w:szCs w:val="22"/>
        </w:rPr>
        <w:t xml:space="preserve">та, трябва да се изхвърли. </w:t>
      </w:r>
      <w:r>
        <w:rPr>
          <w:szCs w:val="24"/>
        </w:rPr>
        <w:t>Не изхвърляйте лекарствата</w:t>
      </w:r>
      <w:r>
        <w:t xml:space="preserve"> в канализацията или в контейнера за домашни отпадъци</w:t>
      </w:r>
      <w:r>
        <w:rPr>
          <w:szCs w:val="24"/>
        </w:rPr>
        <w:t>.</w:t>
      </w:r>
      <w:r>
        <w:t xml:space="preserve"> Попитайте Вашия фармацевт как да </w:t>
      </w:r>
      <w:r>
        <w:rPr>
          <w:szCs w:val="24"/>
        </w:rPr>
        <w:t>изхвърляте лекарствата, които вече не използвате</w:t>
      </w:r>
      <w:r>
        <w:t>. Тези мерки ще спомогнат за опазване на околната среда.</w:t>
      </w:r>
    </w:p>
    <w:p w14:paraId="109AE8B1" w14:textId="77777777" w:rsidR="009B3384" w:rsidRDefault="009B3384">
      <w:pPr>
        <w:rPr>
          <w:szCs w:val="22"/>
        </w:rPr>
      </w:pPr>
    </w:p>
    <w:p w14:paraId="109AE8B2" w14:textId="77777777" w:rsidR="009B3384" w:rsidRDefault="009B3384">
      <w:pPr>
        <w:rPr>
          <w:szCs w:val="22"/>
        </w:rPr>
      </w:pPr>
    </w:p>
    <w:p w14:paraId="109AE8B3" w14:textId="77777777" w:rsidR="009B3384" w:rsidRDefault="00800862">
      <w:pPr>
        <w:keepNext/>
        <w:ind w:left="567" w:hanging="567"/>
        <w:outlineLvl w:val="2"/>
        <w:rPr>
          <w:b/>
          <w:bCs/>
          <w:szCs w:val="22"/>
        </w:rPr>
      </w:pPr>
      <w:r>
        <w:rPr>
          <w:b/>
          <w:bCs/>
          <w:szCs w:val="22"/>
        </w:rPr>
        <w:t>6.</w:t>
      </w:r>
      <w:r>
        <w:rPr>
          <w:b/>
          <w:bCs/>
          <w:szCs w:val="22"/>
        </w:rPr>
        <w:tab/>
        <w:t>Съдържание на опаковката и допълнителна информация</w:t>
      </w:r>
    </w:p>
    <w:p w14:paraId="109AE8B4" w14:textId="77777777" w:rsidR="009B3384" w:rsidRDefault="009B3384">
      <w:pPr>
        <w:keepNext/>
        <w:rPr>
          <w:szCs w:val="22"/>
        </w:rPr>
      </w:pPr>
    </w:p>
    <w:p w14:paraId="109AE8B5" w14:textId="77777777" w:rsidR="009B3384" w:rsidRDefault="00800862">
      <w:pPr>
        <w:keepNext/>
        <w:rPr>
          <w:b/>
          <w:szCs w:val="22"/>
        </w:rPr>
      </w:pPr>
      <w:r>
        <w:rPr>
          <w:b/>
          <w:szCs w:val="22"/>
        </w:rPr>
        <w:t>Какво съдържа Stelara</w:t>
      </w:r>
    </w:p>
    <w:p w14:paraId="109AE8B6" w14:textId="77777777" w:rsidR="009B3384" w:rsidRDefault="00800862">
      <w:pPr>
        <w:numPr>
          <w:ilvl w:val="0"/>
          <w:numId w:val="30"/>
        </w:numPr>
        <w:tabs>
          <w:tab w:val="clear" w:pos="567"/>
        </w:tabs>
        <w:rPr>
          <w:bCs/>
          <w:szCs w:val="22"/>
        </w:rPr>
      </w:pPr>
      <w:r>
        <w:rPr>
          <w:bCs/>
          <w:szCs w:val="22"/>
        </w:rPr>
        <w:t xml:space="preserve">Активно вещество: устекинумаб. Всяка предварително напълнена </w:t>
      </w:r>
      <w:r>
        <w:t>писалка</w:t>
      </w:r>
      <w:r>
        <w:rPr>
          <w:bCs/>
          <w:szCs w:val="22"/>
        </w:rPr>
        <w:t xml:space="preserve"> съдържа 90 mg устекинумаб в 1 ml.</w:t>
      </w:r>
    </w:p>
    <w:p w14:paraId="109AE8B7" w14:textId="77777777" w:rsidR="009B3384" w:rsidRDefault="00800862">
      <w:pPr>
        <w:numPr>
          <w:ilvl w:val="0"/>
          <w:numId w:val="30"/>
        </w:numPr>
        <w:tabs>
          <w:tab w:val="clear" w:pos="567"/>
        </w:tabs>
        <w:rPr>
          <w:bCs/>
          <w:szCs w:val="22"/>
        </w:rPr>
      </w:pPr>
      <w:r>
        <w:rPr>
          <w:bCs/>
          <w:szCs w:val="22"/>
        </w:rPr>
        <w:t xml:space="preserve">Други съставки: L-хистидин, L-хистидинов монохидрохлорид монохидрат, полисорбат 80 </w:t>
      </w:r>
      <w:r>
        <w:rPr>
          <w:iCs/>
          <w:szCs w:val="22"/>
        </w:rPr>
        <w:t>(E433)</w:t>
      </w:r>
      <w:r>
        <w:rPr>
          <w:bCs/>
          <w:szCs w:val="22"/>
        </w:rPr>
        <w:t>, захароза и вода за инжекции.</w:t>
      </w:r>
    </w:p>
    <w:p w14:paraId="109AE8B8" w14:textId="77777777" w:rsidR="009B3384" w:rsidRDefault="009B3384">
      <w:pPr>
        <w:rPr>
          <w:szCs w:val="22"/>
        </w:rPr>
      </w:pPr>
    </w:p>
    <w:p w14:paraId="109AE8B9" w14:textId="77777777" w:rsidR="009B3384" w:rsidRDefault="00800862">
      <w:pPr>
        <w:keepNext/>
        <w:rPr>
          <w:b/>
          <w:szCs w:val="22"/>
        </w:rPr>
      </w:pPr>
      <w:r>
        <w:rPr>
          <w:b/>
          <w:szCs w:val="22"/>
        </w:rPr>
        <w:t>Как изглежда Stelara и какво съдържа опаковката</w:t>
      </w:r>
    </w:p>
    <w:p w14:paraId="109AE8BA" w14:textId="77777777" w:rsidR="009B3384" w:rsidRDefault="00800862">
      <w:pPr>
        <w:rPr>
          <w:szCs w:val="22"/>
        </w:rPr>
      </w:pPr>
      <w:r>
        <w:rPr>
          <w:szCs w:val="22"/>
        </w:rPr>
        <w:t xml:space="preserve">Stelara </w:t>
      </w:r>
      <w:r>
        <w:rPr>
          <w:bCs/>
        </w:rPr>
        <w:t xml:space="preserve">е бистър до </w:t>
      </w:r>
      <w:r>
        <w:rPr>
          <w:szCs w:val="22"/>
        </w:rPr>
        <w:t xml:space="preserve">леко опалесцентен (с перлен блясък), безцветен до бледожълт инжекционен разтвор. Той </w:t>
      </w:r>
      <w:r>
        <w:rPr>
          <w:bCs/>
        </w:rPr>
        <w:t xml:space="preserve">може да съдържа няколко дребни </w:t>
      </w:r>
      <w:r>
        <w:t>полупрозрачни или бели частици протеин. Доставя се в картонена опаковка, съдържаща една стъклена предварително напълнена писалка от 1 ml с единична доза. Всяка предварително напълнена писалка съдържа 90</w:t>
      </w:r>
      <w:r>
        <w:rPr>
          <w:szCs w:val="22"/>
        </w:rPr>
        <w:t> mg устекинумаб в 1 ml инжекционен разтвор.</w:t>
      </w:r>
    </w:p>
    <w:p w14:paraId="109AE8BB" w14:textId="77777777" w:rsidR="009B3384" w:rsidRDefault="009B3384"/>
    <w:p w14:paraId="109AE8BC" w14:textId="77777777" w:rsidR="009B3384" w:rsidRDefault="00800862">
      <w:pPr>
        <w:keepNext/>
        <w:rPr>
          <w:b/>
          <w:bCs/>
        </w:rPr>
      </w:pPr>
      <w:r>
        <w:rPr>
          <w:b/>
          <w:bCs/>
        </w:rPr>
        <w:t>Притежател на разрешението за употреба</w:t>
      </w:r>
    </w:p>
    <w:p w14:paraId="109AE8BD" w14:textId="77777777" w:rsidR="009B3384" w:rsidRDefault="00800862">
      <w:pPr>
        <w:rPr>
          <w:szCs w:val="13"/>
        </w:rPr>
      </w:pPr>
      <w:r>
        <w:rPr>
          <w:szCs w:val="13"/>
        </w:rPr>
        <w:t>Janssen-Cilag International NV</w:t>
      </w:r>
    </w:p>
    <w:p w14:paraId="109AE8BE" w14:textId="77777777" w:rsidR="009B3384" w:rsidRDefault="00800862">
      <w:pPr>
        <w:rPr>
          <w:szCs w:val="13"/>
        </w:rPr>
      </w:pPr>
      <w:proofErr w:type="spellStart"/>
      <w:r>
        <w:rPr>
          <w:szCs w:val="13"/>
          <w:lang w:val="en-GB"/>
        </w:rPr>
        <w:t>Turnhoutseweg</w:t>
      </w:r>
      <w:proofErr w:type="spellEnd"/>
      <w:r>
        <w:rPr>
          <w:szCs w:val="13"/>
        </w:rPr>
        <w:t xml:space="preserve"> 30</w:t>
      </w:r>
    </w:p>
    <w:p w14:paraId="109AE8BF" w14:textId="77777777" w:rsidR="009B3384" w:rsidRDefault="00800862">
      <w:pPr>
        <w:rPr>
          <w:szCs w:val="13"/>
        </w:rPr>
      </w:pPr>
      <w:r>
        <w:rPr>
          <w:szCs w:val="13"/>
          <w:lang w:val="en-US"/>
        </w:rPr>
        <w:t>B</w:t>
      </w:r>
      <w:r>
        <w:rPr>
          <w:szCs w:val="13"/>
        </w:rPr>
        <w:t>-2340 Beerse</w:t>
      </w:r>
    </w:p>
    <w:p w14:paraId="109AE8C0" w14:textId="77777777" w:rsidR="009B3384" w:rsidRDefault="00800862">
      <w:r>
        <w:t>Белгия</w:t>
      </w:r>
    </w:p>
    <w:p w14:paraId="109AE8C1" w14:textId="77777777" w:rsidR="009B3384" w:rsidRDefault="009B3384"/>
    <w:p w14:paraId="109AE8C2" w14:textId="77777777" w:rsidR="009B3384" w:rsidRDefault="00800862">
      <w:pPr>
        <w:keepNext/>
        <w:rPr>
          <w:b/>
          <w:bCs/>
        </w:rPr>
      </w:pPr>
      <w:r>
        <w:rPr>
          <w:b/>
          <w:bCs/>
        </w:rPr>
        <w:t>Производител</w:t>
      </w:r>
    </w:p>
    <w:p w14:paraId="109AE8C3" w14:textId="77777777" w:rsidR="009B3384" w:rsidRDefault="00800862">
      <w:r>
        <w:t>Janssen Biologics B.V.</w:t>
      </w:r>
    </w:p>
    <w:p w14:paraId="109AE8C4" w14:textId="77777777" w:rsidR="009B3384" w:rsidRDefault="00800862">
      <w:r>
        <w:t>Einsteinweg 101</w:t>
      </w:r>
    </w:p>
    <w:p w14:paraId="109AE8C5" w14:textId="77777777" w:rsidR="009B3384" w:rsidRDefault="00800862">
      <w:r>
        <w:t>2333 CB Leiden</w:t>
      </w:r>
    </w:p>
    <w:p w14:paraId="109AE8C6" w14:textId="77777777" w:rsidR="009B3384" w:rsidRDefault="00800862">
      <w:r>
        <w:t>Нидерландия</w:t>
      </w:r>
    </w:p>
    <w:p w14:paraId="109AE8C7" w14:textId="77777777" w:rsidR="009B3384" w:rsidRDefault="009B3384">
      <w:pPr>
        <w:rPr>
          <w:szCs w:val="22"/>
        </w:rPr>
      </w:pPr>
    </w:p>
    <w:p w14:paraId="109AE8C8" w14:textId="77777777" w:rsidR="009B3384" w:rsidRDefault="00800862">
      <w:pPr>
        <w:rPr>
          <w:szCs w:val="22"/>
        </w:rPr>
      </w:pPr>
      <w:r>
        <w:rPr>
          <w:szCs w:val="22"/>
        </w:rPr>
        <w:t>За допълнителна информация относно това лекарство, моля, свържете се с локалния представител на притежателя на разрешението за употреба:</w:t>
      </w:r>
    </w:p>
    <w:p w14:paraId="109AE8C9" w14:textId="77777777" w:rsidR="009B3384" w:rsidRDefault="009B3384">
      <w:pPr>
        <w:keepNext/>
        <w:suppressAutoHyphens w:val="0"/>
        <w:rPr>
          <w:szCs w:val="22"/>
        </w:rPr>
      </w:pPr>
    </w:p>
    <w:tbl>
      <w:tblPr>
        <w:tblW w:w="9075" w:type="dxa"/>
        <w:jc w:val="center"/>
        <w:tblLayout w:type="fixed"/>
        <w:tblLook w:val="04A0" w:firstRow="1" w:lastRow="0" w:firstColumn="1" w:lastColumn="0" w:noHBand="0" w:noVBand="1"/>
      </w:tblPr>
      <w:tblGrid>
        <w:gridCol w:w="10"/>
        <w:gridCol w:w="4260"/>
        <w:gridCol w:w="4805"/>
      </w:tblGrid>
      <w:tr w:rsidR="009B3384" w14:paraId="109AE8D5" w14:textId="77777777">
        <w:trPr>
          <w:cantSplit/>
          <w:jc w:val="center"/>
        </w:trPr>
        <w:tc>
          <w:tcPr>
            <w:tcW w:w="4270" w:type="dxa"/>
            <w:gridSpan w:val="2"/>
          </w:tcPr>
          <w:p w14:paraId="109AE8CA" w14:textId="77777777" w:rsidR="009B3384" w:rsidRDefault="00800862">
            <w:pPr>
              <w:widowControl w:val="0"/>
              <w:suppressAutoHyphens w:val="0"/>
              <w:rPr>
                <w:b/>
                <w:szCs w:val="22"/>
                <w:lang w:val="nl-BE"/>
              </w:rPr>
            </w:pPr>
            <w:r>
              <w:rPr>
                <w:b/>
                <w:szCs w:val="22"/>
                <w:lang w:val="nl-BE"/>
              </w:rPr>
              <w:t>België/Belgique/Belgien</w:t>
            </w:r>
          </w:p>
          <w:p w14:paraId="109AE8CB" w14:textId="77777777" w:rsidR="009B3384" w:rsidRDefault="00800862">
            <w:pPr>
              <w:widowControl w:val="0"/>
              <w:suppressAutoHyphens w:val="0"/>
              <w:rPr>
                <w:szCs w:val="22"/>
                <w:lang w:val="nl-BE"/>
              </w:rPr>
            </w:pPr>
            <w:r>
              <w:rPr>
                <w:szCs w:val="22"/>
                <w:lang w:val="nl-BE"/>
              </w:rPr>
              <w:t>Janssen-Cilag NV</w:t>
            </w:r>
          </w:p>
          <w:p w14:paraId="109AE8CC" w14:textId="6F5185DC" w:rsidR="009B3384" w:rsidRDefault="00800862">
            <w:pPr>
              <w:widowControl w:val="0"/>
              <w:suppressAutoHyphens w:val="0"/>
              <w:rPr>
                <w:szCs w:val="22"/>
                <w:lang w:val="nl-NL"/>
              </w:rPr>
            </w:pPr>
            <w:r>
              <w:rPr>
                <w:szCs w:val="22"/>
                <w:lang w:val="nl-NL"/>
              </w:rPr>
              <w:t xml:space="preserve">Tel/Tél: </w:t>
            </w:r>
            <w:r>
              <w:t>0800 93 377</w:t>
            </w:r>
          </w:p>
          <w:p w14:paraId="109AE8CE" w14:textId="70E881E5" w:rsidR="009B3384" w:rsidRDefault="00800862">
            <w:pPr>
              <w:suppressAutoHyphens w:val="0"/>
              <w:rPr>
                <w:szCs w:val="22"/>
                <w:lang w:val="nl-NL"/>
              </w:rPr>
            </w:pPr>
            <w:r w:rsidRPr="00BC6A43">
              <w:t>info_belux@its.jnj.com</w:t>
            </w:r>
          </w:p>
          <w:p w14:paraId="109AE8CF" w14:textId="77777777" w:rsidR="009B3384" w:rsidRDefault="009B3384">
            <w:pPr>
              <w:widowControl w:val="0"/>
              <w:suppressAutoHyphens w:val="0"/>
              <w:rPr>
                <w:szCs w:val="22"/>
                <w:lang w:val="nl-NL"/>
              </w:rPr>
            </w:pPr>
          </w:p>
        </w:tc>
        <w:tc>
          <w:tcPr>
            <w:tcW w:w="4805" w:type="dxa"/>
          </w:tcPr>
          <w:p w14:paraId="109AE8D0" w14:textId="77777777" w:rsidR="009B3384" w:rsidRDefault="00800862">
            <w:pPr>
              <w:widowControl w:val="0"/>
              <w:suppressAutoHyphens w:val="0"/>
              <w:rPr>
                <w:b/>
                <w:bCs/>
                <w:szCs w:val="22"/>
                <w:lang w:val="fi-FI"/>
              </w:rPr>
            </w:pPr>
            <w:r>
              <w:rPr>
                <w:b/>
                <w:bCs/>
                <w:szCs w:val="22"/>
                <w:lang w:val="fi-FI"/>
              </w:rPr>
              <w:t>Lietuva</w:t>
            </w:r>
          </w:p>
          <w:p w14:paraId="109AE8D1" w14:textId="77777777" w:rsidR="009B3384" w:rsidRDefault="00800862">
            <w:pPr>
              <w:widowControl w:val="0"/>
              <w:suppressAutoHyphens w:val="0"/>
              <w:rPr>
                <w:szCs w:val="22"/>
                <w:lang w:val="fi-FI"/>
              </w:rPr>
            </w:pPr>
            <w:r>
              <w:rPr>
                <w:szCs w:val="22"/>
                <w:lang w:val="fi-FI"/>
              </w:rPr>
              <w:t>UAB "JOHNSON &amp; JOHNSON"</w:t>
            </w:r>
          </w:p>
          <w:p w14:paraId="109AE8D2" w14:textId="77777777" w:rsidR="009B3384" w:rsidRDefault="00800862">
            <w:pPr>
              <w:widowControl w:val="0"/>
              <w:suppressAutoHyphens w:val="0"/>
              <w:rPr>
                <w:szCs w:val="22"/>
                <w:lang w:val="fi-FI"/>
              </w:rPr>
            </w:pPr>
            <w:r>
              <w:rPr>
                <w:szCs w:val="22"/>
                <w:lang w:val="fi-FI"/>
              </w:rPr>
              <w:t>Tel: +370 5 278 68 88</w:t>
            </w:r>
          </w:p>
          <w:p w14:paraId="109AE8D3" w14:textId="77777777" w:rsidR="009B3384" w:rsidRDefault="00800862">
            <w:pPr>
              <w:widowControl w:val="0"/>
              <w:suppressAutoHyphens w:val="0"/>
              <w:rPr>
                <w:szCs w:val="22"/>
                <w:lang w:val="pt-PT"/>
              </w:rPr>
            </w:pPr>
            <w:r>
              <w:rPr>
                <w:szCs w:val="22"/>
                <w:lang w:val="en-GB"/>
              </w:rPr>
              <w:t>lt@its.jnj.com</w:t>
            </w:r>
          </w:p>
          <w:p w14:paraId="109AE8D4" w14:textId="77777777" w:rsidR="009B3384" w:rsidRDefault="009B3384">
            <w:pPr>
              <w:widowControl w:val="0"/>
              <w:suppressAutoHyphens w:val="0"/>
              <w:rPr>
                <w:szCs w:val="22"/>
                <w:lang w:val="pt-PT"/>
              </w:rPr>
            </w:pPr>
          </w:p>
        </w:tc>
      </w:tr>
      <w:tr w:rsidR="009B3384" w14:paraId="109AE8E0" w14:textId="77777777">
        <w:trPr>
          <w:cantSplit/>
          <w:jc w:val="center"/>
        </w:trPr>
        <w:tc>
          <w:tcPr>
            <w:tcW w:w="4270" w:type="dxa"/>
            <w:gridSpan w:val="2"/>
          </w:tcPr>
          <w:p w14:paraId="109AE8D6" w14:textId="77777777" w:rsidR="009B3384" w:rsidRDefault="00800862">
            <w:pPr>
              <w:widowControl w:val="0"/>
              <w:suppressAutoHyphens w:val="0"/>
              <w:rPr>
                <w:b/>
                <w:bCs/>
                <w:szCs w:val="22"/>
              </w:rPr>
            </w:pPr>
            <w:r>
              <w:rPr>
                <w:b/>
                <w:bCs/>
                <w:szCs w:val="22"/>
              </w:rPr>
              <w:t>България</w:t>
            </w:r>
          </w:p>
          <w:p w14:paraId="109AE8D7" w14:textId="77777777" w:rsidR="009B3384" w:rsidRDefault="00800862">
            <w:pPr>
              <w:widowControl w:val="0"/>
              <w:suppressAutoHyphens w:val="0"/>
              <w:rPr>
                <w:szCs w:val="22"/>
              </w:rPr>
            </w:pPr>
            <w:r>
              <w:rPr>
                <w:szCs w:val="22"/>
              </w:rPr>
              <w:t>„Джонсън &amp; Джонсън България” ЕООД</w:t>
            </w:r>
          </w:p>
          <w:p w14:paraId="109AE8D8" w14:textId="77777777" w:rsidR="009B3384" w:rsidRDefault="00800862">
            <w:pPr>
              <w:widowControl w:val="0"/>
              <w:suppressAutoHyphens w:val="0"/>
              <w:rPr>
                <w:szCs w:val="22"/>
              </w:rPr>
            </w:pPr>
            <w:r>
              <w:rPr>
                <w:szCs w:val="22"/>
              </w:rPr>
              <w:t>Тел.: +359 2 489 94 00</w:t>
            </w:r>
          </w:p>
          <w:p w14:paraId="109AE8D9" w14:textId="77777777" w:rsidR="009B3384" w:rsidRDefault="00800862">
            <w:pPr>
              <w:numPr>
                <w:ilvl w:val="12"/>
                <w:numId w:val="0"/>
              </w:numPr>
              <w:suppressAutoHyphens w:val="0"/>
              <w:rPr>
                <w:szCs w:val="22"/>
                <w:lang w:val="en-GB"/>
              </w:rPr>
            </w:pPr>
            <w:r>
              <w:rPr>
                <w:szCs w:val="22"/>
                <w:lang w:val="en-GB"/>
              </w:rPr>
              <w:t>jjsafety@its.jnj.com</w:t>
            </w:r>
          </w:p>
          <w:p w14:paraId="109AE8DA" w14:textId="77777777" w:rsidR="009B3384" w:rsidRDefault="009B3384">
            <w:pPr>
              <w:widowControl w:val="0"/>
              <w:suppressAutoHyphens w:val="0"/>
              <w:rPr>
                <w:szCs w:val="22"/>
                <w:lang w:val="en-GB"/>
              </w:rPr>
            </w:pPr>
          </w:p>
        </w:tc>
        <w:tc>
          <w:tcPr>
            <w:tcW w:w="4805" w:type="dxa"/>
            <w:hideMark/>
          </w:tcPr>
          <w:p w14:paraId="109AE8DB" w14:textId="77777777" w:rsidR="009B3384" w:rsidRDefault="00800862">
            <w:pPr>
              <w:widowControl w:val="0"/>
              <w:suppressAutoHyphens w:val="0"/>
              <w:rPr>
                <w:b/>
                <w:bCs/>
                <w:szCs w:val="22"/>
                <w:lang w:val="en-GB"/>
              </w:rPr>
            </w:pPr>
            <w:r>
              <w:rPr>
                <w:b/>
                <w:bCs/>
                <w:szCs w:val="22"/>
                <w:lang w:val="en-GB"/>
              </w:rPr>
              <w:t>Luxembourg/Luxemburg</w:t>
            </w:r>
          </w:p>
          <w:p w14:paraId="109AE8DC" w14:textId="77777777" w:rsidR="009B3384" w:rsidRDefault="00800862">
            <w:pPr>
              <w:widowControl w:val="0"/>
              <w:suppressAutoHyphens w:val="0"/>
              <w:rPr>
                <w:szCs w:val="22"/>
                <w:lang w:val="en-GB"/>
              </w:rPr>
            </w:pPr>
            <w:r>
              <w:rPr>
                <w:szCs w:val="22"/>
                <w:lang w:val="en-GB"/>
              </w:rPr>
              <w:t>Janssen-Cilag NV</w:t>
            </w:r>
          </w:p>
          <w:p w14:paraId="109AE8DD" w14:textId="22CC1944" w:rsidR="009B3384" w:rsidRDefault="00800862">
            <w:pPr>
              <w:widowControl w:val="0"/>
              <w:suppressAutoHyphens w:val="0"/>
              <w:rPr>
                <w:szCs w:val="22"/>
                <w:lang w:val="en-GB"/>
              </w:rPr>
            </w:pPr>
            <w:proofErr w:type="spellStart"/>
            <w:r>
              <w:rPr>
                <w:szCs w:val="22"/>
                <w:lang w:val="en-GB"/>
              </w:rPr>
              <w:t>Tél</w:t>
            </w:r>
            <w:proofErr w:type="spellEnd"/>
            <w:r>
              <w:rPr>
                <w:szCs w:val="22"/>
                <w:lang w:val="en-GB"/>
              </w:rPr>
              <w:t xml:space="preserve">/Tel: </w:t>
            </w:r>
            <w:r>
              <w:rPr>
                <w:lang w:val="en-GB"/>
              </w:rPr>
              <w:t>800 29 504</w:t>
            </w:r>
          </w:p>
          <w:p w14:paraId="109AE8DE" w14:textId="0332C5E2" w:rsidR="009B3384" w:rsidRDefault="00800862">
            <w:pPr>
              <w:widowControl w:val="0"/>
              <w:suppressAutoHyphens w:val="0"/>
              <w:rPr>
                <w:szCs w:val="22"/>
                <w:lang w:val="en-GB"/>
              </w:rPr>
            </w:pPr>
            <w:r w:rsidRPr="00BC6A43">
              <w:rPr>
                <w:lang w:val="en-GB"/>
              </w:rPr>
              <w:t>info_belux@its.jnj.com</w:t>
            </w:r>
          </w:p>
          <w:p w14:paraId="109AE8DF" w14:textId="77777777" w:rsidR="009B3384" w:rsidRDefault="009B3384">
            <w:pPr>
              <w:widowControl w:val="0"/>
              <w:suppressAutoHyphens w:val="0"/>
              <w:rPr>
                <w:szCs w:val="22"/>
                <w:lang w:val="en-GB"/>
              </w:rPr>
            </w:pPr>
          </w:p>
        </w:tc>
      </w:tr>
      <w:tr w:rsidR="009B3384" w14:paraId="109AE8EA" w14:textId="77777777">
        <w:trPr>
          <w:cantSplit/>
          <w:jc w:val="center"/>
        </w:trPr>
        <w:tc>
          <w:tcPr>
            <w:tcW w:w="4270" w:type="dxa"/>
            <w:gridSpan w:val="2"/>
            <w:hideMark/>
          </w:tcPr>
          <w:p w14:paraId="109AE8E1" w14:textId="77777777" w:rsidR="009B3384" w:rsidRDefault="00800862">
            <w:pPr>
              <w:widowControl w:val="0"/>
              <w:suppressAutoHyphens w:val="0"/>
              <w:rPr>
                <w:b/>
                <w:bCs/>
                <w:szCs w:val="22"/>
              </w:rPr>
            </w:pPr>
            <w:r>
              <w:rPr>
                <w:b/>
                <w:bCs/>
                <w:szCs w:val="22"/>
              </w:rPr>
              <w:t>Č</w:t>
            </w:r>
            <w:proofErr w:type="spellStart"/>
            <w:r>
              <w:rPr>
                <w:b/>
                <w:bCs/>
                <w:szCs w:val="22"/>
                <w:lang w:val="en-GB"/>
              </w:rPr>
              <w:t>esk</w:t>
            </w:r>
            <w:proofErr w:type="spellEnd"/>
            <w:r>
              <w:rPr>
                <w:b/>
                <w:bCs/>
                <w:szCs w:val="22"/>
              </w:rPr>
              <w:t xml:space="preserve">á </w:t>
            </w:r>
            <w:proofErr w:type="spellStart"/>
            <w:r>
              <w:rPr>
                <w:b/>
                <w:bCs/>
                <w:szCs w:val="22"/>
                <w:lang w:val="en-GB"/>
              </w:rPr>
              <w:t>republika</w:t>
            </w:r>
            <w:proofErr w:type="spellEnd"/>
          </w:p>
          <w:p w14:paraId="109AE8E2" w14:textId="77777777" w:rsidR="009B3384" w:rsidRDefault="00800862">
            <w:pPr>
              <w:widowControl w:val="0"/>
              <w:suppressAutoHyphens w:val="0"/>
              <w:rPr>
                <w:szCs w:val="22"/>
              </w:rPr>
            </w:pPr>
            <w:r>
              <w:rPr>
                <w:szCs w:val="22"/>
                <w:lang w:val="en-GB"/>
              </w:rPr>
              <w:t>Janssen</w:t>
            </w:r>
            <w:r>
              <w:rPr>
                <w:szCs w:val="22"/>
              </w:rPr>
              <w:t>-</w:t>
            </w:r>
            <w:r>
              <w:rPr>
                <w:szCs w:val="22"/>
                <w:lang w:val="en-GB"/>
              </w:rPr>
              <w:t>Cilag</w:t>
            </w:r>
            <w:r>
              <w:rPr>
                <w:szCs w:val="22"/>
              </w:rPr>
              <w:t xml:space="preserve"> </w:t>
            </w:r>
            <w:r>
              <w:rPr>
                <w:szCs w:val="22"/>
                <w:lang w:val="en-GB"/>
              </w:rPr>
              <w:t>s</w:t>
            </w:r>
            <w:r>
              <w:rPr>
                <w:szCs w:val="22"/>
              </w:rPr>
              <w:t>.</w:t>
            </w:r>
            <w:r>
              <w:rPr>
                <w:szCs w:val="22"/>
                <w:lang w:val="en-GB"/>
              </w:rPr>
              <w:t>r</w:t>
            </w:r>
            <w:r>
              <w:rPr>
                <w:szCs w:val="22"/>
              </w:rPr>
              <w:t>.</w:t>
            </w:r>
            <w:r>
              <w:rPr>
                <w:szCs w:val="22"/>
                <w:lang w:val="en-GB"/>
              </w:rPr>
              <w:t>o</w:t>
            </w:r>
            <w:r>
              <w:rPr>
                <w:szCs w:val="22"/>
              </w:rPr>
              <w:t>.</w:t>
            </w:r>
          </w:p>
          <w:p w14:paraId="109AE8E3" w14:textId="77777777" w:rsidR="009B3384" w:rsidRDefault="00800862">
            <w:pPr>
              <w:widowControl w:val="0"/>
              <w:suppressAutoHyphens w:val="0"/>
              <w:rPr>
                <w:szCs w:val="22"/>
                <w:lang w:val="en-GB"/>
              </w:rPr>
            </w:pPr>
            <w:r>
              <w:rPr>
                <w:szCs w:val="22"/>
                <w:lang w:val="en-GB"/>
              </w:rPr>
              <w:t>Tel: +420 227 012 227</w:t>
            </w:r>
          </w:p>
          <w:p w14:paraId="109AE8E4" w14:textId="77777777" w:rsidR="009B3384" w:rsidRDefault="009B3384">
            <w:pPr>
              <w:widowControl w:val="0"/>
              <w:suppressAutoHyphens w:val="0"/>
              <w:rPr>
                <w:szCs w:val="22"/>
                <w:lang w:val="en-GB"/>
              </w:rPr>
            </w:pPr>
          </w:p>
        </w:tc>
        <w:tc>
          <w:tcPr>
            <w:tcW w:w="4805" w:type="dxa"/>
          </w:tcPr>
          <w:p w14:paraId="109AE8E5" w14:textId="77777777" w:rsidR="009B3384" w:rsidRDefault="00800862">
            <w:pPr>
              <w:widowControl w:val="0"/>
              <w:suppressAutoHyphens w:val="0"/>
              <w:rPr>
                <w:b/>
                <w:bCs/>
                <w:szCs w:val="22"/>
                <w:lang w:val="en-GB"/>
              </w:rPr>
            </w:pPr>
            <w:proofErr w:type="spellStart"/>
            <w:r>
              <w:rPr>
                <w:b/>
                <w:bCs/>
                <w:szCs w:val="22"/>
                <w:lang w:val="en-GB"/>
              </w:rPr>
              <w:t>Magyarország</w:t>
            </w:r>
            <w:proofErr w:type="spellEnd"/>
          </w:p>
          <w:p w14:paraId="109AE8E6" w14:textId="77777777" w:rsidR="009B3384" w:rsidRDefault="00800862">
            <w:pPr>
              <w:widowControl w:val="0"/>
              <w:suppressAutoHyphens w:val="0"/>
              <w:rPr>
                <w:szCs w:val="22"/>
                <w:lang w:val="en-GB"/>
              </w:rPr>
            </w:pPr>
            <w:r>
              <w:rPr>
                <w:szCs w:val="22"/>
                <w:lang w:val="en-GB"/>
              </w:rPr>
              <w:t>Janssen-Cilag Kft.</w:t>
            </w:r>
          </w:p>
          <w:p w14:paraId="109AE8E7" w14:textId="77777777" w:rsidR="009B3384" w:rsidRDefault="00800862">
            <w:pPr>
              <w:suppressAutoHyphens w:val="0"/>
              <w:autoSpaceDE w:val="0"/>
              <w:autoSpaceDN w:val="0"/>
              <w:adjustRightInd w:val="0"/>
              <w:rPr>
                <w:szCs w:val="22"/>
                <w:lang w:val="en-GB"/>
              </w:rPr>
            </w:pPr>
            <w:r>
              <w:rPr>
                <w:szCs w:val="22"/>
                <w:lang w:val="en-GB"/>
              </w:rPr>
              <w:t>Tel.: +36 1 884 2</w:t>
            </w:r>
            <w:r>
              <w:rPr>
                <w:bCs/>
                <w:szCs w:val="22"/>
                <w:lang w:val="en-GB"/>
              </w:rPr>
              <w:t>858</w:t>
            </w:r>
          </w:p>
          <w:p w14:paraId="109AE8E8" w14:textId="77777777" w:rsidR="009B3384" w:rsidRDefault="00800862">
            <w:pPr>
              <w:widowControl w:val="0"/>
              <w:suppressAutoHyphens w:val="0"/>
              <w:rPr>
                <w:szCs w:val="22"/>
                <w:lang w:val="en-GB"/>
              </w:rPr>
            </w:pPr>
            <w:r>
              <w:rPr>
                <w:szCs w:val="22"/>
                <w:lang w:val="en-GB"/>
              </w:rPr>
              <w:t>janssenhu@its.jnj.com</w:t>
            </w:r>
          </w:p>
          <w:p w14:paraId="109AE8E9" w14:textId="77777777" w:rsidR="009B3384" w:rsidRDefault="009B3384">
            <w:pPr>
              <w:widowControl w:val="0"/>
              <w:suppressAutoHyphens w:val="0"/>
              <w:rPr>
                <w:szCs w:val="22"/>
                <w:lang w:val="en-GB"/>
              </w:rPr>
            </w:pPr>
          </w:p>
        </w:tc>
      </w:tr>
      <w:tr w:rsidR="009B3384" w14:paraId="109AE8F4" w14:textId="77777777">
        <w:trPr>
          <w:cantSplit/>
          <w:jc w:val="center"/>
        </w:trPr>
        <w:tc>
          <w:tcPr>
            <w:tcW w:w="4270" w:type="dxa"/>
            <w:gridSpan w:val="2"/>
          </w:tcPr>
          <w:p w14:paraId="109AE8EB" w14:textId="77777777" w:rsidR="009B3384" w:rsidRDefault="00800862">
            <w:pPr>
              <w:widowControl w:val="0"/>
              <w:suppressAutoHyphens w:val="0"/>
              <w:rPr>
                <w:b/>
                <w:bCs/>
                <w:szCs w:val="22"/>
                <w:lang w:val="nb-NO"/>
              </w:rPr>
            </w:pPr>
            <w:r>
              <w:rPr>
                <w:b/>
                <w:bCs/>
                <w:szCs w:val="22"/>
                <w:lang w:val="nb-NO"/>
              </w:rPr>
              <w:t>Danmark</w:t>
            </w:r>
          </w:p>
          <w:p w14:paraId="109AE8EC" w14:textId="77777777" w:rsidR="009B3384" w:rsidRDefault="00800862">
            <w:pPr>
              <w:widowControl w:val="0"/>
              <w:suppressAutoHyphens w:val="0"/>
              <w:rPr>
                <w:szCs w:val="22"/>
                <w:lang w:val="nb-NO"/>
              </w:rPr>
            </w:pPr>
            <w:r>
              <w:rPr>
                <w:szCs w:val="22"/>
                <w:lang w:val="nb-NO"/>
              </w:rPr>
              <w:t>Janssen-Cilag A/S</w:t>
            </w:r>
          </w:p>
          <w:p w14:paraId="109AE8ED" w14:textId="77777777" w:rsidR="009B3384" w:rsidRDefault="00800862">
            <w:pPr>
              <w:widowControl w:val="0"/>
              <w:suppressAutoHyphens w:val="0"/>
              <w:rPr>
                <w:szCs w:val="22"/>
                <w:lang w:val="nl-NL"/>
              </w:rPr>
            </w:pPr>
            <w:r>
              <w:rPr>
                <w:szCs w:val="22"/>
                <w:lang w:val="nl-NL"/>
              </w:rPr>
              <w:t>Tlf.: +45 4594 8282</w:t>
            </w:r>
          </w:p>
          <w:p w14:paraId="109AE8EE" w14:textId="77777777" w:rsidR="009B3384" w:rsidRDefault="00800862">
            <w:pPr>
              <w:widowControl w:val="0"/>
              <w:suppressAutoHyphens w:val="0"/>
              <w:rPr>
                <w:szCs w:val="22"/>
                <w:lang w:val="en-GB"/>
              </w:rPr>
            </w:pPr>
            <w:r>
              <w:rPr>
                <w:szCs w:val="22"/>
                <w:lang w:val="en-GB"/>
              </w:rPr>
              <w:t>jacdk@its.jnj.com</w:t>
            </w:r>
          </w:p>
          <w:p w14:paraId="109AE8EF" w14:textId="77777777" w:rsidR="009B3384" w:rsidRDefault="009B3384">
            <w:pPr>
              <w:widowControl w:val="0"/>
              <w:suppressAutoHyphens w:val="0"/>
              <w:rPr>
                <w:szCs w:val="22"/>
                <w:lang w:val="en-GB"/>
              </w:rPr>
            </w:pPr>
          </w:p>
        </w:tc>
        <w:tc>
          <w:tcPr>
            <w:tcW w:w="4805" w:type="dxa"/>
            <w:hideMark/>
          </w:tcPr>
          <w:p w14:paraId="109AE8F0" w14:textId="77777777" w:rsidR="009B3384" w:rsidRDefault="00800862">
            <w:pPr>
              <w:widowControl w:val="0"/>
              <w:suppressAutoHyphens w:val="0"/>
              <w:rPr>
                <w:b/>
                <w:bCs/>
                <w:szCs w:val="22"/>
                <w:lang w:val="de-DE"/>
              </w:rPr>
            </w:pPr>
            <w:r>
              <w:rPr>
                <w:b/>
                <w:bCs/>
                <w:szCs w:val="22"/>
                <w:lang w:val="de-DE"/>
              </w:rPr>
              <w:t>Malta</w:t>
            </w:r>
          </w:p>
          <w:p w14:paraId="109AE8F1" w14:textId="77777777" w:rsidR="009B3384" w:rsidRDefault="00800862">
            <w:pPr>
              <w:widowControl w:val="0"/>
              <w:suppressAutoHyphens w:val="0"/>
              <w:rPr>
                <w:szCs w:val="22"/>
                <w:lang w:val="de-DE"/>
              </w:rPr>
            </w:pPr>
            <w:r>
              <w:rPr>
                <w:szCs w:val="22"/>
                <w:lang w:val="de-DE"/>
              </w:rPr>
              <w:t>AM MANGION LTD</w:t>
            </w:r>
          </w:p>
          <w:p w14:paraId="109AE8F2" w14:textId="77777777" w:rsidR="009B3384" w:rsidRDefault="00800862">
            <w:pPr>
              <w:widowControl w:val="0"/>
              <w:suppressAutoHyphens w:val="0"/>
              <w:rPr>
                <w:szCs w:val="22"/>
                <w:lang w:val="de-DE"/>
              </w:rPr>
            </w:pPr>
            <w:r>
              <w:rPr>
                <w:szCs w:val="22"/>
                <w:lang w:val="de-DE"/>
              </w:rPr>
              <w:t>Tel: +356 2397 6000</w:t>
            </w:r>
          </w:p>
          <w:p w14:paraId="109AE8F3" w14:textId="77777777" w:rsidR="009B3384" w:rsidRDefault="009B3384">
            <w:pPr>
              <w:widowControl w:val="0"/>
              <w:suppressAutoHyphens w:val="0"/>
              <w:rPr>
                <w:szCs w:val="22"/>
                <w:lang w:val="de-DE"/>
              </w:rPr>
            </w:pPr>
          </w:p>
        </w:tc>
      </w:tr>
      <w:tr w:rsidR="009B3384" w14:paraId="109AE8FF" w14:textId="77777777">
        <w:trPr>
          <w:cantSplit/>
          <w:jc w:val="center"/>
        </w:trPr>
        <w:tc>
          <w:tcPr>
            <w:tcW w:w="4270" w:type="dxa"/>
            <w:gridSpan w:val="2"/>
          </w:tcPr>
          <w:p w14:paraId="109AE8F5" w14:textId="77777777" w:rsidR="009B3384" w:rsidRDefault="00800862">
            <w:pPr>
              <w:widowControl w:val="0"/>
              <w:suppressAutoHyphens w:val="0"/>
              <w:rPr>
                <w:b/>
                <w:bCs/>
                <w:szCs w:val="22"/>
                <w:lang w:val="de-DE"/>
              </w:rPr>
            </w:pPr>
            <w:r>
              <w:rPr>
                <w:b/>
                <w:bCs/>
                <w:szCs w:val="22"/>
                <w:lang w:val="de-DE"/>
              </w:rPr>
              <w:lastRenderedPageBreak/>
              <w:t>Deutschland</w:t>
            </w:r>
          </w:p>
          <w:p w14:paraId="109AE8F6" w14:textId="77777777" w:rsidR="009B3384" w:rsidRDefault="00800862">
            <w:pPr>
              <w:widowControl w:val="0"/>
              <w:suppressAutoHyphens w:val="0"/>
              <w:rPr>
                <w:szCs w:val="22"/>
                <w:lang w:val="de-DE"/>
              </w:rPr>
            </w:pPr>
            <w:r>
              <w:rPr>
                <w:szCs w:val="22"/>
                <w:lang w:val="de-DE"/>
              </w:rPr>
              <w:t>Janssen-Cilag GmbH</w:t>
            </w:r>
          </w:p>
          <w:p w14:paraId="109AE8F7" w14:textId="77777777" w:rsidR="009B3384" w:rsidRDefault="00800862">
            <w:pPr>
              <w:widowControl w:val="0"/>
              <w:suppressAutoHyphens w:val="0"/>
              <w:rPr>
                <w:szCs w:val="22"/>
                <w:lang w:val="de-DE"/>
              </w:rPr>
            </w:pPr>
            <w:r>
              <w:rPr>
                <w:szCs w:val="22"/>
                <w:lang w:val="de-DE"/>
              </w:rPr>
              <w:t xml:space="preserve">Tel: </w:t>
            </w:r>
            <w:r>
              <w:rPr>
                <w:lang w:val="de-DE"/>
              </w:rPr>
              <w:t xml:space="preserve">0800 086 9247 / </w:t>
            </w:r>
            <w:r>
              <w:rPr>
                <w:szCs w:val="22"/>
                <w:lang w:val="de-DE"/>
              </w:rPr>
              <w:t>+49 2137 955 6955</w:t>
            </w:r>
          </w:p>
          <w:p w14:paraId="109AE8F8" w14:textId="5CEFE44D" w:rsidR="009B3384" w:rsidRPr="00BC6A43" w:rsidRDefault="00800862">
            <w:pPr>
              <w:widowControl w:val="0"/>
              <w:suppressAutoHyphens w:val="0"/>
              <w:rPr>
                <w:szCs w:val="22"/>
                <w:lang w:val="de-DE"/>
              </w:rPr>
            </w:pPr>
            <w:r w:rsidRPr="00BC6A43">
              <w:rPr>
                <w:lang w:val="de-DE"/>
              </w:rPr>
              <w:t>medinfo-de@its.jnj.com</w:t>
            </w:r>
          </w:p>
          <w:p w14:paraId="109AE8F9" w14:textId="77777777" w:rsidR="009B3384" w:rsidRPr="00BC6A43" w:rsidRDefault="009B3384">
            <w:pPr>
              <w:widowControl w:val="0"/>
              <w:suppressAutoHyphens w:val="0"/>
              <w:rPr>
                <w:szCs w:val="22"/>
                <w:lang w:val="de-DE"/>
              </w:rPr>
            </w:pPr>
          </w:p>
        </w:tc>
        <w:tc>
          <w:tcPr>
            <w:tcW w:w="4805" w:type="dxa"/>
            <w:hideMark/>
          </w:tcPr>
          <w:p w14:paraId="109AE8FA" w14:textId="77777777" w:rsidR="009B3384" w:rsidRDefault="00800862">
            <w:pPr>
              <w:widowControl w:val="0"/>
              <w:suppressAutoHyphens w:val="0"/>
              <w:rPr>
                <w:b/>
                <w:bCs/>
                <w:szCs w:val="22"/>
                <w:lang w:val="nl-BE"/>
              </w:rPr>
            </w:pPr>
            <w:r>
              <w:rPr>
                <w:b/>
                <w:bCs/>
                <w:szCs w:val="22"/>
                <w:lang w:val="nl-BE"/>
              </w:rPr>
              <w:t>Nederland</w:t>
            </w:r>
          </w:p>
          <w:p w14:paraId="109AE8FB" w14:textId="77777777" w:rsidR="009B3384" w:rsidRDefault="00800862">
            <w:pPr>
              <w:widowControl w:val="0"/>
              <w:suppressAutoHyphens w:val="0"/>
              <w:rPr>
                <w:szCs w:val="22"/>
                <w:lang w:val="nl-BE"/>
              </w:rPr>
            </w:pPr>
            <w:r>
              <w:rPr>
                <w:szCs w:val="22"/>
                <w:lang w:val="nl-BE"/>
              </w:rPr>
              <w:t>Janssen-Cilag B.V.</w:t>
            </w:r>
          </w:p>
          <w:p w14:paraId="109AE8FC" w14:textId="7A164F43" w:rsidR="009B3384" w:rsidRPr="00BC6A43" w:rsidRDefault="00800862">
            <w:pPr>
              <w:widowControl w:val="0"/>
              <w:suppressAutoHyphens w:val="0"/>
              <w:rPr>
                <w:szCs w:val="22"/>
                <w:lang w:val="de-DE"/>
              </w:rPr>
            </w:pPr>
            <w:r w:rsidRPr="00BC6A43">
              <w:rPr>
                <w:szCs w:val="22"/>
                <w:lang w:val="de-DE"/>
              </w:rPr>
              <w:t xml:space="preserve">Tel: </w:t>
            </w:r>
            <w:r>
              <w:rPr>
                <w:lang w:val="de-DE"/>
              </w:rPr>
              <w:t>0800 242 42 42</w:t>
            </w:r>
          </w:p>
          <w:p w14:paraId="109AE8FD" w14:textId="44EBAFC1" w:rsidR="009B3384" w:rsidRPr="00BC6A43" w:rsidRDefault="00800862">
            <w:pPr>
              <w:widowControl w:val="0"/>
              <w:suppressAutoHyphens w:val="0"/>
              <w:rPr>
                <w:szCs w:val="22"/>
                <w:lang w:val="de-DE"/>
              </w:rPr>
            </w:pPr>
            <w:r w:rsidRPr="00BC6A43">
              <w:rPr>
                <w:szCs w:val="22"/>
                <w:lang w:val="de-DE"/>
              </w:rPr>
              <w:t>info_nl@its.jnj.com</w:t>
            </w:r>
          </w:p>
          <w:p w14:paraId="109AE8FE" w14:textId="77777777" w:rsidR="009B3384" w:rsidRPr="00BC6A43" w:rsidRDefault="009B3384">
            <w:pPr>
              <w:widowControl w:val="0"/>
              <w:suppressAutoHyphens w:val="0"/>
              <w:rPr>
                <w:szCs w:val="22"/>
                <w:lang w:val="de-DE"/>
              </w:rPr>
            </w:pPr>
          </w:p>
        </w:tc>
      </w:tr>
      <w:tr w:rsidR="009B3384" w14:paraId="109AE90A" w14:textId="77777777">
        <w:trPr>
          <w:cantSplit/>
          <w:jc w:val="center"/>
        </w:trPr>
        <w:tc>
          <w:tcPr>
            <w:tcW w:w="4270" w:type="dxa"/>
            <w:gridSpan w:val="2"/>
          </w:tcPr>
          <w:p w14:paraId="109AE900" w14:textId="77777777" w:rsidR="009B3384" w:rsidRDefault="00800862">
            <w:pPr>
              <w:widowControl w:val="0"/>
              <w:suppressAutoHyphens w:val="0"/>
              <w:rPr>
                <w:b/>
                <w:bCs/>
                <w:szCs w:val="22"/>
                <w:lang w:val="fi-FI"/>
              </w:rPr>
            </w:pPr>
            <w:r>
              <w:rPr>
                <w:b/>
                <w:bCs/>
                <w:szCs w:val="22"/>
                <w:lang w:val="fi-FI"/>
              </w:rPr>
              <w:t>Eesti</w:t>
            </w:r>
          </w:p>
          <w:p w14:paraId="109AE901" w14:textId="77777777" w:rsidR="009B3384" w:rsidRDefault="00800862">
            <w:pPr>
              <w:widowControl w:val="0"/>
              <w:suppressAutoHyphens w:val="0"/>
              <w:rPr>
                <w:szCs w:val="22"/>
                <w:lang w:val="fi-FI"/>
              </w:rPr>
            </w:pPr>
            <w:r>
              <w:rPr>
                <w:szCs w:val="22"/>
                <w:lang w:val="fi-FI"/>
              </w:rPr>
              <w:t>UAB "JOHNSON &amp; JOHNSON" Eesti filiaal</w:t>
            </w:r>
          </w:p>
          <w:p w14:paraId="109AE902" w14:textId="77777777" w:rsidR="009B3384" w:rsidRDefault="00800862">
            <w:pPr>
              <w:widowControl w:val="0"/>
              <w:suppressAutoHyphens w:val="0"/>
              <w:rPr>
                <w:szCs w:val="22"/>
                <w:lang w:val="fi-FI"/>
              </w:rPr>
            </w:pPr>
            <w:r>
              <w:rPr>
                <w:szCs w:val="22"/>
                <w:lang w:val="fi-FI"/>
              </w:rPr>
              <w:t>Tel: +372 617 7410</w:t>
            </w:r>
          </w:p>
          <w:p w14:paraId="109AE903" w14:textId="77777777" w:rsidR="009B3384" w:rsidRDefault="00800862">
            <w:pPr>
              <w:widowControl w:val="0"/>
              <w:suppressAutoHyphens w:val="0"/>
              <w:rPr>
                <w:szCs w:val="22"/>
                <w:lang w:val="fi-FI"/>
              </w:rPr>
            </w:pPr>
            <w:r>
              <w:rPr>
                <w:szCs w:val="22"/>
                <w:lang w:val="en-GB"/>
              </w:rPr>
              <w:t>ee@its.jnj.com</w:t>
            </w:r>
          </w:p>
          <w:p w14:paraId="109AE904" w14:textId="77777777" w:rsidR="009B3384" w:rsidRDefault="009B3384">
            <w:pPr>
              <w:widowControl w:val="0"/>
              <w:suppressAutoHyphens w:val="0"/>
              <w:rPr>
                <w:szCs w:val="22"/>
                <w:lang w:val="fi-FI"/>
              </w:rPr>
            </w:pPr>
          </w:p>
        </w:tc>
        <w:tc>
          <w:tcPr>
            <w:tcW w:w="4805" w:type="dxa"/>
            <w:hideMark/>
          </w:tcPr>
          <w:p w14:paraId="109AE905" w14:textId="77777777" w:rsidR="009B3384" w:rsidRDefault="00800862">
            <w:pPr>
              <w:widowControl w:val="0"/>
              <w:suppressAutoHyphens w:val="0"/>
              <w:rPr>
                <w:b/>
                <w:bCs/>
                <w:szCs w:val="22"/>
                <w:lang w:val="nn-NO"/>
              </w:rPr>
            </w:pPr>
            <w:r>
              <w:rPr>
                <w:b/>
                <w:bCs/>
                <w:szCs w:val="22"/>
                <w:lang w:val="nn-NO"/>
              </w:rPr>
              <w:t>Norge</w:t>
            </w:r>
          </w:p>
          <w:p w14:paraId="109AE906" w14:textId="77777777" w:rsidR="009B3384" w:rsidRDefault="00800862">
            <w:pPr>
              <w:widowControl w:val="0"/>
              <w:suppressAutoHyphens w:val="0"/>
              <w:rPr>
                <w:szCs w:val="22"/>
                <w:lang w:val="nn-NO"/>
              </w:rPr>
            </w:pPr>
            <w:r>
              <w:rPr>
                <w:szCs w:val="22"/>
                <w:lang w:val="nn-NO"/>
              </w:rPr>
              <w:t>Janssen-Cilag AS</w:t>
            </w:r>
          </w:p>
          <w:p w14:paraId="109AE907" w14:textId="77777777" w:rsidR="009B3384" w:rsidRDefault="00800862">
            <w:pPr>
              <w:widowControl w:val="0"/>
              <w:suppressAutoHyphens w:val="0"/>
              <w:rPr>
                <w:szCs w:val="22"/>
                <w:lang w:val="nb-NO"/>
              </w:rPr>
            </w:pPr>
            <w:r>
              <w:rPr>
                <w:szCs w:val="22"/>
                <w:lang w:val="nb-NO"/>
              </w:rPr>
              <w:t>Tlf: +47 24 12 65 00</w:t>
            </w:r>
          </w:p>
          <w:p w14:paraId="109AE908" w14:textId="77777777" w:rsidR="009B3384" w:rsidRDefault="00800862">
            <w:pPr>
              <w:widowControl w:val="0"/>
              <w:suppressAutoHyphens w:val="0"/>
              <w:rPr>
                <w:szCs w:val="22"/>
                <w:lang w:val="en-GB"/>
              </w:rPr>
            </w:pPr>
            <w:r>
              <w:rPr>
                <w:szCs w:val="22"/>
                <w:lang w:val="en-GB"/>
              </w:rPr>
              <w:t>jacno@its.jnj.com</w:t>
            </w:r>
          </w:p>
          <w:p w14:paraId="109AE909" w14:textId="77777777" w:rsidR="009B3384" w:rsidRDefault="009B3384">
            <w:pPr>
              <w:widowControl w:val="0"/>
              <w:suppressAutoHyphens w:val="0"/>
              <w:rPr>
                <w:szCs w:val="22"/>
                <w:lang w:val="en-GB"/>
              </w:rPr>
            </w:pPr>
          </w:p>
        </w:tc>
      </w:tr>
      <w:tr w:rsidR="009B3384" w14:paraId="109AE913" w14:textId="77777777">
        <w:trPr>
          <w:cantSplit/>
          <w:jc w:val="center"/>
        </w:trPr>
        <w:tc>
          <w:tcPr>
            <w:tcW w:w="4270" w:type="dxa"/>
            <w:gridSpan w:val="2"/>
          </w:tcPr>
          <w:p w14:paraId="109AE90B" w14:textId="77777777" w:rsidR="009B3384" w:rsidRDefault="00800862">
            <w:pPr>
              <w:widowControl w:val="0"/>
              <w:suppressAutoHyphens w:val="0"/>
              <w:rPr>
                <w:b/>
                <w:bCs/>
                <w:szCs w:val="22"/>
                <w:lang w:val="el-GR"/>
              </w:rPr>
            </w:pPr>
            <w:r>
              <w:rPr>
                <w:b/>
                <w:bCs/>
                <w:szCs w:val="22"/>
                <w:lang w:val="el-GR"/>
              </w:rPr>
              <w:t>Ελλάδα</w:t>
            </w:r>
          </w:p>
          <w:p w14:paraId="109AE90C" w14:textId="77777777" w:rsidR="009B3384" w:rsidRDefault="00800862">
            <w:pPr>
              <w:widowControl w:val="0"/>
              <w:suppressAutoHyphens w:val="0"/>
              <w:rPr>
                <w:szCs w:val="22"/>
                <w:lang w:val="el-GR"/>
              </w:rPr>
            </w:pPr>
            <w:r>
              <w:rPr>
                <w:szCs w:val="22"/>
                <w:lang w:val="en-GB"/>
              </w:rPr>
              <w:t>Janssen</w:t>
            </w:r>
            <w:r>
              <w:rPr>
                <w:szCs w:val="22"/>
                <w:lang w:val="el-GR"/>
              </w:rPr>
              <w:t>-</w:t>
            </w:r>
            <w:r>
              <w:rPr>
                <w:szCs w:val="22"/>
                <w:lang w:val="en-GB"/>
              </w:rPr>
              <w:t>Cilag</w:t>
            </w:r>
            <w:r>
              <w:rPr>
                <w:szCs w:val="22"/>
                <w:lang w:val="el-GR"/>
              </w:rPr>
              <w:t xml:space="preserve"> Φαρμακευτική Μονοπρόσωπη Α.Ε.Β.Ε.</w:t>
            </w:r>
          </w:p>
          <w:p w14:paraId="109AE90D" w14:textId="77777777" w:rsidR="009B3384" w:rsidRDefault="00800862">
            <w:pPr>
              <w:widowControl w:val="0"/>
              <w:suppressAutoHyphens w:val="0"/>
              <w:rPr>
                <w:szCs w:val="22"/>
                <w:lang w:val="el-GR"/>
              </w:rPr>
            </w:pPr>
            <w:r>
              <w:rPr>
                <w:szCs w:val="22"/>
                <w:lang w:val="en-GB"/>
              </w:rPr>
              <w:t>T</w:t>
            </w:r>
            <w:r>
              <w:rPr>
                <w:szCs w:val="22"/>
                <w:lang w:val="el-GR"/>
              </w:rPr>
              <w:t>ηλ: +30 210 80 90 000</w:t>
            </w:r>
          </w:p>
          <w:p w14:paraId="109AE90E" w14:textId="77777777" w:rsidR="009B3384" w:rsidRDefault="009B3384">
            <w:pPr>
              <w:widowControl w:val="0"/>
              <w:suppressAutoHyphens w:val="0"/>
              <w:rPr>
                <w:szCs w:val="22"/>
                <w:lang w:val="el-GR"/>
              </w:rPr>
            </w:pPr>
          </w:p>
        </w:tc>
        <w:tc>
          <w:tcPr>
            <w:tcW w:w="4805" w:type="dxa"/>
            <w:hideMark/>
          </w:tcPr>
          <w:p w14:paraId="109AE90F" w14:textId="77777777" w:rsidR="009B3384" w:rsidRDefault="00800862">
            <w:pPr>
              <w:widowControl w:val="0"/>
              <w:suppressAutoHyphens w:val="0"/>
              <w:rPr>
                <w:b/>
                <w:bCs/>
                <w:szCs w:val="22"/>
                <w:lang w:val="el-GR"/>
              </w:rPr>
            </w:pPr>
            <w:r>
              <w:rPr>
                <w:b/>
                <w:bCs/>
                <w:szCs w:val="22"/>
                <w:lang w:val="el-GR"/>
              </w:rPr>
              <w:t>Ö</w:t>
            </w:r>
            <w:r>
              <w:rPr>
                <w:b/>
                <w:bCs/>
                <w:szCs w:val="22"/>
                <w:lang w:val="de-DE"/>
              </w:rPr>
              <w:t>sterreich</w:t>
            </w:r>
          </w:p>
          <w:p w14:paraId="109AE910" w14:textId="77777777" w:rsidR="009B3384" w:rsidRDefault="00800862">
            <w:pPr>
              <w:widowControl w:val="0"/>
              <w:suppressAutoHyphens w:val="0"/>
              <w:rPr>
                <w:szCs w:val="22"/>
                <w:lang w:val="el-GR"/>
              </w:rPr>
            </w:pPr>
            <w:r>
              <w:rPr>
                <w:szCs w:val="22"/>
                <w:lang w:val="de-DE"/>
              </w:rPr>
              <w:t>Janssen</w:t>
            </w:r>
            <w:r>
              <w:rPr>
                <w:szCs w:val="22"/>
                <w:lang w:val="el-GR"/>
              </w:rPr>
              <w:t>-</w:t>
            </w:r>
            <w:r>
              <w:rPr>
                <w:szCs w:val="22"/>
                <w:lang w:val="de-DE"/>
              </w:rPr>
              <w:t>Cilag</w:t>
            </w:r>
            <w:r>
              <w:rPr>
                <w:szCs w:val="22"/>
                <w:lang w:val="el-GR"/>
              </w:rPr>
              <w:t xml:space="preserve"> </w:t>
            </w:r>
            <w:r>
              <w:rPr>
                <w:szCs w:val="22"/>
                <w:lang w:val="de-DE"/>
              </w:rPr>
              <w:t>Pharma</w:t>
            </w:r>
            <w:r>
              <w:rPr>
                <w:szCs w:val="22"/>
                <w:lang w:val="el-GR"/>
              </w:rPr>
              <w:t xml:space="preserve"> </w:t>
            </w:r>
            <w:r>
              <w:rPr>
                <w:szCs w:val="22"/>
                <w:lang w:val="de-DE"/>
              </w:rPr>
              <w:t>GmbH</w:t>
            </w:r>
          </w:p>
          <w:p w14:paraId="109AE911" w14:textId="20C2670B" w:rsidR="009B3384" w:rsidRPr="00BC6A43" w:rsidRDefault="00800862">
            <w:pPr>
              <w:widowControl w:val="0"/>
              <w:suppressAutoHyphens w:val="0"/>
              <w:rPr>
                <w:szCs w:val="22"/>
                <w:lang w:val="el-GR"/>
              </w:rPr>
            </w:pPr>
            <w:r>
              <w:rPr>
                <w:szCs w:val="22"/>
                <w:lang w:val="nl-NL"/>
              </w:rPr>
              <w:t>Tel</w:t>
            </w:r>
            <w:r>
              <w:rPr>
                <w:szCs w:val="22"/>
                <w:lang w:val="el-GR"/>
              </w:rPr>
              <w:t>: +43 1 610 300</w:t>
            </w:r>
          </w:p>
          <w:p w14:paraId="109AE912" w14:textId="77777777" w:rsidR="009B3384" w:rsidRDefault="009B3384">
            <w:pPr>
              <w:widowControl w:val="0"/>
              <w:suppressAutoHyphens w:val="0"/>
              <w:rPr>
                <w:szCs w:val="22"/>
                <w:lang w:val="el-GR"/>
              </w:rPr>
            </w:pPr>
          </w:p>
        </w:tc>
      </w:tr>
      <w:tr w:rsidR="009B3384" w14:paraId="109AE91D" w14:textId="77777777">
        <w:trPr>
          <w:gridBefore w:val="1"/>
          <w:wBefore w:w="10" w:type="dxa"/>
          <w:cantSplit/>
          <w:jc w:val="center"/>
        </w:trPr>
        <w:tc>
          <w:tcPr>
            <w:tcW w:w="4260" w:type="dxa"/>
          </w:tcPr>
          <w:p w14:paraId="109AE914" w14:textId="77777777" w:rsidR="009B3384" w:rsidRDefault="00800862">
            <w:pPr>
              <w:widowControl w:val="0"/>
              <w:suppressAutoHyphens w:val="0"/>
              <w:rPr>
                <w:b/>
                <w:bCs/>
                <w:szCs w:val="22"/>
                <w:lang w:val="es-ES"/>
              </w:rPr>
            </w:pPr>
            <w:r>
              <w:rPr>
                <w:b/>
                <w:bCs/>
                <w:szCs w:val="22"/>
                <w:lang w:val="es-ES"/>
              </w:rPr>
              <w:t>España</w:t>
            </w:r>
          </w:p>
          <w:p w14:paraId="109AE915" w14:textId="77777777" w:rsidR="009B3384" w:rsidRDefault="00800862">
            <w:pPr>
              <w:widowControl w:val="0"/>
              <w:suppressAutoHyphens w:val="0"/>
              <w:rPr>
                <w:szCs w:val="22"/>
                <w:lang w:val="es-ES"/>
              </w:rPr>
            </w:pPr>
            <w:r>
              <w:rPr>
                <w:szCs w:val="22"/>
                <w:lang w:val="es-ES"/>
              </w:rPr>
              <w:t>Janssen-</w:t>
            </w:r>
            <w:proofErr w:type="spellStart"/>
            <w:r>
              <w:rPr>
                <w:szCs w:val="22"/>
                <w:lang w:val="es-ES"/>
              </w:rPr>
              <w:t>Cilag</w:t>
            </w:r>
            <w:proofErr w:type="spellEnd"/>
            <w:r>
              <w:rPr>
                <w:szCs w:val="22"/>
                <w:lang w:val="es-ES"/>
              </w:rPr>
              <w:t>, S.A.</w:t>
            </w:r>
          </w:p>
          <w:p w14:paraId="109AE916" w14:textId="77777777" w:rsidR="009B3384" w:rsidRDefault="00800862">
            <w:pPr>
              <w:widowControl w:val="0"/>
              <w:suppressAutoHyphens w:val="0"/>
              <w:rPr>
                <w:szCs w:val="22"/>
                <w:lang w:val="de-DE"/>
              </w:rPr>
            </w:pPr>
            <w:r>
              <w:rPr>
                <w:szCs w:val="22"/>
                <w:lang w:val="de-DE"/>
              </w:rPr>
              <w:t>Tel: +34 91 722 81 00</w:t>
            </w:r>
          </w:p>
          <w:p w14:paraId="109AE917" w14:textId="77777777" w:rsidR="009B3384" w:rsidRDefault="00800862">
            <w:pPr>
              <w:widowControl w:val="0"/>
              <w:suppressAutoHyphens w:val="0"/>
              <w:rPr>
                <w:szCs w:val="22"/>
                <w:lang w:val="de-DE"/>
              </w:rPr>
            </w:pPr>
            <w:r>
              <w:rPr>
                <w:szCs w:val="22"/>
                <w:lang w:val="de-DE"/>
              </w:rPr>
              <w:t>contacto@its.jnj.com</w:t>
            </w:r>
          </w:p>
          <w:p w14:paraId="109AE918" w14:textId="77777777" w:rsidR="009B3384" w:rsidRDefault="009B3384">
            <w:pPr>
              <w:widowControl w:val="0"/>
              <w:suppressAutoHyphens w:val="0"/>
              <w:rPr>
                <w:szCs w:val="22"/>
                <w:lang w:val="de-DE"/>
              </w:rPr>
            </w:pPr>
          </w:p>
        </w:tc>
        <w:tc>
          <w:tcPr>
            <w:tcW w:w="4805" w:type="dxa"/>
          </w:tcPr>
          <w:p w14:paraId="109AE919" w14:textId="77777777" w:rsidR="009B3384" w:rsidRDefault="00800862">
            <w:pPr>
              <w:widowControl w:val="0"/>
              <w:suppressAutoHyphens w:val="0"/>
              <w:rPr>
                <w:b/>
                <w:bCs/>
                <w:szCs w:val="22"/>
                <w:lang w:val="pl-PL"/>
              </w:rPr>
            </w:pPr>
            <w:r>
              <w:rPr>
                <w:b/>
                <w:bCs/>
                <w:szCs w:val="22"/>
                <w:lang w:val="pl-PL"/>
              </w:rPr>
              <w:t>Polska</w:t>
            </w:r>
          </w:p>
          <w:p w14:paraId="109AE91A" w14:textId="77777777" w:rsidR="009B3384" w:rsidRDefault="00800862">
            <w:pPr>
              <w:widowControl w:val="0"/>
              <w:suppressAutoHyphens w:val="0"/>
              <w:rPr>
                <w:szCs w:val="22"/>
                <w:lang w:val="pl-PL"/>
              </w:rPr>
            </w:pPr>
            <w:r>
              <w:rPr>
                <w:szCs w:val="22"/>
                <w:lang w:val="pl-PL"/>
              </w:rPr>
              <w:t>Janssen-Cilag Polska Sp. z o.o.</w:t>
            </w:r>
          </w:p>
          <w:p w14:paraId="109AE91B" w14:textId="77777777" w:rsidR="009B3384" w:rsidRDefault="00800862">
            <w:pPr>
              <w:widowControl w:val="0"/>
              <w:suppressAutoHyphens w:val="0"/>
              <w:rPr>
                <w:szCs w:val="22"/>
                <w:lang w:val="pl-PL"/>
              </w:rPr>
            </w:pPr>
            <w:r>
              <w:rPr>
                <w:szCs w:val="22"/>
                <w:lang w:val="pl-PL"/>
              </w:rPr>
              <w:t>Tel.: +48 22 237 60 00</w:t>
            </w:r>
          </w:p>
          <w:p w14:paraId="109AE91C" w14:textId="77777777" w:rsidR="009B3384" w:rsidRDefault="009B3384">
            <w:pPr>
              <w:widowControl w:val="0"/>
              <w:suppressAutoHyphens w:val="0"/>
              <w:rPr>
                <w:szCs w:val="22"/>
                <w:lang w:val="pl-PL"/>
              </w:rPr>
            </w:pPr>
          </w:p>
        </w:tc>
      </w:tr>
      <w:tr w:rsidR="009B3384" w14:paraId="109AE927" w14:textId="77777777">
        <w:trPr>
          <w:gridBefore w:val="1"/>
          <w:wBefore w:w="10" w:type="dxa"/>
          <w:cantSplit/>
          <w:jc w:val="center"/>
        </w:trPr>
        <w:tc>
          <w:tcPr>
            <w:tcW w:w="4260" w:type="dxa"/>
          </w:tcPr>
          <w:p w14:paraId="109AE91E" w14:textId="77777777" w:rsidR="009B3384" w:rsidRDefault="00800862">
            <w:pPr>
              <w:widowControl w:val="0"/>
              <w:suppressAutoHyphens w:val="0"/>
              <w:rPr>
                <w:b/>
                <w:bCs/>
                <w:szCs w:val="22"/>
                <w:lang w:val="fr-BE"/>
              </w:rPr>
            </w:pPr>
            <w:r>
              <w:rPr>
                <w:b/>
                <w:bCs/>
                <w:szCs w:val="22"/>
                <w:lang w:val="fr-BE"/>
              </w:rPr>
              <w:t>France</w:t>
            </w:r>
          </w:p>
          <w:p w14:paraId="109AE91F" w14:textId="77777777" w:rsidR="009B3384" w:rsidRDefault="00800862">
            <w:pPr>
              <w:widowControl w:val="0"/>
              <w:suppressAutoHyphens w:val="0"/>
              <w:rPr>
                <w:szCs w:val="22"/>
                <w:lang w:val="fr-BE"/>
              </w:rPr>
            </w:pPr>
            <w:r>
              <w:rPr>
                <w:szCs w:val="22"/>
                <w:lang w:val="fr-FR"/>
              </w:rPr>
              <w:t>Janssen-Cilag</w:t>
            </w:r>
          </w:p>
          <w:p w14:paraId="109AE920" w14:textId="77777777" w:rsidR="009B3384" w:rsidRDefault="00800862">
            <w:pPr>
              <w:widowControl w:val="0"/>
              <w:suppressAutoHyphens w:val="0"/>
              <w:rPr>
                <w:szCs w:val="22"/>
                <w:lang w:val="fr-FR"/>
              </w:rPr>
            </w:pPr>
            <w:proofErr w:type="gramStart"/>
            <w:r>
              <w:rPr>
                <w:szCs w:val="22"/>
                <w:lang w:val="fr-FR"/>
              </w:rPr>
              <w:t>Tél:</w:t>
            </w:r>
            <w:proofErr w:type="gramEnd"/>
            <w:r>
              <w:rPr>
                <w:szCs w:val="22"/>
                <w:lang w:val="fr-FR"/>
              </w:rPr>
              <w:t xml:space="preserve"> 0 800 25 50 75 / +33 1 55 00 40 03</w:t>
            </w:r>
          </w:p>
          <w:p w14:paraId="109AE921" w14:textId="77777777" w:rsidR="009B3384" w:rsidRDefault="00800862">
            <w:pPr>
              <w:widowControl w:val="0"/>
              <w:suppressAutoHyphens w:val="0"/>
              <w:rPr>
                <w:szCs w:val="22"/>
                <w:lang w:val="fr-FR"/>
              </w:rPr>
            </w:pPr>
            <w:r>
              <w:rPr>
                <w:szCs w:val="22"/>
                <w:lang w:val="fr-FR"/>
              </w:rPr>
              <w:t>medisource@its.jnj.com</w:t>
            </w:r>
          </w:p>
          <w:p w14:paraId="109AE922" w14:textId="77777777" w:rsidR="009B3384" w:rsidRDefault="009B3384">
            <w:pPr>
              <w:widowControl w:val="0"/>
              <w:suppressAutoHyphens w:val="0"/>
              <w:rPr>
                <w:szCs w:val="22"/>
                <w:lang w:val="fr-FR"/>
              </w:rPr>
            </w:pPr>
          </w:p>
        </w:tc>
        <w:tc>
          <w:tcPr>
            <w:tcW w:w="4805" w:type="dxa"/>
            <w:hideMark/>
          </w:tcPr>
          <w:p w14:paraId="109AE923" w14:textId="77777777" w:rsidR="009B3384" w:rsidRDefault="00800862">
            <w:pPr>
              <w:widowControl w:val="0"/>
              <w:suppressAutoHyphens w:val="0"/>
              <w:rPr>
                <w:b/>
                <w:bCs/>
                <w:szCs w:val="22"/>
                <w:lang w:val="pt-PT"/>
              </w:rPr>
            </w:pPr>
            <w:r>
              <w:rPr>
                <w:b/>
                <w:bCs/>
                <w:szCs w:val="22"/>
                <w:lang w:val="pt-PT"/>
              </w:rPr>
              <w:t>Portugal</w:t>
            </w:r>
          </w:p>
          <w:p w14:paraId="109AE924" w14:textId="77777777" w:rsidR="009B3384" w:rsidRDefault="00800862">
            <w:pPr>
              <w:widowControl w:val="0"/>
              <w:suppressAutoHyphens w:val="0"/>
              <w:rPr>
                <w:szCs w:val="22"/>
                <w:lang w:val="pt-PT"/>
              </w:rPr>
            </w:pPr>
            <w:r>
              <w:rPr>
                <w:szCs w:val="22"/>
                <w:lang w:val="pt-PT"/>
              </w:rPr>
              <w:t>Janssen-Cilag Farmacêutica, Lda.</w:t>
            </w:r>
          </w:p>
          <w:p w14:paraId="109AE925" w14:textId="77777777" w:rsidR="009B3384" w:rsidRDefault="00800862">
            <w:pPr>
              <w:widowControl w:val="0"/>
              <w:suppressAutoHyphens w:val="0"/>
              <w:rPr>
                <w:szCs w:val="22"/>
                <w:lang w:val="en-GB"/>
              </w:rPr>
            </w:pPr>
            <w:r>
              <w:rPr>
                <w:szCs w:val="22"/>
                <w:lang w:val="en-GB"/>
              </w:rPr>
              <w:t>Tel: +351 214 368 600</w:t>
            </w:r>
          </w:p>
          <w:p w14:paraId="109AE926" w14:textId="77777777" w:rsidR="009B3384" w:rsidRDefault="009B3384">
            <w:pPr>
              <w:widowControl w:val="0"/>
              <w:suppressAutoHyphens w:val="0"/>
              <w:rPr>
                <w:szCs w:val="22"/>
                <w:lang w:val="en-GB"/>
              </w:rPr>
            </w:pPr>
          </w:p>
        </w:tc>
      </w:tr>
      <w:tr w:rsidR="009B3384" w14:paraId="109AE931" w14:textId="77777777">
        <w:trPr>
          <w:gridBefore w:val="1"/>
          <w:wBefore w:w="10" w:type="dxa"/>
          <w:cantSplit/>
          <w:jc w:val="center"/>
        </w:trPr>
        <w:tc>
          <w:tcPr>
            <w:tcW w:w="4260" w:type="dxa"/>
          </w:tcPr>
          <w:p w14:paraId="109AE928" w14:textId="77777777" w:rsidR="009B3384" w:rsidRDefault="00800862">
            <w:pPr>
              <w:suppressAutoHyphens w:val="0"/>
              <w:rPr>
                <w:szCs w:val="22"/>
              </w:rPr>
            </w:pPr>
            <w:r>
              <w:rPr>
                <w:b/>
                <w:szCs w:val="22"/>
                <w:lang w:val="en-GB"/>
              </w:rPr>
              <w:t>Hrvatska</w:t>
            </w:r>
          </w:p>
          <w:p w14:paraId="109AE929" w14:textId="77777777" w:rsidR="009B3384" w:rsidRDefault="00800862">
            <w:pPr>
              <w:suppressAutoHyphens w:val="0"/>
              <w:rPr>
                <w:szCs w:val="22"/>
              </w:rPr>
            </w:pPr>
            <w:r>
              <w:rPr>
                <w:szCs w:val="22"/>
                <w:lang w:val="en-GB"/>
              </w:rPr>
              <w:t>Johnson</w:t>
            </w:r>
            <w:r>
              <w:rPr>
                <w:szCs w:val="22"/>
              </w:rPr>
              <w:t xml:space="preserve"> &amp; </w:t>
            </w:r>
            <w:r>
              <w:rPr>
                <w:szCs w:val="22"/>
                <w:lang w:val="en-GB"/>
              </w:rPr>
              <w:t>Johnson</w:t>
            </w:r>
            <w:r>
              <w:rPr>
                <w:szCs w:val="22"/>
              </w:rPr>
              <w:t xml:space="preserve"> </w:t>
            </w:r>
            <w:r>
              <w:rPr>
                <w:szCs w:val="22"/>
                <w:lang w:val="en-GB"/>
              </w:rPr>
              <w:t>S</w:t>
            </w:r>
            <w:r>
              <w:rPr>
                <w:szCs w:val="22"/>
              </w:rPr>
              <w:t>.</w:t>
            </w:r>
            <w:r>
              <w:rPr>
                <w:szCs w:val="22"/>
                <w:lang w:val="en-GB"/>
              </w:rPr>
              <w:t>E</w:t>
            </w:r>
            <w:r>
              <w:rPr>
                <w:szCs w:val="22"/>
              </w:rPr>
              <w:t xml:space="preserve">. </w:t>
            </w:r>
            <w:r>
              <w:rPr>
                <w:szCs w:val="22"/>
                <w:lang w:val="en-GB"/>
              </w:rPr>
              <w:t>d</w:t>
            </w:r>
            <w:r>
              <w:rPr>
                <w:szCs w:val="22"/>
              </w:rPr>
              <w:t>.</w:t>
            </w:r>
            <w:r>
              <w:rPr>
                <w:szCs w:val="22"/>
                <w:lang w:val="en-GB"/>
              </w:rPr>
              <w:t>o</w:t>
            </w:r>
            <w:r>
              <w:rPr>
                <w:szCs w:val="22"/>
              </w:rPr>
              <w:t>.</w:t>
            </w:r>
            <w:r>
              <w:rPr>
                <w:szCs w:val="22"/>
                <w:lang w:val="en-GB"/>
              </w:rPr>
              <w:t>o</w:t>
            </w:r>
            <w:r>
              <w:rPr>
                <w:szCs w:val="22"/>
              </w:rPr>
              <w:t>.</w:t>
            </w:r>
          </w:p>
          <w:p w14:paraId="109AE92A" w14:textId="77777777" w:rsidR="009B3384" w:rsidRDefault="00800862">
            <w:pPr>
              <w:widowControl w:val="0"/>
              <w:suppressAutoHyphens w:val="0"/>
              <w:rPr>
                <w:szCs w:val="22"/>
                <w:lang w:val="en-GB"/>
              </w:rPr>
            </w:pPr>
            <w:r>
              <w:rPr>
                <w:szCs w:val="22"/>
                <w:lang w:val="en-GB"/>
              </w:rPr>
              <w:t>Tel: +385 1 6610 700</w:t>
            </w:r>
          </w:p>
          <w:p w14:paraId="109AE92B" w14:textId="77777777" w:rsidR="009B3384" w:rsidRDefault="00800862">
            <w:pPr>
              <w:widowControl w:val="0"/>
              <w:suppressAutoHyphens w:val="0"/>
              <w:rPr>
                <w:szCs w:val="22"/>
                <w:lang w:val="en-GB"/>
              </w:rPr>
            </w:pPr>
            <w:r>
              <w:rPr>
                <w:szCs w:val="22"/>
                <w:lang w:val="en-GB"/>
              </w:rPr>
              <w:t>jjsafety@JNJCR.JNJ.com</w:t>
            </w:r>
          </w:p>
          <w:p w14:paraId="109AE92C" w14:textId="77777777" w:rsidR="009B3384" w:rsidRDefault="009B3384">
            <w:pPr>
              <w:widowControl w:val="0"/>
              <w:suppressAutoHyphens w:val="0"/>
              <w:rPr>
                <w:szCs w:val="22"/>
                <w:lang w:val="en-GB"/>
              </w:rPr>
            </w:pPr>
          </w:p>
        </w:tc>
        <w:tc>
          <w:tcPr>
            <w:tcW w:w="4805" w:type="dxa"/>
          </w:tcPr>
          <w:p w14:paraId="109AE92D" w14:textId="77777777" w:rsidR="009B3384" w:rsidRDefault="00800862">
            <w:pPr>
              <w:widowControl w:val="0"/>
              <w:suppressAutoHyphens w:val="0"/>
              <w:rPr>
                <w:b/>
                <w:bCs/>
                <w:szCs w:val="22"/>
                <w:lang w:val="en-GB"/>
              </w:rPr>
            </w:pPr>
            <w:proofErr w:type="spellStart"/>
            <w:r>
              <w:rPr>
                <w:b/>
                <w:bCs/>
                <w:szCs w:val="22"/>
                <w:lang w:val="en-GB"/>
              </w:rPr>
              <w:t>România</w:t>
            </w:r>
            <w:proofErr w:type="spellEnd"/>
          </w:p>
          <w:p w14:paraId="109AE92E" w14:textId="77777777" w:rsidR="009B3384" w:rsidRDefault="00800862">
            <w:pPr>
              <w:widowControl w:val="0"/>
              <w:suppressAutoHyphens w:val="0"/>
              <w:rPr>
                <w:szCs w:val="22"/>
                <w:lang w:val="en-GB"/>
              </w:rPr>
            </w:pPr>
            <w:r>
              <w:rPr>
                <w:szCs w:val="22"/>
                <w:lang w:val="en-GB"/>
              </w:rPr>
              <w:t xml:space="preserve">Johnson &amp; Johnson </w:t>
            </w:r>
            <w:proofErr w:type="spellStart"/>
            <w:r>
              <w:rPr>
                <w:szCs w:val="22"/>
                <w:lang w:val="en-GB"/>
              </w:rPr>
              <w:t>Rom</w:t>
            </w:r>
            <w:r>
              <w:rPr>
                <w:bCs/>
                <w:szCs w:val="22"/>
                <w:lang w:val="en-GB"/>
              </w:rPr>
              <w:t>â</w:t>
            </w:r>
            <w:r>
              <w:rPr>
                <w:szCs w:val="22"/>
                <w:lang w:val="en-GB"/>
              </w:rPr>
              <w:t>nia</w:t>
            </w:r>
            <w:proofErr w:type="spellEnd"/>
            <w:r>
              <w:rPr>
                <w:szCs w:val="22"/>
                <w:lang w:val="en-GB"/>
              </w:rPr>
              <w:t xml:space="preserve"> SRL</w:t>
            </w:r>
          </w:p>
          <w:p w14:paraId="109AE92F" w14:textId="77777777" w:rsidR="009B3384" w:rsidRDefault="00800862">
            <w:pPr>
              <w:widowControl w:val="0"/>
              <w:suppressAutoHyphens w:val="0"/>
              <w:rPr>
                <w:szCs w:val="22"/>
                <w:lang w:val="en-GB"/>
              </w:rPr>
            </w:pPr>
            <w:r>
              <w:rPr>
                <w:szCs w:val="22"/>
                <w:lang w:val="en-GB"/>
              </w:rPr>
              <w:t>Tel: +40 21 207 1800</w:t>
            </w:r>
          </w:p>
          <w:p w14:paraId="109AE930" w14:textId="77777777" w:rsidR="009B3384" w:rsidRDefault="009B3384">
            <w:pPr>
              <w:widowControl w:val="0"/>
              <w:suppressAutoHyphens w:val="0"/>
              <w:rPr>
                <w:szCs w:val="22"/>
                <w:lang w:val="en-GB"/>
              </w:rPr>
            </w:pPr>
          </w:p>
        </w:tc>
      </w:tr>
      <w:tr w:rsidR="009B3384" w14:paraId="109AE93D" w14:textId="77777777">
        <w:trPr>
          <w:gridBefore w:val="1"/>
          <w:wBefore w:w="10" w:type="dxa"/>
          <w:cantSplit/>
          <w:jc w:val="center"/>
        </w:trPr>
        <w:tc>
          <w:tcPr>
            <w:tcW w:w="4260" w:type="dxa"/>
          </w:tcPr>
          <w:p w14:paraId="109AE932" w14:textId="77777777" w:rsidR="009B3384" w:rsidRDefault="00800862">
            <w:pPr>
              <w:widowControl w:val="0"/>
              <w:suppressAutoHyphens w:val="0"/>
              <w:rPr>
                <w:b/>
                <w:bCs/>
                <w:szCs w:val="22"/>
                <w:lang w:val="fr-FR"/>
              </w:rPr>
            </w:pPr>
            <w:r>
              <w:rPr>
                <w:b/>
                <w:bCs/>
                <w:szCs w:val="22"/>
                <w:lang w:val="fr-FR"/>
              </w:rPr>
              <w:t>Ireland</w:t>
            </w:r>
          </w:p>
          <w:p w14:paraId="109AE933" w14:textId="77777777" w:rsidR="009B3384" w:rsidRDefault="00800862">
            <w:pPr>
              <w:widowControl w:val="0"/>
              <w:suppressAutoHyphens w:val="0"/>
              <w:rPr>
                <w:szCs w:val="22"/>
                <w:lang w:val="fr-FR"/>
              </w:rPr>
            </w:pPr>
            <w:r>
              <w:rPr>
                <w:szCs w:val="22"/>
                <w:lang w:val="fr-FR"/>
              </w:rPr>
              <w:t>Janssen Sciences Ireland UC</w:t>
            </w:r>
          </w:p>
          <w:p w14:paraId="109AE934" w14:textId="77777777" w:rsidR="009B3384" w:rsidRDefault="00800862">
            <w:pPr>
              <w:widowControl w:val="0"/>
              <w:suppressAutoHyphens w:val="0"/>
              <w:rPr>
                <w:szCs w:val="22"/>
                <w:lang w:val="fr-FR"/>
              </w:rPr>
            </w:pPr>
            <w:proofErr w:type="gramStart"/>
            <w:r>
              <w:rPr>
                <w:szCs w:val="22"/>
                <w:lang w:val="fr-FR"/>
              </w:rPr>
              <w:t>Tel:</w:t>
            </w:r>
            <w:proofErr w:type="gramEnd"/>
            <w:r>
              <w:rPr>
                <w:szCs w:val="22"/>
                <w:lang w:val="fr-FR"/>
              </w:rPr>
              <w:t xml:space="preserve"> 1 800 709 122</w:t>
            </w:r>
          </w:p>
          <w:p w14:paraId="109AE935" w14:textId="77777777" w:rsidR="009B3384" w:rsidRPr="00BC6A43" w:rsidRDefault="00800862">
            <w:pPr>
              <w:widowControl w:val="0"/>
              <w:suppressAutoHyphens w:val="0"/>
              <w:rPr>
                <w:szCs w:val="22"/>
                <w:lang w:val="fr-BE"/>
              </w:rPr>
            </w:pPr>
            <w:r w:rsidRPr="00BC6A43">
              <w:t>medinfo@its.jnj.com</w:t>
            </w:r>
          </w:p>
          <w:p w14:paraId="109AE936" w14:textId="77777777" w:rsidR="009B3384" w:rsidRDefault="009B3384">
            <w:pPr>
              <w:widowControl w:val="0"/>
              <w:suppressAutoHyphens w:val="0"/>
              <w:rPr>
                <w:szCs w:val="22"/>
                <w:lang w:val="fr-FR"/>
              </w:rPr>
            </w:pPr>
          </w:p>
        </w:tc>
        <w:tc>
          <w:tcPr>
            <w:tcW w:w="4805" w:type="dxa"/>
          </w:tcPr>
          <w:p w14:paraId="109AE937" w14:textId="77777777" w:rsidR="009B3384" w:rsidRDefault="00800862">
            <w:pPr>
              <w:widowControl w:val="0"/>
              <w:suppressAutoHyphens w:val="0"/>
              <w:rPr>
                <w:b/>
                <w:bCs/>
                <w:szCs w:val="22"/>
                <w:lang w:val="fr-FR"/>
              </w:rPr>
            </w:pPr>
            <w:r>
              <w:rPr>
                <w:b/>
                <w:bCs/>
                <w:szCs w:val="22"/>
                <w:lang w:val="fr-FR"/>
              </w:rPr>
              <w:t>Slovenija</w:t>
            </w:r>
          </w:p>
          <w:p w14:paraId="109AE938" w14:textId="77777777" w:rsidR="009B3384" w:rsidRDefault="00800862">
            <w:pPr>
              <w:widowControl w:val="0"/>
              <w:suppressAutoHyphens w:val="0"/>
              <w:rPr>
                <w:szCs w:val="22"/>
                <w:lang w:val="fr-FR"/>
              </w:rPr>
            </w:pPr>
            <w:r>
              <w:rPr>
                <w:szCs w:val="22"/>
                <w:lang w:val="fr-FR"/>
              </w:rPr>
              <w:t xml:space="preserve">Johnson &amp; Johnson </w:t>
            </w:r>
            <w:proofErr w:type="spellStart"/>
            <w:r>
              <w:rPr>
                <w:szCs w:val="22"/>
                <w:lang w:val="fr-FR"/>
              </w:rPr>
              <w:t>d.o.o</w:t>
            </w:r>
            <w:proofErr w:type="spellEnd"/>
            <w:r>
              <w:rPr>
                <w:szCs w:val="22"/>
                <w:lang w:val="fr-FR"/>
              </w:rPr>
              <w:t>.</w:t>
            </w:r>
          </w:p>
          <w:p w14:paraId="109AE939" w14:textId="77777777" w:rsidR="009B3384" w:rsidRDefault="00800862">
            <w:pPr>
              <w:widowControl w:val="0"/>
              <w:suppressAutoHyphens w:val="0"/>
              <w:rPr>
                <w:szCs w:val="22"/>
                <w:lang w:val="de-DE"/>
              </w:rPr>
            </w:pPr>
            <w:r>
              <w:rPr>
                <w:szCs w:val="22"/>
                <w:lang w:val="de-DE"/>
              </w:rPr>
              <w:t>Tel: +386 1 401 18 00</w:t>
            </w:r>
          </w:p>
          <w:p w14:paraId="109AE93B" w14:textId="7C9E7E7C" w:rsidR="009B3384" w:rsidRDefault="00800862" w:rsidP="00BC6A43">
            <w:pPr>
              <w:widowControl w:val="0"/>
              <w:rPr>
                <w:szCs w:val="22"/>
                <w:lang w:val="de-DE"/>
              </w:rPr>
            </w:pPr>
            <w:r w:rsidRPr="00BC6A43">
              <w:t>JNJ-SI-safety@its.jnj.com</w:t>
            </w:r>
          </w:p>
          <w:p w14:paraId="109AE93C" w14:textId="77777777" w:rsidR="009B3384" w:rsidRDefault="009B3384">
            <w:pPr>
              <w:widowControl w:val="0"/>
              <w:suppressAutoHyphens w:val="0"/>
              <w:rPr>
                <w:szCs w:val="22"/>
                <w:lang w:val="de-DE"/>
              </w:rPr>
            </w:pPr>
          </w:p>
        </w:tc>
      </w:tr>
      <w:tr w:rsidR="009B3384" w14:paraId="109AE948" w14:textId="77777777">
        <w:trPr>
          <w:gridBefore w:val="1"/>
          <w:wBefore w:w="10" w:type="dxa"/>
          <w:cantSplit/>
          <w:jc w:val="center"/>
        </w:trPr>
        <w:tc>
          <w:tcPr>
            <w:tcW w:w="4260" w:type="dxa"/>
            <w:hideMark/>
          </w:tcPr>
          <w:p w14:paraId="109AE93E" w14:textId="77777777" w:rsidR="009B3384" w:rsidRDefault="00800862">
            <w:pPr>
              <w:widowControl w:val="0"/>
              <w:suppressAutoHyphens w:val="0"/>
              <w:rPr>
                <w:b/>
                <w:bCs/>
                <w:szCs w:val="22"/>
              </w:rPr>
            </w:pPr>
            <w:r>
              <w:rPr>
                <w:b/>
                <w:bCs/>
                <w:szCs w:val="22"/>
              </w:rPr>
              <w:t>Í</w:t>
            </w:r>
            <w:r>
              <w:rPr>
                <w:b/>
                <w:bCs/>
                <w:szCs w:val="22"/>
                <w:lang w:val="de-DE"/>
              </w:rPr>
              <w:t>sland</w:t>
            </w:r>
          </w:p>
          <w:p w14:paraId="109AE93F" w14:textId="77777777" w:rsidR="009B3384" w:rsidRDefault="00800862">
            <w:pPr>
              <w:widowControl w:val="0"/>
              <w:suppressAutoHyphens w:val="0"/>
              <w:rPr>
                <w:szCs w:val="22"/>
              </w:rPr>
            </w:pPr>
            <w:r>
              <w:rPr>
                <w:szCs w:val="22"/>
                <w:lang w:val="de-DE"/>
              </w:rPr>
              <w:t>Janssen</w:t>
            </w:r>
            <w:r>
              <w:rPr>
                <w:szCs w:val="22"/>
              </w:rPr>
              <w:t>-</w:t>
            </w:r>
            <w:r>
              <w:rPr>
                <w:szCs w:val="22"/>
                <w:lang w:val="de-DE"/>
              </w:rPr>
              <w:t>Cilag</w:t>
            </w:r>
            <w:r>
              <w:rPr>
                <w:szCs w:val="22"/>
              </w:rPr>
              <w:t xml:space="preserve"> </w:t>
            </w:r>
            <w:r>
              <w:rPr>
                <w:szCs w:val="22"/>
                <w:lang w:val="de-DE"/>
              </w:rPr>
              <w:t>AB</w:t>
            </w:r>
          </w:p>
          <w:p w14:paraId="109AE940" w14:textId="77777777" w:rsidR="009B3384" w:rsidRDefault="00800862">
            <w:pPr>
              <w:widowControl w:val="0"/>
              <w:suppressAutoHyphens w:val="0"/>
              <w:rPr>
                <w:szCs w:val="22"/>
              </w:rPr>
            </w:pPr>
            <w:r>
              <w:rPr>
                <w:szCs w:val="22"/>
                <w:lang w:val="de-DE"/>
              </w:rPr>
              <w:t>c</w:t>
            </w:r>
            <w:r>
              <w:rPr>
                <w:szCs w:val="22"/>
              </w:rPr>
              <w:t>/</w:t>
            </w:r>
            <w:r>
              <w:rPr>
                <w:szCs w:val="22"/>
                <w:lang w:val="de-DE"/>
              </w:rPr>
              <w:t>o</w:t>
            </w:r>
            <w:r>
              <w:rPr>
                <w:szCs w:val="22"/>
              </w:rPr>
              <w:t xml:space="preserve"> </w:t>
            </w:r>
            <w:r>
              <w:rPr>
                <w:szCs w:val="22"/>
                <w:lang w:val="de-DE"/>
              </w:rPr>
              <w:t>Vistor</w:t>
            </w:r>
            <w:r>
              <w:rPr>
                <w:szCs w:val="22"/>
              </w:rPr>
              <w:t xml:space="preserve"> е</w:t>
            </w:r>
            <w:r>
              <w:rPr>
                <w:szCs w:val="22"/>
                <w:lang w:val="de-DE"/>
              </w:rPr>
              <w:t>hf</w:t>
            </w:r>
            <w:r>
              <w:rPr>
                <w:szCs w:val="22"/>
              </w:rPr>
              <w:t>.</w:t>
            </w:r>
          </w:p>
          <w:p w14:paraId="109AE941" w14:textId="77777777" w:rsidR="009B3384" w:rsidRDefault="00800862">
            <w:pPr>
              <w:widowControl w:val="0"/>
              <w:suppressAutoHyphens w:val="0"/>
              <w:rPr>
                <w:szCs w:val="22"/>
              </w:rPr>
            </w:pPr>
            <w:r>
              <w:rPr>
                <w:szCs w:val="22"/>
                <w:lang w:val="de-DE"/>
              </w:rPr>
              <w:t>S</w:t>
            </w:r>
            <w:r>
              <w:rPr>
                <w:szCs w:val="22"/>
              </w:rPr>
              <w:t>í</w:t>
            </w:r>
            <w:r>
              <w:rPr>
                <w:szCs w:val="22"/>
                <w:lang w:val="de-DE"/>
              </w:rPr>
              <w:t>mi</w:t>
            </w:r>
            <w:r>
              <w:rPr>
                <w:szCs w:val="22"/>
              </w:rPr>
              <w:t>: +354 535 7000</w:t>
            </w:r>
          </w:p>
          <w:p w14:paraId="109AE942" w14:textId="77777777" w:rsidR="009B3384" w:rsidRDefault="00800862">
            <w:pPr>
              <w:widowControl w:val="0"/>
              <w:suppressAutoHyphens w:val="0"/>
              <w:rPr>
                <w:szCs w:val="22"/>
                <w:lang w:val="it-IT"/>
              </w:rPr>
            </w:pPr>
            <w:r>
              <w:rPr>
                <w:szCs w:val="22"/>
                <w:lang w:val="en-GB"/>
              </w:rPr>
              <w:t>janssen@vistor.is</w:t>
            </w:r>
          </w:p>
          <w:p w14:paraId="109AE943" w14:textId="77777777" w:rsidR="009B3384" w:rsidRDefault="009B3384">
            <w:pPr>
              <w:widowControl w:val="0"/>
              <w:suppressAutoHyphens w:val="0"/>
              <w:rPr>
                <w:szCs w:val="22"/>
                <w:lang w:val="it-IT"/>
              </w:rPr>
            </w:pPr>
          </w:p>
        </w:tc>
        <w:tc>
          <w:tcPr>
            <w:tcW w:w="4805" w:type="dxa"/>
          </w:tcPr>
          <w:p w14:paraId="109AE944" w14:textId="77777777" w:rsidR="009B3384" w:rsidRDefault="00800862">
            <w:pPr>
              <w:widowControl w:val="0"/>
              <w:suppressAutoHyphens w:val="0"/>
              <w:rPr>
                <w:b/>
                <w:bCs/>
                <w:szCs w:val="22"/>
                <w:lang w:val="it-IT"/>
              </w:rPr>
            </w:pPr>
            <w:r>
              <w:rPr>
                <w:b/>
                <w:bCs/>
                <w:szCs w:val="22"/>
                <w:lang w:val="it-IT"/>
              </w:rPr>
              <w:t>Slovenská republika</w:t>
            </w:r>
          </w:p>
          <w:p w14:paraId="109AE945" w14:textId="77777777" w:rsidR="009B3384" w:rsidRDefault="00800862">
            <w:pPr>
              <w:widowControl w:val="0"/>
              <w:suppressAutoHyphens w:val="0"/>
              <w:rPr>
                <w:szCs w:val="22"/>
                <w:lang w:val="it-IT"/>
              </w:rPr>
            </w:pPr>
            <w:r>
              <w:rPr>
                <w:szCs w:val="22"/>
                <w:lang w:val="it-IT"/>
              </w:rPr>
              <w:t>Johnson &amp; Johnson, s.r.o.</w:t>
            </w:r>
          </w:p>
          <w:p w14:paraId="109AE946" w14:textId="77777777" w:rsidR="009B3384" w:rsidRDefault="00800862">
            <w:pPr>
              <w:widowControl w:val="0"/>
              <w:suppressAutoHyphens w:val="0"/>
              <w:rPr>
                <w:szCs w:val="22"/>
                <w:lang w:val="it-IT"/>
              </w:rPr>
            </w:pPr>
            <w:r>
              <w:rPr>
                <w:szCs w:val="22"/>
                <w:lang w:val="it-IT"/>
              </w:rPr>
              <w:t>Tel: +421 232 408 400</w:t>
            </w:r>
          </w:p>
          <w:p w14:paraId="109AE947" w14:textId="77777777" w:rsidR="009B3384" w:rsidRDefault="009B3384">
            <w:pPr>
              <w:widowControl w:val="0"/>
              <w:suppressAutoHyphens w:val="0"/>
              <w:rPr>
                <w:szCs w:val="22"/>
                <w:lang w:val="it-IT"/>
              </w:rPr>
            </w:pPr>
          </w:p>
        </w:tc>
      </w:tr>
      <w:tr w:rsidR="009B3384" w14:paraId="109AE953" w14:textId="77777777">
        <w:trPr>
          <w:gridBefore w:val="1"/>
          <w:wBefore w:w="10" w:type="dxa"/>
          <w:cantSplit/>
          <w:jc w:val="center"/>
        </w:trPr>
        <w:tc>
          <w:tcPr>
            <w:tcW w:w="4260" w:type="dxa"/>
          </w:tcPr>
          <w:p w14:paraId="109AE949" w14:textId="77777777" w:rsidR="009B3384" w:rsidRDefault="00800862">
            <w:pPr>
              <w:widowControl w:val="0"/>
              <w:suppressAutoHyphens w:val="0"/>
              <w:rPr>
                <w:b/>
                <w:bCs/>
                <w:szCs w:val="22"/>
                <w:lang w:val="nl-BE"/>
              </w:rPr>
            </w:pPr>
            <w:r>
              <w:rPr>
                <w:b/>
                <w:bCs/>
                <w:szCs w:val="22"/>
                <w:lang w:val="nl-BE"/>
              </w:rPr>
              <w:t>Italia</w:t>
            </w:r>
          </w:p>
          <w:p w14:paraId="109AE94A" w14:textId="77777777" w:rsidR="009B3384" w:rsidRDefault="00800862">
            <w:pPr>
              <w:widowControl w:val="0"/>
              <w:suppressAutoHyphens w:val="0"/>
              <w:rPr>
                <w:szCs w:val="22"/>
                <w:lang w:val="nl-BE"/>
              </w:rPr>
            </w:pPr>
            <w:r>
              <w:rPr>
                <w:szCs w:val="22"/>
                <w:lang w:val="nl-BE"/>
              </w:rPr>
              <w:t>Janssen-Cilag SpA</w:t>
            </w:r>
          </w:p>
          <w:p w14:paraId="109AE94B" w14:textId="77777777" w:rsidR="009B3384" w:rsidRDefault="00800862">
            <w:pPr>
              <w:suppressAutoHyphens w:val="0"/>
              <w:rPr>
                <w:szCs w:val="22"/>
                <w:lang w:val="nl-BE"/>
              </w:rPr>
            </w:pPr>
            <w:r>
              <w:rPr>
                <w:szCs w:val="22"/>
                <w:lang w:val="nl-BE"/>
              </w:rPr>
              <w:t>Tel: 800.688.777 / +39 02 2510 1</w:t>
            </w:r>
          </w:p>
          <w:p w14:paraId="109AE94C" w14:textId="77777777" w:rsidR="009B3384" w:rsidRDefault="00800862">
            <w:pPr>
              <w:suppressAutoHyphens w:val="0"/>
              <w:rPr>
                <w:szCs w:val="22"/>
                <w:lang w:val="it-IT"/>
              </w:rPr>
            </w:pPr>
            <w:r>
              <w:rPr>
                <w:szCs w:val="22"/>
                <w:lang w:val="en-GB"/>
              </w:rPr>
              <w:t>janssenita@its.jnj.com</w:t>
            </w:r>
          </w:p>
          <w:p w14:paraId="109AE94D" w14:textId="77777777" w:rsidR="009B3384" w:rsidRDefault="009B3384">
            <w:pPr>
              <w:widowControl w:val="0"/>
              <w:suppressAutoHyphens w:val="0"/>
              <w:rPr>
                <w:szCs w:val="22"/>
                <w:lang w:val="it-IT"/>
              </w:rPr>
            </w:pPr>
          </w:p>
        </w:tc>
        <w:tc>
          <w:tcPr>
            <w:tcW w:w="4805" w:type="dxa"/>
            <w:hideMark/>
          </w:tcPr>
          <w:p w14:paraId="109AE94E" w14:textId="77777777" w:rsidR="009B3384" w:rsidRDefault="00800862">
            <w:pPr>
              <w:widowControl w:val="0"/>
              <w:suppressAutoHyphens w:val="0"/>
              <w:rPr>
                <w:b/>
                <w:bCs/>
                <w:szCs w:val="22"/>
                <w:lang w:val="it-IT"/>
              </w:rPr>
            </w:pPr>
            <w:r>
              <w:rPr>
                <w:b/>
                <w:bCs/>
                <w:szCs w:val="22"/>
                <w:lang w:val="it-IT"/>
              </w:rPr>
              <w:t>Suomi/Finland</w:t>
            </w:r>
          </w:p>
          <w:p w14:paraId="109AE94F" w14:textId="77777777" w:rsidR="009B3384" w:rsidRDefault="00800862">
            <w:pPr>
              <w:widowControl w:val="0"/>
              <w:suppressAutoHyphens w:val="0"/>
              <w:rPr>
                <w:szCs w:val="22"/>
                <w:lang w:val="it-IT"/>
              </w:rPr>
            </w:pPr>
            <w:r>
              <w:rPr>
                <w:szCs w:val="22"/>
                <w:lang w:val="it-IT"/>
              </w:rPr>
              <w:t>Janssen-Cilag Oy</w:t>
            </w:r>
          </w:p>
          <w:p w14:paraId="109AE950" w14:textId="77777777" w:rsidR="009B3384" w:rsidRDefault="00800862">
            <w:pPr>
              <w:widowControl w:val="0"/>
              <w:suppressAutoHyphens w:val="0"/>
              <w:rPr>
                <w:szCs w:val="22"/>
                <w:lang w:val="nl-NL"/>
              </w:rPr>
            </w:pPr>
            <w:r>
              <w:rPr>
                <w:szCs w:val="22"/>
                <w:lang w:val="nl-NL"/>
              </w:rPr>
              <w:t>Puh/Tel: +358 207 531 300</w:t>
            </w:r>
          </w:p>
          <w:p w14:paraId="109AE951" w14:textId="77777777" w:rsidR="009B3384" w:rsidRDefault="00800862">
            <w:pPr>
              <w:widowControl w:val="0"/>
              <w:suppressAutoHyphens w:val="0"/>
              <w:rPr>
                <w:szCs w:val="22"/>
                <w:lang w:val="en-GB"/>
              </w:rPr>
            </w:pPr>
            <w:r>
              <w:rPr>
                <w:szCs w:val="22"/>
                <w:lang w:val="en-GB"/>
              </w:rPr>
              <w:t>jacfi@its.jnj.com</w:t>
            </w:r>
          </w:p>
          <w:p w14:paraId="109AE952" w14:textId="77777777" w:rsidR="009B3384" w:rsidRDefault="009B3384">
            <w:pPr>
              <w:widowControl w:val="0"/>
              <w:suppressAutoHyphens w:val="0"/>
              <w:rPr>
                <w:szCs w:val="22"/>
                <w:lang w:val="en-GB"/>
              </w:rPr>
            </w:pPr>
          </w:p>
        </w:tc>
      </w:tr>
      <w:tr w:rsidR="009B3384" w14:paraId="109AE95D" w14:textId="77777777">
        <w:trPr>
          <w:gridBefore w:val="1"/>
          <w:wBefore w:w="10" w:type="dxa"/>
          <w:cantSplit/>
          <w:jc w:val="center"/>
        </w:trPr>
        <w:tc>
          <w:tcPr>
            <w:tcW w:w="4260" w:type="dxa"/>
            <w:hideMark/>
          </w:tcPr>
          <w:p w14:paraId="109AE954" w14:textId="77777777" w:rsidR="009B3384" w:rsidRDefault="00800862">
            <w:pPr>
              <w:widowControl w:val="0"/>
              <w:suppressAutoHyphens w:val="0"/>
              <w:rPr>
                <w:b/>
                <w:bCs/>
                <w:szCs w:val="22"/>
                <w:lang w:val="el-GR"/>
              </w:rPr>
            </w:pPr>
            <w:r>
              <w:rPr>
                <w:b/>
                <w:bCs/>
                <w:szCs w:val="22"/>
                <w:lang w:val="el-GR"/>
              </w:rPr>
              <w:t>Κύπρος</w:t>
            </w:r>
          </w:p>
          <w:p w14:paraId="109AE955" w14:textId="77777777" w:rsidR="009B3384" w:rsidRDefault="00800862">
            <w:pPr>
              <w:widowControl w:val="0"/>
              <w:suppressAutoHyphens w:val="0"/>
              <w:rPr>
                <w:szCs w:val="22"/>
                <w:lang w:val="el-GR"/>
              </w:rPr>
            </w:pPr>
            <w:r>
              <w:rPr>
                <w:szCs w:val="22"/>
                <w:lang w:val="el-GR"/>
              </w:rPr>
              <w:t>Βαρνάβας Χατζηπαναγής Λτδ</w:t>
            </w:r>
          </w:p>
          <w:p w14:paraId="109AE956" w14:textId="77777777" w:rsidR="009B3384" w:rsidRDefault="00800862">
            <w:pPr>
              <w:widowControl w:val="0"/>
              <w:suppressAutoHyphens w:val="0"/>
              <w:rPr>
                <w:szCs w:val="22"/>
                <w:lang w:val="el-GR"/>
              </w:rPr>
            </w:pPr>
            <w:r>
              <w:rPr>
                <w:szCs w:val="22"/>
                <w:lang w:val="en-GB"/>
              </w:rPr>
              <w:t>T</w:t>
            </w:r>
            <w:r>
              <w:rPr>
                <w:szCs w:val="22"/>
                <w:lang w:val="el-GR"/>
              </w:rPr>
              <w:t>ηλ: +357 22 207 700</w:t>
            </w:r>
          </w:p>
          <w:p w14:paraId="109AE957" w14:textId="77777777" w:rsidR="009B3384" w:rsidRDefault="009B3384">
            <w:pPr>
              <w:widowControl w:val="0"/>
              <w:suppressAutoHyphens w:val="0"/>
              <w:rPr>
                <w:szCs w:val="22"/>
                <w:lang w:val="el-GR"/>
              </w:rPr>
            </w:pPr>
          </w:p>
        </w:tc>
        <w:tc>
          <w:tcPr>
            <w:tcW w:w="4805" w:type="dxa"/>
          </w:tcPr>
          <w:p w14:paraId="109AE958" w14:textId="77777777" w:rsidR="009B3384" w:rsidRDefault="00800862">
            <w:pPr>
              <w:widowControl w:val="0"/>
              <w:suppressAutoHyphens w:val="0"/>
              <w:rPr>
                <w:b/>
                <w:bCs/>
                <w:szCs w:val="22"/>
                <w:lang w:val="de-DE"/>
              </w:rPr>
            </w:pPr>
            <w:r>
              <w:rPr>
                <w:b/>
                <w:bCs/>
                <w:szCs w:val="22"/>
                <w:lang w:val="de-DE"/>
              </w:rPr>
              <w:t>Sverige</w:t>
            </w:r>
          </w:p>
          <w:p w14:paraId="109AE959" w14:textId="77777777" w:rsidR="009B3384" w:rsidRDefault="00800862">
            <w:pPr>
              <w:widowControl w:val="0"/>
              <w:suppressAutoHyphens w:val="0"/>
              <w:rPr>
                <w:szCs w:val="22"/>
                <w:lang w:val="de-DE"/>
              </w:rPr>
            </w:pPr>
            <w:r>
              <w:rPr>
                <w:szCs w:val="22"/>
                <w:lang w:val="de-DE"/>
              </w:rPr>
              <w:t>Janssen-Cilag AB</w:t>
            </w:r>
          </w:p>
          <w:p w14:paraId="109AE95A" w14:textId="77777777" w:rsidR="009B3384" w:rsidRDefault="00800862">
            <w:pPr>
              <w:widowControl w:val="0"/>
              <w:suppressAutoHyphens w:val="0"/>
              <w:rPr>
                <w:szCs w:val="22"/>
                <w:lang w:val="de-DE"/>
              </w:rPr>
            </w:pPr>
            <w:r>
              <w:rPr>
                <w:szCs w:val="22"/>
                <w:lang w:val="de-DE"/>
              </w:rPr>
              <w:t>Tfn: +46 8 626 50 00</w:t>
            </w:r>
          </w:p>
          <w:p w14:paraId="109AE95B" w14:textId="77777777" w:rsidR="009B3384" w:rsidRDefault="00800862">
            <w:pPr>
              <w:widowControl w:val="0"/>
              <w:suppressAutoHyphens w:val="0"/>
              <w:rPr>
                <w:szCs w:val="22"/>
                <w:lang w:val="en-GB"/>
              </w:rPr>
            </w:pPr>
            <w:r>
              <w:rPr>
                <w:szCs w:val="22"/>
                <w:lang w:val="en-GB"/>
              </w:rPr>
              <w:t>jacse@its.jnj.com</w:t>
            </w:r>
          </w:p>
          <w:p w14:paraId="109AE95C" w14:textId="77777777" w:rsidR="009B3384" w:rsidRDefault="009B3384">
            <w:pPr>
              <w:widowControl w:val="0"/>
              <w:suppressAutoHyphens w:val="0"/>
              <w:rPr>
                <w:szCs w:val="22"/>
                <w:lang w:val="en-GB"/>
              </w:rPr>
            </w:pPr>
          </w:p>
        </w:tc>
      </w:tr>
      <w:tr w:rsidR="009B3384" w14:paraId="109AE967" w14:textId="77777777">
        <w:trPr>
          <w:gridBefore w:val="1"/>
          <w:wBefore w:w="10" w:type="dxa"/>
          <w:cantSplit/>
          <w:jc w:val="center"/>
        </w:trPr>
        <w:tc>
          <w:tcPr>
            <w:tcW w:w="4260" w:type="dxa"/>
            <w:hideMark/>
          </w:tcPr>
          <w:p w14:paraId="109AE95E" w14:textId="77777777" w:rsidR="009B3384" w:rsidRDefault="00800862">
            <w:pPr>
              <w:widowControl w:val="0"/>
              <w:suppressAutoHyphens w:val="0"/>
              <w:rPr>
                <w:b/>
                <w:bCs/>
                <w:szCs w:val="22"/>
              </w:rPr>
            </w:pPr>
            <w:proofErr w:type="spellStart"/>
            <w:r>
              <w:rPr>
                <w:b/>
                <w:bCs/>
                <w:szCs w:val="22"/>
                <w:lang w:val="en-GB"/>
              </w:rPr>
              <w:t>Latvija</w:t>
            </w:r>
            <w:proofErr w:type="spellEnd"/>
          </w:p>
          <w:p w14:paraId="109AE95F" w14:textId="77777777" w:rsidR="009B3384" w:rsidRDefault="00800862">
            <w:pPr>
              <w:widowControl w:val="0"/>
              <w:suppressAutoHyphens w:val="0"/>
              <w:rPr>
                <w:szCs w:val="22"/>
              </w:rPr>
            </w:pPr>
            <w:r>
              <w:rPr>
                <w:szCs w:val="22"/>
                <w:lang w:val="en-GB"/>
              </w:rPr>
              <w:t>UAB</w:t>
            </w:r>
            <w:r>
              <w:rPr>
                <w:szCs w:val="22"/>
              </w:rPr>
              <w:t xml:space="preserve"> "</w:t>
            </w:r>
            <w:r>
              <w:rPr>
                <w:szCs w:val="22"/>
                <w:lang w:val="en-GB"/>
              </w:rPr>
              <w:t>JOHNSON</w:t>
            </w:r>
            <w:r>
              <w:rPr>
                <w:szCs w:val="22"/>
              </w:rPr>
              <w:t xml:space="preserve"> &amp; </w:t>
            </w:r>
            <w:r>
              <w:rPr>
                <w:szCs w:val="22"/>
                <w:lang w:val="en-GB"/>
              </w:rPr>
              <w:t>JOHNSON</w:t>
            </w:r>
            <w:r>
              <w:rPr>
                <w:szCs w:val="22"/>
              </w:rPr>
              <w:t xml:space="preserve">" </w:t>
            </w:r>
            <w:proofErr w:type="spellStart"/>
            <w:r>
              <w:rPr>
                <w:szCs w:val="22"/>
                <w:lang w:val="en-GB"/>
              </w:rPr>
              <w:t>fili</w:t>
            </w:r>
            <w:proofErr w:type="spellEnd"/>
            <w:r>
              <w:rPr>
                <w:szCs w:val="22"/>
              </w:rPr>
              <w:t>ā</w:t>
            </w:r>
            <w:r>
              <w:rPr>
                <w:szCs w:val="22"/>
                <w:lang w:val="en-GB"/>
              </w:rPr>
              <w:t>le</w:t>
            </w:r>
            <w:r>
              <w:rPr>
                <w:szCs w:val="22"/>
              </w:rPr>
              <w:t xml:space="preserve"> </w:t>
            </w:r>
            <w:proofErr w:type="spellStart"/>
            <w:r>
              <w:rPr>
                <w:szCs w:val="22"/>
                <w:lang w:val="en-GB"/>
              </w:rPr>
              <w:t>Latvij</w:t>
            </w:r>
            <w:proofErr w:type="spellEnd"/>
            <w:r>
              <w:rPr>
                <w:szCs w:val="22"/>
              </w:rPr>
              <w:t>ā</w:t>
            </w:r>
          </w:p>
          <w:p w14:paraId="109AE960" w14:textId="77777777" w:rsidR="009B3384" w:rsidRDefault="00800862">
            <w:pPr>
              <w:widowControl w:val="0"/>
              <w:suppressAutoHyphens w:val="0"/>
              <w:rPr>
                <w:szCs w:val="22"/>
                <w:lang w:val="en-GB"/>
              </w:rPr>
            </w:pPr>
            <w:r>
              <w:rPr>
                <w:szCs w:val="22"/>
                <w:lang w:val="en-GB"/>
              </w:rPr>
              <w:t>Tel: +371 678 93561</w:t>
            </w:r>
          </w:p>
          <w:p w14:paraId="109AE961" w14:textId="77777777" w:rsidR="009B3384" w:rsidRDefault="00800862">
            <w:pPr>
              <w:widowControl w:val="0"/>
              <w:suppressAutoHyphens w:val="0"/>
              <w:rPr>
                <w:b/>
                <w:bCs/>
                <w:szCs w:val="22"/>
                <w:lang w:val="en-GB"/>
              </w:rPr>
            </w:pPr>
            <w:r>
              <w:rPr>
                <w:szCs w:val="22"/>
                <w:lang w:val="en-GB"/>
              </w:rPr>
              <w:t>lv@its.jnj.com</w:t>
            </w:r>
          </w:p>
          <w:p w14:paraId="109AE962" w14:textId="77777777" w:rsidR="009B3384" w:rsidRDefault="009B3384">
            <w:pPr>
              <w:widowControl w:val="0"/>
              <w:suppressAutoHyphens w:val="0"/>
              <w:rPr>
                <w:b/>
                <w:bCs/>
                <w:szCs w:val="22"/>
                <w:lang w:val="en-GB"/>
              </w:rPr>
            </w:pPr>
          </w:p>
        </w:tc>
        <w:tc>
          <w:tcPr>
            <w:tcW w:w="4805" w:type="dxa"/>
          </w:tcPr>
          <w:p w14:paraId="109AE966" w14:textId="1F1E2D02" w:rsidR="009B3384" w:rsidRDefault="009B3384">
            <w:pPr>
              <w:widowControl w:val="0"/>
              <w:suppressAutoHyphens w:val="0"/>
              <w:rPr>
                <w:b/>
                <w:bCs/>
                <w:szCs w:val="22"/>
                <w:lang w:val="de-DE"/>
              </w:rPr>
            </w:pPr>
          </w:p>
        </w:tc>
      </w:tr>
    </w:tbl>
    <w:p w14:paraId="109AE968" w14:textId="77777777" w:rsidR="009B3384" w:rsidRDefault="009B3384">
      <w:pPr>
        <w:widowControl w:val="0"/>
        <w:suppressAutoHyphens w:val="0"/>
        <w:rPr>
          <w:szCs w:val="22"/>
          <w:lang w:val="de-DE"/>
        </w:rPr>
      </w:pPr>
    </w:p>
    <w:p w14:paraId="109AE96A" w14:textId="63B167D0" w:rsidR="009B3384" w:rsidRDefault="00800862" w:rsidP="00BC6A43">
      <w:pPr>
        <w:keepNext/>
        <w:rPr>
          <w:b/>
          <w:szCs w:val="22"/>
        </w:rPr>
      </w:pPr>
      <w:r>
        <w:rPr>
          <w:b/>
          <w:szCs w:val="22"/>
        </w:rPr>
        <w:t>Дата на последно преразглеждане на листовката</w:t>
      </w:r>
    </w:p>
    <w:p w14:paraId="109AE96B" w14:textId="77777777" w:rsidR="009B3384" w:rsidRDefault="009B3384" w:rsidP="00BC6A43">
      <w:pPr>
        <w:keepNext/>
        <w:rPr>
          <w:szCs w:val="22"/>
        </w:rPr>
      </w:pPr>
    </w:p>
    <w:p w14:paraId="109AE96D" w14:textId="77777777" w:rsidR="009B3384" w:rsidRDefault="00800862" w:rsidP="00BC6A43">
      <w:pPr>
        <w:keepNext/>
        <w:tabs>
          <w:tab w:val="clear" w:pos="567"/>
        </w:tabs>
      </w:pPr>
      <w:r>
        <w:rPr>
          <w:szCs w:val="22"/>
        </w:rPr>
        <w:t xml:space="preserve">Подробна информация за това лекарство е предоставена на уебсайта на Европейската агенция по лекарствата </w:t>
      </w:r>
      <w:hyperlink r:id="rId47" w:history="1">
        <w:r>
          <w:rPr>
            <w:rStyle w:val="Hyperlink"/>
            <w:noProof/>
          </w:rPr>
          <w:t>https://www.ema.europa.eu</w:t>
        </w:r>
      </w:hyperlink>
      <w:r>
        <w:t>.</w:t>
      </w:r>
    </w:p>
    <w:p w14:paraId="109AE96E" w14:textId="77777777" w:rsidR="009B3384" w:rsidRDefault="00800862">
      <w:pPr>
        <w:tabs>
          <w:tab w:val="clear" w:pos="567"/>
        </w:tabs>
        <w:jc w:val="center"/>
      </w:pPr>
      <w:r>
        <w:br w:type="page"/>
      </w:r>
      <w:r>
        <w:rPr>
          <w:rFonts w:eastAsia="Calibri"/>
          <w:b/>
          <w:bCs/>
          <w:szCs w:val="22"/>
        </w:rPr>
        <w:lastRenderedPageBreak/>
        <w:t>Указания за употреба</w:t>
      </w:r>
    </w:p>
    <w:p w14:paraId="109AE96F" w14:textId="77777777" w:rsidR="009B3384" w:rsidRDefault="00800862">
      <w:pPr>
        <w:jc w:val="center"/>
      </w:pPr>
      <w:r>
        <w:rPr>
          <w:rFonts w:eastAsia="Calibri"/>
          <w:b/>
          <w:szCs w:val="22"/>
        </w:rPr>
        <w:t>Stelara</w:t>
      </w:r>
    </w:p>
    <w:p w14:paraId="109AE970" w14:textId="77777777" w:rsidR="009B3384" w:rsidRDefault="00800862">
      <w:pPr>
        <w:jc w:val="center"/>
      </w:pPr>
      <w:r>
        <w:rPr>
          <w:b/>
          <w:bCs/>
          <w:szCs w:val="22"/>
        </w:rPr>
        <w:t>(устекинумаб)</w:t>
      </w:r>
    </w:p>
    <w:p w14:paraId="109AE971" w14:textId="77777777" w:rsidR="009B3384" w:rsidRDefault="00800862">
      <w:pPr>
        <w:jc w:val="center"/>
      </w:pPr>
      <w:r>
        <w:rPr>
          <w:b/>
          <w:bCs/>
          <w:szCs w:val="22"/>
        </w:rPr>
        <w:t>инжекция за подкожно приложение</w:t>
      </w:r>
    </w:p>
    <w:p w14:paraId="109AE972" w14:textId="77777777" w:rsidR="009B3384" w:rsidRDefault="00800862">
      <w:pPr>
        <w:jc w:val="center"/>
      </w:pPr>
      <w:r>
        <w:rPr>
          <w:rFonts w:eastAsia="Calibri"/>
          <w:b/>
          <w:bCs/>
          <w:szCs w:val="22"/>
        </w:rPr>
        <w:t>предварително напълнена писалка</w:t>
      </w:r>
    </w:p>
    <w:p w14:paraId="109AE973" w14:textId="77777777" w:rsidR="009B3384" w:rsidRDefault="009B3384">
      <w:pPr>
        <w:jc w:val="center"/>
        <w:rPr>
          <w:rFonts w:eastAsia="Calibri"/>
          <w:b/>
          <w:bCs/>
          <w:szCs w:val="22"/>
        </w:rPr>
      </w:pPr>
    </w:p>
    <w:p w14:paraId="109AE974" w14:textId="77777777" w:rsidR="009B3384" w:rsidRDefault="00800862">
      <w:pPr>
        <w:tabs>
          <w:tab w:val="clear" w:pos="567"/>
        </w:tabs>
        <w:rPr>
          <w:rFonts w:eastAsia="Calibri"/>
          <w:szCs w:val="22"/>
        </w:rPr>
      </w:pPr>
      <w:r>
        <w:rPr>
          <w:noProof/>
          <w:lang w:eastAsia="bg-BG"/>
        </w:rPr>
        <w:drawing>
          <wp:inline distT="0" distB="0" distL="0" distR="0" wp14:anchorId="109AEA5D" wp14:editId="109AEA5E">
            <wp:extent cx="1866900" cy="18669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l="-18" t="-17" r="-18" b="-17"/>
                    <a:stretch>
                      <a:fillRect/>
                    </a:stretch>
                  </pic:blipFill>
                  <pic:spPr bwMode="auto">
                    <a:xfrm>
                      <a:off x="0" y="0"/>
                      <a:ext cx="1866900" cy="1866900"/>
                    </a:xfrm>
                    <a:prstGeom prst="rect">
                      <a:avLst/>
                    </a:prstGeom>
                    <a:solidFill>
                      <a:srgbClr val="FFFFFF"/>
                    </a:solidFill>
                    <a:ln>
                      <a:noFill/>
                    </a:ln>
                  </pic:spPr>
                </pic:pic>
              </a:graphicData>
            </a:graphic>
          </wp:inline>
        </w:drawing>
      </w:r>
    </w:p>
    <w:p w14:paraId="109AE975" w14:textId="77777777" w:rsidR="009B3384" w:rsidRDefault="009B3384">
      <w:pPr>
        <w:tabs>
          <w:tab w:val="clear" w:pos="567"/>
        </w:tabs>
        <w:rPr>
          <w:rFonts w:eastAsia="Calibri"/>
          <w:szCs w:val="22"/>
        </w:rPr>
      </w:pPr>
    </w:p>
    <w:p w14:paraId="109AE976" w14:textId="77777777" w:rsidR="009B3384" w:rsidRDefault="00800862">
      <w:pPr>
        <w:tabs>
          <w:tab w:val="clear" w:pos="567"/>
        </w:tabs>
        <w:rPr>
          <w:rFonts w:eastAsia="Calibri"/>
          <w:bCs/>
          <w:szCs w:val="22"/>
        </w:rPr>
      </w:pPr>
      <w:r>
        <w:rPr>
          <w:rFonts w:eastAsia="Calibri"/>
          <w:bCs/>
          <w:szCs w:val="22"/>
        </w:rPr>
        <w:t>Настоящите "Указания за употреба" съдържат информация за това как да си инжектирате Stelara.</w:t>
      </w:r>
    </w:p>
    <w:p w14:paraId="109AE977" w14:textId="77777777" w:rsidR="009B3384" w:rsidRDefault="009B3384">
      <w:pPr>
        <w:tabs>
          <w:tab w:val="clear" w:pos="567"/>
        </w:tabs>
        <w:rPr>
          <w:rFonts w:eastAsia="Calibri"/>
          <w:bCs/>
          <w:szCs w:val="22"/>
        </w:rPr>
      </w:pPr>
    </w:p>
    <w:p w14:paraId="109AE978" w14:textId="77777777" w:rsidR="009B3384" w:rsidRDefault="00800862">
      <w:pPr>
        <w:tabs>
          <w:tab w:val="clear" w:pos="567"/>
        </w:tabs>
        <w:rPr>
          <w:rFonts w:eastAsia="Calibri"/>
          <w:b/>
          <w:bCs/>
          <w:szCs w:val="22"/>
        </w:rPr>
      </w:pPr>
      <w:r>
        <w:rPr>
          <w:rFonts w:eastAsia="Calibri"/>
          <w:b/>
          <w:bCs/>
          <w:szCs w:val="22"/>
        </w:rPr>
        <w:t>Важно</w:t>
      </w:r>
    </w:p>
    <w:p w14:paraId="109AE979" w14:textId="77777777" w:rsidR="009B3384" w:rsidRDefault="00800862">
      <w:pPr>
        <w:tabs>
          <w:tab w:val="clear" w:pos="567"/>
        </w:tabs>
        <w:rPr>
          <w:rFonts w:eastAsia="Calibri"/>
          <w:bCs/>
          <w:szCs w:val="22"/>
        </w:rPr>
      </w:pPr>
      <w:r>
        <w:rPr>
          <w:rFonts w:eastAsia="Calibri"/>
          <w:bCs/>
          <w:szCs w:val="22"/>
        </w:rPr>
        <w:t>Stelara се предлага в предварително напълнена писалка за еднократна употреба, съдържаща една доза 45 mg или една доза 90 mg.</w:t>
      </w:r>
    </w:p>
    <w:p w14:paraId="109AE97A" w14:textId="77777777" w:rsidR="009B3384" w:rsidRDefault="009B3384">
      <w:pPr>
        <w:tabs>
          <w:tab w:val="clear" w:pos="567"/>
        </w:tabs>
      </w:pPr>
    </w:p>
    <w:p w14:paraId="109AE97B"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b/>
          <w:bCs/>
        </w:rPr>
      </w:pPr>
      <w:r w:rsidRPr="00BC6A43">
        <w:rPr>
          <w:rFonts w:eastAsia="Calibri"/>
          <w:b/>
          <w:bCs/>
          <w:szCs w:val="22"/>
        </w:rPr>
        <w:t>По време на инжектирането натиснете дръжката докрай надолу, докато престане да се вижда лилавото тяло, за да инжектирате пълната доза. НЕ ВДИГАЙТЕ ПРЕДВАРИТЕЛНО НАПЪЛНЕНАТА ПИСАЛКА по време на инжектирането! Ако го направите, предварително напълнената писалка ще се заключи и няма да получите пълната доза.</w:t>
      </w:r>
    </w:p>
    <w:p w14:paraId="109AE97C" w14:textId="77777777" w:rsidR="009B3384" w:rsidRDefault="009B3384">
      <w:pPr>
        <w:widowControl w:val="0"/>
        <w:tabs>
          <w:tab w:val="clear" w:pos="567"/>
          <w:tab w:val="left" w:pos="216"/>
          <w:tab w:val="left" w:pos="360"/>
          <w:tab w:val="left" w:pos="540"/>
        </w:tabs>
        <w:rPr>
          <w:rFonts w:eastAsia="Calibri"/>
          <w:szCs w:val="22"/>
        </w:rPr>
      </w:pPr>
    </w:p>
    <w:p w14:paraId="109AE97D" w14:textId="77777777" w:rsidR="009B3384" w:rsidRDefault="00800862">
      <w:pPr>
        <w:widowControl w:val="0"/>
        <w:tabs>
          <w:tab w:val="clear" w:pos="567"/>
          <w:tab w:val="left" w:pos="216"/>
          <w:tab w:val="left" w:pos="360"/>
          <w:tab w:val="left" w:pos="540"/>
        </w:tabs>
        <w:rPr>
          <w:rFonts w:eastAsia="Calibri"/>
          <w:b/>
          <w:bCs/>
          <w:szCs w:val="22"/>
        </w:rPr>
      </w:pPr>
      <w:r>
        <w:rPr>
          <w:rFonts w:eastAsia="Calibri"/>
          <w:bCs/>
          <w:szCs w:val="22"/>
        </w:rPr>
        <w:t xml:space="preserve">Ако Вашият лекар реши, че Вие или обгрижващото Ви лице може да поставяте инжекциите си Stelara у дома, трябва да получите обучение за правилния начин за подготовка и инжектиране на Stelara с помощта на предварително напълнената писалка. </w:t>
      </w:r>
      <w:r>
        <w:rPr>
          <w:rFonts w:eastAsia="Calibri"/>
          <w:b/>
          <w:bCs/>
          <w:szCs w:val="22"/>
        </w:rPr>
        <w:t>Не се опитвайте да се инжектирате сами, докато не бъдете обучени от Вашия лекар.</w:t>
      </w:r>
    </w:p>
    <w:p w14:paraId="109AE97E" w14:textId="77777777" w:rsidR="009B3384" w:rsidRDefault="009B3384">
      <w:pPr>
        <w:widowControl w:val="0"/>
        <w:tabs>
          <w:tab w:val="clear" w:pos="567"/>
          <w:tab w:val="left" w:pos="216"/>
          <w:tab w:val="left" w:pos="360"/>
          <w:tab w:val="left" w:pos="540"/>
        </w:tabs>
        <w:rPr>
          <w:rFonts w:eastAsia="Calibri"/>
          <w:b/>
          <w:bCs/>
          <w:szCs w:val="22"/>
        </w:rPr>
      </w:pPr>
    </w:p>
    <w:p w14:paraId="109AE97F" w14:textId="77777777" w:rsidR="009B3384" w:rsidRDefault="00800862">
      <w:pPr>
        <w:widowControl w:val="0"/>
        <w:tabs>
          <w:tab w:val="clear" w:pos="567"/>
          <w:tab w:val="left" w:pos="216"/>
          <w:tab w:val="left" w:pos="360"/>
          <w:tab w:val="left" w:pos="540"/>
        </w:tabs>
        <w:rPr>
          <w:rFonts w:eastAsia="Calibri"/>
          <w:bCs/>
          <w:szCs w:val="22"/>
        </w:rPr>
      </w:pPr>
      <w:r>
        <w:rPr>
          <w:rFonts w:eastAsia="Calibri"/>
          <w:bCs/>
          <w:szCs w:val="22"/>
        </w:rPr>
        <w:t>Всяка предварително напълнена писалка може да се използва само веднъж. Изхвърлете я (вижте Стъпка 3) след употреба, дори ако в нея е останало лекарство.</w:t>
      </w:r>
    </w:p>
    <w:p w14:paraId="109AE980" w14:textId="77777777" w:rsidR="009B3384" w:rsidRDefault="009B3384">
      <w:pPr>
        <w:widowControl w:val="0"/>
        <w:tabs>
          <w:tab w:val="clear" w:pos="567"/>
          <w:tab w:val="left" w:pos="216"/>
          <w:tab w:val="left" w:pos="360"/>
          <w:tab w:val="left" w:pos="540"/>
        </w:tabs>
        <w:rPr>
          <w:rFonts w:eastAsia="Calibri"/>
          <w:bCs/>
          <w:szCs w:val="22"/>
        </w:rPr>
      </w:pPr>
    </w:p>
    <w:p w14:paraId="109AE981" w14:textId="77777777" w:rsidR="009B3384" w:rsidRDefault="00800862">
      <w:pPr>
        <w:widowControl w:val="0"/>
        <w:tabs>
          <w:tab w:val="clear" w:pos="567"/>
          <w:tab w:val="left" w:pos="216"/>
          <w:tab w:val="left" w:pos="360"/>
          <w:tab w:val="left" w:pos="540"/>
        </w:tabs>
      </w:pPr>
      <w:r>
        <w:rPr>
          <w:rFonts w:eastAsia="Calibri"/>
          <w:b/>
          <w:bCs/>
          <w:szCs w:val="22"/>
        </w:rPr>
        <w:t>Не използвайте повторно предварително напълнената писалка.</w:t>
      </w:r>
    </w:p>
    <w:p w14:paraId="109AE982" w14:textId="77777777" w:rsidR="009B3384" w:rsidRDefault="009B3384">
      <w:pPr>
        <w:widowControl w:val="0"/>
        <w:tabs>
          <w:tab w:val="clear" w:pos="567"/>
          <w:tab w:val="left" w:pos="216"/>
          <w:tab w:val="left" w:pos="360"/>
          <w:tab w:val="left" w:pos="540"/>
        </w:tabs>
      </w:pPr>
    </w:p>
    <w:p w14:paraId="109AE983" w14:textId="77777777" w:rsidR="009B3384" w:rsidRDefault="00800862">
      <w:pPr>
        <w:widowControl w:val="0"/>
        <w:tabs>
          <w:tab w:val="clear" w:pos="567"/>
          <w:tab w:val="left" w:pos="216"/>
          <w:tab w:val="left" w:pos="360"/>
          <w:tab w:val="left" w:pos="540"/>
        </w:tabs>
        <w:rPr>
          <w:rFonts w:eastAsia="Calibri"/>
          <w:bCs/>
          <w:szCs w:val="22"/>
        </w:rPr>
      </w:pPr>
      <w:r>
        <w:rPr>
          <w:rFonts w:eastAsia="Calibri"/>
          <w:b/>
          <w:bCs/>
          <w:szCs w:val="22"/>
        </w:rPr>
        <w:t xml:space="preserve">Прочетете тези "Указания за употреба" преди да използвате предварително напълнената писалка Stelara и всеки път, когато получавате нова предварително напълнена писалка. </w:t>
      </w:r>
      <w:r>
        <w:rPr>
          <w:rFonts w:eastAsia="Calibri"/>
          <w:bCs/>
          <w:szCs w:val="22"/>
        </w:rPr>
        <w:t>Възможно е да има нова информация. Тази листовка не замества разговора с Вашия лекар относно Вашето заболяване или лечение.</w:t>
      </w:r>
    </w:p>
    <w:p w14:paraId="109AE984" w14:textId="77777777" w:rsidR="009B3384" w:rsidRDefault="009B3384">
      <w:pPr>
        <w:widowControl w:val="0"/>
        <w:tabs>
          <w:tab w:val="clear" w:pos="567"/>
          <w:tab w:val="left" w:pos="216"/>
          <w:tab w:val="left" w:pos="360"/>
          <w:tab w:val="left" w:pos="540"/>
        </w:tabs>
        <w:rPr>
          <w:rFonts w:eastAsia="Calibri"/>
          <w:bCs/>
          <w:szCs w:val="22"/>
        </w:rPr>
      </w:pPr>
    </w:p>
    <w:p w14:paraId="109AE985" w14:textId="77777777" w:rsidR="009B3384" w:rsidRDefault="00800862">
      <w:pPr>
        <w:keepNext/>
        <w:widowControl w:val="0"/>
        <w:tabs>
          <w:tab w:val="clear" w:pos="567"/>
          <w:tab w:val="left" w:pos="216"/>
          <w:tab w:val="left" w:pos="360"/>
          <w:tab w:val="left" w:pos="540"/>
        </w:tabs>
      </w:pPr>
      <w:r>
        <w:rPr>
          <w:rFonts w:eastAsia="Calibri"/>
          <w:bCs/>
          <w:szCs w:val="22"/>
        </w:rPr>
        <w:t>Ако не можете да си поставите сами инжекцията:</w:t>
      </w:r>
    </w:p>
    <w:p w14:paraId="109AE986" w14:textId="77777777" w:rsidR="009B3384" w:rsidRDefault="00800862">
      <w:pPr>
        <w:keepNext/>
        <w:numPr>
          <w:ilvl w:val="0"/>
          <w:numId w:val="30"/>
        </w:numPr>
      </w:pPr>
      <w:r>
        <w:rPr>
          <w:rFonts w:eastAsia="Calibri"/>
          <w:bCs/>
          <w:szCs w:val="22"/>
        </w:rPr>
        <w:t>помолете Вашия лекар или медицинска сестра да Ви помогнат или</w:t>
      </w:r>
    </w:p>
    <w:p w14:paraId="109AE987" w14:textId="77777777" w:rsidR="009B3384" w:rsidRDefault="00800862">
      <w:pPr>
        <w:numPr>
          <w:ilvl w:val="0"/>
          <w:numId w:val="30"/>
        </w:numPr>
      </w:pPr>
      <w:r>
        <w:rPr>
          <w:rFonts w:eastAsia="Calibri"/>
          <w:bCs/>
          <w:szCs w:val="22"/>
        </w:rPr>
        <w:t>помолете някой, който е обучен от лекар или медицинска сестра, да Ви поставя инжекциите.</w:t>
      </w:r>
    </w:p>
    <w:p w14:paraId="109AE988" w14:textId="77777777" w:rsidR="009B3384" w:rsidRDefault="009B3384">
      <w:pPr>
        <w:rPr>
          <w:rFonts w:eastAsia="Calibri"/>
          <w:bCs/>
          <w:szCs w:val="22"/>
        </w:rPr>
      </w:pPr>
    </w:p>
    <w:p w14:paraId="109AE989" w14:textId="77777777" w:rsidR="009B3384" w:rsidRDefault="00800862">
      <w:pPr>
        <w:rPr>
          <w:rFonts w:eastAsia="Calibri"/>
          <w:bCs/>
          <w:szCs w:val="22"/>
        </w:rPr>
      </w:pPr>
      <w:r>
        <w:rPr>
          <w:rFonts w:eastAsia="Calibri"/>
          <w:bCs/>
          <w:szCs w:val="22"/>
        </w:rPr>
        <w:t>За да се намали рискът от случайно убождане с игла, всяка предварително напълнена писалка има предпазител за иглата, който автоматично покрива иглата и се заключва, след като сте поставили инжекцията и инжекторът е вдигнат. Не повдигайте предварително напълнената писалка по време на инжектиране, докато инжекцията не приключи.</w:t>
      </w:r>
    </w:p>
    <w:p w14:paraId="109AE98A" w14:textId="77777777" w:rsidR="009B3384" w:rsidRDefault="009B3384">
      <w:pPr>
        <w:rPr>
          <w:rFonts w:eastAsia="Calibri"/>
          <w:bCs/>
          <w:szCs w:val="22"/>
        </w:rPr>
      </w:pPr>
    </w:p>
    <w:p w14:paraId="109AE98B" w14:textId="77777777" w:rsidR="009B3384" w:rsidRDefault="00800862">
      <w:pPr>
        <w:rPr>
          <w:rFonts w:eastAsia="Calibri"/>
          <w:b/>
          <w:bCs/>
          <w:szCs w:val="22"/>
        </w:rPr>
      </w:pPr>
      <w:r>
        <w:rPr>
          <w:rFonts w:eastAsia="Calibri"/>
          <w:bCs/>
          <w:szCs w:val="22"/>
        </w:rPr>
        <w:lastRenderedPageBreak/>
        <w:t xml:space="preserve">Предпазителят на иглата в долната капачка на предварително напълнената писалка съдържа латекс. </w:t>
      </w:r>
      <w:r>
        <w:rPr>
          <w:rFonts w:eastAsia="Calibri"/>
          <w:b/>
          <w:bCs/>
          <w:szCs w:val="22"/>
        </w:rPr>
        <w:t>Не пипайте предпазителя на иглата, ако сте алергични към латекс.</w:t>
      </w:r>
    </w:p>
    <w:p w14:paraId="109AE98C" w14:textId="77777777" w:rsidR="009B3384" w:rsidRDefault="00800862">
      <w:r>
        <w:rPr>
          <w:rFonts w:eastAsia="Calibri"/>
          <w:bCs/>
          <w:szCs w:val="22"/>
        </w:rPr>
        <w:t>Моля, прочетете внимателно и листовката преди да започнете инжектирането и обсъдете всички въпроси, които може да имате, с Вашия лекар или медицинска сестра.</w:t>
      </w:r>
    </w:p>
    <w:p w14:paraId="109AE98D" w14:textId="77777777" w:rsidR="009B3384" w:rsidRDefault="009B3384">
      <w:pPr>
        <w:widowControl w:val="0"/>
        <w:tabs>
          <w:tab w:val="clear" w:pos="567"/>
          <w:tab w:val="left" w:pos="216"/>
          <w:tab w:val="left" w:pos="360"/>
          <w:tab w:val="left" w:pos="540"/>
        </w:tabs>
        <w:rPr>
          <w:rFonts w:eastAsia="Calibri"/>
          <w:szCs w:val="22"/>
        </w:rPr>
      </w:pPr>
    </w:p>
    <w:p w14:paraId="109AE98E" w14:textId="77777777" w:rsidR="009B3384" w:rsidRDefault="00800862">
      <w:pPr>
        <w:keepNext/>
        <w:tabs>
          <w:tab w:val="clear" w:pos="567"/>
        </w:tabs>
      </w:pPr>
      <w:r>
        <w:rPr>
          <w:noProof/>
          <w:lang w:eastAsia="bg-BG"/>
        </w:rPr>
        <w:drawing>
          <wp:inline distT="0" distB="0" distL="0" distR="0" wp14:anchorId="109AEA5F" wp14:editId="109AEA60">
            <wp:extent cx="476250" cy="4476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l="-194" t="-208" r="-194" b="-208"/>
                    <a:stretch>
                      <a:fillRect/>
                    </a:stretch>
                  </pic:blipFill>
                  <pic:spPr bwMode="auto">
                    <a:xfrm>
                      <a:off x="0" y="0"/>
                      <a:ext cx="476250" cy="447675"/>
                    </a:xfrm>
                    <a:prstGeom prst="rect">
                      <a:avLst/>
                    </a:prstGeom>
                    <a:solidFill>
                      <a:srgbClr val="FFFFFF"/>
                    </a:solidFill>
                    <a:ln>
                      <a:noFill/>
                    </a:ln>
                  </pic:spPr>
                </pic:pic>
              </a:graphicData>
            </a:graphic>
          </wp:inline>
        </w:drawing>
      </w:r>
      <w:r>
        <w:rPr>
          <w:rFonts w:eastAsia="Calibri"/>
          <w:b/>
          <w:szCs w:val="22"/>
        </w:rPr>
        <w:t>Информация за съхранение</w:t>
      </w:r>
    </w:p>
    <w:p w14:paraId="109AE98F" w14:textId="77777777" w:rsidR="009B3384" w:rsidRDefault="00800862">
      <w:pPr>
        <w:widowControl w:val="0"/>
        <w:tabs>
          <w:tab w:val="clear" w:pos="567"/>
          <w:tab w:val="left" w:pos="216"/>
          <w:tab w:val="left" w:pos="360"/>
          <w:tab w:val="left" w:pos="540"/>
        </w:tabs>
        <w:rPr>
          <w:rFonts w:eastAsia="Calibri"/>
          <w:szCs w:val="22"/>
        </w:rPr>
      </w:pPr>
      <w:r>
        <w:rPr>
          <w:rFonts w:eastAsia="Calibri"/>
          <w:szCs w:val="22"/>
        </w:rPr>
        <w:t xml:space="preserve">Съхранявайте в хладилник на температура от 2° до 8°С. Ако е необходимо, съхранявайте на стайна температура до 30°С за период до 30 дни в оригиналната картонена опаковка. </w:t>
      </w:r>
      <w:r>
        <w:rPr>
          <w:rFonts w:eastAsia="Calibri"/>
          <w:b/>
          <w:bCs/>
          <w:szCs w:val="22"/>
        </w:rPr>
        <w:t>Не връщайте в хладилника</w:t>
      </w:r>
      <w:r>
        <w:rPr>
          <w:rFonts w:eastAsia="Calibri"/>
          <w:szCs w:val="22"/>
        </w:rPr>
        <w:t>, след като сте съхранявали на стайна температура.</w:t>
      </w:r>
    </w:p>
    <w:p w14:paraId="109AE990" w14:textId="77777777" w:rsidR="009B3384" w:rsidRDefault="009B3384">
      <w:pPr>
        <w:widowControl w:val="0"/>
        <w:tabs>
          <w:tab w:val="clear" w:pos="567"/>
          <w:tab w:val="left" w:pos="216"/>
          <w:tab w:val="left" w:pos="360"/>
          <w:tab w:val="left" w:pos="540"/>
        </w:tabs>
        <w:rPr>
          <w:rFonts w:eastAsia="Calibri"/>
          <w:szCs w:val="22"/>
        </w:rPr>
      </w:pPr>
    </w:p>
    <w:p w14:paraId="109AE991" w14:textId="77777777" w:rsidR="009B3384" w:rsidRDefault="00800862">
      <w:pPr>
        <w:widowControl w:val="0"/>
        <w:tabs>
          <w:tab w:val="clear" w:pos="567"/>
          <w:tab w:val="left" w:pos="216"/>
          <w:tab w:val="left" w:pos="360"/>
          <w:tab w:val="left" w:pos="540"/>
        </w:tabs>
        <w:rPr>
          <w:rFonts w:eastAsia="Calibri"/>
          <w:szCs w:val="22"/>
        </w:rPr>
      </w:pPr>
      <w:r>
        <w:rPr>
          <w:rFonts w:eastAsia="Calibri"/>
          <w:b/>
          <w:bCs/>
          <w:szCs w:val="22"/>
        </w:rPr>
        <w:t>Не замразявайте</w:t>
      </w:r>
      <w:r>
        <w:rPr>
          <w:rFonts w:eastAsia="Calibri"/>
          <w:szCs w:val="22"/>
        </w:rPr>
        <w:t xml:space="preserve"> предварително напълнената писалка.</w:t>
      </w:r>
    </w:p>
    <w:p w14:paraId="109AE992" w14:textId="77777777" w:rsidR="009B3384" w:rsidRDefault="009B3384">
      <w:pPr>
        <w:widowControl w:val="0"/>
        <w:tabs>
          <w:tab w:val="clear" w:pos="567"/>
          <w:tab w:val="left" w:pos="216"/>
          <w:tab w:val="left" w:pos="360"/>
          <w:tab w:val="left" w:pos="540"/>
        </w:tabs>
        <w:rPr>
          <w:rFonts w:eastAsia="Calibri"/>
          <w:szCs w:val="22"/>
        </w:rPr>
      </w:pPr>
    </w:p>
    <w:p w14:paraId="109AE993" w14:textId="77777777" w:rsidR="009B3384" w:rsidRDefault="00800862">
      <w:pPr>
        <w:widowControl w:val="0"/>
        <w:tabs>
          <w:tab w:val="clear" w:pos="567"/>
          <w:tab w:val="left" w:pos="216"/>
          <w:tab w:val="left" w:pos="360"/>
          <w:tab w:val="left" w:pos="540"/>
        </w:tabs>
        <w:rPr>
          <w:rFonts w:eastAsia="Calibri"/>
          <w:b/>
          <w:bCs/>
          <w:szCs w:val="22"/>
        </w:rPr>
      </w:pPr>
      <w:r>
        <w:rPr>
          <w:rFonts w:eastAsia="Calibri"/>
          <w:b/>
          <w:bCs/>
          <w:szCs w:val="22"/>
        </w:rPr>
        <w:t>Съхранявайте предварително напълнената писалка и всички лекарства на място, недостъпно за деца.</w:t>
      </w:r>
    </w:p>
    <w:p w14:paraId="109AE994" w14:textId="77777777" w:rsidR="009B3384" w:rsidRDefault="009B3384">
      <w:pPr>
        <w:widowControl w:val="0"/>
        <w:tabs>
          <w:tab w:val="clear" w:pos="567"/>
          <w:tab w:val="left" w:pos="216"/>
          <w:tab w:val="left" w:pos="360"/>
          <w:tab w:val="left" w:pos="540"/>
        </w:tabs>
        <w:rPr>
          <w:rFonts w:eastAsia="Calibri"/>
          <w:b/>
          <w:bCs/>
          <w:szCs w:val="22"/>
        </w:rPr>
      </w:pPr>
    </w:p>
    <w:p w14:paraId="109AE995" w14:textId="77777777" w:rsidR="009B3384" w:rsidRDefault="00800862">
      <w:pPr>
        <w:widowControl w:val="0"/>
        <w:tabs>
          <w:tab w:val="clear" w:pos="567"/>
          <w:tab w:val="left" w:pos="216"/>
          <w:tab w:val="left" w:pos="360"/>
          <w:tab w:val="left" w:pos="540"/>
        </w:tabs>
        <w:rPr>
          <w:rFonts w:eastAsia="Calibri"/>
          <w:szCs w:val="22"/>
        </w:rPr>
      </w:pPr>
      <w:r>
        <w:rPr>
          <w:rFonts w:eastAsia="Calibri"/>
          <w:b/>
          <w:bCs/>
          <w:szCs w:val="22"/>
        </w:rPr>
        <w:t>Не разклащайте</w:t>
      </w:r>
      <w:r>
        <w:rPr>
          <w:rFonts w:eastAsia="Calibri"/>
          <w:szCs w:val="22"/>
        </w:rPr>
        <w:t xml:space="preserve"> предварително напълнената писалка. Разклащането може да повреди лекарството Stelara. Ако предварително напълнената писалка е била разклатена, не я използвайте. Вземете нова предварително напълнена писалка.</w:t>
      </w:r>
    </w:p>
    <w:p w14:paraId="109AE996" w14:textId="77777777" w:rsidR="009B3384" w:rsidRDefault="009B3384">
      <w:pPr>
        <w:widowControl w:val="0"/>
        <w:tabs>
          <w:tab w:val="clear" w:pos="567"/>
          <w:tab w:val="left" w:pos="216"/>
          <w:tab w:val="left" w:pos="360"/>
          <w:tab w:val="left" w:pos="540"/>
        </w:tabs>
        <w:rPr>
          <w:rFonts w:eastAsia="Calibri"/>
          <w:szCs w:val="22"/>
        </w:rPr>
      </w:pPr>
    </w:p>
    <w:p w14:paraId="109AE997" w14:textId="77777777" w:rsidR="009B3384" w:rsidRDefault="00800862">
      <w:pPr>
        <w:widowControl w:val="0"/>
        <w:tabs>
          <w:tab w:val="clear" w:pos="567"/>
          <w:tab w:val="left" w:pos="216"/>
          <w:tab w:val="left" w:pos="360"/>
          <w:tab w:val="left" w:pos="540"/>
        </w:tabs>
      </w:pPr>
      <w:r>
        <w:rPr>
          <w:rFonts w:eastAsia="Calibri"/>
          <w:b/>
          <w:bCs/>
          <w:szCs w:val="22"/>
        </w:rPr>
        <w:t>Съхранявайте предварително напълнената писалка в оригиналната картонена опаковка, за да я предпазите от светлина и физическо увреждане.</w:t>
      </w:r>
    </w:p>
    <w:p w14:paraId="109AE998" w14:textId="77777777" w:rsidR="009B3384" w:rsidRDefault="009B3384">
      <w:pPr>
        <w:rPr>
          <w:rFonts w:eastAsia="Calibri"/>
          <w:szCs w:val="22"/>
        </w:rPr>
      </w:pPr>
    </w:p>
    <w:p w14:paraId="109AE999" w14:textId="77777777" w:rsidR="009B3384" w:rsidRDefault="00800862">
      <w:pPr>
        <w:keepNext/>
        <w:widowControl w:val="0"/>
        <w:tabs>
          <w:tab w:val="clear" w:pos="567"/>
          <w:tab w:val="left" w:pos="216"/>
          <w:tab w:val="left" w:pos="360"/>
          <w:tab w:val="left" w:pos="540"/>
        </w:tabs>
      </w:pPr>
      <w:r>
        <w:rPr>
          <w:noProof/>
          <w:lang w:eastAsia="bg-BG"/>
        </w:rPr>
        <w:drawing>
          <wp:inline distT="0" distB="0" distL="0" distR="0" wp14:anchorId="109AEA61" wp14:editId="109AEA62">
            <wp:extent cx="438150" cy="457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l="-224" t="-214" r="-224" b="-214"/>
                    <a:stretch>
                      <a:fillRect/>
                    </a:stretch>
                  </pic:blipFill>
                  <pic:spPr bwMode="auto">
                    <a:xfrm>
                      <a:off x="0" y="0"/>
                      <a:ext cx="438150" cy="457200"/>
                    </a:xfrm>
                    <a:prstGeom prst="rect">
                      <a:avLst/>
                    </a:prstGeom>
                    <a:solidFill>
                      <a:srgbClr val="FFFFFF"/>
                    </a:solidFill>
                    <a:ln>
                      <a:noFill/>
                    </a:ln>
                  </pic:spPr>
                </pic:pic>
              </a:graphicData>
            </a:graphic>
          </wp:inline>
        </w:drawing>
      </w:r>
      <w:r>
        <w:rPr>
          <w:b/>
          <w:bCs/>
        </w:rPr>
        <w:t>Имате нужда от помощ</w:t>
      </w:r>
      <w:r>
        <w:rPr>
          <w:rFonts w:eastAsia="Calibri"/>
          <w:b/>
          <w:szCs w:val="22"/>
        </w:rPr>
        <w:t>?</w:t>
      </w:r>
    </w:p>
    <w:p w14:paraId="109AE99A" w14:textId="77777777" w:rsidR="009B3384" w:rsidRDefault="00800862">
      <w:pPr>
        <w:widowControl w:val="0"/>
        <w:tabs>
          <w:tab w:val="clear" w:pos="567"/>
          <w:tab w:val="left" w:pos="216"/>
          <w:tab w:val="left" w:pos="360"/>
          <w:tab w:val="left" w:pos="540"/>
        </w:tabs>
      </w:pPr>
      <w:r>
        <w:rPr>
          <w:rFonts w:eastAsia="Calibri"/>
          <w:szCs w:val="22"/>
        </w:rPr>
        <w:t>Обадете се на Вашия лекар, за да обсъдите всички въпроси, които може да имате. За допълнителна помощ или за да споделите мнението си, вижте листовката за информация за контакт с локалния представител.</w:t>
      </w:r>
    </w:p>
    <w:p w14:paraId="109AE99B" w14:textId="77777777" w:rsidR="009B3384" w:rsidRDefault="00800862">
      <w:pPr>
        <w:tabs>
          <w:tab w:val="clear" w:pos="567"/>
        </w:tabs>
        <w:rPr>
          <w:rFonts w:eastAsia="Calibri"/>
          <w:szCs w:val="22"/>
          <w:highlight w:val="yellow"/>
        </w:rPr>
      </w:pPr>
      <w:r>
        <w:rPr>
          <w:rFonts w:eastAsia="Calibri"/>
          <w:szCs w:val="22"/>
          <w:highlight w:val="yellow"/>
        </w:rPr>
        <w:br w:type="page"/>
      </w:r>
    </w:p>
    <w:p w14:paraId="109AE99C" w14:textId="77777777" w:rsidR="009B3384" w:rsidRDefault="009B3384">
      <w:pPr>
        <w:pageBreakBefore/>
        <w:rPr>
          <w:rFonts w:eastAsia="Calibri"/>
          <w:szCs w:val="22"/>
          <w:highlight w:val="yellow"/>
        </w:rPr>
      </w:pPr>
    </w:p>
    <w:p w14:paraId="109AE99D" w14:textId="43665E79" w:rsidR="009B3384" w:rsidRDefault="00800862">
      <w:pPr>
        <w:rPr>
          <w:rFonts w:eastAsia="Calibri"/>
          <w:szCs w:val="22"/>
          <w:highlight w:val="yellow"/>
          <w:lang w:val="en-US"/>
        </w:rPr>
      </w:pPr>
      <w:r>
        <w:rPr>
          <w:noProof/>
        </w:rPr>
        <w:t xml:space="preserve"> </w:t>
      </w:r>
      <w:del w:id="1437" w:author="RABG09" w:date="2026-06-25T10:55:00Z">
        <w:r w:rsidDel="001676CB">
          <w:rPr>
            <w:noProof/>
            <w:lang w:eastAsia="bg-BG"/>
          </w:rPr>
          <w:drawing>
            <wp:inline distT="0" distB="0" distL="0" distR="0" wp14:anchorId="109AEA65" wp14:editId="10CD6B87">
              <wp:extent cx="2978303" cy="3854648"/>
              <wp:effectExtent l="0" t="0" r="0" b="0"/>
              <wp:docPr id="2004394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394456" name=""/>
                      <pic:cNvPicPr/>
                    </pic:nvPicPr>
                    <pic:blipFill>
                      <a:blip r:embed="rId33"/>
                      <a:stretch>
                        <a:fillRect/>
                      </a:stretch>
                    </pic:blipFill>
                    <pic:spPr>
                      <a:xfrm>
                        <a:off x="0" y="0"/>
                        <a:ext cx="2978303" cy="3854648"/>
                      </a:xfrm>
                      <a:prstGeom prst="rect">
                        <a:avLst/>
                      </a:prstGeom>
                    </pic:spPr>
                  </pic:pic>
                </a:graphicData>
              </a:graphic>
            </wp:inline>
          </w:drawing>
        </w:r>
      </w:del>
      <w:ins w:id="1438" w:author="RABG09" w:date="2026-06-25T10:55:00Z">
        <w:r w:rsidR="001676CB" w:rsidRPr="001676CB">
          <w:rPr>
            <w:noProof/>
          </w:rPr>
          <w:t xml:space="preserve"> </w:t>
        </w:r>
        <w:r w:rsidR="001676CB" w:rsidRPr="001676CB">
          <w:rPr>
            <w:noProof/>
            <w:lang w:eastAsia="bg-BG"/>
          </w:rPr>
          <w:drawing>
            <wp:inline distT="0" distB="0" distL="0" distR="0" wp14:anchorId="3884904E" wp14:editId="2933BE49">
              <wp:extent cx="3148717" cy="4209925"/>
              <wp:effectExtent l="0" t="0" r="0" b="635"/>
              <wp:docPr id="56171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13083" name=""/>
                      <pic:cNvPicPr/>
                    </pic:nvPicPr>
                    <pic:blipFill>
                      <a:blip r:embed="rId34"/>
                      <a:stretch>
                        <a:fillRect/>
                      </a:stretch>
                    </pic:blipFill>
                    <pic:spPr>
                      <a:xfrm>
                        <a:off x="0" y="0"/>
                        <a:ext cx="3153212" cy="4215934"/>
                      </a:xfrm>
                      <a:prstGeom prst="rect">
                        <a:avLst/>
                      </a:prstGeom>
                    </pic:spPr>
                  </pic:pic>
                </a:graphicData>
              </a:graphic>
            </wp:inline>
          </w:drawing>
        </w:r>
      </w:ins>
    </w:p>
    <w:p w14:paraId="109AE99E" w14:textId="77777777" w:rsidR="009B3384" w:rsidRDefault="009B3384">
      <w:pPr>
        <w:rPr>
          <w:rFonts w:eastAsia="Calibri"/>
          <w:szCs w:val="22"/>
          <w:highlight w:val="yellow"/>
          <w:lang w:val="en-US"/>
        </w:rPr>
      </w:pPr>
    </w:p>
    <w:p w14:paraId="109AE99F" w14:textId="77777777" w:rsidR="009B3384" w:rsidRPr="00BC6A43" w:rsidRDefault="00800862" w:rsidP="00BC6A43">
      <w:pPr>
        <w:keepNext/>
        <w:suppressAutoHyphens w:val="0"/>
        <w:rPr>
          <w:b/>
          <w:noProof/>
          <w:szCs w:val="22"/>
          <w:lang w:val="en-GB"/>
        </w:rPr>
      </w:pPr>
      <w:r w:rsidRPr="00BC6A43">
        <w:rPr>
          <w:b/>
          <w:noProof/>
          <w:szCs w:val="22"/>
          <w:lang w:val="en-GB"/>
        </w:rPr>
        <w:t>1. Подготовка на Stelara за инжектиране</w:t>
      </w:r>
    </w:p>
    <w:p w14:paraId="109AE9A0" w14:textId="77777777" w:rsidR="009B3384" w:rsidRDefault="009B3384">
      <w:pPr>
        <w:tabs>
          <w:tab w:val="clear" w:pos="567"/>
        </w:tabs>
        <w:rPr>
          <w:rFonts w:eastAsia="Calibri"/>
          <w:szCs w:val="22"/>
          <w:highlight w:val="yellow"/>
          <w:lang w:val="en-US"/>
        </w:rPr>
      </w:pPr>
    </w:p>
    <w:p w14:paraId="109AE9A1" w14:textId="77777777" w:rsidR="009B3384" w:rsidRDefault="00800862">
      <w:pPr>
        <w:keepNext/>
        <w:keepLines/>
        <w:tabs>
          <w:tab w:val="left" w:pos="1080"/>
        </w:tabs>
        <w:rPr>
          <w:szCs w:val="22"/>
          <w:highlight w:val="yellow"/>
        </w:rPr>
      </w:pPr>
      <w:r>
        <w:rPr>
          <w:noProof/>
          <w:lang w:eastAsia="bg-BG"/>
        </w:rPr>
        <w:lastRenderedPageBreak/>
        <w:drawing>
          <wp:inline distT="0" distB="0" distL="0" distR="0" wp14:anchorId="109AEA67" wp14:editId="109AEA68">
            <wp:extent cx="2110251" cy="1876425"/>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18981" cy="1884187"/>
                    </a:xfrm>
                    <a:prstGeom prst="rect">
                      <a:avLst/>
                    </a:prstGeom>
                  </pic:spPr>
                </pic:pic>
              </a:graphicData>
            </a:graphic>
          </wp:inline>
        </w:drawing>
      </w:r>
    </w:p>
    <w:p w14:paraId="109AE9A2" w14:textId="77777777" w:rsidR="009B3384" w:rsidRDefault="009B3384">
      <w:pPr>
        <w:rPr>
          <w:szCs w:val="22"/>
          <w:highlight w:val="yellow"/>
        </w:rPr>
      </w:pPr>
    </w:p>
    <w:p w14:paraId="109AE9A3" w14:textId="77777777" w:rsidR="009B3384" w:rsidRDefault="00800862">
      <w:pPr>
        <w:keepNext/>
        <w:tabs>
          <w:tab w:val="clear" w:pos="567"/>
        </w:tabs>
      </w:pPr>
      <w:r>
        <w:rPr>
          <w:rFonts w:eastAsia="Calibri"/>
          <w:b/>
          <w:bCs/>
          <w:szCs w:val="22"/>
        </w:rPr>
        <w:t>Вземете картонената(ите) опаковка(и)</w:t>
      </w:r>
    </w:p>
    <w:p w14:paraId="109AE9A4" w14:textId="77777777" w:rsidR="009B3384" w:rsidRDefault="00800862">
      <w:pPr>
        <w:widowControl w:val="0"/>
        <w:tabs>
          <w:tab w:val="clear" w:pos="567"/>
          <w:tab w:val="left" w:pos="216"/>
          <w:tab w:val="left" w:pos="360"/>
          <w:tab w:val="left" w:pos="540"/>
        </w:tabs>
        <w:rPr>
          <w:szCs w:val="22"/>
        </w:rPr>
      </w:pPr>
      <w:r>
        <w:rPr>
          <w:szCs w:val="22"/>
        </w:rPr>
        <w:t>Ако е(са) съхранявана(и) в хладилник, извадете картонената(ите) опаковка(и) с предварително напълнената писалка от хладилника и я(/ги) поставете на равна повърхност.</w:t>
      </w:r>
    </w:p>
    <w:p w14:paraId="109AE9A5" w14:textId="77777777" w:rsidR="009B3384" w:rsidRDefault="00800862">
      <w:pPr>
        <w:widowControl w:val="0"/>
        <w:tabs>
          <w:tab w:val="clear" w:pos="567"/>
          <w:tab w:val="left" w:pos="216"/>
          <w:tab w:val="left" w:pos="360"/>
          <w:tab w:val="left" w:pos="540"/>
        </w:tabs>
        <w:rPr>
          <w:szCs w:val="22"/>
        </w:rPr>
      </w:pPr>
      <w:r>
        <w:rPr>
          <w:szCs w:val="22"/>
        </w:rPr>
        <w:t xml:space="preserve">Оставете </w:t>
      </w:r>
      <w:r>
        <w:rPr>
          <w:b/>
          <w:bCs/>
          <w:szCs w:val="22"/>
        </w:rPr>
        <w:t>на стайна температура за най-малко 30 минути</w:t>
      </w:r>
      <w:r>
        <w:rPr>
          <w:szCs w:val="22"/>
        </w:rPr>
        <w:t xml:space="preserve"> преди употреба.</w:t>
      </w:r>
    </w:p>
    <w:p w14:paraId="109AE9A6" w14:textId="77777777" w:rsidR="009B3384" w:rsidRDefault="00800862">
      <w:pPr>
        <w:widowControl w:val="0"/>
        <w:tabs>
          <w:tab w:val="clear" w:pos="567"/>
          <w:tab w:val="left" w:pos="216"/>
          <w:tab w:val="left" w:pos="360"/>
          <w:tab w:val="left" w:pos="540"/>
        </w:tabs>
        <w:rPr>
          <w:szCs w:val="22"/>
        </w:rPr>
      </w:pPr>
      <w:r>
        <w:rPr>
          <w:b/>
          <w:bCs/>
          <w:szCs w:val="22"/>
        </w:rPr>
        <w:t>Не</w:t>
      </w:r>
      <w:r>
        <w:rPr>
          <w:szCs w:val="22"/>
        </w:rPr>
        <w:t xml:space="preserve"> затопляйте по никакъв друг начин.</w:t>
      </w:r>
    </w:p>
    <w:p w14:paraId="109AE9A7" w14:textId="77777777" w:rsidR="009B3384" w:rsidRDefault="009B3384">
      <w:pPr>
        <w:widowControl w:val="0"/>
        <w:tabs>
          <w:tab w:val="clear" w:pos="567"/>
          <w:tab w:val="left" w:pos="216"/>
          <w:tab w:val="left" w:pos="360"/>
          <w:tab w:val="left" w:pos="540"/>
        </w:tabs>
      </w:pPr>
    </w:p>
    <w:p w14:paraId="109AE9A8" w14:textId="77777777" w:rsidR="009B3384" w:rsidRDefault="00800862" w:rsidP="00BC6A43">
      <w:pPr>
        <w:pBdr>
          <w:top w:val="single" w:sz="12" w:space="1" w:color="000000"/>
          <w:left w:val="single" w:sz="12" w:space="4" w:color="000000"/>
          <w:bottom w:val="single" w:sz="12" w:space="1" w:color="000000"/>
          <w:right w:val="single" w:sz="12" w:space="4" w:color="000000"/>
        </w:pBdr>
        <w:rPr>
          <w:szCs w:val="22"/>
        </w:rPr>
      </w:pPr>
      <w:r>
        <w:rPr>
          <w:szCs w:val="22"/>
        </w:rPr>
        <w:t>Ако Вашата доза е 45 mg, ще получите една предварително напълнена писалка от 45 mg.</w:t>
      </w:r>
    </w:p>
    <w:p w14:paraId="109AE9A9" w14:textId="12231FE3" w:rsidR="009B3384" w:rsidRPr="00BB130F" w:rsidRDefault="00800862" w:rsidP="00BC6A43">
      <w:pPr>
        <w:pBdr>
          <w:top w:val="single" w:sz="12" w:space="1" w:color="000000"/>
          <w:left w:val="single" w:sz="12" w:space="4" w:color="000000"/>
          <w:bottom w:val="single" w:sz="12" w:space="1" w:color="000000"/>
          <w:right w:val="single" w:sz="12" w:space="4" w:color="000000"/>
        </w:pBdr>
        <w:rPr>
          <w:b/>
          <w:bCs/>
          <w:szCs w:val="22"/>
        </w:rPr>
      </w:pPr>
      <w:r>
        <w:rPr>
          <w:szCs w:val="22"/>
        </w:rPr>
        <w:t>Ако дозата Ви е 90 mg, ще получите една от 90 mg или две от 45 mg предварително напълнени писалки. Ако получите две предварително напълнени писалки от 45 mg, следвайте Стъпки 1-3 и за двете инжекции.</w:t>
      </w:r>
    </w:p>
    <w:p w14:paraId="109AE9AA" w14:textId="77777777" w:rsidR="009B3384" w:rsidRDefault="00800862" w:rsidP="00BC6A43">
      <w:pPr>
        <w:pBdr>
          <w:top w:val="single" w:sz="12" w:space="1" w:color="000000"/>
          <w:left w:val="single" w:sz="12" w:space="4" w:color="000000"/>
          <w:bottom w:val="single" w:sz="12" w:space="1" w:color="000000"/>
          <w:right w:val="single" w:sz="12" w:space="4" w:color="000000"/>
        </w:pBdr>
        <w:rPr>
          <w:b/>
          <w:bCs/>
          <w:szCs w:val="22"/>
        </w:rPr>
      </w:pPr>
      <w:r>
        <w:rPr>
          <w:b/>
          <w:bCs/>
          <w:szCs w:val="22"/>
        </w:rPr>
        <w:t>Изберете различно място за инжектиране на втората инжекция.</w:t>
      </w:r>
    </w:p>
    <w:p w14:paraId="109AE9AB" w14:textId="77777777" w:rsidR="009B3384" w:rsidRDefault="00800862">
      <w:pPr>
        <w:widowControl w:val="0"/>
        <w:tabs>
          <w:tab w:val="clear" w:pos="567"/>
          <w:tab w:val="left" w:pos="216"/>
          <w:tab w:val="left" w:pos="360"/>
          <w:tab w:val="left" w:pos="540"/>
        </w:tabs>
        <w:rPr>
          <w:rFonts w:eastAsia="Calibri"/>
          <w:szCs w:val="22"/>
          <w:highlight w:val="yellow"/>
        </w:rPr>
      </w:pPr>
      <w:r>
        <w:rPr>
          <w:noProof/>
          <w:lang w:eastAsia="bg-BG"/>
        </w:rPr>
        <w:drawing>
          <wp:inline distT="0" distB="0" distL="0" distR="0" wp14:anchorId="109AEA69" wp14:editId="109AEA6A">
            <wp:extent cx="2105025" cy="18485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14418" cy="1856817"/>
                    </a:xfrm>
                    <a:prstGeom prst="rect">
                      <a:avLst/>
                    </a:prstGeom>
                  </pic:spPr>
                </pic:pic>
              </a:graphicData>
            </a:graphic>
          </wp:inline>
        </w:drawing>
      </w:r>
    </w:p>
    <w:p w14:paraId="109AE9AC" w14:textId="77777777" w:rsidR="009B3384" w:rsidRDefault="009B3384">
      <w:pPr>
        <w:rPr>
          <w:rFonts w:eastAsia="Calibri"/>
          <w:szCs w:val="22"/>
          <w:highlight w:val="yellow"/>
        </w:rPr>
      </w:pPr>
    </w:p>
    <w:p w14:paraId="109AE9AD" w14:textId="77777777" w:rsidR="009B3384" w:rsidRDefault="00800862">
      <w:pPr>
        <w:rPr>
          <w:rFonts w:eastAsia="Calibri"/>
          <w:b/>
          <w:bCs/>
          <w:szCs w:val="22"/>
        </w:rPr>
      </w:pPr>
      <w:r>
        <w:rPr>
          <w:rFonts w:eastAsia="Calibri"/>
          <w:b/>
          <w:bCs/>
          <w:szCs w:val="22"/>
        </w:rPr>
        <w:t>Проверете датата на изтичане на срока на годност („Годен до:“) и запечатването на картонената(ите) опаковка(и)</w:t>
      </w:r>
    </w:p>
    <w:p w14:paraId="109AE9AE" w14:textId="77777777" w:rsidR="009B3384" w:rsidRDefault="00800862">
      <w:pPr>
        <w:rPr>
          <w:rFonts w:eastAsia="Calibri"/>
          <w:szCs w:val="22"/>
        </w:rPr>
      </w:pPr>
      <w:r>
        <w:rPr>
          <w:rFonts w:eastAsia="Calibri"/>
          <w:b/>
          <w:bCs/>
          <w:szCs w:val="22"/>
        </w:rPr>
        <w:t>Не</w:t>
      </w:r>
      <w:r>
        <w:rPr>
          <w:rFonts w:eastAsia="Calibri"/>
          <w:szCs w:val="22"/>
        </w:rPr>
        <w:t xml:space="preserve"> използвайте предварително напълнената писалка, ако запечатването на картонената опаковка е нарушено или ако срокът на годност е изтекъл.</w:t>
      </w:r>
    </w:p>
    <w:p w14:paraId="109AE9AF" w14:textId="77777777" w:rsidR="009B3384" w:rsidRDefault="00800862">
      <w:r>
        <w:rPr>
          <w:rFonts w:eastAsia="Calibri"/>
          <w:b/>
          <w:bCs/>
          <w:szCs w:val="22"/>
        </w:rPr>
        <w:t>Не</w:t>
      </w:r>
      <w:r>
        <w:rPr>
          <w:rFonts w:eastAsia="Calibri"/>
          <w:szCs w:val="22"/>
        </w:rPr>
        <w:t xml:space="preserve"> използвайте предварително напълнената писалка, ако е била съхранявана на стайна температура за повече от 30 дни или ако е била съхранявана на температура над 30°С. Обадете се на Вашия лекар или фармацевт за нова предварително напълнена писалка.</w:t>
      </w:r>
    </w:p>
    <w:p w14:paraId="109AE9B0" w14:textId="77777777" w:rsidR="009B3384" w:rsidRDefault="009B3384">
      <w:pPr>
        <w:rPr>
          <w:rFonts w:eastAsia="Calibri"/>
          <w:szCs w:val="22"/>
        </w:rPr>
      </w:pPr>
    </w:p>
    <w:p w14:paraId="109AE9B1" w14:textId="77777777" w:rsidR="009B3384" w:rsidRDefault="00800862">
      <w:pPr>
        <w:widowControl w:val="0"/>
        <w:tabs>
          <w:tab w:val="clear" w:pos="567"/>
          <w:tab w:val="left" w:pos="216"/>
          <w:tab w:val="left" w:pos="360"/>
          <w:tab w:val="left" w:pos="540"/>
        </w:tabs>
        <w:rPr>
          <w:rFonts w:eastAsia="Calibri"/>
          <w:szCs w:val="22"/>
          <w:highlight w:val="yellow"/>
          <w:lang w:val="en-US"/>
        </w:rPr>
      </w:pPr>
      <w:r>
        <w:rPr>
          <w:noProof/>
          <w:lang w:eastAsia="bg-BG"/>
        </w:rPr>
        <w:drawing>
          <wp:inline distT="0" distB="0" distL="0" distR="0" wp14:anchorId="109AEA6B" wp14:editId="109AEA6C">
            <wp:extent cx="1866900" cy="18764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l="-8" t="-9" r="-8" b="-9"/>
                    <a:stretch>
                      <a:fillRect/>
                    </a:stretch>
                  </pic:blipFill>
                  <pic:spPr bwMode="auto">
                    <a:xfrm>
                      <a:off x="0" y="0"/>
                      <a:ext cx="1866900" cy="1876425"/>
                    </a:xfrm>
                    <a:prstGeom prst="rect">
                      <a:avLst/>
                    </a:prstGeom>
                    <a:solidFill>
                      <a:srgbClr val="FFFFFF"/>
                    </a:solidFill>
                    <a:ln>
                      <a:noFill/>
                    </a:ln>
                  </pic:spPr>
                </pic:pic>
              </a:graphicData>
            </a:graphic>
          </wp:inline>
        </w:drawing>
      </w:r>
    </w:p>
    <w:p w14:paraId="109AE9B2" w14:textId="77777777" w:rsidR="009B3384" w:rsidRDefault="009B3384">
      <w:pPr>
        <w:rPr>
          <w:rFonts w:eastAsia="Calibri"/>
          <w:szCs w:val="22"/>
          <w:highlight w:val="yellow"/>
        </w:rPr>
      </w:pPr>
    </w:p>
    <w:p w14:paraId="109AE9B3" w14:textId="77777777" w:rsidR="009B3384" w:rsidRDefault="00800862">
      <w:pPr>
        <w:rPr>
          <w:rFonts w:eastAsia="Calibri"/>
          <w:b/>
          <w:bCs/>
          <w:szCs w:val="22"/>
        </w:rPr>
      </w:pPr>
      <w:r>
        <w:rPr>
          <w:rFonts w:eastAsia="Calibri"/>
          <w:b/>
          <w:bCs/>
          <w:szCs w:val="22"/>
        </w:rPr>
        <w:lastRenderedPageBreak/>
        <w:t>Изберете място за инжектиране</w:t>
      </w:r>
    </w:p>
    <w:p w14:paraId="109AE9B4" w14:textId="77777777" w:rsidR="009B3384" w:rsidRDefault="00800862">
      <w:r>
        <w:rPr>
          <w:rFonts w:eastAsia="Calibri"/>
          <w:szCs w:val="22"/>
        </w:rPr>
        <w:t>Изберете един от следните участъци за инжектиране:</w:t>
      </w:r>
    </w:p>
    <w:p w14:paraId="109AE9B5" w14:textId="77777777" w:rsidR="009B3384" w:rsidRDefault="00800862">
      <w:pPr>
        <w:widowControl w:val="0"/>
        <w:numPr>
          <w:ilvl w:val="0"/>
          <w:numId w:val="30"/>
        </w:numPr>
      </w:pPr>
      <w:r>
        <w:rPr>
          <w:rFonts w:eastAsia="Calibri"/>
          <w:szCs w:val="22"/>
        </w:rPr>
        <w:t>Предната част на бедрата</w:t>
      </w:r>
    </w:p>
    <w:p w14:paraId="109AE9B6" w14:textId="77777777" w:rsidR="009B3384" w:rsidRDefault="00800862">
      <w:pPr>
        <w:widowControl w:val="0"/>
        <w:numPr>
          <w:ilvl w:val="0"/>
          <w:numId w:val="30"/>
        </w:numPr>
      </w:pPr>
      <w:r>
        <w:rPr>
          <w:rFonts w:eastAsia="Calibri"/>
          <w:szCs w:val="22"/>
        </w:rPr>
        <w:t>Долната част на корема, с изключение на 5-сантиметровата зона точно около пъпа</w:t>
      </w:r>
    </w:p>
    <w:p w14:paraId="109AE9B7" w14:textId="77777777" w:rsidR="009B3384" w:rsidRDefault="009B3384"/>
    <w:p w14:paraId="109AE9B8" w14:textId="77777777" w:rsidR="009B3384" w:rsidRDefault="00800862">
      <w:pPr>
        <w:widowControl w:val="0"/>
      </w:pPr>
      <w:r>
        <w:rPr>
          <w:rFonts w:eastAsia="Calibri"/>
          <w:szCs w:val="22"/>
        </w:rPr>
        <w:t>Ако някой друг Ви поставя инжекцията, може да използва също:</w:t>
      </w:r>
    </w:p>
    <w:p w14:paraId="109AE9B9" w14:textId="77777777" w:rsidR="009B3384" w:rsidRDefault="00800862">
      <w:pPr>
        <w:widowControl w:val="0"/>
        <w:numPr>
          <w:ilvl w:val="0"/>
          <w:numId w:val="30"/>
        </w:numPr>
      </w:pPr>
      <w:r>
        <w:rPr>
          <w:rFonts w:eastAsia="Calibri"/>
          <w:bCs/>
          <w:szCs w:val="22"/>
        </w:rPr>
        <w:t xml:space="preserve"> задната част на мишниците</w:t>
      </w:r>
    </w:p>
    <w:p w14:paraId="109AE9BA" w14:textId="77777777" w:rsidR="009B3384" w:rsidRDefault="009B3384">
      <w:pPr>
        <w:rPr>
          <w:rFonts w:eastAsia="Calibri"/>
          <w:szCs w:val="22"/>
        </w:rPr>
      </w:pPr>
    </w:p>
    <w:p w14:paraId="109AE9BB" w14:textId="77777777" w:rsidR="009B3384" w:rsidRPr="00BB130F" w:rsidRDefault="00800862">
      <w:pPr>
        <w:widowControl w:val="0"/>
        <w:tabs>
          <w:tab w:val="clear" w:pos="567"/>
          <w:tab w:val="left" w:pos="216"/>
          <w:tab w:val="left" w:pos="360"/>
          <w:tab w:val="left" w:pos="540"/>
        </w:tabs>
        <w:rPr>
          <w:rFonts w:eastAsia="Calibri"/>
          <w:szCs w:val="22"/>
        </w:rPr>
      </w:pPr>
      <w:r>
        <w:rPr>
          <w:rFonts w:eastAsia="Calibri"/>
          <w:b/>
          <w:bCs/>
          <w:szCs w:val="22"/>
        </w:rPr>
        <w:t>Не</w:t>
      </w:r>
      <w:r>
        <w:rPr>
          <w:rFonts w:eastAsia="Calibri"/>
          <w:szCs w:val="22"/>
        </w:rPr>
        <w:t xml:space="preserve"> инжектирайте в кожа, която е чувствителна, насинена, зачервена или втвърдена.</w:t>
      </w:r>
    </w:p>
    <w:p w14:paraId="109AE9BC" w14:textId="77777777" w:rsidR="009B3384" w:rsidRPr="00BB130F" w:rsidRDefault="009B3384">
      <w:pPr>
        <w:widowControl w:val="0"/>
        <w:tabs>
          <w:tab w:val="clear" w:pos="567"/>
          <w:tab w:val="left" w:pos="216"/>
          <w:tab w:val="left" w:pos="360"/>
          <w:tab w:val="left" w:pos="540"/>
        </w:tabs>
      </w:pPr>
    </w:p>
    <w:p w14:paraId="109AE9BD"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b/>
          <w:bCs/>
        </w:rPr>
      </w:pPr>
      <w:r>
        <w:rPr>
          <w:rFonts w:eastAsia="Calibri"/>
          <w:b/>
          <w:bCs/>
          <w:szCs w:val="22"/>
        </w:rPr>
        <w:t>Използвайте различно място за инжектиране при всяко инжектиране.</w:t>
      </w:r>
    </w:p>
    <w:p w14:paraId="109AE9BE" w14:textId="77777777" w:rsidR="009B3384" w:rsidRDefault="009B3384">
      <w:pPr>
        <w:keepNext/>
        <w:rPr>
          <w:rFonts w:eastAsia="Calibri"/>
          <w:szCs w:val="22"/>
        </w:rPr>
      </w:pPr>
    </w:p>
    <w:p w14:paraId="109AE9BF" w14:textId="77777777" w:rsidR="009B3384" w:rsidRDefault="00800862">
      <w:pPr>
        <w:widowControl w:val="0"/>
        <w:tabs>
          <w:tab w:val="clear" w:pos="567"/>
          <w:tab w:val="left" w:pos="216"/>
          <w:tab w:val="left" w:pos="360"/>
          <w:tab w:val="left" w:pos="540"/>
        </w:tabs>
        <w:rPr>
          <w:rFonts w:eastAsia="Calibri"/>
          <w:szCs w:val="22"/>
          <w:highlight w:val="yellow"/>
        </w:rPr>
      </w:pPr>
      <w:r>
        <w:rPr>
          <w:noProof/>
          <w:lang w:eastAsia="bg-BG"/>
        </w:rPr>
        <w:drawing>
          <wp:inline distT="0" distB="0" distL="0" distR="0" wp14:anchorId="109AEA6D" wp14:editId="109AEA6E">
            <wp:extent cx="1876425" cy="187642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l="-11" t="-11" r="-11" b="-11"/>
                    <a:stretch>
                      <a:fillRect/>
                    </a:stretch>
                  </pic:blipFill>
                  <pic:spPr bwMode="auto">
                    <a:xfrm>
                      <a:off x="0" y="0"/>
                      <a:ext cx="1876425" cy="1876425"/>
                    </a:xfrm>
                    <a:prstGeom prst="rect">
                      <a:avLst/>
                    </a:prstGeom>
                    <a:solidFill>
                      <a:srgbClr val="FFFFFF"/>
                    </a:solidFill>
                    <a:ln>
                      <a:noFill/>
                    </a:ln>
                  </pic:spPr>
                </pic:pic>
              </a:graphicData>
            </a:graphic>
          </wp:inline>
        </w:drawing>
      </w:r>
    </w:p>
    <w:p w14:paraId="109AE9C0" w14:textId="77777777" w:rsidR="009B3384" w:rsidRDefault="009B3384">
      <w:pPr>
        <w:rPr>
          <w:rFonts w:eastAsia="Calibri"/>
          <w:szCs w:val="22"/>
          <w:highlight w:val="yellow"/>
        </w:rPr>
      </w:pPr>
    </w:p>
    <w:p w14:paraId="109AE9C1" w14:textId="77777777" w:rsidR="009B3384" w:rsidRDefault="00800862">
      <w:pPr>
        <w:keepNext/>
        <w:tabs>
          <w:tab w:val="clear" w:pos="567"/>
        </w:tabs>
        <w:rPr>
          <w:rFonts w:eastAsia="Calibri"/>
          <w:b/>
          <w:bCs/>
          <w:szCs w:val="22"/>
        </w:rPr>
      </w:pPr>
      <w:r>
        <w:rPr>
          <w:rFonts w:eastAsia="Calibri"/>
          <w:b/>
          <w:bCs/>
          <w:szCs w:val="22"/>
        </w:rPr>
        <w:t>Измийте ръцете си</w:t>
      </w:r>
    </w:p>
    <w:p w14:paraId="109AE9C2" w14:textId="77777777" w:rsidR="009B3384" w:rsidRDefault="00800862">
      <w:pPr>
        <w:tabs>
          <w:tab w:val="clear" w:pos="567"/>
        </w:tabs>
        <w:rPr>
          <w:rFonts w:eastAsia="Calibri"/>
          <w:szCs w:val="22"/>
        </w:rPr>
      </w:pPr>
      <w:r>
        <w:rPr>
          <w:rFonts w:eastAsia="Calibri"/>
          <w:szCs w:val="22"/>
        </w:rPr>
        <w:t>Измийте добре ръцете си със сапун и топла вода.</w:t>
      </w:r>
    </w:p>
    <w:p w14:paraId="109AE9C3" w14:textId="77777777" w:rsidR="009B3384" w:rsidRDefault="009B3384">
      <w:pPr>
        <w:tabs>
          <w:tab w:val="clear" w:pos="567"/>
        </w:tabs>
        <w:rPr>
          <w:rFonts w:eastAsia="Calibri"/>
          <w:szCs w:val="22"/>
        </w:rPr>
      </w:pPr>
    </w:p>
    <w:p w14:paraId="109AE9C4" w14:textId="77777777" w:rsidR="009B3384" w:rsidRDefault="00800862">
      <w:pPr>
        <w:tabs>
          <w:tab w:val="clear" w:pos="567"/>
        </w:tabs>
        <w:rPr>
          <w:rFonts w:eastAsia="Calibri"/>
          <w:b/>
          <w:bCs/>
          <w:szCs w:val="22"/>
        </w:rPr>
      </w:pPr>
      <w:r>
        <w:rPr>
          <w:rFonts w:eastAsia="Calibri"/>
          <w:b/>
          <w:bCs/>
          <w:szCs w:val="22"/>
        </w:rPr>
        <w:t>Почистете мястото на инжектиране</w:t>
      </w:r>
    </w:p>
    <w:p w14:paraId="109AE9C5" w14:textId="77777777" w:rsidR="009B3384" w:rsidRDefault="00800862">
      <w:pPr>
        <w:tabs>
          <w:tab w:val="clear" w:pos="567"/>
        </w:tabs>
        <w:rPr>
          <w:rFonts w:eastAsia="Calibri"/>
          <w:szCs w:val="22"/>
        </w:rPr>
      </w:pPr>
      <w:r>
        <w:rPr>
          <w:rFonts w:eastAsia="Calibri"/>
          <w:szCs w:val="22"/>
        </w:rPr>
        <w:t>Избършете избраното от Вас място за инжектиране с тампон със спирт и го оставете да изсъхне.</w:t>
      </w:r>
    </w:p>
    <w:p w14:paraId="109AE9C6" w14:textId="77777777" w:rsidR="009B3384" w:rsidRDefault="00800862">
      <w:pPr>
        <w:tabs>
          <w:tab w:val="clear" w:pos="567"/>
        </w:tabs>
      </w:pPr>
      <w:r>
        <w:rPr>
          <w:rFonts w:eastAsia="Calibri"/>
          <w:b/>
          <w:bCs/>
          <w:szCs w:val="22"/>
        </w:rPr>
        <w:t>Не</w:t>
      </w:r>
      <w:r>
        <w:rPr>
          <w:rFonts w:eastAsia="Calibri"/>
          <w:szCs w:val="22"/>
        </w:rPr>
        <w:t xml:space="preserve"> докосвайте, не вейте и не духайте върху мястото на инжектиране, след като сте го почистили.</w:t>
      </w:r>
    </w:p>
    <w:p w14:paraId="109AE9C7" w14:textId="77777777" w:rsidR="009B3384" w:rsidRDefault="009B3384">
      <w:pPr>
        <w:tabs>
          <w:tab w:val="clear" w:pos="567"/>
        </w:tabs>
        <w:rPr>
          <w:rFonts w:eastAsia="Calibri"/>
          <w:szCs w:val="22"/>
          <w:highlight w:val="yellow"/>
        </w:rPr>
      </w:pPr>
    </w:p>
    <w:p w14:paraId="109AE9C8" w14:textId="77777777" w:rsidR="009B3384" w:rsidRDefault="00800862">
      <w:pPr>
        <w:tabs>
          <w:tab w:val="clear" w:pos="567"/>
        </w:tabs>
        <w:rPr>
          <w:rFonts w:eastAsia="Calibri"/>
          <w:szCs w:val="22"/>
          <w:highlight w:val="yellow"/>
          <w:lang w:val="en-US"/>
        </w:rPr>
      </w:pPr>
      <w:r>
        <w:rPr>
          <w:noProof/>
          <w:lang w:eastAsia="bg-BG"/>
        </w:rPr>
        <w:drawing>
          <wp:inline distT="0" distB="0" distL="0" distR="0" wp14:anchorId="109AEA6F" wp14:editId="109AEA70">
            <wp:extent cx="1876425" cy="18764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l="-23" t="-26" r="-23" b="-26"/>
                    <a:stretch>
                      <a:fillRect/>
                    </a:stretch>
                  </pic:blipFill>
                  <pic:spPr bwMode="auto">
                    <a:xfrm>
                      <a:off x="0" y="0"/>
                      <a:ext cx="1876425" cy="1876425"/>
                    </a:xfrm>
                    <a:prstGeom prst="rect">
                      <a:avLst/>
                    </a:prstGeom>
                    <a:solidFill>
                      <a:srgbClr val="FFFFFF"/>
                    </a:solidFill>
                    <a:ln>
                      <a:noFill/>
                    </a:ln>
                  </pic:spPr>
                </pic:pic>
              </a:graphicData>
            </a:graphic>
          </wp:inline>
        </w:drawing>
      </w:r>
    </w:p>
    <w:p w14:paraId="109AE9C9" w14:textId="77777777" w:rsidR="009B3384" w:rsidRDefault="009B3384">
      <w:pPr>
        <w:rPr>
          <w:rFonts w:eastAsia="Calibri"/>
          <w:szCs w:val="22"/>
          <w:highlight w:val="yellow"/>
        </w:rPr>
      </w:pPr>
    </w:p>
    <w:p w14:paraId="109AE9CA" w14:textId="77777777" w:rsidR="009B3384" w:rsidRDefault="00800862">
      <w:pPr>
        <w:keepNext/>
        <w:tabs>
          <w:tab w:val="clear" w:pos="567"/>
        </w:tabs>
        <w:rPr>
          <w:rFonts w:eastAsia="Calibri"/>
          <w:b/>
          <w:bCs/>
          <w:szCs w:val="22"/>
        </w:rPr>
      </w:pPr>
      <w:r>
        <w:rPr>
          <w:rFonts w:eastAsia="Calibri"/>
          <w:b/>
          <w:bCs/>
          <w:szCs w:val="22"/>
        </w:rPr>
        <w:t>Проверете течността в прозорчето</w:t>
      </w:r>
    </w:p>
    <w:p w14:paraId="109AE9CB" w14:textId="77777777" w:rsidR="009B3384" w:rsidRDefault="00800862">
      <w:pPr>
        <w:tabs>
          <w:tab w:val="clear" w:pos="567"/>
        </w:tabs>
        <w:rPr>
          <w:rFonts w:eastAsia="Calibri"/>
          <w:szCs w:val="22"/>
        </w:rPr>
      </w:pPr>
      <w:r>
        <w:rPr>
          <w:rFonts w:eastAsia="Calibri"/>
          <w:szCs w:val="22"/>
        </w:rPr>
        <w:t>Изберете добре осветена, чиста и равна работна повърхност.</w:t>
      </w:r>
    </w:p>
    <w:p w14:paraId="109AE9CC" w14:textId="77777777" w:rsidR="009B3384" w:rsidRDefault="00800862">
      <w:pPr>
        <w:tabs>
          <w:tab w:val="clear" w:pos="567"/>
        </w:tabs>
        <w:rPr>
          <w:rFonts w:eastAsia="Calibri"/>
          <w:szCs w:val="22"/>
        </w:rPr>
      </w:pPr>
      <w:r>
        <w:rPr>
          <w:rFonts w:eastAsia="Calibri"/>
          <w:szCs w:val="22"/>
        </w:rPr>
        <w:t>Извадете предварително напълнената писалка от картонената опаковка и проверете за повреда.</w:t>
      </w:r>
    </w:p>
    <w:p w14:paraId="109AE9CD" w14:textId="77777777" w:rsidR="009B3384" w:rsidRDefault="00800862">
      <w:pPr>
        <w:tabs>
          <w:tab w:val="clear" w:pos="567"/>
        </w:tabs>
        <w:rPr>
          <w:rFonts w:eastAsia="Calibri"/>
          <w:szCs w:val="22"/>
        </w:rPr>
      </w:pPr>
      <w:r>
        <w:rPr>
          <w:rFonts w:eastAsia="Calibri"/>
          <w:szCs w:val="22"/>
        </w:rPr>
        <w:t xml:space="preserve">Проверете течността в прозорчето. Тя трябва да бъде </w:t>
      </w:r>
      <w:r>
        <w:rPr>
          <w:rFonts w:eastAsia="Calibri"/>
          <w:b/>
          <w:bCs/>
          <w:szCs w:val="22"/>
        </w:rPr>
        <w:t>прозрачна до леко опалесцентна</w:t>
      </w:r>
      <w:r>
        <w:rPr>
          <w:rFonts w:eastAsia="Calibri"/>
          <w:szCs w:val="22"/>
        </w:rPr>
        <w:t xml:space="preserve"> и </w:t>
      </w:r>
      <w:r>
        <w:rPr>
          <w:rFonts w:eastAsia="Calibri"/>
          <w:b/>
          <w:bCs/>
          <w:szCs w:val="22"/>
        </w:rPr>
        <w:t>безцветна до бледожълта</w:t>
      </w:r>
      <w:r>
        <w:rPr>
          <w:rFonts w:eastAsia="Calibri"/>
          <w:szCs w:val="22"/>
        </w:rPr>
        <w:t xml:space="preserve"> и може да съдържа </w:t>
      </w:r>
      <w:r>
        <w:rPr>
          <w:rFonts w:eastAsia="Calibri"/>
          <w:b/>
          <w:bCs/>
          <w:szCs w:val="22"/>
        </w:rPr>
        <w:t>малки бели или прозрачни частици</w:t>
      </w:r>
      <w:r>
        <w:rPr>
          <w:rFonts w:eastAsia="Calibri"/>
          <w:szCs w:val="22"/>
        </w:rPr>
        <w:t xml:space="preserve"> и </w:t>
      </w:r>
      <w:r>
        <w:rPr>
          <w:rFonts w:eastAsia="Calibri"/>
          <w:b/>
          <w:bCs/>
          <w:szCs w:val="22"/>
        </w:rPr>
        <w:t>едно или повече въздушни мехурчета</w:t>
      </w:r>
      <w:r>
        <w:rPr>
          <w:rFonts w:eastAsia="Calibri"/>
          <w:szCs w:val="22"/>
        </w:rPr>
        <w:t>. Това е нормално.</w:t>
      </w:r>
    </w:p>
    <w:p w14:paraId="109AE9CE" w14:textId="77777777" w:rsidR="009B3384" w:rsidRDefault="00800862">
      <w:pPr>
        <w:tabs>
          <w:tab w:val="clear" w:pos="567"/>
        </w:tabs>
      </w:pPr>
      <w:r>
        <w:rPr>
          <w:rFonts w:eastAsia="Calibri"/>
          <w:b/>
          <w:bCs/>
          <w:szCs w:val="22"/>
        </w:rPr>
        <w:t>Не</w:t>
      </w:r>
      <w:r>
        <w:rPr>
          <w:rFonts w:eastAsia="Calibri"/>
          <w:szCs w:val="22"/>
        </w:rPr>
        <w:t xml:space="preserve"> инжектирайте, ако течността е замръзнала, мътна, с променен цвят или съдържа големи частици. Обадете се на Вашия лекар или фармацевт за нова предварително напълнена писалка.</w:t>
      </w:r>
    </w:p>
    <w:p w14:paraId="109AE9CF" w14:textId="77777777" w:rsidR="009B3384" w:rsidRDefault="009B3384">
      <w:pPr>
        <w:tabs>
          <w:tab w:val="clear" w:pos="567"/>
        </w:tabs>
        <w:rPr>
          <w:rFonts w:eastAsia="Calibri"/>
          <w:szCs w:val="22"/>
        </w:rPr>
      </w:pPr>
    </w:p>
    <w:p w14:paraId="109AE9D0" w14:textId="77777777" w:rsidR="009B3384" w:rsidRPr="00BC6A43" w:rsidRDefault="00800862" w:rsidP="00BC6A43">
      <w:pPr>
        <w:keepNext/>
        <w:suppressAutoHyphens w:val="0"/>
        <w:rPr>
          <w:b/>
          <w:noProof/>
          <w:szCs w:val="22"/>
          <w:lang w:val="en-GB"/>
        </w:rPr>
      </w:pPr>
      <w:r w:rsidRPr="00BC6A43">
        <w:rPr>
          <w:b/>
          <w:noProof/>
          <w:szCs w:val="22"/>
          <w:lang w:val="en-GB"/>
        </w:rPr>
        <w:lastRenderedPageBreak/>
        <w:t>2. Инжектиране на Stelara</w:t>
      </w:r>
    </w:p>
    <w:p w14:paraId="109AE9D1" w14:textId="77777777" w:rsidR="009B3384" w:rsidRDefault="009B3384">
      <w:pPr>
        <w:keepNext/>
        <w:rPr>
          <w:rFonts w:eastAsia="Calibri"/>
          <w:szCs w:val="22"/>
          <w:highlight w:val="yellow"/>
          <w:lang w:val="en-US"/>
        </w:rPr>
      </w:pPr>
    </w:p>
    <w:p w14:paraId="109AE9D2" w14:textId="77777777" w:rsidR="009B3384" w:rsidRDefault="00800862">
      <w:pPr>
        <w:tabs>
          <w:tab w:val="clear" w:pos="567"/>
        </w:tabs>
        <w:rPr>
          <w:rFonts w:eastAsia="Calibri"/>
          <w:szCs w:val="22"/>
          <w:highlight w:val="yellow"/>
          <w:lang w:val="en-US"/>
        </w:rPr>
      </w:pPr>
      <w:r>
        <w:rPr>
          <w:noProof/>
          <w:lang w:eastAsia="bg-BG"/>
        </w:rPr>
        <w:drawing>
          <wp:inline distT="0" distB="0" distL="0" distR="0" wp14:anchorId="109AEA71" wp14:editId="109AEA72">
            <wp:extent cx="1866900" cy="18764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l="-18" t="-21" r="-18" b="-21"/>
                    <a:stretch>
                      <a:fillRect/>
                    </a:stretch>
                  </pic:blipFill>
                  <pic:spPr bwMode="auto">
                    <a:xfrm>
                      <a:off x="0" y="0"/>
                      <a:ext cx="1866900" cy="1876425"/>
                    </a:xfrm>
                    <a:prstGeom prst="rect">
                      <a:avLst/>
                    </a:prstGeom>
                    <a:solidFill>
                      <a:srgbClr val="FFFFFF"/>
                    </a:solidFill>
                    <a:ln>
                      <a:noFill/>
                    </a:ln>
                  </pic:spPr>
                </pic:pic>
              </a:graphicData>
            </a:graphic>
          </wp:inline>
        </w:drawing>
      </w:r>
    </w:p>
    <w:p w14:paraId="109AE9D3" w14:textId="77777777" w:rsidR="009B3384" w:rsidRDefault="009B3384">
      <w:pPr>
        <w:rPr>
          <w:rFonts w:eastAsia="Calibri"/>
          <w:szCs w:val="22"/>
          <w:highlight w:val="yellow"/>
        </w:rPr>
      </w:pPr>
    </w:p>
    <w:p w14:paraId="109AE9D4" w14:textId="77777777" w:rsidR="009B3384" w:rsidRDefault="00800862">
      <w:pPr>
        <w:keepNext/>
        <w:tabs>
          <w:tab w:val="clear" w:pos="567"/>
        </w:tabs>
        <w:rPr>
          <w:rFonts w:eastAsia="Calibri"/>
          <w:b/>
          <w:bCs/>
          <w:szCs w:val="22"/>
        </w:rPr>
      </w:pPr>
      <w:r>
        <w:rPr>
          <w:rFonts w:eastAsia="Calibri"/>
          <w:b/>
          <w:bCs/>
          <w:szCs w:val="22"/>
        </w:rPr>
        <w:t>Издърпайте долната капачка</w:t>
      </w:r>
    </w:p>
    <w:p w14:paraId="109AE9D5" w14:textId="77777777" w:rsidR="009B3384" w:rsidRDefault="00800862">
      <w:pPr>
        <w:tabs>
          <w:tab w:val="clear" w:pos="567"/>
        </w:tabs>
        <w:rPr>
          <w:rFonts w:eastAsia="Calibri"/>
          <w:szCs w:val="22"/>
        </w:rPr>
      </w:pPr>
      <w:r>
        <w:rPr>
          <w:rFonts w:eastAsia="Calibri"/>
          <w:b/>
          <w:bCs/>
          <w:szCs w:val="22"/>
        </w:rPr>
        <w:t>Дръжте ръцете си далеч от предпазителя на иглата</w:t>
      </w:r>
      <w:r>
        <w:rPr>
          <w:rFonts w:eastAsia="Calibri"/>
          <w:szCs w:val="22"/>
        </w:rPr>
        <w:t>, след като свалите капачката. Нормално е да видите няколко капки течност.</w:t>
      </w:r>
    </w:p>
    <w:p w14:paraId="109AE9D6" w14:textId="77777777" w:rsidR="009B3384" w:rsidRDefault="00800862">
      <w:pPr>
        <w:tabs>
          <w:tab w:val="clear" w:pos="567"/>
        </w:tabs>
        <w:rPr>
          <w:rFonts w:eastAsia="Calibri"/>
          <w:b/>
          <w:bCs/>
          <w:szCs w:val="22"/>
        </w:rPr>
      </w:pPr>
      <w:r>
        <w:rPr>
          <w:rFonts w:eastAsia="Calibri"/>
          <w:b/>
          <w:bCs/>
          <w:szCs w:val="22"/>
        </w:rPr>
        <w:t>Инжектирайте Stelara в рамките на 5 минути след отстраняване на капачката.</w:t>
      </w:r>
    </w:p>
    <w:p w14:paraId="109AE9D7" w14:textId="77777777" w:rsidR="009B3384" w:rsidRDefault="00800862">
      <w:pPr>
        <w:tabs>
          <w:tab w:val="clear" w:pos="567"/>
        </w:tabs>
        <w:rPr>
          <w:rFonts w:eastAsia="Calibri"/>
          <w:szCs w:val="22"/>
        </w:rPr>
      </w:pPr>
      <w:r>
        <w:rPr>
          <w:rFonts w:eastAsia="Calibri"/>
          <w:b/>
          <w:bCs/>
          <w:szCs w:val="22"/>
        </w:rPr>
        <w:t>Не</w:t>
      </w:r>
      <w:r>
        <w:rPr>
          <w:rFonts w:eastAsia="Calibri"/>
          <w:szCs w:val="22"/>
        </w:rPr>
        <w:t xml:space="preserve"> поставяйте капачката обратно. Това може да доведе до увреждане на иглата.</w:t>
      </w:r>
    </w:p>
    <w:p w14:paraId="109AE9D8" w14:textId="77777777" w:rsidR="009B3384" w:rsidRDefault="00800862">
      <w:pPr>
        <w:tabs>
          <w:tab w:val="clear" w:pos="567"/>
        </w:tabs>
      </w:pPr>
      <w:r>
        <w:rPr>
          <w:rFonts w:eastAsia="Calibri"/>
          <w:b/>
          <w:bCs/>
          <w:szCs w:val="22"/>
        </w:rPr>
        <w:t>Не</w:t>
      </w:r>
      <w:r>
        <w:rPr>
          <w:rFonts w:eastAsia="Calibri"/>
          <w:szCs w:val="22"/>
        </w:rPr>
        <w:t xml:space="preserve"> използвайте предварително напълнената писалка, ако тя бъде изпусната след отстраняване на капачката. Обадете се на Вашия лекар или фармацевт за нова предварително напълнена писалка.</w:t>
      </w:r>
    </w:p>
    <w:p w14:paraId="109AE9D9" w14:textId="77777777" w:rsidR="009B3384" w:rsidRDefault="009B3384">
      <w:pPr>
        <w:tabs>
          <w:tab w:val="clear" w:pos="567"/>
        </w:tabs>
        <w:rPr>
          <w:rFonts w:eastAsia="Calibri"/>
          <w:szCs w:val="22"/>
        </w:rPr>
      </w:pPr>
    </w:p>
    <w:p w14:paraId="109AE9DA" w14:textId="77777777" w:rsidR="009B3384" w:rsidRDefault="00800862">
      <w:pPr>
        <w:tabs>
          <w:tab w:val="left" w:pos="1080"/>
        </w:tabs>
        <w:rPr>
          <w:rFonts w:eastAsia="Calibri"/>
          <w:szCs w:val="22"/>
          <w:highlight w:val="yellow"/>
          <w:lang w:val="en-US"/>
        </w:rPr>
      </w:pPr>
      <w:r>
        <w:rPr>
          <w:noProof/>
          <w:lang w:eastAsia="bg-BG"/>
        </w:rPr>
        <w:drawing>
          <wp:inline distT="0" distB="0" distL="0" distR="0" wp14:anchorId="109AEA73" wp14:editId="109AEA74">
            <wp:extent cx="1866900" cy="18764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l="-17" t="-18" r="-17" b="-18"/>
                    <a:stretch>
                      <a:fillRect/>
                    </a:stretch>
                  </pic:blipFill>
                  <pic:spPr bwMode="auto">
                    <a:xfrm>
                      <a:off x="0" y="0"/>
                      <a:ext cx="1866900" cy="1876425"/>
                    </a:xfrm>
                    <a:prstGeom prst="rect">
                      <a:avLst/>
                    </a:prstGeom>
                    <a:solidFill>
                      <a:srgbClr val="FFFFFF"/>
                    </a:solidFill>
                    <a:ln>
                      <a:noFill/>
                    </a:ln>
                  </pic:spPr>
                </pic:pic>
              </a:graphicData>
            </a:graphic>
          </wp:inline>
        </w:drawing>
      </w:r>
    </w:p>
    <w:p w14:paraId="109AE9DB" w14:textId="77777777" w:rsidR="009B3384" w:rsidRDefault="009B3384">
      <w:pPr>
        <w:rPr>
          <w:rFonts w:eastAsia="Calibri"/>
          <w:szCs w:val="22"/>
          <w:highlight w:val="yellow"/>
        </w:rPr>
      </w:pPr>
    </w:p>
    <w:p w14:paraId="109AE9DC" w14:textId="77777777" w:rsidR="009B3384" w:rsidRDefault="00800862">
      <w:pPr>
        <w:keepNext/>
        <w:tabs>
          <w:tab w:val="clear" w:pos="567"/>
        </w:tabs>
        <w:rPr>
          <w:rFonts w:eastAsia="Calibri"/>
          <w:b/>
          <w:bCs/>
          <w:szCs w:val="22"/>
        </w:rPr>
      </w:pPr>
      <w:r>
        <w:rPr>
          <w:rFonts w:eastAsia="Calibri"/>
          <w:b/>
          <w:bCs/>
          <w:szCs w:val="22"/>
        </w:rPr>
        <w:t>Поставете направо върху кожата. Натиснете дръжката докрай надолу, докато престане да се вижда лилавото тяло.</w:t>
      </w:r>
    </w:p>
    <w:p w14:paraId="109AE9DD" w14:textId="77777777" w:rsidR="009B3384" w:rsidRDefault="009B3384">
      <w:pPr>
        <w:keepNext/>
        <w:tabs>
          <w:tab w:val="clear" w:pos="567"/>
        </w:tabs>
        <w:rPr>
          <w:rFonts w:eastAsia="Calibri"/>
          <w:b/>
          <w:bCs/>
          <w:szCs w:val="22"/>
        </w:rPr>
      </w:pPr>
    </w:p>
    <w:p w14:paraId="109AE9DE"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rFonts w:eastAsia="Calibri"/>
          <w:b/>
          <w:bCs/>
          <w:szCs w:val="22"/>
        </w:rPr>
      </w:pPr>
      <w:r w:rsidRPr="00BC6A43">
        <w:rPr>
          <w:rFonts w:eastAsia="Calibri"/>
          <w:b/>
          <w:bCs/>
          <w:szCs w:val="22"/>
        </w:rPr>
        <w:t>НЕ ВДИГАЙТЕ НАПЪЛНЕНАТА ПРЕДВАРИТЕЛНО ПИСАЛКА по време на инжектирането!</w:t>
      </w:r>
    </w:p>
    <w:p w14:paraId="109AE9DF"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szCs w:val="22"/>
        </w:rPr>
      </w:pPr>
      <w:r w:rsidRPr="00BC6A43">
        <w:rPr>
          <w:rFonts w:eastAsia="Calibri"/>
          <w:szCs w:val="22"/>
        </w:rPr>
        <w:t>Ако го направите, предпазителят на иглата ще се заключи, като се появи жълта лента, и няма да получите пълната доза.</w:t>
      </w:r>
    </w:p>
    <w:p w14:paraId="109AE9E0" w14:textId="77777777" w:rsidR="009B3384" w:rsidRDefault="009B3384">
      <w:pPr>
        <w:keepNext/>
        <w:tabs>
          <w:tab w:val="clear" w:pos="567"/>
        </w:tabs>
      </w:pPr>
    </w:p>
    <w:p w14:paraId="109AE9E1" w14:textId="77777777" w:rsidR="009B3384" w:rsidRDefault="00800862">
      <w:pPr>
        <w:tabs>
          <w:tab w:val="clear" w:pos="567"/>
          <w:tab w:val="left" w:pos="216"/>
          <w:tab w:val="left" w:pos="360"/>
          <w:tab w:val="left" w:pos="540"/>
        </w:tabs>
        <w:rPr>
          <w:rFonts w:eastAsia="Calibri"/>
          <w:szCs w:val="22"/>
        </w:rPr>
      </w:pPr>
      <w:r>
        <w:rPr>
          <w:rFonts w:eastAsia="Calibri"/>
          <w:szCs w:val="22"/>
        </w:rPr>
        <w:t>Може да чуете щракване, когато инжектирането започне. Продължете да натискате.</w:t>
      </w:r>
    </w:p>
    <w:p w14:paraId="109AE9E2" w14:textId="77777777" w:rsidR="009B3384" w:rsidRDefault="00800862">
      <w:pPr>
        <w:tabs>
          <w:tab w:val="clear" w:pos="567"/>
          <w:tab w:val="left" w:pos="216"/>
          <w:tab w:val="left" w:pos="360"/>
          <w:tab w:val="left" w:pos="540"/>
        </w:tabs>
        <w:rPr>
          <w:rFonts w:eastAsia="Calibri"/>
          <w:b/>
          <w:bCs/>
          <w:szCs w:val="22"/>
        </w:rPr>
      </w:pPr>
      <w:r>
        <w:rPr>
          <w:rFonts w:eastAsia="Calibri"/>
          <w:b/>
          <w:bCs/>
          <w:szCs w:val="22"/>
        </w:rPr>
        <w:t>Ако усетите съпротивление, продължете да натискате. Това е нормално.</w:t>
      </w:r>
    </w:p>
    <w:p w14:paraId="109AE9E3" w14:textId="77777777" w:rsidR="009B3384" w:rsidRDefault="00800862">
      <w:pPr>
        <w:tabs>
          <w:tab w:val="clear" w:pos="567"/>
          <w:tab w:val="left" w:pos="216"/>
          <w:tab w:val="left" w:pos="360"/>
          <w:tab w:val="left" w:pos="540"/>
        </w:tabs>
      </w:pPr>
      <w:r>
        <w:rPr>
          <w:rFonts w:eastAsia="Calibri"/>
          <w:szCs w:val="22"/>
        </w:rPr>
        <w:t>Лекарството се инжектира, докато натискате. Правете това със скорост, която е удобна за Вас.</w:t>
      </w:r>
    </w:p>
    <w:p w14:paraId="109AE9E4" w14:textId="77777777" w:rsidR="009B3384" w:rsidRDefault="009B3384">
      <w:pPr>
        <w:tabs>
          <w:tab w:val="clear" w:pos="567"/>
          <w:tab w:val="left" w:pos="216"/>
          <w:tab w:val="left" w:pos="360"/>
          <w:tab w:val="left" w:pos="540"/>
        </w:tabs>
        <w:rPr>
          <w:noProof/>
        </w:rPr>
      </w:pPr>
    </w:p>
    <w:p w14:paraId="109AE9E5" w14:textId="77777777" w:rsidR="009B3384" w:rsidRDefault="00800862">
      <w:pPr>
        <w:keepNext/>
        <w:tabs>
          <w:tab w:val="clear" w:pos="567"/>
          <w:tab w:val="left" w:pos="216"/>
          <w:tab w:val="left" w:pos="360"/>
          <w:tab w:val="left" w:pos="540"/>
        </w:tabs>
        <w:rPr>
          <w:rFonts w:eastAsia="Calibri"/>
          <w:szCs w:val="22"/>
          <w:lang w:val="en-US"/>
        </w:rPr>
      </w:pPr>
      <w:r>
        <w:rPr>
          <w:noProof/>
          <w:lang w:eastAsia="bg-BG"/>
        </w:rPr>
        <w:lastRenderedPageBreak/>
        <w:drawing>
          <wp:inline distT="0" distB="0" distL="0" distR="0" wp14:anchorId="109AEA75" wp14:editId="109AEA76">
            <wp:extent cx="1876425" cy="168397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885374" cy="1692002"/>
                    </a:xfrm>
                    <a:prstGeom prst="rect">
                      <a:avLst/>
                    </a:prstGeom>
                  </pic:spPr>
                </pic:pic>
              </a:graphicData>
            </a:graphic>
          </wp:inline>
        </w:drawing>
      </w:r>
    </w:p>
    <w:p w14:paraId="109AE9E6" w14:textId="77777777" w:rsidR="009B3384" w:rsidRDefault="009B3384">
      <w:pPr>
        <w:keepNext/>
        <w:rPr>
          <w:rFonts w:eastAsia="Calibri"/>
          <w:szCs w:val="22"/>
        </w:rPr>
      </w:pPr>
    </w:p>
    <w:p w14:paraId="109AE9E7" w14:textId="77777777" w:rsidR="009B3384" w:rsidRDefault="00800862">
      <w:pPr>
        <w:keepNext/>
        <w:tabs>
          <w:tab w:val="clear" w:pos="567"/>
        </w:tabs>
      </w:pPr>
      <w:r>
        <w:rPr>
          <w:rFonts w:eastAsia="Calibri"/>
          <w:b/>
          <w:bCs/>
          <w:szCs w:val="22"/>
        </w:rPr>
        <w:t>Уверете се, че инжектирането е завършено</w:t>
      </w:r>
    </w:p>
    <w:p w14:paraId="109AE9E8" w14:textId="77777777" w:rsidR="009B3384" w:rsidRDefault="00800862">
      <w:pPr>
        <w:keepNext/>
        <w:tabs>
          <w:tab w:val="clear" w:pos="567"/>
          <w:tab w:val="left" w:pos="216"/>
          <w:tab w:val="left" w:pos="360"/>
          <w:tab w:val="left" w:pos="540"/>
        </w:tabs>
        <w:textAlignment w:val="center"/>
      </w:pPr>
      <w:r>
        <w:rPr>
          <w:rFonts w:eastAsia="Calibri"/>
          <w:szCs w:val="22"/>
        </w:rPr>
        <w:t>Инжектирането е завършено, когато:</w:t>
      </w:r>
    </w:p>
    <w:p w14:paraId="109AE9E9" w14:textId="77777777" w:rsidR="009B3384" w:rsidRDefault="00800862">
      <w:pPr>
        <w:widowControl w:val="0"/>
        <w:numPr>
          <w:ilvl w:val="0"/>
          <w:numId w:val="30"/>
        </w:numPr>
        <w:tabs>
          <w:tab w:val="left" w:pos="540"/>
        </w:tabs>
        <w:textAlignment w:val="center"/>
      </w:pPr>
      <w:r>
        <w:rPr>
          <w:rFonts w:eastAsia="Calibri"/>
          <w:b/>
          <w:bCs/>
          <w:szCs w:val="22"/>
        </w:rPr>
        <w:t>Лилавото тяло не се вижда.</w:t>
      </w:r>
    </w:p>
    <w:p w14:paraId="109AE9EA" w14:textId="77777777" w:rsidR="009B3384" w:rsidRDefault="00800862">
      <w:pPr>
        <w:widowControl w:val="0"/>
        <w:numPr>
          <w:ilvl w:val="0"/>
          <w:numId w:val="30"/>
        </w:numPr>
        <w:tabs>
          <w:tab w:val="left" w:pos="540"/>
        </w:tabs>
        <w:textAlignment w:val="center"/>
      </w:pPr>
      <w:r>
        <w:rPr>
          <w:rFonts w:eastAsia="Calibri"/>
          <w:szCs w:val="22"/>
        </w:rPr>
        <w:t>Вече не можете да натискате дръжката надолу.</w:t>
      </w:r>
    </w:p>
    <w:p w14:paraId="109AE9EB" w14:textId="77777777" w:rsidR="009B3384" w:rsidRDefault="00800862">
      <w:pPr>
        <w:widowControl w:val="0"/>
        <w:numPr>
          <w:ilvl w:val="0"/>
          <w:numId w:val="30"/>
        </w:numPr>
        <w:tabs>
          <w:tab w:val="left" w:pos="540"/>
        </w:tabs>
        <w:textAlignment w:val="center"/>
      </w:pPr>
      <w:r>
        <w:rPr>
          <w:rFonts w:eastAsia="Calibri"/>
          <w:szCs w:val="22"/>
        </w:rPr>
        <w:t>Може да чуете щракване.</w:t>
      </w:r>
    </w:p>
    <w:p w14:paraId="109AE9EC" w14:textId="77777777" w:rsidR="009B3384" w:rsidRDefault="009B3384">
      <w:pPr>
        <w:rPr>
          <w:rFonts w:eastAsia="Calibri"/>
          <w:szCs w:val="22"/>
        </w:rPr>
      </w:pPr>
    </w:p>
    <w:p w14:paraId="109AE9ED" w14:textId="77777777" w:rsidR="009B3384" w:rsidRDefault="00800862">
      <w:pPr>
        <w:rPr>
          <w:rFonts w:eastAsia="Calibri"/>
          <w:szCs w:val="22"/>
          <w:highlight w:val="yellow"/>
          <w:lang w:val="en-US"/>
        </w:rPr>
      </w:pPr>
      <w:r>
        <w:rPr>
          <w:noProof/>
          <w:lang w:eastAsia="bg-BG"/>
        </w:rPr>
        <w:drawing>
          <wp:inline distT="0" distB="0" distL="0" distR="0" wp14:anchorId="109AEA77" wp14:editId="109AEA78">
            <wp:extent cx="1866900" cy="18669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l="-18" t="-20" r="-18" b="-20"/>
                    <a:stretch>
                      <a:fillRect/>
                    </a:stretch>
                  </pic:blipFill>
                  <pic:spPr bwMode="auto">
                    <a:xfrm>
                      <a:off x="0" y="0"/>
                      <a:ext cx="1866900" cy="1866900"/>
                    </a:xfrm>
                    <a:prstGeom prst="rect">
                      <a:avLst/>
                    </a:prstGeom>
                    <a:solidFill>
                      <a:srgbClr val="FFFFFF"/>
                    </a:solidFill>
                    <a:ln>
                      <a:noFill/>
                    </a:ln>
                  </pic:spPr>
                </pic:pic>
              </a:graphicData>
            </a:graphic>
          </wp:inline>
        </w:drawing>
      </w:r>
    </w:p>
    <w:p w14:paraId="109AE9EE" w14:textId="77777777" w:rsidR="009B3384" w:rsidRDefault="009B3384">
      <w:pPr>
        <w:rPr>
          <w:rFonts w:eastAsia="Calibri"/>
          <w:szCs w:val="22"/>
          <w:highlight w:val="yellow"/>
        </w:rPr>
      </w:pPr>
    </w:p>
    <w:p w14:paraId="109AE9EF" w14:textId="77777777" w:rsidR="009B3384" w:rsidRDefault="00800862">
      <w:pPr>
        <w:keepNext/>
        <w:tabs>
          <w:tab w:val="clear" w:pos="567"/>
        </w:tabs>
      </w:pPr>
      <w:r>
        <w:rPr>
          <w:rFonts w:eastAsia="Calibri"/>
          <w:b/>
          <w:bCs/>
          <w:szCs w:val="22"/>
        </w:rPr>
        <w:t>Вдигнете право нагоре</w:t>
      </w:r>
    </w:p>
    <w:p w14:paraId="109AE9F0" w14:textId="77777777" w:rsidR="009B3384" w:rsidRDefault="00800862">
      <w:pPr>
        <w:widowControl w:val="0"/>
        <w:tabs>
          <w:tab w:val="clear" w:pos="567"/>
          <w:tab w:val="left" w:pos="216"/>
          <w:tab w:val="left" w:pos="360"/>
          <w:tab w:val="left" w:pos="540"/>
        </w:tabs>
        <w:textAlignment w:val="center"/>
      </w:pPr>
      <w:r>
        <w:rPr>
          <w:rFonts w:eastAsia="Calibri"/>
          <w:szCs w:val="22"/>
        </w:rPr>
        <w:t>Жълтата лента показва, че предпазителят на иглата е заключен на място.</w:t>
      </w:r>
    </w:p>
    <w:p w14:paraId="109AE9F1" w14:textId="77777777" w:rsidR="009B3384" w:rsidRDefault="009B3384">
      <w:pPr>
        <w:rPr>
          <w:rFonts w:eastAsia="Calibri"/>
          <w:szCs w:val="22"/>
        </w:rPr>
      </w:pPr>
    </w:p>
    <w:p w14:paraId="109AE9F2" w14:textId="77777777" w:rsidR="009B3384" w:rsidRDefault="009B3384">
      <w:pPr>
        <w:rPr>
          <w:rFonts w:eastAsia="Calibri"/>
          <w:szCs w:val="22"/>
        </w:rPr>
      </w:pPr>
    </w:p>
    <w:p w14:paraId="109AE9F3" w14:textId="77777777" w:rsidR="009B3384" w:rsidRPr="00BC6A43" w:rsidRDefault="00800862" w:rsidP="00BC6A43">
      <w:pPr>
        <w:keepNext/>
        <w:suppressAutoHyphens w:val="0"/>
        <w:rPr>
          <w:b/>
          <w:noProof/>
          <w:szCs w:val="22"/>
          <w:lang w:val="en-GB"/>
        </w:rPr>
      </w:pPr>
      <w:r w:rsidRPr="00BC6A43">
        <w:rPr>
          <w:b/>
          <w:noProof/>
          <w:szCs w:val="22"/>
          <w:lang w:val="en-GB"/>
        </w:rPr>
        <w:t>3. След инжектирането</w:t>
      </w:r>
    </w:p>
    <w:p w14:paraId="109AE9F4" w14:textId="77777777" w:rsidR="009B3384" w:rsidRDefault="009B3384">
      <w:pPr>
        <w:keepNext/>
        <w:rPr>
          <w:rFonts w:eastAsia="Calibri"/>
          <w:szCs w:val="22"/>
        </w:rPr>
      </w:pPr>
    </w:p>
    <w:p w14:paraId="109AE9F5" w14:textId="77777777" w:rsidR="009B3384" w:rsidRDefault="00800862">
      <w:pPr>
        <w:rPr>
          <w:rFonts w:eastAsia="Calibri"/>
          <w:szCs w:val="22"/>
          <w:highlight w:val="yellow"/>
        </w:rPr>
      </w:pPr>
      <w:r>
        <w:rPr>
          <w:noProof/>
          <w:lang w:eastAsia="bg-BG"/>
        </w:rPr>
        <w:drawing>
          <wp:inline distT="0" distB="0" distL="0" distR="0" wp14:anchorId="109AEA79" wp14:editId="109AEA7A">
            <wp:extent cx="1876425" cy="18669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l="-18" t="-21" r="-18" b="-21"/>
                    <a:stretch>
                      <a:fillRect/>
                    </a:stretch>
                  </pic:blipFill>
                  <pic:spPr bwMode="auto">
                    <a:xfrm>
                      <a:off x="0" y="0"/>
                      <a:ext cx="1876425" cy="1866900"/>
                    </a:xfrm>
                    <a:prstGeom prst="rect">
                      <a:avLst/>
                    </a:prstGeom>
                    <a:solidFill>
                      <a:srgbClr val="FFFFFF"/>
                    </a:solidFill>
                    <a:ln>
                      <a:noFill/>
                    </a:ln>
                  </pic:spPr>
                </pic:pic>
              </a:graphicData>
            </a:graphic>
          </wp:inline>
        </w:drawing>
      </w:r>
    </w:p>
    <w:p w14:paraId="109AE9F6" w14:textId="77777777" w:rsidR="009B3384" w:rsidRDefault="009B3384">
      <w:pPr>
        <w:rPr>
          <w:rFonts w:eastAsia="Calibri"/>
          <w:szCs w:val="22"/>
          <w:highlight w:val="yellow"/>
        </w:rPr>
      </w:pPr>
    </w:p>
    <w:p w14:paraId="109AE9F7" w14:textId="77777777" w:rsidR="009B3384" w:rsidRDefault="00800862">
      <w:pPr>
        <w:keepNext/>
        <w:tabs>
          <w:tab w:val="clear" w:pos="567"/>
          <w:tab w:val="left" w:pos="216"/>
          <w:tab w:val="left" w:pos="360"/>
          <w:tab w:val="left" w:pos="540"/>
        </w:tabs>
        <w:rPr>
          <w:rFonts w:eastAsia="Calibri"/>
          <w:b/>
          <w:bCs/>
          <w:szCs w:val="22"/>
        </w:rPr>
      </w:pPr>
      <w:r>
        <w:rPr>
          <w:rFonts w:eastAsia="Calibri"/>
          <w:b/>
          <w:bCs/>
          <w:szCs w:val="22"/>
        </w:rPr>
        <w:t>Изхвърлете предварително напълнената писалка</w:t>
      </w:r>
    </w:p>
    <w:p w14:paraId="109AE9F8" w14:textId="77777777" w:rsidR="009B3384" w:rsidRDefault="00800862">
      <w:pPr>
        <w:tabs>
          <w:tab w:val="clear" w:pos="567"/>
          <w:tab w:val="left" w:pos="216"/>
          <w:tab w:val="left" w:pos="360"/>
          <w:tab w:val="left" w:pos="540"/>
        </w:tabs>
        <w:rPr>
          <w:rFonts w:eastAsia="Calibri"/>
          <w:szCs w:val="22"/>
        </w:rPr>
      </w:pPr>
      <w:r>
        <w:rPr>
          <w:rFonts w:eastAsia="Calibri"/>
          <w:szCs w:val="22"/>
        </w:rPr>
        <w:t>Веднага след употреба поставете използваната предварително напълнена писалка в контейнер за изхвърляне на остри предмети.</w:t>
      </w:r>
    </w:p>
    <w:p w14:paraId="109AE9F9" w14:textId="77777777" w:rsidR="009B3384" w:rsidRDefault="00800862">
      <w:pPr>
        <w:tabs>
          <w:tab w:val="clear" w:pos="567"/>
          <w:tab w:val="left" w:pos="216"/>
          <w:tab w:val="left" w:pos="360"/>
          <w:tab w:val="left" w:pos="540"/>
        </w:tabs>
        <w:rPr>
          <w:rFonts w:eastAsia="Calibri"/>
          <w:szCs w:val="22"/>
        </w:rPr>
      </w:pPr>
      <w:r>
        <w:rPr>
          <w:rFonts w:eastAsia="Calibri"/>
          <w:b/>
          <w:bCs/>
          <w:szCs w:val="22"/>
        </w:rPr>
        <w:t>Не</w:t>
      </w:r>
      <w:r>
        <w:rPr>
          <w:rFonts w:eastAsia="Calibri"/>
          <w:szCs w:val="22"/>
        </w:rPr>
        <w:t xml:space="preserve"> изхвърляйте предварително напълнените писалки в контейнера за битови отпадъци.</w:t>
      </w:r>
    </w:p>
    <w:p w14:paraId="109AE9FA" w14:textId="77777777" w:rsidR="009B3384" w:rsidRDefault="00800862">
      <w:pPr>
        <w:tabs>
          <w:tab w:val="clear" w:pos="567"/>
          <w:tab w:val="left" w:pos="216"/>
          <w:tab w:val="left" w:pos="360"/>
          <w:tab w:val="left" w:pos="540"/>
        </w:tabs>
      </w:pPr>
      <w:r>
        <w:rPr>
          <w:rFonts w:eastAsia="Calibri"/>
          <w:b/>
          <w:bCs/>
          <w:szCs w:val="22"/>
        </w:rPr>
        <w:t>Не</w:t>
      </w:r>
      <w:r>
        <w:rPr>
          <w:rFonts w:eastAsia="Calibri"/>
          <w:szCs w:val="22"/>
        </w:rPr>
        <w:t xml:space="preserve"> рециклирайте използвания контейнер за изхвърляне на остри предмети.</w:t>
      </w:r>
    </w:p>
    <w:p w14:paraId="109AE9FB" w14:textId="77777777" w:rsidR="009B3384" w:rsidRDefault="009B3384">
      <w:pPr>
        <w:tabs>
          <w:tab w:val="clear" w:pos="567"/>
          <w:tab w:val="left" w:pos="216"/>
          <w:tab w:val="left" w:pos="360"/>
          <w:tab w:val="left" w:pos="540"/>
        </w:tabs>
        <w:rPr>
          <w:szCs w:val="22"/>
        </w:rPr>
      </w:pPr>
    </w:p>
    <w:p w14:paraId="109AE9FC" w14:textId="77777777" w:rsidR="009B3384" w:rsidRDefault="00800862">
      <w:pPr>
        <w:tabs>
          <w:tab w:val="clear" w:pos="567"/>
        </w:tabs>
        <w:rPr>
          <w:rFonts w:eastAsia="Calibri"/>
          <w:szCs w:val="22"/>
          <w:highlight w:val="yellow"/>
          <w:lang w:val="en-US"/>
        </w:rPr>
      </w:pPr>
      <w:r>
        <w:rPr>
          <w:noProof/>
          <w:lang w:eastAsia="bg-BG"/>
        </w:rPr>
        <w:lastRenderedPageBreak/>
        <w:drawing>
          <wp:inline distT="0" distB="0" distL="0" distR="0" wp14:anchorId="109AEA7B" wp14:editId="109AEA7C">
            <wp:extent cx="1876425" cy="187642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l="-11" t="-11" r="-11" b="-11"/>
                    <a:stretch>
                      <a:fillRect/>
                    </a:stretch>
                  </pic:blipFill>
                  <pic:spPr bwMode="auto">
                    <a:xfrm>
                      <a:off x="0" y="0"/>
                      <a:ext cx="1876425" cy="1876425"/>
                    </a:xfrm>
                    <a:prstGeom prst="rect">
                      <a:avLst/>
                    </a:prstGeom>
                    <a:solidFill>
                      <a:srgbClr val="FFFFFF"/>
                    </a:solidFill>
                    <a:ln>
                      <a:noFill/>
                    </a:ln>
                  </pic:spPr>
                </pic:pic>
              </a:graphicData>
            </a:graphic>
          </wp:inline>
        </w:drawing>
      </w:r>
    </w:p>
    <w:p w14:paraId="109AE9FD" w14:textId="77777777" w:rsidR="009B3384" w:rsidRDefault="009B3384">
      <w:pPr>
        <w:rPr>
          <w:rFonts w:eastAsia="Calibri"/>
          <w:szCs w:val="22"/>
          <w:highlight w:val="yellow"/>
        </w:rPr>
      </w:pPr>
    </w:p>
    <w:p w14:paraId="109AE9FE" w14:textId="77777777" w:rsidR="009B3384" w:rsidRDefault="00800862">
      <w:pPr>
        <w:keepNext/>
        <w:tabs>
          <w:tab w:val="clear" w:pos="567"/>
        </w:tabs>
        <w:rPr>
          <w:rFonts w:eastAsia="Calibri"/>
          <w:b/>
          <w:bCs/>
          <w:szCs w:val="22"/>
        </w:rPr>
      </w:pPr>
      <w:r>
        <w:rPr>
          <w:rFonts w:eastAsia="Calibri"/>
          <w:b/>
          <w:bCs/>
          <w:szCs w:val="22"/>
        </w:rPr>
        <w:t>Проверете мястото на инжектиране</w:t>
      </w:r>
    </w:p>
    <w:p w14:paraId="109AE9FF" w14:textId="77777777" w:rsidR="009B3384" w:rsidRDefault="00800862">
      <w:pPr>
        <w:tabs>
          <w:tab w:val="clear" w:pos="567"/>
        </w:tabs>
        <w:rPr>
          <w:rFonts w:eastAsia="Calibri"/>
          <w:szCs w:val="22"/>
        </w:rPr>
      </w:pPr>
      <w:r>
        <w:rPr>
          <w:rFonts w:eastAsia="Calibri"/>
          <w:szCs w:val="22"/>
        </w:rPr>
        <w:t>Възможно е на мястото на инжектиране да има малко количество кръв или течност. Това е нормално. Притиснете парче памук или марля към мястото на инжектиране, докато кървенето спре.</w:t>
      </w:r>
    </w:p>
    <w:p w14:paraId="109AEA00" w14:textId="77777777" w:rsidR="009B3384" w:rsidRDefault="00800862">
      <w:pPr>
        <w:tabs>
          <w:tab w:val="clear" w:pos="567"/>
        </w:tabs>
        <w:rPr>
          <w:rFonts w:eastAsia="Calibri"/>
          <w:szCs w:val="22"/>
        </w:rPr>
      </w:pPr>
      <w:r>
        <w:rPr>
          <w:rFonts w:eastAsia="Calibri"/>
          <w:b/>
          <w:bCs/>
          <w:szCs w:val="22"/>
        </w:rPr>
        <w:t>Не</w:t>
      </w:r>
      <w:r>
        <w:rPr>
          <w:rFonts w:eastAsia="Calibri"/>
          <w:szCs w:val="22"/>
        </w:rPr>
        <w:t xml:space="preserve"> разтривайте мястото на инжектиране.</w:t>
      </w:r>
    </w:p>
    <w:p w14:paraId="109AEA01" w14:textId="77777777" w:rsidR="009B3384" w:rsidRDefault="00800862">
      <w:pPr>
        <w:tabs>
          <w:tab w:val="clear" w:pos="567"/>
        </w:tabs>
        <w:rPr>
          <w:rFonts w:eastAsia="Calibri"/>
          <w:szCs w:val="22"/>
        </w:rPr>
      </w:pPr>
      <w:r>
        <w:rPr>
          <w:rFonts w:eastAsia="Calibri"/>
          <w:szCs w:val="22"/>
        </w:rPr>
        <w:t>Ако е необходимо, покрийте мястото на инжектиране с превръзка.</w:t>
      </w:r>
    </w:p>
    <w:p w14:paraId="109AEA02" w14:textId="77777777" w:rsidR="009B3384" w:rsidRDefault="009B3384">
      <w:pPr>
        <w:tabs>
          <w:tab w:val="clear" w:pos="567"/>
        </w:tabs>
      </w:pPr>
    </w:p>
    <w:p w14:paraId="109AEA03" w14:textId="77777777" w:rsidR="009B3384" w:rsidRPr="00BC6A43" w:rsidRDefault="00800862" w:rsidP="00BC6A43">
      <w:pPr>
        <w:pBdr>
          <w:top w:val="single" w:sz="12" w:space="1" w:color="000000"/>
          <w:left w:val="single" w:sz="12" w:space="4" w:color="000000"/>
          <w:bottom w:val="single" w:sz="12" w:space="1" w:color="000000"/>
          <w:right w:val="single" w:sz="12" w:space="4" w:color="000000"/>
        </w:pBdr>
        <w:rPr>
          <w:b/>
          <w:bCs/>
        </w:rPr>
      </w:pPr>
      <w:r>
        <w:rPr>
          <w:rFonts w:eastAsia="Calibri"/>
          <w:szCs w:val="22"/>
        </w:rPr>
        <w:t>Ако получите две предварително напълнени писалки от 45</w:t>
      </w:r>
      <w:r>
        <w:rPr>
          <w:rFonts w:eastAsia="Calibri"/>
          <w:szCs w:val="22"/>
          <w:lang w:val="en-US"/>
        </w:rPr>
        <w:t> </w:t>
      </w:r>
      <w:r>
        <w:rPr>
          <w:rFonts w:eastAsia="Calibri"/>
          <w:szCs w:val="22"/>
        </w:rPr>
        <w:t>mg за доза 90</w:t>
      </w:r>
      <w:r>
        <w:rPr>
          <w:rFonts w:eastAsia="Calibri"/>
          <w:szCs w:val="22"/>
          <w:lang w:val="en-US"/>
        </w:rPr>
        <w:t> </w:t>
      </w:r>
      <w:r>
        <w:rPr>
          <w:rFonts w:eastAsia="Calibri"/>
          <w:szCs w:val="22"/>
        </w:rPr>
        <w:t>mg, повторете Стъпки 1-3 с втората предварително напълнена писалка.</w:t>
      </w:r>
      <w:r w:rsidRPr="00BC6A43">
        <w:rPr>
          <w:rFonts w:eastAsia="Calibri"/>
          <w:b/>
          <w:bCs/>
          <w:szCs w:val="22"/>
        </w:rPr>
        <w:t xml:space="preserve"> </w:t>
      </w:r>
      <w:r>
        <w:rPr>
          <w:rFonts w:eastAsia="Calibri"/>
          <w:b/>
          <w:bCs/>
          <w:szCs w:val="22"/>
        </w:rPr>
        <w:t>Изберете друго място за инжектиране на втората инжекция</w:t>
      </w:r>
      <w:r w:rsidRPr="00BC6A43">
        <w:rPr>
          <w:rFonts w:eastAsia="Calibri"/>
          <w:b/>
          <w:bCs/>
          <w:szCs w:val="22"/>
        </w:rPr>
        <w:t>.</w:t>
      </w:r>
    </w:p>
    <w:p w14:paraId="109AEA04" w14:textId="77777777" w:rsidR="009B3384" w:rsidRDefault="009B3384">
      <w:pPr>
        <w:rPr>
          <w:rFonts w:eastAsia="Calibri"/>
          <w:szCs w:val="22"/>
        </w:rPr>
      </w:pPr>
    </w:p>
    <w:sectPr w:rsidR="009B3384">
      <w:footerReference w:type="default" r:id="rId48"/>
      <w:footerReference w:type="first" r:id="rId49"/>
      <w:pgSz w:w="11906" w:h="16838"/>
      <w:pgMar w:top="1134" w:right="1418" w:bottom="1134" w:left="1418" w:header="0" w:footer="737"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41A45" w14:textId="77777777" w:rsidR="00EE18E0" w:rsidRDefault="00EE18E0">
      <w:r>
        <w:separator/>
      </w:r>
    </w:p>
  </w:endnote>
  <w:endnote w:type="continuationSeparator" w:id="0">
    <w:p w14:paraId="4708DDD9" w14:textId="77777777" w:rsidR="00EE18E0" w:rsidRDefault="00EE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EA83" w14:textId="2AF3A5FE" w:rsidR="009B5D7A" w:rsidRDefault="009B5D7A">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34ED3">
      <w:rPr>
        <w:rStyle w:val="PageNumber"/>
        <w:rFonts w:ascii="Arial" w:hAnsi="Arial" w:cs="Arial"/>
        <w:noProof/>
      </w:rPr>
      <w:t>131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EA84" w14:textId="290C41B8" w:rsidR="009B5D7A" w:rsidRDefault="009B5D7A">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81398">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C3FC" w14:textId="77777777" w:rsidR="00EE18E0" w:rsidRDefault="00EE18E0">
      <w:r>
        <w:separator/>
      </w:r>
    </w:p>
  </w:footnote>
  <w:footnote w:type="continuationSeparator" w:id="0">
    <w:p w14:paraId="411CF3FD" w14:textId="77777777" w:rsidR="00EE18E0" w:rsidRDefault="00EE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7214078E"/>
    <w:name w:val="WW8Num12"/>
    <w:lvl w:ilvl="0">
      <w:start w:val="1"/>
      <w:numFmt w:val="bullet"/>
      <w:lvlText w:val=""/>
      <w:lvlJc w:val="left"/>
      <w:pPr>
        <w:tabs>
          <w:tab w:val="num" w:pos="360"/>
        </w:tabs>
        <w:ind w:left="567" w:hanging="567"/>
      </w:pPr>
      <w:rPr>
        <w:rFonts w:ascii="Symbol" w:hAnsi="Symbol" w:hint="default"/>
      </w:rPr>
    </w:lvl>
    <w:lvl w:ilvl="1">
      <w:start w:val="1"/>
      <w:numFmt w:val="bullet"/>
      <w:lvlText w:val="o"/>
      <w:lvlJc w:val="left"/>
      <w:pPr>
        <w:tabs>
          <w:tab w:val="num" w:pos="927"/>
        </w:tabs>
        <w:ind w:left="1134" w:hanging="567"/>
      </w:pPr>
      <w:rPr>
        <w:rFonts w:ascii="OpenSymbol" w:hAnsi="OpenSymbol" w:cs="OpenSymbol" w:hint="default"/>
      </w:rPr>
    </w:lvl>
    <w:lvl w:ilvl="2">
      <w:start w:val="1"/>
      <w:numFmt w:val="bullet"/>
      <w:lvlText w:val=""/>
      <w:lvlJc w:val="left"/>
      <w:pPr>
        <w:tabs>
          <w:tab w:val="num" w:pos="1494"/>
        </w:tabs>
        <w:ind w:left="1701" w:hanging="567"/>
      </w:pPr>
      <w:rPr>
        <w:rFonts w:ascii="Wingdings" w:hAnsi="Wingdings" w:cs="Wingdings" w:hint="default"/>
      </w:rPr>
    </w:lvl>
    <w:lvl w:ilvl="3">
      <w:start w:val="1"/>
      <w:numFmt w:val="bullet"/>
      <w:lvlText w:val=""/>
      <w:lvlJc w:val="left"/>
      <w:pPr>
        <w:tabs>
          <w:tab w:val="num" w:pos="2061"/>
        </w:tabs>
        <w:ind w:left="2268" w:hanging="567"/>
      </w:pPr>
      <w:rPr>
        <w:rFonts w:ascii="Symbol" w:hAnsi="Symbol" w:cs="Symbol" w:hint="default"/>
      </w:rPr>
    </w:lvl>
    <w:lvl w:ilvl="4">
      <w:start w:val="1"/>
      <w:numFmt w:val="bullet"/>
      <w:lvlText w:val="o"/>
      <w:lvlJc w:val="left"/>
      <w:pPr>
        <w:tabs>
          <w:tab w:val="num" w:pos="2628"/>
        </w:tabs>
        <w:ind w:left="2835" w:hanging="567"/>
      </w:pPr>
      <w:rPr>
        <w:rFonts w:ascii="Courier New" w:hAnsi="Courier New" w:cs="Courier New" w:hint="default"/>
      </w:rPr>
    </w:lvl>
    <w:lvl w:ilvl="5">
      <w:start w:val="1"/>
      <w:numFmt w:val="bullet"/>
      <w:lvlText w:val=""/>
      <w:lvlJc w:val="left"/>
      <w:pPr>
        <w:tabs>
          <w:tab w:val="num" w:pos="3195"/>
        </w:tabs>
        <w:ind w:left="3402" w:hanging="567"/>
      </w:pPr>
      <w:rPr>
        <w:rFonts w:ascii="Wingdings" w:hAnsi="Wingdings" w:cs="Wingdings" w:hint="default"/>
      </w:rPr>
    </w:lvl>
    <w:lvl w:ilvl="6">
      <w:start w:val="1"/>
      <w:numFmt w:val="bullet"/>
      <w:lvlText w:val=""/>
      <w:lvlJc w:val="left"/>
      <w:pPr>
        <w:tabs>
          <w:tab w:val="num" w:pos="3762"/>
        </w:tabs>
        <w:ind w:left="3969" w:hanging="567"/>
      </w:pPr>
      <w:rPr>
        <w:rFonts w:ascii="Symbol" w:hAnsi="Symbol" w:cs="Symbol" w:hint="default"/>
      </w:rPr>
    </w:lvl>
    <w:lvl w:ilvl="7">
      <w:start w:val="1"/>
      <w:numFmt w:val="bullet"/>
      <w:lvlText w:val="o"/>
      <w:lvlJc w:val="left"/>
      <w:pPr>
        <w:tabs>
          <w:tab w:val="num" w:pos="4329"/>
        </w:tabs>
        <w:ind w:left="4536" w:hanging="567"/>
      </w:pPr>
      <w:rPr>
        <w:rFonts w:ascii="Courier New" w:hAnsi="Courier New" w:cs="Courier New" w:hint="default"/>
      </w:rPr>
    </w:lvl>
    <w:lvl w:ilvl="8">
      <w:start w:val="1"/>
      <w:numFmt w:val="bullet"/>
      <w:lvlText w:val=""/>
      <w:lvlJc w:val="left"/>
      <w:pPr>
        <w:tabs>
          <w:tab w:val="num" w:pos="4896"/>
        </w:tabs>
        <w:ind w:left="5103" w:hanging="567"/>
      </w:pPr>
      <w:rPr>
        <w:rFonts w:ascii="Wingdings" w:hAnsi="Wingdings" w:cs="Wingdings" w:hint="default"/>
      </w:rPr>
    </w:lvl>
  </w:abstractNum>
  <w:abstractNum w:abstractNumId="1" w15:restartNumberingAfterBreak="0">
    <w:nsid w:val="011C4A3D"/>
    <w:multiLevelType w:val="multilevel"/>
    <w:tmpl w:val="85E66ED6"/>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9F79A7"/>
    <w:multiLevelType w:val="hybridMultilevel"/>
    <w:tmpl w:val="A544CC9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E06FC1"/>
    <w:multiLevelType w:val="multilevel"/>
    <w:tmpl w:val="3F1A3D64"/>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50636A"/>
    <w:multiLevelType w:val="multilevel"/>
    <w:tmpl w:val="46B87940"/>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b w:val="0"/>
        <w:i w:val="0"/>
        <w:sz w:val="22"/>
      </w:rPr>
    </w:lvl>
  </w:abstractNum>
  <w:abstractNum w:abstractNumId="5" w15:restartNumberingAfterBreak="0">
    <w:nsid w:val="1FB7787B"/>
    <w:multiLevelType w:val="hybridMultilevel"/>
    <w:tmpl w:val="D4D2FC0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1894E0A"/>
    <w:multiLevelType w:val="multilevel"/>
    <w:tmpl w:val="390ABA70"/>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112ECE"/>
    <w:multiLevelType w:val="multilevel"/>
    <w:tmpl w:val="AC9680B6"/>
    <w:lvl w:ilvl="0">
      <w:start w:val="1"/>
      <w:numFmt w:val="bullet"/>
      <w:lvlText w:val=""/>
      <w:lvlJc w:val="left"/>
      <w:pPr>
        <w:tabs>
          <w:tab w:val="num" w:pos="567"/>
        </w:tabs>
        <w:ind w:left="567" w:hanging="567"/>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3D60E40"/>
    <w:multiLevelType w:val="hybridMultilevel"/>
    <w:tmpl w:val="DEA4D0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8E22953"/>
    <w:multiLevelType w:val="hybridMultilevel"/>
    <w:tmpl w:val="AE3228C4"/>
    <w:lvl w:ilvl="0" w:tplc="B486FB78">
      <w:start w:val="1"/>
      <w:numFmt w:val="bullet"/>
      <w:lvlText w:val=""/>
      <w:lvlJc w:val="left"/>
      <w:pPr>
        <w:tabs>
          <w:tab w:val="num" w:pos="567"/>
        </w:tabs>
        <w:ind w:left="567" w:hanging="567"/>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90564C6"/>
    <w:multiLevelType w:val="hybridMultilevel"/>
    <w:tmpl w:val="9D2E6408"/>
    <w:lvl w:ilvl="0" w:tplc="38348804">
      <w:start w:val="1"/>
      <w:numFmt w:val="bullet"/>
      <w:lvlText w:val="-"/>
      <w:lvlJc w:val="left"/>
      <w:pPr>
        <w:ind w:left="720" w:hanging="360"/>
      </w:pPr>
      <w:rPr>
        <w:rFonts w:ascii="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97A7588"/>
    <w:multiLevelType w:val="multilevel"/>
    <w:tmpl w:val="7BCA6C38"/>
    <w:lvl w:ilvl="0">
      <w:start w:val="1"/>
      <w:numFmt w:val="bullet"/>
      <w:pStyle w:val="ListBullet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A84488F"/>
    <w:multiLevelType w:val="multilevel"/>
    <w:tmpl w:val="B12ECD3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0573E03"/>
    <w:multiLevelType w:val="multilevel"/>
    <w:tmpl w:val="5DA62FF2"/>
    <w:lvl w:ilvl="0">
      <w:start w:val="1"/>
      <w:numFmt w:val="bullet"/>
      <w:lvlText w:val=""/>
      <w:lvlJc w:val="left"/>
      <w:pPr>
        <w:tabs>
          <w:tab w:val="num" w:pos="567"/>
        </w:tabs>
        <w:ind w:left="567" w:hanging="567"/>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21170A5"/>
    <w:multiLevelType w:val="multilevel"/>
    <w:tmpl w:val="6BAAED9C"/>
    <w:lvl w:ilvl="0">
      <w:start w:val="1"/>
      <w:numFmt w:val="bullet"/>
      <w:lvlText w:val=""/>
      <w:lvlJc w:val="left"/>
      <w:pPr>
        <w:tabs>
          <w:tab w:val="num" w:pos="567"/>
        </w:tabs>
        <w:ind w:left="567" w:hanging="567"/>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5CE60BD"/>
    <w:multiLevelType w:val="multilevel"/>
    <w:tmpl w:val="FD8217E4"/>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AB4507A"/>
    <w:multiLevelType w:val="multilevel"/>
    <w:tmpl w:val="3E5E2E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E992547"/>
    <w:multiLevelType w:val="multilevel"/>
    <w:tmpl w:val="C20CF3C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063556D"/>
    <w:multiLevelType w:val="multilevel"/>
    <w:tmpl w:val="07905D78"/>
    <w:lvl w:ilvl="0">
      <w:start w:val="1"/>
      <w:numFmt w:val="decimal"/>
      <w:pStyle w:val="ListNumber4"/>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13B2967"/>
    <w:multiLevelType w:val="multilevel"/>
    <w:tmpl w:val="1BEA2A3A"/>
    <w:lvl w:ilvl="0">
      <w:start w:val="1"/>
      <w:numFmt w:val="decimal"/>
      <w:pStyle w:val="ListNumber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1CF5D24"/>
    <w:multiLevelType w:val="hybridMultilevel"/>
    <w:tmpl w:val="031CA9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8A9441C"/>
    <w:multiLevelType w:val="multilevel"/>
    <w:tmpl w:val="4E66368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2" w15:restartNumberingAfterBreak="0">
    <w:nsid w:val="4BB77A1E"/>
    <w:multiLevelType w:val="multilevel"/>
    <w:tmpl w:val="26086F7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DAD20DB"/>
    <w:multiLevelType w:val="multilevel"/>
    <w:tmpl w:val="49C47C58"/>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DDA6DB0"/>
    <w:multiLevelType w:val="multilevel"/>
    <w:tmpl w:val="8320E8CE"/>
    <w:lvl w:ilvl="0">
      <w:start w:val="1"/>
      <w:numFmt w:val="bullet"/>
      <w:lvlText w:val=""/>
      <w:lvlJc w:val="left"/>
      <w:pPr>
        <w:tabs>
          <w:tab w:val="num" w:pos="567"/>
        </w:tabs>
        <w:ind w:left="567" w:hanging="567"/>
      </w:pPr>
      <w:rPr>
        <w:rFonts w:ascii="Symbol" w:hAnsi="Symbol" w:cs="Symbol" w:hint="default"/>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FE46980"/>
    <w:multiLevelType w:val="multilevel"/>
    <w:tmpl w:val="4E92CE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3C11CA7"/>
    <w:multiLevelType w:val="multilevel"/>
    <w:tmpl w:val="F79016F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95953CB"/>
    <w:multiLevelType w:val="multilevel"/>
    <w:tmpl w:val="A1605304"/>
    <w:lvl w:ilvl="0">
      <w:start w:val="1"/>
      <w:numFmt w:val="bullet"/>
      <w:pStyle w:val="ListBullet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9DD1188"/>
    <w:multiLevelType w:val="multilevel"/>
    <w:tmpl w:val="61E0481C"/>
    <w:lvl w:ilvl="0">
      <w:start w:val="1"/>
      <w:numFmt w:val="bullet"/>
      <w:lvlText w:val=""/>
      <w:lvlJc w:val="left"/>
      <w:pPr>
        <w:tabs>
          <w:tab w:val="num" w:pos="0"/>
        </w:tabs>
        <w:ind w:left="1134" w:hanging="360"/>
      </w:pPr>
      <w:rPr>
        <w:rFonts w:ascii="Symbol" w:hAnsi="Symbol" w:cs="Symbol" w:hint="default"/>
      </w:rPr>
    </w:lvl>
    <w:lvl w:ilvl="1">
      <w:start w:val="1"/>
      <w:numFmt w:val="bullet"/>
      <w:lvlText w:val="o"/>
      <w:lvlJc w:val="left"/>
      <w:pPr>
        <w:tabs>
          <w:tab w:val="num" w:pos="0"/>
        </w:tabs>
        <w:ind w:left="1854" w:hanging="360"/>
      </w:pPr>
      <w:rPr>
        <w:rFonts w:ascii="Courier New" w:hAnsi="Courier New" w:cs="Courier New" w:hint="default"/>
      </w:rPr>
    </w:lvl>
    <w:lvl w:ilvl="2">
      <w:start w:val="1"/>
      <w:numFmt w:val="bullet"/>
      <w:lvlText w:val=""/>
      <w:lvlJc w:val="left"/>
      <w:pPr>
        <w:tabs>
          <w:tab w:val="num" w:pos="0"/>
        </w:tabs>
        <w:ind w:left="2574" w:hanging="360"/>
      </w:pPr>
      <w:rPr>
        <w:rFonts w:ascii="Wingdings" w:hAnsi="Wingdings" w:cs="Wingdings" w:hint="default"/>
      </w:rPr>
    </w:lvl>
    <w:lvl w:ilvl="3">
      <w:start w:val="1"/>
      <w:numFmt w:val="bullet"/>
      <w:lvlText w:val=""/>
      <w:lvlJc w:val="left"/>
      <w:pPr>
        <w:tabs>
          <w:tab w:val="num" w:pos="0"/>
        </w:tabs>
        <w:ind w:left="3294" w:hanging="360"/>
      </w:pPr>
      <w:rPr>
        <w:rFonts w:ascii="Symbol" w:hAnsi="Symbol" w:cs="Symbol" w:hint="default"/>
      </w:rPr>
    </w:lvl>
    <w:lvl w:ilvl="4">
      <w:start w:val="1"/>
      <w:numFmt w:val="bullet"/>
      <w:lvlText w:val="o"/>
      <w:lvlJc w:val="left"/>
      <w:pPr>
        <w:tabs>
          <w:tab w:val="num" w:pos="0"/>
        </w:tabs>
        <w:ind w:left="4014" w:hanging="360"/>
      </w:pPr>
      <w:rPr>
        <w:rFonts w:ascii="Courier New" w:hAnsi="Courier New" w:cs="Courier New" w:hint="default"/>
      </w:rPr>
    </w:lvl>
    <w:lvl w:ilvl="5">
      <w:start w:val="1"/>
      <w:numFmt w:val="bullet"/>
      <w:lvlText w:val=""/>
      <w:lvlJc w:val="left"/>
      <w:pPr>
        <w:tabs>
          <w:tab w:val="num" w:pos="0"/>
        </w:tabs>
        <w:ind w:left="4734" w:hanging="360"/>
      </w:pPr>
      <w:rPr>
        <w:rFonts w:ascii="Wingdings" w:hAnsi="Wingdings" w:cs="Wingdings" w:hint="default"/>
      </w:rPr>
    </w:lvl>
    <w:lvl w:ilvl="6">
      <w:start w:val="1"/>
      <w:numFmt w:val="bullet"/>
      <w:lvlText w:val=""/>
      <w:lvlJc w:val="left"/>
      <w:pPr>
        <w:tabs>
          <w:tab w:val="num" w:pos="0"/>
        </w:tabs>
        <w:ind w:left="5454" w:hanging="360"/>
      </w:pPr>
      <w:rPr>
        <w:rFonts w:ascii="Symbol" w:hAnsi="Symbol" w:cs="Symbol" w:hint="default"/>
      </w:rPr>
    </w:lvl>
    <w:lvl w:ilvl="7">
      <w:start w:val="1"/>
      <w:numFmt w:val="bullet"/>
      <w:lvlText w:val="o"/>
      <w:lvlJc w:val="left"/>
      <w:pPr>
        <w:tabs>
          <w:tab w:val="num" w:pos="0"/>
        </w:tabs>
        <w:ind w:left="6174" w:hanging="360"/>
      </w:pPr>
      <w:rPr>
        <w:rFonts w:ascii="Courier New" w:hAnsi="Courier New" w:cs="Courier New" w:hint="default"/>
      </w:rPr>
    </w:lvl>
    <w:lvl w:ilvl="8">
      <w:start w:val="1"/>
      <w:numFmt w:val="bullet"/>
      <w:lvlText w:val=""/>
      <w:lvlJc w:val="left"/>
      <w:pPr>
        <w:tabs>
          <w:tab w:val="num" w:pos="0"/>
        </w:tabs>
        <w:ind w:left="6894" w:hanging="360"/>
      </w:pPr>
      <w:rPr>
        <w:rFonts w:ascii="Wingdings" w:hAnsi="Wingdings" w:cs="Wingdings" w:hint="default"/>
      </w:rPr>
    </w:lvl>
  </w:abstractNum>
  <w:abstractNum w:abstractNumId="29" w15:restartNumberingAfterBreak="0">
    <w:nsid w:val="6A395BBF"/>
    <w:multiLevelType w:val="multilevel"/>
    <w:tmpl w:val="F84049E6"/>
    <w:lvl w:ilvl="0">
      <w:start w:val="1"/>
      <w:numFmt w:val="bullet"/>
      <w:lvlText w:val=""/>
      <w:lvlJc w:val="left"/>
      <w:pPr>
        <w:tabs>
          <w:tab w:val="num" w:pos="567"/>
        </w:tabs>
        <w:ind w:left="567" w:hanging="567"/>
      </w:pPr>
      <w:rPr>
        <w:rFonts w:ascii="Symbol" w:hAnsi="Symbol" w:cs="Symbol" w:hint="default"/>
        <w:color w:val="auto"/>
      </w:rPr>
    </w:lvl>
    <w:lvl w:ilvl="1">
      <w:start w:val="1"/>
      <w:numFmt w:val="bullet"/>
      <w:lvlText w:val="o"/>
      <w:lvlJc w:val="left"/>
      <w:pPr>
        <w:tabs>
          <w:tab w:val="num" w:pos="1134"/>
        </w:tabs>
        <w:ind w:left="1134" w:hanging="567"/>
      </w:pPr>
      <w:rPr>
        <w:rFonts w:ascii="OpenSymbol" w:hAnsi="OpenSymbol" w:cs="OpenSymbol" w:hint="default"/>
      </w:rPr>
    </w:lvl>
    <w:lvl w:ilvl="2">
      <w:start w:val="1"/>
      <w:numFmt w:val="bullet"/>
      <w:lvlText w:val=""/>
      <w:lvlJc w:val="left"/>
      <w:pPr>
        <w:tabs>
          <w:tab w:val="num" w:pos="2367"/>
        </w:tabs>
        <w:ind w:left="2367" w:hanging="567"/>
      </w:pPr>
      <w:rPr>
        <w:rFonts w:ascii="Symbol" w:hAnsi="Symbol" w:cs="Symbol" w:hint="default"/>
        <w:color w:val="auto"/>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E4A591F"/>
    <w:multiLevelType w:val="multilevel"/>
    <w:tmpl w:val="606EBBD4"/>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F9337D0"/>
    <w:multiLevelType w:val="hybridMultilevel"/>
    <w:tmpl w:val="135AB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CF401F"/>
    <w:multiLevelType w:val="multilevel"/>
    <w:tmpl w:val="4D284532"/>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134"/>
        </w:tabs>
        <w:ind w:left="1134" w:hanging="567"/>
      </w:pPr>
      <w:rPr>
        <w:rFonts w:ascii="OpenSymbol" w:hAnsi="OpenSymbol" w:cs="Open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3" w15:restartNumberingAfterBreak="0">
    <w:nsid w:val="79C97855"/>
    <w:multiLevelType w:val="multilevel"/>
    <w:tmpl w:val="3A96E1A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DCA089C"/>
    <w:multiLevelType w:val="multilevel"/>
    <w:tmpl w:val="DBDAED7A"/>
    <w:lvl w:ilvl="0">
      <w:start w:val="1"/>
      <w:numFmt w:val="bullet"/>
      <w:lvlText w:val=""/>
      <w:lvlJc w:val="left"/>
      <w:pPr>
        <w:tabs>
          <w:tab w:val="num" w:pos="720"/>
        </w:tabs>
        <w:ind w:left="720" w:hanging="360"/>
      </w:pPr>
      <w:rPr>
        <w:rFonts w:ascii="Symbol" w:hAnsi="Symbol" w:cs="Symbol" w:hint="default"/>
        <w:strike w:val="0"/>
        <w:dstrike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495345371">
    <w:abstractNumId w:val="4"/>
  </w:num>
  <w:num w:numId="2" w16cid:durableId="1179272752">
    <w:abstractNumId w:val="24"/>
  </w:num>
  <w:num w:numId="3" w16cid:durableId="1573585545">
    <w:abstractNumId w:val="7"/>
  </w:num>
  <w:num w:numId="4" w16cid:durableId="105852539">
    <w:abstractNumId w:val="22"/>
  </w:num>
  <w:num w:numId="5" w16cid:durableId="2049603001">
    <w:abstractNumId w:val="30"/>
  </w:num>
  <w:num w:numId="6" w16cid:durableId="854226706">
    <w:abstractNumId w:val="23"/>
  </w:num>
  <w:num w:numId="7" w16cid:durableId="1567913777">
    <w:abstractNumId w:val="27"/>
  </w:num>
  <w:num w:numId="8" w16cid:durableId="1021124241">
    <w:abstractNumId w:val="11"/>
  </w:num>
  <w:num w:numId="9" w16cid:durableId="2124306056">
    <w:abstractNumId w:val="15"/>
  </w:num>
  <w:num w:numId="10" w16cid:durableId="533006119">
    <w:abstractNumId w:val="6"/>
  </w:num>
  <w:num w:numId="11" w16cid:durableId="659777258">
    <w:abstractNumId w:val="1"/>
  </w:num>
  <w:num w:numId="12" w16cid:durableId="963345425">
    <w:abstractNumId w:val="18"/>
  </w:num>
  <w:num w:numId="13" w16cid:durableId="1975795009">
    <w:abstractNumId w:val="19"/>
  </w:num>
  <w:num w:numId="14" w16cid:durableId="2058822094">
    <w:abstractNumId w:val="29"/>
  </w:num>
  <w:num w:numId="15" w16cid:durableId="150101801">
    <w:abstractNumId w:val="32"/>
  </w:num>
  <w:num w:numId="16" w16cid:durableId="1507204881">
    <w:abstractNumId w:val="25"/>
  </w:num>
  <w:num w:numId="17" w16cid:durableId="877475748">
    <w:abstractNumId w:val="33"/>
  </w:num>
  <w:num w:numId="18" w16cid:durableId="1998262132">
    <w:abstractNumId w:val="13"/>
  </w:num>
  <w:num w:numId="19" w16cid:durableId="1534659450">
    <w:abstractNumId w:val="34"/>
  </w:num>
  <w:num w:numId="20" w16cid:durableId="1562405412">
    <w:abstractNumId w:val="12"/>
  </w:num>
  <w:num w:numId="21" w16cid:durableId="508957592">
    <w:abstractNumId w:val="17"/>
  </w:num>
  <w:num w:numId="22" w16cid:durableId="1277254363">
    <w:abstractNumId w:val="26"/>
  </w:num>
  <w:num w:numId="23" w16cid:durableId="1651595664">
    <w:abstractNumId w:val="3"/>
  </w:num>
  <w:num w:numId="24" w16cid:durableId="6979106">
    <w:abstractNumId w:val="28"/>
  </w:num>
  <w:num w:numId="25" w16cid:durableId="600263603">
    <w:abstractNumId w:val="14"/>
  </w:num>
  <w:num w:numId="26" w16cid:durableId="153952618">
    <w:abstractNumId w:val="16"/>
  </w:num>
  <w:num w:numId="27" w16cid:durableId="858734519">
    <w:abstractNumId w:val="10"/>
  </w:num>
  <w:num w:numId="28" w16cid:durableId="1863279862">
    <w:abstractNumId w:val="5"/>
  </w:num>
  <w:num w:numId="29" w16cid:durableId="45302682">
    <w:abstractNumId w:val="2"/>
  </w:num>
  <w:num w:numId="30" w16cid:durableId="951128084">
    <w:abstractNumId w:val="9"/>
  </w:num>
  <w:num w:numId="31" w16cid:durableId="1951038152">
    <w:abstractNumId w:val="8"/>
  </w:num>
  <w:num w:numId="32" w16cid:durableId="551507063">
    <w:abstractNumId w:val="0"/>
  </w:num>
  <w:num w:numId="33" w16cid:durableId="488598581">
    <w:abstractNumId w:val="31"/>
  </w:num>
  <w:num w:numId="34" w16cid:durableId="14816695">
    <w:abstractNumId w:val="21"/>
  </w:num>
  <w:num w:numId="35" w16cid:durableId="1795060336">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ser">
    <w15:presenceInfo w15:providerId="None" w15:userId="Reviser"/>
  </w15:person>
  <w15:person w15:author="EUCP BE1">
    <w15:presenceInfo w15:providerId="None" w15:userId="EUCP BE1"/>
  </w15:person>
  <w15:person w15:author="RABG09">
    <w15:presenceInfo w15:providerId="None" w15:userId="RABG09"/>
  </w15:person>
  <w15:person w15:author="BG">
    <w15:presenceInfo w15:providerId="None" w15:userId="BG"/>
  </w15:person>
  <w15:person w15:author="Italian LOC">
    <w15:presenceInfo w15:providerId="None" w15:userId="Italian LO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0"/>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defaultTabStop w:val="567"/>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384"/>
    <w:rsid w:val="00011B86"/>
    <w:rsid w:val="00011BA0"/>
    <w:rsid w:val="000137BF"/>
    <w:rsid w:val="00013E8D"/>
    <w:rsid w:val="0001656F"/>
    <w:rsid w:val="00020F75"/>
    <w:rsid w:val="000217F3"/>
    <w:rsid w:val="00026535"/>
    <w:rsid w:val="00036B8F"/>
    <w:rsid w:val="00042005"/>
    <w:rsid w:val="000647E1"/>
    <w:rsid w:val="00066480"/>
    <w:rsid w:val="00076BBF"/>
    <w:rsid w:val="00081398"/>
    <w:rsid w:val="00095C02"/>
    <w:rsid w:val="000A29CF"/>
    <w:rsid w:val="000D1BF1"/>
    <w:rsid w:val="000D36BD"/>
    <w:rsid w:val="000E7A0E"/>
    <w:rsid w:val="000F52A0"/>
    <w:rsid w:val="00100040"/>
    <w:rsid w:val="001103DE"/>
    <w:rsid w:val="001110FF"/>
    <w:rsid w:val="00123C4D"/>
    <w:rsid w:val="00125423"/>
    <w:rsid w:val="00133149"/>
    <w:rsid w:val="00150306"/>
    <w:rsid w:val="0015207C"/>
    <w:rsid w:val="00156C3D"/>
    <w:rsid w:val="001676CB"/>
    <w:rsid w:val="00171077"/>
    <w:rsid w:val="00172829"/>
    <w:rsid w:val="00182620"/>
    <w:rsid w:val="00194A00"/>
    <w:rsid w:val="001A58F7"/>
    <w:rsid w:val="001C309E"/>
    <w:rsid w:val="001C434F"/>
    <w:rsid w:val="001E6947"/>
    <w:rsid w:val="001F5D56"/>
    <w:rsid w:val="002064DE"/>
    <w:rsid w:val="00212B10"/>
    <w:rsid w:val="002139E5"/>
    <w:rsid w:val="00224087"/>
    <w:rsid w:val="0023784F"/>
    <w:rsid w:val="00254420"/>
    <w:rsid w:val="0025579F"/>
    <w:rsid w:val="00260275"/>
    <w:rsid w:val="00273A67"/>
    <w:rsid w:val="00274EC9"/>
    <w:rsid w:val="0028422B"/>
    <w:rsid w:val="00294263"/>
    <w:rsid w:val="00294D29"/>
    <w:rsid w:val="002A30B6"/>
    <w:rsid w:val="002B0FC2"/>
    <w:rsid w:val="002B5C8B"/>
    <w:rsid w:val="002C0770"/>
    <w:rsid w:val="002C37DD"/>
    <w:rsid w:val="002D1183"/>
    <w:rsid w:val="002E27CE"/>
    <w:rsid w:val="002E397D"/>
    <w:rsid w:val="002E777C"/>
    <w:rsid w:val="002F4B40"/>
    <w:rsid w:val="002F5467"/>
    <w:rsid w:val="002F7385"/>
    <w:rsid w:val="003006F7"/>
    <w:rsid w:val="00306C55"/>
    <w:rsid w:val="0031013C"/>
    <w:rsid w:val="0031327C"/>
    <w:rsid w:val="00316087"/>
    <w:rsid w:val="003270BA"/>
    <w:rsid w:val="00334384"/>
    <w:rsid w:val="00334BDA"/>
    <w:rsid w:val="00342C6F"/>
    <w:rsid w:val="00343D0B"/>
    <w:rsid w:val="00351076"/>
    <w:rsid w:val="00351252"/>
    <w:rsid w:val="0035674C"/>
    <w:rsid w:val="003606FD"/>
    <w:rsid w:val="0037033A"/>
    <w:rsid w:val="0037060C"/>
    <w:rsid w:val="00371800"/>
    <w:rsid w:val="00372231"/>
    <w:rsid w:val="00373F59"/>
    <w:rsid w:val="00382084"/>
    <w:rsid w:val="00383994"/>
    <w:rsid w:val="00385F57"/>
    <w:rsid w:val="003868DE"/>
    <w:rsid w:val="00397654"/>
    <w:rsid w:val="003A5C8E"/>
    <w:rsid w:val="003B65CC"/>
    <w:rsid w:val="003C0AB2"/>
    <w:rsid w:val="003D1562"/>
    <w:rsid w:val="003E18C7"/>
    <w:rsid w:val="003E5636"/>
    <w:rsid w:val="003E6BDC"/>
    <w:rsid w:val="004051E2"/>
    <w:rsid w:val="0041322B"/>
    <w:rsid w:val="004240DC"/>
    <w:rsid w:val="00442966"/>
    <w:rsid w:val="004503C0"/>
    <w:rsid w:val="00456127"/>
    <w:rsid w:val="00463606"/>
    <w:rsid w:val="004717CC"/>
    <w:rsid w:val="004733FC"/>
    <w:rsid w:val="00487E15"/>
    <w:rsid w:val="00497B64"/>
    <w:rsid w:val="004A3CBE"/>
    <w:rsid w:val="004B7D12"/>
    <w:rsid w:val="004C1A9A"/>
    <w:rsid w:val="004C53D8"/>
    <w:rsid w:val="004E57F0"/>
    <w:rsid w:val="004F3983"/>
    <w:rsid w:val="00512204"/>
    <w:rsid w:val="0051388A"/>
    <w:rsid w:val="00535B59"/>
    <w:rsid w:val="005432B1"/>
    <w:rsid w:val="00545E3F"/>
    <w:rsid w:val="00572FD9"/>
    <w:rsid w:val="005862E3"/>
    <w:rsid w:val="005A616A"/>
    <w:rsid w:val="005D6E26"/>
    <w:rsid w:val="005F2893"/>
    <w:rsid w:val="005F54B1"/>
    <w:rsid w:val="00632CC3"/>
    <w:rsid w:val="006448DE"/>
    <w:rsid w:val="00646706"/>
    <w:rsid w:val="00647989"/>
    <w:rsid w:val="00662EFB"/>
    <w:rsid w:val="00670478"/>
    <w:rsid w:val="00685CAD"/>
    <w:rsid w:val="006A2177"/>
    <w:rsid w:val="006A4EDA"/>
    <w:rsid w:val="006A6A96"/>
    <w:rsid w:val="006C765F"/>
    <w:rsid w:val="006D31D4"/>
    <w:rsid w:val="006D588B"/>
    <w:rsid w:val="006E6018"/>
    <w:rsid w:val="006F54B9"/>
    <w:rsid w:val="006F5B3F"/>
    <w:rsid w:val="007351EB"/>
    <w:rsid w:val="00736DEB"/>
    <w:rsid w:val="007424C4"/>
    <w:rsid w:val="00760B51"/>
    <w:rsid w:val="00763EBD"/>
    <w:rsid w:val="00765DF6"/>
    <w:rsid w:val="00775268"/>
    <w:rsid w:val="007C4B77"/>
    <w:rsid w:val="007C4FFA"/>
    <w:rsid w:val="007D7E70"/>
    <w:rsid w:val="007E5768"/>
    <w:rsid w:val="007F582D"/>
    <w:rsid w:val="00800862"/>
    <w:rsid w:val="00812A19"/>
    <w:rsid w:val="008269F8"/>
    <w:rsid w:val="008275D2"/>
    <w:rsid w:val="0082767F"/>
    <w:rsid w:val="00834ED3"/>
    <w:rsid w:val="00850FF8"/>
    <w:rsid w:val="00861C01"/>
    <w:rsid w:val="00861E4E"/>
    <w:rsid w:val="008652DE"/>
    <w:rsid w:val="00886DDB"/>
    <w:rsid w:val="00890C3C"/>
    <w:rsid w:val="008B0C50"/>
    <w:rsid w:val="008B17B5"/>
    <w:rsid w:val="008B1951"/>
    <w:rsid w:val="008B4FC4"/>
    <w:rsid w:val="008D7E4A"/>
    <w:rsid w:val="008F6E73"/>
    <w:rsid w:val="00903B79"/>
    <w:rsid w:val="0091136A"/>
    <w:rsid w:val="00936D5D"/>
    <w:rsid w:val="009423BB"/>
    <w:rsid w:val="009437D1"/>
    <w:rsid w:val="0094397D"/>
    <w:rsid w:val="00945904"/>
    <w:rsid w:val="00954886"/>
    <w:rsid w:val="00956480"/>
    <w:rsid w:val="009A6854"/>
    <w:rsid w:val="009B3384"/>
    <w:rsid w:val="009B5D7A"/>
    <w:rsid w:val="009B7AB9"/>
    <w:rsid w:val="009C2FD2"/>
    <w:rsid w:val="009C5B8B"/>
    <w:rsid w:val="009D10B3"/>
    <w:rsid w:val="009D1A5F"/>
    <w:rsid w:val="009D4997"/>
    <w:rsid w:val="009F4AE5"/>
    <w:rsid w:val="00A24C3C"/>
    <w:rsid w:val="00A31B41"/>
    <w:rsid w:val="00A332E7"/>
    <w:rsid w:val="00A344F9"/>
    <w:rsid w:val="00A353E5"/>
    <w:rsid w:val="00A3609D"/>
    <w:rsid w:val="00A46899"/>
    <w:rsid w:val="00A501DC"/>
    <w:rsid w:val="00A527E4"/>
    <w:rsid w:val="00A54D9D"/>
    <w:rsid w:val="00A55D4E"/>
    <w:rsid w:val="00A83D5D"/>
    <w:rsid w:val="00A94A8A"/>
    <w:rsid w:val="00AA5386"/>
    <w:rsid w:val="00AF166D"/>
    <w:rsid w:val="00AF3617"/>
    <w:rsid w:val="00B07C14"/>
    <w:rsid w:val="00B1129C"/>
    <w:rsid w:val="00B1794B"/>
    <w:rsid w:val="00B24202"/>
    <w:rsid w:val="00B42B50"/>
    <w:rsid w:val="00B443AB"/>
    <w:rsid w:val="00B61831"/>
    <w:rsid w:val="00B774E7"/>
    <w:rsid w:val="00BA7441"/>
    <w:rsid w:val="00BB130F"/>
    <w:rsid w:val="00BC09A4"/>
    <w:rsid w:val="00BC6A43"/>
    <w:rsid w:val="00BD14F2"/>
    <w:rsid w:val="00BD7D05"/>
    <w:rsid w:val="00BF3A61"/>
    <w:rsid w:val="00BF5B7B"/>
    <w:rsid w:val="00C00899"/>
    <w:rsid w:val="00C23545"/>
    <w:rsid w:val="00C45959"/>
    <w:rsid w:val="00C52946"/>
    <w:rsid w:val="00C76229"/>
    <w:rsid w:val="00C772C4"/>
    <w:rsid w:val="00C833AD"/>
    <w:rsid w:val="00C949CD"/>
    <w:rsid w:val="00C950AF"/>
    <w:rsid w:val="00C95CD6"/>
    <w:rsid w:val="00CC3739"/>
    <w:rsid w:val="00CD556B"/>
    <w:rsid w:val="00CE0EC4"/>
    <w:rsid w:val="00CE45BF"/>
    <w:rsid w:val="00D13590"/>
    <w:rsid w:val="00D206C2"/>
    <w:rsid w:val="00D21647"/>
    <w:rsid w:val="00D353B4"/>
    <w:rsid w:val="00D367B3"/>
    <w:rsid w:val="00D43054"/>
    <w:rsid w:val="00D55605"/>
    <w:rsid w:val="00D60BD1"/>
    <w:rsid w:val="00D67049"/>
    <w:rsid w:val="00D718A1"/>
    <w:rsid w:val="00D7231F"/>
    <w:rsid w:val="00D73F7D"/>
    <w:rsid w:val="00D94245"/>
    <w:rsid w:val="00D95ADA"/>
    <w:rsid w:val="00D95DDD"/>
    <w:rsid w:val="00DE1C36"/>
    <w:rsid w:val="00DE371F"/>
    <w:rsid w:val="00DE5719"/>
    <w:rsid w:val="00E11307"/>
    <w:rsid w:val="00E12338"/>
    <w:rsid w:val="00E2109D"/>
    <w:rsid w:val="00E259ED"/>
    <w:rsid w:val="00E35970"/>
    <w:rsid w:val="00E36AB2"/>
    <w:rsid w:val="00E36E1D"/>
    <w:rsid w:val="00E64102"/>
    <w:rsid w:val="00E6434C"/>
    <w:rsid w:val="00E752A1"/>
    <w:rsid w:val="00E84400"/>
    <w:rsid w:val="00E96B96"/>
    <w:rsid w:val="00EA3FF7"/>
    <w:rsid w:val="00EB5AA3"/>
    <w:rsid w:val="00EC39C9"/>
    <w:rsid w:val="00EE18E0"/>
    <w:rsid w:val="00EE45C7"/>
    <w:rsid w:val="00F013BD"/>
    <w:rsid w:val="00F0219B"/>
    <w:rsid w:val="00F10330"/>
    <w:rsid w:val="00F2368E"/>
    <w:rsid w:val="00F36A37"/>
    <w:rsid w:val="00F41CE9"/>
    <w:rsid w:val="00F428FD"/>
    <w:rsid w:val="00F72194"/>
    <w:rsid w:val="00F74DF4"/>
    <w:rsid w:val="00F8594E"/>
    <w:rsid w:val="00F9219D"/>
    <w:rsid w:val="00F92985"/>
    <w:rsid w:val="00FA68F6"/>
    <w:rsid w:val="00FB35FB"/>
    <w:rsid w:val="00FB777F"/>
    <w:rsid w:val="00FD1814"/>
    <w:rsid w:val="00FD301D"/>
    <w:rsid w:val="00FE4BEC"/>
    <w:rsid w:val="00FF373F"/>
    <w:rsid w:val="00FF43E2"/>
    <w:rsid w:val="00FF614D"/>
    <w:rsid w:val="00FF6E32"/>
    <w:rsid w:val="00FF71D3"/>
  </w:rsids>
  <m:mathPr>
    <m:mathFont m:val="Cambria Math"/>
    <m:brkBin m:val="before"/>
    <m:brkBinSub m:val="--"/>
    <m:smallFrac m:val="0"/>
    <m:dispDef/>
    <m:lMargin m:val="0"/>
    <m:rMargin m:val="0"/>
    <m:defJc m:val="centerGroup"/>
    <m:wrapIndent m:val="1440"/>
    <m:intLim m:val="subSup"/>
    <m:naryLim m:val="undOvr"/>
  </m:mathPr>
  <w:themeFontLang w:val="nl-BE"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AC8D2"/>
  <w15:docId w15:val="{11FFF08B-4B37-45DE-9C1E-EECFDE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19D"/>
    <w:pPr>
      <w:tabs>
        <w:tab w:val="left" w:pos="567"/>
      </w:tabs>
    </w:pPr>
    <w:rPr>
      <w:sz w:val="22"/>
      <w:lang w:val="bg-BG"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
      <w:sz w:val="24"/>
      <w:lang w:val="en-US"/>
    </w:rPr>
  </w:style>
  <w:style w:type="paragraph" w:styleId="Heading4">
    <w:name w:val="heading 4"/>
    <w:basedOn w:val="Normal"/>
    <w:next w:val="Normal"/>
    <w:link w:val="Heading4Char"/>
    <w:qFormat/>
    <w:pPr>
      <w:keepNext/>
      <w:jc w:val="both"/>
      <w:outlineLvl w:val="3"/>
    </w:pPr>
    <w:rPr>
      <w:b/>
    </w:rPr>
  </w:style>
  <w:style w:type="paragraph" w:styleId="Heading5">
    <w:name w:val="heading 5"/>
    <w:basedOn w:val="Normal"/>
    <w:next w:val="Normal"/>
    <w:link w:val="Heading5Char"/>
    <w:qFormat/>
    <w:pPr>
      <w:keepNext/>
      <w:jc w:val="both"/>
      <w:outlineLvl w:val="4"/>
    </w:pPr>
  </w:style>
  <w:style w:type="paragraph" w:styleId="Heading6">
    <w:name w:val="heading 6"/>
    <w:basedOn w:val="Normal"/>
    <w:next w:val="Normal"/>
    <w:link w:val="Heading6Char"/>
    <w:qFormat/>
    <w:pPr>
      <w:keepNext/>
      <w:tabs>
        <w:tab w:val="left" w:pos="-720"/>
        <w:tab w:val="left" w:pos="4536"/>
      </w:tabs>
      <w:outlineLvl w:val="5"/>
    </w:pPr>
    <w:rPr>
      <w:i/>
    </w:rPr>
  </w:style>
  <w:style w:type="paragraph" w:styleId="Heading7">
    <w:name w:val="heading 7"/>
    <w:basedOn w:val="Normal"/>
    <w:next w:val="Normal"/>
    <w:link w:val="Heading7Char"/>
    <w:qFormat/>
    <w:pPr>
      <w:keepNext/>
      <w:tabs>
        <w:tab w:val="left" w:pos="-720"/>
        <w:tab w:val="left" w:pos="4536"/>
      </w:tab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qFormat/>
  </w:style>
  <w:style w:type="character" w:styleId="CommentReference">
    <w:name w:val="annotation reference"/>
    <w:uiPriority w:val="99"/>
    <w:qFormat/>
    <w:rPr>
      <w:sz w:val="16"/>
      <w:szCs w:val="16"/>
    </w:rPr>
  </w:style>
  <w:style w:type="character" w:styleId="Hyperlink">
    <w:name w:val="Hyperlink"/>
    <w:rPr>
      <w:color w:val="0000FF"/>
      <w:u w:val="single"/>
    </w:rPr>
  </w:style>
  <w:style w:type="character" w:styleId="FollowedHyperlink">
    <w:name w:val="FollowedHyperlink"/>
    <w:semiHidden/>
    <w:rPr>
      <w:color w:val="800080"/>
      <w:u w:val="single"/>
    </w:rPr>
  </w:style>
  <w:style w:type="character" w:styleId="Emphasis">
    <w:name w:val="Emphasis"/>
    <w:qFormat/>
    <w:rPr>
      <w:i/>
      <w:iCs/>
    </w:rPr>
  </w:style>
  <w:style w:type="character" w:customStyle="1" w:styleId="DateChar">
    <w:name w:val="Date Char"/>
    <w:uiPriority w:val="99"/>
    <w:qFormat/>
    <w:rPr>
      <w:sz w:val="22"/>
      <w:lang w:val="en-GB" w:eastAsia="en-US"/>
    </w:rPr>
  </w:style>
  <w:style w:type="character" w:customStyle="1" w:styleId="CommentTextChar">
    <w:name w:val="Comment Text Char"/>
    <w:link w:val="CommentText"/>
    <w:uiPriority w:val="99"/>
    <w:qFormat/>
    <w:rPr>
      <w:lang w:eastAsia="en-US"/>
    </w:rPr>
  </w:style>
  <w:style w:type="character" w:customStyle="1" w:styleId="longtext">
    <w:name w:val="long_text"/>
    <w:qFormat/>
  </w:style>
  <w:style w:type="character" w:customStyle="1" w:styleId="hps">
    <w:name w:val="hps"/>
    <w:qFormat/>
  </w:style>
  <w:style w:type="character" w:customStyle="1" w:styleId="shorttext">
    <w:name w:val="short_text"/>
    <w:qFormat/>
  </w:style>
  <w:style w:type="character" w:customStyle="1" w:styleId="Heading1Char">
    <w:name w:val="Heading 1 Char"/>
    <w:link w:val="Heading1"/>
    <w:qFormat/>
    <w:rPr>
      <w:b/>
      <w:caps/>
      <w:sz w:val="26"/>
    </w:rPr>
  </w:style>
  <w:style w:type="character" w:customStyle="1" w:styleId="Heading2Char">
    <w:name w:val="Heading 2 Char"/>
    <w:link w:val="Heading2"/>
    <w:qFormat/>
    <w:rPr>
      <w:rFonts w:ascii="Helvetica" w:hAnsi="Helvetica"/>
      <w:b/>
      <w:i/>
      <w:sz w:val="24"/>
      <w:lang w:val="bg-BG"/>
    </w:rPr>
  </w:style>
  <w:style w:type="character" w:customStyle="1" w:styleId="Heading3Char">
    <w:name w:val="Heading 3 Char"/>
    <w:link w:val="Heading3"/>
    <w:qFormat/>
    <w:rPr>
      <w:b/>
      <w:kern w:val="2"/>
      <w:sz w:val="24"/>
    </w:rPr>
  </w:style>
  <w:style w:type="character" w:customStyle="1" w:styleId="Heading4Char">
    <w:name w:val="Heading 4 Char"/>
    <w:link w:val="Heading4"/>
    <w:qFormat/>
    <w:rPr>
      <w:b/>
      <w:sz w:val="22"/>
      <w:lang w:val="bg-BG"/>
    </w:rPr>
  </w:style>
  <w:style w:type="character" w:customStyle="1" w:styleId="Heading5Char">
    <w:name w:val="Heading 5 Char"/>
    <w:link w:val="Heading5"/>
    <w:qFormat/>
    <w:rPr>
      <w:sz w:val="22"/>
      <w:lang w:val="bg-BG"/>
    </w:rPr>
  </w:style>
  <w:style w:type="character" w:customStyle="1" w:styleId="Heading6Char">
    <w:name w:val="Heading 6 Char"/>
    <w:link w:val="Heading6"/>
    <w:qFormat/>
    <w:rPr>
      <w:i/>
      <w:sz w:val="22"/>
      <w:lang w:val="bg-BG"/>
    </w:rPr>
  </w:style>
  <w:style w:type="character" w:customStyle="1" w:styleId="Heading7Char">
    <w:name w:val="Heading 7 Char"/>
    <w:link w:val="Heading7"/>
    <w:qFormat/>
    <w:rPr>
      <w:i/>
      <w:sz w:val="22"/>
      <w:lang w:val="bg-BG"/>
    </w:rPr>
  </w:style>
  <w:style w:type="character" w:customStyle="1" w:styleId="Heading8Char">
    <w:name w:val="Heading 8 Char"/>
    <w:link w:val="Heading8"/>
    <w:qFormat/>
    <w:rPr>
      <w:b/>
      <w:i/>
      <w:sz w:val="22"/>
      <w:lang w:val="bg-BG"/>
    </w:rPr>
  </w:style>
  <w:style w:type="character" w:customStyle="1" w:styleId="Heading9Char">
    <w:name w:val="Heading 9 Char"/>
    <w:link w:val="Heading9"/>
    <w:qFormat/>
    <w:rPr>
      <w:b/>
      <w:i/>
      <w:sz w:val="22"/>
      <w:lang w:val="bg-BG"/>
    </w:rPr>
  </w:style>
  <w:style w:type="character" w:customStyle="1" w:styleId="HeaderChar">
    <w:name w:val="Header Char"/>
    <w:link w:val="Header"/>
    <w:semiHidden/>
    <w:qFormat/>
    <w:rPr>
      <w:rFonts w:ascii="Helvetica" w:hAnsi="Helvetica"/>
      <w:lang w:val="bg-BG"/>
    </w:rPr>
  </w:style>
  <w:style w:type="character" w:customStyle="1" w:styleId="FooterChar">
    <w:name w:val="Footer Char"/>
    <w:link w:val="Footer"/>
    <w:semiHidden/>
    <w:qFormat/>
    <w:rPr>
      <w:rFonts w:ascii="Helvetica" w:hAnsi="Helvetica"/>
      <w:sz w:val="16"/>
      <w:lang w:val="bg-BG"/>
    </w:rPr>
  </w:style>
  <w:style w:type="character" w:customStyle="1" w:styleId="BodyTextIndentChar">
    <w:name w:val="Body Text Indent Char"/>
    <w:semiHidden/>
    <w:qFormat/>
    <w:rPr>
      <w:sz w:val="22"/>
      <w:szCs w:val="22"/>
      <w:lang w:val="bg-BG" w:eastAsia="en-GB"/>
    </w:rPr>
  </w:style>
  <w:style w:type="character" w:customStyle="1" w:styleId="BodyText3Char">
    <w:name w:val="Body Text 3 Char"/>
    <w:link w:val="BodyText3"/>
    <w:semiHidden/>
    <w:qFormat/>
    <w:rPr>
      <w:color w:val="0000FF"/>
      <w:sz w:val="22"/>
      <w:szCs w:val="22"/>
      <w:lang w:val="bg-BG" w:eastAsia="en-GB"/>
    </w:rPr>
  </w:style>
  <w:style w:type="character" w:customStyle="1" w:styleId="BodyTextIndent2Char">
    <w:name w:val="Body Text Indent 2 Char"/>
    <w:link w:val="BodyTextIndent2"/>
    <w:semiHidden/>
    <w:qFormat/>
    <w:rPr>
      <w:b/>
      <w:bCs/>
      <w:color w:val="0000FF"/>
      <w:sz w:val="22"/>
      <w:szCs w:val="22"/>
      <w:lang w:val="bg-BG"/>
    </w:rPr>
  </w:style>
  <w:style w:type="character" w:customStyle="1" w:styleId="BodyTextChar">
    <w:name w:val="Body Text Char"/>
    <w:link w:val="BodyText"/>
    <w:semiHidden/>
    <w:qFormat/>
    <w:rPr>
      <w:i/>
      <w:color w:val="008000"/>
      <w:sz w:val="22"/>
      <w:lang w:val="bg-BG"/>
    </w:rPr>
  </w:style>
  <w:style w:type="character" w:customStyle="1" w:styleId="BodyText2Char">
    <w:name w:val="Body Text 2 Char"/>
    <w:link w:val="BodyText2"/>
    <w:semiHidden/>
    <w:qFormat/>
    <w:rPr>
      <w:b/>
      <w:bCs/>
      <w:color w:val="0000FF"/>
      <w:sz w:val="22"/>
      <w:szCs w:val="22"/>
      <w:u w:val="single"/>
      <w:lang w:val="bg-BG"/>
    </w:rPr>
  </w:style>
  <w:style w:type="character" w:customStyle="1" w:styleId="DocumentMapChar">
    <w:name w:val="Document Map Char"/>
    <w:link w:val="DocumentMap"/>
    <w:semiHidden/>
    <w:qFormat/>
    <w:rPr>
      <w:rFonts w:ascii="Tahoma" w:hAnsi="Tahoma" w:cs="Tahoma"/>
      <w:sz w:val="22"/>
      <w:shd w:val="clear" w:color="auto" w:fill="000080"/>
      <w:lang w:val="bg-BG"/>
    </w:rPr>
  </w:style>
  <w:style w:type="character" w:customStyle="1" w:styleId="BodyTextIndent3Char">
    <w:name w:val="Body Text Indent 3 Char"/>
    <w:link w:val="BodyTextIndent3"/>
    <w:semiHidden/>
    <w:qFormat/>
    <w:rPr>
      <w:sz w:val="22"/>
      <w:szCs w:val="21"/>
      <w:lang w:val="bg-BG"/>
    </w:rPr>
  </w:style>
  <w:style w:type="character" w:customStyle="1" w:styleId="BalloonTextChar">
    <w:name w:val="Balloon Text Char"/>
    <w:link w:val="BalloonText"/>
    <w:semiHidden/>
    <w:qFormat/>
    <w:rPr>
      <w:rFonts w:ascii="Tahoma" w:hAnsi="Tahoma" w:cs="Tahoma"/>
      <w:sz w:val="16"/>
      <w:szCs w:val="16"/>
      <w:lang w:val="bg-BG"/>
    </w:rPr>
  </w:style>
  <w:style w:type="character" w:customStyle="1" w:styleId="PlainTextChar">
    <w:name w:val="Plain Text Char"/>
    <w:link w:val="PlainText"/>
    <w:semiHidden/>
    <w:qFormat/>
    <w:rPr>
      <w:rFonts w:ascii="Courier New" w:hAnsi="Courier New"/>
      <w:lang w:val="en-AU"/>
    </w:rPr>
  </w:style>
  <w:style w:type="character" w:customStyle="1" w:styleId="BodyTextIndentChar1">
    <w:name w:val="Body Text Indent Char1"/>
    <w:link w:val="BodyTextIndent"/>
    <w:semiHidden/>
    <w:qFormat/>
    <w:rPr>
      <w:sz w:val="22"/>
      <w:lang w:val="bg-BG"/>
    </w:rPr>
  </w:style>
  <w:style w:type="character" w:customStyle="1" w:styleId="BodyTextFirstIndent2Char">
    <w:name w:val="Body Text First Indent 2 Char"/>
    <w:link w:val="BodyTextFirstIndent2"/>
    <w:semiHidden/>
    <w:qFormat/>
    <w:rPr>
      <w:sz w:val="22"/>
      <w:lang w:val="bg-BG"/>
    </w:rPr>
  </w:style>
  <w:style w:type="character" w:customStyle="1" w:styleId="ClosingChar">
    <w:name w:val="Closing Char"/>
    <w:link w:val="Closing"/>
    <w:semiHidden/>
    <w:qFormat/>
    <w:rPr>
      <w:sz w:val="22"/>
      <w:lang w:val="bg-BG"/>
    </w:rPr>
  </w:style>
  <w:style w:type="character" w:customStyle="1" w:styleId="E-mailSignatureChar">
    <w:name w:val="E-mail Signature Char"/>
    <w:link w:val="E-mailSignature"/>
    <w:semiHidden/>
    <w:qFormat/>
    <w:rPr>
      <w:sz w:val="22"/>
      <w:lang w:val="bg-BG"/>
    </w:rPr>
  </w:style>
  <w:style w:type="character" w:customStyle="1" w:styleId="EndnoteTextChar">
    <w:name w:val="Endnote Text Char"/>
    <w:link w:val="EndnoteText"/>
    <w:semiHidden/>
    <w:qFormat/>
    <w:rPr>
      <w:lang w:val="bg-BG"/>
    </w:rPr>
  </w:style>
  <w:style w:type="character" w:customStyle="1" w:styleId="FootnoteTextChar">
    <w:name w:val="Footnote Text Char"/>
    <w:link w:val="FootnoteText"/>
    <w:semiHidden/>
    <w:qFormat/>
    <w:rPr>
      <w:lang w:val="bg-BG"/>
    </w:rPr>
  </w:style>
  <w:style w:type="character" w:customStyle="1" w:styleId="HTMLAddressChar">
    <w:name w:val="HTML Address Char"/>
    <w:link w:val="HTMLAddress"/>
    <w:semiHidden/>
    <w:qFormat/>
    <w:rPr>
      <w:i/>
      <w:iCs/>
      <w:sz w:val="22"/>
      <w:lang w:val="bg-BG"/>
    </w:rPr>
  </w:style>
  <w:style w:type="character" w:customStyle="1" w:styleId="HTMLPreformattedChar">
    <w:name w:val="HTML Preformatted Char"/>
    <w:link w:val="HTMLPreformatted"/>
    <w:semiHidden/>
    <w:qFormat/>
    <w:rPr>
      <w:rFonts w:ascii="Courier New" w:hAnsi="Courier New" w:cs="Courier New"/>
      <w:lang w:val="bg-BG"/>
    </w:rPr>
  </w:style>
  <w:style w:type="character" w:customStyle="1" w:styleId="MacroTextChar">
    <w:name w:val="Macro Text Char"/>
    <w:link w:val="MacroText"/>
    <w:semiHidden/>
    <w:qFormat/>
    <w:rPr>
      <w:rFonts w:ascii="Courier New" w:hAnsi="Courier New" w:cs="Courier New"/>
      <w:lang w:val="en-GB"/>
    </w:rPr>
  </w:style>
  <w:style w:type="character" w:customStyle="1" w:styleId="MessageHeaderChar">
    <w:name w:val="Message Header Char"/>
    <w:link w:val="MessageHeader"/>
    <w:semiHidden/>
    <w:qFormat/>
    <w:rPr>
      <w:rFonts w:ascii="Arial" w:hAnsi="Arial" w:cs="Arial"/>
      <w:sz w:val="24"/>
      <w:szCs w:val="24"/>
      <w:shd w:val="clear" w:color="auto" w:fill="CCCCCC"/>
      <w:lang w:val="bg-BG"/>
    </w:rPr>
  </w:style>
  <w:style w:type="character" w:customStyle="1" w:styleId="NoteHeadingChar">
    <w:name w:val="Note Heading Char"/>
    <w:link w:val="NoteHeading"/>
    <w:semiHidden/>
    <w:qFormat/>
    <w:rPr>
      <w:sz w:val="22"/>
      <w:lang w:val="bg-BG"/>
    </w:rPr>
  </w:style>
  <w:style w:type="character" w:customStyle="1" w:styleId="SalutationChar">
    <w:name w:val="Salutation Char"/>
    <w:link w:val="Salutation"/>
    <w:semiHidden/>
    <w:qFormat/>
    <w:rPr>
      <w:sz w:val="22"/>
      <w:lang w:val="bg-BG"/>
    </w:rPr>
  </w:style>
  <w:style w:type="character" w:customStyle="1" w:styleId="SignatureChar">
    <w:name w:val="Signature Char"/>
    <w:link w:val="Signature"/>
    <w:semiHidden/>
    <w:qFormat/>
    <w:rPr>
      <w:sz w:val="22"/>
      <w:lang w:val="bg-BG"/>
    </w:rPr>
  </w:style>
  <w:style w:type="character" w:customStyle="1" w:styleId="SubtitleChar">
    <w:name w:val="Subtitle Char"/>
    <w:link w:val="Subtitle"/>
    <w:qFormat/>
    <w:rPr>
      <w:rFonts w:ascii="Arial" w:hAnsi="Arial" w:cs="Arial"/>
      <w:sz w:val="24"/>
      <w:szCs w:val="24"/>
      <w:lang w:val="bg-BG"/>
    </w:rPr>
  </w:style>
  <w:style w:type="character" w:customStyle="1" w:styleId="TitleChar">
    <w:name w:val="Title Char"/>
    <w:link w:val="Title"/>
    <w:qFormat/>
    <w:rPr>
      <w:rFonts w:ascii="Arial" w:hAnsi="Arial" w:cs="Arial"/>
      <w:b/>
      <w:bCs/>
      <w:kern w:val="2"/>
      <w:sz w:val="32"/>
      <w:szCs w:val="32"/>
      <w:lang w:val="bg-BG"/>
    </w:rPr>
  </w:style>
  <w:style w:type="character" w:customStyle="1" w:styleId="CommentSubjectChar">
    <w:name w:val="Comment Subject Char"/>
    <w:link w:val="CommentSubject"/>
    <w:semiHidden/>
    <w:qFormat/>
    <w:rPr>
      <w:b/>
      <w:bCs/>
      <w:sz w:val="22"/>
      <w:lang w:val="bg-BG"/>
    </w:rPr>
  </w:style>
  <w:style w:type="character" w:customStyle="1" w:styleId="EndnoteCharacters">
    <w:name w:val="Endnote Characters"/>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semiHidden/>
    <w:pPr>
      <w:tabs>
        <w:tab w:val="clear" w:pos="567"/>
      </w:tabs>
    </w:pPr>
    <w:rPr>
      <w:i/>
      <w:color w:val="008000"/>
    </w:rPr>
  </w:style>
  <w:style w:type="paragraph" w:styleId="List">
    <w:name w:val="List"/>
    <w:basedOn w:val="Normal"/>
    <w:semiHidden/>
    <w:pPr>
      <w:ind w:left="360" w:hanging="360"/>
    </w:pPr>
  </w:style>
  <w:style w:type="paragraph" w:styleId="Caption">
    <w:name w:val="caption"/>
    <w:basedOn w:val="Normal"/>
    <w:next w:val="Normal"/>
    <w:qFormat/>
    <w:pPr>
      <w:spacing w:before="120" w:after="120"/>
    </w:pPr>
    <w:rPr>
      <w:b/>
      <w:bCs/>
      <w:sz w:val="20"/>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semiHidden/>
    <w:pPr>
      <w:tabs>
        <w:tab w:val="center" w:pos="4153"/>
        <w:tab w:val="right" w:pos="8306"/>
      </w:tabs>
    </w:pPr>
    <w:rPr>
      <w:rFonts w:ascii="Helvetica" w:hAnsi="Helvetica"/>
      <w:sz w:val="20"/>
    </w:rPr>
  </w:style>
  <w:style w:type="paragraph" w:styleId="Footer">
    <w:name w:val="footer"/>
    <w:basedOn w:val="Normal"/>
    <w:link w:val="FooterChar"/>
    <w:semiHidden/>
    <w:pPr>
      <w:tabs>
        <w:tab w:val="center" w:pos="4536"/>
        <w:tab w:val="center" w:pos="8930"/>
      </w:tabs>
    </w:pPr>
    <w:rPr>
      <w:rFonts w:ascii="Helvetica" w:hAnsi="Helvetica"/>
      <w:sz w:val="16"/>
    </w:rPr>
  </w:style>
  <w:style w:type="paragraph" w:styleId="BodyTextIndent">
    <w:name w:val="Body Text Indent"/>
    <w:basedOn w:val="BodyText"/>
    <w:link w:val="BodyTextIndentChar1"/>
    <w:semiHidden/>
    <w:qFormat/>
    <w:pPr>
      <w:tabs>
        <w:tab w:val="left" w:pos="567"/>
      </w:tabs>
      <w:spacing w:after="120" w:line="260" w:lineRule="exact"/>
      <w:ind w:firstLine="210"/>
    </w:pPr>
    <w:rPr>
      <w:i w:val="0"/>
      <w:color w:val="auto"/>
    </w:rPr>
  </w:style>
  <w:style w:type="paragraph" w:styleId="BodyText3">
    <w:name w:val="Body Text 3"/>
    <w:basedOn w:val="Normal"/>
    <w:link w:val="BodyText3Char"/>
    <w:semiHidden/>
    <w:qFormat/>
    <w:pPr>
      <w:tabs>
        <w:tab w:val="clear" w:pos="567"/>
      </w:tabs>
      <w:jc w:val="both"/>
    </w:pPr>
    <w:rPr>
      <w:color w:val="0000FF"/>
      <w:szCs w:val="22"/>
      <w:lang w:eastAsia="en-GB"/>
    </w:rPr>
  </w:style>
  <w:style w:type="paragraph" w:styleId="BodyTextIndent2">
    <w:name w:val="Body Text Indent 2"/>
    <w:basedOn w:val="Normal"/>
    <w:link w:val="BodyTextIndent2Char"/>
    <w:semiHidden/>
    <w:qFormat/>
    <w:pPr>
      <w:pBdr>
        <w:top w:val="single" w:sz="6" w:space="0" w:color="000000"/>
        <w:left w:val="single" w:sz="6" w:space="3" w:color="000000"/>
        <w:bottom w:val="single" w:sz="6" w:space="1" w:color="000000"/>
        <w:right w:val="single" w:sz="6" w:space="4" w:color="000000"/>
      </w:pBdr>
      <w:ind w:left="1134"/>
      <w:jc w:val="both"/>
    </w:pPr>
    <w:rPr>
      <w:b/>
      <w:bCs/>
      <w:color w:val="0000FF"/>
      <w:szCs w:val="22"/>
    </w:rPr>
  </w:style>
  <w:style w:type="paragraph" w:styleId="BodyText2">
    <w:name w:val="Body Text 2"/>
    <w:basedOn w:val="Normal"/>
    <w:link w:val="BodyText2Char"/>
    <w:semiHidden/>
    <w:qFormat/>
    <w:pPr>
      <w:pBdr>
        <w:top w:val="single" w:sz="6" w:space="0" w:color="000000"/>
        <w:left w:val="single" w:sz="6" w:space="3" w:color="000000"/>
        <w:bottom w:val="single" w:sz="6" w:space="1" w:color="000000"/>
        <w:right w:val="single" w:sz="6" w:space="4" w:color="000000"/>
      </w:pBdr>
      <w:jc w:val="both"/>
    </w:pPr>
    <w:rPr>
      <w:b/>
      <w:bCs/>
      <w:color w:val="0000FF"/>
      <w:szCs w:val="22"/>
      <w:u w:val="single"/>
    </w:rPr>
  </w:style>
  <w:style w:type="paragraph" w:styleId="CommentText">
    <w:name w:val="annotation text"/>
    <w:basedOn w:val="Normal"/>
    <w:link w:val="CommentTextChar"/>
    <w:uiPriority w:val="99"/>
    <w:unhideWhenUsed/>
    <w:qFormat/>
    <w:rPr>
      <w:sz w:val="20"/>
    </w:rPr>
  </w:style>
  <w:style w:type="paragraph" w:customStyle="1" w:styleId="EMEAEnBodyText">
    <w:name w:val="EMEA En Body Text"/>
    <w:basedOn w:val="Normal"/>
    <w:qFormat/>
    <w:pPr>
      <w:tabs>
        <w:tab w:val="clear" w:pos="567"/>
      </w:tabs>
      <w:spacing w:before="120" w:after="120"/>
      <w:jc w:val="both"/>
    </w:pPr>
    <w:rPr>
      <w:lang w:val="en-US"/>
    </w:rPr>
  </w:style>
  <w:style w:type="paragraph" w:styleId="DocumentMap">
    <w:name w:val="Document Map"/>
    <w:basedOn w:val="Normal"/>
    <w:link w:val="DocumentMapChar"/>
    <w:semiHidden/>
    <w:qFormat/>
    <w:pPr>
      <w:shd w:val="clear" w:color="auto" w:fill="000080"/>
    </w:pPr>
    <w:rPr>
      <w:rFonts w:ascii="Tahoma" w:hAnsi="Tahoma" w:cs="Tahoma"/>
    </w:rPr>
  </w:style>
  <w:style w:type="paragraph" w:customStyle="1" w:styleId="AHeader1">
    <w:name w:val="AHeader 1"/>
    <w:basedOn w:val="Normal"/>
    <w:qFormat/>
    <w:pPr>
      <w:numPr>
        <w:numId w:val="1"/>
      </w:numPr>
      <w:tabs>
        <w:tab w:val="clear" w:pos="567"/>
      </w:tabs>
      <w:spacing w:after="120"/>
    </w:pPr>
    <w:rPr>
      <w:rFonts w:ascii="Arial" w:hAnsi="Arial" w:cs="Arial"/>
      <w:b/>
      <w:bCs/>
      <w:sz w:val="24"/>
    </w:rPr>
  </w:style>
  <w:style w:type="paragraph" w:customStyle="1" w:styleId="AHeader2">
    <w:name w:val="AHeader 2"/>
    <w:basedOn w:val="AHeader1"/>
    <w:qFormat/>
    <w:pPr>
      <w:tabs>
        <w:tab w:val="left" w:pos="360"/>
      </w:tabs>
    </w:pPr>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BodyTextIndent3">
    <w:name w:val="Body Text Indent 3"/>
    <w:basedOn w:val="Normal"/>
    <w:link w:val="BodyTextIndent3Char"/>
    <w:semiHidden/>
    <w:qFormat/>
    <w:pPr>
      <w:tabs>
        <w:tab w:val="left" w:pos="1134"/>
      </w:tabs>
      <w:ind w:left="633"/>
      <w:jc w:val="both"/>
    </w:pPr>
    <w:rPr>
      <w:szCs w:val="21"/>
    </w:rPr>
  </w:style>
  <w:style w:type="paragraph" w:styleId="BalloonText">
    <w:name w:val="Balloon Text"/>
    <w:basedOn w:val="Normal"/>
    <w:link w:val="BalloonTextChar"/>
    <w:semiHidden/>
    <w:qFormat/>
    <w:rPr>
      <w:rFonts w:ascii="Tahoma" w:hAnsi="Tahoma" w:cs="Tahoma"/>
      <w:sz w:val="16"/>
      <w:szCs w:val="16"/>
    </w:rPr>
  </w:style>
  <w:style w:type="paragraph" w:styleId="PlainText">
    <w:name w:val="Plain Text"/>
    <w:basedOn w:val="Normal"/>
    <w:link w:val="PlainTextChar"/>
    <w:semiHidden/>
    <w:qFormat/>
    <w:pPr>
      <w:tabs>
        <w:tab w:val="clear" w:pos="567"/>
      </w:tabs>
    </w:pPr>
    <w:rPr>
      <w:rFonts w:ascii="Courier New" w:hAnsi="Courier New"/>
      <w:sz w:val="20"/>
      <w:lang w:val="en-AU"/>
    </w:rPr>
  </w:style>
  <w:style w:type="paragraph" w:styleId="NormalWeb">
    <w:name w:val="Normal (Web)"/>
    <w:basedOn w:val="Normal"/>
    <w:semiHidden/>
    <w:qFormat/>
    <w:pPr>
      <w:tabs>
        <w:tab w:val="clear" w:pos="567"/>
      </w:tabs>
      <w:spacing w:beforeAutospacing="1" w:afterAutospacing="1"/>
    </w:pPr>
    <w:rPr>
      <w:rFonts w:ascii="Arial Unicode MS" w:eastAsia="Arial Unicode MS" w:hAnsi="Arial Unicode MS"/>
      <w:sz w:val="24"/>
      <w:szCs w:val="24"/>
      <w:lang w:val="en-US"/>
    </w:rPr>
  </w:style>
  <w:style w:type="paragraph" w:styleId="Date">
    <w:name w:val="Date"/>
    <w:basedOn w:val="Normal"/>
    <w:next w:val="Normal"/>
    <w:uiPriority w:val="99"/>
    <w:qFormat/>
    <w:pPr>
      <w:tabs>
        <w:tab w:val="clear" w:pos="567"/>
      </w:tabs>
    </w:pPr>
  </w:style>
  <w:style w:type="paragraph" w:styleId="BlockText">
    <w:name w:val="Block Text"/>
    <w:basedOn w:val="Normal"/>
    <w:semiHidden/>
    <w:qFormat/>
    <w:pPr>
      <w:spacing w:after="120"/>
      <w:ind w:left="1440" w:right="1440"/>
    </w:pPr>
  </w:style>
  <w:style w:type="paragraph" w:customStyle="1" w:styleId="TitleA">
    <w:name w:val="Title A"/>
    <w:basedOn w:val="Normal"/>
    <w:qFormat/>
    <w:pPr>
      <w:tabs>
        <w:tab w:val="clear" w:pos="567"/>
        <w:tab w:val="left" w:pos="-1440"/>
        <w:tab w:val="left" w:pos="-720"/>
      </w:tabs>
      <w:jc w:val="center"/>
    </w:pPr>
    <w:rPr>
      <w:b/>
    </w:rPr>
  </w:style>
  <w:style w:type="paragraph" w:styleId="BodyTextFirstIndent2">
    <w:name w:val="Body Text First Indent 2"/>
    <w:basedOn w:val="BodyTextIndent"/>
    <w:link w:val="BodyTextFirstIndent2Char"/>
    <w:semiHidden/>
    <w:qFormat/>
    <w:pPr>
      <w:ind w:left="360"/>
    </w:pPr>
  </w:style>
  <w:style w:type="paragraph" w:styleId="Closing">
    <w:name w:val="Closing"/>
    <w:basedOn w:val="Normal"/>
    <w:link w:val="ClosingChar"/>
    <w:semiHidden/>
    <w:qFormat/>
    <w:pPr>
      <w:ind w:left="4320"/>
    </w:pPr>
  </w:style>
  <w:style w:type="paragraph" w:styleId="E-mailSignature">
    <w:name w:val="E-mail Signature"/>
    <w:basedOn w:val="Normal"/>
    <w:link w:val="E-mailSignatureChar"/>
    <w:semiHidden/>
    <w:qFormat/>
  </w:style>
  <w:style w:type="paragraph" w:styleId="EndnoteText">
    <w:name w:val="endnote text"/>
    <w:basedOn w:val="Normal"/>
    <w:link w:val="EndnoteTextChar"/>
    <w:semiHidden/>
    <w:rPr>
      <w:sz w:val="20"/>
    </w:rPr>
  </w:style>
  <w:style w:type="paragraph" w:styleId="EnvelopeAddress">
    <w:name w:val="envelope address"/>
    <w:basedOn w:val="Normal"/>
    <w:semiHidden/>
    <w:qFormat/>
    <w:pPr>
      <w:ind w:left="2880"/>
    </w:pPr>
    <w:rPr>
      <w:rFonts w:ascii="Arial" w:hAnsi="Arial" w:cs="Arial"/>
      <w:sz w:val="24"/>
      <w:szCs w:val="24"/>
    </w:rPr>
  </w:style>
  <w:style w:type="paragraph" w:styleId="EnvelopeReturn">
    <w:name w:val="envelope return"/>
    <w:basedOn w:val="Normal"/>
    <w:semiHidden/>
    <w:qFormat/>
    <w:rPr>
      <w:rFonts w:ascii="Arial" w:hAnsi="Arial" w:cs="Arial"/>
      <w:sz w:val="20"/>
    </w:rPr>
  </w:style>
  <w:style w:type="paragraph" w:styleId="FootnoteText">
    <w:name w:val="footnote text"/>
    <w:basedOn w:val="Normal"/>
    <w:link w:val="FootnoteTextChar"/>
    <w:semiHidden/>
    <w:rPr>
      <w:sz w:val="20"/>
    </w:rPr>
  </w:style>
  <w:style w:type="paragraph" w:styleId="HTMLAddress">
    <w:name w:val="HTML Address"/>
    <w:basedOn w:val="Normal"/>
    <w:link w:val="HTMLAddressChar"/>
    <w:semiHidden/>
    <w:qFormat/>
    <w:rPr>
      <w:i/>
      <w:iCs/>
    </w:rPr>
  </w:style>
  <w:style w:type="paragraph" w:styleId="HTMLPreformatted">
    <w:name w:val="HTML Preformatted"/>
    <w:basedOn w:val="Normal"/>
    <w:link w:val="HTMLPreformattedChar"/>
    <w:semiHidden/>
    <w:qFormat/>
    <w:rPr>
      <w:rFonts w:ascii="Courier New" w:hAnsi="Courier New" w:cs="Courier New"/>
      <w:sz w:val="20"/>
    </w:rPr>
  </w:style>
  <w:style w:type="paragraph" w:styleId="Index1">
    <w:name w:val="index 1"/>
    <w:basedOn w:val="Normal"/>
    <w:next w:val="Normal"/>
    <w:autoRedefine/>
    <w:semiHidden/>
    <w:qFormat/>
    <w:pPr>
      <w:tabs>
        <w:tab w:val="clear" w:pos="567"/>
      </w:tabs>
      <w:ind w:left="220" w:hanging="220"/>
    </w:pPr>
  </w:style>
  <w:style w:type="paragraph" w:styleId="Index2">
    <w:name w:val="index 2"/>
    <w:basedOn w:val="Normal"/>
    <w:next w:val="Normal"/>
    <w:autoRedefine/>
    <w:semiHidden/>
    <w:qFormat/>
    <w:pPr>
      <w:tabs>
        <w:tab w:val="clear" w:pos="567"/>
      </w:tabs>
      <w:ind w:left="440" w:hanging="220"/>
    </w:pPr>
  </w:style>
  <w:style w:type="paragraph" w:styleId="Index3">
    <w:name w:val="index 3"/>
    <w:basedOn w:val="Normal"/>
    <w:next w:val="Normal"/>
    <w:autoRedefine/>
    <w:semiHidden/>
    <w:qFormat/>
    <w:pPr>
      <w:tabs>
        <w:tab w:val="clear" w:pos="567"/>
      </w:tabs>
      <w:ind w:left="660" w:hanging="220"/>
    </w:pPr>
  </w:style>
  <w:style w:type="paragraph" w:styleId="Index4">
    <w:name w:val="index 4"/>
    <w:basedOn w:val="Normal"/>
    <w:next w:val="Normal"/>
    <w:autoRedefine/>
    <w:semiHidden/>
    <w:qFormat/>
    <w:pPr>
      <w:tabs>
        <w:tab w:val="clear" w:pos="567"/>
      </w:tabs>
      <w:ind w:left="880" w:hanging="220"/>
    </w:pPr>
  </w:style>
  <w:style w:type="paragraph" w:styleId="Index5">
    <w:name w:val="index 5"/>
    <w:basedOn w:val="Normal"/>
    <w:next w:val="Normal"/>
    <w:autoRedefine/>
    <w:semiHidden/>
    <w:qFormat/>
    <w:pPr>
      <w:tabs>
        <w:tab w:val="clear" w:pos="567"/>
      </w:tabs>
      <w:ind w:left="1100" w:hanging="220"/>
    </w:pPr>
  </w:style>
  <w:style w:type="paragraph" w:styleId="Index6">
    <w:name w:val="index 6"/>
    <w:basedOn w:val="Normal"/>
    <w:next w:val="Normal"/>
    <w:autoRedefine/>
    <w:semiHidden/>
    <w:qFormat/>
    <w:pPr>
      <w:tabs>
        <w:tab w:val="clear" w:pos="567"/>
      </w:tabs>
      <w:ind w:left="1320" w:hanging="220"/>
    </w:pPr>
  </w:style>
  <w:style w:type="paragraph" w:styleId="Index7">
    <w:name w:val="index 7"/>
    <w:basedOn w:val="Normal"/>
    <w:next w:val="Normal"/>
    <w:autoRedefine/>
    <w:semiHidden/>
    <w:qFormat/>
    <w:pPr>
      <w:tabs>
        <w:tab w:val="clear" w:pos="567"/>
      </w:tabs>
      <w:ind w:left="1540" w:hanging="220"/>
    </w:pPr>
  </w:style>
  <w:style w:type="paragraph" w:styleId="Index8">
    <w:name w:val="index 8"/>
    <w:basedOn w:val="Normal"/>
    <w:next w:val="Normal"/>
    <w:autoRedefine/>
    <w:semiHidden/>
    <w:qFormat/>
    <w:pPr>
      <w:tabs>
        <w:tab w:val="clear" w:pos="567"/>
      </w:tabs>
      <w:ind w:left="1760" w:hanging="220"/>
    </w:pPr>
  </w:style>
  <w:style w:type="paragraph" w:styleId="Index9">
    <w:name w:val="index 9"/>
    <w:basedOn w:val="Normal"/>
    <w:next w:val="Normal"/>
    <w:autoRedefine/>
    <w:semiHidden/>
    <w:qFormat/>
    <w:pPr>
      <w:tabs>
        <w:tab w:val="clear" w:pos="567"/>
      </w:tabs>
      <w:ind w:left="1980" w:hanging="220"/>
    </w:pPr>
  </w:style>
  <w:style w:type="paragraph" w:styleId="IndexHeading">
    <w:name w:val="index heading"/>
    <w:basedOn w:val="Normal"/>
    <w:next w:val="Index1"/>
    <w:semiHidden/>
    <w:qFormat/>
    <w:rPr>
      <w:rFonts w:ascii="Arial" w:hAnsi="Arial" w:cs="Arial"/>
      <w:b/>
      <w:bCs/>
    </w:rPr>
  </w:style>
  <w:style w:type="paragraph" w:styleId="ListBullet3">
    <w:name w:val="List Bullet 3"/>
    <w:basedOn w:val="Normal"/>
    <w:autoRedefine/>
    <w:semiHidden/>
    <w:qFormat/>
    <w:pPr>
      <w:numPr>
        <w:numId w:val="6"/>
      </w:numPr>
    </w:pPr>
  </w:style>
  <w:style w:type="paragraph" w:styleId="ListBullet4">
    <w:name w:val="List Bullet 4"/>
    <w:basedOn w:val="Normal"/>
    <w:autoRedefine/>
    <w:semiHidden/>
    <w:qFormat/>
    <w:pPr>
      <w:numPr>
        <w:numId w:val="7"/>
      </w:numPr>
    </w:pPr>
  </w:style>
  <w:style w:type="paragraph" w:styleId="ListBullet5">
    <w:name w:val="List Bullet 5"/>
    <w:basedOn w:val="Normal"/>
    <w:autoRedefine/>
    <w:semiHidden/>
    <w:qFormat/>
    <w:pPr>
      <w:numPr>
        <w:numId w:val="8"/>
      </w:numPr>
    </w:pPr>
  </w:style>
  <w:style w:type="paragraph" w:styleId="ListNumber">
    <w:name w:val="List Number"/>
    <w:basedOn w:val="Normal"/>
    <w:semiHidden/>
    <w:qFormat/>
    <w:pPr>
      <w:numPr>
        <w:numId w:val="9"/>
      </w:numPr>
    </w:pPr>
  </w:style>
  <w:style w:type="paragraph" w:styleId="ListBullet">
    <w:name w:val="List Bullet"/>
    <w:basedOn w:val="Normal"/>
    <w:autoRedefine/>
    <w:semiHidden/>
    <w:qFormat/>
    <w:pPr>
      <w:numPr>
        <w:numId w:val="4"/>
      </w:numPr>
    </w:pPr>
  </w:style>
  <w:style w:type="paragraph" w:styleId="ListBullet2">
    <w:name w:val="List Bullet 2"/>
    <w:basedOn w:val="Normal"/>
    <w:autoRedefine/>
    <w:semiHidden/>
    <w:qFormat/>
    <w:pPr>
      <w:numPr>
        <w:numId w:val="5"/>
      </w:numPr>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2">
    <w:name w:val="List Number 2"/>
    <w:basedOn w:val="Normal"/>
    <w:semiHidden/>
    <w:qFormat/>
    <w:pPr>
      <w:numPr>
        <w:numId w:val="10"/>
      </w:numPr>
    </w:pPr>
  </w:style>
  <w:style w:type="paragraph" w:styleId="ListNumber3">
    <w:name w:val="List Number 3"/>
    <w:basedOn w:val="Normal"/>
    <w:semiHidden/>
    <w:qFormat/>
    <w:pPr>
      <w:numPr>
        <w:numId w:val="11"/>
      </w:numPr>
    </w:pPr>
  </w:style>
  <w:style w:type="paragraph" w:styleId="ListNumber4">
    <w:name w:val="List Number 4"/>
    <w:basedOn w:val="Normal"/>
    <w:semiHidden/>
    <w:qFormat/>
    <w:pPr>
      <w:numPr>
        <w:numId w:val="12"/>
      </w:numPr>
    </w:pPr>
  </w:style>
  <w:style w:type="paragraph" w:styleId="ListNumber5">
    <w:name w:val="List Number 5"/>
    <w:basedOn w:val="Normal"/>
    <w:semiHidden/>
    <w:qFormat/>
    <w:pPr>
      <w:numPr>
        <w:numId w:val="13"/>
      </w:numPr>
    </w:pPr>
  </w:style>
  <w:style w:type="paragraph" w:styleId="MacroText">
    <w:name w:val="macro"/>
    <w:link w:val="MacroTextChar"/>
    <w:semiHidden/>
    <w:qFormat/>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semiHidden/>
    <w:qFormat/>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Arial" w:hAnsi="Arial" w:cs="Arial"/>
      <w:sz w:val="24"/>
      <w:szCs w:val="24"/>
    </w:rPr>
  </w:style>
  <w:style w:type="paragraph" w:styleId="NormalIndent">
    <w:name w:val="Normal Indent"/>
    <w:basedOn w:val="Normal"/>
    <w:semiHidden/>
    <w:qFormat/>
    <w:pPr>
      <w:ind w:left="720"/>
    </w:pPr>
  </w:style>
  <w:style w:type="paragraph" w:styleId="NoteHeading">
    <w:name w:val="Note Heading"/>
    <w:basedOn w:val="Normal"/>
    <w:next w:val="Normal"/>
    <w:link w:val="NoteHeadingChar"/>
    <w:semiHidden/>
    <w:qFormat/>
  </w:style>
  <w:style w:type="paragraph" w:styleId="Salutation">
    <w:name w:val="Salutation"/>
    <w:basedOn w:val="Normal"/>
    <w:next w:val="Normal"/>
    <w:link w:val="SalutationChar"/>
    <w:semiHidden/>
  </w:style>
  <w:style w:type="paragraph" w:styleId="Signature">
    <w:name w:val="Signature"/>
    <w:basedOn w:val="Normal"/>
    <w:link w:val="SignatureChar"/>
    <w:semiHidden/>
    <w:pPr>
      <w:ind w:left="4320"/>
    </w:pPr>
  </w:style>
  <w:style w:type="paragraph" w:styleId="Subtitle">
    <w:name w:val="Subtitle"/>
    <w:basedOn w:val="Normal"/>
    <w:link w:val="SubtitleChar"/>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qFormat/>
    <w:pPr>
      <w:tabs>
        <w:tab w:val="clear" w:pos="567"/>
      </w:tabs>
      <w:ind w:left="220" w:hanging="220"/>
    </w:pPr>
  </w:style>
  <w:style w:type="paragraph" w:styleId="TableofFigures">
    <w:name w:val="table of figures"/>
    <w:basedOn w:val="Normal"/>
    <w:next w:val="Normal"/>
    <w:semiHidden/>
    <w:qFormat/>
    <w:pPr>
      <w:tabs>
        <w:tab w:val="clear" w:pos="567"/>
      </w:tabs>
      <w:ind w:left="440" w:hanging="440"/>
    </w:pPr>
  </w:style>
  <w:style w:type="paragraph" w:styleId="Title">
    <w:name w:val="Title"/>
    <w:basedOn w:val="Normal"/>
    <w:link w:val="TitleChar"/>
    <w:qFormat/>
    <w:pPr>
      <w:spacing w:before="240" w:after="60"/>
      <w:jc w:val="center"/>
      <w:outlineLvl w:val="0"/>
    </w:pPr>
    <w:rPr>
      <w:rFonts w:ascii="Arial" w:hAnsi="Arial" w:cs="Arial"/>
      <w:b/>
      <w:bCs/>
      <w:kern w:val="2"/>
      <w:sz w:val="32"/>
      <w:szCs w:val="32"/>
    </w:rPr>
  </w:style>
  <w:style w:type="paragraph" w:styleId="TOAHeading">
    <w:name w:val="toa heading"/>
    <w:basedOn w:val="Normal"/>
    <w:next w:val="Normal"/>
    <w:semiHidden/>
    <w:qFormat/>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styleId="CommentSubject">
    <w:name w:val="annotation subject"/>
    <w:basedOn w:val="Normal"/>
    <w:next w:val="CommentText"/>
    <w:link w:val="CommentSubjectChar"/>
    <w:semiHidden/>
    <w:qFormat/>
    <w:rPr>
      <w:b/>
      <w:bCs/>
    </w:rPr>
  </w:style>
  <w:style w:type="paragraph" w:customStyle="1" w:styleId="TitleB">
    <w:name w:val="Title B"/>
    <w:basedOn w:val="Normal"/>
    <w:qFormat/>
    <w:pPr>
      <w:ind w:left="567" w:right="1416" w:hanging="567"/>
    </w:pPr>
    <w:rPr>
      <w:b/>
    </w:rPr>
  </w:style>
  <w:style w:type="paragraph" w:customStyle="1" w:styleId="Default">
    <w:name w:val="Default"/>
    <w:qFormat/>
    <w:rPr>
      <w:color w:val="000000"/>
      <w:sz w:val="24"/>
      <w:szCs w:val="24"/>
      <w:lang w:val="en-US" w:eastAsia="en-US"/>
    </w:rPr>
  </w:style>
  <w:style w:type="paragraph" w:customStyle="1" w:styleId="AppendixSubheading">
    <w:name w:val="Appendix Subheading"/>
    <w:qFormat/>
    <w:pPr>
      <w:keepNext/>
      <w:keepLines/>
      <w:spacing w:after="60"/>
      <w:jc w:val="center"/>
    </w:pPr>
    <w:rPr>
      <w:rFonts w:ascii="Arial" w:hAnsi="Arial"/>
      <w:sz w:val="24"/>
      <w:lang w:val="en-US" w:eastAsia="en-US"/>
    </w:rPr>
  </w:style>
  <w:style w:type="paragraph" w:customStyle="1" w:styleId="SummaryBody">
    <w:name w:val="SummaryBody"/>
    <w:qFormat/>
    <w:pPr>
      <w:spacing w:after="200"/>
      <w:jc w:val="both"/>
    </w:pPr>
    <w:rPr>
      <w:sz w:val="24"/>
      <w:lang w:val="en-US" w:eastAsia="en-US"/>
    </w:rPr>
  </w:style>
  <w:style w:type="paragraph" w:styleId="Revision">
    <w:name w:val="Revision"/>
    <w:uiPriority w:val="99"/>
    <w:semiHidden/>
    <w:qFormat/>
    <w:rPr>
      <w:sz w:val="22"/>
      <w:lang w:val="en-GB" w:eastAsia="en-US"/>
    </w:rPr>
  </w:style>
  <w:style w:type="paragraph" w:customStyle="1" w:styleId="Proc3">
    <w:name w:val="Proc 3"/>
    <w:basedOn w:val="Normal"/>
    <w:qFormat/>
    <w:pPr>
      <w:spacing w:before="120" w:line="240" w:lineRule="exact"/>
      <w:ind w:left="567" w:hanging="567"/>
    </w:pPr>
    <w:rPr>
      <w:kern w:val="2"/>
    </w:rPr>
  </w:style>
  <w:style w:type="paragraph" w:styleId="ListParagraph">
    <w:name w:val="List Paragraph"/>
    <w:basedOn w:val="Normal"/>
    <w:uiPriority w:val="34"/>
    <w:qFormat/>
    <w:pPr>
      <w:ind w:left="720"/>
    </w:pPr>
  </w:style>
  <w:style w:type="paragraph" w:customStyle="1" w:styleId="BodytextAgency">
    <w:name w:val="Body text (Agency)"/>
    <w:basedOn w:val="Normal"/>
    <w:qFormat/>
    <w:pPr>
      <w:tabs>
        <w:tab w:val="clear" w:pos="567"/>
      </w:tabs>
      <w:spacing w:after="140" w:line="280" w:lineRule="atLeast"/>
    </w:pPr>
    <w:rPr>
      <w:rFonts w:ascii="Verdana" w:hAnsi="Verdana"/>
      <w:sz w:val="18"/>
      <w:lang w:val="en-GB" w:eastAsia="fr-LU"/>
    </w:rPr>
  </w:style>
  <w:style w:type="paragraph" w:customStyle="1" w:styleId="No-numheading3Agency">
    <w:name w:val="No-num heading 3 (Agency)"/>
    <w:qFormat/>
    <w:pPr>
      <w:keepNext/>
      <w:spacing w:before="280" w:after="220"/>
      <w:outlineLvl w:val="2"/>
    </w:pPr>
    <w:rPr>
      <w:rFonts w:ascii="Verdana" w:hAnsi="Verdana"/>
      <w:b/>
      <w:kern w:val="2"/>
      <w:sz w:val="22"/>
      <w:lang w:val="en-GB" w:eastAsia="fr-LU"/>
    </w:rPr>
  </w:style>
  <w:style w:type="paragraph" w:customStyle="1" w:styleId="EUCP-Heading-1">
    <w:name w:val="EUCP-Heading-1"/>
    <w:basedOn w:val="Normal"/>
    <w:qFormat/>
    <w:pPr>
      <w:jc w:val="center"/>
    </w:pPr>
    <w:rPr>
      <w:b/>
    </w:rPr>
  </w:style>
  <w:style w:type="paragraph" w:customStyle="1" w:styleId="EUCP-Heading-2">
    <w:name w:val="EUCP-Heading-2"/>
    <w:basedOn w:val="Normal"/>
    <w:qFormat/>
    <w:pPr>
      <w:keepNext/>
      <w:ind w:left="567" w:hanging="567"/>
    </w:pPr>
    <w:rPr>
      <w:b/>
      <w:bC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table" w:styleId="TableGridLight">
    <w:name w:val="Grid Table Light"/>
    <w:basedOn w:val="TableNormal"/>
    <w:uiPriority w:val="40"/>
    <w:pPr>
      <w:suppressAutoHyphens w:val="0"/>
    </w:pPr>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pPr>
      <w:suppressAutoHyphens w:val="0"/>
    </w:pPr>
    <w:rPr>
      <w:rFonts w:asciiTheme="minorHAnsi" w:eastAsiaTheme="minorHAnsi" w:hAnsiTheme="minorHAnsi" w:cstheme="minorBidi"/>
      <w:kern w:val="2"/>
      <w:sz w:val="24"/>
      <w:szCs w:val="24"/>
      <w:lang w:val="en-US"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BB1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05198">
      <w:bodyDiv w:val="1"/>
      <w:marLeft w:val="0"/>
      <w:marRight w:val="0"/>
      <w:marTop w:val="0"/>
      <w:marBottom w:val="0"/>
      <w:divBdr>
        <w:top w:val="none" w:sz="0" w:space="0" w:color="auto"/>
        <w:left w:val="none" w:sz="0" w:space="0" w:color="auto"/>
        <w:bottom w:val="none" w:sz="0" w:space="0" w:color="auto"/>
        <w:right w:val="none" w:sz="0" w:space="0" w:color="auto"/>
      </w:divBdr>
    </w:div>
    <w:div w:id="152570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media/image23.png"/><Relationship Id="rId21" Type="http://schemas.openxmlformats.org/officeDocument/2006/relationships/image" Target="media/image7.wmf"/><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hyperlink" Target="https://www.ema.europa.eu/"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ema.europa.eu/en/documents/template-form/qrd-appendix-v-adverse-drug-reaction-reporting-details_en.docx" TargetMode="External"/><Relationship Id="rId11" Type="http://schemas.openxmlformats.org/officeDocument/2006/relationships/hyperlink" Target="https://www.ema.europa.eu/en/medicines/human/EPAR/stelara" TargetMode="External"/><Relationship Id="rId24" Type="http://schemas.openxmlformats.org/officeDocument/2006/relationships/image" Target="media/image10.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customXml" Target="../customXml/item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footer" Target="footer1.xml"/><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20.png"/><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EMADOC-1700519818-3351742</_dlc_DocId>
    <_dlc_DocIdUrl xmlns="a034c160-bfb7-45f5-8632-2eb7e0508071">
      <Url>https://euema.sharepoint.com/sites/CRM/_layouts/15/DocIdRedir.aspx?ID=EMADOC-1700519818-3351742</Url>
      <Description>EMADOC-1700519818-3351742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3BCD90-353D-468A-A540-8D4239B2C9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3CE583-2F1E-4BFD-93D4-028DC64065D2}">
  <ds:schemaRefs>
    <ds:schemaRef ds:uri="http://schemas.microsoft.com/sharepoint/v3/contenttype/forms"/>
  </ds:schemaRefs>
</ds:datastoreItem>
</file>

<file path=customXml/itemProps3.xml><?xml version="1.0" encoding="utf-8"?>
<ds:datastoreItem xmlns:ds="http://schemas.openxmlformats.org/officeDocument/2006/customXml" ds:itemID="{E547C405-B92C-4275-B9F2-81A43FA1DE44}">
  <ds:schemaRefs>
    <ds:schemaRef ds:uri="http://schemas.openxmlformats.org/officeDocument/2006/bibliography"/>
  </ds:schemaRefs>
</ds:datastoreItem>
</file>

<file path=customXml/itemProps4.xml><?xml version="1.0" encoding="utf-8"?>
<ds:datastoreItem xmlns:ds="http://schemas.openxmlformats.org/officeDocument/2006/customXml" ds:itemID="{6C219B7F-DF98-462F-AA85-FE12AA2CA12A}"/>
</file>

<file path=customXml/itemProps5.xml><?xml version="1.0" encoding="utf-8"?>
<ds:datastoreItem xmlns:ds="http://schemas.openxmlformats.org/officeDocument/2006/customXml" ds:itemID="{1117FAE0-C15A-45D2-91E1-188FCC4BC507}"/>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417</TotalTime>
  <Pages>1</Pages>
  <Words>72944</Words>
  <Characters>409947</Characters>
  <Application>Microsoft Office Word</Application>
  <DocSecurity>0</DocSecurity>
  <Lines>12057</Lines>
  <Paragraphs>6438</Paragraphs>
  <ScaleCrop>false</ScaleCrop>
  <HeadingPairs>
    <vt:vector size="2" baseType="variant">
      <vt:variant>
        <vt:lpstr>Title</vt:lpstr>
      </vt:variant>
      <vt:variant>
        <vt:i4>1</vt:i4>
      </vt:variant>
    </vt:vector>
  </HeadingPairs>
  <TitlesOfParts>
    <vt:vector size="1" baseType="lpstr">
      <vt:lpstr>Stelara: EPAR - Product information - tracked changes</vt:lpstr>
    </vt:vector>
  </TitlesOfParts>
  <Company/>
  <LinksUpToDate>false</LinksUpToDate>
  <CharactersWithSpaces>476453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dc:description/>
  <cp:lastModifiedBy>EUCP BE1</cp:lastModifiedBy>
  <cp:revision>197</cp:revision>
  <dcterms:created xsi:type="dcterms:W3CDTF">2026-05-14T07:36:00Z</dcterms:created>
  <dcterms:modified xsi:type="dcterms:W3CDTF">2026-07-16T06:51:00Z</dcterms:modified>
  <dc:language>bg-BG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GrammarlyDocumentId">
    <vt:lpwstr>3d196cca5230b074566d83a3279ae2e9efe6635df23a094b7e068bac53dcebce</vt:lpwstr>
  </property>
  <property fmtid="{D5CDD505-2E9C-101B-9397-08002B2CF9AE}" pid="5" name="_dlc_DocIdItemGuid">
    <vt:lpwstr>ebe407ef-6e93-4085-99a9-7fd79b604dd4</vt:lpwstr>
  </property>
</Properties>
</file>