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
        <w:tblW w:w="0" w:type="auto"/>
        <w:tblLook w:val="04A0" w:firstRow="1" w:lastRow="0" w:firstColumn="1" w:lastColumn="0" w:noHBand="0" w:noVBand="1"/>
      </w:tblPr>
      <w:tblGrid>
        <w:gridCol w:w="9064"/>
      </w:tblGrid>
      <w:tr w:rsidR="005A5001" w14:paraId="14E971E8" w14:textId="77777777" w:rsidTr="005A5001">
        <w:tc>
          <w:tcPr>
            <w:tcW w:w="9064" w:type="dxa"/>
          </w:tcPr>
          <w:p w14:paraId="226D2E8D" w14:textId="27F0C318" w:rsidR="005A5001" w:rsidRDefault="005A5001" w:rsidP="005A5001">
            <w:pPr>
              <w:suppressAutoHyphens/>
              <w:rPr>
                <w:ins w:id="0" w:author="만든 이"/>
                <w:rFonts w:eastAsia="맑은 고딕"/>
                <w:szCs w:val="28"/>
                <w:lang w:val="bg-BG" w:eastAsia="ko-KR"/>
              </w:rPr>
            </w:pPr>
            <w:proofErr w:type="spellStart"/>
            <w:ins w:id="1" w:author="만든 이">
              <w:r w:rsidRPr="002963AA">
                <w:rPr>
                  <w:szCs w:val="28"/>
                  <w:lang w:val="en-GB"/>
                </w:rPr>
                <w:t>Tento</w:t>
              </w:r>
              <w:proofErr w:type="spellEnd"/>
              <w:r w:rsidRPr="002963AA">
                <w:rPr>
                  <w:szCs w:val="28"/>
                  <w:lang w:val="en-GB"/>
                </w:rPr>
                <w:t xml:space="preserve"> </w:t>
              </w:r>
              <w:proofErr w:type="spellStart"/>
              <w:r w:rsidRPr="002963AA">
                <w:rPr>
                  <w:szCs w:val="28"/>
                  <w:lang w:val="en-GB"/>
                </w:rPr>
                <w:t>dokument</w:t>
              </w:r>
              <w:proofErr w:type="spellEnd"/>
              <w:r w:rsidRPr="002963AA">
                <w:rPr>
                  <w:szCs w:val="28"/>
                  <w:lang w:val="en-GB"/>
                </w:rPr>
                <w:t xml:space="preserve"> </w:t>
              </w:r>
              <w:proofErr w:type="spellStart"/>
              <w:r w:rsidRPr="002963AA">
                <w:rPr>
                  <w:szCs w:val="28"/>
                  <w:lang w:val="en-GB"/>
                </w:rPr>
                <w:t>představuje</w:t>
              </w:r>
              <w:proofErr w:type="spellEnd"/>
              <w:r w:rsidRPr="002963AA">
                <w:rPr>
                  <w:szCs w:val="28"/>
                  <w:lang w:val="en-GB"/>
                </w:rPr>
                <w:t xml:space="preserve"> </w:t>
              </w:r>
              <w:proofErr w:type="spellStart"/>
              <w:r w:rsidRPr="002963AA">
                <w:rPr>
                  <w:szCs w:val="28"/>
                  <w:lang w:val="en-GB"/>
                </w:rPr>
                <w:t>schválené</w:t>
              </w:r>
              <w:proofErr w:type="spellEnd"/>
              <w:r w:rsidRPr="002963AA">
                <w:rPr>
                  <w:szCs w:val="28"/>
                  <w:lang w:val="en-GB"/>
                </w:rPr>
                <w:t xml:space="preserve"> </w:t>
              </w:r>
              <w:proofErr w:type="spellStart"/>
              <w:r w:rsidRPr="002963AA">
                <w:rPr>
                  <w:szCs w:val="28"/>
                  <w:lang w:val="en-GB"/>
                </w:rPr>
                <w:t>informace</w:t>
              </w:r>
              <w:proofErr w:type="spellEnd"/>
              <w:r w:rsidRPr="002963AA">
                <w:rPr>
                  <w:szCs w:val="28"/>
                  <w:lang w:val="en-GB"/>
                </w:rPr>
                <w:t xml:space="preserve"> o </w:t>
              </w:r>
              <w:proofErr w:type="spellStart"/>
              <w:r w:rsidRPr="002963AA">
                <w:rPr>
                  <w:szCs w:val="28"/>
                  <w:lang w:val="en-GB"/>
                </w:rPr>
                <w:t>přípravku</w:t>
              </w:r>
              <w:proofErr w:type="spellEnd"/>
              <w:r w:rsidRPr="002963AA">
                <w:rPr>
                  <w:szCs w:val="28"/>
                  <w:lang w:val="en-GB"/>
                </w:rPr>
                <w:t xml:space="preserve"> &lt;</w:t>
              </w:r>
              <w:proofErr w:type="spellStart"/>
              <w:r w:rsidRPr="002963AA">
                <w:rPr>
                  <w:szCs w:val="28"/>
                  <w:lang w:val="en-GB"/>
                </w:rPr>
                <w:t>název</w:t>
              </w:r>
              <w:proofErr w:type="spellEnd"/>
              <w:r w:rsidRPr="002963AA">
                <w:rPr>
                  <w:szCs w:val="28"/>
                  <w:lang w:val="en-GB"/>
                </w:rPr>
                <w:t xml:space="preserve"> </w:t>
              </w:r>
              <w:proofErr w:type="spellStart"/>
              <w:r w:rsidRPr="002963AA">
                <w:rPr>
                  <w:szCs w:val="28"/>
                  <w:lang w:val="en-GB"/>
                </w:rPr>
                <w:t>léčivého</w:t>
              </w:r>
              <w:proofErr w:type="spellEnd"/>
              <w:r w:rsidRPr="002963AA">
                <w:rPr>
                  <w:szCs w:val="28"/>
                  <w:lang w:val="en-GB"/>
                </w:rPr>
                <w:t xml:space="preserve"> </w:t>
              </w:r>
              <w:proofErr w:type="spellStart"/>
              <w:r w:rsidRPr="002963AA">
                <w:rPr>
                  <w:szCs w:val="28"/>
                  <w:lang w:val="en-GB"/>
                </w:rPr>
                <w:t>přípravku</w:t>
              </w:r>
              <w:proofErr w:type="spellEnd"/>
              <w:r w:rsidRPr="002963AA">
                <w:rPr>
                  <w:szCs w:val="28"/>
                  <w:lang w:val="en-GB"/>
                </w:rPr>
                <w:t xml:space="preserve">&gt; se </w:t>
              </w:r>
              <w:proofErr w:type="spellStart"/>
              <w:r w:rsidRPr="002963AA">
                <w:rPr>
                  <w:szCs w:val="28"/>
                  <w:lang w:val="en-GB"/>
                </w:rPr>
                <w:t>změnami</w:t>
              </w:r>
              <w:proofErr w:type="spellEnd"/>
              <w:r w:rsidRPr="002963AA">
                <w:rPr>
                  <w:szCs w:val="28"/>
                  <w:lang w:val="en-GB"/>
                </w:rPr>
                <w:t xml:space="preserve"> v </w:t>
              </w:r>
              <w:proofErr w:type="spellStart"/>
              <w:r w:rsidRPr="002963AA">
                <w:rPr>
                  <w:szCs w:val="28"/>
                  <w:lang w:val="en-GB"/>
                </w:rPr>
                <w:t>textech</w:t>
              </w:r>
              <w:proofErr w:type="spellEnd"/>
              <w:r w:rsidRPr="002963AA">
                <w:rPr>
                  <w:szCs w:val="28"/>
                  <w:lang w:val="en-GB"/>
                </w:rPr>
                <w:t xml:space="preserve">, </w:t>
              </w:r>
              <w:proofErr w:type="spellStart"/>
              <w:r w:rsidRPr="002963AA">
                <w:rPr>
                  <w:szCs w:val="28"/>
                  <w:lang w:val="en-GB"/>
                </w:rPr>
                <w:t>které</w:t>
              </w:r>
              <w:proofErr w:type="spellEnd"/>
              <w:r w:rsidRPr="002963AA">
                <w:rPr>
                  <w:szCs w:val="28"/>
                  <w:lang w:val="en-GB"/>
                </w:rPr>
                <w:t xml:space="preserve"> </w:t>
              </w:r>
              <w:proofErr w:type="spellStart"/>
              <w:r w:rsidRPr="002963AA">
                <w:rPr>
                  <w:szCs w:val="28"/>
                  <w:lang w:val="en-GB"/>
                </w:rPr>
                <w:t>byly</w:t>
              </w:r>
              <w:proofErr w:type="spellEnd"/>
              <w:r w:rsidRPr="002963AA">
                <w:rPr>
                  <w:szCs w:val="28"/>
                  <w:lang w:val="en-GB"/>
                </w:rPr>
                <w:t xml:space="preserve"> </w:t>
              </w:r>
              <w:proofErr w:type="spellStart"/>
              <w:r w:rsidRPr="002963AA">
                <w:rPr>
                  <w:szCs w:val="28"/>
                  <w:lang w:val="en-GB"/>
                </w:rPr>
                <w:t>provedeny</w:t>
              </w:r>
              <w:proofErr w:type="spellEnd"/>
              <w:r w:rsidRPr="002963AA">
                <w:rPr>
                  <w:szCs w:val="28"/>
                  <w:lang w:val="en-GB"/>
                </w:rPr>
                <w:t xml:space="preserve"> </w:t>
              </w:r>
              <w:proofErr w:type="spellStart"/>
              <w:r w:rsidRPr="002963AA">
                <w:rPr>
                  <w:szCs w:val="28"/>
                  <w:lang w:val="en-GB"/>
                </w:rPr>
                <w:t>od</w:t>
              </w:r>
              <w:proofErr w:type="spellEnd"/>
              <w:r w:rsidRPr="002963AA">
                <w:rPr>
                  <w:szCs w:val="28"/>
                  <w:lang w:val="en-GB"/>
                </w:rPr>
                <w:t xml:space="preserve"> </w:t>
              </w:r>
              <w:proofErr w:type="spellStart"/>
              <w:r w:rsidRPr="002963AA">
                <w:rPr>
                  <w:szCs w:val="28"/>
                  <w:lang w:val="en-GB"/>
                </w:rPr>
                <w:t>předchozí</w:t>
              </w:r>
              <w:proofErr w:type="spellEnd"/>
              <w:r w:rsidRPr="002963AA">
                <w:rPr>
                  <w:szCs w:val="28"/>
                  <w:lang w:val="en-GB"/>
                </w:rPr>
                <w:t xml:space="preserve"> </w:t>
              </w:r>
              <w:proofErr w:type="spellStart"/>
              <w:r w:rsidRPr="002963AA">
                <w:rPr>
                  <w:szCs w:val="28"/>
                  <w:lang w:val="en-GB"/>
                </w:rPr>
                <w:t>procedury</w:t>
              </w:r>
              <w:proofErr w:type="spellEnd"/>
              <w:r w:rsidRPr="002963AA">
                <w:rPr>
                  <w:szCs w:val="28"/>
                  <w:lang w:val="en-GB"/>
                </w:rPr>
                <w:t xml:space="preserve"> s </w:t>
              </w:r>
              <w:proofErr w:type="spellStart"/>
              <w:r w:rsidRPr="002963AA">
                <w:rPr>
                  <w:szCs w:val="28"/>
                  <w:lang w:val="en-GB"/>
                </w:rPr>
                <w:t>dopadem</w:t>
              </w:r>
              <w:proofErr w:type="spellEnd"/>
              <w:r w:rsidRPr="002963AA">
                <w:rPr>
                  <w:szCs w:val="28"/>
                  <w:lang w:val="en-GB"/>
                </w:rPr>
                <w:t xml:space="preserve"> do </w:t>
              </w:r>
              <w:proofErr w:type="spellStart"/>
              <w:r w:rsidRPr="002963AA">
                <w:rPr>
                  <w:szCs w:val="28"/>
                  <w:lang w:val="en-GB"/>
                </w:rPr>
                <w:t>informací</w:t>
              </w:r>
              <w:proofErr w:type="spellEnd"/>
              <w:r w:rsidRPr="002963AA">
                <w:rPr>
                  <w:szCs w:val="28"/>
                  <w:lang w:val="en-GB"/>
                </w:rPr>
                <w:t xml:space="preserve"> o </w:t>
              </w:r>
              <w:proofErr w:type="spellStart"/>
              <w:r w:rsidRPr="002963AA">
                <w:rPr>
                  <w:szCs w:val="28"/>
                  <w:lang w:val="en-GB"/>
                </w:rPr>
                <w:t>přípravku</w:t>
              </w:r>
              <w:proofErr w:type="spellEnd"/>
              <w:r w:rsidRPr="002963AA">
                <w:rPr>
                  <w:szCs w:val="28"/>
                  <w:lang w:val="en-GB"/>
                </w:rPr>
                <w:t xml:space="preserve"> </w:t>
              </w:r>
              <w:r>
                <w:rPr>
                  <w:szCs w:val="28"/>
                  <w:lang w:val="en-GB"/>
                </w:rPr>
                <w:t>(</w:t>
              </w:r>
              <w:r w:rsidRPr="007833F1">
                <w:rPr>
                  <w:rFonts w:eastAsia="맑은 고딕"/>
                  <w:szCs w:val="28"/>
                  <w:lang w:val="en-GB" w:eastAsia="ko-KR"/>
                </w:rPr>
                <w:t>EMA/VR/0000287521</w:t>
              </w:r>
              <w:r>
                <w:rPr>
                  <w:szCs w:val="28"/>
                  <w:lang w:val="en-GB"/>
                </w:rPr>
                <w:t>)</w:t>
              </w:r>
              <w:r>
                <w:t xml:space="preserve"> </w:t>
              </w:r>
              <w:r w:rsidRPr="002963AA">
                <w:rPr>
                  <w:szCs w:val="28"/>
                  <w:lang w:val="en-GB"/>
                </w:rPr>
                <w:t xml:space="preserve">a </w:t>
              </w:r>
              <w:proofErr w:type="spellStart"/>
              <w:r w:rsidRPr="002963AA">
                <w:rPr>
                  <w:szCs w:val="28"/>
                  <w:lang w:val="en-GB"/>
                </w:rPr>
                <w:t>které</w:t>
              </w:r>
              <w:proofErr w:type="spellEnd"/>
              <w:r w:rsidRPr="002963AA">
                <w:rPr>
                  <w:szCs w:val="28"/>
                  <w:lang w:val="en-GB"/>
                </w:rPr>
                <w:t xml:space="preserve"> </w:t>
              </w:r>
              <w:proofErr w:type="spellStart"/>
              <w:r w:rsidRPr="002963AA">
                <w:rPr>
                  <w:szCs w:val="28"/>
                  <w:lang w:val="en-GB"/>
                </w:rPr>
                <w:t>jsou</w:t>
              </w:r>
              <w:proofErr w:type="spellEnd"/>
              <w:r w:rsidRPr="002963AA">
                <w:rPr>
                  <w:szCs w:val="28"/>
                  <w:lang w:val="en-GB"/>
                </w:rPr>
                <w:t xml:space="preserve"> </w:t>
              </w:r>
              <w:proofErr w:type="spellStart"/>
              <w:r w:rsidRPr="002963AA">
                <w:rPr>
                  <w:szCs w:val="28"/>
                  <w:lang w:val="en-GB"/>
                </w:rPr>
                <w:t>vyznačeny</w:t>
              </w:r>
              <w:proofErr w:type="spellEnd"/>
              <w:r w:rsidRPr="002963AA">
                <w:rPr>
                  <w:szCs w:val="28"/>
                  <w:lang w:val="en-GB"/>
                </w:rPr>
                <w:t xml:space="preserve"> </w:t>
              </w:r>
              <w:proofErr w:type="spellStart"/>
              <w:r w:rsidRPr="002963AA">
                <w:rPr>
                  <w:szCs w:val="28"/>
                  <w:lang w:val="en-GB"/>
                </w:rPr>
                <w:t>revizemi</w:t>
              </w:r>
              <w:proofErr w:type="spellEnd"/>
              <w:r>
                <w:rPr>
                  <w:rFonts w:eastAsia="맑은 고딕"/>
                  <w:szCs w:val="28"/>
                  <w:lang w:val="en-GB" w:eastAsia="ko-KR"/>
                </w:rPr>
                <w:t xml:space="preserve">. </w:t>
              </w:r>
            </w:ins>
          </w:p>
          <w:p w14:paraId="519F94E4" w14:textId="77777777" w:rsidR="005A5001" w:rsidRDefault="005A5001" w:rsidP="005A5001">
            <w:pPr>
              <w:suppressAutoHyphens/>
              <w:rPr>
                <w:ins w:id="2" w:author="만든 이"/>
                <w:szCs w:val="28"/>
                <w:lang w:val="en-GB"/>
              </w:rPr>
            </w:pPr>
          </w:p>
          <w:p w14:paraId="2A0ECD5F" w14:textId="721FC09C" w:rsidR="005A5001" w:rsidRDefault="005A5001" w:rsidP="005A5001">
            <w:pPr>
              <w:pStyle w:val="a3"/>
              <w:ind w:left="0"/>
            </w:pPr>
            <w:ins w:id="3" w:author="만든 이">
              <w:r w:rsidRPr="002963AA">
                <w:t>Další informace k tomuto léčivému přípravku naleznete na webových stránkách Evropské agentury pro léčivé přípravky</w:t>
              </w:r>
              <w:r>
                <w:t xml:space="preserve"> </w:t>
              </w:r>
              <w:r>
                <w:fldChar w:fldCharType="begin"/>
              </w:r>
              <w:r>
                <w:instrText>HYPERLINK "https://www.ema.europa.eu/en/medicines/human/EPAR/avtozm"</w:instrText>
              </w:r>
              <w:r>
                <w:fldChar w:fldCharType="separate"/>
              </w:r>
              <w:r w:rsidRPr="003A17F7">
                <w:rPr>
                  <w:rStyle w:val="a9"/>
                  <w:noProof/>
                </w:rPr>
                <w:t>https://www.ema.europa.eu/en/medicines/human/EPAR/</w:t>
              </w:r>
              <w:r w:rsidRPr="003A17F7">
                <w:rPr>
                  <w:rStyle w:val="a9"/>
                  <w:rFonts w:eastAsia="맑은 고딕" w:hint="eastAsia"/>
                  <w:noProof/>
                  <w:lang w:eastAsia="ko-KR"/>
                </w:rPr>
                <w:t>a</w:t>
              </w:r>
              <w:r w:rsidRPr="003A17F7">
                <w:rPr>
                  <w:rStyle w:val="a9"/>
                  <w:rFonts w:eastAsia="맑은 고딕" w:hint="eastAsia"/>
                  <w:lang w:eastAsia="ko-KR"/>
                </w:rPr>
                <w:t>vtozm</w:t>
              </w:r>
              <w:r>
                <w:fldChar w:fldCharType="end"/>
              </w:r>
            </w:ins>
          </w:p>
        </w:tc>
      </w:tr>
    </w:tbl>
    <w:p w14:paraId="7F061B92" w14:textId="77777777" w:rsidR="00222DE0" w:rsidRPr="00EE3355" w:rsidRDefault="00222DE0" w:rsidP="00EA1CDF">
      <w:pPr>
        <w:pStyle w:val="a3"/>
        <w:ind w:left="0"/>
        <w:jc w:val="center"/>
      </w:pPr>
    </w:p>
    <w:p w14:paraId="285CAC0C" w14:textId="77777777" w:rsidR="00222DE0" w:rsidRPr="00EE3355" w:rsidRDefault="00222DE0" w:rsidP="00EA1CDF">
      <w:pPr>
        <w:pStyle w:val="a3"/>
        <w:ind w:left="0"/>
        <w:jc w:val="center"/>
      </w:pPr>
    </w:p>
    <w:p w14:paraId="06411384" w14:textId="77777777" w:rsidR="00222DE0" w:rsidRPr="00EE3355" w:rsidRDefault="00222DE0" w:rsidP="00EA1CDF">
      <w:pPr>
        <w:pStyle w:val="a3"/>
        <w:ind w:left="0"/>
        <w:jc w:val="center"/>
      </w:pPr>
    </w:p>
    <w:p w14:paraId="0996698D" w14:textId="77777777" w:rsidR="00222DE0" w:rsidRPr="00EE3355" w:rsidRDefault="00222DE0" w:rsidP="00EA1CDF">
      <w:pPr>
        <w:pStyle w:val="a3"/>
        <w:ind w:left="0"/>
        <w:jc w:val="center"/>
      </w:pPr>
    </w:p>
    <w:p w14:paraId="6A5BFB58" w14:textId="77777777" w:rsidR="00222DE0" w:rsidRPr="00EE3355" w:rsidRDefault="00222DE0" w:rsidP="00EA1CDF">
      <w:pPr>
        <w:pStyle w:val="a3"/>
        <w:ind w:left="0"/>
        <w:jc w:val="center"/>
      </w:pPr>
    </w:p>
    <w:p w14:paraId="65C656DA" w14:textId="77777777" w:rsidR="00222DE0" w:rsidRPr="00EE3355" w:rsidRDefault="00222DE0" w:rsidP="00EA1CDF">
      <w:pPr>
        <w:pStyle w:val="a3"/>
        <w:ind w:left="0"/>
        <w:jc w:val="center"/>
      </w:pPr>
    </w:p>
    <w:p w14:paraId="04FEDB04" w14:textId="77777777" w:rsidR="00222DE0" w:rsidRPr="00EE3355" w:rsidRDefault="00222DE0" w:rsidP="00EA1CDF">
      <w:pPr>
        <w:pStyle w:val="a3"/>
        <w:ind w:left="0"/>
        <w:jc w:val="center"/>
      </w:pPr>
    </w:p>
    <w:p w14:paraId="4024D88F" w14:textId="77777777" w:rsidR="00222DE0" w:rsidRPr="00EE3355" w:rsidRDefault="00222DE0" w:rsidP="00EA1CDF">
      <w:pPr>
        <w:pStyle w:val="a3"/>
        <w:ind w:left="0"/>
        <w:jc w:val="center"/>
      </w:pPr>
    </w:p>
    <w:p w14:paraId="6094B0F3" w14:textId="77777777" w:rsidR="00222DE0" w:rsidRPr="00EE3355" w:rsidRDefault="00222DE0" w:rsidP="00EA1CDF">
      <w:pPr>
        <w:pStyle w:val="a3"/>
        <w:ind w:left="0"/>
        <w:jc w:val="center"/>
      </w:pPr>
    </w:p>
    <w:p w14:paraId="435553A9" w14:textId="77777777" w:rsidR="00222DE0" w:rsidRPr="00EE3355" w:rsidRDefault="00222DE0" w:rsidP="00EA1CDF">
      <w:pPr>
        <w:pStyle w:val="a3"/>
        <w:ind w:left="0"/>
        <w:jc w:val="center"/>
      </w:pPr>
    </w:p>
    <w:p w14:paraId="3B775E20" w14:textId="77777777" w:rsidR="00222DE0" w:rsidRPr="00EE3355" w:rsidRDefault="00222DE0" w:rsidP="00EA1CDF">
      <w:pPr>
        <w:pStyle w:val="a3"/>
        <w:ind w:left="0"/>
        <w:jc w:val="center"/>
      </w:pPr>
    </w:p>
    <w:p w14:paraId="6D62C265" w14:textId="77777777" w:rsidR="00222DE0" w:rsidRPr="00EE3355" w:rsidRDefault="00222DE0" w:rsidP="00EA1CDF">
      <w:pPr>
        <w:pStyle w:val="a3"/>
        <w:ind w:left="0"/>
        <w:jc w:val="center"/>
      </w:pPr>
    </w:p>
    <w:p w14:paraId="00C8958E" w14:textId="77777777" w:rsidR="00222DE0" w:rsidRPr="00EE3355" w:rsidRDefault="00222DE0" w:rsidP="00EA1CDF">
      <w:pPr>
        <w:pStyle w:val="a3"/>
        <w:ind w:left="0"/>
        <w:jc w:val="center"/>
      </w:pPr>
    </w:p>
    <w:p w14:paraId="2A1E1B9D" w14:textId="77777777" w:rsidR="00222DE0" w:rsidRPr="00EE3355" w:rsidRDefault="00222DE0" w:rsidP="00EA1CDF">
      <w:pPr>
        <w:pStyle w:val="a3"/>
        <w:ind w:left="0"/>
        <w:jc w:val="center"/>
      </w:pPr>
    </w:p>
    <w:p w14:paraId="60162443" w14:textId="77777777" w:rsidR="00222DE0" w:rsidRPr="00EE3355" w:rsidRDefault="00222DE0" w:rsidP="00EA1CDF">
      <w:pPr>
        <w:pStyle w:val="a3"/>
        <w:ind w:left="0"/>
        <w:jc w:val="center"/>
      </w:pPr>
    </w:p>
    <w:p w14:paraId="4C79F598" w14:textId="77777777" w:rsidR="00222DE0" w:rsidRPr="00EE3355" w:rsidRDefault="00222DE0" w:rsidP="00EA1CDF">
      <w:pPr>
        <w:pStyle w:val="a3"/>
        <w:ind w:left="0"/>
        <w:jc w:val="center"/>
      </w:pPr>
    </w:p>
    <w:p w14:paraId="7DCFA2E1" w14:textId="77777777" w:rsidR="00222DE0" w:rsidRPr="00EE3355" w:rsidRDefault="00222DE0" w:rsidP="00EA1CDF">
      <w:pPr>
        <w:pStyle w:val="a3"/>
        <w:ind w:left="0"/>
        <w:jc w:val="center"/>
      </w:pPr>
    </w:p>
    <w:p w14:paraId="21A889B3" w14:textId="77777777" w:rsidR="0033179D" w:rsidRPr="00EE3355" w:rsidRDefault="0033179D" w:rsidP="00EA1CDF">
      <w:pPr>
        <w:pStyle w:val="a3"/>
        <w:ind w:left="0"/>
        <w:jc w:val="center"/>
      </w:pPr>
    </w:p>
    <w:p w14:paraId="59B76A86" w14:textId="77777777" w:rsidR="0033179D" w:rsidRPr="00EE3355" w:rsidRDefault="0033179D" w:rsidP="00EA1CDF">
      <w:pPr>
        <w:pStyle w:val="a3"/>
        <w:ind w:left="0"/>
        <w:jc w:val="center"/>
      </w:pPr>
    </w:p>
    <w:p w14:paraId="6C7E6FFE" w14:textId="77777777" w:rsidR="0033179D" w:rsidRPr="00EE3355" w:rsidRDefault="0033179D" w:rsidP="00EA1CDF">
      <w:pPr>
        <w:pStyle w:val="a3"/>
        <w:ind w:left="0"/>
        <w:jc w:val="center"/>
      </w:pPr>
    </w:p>
    <w:p w14:paraId="499B50E5" w14:textId="77777777" w:rsidR="0033179D" w:rsidRPr="00EE3355" w:rsidRDefault="0033179D" w:rsidP="00EA1CDF">
      <w:pPr>
        <w:pStyle w:val="a3"/>
        <w:ind w:left="0"/>
        <w:jc w:val="center"/>
      </w:pPr>
    </w:p>
    <w:p w14:paraId="667B3123" w14:textId="77777777" w:rsidR="00222DE0" w:rsidRPr="00EE3355" w:rsidRDefault="0098273B" w:rsidP="00EA1CDF">
      <w:pPr>
        <w:jc w:val="center"/>
        <w:rPr>
          <w:b/>
        </w:rPr>
      </w:pPr>
      <w:r w:rsidRPr="00EE3355">
        <w:rPr>
          <w:b/>
        </w:rPr>
        <w:t>PŘÍLOHA I</w:t>
      </w:r>
    </w:p>
    <w:p w14:paraId="1F1904A7" w14:textId="77777777" w:rsidR="00222DE0" w:rsidRPr="00EE3355" w:rsidRDefault="00222DE0" w:rsidP="00EA1CDF">
      <w:pPr>
        <w:pStyle w:val="a3"/>
        <w:ind w:left="0"/>
        <w:jc w:val="center"/>
        <w:rPr>
          <w:b/>
        </w:rPr>
      </w:pPr>
    </w:p>
    <w:p w14:paraId="1DD43497" w14:textId="77777777" w:rsidR="00222DE0" w:rsidRPr="00EE3355" w:rsidRDefault="0098273B" w:rsidP="00EA1CDF">
      <w:pPr>
        <w:jc w:val="center"/>
        <w:rPr>
          <w:b/>
        </w:rPr>
      </w:pPr>
      <w:bookmarkStart w:id="4" w:name="SOUHRN_ÚDAJŮ_O_PŘÍPRAVKU"/>
      <w:bookmarkEnd w:id="4"/>
      <w:r w:rsidRPr="00EE3355">
        <w:rPr>
          <w:b/>
        </w:rPr>
        <w:t>SOUHRN ÚDAJŮ O PŘÍPRAVKU</w:t>
      </w:r>
    </w:p>
    <w:p w14:paraId="70F247FD" w14:textId="77777777" w:rsidR="00D05ACF" w:rsidRPr="00EE3355" w:rsidRDefault="00D05ACF" w:rsidP="00EA1CDF">
      <w:pPr>
        <w:jc w:val="center"/>
        <w:rPr>
          <w:b/>
        </w:rPr>
      </w:pPr>
    </w:p>
    <w:p w14:paraId="00D9143C" w14:textId="0F6D6CAA" w:rsidR="00DB288E" w:rsidRDefault="00A66B71" w:rsidP="00B93217">
      <w:pPr>
        <w:widowControl/>
      </w:pPr>
      <w:r w:rsidRPr="00EE3355">
        <w:br w:type="page"/>
      </w:r>
      <w:r w:rsidR="00C301E6">
        <w:rPr>
          <w:noProof/>
          <w:lang w:val="en-US" w:eastAsia="ko-KR"/>
        </w:rPr>
        <w:lastRenderedPageBreak/>
        <w:drawing>
          <wp:inline distT="0" distB="0" distL="0" distR="0" wp14:anchorId="26DDA095" wp14:editId="466E4582">
            <wp:extent cx="191135" cy="159385"/>
            <wp:effectExtent l="0" t="0" r="0" b="0"/>
            <wp:docPr id="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59385"/>
                    </a:xfrm>
                    <a:prstGeom prst="rect">
                      <a:avLst/>
                    </a:prstGeom>
                    <a:noFill/>
                    <a:ln>
                      <a:noFill/>
                    </a:ln>
                  </pic:spPr>
                </pic:pic>
              </a:graphicData>
            </a:graphic>
          </wp:inline>
        </w:drawing>
      </w:r>
      <w:r w:rsidR="00DB288E" w:rsidRPr="00DB288E">
        <w:t>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w:t>
      </w:r>
    </w:p>
    <w:p w14:paraId="737D57B6" w14:textId="77777777" w:rsidR="00DB288E" w:rsidRDefault="00DB288E" w:rsidP="00EA1CDF">
      <w:pPr>
        <w:widowControl/>
        <w:ind w:left="567" w:hanging="567"/>
      </w:pPr>
    </w:p>
    <w:p w14:paraId="3A78DE8A" w14:textId="77777777" w:rsidR="00102C98" w:rsidRDefault="00102C98" w:rsidP="00EA1CDF">
      <w:pPr>
        <w:widowControl/>
        <w:ind w:left="567" w:hanging="567"/>
      </w:pPr>
    </w:p>
    <w:p w14:paraId="19C0AB86" w14:textId="4497710F" w:rsidR="00222DE0" w:rsidRPr="001D0160" w:rsidRDefault="00B23DAE" w:rsidP="008A10A6">
      <w:pPr>
        <w:pStyle w:val="1"/>
        <w:widowControl/>
        <w:ind w:left="567" w:hanging="567"/>
      </w:pPr>
      <w:r w:rsidRPr="00EE3355">
        <w:t>1.</w:t>
      </w:r>
      <w:r w:rsidRPr="00EE3355">
        <w:tab/>
      </w:r>
      <w:r w:rsidR="0098273B" w:rsidRPr="00EE3355">
        <w:t>NÁZEV PŘÍPRAVKU</w:t>
      </w:r>
    </w:p>
    <w:p w14:paraId="0F80FBD7" w14:textId="77777777" w:rsidR="00C837DC" w:rsidRPr="00EE3355" w:rsidRDefault="00C837DC" w:rsidP="00EA1CDF">
      <w:pPr>
        <w:pStyle w:val="a3"/>
        <w:widowControl/>
        <w:ind w:left="0"/>
      </w:pPr>
    </w:p>
    <w:p w14:paraId="624A1782" w14:textId="5B92194E" w:rsidR="00222DE0" w:rsidRPr="001643DA" w:rsidRDefault="00DB288E" w:rsidP="00EA1CDF">
      <w:pPr>
        <w:pStyle w:val="a3"/>
        <w:widowControl/>
        <w:ind w:left="0"/>
        <w:rPr>
          <w:rFonts w:eastAsia="맑은 고딕"/>
          <w:lang w:eastAsia="ko-KR"/>
          <w:rPrChange w:id="5" w:author="만든 이">
            <w:rPr/>
          </w:rPrChange>
        </w:rPr>
      </w:pPr>
      <w:r>
        <w:t>Avtozma</w:t>
      </w:r>
      <w:r w:rsidR="0098273B" w:rsidRPr="00EE3355">
        <w:t>, 20 mg/ml, koncentrát pro infuzní roztok</w:t>
      </w:r>
      <w:del w:id="6" w:author="만든 이">
        <w:r w:rsidR="0098273B" w:rsidRPr="00EE3355" w:rsidDel="001643DA">
          <w:delText>.</w:delText>
        </w:r>
      </w:del>
    </w:p>
    <w:p w14:paraId="4F74BD1A" w14:textId="77777777" w:rsidR="00C837DC" w:rsidRPr="00EE3355" w:rsidRDefault="00C837DC" w:rsidP="00EA1CDF">
      <w:pPr>
        <w:pStyle w:val="a3"/>
        <w:widowControl/>
        <w:ind w:left="0"/>
      </w:pPr>
    </w:p>
    <w:p w14:paraId="4C877758" w14:textId="77777777" w:rsidR="00C837DC" w:rsidRPr="00EE3355" w:rsidRDefault="00C837DC" w:rsidP="00EA1CDF">
      <w:pPr>
        <w:pStyle w:val="a3"/>
        <w:widowControl/>
        <w:ind w:left="0"/>
      </w:pPr>
    </w:p>
    <w:p w14:paraId="03FA5033" w14:textId="77777777" w:rsidR="00222DE0" w:rsidRPr="00EE3355" w:rsidRDefault="00B23DAE" w:rsidP="00EA1CDF">
      <w:pPr>
        <w:pStyle w:val="1"/>
        <w:widowControl/>
        <w:ind w:left="567" w:hanging="567"/>
      </w:pPr>
      <w:r w:rsidRPr="00EE3355">
        <w:t>2.</w:t>
      </w:r>
      <w:r w:rsidRPr="00EE3355">
        <w:tab/>
      </w:r>
      <w:r w:rsidR="0098273B" w:rsidRPr="00EE3355">
        <w:t>KVALITATIVNÍ A KVANTITATIVNÍ SLOŽENÍ</w:t>
      </w:r>
    </w:p>
    <w:p w14:paraId="34E37737" w14:textId="77777777" w:rsidR="005F05B6" w:rsidRPr="00EE3355" w:rsidRDefault="005F05B6" w:rsidP="00EA1CDF">
      <w:pPr>
        <w:pStyle w:val="a3"/>
        <w:widowControl/>
        <w:ind w:left="0"/>
      </w:pPr>
    </w:p>
    <w:p w14:paraId="156145C9" w14:textId="316C25FB" w:rsidR="00222DE0" w:rsidRPr="00EE3355" w:rsidRDefault="0098273B" w:rsidP="00EA1CDF">
      <w:pPr>
        <w:pStyle w:val="a3"/>
        <w:widowControl/>
        <w:ind w:left="0"/>
      </w:pPr>
      <w:r w:rsidRPr="00EE3355">
        <w:t xml:space="preserve">Jeden ml koncentrátu obsahuje </w:t>
      </w:r>
      <w:r w:rsidR="005874AF" w:rsidRPr="00EE3355">
        <w:t xml:space="preserve">20 mg </w:t>
      </w:r>
      <w:r w:rsidRPr="00EE3355">
        <w:t xml:space="preserve">tocilizumabu* </w:t>
      </w:r>
    </w:p>
    <w:p w14:paraId="4FBEEA77" w14:textId="77777777" w:rsidR="00222DE0" w:rsidRPr="00EE3355" w:rsidRDefault="00222DE0" w:rsidP="00EA1CDF">
      <w:pPr>
        <w:pStyle w:val="a3"/>
        <w:widowControl/>
        <w:ind w:left="0"/>
      </w:pPr>
    </w:p>
    <w:p w14:paraId="6A35A4C7" w14:textId="3A3E603D" w:rsidR="005F05B6" w:rsidRPr="00EE3355" w:rsidRDefault="0098273B" w:rsidP="00EA1CDF">
      <w:pPr>
        <w:pStyle w:val="a3"/>
        <w:widowControl/>
        <w:ind w:left="0"/>
      </w:pPr>
      <w:r w:rsidRPr="00EE3355">
        <w:t xml:space="preserve">Jedna injekční lahvička obsahuje </w:t>
      </w:r>
      <w:r w:rsidR="00A94DA1" w:rsidRPr="00EE3355">
        <w:t xml:space="preserve">80 mg </w:t>
      </w:r>
      <w:r w:rsidRPr="00EE3355">
        <w:t>tocilizumabu* ve 4 ml (20 mg/ml)</w:t>
      </w:r>
    </w:p>
    <w:p w14:paraId="26FF666C" w14:textId="1F60831D" w:rsidR="005F05B6" w:rsidRPr="00EE3355" w:rsidRDefault="0098273B" w:rsidP="00EA1CDF">
      <w:pPr>
        <w:pStyle w:val="a3"/>
        <w:widowControl/>
        <w:ind w:left="0"/>
      </w:pPr>
      <w:r w:rsidRPr="00EE3355">
        <w:t xml:space="preserve">Jedna injekční lahvička obsahuje </w:t>
      </w:r>
      <w:r w:rsidR="00A94DA1" w:rsidRPr="00EE3355">
        <w:t xml:space="preserve">200 mg </w:t>
      </w:r>
      <w:r w:rsidRPr="00EE3355">
        <w:t>tocilizumabu* v 10 ml (20 mg/ml)</w:t>
      </w:r>
    </w:p>
    <w:p w14:paraId="2F0907F0" w14:textId="17FD61D8" w:rsidR="00222DE0" w:rsidRPr="00EE3355" w:rsidRDefault="0098273B" w:rsidP="00EA1CDF">
      <w:pPr>
        <w:pStyle w:val="a3"/>
        <w:widowControl/>
        <w:ind w:left="0"/>
      </w:pPr>
      <w:r w:rsidRPr="00EE3355">
        <w:t xml:space="preserve">Jedna injekční lahvička obsahuje </w:t>
      </w:r>
      <w:r w:rsidR="00A94DA1" w:rsidRPr="00EE3355">
        <w:t xml:space="preserve">400 mg </w:t>
      </w:r>
      <w:r w:rsidRPr="00EE3355">
        <w:t>tocilizumabu* ve 20 ml (20 mg/ml)</w:t>
      </w:r>
    </w:p>
    <w:p w14:paraId="08825FB4" w14:textId="77777777" w:rsidR="00222DE0" w:rsidRPr="00EE3355" w:rsidRDefault="00222DE0" w:rsidP="00EA1CDF">
      <w:pPr>
        <w:pStyle w:val="a3"/>
        <w:widowControl/>
        <w:ind w:left="0"/>
      </w:pPr>
    </w:p>
    <w:p w14:paraId="0C9E23E2" w14:textId="77777777" w:rsidR="00222DE0" w:rsidRDefault="0098273B" w:rsidP="00EA1CDF">
      <w:pPr>
        <w:pStyle w:val="a3"/>
        <w:widowControl/>
        <w:ind w:left="0"/>
      </w:pPr>
      <w:r w:rsidRPr="00EE3355">
        <w:t>* rekombinantní humanizovaná monoklonální protilátka IgG1 proti lidskému receptoru interleukinu 6 (IL-6) produkovaná ovariálními buňkami čínského křečíka za pomocí rekombinantní DNA technologie.</w:t>
      </w:r>
    </w:p>
    <w:p w14:paraId="79711B2C" w14:textId="77777777" w:rsidR="00981B2F" w:rsidRDefault="00981B2F" w:rsidP="00EA1CDF">
      <w:pPr>
        <w:pStyle w:val="a3"/>
        <w:widowControl/>
        <w:ind w:left="0"/>
      </w:pPr>
    </w:p>
    <w:p w14:paraId="1D28C1D7" w14:textId="598F8208" w:rsidR="00981B2F" w:rsidRPr="00C41310" w:rsidRDefault="00981B2F" w:rsidP="00EA1CDF">
      <w:pPr>
        <w:pStyle w:val="a3"/>
        <w:widowControl/>
        <w:ind w:left="0"/>
        <w:rPr>
          <w:u w:val="single"/>
        </w:rPr>
      </w:pPr>
      <w:r w:rsidRPr="00C41310">
        <w:rPr>
          <w:u w:val="single"/>
        </w:rPr>
        <w:t>Pomocné látky se známým účink</w:t>
      </w:r>
      <w:r w:rsidR="00A402C5" w:rsidRPr="00C41310">
        <w:rPr>
          <w:u w:val="single"/>
        </w:rPr>
        <w:t>em</w:t>
      </w:r>
      <w:r w:rsidRPr="00C41310">
        <w:rPr>
          <w:u w:val="single"/>
        </w:rPr>
        <w:t>:</w:t>
      </w:r>
    </w:p>
    <w:p w14:paraId="1A542B11" w14:textId="047EE5FB" w:rsidR="00981B2F" w:rsidRPr="00C41310" w:rsidRDefault="00981B2F" w:rsidP="00EA1CDF">
      <w:pPr>
        <w:pStyle w:val="a3"/>
        <w:widowControl/>
        <w:ind w:left="0"/>
        <w:rPr>
          <w:i/>
          <w:iCs/>
        </w:rPr>
      </w:pPr>
      <w:r w:rsidRPr="00C41310">
        <w:rPr>
          <w:i/>
          <w:iCs/>
        </w:rPr>
        <w:t>Polysorbát</w:t>
      </w:r>
    </w:p>
    <w:p w14:paraId="30B80F39" w14:textId="2165489D" w:rsidR="00981B2F" w:rsidRDefault="003721BE" w:rsidP="00EA1CDF">
      <w:pPr>
        <w:pStyle w:val="a3"/>
        <w:widowControl/>
        <w:ind w:left="0"/>
      </w:pPr>
      <w:r>
        <w:t>Jedna</w:t>
      </w:r>
      <w:r w:rsidR="00981B2F">
        <w:t xml:space="preserve"> 80mg injekční lahvička obsahuje 2,0 mg polysorbátu</w:t>
      </w:r>
      <w:r w:rsidR="00395E0C">
        <w:rPr>
          <w:rFonts w:eastAsia="맑은 고딕" w:hint="eastAsia"/>
          <w:lang w:eastAsia="ko-KR"/>
        </w:rPr>
        <w:t xml:space="preserve"> 80</w:t>
      </w:r>
      <w:r w:rsidR="00981B2F">
        <w:t>.</w:t>
      </w:r>
    </w:p>
    <w:p w14:paraId="66DD1F93" w14:textId="5CEF1B68" w:rsidR="00981B2F" w:rsidRDefault="003721BE" w:rsidP="00981B2F">
      <w:pPr>
        <w:pStyle w:val="a3"/>
        <w:widowControl/>
        <w:ind w:left="0"/>
      </w:pPr>
      <w:r>
        <w:t>Jedna</w:t>
      </w:r>
      <w:r w:rsidR="00981B2F">
        <w:t xml:space="preserve"> 200mg injekční lahvička obsahuje 5,0 mg polysorbátu</w:t>
      </w:r>
      <w:r w:rsidR="00395E0C">
        <w:rPr>
          <w:rFonts w:eastAsia="맑은 고딕" w:hint="eastAsia"/>
          <w:lang w:eastAsia="ko-KR"/>
        </w:rPr>
        <w:t xml:space="preserve"> 80</w:t>
      </w:r>
      <w:r w:rsidR="00981B2F">
        <w:t>.</w:t>
      </w:r>
    </w:p>
    <w:p w14:paraId="03C4B545" w14:textId="3C3FA854" w:rsidR="00981B2F" w:rsidRPr="00EE3355" w:rsidRDefault="003721BE" w:rsidP="00981B2F">
      <w:pPr>
        <w:pStyle w:val="a3"/>
        <w:widowControl/>
        <w:ind w:left="0"/>
      </w:pPr>
      <w:r>
        <w:t>Jedna</w:t>
      </w:r>
      <w:r w:rsidR="00981B2F">
        <w:t xml:space="preserve"> 400mg injekční lahvička obsahuje 10,0 mg polysorbátu</w:t>
      </w:r>
      <w:r w:rsidR="00395E0C">
        <w:rPr>
          <w:rFonts w:eastAsia="맑은 고딕" w:hint="eastAsia"/>
          <w:lang w:eastAsia="ko-KR"/>
        </w:rPr>
        <w:t xml:space="preserve"> 80</w:t>
      </w:r>
      <w:r w:rsidR="00981B2F">
        <w:t>.</w:t>
      </w:r>
    </w:p>
    <w:p w14:paraId="28F519E7" w14:textId="77777777" w:rsidR="002F4DF0" w:rsidRPr="00EE3355" w:rsidRDefault="002F4DF0" w:rsidP="00EA1CDF">
      <w:pPr>
        <w:pStyle w:val="a3"/>
        <w:widowControl/>
        <w:ind w:left="0"/>
      </w:pPr>
    </w:p>
    <w:p w14:paraId="5DEF7C92" w14:textId="77777777" w:rsidR="00222DE0" w:rsidRPr="00EE3355" w:rsidRDefault="0098273B" w:rsidP="00EA1CDF">
      <w:pPr>
        <w:pStyle w:val="a3"/>
        <w:widowControl/>
        <w:ind w:left="0"/>
      </w:pPr>
      <w:r w:rsidRPr="00EE3355">
        <w:t>Úplný seznam pomocných látek viz bod 6.1.</w:t>
      </w:r>
    </w:p>
    <w:p w14:paraId="478ADC15" w14:textId="77777777" w:rsidR="00222DE0" w:rsidRPr="00EE3355" w:rsidRDefault="00222DE0" w:rsidP="00EA1CDF">
      <w:pPr>
        <w:pStyle w:val="a3"/>
        <w:widowControl/>
        <w:ind w:left="0"/>
      </w:pPr>
    </w:p>
    <w:p w14:paraId="3529F2D0" w14:textId="77777777" w:rsidR="00222DE0" w:rsidRPr="00EE3355" w:rsidRDefault="00222DE0" w:rsidP="00EA1CDF">
      <w:pPr>
        <w:pStyle w:val="a3"/>
        <w:widowControl/>
        <w:ind w:left="0"/>
      </w:pPr>
    </w:p>
    <w:p w14:paraId="2554DF98" w14:textId="77777777" w:rsidR="00222DE0" w:rsidRPr="00EE3355" w:rsidRDefault="00B23DAE" w:rsidP="00EA1CDF">
      <w:pPr>
        <w:pStyle w:val="1"/>
        <w:widowControl/>
        <w:tabs>
          <w:tab w:val="left" w:pos="804"/>
        </w:tabs>
        <w:ind w:left="567" w:hanging="567"/>
      </w:pPr>
      <w:r w:rsidRPr="00EE3355">
        <w:t>3.</w:t>
      </w:r>
      <w:r w:rsidRPr="00EE3355">
        <w:tab/>
      </w:r>
      <w:r w:rsidR="0098273B" w:rsidRPr="00EE3355">
        <w:t>LÉKOVÁ FORMA</w:t>
      </w:r>
    </w:p>
    <w:p w14:paraId="44128F61" w14:textId="77777777" w:rsidR="005F05B6" w:rsidRPr="00EE3355" w:rsidRDefault="005F05B6" w:rsidP="00EA1CDF">
      <w:pPr>
        <w:pStyle w:val="a3"/>
        <w:widowControl/>
        <w:ind w:left="0"/>
      </w:pPr>
    </w:p>
    <w:p w14:paraId="18CCAFEF" w14:textId="1D19AA21" w:rsidR="00222DE0" w:rsidRPr="00EE3355" w:rsidRDefault="0098273B" w:rsidP="00EA1CDF">
      <w:pPr>
        <w:pStyle w:val="a3"/>
        <w:widowControl/>
        <w:ind w:left="0"/>
      </w:pPr>
      <w:r w:rsidRPr="00EE3355">
        <w:t>Koncentrát pro infuzní roztok (sterilní koncentrát).</w:t>
      </w:r>
      <w:r w:rsidR="00DD4745">
        <w:t xml:space="preserve"> </w:t>
      </w:r>
      <w:r w:rsidRPr="00EE3355">
        <w:t>Čirý až</w:t>
      </w:r>
      <w:r w:rsidR="00DB288E">
        <w:t xml:space="preserve"> lehce</w:t>
      </w:r>
      <w:r w:rsidRPr="00EE3355">
        <w:t xml:space="preserve"> opal</w:t>
      </w:r>
      <w:r w:rsidR="001A6222">
        <w:t>izující</w:t>
      </w:r>
      <w:r w:rsidRPr="00EE3355">
        <w:t xml:space="preserve"> bezbarvý až nažloutlý roztok.</w:t>
      </w:r>
    </w:p>
    <w:p w14:paraId="7F861619" w14:textId="77777777" w:rsidR="00222DE0" w:rsidRPr="00EE3355" w:rsidRDefault="00222DE0" w:rsidP="00EA1CDF">
      <w:pPr>
        <w:pStyle w:val="a3"/>
        <w:widowControl/>
        <w:ind w:left="0"/>
      </w:pPr>
    </w:p>
    <w:p w14:paraId="560AB8B6" w14:textId="77777777" w:rsidR="00222DE0" w:rsidRPr="00EE3355" w:rsidRDefault="00222DE0" w:rsidP="00EA1CDF">
      <w:pPr>
        <w:pStyle w:val="a3"/>
        <w:widowControl/>
        <w:ind w:left="0"/>
      </w:pPr>
    </w:p>
    <w:p w14:paraId="745D133A" w14:textId="77777777" w:rsidR="00222DE0" w:rsidRPr="00EE3355" w:rsidRDefault="00B23DAE" w:rsidP="00EA1CDF">
      <w:pPr>
        <w:pStyle w:val="1"/>
        <w:widowControl/>
        <w:tabs>
          <w:tab w:val="left" w:pos="804"/>
        </w:tabs>
        <w:ind w:left="567" w:hanging="567"/>
      </w:pPr>
      <w:r w:rsidRPr="00EE3355">
        <w:t>4.</w:t>
      </w:r>
      <w:r w:rsidRPr="00EE3355">
        <w:tab/>
      </w:r>
      <w:r w:rsidR="0098273B" w:rsidRPr="00EE3355">
        <w:t>KLINICKÉ ÚDAJE</w:t>
      </w:r>
    </w:p>
    <w:p w14:paraId="31B7949A" w14:textId="77777777" w:rsidR="005F05B6" w:rsidRPr="00EE3355" w:rsidRDefault="005F05B6" w:rsidP="002963AA"/>
    <w:p w14:paraId="6ACCAD96" w14:textId="77777777" w:rsidR="00222DE0" w:rsidRPr="00EE3355" w:rsidRDefault="00B23DAE" w:rsidP="00EA1CDF">
      <w:pPr>
        <w:pStyle w:val="2"/>
        <w:widowControl/>
        <w:tabs>
          <w:tab w:val="left" w:pos="804"/>
        </w:tabs>
        <w:ind w:left="567" w:hanging="567"/>
      </w:pPr>
      <w:r w:rsidRPr="00EE3355">
        <w:t>4.1</w:t>
      </w:r>
      <w:r w:rsidRPr="00EE3355">
        <w:tab/>
      </w:r>
      <w:r w:rsidR="0098273B" w:rsidRPr="00EE3355">
        <w:t>Terapeutické indikace</w:t>
      </w:r>
    </w:p>
    <w:p w14:paraId="492C44EF" w14:textId="77777777" w:rsidR="005F05B6" w:rsidRPr="00EE3355" w:rsidRDefault="005F05B6" w:rsidP="002963AA"/>
    <w:p w14:paraId="60D1B5B9" w14:textId="0F662614" w:rsidR="00395E0C" w:rsidRPr="002F0CCA" w:rsidRDefault="00395E0C" w:rsidP="00EA1CDF">
      <w:pPr>
        <w:pStyle w:val="a3"/>
        <w:widowControl/>
        <w:ind w:left="0"/>
        <w:rPr>
          <w:rFonts w:eastAsia="맑은 고딕"/>
          <w:u w:val="single"/>
          <w:lang w:eastAsia="ko-KR"/>
        </w:rPr>
      </w:pPr>
      <w:r w:rsidRPr="002F0CCA">
        <w:rPr>
          <w:rFonts w:eastAsia="맑은 고딕"/>
          <w:u w:val="single"/>
          <w:lang w:eastAsia="ko-KR"/>
        </w:rPr>
        <w:t>Revmatoidní artritida (RA)</w:t>
      </w:r>
    </w:p>
    <w:p w14:paraId="425D5EF7" w14:textId="4857868D" w:rsidR="00222DE0" w:rsidRPr="00EE3355" w:rsidRDefault="0098273B" w:rsidP="00EA1CDF">
      <w:pPr>
        <w:pStyle w:val="a3"/>
        <w:widowControl/>
        <w:ind w:left="0"/>
      </w:pPr>
      <w:r w:rsidRPr="00EE3355">
        <w:t xml:space="preserve">Přípravek </w:t>
      </w:r>
      <w:r w:rsidR="00DB288E">
        <w:t>Avtozma</w:t>
      </w:r>
      <w:r w:rsidRPr="00EE3355">
        <w:t xml:space="preserve"> v kombinaci s methotrexátem (MTX) je indikován:</w:t>
      </w:r>
    </w:p>
    <w:p w14:paraId="1310F0EA" w14:textId="77777777" w:rsidR="00222DE0" w:rsidRPr="00EE3355" w:rsidRDefault="00222DE0" w:rsidP="00EA1CDF">
      <w:pPr>
        <w:pStyle w:val="a3"/>
        <w:widowControl/>
        <w:ind w:left="0"/>
      </w:pPr>
    </w:p>
    <w:p w14:paraId="0BF709EB" w14:textId="77777777" w:rsidR="00222DE0" w:rsidRPr="00EE3355" w:rsidRDefault="00B23DAE" w:rsidP="00EA1CDF">
      <w:pPr>
        <w:widowControl/>
        <w:tabs>
          <w:tab w:val="left" w:pos="1004"/>
        </w:tabs>
        <w:ind w:left="567" w:hanging="567"/>
      </w:pPr>
      <w:r w:rsidRPr="00EE3355">
        <w:rPr>
          <w:rFonts w:ascii="Symbol" w:eastAsia="Symbol" w:hAnsi="Symbol" w:cs="Symbol"/>
        </w:rPr>
        <w:t></w:t>
      </w:r>
      <w:r w:rsidRPr="00EE3355">
        <w:rPr>
          <w:rFonts w:ascii="Symbol" w:eastAsia="Symbol" w:hAnsi="Symbol" w:cs="Symbol"/>
        </w:rPr>
        <w:tab/>
      </w:r>
      <w:r w:rsidR="0098273B" w:rsidRPr="00EE3355">
        <w:t>k léčbě těžké, aktivní a progresivní revmatoidní artritidy (RA) u dospělých pacientů dříve neléčených methotrexátem.</w:t>
      </w:r>
    </w:p>
    <w:p w14:paraId="1F4425BC" w14:textId="77777777" w:rsidR="00222DE0" w:rsidRPr="00EE3355" w:rsidRDefault="00B23DAE" w:rsidP="00EA1CDF">
      <w:pPr>
        <w:widowControl/>
        <w:tabs>
          <w:tab w:val="left" w:pos="1004"/>
        </w:tabs>
        <w:ind w:left="567" w:hanging="567"/>
      </w:pPr>
      <w:r w:rsidRPr="00EE3355">
        <w:rPr>
          <w:rFonts w:ascii="Symbol" w:eastAsia="Symbol" w:hAnsi="Symbol" w:cs="Symbol"/>
        </w:rPr>
        <w:t></w:t>
      </w:r>
      <w:r w:rsidRPr="00EE3355">
        <w:rPr>
          <w:rFonts w:ascii="Symbol" w:eastAsia="Symbol" w:hAnsi="Symbol" w:cs="Symbol"/>
        </w:rPr>
        <w:tab/>
      </w:r>
      <w:r w:rsidR="0098273B" w:rsidRPr="00EE3355">
        <w:t>k léčbě středně těžké až těžké aktivní RA u dospělých pacientů, kteří na předchozí terapii jedním nebo více tradičními DMARD (disease modifying anti-rheumatic drugs) nebo antagonisty tumor nekrotizujícího faktoru (TNF) neodpovídali dostatečně, nebo ji netolerovali.</w:t>
      </w:r>
    </w:p>
    <w:p w14:paraId="14685AF7" w14:textId="77777777" w:rsidR="0067072C" w:rsidRPr="00EE3355" w:rsidRDefault="0067072C" w:rsidP="00EA1CDF">
      <w:pPr>
        <w:widowControl/>
        <w:tabs>
          <w:tab w:val="left" w:pos="1004"/>
        </w:tabs>
      </w:pPr>
    </w:p>
    <w:p w14:paraId="02767C04" w14:textId="0A67B7E2" w:rsidR="00222DE0" w:rsidRPr="00EE3355" w:rsidRDefault="0098273B" w:rsidP="00EA1CDF">
      <w:pPr>
        <w:pStyle w:val="a3"/>
        <w:widowControl/>
        <w:ind w:left="0"/>
      </w:pPr>
      <w:r w:rsidRPr="00EE3355">
        <w:t xml:space="preserve">U těchto pacientů se </w:t>
      </w:r>
      <w:r w:rsidR="00DB288E">
        <w:t>Avtozma</w:t>
      </w:r>
      <w:r w:rsidRPr="00EE3355">
        <w:t xml:space="preserve"> může podávat v monoterapii v případě intolerance MTX nebo</w:t>
      </w:r>
      <w:r w:rsidR="00EA1CDF">
        <w:t xml:space="preserve"> </w:t>
      </w:r>
      <w:r w:rsidRPr="00EE3355">
        <w:t>v případě, že pokračující léčba MTX je nevhodná.</w:t>
      </w:r>
    </w:p>
    <w:p w14:paraId="16806778" w14:textId="480603A9" w:rsidR="00222DE0" w:rsidRPr="00EE3355" w:rsidRDefault="0098273B" w:rsidP="00EA1CDF">
      <w:pPr>
        <w:pStyle w:val="a3"/>
        <w:widowControl/>
        <w:ind w:left="0"/>
      </w:pPr>
      <w:r w:rsidRPr="00EE3355">
        <w:t xml:space="preserve">Bylo prokázáno, že přípravek </w:t>
      </w:r>
      <w:r w:rsidR="00DB288E">
        <w:t>Avtozma</w:t>
      </w:r>
      <w:r w:rsidRPr="00EE3355">
        <w:t xml:space="preserve"> snižuje rychlost progrese kloubního poškození měřeného pomocí RTG vyšetření a zlepšuje fyzické funkce, pokud je podáván v kombinaci s methotrexátem.</w:t>
      </w:r>
    </w:p>
    <w:p w14:paraId="570E1B0B" w14:textId="77777777" w:rsidR="00222DE0" w:rsidRPr="00EE3355" w:rsidRDefault="00222DE0" w:rsidP="00EA1CDF">
      <w:pPr>
        <w:pStyle w:val="a3"/>
        <w:widowControl/>
        <w:ind w:left="0"/>
      </w:pPr>
    </w:p>
    <w:p w14:paraId="7FB18F8C" w14:textId="77777777" w:rsidR="00395E0C" w:rsidRDefault="00395E0C" w:rsidP="00EA1CDF">
      <w:pPr>
        <w:pStyle w:val="a3"/>
        <w:widowControl/>
        <w:ind w:left="0"/>
        <w:rPr>
          <w:rFonts w:eastAsia="맑은 고딕"/>
          <w:lang w:eastAsia="ko-KR"/>
        </w:rPr>
      </w:pPr>
    </w:p>
    <w:p w14:paraId="181FE3E1" w14:textId="3C990433" w:rsidR="00395E0C" w:rsidRDefault="00395E0C">
      <w:pPr>
        <w:widowControl/>
        <w:autoSpaceDE/>
        <w:autoSpaceDN/>
        <w:rPr>
          <w:rFonts w:eastAsia="맑은 고딕"/>
          <w:lang w:eastAsia="ko-KR"/>
        </w:rPr>
      </w:pPr>
      <w:r>
        <w:rPr>
          <w:rFonts w:eastAsia="맑은 고딕"/>
          <w:lang w:eastAsia="ko-KR"/>
        </w:rPr>
        <w:br w:type="page"/>
      </w:r>
    </w:p>
    <w:p w14:paraId="5542F85C" w14:textId="2305A19A" w:rsidR="00395E0C" w:rsidRPr="002F0CCA" w:rsidRDefault="00395E0C" w:rsidP="00EA1CDF">
      <w:pPr>
        <w:pStyle w:val="a3"/>
        <w:widowControl/>
        <w:ind w:left="0"/>
        <w:rPr>
          <w:rFonts w:eastAsia="맑은 고딕"/>
          <w:u w:val="single"/>
          <w:lang w:eastAsia="ko-KR"/>
        </w:rPr>
      </w:pPr>
      <w:r w:rsidRPr="002F0CCA">
        <w:rPr>
          <w:rFonts w:eastAsia="맑은 고딕"/>
          <w:u w:val="single"/>
          <w:lang w:eastAsia="ko-KR"/>
        </w:rPr>
        <w:lastRenderedPageBreak/>
        <w:t>Onemocnění koronavirem 2019 (covid-19)</w:t>
      </w:r>
    </w:p>
    <w:p w14:paraId="53306B88" w14:textId="503EE68F" w:rsidR="00222DE0" w:rsidRPr="00EE3355" w:rsidRDefault="0098273B" w:rsidP="00EA1CDF">
      <w:pPr>
        <w:pStyle w:val="a3"/>
        <w:widowControl/>
        <w:ind w:left="0"/>
      </w:pPr>
      <w:r w:rsidRPr="00EE3355">
        <w:t xml:space="preserve">Přípravek </w:t>
      </w:r>
      <w:r w:rsidR="00DB288E">
        <w:t>Avtozma</w:t>
      </w:r>
      <w:r w:rsidRPr="00EE3355">
        <w:t xml:space="preserve"> je indikován k léčbě onemocnění koronavirem 2019 (COVID-19) u dospělých pacientů, kteří užívají systémové kortikosteroidy a vyžadují doplňkovou oxygenoterapii nebo mechanickou ventilaci.</w:t>
      </w:r>
    </w:p>
    <w:p w14:paraId="039A27E3" w14:textId="77777777" w:rsidR="0067072C" w:rsidRPr="00EE3355" w:rsidRDefault="0067072C" w:rsidP="00EA1CDF">
      <w:pPr>
        <w:pStyle w:val="a3"/>
        <w:widowControl/>
        <w:ind w:left="0"/>
      </w:pPr>
    </w:p>
    <w:p w14:paraId="47109608" w14:textId="031555FA" w:rsidR="00395E0C" w:rsidRPr="002F0CCA" w:rsidRDefault="00395E0C" w:rsidP="00EA1CDF">
      <w:pPr>
        <w:pStyle w:val="a3"/>
        <w:widowControl/>
        <w:ind w:left="0"/>
        <w:rPr>
          <w:rFonts w:eastAsia="맑은 고딕"/>
          <w:u w:val="single"/>
          <w:lang w:eastAsia="ko-KR"/>
        </w:rPr>
      </w:pPr>
      <w:r w:rsidRPr="002F0CCA">
        <w:rPr>
          <w:rFonts w:eastAsia="맑은 고딕"/>
          <w:u w:val="single"/>
          <w:lang w:eastAsia="ko-KR"/>
        </w:rPr>
        <w:t>Systémová juvenilní idiopatická artritida (sJIA)</w:t>
      </w:r>
    </w:p>
    <w:p w14:paraId="4BF8DD05" w14:textId="25B90C10" w:rsidR="00222DE0" w:rsidRPr="00EE3355" w:rsidRDefault="0098273B" w:rsidP="00EA1CDF">
      <w:pPr>
        <w:pStyle w:val="a3"/>
        <w:widowControl/>
        <w:ind w:left="0"/>
      </w:pPr>
      <w:r w:rsidRPr="00EE3355">
        <w:t xml:space="preserve">Přípravek </w:t>
      </w:r>
      <w:r w:rsidR="00DB288E">
        <w:t>Avtozma</w:t>
      </w:r>
      <w:r w:rsidRPr="00EE3355">
        <w:t xml:space="preserve"> je indikován k léčbě aktivní systémové juvenilní idiopatické artritidy (sJIA) u</w:t>
      </w:r>
      <w:r w:rsidR="002F4DF0" w:rsidRPr="00EE3355">
        <w:t xml:space="preserve"> </w:t>
      </w:r>
      <w:r w:rsidRPr="00EE3355">
        <w:t>pacientů ve věku 2 let a starších, kteří nedostatečně odpovídali na předchozí léčbu NSAID a</w:t>
      </w:r>
      <w:r w:rsidR="0067072C" w:rsidRPr="00EE3355">
        <w:t xml:space="preserve"> </w:t>
      </w:r>
      <w:r w:rsidRPr="00EE3355">
        <w:t xml:space="preserve">systémovými kortikoidy. Přípravek </w:t>
      </w:r>
      <w:r w:rsidR="00DB288E">
        <w:t>Avtozma</w:t>
      </w:r>
      <w:r w:rsidRPr="00EE3355">
        <w:t xml:space="preserve"> lze podávat v monoterapii (v případě intolerance MTX nebo pokud léčba MTX není vhodná) nebo v kombinaci s MTX.</w:t>
      </w:r>
    </w:p>
    <w:p w14:paraId="2543F371" w14:textId="77777777" w:rsidR="00222DE0" w:rsidRPr="00EE3355" w:rsidRDefault="00222DE0" w:rsidP="00EA1CDF">
      <w:pPr>
        <w:pStyle w:val="a3"/>
        <w:widowControl/>
        <w:ind w:left="0"/>
      </w:pPr>
    </w:p>
    <w:p w14:paraId="3ADEFBBC" w14:textId="75413027" w:rsidR="00222DE0" w:rsidRPr="00EE3355" w:rsidRDefault="0098273B" w:rsidP="00EA1CDF">
      <w:pPr>
        <w:pStyle w:val="a3"/>
        <w:widowControl/>
        <w:ind w:left="0"/>
      </w:pPr>
      <w:r w:rsidRPr="00EE3355">
        <w:t xml:space="preserve">Přípravek </w:t>
      </w:r>
      <w:r w:rsidR="00DB288E">
        <w:t>Avtozma</w:t>
      </w:r>
      <w:r w:rsidRPr="00EE3355">
        <w:t xml:space="preserve"> v kombinaci s methotrexátem (MTX) je indikován k léčbě juvenilní idiopatické polyartritidy (pJIA; s pozitivním nebo negativním revmatoidním faktorem a rozšířenou oligoartritidou) u pacientů ve věku 2 let a starších, kteří nedostatečně odpovídali na předchozí léčbu MTX. Přípravek </w:t>
      </w:r>
      <w:r w:rsidR="00DB288E">
        <w:t>Avtozma</w:t>
      </w:r>
      <w:r w:rsidRPr="00EE3355">
        <w:t xml:space="preserve"> lze podávat jako monoterapii při intoleranci MTX nebo pokud není pokračování v léčbě MTX vhodné.</w:t>
      </w:r>
    </w:p>
    <w:p w14:paraId="176C324B" w14:textId="77777777" w:rsidR="00821A1E" w:rsidRPr="00EE3355" w:rsidRDefault="00821A1E" w:rsidP="00EA1CDF">
      <w:pPr>
        <w:pStyle w:val="a3"/>
        <w:widowControl/>
        <w:ind w:left="0"/>
      </w:pPr>
    </w:p>
    <w:p w14:paraId="78ADAC60" w14:textId="22D3DF7B" w:rsidR="00395E0C" w:rsidRPr="002F0CCA" w:rsidRDefault="00395E0C" w:rsidP="00EA1CDF">
      <w:pPr>
        <w:pStyle w:val="a3"/>
        <w:widowControl/>
        <w:ind w:left="0"/>
        <w:rPr>
          <w:rFonts w:eastAsia="맑은 고딕"/>
          <w:u w:val="single"/>
          <w:lang w:eastAsia="ko-KR"/>
        </w:rPr>
      </w:pPr>
      <w:r w:rsidRPr="002F0CCA">
        <w:rPr>
          <w:rFonts w:eastAsia="맑은 고딕"/>
          <w:u w:val="single"/>
          <w:lang w:eastAsia="ko-KR"/>
        </w:rPr>
        <w:t>Syndrom z uvolnění cytokinů (CRS)</w:t>
      </w:r>
    </w:p>
    <w:p w14:paraId="2CD2164D" w14:textId="35E3A13F" w:rsidR="00222DE0" w:rsidRPr="00EE3355" w:rsidRDefault="0098273B" w:rsidP="00EA1CDF">
      <w:pPr>
        <w:pStyle w:val="a3"/>
        <w:widowControl/>
        <w:ind w:left="0"/>
      </w:pPr>
      <w:r w:rsidRPr="00EE3355">
        <w:t xml:space="preserve">Přípravek </w:t>
      </w:r>
      <w:r w:rsidR="00DB288E">
        <w:t>Avtozma</w:t>
      </w:r>
      <w:r w:rsidRPr="00EE3355">
        <w:t xml:space="preserve"> je indikován k léčbě těžkého nebo život ohrožujícího syndromu z uvolnění cytokinů (CRS) vyvolaného léčbou CAR T lymfocyty (T lymfocyty upravené pomocí chimérického antigenního receptoru) u dospělých a pediatrických pacientů ve věku od 2 let.</w:t>
      </w:r>
    </w:p>
    <w:p w14:paraId="12AE6483" w14:textId="77777777" w:rsidR="00222DE0" w:rsidRPr="00EE3355" w:rsidRDefault="00222DE0" w:rsidP="00EA1CDF">
      <w:pPr>
        <w:pStyle w:val="a3"/>
        <w:widowControl/>
        <w:ind w:left="0"/>
      </w:pPr>
    </w:p>
    <w:p w14:paraId="4752B594" w14:textId="77777777" w:rsidR="00222DE0" w:rsidRPr="00EE3355" w:rsidRDefault="00B23DAE" w:rsidP="00EA1CDF">
      <w:pPr>
        <w:pStyle w:val="2"/>
        <w:widowControl/>
        <w:tabs>
          <w:tab w:val="left" w:pos="799"/>
        </w:tabs>
        <w:ind w:left="567" w:hanging="567"/>
      </w:pPr>
      <w:r w:rsidRPr="00EE3355">
        <w:t>4.2</w:t>
      </w:r>
      <w:r w:rsidRPr="00EE3355">
        <w:tab/>
      </w:r>
      <w:r w:rsidR="0098273B" w:rsidRPr="00EE3355">
        <w:t>Dávkování a způsob podání</w:t>
      </w:r>
    </w:p>
    <w:p w14:paraId="4B0CCD40" w14:textId="77777777" w:rsidR="007D0A7D" w:rsidRPr="00EE3355" w:rsidRDefault="007D0A7D" w:rsidP="00EA1CDF">
      <w:pPr>
        <w:pStyle w:val="a3"/>
        <w:widowControl/>
        <w:ind w:left="0"/>
      </w:pPr>
    </w:p>
    <w:p w14:paraId="452AEBF6" w14:textId="77777777" w:rsidR="00222DE0" w:rsidRDefault="0098273B" w:rsidP="00CF7B90">
      <w:pPr>
        <w:pStyle w:val="a3"/>
        <w:widowControl/>
        <w:ind w:left="0"/>
      </w:pPr>
      <w:r w:rsidRPr="00EE3355">
        <w:t>Léčba má být zahájena lékařem, který má zkušenosti s diagnostikou a léčbou RA, onemocněním</w:t>
      </w:r>
      <w:r w:rsidR="00CF7B90">
        <w:t xml:space="preserve"> </w:t>
      </w:r>
      <w:r w:rsidRPr="00EE3355">
        <w:t>COVID-19, sJIA, pJIA nebo CRS.</w:t>
      </w:r>
    </w:p>
    <w:p w14:paraId="0B2195EC" w14:textId="77777777" w:rsidR="00DB288E" w:rsidRDefault="00DB288E" w:rsidP="00CF7B90">
      <w:pPr>
        <w:pStyle w:val="a3"/>
        <w:widowControl/>
        <w:ind w:left="0"/>
      </w:pPr>
    </w:p>
    <w:p w14:paraId="5C7B71C3" w14:textId="7CA06609" w:rsidR="00DB288E" w:rsidRPr="00EE3355" w:rsidRDefault="00DB288E" w:rsidP="00CF7B90">
      <w:pPr>
        <w:pStyle w:val="a3"/>
        <w:widowControl/>
        <w:ind w:left="0"/>
      </w:pPr>
      <w:r w:rsidRPr="00AD2EBB">
        <w:t xml:space="preserve">Pro infuzní vaky vyrobené z polyvinylchloridu (PVC) </w:t>
      </w:r>
      <w:r w:rsidR="00053E73">
        <w:t>mají být použity</w:t>
      </w:r>
      <w:r w:rsidRPr="00AD2EBB">
        <w:t xml:space="preserve"> infuzní vaky, které neobsahují di(2</w:t>
      </w:r>
      <w:r>
        <w:t>-</w:t>
      </w:r>
      <w:r w:rsidRPr="00AD2EBB">
        <w:t>ethylhexyl)ftalát (</w:t>
      </w:r>
      <w:r w:rsidR="00D043F6">
        <w:t xml:space="preserve">bez </w:t>
      </w:r>
      <w:r w:rsidRPr="00AD2EBB">
        <w:t>DEHP).</w:t>
      </w:r>
    </w:p>
    <w:p w14:paraId="1AAB22CC" w14:textId="77777777" w:rsidR="00222DE0" w:rsidRPr="00EE3355" w:rsidRDefault="00222DE0" w:rsidP="00EA1CDF">
      <w:pPr>
        <w:pStyle w:val="a3"/>
        <w:widowControl/>
        <w:ind w:left="0"/>
      </w:pPr>
    </w:p>
    <w:p w14:paraId="3262AB33" w14:textId="4CC07B4D" w:rsidR="00222DE0" w:rsidRPr="00EE3355" w:rsidRDefault="0098273B" w:rsidP="00CF7B90">
      <w:pPr>
        <w:pStyle w:val="a3"/>
        <w:widowControl/>
        <w:ind w:left="0"/>
      </w:pPr>
      <w:r w:rsidRPr="00EE3355">
        <w:t xml:space="preserve">Všichni pacienti léčení přípravkem </w:t>
      </w:r>
      <w:r w:rsidR="00DB288E">
        <w:t>Avtozma</w:t>
      </w:r>
      <w:r w:rsidRPr="00EE3355">
        <w:t xml:space="preserve"> mají obdržet Kartu pacienta léčeného přípravkem</w:t>
      </w:r>
      <w:r w:rsidR="00CF7B90">
        <w:t xml:space="preserve"> </w:t>
      </w:r>
      <w:r w:rsidR="00DB288E">
        <w:t>Avtozma</w:t>
      </w:r>
      <w:r w:rsidRPr="00EE3355">
        <w:t>.</w:t>
      </w:r>
    </w:p>
    <w:p w14:paraId="0E4E9B1F" w14:textId="77777777" w:rsidR="00222DE0" w:rsidRPr="00EE3355" w:rsidRDefault="00222DE0" w:rsidP="00EA1CDF">
      <w:pPr>
        <w:pStyle w:val="a3"/>
        <w:widowControl/>
        <w:ind w:left="0"/>
      </w:pPr>
    </w:p>
    <w:p w14:paraId="78A1B4B2" w14:textId="77777777" w:rsidR="007D0A7D" w:rsidRPr="00EE3355" w:rsidRDefault="0098273B" w:rsidP="00EA1CDF">
      <w:pPr>
        <w:pStyle w:val="a3"/>
        <w:widowControl/>
        <w:ind w:left="0"/>
      </w:pPr>
      <w:r w:rsidRPr="00EE3355">
        <w:rPr>
          <w:u w:val="single"/>
        </w:rPr>
        <w:t>Dávkování</w:t>
      </w:r>
    </w:p>
    <w:p w14:paraId="6E9E18F5" w14:textId="77777777" w:rsidR="00222DE0" w:rsidRPr="00EE3355" w:rsidRDefault="0098273B" w:rsidP="00EA1CDF">
      <w:pPr>
        <w:pStyle w:val="a3"/>
        <w:widowControl/>
        <w:ind w:left="0"/>
      </w:pPr>
      <w:r w:rsidRPr="00EE3355">
        <w:rPr>
          <w:u w:val="single"/>
        </w:rPr>
        <w:t>Pacienti s RA</w:t>
      </w:r>
    </w:p>
    <w:p w14:paraId="4230586E" w14:textId="77777777" w:rsidR="007D0A7D" w:rsidRPr="00EE3355" w:rsidRDefault="007D0A7D" w:rsidP="00EA1CDF">
      <w:pPr>
        <w:pStyle w:val="a3"/>
        <w:widowControl/>
        <w:ind w:left="0"/>
      </w:pPr>
    </w:p>
    <w:p w14:paraId="53BD3D51" w14:textId="77777777" w:rsidR="00222DE0" w:rsidRPr="00EE3355" w:rsidRDefault="0098273B" w:rsidP="00EA1CDF">
      <w:pPr>
        <w:pStyle w:val="a3"/>
        <w:widowControl/>
        <w:ind w:left="0"/>
      </w:pPr>
      <w:r w:rsidRPr="00EE3355">
        <w:t>Doporučená dávka je 8 mg/kg tělesné hmotnosti, podaná jednou za čtyři týdny.</w:t>
      </w:r>
    </w:p>
    <w:p w14:paraId="1DE61F99" w14:textId="77777777" w:rsidR="00222DE0" w:rsidRPr="00EE3355" w:rsidRDefault="00222DE0" w:rsidP="00EA1CDF">
      <w:pPr>
        <w:pStyle w:val="a3"/>
        <w:widowControl/>
        <w:ind w:left="0"/>
      </w:pPr>
    </w:p>
    <w:p w14:paraId="2056FBE3" w14:textId="77777777" w:rsidR="00222DE0" w:rsidRPr="00EE3355" w:rsidRDefault="0098273B" w:rsidP="00CF7B90">
      <w:pPr>
        <w:pStyle w:val="a3"/>
        <w:widowControl/>
        <w:ind w:left="0"/>
      </w:pPr>
      <w:r w:rsidRPr="00EE3355">
        <w:t>U pacientů, jejichž tělesná hmotnost je vyšší než 100 kg, se dávky přesahující 800 mg/infuzi</w:t>
      </w:r>
      <w:r w:rsidR="00CF7B90">
        <w:t xml:space="preserve"> </w:t>
      </w:r>
      <w:r w:rsidRPr="00EE3355">
        <w:t>nedoporučují (viz bod 5.2).</w:t>
      </w:r>
    </w:p>
    <w:p w14:paraId="4409FBFF" w14:textId="77777777" w:rsidR="007D0A7D" w:rsidRPr="00EE3355" w:rsidRDefault="007D0A7D" w:rsidP="00EA1CDF">
      <w:pPr>
        <w:pStyle w:val="a3"/>
        <w:widowControl/>
        <w:ind w:left="0"/>
      </w:pPr>
    </w:p>
    <w:p w14:paraId="4E1538E2" w14:textId="77777777" w:rsidR="007D0A7D" w:rsidRPr="00EE3355" w:rsidRDefault="0098273B" w:rsidP="00EA1CDF">
      <w:pPr>
        <w:pStyle w:val="a3"/>
        <w:widowControl/>
        <w:ind w:left="0"/>
      </w:pPr>
      <w:r w:rsidRPr="00EE3355">
        <w:t>Dávky vyšší než 1,2 g nebyly v klinických studiích hodnoceny (viz bod 5.1).</w:t>
      </w:r>
    </w:p>
    <w:p w14:paraId="1F340860" w14:textId="77777777" w:rsidR="007D0A7D" w:rsidRPr="00EE3355" w:rsidRDefault="007D0A7D" w:rsidP="00EA1CDF">
      <w:pPr>
        <w:pStyle w:val="a3"/>
        <w:widowControl/>
        <w:ind w:left="0"/>
      </w:pPr>
    </w:p>
    <w:p w14:paraId="2A320F49" w14:textId="77777777" w:rsidR="00222DE0" w:rsidRPr="00EE3355" w:rsidRDefault="0098273B" w:rsidP="00EA1CDF">
      <w:pPr>
        <w:pStyle w:val="a3"/>
        <w:widowControl/>
        <w:ind w:left="0"/>
        <w:rPr>
          <w:u w:val="single"/>
        </w:rPr>
      </w:pPr>
      <w:r w:rsidRPr="00EE3355">
        <w:rPr>
          <w:u w:val="single"/>
        </w:rPr>
        <w:t>Úpravy dávky z důvodu laboratorních odchylek (viz bod 4.4)</w:t>
      </w:r>
    </w:p>
    <w:p w14:paraId="5D813723" w14:textId="77777777" w:rsidR="007D0A7D" w:rsidRPr="00EE3355" w:rsidRDefault="007D0A7D" w:rsidP="00EA1CDF">
      <w:pPr>
        <w:pStyle w:val="a3"/>
        <w:widowControl/>
        <w:ind w:left="0"/>
      </w:pPr>
    </w:p>
    <w:p w14:paraId="412D2ED4"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Odchylky hodnot jaterních enzymů</w:t>
      </w:r>
    </w:p>
    <w:p w14:paraId="7D6A512E" w14:textId="77777777" w:rsidR="00222DE0" w:rsidRPr="00EE3355" w:rsidRDefault="00222DE0" w:rsidP="00EA1CDF">
      <w:pPr>
        <w:pStyle w:val="a3"/>
        <w:widowControl/>
        <w:ind w:left="0"/>
        <w:rPr>
          <w:sz w:val="20"/>
        </w:rPr>
      </w:pPr>
    </w:p>
    <w:tbl>
      <w:tblPr>
        <w:tblW w:w="931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91"/>
        <w:gridCol w:w="7119"/>
      </w:tblGrid>
      <w:tr w:rsidR="00222DE0" w:rsidRPr="00EE3355" w14:paraId="6E7481E3" w14:textId="77777777" w:rsidTr="00C22F29">
        <w:trPr>
          <w:cantSplit/>
          <w:trHeight w:val="263"/>
          <w:tblHeader/>
        </w:trPr>
        <w:tc>
          <w:tcPr>
            <w:tcW w:w="2191" w:type="dxa"/>
          </w:tcPr>
          <w:p w14:paraId="72B94D91" w14:textId="77777777" w:rsidR="00222DE0" w:rsidRPr="00EE3355" w:rsidRDefault="0098273B" w:rsidP="00EA1CDF">
            <w:pPr>
              <w:pStyle w:val="TableParagraph"/>
              <w:widowControl/>
            </w:pPr>
            <w:r w:rsidRPr="00EE3355">
              <w:t>Laboratorní hodnota</w:t>
            </w:r>
          </w:p>
        </w:tc>
        <w:tc>
          <w:tcPr>
            <w:tcW w:w="7119" w:type="dxa"/>
          </w:tcPr>
          <w:p w14:paraId="49E19741" w14:textId="77777777" w:rsidR="00222DE0" w:rsidRPr="00EE3355" w:rsidRDefault="0098273B" w:rsidP="00EA1CDF">
            <w:pPr>
              <w:pStyle w:val="TableParagraph"/>
              <w:widowControl/>
              <w:jc w:val="center"/>
            </w:pPr>
            <w:r w:rsidRPr="00EE3355">
              <w:t>Opatření</w:t>
            </w:r>
          </w:p>
        </w:tc>
      </w:tr>
      <w:tr w:rsidR="00222DE0" w:rsidRPr="00EE3355" w14:paraId="1405237D" w14:textId="77777777" w:rsidTr="00C22F29">
        <w:trPr>
          <w:cantSplit/>
          <w:trHeight w:val="2182"/>
        </w:trPr>
        <w:tc>
          <w:tcPr>
            <w:tcW w:w="2191" w:type="dxa"/>
          </w:tcPr>
          <w:p w14:paraId="06A7C32D" w14:textId="77777777" w:rsidR="00222DE0" w:rsidRPr="00EE3355" w:rsidRDefault="00B23DAE" w:rsidP="00EA1CDF">
            <w:pPr>
              <w:pStyle w:val="TableParagraph"/>
              <w:widowControl/>
              <w:tabs>
                <w:tab w:val="left" w:pos="286"/>
              </w:tabs>
            </w:pPr>
            <w:r w:rsidRPr="00EE3355">
              <w:t>&gt;</w:t>
            </w:r>
            <w:r w:rsidR="00F232A0" w:rsidRPr="00EE3355">
              <w:t xml:space="preserve"> </w:t>
            </w:r>
            <w:r w:rsidR="0098273B" w:rsidRPr="00EE3355">
              <w:t>1- až 3-násobek horní hranice normálních hodnot (ULN)</w:t>
            </w:r>
          </w:p>
        </w:tc>
        <w:tc>
          <w:tcPr>
            <w:tcW w:w="7119" w:type="dxa"/>
          </w:tcPr>
          <w:p w14:paraId="6CF7436D" w14:textId="77777777" w:rsidR="00222DE0" w:rsidRPr="00EE3355" w:rsidRDefault="0098273B" w:rsidP="00EA1CDF">
            <w:pPr>
              <w:pStyle w:val="TableParagraph"/>
              <w:widowControl/>
            </w:pPr>
            <w:r w:rsidRPr="00EE3355">
              <w:t>Upravte dávku souběžně podávaného MTX, pokud je to vhodné</w:t>
            </w:r>
          </w:p>
          <w:p w14:paraId="64E2A1A2" w14:textId="77777777" w:rsidR="00222DE0" w:rsidRPr="00EE3355" w:rsidRDefault="00222DE0" w:rsidP="00EA1CDF">
            <w:pPr>
              <w:pStyle w:val="TableParagraph"/>
              <w:widowControl/>
            </w:pPr>
          </w:p>
          <w:p w14:paraId="655FB990" w14:textId="71B7C875" w:rsidR="00222DE0" w:rsidRPr="00EE3355" w:rsidRDefault="0098273B" w:rsidP="00EA1CDF">
            <w:pPr>
              <w:pStyle w:val="TableParagraph"/>
              <w:widowControl/>
            </w:pPr>
            <w:r w:rsidRPr="00EE3355">
              <w:t xml:space="preserve">Při přetrvávajících </w:t>
            </w:r>
            <w:r w:rsidR="00C45749">
              <w:t>zvýšeních</w:t>
            </w:r>
            <w:r w:rsidR="00C45749" w:rsidRPr="00EE3355">
              <w:t xml:space="preserve"> </w:t>
            </w:r>
            <w:r w:rsidRPr="00EE3355">
              <w:t>v tomto roz</w:t>
            </w:r>
            <w:r w:rsidR="009B55CE">
              <w:t>mezí</w:t>
            </w:r>
            <w:r w:rsidRPr="00EE3355">
              <w:t xml:space="preserve"> snižte dávku přípravku </w:t>
            </w:r>
            <w:r w:rsidR="004B417F">
              <w:t>Avtozma</w:t>
            </w:r>
            <w:r w:rsidRPr="00EE3355">
              <w:t xml:space="preserve"> na 4 mg/kg nebo přerušte podávání přípravku </w:t>
            </w:r>
            <w:r w:rsidR="00BF3412">
              <w:t>Avtozma</w:t>
            </w:r>
            <w:r w:rsidRPr="00EE3355">
              <w:t>, dokud nedojde k normalizaci hodnot alaninaminotransferázy (ALT) nebo aspartátaminotransferázy (AST)</w:t>
            </w:r>
          </w:p>
          <w:p w14:paraId="245EB0DE" w14:textId="77777777" w:rsidR="00222DE0" w:rsidRPr="00EE3355" w:rsidRDefault="00222DE0" w:rsidP="00EA1CDF">
            <w:pPr>
              <w:pStyle w:val="TableParagraph"/>
              <w:widowControl/>
            </w:pPr>
          </w:p>
          <w:p w14:paraId="5FB3E92C" w14:textId="329224F2" w:rsidR="00222DE0" w:rsidRPr="00EE3355" w:rsidRDefault="0098273B" w:rsidP="00EA1CDF">
            <w:pPr>
              <w:pStyle w:val="TableParagraph"/>
              <w:widowControl/>
            </w:pPr>
            <w:r w:rsidRPr="00EE3355">
              <w:t>Léčbu znovu za</w:t>
            </w:r>
            <w:r w:rsidR="00C45749">
              <w:t>hajte</w:t>
            </w:r>
            <w:r w:rsidRPr="00EE3355">
              <w:t xml:space="preserve"> dávkou 4 mg/kg nebo 8 mg/kg, pokud je to klinicky vhodné</w:t>
            </w:r>
          </w:p>
        </w:tc>
      </w:tr>
      <w:tr w:rsidR="00222DE0" w:rsidRPr="00EE3355" w14:paraId="52423197" w14:textId="77777777" w:rsidTr="00C22F29">
        <w:trPr>
          <w:cantSplit/>
          <w:trHeight w:val="1677"/>
        </w:trPr>
        <w:tc>
          <w:tcPr>
            <w:tcW w:w="2191" w:type="dxa"/>
          </w:tcPr>
          <w:p w14:paraId="242F3878" w14:textId="77777777" w:rsidR="00222DE0" w:rsidRPr="00EE3355" w:rsidRDefault="00B23DAE" w:rsidP="00EA1CDF">
            <w:pPr>
              <w:pStyle w:val="TableParagraph"/>
              <w:widowControl/>
              <w:tabs>
                <w:tab w:val="left" w:pos="286"/>
              </w:tabs>
            </w:pPr>
            <w:r w:rsidRPr="00EE3355">
              <w:lastRenderedPageBreak/>
              <w:t>&gt;</w:t>
            </w:r>
            <w:r w:rsidR="00F232A0" w:rsidRPr="00EE3355">
              <w:t xml:space="preserve"> </w:t>
            </w:r>
            <w:r w:rsidR="0098273B" w:rsidRPr="00EE3355">
              <w:t>3- až 5násobek ULN</w:t>
            </w:r>
          </w:p>
          <w:p w14:paraId="42962710" w14:textId="77777777" w:rsidR="00F232A0" w:rsidRPr="00EE3355" w:rsidRDefault="00F232A0" w:rsidP="00EA1CDF">
            <w:pPr>
              <w:pStyle w:val="TableParagraph"/>
              <w:widowControl/>
              <w:tabs>
                <w:tab w:val="left" w:pos="286"/>
              </w:tabs>
            </w:pPr>
          </w:p>
          <w:p w14:paraId="156577FE" w14:textId="77777777" w:rsidR="00222DE0" w:rsidRPr="00EE3355" w:rsidRDefault="0098273B" w:rsidP="00CF7B90">
            <w:pPr>
              <w:pStyle w:val="TableParagraph"/>
              <w:widowControl/>
              <w:ind w:right="-2"/>
            </w:pPr>
            <w:r w:rsidRPr="00EE3355">
              <w:t>(potvrzené opakovaným vyšetřením, viz bod 4.4)</w:t>
            </w:r>
          </w:p>
        </w:tc>
        <w:tc>
          <w:tcPr>
            <w:tcW w:w="7119" w:type="dxa"/>
          </w:tcPr>
          <w:p w14:paraId="70B90351" w14:textId="13AB82BA" w:rsidR="00222DE0" w:rsidRPr="00EE3355" w:rsidRDefault="0098273B" w:rsidP="00EA1CDF">
            <w:pPr>
              <w:pStyle w:val="TableParagraph"/>
              <w:widowControl/>
            </w:pPr>
            <w:r w:rsidRPr="00EE3355">
              <w:t xml:space="preserve">Přerušte podávání přípravku </w:t>
            </w:r>
            <w:r w:rsidR="00BF3412">
              <w:t>Avtozma</w:t>
            </w:r>
            <w:r w:rsidRPr="00EE3355">
              <w:t>, dokud nebude hodnota &lt; 3násobek ULN a poté postupujte dle výše uvedeného doporučení pro hodnoty v</w:t>
            </w:r>
            <w:r w:rsidR="00806C26">
              <w:t> </w:t>
            </w:r>
            <w:r w:rsidRPr="00EE3355">
              <w:t>rozmezí</w:t>
            </w:r>
            <w:r w:rsidR="00806C26">
              <w:t xml:space="preserve"> </w:t>
            </w:r>
            <w:r w:rsidRPr="00EE3355">
              <w:t>&gt;1- až 3násobek ULN</w:t>
            </w:r>
          </w:p>
          <w:p w14:paraId="04C13589" w14:textId="77777777" w:rsidR="009C2071" w:rsidRPr="00EE3355" w:rsidRDefault="009C2071" w:rsidP="00EA1CDF">
            <w:pPr>
              <w:pStyle w:val="TableParagraph"/>
              <w:widowControl/>
            </w:pPr>
          </w:p>
          <w:p w14:paraId="032F8D09" w14:textId="2BA015E2" w:rsidR="00222DE0" w:rsidRPr="00EE3355" w:rsidRDefault="0098273B" w:rsidP="00EA1CDF">
            <w:pPr>
              <w:pStyle w:val="TableParagraph"/>
              <w:widowControl/>
            </w:pPr>
            <w:r w:rsidRPr="00EE3355">
              <w:t xml:space="preserve">Při přetrvávajících </w:t>
            </w:r>
            <w:r w:rsidR="00C45749">
              <w:t>zvýšeních</w:t>
            </w:r>
            <w:r w:rsidR="00C45749" w:rsidRPr="00EE3355">
              <w:t xml:space="preserve"> </w:t>
            </w:r>
            <w:r w:rsidRPr="00EE3355">
              <w:t xml:space="preserve">na &gt; 3násobek ULN ukončete léčbu přípravkem </w:t>
            </w:r>
            <w:r w:rsidR="00BF3412">
              <w:t>Avtozma</w:t>
            </w:r>
          </w:p>
        </w:tc>
      </w:tr>
      <w:tr w:rsidR="00222DE0" w:rsidRPr="00EE3355" w14:paraId="34A50216" w14:textId="77777777" w:rsidTr="00C22F29">
        <w:trPr>
          <w:cantSplit/>
          <w:trHeight w:val="271"/>
        </w:trPr>
        <w:tc>
          <w:tcPr>
            <w:tcW w:w="2191" w:type="dxa"/>
          </w:tcPr>
          <w:p w14:paraId="507544D9" w14:textId="77777777" w:rsidR="00222DE0" w:rsidRPr="00EE3355" w:rsidRDefault="00B23DAE" w:rsidP="00EA1CDF">
            <w:pPr>
              <w:pStyle w:val="TableParagraph"/>
              <w:widowControl/>
              <w:tabs>
                <w:tab w:val="left" w:pos="286"/>
              </w:tabs>
            </w:pPr>
            <w:r w:rsidRPr="00EE3355">
              <w:t>&gt;</w:t>
            </w:r>
            <w:r w:rsidR="00F232A0" w:rsidRPr="00EE3355">
              <w:t xml:space="preserve"> </w:t>
            </w:r>
            <w:r w:rsidR="0098273B" w:rsidRPr="00EE3355">
              <w:t>5násobek ULN</w:t>
            </w:r>
          </w:p>
        </w:tc>
        <w:tc>
          <w:tcPr>
            <w:tcW w:w="7119" w:type="dxa"/>
          </w:tcPr>
          <w:p w14:paraId="3DDF2541" w14:textId="0FC21A32" w:rsidR="00222DE0" w:rsidRPr="00EE3355" w:rsidRDefault="0098273B" w:rsidP="00EA1CDF">
            <w:pPr>
              <w:pStyle w:val="TableParagraph"/>
              <w:widowControl/>
            </w:pPr>
            <w:r w:rsidRPr="00EE3355">
              <w:t xml:space="preserve">Ukončete léčbu přípravkem </w:t>
            </w:r>
            <w:r w:rsidR="00BF3412">
              <w:t>Avtozma</w:t>
            </w:r>
          </w:p>
        </w:tc>
      </w:tr>
    </w:tbl>
    <w:p w14:paraId="394DC6CE" w14:textId="77777777" w:rsidR="00C22F29" w:rsidRPr="00EE3355" w:rsidRDefault="00C22F29" w:rsidP="00EA1CDF">
      <w:pPr>
        <w:widowControl/>
        <w:tabs>
          <w:tab w:val="left" w:pos="804"/>
        </w:tabs>
        <w:ind w:left="567" w:hanging="567"/>
        <w:rPr>
          <w:rFonts w:ascii="Symbol" w:eastAsia="Symbol" w:hAnsi="Symbol" w:cs="Symbol"/>
        </w:rPr>
      </w:pPr>
    </w:p>
    <w:p w14:paraId="77D0AB3E" w14:textId="77777777" w:rsidR="00222DE0" w:rsidRPr="00EE3355" w:rsidRDefault="00B23DAE" w:rsidP="00B93217">
      <w:pPr>
        <w:keepNext/>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absolutní počet neutrofilů (ANC)</w:t>
      </w:r>
    </w:p>
    <w:p w14:paraId="1B4664A2" w14:textId="77777777" w:rsidR="00C22F29" w:rsidRPr="00EE3355" w:rsidRDefault="00C22F29" w:rsidP="00EA1CDF">
      <w:pPr>
        <w:pStyle w:val="a3"/>
        <w:widowControl/>
        <w:ind w:left="0"/>
      </w:pPr>
    </w:p>
    <w:p w14:paraId="768F5F1C" w14:textId="727924C7" w:rsidR="00222DE0" w:rsidRPr="00EE3355" w:rsidRDefault="0098273B" w:rsidP="00EA1CDF">
      <w:pPr>
        <w:pStyle w:val="a3"/>
        <w:widowControl/>
        <w:ind w:left="0"/>
      </w:pPr>
      <w:r w:rsidRPr="00EE3355">
        <w:t xml:space="preserve">U pacientů, kteří nebyli dříve léčeni </w:t>
      </w:r>
      <w:bookmarkStart w:id="7" w:name="_Hlk153268914"/>
      <w:r w:rsidR="00BF3412" w:rsidRPr="001879E9">
        <w:t>tocilizumab</w:t>
      </w:r>
      <w:bookmarkEnd w:id="7"/>
      <w:r w:rsidR="00BF3412">
        <w:t>em</w:t>
      </w:r>
      <w:r w:rsidRPr="00EE3355">
        <w:t xml:space="preserve"> a u nichž je absolutní počet neutrofilů</w:t>
      </w:r>
      <w:r w:rsidR="00806C26">
        <w:t xml:space="preserve"> </w:t>
      </w:r>
      <w:r w:rsidRPr="00EE3355">
        <w:t>(ANC) nižší než 2 x 10</w:t>
      </w:r>
      <w:r w:rsidRPr="00EE3355">
        <w:rPr>
          <w:vertAlign w:val="superscript"/>
        </w:rPr>
        <w:t>9</w:t>
      </w:r>
      <w:r w:rsidRPr="00EE3355">
        <w:t>/l, se zahájení léčby nedoporučuje.</w:t>
      </w:r>
    </w:p>
    <w:p w14:paraId="7540A137" w14:textId="77777777" w:rsidR="00222DE0" w:rsidRPr="00EE3355" w:rsidRDefault="00222DE0" w:rsidP="00EA1CDF">
      <w:pPr>
        <w:pStyle w:val="a3"/>
        <w:widowControl/>
        <w:spacing w:before="30"/>
        <w:ind w:left="0"/>
        <w:rPr>
          <w:sz w:val="20"/>
        </w:rPr>
      </w:pPr>
    </w:p>
    <w:tbl>
      <w:tblPr>
        <w:tblW w:w="9296"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77"/>
        <w:gridCol w:w="7119"/>
      </w:tblGrid>
      <w:tr w:rsidR="00222DE0" w:rsidRPr="00EE3355" w14:paraId="3CFEBE42" w14:textId="77777777" w:rsidTr="00C01AD6">
        <w:trPr>
          <w:cantSplit/>
          <w:trHeight w:val="446"/>
          <w:tblHeader/>
        </w:trPr>
        <w:tc>
          <w:tcPr>
            <w:tcW w:w="2177" w:type="dxa"/>
          </w:tcPr>
          <w:p w14:paraId="4B75B87C" w14:textId="77777777" w:rsidR="00222DE0" w:rsidRPr="00EE3355" w:rsidRDefault="0098273B" w:rsidP="00EA1CDF">
            <w:pPr>
              <w:pStyle w:val="TableParagraph"/>
              <w:widowControl/>
              <w:jc w:val="center"/>
            </w:pPr>
            <w:r w:rsidRPr="00EE3355">
              <w:t>Laboratorní hodnota</w:t>
            </w:r>
          </w:p>
          <w:p w14:paraId="7E335079" w14:textId="77777777" w:rsidR="00222DE0" w:rsidRPr="00EE3355" w:rsidRDefault="0098273B" w:rsidP="00EA1CDF">
            <w:pPr>
              <w:pStyle w:val="TableParagraph"/>
              <w:widowControl/>
              <w:jc w:val="center"/>
            </w:pPr>
            <w:r w:rsidRPr="00EE3355">
              <w:t>(buňky x 10</w:t>
            </w:r>
            <w:r w:rsidRPr="00EE3355">
              <w:rPr>
                <w:vertAlign w:val="superscript"/>
              </w:rPr>
              <w:t>9</w:t>
            </w:r>
            <w:r w:rsidRPr="00EE3355">
              <w:t>/l)</w:t>
            </w:r>
          </w:p>
        </w:tc>
        <w:tc>
          <w:tcPr>
            <w:tcW w:w="7119" w:type="dxa"/>
          </w:tcPr>
          <w:p w14:paraId="11A33396" w14:textId="77777777" w:rsidR="00222DE0" w:rsidRPr="00EE3355" w:rsidRDefault="0098273B" w:rsidP="00EA1CDF">
            <w:pPr>
              <w:pStyle w:val="TableParagraph"/>
              <w:widowControl/>
              <w:jc w:val="center"/>
            </w:pPr>
            <w:r w:rsidRPr="00EE3355">
              <w:t>Opatření</w:t>
            </w:r>
          </w:p>
        </w:tc>
      </w:tr>
      <w:tr w:rsidR="00222DE0" w:rsidRPr="00EE3355" w14:paraId="65E75D96" w14:textId="77777777" w:rsidTr="00C01AD6">
        <w:trPr>
          <w:cantSplit/>
          <w:trHeight w:val="285"/>
        </w:trPr>
        <w:tc>
          <w:tcPr>
            <w:tcW w:w="2177" w:type="dxa"/>
          </w:tcPr>
          <w:p w14:paraId="13D5CFBB" w14:textId="77777777" w:rsidR="00222DE0" w:rsidRPr="00EE3355" w:rsidRDefault="0098273B" w:rsidP="00EA1CDF">
            <w:pPr>
              <w:pStyle w:val="TableParagraph"/>
              <w:widowControl/>
            </w:pPr>
            <w:r w:rsidRPr="00EE3355">
              <w:t>ANC &gt; 1</w:t>
            </w:r>
          </w:p>
        </w:tc>
        <w:tc>
          <w:tcPr>
            <w:tcW w:w="7119" w:type="dxa"/>
          </w:tcPr>
          <w:p w14:paraId="0C8F060A" w14:textId="77777777" w:rsidR="00222DE0" w:rsidRPr="00EE3355" w:rsidRDefault="0098273B" w:rsidP="00EA1CDF">
            <w:pPr>
              <w:pStyle w:val="TableParagraph"/>
              <w:widowControl/>
            </w:pPr>
            <w:r w:rsidRPr="00EE3355">
              <w:t>Udržujte dávku</w:t>
            </w:r>
          </w:p>
        </w:tc>
      </w:tr>
      <w:tr w:rsidR="00222DE0" w:rsidRPr="00EE3355" w14:paraId="4EB2D6FA" w14:textId="77777777" w:rsidTr="00C01AD6">
        <w:trPr>
          <w:cantSplit/>
          <w:trHeight w:val="1069"/>
        </w:trPr>
        <w:tc>
          <w:tcPr>
            <w:tcW w:w="2177" w:type="dxa"/>
          </w:tcPr>
          <w:p w14:paraId="77FE26EB" w14:textId="77777777" w:rsidR="00222DE0" w:rsidRPr="00EE3355" w:rsidRDefault="0098273B" w:rsidP="00EA1CDF">
            <w:pPr>
              <w:pStyle w:val="TableParagraph"/>
              <w:widowControl/>
            </w:pPr>
            <w:r w:rsidRPr="00EE3355">
              <w:t>ANC 0,5 až 1</w:t>
            </w:r>
          </w:p>
        </w:tc>
        <w:tc>
          <w:tcPr>
            <w:tcW w:w="7119" w:type="dxa"/>
          </w:tcPr>
          <w:p w14:paraId="6C2806FF" w14:textId="2C84E140" w:rsidR="00222DE0" w:rsidRPr="00EE3355" w:rsidRDefault="0098273B" w:rsidP="00EA1CDF">
            <w:pPr>
              <w:pStyle w:val="TableParagraph"/>
              <w:widowControl/>
            </w:pPr>
            <w:r w:rsidRPr="00EE3355">
              <w:t xml:space="preserve">Přerušte podávání přípravku </w:t>
            </w:r>
            <w:r w:rsidR="00812FCE">
              <w:t>Avtozma</w:t>
            </w:r>
          </w:p>
          <w:p w14:paraId="56A147C4" w14:textId="77777777" w:rsidR="00222DE0" w:rsidRPr="00EE3355" w:rsidRDefault="00222DE0" w:rsidP="00EA1CDF">
            <w:pPr>
              <w:pStyle w:val="TableParagraph"/>
              <w:widowControl/>
            </w:pPr>
          </w:p>
          <w:p w14:paraId="044B1009" w14:textId="37743AE5" w:rsidR="00222DE0" w:rsidRPr="00EE3355" w:rsidRDefault="0098273B" w:rsidP="00EA1CDF">
            <w:pPr>
              <w:pStyle w:val="TableParagraph"/>
              <w:widowControl/>
            </w:pPr>
            <w:r w:rsidRPr="00EE3355">
              <w:t>Pokud se ANC zvýší na &gt; 1 x 10</w:t>
            </w:r>
            <w:r w:rsidRPr="00EE3355">
              <w:rPr>
                <w:vertAlign w:val="superscript"/>
              </w:rPr>
              <w:t>9</w:t>
            </w:r>
            <w:r w:rsidRPr="00EE3355">
              <w:t xml:space="preserve">/l, léčbu přípravkem </w:t>
            </w:r>
            <w:r w:rsidR="00812FCE">
              <w:t>Avtozma</w:t>
            </w:r>
            <w:r w:rsidRPr="00EE3355">
              <w:t xml:space="preserve"> znovu</w:t>
            </w:r>
            <w:r w:rsidR="00806C26">
              <w:t xml:space="preserve"> </w:t>
            </w:r>
            <w:r w:rsidRPr="00EE3355">
              <w:t>za</w:t>
            </w:r>
            <w:r w:rsidR="00C45749">
              <w:t>hajte</w:t>
            </w:r>
            <w:r w:rsidRPr="00EE3355">
              <w:t xml:space="preserve"> dávkou 4 mg/kg a zvyšte na 8 mg/kg, pokud je to klinicky vhodné</w:t>
            </w:r>
          </w:p>
        </w:tc>
      </w:tr>
      <w:tr w:rsidR="00222DE0" w:rsidRPr="00EE3355" w14:paraId="0399A3B9" w14:textId="77777777" w:rsidTr="00C01AD6">
        <w:trPr>
          <w:cantSplit/>
          <w:trHeight w:val="234"/>
        </w:trPr>
        <w:tc>
          <w:tcPr>
            <w:tcW w:w="2177" w:type="dxa"/>
          </w:tcPr>
          <w:p w14:paraId="3DEE0704" w14:textId="77777777" w:rsidR="00222DE0" w:rsidRPr="00EE3355" w:rsidRDefault="0098273B" w:rsidP="00EA1CDF">
            <w:pPr>
              <w:pStyle w:val="TableParagraph"/>
              <w:widowControl/>
            </w:pPr>
            <w:r w:rsidRPr="00EE3355">
              <w:t>ANC &lt; 0,5</w:t>
            </w:r>
          </w:p>
        </w:tc>
        <w:tc>
          <w:tcPr>
            <w:tcW w:w="7119" w:type="dxa"/>
          </w:tcPr>
          <w:p w14:paraId="6F900841" w14:textId="34DC351D" w:rsidR="00222DE0" w:rsidRPr="00EE3355" w:rsidRDefault="0098273B" w:rsidP="00EA1CDF">
            <w:pPr>
              <w:pStyle w:val="TableParagraph"/>
              <w:widowControl/>
            </w:pPr>
            <w:r w:rsidRPr="00EE3355">
              <w:t xml:space="preserve">Ukončete léčbu přípravkem </w:t>
            </w:r>
            <w:r w:rsidR="00812FCE">
              <w:t>Avtozma</w:t>
            </w:r>
          </w:p>
        </w:tc>
      </w:tr>
    </w:tbl>
    <w:p w14:paraId="382A984B" w14:textId="77777777" w:rsidR="00C01AD6" w:rsidRPr="00EE3355" w:rsidRDefault="00C01AD6" w:rsidP="00EA1CDF">
      <w:pPr>
        <w:widowControl/>
        <w:tabs>
          <w:tab w:val="left" w:pos="804"/>
        </w:tabs>
        <w:ind w:left="567" w:hanging="567"/>
        <w:rPr>
          <w:rFonts w:ascii="Symbol" w:eastAsia="Symbol" w:hAnsi="Symbol" w:cs="Symbol"/>
        </w:rPr>
      </w:pPr>
    </w:p>
    <w:p w14:paraId="552155E7"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trombocytů</w:t>
      </w:r>
    </w:p>
    <w:p w14:paraId="7AE964E4" w14:textId="77777777" w:rsidR="00222DE0" w:rsidRPr="00EE3355" w:rsidRDefault="00222DE0" w:rsidP="00EA1CDF">
      <w:pPr>
        <w:pStyle w:val="a3"/>
        <w:widowControl/>
        <w:ind w:left="0"/>
        <w:rPr>
          <w:sz w:val="20"/>
        </w:rPr>
      </w:pPr>
    </w:p>
    <w:tbl>
      <w:tblPr>
        <w:tblW w:w="9296"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77"/>
        <w:gridCol w:w="7119"/>
      </w:tblGrid>
      <w:tr w:rsidR="00222DE0" w:rsidRPr="00EE3355" w14:paraId="36941CDC" w14:textId="77777777" w:rsidTr="00A12B52">
        <w:trPr>
          <w:cantSplit/>
          <w:trHeight w:val="547"/>
          <w:tblHeader/>
        </w:trPr>
        <w:tc>
          <w:tcPr>
            <w:tcW w:w="2177" w:type="dxa"/>
          </w:tcPr>
          <w:p w14:paraId="66D08732" w14:textId="77777777" w:rsidR="00222DE0" w:rsidRPr="00EE3355" w:rsidRDefault="0098273B" w:rsidP="00EA1CDF">
            <w:pPr>
              <w:pStyle w:val="TableParagraph"/>
              <w:widowControl/>
              <w:jc w:val="center"/>
            </w:pPr>
            <w:r w:rsidRPr="00EE3355">
              <w:t>Laboratorní hodnota</w:t>
            </w:r>
          </w:p>
          <w:p w14:paraId="68DF797B" w14:textId="77777777" w:rsidR="00222DE0" w:rsidRPr="00EE3355" w:rsidRDefault="0098273B" w:rsidP="00EA1CDF">
            <w:pPr>
              <w:pStyle w:val="TableParagraph"/>
              <w:widowControl/>
              <w:jc w:val="center"/>
            </w:pPr>
            <w:r w:rsidRPr="00EE3355">
              <w:t>(buňky x 10</w:t>
            </w:r>
            <w:r w:rsidRPr="00EE3355">
              <w:rPr>
                <w:vertAlign w:val="superscript"/>
              </w:rPr>
              <w:t>3</w:t>
            </w:r>
            <w:r w:rsidRPr="00EE3355">
              <w:t>/µl)</w:t>
            </w:r>
          </w:p>
        </w:tc>
        <w:tc>
          <w:tcPr>
            <w:tcW w:w="7119" w:type="dxa"/>
          </w:tcPr>
          <w:p w14:paraId="6044483C" w14:textId="77777777" w:rsidR="00222DE0" w:rsidRPr="00EE3355" w:rsidRDefault="0098273B" w:rsidP="00EA1CDF">
            <w:pPr>
              <w:pStyle w:val="TableParagraph"/>
              <w:widowControl/>
              <w:jc w:val="center"/>
            </w:pPr>
            <w:r w:rsidRPr="00EE3355">
              <w:t>Opatření</w:t>
            </w:r>
          </w:p>
        </w:tc>
      </w:tr>
      <w:tr w:rsidR="00222DE0" w:rsidRPr="00EE3355" w14:paraId="71F5AA4F" w14:textId="77777777" w:rsidTr="00A12B52">
        <w:trPr>
          <w:cantSplit/>
          <w:trHeight w:val="1208"/>
        </w:trPr>
        <w:tc>
          <w:tcPr>
            <w:tcW w:w="2177" w:type="dxa"/>
          </w:tcPr>
          <w:p w14:paraId="6B23EF73" w14:textId="77777777" w:rsidR="00222DE0" w:rsidRPr="00EE3355" w:rsidRDefault="0098273B" w:rsidP="00EA1CDF">
            <w:pPr>
              <w:pStyle w:val="TableParagraph"/>
              <w:widowControl/>
            </w:pPr>
            <w:r w:rsidRPr="00EE3355">
              <w:t>50 až 100</w:t>
            </w:r>
          </w:p>
        </w:tc>
        <w:tc>
          <w:tcPr>
            <w:tcW w:w="7119" w:type="dxa"/>
          </w:tcPr>
          <w:p w14:paraId="5CA5EC36" w14:textId="7EEE6FC6" w:rsidR="00222DE0" w:rsidRPr="00EE3355" w:rsidRDefault="0098273B" w:rsidP="00EA1CDF">
            <w:pPr>
              <w:pStyle w:val="TableParagraph"/>
              <w:widowControl/>
            </w:pPr>
            <w:r w:rsidRPr="00EE3355">
              <w:t xml:space="preserve">Přerušte podávání přípravku </w:t>
            </w:r>
            <w:r w:rsidR="00812FCE">
              <w:t>Avtozma</w:t>
            </w:r>
          </w:p>
          <w:p w14:paraId="6463C0F0" w14:textId="77777777" w:rsidR="00222DE0" w:rsidRPr="00EE3355" w:rsidRDefault="00222DE0" w:rsidP="00EA1CDF">
            <w:pPr>
              <w:pStyle w:val="TableParagraph"/>
              <w:widowControl/>
            </w:pPr>
          </w:p>
          <w:p w14:paraId="61ED918D" w14:textId="01043B16" w:rsidR="00222DE0" w:rsidRPr="00EE3355" w:rsidRDefault="0098273B" w:rsidP="00EA1CDF">
            <w:pPr>
              <w:pStyle w:val="TableParagraph"/>
              <w:widowControl/>
            </w:pPr>
            <w:r w:rsidRPr="00EE3355">
              <w:t>Pokud bude počet trombocytů &gt; 100 x 10</w:t>
            </w:r>
            <w:r w:rsidRPr="00EE3355">
              <w:rPr>
                <w:vertAlign w:val="superscript"/>
              </w:rPr>
              <w:t>3</w:t>
            </w:r>
            <w:r w:rsidRPr="00EE3355">
              <w:t xml:space="preserve">/µl, léčbu přípravkem </w:t>
            </w:r>
            <w:r w:rsidR="00812FCE">
              <w:t>Avtozma</w:t>
            </w:r>
            <w:r w:rsidRPr="00EE3355">
              <w:t xml:space="preserve"> znovu za</w:t>
            </w:r>
            <w:r w:rsidR="00C45749">
              <w:t>hajte</w:t>
            </w:r>
            <w:r w:rsidRPr="00EE3355">
              <w:t xml:space="preserve"> dávkou 4 mg/kg a zvyšte na 8 mg/kg, pokud je to klinicky vhodné</w:t>
            </w:r>
          </w:p>
        </w:tc>
      </w:tr>
      <w:tr w:rsidR="00222DE0" w:rsidRPr="00EE3355" w14:paraId="23676A13" w14:textId="77777777" w:rsidTr="00A12B52">
        <w:trPr>
          <w:cantSplit/>
          <w:trHeight w:val="306"/>
        </w:trPr>
        <w:tc>
          <w:tcPr>
            <w:tcW w:w="2177" w:type="dxa"/>
          </w:tcPr>
          <w:p w14:paraId="78937B9A" w14:textId="77777777" w:rsidR="00222DE0" w:rsidRPr="00EE3355" w:rsidRDefault="0098273B" w:rsidP="00EA1CDF">
            <w:pPr>
              <w:pStyle w:val="TableParagraph"/>
              <w:widowControl/>
            </w:pPr>
            <w:r w:rsidRPr="00EE3355">
              <w:t>&lt; 50</w:t>
            </w:r>
          </w:p>
        </w:tc>
        <w:tc>
          <w:tcPr>
            <w:tcW w:w="7119" w:type="dxa"/>
          </w:tcPr>
          <w:p w14:paraId="4CF9BA28" w14:textId="536064AF" w:rsidR="00222DE0" w:rsidRPr="00EE3355" w:rsidRDefault="0098273B" w:rsidP="00EA1CDF">
            <w:pPr>
              <w:pStyle w:val="TableParagraph"/>
              <w:widowControl/>
            </w:pPr>
            <w:r w:rsidRPr="00EE3355">
              <w:t xml:space="preserve">Ukončete léčbu přípravkem </w:t>
            </w:r>
            <w:r w:rsidR="00812FCE">
              <w:t>Avtozma</w:t>
            </w:r>
          </w:p>
        </w:tc>
      </w:tr>
    </w:tbl>
    <w:p w14:paraId="515D10B3" w14:textId="77777777" w:rsidR="00F22A54" w:rsidRPr="00EE3355" w:rsidRDefault="00F22A54" w:rsidP="00EA1CDF">
      <w:pPr>
        <w:pStyle w:val="a3"/>
        <w:widowControl/>
        <w:ind w:left="0"/>
        <w:rPr>
          <w:u w:val="single"/>
        </w:rPr>
      </w:pPr>
    </w:p>
    <w:p w14:paraId="7A568CE6" w14:textId="77777777" w:rsidR="00222DE0" w:rsidRPr="00EE3355" w:rsidRDefault="0098273B" w:rsidP="00EA1CDF">
      <w:pPr>
        <w:pStyle w:val="a3"/>
        <w:widowControl/>
        <w:ind w:left="0"/>
        <w:rPr>
          <w:u w:val="single"/>
        </w:rPr>
      </w:pPr>
      <w:r w:rsidRPr="00EE3355">
        <w:rPr>
          <w:u w:val="single"/>
        </w:rPr>
        <w:t>Pacienti s onemocněním COVID-19</w:t>
      </w:r>
    </w:p>
    <w:p w14:paraId="656846A5" w14:textId="340360E5" w:rsidR="00222DE0" w:rsidRPr="00EE3355" w:rsidRDefault="0098273B" w:rsidP="00EA1CDF">
      <w:pPr>
        <w:pStyle w:val="a3"/>
        <w:widowControl/>
        <w:ind w:left="0"/>
      </w:pPr>
      <w:r w:rsidRPr="00EE3355">
        <w:t xml:space="preserve">Dávkování doporučené k léčbě onemocnění COVID-19 je jednorázová dávka 8 mg/kg podaná intravenózní infuzí v délce 60 minut u pacientů užívajících systémové kortikosteroidy a vyžadujících doplňkovou oxygenoterapii nebo mechanickou ventilaci, viz bod 5.1. Jestliže se po první dávce klinické známky nebo příznaky zhorší nebo nezlepší, lze podat jednu dodatečnou infuzi přípravku </w:t>
      </w:r>
      <w:r w:rsidR="00812FCE">
        <w:t>Avtozma</w:t>
      </w:r>
      <w:r w:rsidRPr="00EE3355">
        <w:t xml:space="preserve"> v dávce 8 mg/kg. Interval mezi oběma infuzemi má být alespoň 8 hodin.</w:t>
      </w:r>
    </w:p>
    <w:p w14:paraId="6C6B01C7" w14:textId="77777777" w:rsidR="003B4B58" w:rsidRPr="00EE3355" w:rsidRDefault="003B4B58" w:rsidP="00EA1CDF">
      <w:pPr>
        <w:pStyle w:val="a3"/>
        <w:widowControl/>
        <w:ind w:left="0"/>
      </w:pPr>
    </w:p>
    <w:p w14:paraId="60302754" w14:textId="77777777" w:rsidR="00222DE0" w:rsidRPr="00EE3355" w:rsidRDefault="0098273B" w:rsidP="00CF7B90">
      <w:pPr>
        <w:pStyle w:val="a3"/>
        <w:widowControl/>
        <w:ind w:left="0"/>
      </w:pPr>
      <w:r w:rsidRPr="00EE3355">
        <w:t>U pacientů, jejichž tělesná hmotnost je vyšší než 100 kg, se dávky přesahující 800 mg/infuzi</w:t>
      </w:r>
      <w:r w:rsidR="00CF7B90">
        <w:t xml:space="preserve"> </w:t>
      </w:r>
      <w:r w:rsidRPr="00EE3355">
        <w:t>nedoporučují (viz bod 5.2).</w:t>
      </w:r>
    </w:p>
    <w:p w14:paraId="32619B0E" w14:textId="77777777" w:rsidR="003B4B58" w:rsidRPr="00EE3355" w:rsidRDefault="003B4B58" w:rsidP="00EA1CDF">
      <w:pPr>
        <w:pStyle w:val="a3"/>
        <w:widowControl/>
        <w:ind w:left="0"/>
      </w:pPr>
    </w:p>
    <w:p w14:paraId="6586443F" w14:textId="00A90A6F" w:rsidR="00222DE0" w:rsidRPr="00B93217" w:rsidRDefault="0098273B" w:rsidP="00CF7B90">
      <w:pPr>
        <w:pStyle w:val="a3"/>
        <w:widowControl/>
        <w:ind w:left="0"/>
      </w:pPr>
      <w:r w:rsidRPr="00B93217">
        <w:t xml:space="preserve">Podání přípravku </w:t>
      </w:r>
      <w:r w:rsidR="00812FCE" w:rsidRPr="00B93217">
        <w:t>Avtozma</w:t>
      </w:r>
      <w:r w:rsidRPr="00B93217">
        <w:t xml:space="preserve"> se nedoporučuje u pacientů s onemocněním COVID-19, kteří mají</w:t>
      </w:r>
      <w:r w:rsidR="00CF7B90" w:rsidRPr="00B93217">
        <w:t xml:space="preserve"> </w:t>
      </w:r>
      <w:r w:rsidRPr="00B93217">
        <w:t>jakékoliv z následujících abnormálních výsledků laboratorních vyšetření:</w:t>
      </w:r>
    </w:p>
    <w:p w14:paraId="6AF50EC2" w14:textId="77777777" w:rsidR="00222DE0" w:rsidRPr="00EE3355" w:rsidRDefault="00222DE0" w:rsidP="00EA1CDF">
      <w:pPr>
        <w:pStyle w:val="a3"/>
        <w:widowControl/>
        <w:ind w:left="0"/>
        <w:rPr>
          <w:sz w:val="20"/>
        </w:rPr>
      </w:pPr>
    </w:p>
    <w:tbl>
      <w:tblPr>
        <w:tblW w:w="9188"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496"/>
        <w:gridCol w:w="2672"/>
        <w:gridCol w:w="3020"/>
      </w:tblGrid>
      <w:tr w:rsidR="00222DE0" w:rsidRPr="009F16F4" w14:paraId="33892384" w14:textId="77777777" w:rsidTr="005C4FB3">
        <w:trPr>
          <w:cantSplit/>
          <w:trHeight w:val="251"/>
          <w:tblHeader/>
        </w:trPr>
        <w:tc>
          <w:tcPr>
            <w:tcW w:w="3496" w:type="dxa"/>
          </w:tcPr>
          <w:p w14:paraId="56441B91" w14:textId="77777777" w:rsidR="00222DE0" w:rsidRPr="009F16F4" w:rsidRDefault="0098273B" w:rsidP="00EA1CDF">
            <w:pPr>
              <w:pStyle w:val="TableParagraph"/>
              <w:widowControl/>
            </w:pPr>
            <w:r w:rsidRPr="00B93217">
              <w:t>Druh laboratorního vyšetření</w:t>
            </w:r>
          </w:p>
        </w:tc>
        <w:tc>
          <w:tcPr>
            <w:tcW w:w="2672" w:type="dxa"/>
          </w:tcPr>
          <w:p w14:paraId="0DE26385" w14:textId="77777777" w:rsidR="00222DE0" w:rsidRPr="009F16F4" w:rsidRDefault="0098273B" w:rsidP="00EA1CDF">
            <w:pPr>
              <w:pStyle w:val="TableParagraph"/>
              <w:widowControl/>
              <w:jc w:val="center"/>
            </w:pPr>
            <w:r w:rsidRPr="00B93217">
              <w:t>Laboratorní hodnota</w:t>
            </w:r>
          </w:p>
        </w:tc>
        <w:tc>
          <w:tcPr>
            <w:tcW w:w="3020" w:type="dxa"/>
          </w:tcPr>
          <w:p w14:paraId="411090A0" w14:textId="77777777" w:rsidR="00222DE0" w:rsidRPr="009F16F4" w:rsidRDefault="0098273B" w:rsidP="00EA1CDF">
            <w:pPr>
              <w:pStyle w:val="TableParagraph"/>
              <w:widowControl/>
              <w:jc w:val="center"/>
            </w:pPr>
            <w:r w:rsidRPr="00B93217">
              <w:t>Opatření</w:t>
            </w:r>
          </w:p>
        </w:tc>
      </w:tr>
      <w:tr w:rsidR="00222DE0" w:rsidRPr="009F16F4" w14:paraId="5B5E0023" w14:textId="77777777" w:rsidTr="005C4FB3">
        <w:trPr>
          <w:cantSplit/>
          <w:trHeight w:val="254"/>
        </w:trPr>
        <w:tc>
          <w:tcPr>
            <w:tcW w:w="3496" w:type="dxa"/>
          </w:tcPr>
          <w:p w14:paraId="2F244D2E" w14:textId="77777777" w:rsidR="00222DE0" w:rsidRPr="009F16F4" w:rsidRDefault="0098273B" w:rsidP="00EA1CDF">
            <w:pPr>
              <w:pStyle w:val="TableParagraph"/>
              <w:widowControl/>
            </w:pPr>
            <w:r w:rsidRPr="009F16F4">
              <w:t>Jaterní enzymy</w:t>
            </w:r>
          </w:p>
        </w:tc>
        <w:tc>
          <w:tcPr>
            <w:tcW w:w="2672" w:type="dxa"/>
            <w:tcBorders>
              <w:bottom w:val="nil"/>
            </w:tcBorders>
          </w:tcPr>
          <w:p w14:paraId="1EB1A977" w14:textId="04FC6C03" w:rsidR="00222DE0" w:rsidRPr="009F16F4" w:rsidRDefault="00C15EEA" w:rsidP="00EA1CDF">
            <w:pPr>
              <w:pStyle w:val="TableParagraph"/>
              <w:widowControl/>
              <w:tabs>
                <w:tab w:val="left" w:pos="187"/>
              </w:tabs>
              <w:jc w:val="center"/>
            </w:pPr>
            <w:r w:rsidRPr="00DD3AA5">
              <w:rPr>
                <w:lang w:val="pt-PT"/>
              </w:rPr>
              <w:t>≥</w:t>
            </w:r>
            <w:r w:rsidR="00B23DAE" w:rsidRPr="009F16F4">
              <w:tab/>
            </w:r>
            <w:r w:rsidR="0098273B" w:rsidRPr="009F16F4">
              <w:t>10 x ULN</w:t>
            </w:r>
          </w:p>
        </w:tc>
        <w:tc>
          <w:tcPr>
            <w:tcW w:w="3020" w:type="dxa"/>
            <w:vMerge w:val="restart"/>
          </w:tcPr>
          <w:p w14:paraId="20BF0636" w14:textId="1877CF09" w:rsidR="00222DE0" w:rsidRPr="009F16F4" w:rsidRDefault="0098273B" w:rsidP="00EA1CDF">
            <w:pPr>
              <w:pStyle w:val="TableParagraph"/>
              <w:widowControl/>
            </w:pPr>
            <w:r w:rsidRPr="00B93217">
              <w:t xml:space="preserve">Podání přípravku </w:t>
            </w:r>
            <w:r w:rsidR="00812FCE" w:rsidRPr="00B93217">
              <w:t>Avtozma</w:t>
            </w:r>
            <w:r w:rsidRPr="009F16F4">
              <w:t xml:space="preserve"> </w:t>
            </w:r>
            <w:r w:rsidRPr="00B93217">
              <w:t>se nedoporučuje</w:t>
            </w:r>
          </w:p>
        </w:tc>
      </w:tr>
      <w:tr w:rsidR="00222DE0" w:rsidRPr="009F16F4" w14:paraId="655467FA" w14:textId="77777777" w:rsidTr="005C4FB3">
        <w:trPr>
          <w:cantSplit/>
          <w:trHeight w:val="251"/>
        </w:trPr>
        <w:tc>
          <w:tcPr>
            <w:tcW w:w="3496" w:type="dxa"/>
          </w:tcPr>
          <w:p w14:paraId="4038133C" w14:textId="77777777" w:rsidR="00222DE0" w:rsidRPr="009F16F4" w:rsidRDefault="0098273B" w:rsidP="00EA1CDF">
            <w:pPr>
              <w:pStyle w:val="TableParagraph"/>
              <w:widowControl/>
            </w:pPr>
            <w:r w:rsidRPr="009F16F4">
              <w:t>Absolutní počet neutrofilů</w:t>
            </w:r>
          </w:p>
        </w:tc>
        <w:tc>
          <w:tcPr>
            <w:tcW w:w="2672" w:type="dxa"/>
            <w:tcBorders>
              <w:top w:val="nil"/>
            </w:tcBorders>
          </w:tcPr>
          <w:p w14:paraId="4246BA71" w14:textId="77777777" w:rsidR="00222DE0" w:rsidRPr="009F16F4" w:rsidRDefault="0098273B" w:rsidP="00EA1CDF">
            <w:pPr>
              <w:pStyle w:val="TableParagraph"/>
              <w:widowControl/>
              <w:jc w:val="center"/>
            </w:pPr>
            <w:r w:rsidRPr="009F16F4">
              <w:t>&lt; 1 x 10</w:t>
            </w:r>
            <w:r w:rsidRPr="009F16F4">
              <w:rPr>
                <w:vertAlign w:val="superscript"/>
              </w:rPr>
              <w:t>9</w:t>
            </w:r>
            <w:r w:rsidRPr="009F16F4">
              <w:t>/l</w:t>
            </w:r>
          </w:p>
        </w:tc>
        <w:tc>
          <w:tcPr>
            <w:tcW w:w="3020" w:type="dxa"/>
            <w:vMerge/>
            <w:tcBorders>
              <w:top w:val="nil"/>
            </w:tcBorders>
          </w:tcPr>
          <w:p w14:paraId="2E6B4C21" w14:textId="77777777" w:rsidR="00222DE0" w:rsidRPr="009F16F4" w:rsidRDefault="00222DE0" w:rsidP="00EA1CDF">
            <w:pPr>
              <w:widowControl/>
              <w:rPr>
                <w:sz w:val="2"/>
                <w:szCs w:val="2"/>
              </w:rPr>
            </w:pPr>
          </w:p>
        </w:tc>
      </w:tr>
      <w:tr w:rsidR="00222DE0" w:rsidRPr="009F16F4" w14:paraId="21C7ED63" w14:textId="77777777" w:rsidTr="005C4FB3">
        <w:trPr>
          <w:cantSplit/>
          <w:trHeight w:val="270"/>
        </w:trPr>
        <w:tc>
          <w:tcPr>
            <w:tcW w:w="3496" w:type="dxa"/>
          </w:tcPr>
          <w:p w14:paraId="7225C16D" w14:textId="77777777" w:rsidR="00222DE0" w:rsidRPr="009F16F4" w:rsidRDefault="0098273B" w:rsidP="00EA1CDF">
            <w:pPr>
              <w:pStyle w:val="TableParagraph"/>
              <w:widowControl/>
            </w:pPr>
            <w:r w:rsidRPr="009F16F4">
              <w:t>Počet krevních destiček</w:t>
            </w:r>
          </w:p>
        </w:tc>
        <w:tc>
          <w:tcPr>
            <w:tcW w:w="2672" w:type="dxa"/>
          </w:tcPr>
          <w:p w14:paraId="2D7A6A1C" w14:textId="77777777" w:rsidR="00222DE0" w:rsidRPr="009F16F4" w:rsidRDefault="0098273B" w:rsidP="00EA1CDF">
            <w:pPr>
              <w:pStyle w:val="TableParagraph"/>
              <w:widowControl/>
              <w:jc w:val="center"/>
            </w:pPr>
            <w:r w:rsidRPr="009F16F4">
              <w:t>&lt; 50 x 10</w:t>
            </w:r>
            <w:r w:rsidRPr="009F16F4">
              <w:rPr>
                <w:vertAlign w:val="superscript"/>
              </w:rPr>
              <w:t>3</w:t>
            </w:r>
            <w:r w:rsidRPr="009F16F4">
              <w:t>/μl</w:t>
            </w:r>
          </w:p>
        </w:tc>
        <w:tc>
          <w:tcPr>
            <w:tcW w:w="3020" w:type="dxa"/>
            <w:vMerge/>
            <w:tcBorders>
              <w:top w:val="nil"/>
            </w:tcBorders>
          </w:tcPr>
          <w:p w14:paraId="4C458339" w14:textId="77777777" w:rsidR="00222DE0" w:rsidRPr="009F16F4" w:rsidRDefault="00222DE0" w:rsidP="00EA1CDF">
            <w:pPr>
              <w:widowControl/>
              <w:rPr>
                <w:sz w:val="2"/>
                <w:szCs w:val="2"/>
              </w:rPr>
            </w:pPr>
          </w:p>
        </w:tc>
      </w:tr>
    </w:tbl>
    <w:p w14:paraId="0DEAB3FA" w14:textId="77777777" w:rsidR="005C4FB3" w:rsidRPr="00EE3355" w:rsidRDefault="005C4FB3" w:rsidP="00EA1CDF">
      <w:pPr>
        <w:pStyle w:val="a3"/>
        <w:widowControl/>
        <w:ind w:left="0"/>
        <w:rPr>
          <w:u w:val="single"/>
        </w:rPr>
      </w:pPr>
    </w:p>
    <w:p w14:paraId="00073C77" w14:textId="77777777" w:rsidR="00222DE0" w:rsidRPr="00EE3355" w:rsidRDefault="0098273B" w:rsidP="00EA1CDF">
      <w:pPr>
        <w:pStyle w:val="a3"/>
        <w:widowControl/>
        <w:ind w:left="0"/>
      </w:pPr>
      <w:r w:rsidRPr="00EE3355">
        <w:rPr>
          <w:u w:val="single"/>
        </w:rPr>
        <w:t>Syndrom z uvolnění cytokinů (CRS) (dospělí a pediatričtí pacienti)</w:t>
      </w:r>
    </w:p>
    <w:p w14:paraId="30A74F03" w14:textId="474E3CBF" w:rsidR="00222DE0" w:rsidRPr="00EE3355" w:rsidRDefault="0098273B" w:rsidP="00EA1CDF">
      <w:pPr>
        <w:pStyle w:val="a3"/>
        <w:widowControl/>
        <w:ind w:left="0"/>
      </w:pPr>
      <w:r w:rsidRPr="00EE3355">
        <w:t xml:space="preserve">Doporučená dávka pro léčbu CRS podávaná v 60minutové intravenózní infuzi je 8 mg/kg u pacientů s tělesnou hmotností vyšší nebo rovnou 30 kg nebo 12 mg/kg u pacientů s hmotností menší než 30 kg. Přípravek </w:t>
      </w:r>
      <w:r w:rsidR="00812FCE">
        <w:t>Avtozma</w:t>
      </w:r>
      <w:r w:rsidRPr="00EE3355">
        <w:t xml:space="preserve"> lze podávat samostatně nebo v kombinaci s kortikosteroidy.</w:t>
      </w:r>
    </w:p>
    <w:p w14:paraId="1D8EFF42" w14:textId="77777777" w:rsidR="005C4FB3" w:rsidRPr="00EE3355" w:rsidRDefault="005C4FB3" w:rsidP="00EA1CDF">
      <w:pPr>
        <w:pStyle w:val="a3"/>
        <w:widowControl/>
        <w:ind w:left="0"/>
      </w:pPr>
    </w:p>
    <w:p w14:paraId="11E34DF0" w14:textId="1F7D593C" w:rsidR="00222DE0" w:rsidRPr="00EE3355" w:rsidRDefault="0098273B" w:rsidP="00EA1CDF">
      <w:pPr>
        <w:pStyle w:val="a3"/>
        <w:widowControl/>
        <w:ind w:left="0"/>
      </w:pPr>
      <w:r w:rsidRPr="00EE3355">
        <w:t>Pokud po první dávce nedojde k žádnému klinickému zlepšení známek a příznaků CRS, lze podat až</w:t>
      </w:r>
      <w:r w:rsidR="005C4FB3" w:rsidRPr="00EE3355">
        <w:t xml:space="preserve"> </w:t>
      </w:r>
      <w:r w:rsidRPr="00EE3355">
        <w:t xml:space="preserve">3 další dávky přípravku </w:t>
      </w:r>
      <w:r w:rsidR="00812FCE">
        <w:t>Avtozma</w:t>
      </w:r>
      <w:r w:rsidRPr="00EE3355">
        <w:t>. Interval mezi následnými dávkami má být alespoň 8 hodin. Dávky vyšší než 800 mg v jedné infuzi se u pacientů s CRS nedoporučují.</w:t>
      </w:r>
    </w:p>
    <w:p w14:paraId="5831A430" w14:textId="77777777" w:rsidR="005C4FB3" w:rsidRPr="00EE3355" w:rsidRDefault="005C4FB3" w:rsidP="00EA1CDF">
      <w:pPr>
        <w:pStyle w:val="a3"/>
        <w:widowControl/>
        <w:ind w:left="0"/>
      </w:pPr>
    </w:p>
    <w:p w14:paraId="0374A187" w14:textId="77777777" w:rsidR="00222DE0" w:rsidRPr="00EE3355" w:rsidRDefault="0098273B" w:rsidP="00EA1CDF">
      <w:pPr>
        <w:pStyle w:val="a3"/>
        <w:widowControl/>
        <w:ind w:left="0"/>
      </w:pPr>
      <w:r w:rsidRPr="00EE3355">
        <w:t>Pacienti se závažným nebo život ohrožujícím CRS mají často cytopenii nebo zvýšené hodnoty ALT</w:t>
      </w:r>
      <w:r w:rsidR="00160603">
        <w:t xml:space="preserve"> </w:t>
      </w:r>
      <w:r w:rsidRPr="00EE3355">
        <w:t>nebo AST v důsledku základního maligního onemocnění před lymfodepleční chemoterapií nebo CRS.</w:t>
      </w:r>
    </w:p>
    <w:p w14:paraId="2C657496" w14:textId="77777777" w:rsidR="005C4FB3" w:rsidRPr="00EE3355" w:rsidRDefault="005C4FB3" w:rsidP="00EA1CDF">
      <w:pPr>
        <w:pStyle w:val="a3"/>
        <w:widowControl/>
        <w:ind w:left="0"/>
      </w:pPr>
    </w:p>
    <w:p w14:paraId="4B366F57" w14:textId="77777777" w:rsidR="00222DE0" w:rsidRDefault="0098273B" w:rsidP="00EA1CDF">
      <w:pPr>
        <w:pStyle w:val="a3"/>
        <w:keepNext/>
        <w:widowControl/>
        <w:ind w:left="0"/>
        <w:rPr>
          <w:u w:val="single"/>
        </w:rPr>
      </w:pPr>
      <w:r w:rsidRPr="00EE3355">
        <w:rPr>
          <w:u w:val="single"/>
        </w:rPr>
        <w:t>Zvláštní skupiny pacientů</w:t>
      </w:r>
    </w:p>
    <w:p w14:paraId="0D0B0FC8" w14:textId="77777777" w:rsidR="009F16F4" w:rsidRPr="00EE3355" w:rsidRDefault="009F16F4" w:rsidP="00EA1CDF">
      <w:pPr>
        <w:pStyle w:val="a3"/>
        <w:keepNext/>
        <w:widowControl/>
        <w:ind w:left="0"/>
        <w:rPr>
          <w:u w:val="single"/>
        </w:rPr>
      </w:pPr>
    </w:p>
    <w:p w14:paraId="025A3613" w14:textId="77777777" w:rsidR="00222DE0" w:rsidRPr="00AB2582" w:rsidRDefault="0098273B" w:rsidP="00AB2582">
      <w:pPr>
        <w:keepNext/>
        <w:widowControl/>
        <w:rPr>
          <w:i/>
        </w:rPr>
      </w:pPr>
      <w:r w:rsidRPr="00AB2582">
        <w:rPr>
          <w:i/>
        </w:rPr>
        <w:t>Pediatričtí pacienti:</w:t>
      </w:r>
    </w:p>
    <w:p w14:paraId="59D925BB" w14:textId="77777777" w:rsidR="00222DE0" w:rsidRPr="00EE3355" w:rsidRDefault="00222DE0" w:rsidP="00EA1CDF">
      <w:pPr>
        <w:pStyle w:val="a3"/>
        <w:keepNext/>
        <w:widowControl/>
        <w:ind w:left="0"/>
        <w:rPr>
          <w:i/>
        </w:rPr>
      </w:pPr>
    </w:p>
    <w:p w14:paraId="7A8964ED" w14:textId="77777777" w:rsidR="00222DE0" w:rsidRPr="00EE3355" w:rsidRDefault="0098273B" w:rsidP="00EA1CDF">
      <w:pPr>
        <w:keepNext/>
        <w:widowControl/>
        <w:rPr>
          <w:i/>
        </w:rPr>
      </w:pPr>
      <w:r w:rsidRPr="00EE3355">
        <w:rPr>
          <w:i/>
        </w:rPr>
        <w:t>Pacienti se sJIA</w:t>
      </w:r>
    </w:p>
    <w:p w14:paraId="03F1E1D2" w14:textId="77777777" w:rsidR="00A576C8" w:rsidRPr="00EE3355" w:rsidRDefault="00A576C8" w:rsidP="00EA1CDF">
      <w:pPr>
        <w:keepNext/>
        <w:widowControl/>
        <w:rPr>
          <w:i/>
        </w:rPr>
      </w:pPr>
    </w:p>
    <w:p w14:paraId="7170E35E" w14:textId="77777777" w:rsidR="00222DE0" w:rsidRPr="00EE3355" w:rsidRDefault="0098273B" w:rsidP="00EA1CDF">
      <w:pPr>
        <w:pStyle w:val="a3"/>
        <w:widowControl/>
        <w:ind w:left="0"/>
      </w:pPr>
      <w:r w:rsidRPr="00EE3355">
        <w:t>Doporučené dávkování u pacientů starších 2 let je 8 mg/kg jednou za 2 týdny u pacientů s tělesnou hmotností vyšší nebo rovnou 30 kg nebo 12 mg/kg jednou za 2 týdny u pacientů s tělesnou hmotností nižší než 30 kg. Dávku je třeba vypočítat na základě tělesné hmotnosti pacienta při každém podání. Dávku je třeba změnit pouze na základě odpovídající změny tělesné hmotnosti pacienta v průběhu času.</w:t>
      </w:r>
    </w:p>
    <w:p w14:paraId="12CF8231" w14:textId="77777777" w:rsidR="00222DE0" w:rsidRPr="00EE3355" w:rsidRDefault="00222DE0" w:rsidP="00EA1CDF">
      <w:pPr>
        <w:pStyle w:val="a3"/>
        <w:widowControl/>
        <w:ind w:left="0"/>
      </w:pPr>
    </w:p>
    <w:p w14:paraId="3DC23AC9" w14:textId="26D51137" w:rsidR="00222DE0" w:rsidRPr="00EE3355" w:rsidRDefault="0098273B" w:rsidP="00CF7B90">
      <w:pPr>
        <w:pStyle w:val="a3"/>
        <w:widowControl/>
        <w:ind w:left="0"/>
      </w:pPr>
      <w:r w:rsidRPr="00EE3355">
        <w:t xml:space="preserve">Bezpečnost a účinnost intravenózně podávaného přípravku </w:t>
      </w:r>
      <w:r w:rsidR="00812FCE">
        <w:t>Avtozma</w:t>
      </w:r>
      <w:r w:rsidRPr="00EE3355">
        <w:t xml:space="preserve"> u dětí mladších 2 let nebyla</w:t>
      </w:r>
      <w:r w:rsidR="00CF7B90">
        <w:t xml:space="preserve"> </w:t>
      </w:r>
      <w:r w:rsidRPr="00EE3355">
        <w:t>stanovena.</w:t>
      </w:r>
    </w:p>
    <w:p w14:paraId="5F561892" w14:textId="77777777" w:rsidR="00222DE0" w:rsidRPr="00EE3355" w:rsidRDefault="00222DE0" w:rsidP="00EA1CDF">
      <w:pPr>
        <w:pStyle w:val="a3"/>
        <w:widowControl/>
        <w:ind w:left="0"/>
      </w:pPr>
    </w:p>
    <w:p w14:paraId="04F973EE" w14:textId="1A5B70F1" w:rsidR="00222DE0" w:rsidRPr="00EE3355" w:rsidRDefault="0098273B" w:rsidP="00EA1CDF">
      <w:pPr>
        <w:pStyle w:val="a3"/>
        <w:widowControl/>
        <w:ind w:left="0"/>
      </w:pPr>
      <w:r w:rsidRPr="00EE3355">
        <w:t>U pacientů se sJIA se doporučuje přerušení dávkování tocilizumabu z důvodu laboratorních odchylek uvedených v tabulkách níže. Pokud je to vhodné, je třeba dávky současně podávaného MTX a/nebo dalších přípravků upravit nebo dávkování ukončit a dávkování tocilizumabu přerušit, dokud nedojde ke zhodnocení klinického stavu. Vzhledem k tomu, že existují další související stavy, které mohou ovlivnit laboratorní hodnoty u pacientů se sJIA, m</w:t>
      </w:r>
      <w:r w:rsidR="00C45749">
        <w:t>á</w:t>
      </w:r>
      <w:r w:rsidRPr="00EE3355">
        <w:t xml:space="preserve"> být rozhodnutí, zda přerušit léčbu tocilizumabem z důvodu laboratorních odchylek, založeno na lékařském zhodnocení jednotlivého pacienta.</w:t>
      </w:r>
    </w:p>
    <w:p w14:paraId="70E13199" w14:textId="77777777" w:rsidR="00222DE0" w:rsidRPr="00EE3355" w:rsidRDefault="00222DE0" w:rsidP="00EA1CDF">
      <w:pPr>
        <w:pStyle w:val="a3"/>
        <w:widowControl/>
        <w:ind w:left="0"/>
      </w:pPr>
    </w:p>
    <w:p w14:paraId="0A38A702"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Odchylky hodnot jaterních enzymů</w:t>
      </w:r>
    </w:p>
    <w:p w14:paraId="3A6BA4E9" w14:textId="77777777" w:rsidR="00222DE0" w:rsidRPr="00EE3355" w:rsidRDefault="00222DE0" w:rsidP="00EA1CDF">
      <w:pPr>
        <w:pStyle w:val="a3"/>
        <w:spacing w:before="30"/>
        <w:ind w:left="0"/>
        <w:rPr>
          <w:sz w:val="20"/>
        </w:rPr>
      </w:pPr>
    </w:p>
    <w:tbl>
      <w:tblPr>
        <w:tblW w:w="931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91"/>
        <w:gridCol w:w="7119"/>
      </w:tblGrid>
      <w:tr w:rsidR="00222DE0" w:rsidRPr="00CF7B90" w14:paraId="0ED9E296" w14:textId="77777777" w:rsidTr="00007CB7">
        <w:trPr>
          <w:cantSplit/>
          <w:trHeight w:val="405"/>
          <w:tblHeader/>
        </w:trPr>
        <w:tc>
          <w:tcPr>
            <w:tcW w:w="2191" w:type="dxa"/>
          </w:tcPr>
          <w:p w14:paraId="4EA2466D" w14:textId="77777777" w:rsidR="00222DE0" w:rsidRPr="00CF7B90" w:rsidRDefault="0098273B" w:rsidP="00EA1CDF">
            <w:pPr>
              <w:pStyle w:val="TableParagraph"/>
              <w:rPr>
                <w:b/>
              </w:rPr>
            </w:pPr>
            <w:r w:rsidRPr="00CF7B90">
              <w:rPr>
                <w:b/>
              </w:rPr>
              <w:t>Laboratorní hodnota</w:t>
            </w:r>
          </w:p>
        </w:tc>
        <w:tc>
          <w:tcPr>
            <w:tcW w:w="7119" w:type="dxa"/>
          </w:tcPr>
          <w:p w14:paraId="42749DE3" w14:textId="77777777" w:rsidR="00222DE0" w:rsidRPr="00CF7B90" w:rsidRDefault="0098273B" w:rsidP="00EA1CDF">
            <w:pPr>
              <w:pStyle w:val="TableParagraph"/>
              <w:jc w:val="center"/>
              <w:rPr>
                <w:b/>
              </w:rPr>
            </w:pPr>
            <w:r w:rsidRPr="00CF7B90">
              <w:rPr>
                <w:b/>
              </w:rPr>
              <w:t>Opatření</w:t>
            </w:r>
          </w:p>
        </w:tc>
      </w:tr>
      <w:tr w:rsidR="00222DE0" w:rsidRPr="00EE3355" w14:paraId="3474B522" w14:textId="77777777" w:rsidTr="00007CB7">
        <w:trPr>
          <w:cantSplit/>
          <w:trHeight w:val="714"/>
        </w:trPr>
        <w:tc>
          <w:tcPr>
            <w:tcW w:w="2191" w:type="dxa"/>
          </w:tcPr>
          <w:p w14:paraId="57D65527" w14:textId="77777777" w:rsidR="00222DE0" w:rsidRPr="00EE3355" w:rsidRDefault="00B23DAE" w:rsidP="00CF7B90">
            <w:pPr>
              <w:pStyle w:val="TableParagraph"/>
              <w:tabs>
                <w:tab w:val="left" w:pos="286"/>
              </w:tabs>
            </w:pPr>
            <w:r w:rsidRPr="00EE3355">
              <w:t>&gt;</w:t>
            </w:r>
            <w:r w:rsidR="00CF7B90">
              <w:t xml:space="preserve"> </w:t>
            </w:r>
            <w:r w:rsidR="0098273B" w:rsidRPr="00EE3355">
              <w:t>1- až 3násobek ULN</w:t>
            </w:r>
          </w:p>
        </w:tc>
        <w:tc>
          <w:tcPr>
            <w:tcW w:w="7119" w:type="dxa"/>
          </w:tcPr>
          <w:p w14:paraId="548DB001" w14:textId="77777777" w:rsidR="00222DE0" w:rsidRDefault="0098273B" w:rsidP="00EA1CDF">
            <w:pPr>
              <w:pStyle w:val="TableParagraph"/>
            </w:pPr>
            <w:r w:rsidRPr="00EE3355">
              <w:t>Upravte dávku souběžně podávaného MTX, pokud je to vhodné</w:t>
            </w:r>
          </w:p>
          <w:p w14:paraId="5AA5F359" w14:textId="77777777" w:rsidR="00CF7B90" w:rsidRPr="00EE3355" w:rsidRDefault="00CF7B90" w:rsidP="00EA1CDF">
            <w:pPr>
              <w:pStyle w:val="TableParagraph"/>
            </w:pPr>
          </w:p>
          <w:p w14:paraId="2B758722" w14:textId="02C892FD" w:rsidR="00222DE0" w:rsidRPr="00EE3355" w:rsidRDefault="0098273B" w:rsidP="00EA1CDF">
            <w:pPr>
              <w:pStyle w:val="TableParagraph"/>
            </w:pPr>
            <w:r w:rsidRPr="00EE3355">
              <w:t xml:space="preserve">Při přetrvávajících </w:t>
            </w:r>
            <w:r w:rsidR="00C45749">
              <w:t>zvýšeních</w:t>
            </w:r>
            <w:r w:rsidR="00C45749" w:rsidRPr="00EE3355">
              <w:t xml:space="preserve"> </w:t>
            </w:r>
            <w:r w:rsidRPr="00EE3355">
              <w:t>v tomto roz</w:t>
            </w:r>
            <w:r w:rsidR="009B55CE">
              <w:t>mezí</w:t>
            </w:r>
            <w:r w:rsidRPr="00EE3355">
              <w:t xml:space="preserve"> přerušte podávání přípravku</w:t>
            </w:r>
          </w:p>
          <w:p w14:paraId="56CDE91C" w14:textId="57022A38" w:rsidR="00222DE0" w:rsidRPr="00EE3355" w:rsidRDefault="00812FCE" w:rsidP="00EA1CDF">
            <w:pPr>
              <w:pStyle w:val="TableParagraph"/>
            </w:pPr>
            <w:r>
              <w:t>Avtozma</w:t>
            </w:r>
            <w:r w:rsidR="0098273B" w:rsidRPr="00EE3355">
              <w:t>, dokud nedojde k normalizaci hodnot ALT/AST</w:t>
            </w:r>
          </w:p>
        </w:tc>
      </w:tr>
      <w:tr w:rsidR="00222DE0" w:rsidRPr="00EE3355" w14:paraId="40674882" w14:textId="77777777" w:rsidTr="00007CB7">
        <w:trPr>
          <w:cantSplit/>
          <w:trHeight w:val="1166"/>
        </w:trPr>
        <w:tc>
          <w:tcPr>
            <w:tcW w:w="2191" w:type="dxa"/>
          </w:tcPr>
          <w:p w14:paraId="7C55AAA5" w14:textId="77777777" w:rsidR="00222DE0" w:rsidRPr="00EE3355" w:rsidRDefault="00B23DAE" w:rsidP="00CF7B90">
            <w:pPr>
              <w:pStyle w:val="TableParagraph"/>
              <w:tabs>
                <w:tab w:val="left" w:pos="286"/>
              </w:tabs>
            </w:pPr>
            <w:r w:rsidRPr="00EE3355">
              <w:t>&gt;</w:t>
            </w:r>
            <w:r w:rsidR="00CF7B90">
              <w:t xml:space="preserve"> </w:t>
            </w:r>
            <w:r w:rsidR="0098273B" w:rsidRPr="00EE3355">
              <w:t>3- až 5násobek ULN</w:t>
            </w:r>
          </w:p>
        </w:tc>
        <w:tc>
          <w:tcPr>
            <w:tcW w:w="7119" w:type="dxa"/>
          </w:tcPr>
          <w:p w14:paraId="7D807F36" w14:textId="77777777" w:rsidR="00222DE0" w:rsidRPr="00EE3355" w:rsidRDefault="0098273B" w:rsidP="00EA1CDF">
            <w:pPr>
              <w:pStyle w:val="TableParagraph"/>
            </w:pPr>
            <w:r w:rsidRPr="00EE3355">
              <w:t>Upravte dávku souběžně podávaného MTX, pokud je to vhodné</w:t>
            </w:r>
          </w:p>
          <w:p w14:paraId="459D43D0" w14:textId="77777777" w:rsidR="00222DE0" w:rsidRPr="00EE3355" w:rsidRDefault="00222DE0" w:rsidP="00EA1CDF">
            <w:pPr>
              <w:pStyle w:val="TableParagraph"/>
            </w:pPr>
          </w:p>
          <w:p w14:paraId="3D3F4C84" w14:textId="091A8BE0" w:rsidR="00222DE0" w:rsidRPr="00EE3355" w:rsidRDefault="0098273B" w:rsidP="00CF7B90">
            <w:pPr>
              <w:pStyle w:val="TableParagraph"/>
            </w:pPr>
            <w:r w:rsidRPr="00EE3355">
              <w:t xml:space="preserve">Přerušte podávání přípravku </w:t>
            </w:r>
            <w:r w:rsidR="00812FCE">
              <w:t>Avtozma</w:t>
            </w:r>
            <w:r w:rsidRPr="00EE3355">
              <w:t>, dokud nebude hodnota &lt; 3násobek ULN a poté postupujte dle výše uvedeného doporučení pro hodnoty v</w:t>
            </w:r>
            <w:r w:rsidR="00CF7B90">
              <w:t> </w:t>
            </w:r>
            <w:r w:rsidRPr="00EE3355">
              <w:t>rozmezí</w:t>
            </w:r>
            <w:r w:rsidR="00CF7B90">
              <w:t xml:space="preserve"> </w:t>
            </w:r>
            <w:r w:rsidRPr="00EE3355">
              <w:t>&gt;1- až 3násobek ULN</w:t>
            </w:r>
          </w:p>
        </w:tc>
      </w:tr>
      <w:tr w:rsidR="00222DE0" w:rsidRPr="00EE3355" w14:paraId="4A6A9D8F" w14:textId="77777777" w:rsidTr="00007CB7">
        <w:trPr>
          <w:cantSplit/>
          <w:trHeight w:val="1114"/>
        </w:trPr>
        <w:tc>
          <w:tcPr>
            <w:tcW w:w="2191" w:type="dxa"/>
          </w:tcPr>
          <w:p w14:paraId="555573EC" w14:textId="77777777" w:rsidR="00222DE0" w:rsidRPr="00EE3355" w:rsidRDefault="00B23DAE" w:rsidP="00CF7B90">
            <w:pPr>
              <w:pStyle w:val="TableParagraph"/>
              <w:tabs>
                <w:tab w:val="left" w:pos="286"/>
              </w:tabs>
            </w:pPr>
            <w:r w:rsidRPr="00EE3355">
              <w:t>&gt;</w:t>
            </w:r>
            <w:r w:rsidR="00CF7B90">
              <w:t xml:space="preserve"> </w:t>
            </w:r>
            <w:r w:rsidR="0098273B" w:rsidRPr="00EE3355">
              <w:t>5násobek ULN</w:t>
            </w:r>
          </w:p>
        </w:tc>
        <w:tc>
          <w:tcPr>
            <w:tcW w:w="7119" w:type="dxa"/>
          </w:tcPr>
          <w:p w14:paraId="4A4D16A0" w14:textId="5A74C892" w:rsidR="00222DE0" w:rsidRPr="00EE3355" w:rsidRDefault="0098273B" w:rsidP="00EA1CDF">
            <w:pPr>
              <w:pStyle w:val="TableParagraph"/>
            </w:pPr>
            <w:r w:rsidRPr="00EE3355">
              <w:t xml:space="preserve">Ukončete léčbu přípravkem </w:t>
            </w:r>
            <w:r w:rsidR="00812FCE">
              <w:t>Avtozma.</w:t>
            </w:r>
          </w:p>
          <w:p w14:paraId="0A69D590" w14:textId="77777777" w:rsidR="00222DE0" w:rsidRPr="00EE3355" w:rsidRDefault="00222DE0" w:rsidP="00EA1CDF">
            <w:pPr>
              <w:pStyle w:val="TableParagraph"/>
            </w:pPr>
          </w:p>
          <w:p w14:paraId="1932BC33" w14:textId="335E9821" w:rsidR="00222DE0" w:rsidRPr="00EE3355" w:rsidRDefault="0098273B" w:rsidP="00EA1CDF">
            <w:pPr>
              <w:pStyle w:val="TableParagraph"/>
            </w:pPr>
            <w:r w:rsidRPr="00EE3355">
              <w:t xml:space="preserve">Rozhodnutí, zda u pacientů se sJIA přerušit léčbu přípravkem </w:t>
            </w:r>
            <w:r w:rsidR="00812FCE">
              <w:t>Avtozma</w:t>
            </w:r>
            <w:r w:rsidRPr="00EE3355">
              <w:t xml:space="preserve"> z důvodu laboratorních odchylek, m</w:t>
            </w:r>
            <w:r w:rsidR="00C45749">
              <w:t>á</w:t>
            </w:r>
            <w:r w:rsidRPr="00EE3355">
              <w:t xml:space="preserve"> být založeno na lékařském zhodnocení jednotlivého pacienta</w:t>
            </w:r>
          </w:p>
        </w:tc>
      </w:tr>
    </w:tbl>
    <w:p w14:paraId="772B5727" w14:textId="77777777" w:rsidR="00007CB7" w:rsidRPr="00EE3355" w:rsidRDefault="00007CB7" w:rsidP="00EA1CDF">
      <w:pPr>
        <w:tabs>
          <w:tab w:val="left" w:pos="804"/>
        </w:tabs>
        <w:ind w:left="567" w:hanging="567"/>
        <w:rPr>
          <w:rFonts w:ascii="Symbol" w:eastAsia="Symbol" w:hAnsi="Symbol" w:cs="Symbol"/>
        </w:rPr>
      </w:pPr>
    </w:p>
    <w:p w14:paraId="54BB7C10" w14:textId="77777777" w:rsidR="00222DE0" w:rsidRPr="00EE3355" w:rsidRDefault="00B23DAE" w:rsidP="00EA1CDF">
      <w:pPr>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absolutní počet neutrofilů (ANC)</w:t>
      </w:r>
    </w:p>
    <w:p w14:paraId="37934642" w14:textId="77777777" w:rsidR="00222DE0" w:rsidRPr="00EE3355" w:rsidRDefault="00222DE0" w:rsidP="00EA1CDF">
      <w:pPr>
        <w:pStyle w:val="a3"/>
        <w:spacing w:before="28"/>
        <w:ind w:left="0"/>
        <w:rPr>
          <w:sz w:val="20"/>
        </w:rPr>
      </w:pPr>
    </w:p>
    <w:tbl>
      <w:tblPr>
        <w:tblW w:w="931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91"/>
        <w:gridCol w:w="7119"/>
      </w:tblGrid>
      <w:tr w:rsidR="00222DE0" w:rsidRPr="00CF7B90" w14:paraId="40569F43" w14:textId="77777777" w:rsidTr="00BA2A35">
        <w:trPr>
          <w:cantSplit/>
          <w:trHeight w:val="517"/>
          <w:tblHeader/>
        </w:trPr>
        <w:tc>
          <w:tcPr>
            <w:tcW w:w="2191" w:type="dxa"/>
          </w:tcPr>
          <w:p w14:paraId="27FB20A7" w14:textId="77777777" w:rsidR="00222DE0" w:rsidRPr="00CF7B90" w:rsidRDefault="0098273B" w:rsidP="00EA1CDF">
            <w:pPr>
              <w:pStyle w:val="TableParagraph"/>
              <w:widowControl/>
              <w:jc w:val="center"/>
              <w:rPr>
                <w:b/>
              </w:rPr>
            </w:pPr>
            <w:r w:rsidRPr="00CF7B90">
              <w:rPr>
                <w:b/>
              </w:rPr>
              <w:lastRenderedPageBreak/>
              <w:t>Laboratorní hodnota (buňky x 10</w:t>
            </w:r>
            <w:r w:rsidRPr="00CF7B90">
              <w:rPr>
                <w:b/>
                <w:vertAlign w:val="superscript"/>
              </w:rPr>
              <w:t>9</w:t>
            </w:r>
            <w:r w:rsidRPr="00CF7B90">
              <w:rPr>
                <w:b/>
              </w:rPr>
              <w:t>/l)</w:t>
            </w:r>
          </w:p>
        </w:tc>
        <w:tc>
          <w:tcPr>
            <w:tcW w:w="7119" w:type="dxa"/>
          </w:tcPr>
          <w:p w14:paraId="682075DD" w14:textId="77777777" w:rsidR="00222DE0" w:rsidRPr="00CF7B90" w:rsidRDefault="0098273B" w:rsidP="00EA1CDF">
            <w:pPr>
              <w:pStyle w:val="TableParagraph"/>
              <w:widowControl/>
              <w:jc w:val="center"/>
              <w:rPr>
                <w:b/>
              </w:rPr>
            </w:pPr>
            <w:r w:rsidRPr="00CF7B90">
              <w:rPr>
                <w:b/>
              </w:rPr>
              <w:t>Opatření</w:t>
            </w:r>
          </w:p>
        </w:tc>
      </w:tr>
      <w:tr w:rsidR="00222DE0" w:rsidRPr="00EE3355" w14:paraId="0A9A1070" w14:textId="77777777" w:rsidTr="00BA2A35">
        <w:trPr>
          <w:cantSplit/>
          <w:trHeight w:val="213"/>
        </w:trPr>
        <w:tc>
          <w:tcPr>
            <w:tcW w:w="2191" w:type="dxa"/>
          </w:tcPr>
          <w:p w14:paraId="5628B078" w14:textId="77777777" w:rsidR="00222DE0" w:rsidRPr="00EE3355" w:rsidRDefault="0098273B" w:rsidP="00EA1CDF">
            <w:pPr>
              <w:pStyle w:val="TableParagraph"/>
              <w:widowControl/>
            </w:pPr>
            <w:r w:rsidRPr="00EE3355">
              <w:t>ANC &gt; 1</w:t>
            </w:r>
          </w:p>
        </w:tc>
        <w:tc>
          <w:tcPr>
            <w:tcW w:w="7119" w:type="dxa"/>
          </w:tcPr>
          <w:p w14:paraId="7206D158" w14:textId="77777777" w:rsidR="00222DE0" w:rsidRPr="00EE3355" w:rsidRDefault="0098273B" w:rsidP="00EA1CDF">
            <w:pPr>
              <w:pStyle w:val="TableParagraph"/>
              <w:widowControl/>
            </w:pPr>
            <w:r w:rsidRPr="00EE3355">
              <w:t>Udržujte dávku</w:t>
            </w:r>
          </w:p>
        </w:tc>
      </w:tr>
      <w:tr w:rsidR="00222DE0" w:rsidRPr="00EE3355" w14:paraId="4E15B003" w14:textId="77777777" w:rsidTr="00BA2A35">
        <w:trPr>
          <w:cantSplit/>
          <w:trHeight w:val="930"/>
        </w:trPr>
        <w:tc>
          <w:tcPr>
            <w:tcW w:w="2191" w:type="dxa"/>
          </w:tcPr>
          <w:p w14:paraId="537548B7" w14:textId="77777777" w:rsidR="00222DE0" w:rsidRPr="00EE3355" w:rsidRDefault="0098273B" w:rsidP="00EA1CDF">
            <w:pPr>
              <w:pStyle w:val="TableParagraph"/>
              <w:widowControl/>
            </w:pPr>
            <w:r w:rsidRPr="00EE3355">
              <w:t>ANC 0,5 až 1</w:t>
            </w:r>
          </w:p>
        </w:tc>
        <w:tc>
          <w:tcPr>
            <w:tcW w:w="7119" w:type="dxa"/>
          </w:tcPr>
          <w:p w14:paraId="55737EE1" w14:textId="15145427" w:rsidR="00222DE0" w:rsidRPr="00EE3355" w:rsidRDefault="0098273B" w:rsidP="00EA1CDF">
            <w:pPr>
              <w:pStyle w:val="TableParagraph"/>
              <w:widowControl/>
            </w:pPr>
            <w:r w:rsidRPr="00EE3355">
              <w:t xml:space="preserve">Přerušte podávání přípravku </w:t>
            </w:r>
            <w:r w:rsidR="00812FCE">
              <w:t>Avtozma</w:t>
            </w:r>
          </w:p>
          <w:p w14:paraId="4AD754E1" w14:textId="77777777" w:rsidR="00222DE0" w:rsidRPr="00EE3355" w:rsidRDefault="00222DE0" w:rsidP="00EA1CDF">
            <w:pPr>
              <w:pStyle w:val="TableParagraph"/>
              <w:widowControl/>
            </w:pPr>
          </w:p>
          <w:p w14:paraId="41E01F18" w14:textId="4EFEF331" w:rsidR="00222DE0" w:rsidRPr="00EE3355" w:rsidRDefault="0098273B" w:rsidP="00CF7B90">
            <w:pPr>
              <w:pStyle w:val="TableParagraph"/>
              <w:widowControl/>
            </w:pPr>
            <w:r w:rsidRPr="00EE3355">
              <w:t>Pokud se ANC zvýší na &gt; 1 x 10</w:t>
            </w:r>
            <w:r w:rsidRPr="00EE3355">
              <w:rPr>
                <w:vertAlign w:val="superscript"/>
              </w:rPr>
              <w:t>9</w:t>
            </w:r>
            <w:r w:rsidRPr="00EE3355">
              <w:t xml:space="preserve">/l, léčbu přípravkem </w:t>
            </w:r>
            <w:r w:rsidR="00812FCE">
              <w:t>Avtozma</w:t>
            </w:r>
            <w:r w:rsidRPr="00EE3355">
              <w:t xml:space="preserve"> znovu</w:t>
            </w:r>
            <w:r w:rsidR="00CF7B90">
              <w:t xml:space="preserve"> </w:t>
            </w:r>
            <w:r w:rsidRPr="00EE3355">
              <w:t>za</w:t>
            </w:r>
            <w:r w:rsidR="00C45749">
              <w:t>hajte</w:t>
            </w:r>
          </w:p>
        </w:tc>
      </w:tr>
      <w:tr w:rsidR="00222DE0" w:rsidRPr="00EE3355" w14:paraId="616CB750" w14:textId="77777777" w:rsidTr="00BA2A35">
        <w:trPr>
          <w:cantSplit/>
          <w:trHeight w:val="1231"/>
        </w:trPr>
        <w:tc>
          <w:tcPr>
            <w:tcW w:w="2191" w:type="dxa"/>
          </w:tcPr>
          <w:p w14:paraId="310E4A31" w14:textId="77777777" w:rsidR="00222DE0" w:rsidRPr="00EE3355" w:rsidRDefault="0098273B" w:rsidP="00EA1CDF">
            <w:pPr>
              <w:pStyle w:val="TableParagraph"/>
              <w:widowControl/>
            </w:pPr>
            <w:r w:rsidRPr="00EE3355">
              <w:t>ANC &lt; 0,5</w:t>
            </w:r>
          </w:p>
        </w:tc>
        <w:tc>
          <w:tcPr>
            <w:tcW w:w="7119" w:type="dxa"/>
          </w:tcPr>
          <w:p w14:paraId="0C41113F" w14:textId="6E49E9EB" w:rsidR="00222DE0" w:rsidRPr="00EE3355" w:rsidRDefault="0098273B" w:rsidP="00EA1CDF">
            <w:pPr>
              <w:pStyle w:val="TableParagraph"/>
              <w:widowControl/>
            </w:pPr>
            <w:r w:rsidRPr="00EE3355">
              <w:t xml:space="preserve">Ukončete léčbu přípravkem </w:t>
            </w:r>
            <w:r w:rsidR="00812FCE">
              <w:t>Avtozma</w:t>
            </w:r>
          </w:p>
          <w:p w14:paraId="373F5064" w14:textId="77777777" w:rsidR="00222DE0" w:rsidRPr="00EE3355" w:rsidRDefault="00222DE0" w:rsidP="00EA1CDF">
            <w:pPr>
              <w:pStyle w:val="TableParagraph"/>
              <w:widowControl/>
            </w:pPr>
          </w:p>
          <w:p w14:paraId="12FBD024" w14:textId="7FFE3E99" w:rsidR="00222DE0" w:rsidRPr="00EE3355" w:rsidRDefault="0098273B" w:rsidP="00EA1CDF">
            <w:pPr>
              <w:pStyle w:val="TableParagraph"/>
              <w:widowControl/>
            </w:pPr>
            <w:r w:rsidRPr="00EE3355">
              <w:t xml:space="preserve">Rozhodnutí, zda u pacientů se sJIA přerušit léčbu přípravkem </w:t>
            </w:r>
            <w:r w:rsidR="00812FCE">
              <w:t>Avtozma</w:t>
            </w:r>
            <w:r w:rsidRPr="00EE3355">
              <w:t xml:space="preserve"> z důvodu laboratorních odchylek, m</w:t>
            </w:r>
            <w:r w:rsidR="00C45749">
              <w:t>á</w:t>
            </w:r>
            <w:r w:rsidRPr="00EE3355">
              <w:t xml:space="preserve"> být založeno na lékařském zhodnocení jednotlivého pacienta</w:t>
            </w:r>
          </w:p>
        </w:tc>
      </w:tr>
    </w:tbl>
    <w:p w14:paraId="22C167C8" w14:textId="77777777" w:rsidR="00BA2A35" w:rsidRPr="00EE3355" w:rsidRDefault="00BA2A35" w:rsidP="00EA1CDF">
      <w:pPr>
        <w:tabs>
          <w:tab w:val="left" w:pos="804"/>
        </w:tabs>
        <w:ind w:left="567" w:hanging="567"/>
        <w:rPr>
          <w:rFonts w:ascii="Symbol" w:eastAsia="Symbol" w:hAnsi="Symbol" w:cs="Symbol"/>
        </w:rPr>
      </w:pPr>
    </w:p>
    <w:p w14:paraId="70B736D3" w14:textId="77777777" w:rsidR="00222DE0" w:rsidRPr="00EE3355" w:rsidRDefault="00B23DAE" w:rsidP="00EA1CDF">
      <w:pPr>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trombocytů</w:t>
      </w:r>
    </w:p>
    <w:p w14:paraId="3FBF2E52" w14:textId="77777777" w:rsidR="00222DE0" w:rsidRPr="00EE3355" w:rsidRDefault="00222DE0" w:rsidP="00EA1CDF">
      <w:pPr>
        <w:pStyle w:val="a3"/>
        <w:ind w:left="0"/>
        <w:rPr>
          <w:sz w:val="20"/>
        </w:rPr>
      </w:pPr>
    </w:p>
    <w:tbl>
      <w:tblPr>
        <w:tblW w:w="931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91"/>
        <w:gridCol w:w="7119"/>
      </w:tblGrid>
      <w:tr w:rsidR="00222DE0" w:rsidRPr="00CF7B90" w14:paraId="5767266E" w14:textId="77777777" w:rsidTr="0079542A">
        <w:trPr>
          <w:cantSplit/>
          <w:trHeight w:val="468"/>
        </w:trPr>
        <w:tc>
          <w:tcPr>
            <w:tcW w:w="2191" w:type="dxa"/>
          </w:tcPr>
          <w:p w14:paraId="2460C866" w14:textId="77777777" w:rsidR="00222DE0" w:rsidRPr="00CF7B90" w:rsidRDefault="0098273B" w:rsidP="00EA1CDF">
            <w:pPr>
              <w:pStyle w:val="TableParagraph"/>
              <w:jc w:val="center"/>
              <w:rPr>
                <w:b/>
              </w:rPr>
            </w:pPr>
            <w:r w:rsidRPr="00CF7B90">
              <w:rPr>
                <w:b/>
              </w:rPr>
              <w:t>Laboratorní hodnota (buňky x 10</w:t>
            </w:r>
            <w:r w:rsidRPr="00CF7B90">
              <w:rPr>
                <w:b/>
                <w:vertAlign w:val="superscript"/>
              </w:rPr>
              <w:t>3</w:t>
            </w:r>
            <w:r w:rsidRPr="00CF7B90">
              <w:rPr>
                <w:b/>
              </w:rPr>
              <w:t>/µl)</w:t>
            </w:r>
          </w:p>
        </w:tc>
        <w:tc>
          <w:tcPr>
            <w:tcW w:w="7119" w:type="dxa"/>
          </w:tcPr>
          <w:p w14:paraId="2FF4A4E8" w14:textId="77777777" w:rsidR="00222DE0" w:rsidRPr="00CF7B90" w:rsidRDefault="0098273B" w:rsidP="00EA1CDF">
            <w:pPr>
              <w:pStyle w:val="TableParagraph"/>
              <w:jc w:val="center"/>
              <w:rPr>
                <w:b/>
              </w:rPr>
            </w:pPr>
            <w:r w:rsidRPr="00CF7B90">
              <w:rPr>
                <w:b/>
              </w:rPr>
              <w:t>Opatření</w:t>
            </w:r>
          </w:p>
        </w:tc>
      </w:tr>
      <w:tr w:rsidR="00222DE0" w:rsidRPr="00EE3355" w14:paraId="321B7572" w14:textId="77777777" w:rsidTr="005F57E5">
        <w:trPr>
          <w:cantSplit/>
          <w:trHeight w:val="878"/>
        </w:trPr>
        <w:tc>
          <w:tcPr>
            <w:tcW w:w="2191" w:type="dxa"/>
          </w:tcPr>
          <w:p w14:paraId="2B3A351C" w14:textId="77777777" w:rsidR="00222DE0" w:rsidRPr="00EE3355" w:rsidRDefault="0098273B" w:rsidP="00EA1CDF">
            <w:pPr>
              <w:pStyle w:val="TableParagraph"/>
            </w:pPr>
            <w:r w:rsidRPr="00EE3355">
              <w:t>50 až 100</w:t>
            </w:r>
          </w:p>
        </w:tc>
        <w:tc>
          <w:tcPr>
            <w:tcW w:w="7119" w:type="dxa"/>
          </w:tcPr>
          <w:p w14:paraId="73144344" w14:textId="22B89258" w:rsidR="00222DE0" w:rsidRPr="00EE3355" w:rsidRDefault="0098273B" w:rsidP="00EA1CDF">
            <w:pPr>
              <w:pStyle w:val="TableParagraph"/>
            </w:pPr>
            <w:r w:rsidRPr="00EE3355">
              <w:t xml:space="preserve">Upravte dávku souběžně podávaného MTX, pokud je to vhodné Přerušte podávání přípravku </w:t>
            </w:r>
            <w:r w:rsidR="00812FCE">
              <w:t>Avtozma</w:t>
            </w:r>
          </w:p>
          <w:p w14:paraId="6B658E92" w14:textId="57B461BA" w:rsidR="00222DE0" w:rsidRPr="00EE3355" w:rsidRDefault="0098273B" w:rsidP="00EA1CDF">
            <w:pPr>
              <w:pStyle w:val="TableParagraph"/>
            </w:pPr>
            <w:r w:rsidRPr="00EE3355">
              <w:t>Pokud bude počet trombocytů &gt; 100 x 10</w:t>
            </w:r>
            <w:r w:rsidRPr="00EE3355">
              <w:rPr>
                <w:vertAlign w:val="superscript"/>
              </w:rPr>
              <w:t>3</w:t>
            </w:r>
            <w:r w:rsidRPr="00EE3355">
              <w:t xml:space="preserve">/µl, léčbu přípravkem </w:t>
            </w:r>
            <w:r w:rsidR="00812FCE">
              <w:t>Avtozma</w:t>
            </w:r>
            <w:r w:rsidR="002C1D2E">
              <w:t xml:space="preserve"> </w:t>
            </w:r>
            <w:r w:rsidRPr="00EE3355">
              <w:t>znovu za</w:t>
            </w:r>
            <w:r w:rsidR="00C45749">
              <w:t>hajte</w:t>
            </w:r>
          </w:p>
        </w:tc>
      </w:tr>
      <w:tr w:rsidR="00222DE0" w:rsidRPr="00EE3355" w14:paraId="73897304" w14:textId="77777777" w:rsidTr="005F57E5">
        <w:trPr>
          <w:cantSplit/>
          <w:trHeight w:val="1220"/>
        </w:trPr>
        <w:tc>
          <w:tcPr>
            <w:tcW w:w="2191" w:type="dxa"/>
          </w:tcPr>
          <w:p w14:paraId="62755A5F" w14:textId="77777777" w:rsidR="00222DE0" w:rsidRPr="00EE3355" w:rsidRDefault="0098273B" w:rsidP="00EA1CDF">
            <w:pPr>
              <w:pStyle w:val="TableParagraph"/>
            </w:pPr>
            <w:r w:rsidRPr="00EE3355">
              <w:t>&lt; 50</w:t>
            </w:r>
          </w:p>
        </w:tc>
        <w:tc>
          <w:tcPr>
            <w:tcW w:w="7119" w:type="dxa"/>
          </w:tcPr>
          <w:p w14:paraId="4B18E50C" w14:textId="40A6D7AE" w:rsidR="00222DE0" w:rsidRPr="00EE3355" w:rsidRDefault="0098273B" w:rsidP="00EA1CDF">
            <w:pPr>
              <w:pStyle w:val="TableParagraph"/>
            </w:pPr>
            <w:r w:rsidRPr="00EE3355">
              <w:t xml:space="preserve">Ukončete léčbu přípravkem </w:t>
            </w:r>
            <w:r w:rsidR="00812FCE">
              <w:t>Avtozma</w:t>
            </w:r>
          </w:p>
          <w:p w14:paraId="1517E4D7" w14:textId="77777777" w:rsidR="00222DE0" w:rsidRPr="00EE3355" w:rsidRDefault="00222DE0" w:rsidP="00EA1CDF">
            <w:pPr>
              <w:pStyle w:val="TableParagraph"/>
            </w:pPr>
          </w:p>
          <w:p w14:paraId="50B2B9A9" w14:textId="6BB1EAC8" w:rsidR="00222DE0" w:rsidRPr="00EE3355" w:rsidRDefault="0098273B" w:rsidP="00EA1CDF">
            <w:pPr>
              <w:pStyle w:val="TableParagraph"/>
            </w:pPr>
            <w:r w:rsidRPr="00EE3355">
              <w:t xml:space="preserve">Rozhodnutí, zda u pacientů se sJIA přerušit léčbu přípravkem </w:t>
            </w:r>
            <w:r w:rsidR="00812FCE">
              <w:t>Avtozma</w:t>
            </w:r>
            <w:r w:rsidRPr="00EE3355">
              <w:t xml:space="preserve"> z důvodu laboratorních odchylek, m</w:t>
            </w:r>
            <w:r w:rsidR="00C45749">
              <w:t>á</w:t>
            </w:r>
            <w:r w:rsidRPr="00EE3355">
              <w:t xml:space="preserve"> být založeno na lékařském zhodnocení jednotlivého pacienta</w:t>
            </w:r>
          </w:p>
        </w:tc>
      </w:tr>
    </w:tbl>
    <w:p w14:paraId="7B0E4C7F" w14:textId="77777777" w:rsidR="006729A1" w:rsidRPr="00EE3355" w:rsidRDefault="006729A1" w:rsidP="00EA1CDF">
      <w:pPr>
        <w:pStyle w:val="a3"/>
        <w:widowControl/>
        <w:ind w:left="0"/>
      </w:pPr>
    </w:p>
    <w:p w14:paraId="6E99A1A4" w14:textId="77777777" w:rsidR="00222DE0" w:rsidRPr="00EE3355" w:rsidRDefault="0098273B" w:rsidP="00EA1CDF">
      <w:pPr>
        <w:pStyle w:val="a3"/>
        <w:widowControl/>
        <w:ind w:left="0"/>
      </w:pPr>
      <w:r w:rsidRPr="00EE3355">
        <w:t>Nejsou dostupné dostatečné klinické údaje pro posouzení dopadu snížení dávky tocilizumabu u pacientů se sJIA, u kterých se objevily laboratorní odchylky.</w:t>
      </w:r>
    </w:p>
    <w:p w14:paraId="16DAF403" w14:textId="77777777" w:rsidR="006729A1" w:rsidRPr="00EE3355" w:rsidRDefault="006729A1" w:rsidP="00EA1CDF">
      <w:pPr>
        <w:pStyle w:val="a3"/>
        <w:widowControl/>
        <w:ind w:left="0"/>
      </w:pPr>
    </w:p>
    <w:p w14:paraId="68CFCC10" w14:textId="18234C02" w:rsidR="00222DE0" w:rsidRPr="00EE3355" w:rsidRDefault="0098273B" w:rsidP="00EA1CDF">
      <w:pPr>
        <w:pStyle w:val="a3"/>
        <w:widowControl/>
        <w:ind w:left="0"/>
      </w:pPr>
      <w:r w:rsidRPr="00EE3355">
        <w:t xml:space="preserve">Dostupné údaje naznačují, že ke klinickému zlepšení dochází během 6 týdnů od zahájení léčby </w:t>
      </w:r>
      <w:r w:rsidR="00812FCE" w:rsidRPr="001879E9">
        <w:t>tocilizumab</w:t>
      </w:r>
      <w:r w:rsidR="00812FCE">
        <w:t>em</w:t>
      </w:r>
      <w:r w:rsidRPr="00EE3355">
        <w:t>. U pacientů, u kterých nedojde v tomto období ke zlepšení, je třeba pokračování v léčbě znovu pečlivě zvážit.</w:t>
      </w:r>
    </w:p>
    <w:p w14:paraId="06D46BC4" w14:textId="77777777" w:rsidR="00222DE0" w:rsidRPr="00EE3355" w:rsidRDefault="00222DE0" w:rsidP="00EA1CDF">
      <w:pPr>
        <w:pStyle w:val="a3"/>
        <w:widowControl/>
        <w:ind w:left="0"/>
      </w:pPr>
    </w:p>
    <w:p w14:paraId="1E36EB8A" w14:textId="77777777" w:rsidR="00222DE0" w:rsidRPr="00EE3355" w:rsidRDefault="0098273B" w:rsidP="00EA1CDF">
      <w:pPr>
        <w:widowControl/>
        <w:rPr>
          <w:i/>
        </w:rPr>
      </w:pPr>
      <w:r w:rsidRPr="00EE3355">
        <w:rPr>
          <w:i/>
        </w:rPr>
        <w:t>Pacienti s</w:t>
      </w:r>
      <w:r w:rsidR="006729A1" w:rsidRPr="00EE3355">
        <w:rPr>
          <w:i/>
        </w:rPr>
        <w:t> </w:t>
      </w:r>
      <w:r w:rsidRPr="00EE3355">
        <w:rPr>
          <w:i/>
        </w:rPr>
        <w:t>pJIA</w:t>
      </w:r>
    </w:p>
    <w:p w14:paraId="3BF6BC7D" w14:textId="77777777" w:rsidR="006729A1" w:rsidRPr="00EE3355" w:rsidRDefault="006729A1" w:rsidP="00EA1CDF">
      <w:pPr>
        <w:widowControl/>
        <w:rPr>
          <w:i/>
        </w:rPr>
      </w:pPr>
    </w:p>
    <w:p w14:paraId="03A9D976" w14:textId="77777777" w:rsidR="00222DE0" w:rsidRPr="00EE3355" w:rsidRDefault="0098273B" w:rsidP="00EA1CDF">
      <w:pPr>
        <w:pStyle w:val="a3"/>
        <w:widowControl/>
        <w:ind w:left="0"/>
      </w:pPr>
      <w:r w:rsidRPr="00EE3355">
        <w:t>Doporučené dávkování u pacientů starších 2 let je 8 mg/kg jednou za 4 týdny u pacientů s tělesnou hmotností vyšší nebo rovnou 30 kg nebo 10 mg/kg jednou za 4 týdny u pacientů s tělesnou hmotností nižší než 30 kg. Dávku je třeba vypočítat na základě tělesné hmotnosti pacienta při každém podání. Dávku je třeba změnit pouze na základě odpovídající změny tělesné hmotnosti pacienta v průběhu času.</w:t>
      </w:r>
    </w:p>
    <w:p w14:paraId="26083360" w14:textId="77777777" w:rsidR="00222DE0" w:rsidRPr="00EE3355" w:rsidRDefault="00222DE0" w:rsidP="00EA1CDF">
      <w:pPr>
        <w:pStyle w:val="a3"/>
        <w:widowControl/>
        <w:ind w:left="0"/>
      </w:pPr>
    </w:p>
    <w:p w14:paraId="23A7A37F" w14:textId="1D27B5C1" w:rsidR="00222DE0" w:rsidRPr="00EE3355" w:rsidRDefault="0098273B" w:rsidP="00EA1CDF">
      <w:pPr>
        <w:pStyle w:val="a3"/>
        <w:widowControl/>
        <w:ind w:left="0"/>
      </w:pPr>
      <w:r w:rsidRPr="00EE3355">
        <w:t xml:space="preserve">Bezpečnost a účinnost intravenózně podávaného přípravku </w:t>
      </w:r>
      <w:r w:rsidR="00812FCE">
        <w:t>Avtozma</w:t>
      </w:r>
      <w:r w:rsidRPr="00EE3355">
        <w:t xml:space="preserve"> u dětí mladších 2 let nebyla stanovena.</w:t>
      </w:r>
    </w:p>
    <w:p w14:paraId="71380CC2" w14:textId="77777777" w:rsidR="006729A1" w:rsidRPr="00EE3355" w:rsidRDefault="006729A1" w:rsidP="00EA1CDF">
      <w:pPr>
        <w:pStyle w:val="a3"/>
        <w:widowControl/>
        <w:ind w:left="0"/>
      </w:pPr>
    </w:p>
    <w:p w14:paraId="0E4E7593" w14:textId="2388D971" w:rsidR="00222DE0" w:rsidRPr="00EE3355" w:rsidRDefault="0098273B" w:rsidP="00EA1CDF">
      <w:pPr>
        <w:pStyle w:val="a3"/>
        <w:widowControl/>
        <w:ind w:left="0"/>
      </w:pPr>
      <w:r w:rsidRPr="00EE3355">
        <w:t>U pacientů s pJIA se doporučuje přerušit podávání tocilizumabu z důvodu laboratorních odchylek uvedených v tabulkách níže. Pokud je to vhodné, je třeba dávky současně podávaného MTX a/nebo dalších přípravků upravit nebo jejich podávání ukončit a léčbu tocilizumabem přerušit, dokud nedojde k vyhodnocení klinického stavu. Vzhledem k tomu, že existuje mnoho dalších přidružených onemocnění, která mohou ovlivnit laboratorní hodnoty u pacientů s pJIA, m</w:t>
      </w:r>
      <w:r w:rsidR="007145F9">
        <w:t>á</w:t>
      </w:r>
      <w:r w:rsidRPr="00EE3355">
        <w:t xml:space="preserve"> být rozhodnutí, zda přerušit léčbu tocilizumabem z důvodu laboratorních odchylek, založeno na lékařském posouzení stavu jednotlivého pacienta.</w:t>
      </w:r>
    </w:p>
    <w:p w14:paraId="73014F0F" w14:textId="77777777" w:rsidR="00222DE0" w:rsidRPr="00EE3355" w:rsidRDefault="00222DE0" w:rsidP="00EA1CDF">
      <w:pPr>
        <w:pStyle w:val="a3"/>
        <w:spacing w:before="2"/>
        <w:ind w:left="0"/>
      </w:pPr>
    </w:p>
    <w:p w14:paraId="1442D74E" w14:textId="77777777" w:rsidR="00222DE0" w:rsidRPr="00EE3355" w:rsidRDefault="00B23DAE" w:rsidP="00EA1CDF">
      <w:pPr>
        <w:tabs>
          <w:tab w:val="left" w:pos="805"/>
        </w:tabs>
        <w:ind w:left="567" w:hanging="567"/>
      </w:pPr>
      <w:r w:rsidRPr="00EE3355">
        <w:rPr>
          <w:rFonts w:ascii="Symbol" w:eastAsia="Symbol" w:hAnsi="Symbol" w:cs="Symbol"/>
        </w:rPr>
        <w:lastRenderedPageBreak/>
        <w:t></w:t>
      </w:r>
      <w:r w:rsidRPr="00EE3355">
        <w:rPr>
          <w:rFonts w:ascii="Symbol" w:eastAsia="Symbol" w:hAnsi="Symbol" w:cs="Symbol"/>
        </w:rPr>
        <w:tab/>
      </w:r>
      <w:r w:rsidR="0098273B" w:rsidRPr="00EE3355">
        <w:t>Odchylky hodnot jaterních enzymů</w:t>
      </w:r>
    </w:p>
    <w:p w14:paraId="634A91B1" w14:textId="77777777" w:rsidR="00222DE0" w:rsidRPr="00EE3355" w:rsidRDefault="00222DE0" w:rsidP="00EA1CDF">
      <w:pPr>
        <w:pStyle w:val="a3"/>
        <w:spacing w:before="27"/>
        <w:ind w:left="0"/>
        <w:rPr>
          <w:sz w:val="20"/>
        </w:rPr>
      </w:pPr>
    </w:p>
    <w:tbl>
      <w:tblPr>
        <w:tblW w:w="931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91"/>
        <w:gridCol w:w="7119"/>
      </w:tblGrid>
      <w:tr w:rsidR="00222DE0" w:rsidRPr="00CF7B90" w14:paraId="7E4328C2" w14:textId="77777777" w:rsidTr="009E1D8A">
        <w:trPr>
          <w:cantSplit/>
          <w:trHeight w:val="245"/>
          <w:tblHeader/>
        </w:trPr>
        <w:tc>
          <w:tcPr>
            <w:tcW w:w="2191" w:type="dxa"/>
          </w:tcPr>
          <w:p w14:paraId="3EC422A5" w14:textId="77777777" w:rsidR="00222DE0" w:rsidRPr="00CF7B90" w:rsidRDefault="0098273B" w:rsidP="00B93217">
            <w:pPr>
              <w:pStyle w:val="TableParagraph"/>
              <w:keepNext/>
              <w:widowControl/>
              <w:jc w:val="center"/>
              <w:rPr>
                <w:b/>
              </w:rPr>
            </w:pPr>
            <w:r w:rsidRPr="00CF7B90">
              <w:rPr>
                <w:b/>
              </w:rPr>
              <w:t>Laboratorní hodnota</w:t>
            </w:r>
          </w:p>
        </w:tc>
        <w:tc>
          <w:tcPr>
            <w:tcW w:w="7119" w:type="dxa"/>
          </w:tcPr>
          <w:p w14:paraId="0571EAA3" w14:textId="77777777" w:rsidR="00222DE0" w:rsidRPr="00CF7B90" w:rsidRDefault="0098273B" w:rsidP="00B93217">
            <w:pPr>
              <w:pStyle w:val="TableParagraph"/>
              <w:keepNext/>
              <w:widowControl/>
              <w:jc w:val="center"/>
              <w:rPr>
                <w:b/>
              </w:rPr>
            </w:pPr>
            <w:r w:rsidRPr="00CF7B90">
              <w:rPr>
                <w:b/>
              </w:rPr>
              <w:t>Opatření</w:t>
            </w:r>
          </w:p>
        </w:tc>
      </w:tr>
      <w:tr w:rsidR="00222DE0" w:rsidRPr="00EE3355" w14:paraId="6E38F461" w14:textId="77777777" w:rsidTr="009E1D8A">
        <w:trPr>
          <w:cantSplit/>
          <w:trHeight w:val="915"/>
        </w:trPr>
        <w:tc>
          <w:tcPr>
            <w:tcW w:w="2191" w:type="dxa"/>
          </w:tcPr>
          <w:p w14:paraId="717F877F" w14:textId="77777777" w:rsidR="00222DE0" w:rsidRPr="00EE3355" w:rsidRDefault="00B23DAE" w:rsidP="00CF7B90">
            <w:pPr>
              <w:pStyle w:val="TableParagraph"/>
              <w:widowControl/>
              <w:tabs>
                <w:tab w:val="left" w:pos="286"/>
              </w:tabs>
            </w:pPr>
            <w:r w:rsidRPr="00EE3355">
              <w:t>&gt;</w:t>
            </w:r>
            <w:r w:rsidR="00CF7B90">
              <w:t xml:space="preserve"> </w:t>
            </w:r>
            <w:r w:rsidR="0098273B" w:rsidRPr="00EE3355">
              <w:t>1- až 3násobek ULN</w:t>
            </w:r>
          </w:p>
        </w:tc>
        <w:tc>
          <w:tcPr>
            <w:tcW w:w="7119" w:type="dxa"/>
          </w:tcPr>
          <w:p w14:paraId="447DF811" w14:textId="77777777" w:rsidR="00222DE0" w:rsidRPr="00EE3355" w:rsidRDefault="0098273B" w:rsidP="00EA1CDF">
            <w:pPr>
              <w:pStyle w:val="TableParagraph"/>
              <w:widowControl/>
            </w:pPr>
            <w:r w:rsidRPr="00EE3355">
              <w:t>Upravte dávku souběžně podávaného MTX, pokud je to vhodné</w:t>
            </w:r>
          </w:p>
          <w:p w14:paraId="2FA2716E" w14:textId="77777777" w:rsidR="00222DE0" w:rsidRPr="00EE3355" w:rsidRDefault="00222DE0" w:rsidP="00EA1CDF">
            <w:pPr>
              <w:pStyle w:val="TableParagraph"/>
              <w:widowControl/>
            </w:pPr>
          </w:p>
          <w:p w14:paraId="05E646DB" w14:textId="3510543E" w:rsidR="00222DE0" w:rsidRPr="00EE3355" w:rsidRDefault="0098273B" w:rsidP="00EA1CDF">
            <w:pPr>
              <w:pStyle w:val="TableParagraph"/>
              <w:widowControl/>
            </w:pPr>
            <w:r w:rsidRPr="00EE3355">
              <w:t xml:space="preserve">Při přetrvávajících </w:t>
            </w:r>
            <w:r w:rsidR="003E3ABA">
              <w:t>zvýšeních</w:t>
            </w:r>
            <w:r w:rsidRPr="00EE3355">
              <w:t xml:space="preserve"> v tomto roz</w:t>
            </w:r>
            <w:r w:rsidR="009B55CE">
              <w:t>mezí</w:t>
            </w:r>
            <w:r w:rsidRPr="00EE3355">
              <w:t xml:space="preserve"> přerušte podávání přípravku</w:t>
            </w:r>
            <w:r w:rsidR="002C1D2E">
              <w:t xml:space="preserve"> </w:t>
            </w:r>
            <w:r w:rsidR="00812FCE">
              <w:t>Avtozma</w:t>
            </w:r>
            <w:r w:rsidRPr="00EE3355">
              <w:t>, dokud nedojde k normalizaci hodnot ALT/AST</w:t>
            </w:r>
          </w:p>
        </w:tc>
      </w:tr>
      <w:tr w:rsidR="00222DE0" w:rsidRPr="00EE3355" w14:paraId="4ADE44BA" w14:textId="77777777" w:rsidTr="009E1D8A">
        <w:trPr>
          <w:cantSplit/>
          <w:trHeight w:val="1242"/>
        </w:trPr>
        <w:tc>
          <w:tcPr>
            <w:tcW w:w="2191" w:type="dxa"/>
          </w:tcPr>
          <w:p w14:paraId="1A042F9E" w14:textId="77777777" w:rsidR="00222DE0" w:rsidRPr="00EE3355" w:rsidRDefault="00B23DAE" w:rsidP="00CF7B90">
            <w:pPr>
              <w:pStyle w:val="TableParagraph"/>
              <w:widowControl/>
              <w:tabs>
                <w:tab w:val="left" w:pos="286"/>
              </w:tabs>
            </w:pPr>
            <w:r w:rsidRPr="00EE3355">
              <w:t>&gt;</w:t>
            </w:r>
            <w:r w:rsidR="00CF7B90">
              <w:t xml:space="preserve"> </w:t>
            </w:r>
            <w:r w:rsidR="0098273B" w:rsidRPr="00EE3355">
              <w:t>3- až 5násobek ULN</w:t>
            </w:r>
          </w:p>
        </w:tc>
        <w:tc>
          <w:tcPr>
            <w:tcW w:w="7119" w:type="dxa"/>
          </w:tcPr>
          <w:p w14:paraId="2DA375F9" w14:textId="77777777" w:rsidR="00222DE0" w:rsidRPr="00EE3355" w:rsidRDefault="0098273B" w:rsidP="00EA1CDF">
            <w:pPr>
              <w:pStyle w:val="TableParagraph"/>
              <w:widowControl/>
            </w:pPr>
            <w:r w:rsidRPr="00EE3355">
              <w:t>Upravte dávku souběžně podávaného MTX, pokud je to vhodné</w:t>
            </w:r>
          </w:p>
          <w:p w14:paraId="72F1A66C" w14:textId="77777777" w:rsidR="00222DE0" w:rsidRPr="00EE3355" w:rsidRDefault="00222DE0" w:rsidP="00EA1CDF">
            <w:pPr>
              <w:pStyle w:val="TableParagraph"/>
              <w:widowControl/>
            </w:pPr>
          </w:p>
          <w:p w14:paraId="3B8A7CB0" w14:textId="6AD7A26A" w:rsidR="00222DE0" w:rsidRPr="00EE3355" w:rsidRDefault="0098273B" w:rsidP="00EA1CDF">
            <w:pPr>
              <w:pStyle w:val="TableParagraph"/>
              <w:widowControl/>
            </w:pPr>
            <w:r w:rsidRPr="00EE3355">
              <w:t xml:space="preserve">Přerušte podávání přípravku </w:t>
            </w:r>
            <w:r w:rsidR="00812FCE">
              <w:t>Avtozma</w:t>
            </w:r>
            <w:r w:rsidRPr="00EE3355">
              <w:t>, dokud nebude hodnota &lt; 3násobek ULN a poté postupujte dle výše uvedeného doporučení pro hodnoty v</w:t>
            </w:r>
            <w:r w:rsidR="002C1D2E">
              <w:t> </w:t>
            </w:r>
            <w:r w:rsidRPr="00EE3355">
              <w:t>rozmezí</w:t>
            </w:r>
            <w:r w:rsidR="002C1D2E">
              <w:t xml:space="preserve"> </w:t>
            </w:r>
            <w:r w:rsidRPr="00EE3355">
              <w:t>&gt;1- až 3násobek ULN</w:t>
            </w:r>
          </w:p>
        </w:tc>
      </w:tr>
      <w:tr w:rsidR="00222DE0" w:rsidRPr="00EE3355" w14:paraId="670B098B" w14:textId="77777777" w:rsidTr="009E1D8A">
        <w:trPr>
          <w:cantSplit/>
          <w:trHeight w:val="1190"/>
        </w:trPr>
        <w:tc>
          <w:tcPr>
            <w:tcW w:w="2191" w:type="dxa"/>
          </w:tcPr>
          <w:p w14:paraId="4BFF76C6" w14:textId="77777777" w:rsidR="00222DE0" w:rsidRPr="00EE3355" w:rsidRDefault="00B23DAE" w:rsidP="00CF7B90">
            <w:pPr>
              <w:pStyle w:val="TableParagraph"/>
              <w:widowControl/>
              <w:tabs>
                <w:tab w:val="left" w:pos="286"/>
              </w:tabs>
            </w:pPr>
            <w:r w:rsidRPr="00EE3355">
              <w:t>&gt;</w:t>
            </w:r>
            <w:r w:rsidR="00CF7B90">
              <w:t xml:space="preserve"> </w:t>
            </w:r>
            <w:r w:rsidR="0098273B" w:rsidRPr="00EE3355">
              <w:t>5násobek ULN</w:t>
            </w:r>
          </w:p>
        </w:tc>
        <w:tc>
          <w:tcPr>
            <w:tcW w:w="7119" w:type="dxa"/>
          </w:tcPr>
          <w:p w14:paraId="227C76A7" w14:textId="6D7EBDC2" w:rsidR="00222DE0" w:rsidRPr="00EE3355" w:rsidRDefault="0098273B" w:rsidP="00EA1CDF">
            <w:pPr>
              <w:pStyle w:val="TableParagraph"/>
              <w:widowControl/>
            </w:pPr>
            <w:r w:rsidRPr="00EE3355">
              <w:t xml:space="preserve">Ukončete léčbu přípravkem </w:t>
            </w:r>
            <w:r w:rsidR="00812FCE">
              <w:t>Avtozma</w:t>
            </w:r>
          </w:p>
          <w:p w14:paraId="1BE0ADA7" w14:textId="77777777" w:rsidR="00222DE0" w:rsidRPr="00EE3355" w:rsidRDefault="00222DE0" w:rsidP="00EA1CDF">
            <w:pPr>
              <w:pStyle w:val="TableParagraph"/>
              <w:widowControl/>
            </w:pPr>
          </w:p>
          <w:p w14:paraId="15729000" w14:textId="20ACB9F1" w:rsidR="00222DE0" w:rsidRPr="00EE3355" w:rsidRDefault="0098273B" w:rsidP="00EA1CDF">
            <w:pPr>
              <w:pStyle w:val="TableParagraph"/>
              <w:widowControl/>
            </w:pPr>
            <w:r w:rsidRPr="00EE3355">
              <w:t xml:space="preserve">Rozhodnutí, zda u pacientů s pJIA přerušit léčbu přípravkem </w:t>
            </w:r>
            <w:r w:rsidR="00812FCE">
              <w:t>Avtozma</w:t>
            </w:r>
            <w:r w:rsidRPr="00EE3355">
              <w:t xml:space="preserve"> z důvodu laboratorních odchylek, m</w:t>
            </w:r>
            <w:r w:rsidR="003E3ABA">
              <w:t>á</w:t>
            </w:r>
            <w:r w:rsidRPr="00EE3355">
              <w:t xml:space="preserve"> být založeno na lékařském posouzení stavu jednotlivého pacienta</w:t>
            </w:r>
          </w:p>
        </w:tc>
      </w:tr>
    </w:tbl>
    <w:p w14:paraId="2D7A0685" w14:textId="77777777" w:rsidR="004612B8" w:rsidRPr="00EE3355" w:rsidRDefault="004612B8" w:rsidP="00EA1CDF">
      <w:pPr>
        <w:tabs>
          <w:tab w:val="left" w:pos="804"/>
        </w:tabs>
        <w:ind w:left="567" w:hanging="567"/>
        <w:rPr>
          <w:rFonts w:ascii="Symbol" w:eastAsia="Symbol" w:hAnsi="Symbol" w:cs="Symbol"/>
        </w:rPr>
      </w:pPr>
    </w:p>
    <w:p w14:paraId="3D58DACF" w14:textId="77777777" w:rsidR="00222DE0" w:rsidRPr="00EE3355" w:rsidRDefault="00B23DAE" w:rsidP="00EA1CDF">
      <w:pPr>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absolutní počet neutrofilů (ANC)</w:t>
      </w:r>
    </w:p>
    <w:p w14:paraId="14CEFD69" w14:textId="77777777" w:rsidR="00222DE0" w:rsidRPr="00EE3355" w:rsidRDefault="00222DE0" w:rsidP="00EA1CDF">
      <w:pPr>
        <w:pStyle w:val="a3"/>
        <w:spacing w:before="29"/>
        <w:ind w:left="0"/>
        <w:rPr>
          <w:sz w:val="20"/>
        </w:rPr>
      </w:pPr>
    </w:p>
    <w:tbl>
      <w:tblPr>
        <w:tblW w:w="9310"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91"/>
        <w:gridCol w:w="7119"/>
      </w:tblGrid>
      <w:tr w:rsidR="00222DE0" w:rsidRPr="00EE3355" w14:paraId="26AC4BAC" w14:textId="77777777" w:rsidTr="00CE6AA3">
        <w:trPr>
          <w:cantSplit/>
          <w:trHeight w:val="374"/>
          <w:tblHeader/>
        </w:trPr>
        <w:tc>
          <w:tcPr>
            <w:tcW w:w="2191" w:type="dxa"/>
          </w:tcPr>
          <w:p w14:paraId="63DC6030" w14:textId="77777777" w:rsidR="00222DE0" w:rsidRPr="00CF7B90" w:rsidRDefault="0098273B" w:rsidP="00EA1CDF">
            <w:pPr>
              <w:pStyle w:val="TableParagraph"/>
              <w:jc w:val="center"/>
              <w:rPr>
                <w:b/>
              </w:rPr>
            </w:pPr>
            <w:r w:rsidRPr="00CF7B90">
              <w:rPr>
                <w:b/>
              </w:rPr>
              <w:t>Laboratorní hodnota (buňky x 10</w:t>
            </w:r>
            <w:r w:rsidRPr="00CF7B90">
              <w:rPr>
                <w:b/>
                <w:vertAlign w:val="superscript"/>
              </w:rPr>
              <w:t>9</w:t>
            </w:r>
            <w:r w:rsidRPr="00CF7B90">
              <w:rPr>
                <w:b/>
              </w:rPr>
              <w:t>/l)</w:t>
            </w:r>
          </w:p>
        </w:tc>
        <w:tc>
          <w:tcPr>
            <w:tcW w:w="7119" w:type="dxa"/>
          </w:tcPr>
          <w:p w14:paraId="1862F060" w14:textId="77777777" w:rsidR="00222DE0" w:rsidRPr="00CF7B90" w:rsidRDefault="0098273B" w:rsidP="00EA1CDF">
            <w:pPr>
              <w:pStyle w:val="TableParagraph"/>
              <w:jc w:val="center"/>
              <w:rPr>
                <w:b/>
              </w:rPr>
            </w:pPr>
            <w:r w:rsidRPr="00CF7B90">
              <w:rPr>
                <w:b/>
              </w:rPr>
              <w:t>Opatření</w:t>
            </w:r>
          </w:p>
        </w:tc>
      </w:tr>
      <w:tr w:rsidR="00222DE0" w:rsidRPr="00EE3355" w14:paraId="4CD929C1" w14:textId="77777777" w:rsidTr="0024686E">
        <w:trPr>
          <w:cantSplit/>
          <w:trHeight w:val="215"/>
        </w:trPr>
        <w:tc>
          <w:tcPr>
            <w:tcW w:w="2191" w:type="dxa"/>
          </w:tcPr>
          <w:p w14:paraId="3ADFD330" w14:textId="77777777" w:rsidR="00222DE0" w:rsidRPr="00EE3355" w:rsidRDefault="0098273B" w:rsidP="00EA1CDF">
            <w:pPr>
              <w:pStyle w:val="TableParagraph"/>
            </w:pPr>
            <w:r w:rsidRPr="00EE3355">
              <w:t>ANC &gt; 1</w:t>
            </w:r>
          </w:p>
        </w:tc>
        <w:tc>
          <w:tcPr>
            <w:tcW w:w="7119" w:type="dxa"/>
          </w:tcPr>
          <w:p w14:paraId="37B599C7" w14:textId="77777777" w:rsidR="00222DE0" w:rsidRPr="00EE3355" w:rsidRDefault="0098273B" w:rsidP="00EA1CDF">
            <w:pPr>
              <w:pStyle w:val="TableParagraph"/>
            </w:pPr>
            <w:r w:rsidRPr="00EE3355">
              <w:t>Udržujte dávku</w:t>
            </w:r>
          </w:p>
        </w:tc>
      </w:tr>
      <w:tr w:rsidR="00222DE0" w:rsidRPr="00EE3355" w14:paraId="38CCAEAC" w14:textId="77777777" w:rsidTr="0024686E">
        <w:trPr>
          <w:cantSplit/>
          <w:trHeight w:val="745"/>
        </w:trPr>
        <w:tc>
          <w:tcPr>
            <w:tcW w:w="2191" w:type="dxa"/>
          </w:tcPr>
          <w:p w14:paraId="4223AF60" w14:textId="77777777" w:rsidR="00222DE0" w:rsidRPr="00EE3355" w:rsidRDefault="0098273B" w:rsidP="00EA1CDF">
            <w:pPr>
              <w:pStyle w:val="TableParagraph"/>
            </w:pPr>
            <w:r w:rsidRPr="00EE3355">
              <w:t>ANC 0,5 až 1</w:t>
            </w:r>
          </w:p>
        </w:tc>
        <w:tc>
          <w:tcPr>
            <w:tcW w:w="7119" w:type="dxa"/>
          </w:tcPr>
          <w:p w14:paraId="6E0BBCAE" w14:textId="414FC030" w:rsidR="00222DE0" w:rsidRDefault="0098273B" w:rsidP="00EA1CDF">
            <w:pPr>
              <w:pStyle w:val="TableParagraph"/>
            </w:pPr>
            <w:r w:rsidRPr="00EE3355">
              <w:t xml:space="preserve">Přerušte podávání přípravku </w:t>
            </w:r>
            <w:r w:rsidR="00812FCE">
              <w:t>Avtozma</w:t>
            </w:r>
          </w:p>
          <w:p w14:paraId="53525200" w14:textId="77777777" w:rsidR="00CF7B90" w:rsidRPr="00EE3355" w:rsidRDefault="00CF7B90" w:rsidP="00EA1CDF">
            <w:pPr>
              <w:pStyle w:val="TableParagraph"/>
            </w:pPr>
          </w:p>
          <w:p w14:paraId="1820AE55" w14:textId="2B8CC7C2" w:rsidR="00222DE0" w:rsidRPr="00EE3355" w:rsidRDefault="0098273B" w:rsidP="00EA1CDF">
            <w:pPr>
              <w:pStyle w:val="TableParagraph"/>
            </w:pPr>
            <w:r w:rsidRPr="00EE3355">
              <w:t>Pokud se ANC zvýší na &gt; 1 x 10</w:t>
            </w:r>
            <w:r w:rsidRPr="00EE3355">
              <w:rPr>
                <w:vertAlign w:val="superscript"/>
              </w:rPr>
              <w:t>9</w:t>
            </w:r>
            <w:r w:rsidRPr="00EE3355">
              <w:t xml:space="preserve">/l, léčbu přípravkem </w:t>
            </w:r>
            <w:r w:rsidR="00812FCE">
              <w:t>Avtozma</w:t>
            </w:r>
            <w:r w:rsidRPr="00EE3355">
              <w:t xml:space="preserve"> znovu zahajte</w:t>
            </w:r>
          </w:p>
        </w:tc>
      </w:tr>
      <w:tr w:rsidR="00222DE0" w:rsidRPr="00EE3355" w14:paraId="4E2DCDDD" w14:textId="77777777" w:rsidTr="0024686E">
        <w:trPr>
          <w:cantSplit/>
          <w:trHeight w:val="1210"/>
        </w:trPr>
        <w:tc>
          <w:tcPr>
            <w:tcW w:w="2191" w:type="dxa"/>
          </w:tcPr>
          <w:p w14:paraId="1F55D461" w14:textId="77777777" w:rsidR="00222DE0" w:rsidRPr="00EE3355" w:rsidRDefault="0098273B" w:rsidP="00EA1CDF">
            <w:pPr>
              <w:pStyle w:val="TableParagraph"/>
            </w:pPr>
            <w:r w:rsidRPr="00EE3355">
              <w:t>ANC &lt; 0,5</w:t>
            </w:r>
          </w:p>
        </w:tc>
        <w:tc>
          <w:tcPr>
            <w:tcW w:w="7119" w:type="dxa"/>
          </w:tcPr>
          <w:p w14:paraId="3AC14330" w14:textId="52D81A8B" w:rsidR="00222DE0" w:rsidRPr="00EE3355" w:rsidRDefault="0098273B" w:rsidP="00EA1CDF">
            <w:pPr>
              <w:pStyle w:val="TableParagraph"/>
            </w:pPr>
            <w:r w:rsidRPr="00EE3355">
              <w:t xml:space="preserve">Ukončete léčbu přípravkem </w:t>
            </w:r>
            <w:r w:rsidR="00812FCE">
              <w:t>Avtozma</w:t>
            </w:r>
          </w:p>
          <w:p w14:paraId="233B59E3" w14:textId="77777777" w:rsidR="00222DE0" w:rsidRPr="00EE3355" w:rsidRDefault="00222DE0" w:rsidP="00EA1CDF">
            <w:pPr>
              <w:pStyle w:val="TableParagraph"/>
            </w:pPr>
          </w:p>
          <w:p w14:paraId="36F41DF3" w14:textId="6E91C5BF" w:rsidR="00222DE0" w:rsidRPr="00EE3355" w:rsidRDefault="0098273B" w:rsidP="00EA1CDF">
            <w:pPr>
              <w:pStyle w:val="TableParagraph"/>
            </w:pPr>
            <w:r w:rsidRPr="00EE3355">
              <w:t xml:space="preserve">Rozhodnutí, zda u pacientů s pJIA přerušit léčbu přípravkem </w:t>
            </w:r>
            <w:r w:rsidR="00812FCE">
              <w:t>Avtozma</w:t>
            </w:r>
            <w:r w:rsidRPr="00EE3355">
              <w:t xml:space="preserve"> z důvodu laboratorních odchylek, m</w:t>
            </w:r>
            <w:r w:rsidR="003E3ABA">
              <w:t>á</w:t>
            </w:r>
            <w:r w:rsidRPr="00EE3355">
              <w:t xml:space="preserve"> být založeno na lékařském posouzení stavu jednotlivého pacienta</w:t>
            </w:r>
          </w:p>
        </w:tc>
      </w:tr>
    </w:tbl>
    <w:p w14:paraId="4E3F8847" w14:textId="77777777" w:rsidR="0024686E" w:rsidRPr="00EE3355" w:rsidRDefault="0024686E" w:rsidP="00EA1CDF">
      <w:pPr>
        <w:widowControl/>
        <w:tabs>
          <w:tab w:val="left" w:pos="804"/>
        </w:tabs>
        <w:ind w:left="567" w:hanging="567"/>
        <w:rPr>
          <w:rFonts w:ascii="Symbol" w:eastAsia="Symbol" w:hAnsi="Symbol" w:cs="Symbol"/>
        </w:rPr>
      </w:pPr>
    </w:p>
    <w:p w14:paraId="765BE255"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trombocytů</w:t>
      </w:r>
    </w:p>
    <w:p w14:paraId="3E06CF37" w14:textId="77777777" w:rsidR="00222DE0" w:rsidRPr="00EE3355" w:rsidRDefault="00222DE0" w:rsidP="00EA1CDF">
      <w:pPr>
        <w:pStyle w:val="a3"/>
        <w:spacing w:before="28"/>
        <w:ind w:left="0"/>
        <w:rPr>
          <w:sz w:val="20"/>
        </w:rPr>
      </w:pPr>
    </w:p>
    <w:tbl>
      <w:tblPr>
        <w:tblW w:w="9324"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05"/>
        <w:gridCol w:w="7119"/>
      </w:tblGrid>
      <w:tr w:rsidR="00222DE0" w:rsidRPr="00EE3355" w14:paraId="28E6C581" w14:textId="77777777" w:rsidTr="00F634C4">
        <w:trPr>
          <w:cantSplit/>
          <w:trHeight w:val="343"/>
          <w:tblHeader/>
        </w:trPr>
        <w:tc>
          <w:tcPr>
            <w:tcW w:w="2205" w:type="dxa"/>
          </w:tcPr>
          <w:p w14:paraId="26484008" w14:textId="77777777" w:rsidR="00222DE0" w:rsidRPr="00CF7B90" w:rsidRDefault="0098273B" w:rsidP="00EA1CDF">
            <w:pPr>
              <w:pStyle w:val="TableParagraph"/>
              <w:jc w:val="center"/>
              <w:rPr>
                <w:b/>
              </w:rPr>
            </w:pPr>
            <w:r w:rsidRPr="00CF7B90">
              <w:rPr>
                <w:b/>
              </w:rPr>
              <w:t>Laboratorní hodnota (buňky x 10</w:t>
            </w:r>
            <w:r w:rsidRPr="00CF7B90">
              <w:rPr>
                <w:b/>
                <w:vertAlign w:val="superscript"/>
              </w:rPr>
              <w:t>3</w:t>
            </w:r>
            <w:r w:rsidRPr="00CF7B90">
              <w:rPr>
                <w:b/>
              </w:rPr>
              <w:t>/µl)</w:t>
            </w:r>
          </w:p>
        </w:tc>
        <w:tc>
          <w:tcPr>
            <w:tcW w:w="7119" w:type="dxa"/>
          </w:tcPr>
          <w:p w14:paraId="3CCD3E96" w14:textId="77777777" w:rsidR="00222DE0" w:rsidRPr="00CF7B90" w:rsidRDefault="0098273B" w:rsidP="00EA1CDF">
            <w:pPr>
              <w:pStyle w:val="TableParagraph"/>
              <w:jc w:val="center"/>
              <w:rPr>
                <w:b/>
              </w:rPr>
            </w:pPr>
            <w:r w:rsidRPr="00CF7B90">
              <w:rPr>
                <w:b/>
              </w:rPr>
              <w:t>Opatření</w:t>
            </w:r>
          </w:p>
        </w:tc>
      </w:tr>
      <w:tr w:rsidR="00222DE0" w:rsidRPr="00EE3355" w14:paraId="1F23D9B5" w14:textId="77777777" w:rsidTr="00F634C4">
        <w:trPr>
          <w:cantSplit/>
          <w:trHeight w:val="926"/>
        </w:trPr>
        <w:tc>
          <w:tcPr>
            <w:tcW w:w="2205" w:type="dxa"/>
          </w:tcPr>
          <w:p w14:paraId="3833A481" w14:textId="77777777" w:rsidR="00222DE0" w:rsidRPr="00EE3355" w:rsidRDefault="0098273B" w:rsidP="00EA1CDF">
            <w:pPr>
              <w:pStyle w:val="TableParagraph"/>
            </w:pPr>
            <w:r w:rsidRPr="00EE3355">
              <w:t>50 až 100</w:t>
            </w:r>
          </w:p>
        </w:tc>
        <w:tc>
          <w:tcPr>
            <w:tcW w:w="7119" w:type="dxa"/>
          </w:tcPr>
          <w:p w14:paraId="303ABD02" w14:textId="733EF274" w:rsidR="00222DE0" w:rsidRPr="00EE3355" w:rsidRDefault="0098273B" w:rsidP="00EA1CDF">
            <w:pPr>
              <w:pStyle w:val="TableParagraph"/>
            </w:pPr>
            <w:r w:rsidRPr="00EE3355">
              <w:t xml:space="preserve">Upravte dávku souběžně podávaného MTX, pokud je to vhodné Přerušte podávání přípravku </w:t>
            </w:r>
            <w:r w:rsidR="00812FCE">
              <w:t>Avtozma</w:t>
            </w:r>
          </w:p>
          <w:p w14:paraId="5871CEE4" w14:textId="77777777" w:rsidR="00CE6AA3" w:rsidRPr="00EE3355" w:rsidRDefault="00CE6AA3" w:rsidP="00EA1CDF">
            <w:pPr>
              <w:pStyle w:val="TableParagraph"/>
            </w:pPr>
          </w:p>
          <w:p w14:paraId="211AE084" w14:textId="695C21E7" w:rsidR="00222DE0" w:rsidRPr="00EE3355" w:rsidRDefault="0098273B" w:rsidP="00EA1CDF">
            <w:pPr>
              <w:pStyle w:val="TableParagraph"/>
            </w:pPr>
            <w:r w:rsidRPr="00EE3355">
              <w:t>Pokud bude počet trombocytů &gt; 100 x 10</w:t>
            </w:r>
            <w:r w:rsidRPr="00EE3355">
              <w:rPr>
                <w:vertAlign w:val="superscript"/>
              </w:rPr>
              <w:t>3</w:t>
            </w:r>
            <w:r w:rsidRPr="00EE3355">
              <w:t xml:space="preserve">/µl, léčbu přípravkem </w:t>
            </w:r>
            <w:r w:rsidR="00812FCE">
              <w:t>Avtozma</w:t>
            </w:r>
            <w:r w:rsidRPr="00EE3355">
              <w:t xml:space="preserve"> znovu za</w:t>
            </w:r>
            <w:r w:rsidR="003E3ABA">
              <w:t>hajte</w:t>
            </w:r>
          </w:p>
        </w:tc>
      </w:tr>
      <w:tr w:rsidR="00222DE0" w:rsidRPr="00EE3355" w14:paraId="1846DEFF" w14:textId="77777777" w:rsidTr="00F634C4">
        <w:trPr>
          <w:cantSplit/>
          <w:trHeight w:val="1268"/>
        </w:trPr>
        <w:tc>
          <w:tcPr>
            <w:tcW w:w="2205" w:type="dxa"/>
          </w:tcPr>
          <w:p w14:paraId="3D63BF9C" w14:textId="77777777" w:rsidR="00222DE0" w:rsidRPr="00EE3355" w:rsidRDefault="0098273B" w:rsidP="00EA1CDF">
            <w:pPr>
              <w:pStyle w:val="TableParagraph"/>
            </w:pPr>
            <w:r w:rsidRPr="00EE3355">
              <w:t>&lt; 50</w:t>
            </w:r>
          </w:p>
        </w:tc>
        <w:tc>
          <w:tcPr>
            <w:tcW w:w="7119" w:type="dxa"/>
          </w:tcPr>
          <w:p w14:paraId="36BA88C2" w14:textId="7A780121" w:rsidR="00222DE0" w:rsidRPr="00EE3355" w:rsidRDefault="0098273B" w:rsidP="00EA1CDF">
            <w:pPr>
              <w:pStyle w:val="TableParagraph"/>
            </w:pPr>
            <w:r w:rsidRPr="00EE3355">
              <w:t xml:space="preserve">Ukončete léčbu přípravkem </w:t>
            </w:r>
            <w:r w:rsidR="00812FCE">
              <w:t>Avtozma</w:t>
            </w:r>
          </w:p>
          <w:p w14:paraId="2D1D4016" w14:textId="77777777" w:rsidR="00222DE0" w:rsidRPr="00EE3355" w:rsidRDefault="00222DE0" w:rsidP="00EA1CDF">
            <w:pPr>
              <w:pStyle w:val="TableParagraph"/>
            </w:pPr>
          </w:p>
          <w:p w14:paraId="56305C04" w14:textId="64D8FBBB" w:rsidR="00222DE0" w:rsidRPr="00EE3355" w:rsidRDefault="0098273B" w:rsidP="00EA1CDF">
            <w:pPr>
              <w:pStyle w:val="TableParagraph"/>
            </w:pPr>
            <w:r w:rsidRPr="00EE3355">
              <w:t xml:space="preserve">Rozhodnutí, zda u pacientů s pJIA přerušit léčbu přípravkem </w:t>
            </w:r>
            <w:r w:rsidR="00812FCE">
              <w:t>Avtozma</w:t>
            </w:r>
            <w:r w:rsidRPr="00EE3355">
              <w:t xml:space="preserve"> z důvodu laboratorních odchylek, m</w:t>
            </w:r>
            <w:r w:rsidR="003E3ABA">
              <w:t>á</w:t>
            </w:r>
            <w:r w:rsidRPr="00EE3355">
              <w:t xml:space="preserve"> být založeno na lékařském posouzení stavu jednotlivého pacienta</w:t>
            </w:r>
          </w:p>
        </w:tc>
      </w:tr>
    </w:tbl>
    <w:p w14:paraId="71E5926F" w14:textId="77777777" w:rsidR="00CE6AA3" w:rsidRPr="00EE3355" w:rsidRDefault="00CE6AA3" w:rsidP="00EA1CDF">
      <w:pPr>
        <w:pStyle w:val="a3"/>
        <w:widowControl/>
        <w:ind w:left="0"/>
      </w:pPr>
    </w:p>
    <w:p w14:paraId="0F2F9634" w14:textId="77777777" w:rsidR="00222DE0" w:rsidRPr="00EE3355" w:rsidRDefault="0098273B" w:rsidP="00EA1CDF">
      <w:pPr>
        <w:pStyle w:val="a3"/>
        <w:widowControl/>
        <w:ind w:left="0"/>
      </w:pPr>
      <w:r w:rsidRPr="00EE3355">
        <w:t>Snížení dávky tocilizumabu z důvodu laboratorních odchylek nebylo u pacientů s pJIA studováno.</w:t>
      </w:r>
    </w:p>
    <w:p w14:paraId="2FA1EF55" w14:textId="77777777" w:rsidR="00222DE0" w:rsidRPr="00EE3355" w:rsidRDefault="00222DE0" w:rsidP="00EA1CDF">
      <w:pPr>
        <w:pStyle w:val="a3"/>
        <w:widowControl/>
        <w:ind w:left="0"/>
      </w:pPr>
    </w:p>
    <w:p w14:paraId="72674A52" w14:textId="19D703FF" w:rsidR="00222DE0" w:rsidRPr="00EE3355" w:rsidRDefault="0098273B" w:rsidP="00EA1CDF">
      <w:pPr>
        <w:pStyle w:val="a3"/>
        <w:widowControl/>
        <w:ind w:left="0"/>
      </w:pPr>
      <w:r w:rsidRPr="00EE3355">
        <w:t xml:space="preserve">Dostupné údaje naznačují, že ke klinickému zlepšení dochází během 12 týdnů od zahájení léčby </w:t>
      </w:r>
      <w:r w:rsidR="00812FCE" w:rsidRPr="001879E9">
        <w:t>tocilizumab</w:t>
      </w:r>
      <w:r w:rsidR="00812FCE">
        <w:t>em</w:t>
      </w:r>
      <w:r w:rsidRPr="00EE3355">
        <w:t>. U pacientů, u kterých nedojde v tomto období ke zlepšení, je třeba pokračování v léčbě znovu pečlivě zvážit.</w:t>
      </w:r>
    </w:p>
    <w:p w14:paraId="7F9B1FB3" w14:textId="77777777" w:rsidR="00222DE0" w:rsidRPr="00EE3355" w:rsidRDefault="00222DE0" w:rsidP="00EA1CDF">
      <w:pPr>
        <w:pStyle w:val="a3"/>
        <w:widowControl/>
        <w:ind w:left="0"/>
      </w:pPr>
    </w:p>
    <w:p w14:paraId="7D1C163A" w14:textId="77777777" w:rsidR="00222DE0" w:rsidRPr="00EE3355" w:rsidRDefault="0098273B" w:rsidP="00B93217">
      <w:pPr>
        <w:keepNext/>
        <w:widowControl/>
        <w:rPr>
          <w:i/>
        </w:rPr>
      </w:pPr>
      <w:r w:rsidRPr="00EE3355">
        <w:rPr>
          <w:i/>
        </w:rPr>
        <w:t>Starší pacienti</w:t>
      </w:r>
    </w:p>
    <w:p w14:paraId="398DA72E" w14:textId="77777777" w:rsidR="00222DE0" w:rsidRPr="00EE3355" w:rsidRDefault="0098273B" w:rsidP="00EA1CDF">
      <w:pPr>
        <w:pStyle w:val="a3"/>
        <w:widowControl/>
        <w:ind w:left="0"/>
      </w:pPr>
      <w:r w:rsidRPr="00EE3355">
        <w:t>U starších pacientů ve věku &gt; 65 let není požadována úprava dávkování.</w:t>
      </w:r>
    </w:p>
    <w:p w14:paraId="0A537026" w14:textId="77777777" w:rsidR="00222DE0" w:rsidRPr="00EE3355" w:rsidRDefault="00222DE0" w:rsidP="00EA1CDF">
      <w:pPr>
        <w:pStyle w:val="a3"/>
        <w:widowControl/>
        <w:ind w:left="0"/>
      </w:pPr>
    </w:p>
    <w:p w14:paraId="3E020C84" w14:textId="77777777" w:rsidR="00222DE0" w:rsidRPr="00EE3355" w:rsidRDefault="0098273B" w:rsidP="00EA1CDF">
      <w:pPr>
        <w:keepNext/>
        <w:widowControl/>
        <w:rPr>
          <w:i/>
        </w:rPr>
      </w:pPr>
      <w:r w:rsidRPr="00EE3355">
        <w:rPr>
          <w:i/>
        </w:rPr>
        <w:t>Porucha funkce ledvin</w:t>
      </w:r>
    </w:p>
    <w:p w14:paraId="6FA6EBF5" w14:textId="32AC26DB" w:rsidR="00222DE0" w:rsidRPr="00EE3355" w:rsidRDefault="0098273B" w:rsidP="00EA1CDF">
      <w:pPr>
        <w:pStyle w:val="a3"/>
        <w:widowControl/>
        <w:ind w:left="0"/>
      </w:pPr>
      <w:r w:rsidRPr="00EE3355">
        <w:t xml:space="preserve">U pacientů s lehkou poruchou funkce ledvin není požadována úprava dávkování. U pacientů se středně těžkou až těžkou poruchou funkce ledvin nebylo podávání přípravku </w:t>
      </w:r>
      <w:r w:rsidR="00812FCE">
        <w:t>Avtozma</w:t>
      </w:r>
      <w:r w:rsidRPr="00EE3355">
        <w:t xml:space="preserve"> studováno (viz bod 5.2). U těchto pacientů m</w:t>
      </w:r>
      <w:r w:rsidR="003E3ABA">
        <w:t>ají</w:t>
      </w:r>
      <w:r w:rsidRPr="00EE3355">
        <w:t xml:space="preserve"> být renální funkce pečlivě monitorovány.</w:t>
      </w:r>
    </w:p>
    <w:p w14:paraId="71B70532" w14:textId="77777777" w:rsidR="00222DE0" w:rsidRPr="00EE3355" w:rsidRDefault="00222DE0" w:rsidP="00EA1CDF">
      <w:pPr>
        <w:pStyle w:val="a3"/>
        <w:widowControl/>
        <w:ind w:left="0"/>
      </w:pPr>
    </w:p>
    <w:p w14:paraId="154F3E49" w14:textId="77777777" w:rsidR="00222DE0" w:rsidRPr="00EE3355" w:rsidRDefault="0098273B" w:rsidP="00EA1CDF">
      <w:pPr>
        <w:keepNext/>
        <w:widowControl/>
        <w:rPr>
          <w:i/>
        </w:rPr>
      </w:pPr>
      <w:r w:rsidRPr="00EE3355">
        <w:rPr>
          <w:i/>
        </w:rPr>
        <w:t>Porucha funkce jater</w:t>
      </w:r>
    </w:p>
    <w:p w14:paraId="1C153862" w14:textId="520F07C8" w:rsidR="00222DE0" w:rsidRPr="00EE3355" w:rsidRDefault="0098273B" w:rsidP="00EA1CDF">
      <w:pPr>
        <w:pStyle w:val="a3"/>
        <w:keepNext/>
        <w:widowControl/>
        <w:ind w:left="0"/>
      </w:pPr>
      <w:r w:rsidRPr="00EE3355">
        <w:t xml:space="preserve">U pacientů s jaterním onemocněním nebylo podávání přípravku </w:t>
      </w:r>
      <w:r w:rsidR="00812FCE">
        <w:t>Avtozma</w:t>
      </w:r>
      <w:r w:rsidRPr="00EE3355">
        <w:t xml:space="preserve"> studováno, proto nemůže být doporučena žádná úprava dávkování.</w:t>
      </w:r>
    </w:p>
    <w:p w14:paraId="7520D47A" w14:textId="77777777" w:rsidR="00222DE0" w:rsidRPr="00EE3355" w:rsidRDefault="00222DE0" w:rsidP="00EA1CDF">
      <w:pPr>
        <w:pStyle w:val="a3"/>
        <w:widowControl/>
        <w:ind w:left="0"/>
      </w:pPr>
    </w:p>
    <w:p w14:paraId="0784341A" w14:textId="77777777" w:rsidR="00222DE0" w:rsidRPr="00EE3355" w:rsidRDefault="0098273B" w:rsidP="00EA1CDF">
      <w:pPr>
        <w:pStyle w:val="a3"/>
        <w:keepNext/>
        <w:widowControl/>
        <w:ind w:left="0"/>
        <w:rPr>
          <w:u w:val="single"/>
        </w:rPr>
      </w:pPr>
      <w:r w:rsidRPr="00EE3355">
        <w:rPr>
          <w:u w:val="single"/>
        </w:rPr>
        <w:t>Způsob podání</w:t>
      </w:r>
    </w:p>
    <w:p w14:paraId="75CF6C95" w14:textId="77777777" w:rsidR="00CE6AA3" w:rsidRPr="00EE3355" w:rsidRDefault="00CE6AA3" w:rsidP="00EA1CDF">
      <w:pPr>
        <w:pStyle w:val="a3"/>
        <w:keepNext/>
        <w:widowControl/>
        <w:ind w:left="0"/>
      </w:pPr>
    </w:p>
    <w:p w14:paraId="3185979A" w14:textId="25AA5914" w:rsidR="00222DE0" w:rsidRPr="00EE3355" w:rsidRDefault="0098273B" w:rsidP="00EA1CDF">
      <w:pPr>
        <w:pStyle w:val="a3"/>
        <w:widowControl/>
        <w:ind w:left="0"/>
      </w:pPr>
      <w:r w:rsidRPr="00EE3355">
        <w:t xml:space="preserve">Po naředění má být přípravek </w:t>
      </w:r>
      <w:r w:rsidR="00812FCE">
        <w:t>Avtozma</w:t>
      </w:r>
      <w:r w:rsidRPr="00EE3355">
        <w:t xml:space="preserve"> u pacientů s RA, sJIA, pJIA, CRS a onemocněním COVID- 19 podáván formou 1 hodinu trvající intravenózní infuze.</w:t>
      </w:r>
    </w:p>
    <w:p w14:paraId="6D15B201" w14:textId="77777777" w:rsidR="00CE6AA3" w:rsidRPr="00EE3355" w:rsidRDefault="00CE6AA3" w:rsidP="00EA1CDF">
      <w:pPr>
        <w:pStyle w:val="a3"/>
        <w:widowControl/>
        <w:ind w:left="0"/>
      </w:pPr>
    </w:p>
    <w:p w14:paraId="745AC001" w14:textId="13280A71" w:rsidR="00222DE0" w:rsidRPr="00EE3355" w:rsidRDefault="0098273B" w:rsidP="00EA1CDF">
      <w:pPr>
        <w:pStyle w:val="a3"/>
        <w:widowControl/>
        <w:ind w:left="0"/>
      </w:pPr>
      <w:r w:rsidRPr="00EE3355">
        <w:t xml:space="preserve">Pacienti s RA, sJIA, pJIA, CRS a onemocněním COVID-19 s tělesnou hmotností ≥ 30 kg </w:t>
      </w:r>
      <w:r w:rsidR="00812FCE">
        <w:t>Avtozma</w:t>
      </w:r>
      <w:r w:rsidRPr="00EE3355">
        <w:t xml:space="preserve"> má být naředěna na konečný objem 100 ml sterilním, nepyrogenním injekčním roztokem chloridu sodného s koncentrací 9 mg/ml (0,9 %) </w:t>
      </w:r>
      <w:r w:rsidR="00812FCE">
        <w:t xml:space="preserve">nebo 4,5 mg/ml (0,45 %) </w:t>
      </w:r>
      <w:r w:rsidRPr="00EE3355">
        <w:t>za dodržení aseptických podmínek.</w:t>
      </w:r>
    </w:p>
    <w:p w14:paraId="5884D914" w14:textId="77777777" w:rsidR="009F18E2" w:rsidRPr="00EE3355" w:rsidRDefault="009F18E2" w:rsidP="00EA1CDF">
      <w:pPr>
        <w:pStyle w:val="a3"/>
        <w:widowControl/>
        <w:ind w:left="0"/>
      </w:pPr>
    </w:p>
    <w:p w14:paraId="7B88B1B3" w14:textId="77777777" w:rsidR="00222DE0" w:rsidRPr="00EE3355" w:rsidRDefault="0098273B" w:rsidP="00EA1CDF">
      <w:pPr>
        <w:pStyle w:val="a3"/>
        <w:widowControl/>
        <w:ind w:left="0"/>
      </w:pPr>
      <w:r w:rsidRPr="00EE3355">
        <w:t>Návod k naředění tohoto léčivého přípravku před jeho podáním je uveden v bodě 6.6. Pacienti se sJIA, pJIA a CRS s tělesnou hmotností &lt; 30 kg</w:t>
      </w:r>
    </w:p>
    <w:p w14:paraId="46160D46" w14:textId="77777777" w:rsidR="009F18E2" w:rsidRPr="00EE3355" w:rsidRDefault="009F18E2" w:rsidP="00EA1CDF">
      <w:pPr>
        <w:pStyle w:val="a3"/>
        <w:widowControl/>
        <w:ind w:left="0"/>
      </w:pPr>
    </w:p>
    <w:p w14:paraId="7242A739" w14:textId="1E3B7275" w:rsidR="00DB6FD5" w:rsidRDefault="0098273B" w:rsidP="00EA1CDF">
      <w:pPr>
        <w:pStyle w:val="a3"/>
        <w:widowControl/>
        <w:ind w:left="0"/>
        <w:rPr>
          <w:rFonts w:eastAsia="맑은 고딕"/>
          <w:lang w:eastAsia="ko-KR"/>
        </w:rPr>
      </w:pPr>
      <w:r w:rsidRPr="00EE3355">
        <w:t xml:space="preserve">Přípravek </w:t>
      </w:r>
      <w:r w:rsidR="00812FCE">
        <w:t>Avtozma</w:t>
      </w:r>
      <w:r w:rsidRPr="00EE3355">
        <w:t xml:space="preserve"> je třeba naředit na konečný objem 50 ml pomocí sterilního, nepyrogenního</w:t>
      </w:r>
      <w:r w:rsidR="009F18E2" w:rsidRPr="00EE3355">
        <w:t xml:space="preserve"> </w:t>
      </w:r>
      <w:r w:rsidRPr="00EE3355">
        <w:t xml:space="preserve">injekčního roztoku chloridu sodného 9 mg/ml (0,9%) </w:t>
      </w:r>
      <w:r w:rsidR="00D41ABC">
        <w:t xml:space="preserve">nebo 4,5 mg/ml (0,45%) </w:t>
      </w:r>
      <w:r w:rsidRPr="00EE3355">
        <w:t xml:space="preserve">za dodržení aseptických podmínek. </w:t>
      </w:r>
    </w:p>
    <w:p w14:paraId="7FEFA600" w14:textId="77777777" w:rsidR="00DB6FD5" w:rsidRDefault="00DB6FD5" w:rsidP="00EA1CDF">
      <w:pPr>
        <w:pStyle w:val="a3"/>
        <w:widowControl/>
        <w:ind w:left="0"/>
        <w:rPr>
          <w:rFonts w:eastAsia="맑은 고딕"/>
          <w:lang w:eastAsia="ko-KR"/>
        </w:rPr>
      </w:pPr>
    </w:p>
    <w:p w14:paraId="570809F9" w14:textId="1E5A0E9F" w:rsidR="00222DE0" w:rsidRPr="00EE3355" w:rsidRDefault="0098273B" w:rsidP="00EA1CDF">
      <w:pPr>
        <w:pStyle w:val="a3"/>
        <w:widowControl/>
        <w:ind w:left="0"/>
      </w:pPr>
      <w:r w:rsidRPr="00EE3355">
        <w:t>Návod k naředění tohoto léčivého přípravku před jeho podáním je uveden v bodě 6.6.</w:t>
      </w:r>
    </w:p>
    <w:p w14:paraId="6A738399" w14:textId="77777777" w:rsidR="009F18E2" w:rsidRPr="00EE3355" w:rsidRDefault="009F18E2" w:rsidP="00EA1CDF">
      <w:pPr>
        <w:pStyle w:val="a3"/>
        <w:widowControl/>
        <w:ind w:left="0"/>
      </w:pPr>
    </w:p>
    <w:p w14:paraId="6C8C853B" w14:textId="77777777" w:rsidR="00222DE0" w:rsidRDefault="0098273B" w:rsidP="00EA1CDF">
      <w:pPr>
        <w:pStyle w:val="a3"/>
        <w:widowControl/>
        <w:ind w:left="0"/>
      </w:pPr>
      <w:r w:rsidRPr="00EE3355">
        <w:t>Při výskytu známek a příznaků infuzní reakce infuzi zpomalte nebo zastavte a okamžitě podejte</w:t>
      </w:r>
      <w:r w:rsidR="004123AF">
        <w:t xml:space="preserve"> </w:t>
      </w:r>
      <w:r w:rsidRPr="00EE3355">
        <w:t>vhodný lék / poskytněte podpůrnou péči, viz bod 4.4.</w:t>
      </w:r>
    </w:p>
    <w:p w14:paraId="65E023EA" w14:textId="77777777" w:rsidR="00CF7B90" w:rsidRPr="00EE3355" w:rsidRDefault="00CF7B90" w:rsidP="00EA1CDF">
      <w:pPr>
        <w:pStyle w:val="a3"/>
        <w:widowControl/>
        <w:ind w:left="0"/>
      </w:pPr>
    </w:p>
    <w:p w14:paraId="62CEAF08" w14:textId="77777777" w:rsidR="00222DE0" w:rsidRPr="00EE3355" w:rsidRDefault="00B23DAE" w:rsidP="00EA1CDF">
      <w:pPr>
        <w:pStyle w:val="2"/>
        <w:widowControl/>
        <w:tabs>
          <w:tab w:val="left" w:pos="804"/>
        </w:tabs>
        <w:ind w:left="567" w:hanging="567"/>
      </w:pPr>
      <w:r w:rsidRPr="00EE3355">
        <w:t>4.3</w:t>
      </w:r>
      <w:r w:rsidRPr="00EE3355">
        <w:tab/>
      </w:r>
      <w:r w:rsidR="0098273B" w:rsidRPr="00EE3355">
        <w:t>Kontraindikace</w:t>
      </w:r>
    </w:p>
    <w:p w14:paraId="2E1DBCBE" w14:textId="77777777" w:rsidR="009F18E2" w:rsidRPr="00EE3355" w:rsidRDefault="009F18E2" w:rsidP="00EA1CDF">
      <w:pPr>
        <w:pStyle w:val="a3"/>
        <w:widowControl/>
        <w:ind w:left="0"/>
      </w:pPr>
    </w:p>
    <w:p w14:paraId="0E62392D" w14:textId="77777777" w:rsidR="00DB6FD5" w:rsidRDefault="0098273B" w:rsidP="00EA1CDF">
      <w:pPr>
        <w:pStyle w:val="a3"/>
        <w:widowControl/>
        <w:ind w:left="0"/>
        <w:rPr>
          <w:rFonts w:eastAsia="맑은 고딕"/>
          <w:lang w:eastAsia="ko-KR"/>
        </w:rPr>
      </w:pPr>
      <w:r w:rsidRPr="00EE3355">
        <w:t xml:space="preserve">Hypersenzitivita na léčivou látku nebo na kteroukoli pomocnou látku uvedenou v bodě 6.1. </w:t>
      </w:r>
    </w:p>
    <w:p w14:paraId="4F399D99" w14:textId="77777777" w:rsidR="00DB6FD5" w:rsidRDefault="00DB6FD5" w:rsidP="00EA1CDF">
      <w:pPr>
        <w:pStyle w:val="a3"/>
        <w:widowControl/>
        <w:ind w:left="0"/>
        <w:rPr>
          <w:rFonts w:eastAsia="맑은 고딕"/>
          <w:lang w:eastAsia="ko-KR"/>
        </w:rPr>
      </w:pPr>
    </w:p>
    <w:p w14:paraId="45DEA202" w14:textId="0E362BC3" w:rsidR="00222DE0" w:rsidRPr="00EE3355" w:rsidRDefault="0098273B" w:rsidP="00EA1CDF">
      <w:pPr>
        <w:pStyle w:val="a3"/>
        <w:widowControl/>
        <w:ind w:left="0"/>
      </w:pPr>
      <w:r w:rsidRPr="00EE3355">
        <w:t>Aktivní, závažné infekce s výjimkou onemocnění COVID-19 (viz bod 4.4)</w:t>
      </w:r>
    </w:p>
    <w:p w14:paraId="08FA1087" w14:textId="77777777" w:rsidR="009F18E2" w:rsidRPr="00EE3355" w:rsidRDefault="009F18E2" w:rsidP="00EA1CDF">
      <w:pPr>
        <w:pStyle w:val="a3"/>
        <w:widowControl/>
        <w:ind w:left="0"/>
      </w:pPr>
    </w:p>
    <w:p w14:paraId="7C58D0CC" w14:textId="77777777" w:rsidR="00222DE0" w:rsidRPr="00EE3355" w:rsidRDefault="00B23DAE" w:rsidP="00EA1CDF">
      <w:pPr>
        <w:pStyle w:val="2"/>
        <w:widowControl/>
        <w:tabs>
          <w:tab w:val="left" w:pos="804"/>
        </w:tabs>
        <w:ind w:left="567" w:hanging="567"/>
      </w:pPr>
      <w:r w:rsidRPr="00EE3355">
        <w:t>4.4</w:t>
      </w:r>
      <w:r w:rsidRPr="00EE3355">
        <w:tab/>
      </w:r>
      <w:r w:rsidR="0098273B" w:rsidRPr="00EE3355">
        <w:t>Zvláštní upozornění a opatření pro použití</w:t>
      </w:r>
    </w:p>
    <w:p w14:paraId="764F266E" w14:textId="77777777" w:rsidR="00BC69DF" w:rsidRPr="00EE3355" w:rsidRDefault="00BC69DF" w:rsidP="00EA1CDF">
      <w:pPr>
        <w:widowControl/>
        <w:rPr>
          <w:i/>
        </w:rPr>
      </w:pPr>
    </w:p>
    <w:p w14:paraId="558241C5" w14:textId="77777777" w:rsidR="00222DE0" w:rsidRPr="00EE3355" w:rsidRDefault="0098273B" w:rsidP="00EA1CDF">
      <w:pPr>
        <w:widowControl/>
        <w:rPr>
          <w:i/>
        </w:rPr>
      </w:pPr>
      <w:r w:rsidRPr="00EE3355">
        <w:rPr>
          <w:i/>
        </w:rPr>
        <w:t>Zpětná zjistitelnost</w:t>
      </w:r>
    </w:p>
    <w:p w14:paraId="01220D7E" w14:textId="77777777" w:rsidR="00222DE0" w:rsidRPr="00EE3355" w:rsidRDefault="0098273B" w:rsidP="00EA1CDF">
      <w:pPr>
        <w:pStyle w:val="a3"/>
        <w:widowControl/>
        <w:ind w:left="0"/>
      </w:pPr>
      <w:r w:rsidRPr="00EE3355">
        <w:t>Z důvodu snadnější zpětné zjistitelnosti biologických léčivých přípravků mají být název a číslo šarže podávaného přípravku zřetelně zaznamenány.</w:t>
      </w:r>
    </w:p>
    <w:p w14:paraId="126C55F8" w14:textId="77777777" w:rsidR="00BC69DF" w:rsidRPr="00EE3355" w:rsidRDefault="00BC69DF" w:rsidP="00EA1CDF">
      <w:pPr>
        <w:pStyle w:val="a3"/>
        <w:widowControl/>
        <w:ind w:left="0"/>
      </w:pPr>
    </w:p>
    <w:p w14:paraId="612AD19A" w14:textId="77777777" w:rsidR="00222DE0" w:rsidRPr="00EE3355" w:rsidRDefault="0098273B" w:rsidP="00EA1CDF">
      <w:pPr>
        <w:pStyle w:val="a3"/>
        <w:widowControl/>
        <w:ind w:left="0"/>
      </w:pPr>
      <w:r w:rsidRPr="00CF7B90">
        <w:rPr>
          <w:u w:val="single"/>
        </w:rPr>
        <w:t>Pacienti</w:t>
      </w:r>
      <w:r w:rsidRPr="00EE3355">
        <w:t xml:space="preserve"> s RA, pJIA a sJIA</w:t>
      </w:r>
    </w:p>
    <w:p w14:paraId="42B7E35D" w14:textId="77777777" w:rsidR="00222DE0" w:rsidRPr="00EE3355" w:rsidRDefault="00222DE0" w:rsidP="00EA1CDF">
      <w:pPr>
        <w:pStyle w:val="a3"/>
        <w:widowControl/>
        <w:ind w:left="0"/>
      </w:pPr>
    </w:p>
    <w:p w14:paraId="239A43D9" w14:textId="77777777" w:rsidR="00222DE0" w:rsidRPr="00EE3355" w:rsidRDefault="0098273B" w:rsidP="00EA1CDF">
      <w:pPr>
        <w:widowControl/>
        <w:rPr>
          <w:i/>
        </w:rPr>
      </w:pPr>
      <w:r w:rsidRPr="00EE3355">
        <w:rPr>
          <w:i/>
        </w:rPr>
        <w:t>Infekce</w:t>
      </w:r>
    </w:p>
    <w:p w14:paraId="7029A63C" w14:textId="321568B4" w:rsidR="00222DE0" w:rsidRPr="00EE3355" w:rsidRDefault="0098273B" w:rsidP="00EA1CDF">
      <w:pPr>
        <w:pStyle w:val="a3"/>
        <w:widowControl/>
        <w:ind w:left="0"/>
      </w:pPr>
      <w:r w:rsidRPr="00EE3355">
        <w:t xml:space="preserve">U pacientů léčených imunosupresivy včetně </w:t>
      </w:r>
      <w:r w:rsidR="00812FCE" w:rsidRPr="001879E9">
        <w:t>tocilizumab</w:t>
      </w:r>
      <w:r w:rsidR="00812FCE">
        <w:t>u</w:t>
      </w:r>
      <w:r w:rsidRPr="00EE3355">
        <w:t xml:space="preserve"> byly hlášeny závažné, někdy fatální infekce (viz bod 4.8 Nežádoucí účinky). Léčba přípravkem </w:t>
      </w:r>
      <w:r w:rsidR="00812FCE">
        <w:t>Avtozma</w:t>
      </w:r>
      <w:r w:rsidRPr="00EE3355">
        <w:t xml:space="preserve"> nesmí být zahájena u pacientů s aktivní infekcí (viz bod 4.3). Pokud se u pacienta rozvine závažná infekce, podávání </w:t>
      </w:r>
      <w:r w:rsidR="00812FCE" w:rsidRPr="001879E9">
        <w:t>tocilizumab</w:t>
      </w:r>
      <w:r w:rsidR="00812FCE">
        <w:t>u</w:t>
      </w:r>
      <w:r w:rsidRPr="00EE3355">
        <w:t xml:space="preserve"> má být až do doby, než je infekce pod kontrolou, přerušeno (viz bod 4.8). Lékaři mají být opatrní, pokud zvažují použití přípravku </w:t>
      </w:r>
      <w:r w:rsidR="00812FCE">
        <w:t>Avtozma</w:t>
      </w:r>
      <w:r w:rsidRPr="00EE3355">
        <w:t xml:space="preserve"> u pacientů s anamnézou rekurentních nebo chronických infekcí nebo se základními onemocněními (např. divertikulitidou, diabetem a intersticiálním plicním onemocněním), které mohou pacienty predisponovat k infekcím.</w:t>
      </w:r>
    </w:p>
    <w:p w14:paraId="08DB33CD" w14:textId="77777777" w:rsidR="00DE1142" w:rsidRPr="00EE3355" w:rsidRDefault="00DE1142" w:rsidP="00EA1CDF">
      <w:pPr>
        <w:pStyle w:val="a3"/>
        <w:widowControl/>
        <w:ind w:left="0"/>
      </w:pPr>
    </w:p>
    <w:p w14:paraId="5C5EF771" w14:textId="77777777" w:rsidR="00222DE0" w:rsidRPr="00EE3355" w:rsidRDefault="0098273B" w:rsidP="00EA1CDF">
      <w:pPr>
        <w:pStyle w:val="a3"/>
        <w:widowControl/>
        <w:ind w:left="0"/>
      </w:pPr>
      <w:r w:rsidRPr="00EE3355">
        <w:lastRenderedPageBreak/>
        <w:t>U pacientů podstupujících biologickou léčbu je doporučena kvůli časné detekci závažných infekcí zvýšená pozornost, protože známky a příznaky akutního zánětu mohou být zastřeny a může být potlačena akutní fáze reakce. Při vyšetřování pacienta z důvodu možné infekce je třeba vzít v úvahu vliv tocilizumabu na C-reaktivní protein (CRP), neutrofily a na známky a příznaky infekce. Pacienti (včetně mladších dětí se sJIA nebo pJIA, které možná nejsou zcela schopny popsat příznaky svého onemocnění) a rodiče/opatrovníci pacientů se sJIA nebo pJIA mají být poučeni, aby kontaktovali neprodleně svého lékaře, jakmile se objeví jakékoli známky naznačující infekci, aby mohlo být zajištěno rychlé zhodnocení stavu a vhodná terapie.</w:t>
      </w:r>
    </w:p>
    <w:p w14:paraId="42479E31" w14:textId="77777777" w:rsidR="00222DE0" w:rsidRPr="00EE3355" w:rsidRDefault="00222DE0" w:rsidP="00EA1CDF">
      <w:pPr>
        <w:pStyle w:val="a3"/>
        <w:widowControl/>
        <w:ind w:left="0"/>
      </w:pPr>
    </w:p>
    <w:p w14:paraId="508C861B" w14:textId="77777777" w:rsidR="00222DE0" w:rsidRPr="00EE3355" w:rsidRDefault="0098273B" w:rsidP="00EA1CDF">
      <w:pPr>
        <w:keepNext/>
        <w:widowControl/>
        <w:rPr>
          <w:i/>
        </w:rPr>
      </w:pPr>
      <w:r w:rsidRPr="00EE3355">
        <w:rPr>
          <w:i/>
        </w:rPr>
        <w:t>Tuberkulóza</w:t>
      </w:r>
    </w:p>
    <w:p w14:paraId="3A019E83" w14:textId="7C449B9F" w:rsidR="00222DE0" w:rsidRPr="00EE3355" w:rsidRDefault="0098273B" w:rsidP="00EA1CDF">
      <w:pPr>
        <w:pStyle w:val="a3"/>
        <w:widowControl/>
        <w:ind w:left="0"/>
      </w:pPr>
      <w:r w:rsidRPr="00EE3355">
        <w:t xml:space="preserve">Stejně jako je doporučeno u jiné biologické léčby, mají být pacienti s RA, sJIA a pJIA před zahájením léčby přípravkem </w:t>
      </w:r>
      <w:r w:rsidR="00812FCE">
        <w:t>Avtozma</w:t>
      </w:r>
      <w:r w:rsidRPr="00EE3355">
        <w:t xml:space="preserve"> vyšetřeni pro možnost latentní tuberkulózní (TB) infekce. Pacienti</w:t>
      </w:r>
      <w:r w:rsidR="003E3ABA">
        <w:t xml:space="preserve"> </w:t>
      </w:r>
      <w:r w:rsidRPr="00EE3355">
        <w:t xml:space="preserve">s latentní tuberkulózou (TB) mají být před zahájením léčby přípravkem </w:t>
      </w:r>
      <w:r w:rsidR="00812FCE">
        <w:t>Avtozma</w:t>
      </w:r>
      <w:r w:rsidRPr="00EE3355">
        <w:t xml:space="preserve"> léčeni standardní antimykobakteriální terapií. Lékaře je třeba upozornit na riziko falešně negativních výsledků kožních </w:t>
      </w:r>
      <w:r w:rsidR="003E3ABA">
        <w:t xml:space="preserve">tuberkulinových </w:t>
      </w:r>
      <w:r w:rsidRPr="00EE3355">
        <w:t xml:space="preserve">testů a </w:t>
      </w:r>
      <w:r w:rsidR="00CB6404" w:rsidRPr="00EE3355">
        <w:t xml:space="preserve">krevních TB testů </w:t>
      </w:r>
      <w:r w:rsidR="00CB6404">
        <w:t xml:space="preserve">pomocí </w:t>
      </w:r>
      <w:r w:rsidRPr="00EE3355">
        <w:t>interferon</w:t>
      </w:r>
      <w:r w:rsidR="00CB6404">
        <w:t>u</w:t>
      </w:r>
      <w:r w:rsidRPr="00EE3355">
        <w:t xml:space="preserve"> gama, zvláště u pacientů, kteří jsou vážně nemocní nebo mají oslabenou imunitu.</w:t>
      </w:r>
    </w:p>
    <w:p w14:paraId="6B2AE639" w14:textId="77777777" w:rsidR="00D62395" w:rsidRPr="00EE3355" w:rsidRDefault="00D62395" w:rsidP="00EA1CDF">
      <w:pPr>
        <w:pStyle w:val="a3"/>
        <w:widowControl/>
        <w:ind w:left="0"/>
      </w:pPr>
    </w:p>
    <w:p w14:paraId="67CF025B" w14:textId="36EE3539" w:rsidR="00222DE0" w:rsidRPr="00EE3355" w:rsidRDefault="0098273B" w:rsidP="00EA1CDF">
      <w:pPr>
        <w:pStyle w:val="a3"/>
        <w:widowControl/>
        <w:ind w:left="0"/>
      </w:pPr>
      <w:r w:rsidRPr="00EE3355">
        <w:t xml:space="preserve">Pacienti mají být poučeni o nutnosti vyhledat lékařskou pomoc, pokud se známky/příznaky (např. přetrvávající kašel, chřadnutí/úbytek hmotnosti, mírná horečka) naznačující infekci tuberkulózy vyskytnou v průběhu nebo po ukončení léčby přípravkem </w:t>
      </w:r>
      <w:r w:rsidR="00812FCE">
        <w:t>Avtozma</w:t>
      </w:r>
      <w:r w:rsidRPr="00EE3355">
        <w:t>.</w:t>
      </w:r>
    </w:p>
    <w:p w14:paraId="0B9A3B66" w14:textId="77777777" w:rsidR="00D62395" w:rsidRPr="00EE3355" w:rsidRDefault="00D62395" w:rsidP="00EA1CDF">
      <w:pPr>
        <w:pStyle w:val="a3"/>
        <w:widowControl/>
        <w:ind w:left="0"/>
      </w:pPr>
    </w:p>
    <w:p w14:paraId="36E55F78" w14:textId="77777777" w:rsidR="00222DE0" w:rsidRPr="00EE3355" w:rsidRDefault="0098273B" w:rsidP="00EA1CDF">
      <w:pPr>
        <w:widowControl/>
        <w:rPr>
          <w:i/>
        </w:rPr>
      </w:pPr>
      <w:r w:rsidRPr="00EE3355">
        <w:rPr>
          <w:i/>
        </w:rPr>
        <w:t>Reaktivace viru</w:t>
      </w:r>
    </w:p>
    <w:p w14:paraId="188C46E7" w14:textId="77777777" w:rsidR="00222DE0" w:rsidRPr="00EE3355" w:rsidRDefault="0098273B" w:rsidP="00EA1CDF">
      <w:pPr>
        <w:pStyle w:val="a3"/>
        <w:widowControl/>
        <w:ind w:left="0"/>
      </w:pPr>
      <w:r w:rsidRPr="00EE3355">
        <w:t>Reaktivace viru (např. viru hepatitidy B) byla zaznamenána u biologické léčby RA. Z klinických studií s tocilizumabem byli pacienti, kteří měli pozitivní test na hepatitidu, vyloučeni.</w:t>
      </w:r>
    </w:p>
    <w:p w14:paraId="5888CA42" w14:textId="77777777" w:rsidR="00D62395" w:rsidRPr="00EE3355" w:rsidRDefault="00D62395" w:rsidP="00EA1CDF">
      <w:pPr>
        <w:pStyle w:val="a3"/>
        <w:widowControl/>
        <w:ind w:left="0"/>
      </w:pPr>
    </w:p>
    <w:p w14:paraId="12C4249D" w14:textId="77777777" w:rsidR="00222DE0" w:rsidRPr="00EE3355" w:rsidRDefault="0098273B" w:rsidP="00EA1CDF">
      <w:pPr>
        <w:widowControl/>
        <w:rPr>
          <w:i/>
        </w:rPr>
      </w:pPr>
      <w:r w:rsidRPr="00EE3355">
        <w:rPr>
          <w:i/>
        </w:rPr>
        <w:t>Komplikace divertikulitidy</w:t>
      </w:r>
    </w:p>
    <w:p w14:paraId="09BD5E53" w14:textId="24360815" w:rsidR="00222DE0" w:rsidRPr="00EE3355" w:rsidRDefault="0098273B" w:rsidP="00EA1CDF">
      <w:pPr>
        <w:pStyle w:val="a3"/>
        <w:widowControl/>
        <w:ind w:left="0"/>
      </w:pPr>
      <w:r w:rsidRPr="00EE3355">
        <w:t xml:space="preserve">Případy divertikulární perforace jako komplikace divertikulitidy byly při léčbě </w:t>
      </w:r>
      <w:r w:rsidR="00812FCE" w:rsidRPr="001879E9">
        <w:t>tocilizumab</w:t>
      </w:r>
      <w:r w:rsidR="00812FCE">
        <w:t>em</w:t>
      </w:r>
      <w:r w:rsidR="004123AF">
        <w:t xml:space="preserve"> </w:t>
      </w:r>
      <w:r w:rsidRPr="00EE3355">
        <w:t xml:space="preserve">u pacientů s RA zaznamenány méně často (viz bod 4.8). Přípravek </w:t>
      </w:r>
      <w:r w:rsidR="00812FCE">
        <w:t>Avtozma</w:t>
      </w:r>
      <w:r w:rsidRPr="00EE3355">
        <w:t xml:space="preserve"> má být používán s opatrností u pacientů s dřívější anamnézou intestinální ulcerace nebo divertikulitidy. Pacienti s</w:t>
      </w:r>
      <w:r w:rsidR="004123AF">
        <w:t xml:space="preserve"> </w:t>
      </w:r>
      <w:r w:rsidRPr="00EE3355">
        <w:t>příznaky, které by mohly naznačovat komplikace divertikulitidy, jako je bolest břicha, krvácení a/nebo nevysvětlitelné změny vyměšovacích stereotypů s horečkou, mají být okamžitě vyšetřeni pro možnost časné identifikace divertikulitidy, která může být spojena s gastrointestinální perforací.</w:t>
      </w:r>
    </w:p>
    <w:p w14:paraId="40D84DF9" w14:textId="77777777" w:rsidR="00DE5D09" w:rsidRPr="00EE3355" w:rsidRDefault="00DE5D09" w:rsidP="00EA1CDF">
      <w:pPr>
        <w:pStyle w:val="a3"/>
        <w:widowControl/>
        <w:ind w:left="0"/>
      </w:pPr>
    </w:p>
    <w:p w14:paraId="45342FA9" w14:textId="77777777" w:rsidR="00222DE0" w:rsidRPr="00EE3355" w:rsidRDefault="0098273B" w:rsidP="00EA1CDF">
      <w:pPr>
        <w:widowControl/>
        <w:rPr>
          <w:i/>
        </w:rPr>
      </w:pPr>
      <w:r w:rsidRPr="00EE3355">
        <w:rPr>
          <w:i/>
        </w:rPr>
        <w:t>Reakce přecitlivělosti</w:t>
      </w:r>
    </w:p>
    <w:p w14:paraId="7E1536F0" w14:textId="08C46B7D" w:rsidR="00222DE0" w:rsidRPr="00EE3355" w:rsidRDefault="0098273B" w:rsidP="00EA1CDF">
      <w:pPr>
        <w:pStyle w:val="a3"/>
        <w:widowControl/>
        <w:ind w:left="0"/>
      </w:pPr>
      <w:r w:rsidRPr="00EE3355">
        <w:t xml:space="preserve">V souvislosti s infuzí </w:t>
      </w:r>
      <w:r w:rsidR="00812FCE" w:rsidRPr="001879E9">
        <w:t>tocilizumab</w:t>
      </w:r>
      <w:r w:rsidR="00812FCE">
        <w:t>u</w:t>
      </w:r>
      <w:r w:rsidRPr="00EE3355">
        <w:t xml:space="preserve"> byly zaznamenány závažné reakce přecitlivělosti (viz bod 4.8). Tyto reakce mohou být závažnější a potenciálně fatální u pacientů, u nichž se objevily reakce přecitlivělosti v průběhu předchozích infuzí, přestože byli premedikováni steroidy a antihistaminiky. Pro případ anafylaktické reakce během léčby přípravkem </w:t>
      </w:r>
      <w:r w:rsidR="00812FCE">
        <w:t>Avtozma</w:t>
      </w:r>
      <w:r w:rsidRPr="00EE3355">
        <w:t xml:space="preserve"> má být okamžitě dostupná adekvátní léčba. Pokud se objeví anafylaktická reakce nebo jiná závažná reakce přecitlivělosti/závažná reakce související s infuzí, musí se podávání přípravku </w:t>
      </w:r>
      <w:r w:rsidR="00812FCE">
        <w:t>Avtozma</w:t>
      </w:r>
      <w:r w:rsidRPr="00EE3355">
        <w:t xml:space="preserve"> okamžitě přerušit a léčba přípravkem musí být trvale ukončena.</w:t>
      </w:r>
    </w:p>
    <w:p w14:paraId="0EE99F82" w14:textId="77777777" w:rsidR="00DE5D09" w:rsidRPr="00EE3355" w:rsidRDefault="00DE5D09" w:rsidP="00EA1CDF">
      <w:pPr>
        <w:pStyle w:val="a3"/>
        <w:widowControl/>
        <w:ind w:left="0"/>
      </w:pPr>
    </w:p>
    <w:p w14:paraId="3398FDB1" w14:textId="77777777" w:rsidR="00222DE0" w:rsidRPr="00EE3355" w:rsidRDefault="0098273B" w:rsidP="00EA1CDF">
      <w:pPr>
        <w:widowControl/>
        <w:rPr>
          <w:i/>
        </w:rPr>
      </w:pPr>
      <w:r w:rsidRPr="00EE3355">
        <w:rPr>
          <w:i/>
        </w:rPr>
        <w:t>Aktivní jaterní onemocnění a jaterní poškození</w:t>
      </w:r>
    </w:p>
    <w:p w14:paraId="0F494360" w14:textId="5C32D778" w:rsidR="00222DE0" w:rsidRPr="00EE3355" w:rsidRDefault="0098273B" w:rsidP="00EA1CDF">
      <w:pPr>
        <w:pStyle w:val="a3"/>
        <w:widowControl/>
        <w:ind w:left="0"/>
      </w:pPr>
      <w:r w:rsidRPr="00EE3355">
        <w:t xml:space="preserve">Léčba </w:t>
      </w:r>
      <w:r w:rsidR="00812FCE" w:rsidRPr="001879E9">
        <w:t>tocilizumab</w:t>
      </w:r>
      <w:r w:rsidR="00812FCE">
        <w:t>em</w:t>
      </w:r>
      <w:r w:rsidRPr="00EE3355">
        <w:t>, zvláště pokud je podáván současně s MTX, může být spojena se zvýšením jaterních aminotransferáz, proto pacientům s aktivním jaterním onemocněním nebo jaterním poškozením má být věnována pozornost (viz body 4.2 a 4.8).</w:t>
      </w:r>
    </w:p>
    <w:p w14:paraId="08AA65B6" w14:textId="77777777" w:rsidR="00DE5D09" w:rsidRPr="00EE3355" w:rsidRDefault="00DE5D09" w:rsidP="00EA1CDF">
      <w:pPr>
        <w:pStyle w:val="a3"/>
        <w:widowControl/>
        <w:ind w:left="0"/>
      </w:pPr>
    </w:p>
    <w:p w14:paraId="0C0CB490" w14:textId="77777777" w:rsidR="00222DE0" w:rsidRPr="00EE3355" w:rsidRDefault="0098273B" w:rsidP="00EA1CDF">
      <w:pPr>
        <w:widowControl/>
        <w:rPr>
          <w:i/>
        </w:rPr>
      </w:pPr>
      <w:r w:rsidRPr="00EE3355">
        <w:rPr>
          <w:i/>
        </w:rPr>
        <w:t>Hepatotoxicita</w:t>
      </w:r>
    </w:p>
    <w:p w14:paraId="5E77A9B0" w14:textId="42269870" w:rsidR="00222DE0" w:rsidRPr="00EE3355" w:rsidRDefault="0098273B" w:rsidP="00EA1CDF">
      <w:pPr>
        <w:pStyle w:val="a3"/>
        <w:widowControl/>
        <w:ind w:left="0"/>
      </w:pPr>
      <w:r w:rsidRPr="00EE3355">
        <w:t xml:space="preserve">Při léčbě </w:t>
      </w:r>
      <w:r w:rsidR="00812FCE" w:rsidRPr="001879E9">
        <w:t>tocilizumab</w:t>
      </w:r>
      <w:r w:rsidR="00812FCE">
        <w:t xml:space="preserve">em </w:t>
      </w:r>
      <w:r w:rsidRPr="00EE3355">
        <w:t>bylo často hlášeno přechodné nebo intermitentní mírné až středně závažné zvýšení jaterních aminotransferáz (viz bod 4.8). Pokud byl v kombinaci s</w:t>
      </w:r>
      <w:r w:rsidR="00812FCE">
        <w:t> </w:t>
      </w:r>
      <w:r w:rsidR="00812FCE" w:rsidRPr="001879E9">
        <w:t>tocilizumab</w:t>
      </w:r>
      <w:r w:rsidR="00812FCE">
        <w:t xml:space="preserve">em </w:t>
      </w:r>
      <w:r w:rsidRPr="00EE3355">
        <w:t>podáván potenciálně hepatotoxický lék (např. MTX), bylo pozorováno zvýšení frekvence těchto elevací. V případě, že je to klinicky odůvodněno, je třeba zvážit provedení dalších jaterních testů, včetně testů na bilirubin.</w:t>
      </w:r>
    </w:p>
    <w:p w14:paraId="2FB5B9AD" w14:textId="77777777" w:rsidR="00DE5D09" w:rsidRPr="00EE3355" w:rsidRDefault="00DE5D09" w:rsidP="00EA1CDF">
      <w:pPr>
        <w:pStyle w:val="a3"/>
        <w:widowControl/>
        <w:ind w:left="0"/>
      </w:pPr>
    </w:p>
    <w:p w14:paraId="69A0FB89" w14:textId="3384470D" w:rsidR="00222DE0" w:rsidRPr="00EE3355" w:rsidRDefault="0098273B" w:rsidP="00EA1CDF">
      <w:pPr>
        <w:pStyle w:val="a3"/>
        <w:widowControl/>
        <w:ind w:left="0"/>
      </w:pPr>
      <w:r w:rsidRPr="00EE3355">
        <w:t xml:space="preserve">Při léčbě </w:t>
      </w:r>
      <w:r w:rsidR="00812FCE" w:rsidRPr="001879E9">
        <w:t>tocilizumab</w:t>
      </w:r>
      <w:r w:rsidR="00812FCE">
        <w:t>em</w:t>
      </w:r>
      <w:r w:rsidRPr="00EE3355">
        <w:t xml:space="preserve"> bylo pozorováno závažné polékové poškození jater zahrnující akutní jaterní selhání, hepatitidu a ikterus (viz bod 4.8). Závažné poškození jater se vyskytlo od 2 týdnů do více než 5 let od zahájení léčby </w:t>
      </w:r>
      <w:r w:rsidR="00812FCE" w:rsidRPr="001879E9">
        <w:t>tocilizumab</w:t>
      </w:r>
      <w:r w:rsidR="00812FCE">
        <w:t>em</w:t>
      </w:r>
      <w:r w:rsidRPr="00EE3355">
        <w:t xml:space="preserve">. Byly hlášeny případy jaterního selhání vedoucí k transplantaci </w:t>
      </w:r>
      <w:r w:rsidRPr="00EE3355">
        <w:lastRenderedPageBreak/>
        <w:t>jater. Pacienti mají být poučeni o nutnosti vyhledat okamžitě lékařskou pomoc, pokud se u nich vyskytnou známky a příznaky poškození jater.</w:t>
      </w:r>
    </w:p>
    <w:p w14:paraId="5FDEA0DE" w14:textId="77777777" w:rsidR="00222DE0" w:rsidRPr="00EE3355" w:rsidRDefault="00222DE0" w:rsidP="00EA1CDF">
      <w:pPr>
        <w:pStyle w:val="a3"/>
        <w:widowControl/>
        <w:ind w:left="0"/>
      </w:pPr>
    </w:p>
    <w:p w14:paraId="7ACE4647" w14:textId="74A67DDC" w:rsidR="00222DE0" w:rsidRPr="00EE3355" w:rsidRDefault="0098273B" w:rsidP="00EA1CDF">
      <w:pPr>
        <w:pStyle w:val="a3"/>
        <w:widowControl/>
        <w:ind w:left="0"/>
        <w:jc w:val="both"/>
      </w:pPr>
      <w:r w:rsidRPr="00EE3355">
        <w:t xml:space="preserve">Zahájení léčby přípravkem </w:t>
      </w:r>
      <w:r w:rsidR="00812FCE">
        <w:t>Avtozma</w:t>
      </w:r>
      <w:r w:rsidRPr="00EE3355">
        <w:t xml:space="preserve"> u pacientů s elevací ALT (alaninaminotransferáza) nebo AST (aspartátaminotransferáza) &gt; 1,5 x ULN má být věnována zvýšená pozornost. U pacientů s RA, pJIA a sJIA s výchozími hodnotami ALT nebo AST &gt; 5 x ULN není léčba doporučena.</w:t>
      </w:r>
    </w:p>
    <w:p w14:paraId="566B05A2" w14:textId="77777777" w:rsidR="00DE5D09" w:rsidRPr="00EE3355" w:rsidRDefault="00DE5D09" w:rsidP="00EA1CDF">
      <w:pPr>
        <w:pStyle w:val="a3"/>
        <w:widowControl/>
        <w:ind w:left="0"/>
        <w:jc w:val="both"/>
      </w:pPr>
    </w:p>
    <w:p w14:paraId="62C3EACC" w14:textId="0E9EFC84" w:rsidR="00222DE0" w:rsidRPr="00EE3355" w:rsidRDefault="0098273B" w:rsidP="00EA1CDF">
      <w:pPr>
        <w:pStyle w:val="a3"/>
        <w:widowControl/>
        <w:ind w:left="0"/>
      </w:pPr>
      <w:r w:rsidRPr="00EE3355">
        <w:t xml:space="preserve">U pacientů s RA, pJIA a sJIA je třeba ALT/AST monitorovat jednou za 4 až 8 týdnů po dobu prvních 6 měsíců léčby a následně jednou za 12 týdnů. Doporučené úpravy dávkování, včetně ukončení podávání přípravku </w:t>
      </w:r>
      <w:r w:rsidR="00812FCE">
        <w:t>Avtozma</w:t>
      </w:r>
      <w:r w:rsidRPr="00EE3355">
        <w:t xml:space="preserve">, na základě hladin aminotransferáz jsou uvedeny v bodě 4.2. Při elevaci ALT nebo AST &gt; 3-5 x ULN, která je potvrzena opakovanými testy, má být léčba přípravkem </w:t>
      </w:r>
      <w:r w:rsidR="00812FCE">
        <w:t>Avtozma</w:t>
      </w:r>
      <w:r w:rsidRPr="00EE3355">
        <w:t xml:space="preserve"> přerušena.</w:t>
      </w:r>
    </w:p>
    <w:p w14:paraId="111370E0" w14:textId="77777777" w:rsidR="00222DE0" w:rsidRPr="00EE3355" w:rsidRDefault="00222DE0" w:rsidP="00EA1CDF">
      <w:pPr>
        <w:pStyle w:val="a3"/>
        <w:widowControl/>
        <w:ind w:left="0"/>
      </w:pPr>
    </w:p>
    <w:p w14:paraId="31DDEFE8" w14:textId="77777777" w:rsidR="00222DE0" w:rsidRPr="00EE3355" w:rsidRDefault="0098273B" w:rsidP="00EA1CDF">
      <w:pPr>
        <w:keepNext/>
        <w:widowControl/>
        <w:rPr>
          <w:i/>
        </w:rPr>
      </w:pPr>
      <w:r w:rsidRPr="00EE3355">
        <w:rPr>
          <w:i/>
        </w:rPr>
        <w:t>Hematologické odchylky</w:t>
      </w:r>
    </w:p>
    <w:p w14:paraId="2A496968" w14:textId="77777777" w:rsidR="00222DE0" w:rsidRPr="00EE3355" w:rsidRDefault="0098273B" w:rsidP="00EA1CDF">
      <w:pPr>
        <w:pStyle w:val="a3"/>
        <w:widowControl/>
        <w:ind w:left="0"/>
      </w:pPr>
      <w:r w:rsidRPr="00EE3355">
        <w:t>Při léčbě tocilizumabem v dávce 8 mg/kg v kombinaci s MTX byl pozorován pokles neutrofilů a trombocytů (viz bod 4.8). U pacientů, kteří byli předtím léčeni antagonistou TNF, může existovat zvýšené riziko neutropenie.</w:t>
      </w:r>
    </w:p>
    <w:p w14:paraId="5D5D7141" w14:textId="77777777" w:rsidR="00222DE0" w:rsidRPr="00EE3355" w:rsidRDefault="00222DE0" w:rsidP="00EA1CDF">
      <w:pPr>
        <w:pStyle w:val="a3"/>
        <w:widowControl/>
        <w:ind w:left="0"/>
      </w:pPr>
    </w:p>
    <w:p w14:paraId="64CEA679" w14:textId="2A16D596" w:rsidR="00222DE0" w:rsidRPr="00EE3355" w:rsidRDefault="0098273B" w:rsidP="00EA1CDF">
      <w:pPr>
        <w:pStyle w:val="a3"/>
        <w:widowControl/>
        <w:ind w:left="0"/>
      </w:pPr>
      <w:r w:rsidRPr="00EE3355">
        <w:t xml:space="preserve">U pacientů, kteří nebyli dříve léčeni </w:t>
      </w:r>
      <w:r w:rsidR="00812FCE" w:rsidRPr="001879E9">
        <w:rPr>
          <w:rFonts w:hint="eastAsia"/>
        </w:rPr>
        <w:t>tocilizumab</w:t>
      </w:r>
      <w:r w:rsidR="00812FCE">
        <w:t>em</w:t>
      </w:r>
      <w:r w:rsidRPr="00EE3355">
        <w:t xml:space="preserve"> a u nichž je absolutní počet neutrofilů (ANC) nižší než 2 x 10</w:t>
      </w:r>
      <w:r w:rsidRPr="00EE3355">
        <w:rPr>
          <w:vertAlign w:val="superscript"/>
        </w:rPr>
        <w:t>9</w:t>
      </w:r>
      <w:r w:rsidRPr="00EE3355">
        <w:t xml:space="preserve">/l, se zahájení léčby nedoporučuje. Pokud je zvažováno zahájení léčby </w:t>
      </w:r>
      <w:r w:rsidR="00D20E03" w:rsidRPr="001879E9">
        <w:rPr>
          <w:rFonts w:hint="eastAsia"/>
        </w:rPr>
        <w:t>tocilizumab</w:t>
      </w:r>
      <w:r w:rsidR="00D20E03">
        <w:t>em</w:t>
      </w:r>
      <w:r w:rsidRPr="00EE3355">
        <w:t xml:space="preserve"> u pacientů s nízkým počtem trombocytů (tj. počet trombocytů nižší</w:t>
      </w:r>
      <w:r w:rsidR="00E655AC" w:rsidRPr="00EE3355">
        <w:t xml:space="preserve"> </w:t>
      </w:r>
      <w:r w:rsidRPr="00EE3355">
        <w:t>než 100 x 10</w:t>
      </w:r>
      <w:r w:rsidRPr="00EE3355">
        <w:rPr>
          <w:vertAlign w:val="superscript"/>
        </w:rPr>
        <w:t>3</w:t>
      </w:r>
      <w:r w:rsidRPr="00EE3355">
        <w:t>/</w:t>
      </w:r>
      <w:r w:rsidRPr="00EE3355">
        <w:rPr>
          <w:rFonts w:ascii="Symbol" w:hAnsi="Symbol"/>
        </w:rPr>
        <w:t></w:t>
      </w:r>
      <w:r w:rsidRPr="00EE3355">
        <w:t>l), má jim být věnována zvláštní pozornost. U pacientů s RA, pJIA a sJIA, u kterých je ANC &lt; 0,5 x 10</w:t>
      </w:r>
      <w:r w:rsidRPr="00EE3355">
        <w:rPr>
          <w:vertAlign w:val="superscript"/>
        </w:rPr>
        <w:t>9</w:t>
      </w:r>
      <w:r w:rsidRPr="00EE3355">
        <w:t>/l nebo počet trombocytů &lt; 50 x 10</w:t>
      </w:r>
      <w:r w:rsidRPr="00EE3355">
        <w:rPr>
          <w:vertAlign w:val="superscript"/>
        </w:rPr>
        <w:t>3</w:t>
      </w:r>
      <w:r w:rsidRPr="00EE3355">
        <w:t>/</w:t>
      </w:r>
      <w:r w:rsidRPr="00EE3355">
        <w:rPr>
          <w:rFonts w:ascii="Symbol" w:hAnsi="Symbol"/>
        </w:rPr>
        <w:t></w:t>
      </w:r>
      <w:r w:rsidRPr="00EE3355">
        <w:t>l, se nedoporučuje pokračovat v léčbě.</w:t>
      </w:r>
    </w:p>
    <w:p w14:paraId="66D56452" w14:textId="77777777" w:rsidR="00E655AC" w:rsidRPr="00EE3355" w:rsidRDefault="00E655AC" w:rsidP="00EA1CDF">
      <w:pPr>
        <w:pStyle w:val="a3"/>
        <w:widowControl/>
        <w:ind w:left="0"/>
      </w:pPr>
    </w:p>
    <w:p w14:paraId="23767B00" w14:textId="490CB09C" w:rsidR="00222DE0" w:rsidRPr="00EE3355" w:rsidRDefault="0098273B" w:rsidP="00EA1CDF">
      <w:pPr>
        <w:pStyle w:val="a3"/>
        <w:widowControl/>
        <w:ind w:left="0"/>
        <w:jc w:val="both"/>
      </w:pPr>
      <w:r w:rsidRPr="00EE3355">
        <w:t xml:space="preserve">Těžká neutropenie může být spojena se zvýšeným rizikem závažných infekcí, ačkoliv zřejmá spojitost mezi snížením počtu neutrofilů a výskytem závažných infekcí nebyla doposud v klinických studiích s </w:t>
      </w:r>
      <w:r w:rsidR="00D20E03" w:rsidRPr="001879E9">
        <w:rPr>
          <w:rFonts w:hint="eastAsia"/>
        </w:rPr>
        <w:t>tocilizumab</w:t>
      </w:r>
      <w:r w:rsidR="00D20E03">
        <w:t>em</w:t>
      </w:r>
      <w:r w:rsidRPr="00EE3355">
        <w:t xml:space="preserve"> zjištěna.</w:t>
      </w:r>
    </w:p>
    <w:p w14:paraId="13598758" w14:textId="77777777" w:rsidR="00E655AC" w:rsidRPr="00EE3355" w:rsidRDefault="00E655AC" w:rsidP="00EA1CDF">
      <w:pPr>
        <w:pStyle w:val="a3"/>
        <w:widowControl/>
        <w:ind w:left="0"/>
        <w:jc w:val="both"/>
      </w:pPr>
    </w:p>
    <w:p w14:paraId="6CA9F45D" w14:textId="77777777" w:rsidR="00222DE0" w:rsidRDefault="0098273B" w:rsidP="00EA1CDF">
      <w:pPr>
        <w:pStyle w:val="a3"/>
        <w:widowControl/>
        <w:ind w:left="0"/>
        <w:jc w:val="both"/>
        <w:rPr>
          <w:rFonts w:eastAsia="맑은 고딕"/>
          <w:lang w:eastAsia="ko-KR"/>
        </w:rPr>
      </w:pPr>
      <w:r w:rsidRPr="00EE3355">
        <w:t>U pacientů s RA je třeba počet neutrofilů a trombocytů monitorovat 4 až 8 týdnů po zahájení terapie a následně podle správné klinické praxe. Doporučené úpravy dávky na základě počtu ANC a neutrofilů viz bod 4.2.</w:t>
      </w:r>
    </w:p>
    <w:p w14:paraId="4103E3AE" w14:textId="77777777" w:rsidR="00A4538B" w:rsidRPr="00B93217" w:rsidRDefault="00A4538B" w:rsidP="00EA1CDF">
      <w:pPr>
        <w:pStyle w:val="a3"/>
        <w:widowControl/>
        <w:ind w:left="0"/>
        <w:jc w:val="both"/>
        <w:rPr>
          <w:rFonts w:eastAsia="맑은 고딕"/>
          <w:lang w:eastAsia="ko-KR"/>
        </w:rPr>
      </w:pPr>
    </w:p>
    <w:p w14:paraId="4F1072DE" w14:textId="77777777" w:rsidR="00222DE0" w:rsidRPr="00EE3355" w:rsidRDefault="0098273B" w:rsidP="00EA1CDF">
      <w:pPr>
        <w:pStyle w:val="a3"/>
        <w:widowControl/>
        <w:ind w:left="0"/>
      </w:pPr>
      <w:r w:rsidRPr="00EE3355">
        <w:t>U pacientů se sJIA a pJIA je třeba počet neutrofilů a trombocytů monitorovat v době druhé infuze a poté podle zásad správné klinické praxe, viz bod 4.2.</w:t>
      </w:r>
    </w:p>
    <w:p w14:paraId="45139BD2" w14:textId="77777777" w:rsidR="00222DE0" w:rsidRPr="00EE3355" w:rsidRDefault="00222DE0" w:rsidP="00EA1CDF">
      <w:pPr>
        <w:pStyle w:val="a3"/>
        <w:widowControl/>
        <w:ind w:left="0"/>
      </w:pPr>
    </w:p>
    <w:p w14:paraId="1C4D93B8" w14:textId="77777777" w:rsidR="00222DE0" w:rsidRPr="00EE3355" w:rsidRDefault="0098273B" w:rsidP="00EA1CDF">
      <w:pPr>
        <w:widowControl/>
        <w:rPr>
          <w:i/>
        </w:rPr>
      </w:pPr>
      <w:r w:rsidRPr="00EE3355">
        <w:rPr>
          <w:i/>
        </w:rPr>
        <w:t>Lipidové parametry</w:t>
      </w:r>
    </w:p>
    <w:p w14:paraId="6728B7CF" w14:textId="77777777" w:rsidR="00222DE0" w:rsidRDefault="0098273B" w:rsidP="00EA1CDF">
      <w:pPr>
        <w:pStyle w:val="a3"/>
        <w:widowControl/>
        <w:ind w:left="0"/>
      </w:pPr>
      <w:r w:rsidRPr="00EE3355">
        <w:t>U pacientů léčených tocilizumabem bylo pozorováno zvýšení lipidových parametrů, včetně hladiny celkového cholesterolu, lipoproteinů s nízkou hustotou (LDL), lipoproteinů s vysokou hustotou (HDL) a triglyceridů (viz bod 4.8). U většiny pacientů, kteří odpověděli na léčbu hypolipidemiky, nedošlo ke zvýšení aterogenního indexu ani zvýšení celkového cholesterolu.</w:t>
      </w:r>
    </w:p>
    <w:p w14:paraId="2020625C" w14:textId="77777777" w:rsidR="008E1B8C" w:rsidRPr="00EE3355" w:rsidRDefault="008E1B8C" w:rsidP="00EA1CDF">
      <w:pPr>
        <w:pStyle w:val="a3"/>
        <w:widowControl/>
        <w:ind w:left="0"/>
      </w:pPr>
    </w:p>
    <w:p w14:paraId="156A14F4" w14:textId="6F131E04" w:rsidR="00222DE0" w:rsidRPr="00EE3355" w:rsidRDefault="0098273B" w:rsidP="00EA1CDF">
      <w:pPr>
        <w:pStyle w:val="a3"/>
        <w:widowControl/>
        <w:ind w:left="0"/>
      </w:pPr>
      <w:r w:rsidRPr="00EE3355">
        <w:t xml:space="preserve">U pacientů se sJIA, pJIA a RA je třeba provést stanovení lipidových parametrů 4 až 8 týdnů po zahájení léčby </w:t>
      </w:r>
      <w:r w:rsidR="00D20E03" w:rsidRPr="001879E9">
        <w:rPr>
          <w:rFonts w:hint="eastAsia"/>
        </w:rPr>
        <w:t>tocilizumab</w:t>
      </w:r>
      <w:r w:rsidR="00D20E03">
        <w:t>em</w:t>
      </w:r>
      <w:r w:rsidRPr="00EE3355">
        <w:t>. Pacienti mají být léčeni podle místních klinických doporučení pro léčbu hyperlipid</w:t>
      </w:r>
      <w:r w:rsidR="0061713E">
        <w:t>e</w:t>
      </w:r>
      <w:r w:rsidRPr="00EE3355">
        <w:t>mie.</w:t>
      </w:r>
    </w:p>
    <w:p w14:paraId="21B28A97" w14:textId="77777777" w:rsidR="00222DE0" w:rsidRPr="00EE3355" w:rsidRDefault="00222DE0" w:rsidP="00EA1CDF">
      <w:pPr>
        <w:pStyle w:val="a3"/>
        <w:widowControl/>
        <w:ind w:left="0"/>
      </w:pPr>
    </w:p>
    <w:p w14:paraId="597B944D" w14:textId="77777777" w:rsidR="00222DE0" w:rsidRPr="00EE3355" w:rsidRDefault="0098273B" w:rsidP="00EA1CDF">
      <w:pPr>
        <w:widowControl/>
        <w:rPr>
          <w:i/>
        </w:rPr>
      </w:pPr>
      <w:r w:rsidRPr="00EE3355">
        <w:rPr>
          <w:i/>
        </w:rPr>
        <w:t>Neurologické poruchy</w:t>
      </w:r>
    </w:p>
    <w:p w14:paraId="74F538D1" w14:textId="62C59E80" w:rsidR="00222DE0" w:rsidRPr="00EE3355" w:rsidRDefault="0098273B" w:rsidP="00EA1CDF">
      <w:pPr>
        <w:pStyle w:val="a3"/>
        <w:widowControl/>
        <w:ind w:left="0"/>
      </w:pPr>
      <w:r w:rsidRPr="00EE3355">
        <w:t xml:space="preserve">Lékař má věnovat pozornost příznakům, které by mohly naznačovat nový nástup centrální demyelinizační poruchy. Jaký má </w:t>
      </w:r>
      <w:r w:rsidR="00D20E03" w:rsidRPr="001879E9">
        <w:rPr>
          <w:rFonts w:hint="eastAsia"/>
        </w:rPr>
        <w:t>tocilizumab</w:t>
      </w:r>
      <w:r w:rsidRPr="00EE3355">
        <w:t xml:space="preserve"> potenciál pro rozvoj centrální demyelinizace, není zatím známo.</w:t>
      </w:r>
    </w:p>
    <w:p w14:paraId="7E91AAE0" w14:textId="77777777" w:rsidR="00222DE0" w:rsidRPr="00EE3355" w:rsidRDefault="00222DE0" w:rsidP="00EA1CDF">
      <w:pPr>
        <w:pStyle w:val="a3"/>
        <w:widowControl/>
        <w:ind w:left="0"/>
      </w:pPr>
    </w:p>
    <w:p w14:paraId="35554471" w14:textId="77777777" w:rsidR="00222DE0" w:rsidRPr="00EE3355" w:rsidRDefault="0098273B" w:rsidP="00EA1CDF">
      <w:pPr>
        <w:widowControl/>
        <w:rPr>
          <w:i/>
        </w:rPr>
      </w:pPr>
      <w:r w:rsidRPr="00EE3355">
        <w:rPr>
          <w:i/>
        </w:rPr>
        <w:t>Malignity</w:t>
      </w:r>
    </w:p>
    <w:p w14:paraId="232F80A3" w14:textId="77777777" w:rsidR="00222DE0" w:rsidRPr="00EE3355" w:rsidRDefault="0098273B" w:rsidP="00EA1CDF">
      <w:pPr>
        <w:pStyle w:val="a3"/>
        <w:widowControl/>
        <w:ind w:left="0"/>
      </w:pPr>
      <w:r w:rsidRPr="00EE3355">
        <w:t>U pacientů s RA je riziko maligního onemocnění zvýšené. Riziko malignity mohou zvyšovat i imunomodulační léčivé přípravky.</w:t>
      </w:r>
    </w:p>
    <w:p w14:paraId="7066C208" w14:textId="77777777" w:rsidR="002A0001" w:rsidRPr="00EE3355" w:rsidRDefault="002A0001" w:rsidP="00EA1CDF">
      <w:pPr>
        <w:pStyle w:val="a3"/>
        <w:widowControl/>
        <w:ind w:left="0"/>
      </w:pPr>
    </w:p>
    <w:p w14:paraId="312E9E6D" w14:textId="77777777" w:rsidR="00222DE0" w:rsidRPr="00EE3355" w:rsidRDefault="0098273B" w:rsidP="00EA1CDF">
      <w:pPr>
        <w:widowControl/>
        <w:rPr>
          <w:i/>
        </w:rPr>
      </w:pPr>
      <w:r w:rsidRPr="00EE3355">
        <w:rPr>
          <w:i/>
        </w:rPr>
        <w:t>Očkování</w:t>
      </w:r>
    </w:p>
    <w:p w14:paraId="64807644" w14:textId="487383D1" w:rsidR="00222DE0" w:rsidRPr="00EE3355" w:rsidRDefault="0098273B" w:rsidP="00EA1CDF">
      <w:pPr>
        <w:pStyle w:val="a3"/>
        <w:widowControl/>
        <w:ind w:left="0"/>
      </w:pPr>
      <w:r w:rsidRPr="00EE3355">
        <w:t xml:space="preserve">Vzhledem k tomu, že nebyla stanovena jejich bezpečnost, nesmí se při podávání </w:t>
      </w:r>
      <w:r w:rsidR="00D20E03" w:rsidRPr="001879E9">
        <w:rPr>
          <w:rFonts w:hint="eastAsia"/>
        </w:rPr>
        <w:t>tocilizumab</w:t>
      </w:r>
      <w:r w:rsidR="00D20E03">
        <w:t xml:space="preserve">u </w:t>
      </w:r>
      <w:r w:rsidRPr="00EE3355">
        <w:t xml:space="preserve">aplikovat živé nebo atenuované vakcíny. V randomizované otevřené studii byli dospělí pacienti s RA, </w:t>
      </w:r>
      <w:r w:rsidRPr="00EE3355">
        <w:lastRenderedPageBreak/>
        <w:t xml:space="preserve">kteří byli léčeni </w:t>
      </w:r>
      <w:r w:rsidR="00D20E03" w:rsidRPr="001879E9">
        <w:rPr>
          <w:rFonts w:hint="eastAsia"/>
        </w:rPr>
        <w:t>tocilizumab</w:t>
      </w:r>
      <w:r w:rsidR="00D20E03">
        <w:t>em</w:t>
      </w:r>
      <w:r w:rsidRPr="00EE3355">
        <w:t xml:space="preserve"> a methotrexátem, schopni účinné odpovědi na 23valentní pneumokokovou polysacharidovou vakcínu a vakcínu obsahující toxoid tetanu, srovnatelné s odpovědí u pacientů léčených pouze methotrexátem. Doporučuje se, aby všichni pacienti, zvláště pacienti</w:t>
      </w:r>
      <w:r w:rsidR="004123AF">
        <w:t xml:space="preserve"> </w:t>
      </w:r>
      <w:r w:rsidRPr="00EE3355">
        <w:t xml:space="preserve">se sJIA a pJIA, měli aktuálně zajištěnou veškerou imunizaci v souladu se současnými imunizačními pokyny před zahájením léčby přípravkem </w:t>
      </w:r>
      <w:r w:rsidR="00D20E03">
        <w:t>Avtozma</w:t>
      </w:r>
      <w:r w:rsidRPr="00EE3355">
        <w:t xml:space="preserve">. Interval mezi očkováním živou očkovací látkou a zahájením léčby přípravkem </w:t>
      </w:r>
      <w:r w:rsidR="00D20E03">
        <w:t>Avtozma</w:t>
      </w:r>
      <w:r w:rsidRPr="00EE3355">
        <w:t xml:space="preserve"> má být v souladu se současnými očkovacími pokyny</w:t>
      </w:r>
      <w:r w:rsidR="004123AF">
        <w:t xml:space="preserve"> </w:t>
      </w:r>
      <w:r w:rsidRPr="00EE3355">
        <w:t>s ohledem na imunosupresivní přípravky.</w:t>
      </w:r>
    </w:p>
    <w:p w14:paraId="2F45F129" w14:textId="77777777" w:rsidR="00222DE0" w:rsidRPr="00EE3355" w:rsidRDefault="00222DE0" w:rsidP="00EA1CDF">
      <w:pPr>
        <w:pStyle w:val="a3"/>
        <w:ind w:left="0"/>
      </w:pPr>
    </w:p>
    <w:p w14:paraId="29417F4C" w14:textId="77777777" w:rsidR="00222DE0" w:rsidRPr="00EE3355" w:rsidRDefault="0098273B" w:rsidP="00EA1CDF">
      <w:pPr>
        <w:keepNext/>
        <w:widowControl/>
        <w:rPr>
          <w:i/>
        </w:rPr>
      </w:pPr>
      <w:r w:rsidRPr="00EE3355">
        <w:rPr>
          <w:i/>
        </w:rPr>
        <w:t>Kardiovaskulární riziko</w:t>
      </w:r>
    </w:p>
    <w:p w14:paraId="50BD5270" w14:textId="4B737803" w:rsidR="00222DE0" w:rsidRPr="00EE3355" w:rsidRDefault="0098273B" w:rsidP="00EA1CDF">
      <w:pPr>
        <w:pStyle w:val="a3"/>
        <w:keepNext/>
        <w:widowControl/>
        <w:ind w:left="0"/>
      </w:pPr>
      <w:r w:rsidRPr="00EE3355">
        <w:t>Pacienti s RA mají zvýšené riziko kardiovaskulárních onemocnění a mají být standardně vyšetřováni pro jejich rizikové faktory (např. hypertenze, hyperlipid</w:t>
      </w:r>
      <w:r w:rsidR="0061713E">
        <w:t>e</w:t>
      </w:r>
      <w:r w:rsidRPr="00EE3355">
        <w:t>mie).</w:t>
      </w:r>
    </w:p>
    <w:p w14:paraId="0A1065A3" w14:textId="77777777" w:rsidR="00222DE0" w:rsidRPr="00EE3355" w:rsidRDefault="00222DE0" w:rsidP="00EA1CDF">
      <w:pPr>
        <w:pStyle w:val="a3"/>
        <w:widowControl/>
        <w:ind w:left="0"/>
      </w:pPr>
    </w:p>
    <w:p w14:paraId="3217D49D" w14:textId="77777777" w:rsidR="00222DE0" w:rsidRPr="00EE3355" w:rsidRDefault="0098273B" w:rsidP="00EA1CDF">
      <w:pPr>
        <w:widowControl/>
        <w:rPr>
          <w:i/>
        </w:rPr>
      </w:pPr>
      <w:r w:rsidRPr="00EE3355">
        <w:rPr>
          <w:i/>
        </w:rPr>
        <w:t>Kombinace s antagonisty TNF</w:t>
      </w:r>
    </w:p>
    <w:p w14:paraId="57445FEE" w14:textId="6EB8F99E" w:rsidR="00222DE0" w:rsidRPr="00EE3355" w:rsidRDefault="0098273B" w:rsidP="00EA1CDF">
      <w:pPr>
        <w:pStyle w:val="a3"/>
        <w:widowControl/>
        <w:ind w:left="0"/>
      </w:pPr>
      <w:r w:rsidRPr="00EE3355">
        <w:t xml:space="preserve">Nejsou žádné zkušenosti s použitím přípravku </w:t>
      </w:r>
      <w:r w:rsidR="00D20E03">
        <w:t>Avtozma</w:t>
      </w:r>
      <w:r w:rsidRPr="00EE3355">
        <w:t xml:space="preserve"> s antagonisty TNF nebo další biologickou</w:t>
      </w:r>
      <w:r w:rsidR="004123AF">
        <w:t xml:space="preserve"> </w:t>
      </w:r>
      <w:r w:rsidRPr="00EE3355">
        <w:t xml:space="preserve">léčbou u pacientů s RA, sJIA nebo pJIA. Přípravek </w:t>
      </w:r>
      <w:r w:rsidR="00D20E03">
        <w:t>Avtozma</w:t>
      </w:r>
      <w:r w:rsidRPr="00EE3355">
        <w:t xml:space="preserve"> není doporučen k používání spolu s dalšími biologickými látkami.</w:t>
      </w:r>
    </w:p>
    <w:p w14:paraId="7520FF94" w14:textId="77777777" w:rsidR="00222DE0" w:rsidRPr="00EE3355" w:rsidRDefault="00222DE0" w:rsidP="00EA1CDF">
      <w:pPr>
        <w:pStyle w:val="a3"/>
        <w:widowControl/>
        <w:ind w:left="0"/>
      </w:pPr>
    </w:p>
    <w:p w14:paraId="15EB0273" w14:textId="77777777" w:rsidR="00222DE0" w:rsidRPr="00EE3355" w:rsidRDefault="0098273B" w:rsidP="00EA1CDF">
      <w:pPr>
        <w:pStyle w:val="a3"/>
        <w:widowControl/>
        <w:ind w:left="0"/>
        <w:rPr>
          <w:u w:val="single"/>
        </w:rPr>
      </w:pPr>
      <w:r w:rsidRPr="00EE3355">
        <w:rPr>
          <w:u w:val="single"/>
        </w:rPr>
        <w:t>Pacienti s onemocněním COVID-19</w:t>
      </w:r>
    </w:p>
    <w:p w14:paraId="73C9A820" w14:textId="77777777" w:rsidR="00F21477" w:rsidRPr="00EE3355" w:rsidRDefault="00F21477" w:rsidP="00EA1CDF">
      <w:pPr>
        <w:pStyle w:val="a3"/>
        <w:widowControl/>
        <w:ind w:left="0"/>
      </w:pPr>
    </w:p>
    <w:p w14:paraId="1A43D63A" w14:textId="4D072485" w:rsidR="00222DE0" w:rsidRPr="00EE3355" w:rsidRDefault="00B23DAE" w:rsidP="00EA1CDF">
      <w:pPr>
        <w:tabs>
          <w:tab w:val="left" w:pos="1159"/>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U pacientů, kteří nemají zvýšené hodnoty CRP, nebyla účinnost přípravku </w:t>
      </w:r>
      <w:r w:rsidR="00D20E03">
        <w:t>Avtozma</w:t>
      </w:r>
      <w:r w:rsidR="00F21477" w:rsidRPr="00EE3355">
        <w:t xml:space="preserve"> </w:t>
      </w:r>
      <w:r w:rsidR="0098273B" w:rsidRPr="00EE3355">
        <w:t>v léčbě onemocnění COVID-19 stanovena, viz bod 5.1.</w:t>
      </w:r>
    </w:p>
    <w:p w14:paraId="377E39A0" w14:textId="2610D304" w:rsidR="00F21477" w:rsidRPr="00EE3355" w:rsidRDefault="00B23DAE" w:rsidP="00EA1CDF">
      <w:pPr>
        <w:tabs>
          <w:tab w:val="left" w:pos="1162"/>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Pacientům s onemocněním COVID-19, kteří nedostávají systémové kortikosteroidy, nemá být přípravek </w:t>
      </w:r>
      <w:r w:rsidR="00D20E03">
        <w:t>Avtozma</w:t>
      </w:r>
      <w:r w:rsidR="0098273B" w:rsidRPr="00EE3355">
        <w:t xml:space="preserve"> podáván, protože v této podskupině není možné vyloučit zvýšení mortality, viz bod 5.1.</w:t>
      </w:r>
    </w:p>
    <w:p w14:paraId="00757EB4" w14:textId="77777777" w:rsidR="00F21477" w:rsidRPr="00EE3355" w:rsidRDefault="00F21477" w:rsidP="00EA1CDF">
      <w:pPr>
        <w:widowControl/>
        <w:tabs>
          <w:tab w:val="left" w:pos="1162"/>
        </w:tabs>
        <w:rPr>
          <w:i/>
        </w:rPr>
      </w:pPr>
    </w:p>
    <w:p w14:paraId="368A6F1F" w14:textId="77777777" w:rsidR="00222DE0" w:rsidRPr="00EE3355" w:rsidRDefault="0098273B" w:rsidP="00EA1CDF">
      <w:pPr>
        <w:widowControl/>
        <w:tabs>
          <w:tab w:val="left" w:pos="1162"/>
        </w:tabs>
        <w:rPr>
          <w:i/>
        </w:rPr>
      </w:pPr>
      <w:r w:rsidRPr="00EE3355">
        <w:rPr>
          <w:i/>
        </w:rPr>
        <w:t>Infekce</w:t>
      </w:r>
    </w:p>
    <w:p w14:paraId="77D5C6C9" w14:textId="27E4799F" w:rsidR="00222DE0" w:rsidRPr="00EE3355" w:rsidRDefault="0098273B" w:rsidP="00EA1CDF">
      <w:pPr>
        <w:pStyle w:val="a3"/>
        <w:widowControl/>
        <w:ind w:left="0"/>
      </w:pPr>
      <w:r w:rsidRPr="00EE3355">
        <w:t xml:space="preserve">Přípravek </w:t>
      </w:r>
      <w:r w:rsidR="00D20E03">
        <w:t>Avtozma</w:t>
      </w:r>
      <w:r w:rsidRPr="00EE3355">
        <w:t xml:space="preserve"> nemá být podáván pacientům s onemocněním COVID-19, kteří mají jakoukoliv další závažnou aktivní infekci. Lékaři mají být opatrní, pokud zvažují použití přípravku </w:t>
      </w:r>
      <w:r w:rsidR="00D20E03">
        <w:t>Avtozma</w:t>
      </w:r>
      <w:r w:rsidRPr="00EE3355">
        <w:t xml:space="preserve"> u pacientů s anamnézou rekurentních nebo chronických infekcí nebo se základními onemocněními (např. divertikulitidou, diabetem a intersticiálním plicním onemocněním), která mohou pacienty predisponovat k infekcím.</w:t>
      </w:r>
    </w:p>
    <w:p w14:paraId="5F38001C" w14:textId="77777777" w:rsidR="00F21477" w:rsidRPr="00EE3355" w:rsidRDefault="00F21477" w:rsidP="00EA1CDF">
      <w:pPr>
        <w:widowControl/>
        <w:rPr>
          <w:i/>
        </w:rPr>
      </w:pPr>
    </w:p>
    <w:p w14:paraId="02690C04" w14:textId="77777777" w:rsidR="00222DE0" w:rsidRPr="00EE3355" w:rsidRDefault="0098273B" w:rsidP="00EA1CDF">
      <w:pPr>
        <w:widowControl/>
        <w:rPr>
          <w:i/>
        </w:rPr>
      </w:pPr>
      <w:r w:rsidRPr="00EE3355">
        <w:rPr>
          <w:i/>
        </w:rPr>
        <w:t>Hepatotoxicita</w:t>
      </w:r>
    </w:p>
    <w:p w14:paraId="12FEA0C4" w14:textId="031A8FB9" w:rsidR="00222DE0" w:rsidRPr="00EE3355" w:rsidRDefault="0098273B" w:rsidP="00EA1CDF">
      <w:pPr>
        <w:pStyle w:val="a3"/>
        <w:widowControl/>
        <w:ind w:left="0"/>
      </w:pPr>
      <w:r w:rsidRPr="00EE3355">
        <w:t xml:space="preserve">Pacienti hospitalizovaní s onemocněním COVID-19 mohou mít zvýšené hladiny ALT nebo AST. Za jednu z komplikací těžkého onemocnění COVID-19 se považuje multiorgánové selhání s postižením jater. Při rozhodování o podání tocilizumabu je třeba zohlednit možný přínos léčby onemocnění COVID-19 v porovnání s potenciálními riziky akutní léčby tocilizumabem. U pacientůs onemocněním COVID -19, kteří mají zvýšené hladiny ALT nebo AST &gt; 10 x ULN se léčba přípravkem </w:t>
      </w:r>
      <w:r w:rsidR="00D20E03">
        <w:t>Avtozma</w:t>
      </w:r>
      <w:r w:rsidRPr="00EE3355">
        <w:t xml:space="preserve"> nedoporučuje. U pacientů s onemocněním COVID-19 je třeba monitorovat ALT/AST v souladu s platnou standardní klinickou praxí.</w:t>
      </w:r>
    </w:p>
    <w:p w14:paraId="4D6A323B" w14:textId="77777777" w:rsidR="00F21477" w:rsidRPr="00EE3355" w:rsidRDefault="00F21477" w:rsidP="00EA1CDF">
      <w:pPr>
        <w:widowControl/>
        <w:rPr>
          <w:i/>
        </w:rPr>
      </w:pPr>
    </w:p>
    <w:p w14:paraId="7E15E6A9" w14:textId="77777777" w:rsidR="00222DE0" w:rsidRPr="00EE3355" w:rsidRDefault="0098273B" w:rsidP="00EA1CDF">
      <w:pPr>
        <w:widowControl/>
        <w:rPr>
          <w:i/>
        </w:rPr>
      </w:pPr>
      <w:r w:rsidRPr="00EE3355">
        <w:rPr>
          <w:i/>
        </w:rPr>
        <w:t>Hematologické odchylky</w:t>
      </w:r>
    </w:p>
    <w:p w14:paraId="293ECA72" w14:textId="77777777" w:rsidR="00222DE0" w:rsidRPr="00EE3355" w:rsidRDefault="0098273B" w:rsidP="008E1B8C">
      <w:pPr>
        <w:pStyle w:val="a3"/>
        <w:widowControl/>
        <w:ind w:left="0"/>
      </w:pPr>
      <w:r w:rsidRPr="00EE3355">
        <w:t>U pacientů s onemocněním COVID-19, u kterých je ANC &lt; 1 x 10</w:t>
      </w:r>
      <w:r w:rsidRPr="00EE3355">
        <w:rPr>
          <w:vertAlign w:val="superscript"/>
        </w:rPr>
        <w:t>9</w:t>
      </w:r>
      <w:r w:rsidRPr="00EE3355">
        <w:t>/l nebo počet</w:t>
      </w:r>
      <w:r w:rsidR="008E1B8C">
        <w:t xml:space="preserve"> </w:t>
      </w:r>
      <w:r w:rsidRPr="00EE3355">
        <w:t>trombocytů &lt; 50 x 10</w:t>
      </w:r>
      <w:r w:rsidRPr="00EE3355">
        <w:rPr>
          <w:vertAlign w:val="superscript"/>
        </w:rPr>
        <w:t>3</w:t>
      </w:r>
      <w:r w:rsidRPr="00EE3355">
        <w:t>/μl, se léčba nedoporučuje. Je třeba sledovat počet neutrofilů a trombocytů</w:t>
      </w:r>
      <w:r w:rsidR="008E1B8C">
        <w:t xml:space="preserve"> </w:t>
      </w:r>
      <w:r w:rsidRPr="00EE3355">
        <w:t>v souladu s platnou standardní klinickou praxí, viz bod 4.2.</w:t>
      </w:r>
    </w:p>
    <w:p w14:paraId="68E9445D" w14:textId="77777777" w:rsidR="00222DE0" w:rsidRPr="00EE3355" w:rsidRDefault="00222DE0" w:rsidP="00EA1CDF">
      <w:pPr>
        <w:pStyle w:val="a3"/>
        <w:widowControl/>
        <w:ind w:left="0"/>
      </w:pPr>
    </w:p>
    <w:p w14:paraId="57F09287" w14:textId="77777777" w:rsidR="00222DE0" w:rsidRPr="00B93217" w:rsidRDefault="0098273B" w:rsidP="00EA1CDF">
      <w:pPr>
        <w:widowControl/>
        <w:rPr>
          <w:bCs/>
        </w:rPr>
      </w:pPr>
      <w:r w:rsidRPr="00B93217">
        <w:rPr>
          <w:bCs/>
          <w:u w:val="single"/>
        </w:rPr>
        <w:t>Pediatrická populace</w:t>
      </w:r>
    </w:p>
    <w:p w14:paraId="433230B7" w14:textId="77777777" w:rsidR="00F21477" w:rsidRPr="00EE3355" w:rsidRDefault="00F21477" w:rsidP="00EA1CDF">
      <w:pPr>
        <w:widowControl/>
        <w:jc w:val="both"/>
        <w:rPr>
          <w:i/>
        </w:rPr>
      </w:pPr>
    </w:p>
    <w:p w14:paraId="7783B6FE" w14:textId="77777777" w:rsidR="00222DE0" w:rsidRPr="00EE3355" w:rsidRDefault="0098273B" w:rsidP="00EA1CDF">
      <w:pPr>
        <w:widowControl/>
        <w:jc w:val="both"/>
        <w:rPr>
          <w:i/>
        </w:rPr>
      </w:pPr>
      <w:r w:rsidRPr="00EE3355">
        <w:rPr>
          <w:i/>
        </w:rPr>
        <w:t>Pacienti se sJIA</w:t>
      </w:r>
    </w:p>
    <w:p w14:paraId="1310184D" w14:textId="77777777" w:rsidR="00222DE0" w:rsidRDefault="0098273B" w:rsidP="00EA1CDF">
      <w:pPr>
        <w:pStyle w:val="a3"/>
        <w:widowControl/>
        <w:ind w:left="0"/>
        <w:jc w:val="both"/>
      </w:pPr>
      <w:r w:rsidRPr="00EE3355">
        <w:t>U pacientů se sJIA se může rozvinout syndrom aktivace makrofágů (MAS, macrophage activation syndrome), což je závažná život ohrožující komplikace. V klinických studiích nebyl tocilizumab u pacientů hodnocen při epizodách aktivního MAS.</w:t>
      </w:r>
    </w:p>
    <w:p w14:paraId="2CD7271D" w14:textId="77777777" w:rsidR="00D20E03" w:rsidRDefault="00D20E03" w:rsidP="00EA1CDF">
      <w:pPr>
        <w:pStyle w:val="a3"/>
        <w:widowControl/>
        <w:ind w:left="0"/>
        <w:jc w:val="both"/>
      </w:pPr>
    </w:p>
    <w:p w14:paraId="69CAA577" w14:textId="6D1B75ED" w:rsidR="00D20E03" w:rsidRDefault="00D20E03" w:rsidP="00EA1CDF">
      <w:pPr>
        <w:pStyle w:val="a3"/>
        <w:widowControl/>
        <w:ind w:left="0"/>
        <w:jc w:val="both"/>
        <w:rPr>
          <w:rFonts w:eastAsia="맑은 고딕"/>
          <w:u w:val="single"/>
          <w:lang w:eastAsia="ko-KR"/>
        </w:rPr>
      </w:pPr>
      <w:r w:rsidRPr="00B93217">
        <w:rPr>
          <w:u w:val="single"/>
        </w:rPr>
        <w:t>Pomocné látky se známým účinkem</w:t>
      </w:r>
    </w:p>
    <w:p w14:paraId="26CA0A62" w14:textId="77777777" w:rsidR="00EC429D" w:rsidRPr="00EC429D" w:rsidRDefault="00EC429D" w:rsidP="00EA1CDF">
      <w:pPr>
        <w:pStyle w:val="a3"/>
        <w:widowControl/>
        <w:ind w:left="0"/>
        <w:jc w:val="both"/>
        <w:rPr>
          <w:rFonts w:eastAsia="맑은 고딕"/>
          <w:u w:val="single"/>
          <w:lang w:eastAsia="ko-KR"/>
        </w:rPr>
      </w:pPr>
    </w:p>
    <w:p w14:paraId="1B51D071" w14:textId="6C49A6C4" w:rsidR="00D20E03" w:rsidRPr="00C41310" w:rsidRDefault="00D20E03" w:rsidP="00EA1CDF">
      <w:pPr>
        <w:pStyle w:val="a3"/>
        <w:widowControl/>
        <w:ind w:left="0"/>
        <w:jc w:val="both"/>
        <w:rPr>
          <w:i/>
          <w:iCs/>
        </w:rPr>
      </w:pPr>
      <w:r w:rsidRPr="00C41310">
        <w:rPr>
          <w:i/>
          <w:iCs/>
        </w:rPr>
        <w:t>Polysorbát</w:t>
      </w:r>
    </w:p>
    <w:p w14:paraId="45A84E53" w14:textId="384B0A1D" w:rsidR="00D20E03" w:rsidRDefault="0008334A" w:rsidP="00EA1CDF">
      <w:pPr>
        <w:pStyle w:val="a3"/>
        <w:widowControl/>
        <w:ind w:left="0"/>
        <w:jc w:val="both"/>
      </w:pPr>
      <w:r>
        <w:t xml:space="preserve">Jedna </w:t>
      </w:r>
      <w:r w:rsidR="00D20E03">
        <w:t>80mg injekční lahvička obsahuje 2,0 mg polysorbátu</w:t>
      </w:r>
      <w:r w:rsidR="00395E0C">
        <w:rPr>
          <w:rFonts w:eastAsia="맑은 고딕" w:hint="eastAsia"/>
          <w:lang w:eastAsia="ko-KR"/>
        </w:rPr>
        <w:t xml:space="preserve"> 80</w:t>
      </w:r>
      <w:r w:rsidR="00D20E03">
        <w:t>.</w:t>
      </w:r>
    </w:p>
    <w:p w14:paraId="1F464C42" w14:textId="55E9A584" w:rsidR="00D20E03" w:rsidRDefault="006C76FC" w:rsidP="00EA1CDF">
      <w:pPr>
        <w:pStyle w:val="a3"/>
        <w:widowControl/>
        <w:ind w:left="0"/>
        <w:jc w:val="both"/>
      </w:pPr>
      <w:r>
        <w:lastRenderedPageBreak/>
        <w:t>Jedna</w:t>
      </w:r>
      <w:r w:rsidR="00D20E03">
        <w:t xml:space="preserve"> 200mg injekční lahvička obsahuje 5,0 mg polysorbátu</w:t>
      </w:r>
      <w:r w:rsidR="00395E0C">
        <w:rPr>
          <w:rFonts w:eastAsia="맑은 고딕" w:hint="eastAsia"/>
          <w:lang w:eastAsia="ko-KR"/>
        </w:rPr>
        <w:t xml:space="preserve"> 80</w:t>
      </w:r>
      <w:r w:rsidR="00D20E03">
        <w:t>.</w:t>
      </w:r>
    </w:p>
    <w:p w14:paraId="2B2532E4" w14:textId="1A4826C4" w:rsidR="00F1554D" w:rsidRDefault="006C76FC" w:rsidP="00EA1CDF">
      <w:pPr>
        <w:pStyle w:val="a3"/>
        <w:widowControl/>
        <w:ind w:left="0"/>
        <w:jc w:val="both"/>
      </w:pPr>
      <w:r>
        <w:t>Jedna</w:t>
      </w:r>
      <w:r w:rsidR="00D20E03">
        <w:t xml:space="preserve"> 400mg injekční lahvička obsahuje 10,0 mg polysorbátu</w:t>
      </w:r>
      <w:r w:rsidR="00395E0C">
        <w:rPr>
          <w:rFonts w:eastAsia="맑은 고딕" w:hint="eastAsia"/>
          <w:lang w:eastAsia="ko-KR"/>
        </w:rPr>
        <w:t xml:space="preserve"> 80</w:t>
      </w:r>
      <w:r w:rsidR="00D20E03">
        <w:t xml:space="preserve">. </w:t>
      </w:r>
    </w:p>
    <w:p w14:paraId="1B01160E" w14:textId="03B7542F" w:rsidR="00D20E03" w:rsidRPr="00EE3355" w:rsidRDefault="00D20E03" w:rsidP="00EA1CDF">
      <w:pPr>
        <w:pStyle w:val="a3"/>
        <w:widowControl/>
        <w:ind w:left="0"/>
        <w:jc w:val="both"/>
      </w:pPr>
      <w:r>
        <w:t>Polysorbáty mohou způsobit alergické reakce. Pacienti s alergií na polysorbáty nesm</w:t>
      </w:r>
      <w:r w:rsidR="00D043F6">
        <w:t>ě</w:t>
      </w:r>
      <w:r>
        <w:t>jí tento léčivý přípravek používat.</w:t>
      </w:r>
    </w:p>
    <w:p w14:paraId="6B80F658" w14:textId="77777777" w:rsidR="00222DE0" w:rsidRPr="00EE3355" w:rsidRDefault="00222DE0" w:rsidP="00EA1CDF">
      <w:pPr>
        <w:pStyle w:val="a3"/>
        <w:widowControl/>
        <w:ind w:left="0"/>
      </w:pPr>
    </w:p>
    <w:p w14:paraId="4D778CE6" w14:textId="77777777" w:rsidR="00222DE0" w:rsidRPr="00EE3355" w:rsidRDefault="00B23DAE" w:rsidP="00B93217">
      <w:pPr>
        <w:pStyle w:val="2"/>
        <w:keepNext/>
        <w:tabs>
          <w:tab w:val="left" w:pos="804"/>
        </w:tabs>
        <w:ind w:left="567" w:hanging="567"/>
      </w:pPr>
      <w:r w:rsidRPr="00EE3355">
        <w:t>4.5</w:t>
      </w:r>
      <w:r w:rsidRPr="00EE3355">
        <w:tab/>
      </w:r>
      <w:r w:rsidR="0098273B" w:rsidRPr="00EE3355">
        <w:t>Interakce s jinými léčivými přípravky a jiné formy interakce</w:t>
      </w:r>
    </w:p>
    <w:p w14:paraId="7E652200" w14:textId="77777777" w:rsidR="00F21477" w:rsidRPr="00EE3355" w:rsidRDefault="00F21477" w:rsidP="00EA1CDF">
      <w:pPr>
        <w:pStyle w:val="a3"/>
        <w:widowControl/>
        <w:ind w:left="0"/>
        <w:jc w:val="both"/>
      </w:pPr>
    </w:p>
    <w:p w14:paraId="08D66106" w14:textId="77777777" w:rsidR="00222DE0" w:rsidRPr="00EE3355" w:rsidRDefault="0098273B" w:rsidP="00EA1CDF">
      <w:pPr>
        <w:pStyle w:val="a3"/>
        <w:widowControl/>
        <w:ind w:left="0"/>
        <w:jc w:val="both"/>
      </w:pPr>
      <w:r w:rsidRPr="00EE3355">
        <w:t>Studie interakcí byly provedeny pouze u dospělých.</w:t>
      </w:r>
    </w:p>
    <w:p w14:paraId="2354E2F2" w14:textId="77777777" w:rsidR="00222DE0" w:rsidRPr="00EE3355" w:rsidRDefault="00222DE0" w:rsidP="00EA1CDF">
      <w:pPr>
        <w:pStyle w:val="a3"/>
        <w:widowControl/>
        <w:ind w:left="0"/>
      </w:pPr>
    </w:p>
    <w:p w14:paraId="0A93277F" w14:textId="77777777" w:rsidR="00222DE0" w:rsidRPr="00EE3355" w:rsidRDefault="0098273B" w:rsidP="00EA1CDF">
      <w:pPr>
        <w:pStyle w:val="a3"/>
        <w:widowControl/>
        <w:ind w:left="0"/>
        <w:jc w:val="both"/>
      </w:pPr>
      <w:r w:rsidRPr="00EE3355">
        <w:t>Současné podání jednorázové dávky tocilizumabu 10 mg/kg s MTX v dávce 10 – 25 mg podávané</w:t>
      </w:r>
      <w:r w:rsidR="00160603">
        <w:t xml:space="preserve"> </w:t>
      </w:r>
      <w:r w:rsidRPr="00EE3355">
        <w:t>jedenkrát týdně nemělo klinicky významný vliv na expozici MTX.</w:t>
      </w:r>
    </w:p>
    <w:p w14:paraId="4A5EF4D9" w14:textId="77777777" w:rsidR="00222DE0" w:rsidRPr="00EE3355" w:rsidRDefault="00222DE0" w:rsidP="00EA1CDF">
      <w:pPr>
        <w:pStyle w:val="a3"/>
        <w:widowControl/>
        <w:ind w:left="0"/>
      </w:pPr>
    </w:p>
    <w:p w14:paraId="37E40E23" w14:textId="77777777" w:rsidR="00222DE0" w:rsidRPr="00EE3355" w:rsidRDefault="0098273B" w:rsidP="00EA1CDF">
      <w:pPr>
        <w:pStyle w:val="a3"/>
        <w:widowControl/>
        <w:ind w:left="0"/>
        <w:jc w:val="both"/>
      </w:pPr>
      <w:r w:rsidRPr="00EE3355">
        <w:t>Populační farmakokinetické analýzy neprokázaly žádný vliv MTX, nesteroidních protizánětlivých léků (NSAID) nebo kortikosteroidů na clearance tocilizumabu.</w:t>
      </w:r>
    </w:p>
    <w:p w14:paraId="42FF1E5F" w14:textId="77777777" w:rsidR="00F21477" w:rsidRPr="00EE3355" w:rsidRDefault="00F21477" w:rsidP="00EA1CDF">
      <w:pPr>
        <w:pStyle w:val="a3"/>
        <w:widowControl/>
        <w:ind w:left="0"/>
        <w:jc w:val="both"/>
      </w:pPr>
    </w:p>
    <w:p w14:paraId="503CEB31" w14:textId="77777777" w:rsidR="00222DE0" w:rsidRPr="00EE3355" w:rsidRDefault="0098273B" w:rsidP="00EA1CDF">
      <w:pPr>
        <w:pStyle w:val="a3"/>
        <w:widowControl/>
        <w:ind w:left="0"/>
      </w:pPr>
      <w:r w:rsidRPr="00EE3355">
        <w:t>Exprese jaterních enzymů CYP450 je potlačena cytokiny, jako je například IL-6, který stimuluje chronický zánět. Exprese CYP450 ale může být reverzibilní, pokud je k terapii přidán silný cytokinový inhibitor, jako je například tocilizumab.</w:t>
      </w:r>
    </w:p>
    <w:p w14:paraId="4C1797FB" w14:textId="77777777" w:rsidR="00222DE0" w:rsidRPr="00EE3355" w:rsidRDefault="00222DE0" w:rsidP="00EA1CDF">
      <w:pPr>
        <w:pStyle w:val="a3"/>
        <w:widowControl/>
        <w:ind w:left="0"/>
      </w:pPr>
    </w:p>
    <w:p w14:paraId="402E6894" w14:textId="77777777" w:rsidR="00222DE0" w:rsidRPr="00EE3355" w:rsidRDefault="0098273B" w:rsidP="00EA1CDF">
      <w:pPr>
        <w:pStyle w:val="a3"/>
        <w:widowControl/>
        <w:ind w:left="0"/>
      </w:pPr>
      <w:r w:rsidRPr="00EE3355">
        <w:t xml:space="preserve">V </w:t>
      </w:r>
      <w:r w:rsidRPr="00EE3355">
        <w:rPr>
          <w:i/>
        </w:rPr>
        <w:t xml:space="preserve">in vitro </w:t>
      </w:r>
      <w:r w:rsidRPr="00EE3355">
        <w:t>studiích s kulturami lidských hepatocytů bylo prokázáno, že IL-6 způsobuje redukci exprese enzymů CYP1A2, CYP2C9, CYP2C19 a CYP3A4. Tocilizumab expresi těchto enzymů normalizuje.</w:t>
      </w:r>
    </w:p>
    <w:p w14:paraId="4F6EBAEC" w14:textId="77777777" w:rsidR="000B5BD9" w:rsidRPr="00EE3355" w:rsidRDefault="000B5BD9" w:rsidP="00EA1CDF">
      <w:pPr>
        <w:pStyle w:val="a3"/>
        <w:widowControl/>
        <w:ind w:left="0"/>
      </w:pPr>
    </w:p>
    <w:p w14:paraId="6605E2AC" w14:textId="77777777" w:rsidR="00222DE0" w:rsidRPr="00EE3355" w:rsidRDefault="0098273B" w:rsidP="00EA1CDF">
      <w:pPr>
        <w:pStyle w:val="a3"/>
        <w:widowControl/>
        <w:ind w:left="0"/>
      </w:pPr>
      <w:r w:rsidRPr="00EE3355">
        <w:t>Ve studii u pacientů s RA hladiny simvastatinu (CYP3A4) po jedné dávce tocilizumabu poklesly za týden o 57 %, k hodnotám podobným, nebo lehce vyšším, než je pozorováno u zdravých subjektů.</w:t>
      </w:r>
    </w:p>
    <w:p w14:paraId="0AD5D2C1" w14:textId="77777777" w:rsidR="000B5BD9" w:rsidRPr="00EE3355" w:rsidRDefault="000B5BD9" w:rsidP="00EA1CDF">
      <w:pPr>
        <w:pStyle w:val="a3"/>
        <w:widowControl/>
        <w:ind w:left="0"/>
      </w:pPr>
    </w:p>
    <w:p w14:paraId="4802E9AA" w14:textId="77777777" w:rsidR="00222DE0" w:rsidRPr="00EE3355" w:rsidRDefault="0098273B" w:rsidP="00EA1CDF">
      <w:pPr>
        <w:pStyle w:val="a3"/>
        <w:widowControl/>
        <w:ind w:left="0"/>
      </w:pPr>
      <w:r w:rsidRPr="00EE3355">
        <w:t>Při zahájení nebo ukončení terapie tocilizumabem mají být pacienti užívající léčivé přípravky, které jsou upravovány individuálně a jsou metabolizovány cestou CYP450 3A4, 1A2 nebo 2C9 (např. methylprednisolon, dexamethason, (s možným abstinenčním syndromem po vysazení perorálních glukokortikoidů), atorvastatin, blokátory kalciových kanálů, teofylin, warfarin, fenprokumon, fenytoin, cyklosporin nebo benzodiazepiny) pečlivě sledováni, protože k udržení terapeutického účinku může být nutné zvýšení dávkování. Vzhledem k relativně dlouhému poločasu eliminace (t</w:t>
      </w:r>
      <w:r w:rsidRPr="00EE3355">
        <w:rPr>
          <w:vertAlign w:val="subscript"/>
        </w:rPr>
        <w:t>1/2</w:t>
      </w:r>
      <w:r w:rsidRPr="00EE3355">
        <w:t>) mohou účinky tocilizumabu na aktivitu enzymů CYP450 přetrvávat i několik týdnů po ukončení terapie.</w:t>
      </w:r>
    </w:p>
    <w:p w14:paraId="32CAF766" w14:textId="77777777" w:rsidR="00F21477" w:rsidRPr="00EE3355" w:rsidRDefault="00F21477" w:rsidP="002963AA"/>
    <w:p w14:paraId="2F81D953" w14:textId="77777777" w:rsidR="00222DE0" w:rsidRPr="00EE3355" w:rsidRDefault="00B23DAE" w:rsidP="00EA1CDF">
      <w:pPr>
        <w:pStyle w:val="2"/>
        <w:widowControl/>
        <w:tabs>
          <w:tab w:val="left" w:pos="804"/>
        </w:tabs>
        <w:ind w:left="567" w:hanging="567"/>
      </w:pPr>
      <w:r w:rsidRPr="00EE3355">
        <w:t>4.6</w:t>
      </w:r>
      <w:r w:rsidRPr="00EE3355">
        <w:tab/>
      </w:r>
      <w:r w:rsidR="0098273B" w:rsidRPr="00EE3355">
        <w:t>Fertilita, těhotenství a kojení</w:t>
      </w:r>
    </w:p>
    <w:p w14:paraId="237B13C1" w14:textId="77777777" w:rsidR="000B5BD9" w:rsidRPr="00EE3355" w:rsidRDefault="000B5BD9" w:rsidP="00EA1CDF">
      <w:pPr>
        <w:pStyle w:val="a3"/>
        <w:widowControl/>
        <w:ind w:left="0"/>
        <w:rPr>
          <w:u w:val="single"/>
        </w:rPr>
      </w:pPr>
    </w:p>
    <w:p w14:paraId="43B19B58" w14:textId="77777777" w:rsidR="00222DE0" w:rsidRPr="00EE3355" w:rsidRDefault="0098273B" w:rsidP="00EA1CDF">
      <w:pPr>
        <w:pStyle w:val="a3"/>
        <w:widowControl/>
        <w:ind w:left="0"/>
      </w:pPr>
      <w:r w:rsidRPr="00EE3355">
        <w:rPr>
          <w:u w:val="single"/>
        </w:rPr>
        <w:t>Ženy ve fertilním věku</w:t>
      </w:r>
    </w:p>
    <w:p w14:paraId="0FA15CB5" w14:textId="77777777" w:rsidR="00222DE0" w:rsidRPr="00EE3355" w:rsidRDefault="0098273B" w:rsidP="00EA1CDF">
      <w:pPr>
        <w:pStyle w:val="a3"/>
        <w:widowControl/>
        <w:ind w:left="0"/>
      </w:pPr>
      <w:r w:rsidRPr="00EE3355">
        <w:t>Ženy ve fertilním věku musí během léčby a ještě 3 měsíce po ukončení terapie používat účinnou</w:t>
      </w:r>
      <w:r w:rsidR="00160603">
        <w:t xml:space="preserve"> </w:t>
      </w:r>
      <w:r w:rsidRPr="00EE3355">
        <w:t>antikoncepci.</w:t>
      </w:r>
    </w:p>
    <w:p w14:paraId="3C6E4826" w14:textId="77777777" w:rsidR="00222DE0" w:rsidRPr="00EE3355" w:rsidRDefault="00222DE0" w:rsidP="00EA1CDF">
      <w:pPr>
        <w:pStyle w:val="a3"/>
        <w:widowControl/>
        <w:ind w:left="0"/>
      </w:pPr>
    </w:p>
    <w:p w14:paraId="6DD29CB7" w14:textId="77777777" w:rsidR="00222DE0" w:rsidRPr="00EE3355" w:rsidRDefault="0098273B" w:rsidP="00EA1CDF">
      <w:pPr>
        <w:pStyle w:val="a3"/>
        <w:widowControl/>
        <w:ind w:left="0"/>
      </w:pPr>
      <w:r w:rsidRPr="00EE3355">
        <w:rPr>
          <w:u w:val="single"/>
        </w:rPr>
        <w:t>Těhotenství</w:t>
      </w:r>
    </w:p>
    <w:p w14:paraId="43D2FA30" w14:textId="77777777" w:rsidR="00222DE0" w:rsidRPr="00EE3355" w:rsidRDefault="0098273B" w:rsidP="00EA1CDF">
      <w:pPr>
        <w:pStyle w:val="a3"/>
        <w:widowControl/>
        <w:ind w:left="0"/>
      </w:pPr>
      <w:r w:rsidRPr="00EE3355">
        <w:t>Adekvátní údaje o podávání tocilizumabu těhotným ženám nejsou k dispozici. Studie na zvířatech prokázaly zvýšené riziko spontánního potratu / embryo-fetálního úmrtí při vysokých dávkách (viz bod 5.3). Potenciální riziko pro člověka není známé.</w:t>
      </w:r>
    </w:p>
    <w:p w14:paraId="0FD4D7E3" w14:textId="77777777" w:rsidR="00222DE0" w:rsidRPr="00EE3355" w:rsidRDefault="00222DE0" w:rsidP="00EA1CDF">
      <w:pPr>
        <w:pStyle w:val="a3"/>
        <w:widowControl/>
        <w:ind w:left="0"/>
      </w:pPr>
    </w:p>
    <w:p w14:paraId="736AC7C6" w14:textId="2D086035" w:rsidR="00222DE0" w:rsidRPr="00EE3355" w:rsidRDefault="0098273B" w:rsidP="00EA1CDF">
      <w:pPr>
        <w:pStyle w:val="a3"/>
        <w:widowControl/>
        <w:ind w:left="0"/>
      </w:pPr>
      <w:r w:rsidRPr="00EE3355">
        <w:t xml:space="preserve">Přípravek </w:t>
      </w:r>
      <w:r w:rsidR="00D20E03">
        <w:t>Avtozma</w:t>
      </w:r>
      <w:r w:rsidRPr="00EE3355">
        <w:t xml:space="preserve"> nemá být během těhotenství podáván, pokud to není nezbytně nutné.</w:t>
      </w:r>
    </w:p>
    <w:p w14:paraId="627EEC7E" w14:textId="77777777" w:rsidR="00222DE0" w:rsidRPr="00EE3355" w:rsidRDefault="00222DE0" w:rsidP="00EA1CDF">
      <w:pPr>
        <w:pStyle w:val="a3"/>
        <w:widowControl/>
        <w:ind w:left="0"/>
      </w:pPr>
    </w:p>
    <w:p w14:paraId="3A437777" w14:textId="77777777" w:rsidR="00222DE0" w:rsidRPr="00EE3355" w:rsidRDefault="0098273B" w:rsidP="00EA1CDF">
      <w:pPr>
        <w:pStyle w:val="a3"/>
        <w:widowControl/>
        <w:ind w:left="0"/>
      </w:pPr>
      <w:r w:rsidRPr="00EE3355">
        <w:rPr>
          <w:u w:val="single"/>
        </w:rPr>
        <w:t>Kojení</w:t>
      </w:r>
    </w:p>
    <w:p w14:paraId="494AD3F7" w14:textId="3289DC84" w:rsidR="00222DE0" w:rsidRPr="00EE3355" w:rsidRDefault="0098273B" w:rsidP="00EA1CDF">
      <w:pPr>
        <w:pStyle w:val="a3"/>
        <w:widowControl/>
        <w:ind w:left="0"/>
      </w:pPr>
      <w:r w:rsidRPr="00EE3355">
        <w:t xml:space="preserve">Není známo, zda je tocilizumab vylučován do lidského mateřského mléka. Vylučování tocilizumabu do mléka u zvířat nebylo studováno. Při rozhodování, zda pokračovat /ukončit kojení, nebo zda pokračovat /ukončit terapii přípravkem </w:t>
      </w:r>
      <w:r w:rsidR="00D20E03">
        <w:t>Avtozma</w:t>
      </w:r>
      <w:r w:rsidRPr="00EE3355">
        <w:t xml:space="preserve"> má být vzat v úvahu prospěch kojení pro dítě a prospěch léčby přípravkem </w:t>
      </w:r>
      <w:r w:rsidR="00D20E03">
        <w:t>Avtozma</w:t>
      </w:r>
      <w:r w:rsidRPr="00EE3355">
        <w:t xml:space="preserve"> pro ženu.</w:t>
      </w:r>
    </w:p>
    <w:p w14:paraId="56B28C5C" w14:textId="77777777" w:rsidR="000B5BD9" w:rsidRPr="00EE3355" w:rsidRDefault="000B5BD9" w:rsidP="00EA1CDF">
      <w:pPr>
        <w:pStyle w:val="a3"/>
        <w:widowControl/>
        <w:ind w:left="0"/>
        <w:rPr>
          <w:u w:val="single"/>
        </w:rPr>
      </w:pPr>
    </w:p>
    <w:p w14:paraId="1ABF9943" w14:textId="77777777" w:rsidR="00222DE0" w:rsidRPr="00EE3355" w:rsidRDefault="0098273B" w:rsidP="00EA1CDF">
      <w:pPr>
        <w:pStyle w:val="a3"/>
        <w:widowControl/>
        <w:ind w:left="0"/>
      </w:pPr>
      <w:r w:rsidRPr="00EE3355">
        <w:rPr>
          <w:u w:val="single"/>
        </w:rPr>
        <w:t>Fertilita</w:t>
      </w:r>
    </w:p>
    <w:p w14:paraId="43677223" w14:textId="77777777" w:rsidR="00222DE0" w:rsidRPr="00EE3355" w:rsidRDefault="0098273B" w:rsidP="00EA1CDF">
      <w:pPr>
        <w:pStyle w:val="a3"/>
        <w:widowControl/>
        <w:ind w:left="0"/>
      </w:pPr>
      <w:r w:rsidRPr="00EE3355">
        <w:t>Dostupné neklinické údaje nenaznačují vliv léčby tocilizumabem na fertilitu.</w:t>
      </w:r>
    </w:p>
    <w:p w14:paraId="72927789" w14:textId="77777777" w:rsidR="00222DE0" w:rsidRPr="00EE3355" w:rsidRDefault="00222DE0" w:rsidP="00EA1CDF">
      <w:pPr>
        <w:pStyle w:val="a3"/>
        <w:widowControl/>
        <w:ind w:left="0"/>
      </w:pPr>
    </w:p>
    <w:p w14:paraId="7800C644" w14:textId="77777777" w:rsidR="00222DE0" w:rsidRPr="00EE3355" w:rsidRDefault="00B23DAE" w:rsidP="00EA1CDF">
      <w:pPr>
        <w:pStyle w:val="2"/>
        <w:widowControl/>
        <w:tabs>
          <w:tab w:val="left" w:pos="804"/>
        </w:tabs>
        <w:ind w:left="567" w:hanging="567"/>
      </w:pPr>
      <w:r w:rsidRPr="00EE3355">
        <w:t>4.7</w:t>
      </w:r>
      <w:r w:rsidRPr="00EE3355">
        <w:tab/>
      </w:r>
      <w:r w:rsidR="0098273B" w:rsidRPr="00EE3355">
        <w:t>Účinky na schopnost řídit a obsluhovat stroje</w:t>
      </w:r>
    </w:p>
    <w:p w14:paraId="50C31683" w14:textId="77777777" w:rsidR="000B5BD9" w:rsidRPr="00EE3355" w:rsidRDefault="000B5BD9" w:rsidP="00EA1CDF">
      <w:pPr>
        <w:pStyle w:val="a3"/>
        <w:widowControl/>
        <w:ind w:left="0"/>
      </w:pPr>
    </w:p>
    <w:p w14:paraId="67438A83" w14:textId="1A329F7F" w:rsidR="00222DE0" w:rsidRPr="00EE3355" w:rsidRDefault="00D20E03" w:rsidP="00EA1CDF">
      <w:pPr>
        <w:pStyle w:val="a3"/>
        <w:widowControl/>
        <w:ind w:left="0"/>
      </w:pPr>
      <w:r w:rsidRPr="001879E9">
        <w:t>Tocilizumab</w:t>
      </w:r>
      <w:r w:rsidRPr="00EE3355" w:rsidDel="00D20E03">
        <w:t xml:space="preserve"> </w:t>
      </w:r>
      <w:r w:rsidR="0098273B" w:rsidRPr="00EE3355">
        <w:t>má malý vliv na schopnost řídit a obsluhovat stroje (viz bod 4.8, závra</w:t>
      </w:r>
      <w:r w:rsidR="00CB1407">
        <w:t>ť</w:t>
      </w:r>
      <w:r w:rsidR="0098273B" w:rsidRPr="00EE3355">
        <w:t>).</w:t>
      </w:r>
    </w:p>
    <w:p w14:paraId="2525A526" w14:textId="77777777" w:rsidR="00222DE0" w:rsidRPr="00EE3355" w:rsidRDefault="00222DE0" w:rsidP="00EA1CDF">
      <w:pPr>
        <w:pStyle w:val="a3"/>
        <w:widowControl/>
        <w:ind w:left="0"/>
      </w:pPr>
    </w:p>
    <w:p w14:paraId="303D6950" w14:textId="77777777" w:rsidR="00222DE0" w:rsidRPr="00EE3355" w:rsidRDefault="00B23DAE" w:rsidP="008E1B8C">
      <w:pPr>
        <w:pStyle w:val="2"/>
        <w:keepNext/>
        <w:widowControl/>
        <w:tabs>
          <w:tab w:val="left" w:pos="860"/>
        </w:tabs>
        <w:ind w:left="567" w:hanging="567"/>
      </w:pPr>
      <w:r w:rsidRPr="00EE3355">
        <w:t>4.8</w:t>
      </w:r>
      <w:r w:rsidRPr="00EE3355">
        <w:tab/>
      </w:r>
      <w:r w:rsidR="0098273B" w:rsidRPr="00EE3355">
        <w:t>Nežádoucí účinky</w:t>
      </w:r>
    </w:p>
    <w:p w14:paraId="3EFDF8FB" w14:textId="77777777" w:rsidR="000B5BD9" w:rsidRPr="00EE3355" w:rsidRDefault="000B5BD9" w:rsidP="008E1B8C">
      <w:pPr>
        <w:pStyle w:val="a3"/>
        <w:keepNext/>
        <w:widowControl/>
        <w:ind w:left="0"/>
        <w:rPr>
          <w:u w:val="single"/>
        </w:rPr>
      </w:pPr>
    </w:p>
    <w:p w14:paraId="304583A3" w14:textId="77777777" w:rsidR="00222DE0" w:rsidRPr="00EE3355" w:rsidRDefault="0098273B" w:rsidP="008E1B8C">
      <w:pPr>
        <w:pStyle w:val="a3"/>
        <w:keepNext/>
        <w:widowControl/>
        <w:ind w:left="0"/>
      </w:pPr>
      <w:r w:rsidRPr="00EE3355">
        <w:rPr>
          <w:u w:val="single"/>
        </w:rPr>
        <w:t>Shrnutí bezpečnostního profilu</w:t>
      </w:r>
    </w:p>
    <w:p w14:paraId="75D7BE82" w14:textId="77777777" w:rsidR="00222DE0" w:rsidRPr="00EE3355" w:rsidRDefault="0098273B" w:rsidP="00EA1CDF">
      <w:pPr>
        <w:pStyle w:val="a3"/>
        <w:widowControl/>
        <w:ind w:left="0"/>
      </w:pPr>
      <w:r w:rsidRPr="00EE3355">
        <w:t>Nejčastěji hlášené nežádoucí účinky (vyskytující se u ≥ 5 % pacientů léčených monoterapií tocilizumabem nebo v kombinaci s DMARD kvůli RA, sJIA, pJIA a CRS) byly infekce horních cest dýchacích, nazofaryngitida, bolest hlavy, hypertenze a zvýšené ALT.</w:t>
      </w:r>
    </w:p>
    <w:p w14:paraId="70B46734" w14:textId="77777777" w:rsidR="00222DE0" w:rsidRPr="00EE3355" w:rsidRDefault="00222DE0" w:rsidP="00EA1CDF">
      <w:pPr>
        <w:pStyle w:val="a3"/>
        <w:widowControl/>
        <w:ind w:left="0"/>
      </w:pPr>
    </w:p>
    <w:p w14:paraId="53E817F9" w14:textId="77777777" w:rsidR="00222DE0" w:rsidRDefault="0098273B" w:rsidP="00EA1CDF">
      <w:pPr>
        <w:pStyle w:val="a3"/>
        <w:widowControl/>
        <w:ind w:left="0"/>
        <w:rPr>
          <w:rFonts w:eastAsia="맑은 고딕"/>
          <w:lang w:eastAsia="ko-KR"/>
        </w:rPr>
      </w:pPr>
      <w:r w:rsidRPr="00EE3355">
        <w:t>Nejzávažnější nežádoucí účinky byly závažné infekce, komplikovaná divertikulitida a hypersenzitivní reakce.</w:t>
      </w:r>
    </w:p>
    <w:p w14:paraId="43ED998B" w14:textId="77777777" w:rsidR="00A4538B" w:rsidRPr="00B93217" w:rsidRDefault="00A4538B" w:rsidP="00EA1CDF">
      <w:pPr>
        <w:pStyle w:val="a3"/>
        <w:widowControl/>
        <w:ind w:left="0"/>
        <w:rPr>
          <w:rFonts w:eastAsia="맑은 고딕"/>
          <w:lang w:eastAsia="ko-KR"/>
        </w:rPr>
      </w:pPr>
    </w:p>
    <w:p w14:paraId="09EC7C75" w14:textId="77777777" w:rsidR="00222DE0" w:rsidRPr="00EE3355" w:rsidRDefault="0098273B" w:rsidP="00EA1CDF">
      <w:pPr>
        <w:pStyle w:val="a3"/>
        <w:widowControl/>
        <w:ind w:left="0"/>
      </w:pPr>
      <w:r w:rsidRPr="00EE3355">
        <w:t>Nejčastěji hlášenými nežádoucími účinky (výskyt u ≥ 5 % pacientů léčených tocilizumabem kvůli onemocnění COVID-19) byly zvýšené jaterní aminotransferázy, zácpa a infekce močových cest.</w:t>
      </w:r>
    </w:p>
    <w:p w14:paraId="506F558A" w14:textId="77777777" w:rsidR="000B5BD9" w:rsidRPr="00EE3355" w:rsidRDefault="000B5BD9" w:rsidP="00EA1CDF">
      <w:pPr>
        <w:pStyle w:val="a3"/>
        <w:widowControl/>
        <w:ind w:left="0"/>
      </w:pPr>
    </w:p>
    <w:p w14:paraId="5A318272" w14:textId="1CA041CF" w:rsidR="00222DE0" w:rsidRPr="00EE3355" w:rsidRDefault="0098273B" w:rsidP="00EA1CDF">
      <w:pPr>
        <w:pStyle w:val="a3"/>
        <w:widowControl/>
        <w:ind w:left="0"/>
      </w:pPr>
      <w:r w:rsidRPr="00EE3355">
        <w:t xml:space="preserve">Nežádoucí účinky z klinických studií a/nebo získané ze spontánních hlášení po uvedení </w:t>
      </w:r>
      <w:r w:rsidR="00D20E03">
        <w:t>t</w:t>
      </w:r>
      <w:r w:rsidR="00D20E03" w:rsidRPr="001879E9">
        <w:t>ocilizumab</w:t>
      </w:r>
      <w:r w:rsidR="00D20E03">
        <w:t>u</w:t>
      </w:r>
      <w:r w:rsidRPr="00EE3355">
        <w:t xml:space="preserve"> na trh, kazuistik a případů z neintervenčních studií jsou uvedeny v tabulce 1 a jsou řazeny podle tříd orgánových systémů databáze MedDRA. Odpovídající kategorie frekvencí je založena na následující terminologii: velmi časté (≥ 1/10); časté (≥ 1/100 až &lt; 1/10), méně časté (≥ 1/1</w:t>
      </w:r>
      <w:r w:rsidR="00D41ABC">
        <w:t xml:space="preserve"> </w:t>
      </w:r>
      <w:r w:rsidRPr="00EE3355">
        <w:t>000 až</w:t>
      </w:r>
      <w:r w:rsidR="000B5BD9" w:rsidRPr="00EE3355">
        <w:t xml:space="preserve"> </w:t>
      </w:r>
      <w:r w:rsidRPr="00EE3355">
        <w:t>&lt; 1/100), vzácné (&gt;1/10</w:t>
      </w:r>
      <w:r w:rsidR="00D41ABC">
        <w:t xml:space="preserve"> </w:t>
      </w:r>
      <w:r w:rsidRPr="00EE3355">
        <w:t>000 až &lt;1/1</w:t>
      </w:r>
      <w:r w:rsidR="00D41ABC">
        <w:t xml:space="preserve"> </w:t>
      </w:r>
      <w:r w:rsidRPr="00EE3355">
        <w:t>000) nebo velmi vzácné (&lt;1/10</w:t>
      </w:r>
      <w:r w:rsidR="00D41ABC">
        <w:t xml:space="preserve"> </w:t>
      </w:r>
      <w:r w:rsidRPr="00EE3355">
        <w:t>000). V každé skupině četností jsou nežádoucí účinky seřazeny podle klesající závažnosti.</w:t>
      </w:r>
    </w:p>
    <w:p w14:paraId="38663E29" w14:textId="77777777" w:rsidR="00222DE0" w:rsidRPr="00EE3355" w:rsidRDefault="00222DE0" w:rsidP="00EA1CDF">
      <w:pPr>
        <w:pStyle w:val="a3"/>
        <w:widowControl/>
        <w:ind w:left="0"/>
      </w:pPr>
    </w:p>
    <w:p w14:paraId="456B7034" w14:textId="77777777" w:rsidR="00222DE0" w:rsidRPr="00EE3355" w:rsidRDefault="0098273B" w:rsidP="00EA1CDF">
      <w:pPr>
        <w:pStyle w:val="a3"/>
        <w:keepNext/>
        <w:widowControl/>
        <w:ind w:left="0"/>
      </w:pPr>
      <w:r w:rsidRPr="00EE3355">
        <w:rPr>
          <w:u w:val="single"/>
        </w:rPr>
        <w:t>Pacienti s RA</w:t>
      </w:r>
    </w:p>
    <w:p w14:paraId="45BC5567" w14:textId="77777777" w:rsidR="00222DE0" w:rsidRDefault="0098273B" w:rsidP="00EA1CDF">
      <w:pPr>
        <w:pStyle w:val="a3"/>
        <w:widowControl/>
        <w:ind w:left="0"/>
      </w:pPr>
      <w:r w:rsidRPr="00EE3355">
        <w:t>Bezpečnostní profil tocilizumabu byl hodnocen ve 4 placebem kontrolovaných studiích (studie II, III, IV a V), 1 aktivní MTX kontrolované studii (studie I) a v jejich prodloužených fázích (extension periods) (viz bod 5.1).</w:t>
      </w:r>
    </w:p>
    <w:p w14:paraId="65253A71" w14:textId="77777777" w:rsidR="005230C6" w:rsidRPr="00EE3355" w:rsidRDefault="005230C6" w:rsidP="00EA1CDF">
      <w:pPr>
        <w:pStyle w:val="a3"/>
        <w:widowControl/>
        <w:ind w:left="0"/>
      </w:pPr>
    </w:p>
    <w:p w14:paraId="603FDBB6" w14:textId="77777777" w:rsidR="00222DE0" w:rsidRPr="00EE3355" w:rsidRDefault="0098273B" w:rsidP="00EA1CDF">
      <w:pPr>
        <w:pStyle w:val="a3"/>
        <w:widowControl/>
        <w:ind w:left="0"/>
      </w:pPr>
      <w:r w:rsidRPr="00EE3355">
        <w:t>Ve 4 studiích trvalo dvojitě zaslepené, kontrolované období léčby 6 měsíců (studie I, III, IV a V) a v jedné studii trvalo až 2 roky (studie II). V těchto dvojitě zaslepených, kontrolovaných studiích dostávalo 774 pacientů tocilizumab v dávce 4 mg/kg v kombinaci s MTX, 1870 pacientů dostávalo tocilizumab v dávce 8 mg/kg v kombinaci s MTX /nebo jinými tradičními DMARD a 288 pacientů dostávalo tocilizumab v dávce 8 mg/kg v monoterapii.</w:t>
      </w:r>
    </w:p>
    <w:p w14:paraId="0CDCCD15" w14:textId="77777777" w:rsidR="00374078" w:rsidRPr="00EE3355" w:rsidRDefault="00374078" w:rsidP="00EA1CDF">
      <w:pPr>
        <w:pStyle w:val="a3"/>
        <w:widowControl/>
        <w:ind w:left="0"/>
      </w:pPr>
    </w:p>
    <w:p w14:paraId="0DB44AB1" w14:textId="77777777" w:rsidR="00222DE0" w:rsidRPr="00EE3355" w:rsidRDefault="0098273B" w:rsidP="00EA1CDF">
      <w:pPr>
        <w:pStyle w:val="a3"/>
        <w:widowControl/>
        <w:ind w:left="0"/>
      </w:pPr>
      <w:r w:rsidRPr="00EE3355">
        <w:t>Soubor dlouhodobé expozice zahrnuje všechny pacienty, kteří dostali alespoň jednu dávku tocilizumabu buď v období dvojitě zaslepené, kontrolované části nebo v otevřené prodloužené fázi těchto studií. Z celkem 4009 pacientů v tomto souboru dostávalo 3577 pacientů léčbu po dobu alespoň 6 měsíců, 3296 po dobu alespoň 1 roku, 2806 dostávalo léčbu po dobu alespoň 2 let a 1222 po dobu 3 let.</w:t>
      </w:r>
    </w:p>
    <w:p w14:paraId="58A21448" w14:textId="77777777" w:rsidR="00222DE0" w:rsidRPr="00EE3355" w:rsidRDefault="00222DE0" w:rsidP="00EA1CDF">
      <w:pPr>
        <w:pStyle w:val="a3"/>
        <w:widowControl/>
        <w:ind w:left="0"/>
      </w:pPr>
    </w:p>
    <w:p w14:paraId="5CF0FFE5" w14:textId="77777777" w:rsidR="00222DE0" w:rsidRPr="00EE3355" w:rsidRDefault="0098273B" w:rsidP="00EA1CDF">
      <w:pPr>
        <w:widowControl/>
        <w:ind w:left="1134" w:hanging="1134"/>
        <w:rPr>
          <w:i/>
        </w:rPr>
      </w:pPr>
      <w:r w:rsidRPr="00EE3355">
        <w:rPr>
          <w:i/>
        </w:rPr>
        <w:t>Tabulka 1.</w:t>
      </w:r>
      <w:r w:rsidR="00374078" w:rsidRPr="00EE3355">
        <w:rPr>
          <w:i/>
        </w:rPr>
        <w:tab/>
      </w:r>
      <w:r w:rsidRPr="00EE3355">
        <w:rPr>
          <w:i/>
        </w:rPr>
        <w:t>Přehled nežádoucích účinků objevujících se u pacientů s RA dostávajících tocilizumab v monoterapii nebo v kombinaci s MTX nebo dalšími tradičními DMARD ve dvojitě zaslepené, kontrolované části studie nebo v době po uvedení na trh</w:t>
      </w:r>
    </w:p>
    <w:p w14:paraId="2495EA0E" w14:textId="77777777" w:rsidR="00222DE0" w:rsidRPr="00EE3355" w:rsidRDefault="00222DE0" w:rsidP="00EA1CDF">
      <w:pPr>
        <w:pStyle w:val="a3"/>
        <w:widowControl/>
        <w:ind w:left="0"/>
        <w:rPr>
          <w:i/>
          <w:sz w:val="20"/>
        </w:rPr>
      </w:pPr>
    </w:p>
    <w:tbl>
      <w:tblPr>
        <w:tblW w:w="9197"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876"/>
        <w:gridCol w:w="1652"/>
        <w:gridCol w:w="2155"/>
        <w:gridCol w:w="1834"/>
        <w:gridCol w:w="1680"/>
      </w:tblGrid>
      <w:tr w:rsidR="00222DE0" w:rsidRPr="00EE3355" w14:paraId="1825AD98" w14:textId="77777777" w:rsidTr="00160603">
        <w:trPr>
          <w:cantSplit/>
          <w:trHeight w:val="338"/>
          <w:tblHeader/>
        </w:trPr>
        <w:tc>
          <w:tcPr>
            <w:tcW w:w="1876" w:type="dxa"/>
            <w:vMerge w:val="restart"/>
          </w:tcPr>
          <w:p w14:paraId="2640EA36" w14:textId="77777777" w:rsidR="00222DE0" w:rsidRPr="00EE3355" w:rsidRDefault="0098273B" w:rsidP="00EA1CDF">
            <w:pPr>
              <w:pStyle w:val="TableParagraph"/>
              <w:widowControl/>
              <w:jc w:val="center"/>
              <w:rPr>
                <w:b/>
              </w:rPr>
            </w:pPr>
            <w:r w:rsidRPr="00EE3355">
              <w:rPr>
                <w:b/>
              </w:rPr>
              <w:t>Třídy orgánových systémů dle MedDRA</w:t>
            </w:r>
          </w:p>
        </w:tc>
        <w:tc>
          <w:tcPr>
            <w:tcW w:w="7321" w:type="dxa"/>
            <w:gridSpan w:val="4"/>
          </w:tcPr>
          <w:p w14:paraId="2365EC44" w14:textId="77777777" w:rsidR="00222DE0" w:rsidRPr="00EE3355" w:rsidRDefault="0098273B" w:rsidP="00EA1CDF">
            <w:pPr>
              <w:pStyle w:val="TableParagraph"/>
              <w:widowControl/>
              <w:jc w:val="center"/>
              <w:rPr>
                <w:b/>
              </w:rPr>
            </w:pPr>
            <w:r w:rsidRPr="00EE3355">
              <w:rPr>
                <w:b/>
              </w:rPr>
              <w:t>Kategorie frekvencí s preferovanými termíny</w:t>
            </w:r>
          </w:p>
        </w:tc>
      </w:tr>
      <w:tr w:rsidR="00222DE0" w:rsidRPr="00EE3355" w14:paraId="090D6864" w14:textId="77777777" w:rsidTr="00160603">
        <w:trPr>
          <w:cantSplit/>
          <w:trHeight w:val="204"/>
          <w:tblHeader/>
        </w:trPr>
        <w:tc>
          <w:tcPr>
            <w:tcW w:w="1876" w:type="dxa"/>
            <w:vMerge/>
            <w:tcBorders>
              <w:top w:val="nil"/>
            </w:tcBorders>
          </w:tcPr>
          <w:p w14:paraId="78815F3B" w14:textId="77777777" w:rsidR="00222DE0" w:rsidRPr="00EE3355" w:rsidRDefault="00222DE0" w:rsidP="00EA1CDF">
            <w:pPr>
              <w:widowControl/>
              <w:rPr>
                <w:sz w:val="2"/>
                <w:szCs w:val="2"/>
              </w:rPr>
            </w:pPr>
          </w:p>
        </w:tc>
        <w:tc>
          <w:tcPr>
            <w:tcW w:w="1652" w:type="dxa"/>
          </w:tcPr>
          <w:p w14:paraId="162F516C" w14:textId="77777777" w:rsidR="00222DE0" w:rsidRPr="00EE3355" w:rsidRDefault="0098273B" w:rsidP="00EA1CDF">
            <w:pPr>
              <w:pStyle w:val="TableParagraph"/>
              <w:widowControl/>
              <w:rPr>
                <w:b/>
              </w:rPr>
            </w:pPr>
            <w:r w:rsidRPr="00EE3355">
              <w:rPr>
                <w:b/>
              </w:rPr>
              <w:t>Velmi časté</w:t>
            </w:r>
          </w:p>
        </w:tc>
        <w:tc>
          <w:tcPr>
            <w:tcW w:w="2155" w:type="dxa"/>
          </w:tcPr>
          <w:p w14:paraId="305360CC" w14:textId="77777777" w:rsidR="00222DE0" w:rsidRPr="00EE3355" w:rsidRDefault="0098273B" w:rsidP="00EA1CDF">
            <w:pPr>
              <w:pStyle w:val="TableParagraph"/>
              <w:widowControl/>
              <w:jc w:val="center"/>
              <w:rPr>
                <w:b/>
              </w:rPr>
            </w:pPr>
            <w:r w:rsidRPr="00EE3355">
              <w:rPr>
                <w:b/>
              </w:rPr>
              <w:t>Časté</w:t>
            </w:r>
          </w:p>
        </w:tc>
        <w:tc>
          <w:tcPr>
            <w:tcW w:w="1834" w:type="dxa"/>
          </w:tcPr>
          <w:p w14:paraId="09B52D4E" w14:textId="77777777" w:rsidR="00222DE0" w:rsidRPr="00EE3355" w:rsidRDefault="0098273B" w:rsidP="00EA1CDF">
            <w:pPr>
              <w:pStyle w:val="TableParagraph"/>
              <w:widowControl/>
              <w:rPr>
                <w:b/>
              </w:rPr>
            </w:pPr>
            <w:r w:rsidRPr="00EE3355">
              <w:rPr>
                <w:b/>
              </w:rPr>
              <w:t>Méně časté</w:t>
            </w:r>
          </w:p>
        </w:tc>
        <w:tc>
          <w:tcPr>
            <w:tcW w:w="1680" w:type="dxa"/>
          </w:tcPr>
          <w:p w14:paraId="0697CFD9" w14:textId="77777777" w:rsidR="00222DE0" w:rsidRPr="00EE3355" w:rsidRDefault="0098273B" w:rsidP="00EA1CDF">
            <w:pPr>
              <w:pStyle w:val="TableParagraph"/>
              <w:widowControl/>
              <w:jc w:val="center"/>
              <w:rPr>
                <w:b/>
              </w:rPr>
            </w:pPr>
            <w:r w:rsidRPr="00EE3355">
              <w:rPr>
                <w:b/>
              </w:rPr>
              <w:t>Vzácné</w:t>
            </w:r>
          </w:p>
        </w:tc>
      </w:tr>
      <w:tr w:rsidR="00222DE0" w:rsidRPr="00EE3355" w14:paraId="69346CEF" w14:textId="77777777" w:rsidTr="00160603">
        <w:trPr>
          <w:cantSplit/>
          <w:trHeight w:val="1012"/>
        </w:trPr>
        <w:tc>
          <w:tcPr>
            <w:tcW w:w="1876" w:type="dxa"/>
          </w:tcPr>
          <w:p w14:paraId="626A6C6A" w14:textId="77777777" w:rsidR="00222DE0" w:rsidRPr="00EE3355" w:rsidRDefault="0098273B" w:rsidP="00EA1CDF">
            <w:pPr>
              <w:pStyle w:val="TableParagraph"/>
              <w:widowControl/>
            </w:pPr>
            <w:r w:rsidRPr="00EE3355">
              <w:t>Infekce a infestace</w:t>
            </w:r>
          </w:p>
        </w:tc>
        <w:tc>
          <w:tcPr>
            <w:tcW w:w="1652" w:type="dxa"/>
          </w:tcPr>
          <w:p w14:paraId="27CDFF2B" w14:textId="77777777" w:rsidR="00222DE0" w:rsidRPr="00EE3355" w:rsidRDefault="0098273B" w:rsidP="00EA1CDF">
            <w:pPr>
              <w:pStyle w:val="TableParagraph"/>
              <w:widowControl/>
            </w:pPr>
            <w:r w:rsidRPr="00EE3355">
              <w:t>Infekce horních cest dýchacích</w:t>
            </w:r>
          </w:p>
        </w:tc>
        <w:tc>
          <w:tcPr>
            <w:tcW w:w="2155" w:type="dxa"/>
          </w:tcPr>
          <w:p w14:paraId="24C2D43D" w14:textId="77777777" w:rsidR="00222DE0" w:rsidRPr="00EE3355" w:rsidRDefault="0098273B" w:rsidP="00EA1CDF">
            <w:pPr>
              <w:pStyle w:val="TableParagraph"/>
              <w:widowControl/>
            </w:pPr>
            <w:r w:rsidRPr="00EE3355">
              <w:t>Celulitida, pneumonie, orální herpes simplex,</w:t>
            </w:r>
            <w:r w:rsidR="00593E23" w:rsidRPr="00EE3355">
              <w:t xml:space="preserve"> </w:t>
            </w:r>
            <w:r w:rsidRPr="00EE3355">
              <w:t>herpes zoster</w:t>
            </w:r>
          </w:p>
        </w:tc>
        <w:tc>
          <w:tcPr>
            <w:tcW w:w="1834" w:type="dxa"/>
          </w:tcPr>
          <w:p w14:paraId="6154E3CD" w14:textId="77777777" w:rsidR="00222DE0" w:rsidRPr="00EE3355" w:rsidRDefault="0098273B" w:rsidP="00EA1CDF">
            <w:pPr>
              <w:pStyle w:val="TableParagraph"/>
              <w:widowControl/>
            </w:pPr>
            <w:r w:rsidRPr="00EE3355">
              <w:t>Divertikulitida</w:t>
            </w:r>
          </w:p>
        </w:tc>
        <w:tc>
          <w:tcPr>
            <w:tcW w:w="1680" w:type="dxa"/>
          </w:tcPr>
          <w:p w14:paraId="10B41FCB" w14:textId="77777777" w:rsidR="00222DE0" w:rsidRPr="00EE3355" w:rsidRDefault="00222DE0" w:rsidP="00EA1CDF">
            <w:pPr>
              <w:pStyle w:val="TableParagraph"/>
              <w:widowControl/>
            </w:pPr>
          </w:p>
        </w:tc>
      </w:tr>
      <w:tr w:rsidR="00222DE0" w:rsidRPr="00EE3355" w14:paraId="35F345E6" w14:textId="77777777" w:rsidTr="00160603">
        <w:trPr>
          <w:cantSplit/>
          <w:trHeight w:val="704"/>
        </w:trPr>
        <w:tc>
          <w:tcPr>
            <w:tcW w:w="1876" w:type="dxa"/>
          </w:tcPr>
          <w:p w14:paraId="1B4403E3" w14:textId="77777777" w:rsidR="00222DE0" w:rsidRPr="00EE3355" w:rsidRDefault="0098273B" w:rsidP="00EA1CDF">
            <w:pPr>
              <w:pStyle w:val="TableParagraph"/>
              <w:widowControl/>
            </w:pPr>
            <w:r w:rsidRPr="00EE3355">
              <w:t>Poruchy krve a lymfatického systému</w:t>
            </w:r>
          </w:p>
        </w:tc>
        <w:tc>
          <w:tcPr>
            <w:tcW w:w="1652" w:type="dxa"/>
          </w:tcPr>
          <w:p w14:paraId="1B55E6FF" w14:textId="77777777" w:rsidR="00222DE0" w:rsidRPr="00EE3355" w:rsidRDefault="00222DE0" w:rsidP="00EA1CDF">
            <w:pPr>
              <w:pStyle w:val="TableParagraph"/>
              <w:widowControl/>
            </w:pPr>
          </w:p>
        </w:tc>
        <w:tc>
          <w:tcPr>
            <w:tcW w:w="2155" w:type="dxa"/>
          </w:tcPr>
          <w:p w14:paraId="498B7BB5" w14:textId="77777777" w:rsidR="00222DE0" w:rsidRPr="00EE3355" w:rsidRDefault="0098273B" w:rsidP="00EA1CDF">
            <w:pPr>
              <w:pStyle w:val="TableParagraph"/>
              <w:widowControl/>
            </w:pPr>
            <w:r w:rsidRPr="00EE3355">
              <w:t>Leukopenie, neutropenie, hypofibrinogenemie</w:t>
            </w:r>
          </w:p>
        </w:tc>
        <w:tc>
          <w:tcPr>
            <w:tcW w:w="1834" w:type="dxa"/>
          </w:tcPr>
          <w:p w14:paraId="0715BC01" w14:textId="77777777" w:rsidR="00222DE0" w:rsidRPr="00EE3355" w:rsidRDefault="00222DE0" w:rsidP="00EA1CDF">
            <w:pPr>
              <w:pStyle w:val="TableParagraph"/>
              <w:widowControl/>
            </w:pPr>
          </w:p>
        </w:tc>
        <w:tc>
          <w:tcPr>
            <w:tcW w:w="1680" w:type="dxa"/>
          </w:tcPr>
          <w:p w14:paraId="67DA1F65" w14:textId="77777777" w:rsidR="00222DE0" w:rsidRPr="00EE3355" w:rsidRDefault="00222DE0" w:rsidP="00EA1CDF">
            <w:pPr>
              <w:pStyle w:val="TableParagraph"/>
              <w:widowControl/>
            </w:pPr>
          </w:p>
        </w:tc>
      </w:tr>
      <w:tr w:rsidR="00222DE0" w:rsidRPr="00EE3355" w14:paraId="4204F38C" w14:textId="77777777" w:rsidTr="00160603">
        <w:trPr>
          <w:cantSplit/>
          <w:trHeight w:val="506"/>
        </w:trPr>
        <w:tc>
          <w:tcPr>
            <w:tcW w:w="1876" w:type="dxa"/>
          </w:tcPr>
          <w:p w14:paraId="50CD6B16" w14:textId="77777777" w:rsidR="00222DE0" w:rsidRPr="00EE3355" w:rsidRDefault="0098273B" w:rsidP="00EA1CDF">
            <w:pPr>
              <w:pStyle w:val="TableParagraph"/>
              <w:widowControl/>
            </w:pPr>
            <w:r w:rsidRPr="00EE3355">
              <w:lastRenderedPageBreak/>
              <w:t>Poruchy imunitního</w:t>
            </w:r>
            <w:r w:rsidR="00D07B91" w:rsidRPr="00EE3355">
              <w:t xml:space="preserve"> </w:t>
            </w:r>
            <w:r w:rsidRPr="00EE3355">
              <w:t>systému</w:t>
            </w:r>
          </w:p>
        </w:tc>
        <w:tc>
          <w:tcPr>
            <w:tcW w:w="1652" w:type="dxa"/>
          </w:tcPr>
          <w:p w14:paraId="7391FF5C" w14:textId="77777777" w:rsidR="00222DE0" w:rsidRPr="00EE3355" w:rsidRDefault="00222DE0" w:rsidP="00EA1CDF">
            <w:pPr>
              <w:pStyle w:val="TableParagraph"/>
              <w:widowControl/>
            </w:pPr>
          </w:p>
        </w:tc>
        <w:tc>
          <w:tcPr>
            <w:tcW w:w="2155" w:type="dxa"/>
          </w:tcPr>
          <w:p w14:paraId="42FE5A7E" w14:textId="77777777" w:rsidR="00222DE0" w:rsidRPr="00EE3355" w:rsidRDefault="00222DE0" w:rsidP="00EA1CDF">
            <w:pPr>
              <w:pStyle w:val="TableParagraph"/>
              <w:widowControl/>
            </w:pPr>
          </w:p>
        </w:tc>
        <w:tc>
          <w:tcPr>
            <w:tcW w:w="1834" w:type="dxa"/>
          </w:tcPr>
          <w:p w14:paraId="32E2672B" w14:textId="77777777" w:rsidR="00222DE0" w:rsidRPr="00EE3355" w:rsidRDefault="00222DE0" w:rsidP="00EA1CDF">
            <w:pPr>
              <w:pStyle w:val="TableParagraph"/>
              <w:widowControl/>
            </w:pPr>
          </w:p>
        </w:tc>
        <w:tc>
          <w:tcPr>
            <w:tcW w:w="1680" w:type="dxa"/>
          </w:tcPr>
          <w:p w14:paraId="329CBCD5" w14:textId="77777777" w:rsidR="00222DE0" w:rsidRPr="00EE3355" w:rsidRDefault="0098273B" w:rsidP="00EA1CDF">
            <w:pPr>
              <w:pStyle w:val="TableParagraph"/>
              <w:widowControl/>
              <w:rPr>
                <w:sz w:val="14"/>
              </w:rPr>
            </w:pPr>
            <w:r w:rsidRPr="00EE3355">
              <w:t>Anafylaxe (fatální)</w:t>
            </w:r>
            <w:r w:rsidRPr="00CB398A">
              <w:rPr>
                <w:vertAlign w:val="superscript"/>
              </w:rPr>
              <w:t>1,2, 3</w:t>
            </w:r>
          </w:p>
        </w:tc>
      </w:tr>
      <w:tr w:rsidR="00222DE0" w:rsidRPr="00EE3355" w14:paraId="6A4DF98C" w14:textId="77777777" w:rsidTr="00160603">
        <w:trPr>
          <w:cantSplit/>
          <w:trHeight w:val="254"/>
        </w:trPr>
        <w:tc>
          <w:tcPr>
            <w:tcW w:w="1876" w:type="dxa"/>
          </w:tcPr>
          <w:p w14:paraId="5300163A" w14:textId="77777777" w:rsidR="00222DE0" w:rsidRPr="00EE3355" w:rsidRDefault="0098273B" w:rsidP="00EA1CDF">
            <w:pPr>
              <w:pStyle w:val="TableParagraph"/>
              <w:widowControl/>
            </w:pPr>
            <w:r w:rsidRPr="00EE3355">
              <w:t>Endokrinní poruchy</w:t>
            </w:r>
          </w:p>
        </w:tc>
        <w:tc>
          <w:tcPr>
            <w:tcW w:w="1652" w:type="dxa"/>
          </w:tcPr>
          <w:p w14:paraId="45619D24" w14:textId="77777777" w:rsidR="00222DE0" w:rsidRPr="00EE3355" w:rsidRDefault="00222DE0" w:rsidP="00EA1CDF">
            <w:pPr>
              <w:pStyle w:val="TableParagraph"/>
              <w:widowControl/>
              <w:rPr>
                <w:sz w:val="18"/>
              </w:rPr>
            </w:pPr>
          </w:p>
        </w:tc>
        <w:tc>
          <w:tcPr>
            <w:tcW w:w="2155" w:type="dxa"/>
          </w:tcPr>
          <w:p w14:paraId="4CD64166" w14:textId="77777777" w:rsidR="00222DE0" w:rsidRPr="00EE3355" w:rsidRDefault="00222DE0" w:rsidP="00EA1CDF">
            <w:pPr>
              <w:pStyle w:val="TableParagraph"/>
              <w:widowControl/>
              <w:rPr>
                <w:sz w:val="18"/>
              </w:rPr>
            </w:pPr>
          </w:p>
        </w:tc>
        <w:tc>
          <w:tcPr>
            <w:tcW w:w="1834" w:type="dxa"/>
          </w:tcPr>
          <w:p w14:paraId="5297BF4B" w14:textId="77777777" w:rsidR="00222DE0" w:rsidRPr="00EE3355" w:rsidRDefault="0098273B" w:rsidP="00EA1CDF">
            <w:pPr>
              <w:pStyle w:val="TableParagraph"/>
              <w:widowControl/>
              <w:ind w:right="-80"/>
            </w:pPr>
            <w:r w:rsidRPr="00EE3355">
              <w:t>Hypothyroidismus</w:t>
            </w:r>
          </w:p>
        </w:tc>
        <w:tc>
          <w:tcPr>
            <w:tcW w:w="1680" w:type="dxa"/>
          </w:tcPr>
          <w:p w14:paraId="229286E6" w14:textId="77777777" w:rsidR="00222DE0" w:rsidRPr="00EE3355" w:rsidRDefault="00222DE0" w:rsidP="00EA1CDF">
            <w:pPr>
              <w:pStyle w:val="TableParagraph"/>
              <w:widowControl/>
              <w:rPr>
                <w:sz w:val="18"/>
              </w:rPr>
            </w:pPr>
          </w:p>
        </w:tc>
      </w:tr>
      <w:tr w:rsidR="00222DE0" w:rsidRPr="00EE3355" w14:paraId="18197D10" w14:textId="77777777" w:rsidTr="00160603">
        <w:trPr>
          <w:cantSplit/>
          <w:trHeight w:val="545"/>
        </w:trPr>
        <w:tc>
          <w:tcPr>
            <w:tcW w:w="1876" w:type="dxa"/>
          </w:tcPr>
          <w:p w14:paraId="4C6B6173" w14:textId="77777777" w:rsidR="00222DE0" w:rsidRPr="00EE3355" w:rsidRDefault="0098273B" w:rsidP="00EA1CDF">
            <w:pPr>
              <w:pStyle w:val="TableParagraph"/>
              <w:widowControl/>
            </w:pPr>
            <w:r w:rsidRPr="00EE3355">
              <w:t>Poruchy metabolismu a</w:t>
            </w:r>
            <w:r w:rsidR="00D07B91" w:rsidRPr="00EE3355">
              <w:t xml:space="preserve"> </w:t>
            </w:r>
            <w:r w:rsidRPr="00EE3355">
              <w:t>výživy</w:t>
            </w:r>
          </w:p>
        </w:tc>
        <w:tc>
          <w:tcPr>
            <w:tcW w:w="1652" w:type="dxa"/>
          </w:tcPr>
          <w:p w14:paraId="5CF16732" w14:textId="1782A47C" w:rsidR="00CB1407" w:rsidRDefault="0098273B" w:rsidP="00EA1CDF">
            <w:pPr>
              <w:pStyle w:val="TableParagraph"/>
              <w:widowControl/>
            </w:pPr>
            <w:r w:rsidRPr="00EE3355">
              <w:t>Hypercholeste</w:t>
            </w:r>
            <w:r w:rsidR="00CB1407">
              <w:t>-</w:t>
            </w:r>
          </w:p>
          <w:p w14:paraId="4E8660B4" w14:textId="231D9252" w:rsidR="00222DE0" w:rsidRPr="00EE3355" w:rsidRDefault="0098273B" w:rsidP="00EA1CDF">
            <w:pPr>
              <w:pStyle w:val="TableParagraph"/>
              <w:widowControl/>
            </w:pPr>
            <w:r w:rsidRPr="00EE3355">
              <w:t>rol</w:t>
            </w:r>
            <w:r w:rsidR="00CB1407">
              <w:t>e</w:t>
            </w:r>
            <w:r w:rsidRPr="00EE3355">
              <w:t>mie*</w:t>
            </w:r>
          </w:p>
        </w:tc>
        <w:tc>
          <w:tcPr>
            <w:tcW w:w="2155" w:type="dxa"/>
          </w:tcPr>
          <w:p w14:paraId="1438B0C3" w14:textId="77777777" w:rsidR="00222DE0" w:rsidRPr="00EE3355" w:rsidRDefault="00222DE0" w:rsidP="00EA1CDF">
            <w:pPr>
              <w:pStyle w:val="TableParagraph"/>
              <w:widowControl/>
            </w:pPr>
          </w:p>
        </w:tc>
        <w:tc>
          <w:tcPr>
            <w:tcW w:w="1834" w:type="dxa"/>
          </w:tcPr>
          <w:p w14:paraId="5DE1D45F" w14:textId="40831CB2" w:rsidR="00222DE0" w:rsidRPr="00EE3355" w:rsidRDefault="0098273B" w:rsidP="00EA1CDF">
            <w:pPr>
              <w:pStyle w:val="TableParagraph"/>
              <w:widowControl/>
            </w:pPr>
            <w:r w:rsidRPr="00EE3355">
              <w:t>Hypertriglyceri</w:t>
            </w:r>
            <w:r w:rsidR="00DA3C65">
              <w:t>-</w:t>
            </w:r>
            <w:r w:rsidRPr="00EE3355">
              <w:t>d</w:t>
            </w:r>
            <w:r w:rsidR="00CB1407">
              <w:t>e</w:t>
            </w:r>
            <w:r w:rsidRPr="00EE3355">
              <w:t>mie</w:t>
            </w:r>
          </w:p>
        </w:tc>
        <w:tc>
          <w:tcPr>
            <w:tcW w:w="1680" w:type="dxa"/>
          </w:tcPr>
          <w:p w14:paraId="3B9D2ECF" w14:textId="77777777" w:rsidR="00222DE0" w:rsidRPr="00EE3355" w:rsidRDefault="00222DE0" w:rsidP="00EA1CDF">
            <w:pPr>
              <w:pStyle w:val="TableParagraph"/>
              <w:widowControl/>
            </w:pPr>
          </w:p>
        </w:tc>
      </w:tr>
      <w:tr w:rsidR="00222DE0" w:rsidRPr="00EE3355" w14:paraId="5BAF64AA" w14:textId="77777777" w:rsidTr="00160603">
        <w:trPr>
          <w:cantSplit/>
          <w:trHeight w:val="506"/>
        </w:trPr>
        <w:tc>
          <w:tcPr>
            <w:tcW w:w="1876" w:type="dxa"/>
          </w:tcPr>
          <w:p w14:paraId="24DF9BB1" w14:textId="77777777" w:rsidR="00222DE0" w:rsidRPr="00EE3355" w:rsidRDefault="0098273B" w:rsidP="00EA1CDF">
            <w:pPr>
              <w:pStyle w:val="TableParagraph"/>
              <w:widowControl/>
            </w:pPr>
            <w:r w:rsidRPr="00EE3355">
              <w:t>Poruchy nervového</w:t>
            </w:r>
            <w:r w:rsidR="00D07B91" w:rsidRPr="00EE3355">
              <w:t xml:space="preserve"> </w:t>
            </w:r>
            <w:r w:rsidRPr="00EE3355">
              <w:t>systému</w:t>
            </w:r>
          </w:p>
        </w:tc>
        <w:tc>
          <w:tcPr>
            <w:tcW w:w="1652" w:type="dxa"/>
          </w:tcPr>
          <w:p w14:paraId="316496B7" w14:textId="77777777" w:rsidR="00222DE0" w:rsidRPr="00EE3355" w:rsidRDefault="00222DE0" w:rsidP="00EA1CDF">
            <w:pPr>
              <w:pStyle w:val="TableParagraph"/>
              <w:widowControl/>
            </w:pPr>
          </w:p>
        </w:tc>
        <w:tc>
          <w:tcPr>
            <w:tcW w:w="2155" w:type="dxa"/>
          </w:tcPr>
          <w:p w14:paraId="7AF6B3E8" w14:textId="77777777" w:rsidR="00222DE0" w:rsidRPr="00EE3355" w:rsidRDefault="0098273B" w:rsidP="00EA1CDF">
            <w:pPr>
              <w:pStyle w:val="TableParagraph"/>
              <w:widowControl/>
            </w:pPr>
            <w:r w:rsidRPr="00EE3355">
              <w:t>Bolest hlavy, závrať</w:t>
            </w:r>
          </w:p>
        </w:tc>
        <w:tc>
          <w:tcPr>
            <w:tcW w:w="1834" w:type="dxa"/>
          </w:tcPr>
          <w:p w14:paraId="6560CBC8" w14:textId="77777777" w:rsidR="00222DE0" w:rsidRPr="00EE3355" w:rsidRDefault="00222DE0" w:rsidP="00EA1CDF">
            <w:pPr>
              <w:pStyle w:val="TableParagraph"/>
              <w:widowControl/>
            </w:pPr>
          </w:p>
        </w:tc>
        <w:tc>
          <w:tcPr>
            <w:tcW w:w="1680" w:type="dxa"/>
          </w:tcPr>
          <w:p w14:paraId="4D76A547" w14:textId="77777777" w:rsidR="00222DE0" w:rsidRPr="00EE3355" w:rsidRDefault="00222DE0" w:rsidP="00EA1CDF">
            <w:pPr>
              <w:pStyle w:val="TableParagraph"/>
              <w:widowControl/>
            </w:pPr>
          </w:p>
        </w:tc>
      </w:tr>
      <w:tr w:rsidR="00222DE0" w:rsidRPr="00EE3355" w14:paraId="4A3AA199" w14:textId="77777777" w:rsidTr="00160603">
        <w:trPr>
          <w:cantSplit/>
          <w:trHeight w:val="253"/>
        </w:trPr>
        <w:tc>
          <w:tcPr>
            <w:tcW w:w="1876" w:type="dxa"/>
          </w:tcPr>
          <w:p w14:paraId="72B5BFB9" w14:textId="77777777" w:rsidR="00222DE0" w:rsidRPr="00EE3355" w:rsidRDefault="0098273B" w:rsidP="00EA1CDF">
            <w:pPr>
              <w:pStyle w:val="TableParagraph"/>
              <w:widowControl/>
            </w:pPr>
            <w:r w:rsidRPr="00EE3355">
              <w:t>Poruchy oka</w:t>
            </w:r>
          </w:p>
        </w:tc>
        <w:tc>
          <w:tcPr>
            <w:tcW w:w="1652" w:type="dxa"/>
          </w:tcPr>
          <w:p w14:paraId="4189009C" w14:textId="77777777" w:rsidR="00222DE0" w:rsidRPr="00EE3355" w:rsidRDefault="00222DE0" w:rsidP="00EA1CDF">
            <w:pPr>
              <w:pStyle w:val="TableParagraph"/>
              <w:widowControl/>
              <w:rPr>
                <w:sz w:val="18"/>
              </w:rPr>
            </w:pPr>
          </w:p>
        </w:tc>
        <w:tc>
          <w:tcPr>
            <w:tcW w:w="2155" w:type="dxa"/>
          </w:tcPr>
          <w:p w14:paraId="3FE949CC" w14:textId="77777777" w:rsidR="00222DE0" w:rsidRPr="00EE3355" w:rsidRDefault="0098273B" w:rsidP="00EA1CDF">
            <w:pPr>
              <w:pStyle w:val="TableParagraph"/>
              <w:widowControl/>
            </w:pPr>
            <w:r w:rsidRPr="00EE3355">
              <w:t>Konjunktivitida</w:t>
            </w:r>
          </w:p>
        </w:tc>
        <w:tc>
          <w:tcPr>
            <w:tcW w:w="1834" w:type="dxa"/>
          </w:tcPr>
          <w:p w14:paraId="73C0EAE0" w14:textId="77777777" w:rsidR="00222DE0" w:rsidRPr="00EE3355" w:rsidRDefault="00222DE0" w:rsidP="00EA1CDF">
            <w:pPr>
              <w:pStyle w:val="TableParagraph"/>
              <w:widowControl/>
              <w:rPr>
                <w:sz w:val="18"/>
              </w:rPr>
            </w:pPr>
          </w:p>
        </w:tc>
        <w:tc>
          <w:tcPr>
            <w:tcW w:w="1680" w:type="dxa"/>
          </w:tcPr>
          <w:p w14:paraId="4AFF966D" w14:textId="77777777" w:rsidR="00222DE0" w:rsidRPr="00EE3355" w:rsidRDefault="00222DE0" w:rsidP="00EA1CDF">
            <w:pPr>
              <w:pStyle w:val="TableParagraph"/>
              <w:widowControl/>
              <w:rPr>
                <w:sz w:val="18"/>
              </w:rPr>
            </w:pPr>
          </w:p>
        </w:tc>
      </w:tr>
      <w:tr w:rsidR="00222DE0" w:rsidRPr="00EE3355" w14:paraId="5967338F" w14:textId="77777777" w:rsidTr="00160603">
        <w:trPr>
          <w:cantSplit/>
          <w:trHeight w:val="251"/>
        </w:trPr>
        <w:tc>
          <w:tcPr>
            <w:tcW w:w="1876" w:type="dxa"/>
          </w:tcPr>
          <w:p w14:paraId="465647CB" w14:textId="77777777" w:rsidR="00222DE0" w:rsidRPr="00EE3355" w:rsidRDefault="0098273B" w:rsidP="00EA1CDF">
            <w:pPr>
              <w:pStyle w:val="TableParagraph"/>
              <w:widowControl/>
            </w:pPr>
            <w:r w:rsidRPr="00EE3355">
              <w:t>Cévní poruchy</w:t>
            </w:r>
          </w:p>
        </w:tc>
        <w:tc>
          <w:tcPr>
            <w:tcW w:w="1652" w:type="dxa"/>
          </w:tcPr>
          <w:p w14:paraId="770D0F15" w14:textId="77777777" w:rsidR="00222DE0" w:rsidRPr="00EE3355" w:rsidRDefault="00222DE0" w:rsidP="00EA1CDF">
            <w:pPr>
              <w:pStyle w:val="TableParagraph"/>
              <w:widowControl/>
              <w:rPr>
                <w:sz w:val="18"/>
              </w:rPr>
            </w:pPr>
          </w:p>
        </w:tc>
        <w:tc>
          <w:tcPr>
            <w:tcW w:w="2155" w:type="dxa"/>
          </w:tcPr>
          <w:p w14:paraId="4B089EC0" w14:textId="77777777" w:rsidR="00222DE0" w:rsidRPr="00EE3355" w:rsidRDefault="0098273B" w:rsidP="00EA1CDF">
            <w:pPr>
              <w:pStyle w:val="TableParagraph"/>
              <w:widowControl/>
            </w:pPr>
            <w:r w:rsidRPr="00EE3355">
              <w:t>Hypertenze</w:t>
            </w:r>
          </w:p>
        </w:tc>
        <w:tc>
          <w:tcPr>
            <w:tcW w:w="1834" w:type="dxa"/>
          </w:tcPr>
          <w:p w14:paraId="24BF0AFC" w14:textId="77777777" w:rsidR="00222DE0" w:rsidRPr="00EE3355" w:rsidRDefault="00222DE0" w:rsidP="00EA1CDF">
            <w:pPr>
              <w:pStyle w:val="TableParagraph"/>
              <w:widowControl/>
              <w:rPr>
                <w:sz w:val="18"/>
              </w:rPr>
            </w:pPr>
          </w:p>
        </w:tc>
        <w:tc>
          <w:tcPr>
            <w:tcW w:w="1680" w:type="dxa"/>
          </w:tcPr>
          <w:p w14:paraId="50153A37" w14:textId="77777777" w:rsidR="00222DE0" w:rsidRPr="00EE3355" w:rsidRDefault="00222DE0" w:rsidP="00EA1CDF">
            <w:pPr>
              <w:pStyle w:val="TableParagraph"/>
              <w:widowControl/>
              <w:rPr>
                <w:sz w:val="18"/>
              </w:rPr>
            </w:pPr>
          </w:p>
        </w:tc>
      </w:tr>
      <w:tr w:rsidR="00222DE0" w:rsidRPr="00EE3355" w14:paraId="2811259E" w14:textId="77777777" w:rsidTr="00160603">
        <w:trPr>
          <w:cantSplit/>
          <w:trHeight w:val="758"/>
        </w:trPr>
        <w:tc>
          <w:tcPr>
            <w:tcW w:w="1876" w:type="dxa"/>
          </w:tcPr>
          <w:p w14:paraId="6731DE25" w14:textId="77777777" w:rsidR="00222DE0" w:rsidRPr="00EE3355" w:rsidRDefault="0098273B" w:rsidP="00EA1CDF">
            <w:pPr>
              <w:pStyle w:val="TableParagraph"/>
              <w:widowControl/>
            </w:pPr>
            <w:r w:rsidRPr="00EE3355">
              <w:t>Respirační, hrudní a</w:t>
            </w:r>
            <w:r w:rsidR="00D07B91" w:rsidRPr="00EE3355">
              <w:t xml:space="preserve"> </w:t>
            </w:r>
            <w:r w:rsidRPr="00EE3355">
              <w:t>mediastinální poruchy</w:t>
            </w:r>
          </w:p>
        </w:tc>
        <w:tc>
          <w:tcPr>
            <w:tcW w:w="1652" w:type="dxa"/>
          </w:tcPr>
          <w:p w14:paraId="7F24328A" w14:textId="77777777" w:rsidR="00222DE0" w:rsidRPr="00EE3355" w:rsidRDefault="00222DE0" w:rsidP="00EA1CDF">
            <w:pPr>
              <w:pStyle w:val="TableParagraph"/>
              <w:widowControl/>
            </w:pPr>
          </w:p>
        </w:tc>
        <w:tc>
          <w:tcPr>
            <w:tcW w:w="2155" w:type="dxa"/>
          </w:tcPr>
          <w:p w14:paraId="2AB3D710" w14:textId="77777777" w:rsidR="00222DE0" w:rsidRPr="00EE3355" w:rsidRDefault="0098273B" w:rsidP="00EA1CDF">
            <w:pPr>
              <w:pStyle w:val="TableParagraph"/>
              <w:widowControl/>
            </w:pPr>
            <w:r w:rsidRPr="00EE3355">
              <w:t>Kašel, dyspnoe</w:t>
            </w:r>
          </w:p>
        </w:tc>
        <w:tc>
          <w:tcPr>
            <w:tcW w:w="1834" w:type="dxa"/>
          </w:tcPr>
          <w:p w14:paraId="504E4F43" w14:textId="77777777" w:rsidR="00222DE0" w:rsidRPr="00EE3355" w:rsidRDefault="00222DE0" w:rsidP="00EA1CDF">
            <w:pPr>
              <w:pStyle w:val="TableParagraph"/>
              <w:widowControl/>
            </w:pPr>
          </w:p>
        </w:tc>
        <w:tc>
          <w:tcPr>
            <w:tcW w:w="1680" w:type="dxa"/>
          </w:tcPr>
          <w:p w14:paraId="67439DFF" w14:textId="77777777" w:rsidR="00222DE0" w:rsidRPr="00EE3355" w:rsidRDefault="00222DE0" w:rsidP="00EA1CDF">
            <w:pPr>
              <w:pStyle w:val="TableParagraph"/>
              <w:widowControl/>
            </w:pPr>
          </w:p>
        </w:tc>
      </w:tr>
      <w:tr w:rsidR="00222DE0" w:rsidRPr="00EE3355" w14:paraId="51B53E2E" w14:textId="77777777" w:rsidTr="00160603">
        <w:trPr>
          <w:cantSplit/>
          <w:trHeight w:val="760"/>
        </w:trPr>
        <w:tc>
          <w:tcPr>
            <w:tcW w:w="1876" w:type="dxa"/>
          </w:tcPr>
          <w:p w14:paraId="34DCDA0B" w14:textId="77777777" w:rsidR="00222DE0" w:rsidRPr="00EE3355" w:rsidRDefault="0098273B" w:rsidP="00EA1CDF">
            <w:pPr>
              <w:pStyle w:val="TableParagraph"/>
              <w:widowControl/>
            </w:pPr>
            <w:r w:rsidRPr="00EE3355">
              <w:t>Gastrointestinální poruchy</w:t>
            </w:r>
          </w:p>
        </w:tc>
        <w:tc>
          <w:tcPr>
            <w:tcW w:w="1652" w:type="dxa"/>
          </w:tcPr>
          <w:p w14:paraId="17A5A1F4" w14:textId="77777777" w:rsidR="00222DE0" w:rsidRPr="00EE3355" w:rsidRDefault="00222DE0" w:rsidP="00EA1CDF">
            <w:pPr>
              <w:pStyle w:val="TableParagraph"/>
              <w:widowControl/>
            </w:pPr>
          </w:p>
        </w:tc>
        <w:tc>
          <w:tcPr>
            <w:tcW w:w="2155" w:type="dxa"/>
          </w:tcPr>
          <w:p w14:paraId="4842CBD5" w14:textId="77777777" w:rsidR="00222DE0" w:rsidRPr="00EE3355" w:rsidRDefault="0098273B" w:rsidP="00EA1CDF">
            <w:pPr>
              <w:pStyle w:val="TableParagraph"/>
              <w:widowControl/>
            </w:pPr>
            <w:r w:rsidRPr="00EE3355">
              <w:t>Bolest břicha,</w:t>
            </w:r>
            <w:r w:rsidR="00D07B91" w:rsidRPr="00EE3355">
              <w:t xml:space="preserve"> </w:t>
            </w:r>
            <w:r w:rsidRPr="00EE3355">
              <w:t>ulcerace v ústech, gastritida</w:t>
            </w:r>
          </w:p>
        </w:tc>
        <w:tc>
          <w:tcPr>
            <w:tcW w:w="1834" w:type="dxa"/>
          </w:tcPr>
          <w:p w14:paraId="45927B14" w14:textId="77777777" w:rsidR="00222DE0" w:rsidRPr="00EE3355" w:rsidRDefault="0098273B" w:rsidP="00EA1CDF">
            <w:pPr>
              <w:pStyle w:val="TableParagraph"/>
              <w:widowControl/>
            </w:pPr>
            <w:r w:rsidRPr="00EE3355">
              <w:t>Stomatitida,</w:t>
            </w:r>
            <w:r w:rsidR="00D07B91" w:rsidRPr="00EE3355">
              <w:t xml:space="preserve"> </w:t>
            </w:r>
            <w:r w:rsidRPr="00EE3355">
              <w:t>žaludeční vřed</w:t>
            </w:r>
          </w:p>
        </w:tc>
        <w:tc>
          <w:tcPr>
            <w:tcW w:w="1680" w:type="dxa"/>
          </w:tcPr>
          <w:p w14:paraId="1F8879CC" w14:textId="77777777" w:rsidR="00222DE0" w:rsidRPr="00EE3355" w:rsidRDefault="00222DE0" w:rsidP="00EA1CDF">
            <w:pPr>
              <w:pStyle w:val="TableParagraph"/>
              <w:widowControl/>
            </w:pPr>
          </w:p>
        </w:tc>
      </w:tr>
      <w:tr w:rsidR="00222DE0" w:rsidRPr="00EE3355" w14:paraId="71F4882D" w14:textId="77777777" w:rsidTr="00160603">
        <w:trPr>
          <w:cantSplit/>
          <w:trHeight w:val="1264"/>
        </w:trPr>
        <w:tc>
          <w:tcPr>
            <w:tcW w:w="1876" w:type="dxa"/>
          </w:tcPr>
          <w:p w14:paraId="311F57F5" w14:textId="77777777" w:rsidR="00222DE0" w:rsidRPr="00EE3355" w:rsidRDefault="0098273B" w:rsidP="00EA1CDF">
            <w:pPr>
              <w:pStyle w:val="TableParagraph"/>
              <w:widowControl/>
            </w:pPr>
            <w:r w:rsidRPr="00EE3355">
              <w:t>Poruchy jater a</w:t>
            </w:r>
            <w:r w:rsidR="00D07B91" w:rsidRPr="00EE3355">
              <w:t xml:space="preserve"> </w:t>
            </w:r>
            <w:r w:rsidRPr="00EE3355">
              <w:t>žlučových cest</w:t>
            </w:r>
          </w:p>
        </w:tc>
        <w:tc>
          <w:tcPr>
            <w:tcW w:w="1652" w:type="dxa"/>
          </w:tcPr>
          <w:p w14:paraId="1A7E2567" w14:textId="77777777" w:rsidR="00222DE0" w:rsidRPr="00EE3355" w:rsidRDefault="00222DE0" w:rsidP="00EA1CDF">
            <w:pPr>
              <w:pStyle w:val="TableParagraph"/>
              <w:widowControl/>
            </w:pPr>
          </w:p>
        </w:tc>
        <w:tc>
          <w:tcPr>
            <w:tcW w:w="2155" w:type="dxa"/>
          </w:tcPr>
          <w:p w14:paraId="746D9A42" w14:textId="77777777" w:rsidR="00222DE0" w:rsidRPr="00EE3355" w:rsidRDefault="00222DE0" w:rsidP="00EA1CDF">
            <w:pPr>
              <w:pStyle w:val="TableParagraph"/>
              <w:widowControl/>
            </w:pPr>
          </w:p>
        </w:tc>
        <w:tc>
          <w:tcPr>
            <w:tcW w:w="1834" w:type="dxa"/>
          </w:tcPr>
          <w:p w14:paraId="2BC3DEDF" w14:textId="77777777" w:rsidR="00222DE0" w:rsidRPr="00EE3355" w:rsidRDefault="00222DE0" w:rsidP="00EA1CDF">
            <w:pPr>
              <w:pStyle w:val="TableParagraph"/>
              <w:widowControl/>
            </w:pPr>
          </w:p>
        </w:tc>
        <w:tc>
          <w:tcPr>
            <w:tcW w:w="1680" w:type="dxa"/>
          </w:tcPr>
          <w:p w14:paraId="1449E575" w14:textId="77777777" w:rsidR="00222DE0" w:rsidRPr="00EE3355" w:rsidRDefault="0098273B" w:rsidP="00EA1CDF">
            <w:pPr>
              <w:pStyle w:val="TableParagraph"/>
              <w:widowControl/>
            </w:pPr>
            <w:r w:rsidRPr="00EE3355">
              <w:t>Polékové poškození jater, hepatitida, ikterus,</w:t>
            </w:r>
            <w:r w:rsidR="00D07B91" w:rsidRPr="00EE3355">
              <w:t xml:space="preserve"> </w:t>
            </w:r>
            <w:r w:rsidRPr="00EE3355">
              <w:t>Velmi vzácné: jaterní selhání</w:t>
            </w:r>
          </w:p>
        </w:tc>
      </w:tr>
      <w:tr w:rsidR="00222DE0" w:rsidRPr="00EE3355" w14:paraId="14B1EC59" w14:textId="77777777" w:rsidTr="00160603">
        <w:trPr>
          <w:cantSplit/>
          <w:trHeight w:val="502"/>
        </w:trPr>
        <w:tc>
          <w:tcPr>
            <w:tcW w:w="1876" w:type="dxa"/>
          </w:tcPr>
          <w:p w14:paraId="4D191BE9" w14:textId="77777777" w:rsidR="00222DE0" w:rsidRPr="00EE3355" w:rsidRDefault="0098273B" w:rsidP="00EA1CDF">
            <w:pPr>
              <w:pStyle w:val="TableParagraph"/>
              <w:widowControl/>
            </w:pPr>
            <w:r w:rsidRPr="00EE3355">
              <w:t>Poruchy kůže a</w:t>
            </w:r>
            <w:r w:rsidR="00D07B91" w:rsidRPr="00EE3355">
              <w:t xml:space="preserve"> </w:t>
            </w:r>
            <w:r w:rsidRPr="00EE3355">
              <w:t>podkožní tkáně</w:t>
            </w:r>
          </w:p>
        </w:tc>
        <w:tc>
          <w:tcPr>
            <w:tcW w:w="1652" w:type="dxa"/>
          </w:tcPr>
          <w:p w14:paraId="57509355" w14:textId="77777777" w:rsidR="00222DE0" w:rsidRPr="00EE3355" w:rsidRDefault="00222DE0" w:rsidP="00EA1CDF">
            <w:pPr>
              <w:pStyle w:val="TableParagraph"/>
              <w:widowControl/>
            </w:pPr>
          </w:p>
        </w:tc>
        <w:tc>
          <w:tcPr>
            <w:tcW w:w="2155" w:type="dxa"/>
          </w:tcPr>
          <w:p w14:paraId="49310DFA" w14:textId="77777777" w:rsidR="00222DE0" w:rsidRPr="00EE3355" w:rsidRDefault="0098273B" w:rsidP="00EA1CDF">
            <w:pPr>
              <w:pStyle w:val="TableParagraph"/>
              <w:widowControl/>
            </w:pPr>
            <w:r w:rsidRPr="00EE3355">
              <w:t>Vyrážka, pruritus,</w:t>
            </w:r>
            <w:r w:rsidR="00D07B91" w:rsidRPr="00EE3355">
              <w:t xml:space="preserve"> </w:t>
            </w:r>
            <w:r w:rsidRPr="00EE3355">
              <w:t>kopřivka</w:t>
            </w:r>
          </w:p>
        </w:tc>
        <w:tc>
          <w:tcPr>
            <w:tcW w:w="1834" w:type="dxa"/>
          </w:tcPr>
          <w:p w14:paraId="79F21173" w14:textId="77777777" w:rsidR="00222DE0" w:rsidRPr="00EE3355" w:rsidRDefault="00222DE0" w:rsidP="00EA1CDF">
            <w:pPr>
              <w:pStyle w:val="TableParagraph"/>
              <w:widowControl/>
            </w:pPr>
          </w:p>
        </w:tc>
        <w:tc>
          <w:tcPr>
            <w:tcW w:w="1680" w:type="dxa"/>
          </w:tcPr>
          <w:p w14:paraId="56945C9E" w14:textId="77777777" w:rsidR="00222DE0" w:rsidRPr="00EE3355" w:rsidRDefault="0098273B" w:rsidP="00EA1CDF">
            <w:pPr>
              <w:pStyle w:val="TableParagraph"/>
              <w:widowControl/>
            </w:pPr>
            <w:r w:rsidRPr="00EE3355">
              <w:t>Stevensův-Johnsonův syndrom</w:t>
            </w:r>
            <w:r w:rsidRPr="00EE3355">
              <w:rPr>
                <w:vertAlign w:val="superscript"/>
              </w:rPr>
              <w:t>3</w:t>
            </w:r>
          </w:p>
        </w:tc>
      </w:tr>
      <w:tr w:rsidR="00222DE0" w:rsidRPr="00EE3355" w14:paraId="083C121C" w14:textId="77777777" w:rsidTr="00160603">
        <w:trPr>
          <w:cantSplit/>
          <w:trHeight w:val="506"/>
        </w:trPr>
        <w:tc>
          <w:tcPr>
            <w:tcW w:w="1876" w:type="dxa"/>
          </w:tcPr>
          <w:p w14:paraId="08C4C8BC" w14:textId="77777777" w:rsidR="00222DE0" w:rsidRPr="00EE3355" w:rsidRDefault="0098273B" w:rsidP="00EA1CDF">
            <w:pPr>
              <w:pStyle w:val="TableParagraph"/>
              <w:widowControl/>
            </w:pPr>
            <w:r w:rsidRPr="00EE3355">
              <w:t>Poruchy ledvin a</w:t>
            </w:r>
            <w:r w:rsidR="00D07B91" w:rsidRPr="00EE3355">
              <w:t xml:space="preserve"> </w:t>
            </w:r>
            <w:r w:rsidRPr="00EE3355">
              <w:t>močových cest</w:t>
            </w:r>
          </w:p>
        </w:tc>
        <w:tc>
          <w:tcPr>
            <w:tcW w:w="1652" w:type="dxa"/>
          </w:tcPr>
          <w:p w14:paraId="005582D5" w14:textId="77777777" w:rsidR="00222DE0" w:rsidRPr="00EE3355" w:rsidRDefault="00222DE0" w:rsidP="00EA1CDF">
            <w:pPr>
              <w:pStyle w:val="TableParagraph"/>
              <w:widowControl/>
            </w:pPr>
          </w:p>
        </w:tc>
        <w:tc>
          <w:tcPr>
            <w:tcW w:w="2155" w:type="dxa"/>
          </w:tcPr>
          <w:p w14:paraId="6B88D122" w14:textId="77777777" w:rsidR="00222DE0" w:rsidRPr="00EE3355" w:rsidRDefault="00222DE0" w:rsidP="00EA1CDF">
            <w:pPr>
              <w:pStyle w:val="TableParagraph"/>
              <w:widowControl/>
            </w:pPr>
          </w:p>
        </w:tc>
        <w:tc>
          <w:tcPr>
            <w:tcW w:w="1834" w:type="dxa"/>
          </w:tcPr>
          <w:p w14:paraId="7ACC088D" w14:textId="77777777" w:rsidR="00222DE0" w:rsidRPr="00EE3355" w:rsidRDefault="0098273B" w:rsidP="00EA1CDF">
            <w:pPr>
              <w:pStyle w:val="TableParagraph"/>
              <w:widowControl/>
            </w:pPr>
            <w:r w:rsidRPr="00EE3355">
              <w:t>Nefrolithiáza</w:t>
            </w:r>
          </w:p>
        </w:tc>
        <w:tc>
          <w:tcPr>
            <w:tcW w:w="1680" w:type="dxa"/>
          </w:tcPr>
          <w:p w14:paraId="0070F38D" w14:textId="77777777" w:rsidR="00222DE0" w:rsidRPr="00EE3355" w:rsidRDefault="00222DE0" w:rsidP="00EA1CDF">
            <w:pPr>
              <w:pStyle w:val="TableParagraph"/>
              <w:widowControl/>
            </w:pPr>
          </w:p>
        </w:tc>
      </w:tr>
      <w:tr w:rsidR="00222DE0" w:rsidRPr="00EE3355" w14:paraId="47433C22" w14:textId="77777777" w:rsidTr="00160603">
        <w:trPr>
          <w:cantSplit/>
          <w:trHeight w:val="760"/>
        </w:trPr>
        <w:tc>
          <w:tcPr>
            <w:tcW w:w="1876" w:type="dxa"/>
          </w:tcPr>
          <w:p w14:paraId="038F8442" w14:textId="77777777" w:rsidR="00222DE0" w:rsidRPr="00EE3355" w:rsidRDefault="0098273B" w:rsidP="00EA1CDF">
            <w:pPr>
              <w:pStyle w:val="TableParagraph"/>
              <w:widowControl/>
            </w:pPr>
            <w:r w:rsidRPr="00EE3355">
              <w:t>Celkové poruchy a</w:t>
            </w:r>
            <w:r w:rsidR="00D07B91" w:rsidRPr="00EE3355">
              <w:t xml:space="preserve"> </w:t>
            </w:r>
            <w:r w:rsidRPr="00EE3355">
              <w:t>reakce v</w:t>
            </w:r>
            <w:r w:rsidR="00D07B91" w:rsidRPr="00EE3355">
              <w:t> </w:t>
            </w:r>
            <w:r w:rsidRPr="00EE3355">
              <w:t>místě</w:t>
            </w:r>
            <w:r w:rsidR="00D07B91" w:rsidRPr="00EE3355">
              <w:t xml:space="preserve"> </w:t>
            </w:r>
            <w:r w:rsidRPr="00EE3355">
              <w:t>aplikace</w:t>
            </w:r>
          </w:p>
        </w:tc>
        <w:tc>
          <w:tcPr>
            <w:tcW w:w="1652" w:type="dxa"/>
          </w:tcPr>
          <w:p w14:paraId="33D18CEA" w14:textId="77777777" w:rsidR="00222DE0" w:rsidRPr="00EE3355" w:rsidRDefault="00222DE0" w:rsidP="00EA1CDF">
            <w:pPr>
              <w:pStyle w:val="TableParagraph"/>
              <w:widowControl/>
            </w:pPr>
          </w:p>
        </w:tc>
        <w:tc>
          <w:tcPr>
            <w:tcW w:w="2155" w:type="dxa"/>
          </w:tcPr>
          <w:p w14:paraId="0917C04B" w14:textId="77777777" w:rsidR="00222DE0" w:rsidRPr="00EE3355" w:rsidRDefault="0098273B" w:rsidP="00EA1CDF">
            <w:pPr>
              <w:pStyle w:val="TableParagraph"/>
              <w:widowControl/>
            </w:pPr>
            <w:r w:rsidRPr="00EE3355">
              <w:t>Periferní otok,</w:t>
            </w:r>
            <w:r w:rsidR="00D07B91" w:rsidRPr="00EE3355">
              <w:t xml:space="preserve"> </w:t>
            </w:r>
            <w:r w:rsidRPr="00EE3355">
              <w:t>hypersenzitivní reakce</w:t>
            </w:r>
          </w:p>
        </w:tc>
        <w:tc>
          <w:tcPr>
            <w:tcW w:w="1834" w:type="dxa"/>
          </w:tcPr>
          <w:p w14:paraId="6F38BFD1" w14:textId="77777777" w:rsidR="00222DE0" w:rsidRPr="00EE3355" w:rsidRDefault="00222DE0" w:rsidP="00EA1CDF">
            <w:pPr>
              <w:pStyle w:val="TableParagraph"/>
              <w:widowControl/>
            </w:pPr>
          </w:p>
        </w:tc>
        <w:tc>
          <w:tcPr>
            <w:tcW w:w="1680" w:type="dxa"/>
          </w:tcPr>
          <w:p w14:paraId="6F23B0D1" w14:textId="77777777" w:rsidR="00222DE0" w:rsidRPr="00EE3355" w:rsidRDefault="00222DE0" w:rsidP="00EA1CDF">
            <w:pPr>
              <w:pStyle w:val="TableParagraph"/>
              <w:widowControl/>
            </w:pPr>
          </w:p>
        </w:tc>
      </w:tr>
      <w:tr w:rsidR="00222DE0" w:rsidRPr="00EE3355" w14:paraId="350D8E51" w14:textId="77777777" w:rsidTr="00160603">
        <w:tblPrEx>
          <w:tblCellMar>
            <w:top w:w="0" w:type="dxa"/>
            <w:left w:w="0" w:type="dxa"/>
            <w:bottom w:w="0" w:type="dxa"/>
            <w:right w:w="0" w:type="dxa"/>
          </w:tblCellMar>
        </w:tblPrEx>
        <w:trPr>
          <w:trHeight w:val="1518"/>
        </w:trPr>
        <w:tc>
          <w:tcPr>
            <w:tcW w:w="1876" w:type="dxa"/>
          </w:tcPr>
          <w:p w14:paraId="7966C814" w14:textId="77777777" w:rsidR="00222DE0" w:rsidRPr="00EE3355" w:rsidRDefault="0098273B" w:rsidP="00EA1CDF">
            <w:pPr>
              <w:pStyle w:val="TableParagraph"/>
              <w:ind w:left="107"/>
            </w:pPr>
            <w:r w:rsidRPr="00EE3355">
              <w:t>Vyšetření</w:t>
            </w:r>
          </w:p>
        </w:tc>
        <w:tc>
          <w:tcPr>
            <w:tcW w:w="1652" w:type="dxa"/>
          </w:tcPr>
          <w:p w14:paraId="77169E66" w14:textId="77777777" w:rsidR="00222DE0" w:rsidRPr="00EE3355" w:rsidRDefault="00222DE0" w:rsidP="00EA1CDF">
            <w:pPr>
              <w:pStyle w:val="TableParagraph"/>
              <w:rPr>
                <w:sz w:val="20"/>
              </w:rPr>
            </w:pPr>
          </w:p>
        </w:tc>
        <w:tc>
          <w:tcPr>
            <w:tcW w:w="2155" w:type="dxa"/>
          </w:tcPr>
          <w:p w14:paraId="39C7A811" w14:textId="77777777" w:rsidR="00222DE0" w:rsidRPr="00EE3355" w:rsidRDefault="0098273B" w:rsidP="00EA1CDF">
            <w:pPr>
              <w:pStyle w:val="TableParagraph"/>
              <w:ind w:left="107" w:right="340"/>
            </w:pPr>
            <w:r w:rsidRPr="00EE3355">
              <w:t>Zvýšení jaterních aminotransferáz, zvýšení tělesné hmotnosti, zvýšení celkového</w:t>
            </w:r>
            <w:r w:rsidR="00593E23" w:rsidRPr="00EE3355">
              <w:t xml:space="preserve"> </w:t>
            </w:r>
            <w:r w:rsidRPr="00EE3355">
              <w:t>bilirubinu*</w:t>
            </w:r>
          </w:p>
        </w:tc>
        <w:tc>
          <w:tcPr>
            <w:tcW w:w="1834" w:type="dxa"/>
          </w:tcPr>
          <w:p w14:paraId="3B875524" w14:textId="77777777" w:rsidR="00222DE0" w:rsidRPr="00EE3355" w:rsidRDefault="00222DE0" w:rsidP="00EA1CDF">
            <w:pPr>
              <w:pStyle w:val="TableParagraph"/>
              <w:rPr>
                <w:sz w:val="20"/>
              </w:rPr>
            </w:pPr>
          </w:p>
        </w:tc>
        <w:tc>
          <w:tcPr>
            <w:tcW w:w="1680" w:type="dxa"/>
          </w:tcPr>
          <w:p w14:paraId="51DA0C0F" w14:textId="77777777" w:rsidR="00222DE0" w:rsidRPr="00EE3355" w:rsidRDefault="00222DE0" w:rsidP="00EA1CDF">
            <w:pPr>
              <w:pStyle w:val="TableParagraph"/>
              <w:rPr>
                <w:sz w:val="20"/>
              </w:rPr>
            </w:pPr>
          </w:p>
        </w:tc>
      </w:tr>
    </w:tbl>
    <w:p w14:paraId="64197E5C" w14:textId="77777777" w:rsidR="00222DE0" w:rsidRPr="00EE3355" w:rsidRDefault="0098273B" w:rsidP="00EA1CDF">
      <w:pPr>
        <w:rPr>
          <w:sz w:val="18"/>
        </w:rPr>
      </w:pPr>
      <w:r w:rsidRPr="00EE3355">
        <w:rPr>
          <w:sz w:val="18"/>
        </w:rPr>
        <w:t>* Včetně zvýšených hodnot získaných v rámci běžného laboratorního sledování (viz text níže)</w:t>
      </w:r>
    </w:p>
    <w:p w14:paraId="41116D75" w14:textId="77777777" w:rsidR="00222DE0" w:rsidRPr="00EE3355" w:rsidRDefault="0098273B" w:rsidP="00EA1CDF">
      <w:pPr>
        <w:ind w:left="284" w:hanging="284"/>
        <w:rPr>
          <w:sz w:val="18"/>
        </w:rPr>
      </w:pPr>
      <w:r w:rsidRPr="00EE3355">
        <w:rPr>
          <w:sz w:val="12"/>
        </w:rPr>
        <w:t>1</w:t>
      </w:r>
      <w:r w:rsidR="00D07B91" w:rsidRPr="00EE3355">
        <w:rPr>
          <w:sz w:val="12"/>
        </w:rPr>
        <w:tab/>
      </w:r>
      <w:r w:rsidRPr="00EE3355">
        <w:rPr>
          <w:sz w:val="18"/>
        </w:rPr>
        <w:t>Viz bod 4.3</w:t>
      </w:r>
    </w:p>
    <w:p w14:paraId="54A0F9C5" w14:textId="77777777" w:rsidR="00222DE0" w:rsidRPr="00EE3355" w:rsidRDefault="0098273B" w:rsidP="00EA1CDF">
      <w:pPr>
        <w:ind w:left="284" w:hanging="284"/>
        <w:rPr>
          <w:sz w:val="18"/>
        </w:rPr>
      </w:pPr>
      <w:r w:rsidRPr="00EE3355">
        <w:rPr>
          <w:sz w:val="12"/>
        </w:rPr>
        <w:t>2</w:t>
      </w:r>
      <w:r w:rsidR="00D07B91" w:rsidRPr="00EE3355">
        <w:rPr>
          <w:sz w:val="12"/>
        </w:rPr>
        <w:tab/>
      </w:r>
      <w:r w:rsidRPr="00EE3355">
        <w:rPr>
          <w:sz w:val="18"/>
        </w:rPr>
        <w:t>Viz bod 4.4</w:t>
      </w:r>
    </w:p>
    <w:p w14:paraId="3E9AD35B" w14:textId="77777777" w:rsidR="00222DE0" w:rsidRPr="00EE3355" w:rsidRDefault="0098273B" w:rsidP="00EA1CDF">
      <w:pPr>
        <w:ind w:left="284" w:hanging="284"/>
        <w:rPr>
          <w:sz w:val="18"/>
        </w:rPr>
      </w:pPr>
      <w:r w:rsidRPr="00EE3355">
        <w:rPr>
          <w:sz w:val="12"/>
        </w:rPr>
        <w:t>3</w:t>
      </w:r>
      <w:r w:rsidR="00D07B91" w:rsidRPr="00EE3355">
        <w:rPr>
          <w:sz w:val="12"/>
        </w:rPr>
        <w:tab/>
      </w:r>
      <w:r w:rsidRPr="00EE3355">
        <w:rPr>
          <w:sz w:val="18"/>
        </w:rPr>
        <w:t>Tento nežádoucí účinek byl identifikován v rámci sledování v době po uvedení na trh, nebyl ale pozorován</w:t>
      </w:r>
      <w:r w:rsidR="00BC36A4" w:rsidRPr="00EE3355">
        <w:rPr>
          <w:sz w:val="18"/>
        </w:rPr>
        <w:t xml:space="preserve"> </w:t>
      </w:r>
      <w:r w:rsidRPr="00EE3355">
        <w:rPr>
          <w:sz w:val="18"/>
        </w:rPr>
        <w:t>v kontrolovaných klinických hodnoceních. Kategorie frekvencí byla odhadnuta jako horní limit 95% intervalu spolehlivosti</w:t>
      </w:r>
      <w:r w:rsidR="00BC36A4" w:rsidRPr="00EE3355">
        <w:rPr>
          <w:sz w:val="18"/>
        </w:rPr>
        <w:t xml:space="preserve"> </w:t>
      </w:r>
      <w:r w:rsidRPr="00EE3355">
        <w:rPr>
          <w:sz w:val="18"/>
        </w:rPr>
        <w:t>vypočítaného na základě celkového počtu pacientů vystavených TCZ v klinických hodnoceních.</w:t>
      </w:r>
    </w:p>
    <w:p w14:paraId="54AB2D43" w14:textId="77777777" w:rsidR="00074663" w:rsidRPr="00EE3355" w:rsidRDefault="00074663" w:rsidP="00EA1CDF">
      <w:pPr>
        <w:widowControl/>
        <w:rPr>
          <w:i/>
        </w:rPr>
      </w:pPr>
    </w:p>
    <w:p w14:paraId="45F45010" w14:textId="77777777" w:rsidR="00222DE0" w:rsidRPr="00EE3355" w:rsidRDefault="0098273B" w:rsidP="00EA1CDF">
      <w:pPr>
        <w:keepNext/>
        <w:widowControl/>
        <w:rPr>
          <w:i/>
        </w:rPr>
      </w:pPr>
      <w:r w:rsidRPr="00EE3355">
        <w:rPr>
          <w:i/>
        </w:rPr>
        <w:t>Infekce</w:t>
      </w:r>
    </w:p>
    <w:p w14:paraId="48B03ECB" w14:textId="1BA310B0" w:rsidR="00222DE0" w:rsidRPr="00EE3355" w:rsidRDefault="0098273B" w:rsidP="00EA1CDF">
      <w:pPr>
        <w:pStyle w:val="a3"/>
        <w:widowControl/>
        <w:ind w:left="0"/>
      </w:pPr>
      <w:r w:rsidRPr="00EE3355">
        <w:t xml:space="preserve">V 6měsíčních kontrolovaných studiích byl počet všech infekcí zaznamenaných při podávání tocilizumabu 8 mg/kg spolu s tradičními DMARD 127 příhod na 100 pacientoroků v porovnání se 112 příhodami na 100 pacientoroků ve skupině s placebem spolu s tradičními DMARD. V souboru </w:t>
      </w:r>
      <w:r w:rsidRPr="00EE3355">
        <w:lastRenderedPageBreak/>
        <w:t xml:space="preserve">dlouhodobé expozice byl celkový počet infekcí při používání </w:t>
      </w:r>
      <w:r w:rsidR="00D20E03" w:rsidRPr="001879E9">
        <w:t>tocilizumab</w:t>
      </w:r>
      <w:r w:rsidR="00D20E03">
        <w:t>u</w:t>
      </w:r>
      <w:r w:rsidRPr="00EE3355">
        <w:t xml:space="preserve"> 108 příhod na 100 pacientoroků expozice.</w:t>
      </w:r>
    </w:p>
    <w:p w14:paraId="2C65C871" w14:textId="77777777" w:rsidR="00222DE0" w:rsidRPr="00EE3355" w:rsidRDefault="00222DE0" w:rsidP="00EA1CDF">
      <w:pPr>
        <w:pStyle w:val="a3"/>
        <w:widowControl/>
        <w:ind w:left="0"/>
      </w:pPr>
    </w:p>
    <w:p w14:paraId="57C75098" w14:textId="77777777" w:rsidR="00222DE0" w:rsidRPr="00EE3355" w:rsidRDefault="0098273B" w:rsidP="00EA1CDF">
      <w:pPr>
        <w:pStyle w:val="a3"/>
        <w:widowControl/>
        <w:ind w:left="0"/>
      </w:pPr>
      <w:r w:rsidRPr="00EE3355">
        <w:t>V 6měsíčních kontrolovaných klinických studiích byl počet závažných infekcí v</w:t>
      </w:r>
      <w:r w:rsidR="00074663" w:rsidRPr="00EE3355">
        <w:t> </w:t>
      </w:r>
      <w:r w:rsidRPr="00EE3355">
        <w:t>souvislosti</w:t>
      </w:r>
      <w:r w:rsidR="00074663" w:rsidRPr="00EE3355">
        <w:t xml:space="preserve"> </w:t>
      </w:r>
      <w:r w:rsidRPr="00EE3355">
        <w:t>s přípravkem tocilizumab 8 mg/kg spolu s tradičními DMARD 5,3 příhod na 100 pacientoroků expozice v porovnání s 3,9 příhodami na 100 pacientoroků expozice ve skupině s placebem spolu s tradičními DMARD. Ve studiích monoterapie byl počet závažných infekcí 3,6 příhod na 100</w:t>
      </w:r>
      <w:r w:rsidR="00074663" w:rsidRPr="00EE3355">
        <w:t xml:space="preserve"> </w:t>
      </w:r>
      <w:r w:rsidRPr="00EE3355">
        <w:t>pacientoroků expozice u tocilizumabu a 1,5 příhody na 100 pacientoroků expozice ve skupině MTX.</w:t>
      </w:r>
    </w:p>
    <w:p w14:paraId="146BC43E" w14:textId="77777777" w:rsidR="00222DE0" w:rsidRPr="00EE3355" w:rsidRDefault="00222DE0" w:rsidP="00EA1CDF">
      <w:pPr>
        <w:pStyle w:val="a3"/>
        <w:widowControl/>
        <w:ind w:left="0"/>
      </w:pPr>
    </w:p>
    <w:p w14:paraId="05543D04" w14:textId="77777777" w:rsidR="00222DE0" w:rsidRPr="00EE3355" w:rsidRDefault="0098273B" w:rsidP="00EA1CDF">
      <w:pPr>
        <w:pStyle w:val="a3"/>
        <w:widowControl/>
        <w:ind w:left="0"/>
      </w:pPr>
      <w:r w:rsidRPr="00EE3355">
        <w:t>V souboru dlouhodobé expozice byl celkový počet závažných infekcí (bakteriální, virové a</w:t>
      </w:r>
      <w:r w:rsidR="009B7756" w:rsidRPr="00EE3355">
        <w:t xml:space="preserve"> </w:t>
      </w:r>
      <w:r w:rsidRPr="00EE3355">
        <w:t>mykotické) 4,7 příhod na 100 pacientoroků. Zaznamenané závažné infekce, některé fatální, zahrnovaly aktivní tuberkulózu, která se může projevit jako intrapulmonární nebo extrapulmonární onemocnění, invazivní plicní infekce včetně kandidózy, aspergilózy, kokcidioidomykózy a infekci pneumocystis jirovecii, pneumonii, celulitidu, herpes zoster, gastroenteritidu, divertikulitidu, sepsi a bakteriální artritidu. Byly zaznamenány i případy oportunních infekcí.</w:t>
      </w:r>
    </w:p>
    <w:p w14:paraId="0BB588AA" w14:textId="77777777" w:rsidR="009B7756" w:rsidRPr="00EE3355" w:rsidRDefault="009B7756" w:rsidP="00EA1CDF">
      <w:pPr>
        <w:pStyle w:val="a3"/>
        <w:widowControl/>
        <w:ind w:left="0"/>
      </w:pPr>
    </w:p>
    <w:p w14:paraId="4E489CCD" w14:textId="77777777" w:rsidR="00222DE0" w:rsidRPr="00EE3355" w:rsidRDefault="0098273B" w:rsidP="00EA1CDF">
      <w:pPr>
        <w:keepNext/>
        <w:widowControl/>
        <w:rPr>
          <w:i/>
        </w:rPr>
      </w:pPr>
      <w:r w:rsidRPr="00EE3355">
        <w:rPr>
          <w:i/>
        </w:rPr>
        <w:t>Intersticiální plicní onemocnění</w:t>
      </w:r>
    </w:p>
    <w:p w14:paraId="52B44368" w14:textId="77777777" w:rsidR="00222DE0" w:rsidRPr="00EE3355" w:rsidRDefault="0098273B" w:rsidP="00EA1CDF">
      <w:pPr>
        <w:pStyle w:val="a3"/>
        <w:widowControl/>
        <w:ind w:left="0"/>
      </w:pPr>
      <w:r w:rsidRPr="00EE3355">
        <w:t>Porucha plicních funkcí může zvýšit riziko rozvoje infekcí. Po uvedení přípravku na trh byly hlášeny případy intersticiálního plicního onemocnění (včetně pneumonitidy a plicní fibrózy), některé z nich končily fatálně.</w:t>
      </w:r>
    </w:p>
    <w:p w14:paraId="688ACBF0" w14:textId="77777777" w:rsidR="00222DE0" w:rsidRPr="00EE3355" w:rsidRDefault="00222DE0" w:rsidP="00EA1CDF">
      <w:pPr>
        <w:pStyle w:val="a3"/>
        <w:widowControl/>
        <w:ind w:left="0"/>
      </w:pPr>
    </w:p>
    <w:p w14:paraId="2FBEAA41" w14:textId="77777777" w:rsidR="00222DE0" w:rsidRPr="00EE3355" w:rsidRDefault="0098273B" w:rsidP="00EA1CDF">
      <w:pPr>
        <w:keepNext/>
        <w:widowControl/>
        <w:rPr>
          <w:i/>
        </w:rPr>
      </w:pPr>
      <w:r w:rsidRPr="00EE3355">
        <w:rPr>
          <w:i/>
        </w:rPr>
        <w:t>Gastrointestinální perforace</w:t>
      </w:r>
    </w:p>
    <w:p w14:paraId="409640F3" w14:textId="77777777" w:rsidR="00222DE0" w:rsidRPr="00EE3355" w:rsidRDefault="0098273B" w:rsidP="00EA1CDF">
      <w:pPr>
        <w:pStyle w:val="a3"/>
        <w:widowControl/>
        <w:ind w:left="0"/>
      </w:pPr>
      <w:r w:rsidRPr="00EE3355">
        <w:t>Při léčbě tocilizumabem byl v průběhu 6měsíčních kontrolovaných klinických studií celkový výskyt gastrointestinálních perforací 0,26 příhod na 100 pacientoroků. V souboru dlouhodobé expozice byl celkový výskyt gastrointestinálních perforací 0,28 příhod na 100 pacientoroků. Hlášení gastrointestinálních perforací při léčbě tocilizumabem byla primárně zaznamenávána jako komplikace divertikulitidy a zahrnovala generalizovanou purulentní peritonitidu, perforaci dolní části GIT, píštěle a abscesy.</w:t>
      </w:r>
    </w:p>
    <w:p w14:paraId="5F46931A" w14:textId="77777777" w:rsidR="00134DDA" w:rsidRPr="00EE3355" w:rsidRDefault="00134DDA" w:rsidP="00EA1CDF">
      <w:pPr>
        <w:widowControl/>
        <w:rPr>
          <w:i/>
        </w:rPr>
      </w:pPr>
    </w:p>
    <w:p w14:paraId="31862AB5" w14:textId="77777777" w:rsidR="00222DE0" w:rsidRPr="00EE3355" w:rsidRDefault="0098273B" w:rsidP="00EA1CDF">
      <w:pPr>
        <w:widowControl/>
        <w:rPr>
          <w:i/>
        </w:rPr>
      </w:pPr>
      <w:r w:rsidRPr="00EE3355">
        <w:rPr>
          <w:i/>
        </w:rPr>
        <w:t>Reakce související s infuzi</w:t>
      </w:r>
    </w:p>
    <w:p w14:paraId="03212891" w14:textId="77777777" w:rsidR="00222DE0" w:rsidRPr="00EE3355" w:rsidRDefault="0098273B" w:rsidP="00EA1CDF">
      <w:pPr>
        <w:pStyle w:val="a3"/>
        <w:widowControl/>
        <w:ind w:left="0"/>
      </w:pPr>
      <w:r w:rsidRPr="00EE3355">
        <w:t>V 6měsíčních kontrolovaných klinických studiích byly nežádoucí účinky v souvislosti s infuzí (vybrané příhody se objevují v průběhu nebo do 24 hodin po aplikaci infuze) zaznamenány u 6,9 % pacientů dostávajících tocilizumab v dávce 8 mg/kg spolu s tradičními DMARD a u 5,1 % ve skupině pacientů s placebem spolu s tradičními DMARD. Nežádoucí účinky zaznamenané během aplikace infuze zahrnovaly primárně epizody hypertenze; příhody zaznamenané během 24 hodin po ukončení</w:t>
      </w:r>
      <w:r w:rsidR="005230C6">
        <w:t xml:space="preserve"> </w:t>
      </w:r>
      <w:r w:rsidRPr="00EE3355">
        <w:t>infuze byly bolest hlavy a kožní reakce (vyrážka, urtikarie). Tyto nežádoucí účinky nelimitovaly léčbu.</w:t>
      </w:r>
    </w:p>
    <w:p w14:paraId="2A1DE8BE" w14:textId="77777777" w:rsidR="00222DE0" w:rsidRPr="00EE3355" w:rsidRDefault="00222DE0" w:rsidP="00EA1CDF">
      <w:pPr>
        <w:pStyle w:val="a3"/>
        <w:widowControl/>
        <w:ind w:left="0"/>
      </w:pPr>
    </w:p>
    <w:p w14:paraId="58767EFE" w14:textId="77777777" w:rsidR="00222DE0" w:rsidRPr="00EE3355" w:rsidRDefault="0098273B" w:rsidP="00EA1CDF">
      <w:pPr>
        <w:pStyle w:val="a3"/>
        <w:widowControl/>
        <w:ind w:left="0"/>
      </w:pPr>
      <w:r w:rsidRPr="00EE3355">
        <w:t>Počet anafylaktických reakcí (objevujících se u 8/4009 pacientů, 0,2 %) byl mnohem závažnější u dávky 4 mg/kg v porovnání s 8 mg/kg. Klinicky významná reakce přecitlivělosti spojená s podáváním tocilizumabu a vyžadující přerušení léčby byla zaznamenána u 56 pacientů ze 4009 (1,4 %) léčených tocilizumabem během kontrolovaných a otevřených klinických studií. Tyto reakce byly obvykle pozorovány během druhé až páté infuze tocilizumabu (viz bod 4.4). Po udělení registrace byla během léčby tocilizumabem hlášena fatální anafylaktická reakce (viz bod 4.4).</w:t>
      </w:r>
    </w:p>
    <w:p w14:paraId="54F2A911" w14:textId="77777777" w:rsidR="00222DE0" w:rsidRPr="00EE3355" w:rsidRDefault="00222DE0" w:rsidP="00EA1CDF">
      <w:pPr>
        <w:pStyle w:val="a3"/>
        <w:widowControl/>
        <w:ind w:left="0"/>
      </w:pPr>
    </w:p>
    <w:p w14:paraId="7A658C8E" w14:textId="77777777" w:rsidR="00222DE0" w:rsidRPr="00EE3355" w:rsidRDefault="0098273B" w:rsidP="00EA1CDF">
      <w:pPr>
        <w:widowControl/>
        <w:rPr>
          <w:i/>
        </w:rPr>
      </w:pPr>
      <w:r w:rsidRPr="00EE3355">
        <w:rPr>
          <w:i/>
        </w:rPr>
        <w:t>Hematologické odchylky:</w:t>
      </w:r>
    </w:p>
    <w:p w14:paraId="24CE248A" w14:textId="77777777" w:rsidR="00222DE0" w:rsidRPr="00EE3355" w:rsidRDefault="0098273B" w:rsidP="00EA1CDF">
      <w:pPr>
        <w:widowControl/>
        <w:rPr>
          <w:i/>
        </w:rPr>
      </w:pPr>
      <w:r w:rsidRPr="00EE3355">
        <w:rPr>
          <w:i/>
        </w:rPr>
        <w:t>Neutrofily</w:t>
      </w:r>
    </w:p>
    <w:p w14:paraId="135C8CD7" w14:textId="77777777" w:rsidR="00222DE0" w:rsidRPr="00EE3355" w:rsidRDefault="0098273B" w:rsidP="00EA1CDF">
      <w:pPr>
        <w:pStyle w:val="a3"/>
        <w:widowControl/>
        <w:ind w:left="0"/>
      </w:pPr>
      <w:r w:rsidRPr="00EE3355">
        <w:t>V 6měsíčních kontrolovaných klinických studiích se pokles počtu neutrofilů pod 1 x 10</w:t>
      </w:r>
      <w:r w:rsidRPr="00EE3355">
        <w:rPr>
          <w:vertAlign w:val="superscript"/>
        </w:rPr>
        <w:t>9</w:t>
      </w:r>
      <w:r w:rsidRPr="00EE3355">
        <w:t>/ l objevil u 3,4 % pacientů dostávajících tocilizumab v dávce 8 mg/kg spolu s tradičními DMARD v porovnání s poklesem u &lt; 0,1 % pacientů dostávajících placebo v kombinaci s tradičními DMARD. Přibližně u poloviny pacientů, u kterých došlo k poklesu ANC &lt; 1 x 10</w:t>
      </w:r>
      <w:r w:rsidRPr="00EE3355">
        <w:rPr>
          <w:vertAlign w:val="superscript"/>
        </w:rPr>
        <w:t>9</w:t>
      </w:r>
      <w:r w:rsidRPr="00EE3355">
        <w:t>/ l, došlo k tomuto poklesu v průběhu 8 týdnů po zahájení terapie. Pokles pod 0,5 x 10</w:t>
      </w:r>
      <w:r w:rsidRPr="00EE3355">
        <w:rPr>
          <w:vertAlign w:val="superscript"/>
        </w:rPr>
        <w:t>9</w:t>
      </w:r>
      <w:r w:rsidRPr="00EE3355">
        <w:t>/ l byl zaznamenán u 0,3 % pacientů dostávajících tocilizumab 8 mg/kg spolu s tradičními DMARD. Byly hlášeny infekce s neutropenií.</w:t>
      </w:r>
    </w:p>
    <w:p w14:paraId="6093CB40" w14:textId="77777777" w:rsidR="00222DE0" w:rsidRPr="00EE3355" w:rsidRDefault="00222DE0" w:rsidP="00EA1CDF">
      <w:pPr>
        <w:pStyle w:val="a3"/>
        <w:widowControl/>
        <w:ind w:left="0"/>
      </w:pPr>
    </w:p>
    <w:p w14:paraId="20E94A77" w14:textId="77777777" w:rsidR="00222DE0" w:rsidRDefault="0098273B" w:rsidP="00EA1CDF">
      <w:pPr>
        <w:pStyle w:val="a3"/>
        <w:widowControl/>
        <w:ind w:left="0"/>
      </w:pPr>
      <w:r w:rsidRPr="00EE3355">
        <w:t>V průběhu dvojitě zaslepené kontrolní fáze a při dlouhodobé expozici zůstávaly vzorec a incidence poklesu počtu neutrofilů stejné, jako byly pozorovány během 6měsíčních kontrolovaných klinických studií.</w:t>
      </w:r>
    </w:p>
    <w:p w14:paraId="30DA8681" w14:textId="77777777" w:rsidR="007F2529" w:rsidRPr="00EE3355" w:rsidRDefault="007F2529" w:rsidP="00EA1CDF">
      <w:pPr>
        <w:pStyle w:val="a3"/>
        <w:widowControl/>
        <w:ind w:left="0"/>
      </w:pPr>
    </w:p>
    <w:p w14:paraId="4A66E372" w14:textId="77777777" w:rsidR="00222DE0" w:rsidRPr="00EE3355" w:rsidRDefault="0098273B" w:rsidP="00EA1CDF">
      <w:pPr>
        <w:widowControl/>
        <w:rPr>
          <w:i/>
        </w:rPr>
      </w:pPr>
      <w:r w:rsidRPr="00EE3355">
        <w:rPr>
          <w:i/>
        </w:rPr>
        <w:t>Trombocyty</w:t>
      </w:r>
    </w:p>
    <w:p w14:paraId="68306B6C" w14:textId="77777777" w:rsidR="00222DE0" w:rsidRDefault="0098273B" w:rsidP="00EA1CDF">
      <w:pPr>
        <w:pStyle w:val="a3"/>
        <w:widowControl/>
        <w:ind w:left="0"/>
      </w:pPr>
      <w:r w:rsidRPr="00EE3355">
        <w:t>V 6měsíčních kontrolovaných klinických studiích se pokles počtu trombocytů pod 100 x 10</w:t>
      </w:r>
      <w:r w:rsidRPr="00EE3355">
        <w:rPr>
          <w:vertAlign w:val="superscript"/>
        </w:rPr>
        <w:t>3</w:t>
      </w:r>
      <w:r w:rsidRPr="00EE3355">
        <w:t>/</w:t>
      </w:r>
      <w:r w:rsidRPr="00EE3355">
        <w:rPr>
          <w:rFonts w:ascii="Symbol" w:hAnsi="Symbol"/>
        </w:rPr>
        <w:t></w:t>
      </w:r>
      <w:r w:rsidRPr="00EE3355">
        <w:t>l objevil u 1,7 % pacientů dostávajících tocilizumab v dávce 8 mg/kg spolu s tradičními DMARD v porovnání s méně než 1 % pacientů dostávajících placebo spolu s tradičními DMARD. Tento pokles se objevil bez spojitosti s krvácivými příhodami.</w:t>
      </w:r>
    </w:p>
    <w:p w14:paraId="2495F45D" w14:textId="77777777" w:rsidR="008E1B8C" w:rsidRPr="00EE3355" w:rsidRDefault="008E1B8C" w:rsidP="00EA1CDF">
      <w:pPr>
        <w:pStyle w:val="a3"/>
        <w:widowControl/>
        <w:ind w:left="0"/>
      </w:pPr>
    </w:p>
    <w:p w14:paraId="27CC5D5E" w14:textId="77777777" w:rsidR="00222DE0" w:rsidRDefault="0098273B" w:rsidP="00EA1CDF">
      <w:pPr>
        <w:pStyle w:val="a3"/>
        <w:widowControl/>
        <w:ind w:left="0"/>
      </w:pPr>
      <w:r w:rsidRPr="00EE3355">
        <w:t>V průběhu dvojitě zaslepené kontrolní fáze a při dlouhodobé expozici zůstávaly vzorec a incidence poklesu počtu trombocytů stejné, jako byly pozorovány během 6měsíčních kontrolovaných klinických studií.</w:t>
      </w:r>
    </w:p>
    <w:p w14:paraId="6626A0DC" w14:textId="77777777" w:rsidR="008E1B8C" w:rsidRPr="00EE3355" w:rsidRDefault="008E1B8C" w:rsidP="00EA1CDF">
      <w:pPr>
        <w:pStyle w:val="a3"/>
        <w:widowControl/>
        <w:ind w:left="0"/>
      </w:pPr>
    </w:p>
    <w:p w14:paraId="72F5FD39" w14:textId="77777777" w:rsidR="00222DE0" w:rsidRPr="00EE3355" w:rsidRDefault="0098273B" w:rsidP="00EA1CDF">
      <w:pPr>
        <w:pStyle w:val="a3"/>
        <w:widowControl/>
        <w:ind w:left="0"/>
      </w:pPr>
      <w:r w:rsidRPr="00EE3355">
        <w:t>Po uvedení přípravku na trh byla velmi vzácně hlášena pancytopenie.</w:t>
      </w:r>
    </w:p>
    <w:p w14:paraId="620063B9" w14:textId="77777777" w:rsidR="00222DE0" w:rsidRPr="00EE3355" w:rsidRDefault="00222DE0" w:rsidP="00EA1CDF">
      <w:pPr>
        <w:pStyle w:val="a3"/>
        <w:widowControl/>
        <w:ind w:left="0"/>
      </w:pPr>
    </w:p>
    <w:p w14:paraId="43FE9F53" w14:textId="77777777" w:rsidR="00222DE0" w:rsidRPr="00EE3355" w:rsidRDefault="0098273B" w:rsidP="00EA1CDF">
      <w:pPr>
        <w:keepNext/>
        <w:widowControl/>
        <w:rPr>
          <w:i/>
        </w:rPr>
      </w:pPr>
      <w:r w:rsidRPr="00EE3355">
        <w:rPr>
          <w:i/>
        </w:rPr>
        <w:t>Elevace jaterních aminotransferáz</w:t>
      </w:r>
    </w:p>
    <w:p w14:paraId="1A331B4E" w14:textId="77777777" w:rsidR="00222DE0" w:rsidRPr="00EE3355" w:rsidRDefault="0098273B" w:rsidP="00EA1CDF">
      <w:pPr>
        <w:pStyle w:val="a3"/>
        <w:widowControl/>
        <w:ind w:left="0"/>
      </w:pPr>
      <w:r w:rsidRPr="00EE3355">
        <w:t>V průběhu 6měsíčních kontrolovaných klinických studií bylo přechodné zvýšení ALT/AST &gt; 3 ULN pozorováno u 2,1 % pacientů dostávajících tocilizumab v dávce 8 mg/kg v porovnání s 4,9 % pacientů užívajících MTX a 6,5 % pacientů dostávajících tocilizumab v dávce 8 mg/kg spolu s tradičními DMARD v porovnání s 1,5 % pacientů dostávajících placebo s tradičními DMARD.</w:t>
      </w:r>
    </w:p>
    <w:p w14:paraId="35AB453F" w14:textId="77777777" w:rsidR="001E3AF9" w:rsidRPr="00EE3355" w:rsidRDefault="001E3AF9" w:rsidP="00EA1CDF">
      <w:pPr>
        <w:pStyle w:val="a3"/>
        <w:widowControl/>
        <w:ind w:left="0"/>
      </w:pPr>
    </w:p>
    <w:p w14:paraId="068C476D" w14:textId="77777777" w:rsidR="00222DE0" w:rsidRDefault="0098273B" w:rsidP="00EA1CDF">
      <w:pPr>
        <w:pStyle w:val="a3"/>
        <w:widowControl/>
        <w:ind w:left="0"/>
        <w:jc w:val="both"/>
      </w:pPr>
      <w:r w:rsidRPr="00EE3355">
        <w:t>Přidání potenciálně hepatotoxických léků (např. MTX) k tocilizumabu podávanému v monoterapii vedlo ke zvýšení frekvence těchto elevací. Elevace ALT/AST &gt; 5x ULN byla pozorována u 0,7 % pacientů dostávajících tocilizumab v monoterapii a u 1,4 % pacientů dostávajících tocilizumab</w:t>
      </w:r>
      <w:r w:rsidR="0088013B" w:rsidRPr="00EE3355">
        <w:t xml:space="preserve"> </w:t>
      </w:r>
      <w:r w:rsidRPr="00EE3355">
        <w:t>v kombinaci s tradičními DMARD, u většiny z nich byla léčba tocilizumabem trvale ukončena.</w:t>
      </w:r>
      <w:r w:rsidR="0088013B" w:rsidRPr="00EE3355">
        <w:t xml:space="preserve"> </w:t>
      </w:r>
      <w:r w:rsidRPr="00EE3355">
        <w:t>V průběhu dvojitě zaslepené kontrolní fáze zjištěná incidence nepřímého bilirubinu vyššího než ULN, v rámci rutinního laboratorního vyšetření, byla 6,2 % u pacientů léčených tocilizumabem v dávce 8 mg/kg + DMARD. U celkem 5,8 % pacientů bylo zaznamenáno zvýšení nepřímého bilirubinu na &gt; 1 až 2 x ULN a 0,4 % pacientů mělo zvýšení na &gt; 2 x ULN.</w:t>
      </w:r>
    </w:p>
    <w:p w14:paraId="4E9CC34A" w14:textId="77777777" w:rsidR="008E1B8C" w:rsidRPr="00EE3355" w:rsidRDefault="008E1B8C" w:rsidP="00EA1CDF">
      <w:pPr>
        <w:pStyle w:val="a3"/>
        <w:widowControl/>
        <w:ind w:left="0"/>
        <w:jc w:val="both"/>
      </w:pPr>
    </w:p>
    <w:p w14:paraId="6EFCCB8A" w14:textId="77777777" w:rsidR="00222DE0" w:rsidRPr="00EE3355" w:rsidRDefault="0098273B" w:rsidP="00EA1CDF">
      <w:pPr>
        <w:pStyle w:val="a3"/>
        <w:widowControl/>
        <w:ind w:left="0"/>
      </w:pPr>
      <w:r w:rsidRPr="00EE3355">
        <w:t>V průběhu dvojitě zaslepené kontrolní fáze a při dlouhodobé expozici zůstávaly vzorec a incidence elevací ALT/AST stejné, jako byly pozorovány během 6měsíčních kontrolovaných klinických studií.</w:t>
      </w:r>
    </w:p>
    <w:p w14:paraId="73196F48" w14:textId="77777777" w:rsidR="00222DE0" w:rsidRPr="00EE3355" w:rsidRDefault="00222DE0" w:rsidP="00EA1CDF">
      <w:pPr>
        <w:pStyle w:val="a3"/>
        <w:widowControl/>
        <w:ind w:left="0"/>
      </w:pPr>
    </w:p>
    <w:p w14:paraId="31CF0AA1" w14:textId="77777777" w:rsidR="00222DE0" w:rsidRPr="00EE3355" w:rsidRDefault="0098273B" w:rsidP="00EA1CDF">
      <w:pPr>
        <w:widowControl/>
        <w:rPr>
          <w:i/>
        </w:rPr>
      </w:pPr>
      <w:r w:rsidRPr="00EE3355">
        <w:rPr>
          <w:i/>
        </w:rPr>
        <w:t>Lipidové parametry</w:t>
      </w:r>
    </w:p>
    <w:p w14:paraId="6ED7847F" w14:textId="0D9AA1B1" w:rsidR="00222DE0" w:rsidRPr="00EE3355" w:rsidRDefault="0098273B" w:rsidP="00EA1CDF">
      <w:pPr>
        <w:pStyle w:val="a3"/>
        <w:widowControl/>
        <w:ind w:left="0" w:right="140"/>
      </w:pPr>
      <w:r w:rsidRPr="00EE3355">
        <w:t xml:space="preserve">Zvýšení hodnot lipidových parametrů, jako je například celkový cholesterol, triglyceridy, LDL cholesterol a/nebo HDL cholesterol, bylo v průběhu 6měsíčních kontrolovaných studií hlášené často. V rámci běžných laboratorních kontrol bylo zjištěno, že přibližně u 24 % pacientů, kteří v klinických studiích dostávali </w:t>
      </w:r>
      <w:r w:rsidR="00D20E03" w:rsidRPr="001879E9">
        <w:t>tocilizumab</w:t>
      </w:r>
      <w:r w:rsidRPr="00EE3355">
        <w:t>, došlo k trvalému zvýšení hodnot celkového cholesterolu na</w:t>
      </w:r>
      <w:r w:rsidR="00EC31E9" w:rsidRPr="00EE3355">
        <w:t xml:space="preserve"> </w:t>
      </w:r>
      <w:r w:rsidRPr="00EE3355">
        <w:rPr>
          <w:rFonts w:ascii="Symbol" w:hAnsi="Symbol"/>
        </w:rPr>
        <w:t></w:t>
      </w:r>
      <w:r w:rsidRPr="00EE3355">
        <w:t xml:space="preserve"> 6,2 mmol/l, přičemž u 15 % pacientů došlo k trvalému zvýšení hodnot LDL na </w:t>
      </w:r>
      <w:r w:rsidRPr="00EE3355">
        <w:rPr>
          <w:rFonts w:ascii="Symbol" w:hAnsi="Symbol"/>
        </w:rPr>
        <w:t></w:t>
      </w:r>
      <w:r w:rsidRPr="00EE3355">
        <w:t xml:space="preserve"> 4,1 mmol/l.</w:t>
      </w:r>
    </w:p>
    <w:p w14:paraId="5D02FD50" w14:textId="77777777" w:rsidR="00222DE0" w:rsidRPr="00EE3355" w:rsidRDefault="0098273B" w:rsidP="00EA1CDF">
      <w:pPr>
        <w:pStyle w:val="a3"/>
        <w:widowControl/>
        <w:ind w:left="0"/>
      </w:pPr>
      <w:r w:rsidRPr="00EE3355">
        <w:t>Zvýšené lipidové parametry odpověděly na léčbu hypolipidemiky.</w:t>
      </w:r>
    </w:p>
    <w:p w14:paraId="56BCC598" w14:textId="77777777" w:rsidR="00222DE0" w:rsidRPr="00EE3355" w:rsidRDefault="00222DE0" w:rsidP="00EA1CDF">
      <w:pPr>
        <w:pStyle w:val="a3"/>
        <w:widowControl/>
        <w:ind w:left="0"/>
      </w:pPr>
    </w:p>
    <w:p w14:paraId="22F548C3" w14:textId="77777777" w:rsidR="00222DE0" w:rsidRPr="00EE3355" w:rsidRDefault="0098273B" w:rsidP="00EA1CDF">
      <w:pPr>
        <w:pStyle w:val="a3"/>
        <w:widowControl/>
        <w:ind w:left="0"/>
      </w:pPr>
      <w:r w:rsidRPr="00EE3355">
        <w:t>V průběhu dvojitě zaslepené kontrolní fáze a při dlouhodobé expozici zůstávaly vzorec a incidence elevací lipidových parametrů stejné, jako byly pozorovány během 6měsíčních kontrolovaných klinických studií.</w:t>
      </w:r>
    </w:p>
    <w:p w14:paraId="36F533F0" w14:textId="77777777" w:rsidR="00222DE0" w:rsidRPr="00EE3355" w:rsidRDefault="00222DE0" w:rsidP="00EA1CDF">
      <w:pPr>
        <w:pStyle w:val="a3"/>
        <w:widowControl/>
        <w:ind w:left="0"/>
      </w:pPr>
    </w:p>
    <w:p w14:paraId="77D64285" w14:textId="77777777" w:rsidR="00222DE0" w:rsidRPr="00EE3355" w:rsidRDefault="0098273B" w:rsidP="00EA1CDF">
      <w:pPr>
        <w:widowControl/>
        <w:rPr>
          <w:i/>
        </w:rPr>
      </w:pPr>
      <w:r w:rsidRPr="00EE3355">
        <w:rPr>
          <w:i/>
        </w:rPr>
        <w:t>Malignity</w:t>
      </w:r>
    </w:p>
    <w:p w14:paraId="71C2DB54" w14:textId="77777777" w:rsidR="00222DE0" w:rsidRPr="00EE3355" w:rsidRDefault="0098273B" w:rsidP="00EA1CDF">
      <w:pPr>
        <w:pStyle w:val="a3"/>
        <w:widowControl/>
        <w:ind w:left="0"/>
      </w:pPr>
      <w:r w:rsidRPr="00EE3355">
        <w:t>Klinická data nejsou dostatečná k určení potenciální incidence malignit následujících po expozici tocilizumabu. Dlouhodobá bezpečnostní zhodnocení zatím probíhají.</w:t>
      </w:r>
    </w:p>
    <w:p w14:paraId="5B651ED3" w14:textId="77777777" w:rsidR="00EC31E9" w:rsidRPr="00EE3355" w:rsidRDefault="00EC31E9" w:rsidP="00EA1CDF">
      <w:pPr>
        <w:pStyle w:val="a3"/>
        <w:widowControl/>
        <w:ind w:left="0"/>
      </w:pPr>
    </w:p>
    <w:p w14:paraId="515C617D" w14:textId="77777777" w:rsidR="00222DE0" w:rsidRPr="00EE3355" w:rsidRDefault="0098273B" w:rsidP="00EA1CDF">
      <w:pPr>
        <w:widowControl/>
        <w:rPr>
          <w:i/>
        </w:rPr>
      </w:pPr>
      <w:r w:rsidRPr="00EE3355">
        <w:rPr>
          <w:i/>
        </w:rPr>
        <w:t>Kožní reakce</w:t>
      </w:r>
    </w:p>
    <w:p w14:paraId="6014D445" w14:textId="77777777" w:rsidR="00222DE0" w:rsidRPr="00EE3355" w:rsidRDefault="0098273B" w:rsidP="00EA1CDF">
      <w:pPr>
        <w:pStyle w:val="a3"/>
        <w:widowControl/>
        <w:ind w:left="0"/>
      </w:pPr>
      <w:r w:rsidRPr="00EE3355">
        <w:t>V postmarketingovém sledování byl vzácně hlášen výskyt Stevensova-Johnsonova syndromu.</w:t>
      </w:r>
    </w:p>
    <w:p w14:paraId="1A204F6F" w14:textId="77777777" w:rsidR="00A66F71" w:rsidRPr="00EE3355" w:rsidRDefault="00A66F71" w:rsidP="00EA1CDF">
      <w:pPr>
        <w:pStyle w:val="a3"/>
        <w:widowControl/>
        <w:ind w:left="0"/>
      </w:pPr>
    </w:p>
    <w:p w14:paraId="64940C2B" w14:textId="77777777" w:rsidR="00222DE0" w:rsidRPr="00EE3355" w:rsidRDefault="0098273B" w:rsidP="00EA1CDF">
      <w:pPr>
        <w:pStyle w:val="a3"/>
        <w:widowControl/>
        <w:ind w:left="0"/>
      </w:pPr>
      <w:r w:rsidRPr="00EE3355">
        <w:rPr>
          <w:u w:val="single"/>
        </w:rPr>
        <w:t>Pacienti s onemocněním COVID-19</w:t>
      </w:r>
    </w:p>
    <w:p w14:paraId="1EA3CC54" w14:textId="4302EC7F" w:rsidR="00222DE0" w:rsidRDefault="0098273B" w:rsidP="00EA1CDF">
      <w:pPr>
        <w:pStyle w:val="a3"/>
        <w:widowControl/>
        <w:ind w:left="0"/>
      </w:pPr>
      <w:r w:rsidRPr="00EE3355">
        <w:t xml:space="preserve">Hodnocení bezpečnosti </w:t>
      </w:r>
      <w:r w:rsidR="00DA5BD8" w:rsidRPr="001879E9">
        <w:t>tocilizumab</w:t>
      </w:r>
      <w:r w:rsidR="00DA5BD8">
        <w:t>u</w:t>
      </w:r>
      <w:r w:rsidRPr="00EE3355">
        <w:t xml:space="preserve"> při léčbě onemocnění COVID-19 bylo založeno na 3 randomizovaných, dvojitě zaslepených, placebem kontrolovaných studiích (studie ML42528,</w:t>
      </w:r>
      <w:r w:rsidR="005230C6">
        <w:t xml:space="preserve"> </w:t>
      </w:r>
      <w:r w:rsidRPr="00EE3355">
        <w:t xml:space="preserve">WA42380 a WA42511). V těchto studiích užívalo </w:t>
      </w:r>
      <w:r w:rsidR="00DA5BD8" w:rsidRPr="001879E9">
        <w:t>tocilizumab</w:t>
      </w:r>
      <w:r w:rsidRPr="00EE3355">
        <w:t xml:space="preserve"> celkem 974 pacientů. Soubor bezpečnostních údajů ze studie RECOVERY byl omezený a není zde uveden.</w:t>
      </w:r>
    </w:p>
    <w:p w14:paraId="0CE26BEA" w14:textId="77777777" w:rsidR="008E1B8C" w:rsidRPr="00EE3355" w:rsidRDefault="008E1B8C" w:rsidP="00EA1CDF">
      <w:pPr>
        <w:pStyle w:val="a3"/>
        <w:widowControl/>
        <w:ind w:left="0"/>
      </w:pPr>
    </w:p>
    <w:p w14:paraId="6552A8BA" w14:textId="6237A3F8" w:rsidR="00222DE0" w:rsidRPr="00EE3355" w:rsidRDefault="0098273B" w:rsidP="00EA1CDF">
      <w:pPr>
        <w:pStyle w:val="a3"/>
        <w:widowControl/>
        <w:ind w:left="0"/>
      </w:pPr>
      <w:r w:rsidRPr="00EE3355">
        <w:lastRenderedPageBreak/>
        <w:t xml:space="preserve">Následující nežádoucí účinky, řazené podle tříd orgánových systémů MedDRA, uvedené v tabulce 2 byly potvrzeny na základě příhod, které se vyskytly alespoň u 3 % pacientů léčených </w:t>
      </w:r>
      <w:r w:rsidR="00DA5BD8" w:rsidRPr="001879E9">
        <w:t>tocilizumab</w:t>
      </w:r>
      <w:r w:rsidR="00DA5BD8">
        <w:t>em</w:t>
      </w:r>
      <w:r w:rsidRPr="00EE3355">
        <w:t xml:space="preserve"> a častěji než u pacientů s placebem v souhrnné populaci hodnotitelné z hlediska bezpečnosti v klinických studiích ML42528, WA42380 a WA42511.</w:t>
      </w:r>
    </w:p>
    <w:p w14:paraId="2F1FD4AB" w14:textId="77777777" w:rsidR="00222DE0" w:rsidRPr="00EE3355" w:rsidRDefault="00222DE0" w:rsidP="00EA1CDF">
      <w:pPr>
        <w:pStyle w:val="a3"/>
        <w:widowControl/>
        <w:ind w:left="0"/>
      </w:pPr>
    </w:p>
    <w:p w14:paraId="732E6994" w14:textId="0B9A5589" w:rsidR="00222DE0" w:rsidRPr="00EE3355" w:rsidRDefault="0098273B" w:rsidP="00B93217">
      <w:pPr>
        <w:keepNext/>
        <w:widowControl/>
        <w:ind w:left="1134" w:hanging="1134"/>
        <w:rPr>
          <w:i/>
        </w:rPr>
      </w:pPr>
      <w:r w:rsidRPr="00EE3355">
        <w:rPr>
          <w:i/>
        </w:rPr>
        <w:t>Tabulka 2:</w:t>
      </w:r>
      <w:r w:rsidR="00EC31E9" w:rsidRPr="00EE3355">
        <w:rPr>
          <w:i/>
        </w:rPr>
        <w:tab/>
      </w:r>
      <w:r w:rsidRPr="00EE3355">
        <w:rPr>
          <w:i/>
        </w:rPr>
        <w:t>Přehled nežádoucích účinků</w:t>
      </w:r>
      <w:r w:rsidRPr="00EE3355">
        <w:rPr>
          <w:i/>
          <w:vertAlign w:val="superscript"/>
        </w:rPr>
        <w:t>1</w:t>
      </w:r>
      <w:r w:rsidRPr="00EE3355">
        <w:rPr>
          <w:i/>
        </w:rPr>
        <w:t xml:space="preserve"> zjištěných v souhrnné populaci hodnotitelné z hlediska bezpečnosti v klinických studiích s </w:t>
      </w:r>
      <w:r w:rsidR="00DA5BD8" w:rsidRPr="00B93217">
        <w:rPr>
          <w:i/>
          <w:iCs/>
        </w:rPr>
        <w:t>tocilizumabem</w:t>
      </w:r>
      <w:r w:rsidRPr="00EE3355">
        <w:rPr>
          <w:i/>
        </w:rPr>
        <w:t xml:space="preserve"> u pacientů s onemocněním COVID-19</w:t>
      </w:r>
      <w:r w:rsidRPr="00EE3355">
        <w:rPr>
          <w:i/>
          <w:vertAlign w:val="superscript"/>
        </w:rPr>
        <w:t>2</w:t>
      </w:r>
    </w:p>
    <w:p w14:paraId="56953B37" w14:textId="77777777" w:rsidR="00222DE0" w:rsidRPr="00EE3355" w:rsidRDefault="00222DE0" w:rsidP="00EA1CDF">
      <w:pPr>
        <w:pStyle w:val="a3"/>
        <w:widowControl/>
        <w:ind w:left="0"/>
        <w:rPr>
          <w:i/>
          <w:sz w:val="20"/>
        </w:rPr>
      </w:pP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548"/>
        <w:gridCol w:w="2635"/>
        <w:gridCol w:w="3684"/>
      </w:tblGrid>
      <w:tr w:rsidR="00222DE0" w:rsidRPr="00EE3355" w14:paraId="510CC39A" w14:textId="77777777" w:rsidTr="00A74821">
        <w:trPr>
          <w:cantSplit/>
          <w:trHeight w:val="505"/>
          <w:tblHeader/>
        </w:trPr>
        <w:tc>
          <w:tcPr>
            <w:tcW w:w="2548" w:type="dxa"/>
          </w:tcPr>
          <w:p w14:paraId="360D8EEA" w14:textId="77777777" w:rsidR="00222DE0" w:rsidRPr="00EE3355" w:rsidRDefault="0098273B" w:rsidP="00EA1CDF">
            <w:pPr>
              <w:pStyle w:val="TableParagraph"/>
              <w:ind w:left="107"/>
              <w:rPr>
                <w:b/>
              </w:rPr>
            </w:pPr>
            <w:r w:rsidRPr="00EE3355">
              <w:rPr>
                <w:b/>
              </w:rPr>
              <w:t>Třída orgánových systémů MedDRA</w:t>
            </w:r>
          </w:p>
        </w:tc>
        <w:tc>
          <w:tcPr>
            <w:tcW w:w="2635" w:type="dxa"/>
          </w:tcPr>
          <w:p w14:paraId="413069FE" w14:textId="77777777" w:rsidR="00222DE0" w:rsidRPr="00EE3355" w:rsidRDefault="0098273B" w:rsidP="00EA1CDF">
            <w:pPr>
              <w:pStyle w:val="TableParagraph"/>
              <w:ind w:left="107"/>
              <w:jc w:val="center"/>
              <w:rPr>
                <w:b/>
              </w:rPr>
            </w:pPr>
            <w:r w:rsidRPr="00EE3355">
              <w:rPr>
                <w:b/>
              </w:rPr>
              <w:t>Velmi časté</w:t>
            </w:r>
          </w:p>
        </w:tc>
        <w:tc>
          <w:tcPr>
            <w:tcW w:w="3684" w:type="dxa"/>
          </w:tcPr>
          <w:p w14:paraId="795F1DF2" w14:textId="77777777" w:rsidR="00222DE0" w:rsidRPr="00EE3355" w:rsidRDefault="0098273B" w:rsidP="00EA1CDF">
            <w:pPr>
              <w:pStyle w:val="TableParagraph"/>
              <w:ind w:left="105"/>
              <w:jc w:val="center"/>
              <w:rPr>
                <w:b/>
              </w:rPr>
            </w:pPr>
            <w:r w:rsidRPr="00EE3355">
              <w:rPr>
                <w:b/>
              </w:rPr>
              <w:t>Časté</w:t>
            </w:r>
          </w:p>
        </w:tc>
      </w:tr>
      <w:tr w:rsidR="00222DE0" w:rsidRPr="00EE3355" w14:paraId="2B49BE12" w14:textId="77777777" w:rsidTr="00A74821">
        <w:trPr>
          <w:cantSplit/>
          <w:trHeight w:val="252"/>
        </w:trPr>
        <w:tc>
          <w:tcPr>
            <w:tcW w:w="2548" w:type="dxa"/>
          </w:tcPr>
          <w:p w14:paraId="71B8B9FE" w14:textId="77777777" w:rsidR="00222DE0" w:rsidRPr="00EE3355" w:rsidRDefault="0098273B" w:rsidP="00EA1CDF">
            <w:pPr>
              <w:pStyle w:val="TableParagraph"/>
              <w:ind w:left="107"/>
            </w:pPr>
            <w:r w:rsidRPr="00EE3355">
              <w:t>Infekce a infestace</w:t>
            </w:r>
          </w:p>
        </w:tc>
        <w:tc>
          <w:tcPr>
            <w:tcW w:w="2635" w:type="dxa"/>
          </w:tcPr>
          <w:p w14:paraId="56C43750" w14:textId="77777777" w:rsidR="00222DE0" w:rsidRPr="00EE3355" w:rsidRDefault="00222DE0" w:rsidP="00EA1CDF">
            <w:pPr>
              <w:pStyle w:val="TableParagraph"/>
              <w:rPr>
                <w:sz w:val="18"/>
              </w:rPr>
            </w:pPr>
          </w:p>
        </w:tc>
        <w:tc>
          <w:tcPr>
            <w:tcW w:w="3684" w:type="dxa"/>
          </w:tcPr>
          <w:p w14:paraId="408AE396" w14:textId="77777777" w:rsidR="00222DE0" w:rsidRPr="00EE3355" w:rsidRDefault="0098273B" w:rsidP="00EA1CDF">
            <w:pPr>
              <w:pStyle w:val="TableParagraph"/>
              <w:ind w:left="105"/>
            </w:pPr>
            <w:r w:rsidRPr="00EE3355">
              <w:t>Infekce močových cest</w:t>
            </w:r>
          </w:p>
        </w:tc>
      </w:tr>
      <w:tr w:rsidR="00222DE0" w:rsidRPr="00EE3355" w14:paraId="204D99DB" w14:textId="77777777" w:rsidTr="00A74821">
        <w:trPr>
          <w:cantSplit/>
          <w:trHeight w:val="506"/>
        </w:trPr>
        <w:tc>
          <w:tcPr>
            <w:tcW w:w="2548" w:type="dxa"/>
          </w:tcPr>
          <w:p w14:paraId="470D8471" w14:textId="77777777" w:rsidR="00222DE0" w:rsidRPr="00EE3355" w:rsidRDefault="0098273B" w:rsidP="00EA1CDF">
            <w:pPr>
              <w:pStyle w:val="TableParagraph"/>
              <w:ind w:left="107"/>
            </w:pPr>
            <w:r w:rsidRPr="00EE3355">
              <w:t>Poruchy metabolismu a</w:t>
            </w:r>
            <w:r w:rsidR="00A74821" w:rsidRPr="00EE3355">
              <w:t xml:space="preserve"> </w:t>
            </w:r>
            <w:r w:rsidRPr="00EE3355">
              <w:t>výživy</w:t>
            </w:r>
          </w:p>
        </w:tc>
        <w:tc>
          <w:tcPr>
            <w:tcW w:w="2635" w:type="dxa"/>
          </w:tcPr>
          <w:p w14:paraId="6C9EBCF6" w14:textId="77777777" w:rsidR="00222DE0" w:rsidRPr="00EE3355" w:rsidRDefault="00222DE0" w:rsidP="00EA1CDF">
            <w:pPr>
              <w:pStyle w:val="TableParagraph"/>
              <w:rPr>
                <w:sz w:val="20"/>
              </w:rPr>
            </w:pPr>
          </w:p>
        </w:tc>
        <w:tc>
          <w:tcPr>
            <w:tcW w:w="3684" w:type="dxa"/>
          </w:tcPr>
          <w:p w14:paraId="20C4285F" w14:textId="77777777" w:rsidR="00222DE0" w:rsidRPr="00EE3355" w:rsidRDefault="0098273B" w:rsidP="00EA1CDF">
            <w:pPr>
              <w:pStyle w:val="TableParagraph"/>
              <w:ind w:left="105"/>
            </w:pPr>
            <w:r w:rsidRPr="00EE3355">
              <w:t>Hypokalemie</w:t>
            </w:r>
          </w:p>
        </w:tc>
      </w:tr>
      <w:tr w:rsidR="00222DE0" w:rsidRPr="00EE3355" w14:paraId="14F6520A" w14:textId="77777777" w:rsidTr="00A74821">
        <w:trPr>
          <w:cantSplit/>
          <w:trHeight w:val="251"/>
        </w:trPr>
        <w:tc>
          <w:tcPr>
            <w:tcW w:w="2548" w:type="dxa"/>
          </w:tcPr>
          <w:p w14:paraId="5C143C20" w14:textId="77777777" w:rsidR="00222DE0" w:rsidRPr="00EE3355" w:rsidRDefault="0098273B" w:rsidP="00EA1CDF">
            <w:pPr>
              <w:pStyle w:val="TableParagraph"/>
              <w:ind w:left="107"/>
            </w:pPr>
            <w:r w:rsidRPr="00EE3355">
              <w:t>Psychiatrické poruchy</w:t>
            </w:r>
          </w:p>
        </w:tc>
        <w:tc>
          <w:tcPr>
            <w:tcW w:w="2635" w:type="dxa"/>
          </w:tcPr>
          <w:p w14:paraId="0F53821A" w14:textId="77777777" w:rsidR="00222DE0" w:rsidRPr="00EE3355" w:rsidRDefault="00222DE0" w:rsidP="00EA1CDF">
            <w:pPr>
              <w:pStyle w:val="TableParagraph"/>
              <w:rPr>
                <w:sz w:val="18"/>
              </w:rPr>
            </w:pPr>
          </w:p>
        </w:tc>
        <w:tc>
          <w:tcPr>
            <w:tcW w:w="3684" w:type="dxa"/>
          </w:tcPr>
          <w:p w14:paraId="11B2D732" w14:textId="77777777" w:rsidR="00222DE0" w:rsidRPr="00EE3355" w:rsidRDefault="0098273B" w:rsidP="00EA1CDF">
            <w:pPr>
              <w:pStyle w:val="TableParagraph"/>
              <w:ind w:left="105"/>
            </w:pPr>
            <w:r w:rsidRPr="00EE3355">
              <w:t>Úzkost, nespavost</w:t>
            </w:r>
          </w:p>
        </w:tc>
      </w:tr>
      <w:tr w:rsidR="00222DE0" w:rsidRPr="00EE3355" w14:paraId="79FB6F27" w14:textId="77777777" w:rsidTr="00A74821">
        <w:trPr>
          <w:cantSplit/>
          <w:trHeight w:val="212"/>
        </w:trPr>
        <w:tc>
          <w:tcPr>
            <w:tcW w:w="2548" w:type="dxa"/>
          </w:tcPr>
          <w:p w14:paraId="48B5F7F0" w14:textId="77777777" w:rsidR="00222DE0" w:rsidRPr="00EE3355" w:rsidRDefault="0098273B" w:rsidP="00EA1CDF">
            <w:pPr>
              <w:pStyle w:val="TableParagraph"/>
              <w:ind w:left="107"/>
            </w:pPr>
            <w:r w:rsidRPr="00EE3355">
              <w:t>Cévní poruchy</w:t>
            </w:r>
          </w:p>
        </w:tc>
        <w:tc>
          <w:tcPr>
            <w:tcW w:w="2635" w:type="dxa"/>
          </w:tcPr>
          <w:p w14:paraId="07F595C5" w14:textId="77777777" w:rsidR="00222DE0" w:rsidRPr="00EE3355" w:rsidRDefault="00222DE0" w:rsidP="00EA1CDF">
            <w:pPr>
              <w:pStyle w:val="TableParagraph"/>
              <w:rPr>
                <w:sz w:val="20"/>
              </w:rPr>
            </w:pPr>
          </w:p>
        </w:tc>
        <w:tc>
          <w:tcPr>
            <w:tcW w:w="3684" w:type="dxa"/>
          </w:tcPr>
          <w:p w14:paraId="737F6966" w14:textId="77777777" w:rsidR="00222DE0" w:rsidRPr="00EE3355" w:rsidRDefault="0098273B" w:rsidP="00EA1CDF">
            <w:pPr>
              <w:pStyle w:val="TableParagraph"/>
              <w:ind w:left="105"/>
            </w:pPr>
            <w:r w:rsidRPr="00EE3355">
              <w:t>Hypertenze</w:t>
            </w:r>
          </w:p>
        </w:tc>
      </w:tr>
      <w:tr w:rsidR="00222DE0" w:rsidRPr="00EE3355" w14:paraId="3A52B341" w14:textId="77777777" w:rsidTr="00A74821">
        <w:trPr>
          <w:cantSplit/>
          <w:trHeight w:val="457"/>
        </w:trPr>
        <w:tc>
          <w:tcPr>
            <w:tcW w:w="2548" w:type="dxa"/>
          </w:tcPr>
          <w:p w14:paraId="3DE42A2C" w14:textId="77777777" w:rsidR="00222DE0" w:rsidRPr="00EE3355" w:rsidRDefault="0098273B" w:rsidP="00EA1CDF">
            <w:pPr>
              <w:pStyle w:val="TableParagraph"/>
              <w:ind w:left="107"/>
            </w:pPr>
            <w:r w:rsidRPr="00EE3355">
              <w:t>Gastrointestinální</w:t>
            </w:r>
            <w:r w:rsidR="00A74821" w:rsidRPr="00EE3355">
              <w:t xml:space="preserve"> </w:t>
            </w:r>
            <w:r w:rsidRPr="00EE3355">
              <w:t>poruchy</w:t>
            </w:r>
          </w:p>
        </w:tc>
        <w:tc>
          <w:tcPr>
            <w:tcW w:w="2635" w:type="dxa"/>
          </w:tcPr>
          <w:p w14:paraId="7532AF53" w14:textId="77777777" w:rsidR="00222DE0" w:rsidRPr="00EE3355" w:rsidRDefault="00222DE0" w:rsidP="00EA1CDF">
            <w:pPr>
              <w:pStyle w:val="TableParagraph"/>
              <w:rPr>
                <w:sz w:val="20"/>
              </w:rPr>
            </w:pPr>
          </w:p>
        </w:tc>
        <w:tc>
          <w:tcPr>
            <w:tcW w:w="3684" w:type="dxa"/>
          </w:tcPr>
          <w:p w14:paraId="347CFF16" w14:textId="77777777" w:rsidR="00222DE0" w:rsidRPr="00EE3355" w:rsidRDefault="0098273B" w:rsidP="00EA1CDF">
            <w:pPr>
              <w:pStyle w:val="TableParagraph"/>
              <w:ind w:left="105"/>
            </w:pPr>
            <w:r w:rsidRPr="00EE3355">
              <w:t>Zácpa, průjem, nauzea</w:t>
            </w:r>
          </w:p>
        </w:tc>
      </w:tr>
      <w:tr w:rsidR="00222DE0" w:rsidRPr="00EE3355" w14:paraId="14E5AD53" w14:textId="77777777" w:rsidTr="00A74821">
        <w:trPr>
          <w:cantSplit/>
          <w:trHeight w:val="505"/>
        </w:trPr>
        <w:tc>
          <w:tcPr>
            <w:tcW w:w="2548" w:type="dxa"/>
          </w:tcPr>
          <w:p w14:paraId="11B38A4D" w14:textId="77777777" w:rsidR="00222DE0" w:rsidRPr="00EE3355" w:rsidRDefault="0098273B" w:rsidP="00EA1CDF">
            <w:pPr>
              <w:pStyle w:val="TableParagraph"/>
              <w:ind w:left="107"/>
            </w:pPr>
            <w:r w:rsidRPr="00EE3355">
              <w:t>Poruchy jater a</w:t>
            </w:r>
            <w:r w:rsidR="00A74821" w:rsidRPr="00EE3355">
              <w:t xml:space="preserve"> </w:t>
            </w:r>
            <w:r w:rsidRPr="00EE3355">
              <w:t>žlučových cest</w:t>
            </w:r>
          </w:p>
        </w:tc>
        <w:tc>
          <w:tcPr>
            <w:tcW w:w="2635" w:type="dxa"/>
          </w:tcPr>
          <w:p w14:paraId="2FCD5C9A" w14:textId="77777777" w:rsidR="00222DE0" w:rsidRPr="00EE3355" w:rsidRDefault="00222DE0" w:rsidP="00EA1CDF">
            <w:pPr>
              <w:pStyle w:val="TableParagraph"/>
              <w:rPr>
                <w:sz w:val="20"/>
              </w:rPr>
            </w:pPr>
          </w:p>
        </w:tc>
        <w:tc>
          <w:tcPr>
            <w:tcW w:w="3684" w:type="dxa"/>
          </w:tcPr>
          <w:p w14:paraId="7466555C" w14:textId="77777777" w:rsidR="00222DE0" w:rsidRPr="00EE3355" w:rsidRDefault="0098273B" w:rsidP="00EA1CDF">
            <w:pPr>
              <w:pStyle w:val="TableParagraph"/>
              <w:ind w:left="105"/>
            </w:pPr>
            <w:r w:rsidRPr="00EE3355">
              <w:t>Zvýšené jaterní aminotransferázy</w:t>
            </w:r>
          </w:p>
        </w:tc>
      </w:tr>
    </w:tbl>
    <w:p w14:paraId="4A370937" w14:textId="77777777" w:rsidR="00222DE0" w:rsidRPr="00EE3355" w:rsidRDefault="0098273B" w:rsidP="00EA1CDF">
      <w:pPr>
        <w:ind w:left="284" w:hanging="284"/>
        <w:rPr>
          <w:sz w:val="20"/>
        </w:rPr>
      </w:pPr>
      <w:r w:rsidRPr="00EE3355">
        <w:rPr>
          <w:sz w:val="20"/>
          <w:vertAlign w:val="superscript"/>
        </w:rPr>
        <w:t>1</w:t>
      </w:r>
      <w:r w:rsidR="00603C70" w:rsidRPr="00EE3355">
        <w:rPr>
          <w:sz w:val="20"/>
        </w:rPr>
        <w:tab/>
      </w:r>
      <w:r w:rsidRPr="00EE3355">
        <w:rPr>
          <w:sz w:val="20"/>
        </w:rPr>
        <w:t>Pacienti jsou započteni do jednotlivých kategorií pouze jednou bez ohledu na počet příhod</w:t>
      </w:r>
    </w:p>
    <w:p w14:paraId="3C69686F" w14:textId="77777777" w:rsidR="00222DE0" w:rsidRPr="00EE3355" w:rsidRDefault="0098273B" w:rsidP="00EA1CDF">
      <w:pPr>
        <w:ind w:left="284" w:hanging="284"/>
        <w:rPr>
          <w:sz w:val="20"/>
        </w:rPr>
      </w:pPr>
      <w:r w:rsidRPr="00EE3355">
        <w:rPr>
          <w:sz w:val="20"/>
          <w:vertAlign w:val="superscript"/>
        </w:rPr>
        <w:t>2</w:t>
      </w:r>
      <w:r w:rsidR="00603C70" w:rsidRPr="00EE3355">
        <w:rPr>
          <w:sz w:val="20"/>
        </w:rPr>
        <w:tab/>
      </w:r>
      <w:r w:rsidRPr="00EE3355">
        <w:rPr>
          <w:sz w:val="20"/>
        </w:rPr>
        <w:t>Zahrnuje potvrzené účinky hlášené ve studiích WA42511, WA42380 a ML42528</w:t>
      </w:r>
    </w:p>
    <w:p w14:paraId="32D841EB" w14:textId="77777777" w:rsidR="00222DE0" w:rsidRPr="00EE3355" w:rsidRDefault="00222DE0" w:rsidP="00EA1CDF">
      <w:pPr>
        <w:pStyle w:val="a3"/>
        <w:ind w:left="0"/>
        <w:rPr>
          <w:sz w:val="20"/>
        </w:rPr>
      </w:pPr>
    </w:p>
    <w:p w14:paraId="2D6594D0" w14:textId="77777777" w:rsidR="00222DE0" w:rsidRPr="00EE3355" w:rsidRDefault="0098273B" w:rsidP="00EA1CDF">
      <w:pPr>
        <w:pStyle w:val="a3"/>
        <w:keepNext/>
        <w:ind w:left="0"/>
      </w:pPr>
      <w:r w:rsidRPr="00EE3355">
        <w:rPr>
          <w:u w:val="single"/>
        </w:rPr>
        <w:t>Popis vybraných nežádoucích účinků</w:t>
      </w:r>
    </w:p>
    <w:p w14:paraId="2D0AAB22" w14:textId="77777777" w:rsidR="00222DE0" w:rsidRPr="00EE3355" w:rsidRDefault="00222DE0" w:rsidP="00EA1CDF">
      <w:pPr>
        <w:pStyle w:val="a3"/>
        <w:keepNext/>
        <w:ind w:left="0"/>
      </w:pPr>
    </w:p>
    <w:p w14:paraId="0D53FA57" w14:textId="77777777" w:rsidR="00222DE0" w:rsidRPr="00EE3355" w:rsidRDefault="0098273B" w:rsidP="00EA1CDF">
      <w:pPr>
        <w:keepNext/>
        <w:rPr>
          <w:i/>
        </w:rPr>
      </w:pPr>
      <w:r w:rsidRPr="00EE3355">
        <w:rPr>
          <w:i/>
          <w:u w:val="single"/>
        </w:rPr>
        <w:t>Infekce</w:t>
      </w:r>
    </w:p>
    <w:p w14:paraId="69B79DEA" w14:textId="77777777" w:rsidR="00222DE0" w:rsidRPr="00EE3355" w:rsidRDefault="0098273B" w:rsidP="00EA1CDF">
      <w:pPr>
        <w:pStyle w:val="a3"/>
        <w:ind w:left="0"/>
      </w:pPr>
      <w:r w:rsidRPr="00EE3355">
        <w:t>V souhrnné populaci hodnotitelné z hlediska bezpečnosti ve studiích ML42528, WA42380</w:t>
      </w:r>
      <w:r w:rsidR="00A74821" w:rsidRPr="00EE3355">
        <w:t xml:space="preserve"> </w:t>
      </w:r>
      <w:r w:rsidRPr="00EE3355">
        <w:t>a WA42511 byly frekvence infekčních/závažných infekčních příhod u pacientů s</w:t>
      </w:r>
      <w:r w:rsidR="00A74821" w:rsidRPr="00EE3355">
        <w:t> </w:t>
      </w:r>
      <w:r w:rsidRPr="00EE3355">
        <w:t>onemocněním</w:t>
      </w:r>
      <w:r w:rsidR="00A74821" w:rsidRPr="00EE3355">
        <w:t xml:space="preserve"> </w:t>
      </w:r>
      <w:r w:rsidRPr="00EE3355">
        <w:t>COVID-19 užívajících tocilizumab (30,3 %/18,6 %; n = 974) ve srovnání s placebem (32,1 %/22,8 %; n = 483) vyrovnané.</w:t>
      </w:r>
    </w:p>
    <w:p w14:paraId="443210B2" w14:textId="77777777" w:rsidR="00222DE0" w:rsidRPr="00EE3355" w:rsidRDefault="00222DE0" w:rsidP="00EA1CDF">
      <w:pPr>
        <w:pStyle w:val="a3"/>
        <w:ind w:left="0"/>
      </w:pPr>
    </w:p>
    <w:p w14:paraId="4FB74BB6" w14:textId="77777777" w:rsidR="00222DE0" w:rsidRPr="00EE3355" w:rsidRDefault="0098273B" w:rsidP="00EA1CDF">
      <w:pPr>
        <w:pStyle w:val="a3"/>
        <w:ind w:left="0"/>
      </w:pPr>
      <w:r w:rsidRPr="00EE3355">
        <w:t>Bezpečnostní profil zjištěný ve skupině s výchozí sytémovou léčbou kortikosteroidy odpovídal bezpečnostnímu profilu tocilizumabu v celkové populaci uvedené v tabulce 2. V této podskupině se infekce a závažné infekce vyskytly u 27,8 % a 18,1 % pacientů léčených intravenózním tocilizumabem, resp. u 30,5 % a 22,9 % pacientů užívajících placebo.</w:t>
      </w:r>
    </w:p>
    <w:p w14:paraId="45E07728" w14:textId="77777777" w:rsidR="00222DE0" w:rsidRPr="00EE3355" w:rsidRDefault="00222DE0" w:rsidP="00EA1CDF">
      <w:pPr>
        <w:pStyle w:val="a3"/>
        <w:ind w:left="0"/>
      </w:pPr>
    </w:p>
    <w:p w14:paraId="4F4824E7" w14:textId="77777777" w:rsidR="00222DE0" w:rsidRPr="00EE3355" w:rsidRDefault="0098273B" w:rsidP="00EA1CDF">
      <w:pPr>
        <w:rPr>
          <w:i/>
        </w:rPr>
      </w:pPr>
      <w:r w:rsidRPr="00EE3355">
        <w:rPr>
          <w:i/>
          <w:u w:val="single"/>
        </w:rPr>
        <w:t>Laboratorní abnormality</w:t>
      </w:r>
    </w:p>
    <w:p w14:paraId="1DBC96EC" w14:textId="5E651CB6" w:rsidR="00222DE0" w:rsidRPr="00EE3355" w:rsidRDefault="0098273B" w:rsidP="00EA1CDF">
      <w:pPr>
        <w:pStyle w:val="a3"/>
        <w:ind w:left="0"/>
      </w:pPr>
      <w:r w:rsidRPr="00EE3355">
        <w:t xml:space="preserve">V uvedených randomizovaných, dvojitě zaslepených, placebem kontrolovaných studiích byl výskyt laboratorních abnormalit u pacientů s onemocněním COVID-19, kteří dostali jednu nebo dvě intravenózní dávky </w:t>
      </w:r>
      <w:r w:rsidR="00DA5BD8" w:rsidRPr="001879E9">
        <w:t>tocilizumab</w:t>
      </w:r>
      <w:r w:rsidR="00DA5BD8">
        <w:t>u</w:t>
      </w:r>
      <w:r w:rsidRPr="00EE3355">
        <w:t>, až na několik málo výjimek obecně podobný jako</w:t>
      </w:r>
      <w:r w:rsidR="005230C6">
        <w:t xml:space="preserve"> </w:t>
      </w:r>
      <w:r w:rsidRPr="00EE3355">
        <w:t xml:space="preserve">u pacientů, kteří dostali placebo. Snížení počtu trombocytů a neutrofilů a zvýšení ALT a AST bylo častější u pacientů, kteří dostali intravenózní </w:t>
      </w:r>
      <w:r w:rsidR="00DA5BD8" w:rsidRPr="001879E9">
        <w:t>tocilizumab</w:t>
      </w:r>
      <w:r w:rsidRPr="00EE3355">
        <w:t>, ve srovnání s placebem (viz body 4.2 a 4.4).</w:t>
      </w:r>
    </w:p>
    <w:p w14:paraId="66F6AFE0" w14:textId="77777777" w:rsidR="00222DE0" w:rsidRPr="00EE3355" w:rsidRDefault="00222DE0" w:rsidP="00EA1CDF">
      <w:pPr>
        <w:pStyle w:val="a3"/>
        <w:ind w:left="0"/>
      </w:pPr>
    </w:p>
    <w:p w14:paraId="20C623E8" w14:textId="77777777" w:rsidR="00222DE0" w:rsidRPr="00EE3355" w:rsidRDefault="0098273B" w:rsidP="00EA1CDF">
      <w:pPr>
        <w:pStyle w:val="a3"/>
        <w:ind w:left="0"/>
      </w:pPr>
      <w:r w:rsidRPr="00EE3355">
        <w:rPr>
          <w:u w:val="single"/>
        </w:rPr>
        <w:t>Pacienti se sJIA a pJIA</w:t>
      </w:r>
    </w:p>
    <w:p w14:paraId="6C5C3499" w14:textId="77777777" w:rsidR="00222DE0" w:rsidRPr="00EE3355" w:rsidRDefault="00222DE0" w:rsidP="00EA1CDF">
      <w:pPr>
        <w:pStyle w:val="a3"/>
        <w:ind w:left="0"/>
      </w:pPr>
    </w:p>
    <w:p w14:paraId="285AD010" w14:textId="77777777" w:rsidR="00222DE0" w:rsidRPr="00EE3355" w:rsidRDefault="0098273B" w:rsidP="00EA1CDF">
      <w:pPr>
        <w:pStyle w:val="a3"/>
        <w:ind w:left="0"/>
      </w:pPr>
      <w:r w:rsidRPr="00EE3355">
        <w:t>Bezpečnostní profil tocilizumabu v pediatrické populaci v indikaci pJIA a sJIA je shrnut v částech věnovaným pJIA a sJIA uvedených níže. Obecně nežádoucí účinky u pacientů s pJIA a sJIA byly podobné těm, které byly pozorovány u pacientů s RA, viz bod 4.8.</w:t>
      </w:r>
    </w:p>
    <w:p w14:paraId="3EECC0AB" w14:textId="77777777" w:rsidR="00222DE0" w:rsidRPr="00EE3355" w:rsidRDefault="0098273B" w:rsidP="00EA1CDF">
      <w:pPr>
        <w:pStyle w:val="a3"/>
        <w:ind w:left="0"/>
      </w:pPr>
      <w:r w:rsidRPr="00EE3355">
        <w:t>Nežádoucí účinky u pacientů s pJIA a sJIA léčených tocilizumabem jsou uvedeny v tabulce 3 a jsou řazeny podle tříd orgánových systémů databáze MedDRA. Odpovídající kategorie frekvence pro každý nežádoucí účinek je založena na následující terminologii: velmi časté (≥ 1/10); časté (≥ 1/100 až</w:t>
      </w:r>
      <w:r w:rsidR="00160603">
        <w:t xml:space="preserve"> </w:t>
      </w:r>
      <w:r w:rsidRPr="00EE3355">
        <w:t>&lt; 1/10) nebo méně časté (≥ 1/1000 až &lt; 1/100).</w:t>
      </w:r>
    </w:p>
    <w:p w14:paraId="1BA82535" w14:textId="77777777" w:rsidR="00222DE0" w:rsidRPr="00EE3355" w:rsidRDefault="00222DE0" w:rsidP="00EA1CDF">
      <w:pPr>
        <w:pStyle w:val="a3"/>
        <w:ind w:left="0"/>
      </w:pPr>
    </w:p>
    <w:p w14:paraId="1CA827DD" w14:textId="77777777" w:rsidR="00222DE0" w:rsidRPr="00EE3355" w:rsidRDefault="0098273B" w:rsidP="008E1B8C">
      <w:pPr>
        <w:keepNext/>
        <w:widowControl/>
        <w:ind w:left="1134" w:hanging="1134"/>
        <w:rPr>
          <w:i/>
        </w:rPr>
      </w:pPr>
      <w:r w:rsidRPr="00EE3355">
        <w:rPr>
          <w:i/>
        </w:rPr>
        <w:t>Tabulka 2:</w:t>
      </w:r>
      <w:r w:rsidR="008C0B8F" w:rsidRPr="00EE3355">
        <w:rPr>
          <w:i/>
        </w:rPr>
        <w:tab/>
      </w:r>
      <w:r w:rsidRPr="00EE3355">
        <w:rPr>
          <w:i/>
        </w:rPr>
        <w:t>Přehled nežádoucích účinků objevujících se u pacientů se sJIA nebo pJIA v klinické studii dostávajících tocilizumab v monoterapii nebo v kombinaci s</w:t>
      </w:r>
      <w:r w:rsidR="008C0B8F" w:rsidRPr="00EE3355">
        <w:rPr>
          <w:i/>
        </w:rPr>
        <w:t> </w:t>
      </w:r>
      <w:r w:rsidRPr="00EE3355">
        <w:rPr>
          <w:i/>
        </w:rPr>
        <w:t>MTX</w:t>
      </w:r>
    </w:p>
    <w:p w14:paraId="7A0E194E" w14:textId="77777777" w:rsidR="008C0B8F" w:rsidRPr="00EE3355" w:rsidRDefault="008C0B8F" w:rsidP="00EA1CDF">
      <w:pPr>
        <w:ind w:left="1134" w:hanging="1134"/>
        <w:rPr>
          <w:i/>
        </w:rPr>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10"/>
        <w:gridCol w:w="1939"/>
        <w:gridCol w:w="1831"/>
        <w:gridCol w:w="1332"/>
        <w:gridCol w:w="1334"/>
      </w:tblGrid>
      <w:tr w:rsidR="00222DE0" w:rsidRPr="00EE3355" w14:paraId="73F91060" w14:textId="77777777" w:rsidTr="00E21E78">
        <w:trPr>
          <w:cantSplit/>
          <w:trHeight w:val="483"/>
          <w:tblHeader/>
        </w:trPr>
        <w:tc>
          <w:tcPr>
            <w:tcW w:w="2010" w:type="dxa"/>
          </w:tcPr>
          <w:p w14:paraId="09EDC53E" w14:textId="77777777" w:rsidR="00222DE0" w:rsidRPr="00EE3355" w:rsidRDefault="0098273B" w:rsidP="00EA1CDF">
            <w:pPr>
              <w:pStyle w:val="TableParagraph"/>
              <w:ind w:right="-211"/>
              <w:rPr>
                <w:b/>
                <w:sz w:val="20"/>
              </w:rPr>
            </w:pPr>
            <w:r w:rsidRPr="00EE3355">
              <w:rPr>
                <w:b/>
                <w:sz w:val="20"/>
              </w:rPr>
              <w:lastRenderedPageBreak/>
              <w:t>Třídy orgánových systémů dle MedDRA</w:t>
            </w:r>
          </w:p>
        </w:tc>
        <w:tc>
          <w:tcPr>
            <w:tcW w:w="1939" w:type="dxa"/>
          </w:tcPr>
          <w:p w14:paraId="01B49167" w14:textId="77777777" w:rsidR="00222DE0" w:rsidRPr="00EE3355" w:rsidRDefault="0098273B" w:rsidP="00EA1CDF">
            <w:pPr>
              <w:pStyle w:val="TableParagraph"/>
              <w:jc w:val="center"/>
              <w:rPr>
                <w:b/>
                <w:sz w:val="20"/>
              </w:rPr>
            </w:pPr>
            <w:r w:rsidRPr="00EE3355">
              <w:rPr>
                <w:b/>
                <w:sz w:val="20"/>
              </w:rPr>
              <w:t>Preferovaný termín (PT)</w:t>
            </w:r>
          </w:p>
        </w:tc>
        <w:tc>
          <w:tcPr>
            <w:tcW w:w="4497" w:type="dxa"/>
            <w:gridSpan w:val="3"/>
          </w:tcPr>
          <w:p w14:paraId="073AC08A" w14:textId="77777777" w:rsidR="00222DE0" w:rsidRPr="00EE3355" w:rsidRDefault="0098273B" w:rsidP="00EA1CDF">
            <w:pPr>
              <w:pStyle w:val="TableParagraph"/>
              <w:jc w:val="center"/>
              <w:rPr>
                <w:b/>
                <w:sz w:val="20"/>
              </w:rPr>
            </w:pPr>
            <w:r w:rsidRPr="00EE3355">
              <w:rPr>
                <w:b/>
                <w:sz w:val="20"/>
              </w:rPr>
              <w:t>Frekvence</w:t>
            </w:r>
          </w:p>
        </w:tc>
      </w:tr>
      <w:tr w:rsidR="00222DE0" w:rsidRPr="00EE3355" w14:paraId="3BF46382" w14:textId="77777777" w:rsidTr="001D0759">
        <w:trPr>
          <w:cantSplit/>
          <w:trHeight w:val="230"/>
        </w:trPr>
        <w:tc>
          <w:tcPr>
            <w:tcW w:w="3949" w:type="dxa"/>
            <w:gridSpan w:val="2"/>
          </w:tcPr>
          <w:p w14:paraId="34F62415" w14:textId="77777777" w:rsidR="00222DE0" w:rsidRPr="00EE3355" w:rsidRDefault="0098273B" w:rsidP="00EA1CDF">
            <w:pPr>
              <w:pStyle w:val="TableParagraph"/>
              <w:rPr>
                <w:sz w:val="20"/>
              </w:rPr>
            </w:pPr>
            <w:r w:rsidRPr="00EE3355">
              <w:rPr>
                <w:sz w:val="20"/>
              </w:rPr>
              <w:t>Infekce a infestace</w:t>
            </w:r>
          </w:p>
        </w:tc>
        <w:tc>
          <w:tcPr>
            <w:tcW w:w="1831" w:type="dxa"/>
          </w:tcPr>
          <w:p w14:paraId="61D315DD" w14:textId="77777777" w:rsidR="00222DE0" w:rsidRPr="00EE3355" w:rsidRDefault="0098273B" w:rsidP="00EA1CDF">
            <w:pPr>
              <w:pStyle w:val="TableParagraph"/>
              <w:rPr>
                <w:sz w:val="20"/>
              </w:rPr>
            </w:pPr>
            <w:r w:rsidRPr="00EE3355">
              <w:rPr>
                <w:sz w:val="20"/>
              </w:rPr>
              <w:t>Velmi časté</w:t>
            </w:r>
          </w:p>
        </w:tc>
        <w:tc>
          <w:tcPr>
            <w:tcW w:w="1332" w:type="dxa"/>
          </w:tcPr>
          <w:p w14:paraId="79FAB020" w14:textId="77777777" w:rsidR="00222DE0" w:rsidRPr="00EE3355" w:rsidRDefault="0098273B" w:rsidP="00EA1CDF">
            <w:pPr>
              <w:pStyle w:val="TableParagraph"/>
              <w:rPr>
                <w:sz w:val="20"/>
              </w:rPr>
            </w:pPr>
            <w:r w:rsidRPr="00EE3355">
              <w:rPr>
                <w:sz w:val="20"/>
              </w:rPr>
              <w:t>Časté</w:t>
            </w:r>
          </w:p>
        </w:tc>
        <w:tc>
          <w:tcPr>
            <w:tcW w:w="1334" w:type="dxa"/>
          </w:tcPr>
          <w:p w14:paraId="2143AA99" w14:textId="77777777" w:rsidR="00222DE0" w:rsidRPr="00EE3355" w:rsidRDefault="0098273B" w:rsidP="00EA1CDF">
            <w:pPr>
              <w:pStyle w:val="TableParagraph"/>
              <w:rPr>
                <w:sz w:val="20"/>
              </w:rPr>
            </w:pPr>
            <w:r w:rsidRPr="00EE3355">
              <w:rPr>
                <w:sz w:val="20"/>
              </w:rPr>
              <w:t>Méně časté</w:t>
            </w:r>
          </w:p>
        </w:tc>
      </w:tr>
      <w:tr w:rsidR="00222DE0" w:rsidRPr="00EE3355" w14:paraId="647465A3" w14:textId="77777777" w:rsidTr="001D0759">
        <w:trPr>
          <w:cantSplit/>
          <w:trHeight w:val="460"/>
        </w:trPr>
        <w:tc>
          <w:tcPr>
            <w:tcW w:w="2010" w:type="dxa"/>
          </w:tcPr>
          <w:p w14:paraId="299A4759" w14:textId="77777777" w:rsidR="00222DE0" w:rsidRPr="00EE3355" w:rsidRDefault="00222DE0" w:rsidP="00EA1CDF">
            <w:pPr>
              <w:pStyle w:val="TableParagraph"/>
              <w:rPr>
                <w:sz w:val="20"/>
              </w:rPr>
            </w:pPr>
          </w:p>
        </w:tc>
        <w:tc>
          <w:tcPr>
            <w:tcW w:w="1939" w:type="dxa"/>
          </w:tcPr>
          <w:p w14:paraId="1EAFE1FF" w14:textId="77777777" w:rsidR="00222DE0" w:rsidRPr="00EE3355" w:rsidRDefault="0098273B" w:rsidP="00EA1CDF">
            <w:pPr>
              <w:pStyle w:val="TableParagraph"/>
              <w:rPr>
                <w:sz w:val="20"/>
              </w:rPr>
            </w:pPr>
            <w:r w:rsidRPr="00EE3355">
              <w:rPr>
                <w:sz w:val="20"/>
              </w:rPr>
              <w:t>Infekce horních cest</w:t>
            </w:r>
            <w:r w:rsidR="00E21E78" w:rsidRPr="00EE3355">
              <w:rPr>
                <w:sz w:val="20"/>
              </w:rPr>
              <w:t xml:space="preserve"> </w:t>
            </w:r>
            <w:r w:rsidRPr="00EE3355">
              <w:rPr>
                <w:sz w:val="20"/>
              </w:rPr>
              <w:t>dýchacích</w:t>
            </w:r>
          </w:p>
        </w:tc>
        <w:tc>
          <w:tcPr>
            <w:tcW w:w="1831" w:type="dxa"/>
          </w:tcPr>
          <w:p w14:paraId="5C7DC41C" w14:textId="77777777" w:rsidR="00222DE0" w:rsidRPr="00EE3355" w:rsidRDefault="0098273B" w:rsidP="00EA1CDF">
            <w:pPr>
              <w:pStyle w:val="TableParagraph"/>
              <w:rPr>
                <w:sz w:val="20"/>
              </w:rPr>
            </w:pPr>
            <w:r w:rsidRPr="00EE3355">
              <w:rPr>
                <w:sz w:val="20"/>
              </w:rPr>
              <w:t>pJIA, sJIA</w:t>
            </w:r>
          </w:p>
        </w:tc>
        <w:tc>
          <w:tcPr>
            <w:tcW w:w="1332" w:type="dxa"/>
          </w:tcPr>
          <w:p w14:paraId="5FD94328" w14:textId="77777777" w:rsidR="00222DE0" w:rsidRPr="00EE3355" w:rsidRDefault="00222DE0" w:rsidP="00EA1CDF">
            <w:pPr>
              <w:pStyle w:val="TableParagraph"/>
              <w:rPr>
                <w:sz w:val="20"/>
              </w:rPr>
            </w:pPr>
          </w:p>
        </w:tc>
        <w:tc>
          <w:tcPr>
            <w:tcW w:w="1334" w:type="dxa"/>
          </w:tcPr>
          <w:p w14:paraId="2CF23F55" w14:textId="77777777" w:rsidR="00222DE0" w:rsidRPr="00EE3355" w:rsidRDefault="00222DE0" w:rsidP="00EA1CDF">
            <w:pPr>
              <w:pStyle w:val="TableParagraph"/>
              <w:rPr>
                <w:sz w:val="20"/>
              </w:rPr>
            </w:pPr>
          </w:p>
        </w:tc>
      </w:tr>
      <w:tr w:rsidR="00222DE0" w:rsidRPr="00EE3355" w14:paraId="20F741D2" w14:textId="77777777" w:rsidTr="001D0759">
        <w:trPr>
          <w:cantSplit/>
          <w:trHeight w:val="230"/>
        </w:trPr>
        <w:tc>
          <w:tcPr>
            <w:tcW w:w="2010" w:type="dxa"/>
          </w:tcPr>
          <w:p w14:paraId="606BFC2C" w14:textId="77777777" w:rsidR="00222DE0" w:rsidRPr="00EE3355" w:rsidRDefault="00222DE0" w:rsidP="00EA1CDF">
            <w:pPr>
              <w:pStyle w:val="TableParagraph"/>
              <w:rPr>
                <w:sz w:val="16"/>
              </w:rPr>
            </w:pPr>
          </w:p>
        </w:tc>
        <w:tc>
          <w:tcPr>
            <w:tcW w:w="1939" w:type="dxa"/>
          </w:tcPr>
          <w:p w14:paraId="29B61BA6" w14:textId="77777777" w:rsidR="00222DE0" w:rsidRPr="00EE3355" w:rsidRDefault="0098273B" w:rsidP="00EA1CDF">
            <w:pPr>
              <w:pStyle w:val="TableParagraph"/>
              <w:rPr>
                <w:sz w:val="20"/>
              </w:rPr>
            </w:pPr>
            <w:r w:rsidRPr="00EE3355">
              <w:rPr>
                <w:sz w:val="20"/>
              </w:rPr>
              <w:t>Nazofaryngitida</w:t>
            </w:r>
          </w:p>
        </w:tc>
        <w:tc>
          <w:tcPr>
            <w:tcW w:w="1831" w:type="dxa"/>
          </w:tcPr>
          <w:p w14:paraId="4A4F65DA" w14:textId="77777777" w:rsidR="00222DE0" w:rsidRPr="00EE3355" w:rsidRDefault="0098273B" w:rsidP="00EA1CDF">
            <w:pPr>
              <w:pStyle w:val="TableParagraph"/>
              <w:rPr>
                <w:sz w:val="20"/>
              </w:rPr>
            </w:pPr>
            <w:r w:rsidRPr="00EE3355">
              <w:rPr>
                <w:sz w:val="20"/>
              </w:rPr>
              <w:t>pJIA, sJIA</w:t>
            </w:r>
          </w:p>
        </w:tc>
        <w:tc>
          <w:tcPr>
            <w:tcW w:w="1332" w:type="dxa"/>
          </w:tcPr>
          <w:p w14:paraId="63033F06" w14:textId="77777777" w:rsidR="00222DE0" w:rsidRPr="00EE3355" w:rsidRDefault="00222DE0" w:rsidP="00EA1CDF">
            <w:pPr>
              <w:pStyle w:val="TableParagraph"/>
              <w:rPr>
                <w:sz w:val="16"/>
              </w:rPr>
            </w:pPr>
          </w:p>
        </w:tc>
        <w:tc>
          <w:tcPr>
            <w:tcW w:w="1334" w:type="dxa"/>
          </w:tcPr>
          <w:p w14:paraId="0E95B96D" w14:textId="77777777" w:rsidR="00222DE0" w:rsidRPr="00EE3355" w:rsidRDefault="00222DE0" w:rsidP="00EA1CDF">
            <w:pPr>
              <w:pStyle w:val="TableParagraph"/>
              <w:rPr>
                <w:sz w:val="16"/>
              </w:rPr>
            </w:pPr>
          </w:p>
        </w:tc>
      </w:tr>
      <w:tr w:rsidR="00222DE0" w:rsidRPr="00EE3355" w14:paraId="1BBF31A9" w14:textId="77777777" w:rsidTr="001D0759">
        <w:trPr>
          <w:cantSplit/>
          <w:trHeight w:val="230"/>
        </w:trPr>
        <w:tc>
          <w:tcPr>
            <w:tcW w:w="3949" w:type="dxa"/>
            <w:gridSpan w:val="2"/>
          </w:tcPr>
          <w:p w14:paraId="48A4EA1C" w14:textId="77777777" w:rsidR="00222DE0" w:rsidRPr="00EE3355" w:rsidRDefault="0098273B" w:rsidP="00EA1CDF">
            <w:pPr>
              <w:pStyle w:val="TableParagraph"/>
              <w:rPr>
                <w:sz w:val="20"/>
              </w:rPr>
            </w:pPr>
            <w:r w:rsidRPr="00EE3355">
              <w:rPr>
                <w:sz w:val="20"/>
              </w:rPr>
              <w:t>Poruchy nervového systému</w:t>
            </w:r>
          </w:p>
        </w:tc>
        <w:tc>
          <w:tcPr>
            <w:tcW w:w="1831" w:type="dxa"/>
          </w:tcPr>
          <w:p w14:paraId="79B5FF52" w14:textId="77777777" w:rsidR="00222DE0" w:rsidRPr="00EE3355" w:rsidRDefault="00222DE0" w:rsidP="00EA1CDF">
            <w:pPr>
              <w:pStyle w:val="TableParagraph"/>
              <w:rPr>
                <w:sz w:val="16"/>
              </w:rPr>
            </w:pPr>
          </w:p>
        </w:tc>
        <w:tc>
          <w:tcPr>
            <w:tcW w:w="1332" w:type="dxa"/>
          </w:tcPr>
          <w:p w14:paraId="5610F41C" w14:textId="77777777" w:rsidR="00222DE0" w:rsidRPr="00EE3355" w:rsidRDefault="00222DE0" w:rsidP="00EA1CDF">
            <w:pPr>
              <w:pStyle w:val="TableParagraph"/>
              <w:rPr>
                <w:sz w:val="16"/>
              </w:rPr>
            </w:pPr>
          </w:p>
        </w:tc>
        <w:tc>
          <w:tcPr>
            <w:tcW w:w="1334" w:type="dxa"/>
          </w:tcPr>
          <w:p w14:paraId="6371B1CF" w14:textId="77777777" w:rsidR="00222DE0" w:rsidRPr="00EE3355" w:rsidRDefault="00222DE0" w:rsidP="00EA1CDF">
            <w:pPr>
              <w:pStyle w:val="TableParagraph"/>
              <w:rPr>
                <w:sz w:val="16"/>
              </w:rPr>
            </w:pPr>
          </w:p>
        </w:tc>
      </w:tr>
      <w:tr w:rsidR="00222DE0" w:rsidRPr="00EE3355" w14:paraId="1D92808D" w14:textId="77777777" w:rsidTr="001D0759">
        <w:trPr>
          <w:cantSplit/>
          <w:trHeight w:val="229"/>
        </w:trPr>
        <w:tc>
          <w:tcPr>
            <w:tcW w:w="2010" w:type="dxa"/>
          </w:tcPr>
          <w:p w14:paraId="10E0E39C" w14:textId="77777777" w:rsidR="00222DE0" w:rsidRPr="00EE3355" w:rsidRDefault="00222DE0" w:rsidP="00EA1CDF">
            <w:pPr>
              <w:pStyle w:val="TableParagraph"/>
              <w:rPr>
                <w:sz w:val="16"/>
              </w:rPr>
            </w:pPr>
          </w:p>
        </w:tc>
        <w:tc>
          <w:tcPr>
            <w:tcW w:w="1939" w:type="dxa"/>
          </w:tcPr>
          <w:p w14:paraId="1E888887" w14:textId="77777777" w:rsidR="00222DE0" w:rsidRPr="00EE3355" w:rsidRDefault="0098273B" w:rsidP="00EA1CDF">
            <w:pPr>
              <w:pStyle w:val="TableParagraph"/>
              <w:rPr>
                <w:sz w:val="20"/>
              </w:rPr>
            </w:pPr>
            <w:r w:rsidRPr="00EE3355">
              <w:rPr>
                <w:sz w:val="20"/>
              </w:rPr>
              <w:t>Bolest hlavy</w:t>
            </w:r>
          </w:p>
        </w:tc>
        <w:tc>
          <w:tcPr>
            <w:tcW w:w="1831" w:type="dxa"/>
          </w:tcPr>
          <w:p w14:paraId="76EA6700" w14:textId="77777777" w:rsidR="00222DE0" w:rsidRPr="00EE3355" w:rsidRDefault="0098273B" w:rsidP="00EA1CDF">
            <w:pPr>
              <w:pStyle w:val="TableParagraph"/>
              <w:rPr>
                <w:sz w:val="20"/>
              </w:rPr>
            </w:pPr>
            <w:r w:rsidRPr="00EE3355">
              <w:rPr>
                <w:sz w:val="20"/>
              </w:rPr>
              <w:t>pJIA</w:t>
            </w:r>
          </w:p>
        </w:tc>
        <w:tc>
          <w:tcPr>
            <w:tcW w:w="1332" w:type="dxa"/>
          </w:tcPr>
          <w:p w14:paraId="197E618A" w14:textId="77777777" w:rsidR="00222DE0" w:rsidRPr="00EE3355" w:rsidRDefault="0098273B" w:rsidP="00EA1CDF">
            <w:pPr>
              <w:pStyle w:val="TableParagraph"/>
              <w:rPr>
                <w:sz w:val="20"/>
              </w:rPr>
            </w:pPr>
            <w:r w:rsidRPr="00EE3355">
              <w:rPr>
                <w:sz w:val="20"/>
              </w:rPr>
              <w:t>sJIA</w:t>
            </w:r>
          </w:p>
        </w:tc>
        <w:tc>
          <w:tcPr>
            <w:tcW w:w="1334" w:type="dxa"/>
          </w:tcPr>
          <w:p w14:paraId="2070AC66" w14:textId="77777777" w:rsidR="00222DE0" w:rsidRPr="00EE3355" w:rsidRDefault="00222DE0" w:rsidP="00EA1CDF">
            <w:pPr>
              <w:pStyle w:val="TableParagraph"/>
              <w:rPr>
                <w:sz w:val="16"/>
              </w:rPr>
            </w:pPr>
          </w:p>
        </w:tc>
      </w:tr>
      <w:tr w:rsidR="00222DE0" w:rsidRPr="00EE3355" w14:paraId="05A7620E" w14:textId="77777777" w:rsidTr="001D0759">
        <w:trPr>
          <w:cantSplit/>
          <w:trHeight w:val="230"/>
        </w:trPr>
        <w:tc>
          <w:tcPr>
            <w:tcW w:w="3949" w:type="dxa"/>
            <w:gridSpan w:val="2"/>
          </w:tcPr>
          <w:p w14:paraId="185A5D3E" w14:textId="77777777" w:rsidR="00222DE0" w:rsidRPr="00EE3355" w:rsidRDefault="0098273B" w:rsidP="00EA1CDF">
            <w:pPr>
              <w:pStyle w:val="TableParagraph"/>
              <w:rPr>
                <w:sz w:val="20"/>
              </w:rPr>
            </w:pPr>
            <w:r w:rsidRPr="00EE3355">
              <w:rPr>
                <w:sz w:val="20"/>
              </w:rPr>
              <w:t>Gastrointestinální poruchy</w:t>
            </w:r>
          </w:p>
        </w:tc>
        <w:tc>
          <w:tcPr>
            <w:tcW w:w="1831" w:type="dxa"/>
          </w:tcPr>
          <w:p w14:paraId="5DB7D9F4" w14:textId="77777777" w:rsidR="00222DE0" w:rsidRPr="00EE3355" w:rsidRDefault="00222DE0" w:rsidP="00EA1CDF">
            <w:pPr>
              <w:pStyle w:val="TableParagraph"/>
              <w:rPr>
                <w:sz w:val="16"/>
              </w:rPr>
            </w:pPr>
          </w:p>
        </w:tc>
        <w:tc>
          <w:tcPr>
            <w:tcW w:w="1332" w:type="dxa"/>
          </w:tcPr>
          <w:p w14:paraId="71315BF3" w14:textId="77777777" w:rsidR="00222DE0" w:rsidRPr="00EE3355" w:rsidRDefault="00222DE0" w:rsidP="00EA1CDF">
            <w:pPr>
              <w:pStyle w:val="TableParagraph"/>
              <w:rPr>
                <w:sz w:val="16"/>
              </w:rPr>
            </w:pPr>
          </w:p>
        </w:tc>
        <w:tc>
          <w:tcPr>
            <w:tcW w:w="1334" w:type="dxa"/>
          </w:tcPr>
          <w:p w14:paraId="0DA17237" w14:textId="77777777" w:rsidR="00222DE0" w:rsidRPr="00EE3355" w:rsidRDefault="00222DE0" w:rsidP="00EA1CDF">
            <w:pPr>
              <w:pStyle w:val="TableParagraph"/>
              <w:rPr>
                <w:sz w:val="16"/>
              </w:rPr>
            </w:pPr>
          </w:p>
        </w:tc>
      </w:tr>
      <w:tr w:rsidR="00222DE0" w:rsidRPr="00EE3355" w14:paraId="2A7A5D9D" w14:textId="77777777" w:rsidTr="001D0759">
        <w:trPr>
          <w:cantSplit/>
          <w:trHeight w:val="230"/>
        </w:trPr>
        <w:tc>
          <w:tcPr>
            <w:tcW w:w="2010" w:type="dxa"/>
          </w:tcPr>
          <w:p w14:paraId="01695DCD" w14:textId="77777777" w:rsidR="00222DE0" w:rsidRPr="00EE3355" w:rsidRDefault="00222DE0" w:rsidP="00EA1CDF">
            <w:pPr>
              <w:pStyle w:val="TableParagraph"/>
              <w:rPr>
                <w:sz w:val="16"/>
              </w:rPr>
            </w:pPr>
          </w:p>
        </w:tc>
        <w:tc>
          <w:tcPr>
            <w:tcW w:w="1939" w:type="dxa"/>
          </w:tcPr>
          <w:p w14:paraId="4240231E" w14:textId="77777777" w:rsidR="00222DE0" w:rsidRPr="00EE3355" w:rsidRDefault="0098273B" w:rsidP="00EA1CDF">
            <w:pPr>
              <w:pStyle w:val="TableParagraph"/>
              <w:rPr>
                <w:sz w:val="20"/>
              </w:rPr>
            </w:pPr>
            <w:r w:rsidRPr="00EE3355">
              <w:rPr>
                <w:sz w:val="20"/>
              </w:rPr>
              <w:t>Nauzea</w:t>
            </w:r>
          </w:p>
        </w:tc>
        <w:tc>
          <w:tcPr>
            <w:tcW w:w="1831" w:type="dxa"/>
          </w:tcPr>
          <w:p w14:paraId="318FFEBB" w14:textId="77777777" w:rsidR="00222DE0" w:rsidRPr="00EE3355" w:rsidRDefault="00222DE0" w:rsidP="00EA1CDF">
            <w:pPr>
              <w:pStyle w:val="TableParagraph"/>
              <w:rPr>
                <w:sz w:val="16"/>
              </w:rPr>
            </w:pPr>
          </w:p>
        </w:tc>
        <w:tc>
          <w:tcPr>
            <w:tcW w:w="1332" w:type="dxa"/>
          </w:tcPr>
          <w:p w14:paraId="7C2C2026" w14:textId="77777777" w:rsidR="00222DE0" w:rsidRPr="00EE3355" w:rsidRDefault="0098273B" w:rsidP="00EA1CDF">
            <w:pPr>
              <w:pStyle w:val="TableParagraph"/>
              <w:rPr>
                <w:sz w:val="20"/>
              </w:rPr>
            </w:pPr>
            <w:r w:rsidRPr="00EE3355">
              <w:rPr>
                <w:sz w:val="20"/>
              </w:rPr>
              <w:t>pJIA</w:t>
            </w:r>
          </w:p>
        </w:tc>
        <w:tc>
          <w:tcPr>
            <w:tcW w:w="1334" w:type="dxa"/>
          </w:tcPr>
          <w:p w14:paraId="43DA584D" w14:textId="77777777" w:rsidR="00222DE0" w:rsidRPr="00EE3355" w:rsidRDefault="00222DE0" w:rsidP="00EA1CDF">
            <w:pPr>
              <w:pStyle w:val="TableParagraph"/>
              <w:rPr>
                <w:sz w:val="16"/>
              </w:rPr>
            </w:pPr>
          </w:p>
        </w:tc>
      </w:tr>
      <w:tr w:rsidR="00222DE0" w:rsidRPr="00EE3355" w14:paraId="3963E323" w14:textId="77777777" w:rsidTr="001D0759">
        <w:trPr>
          <w:cantSplit/>
          <w:trHeight w:val="229"/>
        </w:trPr>
        <w:tc>
          <w:tcPr>
            <w:tcW w:w="2010" w:type="dxa"/>
          </w:tcPr>
          <w:p w14:paraId="33660922" w14:textId="77777777" w:rsidR="00222DE0" w:rsidRPr="00EE3355" w:rsidRDefault="00222DE0" w:rsidP="00EA1CDF">
            <w:pPr>
              <w:pStyle w:val="TableParagraph"/>
              <w:rPr>
                <w:sz w:val="16"/>
              </w:rPr>
            </w:pPr>
          </w:p>
        </w:tc>
        <w:tc>
          <w:tcPr>
            <w:tcW w:w="1939" w:type="dxa"/>
          </w:tcPr>
          <w:p w14:paraId="6C79208F" w14:textId="77777777" w:rsidR="00222DE0" w:rsidRPr="00EE3355" w:rsidRDefault="0098273B" w:rsidP="00EA1CDF">
            <w:pPr>
              <w:pStyle w:val="TableParagraph"/>
              <w:rPr>
                <w:sz w:val="20"/>
              </w:rPr>
            </w:pPr>
            <w:r w:rsidRPr="00EE3355">
              <w:rPr>
                <w:sz w:val="20"/>
              </w:rPr>
              <w:t>Průjem</w:t>
            </w:r>
          </w:p>
        </w:tc>
        <w:tc>
          <w:tcPr>
            <w:tcW w:w="1831" w:type="dxa"/>
          </w:tcPr>
          <w:p w14:paraId="7DE30B87" w14:textId="77777777" w:rsidR="00222DE0" w:rsidRPr="00EE3355" w:rsidRDefault="00222DE0" w:rsidP="00EA1CDF">
            <w:pPr>
              <w:pStyle w:val="TableParagraph"/>
              <w:rPr>
                <w:sz w:val="16"/>
              </w:rPr>
            </w:pPr>
          </w:p>
        </w:tc>
        <w:tc>
          <w:tcPr>
            <w:tcW w:w="1332" w:type="dxa"/>
          </w:tcPr>
          <w:p w14:paraId="0A3E245F" w14:textId="77777777" w:rsidR="00222DE0" w:rsidRPr="00EE3355" w:rsidRDefault="0098273B" w:rsidP="00EA1CDF">
            <w:pPr>
              <w:pStyle w:val="TableParagraph"/>
              <w:rPr>
                <w:sz w:val="20"/>
              </w:rPr>
            </w:pPr>
            <w:r w:rsidRPr="00EE3355">
              <w:rPr>
                <w:sz w:val="20"/>
              </w:rPr>
              <w:t>pJIA, sJIA</w:t>
            </w:r>
          </w:p>
        </w:tc>
        <w:tc>
          <w:tcPr>
            <w:tcW w:w="1334" w:type="dxa"/>
          </w:tcPr>
          <w:p w14:paraId="0D05FA66" w14:textId="77777777" w:rsidR="00222DE0" w:rsidRPr="00EE3355" w:rsidRDefault="00222DE0" w:rsidP="00EA1CDF">
            <w:pPr>
              <w:pStyle w:val="TableParagraph"/>
              <w:rPr>
                <w:sz w:val="16"/>
              </w:rPr>
            </w:pPr>
          </w:p>
        </w:tc>
      </w:tr>
      <w:tr w:rsidR="00222DE0" w:rsidRPr="00EE3355" w14:paraId="78B7E82E" w14:textId="77777777" w:rsidTr="001D0759">
        <w:trPr>
          <w:cantSplit/>
          <w:trHeight w:val="230"/>
        </w:trPr>
        <w:tc>
          <w:tcPr>
            <w:tcW w:w="3949" w:type="dxa"/>
            <w:gridSpan w:val="2"/>
          </w:tcPr>
          <w:p w14:paraId="480D8583" w14:textId="77777777" w:rsidR="00222DE0" w:rsidRPr="00EE3355" w:rsidRDefault="0098273B" w:rsidP="00EA1CDF">
            <w:pPr>
              <w:pStyle w:val="TableParagraph"/>
              <w:rPr>
                <w:sz w:val="20"/>
              </w:rPr>
            </w:pPr>
            <w:r w:rsidRPr="00EE3355">
              <w:rPr>
                <w:sz w:val="20"/>
              </w:rPr>
              <w:t>Celkové poruchy a reakce v místě aplikace</w:t>
            </w:r>
          </w:p>
        </w:tc>
        <w:tc>
          <w:tcPr>
            <w:tcW w:w="1831" w:type="dxa"/>
          </w:tcPr>
          <w:p w14:paraId="49C7DD96" w14:textId="77777777" w:rsidR="00222DE0" w:rsidRPr="00EE3355" w:rsidRDefault="00222DE0" w:rsidP="00EA1CDF">
            <w:pPr>
              <w:pStyle w:val="TableParagraph"/>
              <w:rPr>
                <w:sz w:val="16"/>
              </w:rPr>
            </w:pPr>
          </w:p>
        </w:tc>
        <w:tc>
          <w:tcPr>
            <w:tcW w:w="1332" w:type="dxa"/>
          </w:tcPr>
          <w:p w14:paraId="138CAC05" w14:textId="77777777" w:rsidR="00222DE0" w:rsidRPr="00EE3355" w:rsidRDefault="00222DE0" w:rsidP="00EA1CDF">
            <w:pPr>
              <w:pStyle w:val="TableParagraph"/>
              <w:rPr>
                <w:sz w:val="16"/>
              </w:rPr>
            </w:pPr>
          </w:p>
        </w:tc>
        <w:tc>
          <w:tcPr>
            <w:tcW w:w="1334" w:type="dxa"/>
          </w:tcPr>
          <w:p w14:paraId="16AFFE35" w14:textId="77777777" w:rsidR="00222DE0" w:rsidRPr="00EE3355" w:rsidRDefault="00222DE0" w:rsidP="00EA1CDF">
            <w:pPr>
              <w:pStyle w:val="TableParagraph"/>
              <w:rPr>
                <w:sz w:val="16"/>
              </w:rPr>
            </w:pPr>
          </w:p>
        </w:tc>
      </w:tr>
      <w:tr w:rsidR="00222DE0" w:rsidRPr="00EE3355" w14:paraId="02E65F43" w14:textId="77777777" w:rsidTr="00E21E78">
        <w:trPr>
          <w:cantSplit/>
          <w:trHeight w:val="305"/>
        </w:trPr>
        <w:tc>
          <w:tcPr>
            <w:tcW w:w="2010" w:type="dxa"/>
          </w:tcPr>
          <w:p w14:paraId="42531E01" w14:textId="77777777" w:rsidR="00222DE0" w:rsidRPr="00EE3355" w:rsidRDefault="00222DE0" w:rsidP="00EA1CDF">
            <w:pPr>
              <w:pStyle w:val="TableParagraph"/>
              <w:rPr>
                <w:sz w:val="20"/>
              </w:rPr>
            </w:pPr>
          </w:p>
        </w:tc>
        <w:tc>
          <w:tcPr>
            <w:tcW w:w="1939" w:type="dxa"/>
          </w:tcPr>
          <w:p w14:paraId="09B2D86B" w14:textId="77777777" w:rsidR="00222DE0" w:rsidRPr="00EE3355" w:rsidRDefault="0098273B" w:rsidP="00EA1CDF">
            <w:pPr>
              <w:pStyle w:val="TableParagraph"/>
              <w:rPr>
                <w:sz w:val="20"/>
              </w:rPr>
            </w:pPr>
            <w:r w:rsidRPr="00EE3355">
              <w:rPr>
                <w:sz w:val="20"/>
              </w:rPr>
              <w:t>Reakce spojené s</w:t>
            </w:r>
            <w:r w:rsidR="00E21E78" w:rsidRPr="00EE3355">
              <w:rPr>
                <w:sz w:val="20"/>
              </w:rPr>
              <w:t xml:space="preserve"> </w:t>
            </w:r>
            <w:r w:rsidRPr="00EE3355">
              <w:rPr>
                <w:sz w:val="20"/>
              </w:rPr>
              <w:t>infuzí</w:t>
            </w:r>
          </w:p>
        </w:tc>
        <w:tc>
          <w:tcPr>
            <w:tcW w:w="1831" w:type="dxa"/>
          </w:tcPr>
          <w:p w14:paraId="2D25425C" w14:textId="77777777" w:rsidR="00222DE0" w:rsidRPr="00EE3355" w:rsidRDefault="00222DE0" w:rsidP="00EA1CDF">
            <w:pPr>
              <w:pStyle w:val="TableParagraph"/>
              <w:rPr>
                <w:sz w:val="20"/>
              </w:rPr>
            </w:pPr>
          </w:p>
        </w:tc>
        <w:tc>
          <w:tcPr>
            <w:tcW w:w="1332" w:type="dxa"/>
          </w:tcPr>
          <w:p w14:paraId="096F93D3" w14:textId="77777777" w:rsidR="00222DE0" w:rsidRPr="00EE3355" w:rsidRDefault="0098273B" w:rsidP="00EA1CDF">
            <w:pPr>
              <w:pStyle w:val="TableParagraph"/>
              <w:rPr>
                <w:sz w:val="20"/>
              </w:rPr>
            </w:pPr>
            <w:r w:rsidRPr="00EE3355">
              <w:rPr>
                <w:sz w:val="20"/>
              </w:rPr>
              <w:t>pJIA</w:t>
            </w:r>
            <w:r w:rsidRPr="00EE3355">
              <w:rPr>
                <w:sz w:val="20"/>
                <w:vertAlign w:val="superscript"/>
              </w:rPr>
              <w:t>1</w:t>
            </w:r>
            <w:r w:rsidRPr="00EE3355">
              <w:rPr>
                <w:sz w:val="20"/>
              </w:rPr>
              <w:t>, sJIA</w:t>
            </w:r>
            <w:r w:rsidRPr="00EE3355">
              <w:rPr>
                <w:sz w:val="20"/>
                <w:vertAlign w:val="superscript"/>
              </w:rPr>
              <w:t>2</w:t>
            </w:r>
          </w:p>
        </w:tc>
        <w:tc>
          <w:tcPr>
            <w:tcW w:w="1334" w:type="dxa"/>
          </w:tcPr>
          <w:p w14:paraId="1886B54F" w14:textId="77777777" w:rsidR="00222DE0" w:rsidRPr="00EE3355" w:rsidRDefault="00222DE0" w:rsidP="00EA1CDF">
            <w:pPr>
              <w:pStyle w:val="TableParagraph"/>
              <w:rPr>
                <w:sz w:val="20"/>
              </w:rPr>
            </w:pPr>
          </w:p>
        </w:tc>
      </w:tr>
      <w:tr w:rsidR="00222DE0" w:rsidRPr="00EE3355" w14:paraId="3AD9A106" w14:textId="77777777" w:rsidTr="001D0759">
        <w:trPr>
          <w:cantSplit/>
          <w:trHeight w:val="229"/>
        </w:trPr>
        <w:tc>
          <w:tcPr>
            <w:tcW w:w="3949" w:type="dxa"/>
            <w:gridSpan w:val="2"/>
          </w:tcPr>
          <w:p w14:paraId="5AE12C5C" w14:textId="77777777" w:rsidR="00222DE0" w:rsidRPr="00EE3355" w:rsidRDefault="0098273B" w:rsidP="00EA1CDF">
            <w:pPr>
              <w:pStyle w:val="TableParagraph"/>
              <w:rPr>
                <w:sz w:val="20"/>
              </w:rPr>
            </w:pPr>
            <w:r w:rsidRPr="00EE3355">
              <w:rPr>
                <w:sz w:val="20"/>
              </w:rPr>
              <w:t>Vyšetření</w:t>
            </w:r>
          </w:p>
        </w:tc>
        <w:tc>
          <w:tcPr>
            <w:tcW w:w="1831" w:type="dxa"/>
          </w:tcPr>
          <w:p w14:paraId="0B6FA6E9" w14:textId="77777777" w:rsidR="00222DE0" w:rsidRPr="00EE3355" w:rsidRDefault="00222DE0" w:rsidP="00EA1CDF">
            <w:pPr>
              <w:pStyle w:val="TableParagraph"/>
              <w:rPr>
                <w:sz w:val="16"/>
              </w:rPr>
            </w:pPr>
          </w:p>
        </w:tc>
        <w:tc>
          <w:tcPr>
            <w:tcW w:w="1332" w:type="dxa"/>
          </w:tcPr>
          <w:p w14:paraId="5562E8D3" w14:textId="77777777" w:rsidR="00222DE0" w:rsidRPr="00EE3355" w:rsidRDefault="00222DE0" w:rsidP="00EA1CDF">
            <w:pPr>
              <w:pStyle w:val="TableParagraph"/>
              <w:rPr>
                <w:sz w:val="16"/>
              </w:rPr>
            </w:pPr>
          </w:p>
        </w:tc>
        <w:tc>
          <w:tcPr>
            <w:tcW w:w="1334" w:type="dxa"/>
          </w:tcPr>
          <w:p w14:paraId="4E8AB8A0" w14:textId="77777777" w:rsidR="00222DE0" w:rsidRPr="00EE3355" w:rsidRDefault="00222DE0" w:rsidP="00EA1CDF">
            <w:pPr>
              <w:pStyle w:val="TableParagraph"/>
              <w:rPr>
                <w:sz w:val="16"/>
              </w:rPr>
            </w:pPr>
          </w:p>
        </w:tc>
      </w:tr>
      <w:tr w:rsidR="00222DE0" w:rsidRPr="00EE3355" w14:paraId="1CDAA078" w14:textId="77777777" w:rsidTr="001D0759">
        <w:trPr>
          <w:cantSplit/>
          <w:trHeight w:val="458"/>
        </w:trPr>
        <w:tc>
          <w:tcPr>
            <w:tcW w:w="2010" w:type="dxa"/>
          </w:tcPr>
          <w:p w14:paraId="4A034749" w14:textId="77777777" w:rsidR="00222DE0" w:rsidRPr="00EE3355" w:rsidRDefault="00222DE0" w:rsidP="00EA1CDF">
            <w:pPr>
              <w:pStyle w:val="TableParagraph"/>
              <w:rPr>
                <w:sz w:val="20"/>
              </w:rPr>
            </w:pPr>
          </w:p>
        </w:tc>
        <w:tc>
          <w:tcPr>
            <w:tcW w:w="1939" w:type="dxa"/>
          </w:tcPr>
          <w:p w14:paraId="7AD288C4" w14:textId="77777777" w:rsidR="00222DE0" w:rsidRPr="00EE3355" w:rsidRDefault="0098273B" w:rsidP="00EA1CDF">
            <w:pPr>
              <w:pStyle w:val="TableParagraph"/>
              <w:rPr>
                <w:sz w:val="20"/>
              </w:rPr>
            </w:pPr>
            <w:r w:rsidRPr="00EE3355">
              <w:rPr>
                <w:sz w:val="20"/>
              </w:rPr>
              <w:t>Zvýšení jaterních aminotransferáz</w:t>
            </w:r>
          </w:p>
        </w:tc>
        <w:tc>
          <w:tcPr>
            <w:tcW w:w="1831" w:type="dxa"/>
          </w:tcPr>
          <w:p w14:paraId="79D5D1D1" w14:textId="77777777" w:rsidR="00222DE0" w:rsidRPr="00EE3355" w:rsidRDefault="00222DE0" w:rsidP="00EA1CDF">
            <w:pPr>
              <w:pStyle w:val="TableParagraph"/>
              <w:rPr>
                <w:sz w:val="20"/>
              </w:rPr>
            </w:pPr>
          </w:p>
        </w:tc>
        <w:tc>
          <w:tcPr>
            <w:tcW w:w="1332" w:type="dxa"/>
          </w:tcPr>
          <w:p w14:paraId="1ADF40A1" w14:textId="77777777" w:rsidR="00222DE0" w:rsidRPr="00EE3355" w:rsidRDefault="0098273B" w:rsidP="00EA1CDF">
            <w:pPr>
              <w:pStyle w:val="TableParagraph"/>
              <w:rPr>
                <w:sz w:val="20"/>
              </w:rPr>
            </w:pPr>
            <w:r w:rsidRPr="00EE3355">
              <w:rPr>
                <w:sz w:val="20"/>
              </w:rPr>
              <w:t>pJIA</w:t>
            </w:r>
          </w:p>
        </w:tc>
        <w:tc>
          <w:tcPr>
            <w:tcW w:w="1334" w:type="dxa"/>
          </w:tcPr>
          <w:p w14:paraId="01BF2427" w14:textId="77777777" w:rsidR="00222DE0" w:rsidRPr="00EE3355" w:rsidRDefault="00222DE0" w:rsidP="00EA1CDF">
            <w:pPr>
              <w:pStyle w:val="TableParagraph"/>
              <w:rPr>
                <w:sz w:val="20"/>
              </w:rPr>
            </w:pPr>
          </w:p>
        </w:tc>
      </w:tr>
      <w:tr w:rsidR="00222DE0" w:rsidRPr="00EE3355" w14:paraId="24EF0B46" w14:textId="77777777" w:rsidTr="001D0759">
        <w:trPr>
          <w:cantSplit/>
          <w:trHeight w:val="460"/>
        </w:trPr>
        <w:tc>
          <w:tcPr>
            <w:tcW w:w="2010" w:type="dxa"/>
          </w:tcPr>
          <w:p w14:paraId="0A4AED32" w14:textId="77777777" w:rsidR="00222DE0" w:rsidRPr="00EE3355" w:rsidRDefault="00222DE0" w:rsidP="00EA1CDF">
            <w:pPr>
              <w:pStyle w:val="TableParagraph"/>
              <w:rPr>
                <w:sz w:val="20"/>
              </w:rPr>
            </w:pPr>
          </w:p>
        </w:tc>
        <w:tc>
          <w:tcPr>
            <w:tcW w:w="1939" w:type="dxa"/>
          </w:tcPr>
          <w:p w14:paraId="777A5A39" w14:textId="77777777" w:rsidR="00222DE0" w:rsidRPr="00EE3355" w:rsidRDefault="0098273B" w:rsidP="00EA1CDF">
            <w:pPr>
              <w:pStyle w:val="TableParagraph"/>
              <w:rPr>
                <w:sz w:val="20"/>
              </w:rPr>
            </w:pPr>
            <w:r w:rsidRPr="00EE3355">
              <w:rPr>
                <w:sz w:val="20"/>
              </w:rPr>
              <w:t>Snížení počtu</w:t>
            </w:r>
            <w:r w:rsidR="00E21E78" w:rsidRPr="00EE3355">
              <w:rPr>
                <w:sz w:val="20"/>
              </w:rPr>
              <w:t xml:space="preserve"> </w:t>
            </w:r>
            <w:r w:rsidRPr="00EE3355">
              <w:rPr>
                <w:sz w:val="20"/>
              </w:rPr>
              <w:t>neutrofilů</w:t>
            </w:r>
          </w:p>
        </w:tc>
        <w:tc>
          <w:tcPr>
            <w:tcW w:w="1831" w:type="dxa"/>
          </w:tcPr>
          <w:p w14:paraId="2BE42C5A" w14:textId="77777777" w:rsidR="00222DE0" w:rsidRPr="00EE3355" w:rsidRDefault="0098273B" w:rsidP="00EA1CDF">
            <w:pPr>
              <w:pStyle w:val="TableParagraph"/>
              <w:rPr>
                <w:sz w:val="20"/>
              </w:rPr>
            </w:pPr>
            <w:r w:rsidRPr="00EE3355">
              <w:rPr>
                <w:sz w:val="20"/>
              </w:rPr>
              <w:t>sJIA</w:t>
            </w:r>
          </w:p>
        </w:tc>
        <w:tc>
          <w:tcPr>
            <w:tcW w:w="1332" w:type="dxa"/>
          </w:tcPr>
          <w:p w14:paraId="6B86450B" w14:textId="77777777" w:rsidR="00222DE0" w:rsidRPr="00EE3355" w:rsidRDefault="0098273B" w:rsidP="00EA1CDF">
            <w:pPr>
              <w:pStyle w:val="TableParagraph"/>
              <w:rPr>
                <w:sz w:val="20"/>
              </w:rPr>
            </w:pPr>
            <w:r w:rsidRPr="00EE3355">
              <w:rPr>
                <w:sz w:val="20"/>
              </w:rPr>
              <w:t>pJIA</w:t>
            </w:r>
          </w:p>
        </w:tc>
        <w:tc>
          <w:tcPr>
            <w:tcW w:w="1334" w:type="dxa"/>
          </w:tcPr>
          <w:p w14:paraId="1913BAB9" w14:textId="77777777" w:rsidR="00222DE0" w:rsidRPr="00EE3355" w:rsidRDefault="00222DE0" w:rsidP="00EA1CDF">
            <w:pPr>
              <w:pStyle w:val="TableParagraph"/>
              <w:rPr>
                <w:sz w:val="20"/>
              </w:rPr>
            </w:pPr>
          </w:p>
        </w:tc>
      </w:tr>
      <w:tr w:rsidR="00222DE0" w:rsidRPr="00EE3355" w14:paraId="1FD9AF77" w14:textId="77777777" w:rsidTr="001D0759">
        <w:trPr>
          <w:cantSplit/>
          <w:trHeight w:val="460"/>
        </w:trPr>
        <w:tc>
          <w:tcPr>
            <w:tcW w:w="2010" w:type="dxa"/>
          </w:tcPr>
          <w:p w14:paraId="01903B86" w14:textId="77777777" w:rsidR="00222DE0" w:rsidRPr="00EE3355" w:rsidRDefault="00222DE0" w:rsidP="00EA1CDF">
            <w:pPr>
              <w:pStyle w:val="TableParagraph"/>
              <w:rPr>
                <w:sz w:val="20"/>
              </w:rPr>
            </w:pPr>
          </w:p>
        </w:tc>
        <w:tc>
          <w:tcPr>
            <w:tcW w:w="1939" w:type="dxa"/>
          </w:tcPr>
          <w:p w14:paraId="154834E9" w14:textId="77777777" w:rsidR="00222DE0" w:rsidRPr="00EE3355" w:rsidRDefault="0098273B" w:rsidP="00EA1CDF">
            <w:pPr>
              <w:pStyle w:val="TableParagraph"/>
              <w:rPr>
                <w:sz w:val="20"/>
              </w:rPr>
            </w:pPr>
            <w:r w:rsidRPr="00EE3355">
              <w:rPr>
                <w:sz w:val="20"/>
              </w:rPr>
              <w:t>Snížení počtu</w:t>
            </w:r>
            <w:r w:rsidR="00160603">
              <w:rPr>
                <w:sz w:val="20"/>
              </w:rPr>
              <w:t xml:space="preserve"> </w:t>
            </w:r>
            <w:r w:rsidRPr="00EE3355">
              <w:rPr>
                <w:sz w:val="20"/>
              </w:rPr>
              <w:t>trombocytů</w:t>
            </w:r>
          </w:p>
        </w:tc>
        <w:tc>
          <w:tcPr>
            <w:tcW w:w="1831" w:type="dxa"/>
          </w:tcPr>
          <w:p w14:paraId="0E228F16" w14:textId="77777777" w:rsidR="00222DE0" w:rsidRPr="00EE3355" w:rsidRDefault="00222DE0" w:rsidP="00EA1CDF">
            <w:pPr>
              <w:pStyle w:val="TableParagraph"/>
              <w:rPr>
                <w:sz w:val="20"/>
              </w:rPr>
            </w:pPr>
          </w:p>
        </w:tc>
        <w:tc>
          <w:tcPr>
            <w:tcW w:w="1332" w:type="dxa"/>
          </w:tcPr>
          <w:p w14:paraId="5ED8060F" w14:textId="77777777" w:rsidR="00222DE0" w:rsidRPr="00EE3355" w:rsidRDefault="0098273B" w:rsidP="00EA1CDF">
            <w:pPr>
              <w:pStyle w:val="TableParagraph"/>
              <w:rPr>
                <w:sz w:val="20"/>
              </w:rPr>
            </w:pPr>
            <w:r w:rsidRPr="00EE3355">
              <w:rPr>
                <w:sz w:val="20"/>
              </w:rPr>
              <w:t>sJIA</w:t>
            </w:r>
          </w:p>
        </w:tc>
        <w:tc>
          <w:tcPr>
            <w:tcW w:w="1334" w:type="dxa"/>
          </w:tcPr>
          <w:p w14:paraId="206D6573" w14:textId="77777777" w:rsidR="00222DE0" w:rsidRPr="00EE3355" w:rsidRDefault="0098273B" w:rsidP="00EA1CDF">
            <w:pPr>
              <w:pStyle w:val="TableParagraph"/>
              <w:rPr>
                <w:sz w:val="20"/>
              </w:rPr>
            </w:pPr>
            <w:r w:rsidRPr="00EE3355">
              <w:rPr>
                <w:sz w:val="20"/>
              </w:rPr>
              <w:t>pJIA</w:t>
            </w:r>
          </w:p>
        </w:tc>
      </w:tr>
      <w:tr w:rsidR="00222DE0" w:rsidRPr="00EE3355" w14:paraId="4181DDF3" w14:textId="77777777" w:rsidTr="001D0759">
        <w:trPr>
          <w:cantSplit/>
          <w:trHeight w:val="229"/>
        </w:trPr>
        <w:tc>
          <w:tcPr>
            <w:tcW w:w="2010" w:type="dxa"/>
          </w:tcPr>
          <w:p w14:paraId="7D2D3507" w14:textId="77777777" w:rsidR="00222DE0" w:rsidRPr="00EE3355" w:rsidRDefault="00222DE0" w:rsidP="00EA1CDF">
            <w:pPr>
              <w:pStyle w:val="TableParagraph"/>
              <w:rPr>
                <w:sz w:val="16"/>
              </w:rPr>
            </w:pPr>
          </w:p>
        </w:tc>
        <w:tc>
          <w:tcPr>
            <w:tcW w:w="1939" w:type="dxa"/>
          </w:tcPr>
          <w:p w14:paraId="4A5854B7" w14:textId="77777777" w:rsidR="00222DE0" w:rsidRPr="00EE3355" w:rsidRDefault="0098273B" w:rsidP="00EA1CDF">
            <w:pPr>
              <w:pStyle w:val="TableParagraph"/>
              <w:rPr>
                <w:sz w:val="20"/>
              </w:rPr>
            </w:pPr>
            <w:r w:rsidRPr="00EE3355">
              <w:rPr>
                <w:sz w:val="20"/>
              </w:rPr>
              <w:t>Zvýšení cholesterolu</w:t>
            </w:r>
          </w:p>
        </w:tc>
        <w:tc>
          <w:tcPr>
            <w:tcW w:w="1831" w:type="dxa"/>
          </w:tcPr>
          <w:p w14:paraId="39B6BE08" w14:textId="77777777" w:rsidR="00222DE0" w:rsidRPr="00EE3355" w:rsidRDefault="00222DE0" w:rsidP="00EA1CDF">
            <w:pPr>
              <w:pStyle w:val="TableParagraph"/>
              <w:rPr>
                <w:sz w:val="16"/>
              </w:rPr>
            </w:pPr>
          </w:p>
        </w:tc>
        <w:tc>
          <w:tcPr>
            <w:tcW w:w="1332" w:type="dxa"/>
          </w:tcPr>
          <w:p w14:paraId="32A512AC" w14:textId="77777777" w:rsidR="00222DE0" w:rsidRPr="00EE3355" w:rsidRDefault="0098273B" w:rsidP="00EA1CDF">
            <w:pPr>
              <w:pStyle w:val="TableParagraph"/>
              <w:rPr>
                <w:sz w:val="20"/>
              </w:rPr>
            </w:pPr>
            <w:r w:rsidRPr="00EE3355">
              <w:rPr>
                <w:sz w:val="20"/>
              </w:rPr>
              <w:t>sJIA</w:t>
            </w:r>
          </w:p>
        </w:tc>
        <w:tc>
          <w:tcPr>
            <w:tcW w:w="1334" w:type="dxa"/>
          </w:tcPr>
          <w:p w14:paraId="01CA1B31" w14:textId="77777777" w:rsidR="00222DE0" w:rsidRPr="00EE3355" w:rsidRDefault="0098273B" w:rsidP="00EA1CDF">
            <w:pPr>
              <w:pStyle w:val="TableParagraph"/>
              <w:rPr>
                <w:sz w:val="20"/>
              </w:rPr>
            </w:pPr>
            <w:r w:rsidRPr="00EE3355">
              <w:rPr>
                <w:sz w:val="20"/>
              </w:rPr>
              <w:t>pJIA</w:t>
            </w:r>
          </w:p>
        </w:tc>
      </w:tr>
    </w:tbl>
    <w:p w14:paraId="2E2C8122" w14:textId="77777777" w:rsidR="00222DE0" w:rsidRPr="00EE3355" w:rsidRDefault="00B23DAE" w:rsidP="00EA1CDF">
      <w:pPr>
        <w:tabs>
          <w:tab w:val="left" w:pos="434"/>
        </w:tabs>
        <w:ind w:left="284" w:hanging="284"/>
        <w:rPr>
          <w:sz w:val="18"/>
        </w:rPr>
      </w:pPr>
      <w:r w:rsidRPr="00EE3355">
        <w:rPr>
          <w:sz w:val="18"/>
          <w:szCs w:val="18"/>
        </w:rPr>
        <w:t>1.</w:t>
      </w:r>
      <w:r w:rsidRPr="00EE3355">
        <w:rPr>
          <w:sz w:val="18"/>
          <w:szCs w:val="18"/>
        </w:rPr>
        <w:tab/>
      </w:r>
      <w:r w:rsidR="0098273B" w:rsidRPr="00EE3355">
        <w:rPr>
          <w:sz w:val="18"/>
        </w:rPr>
        <w:t>Reakce spojené s infuzí u pacientů s pJIA zahrnovaly, bolest hlavy, nauzeu a hypotenzi, ale neomezovaly se pouze na tyto</w:t>
      </w:r>
      <w:r w:rsidR="00E21E78" w:rsidRPr="00EE3355">
        <w:rPr>
          <w:sz w:val="18"/>
        </w:rPr>
        <w:t xml:space="preserve"> </w:t>
      </w:r>
      <w:r w:rsidR="0098273B" w:rsidRPr="00EE3355">
        <w:rPr>
          <w:sz w:val="18"/>
        </w:rPr>
        <w:t>příhody.</w:t>
      </w:r>
    </w:p>
    <w:p w14:paraId="7C62B543" w14:textId="77777777" w:rsidR="00222DE0" w:rsidRPr="00EE3355" w:rsidRDefault="00B23DAE" w:rsidP="00EA1CDF">
      <w:pPr>
        <w:tabs>
          <w:tab w:val="left" w:pos="420"/>
        </w:tabs>
        <w:ind w:left="284" w:hanging="284"/>
        <w:rPr>
          <w:sz w:val="18"/>
        </w:rPr>
      </w:pPr>
      <w:r w:rsidRPr="00EE3355">
        <w:rPr>
          <w:sz w:val="18"/>
          <w:szCs w:val="18"/>
        </w:rPr>
        <w:t>2.</w:t>
      </w:r>
      <w:r w:rsidRPr="00EE3355">
        <w:rPr>
          <w:sz w:val="18"/>
          <w:szCs w:val="18"/>
        </w:rPr>
        <w:tab/>
      </w:r>
      <w:r w:rsidR="0098273B" w:rsidRPr="00EE3355">
        <w:rPr>
          <w:sz w:val="18"/>
        </w:rPr>
        <w:t>Reakce spojené s infuzí u pacientů se sJIA zahrnovaly, vyrážku, kopřivku, průjem, epigastrický diskomfort, artralgii a</w:t>
      </w:r>
      <w:r w:rsidR="00E21E78" w:rsidRPr="00EE3355">
        <w:rPr>
          <w:sz w:val="18"/>
        </w:rPr>
        <w:t xml:space="preserve"> </w:t>
      </w:r>
      <w:r w:rsidR="0098273B" w:rsidRPr="00EE3355">
        <w:rPr>
          <w:sz w:val="18"/>
        </w:rPr>
        <w:t>bolest hlavy, ale neomezovaly se pouze na tyto příhody.</w:t>
      </w:r>
    </w:p>
    <w:p w14:paraId="71D0C937" w14:textId="77777777" w:rsidR="00222DE0" w:rsidRPr="00EE3355" w:rsidRDefault="00222DE0" w:rsidP="00EA1CDF">
      <w:pPr>
        <w:widowControl/>
        <w:rPr>
          <w:sz w:val="18"/>
        </w:rPr>
      </w:pPr>
    </w:p>
    <w:p w14:paraId="71C4492D" w14:textId="77777777" w:rsidR="00222DE0" w:rsidRPr="00EE3355" w:rsidRDefault="0098273B" w:rsidP="00EA1CDF">
      <w:pPr>
        <w:widowControl/>
        <w:rPr>
          <w:i/>
        </w:rPr>
      </w:pPr>
      <w:r w:rsidRPr="00EE3355">
        <w:rPr>
          <w:i/>
        </w:rPr>
        <w:t>Pacienti s pJIA</w:t>
      </w:r>
    </w:p>
    <w:p w14:paraId="1238297A" w14:textId="680B5240" w:rsidR="00222DE0" w:rsidRPr="00EE3355" w:rsidRDefault="0098273B" w:rsidP="00EA1CDF">
      <w:pPr>
        <w:pStyle w:val="a3"/>
        <w:widowControl/>
        <w:ind w:left="0"/>
      </w:pPr>
      <w:r w:rsidRPr="00EE3355">
        <w:t xml:space="preserve">Bezpečnostní profil intravenózně podávaného </w:t>
      </w:r>
      <w:r w:rsidR="00DA5BD8" w:rsidRPr="001879E9">
        <w:t>tocilizumab</w:t>
      </w:r>
      <w:r w:rsidR="00DA5BD8">
        <w:t>u</w:t>
      </w:r>
      <w:r w:rsidR="00DA5BD8" w:rsidRPr="00EE3355" w:rsidDel="00DA5BD8">
        <w:t xml:space="preserve"> </w:t>
      </w:r>
      <w:r w:rsidRPr="00EE3355">
        <w:t>u pacientů s pJIA byl hodnocen u 188 pacientů ve věku od 2 do 17 let. Celková expozice byla 184,4 pacientoroků. Frekvence nežádoucích účinků u pacientů s pJIA je uvedena v tabulce 3. Nežádoucí účinky pozorované u pacientů s pJIA byly podobné nežádoucím účinkům pozorovaným u pacientů s RA a sJIA, viz bod 4.8. Ve srovnání s dospělou populací s RA byly příhody nazofaryngitidy, bolesti hlavy, nauzey a snížení počtu neutrofilů hlášeny častěji u populace s pJIA. Případy zvýšené hladiny cholesterolu byly méně často hlášeny u populace s pJIA než u dospělé populace s RA.</w:t>
      </w:r>
    </w:p>
    <w:p w14:paraId="0F9BF6FA" w14:textId="77777777" w:rsidR="0048579F" w:rsidRPr="00EE3355" w:rsidRDefault="0048579F" w:rsidP="00EA1CDF">
      <w:pPr>
        <w:pStyle w:val="a3"/>
        <w:widowControl/>
        <w:ind w:left="0"/>
      </w:pPr>
    </w:p>
    <w:p w14:paraId="6D5E9D80" w14:textId="77777777" w:rsidR="00222DE0" w:rsidRPr="00EE3355" w:rsidRDefault="0098273B" w:rsidP="00EA1CDF">
      <w:pPr>
        <w:widowControl/>
        <w:rPr>
          <w:i/>
        </w:rPr>
      </w:pPr>
      <w:r w:rsidRPr="00EE3355">
        <w:rPr>
          <w:i/>
        </w:rPr>
        <w:t>Infekce</w:t>
      </w:r>
    </w:p>
    <w:p w14:paraId="61CD18AE" w14:textId="77777777" w:rsidR="00222DE0" w:rsidRPr="00EE3355" w:rsidRDefault="0098273B" w:rsidP="00EA1CDF">
      <w:pPr>
        <w:pStyle w:val="a3"/>
        <w:widowControl/>
        <w:ind w:left="0"/>
      </w:pPr>
      <w:r w:rsidRPr="00EE3355">
        <w:t>Výskyt infekcí u všech populací léčených tocilizumabem byl 163,7 na 100 pacientoroků. Nejčastější pozorované příhody byly nazofaryngitida a infekce horních cest dýchacích. Výskyt závažných infekcí byl číselně vyšší u pacientů s tělesnou hmotností &lt; 30 kg léčených tocilizumabem v dávce 10 mg/kg (12,2 na 100 pacientoroků) ve srovnání s pacienty s tělesnou hmotností ≥ 30 kg léčených tocilizumabem v dávce 8 mg/kg (4,0 na 100 pacientoroků). Incidence infekcí vedoucích k přerušení léčby byla rovněž číselně vyšší u pacientů s tělesnou hmotností &lt; 30 kg léčených tocilizumabem</w:t>
      </w:r>
      <w:r w:rsidR="0048579F" w:rsidRPr="00EE3355">
        <w:t xml:space="preserve"> </w:t>
      </w:r>
      <w:r w:rsidRPr="00EE3355">
        <w:t>v dávce 10 mg/kg (21,4 %) ve srovnání s pacienty s tělesnou hmotností ≥ 30 kg léčených</w:t>
      </w:r>
      <w:r w:rsidR="0048579F" w:rsidRPr="00EE3355">
        <w:t xml:space="preserve"> </w:t>
      </w:r>
      <w:r w:rsidRPr="00EE3355">
        <w:t>tocilizumabem v dávce 8 mg/kg (7,6 %).</w:t>
      </w:r>
    </w:p>
    <w:p w14:paraId="1438BBAE" w14:textId="77777777" w:rsidR="00222DE0" w:rsidRPr="00EE3355" w:rsidRDefault="00222DE0" w:rsidP="00EA1CDF">
      <w:pPr>
        <w:pStyle w:val="a3"/>
        <w:widowControl/>
        <w:ind w:left="0"/>
      </w:pPr>
    </w:p>
    <w:p w14:paraId="5F84CE56" w14:textId="77777777" w:rsidR="00222DE0" w:rsidRPr="00EE3355" w:rsidRDefault="0098273B" w:rsidP="00EA1CDF">
      <w:pPr>
        <w:widowControl/>
        <w:rPr>
          <w:i/>
        </w:rPr>
      </w:pPr>
      <w:r w:rsidRPr="00EE3355">
        <w:rPr>
          <w:i/>
        </w:rPr>
        <w:t>Reakce související s infuzí</w:t>
      </w:r>
    </w:p>
    <w:p w14:paraId="6ADCBE76" w14:textId="77777777" w:rsidR="00251ADD" w:rsidRDefault="0098273B" w:rsidP="00EA1CDF">
      <w:pPr>
        <w:pStyle w:val="a3"/>
        <w:widowControl/>
        <w:ind w:left="0"/>
        <w:rPr>
          <w:rFonts w:eastAsia="맑은 고딕"/>
          <w:lang w:eastAsia="ko-KR"/>
        </w:rPr>
      </w:pPr>
      <w:r w:rsidRPr="00EE3355">
        <w:t>U pacientů s pJIA jsou reakce související s infuzí definovány jako všechny příhody, které se objevily během podávání infuze nebo v průběhu 24 hodin po jejím podání. Ze všech populací léčených tocilizumabem mělo 11 pacientů (5,9 %) reakci související s infuzí v průběhu infuze a 38 pacientů (20,2 %) v průběhu 24 hodin po podání infuze. Nejčastější příhody, které se objevily v průběhu infuze, byly bolest hlavy, nauzea a hypotenze a během 24 hodin po podání infuze pak závratě a hypotenze.</w:t>
      </w:r>
      <w:r w:rsidR="0048579F" w:rsidRPr="00EE3355">
        <w:t xml:space="preserve"> </w:t>
      </w:r>
      <w:r w:rsidRPr="00EE3355">
        <w:t>Obecně byly nežádoucí účinky pozorované během infuze i v průběhu 24 hodin po podání infuze podobné těm, které byly pozorovány u pacientů s RA a sJIA, viz bod 4.8.</w:t>
      </w:r>
      <w:r w:rsidR="0048579F" w:rsidRPr="00EE3355">
        <w:t xml:space="preserve"> </w:t>
      </w:r>
    </w:p>
    <w:p w14:paraId="24B50610" w14:textId="77777777" w:rsidR="00251ADD" w:rsidRDefault="00251ADD" w:rsidP="00EA1CDF">
      <w:pPr>
        <w:pStyle w:val="a3"/>
        <w:widowControl/>
        <w:ind w:left="0"/>
        <w:rPr>
          <w:rFonts w:eastAsia="맑은 고딕"/>
          <w:lang w:eastAsia="ko-KR"/>
        </w:rPr>
      </w:pPr>
    </w:p>
    <w:p w14:paraId="04ECA811" w14:textId="3183B49F" w:rsidR="00222DE0" w:rsidRPr="00EE3355" w:rsidRDefault="0098273B" w:rsidP="00EA1CDF">
      <w:pPr>
        <w:pStyle w:val="a3"/>
        <w:widowControl/>
        <w:ind w:left="0"/>
      </w:pPr>
      <w:r w:rsidRPr="00EE3355">
        <w:lastRenderedPageBreak/>
        <w:t>Nebyly hlášeny žádné klinicky významné hypersenzitivní reakce spojené s podáním tocilizumabu,</w:t>
      </w:r>
      <w:r w:rsidR="005230C6">
        <w:t xml:space="preserve"> </w:t>
      </w:r>
      <w:r w:rsidRPr="00EE3355">
        <w:t>které by vyžadovaly ukončení léčby.</w:t>
      </w:r>
    </w:p>
    <w:p w14:paraId="05F83A18" w14:textId="77777777" w:rsidR="00222DE0" w:rsidRPr="00EE3355" w:rsidRDefault="00222DE0" w:rsidP="00EA1CDF">
      <w:pPr>
        <w:pStyle w:val="a3"/>
        <w:widowControl/>
        <w:ind w:left="0"/>
      </w:pPr>
    </w:p>
    <w:p w14:paraId="2582B940" w14:textId="77777777" w:rsidR="00222DE0" w:rsidRPr="00EE3355" w:rsidRDefault="0098273B" w:rsidP="00B93217">
      <w:pPr>
        <w:keepNext/>
        <w:widowControl/>
        <w:rPr>
          <w:i/>
        </w:rPr>
      </w:pPr>
      <w:r w:rsidRPr="00EE3355">
        <w:rPr>
          <w:i/>
        </w:rPr>
        <w:t>Neutrofily</w:t>
      </w:r>
    </w:p>
    <w:p w14:paraId="2309A0B2" w14:textId="77777777" w:rsidR="00222DE0" w:rsidRPr="00EE3355" w:rsidRDefault="0098273B" w:rsidP="00EA1CDF">
      <w:pPr>
        <w:pStyle w:val="a3"/>
        <w:widowControl/>
        <w:ind w:left="0"/>
      </w:pPr>
      <w:r w:rsidRPr="00EE3355">
        <w:t>Během rutinního laboratorního sledování u všech populací léčených tocilizumabem se snížení počtu neutrofilů pod 1 x 10</w:t>
      </w:r>
      <w:r w:rsidRPr="00EE3355">
        <w:rPr>
          <w:vertAlign w:val="superscript"/>
        </w:rPr>
        <w:t>9</w:t>
      </w:r>
      <w:r w:rsidRPr="00EE3355">
        <w:t>/l objevilo u 3,7 % pacientů.</w:t>
      </w:r>
    </w:p>
    <w:p w14:paraId="43669B57" w14:textId="77777777" w:rsidR="00222DE0" w:rsidRPr="00EE3355" w:rsidRDefault="00222DE0" w:rsidP="00EA1CDF">
      <w:pPr>
        <w:pStyle w:val="a3"/>
        <w:widowControl/>
        <w:ind w:left="0"/>
      </w:pPr>
    </w:p>
    <w:p w14:paraId="526227CE" w14:textId="77777777" w:rsidR="00222DE0" w:rsidRPr="00EE3355" w:rsidRDefault="0098273B" w:rsidP="00EA1CDF">
      <w:pPr>
        <w:keepNext/>
        <w:widowControl/>
        <w:rPr>
          <w:i/>
        </w:rPr>
      </w:pPr>
      <w:r w:rsidRPr="00EE3355">
        <w:rPr>
          <w:i/>
        </w:rPr>
        <w:t>Trombocyty</w:t>
      </w:r>
    </w:p>
    <w:p w14:paraId="1A9DE374" w14:textId="77777777" w:rsidR="00222DE0" w:rsidRPr="00EE3355" w:rsidRDefault="0098273B" w:rsidP="00EA1CDF">
      <w:pPr>
        <w:pStyle w:val="a3"/>
        <w:widowControl/>
        <w:ind w:left="0"/>
      </w:pPr>
      <w:r w:rsidRPr="00EE3355">
        <w:t>Během rutinního laboratorního sledování u všech populací léčených tocilizumabem bylo u 1 % pacientů zaznamenáno snížení počtu trombocytů na ≤ 50 x 10</w:t>
      </w:r>
      <w:r w:rsidRPr="00EE3355">
        <w:rPr>
          <w:vertAlign w:val="superscript"/>
        </w:rPr>
        <w:t>3</w:t>
      </w:r>
      <w:r w:rsidRPr="00EE3355">
        <w:t>/µl bez souvisejících krvácivých příhod.</w:t>
      </w:r>
    </w:p>
    <w:p w14:paraId="362B95E9" w14:textId="77777777" w:rsidR="0048579F" w:rsidRPr="00EE3355" w:rsidRDefault="0048579F" w:rsidP="00EA1CDF">
      <w:pPr>
        <w:widowControl/>
        <w:rPr>
          <w:i/>
        </w:rPr>
      </w:pPr>
    </w:p>
    <w:p w14:paraId="4122CB09" w14:textId="77777777" w:rsidR="00222DE0" w:rsidRPr="00EE3355" w:rsidRDefault="0098273B" w:rsidP="00EA1CDF">
      <w:pPr>
        <w:keepNext/>
        <w:widowControl/>
        <w:rPr>
          <w:i/>
        </w:rPr>
      </w:pPr>
      <w:r w:rsidRPr="00EE3355">
        <w:rPr>
          <w:i/>
        </w:rPr>
        <w:t>Elevace jaterních aminotransferáz</w:t>
      </w:r>
    </w:p>
    <w:p w14:paraId="6ED3E55E" w14:textId="77777777" w:rsidR="00222DE0" w:rsidRPr="00EE3355" w:rsidRDefault="0098273B" w:rsidP="00EA1CDF">
      <w:pPr>
        <w:pStyle w:val="a3"/>
        <w:widowControl/>
        <w:ind w:left="0"/>
      </w:pPr>
      <w:r w:rsidRPr="00EE3355">
        <w:t>Během rutinního laboratorního sledování u všech populací léčených tocilizumabem se elevace ALT</w:t>
      </w:r>
      <w:r w:rsidR="005230C6">
        <w:t xml:space="preserve"> </w:t>
      </w:r>
      <w:r w:rsidRPr="00EE3355">
        <w:t>nebo AST ≥ 3 x ULN objevily u 3,7 % resp. &lt; 1 % pacientů.</w:t>
      </w:r>
    </w:p>
    <w:p w14:paraId="521343D4" w14:textId="77777777" w:rsidR="00222DE0" w:rsidRPr="00EE3355" w:rsidRDefault="00222DE0" w:rsidP="00EA1CDF">
      <w:pPr>
        <w:pStyle w:val="a3"/>
        <w:widowControl/>
        <w:ind w:left="0"/>
      </w:pPr>
    </w:p>
    <w:p w14:paraId="481DFF72" w14:textId="77777777" w:rsidR="00222DE0" w:rsidRPr="00EE3355" w:rsidRDefault="0098273B" w:rsidP="00EA1CDF">
      <w:pPr>
        <w:widowControl/>
        <w:jc w:val="both"/>
        <w:rPr>
          <w:i/>
        </w:rPr>
      </w:pPr>
      <w:r w:rsidRPr="00EE3355">
        <w:rPr>
          <w:i/>
        </w:rPr>
        <w:t>Lipidové parametry</w:t>
      </w:r>
    </w:p>
    <w:p w14:paraId="41DD93AD" w14:textId="5DB6706B" w:rsidR="00222DE0" w:rsidRPr="00EE3355" w:rsidRDefault="0098273B" w:rsidP="00EA1CDF">
      <w:pPr>
        <w:pStyle w:val="a3"/>
        <w:widowControl/>
        <w:ind w:left="0"/>
        <w:jc w:val="both"/>
      </w:pPr>
      <w:r w:rsidRPr="00EE3355">
        <w:t xml:space="preserve">Během rutinního laboratorního sledování intravenózně podávaného </w:t>
      </w:r>
      <w:r w:rsidR="00DA5BD8" w:rsidRPr="001879E9">
        <w:t>tocilizumab</w:t>
      </w:r>
      <w:r w:rsidR="00DA5BD8">
        <w:t>u</w:t>
      </w:r>
      <w:r w:rsidRPr="00EE3355">
        <w:t xml:space="preserve"> ve studii WA19977 došlo kdykoliv během studijní léčby k elevaci LDL cholesterolu na ≥ 130 mg/dl u 3,4 % pacientů a celkového cholesterolu na ≥ 200 mg/dl u 10,4 % pacientů.</w:t>
      </w:r>
    </w:p>
    <w:p w14:paraId="6C7736D3" w14:textId="77777777" w:rsidR="00222DE0" w:rsidRPr="00EE3355" w:rsidRDefault="00222DE0" w:rsidP="00EA1CDF">
      <w:pPr>
        <w:pStyle w:val="a3"/>
        <w:widowControl/>
        <w:ind w:left="0"/>
      </w:pPr>
    </w:p>
    <w:p w14:paraId="347F3AD5" w14:textId="77777777" w:rsidR="00222DE0" w:rsidRPr="00EE3355" w:rsidRDefault="0098273B" w:rsidP="00EA1CDF">
      <w:pPr>
        <w:widowControl/>
        <w:rPr>
          <w:i/>
        </w:rPr>
      </w:pPr>
      <w:r w:rsidRPr="00EE3355">
        <w:rPr>
          <w:i/>
        </w:rPr>
        <w:t>Pacienti se sJIA</w:t>
      </w:r>
    </w:p>
    <w:p w14:paraId="1000D2BA" w14:textId="12AD3DF8" w:rsidR="00222DE0" w:rsidRPr="00EE3355" w:rsidRDefault="0098273B" w:rsidP="00EA1CDF">
      <w:pPr>
        <w:pStyle w:val="a3"/>
        <w:widowControl/>
        <w:ind w:left="0"/>
      </w:pPr>
      <w:r w:rsidRPr="00EE3355">
        <w:t xml:space="preserve">Bezpečnostní profil intravenózně podávaného </w:t>
      </w:r>
      <w:r w:rsidR="00DA5BD8" w:rsidRPr="001879E9">
        <w:t>tocilizumab</w:t>
      </w:r>
      <w:r w:rsidR="00DA5BD8">
        <w:t>u</w:t>
      </w:r>
      <w:r w:rsidRPr="00EE3355">
        <w:t xml:space="preserve"> u pacientů se sJIA byl hodnocen u 112 pacientů ve věku od 2 do 17 let. Ve 12týdenní dvojitě zaslepené kontrolované fázi bylo 75 pacientů léčených tocilizumabem (8 mg/kg nebo 12 mg/kg na základě tělesné hmotnosti). Po 12</w:t>
      </w:r>
      <w:r w:rsidR="001450A5" w:rsidRPr="00EE3355">
        <w:t xml:space="preserve"> </w:t>
      </w:r>
      <w:r w:rsidRPr="00EE3355">
        <w:t xml:space="preserve">týdnech nebo v době přechodu na </w:t>
      </w:r>
      <w:r w:rsidR="00DA5BD8" w:rsidRPr="001879E9">
        <w:t>tocilizumab</w:t>
      </w:r>
      <w:r w:rsidRPr="00EE3355">
        <w:t xml:space="preserve"> z důvodu zhoršení onemocnění, byli pacienti léčeni v otevřené rozšířené fázi studie.</w:t>
      </w:r>
    </w:p>
    <w:p w14:paraId="0AA0D8C7" w14:textId="77777777" w:rsidR="00222DE0" w:rsidRPr="00EE3355" w:rsidRDefault="00222DE0" w:rsidP="00EA1CDF">
      <w:pPr>
        <w:pStyle w:val="a3"/>
        <w:widowControl/>
        <w:ind w:left="0"/>
      </w:pPr>
    </w:p>
    <w:p w14:paraId="57A90E67" w14:textId="77777777" w:rsidR="00222DE0" w:rsidRPr="00EE3355" w:rsidRDefault="0098273B" w:rsidP="00EA1CDF">
      <w:pPr>
        <w:pStyle w:val="a3"/>
        <w:widowControl/>
        <w:ind w:left="0"/>
      </w:pPr>
      <w:r w:rsidRPr="00EE3355">
        <w:t>Nežádoucí účinky u pacientů se sJIA byly obecně podobné těm, které byly pozorovány u pacientů</w:t>
      </w:r>
      <w:r w:rsidR="001450A5" w:rsidRPr="00EE3355">
        <w:t xml:space="preserve"> </w:t>
      </w:r>
      <w:r w:rsidRPr="00EE3355">
        <w:t>s RA, viz bod 4.8. Frekvence nežádoucích účinků u pacientů se sJIA je uvedena v tabulce 3. Ve srovnání s dospělou populací s RA došlo u pacientů se sJIA k vyšší frekvenci výskytu nazofaryngitidy, snížení počtu neutrofilů, zvýšení jaterních aminotransferáz a průjmu. Případy zvýšené hladiny cholesterolu byly méně často hlášeny u populace se sJIA než u dospělé populace s RA.</w:t>
      </w:r>
    </w:p>
    <w:p w14:paraId="0B9A6388" w14:textId="77777777" w:rsidR="001450A5" w:rsidRPr="00EE3355" w:rsidRDefault="001450A5" w:rsidP="00EA1CDF">
      <w:pPr>
        <w:widowControl/>
        <w:rPr>
          <w:i/>
        </w:rPr>
      </w:pPr>
    </w:p>
    <w:p w14:paraId="3CE91147" w14:textId="77777777" w:rsidR="00222DE0" w:rsidRPr="00EE3355" w:rsidRDefault="0098273B" w:rsidP="00EA1CDF">
      <w:pPr>
        <w:widowControl/>
        <w:rPr>
          <w:i/>
        </w:rPr>
      </w:pPr>
      <w:r w:rsidRPr="00EE3355">
        <w:rPr>
          <w:i/>
        </w:rPr>
        <w:t>Infekce</w:t>
      </w:r>
    </w:p>
    <w:p w14:paraId="5448A576" w14:textId="1B2F0872" w:rsidR="00222DE0" w:rsidRPr="00EE3355" w:rsidRDefault="0098273B" w:rsidP="00EA1CDF">
      <w:pPr>
        <w:pStyle w:val="a3"/>
        <w:widowControl/>
        <w:ind w:left="0"/>
      </w:pPr>
      <w:r w:rsidRPr="00EE3355">
        <w:t xml:space="preserve">Ve 12týdenní kontrolované fázi byl výskyt všech infekcí ve skupině léčené intravenózně podávaným </w:t>
      </w:r>
      <w:r w:rsidR="00DA5BD8" w:rsidRPr="001879E9">
        <w:t>tocilizumab</w:t>
      </w:r>
      <w:r w:rsidR="00DA5BD8">
        <w:t>em</w:t>
      </w:r>
      <w:r w:rsidRPr="00EE3355">
        <w:t xml:space="preserve"> 344,7 na 100 pacientoroků a ve skupině léčené placebem 287,0 na 100 pacientoroků. V otevřené rozšířené fázi (část II) zůstával celkový výskyt infekcí podobný, a to 306,6 na 100 pacientoroků.</w:t>
      </w:r>
    </w:p>
    <w:p w14:paraId="02008373" w14:textId="77777777" w:rsidR="001450A5" w:rsidRPr="00EE3355" w:rsidRDefault="001450A5" w:rsidP="00EA1CDF">
      <w:pPr>
        <w:pStyle w:val="a3"/>
        <w:widowControl/>
        <w:ind w:left="0"/>
      </w:pPr>
    </w:p>
    <w:p w14:paraId="68BF959C" w14:textId="7663BD7A" w:rsidR="00222DE0" w:rsidRPr="00EE3355" w:rsidRDefault="0098273B" w:rsidP="00EA1CDF">
      <w:pPr>
        <w:pStyle w:val="a3"/>
        <w:widowControl/>
        <w:ind w:left="0"/>
      </w:pPr>
      <w:r w:rsidRPr="00EE3355">
        <w:t xml:space="preserve">Ve 12týdenní kontrolované fázi byl výskyt závažných infekcí ve skupině léčené intravenózně podávaným </w:t>
      </w:r>
      <w:r w:rsidR="00DA5BD8" w:rsidRPr="001879E9">
        <w:t>tocilizumab</w:t>
      </w:r>
      <w:r w:rsidR="00DA5BD8">
        <w:t xml:space="preserve">em </w:t>
      </w:r>
      <w:r w:rsidRPr="00EE3355">
        <w:t>11,5 na 100 pacientoroků. Během jednoho roku otevřené rozšířené fáze studie zůstával celkový výskyt závažných infekcí stabilní, a to 11,3 na 100 pacientoroků. Hlášené závažné infekce byly podobné těm, které byly pozorovány u pacientů s RA, navíc byla hlášena varicella a otitis media.</w:t>
      </w:r>
    </w:p>
    <w:p w14:paraId="18DB82C7" w14:textId="77777777" w:rsidR="001450A5" w:rsidRPr="00EE3355" w:rsidRDefault="001450A5" w:rsidP="00EA1CDF">
      <w:pPr>
        <w:pStyle w:val="a3"/>
        <w:widowControl/>
        <w:ind w:left="0"/>
      </w:pPr>
    </w:p>
    <w:p w14:paraId="3834D580" w14:textId="77777777" w:rsidR="00222DE0" w:rsidRPr="00EE3355" w:rsidRDefault="0098273B" w:rsidP="00EA1CDF">
      <w:pPr>
        <w:widowControl/>
        <w:jc w:val="both"/>
        <w:rPr>
          <w:i/>
        </w:rPr>
      </w:pPr>
      <w:r w:rsidRPr="00EE3355">
        <w:rPr>
          <w:i/>
        </w:rPr>
        <w:t>Reakce související s infuzí</w:t>
      </w:r>
    </w:p>
    <w:p w14:paraId="5DEF54BB" w14:textId="77777777" w:rsidR="00222DE0" w:rsidRPr="00EE3355" w:rsidRDefault="0098273B" w:rsidP="00EA1CDF">
      <w:pPr>
        <w:pStyle w:val="a3"/>
        <w:widowControl/>
        <w:ind w:left="0"/>
        <w:jc w:val="both"/>
      </w:pPr>
      <w:r w:rsidRPr="00EE3355">
        <w:t>Reakce související s infuzí jsou definované jako všechny nežádoucí účinky, které se objeví v průběhu infuze nebo 24 hodin po jejím podání. Ve 12týdenní kontrolované fázi se nežádoucí účinky v průběhu infuze objevily u 4 % pacientů ve skupině léčené tocilizumabem. Jeden nežádoucí účinek (angioedém) byl považován za závažný a život ohrožující a u tohoto pacienta byla ukončena studijní léčba.</w:t>
      </w:r>
    </w:p>
    <w:p w14:paraId="419283D8" w14:textId="77777777" w:rsidR="00222DE0" w:rsidRPr="00EE3355" w:rsidRDefault="00222DE0" w:rsidP="00EA1CDF">
      <w:pPr>
        <w:pStyle w:val="a3"/>
        <w:widowControl/>
        <w:ind w:left="0"/>
      </w:pPr>
    </w:p>
    <w:p w14:paraId="2CD8BD40" w14:textId="77777777" w:rsidR="00222DE0" w:rsidRPr="00EE3355" w:rsidRDefault="0098273B" w:rsidP="00EA1CDF">
      <w:pPr>
        <w:pStyle w:val="a3"/>
        <w:widowControl/>
        <w:ind w:left="0"/>
      </w:pPr>
      <w:r w:rsidRPr="00EE3355">
        <w:t>Ve 12týdenní kontrolované fázi se nežádoucí účinky během 24 hodin od ukončení infuze objevily u 16 % pacientů ve skupině léčené tocilizumabem a u 5,4 % pacientů ve skupině léčené placebem. Ve skupině léčené tocilizumabem tyto nežádoucí účinky zahrnovaly (ale nebyly omezené pouze na) vyrážku, kopřivku, průjem, epigastrický diskomfort, artralgie a bolest hlavy. Jeden z těchto nežádoucích účinků (kopřivka) byl považován za závažný.</w:t>
      </w:r>
    </w:p>
    <w:p w14:paraId="11E11A8B" w14:textId="77777777" w:rsidR="001450A5" w:rsidRPr="00EE3355" w:rsidRDefault="001450A5" w:rsidP="00EA1CDF">
      <w:pPr>
        <w:pStyle w:val="a3"/>
        <w:widowControl/>
        <w:ind w:left="0"/>
      </w:pPr>
    </w:p>
    <w:p w14:paraId="03C3F541" w14:textId="77777777" w:rsidR="00222DE0" w:rsidRPr="00EE3355" w:rsidRDefault="0098273B" w:rsidP="00EA1CDF">
      <w:pPr>
        <w:pStyle w:val="a3"/>
        <w:widowControl/>
        <w:ind w:left="0"/>
      </w:pPr>
      <w:r w:rsidRPr="00EE3355">
        <w:lastRenderedPageBreak/>
        <w:t>Klinicky významné reakce přecitlivělosti související s léčbou tocilizumabem, které vyžadovaly přerušení léčby, byly hlášeny u 1 ze 112 pacientů (&lt; 1 %) léčených tocilizumabem během kontrolované i otevřené fáze klinické studie.</w:t>
      </w:r>
    </w:p>
    <w:p w14:paraId="0FA47F48" w14:textId="77777777" w:rsidR="00222DE0" w:rsidRPr="00EE3355" w:rsidRDefault="00222DE0" w:rsidP="00EA1CDF">
      <w:pPr>
        <w:pStyle w:val="a3"/>
        <w:widowControl/>
        <w:ind w:left="0"/>
      </w:pPr>
    </w:p>
    <w:p w14:paraId="1470C56C" w14:textId="77777777" w:rsidR="00222DE0" w:rsidRPr="00EE3355" w:rsidRDefault="0098273B" w:rsidP="00EA1CDF">
      <w:pPr>
        <w:keepNext/>
        <w:widowControl/>
        <w:rPr>
          <w:i/>
        </w:rPr>
      </w:pPr>
      <w:r w:rsidRPr="00EE3355">
        <w:rPr>
          <w:i/>
        </w:rPr>
        <w:t>Neutrofily</w:t>
      </w:r>
    </w:p>
    <w:p w14:paraId="455277E8" w14:textId="77777777" w:rsidR="00222DE0" w:rsidRPr="00EE3355" w:rsidRDefault="0098273B" w:rsidP="00EA1CDF">
      <w:pPr>
        <w:pStyle w:val="a3"/>
        <w:widowControl/>
        <w:ind w:left="0"/>
      </w:pPr>
      <w:r w:rsidRPr="00EE3355">
        <w:t>Během rutinního laboratorního monitorování ve 12týdenní kontrolované fázi došlo k poklesu počtu neutrofilů pod 1 x 10</w:t>
      </w:r>
      <w:r w:rsidRPr="00EE3355">
        <w:rPr>
          <w:vertAlign w:val="superscript"/>
        </w:rPr>
        <w:t>9</w:t>
      </w:r>
      <w:r w:rsidRPr="00EE3355">
        <w:t>/l u 7 % pacientů ve skupině léčené tocilizumabem. Ve skupině léčené placebem nedošlo k žádnému poklesu.</w:t>
      </w:r>
    </w:p>
    <w:p w14:paraId="07CED78D" w14:textId="77777777" w:rsidR="00222DE0" w:rsidRPr="00EE3355" w:rsidRDefault="00222DE0" w:rsidP="00EA1CDF">
      <w:pPr>
        <w:pStyle w:val="a3"/>
        <w:widowControl/>
        <w:ind w:left="0"/>
      </w:pPr>
    </w:p>
    <w:p w14:paraId="252FEEA7" w14:textId="77777777" w:rsidR="00222DE0" w:rsidRPr="00EE3355" w:rsidRDefault="0098273B" w:rsidP="00EA1CDF">
      <w:pPr>
        <w:pStyle w:val="a3"/>
        <w:widowControl/>
        <w:ind w:left="0"/>
        <w:jc w:val="both"/>
      </w:pPr>
      <w:r w:rsidRPr="00EE3355">
        <w:t>V otevřené rozšířené fázi studie se pokles počtu neutrofilů pod 1 x 10</w:t>
      </w:r>
      <w:r w:rsidRPr="00EE3355">
        <w:rPr>
          <w:vertAlign w:val="superscript"/>
        </w:rPr>
        <w:t>9</w:t>
      </w:r>
      <w:r w:rsidRPr="00EE3355">
        <w:t>/l objevil u 15 % pacientů ve</w:t>
      </w:r>
      <w:r w:rsidR="00160603">
        <w:t xml:space="preserve"> </w:t>
      </w:r>
      <w:r w:rsidRPr="00EE3355">
        <w:t>skupině léčené tocilizumabem.</w:t>
      </w:r>
    </w:p>
    <w:p w14:paraId="3AE33983" w14:textId="77777777" w:rsidR="00222DE0" w:rsidRPr="00EE3355" w:rsidRDefault="00222DE0" w:rsidP="00EA1CDF">
      <w:pPr>
        <w:pStyle w:val="a3"/>
        <w:widowControl/>
        <w:ind w:left="0"/>
      </w:pPr>
    </w:p>
    <w:p w14:paraId="3A221CF3" w14:textId="77777777" w:rsidR="00222DE0" w:rsidRPr="00EE3355" w:rsidRDefault="0098273B" w:rsidP="00EA1CDF">
      <w:pPr>
        <w:widowControl/>
        <w:rPr>
          <w:i/>
        </w:rPr>
      </w:pPr>
      <w:r w:rsidRPr="00EE3355">
        <w:rPr>
          <w:i/>
        </w:rPr>
        <w:t>Trombocyty</w:t>
      </w:r>
    </w:p>
    <w:p w14:paraId="49BD5F42" w14:textId="77777777" w:rsidR="00222DE0" w:rsidRPr="00EE3355" w:rsidRDefault="0098273B" w:rsidP="00EA1CDF">
      <w:pPr>
        <w:pStyle w:val="a3"/>
        <w:widowControl/>
        <w:ind w:left="0"/>
      </w:pPr>
      <w:r w:rsidRPr="00EE3355">
        <w:t>Během rutinního laboratorního monitorování ve 12týdenní kontrolované fázi došlo k poklesu počtu trombocytů na ≤ 100 x 10</w:t>
      </w:r>
      <w:r w:rsidRPr="00EE3355">
        <w:rPr>
          <w:vertAlign w:val="superscript"/>
        </w:rPr>
        <w:t>3</w:t>
      </w:r>
      <w:r w:rsidRPr="00EE3355">
        <w:t>/µl u 3 % pacientů ve skupině léčené placebem a 1 % ve skupině</w:t>
      </w:r>
    </w:p>
    <w:p w14:paraId="00FC3DAC" w14:textId="77777777" w:rsidR="00222DE0" w:rsidRPr="00EE3355" w:rsidRDefault="0098273B" w:rsidP="00EA1CDF">
      <w:pPr>
        <w:pStyle w:val="a3"/>
        <w:widowControl/>
        <w:ind w:left="0"/>
      </w:pPr>
      <w:r w:rsidRPr="00EE3355">
        <w:t>léčené tocilizumabem.</w:t>
      </w:r>
    </w:p>
    <w:p w14:paraId="67D6A907" w14:textId="77777777" w:rsidR="001D0985" w:rsidRPr="00EE3355" w:rsidRDefault="001D0985" w:rsidP="00EA1CDF">
      <w:pPr>
        <w:pStyle w:val="a3"/>
        <w:widowControl/>
        <w:ind w:left="0"/>
      </w:pPr>
    </w:p>
    <w:p w14:paraId="311F5E91" w14:textId="77777777" w:rsidR="00222DE0" w:rsidRPr="00EE3355" w:rsidRDefault="0098273B" w:rsidP="00EA1CDF">
      <w:pPr>
        <w:pStyle w:val="a3"/>
        <w:widowControl/>
        <w:ind w:left="0"/>
        <w:jc w:val="both"/>
      </w:pPr>
      <w:r w:rsidRPr="00EE3355">
        <w:t>V otevřené rozšířené fázi studie se pokles počtu trombocytů pod 100 x 10</w:t>
      </w:r>
      <w:r w:rsidRPr="00EE3355">
        <w:rPr>
          <w:vertAlign w:val="superscript"/>
        </w:rPr>
        <w:t>3</w:t>
      </w:r>
      <w:r w:rsidRPr="00EE3355">
        <w:t>/µl objevil u 3 % pacientů ve skupině léčené tocilizumabem a nebyl spojen s krvácivými příhodami.</w:t>
      </w:r>
    </w:p>
    <w:p w14:paraId="1B7BAAA2" w14:textId="77777777" w:rsidR="00222DE0" w:rsidRPr="00EE3355" w:rsidRDefault="00222DE0" w:rsidP="00EA1CDF">
      <w:pPr>
        <w:pStyle w:val="a3"/>
        <w:widowControl/>
        <w:ind w:left="0"/>
      </w:pPr>
    </w:p>
    <w:p w14:paraId="724DC70A" w14:textId="77777777" w:rsidR="00222DE0" w:rsidRPr="00EE3355" w:rsidRDefault="0098273B" w:rsidP="00EA1CDF">
      <w:pPr>
        <w:widowControl/>
        <w:jc w:val="both"/>
        <w:rPr>
          <w:i/>
        </w:rPr>
      </w:pPr>
      <w:r w:rsidRPr="00EE3355">
        <w:rPr>
          <w:i/>
        </w:rPr>
        <w:t>Elevace jaterních aminotransferáz</w:t>
      </w:r>
    </w:p>
    <w:p w14:paraId="2CD9C1B2" w14:textId="77777777" w:rsidR="00222DE0" w:rsidRPr="00EE3355" w:rsidRDefault="0098273B" w:rsidP="00EA1CDF">
      <w:pPr>
        <w:pStyle w:val="a3"/>
        <w:widowControl/>
        <w:ind w:left="0"/>
        <w:jc w:val="both"/>
      </w:pPr>
      <w:r w:rsidRPr="00EE3355">
        <w:t>Během rutinního laboratorního monitorování ve 12týdenní kontrolované fázi došlo ve skupině léčené tocilizumabem k elevaci ALT ≥ 3 x ULN u 5 % pacientů a k elevaci AST ≥ 3 x ULN u 3 % pacientů. Ve skupině léčené placebem pak u 0 % pacientů.</w:t>
      </w:r>
    </w:p>
    <w:p w14:paraId="38E89544" w14:textId="77777777" w:rsidR="00222DE0" w:rsidRPr="00EE3355" w:rsidRDefault="00222DE0" w:rsidP="00EA1CDF">
      <w:pPr>
        <w:pStyle w:val="a3"/>
        <w:widowControl/>
        <w:ind w:left="0"/>
      </w:pPr>
    </w:p>
    <w:p w14:paraId="4DB3361B" w14:textId="77777777" w:rsidR="00222DE0" w:rsidRPr="00EE3355" w:rsidRDefault="0098273B" w:rsidP="00EA1CDF">
      <w:pPr>
        <w:pStyle w:val="a3"/>
        <w:widowControl/>
        <w:ind w:left="0"/>
        <w:jc w:val="both"/>
      </w:pPr>
      <w:r w:rsidRPr="00EE3355">
        <w:t>V otevřené rozšířené fázi studie se elevace ALT ≥ 3 x ULN objevily u 12 % a AST ≥ 3 x ULN u 4 %</w:t>
      </w:r>
      <w:r w:rsidR="00160603">
        <w:t xml:space="preserve"> </w:t>
      </w:r>
      <w:r w:rsidRPr="00EE3355">
        <w:t>pacientů ve skupině léčené tocilizumabem.</w:t>
      </w:r>
    </w:p>
    <w:p w14:paraId="6F2F92EE" w14:textId="77777777" w:rsidR="00222DE0" w:rsidRPr="00EE3355" w:rsidRDefault="00222DE0" w:rsidP="00EA1CDF">
      <w:pPr>
        <w:pStyle w:val="a3"/>
        <w:widowControl/>
        <w:ind w:left="0"/>
      </w:pPr>
    </w:p>
    <w:p w14:paraId="0F24AE99" w14:textId="77777777" w:rsidR="00222DE0" w:rsidRPr="00EE3355" w:rsidRDefault="0098273B" w:rsidP="00EA1CDF">
      <w:pPr>
        <w:widowControl/>
        <w:rPr>
          <w:i/>
        </w:rPr>
      </w:pPr>
      <w:r w:rsidRPr="00EE3355">
        <w:rPr>
          <w:i/>
        </w:rPr>
        <w:t>Imunoglobulin G</w:t>
      </w:r>
    </w:p>
    <w:p w14:paraId="0D4ADA0F" w14:textId="77777777" w:rsidR="00222DE0" w:rsidRPr="00EE3355" w:rsidRDefault="0098273B" w:rsidP="00EA1CDF">
      <w:pPr>
        <w:pStyle w:val="a3"/>
        <w:widowControl/>
        <w:ind w:left="0"/>
      </w:pPr>
      <w:r w:rsidRPr="00EE3355">
        <w:t>Hladiny IgG se během léčby snižují. Pokles na dolní hranici normálního rozpětí se objevil u</w:t>
      </w:r>
      <w:r w:rsidR="005230C6">
        <w:t xml:space="preserve"> </w:t>
      </w:r>
      <w:r w:rsidRPr="00EE3355">
        <w:t>15 pacientů v určitém bodě studie.</w:t>
      </w:r>
    </w:p>
    <w:p w14:paraId="0B9C26F4" w14:textId="77777777" w:rsidR="00222DE0" w:rsidRPr="00EE3355" w:rsidRDefault="00222DE0" w:rsidP="00EA1CDF">
      <w:pPr>
        <w:pStyle w:val="a3"/>
        <w:widowControl/>
        <w:ind w:left="0"/>
      </w:pPr>
    </w:p>
    <w:p w14:paraId="008F0648" w14:textId="77777777" w:rsidR="00222DE0" w:rsidRPr="00EE3355" w:rsidRDefault="0098273B" w:rsidP="00EA1CDF">
      <w:pPr>
        <w:widowControl/>
        <w:rPr>
          <w:i/>
        </w:rPr>
      </w:pPr>
      <w:r w:rsidRPr="00EE3355">
        <w:rPr>
          <w:i/>
        </w:rPr>
        <w:t>Lipidové parametry</w:t>
      </w:r>
    </w:p>
    <w:p w14:paraId="09F0AF02" w14:textId="77777777" w:rsidR="00222DE0" w:rsidRPr="00EE3355" w:rsidRDefault="0098273B" w:rsidP="00EA1CDF">
      <w:pPr>
        <w:pStyle w:val="a3"/>
        <w:widowControl/>
        <w:ind w:left="0"/>
      </w:pPr>
      <w:r w:rsidRPr="00EE3355">
        <w:t>Během rutinního laboratorního monitorování ve 12týdenní kontrolované fázi (studie WA18221) došlo kdykoliv během studijní léčby k elevaci LDL cholesterolu na ≥ 130 mg/dl u 13,4 % pacientů a celkového cholesterolu na ≥ 200 mg/dl u 33,3 % pacientů.</w:t>
      </w:r>
    </w:p>
    <w:p w14:paraId="717691B4" w14:textId="77777777" w:rsidR="00222DE0" w:rsidRPr="00EE3355" w:rsidRDefault="00222DE0" w:rsidP="00EA1CDF">
      <w:pPr>
        <w:pStyle w:val="a3"/>
        <w:widowControl/>
        <w:ind w:left="0"/>
      </w:pPr>
    </w:p>
    <w:p w14:paraId="6CC091A6" w14:textId="77777777" w:rsidR="00222DE0" w:rsidRPr="00EE3355" w:rsidRDefault="0098273B" w:rsidP="00EA1CDF">
      <w:pPr>
        <w:pStyle w:val="a3"/>
        <w:widowControl/>
        <w:ind w:left="0"/>
      </w:pPr>
      <w:r w:rsidRPr="00EE3355">
        <w:t>V otevřené rozšířené fázi (studie WA18221) došlo kdykoliv během studijní léčby k elevaci LDL cholesterolu na ≥ 130 mg/dl u 13,2 % pacientů a celkového cholesterolu na ≥ 200 mg/dl u 27,7 % pacientů.</w:t>
      </w:r>
    </w:p>
    <w:p w14:paraId="32A07B13" w14:textId="77777777" w:rsidR="001D0985" w:rsidRPr="00EE3355" w:rsidRDefault="001D0985" w:rsidP="00EA1CDF">
      <w:pPr>
        <w:pStyle w:val="a3"/>
        <w:widowControl/>
        <w:ind w:left="0"/>
      </w:pPr>
    </w:p>
    <w:p w14:paraId="519E65C9" w14:textId="77777777" w:rsidR="00222DE0" w:rsidRPr="00EE3355" w:rsidRDefault="0098273B" w:rsidP="00EA1CDF">
      <w:pPr>
        <w:pStyle w:val="a3"/>
        <w:widowControl/>
        <w:ind w:left="0"/>
      </w:pPr>
      <w:r w:rsidRPr="00EE3355">
        <w:rPr>
          <w:u w:val="single"/>
        </w:rPr>
        <w:t>Pacienti s CRS</w:t>
      </w:r>
    </w:p>
    <w:p w14:paraId="44B3C0B6" w14:textId="77777777" w:rsidR="00222DE0" w:rsidRPr="00EE3355" w:rsidRDefault="0098273B" w:rsidP="00EA1CDF">
      <w:pPr>
        <w:pStyle w:val="a3"/>
        <w:widowControl/>
        <w:ind w:left="0"/>
      </w:pPr>
      <w:r w:rsidRPr="00EE3355">
        <w:t>Bezpečnost tocilizumabu u pacientů s CRS byla hodnocena v retrospektivní analýze dat z klinických hodnocení, ve kterých byl 51 pacientům podáván intravenózně tocilizumab 8 mg/kg (12 mg/kg u pacientů do 30 kg) s dodatečnými vysokodávkovými kortikosteroidy či bez nich k léčbě těžkého nebo život ohrožujícího CRS vyvolaného léčbou CAR T lymfocyty.</w:t>
      </w:r>
    </w:p>
    <w:p w14:paraId="3EF4E726" w14:textId="77777777" w:rsidR="00222DE0" w:rsidRPr="00EE3355" w:rsidRDefault="0098273B" w:rsidP="00EA1CDF">
      <w:pPr>
        <w:pStyle w:val="a3"/>
        <w:widowControl/>
        <w:ind w:left="0"/>
      </w:pPr>
      <w:r w:rsidRPr="00EE3355">
        <w:t>Byl podán medián 1 dávky tocilizumabu (rozmezí 1 až 4 dávek).</w:t>
      </w:r>
    </w:p>
    <w:p w14:paraId="54547F42" w14:textId="77777777" w:rsidR="00222DE0" w:rsidRDefault="00222DE0" w:rsidP="00EA1CDF">
      <w:pPr>
        <w:pStyle w:val="a3"/>
        <w:widowControl/>
        <w:ind w:left="0"/>
      </w:pPr>
    </w:p>
    <w:p w14:paraId="683D9487" w14:textId="6D41C51B" w:rsidR="00DA5BD8" w:rsidRPr="00B93217" w:rsidRDefault="00DA5BD8" w:rsidP="00EA1CDF">
      <w:pPr>
        <w:pStyle w:val="a3"/>
        <w:widowControl/>
        <w:ind w:left="0"/>
        <w:rPr>
          <w:u w:val="single"/>
        </w:rPr>
      </w:pPr>
      <w:bookmarkStart w:id="8" w:name="_Hlk183642000"/>
      <w:r w:rsidRPr="00B93217">
        <w:rPr>
          <w:u w:val="single"/>
        </w:rPr>
        <w:t>Imu</w:t>
      </w:r>
      <w:r w:rsidR="00D043F6" w:rsidRPr="00B93217">
        <w:rPr>
          <w:u w:val="single"/>
        </w:rPr>
        <w:t>n</w:t>
      </w:r>
      <w:r w:rsidRPr="00B93217">
        <w:rPr>
          <w:u w:val="single"/>
        </w:rPr>
        <w:t>ogenita</w:t>
      </w:r>
    </w:p>
    <w:p w14:paraId="77F9F12D" w14:textId="77777777" w:rsidR="00DF1AA9" w:rsidRPr="00EE3355" w:rsidRDefault="00DA5BD8" w:rsidP="00DF1AA9">
      <w:pPr>
        <w:pStyle w:val="a3"/>
        <w:widowControl/>
        <w:ind w:left="0"/>
      </w:pPr>
      <w:r>
        <w:t xml:space="preserve">Během léčby tocilizumabem se mohou vytvořit proti tocilizumabu protilátky. </w:t>
      </w:r>
      <w:r w:rsidR="00DF1AA9">
        <w:t>Může být</w:t>
      </w:r>
      <w:r w:rsidR="00DF1AA9" w:rsidRPr="00EE3355">
        <w:t xml:space="preserve"> pozorována korelace mezi tvorbou protilátek a klinickou odpovědí nebo nežádoucími účinky</w:t>
      </w:r>
      <w:r w:rsidR="00DF1AA9">
        <w:t>.</w:t>
      </w:r>
    </w:p>
    <w:bookmarkEnd w:id="8"/>
    <w:p w14:paraId="78BB1DE8" w14:textId="77777777" w:rsidR="00D57525" w:rsidRPr="00EE3355" w:rsidRDefault="00D57525" w:rsidP="00EA1CDF">
      <w:pPr>
        <w:pStyle w:val="a3"/>
        <w:widowControl/>
        <w:ind w:left="0"/>
      </w:pPr>
    </w:p>
    <w:p w14:paraId="48A2FABE" w14:textId="77777777" w:rsidR="00222DE0" w:rsidRPr="00EE3355" w:rsidRDefault="0098273B" w:rsidP="00EA1CDF">
      <w:pPr>
        <w:widowControl/>
        <w:rPr>
          <w:bCs/>
          <w:u w:val="single"/>
        </w:rPr>
      </w:pPr>
      <w:r w:rsidRPr="00EE3355">
        <w:rPr>
          <w:bCs/>
          <w:u w:val="single"/>
        </w:rPr>
        <w:t>Hlášení podezření na nežádoucí účinky</w:t>
      </w:r>
    </w:p>
    <w:p w14:paraId="2F7A16DA" w14:textId="77777777" w:rsidR="00222DE0" w:rsidRPr="00EE3355" w:rsidRDefault="0098273B" w:rsidP="00EA1CDF">
      <w:pPr>
        <w:pStyle w:val="a3"/>
        <w:widowControl/>
        <w:ind w:left="0"/>
      </w:pPr>
      <w:r w:rsidRPr="00EE3355">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Pr>
          <w:color w:val="000000"/>
          <w:highlight w:val="lightGray"/>
        </w:rPr>
        <w:t xml:space="preserve">národního systému hlášení nežádoucích účinků uvedeného v </w:t>
      </w:r>
      <w:r>
        <w:fldChar w:fldCharType="begin"/>
      </w:r>
      <w:r>
        <w:instrText>HYPERLINK "https://www.ema.europa.eu/documents/template-form/appendix-v-adverse-drug-reaction-reporting-details_en.doc" \h</w:instrText>
      </w:r>
      <w:r>
        <w:fldChar w:fldCharType="separate"/>
      </w:r>
      <w:r>
        <w:rPr>
          <w:color w:val="0000FF"/>
          <w:highlight w:val="lightGray"/>
          <w:u w:val="single" w:color="0000FF"/>
        </w:rPr>
        <w:t>Dodatku V</w:t>
      </w:r>
      <w:r>
        <w:rPr>
          <w:color w:val="000000"/>
          <w:highlight w:val="lightGray"/>
        </w:rPr>
        <w:t>.</w:t>
      </w:r>
      <w:r>
        <w:fldChar w:fldCharType="end"/>
      </w:r>
    </w:p>
    <w:p w14:paraId="79CB7C23" w14:textId="77777777" w:rsidR="00222DE0" w:rsidRPr="00EE3355" w:rsidRDefault="00222DE0" w:rsidP="00EA1CDF">
      <w:pPr>
        <w:pStyle w:val="a3"/>
        <w:spacing w:before="3"/>
        <w:ind w:left="0"/>
      </w:pPr>
    </w:p>
    <w:p w14:paraId="0E664DD8" w14:textId="77777777" w:rsidR="00222DE0" w:rsidRPr="00EE3355" w:rsidRDefault="00B23DAE" w:rsidP="00EA1CDF">
      <w:pPr>
        <w:pStyle w:val="2"/>
        <w:keepNext/>
        <w:widowControl/>
        <w:tabs>
          <w:tab w:val="left" w:pos="804"/>
        </w:tabs>
        <w:ind w:left="567" w:hanging="567"/>
      </w:pPr>
      <w:r w:rsidRPr="00EE3355">
        <w:t>4.9</w:t>
      </w:r>
      <w:r w:rsidRPr="00EE3355">
        <w:tab/>
      </w:r>
      <w:r w:rsidR="0098273B" w:rsidRPr="00EE3355">
        <w:t>Předávkování</w:t>
      </w:r>
    </w:p>
    <w:p w14:paraId="05C50627" w14:textId="77777777" w:rsidR="00B2106C" w:rsidRPr="00EE3355" w:rsidRDefault="00B2106C" w:rsidP="00EA1CDF">
      <w:pPr>
        <w:pStyle w:val="a3"/>
        <w:keepNext/>
        <w:widowControl/>
        <w:ind w:left="0"/>
      </w:pPr>
    </w:p>
    <w:p w14:paraId="7289BFDC" w14:textId="27E8A767" w:rsidR="00222DE0" w:rsidRPr="00EE3355" w:rsidRDefault="0098273B" w:rsidP="00EA1CDF">
      <w:pPr>
        <w:pStyle w:val="a3"/>
        <w:widowControl/>
        <w:ind w:left="0"/>
      </w:pPr>
      <w:r w:rsidRPr="00EE3355">
        <w:t xml:space="preserve">K dispozici jsou pouze omezené údaje o předávkování </w:t>
      </w:r>
      <w:r w:rsidR="00D57525" w:rsidRPr="001879E9">
        <w:t>tocilizumab</w:t>
      </w:r>
      <w:r w:rsidR="00D57525">
        <w:t>em</w:t>
      </w:r>
      <w:r w:rsidRPr="00EE3355">
        <w:t>. Jeden případ náhodného předávkování byl zaznamenán u pacienta s mnohočetným myelomem, který dostal jednotlivou dávku 40 mg/kg. Nebyly pozorovány žádné nežádoucí účinky.</w:t>
      </w:r>
    </w:p>
    <w:p w14:paraId="299255E2" w14:textId="77777777" w:rsidR="00222DE0" w:rsidRPr="00EE3355" w:rsidRDefault="00222DE0" w:rsidP="00EA1CDF">
      <w:pPr>
        <w:pStyle w:val="a3"/>
        <w:widowControl/>
        <w:ind w:left="0"/>
      </w:pPr>
    </w:p>
    <w:p w14:paraId="6DF5756C" w14:textId="77777777" w:rsidR="00222DE0" w:rsidRPr="00EE3355" w:rsidRDefault="0098273B" w:rsidP="00EA1CDF">
      <w:pPr>
        <w:pStyle w:val="a3"/>
        <w:widowControl/>
        <w:ind w:left="0"/>
      </w:pPr>
      <w:r w:rsidRPr="00EE3355">
        <w:t>Žádné závažné nežádoucí účinky nebyly pozorovány u zdravých dobrovolníků, kteří dostávali</w:t>
      </w:r>
      <w:r w:rsidR="00B2106C" w:rsidRPr="00EE3355">
        <w:t xml:space="preserve"> </w:t>
      </w:r>
      <w:r w:rsidRPr="00EE3355">
        <w:t>jednotlivé dávky až do 28 mg/kg, byla pozorována pouze dávku limitující neutropenie.</w:t>
      </w:r>
    </w:p>
    <w:p w14:paraId="7CA6A485" w14:textId="77777777" w:rsidR="00222DE0" w:rsidRPr="00EE3355" w:rsidRDefault="00222DE0" w:rsidP="00EA1CDF">
      <w:pPr>
        <w:pStyle w:val="a3"/>
        <w:widowControl/>
        <w:ind w:left="0"/>
      </w:pPr>
    </w:p>
    <w:p w14:paraId="20027EED" w14:textId="77777777" w:rsidR="00222DE0" w:rsidRPr="00B93217" w:rsidRDefault="0098273B" w:rsidP="00EA1CDF">
      <w:pPr>
        <w:widowControl/>
        <w:rPr>
          <w:bCs/>
          <w:u w:val="single"/>
        </w:rPr>
      </w:pPr>
      <w:r w:rsidRPr="00B93217">
        <w:rPr>
          <w:bCs/>
          <w:u w:val="single"/>
        </w:rPr>
        <w:t>Pediatrická populace</w:t>
      </w:r>
    </w:p>
    <w:p w14:paraId="67F8EBBA" w14:textId="77777777" w:rsidR="009F16F4" w:rsidRDefault="009F16F4" w:rsidP="00EA1CDF">
      <w:pPr>
        <w:pStyle w:val="a3"/>
        <w:widowControl/>
        <w:ind w:left="0"/>
      </w:pPr>
    </w:p>
    <w:p w14:paraId="1ACC0046" w14:textId="7C691FE1" w:rsidR="00222DE0" w:rsidRPr="00EE3355" w:rsidRDefault="0098273B" w:rsidP="00EA1CDF">
      <w:pPr>
        <w:pStyle w:val="a3"/>
        <w:widowControl/>
        <w:ind w:left="0"/>
      </w:pPr>
      <w:r w:rsidRPr="00EE3355">
        <w:t>Žádný případ předávkování nebyl u pediatrické populace pozorován.</w:t>
      </w:r>
    </w:p>
    <w:p w14:paraId="1F333D6C" w14:textId="77777777" w:rsidR="00D430EF" w:rsidRPr="00EE3355" w:rsidRDefault="00D430EF" w:rsidP="00EA1CDF">
      <w:pPr>
        <w:pStyle w:val="a3"/>
        <w:widowControl/>
        <w:ind w:left="0"/>
      </w:pPr>
    </w:p>
    <w:p w14:paraId="0BC8105C" w14:textId="77777777" w:rsidR="00222DE0" w:rsidRPr="00EE3355" w:rsidRDefault="00B23DAE" w:rsidP="00EA1CDF">
      <w:pPr>
        <w:pStyle w:val="1"/>
        <w:keepNext/>
        <w:tabs>
          <w:tab w:val="left" w:pos="804"/>
        </w:tabs>
        <w:ind w:left="567" w:hanging="567"/>
      </w:pPr>
      <w:r w:rsidRPr="00EE3355">
        <w:t>5.</w:t>
      </w:r>
      <w:r w:rsidRPr="00EE3355">
        <w:tab/>
      </w:r>
      <w:r w:rsidR="0098273B" w:rsidRPr="00EE3355">
        <w:t>FARMAKOLOGICKÉ VLASTNOSTI</w:t>
      </w:r>
    </w:p>
    <w:p w14:paraId="15284EC6" w14:textId="77777777" w:rsidR="00222DE0" w:rsidRPr="00EE3355" w:rsidRDefault="00222DE0" w:rsidP="00EA1CDF">
      <w:pPr>
        <w:pStyle w:val="a3"/>
        <w:keepNext/>
        <w:ind w:left="0"/>
        <w:rPr>
          <w:b/>
        </w:rPr>
      </w:pPr>
    </w:p>
    <w:p w14:paraId="4662C1FE" w14:textId="77777777" w:rsidR="00222DE0" w:rsidRPr="00EE3355" w:rsidRDefault="00B23DAE" w:rsidP="00EA1CDF">
      <w:pPr>
        <w:pStyle w:val="2"/>
        <w:keepNext/>
        <w:widowControl/>
        <w:tabs>
          <w:tab w:val="left" w:pos="804"/>
        </w:tabs>
        <w:ind w:left="567" w:hanging="567"/>
      </w:pPr>
      <w:r w:rsidRPr="00EE3355">
        <w:t>5.1</w:t>
      </w:r>
      <w:r w:rsidRPr="00EE3355">
        <w:tab/>
      </w:r>
      <w:r w:rsidR="0098273B" w:rsidRPr="00EE3355">
        <w:t>Farmakodynamické vlastnosti</w:t>
      </w:r>
    </w:p>
    <w:p w14:paraId="55B912BA" w14:textId="77777777" w:rsidR="00451FC5" w:rsidRPr="00EE3355" w:rsidRDefault="00451FC5" w:rsidP="00EA1CDF">
      <w:pPr>
        <w:pStyle w:val="a3"/>
        <w:keepNext/>
        <w:widowControl/>
        <w:ind w:left="0"/>
      </w:pPr>
    </w:p>
    <w:p w14:paraId="3810412A" w14:textId="77777777" w:rsidR="00222DE0" w:rsidRDefault="0098273B" w:rsidP="00EA1CDF">
      <w:pPr>
        <w:pStyle w:val="a3"/>
        <w:widowControl/>
        <w:ind w:left="0"/>
      </w:pPr>
      <w:r w:rsidRPr="00EE3355">
        <w:t>Farmakoterapeutická skupina: Imunosupresiva, inhibitory interleukinu: ATC kód: L04AC07</w:t>
      </w:r>
    </w:p>
    <w:p w14:paraId="56F26D25" w14:textId="77777777" w:rsidR="00D57525" w:rsidRDefault="00D57525" w:rsidP="00EA1CDF">
      <w:pPr>
        <w:pStyle w:val="a3"/>
        <w:widowControl/>
        <w:ind w:left="0"/>
      </w:pPr>
    </w:p>
    <w:p w14:paraId="73D1ED2F" w14:textId="25D35FE9" w:rsidR="00D57525" w:rsidRPr="00EE3355" w:rsidRDefault="00D57525" w:rsidP="00EA1CDF">
      <w:pPr>
        <w:pStyle w:val="a3"/>
        <w:widowControl/>
        <w:ind w:left="0"/>
      </w:pPr>
      <w:bookmarkStart w:id="9" w:name="_Hlk183552178"/>
      <w:r>
        <w:t xml:space="preserve">Avtozma </w:t>
      </w:r>
      <w:r w:rsidRPr="00D57525">
        <w:t xml:space="preserve">je tzv. podobným biologickým léčivým přípravkem („biosimilar“). Podrobné informace jsou k dispozici na webových stránkách Evropské agentury pro léčivé přípravky </w:t>
      </w:r>
      <w:r>
        <w:fldChar w:fldCharType="begin"/>
      </w:r>
      <w:r>
        <w:instrText>HYPERLINK "https://www.ema.europa.eu"</w:instrText>
      </w:r>
      <w:r>
        <w:fldChar w:fldCharType="separate"/>
      </w:r>
      <w:r w:rsidRPr="00D57525">
        <w:rPr>
          <w:rStyle w:val="a9"/>
        </w:rPr>
        <w:t>https://www.ema.europa.eu</w:t>
      </w:r>
      <w:r>
        <w:fldChar w:fldCharType="end"/>
      </w:r>
      <w:r w:rsidRPr="00D57525">
        <w:t>.</w:t>
      </w:r>
    </w:p>
    <w:bookmarkEnd w:id="9"/>
    <w:p w14:paraId="62A0A8B2" w14:textId="77777777" w:rsidR="00222DE0" w:rsidRPr="00EE3355" w:rsidRDefault="00222DE0" w:rsidP="00EA1CDF">
      <w:pPr>
        <w:pStyle w:val="a3"/>
        <w:widowControl/>
        <w:ind w:left="0"/>
      </w:pPr>
    </w:p>
    <w:p w14:paraId="48749698" w14:textId="77777777" w:rsidR="00222DE0" w:rsidRPr="00EE3355" w:rsidRDefault="0098273B" w:rsidP="00EA1CDF">
      <w:pPr>
        <w:pStyle w:val="a3"/>
        <w:widowControl/>
        <w:ind w:left="0"/>
      </w:pPr>
      <w:r w:rsidRPr="00EE3355">
        <w:rPr>
          <w:u w:val="single"/>
        </w:rPr>
        <w:t>Mechanismus účinku</w:t>
      </w:r>
    </w:p>
    <w:p w14:paraId="3BC22E92" w14:textId="77777777" w:rsidR="00222DE0" w:rsidRPr="00EE3355" w:rsidRDefault="0098273B" w:rsidP="00EA1CDF">
      <w:pPr>
        <w:pStyle w:val="a3"/>
        <w:widowControl/>
        <w:ind w:left="0"/>
      </w:pPr>
      <w:r w:rsidRPr="00EE3355">
        <w:t>Tocilizumab se váže specificky jak na rozpustnou, tak i membranózní část receptorů IL-6 (sIL-6R a mIL-6R). Bylo prokázáno, že tocilizumab inhibuje přenos signálu zprostředkovaného sIL-6R a mIL- 6R. IL-6 je pleiotropní prozánětlivý cytokin produkovaný různými typy buněk včetně T a B-buněk, monocytů a fibroblastů. IL-6 se účastní rozličných fyziologických procesů, jako je aktivace T-buněk, indukce sekrece imunoglobulinů, indukce syntézy jaterních proteinů akutní fáze a stimulace hemopoézy. IL-6 se podílí na patogenezi onemocnění včetně zánětlivých onemocnění, osteoporózy a neoplazmat.</w:t>
      </w:r>
    </w:p>
    <w:p w14:paraId="2381595A" w14:textId="77777777" w:rsidR="00222DE0" w:rsidRPr="00EE3355" w:rsidRDefault="00222DE0" w:rsidP="00EA1CDF">
      <w:pPr>
        <w:pStyle w:val="a3"/>
        <w:widowControl/>
        <w:ind w:left="0"/>
      </w:pPr>
    </w:p>
    <w:p w14:paraId="344DA205" w14:textId="77777777" w:rsidR="00222DE0" w:rsidRPr="00EE3355" w:rsidRDefault="0098273B" w:rsidP="00EA1CDF">
      <w:pPr>
        <w:pStyle w:val="a3"/>
        <w:widowControl/>
        <w:ind w:left="0"/>
      </w:pPr>
      <w:r w:rsidRPr="00EE3355">
        <w:rPr>
          <w:u w:val="single"/>
        </w:rPr>
        <w:t>Farmakodynamické účinky</w:t>
      </w:r>
    </w:p>
    <w:p w14:paraId="214D68DE" w14:textId="77777777" w:rsidR="00222DE0" w:rsidRPr="00EE3355" w:rsidRDefault="0098273B" w:rsidP="00EA1CDF">
      <w:pPr>
        <w:pStyle w:val="a3"/>
        <w:widowControl/>
        <w:ind w:left="0"/>
      </w:pPr>
      <w:r w:rsidRPr="00EE3355">
        <w:t>V klinických studiích s pacienty s RA léčenými tocilizumabem byl pozorován rychlý pokles CRP, sedimentace erytrocytů (FW), sérového amyloidu A (SAA) a fibrinogenu. V souladu s účinky na reaktanty akutní fáze byla léčba tocilizumabem spojena s poklesem počtu trombocytů k normálním hodnotám. Bylo pozorováno zvýšení hladin hemoglobinu. Tocilizumab snižuje posilující účinky IL-6 na produkci hepcidinu, což vede ke zvýšení dostupnosti železa. U pacientů léčených tocilizumabem byl pozorován pokles hladin CRP k normálním hodnotám již ve 2. týdnu a pokles přetrvával po celou dobu léčby.</w:t>
      </w:r>
    </w:p>
    <w:p w14:paraId="31BCD854" w14:textId="77777777" w:rsidR="00641FFD" w:rsidRPr="00EE3355" w:rsidRDefault="00641FFD" w:rsidP="00EA1CDF">
      <w:pPr>
        <w:pStyle w:val="a3"/>
        <w:widowControl/>
        <w:ind w:left="0"/>
      </w:pPr>
    </w:p>
    <w:p w14:paraId="34C3D387" w14:textId="77777777" w:rsidR="00222DE0" w:rsidRDefault="0098273B" w:rsidP="00EA1CDF">
      <w:pPr>
        <w:pStyle w:val="a3"/>
        <w:widowControl/>
        <w:ind w:left="0"/>
        <w:rPr>
          <w:rFonts w:eastAsia="맑은 고딕"/>
          <w:lang w:eastAsia="ko-KR"/>
        </w:rPr>
      </w:pPr>
      <w:r w:rsidRPr="00EE3355">
        <w:t>U zdravých dobrovolníků, kterým byl podáván tocilizumab v dávkách od 2 do 28 mg/kg, klesal absolutní počet neutrofilů k nejnižším hodnotám 3 až 5 dnů po podání. Poté se počet neutrofilů vrátil k výchozím hodnotám způsobem závislým na dávce. Pacienti s revmatoidní artritidou po podání tocilizumabu vykazovali podobný vzorec absolutního počtu neutrofilů (viz bod 4.8).</w:t>
      </w:r>
    </w:p>
    <w:p w14:paraId="23885DA1" w14:textId="77777777" w:rsidR="00251ADD" w:rsidRPr="00B93217" w:rsidRDefault="00251ADD" w:rsidP="00EA1CDF">
      <w:pPr>
        <w:pStyle w:val="a3"/>
        <w:widowControl/>
        <w:ind w:left="0"/>
        <w:rPr>
          <w:rFonts w:eastAsia="맑은 고딕"/>
          <w:lang w:eastAsia="ko-KR"/>
        </w:rPr>
      </w:pPr>
    </w:p>
    <w:p w14:paraId="5796A0AF" w14:textId="77777777" w:rsidR="00222DE0" w:rsidRPr="00EE3355" w:rsidRDefault="0098273B" w:rsidP="00EA1CDF">
      <w:pPr>
        <w:pStyle w:val="a3"/>
        <w:widowControl/>
        <w:ind w:left="0"/>
      </w:pPr>
      <w:r w:rsidRPr="00EE3355">
        <w:t>U pacientů s onemocněním COVID-19 byl již sedmý den po intravenózním podání jednorázové dávky tocilizumabu 8 mg/kg zjištěn pokles CRP na normální hodnoty.</w:t>
      </w:r>
    </w:p>
    <w:p w14:paraId="489F2DB8" w14:textId="77777777" w:rsidR="00222DE0" w:rsidRPr="00EE3355" w:rsidRDefault="00222DE0" w:rsidP="00EA1CDF">
      <w:pPr>
        <w:pStyle w:val="a3"/>
        <w:widowControl/>
        <w:ind w:left="0"/>
      </w:pPr>
    </w:p>
    <w:p w14:paraId="1DA9C503" w14:textId="77777777" w:rsidR="00222DE0" w:rsidRPr="00B93217" w:rsidRDefault="0098273B" w:rsidP="008E1B8C">
      <w:pPr>
        <w:keepNext/>
        <w:widowControl/>
        <w:rPr>
          <w:bCs/>
          <w:u w:val="single"/>
        </w:rPr>
      </w:pPr>
      <w:r w:rsidRPr="00B93217">
        <w:rPr>
          <w:bCs/>
          <w:u w:val="single"/>
        </w:rPr>
        <w:t>Pacienti s</w:t>
      </w:r>
      <w:r w:rsidR="00741582" w:rsidRPr="00B93217">
        <w:rPr>
          <w:bCs/>
          <w:u w:val="single"/>
        </w:rPr>
        <w:t> </w:t>
      </w:r>
      <w:r w:rsidRPr="00B93217">
        <w:rPr>
          <w:bCs/>
          <w:u w:val="single"/>
        </w:rPr>
        <w:t>RA</w:t>
      </w:r>
    </w:p>
    <w:p w14:paraId="14F7BD6A" w14:textId="77777777" w:rsidR="00741582" w:rsidRPr="00EE3355" w:rsidRDefault="00741582" w:rsidP="008E1B8C">
      <w:pPr>
        <w:keepNext/>
        <w:widowControl/>
        <w:rPr>
          <w:bCs/>
          <w:u w:val="single"/>
        </w:rPr>
      </w:pPr>
    </w:p>
    <w:p w14:paraId="7F2A3D42" w14:textId="77777777" w:rsidR="00222DE0" w:rsidRPr="00EE3355" w:rsidRDefault="0098273B" w:rsidP="008E1B8C">
      <w:pPr>
        <w:pStyle w:val="a3"/>
        <w:keepNext/>
        <w:widowControl/>
        <w:ind w:left="0"/>
      </w:pPr>
      <w:r w:rsidRPr="00EE3355">
        <w:rPr>
          <w:u w:val="single"/>
        </w:rPr>
        <w:t>Klinická účinnost a bezpečnost</w:t>
      </w:r>
    </w:p>
    <w:p w14:paraId="127CFE32" w14:textId="77777777" w:rsidR="00222DE0" w:rsidRPr="00EE3355" w:rsidRDefault="0098273B" w:rsidP="00EA1CDF">
      <w:pPr>
        <w:pStyle w:val="a3"/>
        <w:widowControl/>
        <w:ind w:left="0"/>
      </w:pPr>
      <w:r w:rsidRPr="00EE3355">
        <w:t xml:space="preserve">Účinnost tocilizumabu na zmírnění známek a příznaků RA byla hodnocena v 5 randomizovaných, dvojitě zaslepených, multicentrických studiích. Studie I-V zahrnovaly pacienty </w:t>
      </w:r>
      <w:r w:rsidRPr="00EE3355">
        <w:rPr>
          <w:rFonts w:ascii="Symbol" w:hAnsi="Symbol"/>
        </w:rPr>
        <w:t></w:t>
      </w:r>
      <w:r w:rsidRPr="00EE3355">
        <w:t xml:space="preserve"> 18 let s aktivní RA diagnostikovanou v souladu s kritérii American College of Rheumatology (ACR), kteří měli alespoň 8 bolestivých a 6 oteklých kloubů v úvodu léčby.</w:t>
      </w:r>
    </w:p>
    <w:p w14:paraId="60308952" w14:textId="77777777" w:rsidR="00222DE0" w:rsidRPr="00EE3355" w:rsidRDefault="00222DE0" w:rsidP="00EA1CDF">
      <w:pPr>
        <w:pStyle w:val="a3"/>
        <w:widowControl/>
        <w:ind w:left="0"/>
      </w:pPr>
    </w:p>
    <w:p w14:paraId="411101BB" w14:textId="77777777" w:rsidR="00222DE0" w:rsidRPr="00EE3355" w:rsidRDefault="0098273B" w:rsidP="00EA1CDF">
      <w:pPr>
        <w:pStyle w:val="a3"/>
        <w:widowControl/>
        <w:ind w:left="0"/>
      </w:pPr>
      <w:r w:rsidRPr="00EE3355">
        <w:t>Ve studii I byl tocilizumab podáván intravenózně každé čtyři týdny jako monoterapie. Ve studiích II, III a V byl tocilizumab podáván intravenózně každé čtyři týdny v kombinaci s MTX proti placebu a MTX. Ve studii IV byl tocilizumab podáván intravenózně každé čtyři týdny v kombinaci s dalšími DMARD proti placebu a další DMARD. Primárním výstupem každé z pěti studií bylo procento pacientů, kteří dosáhli odpovědi dle kritérií ACR 20 ve 24. týdnu.</w:t>
      </w:r>
    </w:p>
    <w:p w14:paraId="447C2ED6" w14:textId="77777777" w:rsidR="00FC53B0" w:rsidRPr="00EE3355" w:rsidRDefault="00FC53B0" w:rsidP="00EA1CDF">
      <w:pPr>
        <w:pStyle w:val="a3"/>
        <w:widowControl/>
        <w:ind w:left="0"/>
      </w:pPr>
    </w:p>
    <w:p w14:paraId="6B1DA1A7" w14:textId="77777777" w:rsidR="00222DE0" w:rsidRPr="00EE3355" w:rsidRDefault="0098273B" w:rsidP="00EA1CDF">
      <w:pPr>
        <w:pStyle w:val="a3"/>
        <w:widowControl/>
        <w:ind w:left="0"/>
      </w:pPr>
      <w:r w:rsidRPr="00EE3355">
        <w:t>Studie I hodnotila 673 pacientů, kteří nebyli v průběhu 6 týdnů před randomizací léčeni MTX a kteří nepřerušili předchozí léčbu MTX z důvodu klinicky závažných toxických nežádoucích účinků nebo nedostatečné klinické odpovědi. Většina pacientů (67 %) nebyla nikdy dříve MTX léčena. Dávky</w:t>
      </w:r>
      <w:r w:rsidR="00FC53B0" w:rsidRPr="00EE3355">
        <w:t xml:space="preserve"> </w:t>
      </w:r>
      <w:r w:rsidRPr="00EE3355">
        <w:t>8 mg/kg tocilizumabu byly podávány každé čtyři týdny jako monoterapie. Ve srovnávací skupině byl podáván každý týden MTX (dávka titrovaná od 7,5 mg až k maximální dávce 20 mg týdně po dobu 8 týdnů).</w:t>
      </w:r>
    </w:p>
    <w:p w14:paraId="6ACF82AB" w14:textId="77777777" w:rsidR="00FC53B0" w:rsidRPr="00EE3355" w:rsidRDefault="00FC53B0" w:rsidP="00EA1CDF">
      <w:pPr>
        <w:pStyle w:val="a3"/>
        <w:widowControl/>
        <w:ind w:left="0"/>
      </w:pPr>
    </w:p>
    <w:p w14:paraId="69924D78" w14:textId="6EF9EC5A" w:rsidR="00222DE0" w:rsidRPr="00EE3355" w:rsidRDefault="0098273B" w:rsidP="00EA1CDF">
      <w:pPr>
        <w:pStyle w:val="a3"/>
        <w:widowControl/>
        <w:ind w:left="0"/>
      </w:pPr>
      <w:r w:rsidRPr="00EE3355">
        <w:t>Studie II, dvouletá studie s plánovanými analýzami v týdnu 24, týdnu 52 a týdnu 104 hodnotila 1196 pacientů, kteří neměli dostatečnou klinickou odpověď na léčbu MTX. Každé čtyři týdny byl pacientům podáván tocilizumab v dávce 4 nebo 8 mg/kg nebo placebo jako zaslepená terapie po dobu 52 týdnů v kombinaci se stabilní dávkou MTX (10 mg až 25 mg týdně). Po týdnu 52 mohli všichni</w:t>
      </w:r>
      <w:r w:rsidR="00251ADD">
        <w:rPr>
          <w:rFonts w:eastAsia="맑은 고딕" w:hint="eastAsia"/>
          <w:lang w:eastAsia="ko-KR"/>
        </w:rPr>
        <w:t xml:space="preserve"> </w:t>
      </w:r>
      <w:r w:rsidRPr="00EE3355">
        <w:t>pacienti pokračovat v otevřené fázi léčby s tocilizumabem v dávce 8 mg/kg. Z pacientů, kteří dokončili studii a kteří byli původně randomizováni do skupiny s placebem + MTX, pokračovalo 86 % pacientů v otevřené fázi léčby tocilizumabem v dávce 8 mg/kg v roce 2. Primárním cílovým parametrem v týdnu 24 bylo procento pacientů, kteří dosáhli odpovědi dle kritérií ACR 20. V 52. týdnu a 104. týdnu byla druhým hlavním cílovým parametrem prevence poškození kloubů a zlepšení fyzických funkcí.</w:t>
      </w:r>
    </w:p>
    <w:p w14:paraId="2CB2F4F3" w14:textId="77777777" w:rsidR="00AB2BD6" w:rsidRPr="00EE3355" w:rsidRDefault="00AB2BD6" w:rsidP="00EA1CDF">
      <w:pPr>
        <w:pStyle w:val="a3"/>
        <w:widowControl/>
        <w:ind w:left="0"/>
      </w:pPr>
    </w:p>
    <w:p w14:paraId="686BC785" w14:textId="77777777" w:rsidR="00222DE0" w:rsidRPr="00EE3355" w:rsidRDefault="0098273B" w:rsidP="00EA1CDF">
      <w:pPr>
        <w:pStyle w:val="a3"/>
        <w:widowControl/>
        <w:ind w:left="0"/>
      </w:pPr>
      <w:r w:rsidRPr="00EE3355">
        <w:t>Studie III zhodnocovala 623 pacientů, kteří neměli dostatečnou odpověď na léčbu MTX. Každé čtyři týdny byl pacientům podáván tocilizumab v dávce 4 nebo 8 mg/kg v kombinaci se stálou dávkou MTX (10 až 25 mg týdně).</w:t>
      </w:r>
    </w:p>
    <w:p w14:paraId="09D230D5" w14:textId="77777777" w:rsidR="00222DE0" w:rsidRPr="00EE3355" w:rsidRDefault="00222DE0" w:rsidP="00EA1CDF">
      <w:pPr>
        <w:pStyle w:val="a3"/>
        <w:widowControl/>
        <w:ind w:left="0"/>
      </w:pPr>
    </w:p>
    <w:p w14:paraId="5FA803FD" w14:textId="77777777" w:rsidR="00222DE0" w:rsidRPr="00EE3355" w:rsidRDefault="0098273B" w:rsidP="00EA1CDF">
      <w:pPr>
        <w:pStyle w:val="a3"/>
        <w:widowControl/>
        <w:ind w:left="0"/>
      </w:pPr>
      <w:r w:rsidRPr="00EE3355">
        <w:t>Studie IV hodnotila 1220 pacientů, kteří neodpovídali dostatečně na svoji dosavadní revmatologickou terapii, včetně jednoho nebo více DMARD. Každé čtyři týdny byl pacientům podáván tocilizumab</w:t>
      </w:r>
      <w:r w:rsidR="00641FFD" w:rsidRPr="00EE3355">
        <w:t xml:space="preserve"> </w:t>
      </w:r>
      <w:r w:rsidRPr="00EE3355">
        <w:t>v dávce 8 mg/kg nebo placebo v kombinaci se stálou dávkou DMARD.</w:t>
      </w:r>
    </w:p>
    <w:p w14:paraId="4BADEBFB" w14:textId="77777777" w:rsidR="00222DE0" w:rsidRPr="00EE3355" w:rsidRDefault="00222DE0" w:rsidP="00EA1CDF">
      <w:pPr>
        <w:pStyle w:val="a3"/>
        <w:widowControl/>
        <w:ind w:left="0"/>
      </w:pPr>
    </w:p>
    <w:p w14:paraId="6A42EBAD" w14:textId="77777777" w:rsidR="00222DE0" w:rsidRPr="00EE3355" w:rsidRDefault="0098273B" w:rsidP="00EA1CDF">
      <w:pPr>
        <w:pStyle w:val="a3"/>
        <w:widowControl/>
        <w:ind w:left="0"/>
      </w:pPr>
      <w:r w:rsidRPr="00EE3355">
        <w:t>Studie V hodnotila 499 pacientů, kteří neodpovídali dostatečně nebo netolerovali terapii jedním nebo více antagonisty TNF. Terapie antagonisty TNF byla ukončena před randomizací. Každé čtyři týdny byl pacientům prodáván tocilizumab v dávce 4 nebo 8 mg/kg v kombinaci se stálou dávkou MTX (10 až 25 mg týdně).</w:t>
      </w:r>
    </w:p>
    <w:p w14:paraId="2458307A" w14:textId="77777777" w:rsidR="00AB2BD6" w:rsidRPr="00EE3355" w:rsidRDefault="00AB2BD6" w:rsidP="00EA1CDF">
      <w:pPr>
        <w:pStyle w:val="a3"/>
        <w:widowControl/>
        <w:ind w:left="0"/>
      </w:pPr>
    </w:p>
    <w:p w14:paraId="66488FFC" w14:textId="77777777" w:rsidR="00222DE0" w:rsidRPr="00EE3355" w:rsidRDefault="0098273B" w:rsidP="00EA1CDF">
      <w:pPr>
        <w:widowControl/>
        <w:rPr>
          <w:i/>
        </w:rPr>
      </w:pPr>
      <w:r w:rsidRPr="00EE3355">
        <w:rPr>
          <w:i/>
        </w:rPr>
        <w:t>Klinická odpověď</w:t>
      </w:r>
    </w:p>
    <w:p w14:paraId="08C8A452" w14:textId="77777777" w:rsidR="00222DE0" w:rsidRPr="00EE3355" w:rsidRDefault="0098273B" w:rsidP="00EA1CDF">
      <w:pPr>
        <w:pStyle w:val="a3"/>
        <w:widowControl/>
        <w:ind w:left="0"/>
      </w:pPr>
      <w:r w:rsidRPr="00EE3355">
        <w:t>Ve všech studiích měli pacienti léčení tocilizumabem v dávce 8 mg/kg statisticky významně vyšší odpovědi dle kritérií ACR 20, 50 a 70 v 6. měsíci v porovnání s kontrolní skupinou (tabulka 4). Ve studii I byla převaha tocilizumabu v dávce 8 mg/kg prokázána oproti aktivní kontrolní skupině s MTX.</w:t>
      </w:r>
    </w:p>
    <w:p w14:paraId="1454953D" w14:textId="77777777" w:rsidR="00222DE0" w:rsidRPr="00EE3355" w:rsidRDefault="00222DE0" w:rsidP="00EA1CDF">
      <w:pPr>
        <w:pStyle w:val="a3"/>
        <w:widowControl/>
        <w:ind w:left="0"/>
      </w:pPr>
    </w:p>
    <w:p w14:paraId="0BEE0886" w14:textId="77777777" w:rsidR="00222DE0" w:rsidRPr="00EE3355" w:rsidRDefault="0098273B" w:rsidP="00EA1CDF">
      <w:pPr>
        <w:pStyle w:val="a3"/>
        <w:widowControl/>
        <w:ind w:left="0"/>
      </w:pPr>
      <w:r w:rsidRPr="00EE3355">
        <w:t>Léčebný účinek byl podobný u pacientů nezávisle na stavu revmatoidního faktoru, věku, pohlaví, rasy, počtu předchozích terapií nebo stavu nemoci. Čas k nástupu účinku byl rychlý (již v týdnu 2) a rozsah odpovědi se během léčby zlepšoval. Pokračování trvající odpovědi bylo pozorováno ještě po 3 letech v otevřených rozšířených studiích I - V.</w:t>
      </w:r>
    </w:p>
    <w:p w14:paraId="45C9BB78" w14:textId="77777777" w:rsidR="00AB2BD6" w:rsidRPr="00EE3355" w:rsidRDefault="00AB2BD6" w:rsidP="00EA1CDF">
      <w:pPr>
        <w:pStyle w:val="a3"/>
        <w:widowControl/>
        <w:ind w:left="0"/>
      </w:pPr>
    </w:p>
    <w:p w14:paraId="6729CCAC" w14:textId="77777777" w:rsidR="00222DE0" w:rsidRPr="00EE3355" w:rsidRDefault="0098273B" w:rsidP="00EA1CDF">
      <w:pPr>
        <w:pStyle w:val="a3"/>
        <w:widowControl/>
        <w:ind w:left="0"/>
      </w:pPr>
      <w:r w:rsidRPr="00EE3355">
        <w:t>U pacientů léčených tocilizumabem v dávce 8 mg/kg bylo významné zlepšení zaznamenáno ve všech jednotlivých komponentách odpovědí ACR včetně: počtu bolestivých a oteklých kloubů, celkového hodnocení stavu pacientem i lékařem, skóre indexu disability, hodnocení bolesti a CRP v porovnání s pacienty dostávajícími placebo spolu s MTX nebo dalšími DMARD ve všech studiích.</w:t>
      </w:r>
    </w:p>
    <w:p w14:paraId="499DD9C5" w14:textId="77777777" w:rsidR="00222DE0" w:rsidRPr="00EE3355" w:rsidRDefault="00222DE0" w:rsidP="00EA1CDF">
      <w:pPr>
        <w:pStyle w:val="a3"/>
        <w:widowControl/>
        <w:ind w:left="0"/>
      </w:pPr>
    </w:p>
    <w:p w14:paraId="47B83B00" w14:textId="77777777" w:rsidR="00222DE0" w:rsidRPr="009B72B8" w:rsidRDefault="0098273B" w:rsidP="008E1B8C">
      <w:pPr>
        <w:pStyle w:val="a3"/>
        <w:widowControl/>
        <w:ind w:left="0"/>
      </w:pPr>
      <w:r w:rsidRPr="009B72B8">
        <w:t xml:space="preserve">Pacienti ve studiích I – V měli před začátkem léčby průměrné skóre aktivity ochrany (DAS28) 6,5 – 6,8. U pacientů léčených tocilizumabem bylo v porovnání s pacienty v kontrolované skupině (DAS28 1,3 – 2,1) pozorováno významné snížení (průměrné zlepšení) skóre DAS28 o 3,1 – 3,4 oproti skóre před začátkem léčby. Podíl pacientů, kteří ve 24. týdnu dosáhli klinické remise onemocnění podle </w:t>
      </w:r>
      <w:r w:rsidRPr="009B72B8">
        <w:lastRenderedPageBreak/>
        <w:t>DAS28 (DAS28 &lt; 2,6), byl významně vyšší u pacientů léčených tocilizumabem (28 – 34 %)</w:t>
      </w:r>
      <w:r w:rsidR="00AB2BD6" w:rsidRPr="009B72B8">
        <w:t xml:space="preserve"> </w:t>
      </w:r>
      <w:r w:rsidRPr="009B72B8">
        <w:t xml:space="preserve">v porovnání s 1 – 12 % pacientů v kontrolní skupině. Ve studii II 65 % pacientů dosáhlo DAS28 </w:t>
      </w:r>
      <w:r w:rsidR="008E1B8C" w:rsidRPr="009B72B8">
        <w:t>&lt;</w:t>
      </w:r>
      <w:r w:rsidRPr="009B72B8">
        <w:t xml:space="preserve"> 2,6 ve 104. týdnu, v porovnání se 48 % v 52. týdnu a 33 % pacientů ve 24. týdnu.</w:t>
      </w:r>
    </w:p>
    <w:p w14:paraId="01BC4014" w14:textId="77777777" w:rsidR="00AB2BD6" w:rsidRPr="00EE3355" w:rsidRDefault="00AB2BD6" w:rsidP="00EA1CDF">
      <w:pPr>
        <w:pStyle w:val="a3"/>
        <w:widowControl/>
        <w:ind w:left="0"/>
      </w:pPr>
    </w:p>
    <w:p w14:paraId="2DF2E0E9" w14:textId="35885F6D" w:rsidR="00222DE0" w:rsidRPr="009B72B8" w:rsidRDefault="0098273B" w:rsidP="008E1B8C">
      <w:pPr>
        <w:pStyle w:val="a3"/>
        <w:widowControl/>
        <w:ind w:left="0"/>
      </w:pPr>
      <w:r w:rsidRPr="009B72B8">
        <w:t>V souhrnných analýzách studií II, III a IV bylo procento pacientů dosahujících odpovědi dle kritérií ACR 20, 50 a 70 významně vyšší (59 % vs. 50 %, 37 % vs. 27 %, 18 % vs. 11 %) ve prospěch skupiny s tocilizumabem 8 mg/kg s DMARD vs. tocilizumab 4 mg/kg s DMARD (p</w:t>
      </w:r>
      <w:r w:rsidR="008E1B8C" w:rsidRPr="009B72B8">
        <w:t>&lt;</w:t>
      </w:r>
      <w:r w:rsidRPr="009B72B8">
        <w:t>0,03). Podobně procento pacientů dosahujících remise DAS28 (DAS28</w:t>
      </w:r>
      <w:r w:rsidR="008E1B8C" w:rsidRPr="009B72B8">
        <w:t>&lt;</w:t>
      </w:r>
      <w:r w:rsidRPr="009B72B8">
        <w:t>2,6) bylo významně vyšší (31 % vs. 16 %) u pacientů léčených tocilizumabem 8 mg/kg s DMARD než u pacientů léčených tocilizumabem 4 mg/kg</w:t>
      </w:r>
      <w:r w:rsidR="005230C6" w:rsidRPr="009B72B8">
        <w:t xml:space="preserve"> </w:t>
      </w:r>
      <w:r w:rsidRPr="009B72B8">
        <w:t>s DMARD (p</w:t>
      </w:r>
      <w:r w:rsidR="0071435F" w:rsidRPr="009B72B8">
        <w:t>&lt;</w:t>
      </w:r>
      <w:r w:rsidRPr="009B72B8">
        <w:t>0,0001).</w:t>
      </w:r>
    </w:p>
    <w:p w14:paraId="59AB137A" w14:textId="77777777" w:rsidR="00641FFD" w:rsidRPr="00EE3355" w:rsidRDefault="00641FFD" w:rsidP="00EA1CDF">
      <w:pPr>
        <w:widowControl/>
        <w:rPr>
          <w:i/>
        </w:rPr>
      </w:pPr>
    </w:p>
    <w:p w14:paraId="13170F15" w14:textId="77777777" w:rsidR="00222DE0" w:rsidRPr="00EE3355" w:rsidRDefault="0098273B" w:rsidP="00EA1CDF">
      <w:pPr>
        <w:keepNext/>
        <w:widowControl/>
        <w:rPr>
          <w:i/>
        </w:rPr>
      </w:pPr>
      <w:r w:rsidRPr="00EE3355">
        <w:rPr>
          <w:i/>
        </w:rPr>
        <w:t>Tabulka 4. Kontrolované studie, odpovědi dle ACR u placeba / MTX / DMARD (% pacientů)</w:t>
      </w:r>
    </w:p>
    <w:p w14:paraId="76AA5159" w14:textId="77777777" w:rsidR="007E0EB1" w:rsidRPr="00EE3355" w:rsidRDefault="007E0EB1" w:rsidP="00EA1CDF">
      <w:pPr>
        <w:keepNext/>
        <w:widowControl/>
        <w:rPr>
          <w:i/>
        </w:rPr>
      </w:pPr>
    </w:p>
    <w:tbl>
      <w:tblPr>
        <w:tblW w:w="907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588"/>
        <w:gridCol w:w="826"/>
        <w:gridCol w:w="14"/>
        <w:gridCol w:w="14"/>
        <w:gridCol w:w="742"/>
        <w:gridCol w:w="798"/>
        <w:gridCol w:w="784"/>
        <w:gridCol w:w="868"/>
        <w:gridCol w:w="14"/>
        <w:gridCol w:w="868"/>
        <w:gridCol w:w="14"/>
        <w:gridCol w:w="14"/>
        <w:gridCol w:w="909"/>
        <w:gridCol w:w="14"/>
        <w:gridCol w:w="910"/>
        <w:gridCol w:w="14"/>
        <w:gridCol w:w="924"/>
        <w:gridCol w:w="756"/>
      </w:tblGrid>
      <w:tr w:rsidR="00222DE0" w:rsidRPr="00EE3355" w14:paraId="10D1C07B" w14:textId="77777777" w:rsidTr="00C0205A">
        <w:trPr>
          <w:cantSplit/>
          <w:trHeight w:val="462"/>
        </w:trPr>
        <w:tc>
          <w:tcPr>
            <w:tcW w:w="588" w:type="dxa"/>
          </w:tcPr>
          <w:p w14:paraId="7EFFB06D" w14:textId="77777777" w:rsidR="00222DE0" w:rsidRPr="00EE3355" w:rsidRDefault="00222DE0" w:rsidP="00EA1CDF">
            <w:pPr>
              <w:pStyle w:val="TableParagraph"/>
              <w:keepNext/>
              <w:widowControl/>
              <w:rPr>
                <w:sz w:val="20"/>
              </w:rPr>
            </w:pPr>
          </w:p>
        </w:tc>
        <w:tc>
          <w:tcPr>
            <w:tcW w:w="1596" w:type="dxa"/>
            <w:gridSpan w:val="4"/>
          </w:tcPr>
          <w:p w14:paraId="3220316C" w14:textId="77777777" w:rsidR="00222DE0" w:rsidRPr="00EE3355" w:rsidRDefault="0098273B" w:rsidP="00EA1CDF">
            <w:pPr>
              <w:pStyle w:val="TableParagraph"/>
              <w:keepNext/>
              <w:widowControl/>
              <w:jc w:val="center"/>
              <w:rPr>
                <w:b/>
                <w:sz w:val="18"/>
              </w:rPr>
            </w:pPr>
            <w:r w:rsidRPr="00EE3355">
              <w:rPr>
                <w:b/>
                <w:sz w:val="18"/>
              </w:rPr>
              <w:t>Studie I AMBITION</w:t>
            </w:r>
          </w:p>
        </w:tc>
        <w:tc>
          <w:tcPr>
            <w:tcW w:w="1582" w:type="dxa"/>
            <w:gridSpan w:val="2"/>
          </w:tcPr>
          <w:p w14:paraId="1814BE66" w14:textId="77777777" w:rsidR="00222DE0" w:rsidRPr="00EE3355" w:rsidRDefault="0098273B" w:rsidP="00EA1CDF">
            <w:pPr>
              <w:pStyle w:val="TableParagraph"/>
              <w:keepNext/>
              <w:widowControl/>
              <w:jc w:val="center"/>
              <w:rPr>
                <w:b/>
                <w:sz w:val="18"/>
              </w:rPr>
            </w:pPr>
            <w:r w:rsidRPr="00EE3355">
              <w:rPr>
                <w:b/>
                <w:sz w:val="18"/>
              </w:rPr>
              <w:t>Studie II LITHE</w:t>
            </w:r>
          </w:p>
        </w:tc>
        <w:tc>
          <w:tcPr>
            <w:tcW w:w="1778" w:type="dxa"/>
            <w:gridSpan w:val="5"/>
          </w:tcPr>
          <w:p w14:paraId="6ED91170" w14:textId="77777777" w:rsidR="00222DE0" w:rsidRPr="00EE3355" w:rsidRDefault="0098273B" w:rsidP="00EA1CDF">
            <w:pPr>
              <w:pStyle w:val="TableParagraph"/>
              <w:keepNext/>
              <w:widowControl/>
              <w:jc w:val="center"/>
              <w:rPr>
                <w:b/>
                <w:sz w:val="18"/>
              </w:rPr>
            </w:pPr>
            <w:r w:rsidRPr="00EE3355">
              <w:rPr>
                <w:b/>
                <w:sz w:val="18"/>
              </w:rPr>
              <w:t>Studie III OPTION</w:t>
            </w:r>
          </w:p>
        </w:tc>
        <w:tc>
          <w:tcPr>
            <w:tcW w:w="1847" w:type="dxa"/>
            <w:gridSpan w:val="4"/>
          </w:tcPr>
          <w:p w14:paraId="187EF358" w14:textId="77777777" w:rsidR="00222DE0" w:rsidRPr="00EE3355" w:rsidRDefault="0098273B" w:rsidP="00EA1CDF">
            <w:pPr>
              <w:pStyle w:val="TableParagraph"/>
              <w:keepNext/>
              <w:widowControl/>
              <w:jc w:val="center"/>
              <w:rPr>
                <w:b/>
                <w:sz w:val="18"/>
              </w:rPr>
            </w:pPr>
            <w:r w:rsidRPr="00EE3355">
              <w:rPr>
                <w:b/>
                <w:sz w:val="18"/>
              </w:rPr>
              <w:t>Studie IV TOWARD</w:t>
            </w:r>
          </w:p>
        </w:tc>
        <w:tc>
          <w:tcPr>
            <w:tcW w:w="1680" w:type="dxa"/>
            <w:gridSpan w:val="2"/>
          </w:tcPr>
          <w:p w14:paraId="594A41F9" w14:textId="77777777" w:rsidR="00222DE0" w:rsidRPr="00EE3355" w:rsidRDefault="0098273B" w:rsidP="00EA1CDF">
            <w:pPr>
              <w:pStyle w:val="TableParagraph"/>
              <w:keepNext/>
              <w:widowControl/>
              <w:jc w:val="center"/>
              <w:rPr>
                <w:b/>
                <w:sz w:val="18"/>
              </w:rPr>
            </w:pPr>
            <w:r w:rsidRPr="00EE3355">
              <w:rPr>
                <w:b/>
                <w:sz w:val="18"/>
              </w:rPr>
              <w:t>Studie V RADIATE</w:t>
            </w:r>
          </w:p>
        </w:tc>
      </w:tr>
      <w:tr w:rsidR="00222DE0" w:rsidRPr="00EE3355" w14:paraId="508047CF" w14:textId="77777777" w:rsidTr="00C0205A">
        <w:trPr>
          <w:cantSplit/>
          <w:trHeight w:val="736"/>
        </w:trPr>
        <w:tc>
          <w:tcPr>
            <w:tcW w:w="588" w:type="dxa"/>
          </w:tcPr>
          <w:p w14:paraId="59D1EC0C" w14:textId="00F0A864" w:rsidR="00222DE0" w:rsidRPr="00EE3355" w:rsidRDefault="0098273B" w:rsidP="00EA1CDF">
            <w:pPr>
              <w:pStyle w:val="TableParagraph"/>
              <w:keepNext/>
              <w:widowControl/>
              <w:ind w:left="-68" w:right="-213" w:hanging="12"/>
              <w:rPr>
                <w:b/>
                <w:sz w:val="18"/>
              </w:rPr>
            </w:pPr>
            <w:r w:rsidRPr="00EE3355">
              <w:rPr>
                <w:b/>
                <w:sz w:val="18"/>
              </w:rPr>
              <w:t>Týden</w:t>
            </w:r>
          </w:p>
        </w:tc>
        <w:tc>
          <w:tcPr>
            <w:tcW w:w="854" w:type="dxa"/>
            <w:gridSpan w:val="3"/>
          </w:tcPr>
          <w:p w14:paraId="65597F7E" w14:textId="77777777" w:rsidR="00222DE0" w:rsidRPr="00EE3355" w:rsidRDefault="0098273B" w:rsidP="00EA1CDF">
            <w:pPr>
              <w:pStyle w:val="TableParagraph"/>
              <w:keepNext/>
              <w:widowControl/>
              <w:jc w:val="center"/>
              <w:rPr>
                <w:b/>
                <w:sz w:val="18"/>
              </w:rPr>
            </w:pPr>
            <w:r w:rsidRPr="00EE3355">
              <w:rPr>
                <w:b/>
                <w:sz w:val="18"/>
              </w:rPr>
              <w:t>TCZ</w:t>
            </w:r>
            <w:r w:rsidR="007E0EB1" w:rsidRPr="00EE3355">
              <w:rPr>
                <w:b/>
                <w:sz w:val="18"/>
              </w:rPr>
              <w:t xml:space="preserve"> </w:t>
            </w:r>
            <w:r w:rsidR="007E0EB1" w:rsidRPr="00EE3355">
              <w:rPr>
                <w:b/>
                <w:sz w:val="18"/>
              </w:rPr>
              <w:br/>
            </w:r>
            <w:r w:rsidRPr="00EE3355">
              <w:rPr>
                <w:b/>
                <w:sz w:val="18"/>
              </w:rPr>
              <w:t>8 mg/kg</w:t>
            </w:r>
          </w:p>
        </w:tc>
        <w:tc>
          <w:tcPr>
            <w:tcW w:w="742" w:type="dxa"/>
          </w:tcPr>
          <w:p w14:paraId="357CFDA2" w14:textId="77777777" w:rsidR="00222DE0" w:rsidRPr="00EE3355" w:rsidRDefault="0098273B" w:rsidP="00EA1CDF">
            <w:pPr>
              <w:pStyle w:val="TableParagraph"/>
              <w:keepNext/>
              <w:widowControl/>
              <w:jc w:val="center"/>
              <w:rPr>
                <w:b/>
                <w:sz w:val="18"/>
              </w:rPr>
            </w:pPr>
            <w:r w:rsidRPr="00EE3355">
              <w:rPr>
                <w:b/>
                <w:sz w:val="18"/>
              </w:rPr>
              <w:t>MTX</w:t>
            </w:r>
          </w:p>
        </w:tc>
        <w:tc>
          <w:tcPr>
            <w:tcW w:w="798" w:type="dxa"/>
          </w:tcPr>
          <w:p w14:paraId="171B092B" w14:textId="77777777" w:rsidR="00222DE0" w:rsidRPr="00EE3355" w:rsidRDefault="0098273B" w:rsidP="00EA1CDF">
            <w:pPr>
              <w:pStyle w:val="TableParagraph"/>
              <w:keepNext/>
              <w:widowControl/>
              <w:ind w:left="-91"/>
              <w:jc w:val="center"/>
              <w:rPr>
                <w:b/>
                <w:sz w:val="18"/>
              </w:rPr>
            </w:pPr>
            <w:r w:rsidRPr="00EE3355">
              <w:rPr>
                <w:b/>
                <w:sz w:val="18"/>
              </w:rPr>
              <w:t>TCZ</w:t>
            </w:r>
            <w:r w:rsidR="00A66F71" w:rsidRPr="00EE3355">
              <w:rPr>
                <w:b/>
                <w:sz w:val="18"/>
              </w:rPr>
              <w:t xml:space="preserve"> </w:t>
            </w:r>
            <w:r w:rsidRPr="00EE3355">
              <w:rPr>
                <w:b/>
                <w:sz w:val="18"/>
              </w:rPr>
              <w:t>8 mg/kg</w:t>
            </w:r>
          </w:p>
          <w:p w14:paraId="033B7DE2" w14:textId="77777777" w:rsidR="00222DE0" w:rsidRPr="00EE3355" w:rsidRDefault="0098273B" w:rsidP="00EA1CDF">
            <w:pPr>
              <w:pStyle w:val="TableParagraph"/>
              <w:keepNext/>
              <w:widowControl/>
              <w:ind w:left="-91"/>
              <w:jc w:val="center"/>
              <w:rPr>
                <w:b/>
                <w:sz w:val="18"/>
              </w:rPr>
            </w:pPr>
            <w:r w:rsidRPr="00EE3355">
              <w:rPr>
                <w:b/>
                <w:sz w:val="18"/>
              </w:rPr>
              <w:t>+ MTX</w:t>
            </w:r>
          </w:p>
        </w:tc>
        <w:tc>
          <w:tcPr>
            <w:tcW w:w="784" w:type="dxa"/>
          </w:tcPr>
          <w:p w14:paraId="1C58F09D" w14:textId="77777777" w:rsidR="00222DE0" w:rsidRPr="00EE3355" w:rsidRDefault="0098273B" w:rsidP="00EA1CDF">
            <w:pPr>
              <w:pStyle w:val="TableParagraph"/>
              <w:keepNext/>
              <w:widowControl/>
              <w:jc w:val="center"/>
              <w:rPr>
                <w:b/>
                <w:sz w:val="18"/>
              </w:rPr>
            </w:pPr>
            <w:r w:rsidRPr="00EE3355">
              <w:rPr>
                <w:b/>
                <w:sz w:val="18"/>
              </w:rPr>
              <w:t>PBO + MTX</w:t>
            </w:r>
          </w:p>
        </w:tc>
        <w:tc>
          <w:tcPr>
            <w:tcW w:w="868" w:type="dxa"/>
          </w:tcPr>
          <w:p w14:paraId="1B1382A5" w14:textId="77777777" w:rsidR="00222DE0" w:rsidRPr="00EE3355" w:rsidRDefault="0098273B" w:rsidP="00EA1CDF">
            <w:pPr>
              <w:pStyle w:val="TableParagraph"/>
              <w:keepNext/>
              <w:widowControl/>
              <w:jc w:val="center"/>
              <w:rPr>
                <w:b/>
                <w:sz w:val="18"/>
              </w:rPr>
            </w:pPr>
            <w:r w:rsidRPr="00EE3355">
              <w:rPr>
                <w:b/>
                <w:sz w:val="18"/>
              </w:rPr>
              <w:t>TCZ</w:t>
            </w:r>
            <w:r w:rsidR="00A66F71" w:rsidRPr="00EE3355">
              <w:rPr>
                <w:b/>
                <w:sz w:val="18"/>
              </w:rPr>
              <w:t xml:space="preserve"> </w:t>
            </w:r>
            <w:r w:rsidRPr="00EE3355">
              <w:rPr>
                <w:b/>
                <w:sz w:val="18"/>
              </w:rPr>
              <w:t>8 mg/kg</w:t>
            </w:r>
            <w:r w:rsidR="007E0EB1" w:rsidRPr="00EE3355">
              <w:rPr>
                <w:b/>
                <w:sz w:val="18"/>
              </w:rPr>
              <w:t xml:space="preserve"> </w:t>
            </w:r>
            <w:r w:rsidRPr="00EE3355">
              <w:rPr>
                <w:b/>
                <w:sz w:val="18"/>
              </w:rPr>
              <w:t>+ MTX</w:t>
            </w:r>
          </w:p>
        </w:tc>
        <w:tc>
          <w:tcPr>
            <w:tcW w:w="910" w:type="dxa"/>
            <w:gridSpan w:val="4"/>
          </w:tcPr>
          <w:p w14:paraId="5687A29F" w14:textId="77777777" w:rsidR="00222DE0" w:rsidRPr="00EE3355" w:rsidRDefault="0098273B" w:rsidP="00EA1CDF">
            <w:pPr>
              <w:pStyle w:val="TableParagraph"/>
              <w:keepNext/>
              <w:widowControl/>
              <w:jc w:val="center"/>
              <w:rPr>
                <w:b/>
                <w:sz w:val="18"/>
              </w:rPr>
            </w:pPr>
            <w:r w:rsidRPr="00EE3355">
              <w:rPr>
                <w:b/>
                <w:sz w:val="18"/>
              </w:rPr>
              <w:t>PBO</w:t>
            </w:r>
            <w:r w:rsidR="007E0EB1" w:rsidRPr="00EE3355">
              <w:rPr>
                <w:b/>
                <w:sz w:val="18"/>
              </w:rPr>
              <w:t xml:space="preserve"> </w:t>
            </w:r>
            <w:r w:rsidRPr="00EE3355">
              <w:rPr>
                <w:b/>
                <w:sz w:val="18"/>
              </w:rPr>
              <w:t>+ MTX</w:t>
            </w:r>
          </w:p>
        </w:tc>
        <w:tc>
          <w:tcPr>
            <w:tcW w:w="923" w:type="dxa"/>
            <w:gridSpan w:val="2"/>
          </w:tcPr>
          <w:p w14:paraId="2C768DD2" w14:textId="77777777" w:rsidR="00222DE0" w:rsidRPr="00EE3355" w:rsidRDefault="0098273B" w:rsidP="00EA1CDF">
            <w:pPr>
              <w:pStyle w:val="TableParagraph"/>
              <w:keepNext/>
              <w:widowControl/>
              <w:jc w:val="center"/>
              <w:rPr>
                <w:b/>
                <w:sz w:val="18"/>
              </w:rPr>
            </w:pPr>
            <w:r w:rsidRPr="00EE3355">
              <w:rPr>
                <w:b/>
                <w:sz w:val="18"/>
              </w:rPr>
              <w:t>TCZ</w:t>
            </w:r>
            <w:r w:rsidR="007E0EB1" w:rsidRPr="00EE3355">
              <w:rPr>
                <w:b/>
                <w:sz w:val="18"/>
              </w:rPr>
              <w:t xml:space="preserve"> </w:t>
            </w:r>
            <w:r w:rsidRPr="00EE3355">
              <w:rPr>
                <w:b/>
                <w:sz w:val="18"/>
              </w:rPr>
              <w:t>8 mg/kg + DMARD</w:t>
            </w:r>
          </w:p>
        </w:tc>
        <w:tc>
          <w:tcPr>
            <w:tcW w:w="924" w:type="dxa"/>
            <w:gridSpan w:val="2"/>
          </w:tcPr>
          <w:p w14:paraId="5B2B85E2" w14:textId="77777777" w:rsidR="00222DE0" w:rsidRPr="00EE3355" w:rsidRDefault="0098273B" w:rsidP="00EA1CDF">
            <w:pPr>
              <w:pStyle w:val="TableParagraph"/>
              <w:keepNext/>
              <w:widowControl/>
              <w:jc w:val="center"/>
              <w:rPr>
                <w:b/>
                <w:sz w:val="18"/>
              </w:rPr>
            </w:pPr>
            <w:r w:rsidRPr="00EE3355">
              <w:rPr>
                <w:b/>
                <w:sz w:val="18"/>
              </w:rPr>
              <w:t>PBO + DMARD</w:t>
            </w:r>
          </w:p>
        </w:tc>
        <w:tc>
          <w:tcPr>
            <w:tcW w:w="924" w:type="dxa"/>
          </w:tcPr>
          <w:p w14:paraId="2FBC0BB7" w14:textId="77777777" w:rsidR="00222DE0" w:rsidRPr="00EE3355" w:rsidRDefault="0098273B" w:rsidP="00EA1CDF">
            <w:pPr>
              <w:pStyle w:val="TableParagraph"/>
              <w:keepNext/>
              <w:widowControl/>
              <w:jc w:val="center"/>
              <w:rPr>
                <w:b/>
                <w:sz w:val="18"/>
              </w:rPr>
            </w:pPr>
            <w:r w:rsidRPr="00EE3355">
              <w:rPr>
                <w:b/>
                <w:sz w:val="18"/>
              </w:rPr>
              <w:t>TCZ</w:t>
            </w:r>
            <w:r w:rsidR="007E0EB1" w:rsidRPr="00EE3355">
              <w:rPr>
                <w:b/>
                <w:sz w:val="18"/>
              </w:rPr>
              <w:t xml:space="preserve"> </w:t>
            </w:r>
            <w:r w:rsidRPr="00EE3355">
              <w:rPr>
                <w:b/>
                <w:sz w:val="18"/>
              </w:rPr>
              <w:t>8 mg/kg</w:t>
            </w:r>
          </w:p>
          <w:p w14:paraId="5C1A3270" w14:textId="77777777" w:rsidR="00222DE0" w:rsidRPr="00EE3355" w:rsidRDefault="0098273B" w:rsidP="00EA1CDF">
            <w:pPr>
              <w:pStyle w:val="TableParagraph"/>
              <w:keepNext/>
              <w:widowControl/>
              <w:jc w:val="center"/>
              <w:rPr>
                <w:b/>
                <w:sz w:val="18"/>
              </w:rPr>
            </w:pPr>
            <w:r w:rsidRPr="00EE3355">
              <w:rPr>
                <w:b/>
                <w:sz w:val="18"/>
              </w:rPr>
              <w:t>+ MTX</w:t>
            </w:r>
          </w:p>
        </w:tc>
        <w:tc>
          <w:tcPr>
            <w:tcW w:w="756" w:type="dxa"/>
          </w:tcPr>
          <w:p w14:paraId="740DCD0C" w14:textId="77777777" w:rsidR="00222DE0" w:rsidRPr="00EE3355" w:rsidRDefault="0098273B" w:rsidP="00EA1CDF">
            <w:pPr>
              <w:pStyle w:val="TableParagraph"/>
              <w:keepNext/>
              <w:widowControl/>
              <w:jc w:val="center"/>
              <w:rPr>
                <w:b/>
                <w:sz w:val="18"/>
              </w:rPr>
            </w:pPr>
            <w:r w:rsidRPr="00EE3355">
              <w:rPr>
                <w:b/>
                <w:sz w:val="18"/>
              </w:rPr>
              <w:t>PBO + MTX</w:t>
            </w:r>
          </w:p>
        </w:tc>
      </w:tr>
      <w:tr w:rsidR="00222DE0" w:rsidRPr="00EE3355" w14:paraId="6687C580" w14:textId="77777777" w:rsidTr="005230C6">
        <w:trPr>
          <w:cantSplit/>
          <w:trHeight w:val="256"/>
        </w:trPr>
        <w:tc>
          <w:tcPr>
            <w:tcW w:w="588" w:type="dxa"/>
          </w:tcPr>
          <w:p w14:paraId="644FB32D" w14:textId="77777777" w:rsidR="00222DE0" w:rsidRPr="00EE3355" w:rsidRDefault="00222DE0" w:rsidP="00EA1CDF">
            <w:pPr>
              <w:pStyle w:val="TableParagraph"/>
              <w:widowControl/>
              <w:rPr>
                <w:sz w:val="20"/>
              </w:rPr>
            </w:pPr>
          </w:p>
        </w:tc>
        <w:tc>
          <w:tcPr>
            <w:tcW w:w="854" w:type="dxa"/>
            <w:gridSpan w:val="3"/>
          </w:tcPr>
          <w:p w14:paraId="6099C386" w14:textId="77777777" w:rsidR="00222DE0" w:rsidRPr="00EE3355" w:rsidRDefault="0098273B" w:rsidP="00EA1CDF">
            <w:pPr>
              <w:pStyle w:val="TableParagraph"/>
              <w:widowControl/>
              <w:jc w:val="center"/>
              <w:rPr>
                <w:b/>
                <w:sz w:val="18"/>
              </w:rPr>
            </w:pPr>
            <w:r w:rsidRPr="00EE3355">
              <w:rPr>
                <w:b/>
                <w:sz w:val="18"/>
              </w:rPr>
              <w:t>n = 286</w:t>
            </w:r>
          </w:p>
        </w:tc>
        <w:tc>
          <w:tcPr>
            <w:tcW w:w="742" w:type="dxa"/>
          </w:tcPr>
          <w:p w14:paraId="05EEE764" w14:textId="77777777" w:rsidR="00222DE0" w:rsidRPr="00EE3355" w:rsidRDefault="0098273B" w:rsidP="00EA1CDF">
            <w:pPr>
              <w:pStyle w:val="TableParagraph"/>
              <w:widowControl/>
              <w:ind w:right="-97"/>
              <w:rPr>
                <w:b/>
                <w:sz w:val="18"/>
              </w:rPr>
            </w:pPr>
            <w:r w:rsidRPr="00EE3355">
              <w:rPr>
                <w:b/>
                <w:sz w:val="18"/>
              </w:rPr>
              <w:t>n = 284</w:t>
            </w:r>
          </w:p>
        </w:tc>
        <w:tc>
          <w:tcPr>
            <w:tcW w:w="798" w:type="dxa"/>
          </w:tcPr>
          <w:p w14:paraId="392F9689" w14:textId="77777777" w:rsidR="00222DE0" w:rsidRPr="00EE3355" w:rsidRDefault="0098273B" w:rsidP="00EA1CDF">
            <w:pPr>
              <w:pStyle w:val="TableParagraph"/>
              <w:widowControl/>
              <w:jc w:val="center"/>
              <w:rPr>
                <w:b/>
                <w:sz w:val="18"/>
              </w:rPr>
            </w:pPr>
            <w:r w:rsidRPr="00EE3355">
              <w:rPr>
                <w:b/>
                <w:sz w:val="18"/>
              </w:rPr>
              <w:t>n = 398</w:t>
            </w:r>
          </w:p>
        </w:tc>
        <w:tc>
          <w:tcPr>
            <w:tcW w:w="784" w:type="dxa"/>
          </w:tcPr>
          <w:p w14:paraId="71AEC9E0" w14:textId="77777777" w:rsidR="00222DE0" w:rsidRPr="00EE3355" w:rsidRDefault="0098273B" w:rsidP="00EA1CDF">
            <w:pPr>
              <w:pStyle w:val="TableParagraph"/>
              <w:widowControl/>
              <w:jc w:val="center"/>
              <w:rPr>
                <w:b/>
                <w:sz w:val="18"/>
              </w:rPr>
            </w:pPr>
            <w:r w:rsidRPr="00EE3355">
              <w:rPr>
                <w:b/>
                <w:sz w:val="18"/>
              </w:rPr>
              <w:t>n = 393</w:t>
            </w:r>
          </w:p>
        </w:tc>
        <w:tc>
          <w:tcPr>
            <w:tcW w:w="868" w:type="dxa"/>
          </w:tcPr>
          <w:p w14:paraId="59839AD9" w14:textId="77777777" w:rsidR="00222DE0" w:rsidRPr="00EE3355" w:rsidRDefault="0098273B" w:rsidP="00EA1CDF">
            <w:pPr>
              <w:pStyle w:val="TableParagraph"/>
              <w:widowControl/>
              <w:jc w:val="center"/>
              <w:rPr>
                <w:b/>
                <w:sz w:val="18"/>
              </w:rPr>
            </w:pPr>
            <w:r w:rsidRPr="00EE3355">
              <w:rPr>
                <w:b/>
                <w:sz w:val="18"/>
              </w:rPr>
              <w:t>n = 205</w:t>
            </w:r>
          </w:p>
        </w:tc>
        <w:tc>
          <w:tcPr>
            <w:tcW w:w="910" w:type="dxa"/>
            <w:gridSpan w:val="4"/>
          </w:tcPr>
          <w:p w14:paraId="28D85611" w14:textId="77777777" w:rsidR="00222DE0" w:rsidRPr="00EE3355" w:rsidRDefault="0098273B" w:rsidP="00EA1CDF">
            <w:pPr>
              <w:pStyle w:val="TableParagraph"/>
              <w:widowControl/>
              <w:jc w:val="center"/>
              <w:rPr>
                <w:b/>
                <w:sz w:val="18"/>
              </w:rPr>
            </w:pPr>
            <w:r w:rsidRPr="00EE3355">
              <w:rPr>
                <w:b/>
                <w:sz w:val="18"/>
              </w:rPr>
              <w:t>n = 204</w:t>
            </w:r>
          </w:p>
        </w:tc>
        <w:tc>
          <w:tcPr>
            <w:tcW w:w="923" w:type="dxa"/>
            <w:gridSpan w:val="2"/>
          </w:tcPr>
          <w:p w14:paraId="0E6A9ED9" w14:textId="77777777" w:rsidR="00222DE0" w:rsidRPr="00EE3355" w:rsidRDefault="0098273B" w:rsidP="00EA1CDF">
            <w:pPr>
              <w:pStyle w:val="TableParagraph"/>
              <w:widowControl/>
              <w:jc w:val="center"/>
              <w:rPr>
                <w:b/>
                <w:sz w:val="18"/>
              </w:rPr>
            </w:pPr>
            <w:r w:rsidRPr="00EE3355">
              <w:rPr>
                <w:b/>
                <w:sz w:val="18"/>
              </w:rPr>
              <w:t>n = 803</w:t>
            </w:r>
          </w:p>
        </w:tc>
        <w:tc>
          <w:tcPr>
            <w:tcW w:w="924" w:type="dxa"/>
            <w:gridSpan w:val="2"/>
          </w:tcPr>
          <w:p w14:paraId="2B5CA80D" w14:textId="77777777" w:rsidR="00222DE0" w:rsidRPr="00EE3355" w:rsidRDefault="0098273B" w:rsidP="00EA1CDF">
            <w:pPr>
              <w:pStyle w:val="TableParagraph"/>
              <w:widowControl/>
              <w:jc w:val="center"/>
              <w:rPr>
                <w:b/>
                <w:sz w:val="18"/>
              </w:rPr>
            </w:pPr>
            <w:r w:rsidRPr="00EE3355">
              <w:rPr>
                <w:b/>
                <w:sz w:val="18"/>
              </w:rPr>
              <w:t>n = 413</w:t>
            </w:r>
          </w:p>
        </w:tc>
        <w:tc>
          <w:tcPr>
            <w:tcW w:w="924" w:type="dxa"/>
          </w:tcPr>
          <w:p w14:paraId="1CA7BD90" w14:textId="77777777" w:rsidR="00222DE0" w:rsidRPr="00EE3355" w:rsidRDefault="0098273B" w:rsidP="00EA1CDF">
            <w:pPr>
              <w:pStyle w:val="TableParagraph"/>
              <w:widowControl/>
              <w:jc w:val="center"/>
              <w:rPr>
                <w:b/>
                <w:sz w:val="18"/>
              </w:rPr>
            </w:pPr>
            <w:r w:rsidRPr="00EE3355">
              <w:rPr>
                <w:b/>
                <w:sz w:val="18"/>
              </w:rPr>
              <w:t>n = 170</w:t>
            </w:r>
          </w:p>
        </w:tc>
        <w:tc>
          <w:tcPr>
            <w:tcW w:w="756" w:type="dxa"/>
          </w:tcPr>
          <w:p w14:paraId="6A1FF1AF" w14:textId="77777777" w:rsidR="00222DE0" w:rsidRPr="00EE3355" w:rsidRDefault="0098273B" w:rsidP="00EA1CDF">
            <w:pPr>
              <w:pStyle w:val="TableParagraph"/>
              <w:widowControl/>
              <w:ind w:left="-122" w:right="-52"/>
              <w:jc w:val="center"/>
              <w:rPr>
                <w:b/>
                <w:sz w:val="18"/>
              </w:rPr>
            </w:pPr>
            <w:r w:rsidRPr="00EE3355">
              <w:rPr>
                <w:b/>
                <w:sz w:val="18"/>
              </w:rPr>
              <w:t>n = 158</w:t>
            </w:r>
          </w:p>
        </w:tc>
      </w:tr>
      <w:tr w:rsidR="00222DE0" w:rsidRPr="00EE3355" w14:paraId="72FC81FA" w14:textId="77777777" w:rsidTr="00C0205A">
        <w:trPr>
          <w:cantSplit/>
          <w:trHeight w:val="208"/>
        </w:trPr>
        <w:tc>
          <w:tcPr>
            <w:tcW w:w="9071" w:type="dxa"/>
            <w:gridSpan w:val="18"/>
          </w:tcPr>
          <w:p w14:paraId="01B0B42B" w14:textId="77777777" w:rsidR="00222DE0" w:rsidRPr="00EE3355" w:rsidRDefault="0098273B" w:rsidP="00EA1CDF">
            <w:pPr>
              <w:pStyle w:val="TableParagraph"/>
              <w:widowControl/>
              <w:jc w:val="center"/>
              <w:rPr>
                <w:b/>
                <w:sz w:val="18"/>
              </w:rPr>
            </w:pPr>
            <w:r w:rsidRPr="00EE3355">
              <w:rPr>
                <w:b/>
                <w:sz w:val="18"/>
              </w:rPr>
              <w:t>ACR 20</w:t>
            </w:r>
          </w:p>
        </w:tc>
      </w:tr>
      <w:tr w:rsidR="00222DE0" w:rsidRPr="00EE3355" w14:paraId="243DA369" w14:textId="77777777" w:rsidTr="00C0205A">
        <w:trPr>
          <w:cantSplit/>
          <w:trHeight w:val="205"/>
        </w:trPr>
        <w:tc>
          <w:tcPr>
            <w:tcW w:w="588" w:type="dxa"/>
          </w:tcPr>
          <w:p w14:paraId="5C13420A" w14:textId="77777777" w:rsidR="00222DE0" w:rsidRPr="00EE3355" w:rsidRDefault="0098273B" w:rsidP="00EA1CDF">
            <w:pPr>
              <w:pStyle w:val="TableParagraph"/>
              <w:widowControl/>
              <w:jc w:val="center"/>
              <w:rPr>
                <w:sz w:val="18"/>
              </w:rPr>
            </w:pPr>
            <w:r w:rsidRPr="00EE3355">
              <w:rPr>
                <w:sz w:val="18"/>
              </w:rPr>
              <w:t>24</w:t>
            </w:r>
          </w:p>
        </w:tc>
        <w:tc>
          <w:tcPr>
            <w:tcW w:w="854" w:type="dxa"/>
            <w:gridSpan w:val="3"/>
          </w:tcPr>
          <w:p w14:paraId="69D971E4" w14:textId="77777777" w:rsidR="00222DE0" w:rsidRPr="00EE3355" w:rsidRDefault="0098273B" w:rsidP="00EA1CDF">
            <w:pPr>
              <w:pStyle w:val="TableParagraph"/>
              <w:widowControl/>
              <w:ind w:left="-143" w:right="-70"/>
              <w:jc w:val="center"/>
              <w:rPr>
                <w:sz w:val="18"/>
              </w:rPr>
            </w:pPr>
            <w:r w:rsidRPr="00EE3355">
              <w:rPr>
                <w:sz w:val="18"/>
              </w:rPr>
              <w:t>70 %***</w:t>
            </w:r>
          </w:p>
        </w:tc>
        <w:tc>
          <w:tcPr>
            <w:tcW w:w="742" w:type="dxa"/>
          </w:tcPr>
          <w:p w14:paraId="55F3261F" w14:textId="77777777" w:rsidR="00222DE0" w:rsidRPr="00EE3355" w:rsidRDefault="0098273B" w:rsidP="00EA1CDF">
            <w:pPr>
              <w:pStyle w:val="TableParagraph"/>
              <w:widowControl/>
              <w:jc w:val="center"/>
              <w:rPr>
                <w:sz w:val="18"/>
              </w:rPr>
            </w:pPr>
            <w:r w:rsidRPr="00EE3355">
              <w:rPr>
                <w:sz w:val="18"/>
              </w:rPr>
              <w:t>52 %</w:t>
            </w:r>
          </w:p>
        </w:tc>
        <w:tc>
          <w:tcPr>
            <w:tcW w:w="798" w:type="dxa"/>
          </w:tcPr>
          <w:p w14:paraId="6C0A5B7C" w14:textId="77777777" w:rsidR="00222DE0" w:rsidRPr="00EE3355" w:rsidRDefault="0098273B" w:rsidP="00EA1CDF">
            <w:pPr>
              <w:pStyle w:val="TableParagraph"/>
              <w:widowControl/>
              <w:ind w:left="-108" w:right="-89" w:hanging="71"/>
              <w:jc w:val="center"/>
              <w:rPr>
                <w:sz w:val="18"/>
              </w:rPr>
            </w:pPr>
            <w:r w:rsidRPr="00EE3355">
              <w:rPr>
                <w:sz w:val="18"/>
              </w:rPr>
              <w:t>56 %***</w:t>
            </w:r>
          </w:p>
        </w:tc>
        <w:tc>
          <w:tcPr>
            <w:tcW w:w="784" w:type="dxa"/>
          </w:tcPr>
          <w:p w14:paraId="64649749" w14:textId="77777777" w:rsidR="00222DE0" w:rsidRPr="00EE3355" w:rsidRDefault="0098273B" w:rsidP="00EA1CDF">
            <w:pPr>
              <w:pStyle w:val="TableParagraph"/>
              <w:widowControl/>
              <w:jc w:val="center"/>
              <w:rPr>
                <w:sz w:val="18"/>
              </w:rPr>
            </w:pPr>
            <w:r w:rsidRPr="00EE3355">
              <w:rPr>
                <w:sz w:val="18"/>
              </w:rPr>
              <w:t>27 %</w:t>
            </w:r>
          </w:p>
        </w:tc>
        <w:tc>
          <w:tcPr>
            <w:tcW w:w="868" w:type="dxa"/>
          </w:tcPr>
          <w:p w14:paraId="020CB373" w14:textId="77777777" w:rsidR="00222DE0" w:rsidRPr="00EE3355" w:rsidRDefault="0098273B" w:rsidP="00EA1CDF">
            <w:pPr>
              <w:pStyle w:val="TableParagraph"/>
              <w:widowControl/>
              <w:jc w:val="center"/>
              <w:rPr>
                <w:sz w:val="18"/>
              </w:rPr>
            </w:pPr>
            <w:r w:rsidRPr="00EE3355">
              <w:rPr>
                <w:sz w:val="18"/>
              </w:rPr>
              <w:t>59 %***</w:t>
            </w:r>
          </w:p>
        </w:tc>
        <w:tc>
          <w:tcPr>
            <w:tcW w:w="910" w:type="dxa"/>
            <w:gridSpan w:val="4"/>
          </w:tcPr>
          <w:p w14:paraId="3C4CF3C8" w14:textId="77777777" w:rsidR="00222DE0" w:rsidRPr="00EE3355" w:rsidRDefault="0098273B" w:rsidP="00EA1CDF">
            <w:pPr>
              <w:pStyle w:val="TableParagraph"/>
              <w:widowControl/>
              <w:jc w:val="center"/>
              <w:rPr>
                <w:sz w:val="18"/>
              </w:rPr>
            </w:pPr>
            <w:r w:rsidRPr="00EE3355">
              <w:rPr>
                <w:sz w:val="18"/>
              </w:rPr>
              <w:t>26 %</w:t>
            </w:r>
          </w:p>
        </w:tc>
        <w:tc>
          <w:tcPr>
            <w:tcW w:w="923" w:type="dxa"/>
            <w:gridSpan w:val="2"/>
          </w:tcPr>
          <w:p w14:paraId="6F31118D" w14:textId="77777777" w:rsidR="00222DE0" w:rsidRPr="00EE3355" w:rsidRDefault="0098273B" w:rsidP="00EA1CDF">
            <w:pPr>
              <w:pStyle w:val="TableParagraph"/>
              <w:widowControl/>
              <w:jc w:val="center"/>
              <w:rPr>
                <w:sz w:val="18"/>
              </w:rPr>
            </w:pPr>
            <w:r w:rsidRPr="00EE3355">
              <w:rPr>
                <w:sz w:val="18"/>
              </w:rPr>
              <w:t>61 %***</w:t>
            </w:r>
          </w:p>
        </w:tc>
        <w:tc>
          <w:tcPr>
            <w:tcW w:w="924" w:type="dxa"/>
            <w:gridSpan w:val="2"/>
          </w:tcPr>
          <w:p w14:paraId="487B5385" w14:textId="77777777" w:rsidR="00222DE0" w:rsidRPr="00EE3355" w:rsidRDefault="0098273B" w:rsidP="00EA1CDF">
            <w:pPr>
              <w:pStyle w:val="TableParagraph"/>
              <w:widowControl/>
              <w:jc w:val="center"/>
              <w:rPr>
                <w:sz w:val="18"/>
              </w:rPr>
            </w:pPr>
            <w:r w:rsidRPr="00EE3355">
              <w:rPr>
                <w:sz w:val="18"/>
              </w:rPr>
              <w:t>24 %</w:t>
            </w:r>
          </w:p>
        </w:tc>
        <w:tc>
          <w:tcPr>
            <w:tcW w:w="924" w:type="dxa"/>
          </w:tcPr>
          <w:p w14:paraId="3E3FF48D" w14:textId="77777777" w:rsidR="00222DE0" w:rsidRPr="00EE3355" w:rsidRDefault="0098273B" w:rsidP="00EA1CDF">
            <w:pPr>
              <w:pStyle w:val="TableParagraph"/>
              <w:widowControl/>
              <w:jc w:val="center"/>
              <w:rPr>
                <w:sz w:val="18"/>
              </w:rPr>
            </w:pPr>
            <w:r w:rsidRPr="00EE3355">
              <w:rPr>
                <w:sz w:val="18"/>
              </w:rPr>
              <w:t>50 %***</w:t>
            </w:r>
          </w:p>
        </w:tc>
        <w:tc>
          <w:tcPr>
            <w:tcW w:w="756" w:type="dxa"/>
          </w:tcPr>
          <w:p w14:paraId="369599E4" w14:textId="77777777" w:rsidR="00222DE0" w:rsidRPr="00EE3355" w:rsidRDefault="0098273B" w:rsidP="00EA1CDF">
            <w:pPr>
              <w:pStyle w:val="TableParagraph"/>
              <w:widowControl/>
              <w:jc w:val="center"/>
              <w:rPr>
                <w:sz w:val="18"/>
              </w:rPr>
            </w:pPr>
            <w:r w:rsidRPr="00EE3355">
              <w:rPr>
                <w:sz w:val="18"/>
              </w:rPr>
              <w:t>10 %</w:t>
            </w:r>
          </w:p>
        </w:tc>
      </w:tr>
      <w:tr w:rsidR="00222DE0" w:rsidRPr="00EE3355" w14:paraId="592CB000" w14:textId="77777777" w:rsidTr="00C0205A">
        <w:trPr>
          <w:cantSplit/>
          <w:trHeight w:val="208"/>
        </w:trPr>
        <w:tc>
          <w:tcPr>
            <w:tcW w:w="588" w:type="dxa"/>
          </w:tcPr>
          <w:p w14:paraId="6BB2B5FA" w14:textId="77777777" w:rsidR="00222DE0" w:rsidRPr="00EE3355" w:rsidRDefault="0098273B" w:rsidP="00EA1CDF">
            <w:pPr>
              <w:pStyle w:val="TableParagraph"/>
              <w:widowControl/>
              <w:jc w:val="center"/>
              <w:rPr>
                <w:sz w:val="18"/>
              </w:rPr>
            </w:pPr>
            <w:r w:rsidRPr="00EE3355">
              <w:rPr>
                <w:sz w:val="18"/>
              </w:rPr>
              <w:t>52</w:t>
            </w:r>
          </w:p>
        </w:tc>
        <w:tc>
          <w:tcPr>
            <w:tcW w:w="854" w:type="dxa"/>
            <w:gridSpan w:val="3"/>
          </w:tcPr>
          <w:p w14:paraId="41FC38EC" w14:textId="77777777" w:rsidR="00222DE0" w:rsidRPr="00EE3355" w:rsidRDefault="00222DE0" w:rsidP="00EA1CDF">
            <w:pPr>
              <w:pStyle w:val="TableParagraph"/>
              <w:widowControl/>
              <w:rPr>
                <w:sz w:val="14"/>
              </w:rPr>
            </w:pPr>
          </w:p>
        </w:tc>
        <w:tc>
          <w:tcPr>
            <w:tcW w:w="742" w:type="dxa"/>
          </w:tcPr>
          <w:p w14:paraId="04208E61" w14:textId="77777777" w:rsidR="00222DE0" w:rsidRPr="00EE3355" w:rsidRDefault="00222DE0" w:rsidP="00EA1CDF">
            <w:pPr>
              <w:pStyle w:val="TableParagraph"/>
              <w:widowControl/>
              <w:rPr>
                <w:sz w:val="14"/>
              </w:rPr>
            </w:pPr>
          </w:p>
        </w:tc>
        <w:tc>
          <w:tcPr>
            <w:tcW w:w="798" w:type="dxa"/>
          </w:tcPr>
          <w:p w14:paraId="7002CE24" w14:textId="77777777" w:rsidR="00222DE0" w:rsidRPr="00EE3355" w:rsidRDefault="0098273B" w:rsidP="00EA1CDF">
            <w:pPr>
              <w:pStyle w:val="TableParagraph"/>
              <w:widowControl/>
              <w:ind w:left="-108" w:right="-89"/>
              <w:jc w:val="center"/>
              <w:rPr>
                <w:sz w:val="18"/>
              </w:rPr>
            </w:pPr>
            <w:r w:rsidRPr="00EE3355">
              <w:rPr>
                <w:sz w:val="18"/>
              </w:rPr>
              <w:t>56 %***</w:t>
            </w:r>
          </w:p>
        </w:tc>
        <w:tc>
          <w:tcPr>
            <w:tcW w:w="784" w:type="dxa"/>
          </w:tcPr>
          <w:p w14:paraId="36AB300B" w14:textId="77777777" w:rsidR="00222DE0" w:rsidRPr="00EE3355" w:rsidRDefault="0098273B" w:rsidP="00EA1CDF">
            <w:pPr>
              <w:pStyle w:val="TableParagraph"/>
              <w:widowControl/>
              <w:jc w:val="center"/>
              <w:rPr>
                <w:sz w:val="18"/>
              </w:rPr>
            </w:pPr>
            <w:r w:rsidRPr="00EE3355">
              <w:rPr>
                <w:sz w:val="18"/>
              </w:rPr>
              <w:t>25 %</w:t>
            </w:r>
          </w:p>
        </w:tc>
        <w:tc>
          <w:tcPr>
            <w:tcW w:w="868" w:type="dxa"/>
          </w:tcPr>
          <w:p w14:paraId="605EDE4D" w14:textId="77777777" w:rsidR="00222DE0" w:rsidRPr="00EE3355" w:rsidRDefault="00222DE0" w:rsidP="00EA1CDF">
            <w:pPr>
              <w:pStyle w:val="TableParagraph"/>
              <w:widowControl/>
              <w:rPr>
                <w:sz w:val="14"/>
              </w:rPr>
            </w:pPr>
          </w:p>
        </w:tc>
        <w:tc>
          <w:tcPr>
            <w:tcW w:w="910" w:type="dxa"/>
            <w:gridSpan w:val="4"/>
          </w:tcPr>
          <w:p w14:paraId="328314AD" w14:textId="77777777" w:rsidR="00222DE0" w:rsidRPr="00EE3355" w:rsidRDefault="00222DE0" w:rsidP="00EA1CDF">
            <w:pPr>
              <w:pStyle w:val="TableParagraph"/>
              <w:widowControl/>
              <w:rPr>
                <w:sz w:val="14"/>
              </w:rPr>
            </w:pPr>
          </w:p>
        </w:tc>
        <w:tc>
          <w:tcPr>
            <w:tcW w:w="923" w:type="dxa"/>
            <w:gridSpan w:val="2"/>
          </w:tcPr>
          <w:p w14:paraId="69BD0F7B" w14:textId="77777777" w:rsidR="00222DE0" w:rsidRPr="00EE3355" w:rsidRDefault="00222DE0" w:rsidP="00EA1CDF">
            <w:pPr>
              <w:pStyle w:val="TableParagraph"/>
              <w:widowControl/>
              <w:rPr>
                <w:sz w:val="14"/>
              </w:rPr>
            </w:pPr>
          </w:p>
        </w:tc>
        <w:tc>
          <w:tcPr>
            <w:tcW w:w="924" w:type="dxa"/>
            <w:gridSpan w:val="2"/>
          </w:tcPr>
          <w:p w14:paraId="1507CB56" w14:textId="77777777" w:rsidR="00222DE0" w:rsidRPr="00EE3355" w:rsidRDefault="00222DE0" w:rsidP="00EA1CDF">
            <w:pPr>
              <w:pStyle w:val="TableParagraph"/>
              <w:widowControl/>
              <w:rPr>
                <w:sz w:val="14"/>
              </w:rPr>
            </w:pPr>
          </w:p>
        </w:tc>
        <w:tc>
          <w:tcPr>
            <w:tcW w:w="924" w:type="dxa"/>
          </w:tcPr>
          <w:p w14:paraId="67105A10" w14:textId="77777777" w:rsidR="00222DE0" w:rsidRPr="00EE3355" w:rsidRDefault="00222DE0" w:rsidP="00EA1CDF">
            <w:pPr>
              <w:pStyle w:val="TableParagraph"/>
              <w:widowControl/>
              <w:rPr>
                <w:sz w:val="14"/>
              </w:rPr>
            </w:pPr>
          </w:p>
        </w:tc>
        <w:tc>
          <w:tcPr>
            <w:tcW w:w="756" w:type="dxa"/>
          </w:tcPr>
          <w:p w14:paraId="795BFE03" w14:textId="77777777" w:rsidR="00222DE0" w:rsidRPr="00EE3355" w:rsidRDefault="00222DE0" w:rsidP="00EA1CDF">
            <w:pPr>
              <w:pStyle w:val="TableParagraph"/>
              <w:widowControl/>
              <w:rPr>
                <w:sz w:val="14"/>
              </w:rPr>
            </w:pPr>
          </w:p>
        </w:tc>
      </w:tr>
      <w:tr w:rsidR="00222DE0" w:rsidRPr="00EE3355" w14:paraId="2A9AFD31" w14:textId="77777777" w:rsidTr="00C0205A">
        <w:trPr>
          <w:cantSplit/>
          <w:trHeight w:val="206"/>
        </w:trPr>
        <w:tc>
          <w:tcPr>
            <w:tcW w:w="9071" w:type="dxa"/>
            <w:gridSpan w:val="18"/>
          </w:tcPr>
          <w:p w14:paraId="2268D408" w14:textId="77777777" w:rsidR="00222DE0" w:rsidRPr="00EE3355" w:rsidRDefault="0098273B" w:rsidP="00EA1CDF">
            <w:pPr>
              <w:pStyle w:val="TableParagraph"/>
              <w:widowControl/>
              <w:jc w:val="center"/>
              <w:rPr>
                <w:b/>
                <w:sz w:val="18"/>
              </w:rPr>
            </w:pPr>
            <w:r w:rsidRPr="00EE3355">
              <w:rPr>
                <w:b/>
                <w:sz w:val="18"/>
              </w:rPr>
              <w:t>ACR 50</w:t>
            </w:r>
          </w:p>
        </w:tc>
      </w:tr>
      <w:tr w:rsidR="00222DE0" w:rsidRPr="00EE3355" w14:paraId="234C162A" w14:textId="77777777" w:rsidTr="00C0205A">
        <w:trPr>
          <w:cantSplit/>
          <w:trHeight w:val="208"/>
        </w:trPr>
        <w:tc>
          <w:tcPr>
            <w:tcW w:w="588" w:type="dxa"/>
          </w:tcPr>
          <w:p w14:paraId="16F002D1" w14:textId="77777777" w:rsidR="00222DE0" w:rsidRPr="00EE3355" w:rsidRDefault="0098273B" w:rsidP="00EA1CDF">
            <w:pPr>
              <w:pStyle w:val="TableParagraph"/>
              <w:widowControl/>
              <w:jc w:val="center"/>
              <w:rPr>
                <w:sz w:val="18"/>
              </w:rPr>
            </w:pPr>
            <w:r w:rsidRPr="00EE3355">
              <w:rPr>
                <w:sz w:val="18"/>
              </w:rPr>
              <w:t>24</w:t>
            </w:r>
          </w:p>
        </w:tc>
        <w:tc>
          <w:tcPr>
            <w:tcW w:w="840" w:type="dxa"/>
            <w:gridSpan w:val="2"/>
          </w:tcPr>
          <w:p w14:paraId="10A8C061" w14:textId="77777777" w:rsidR="00222DE0" w:rsidRPr="00EE3355" w:rsidRDefault="0098273B" w:rsidP="00EA1CDF">
            <w:pPr>
              <w:pStyle w:val="TableParagraph"/>
              <w:widowControl/>
              <w:jc w:val="center"/>
              <w:rPr>
                <w:sz w:val="18"/>
              </w:rPr>
            </w:pPr>
            <w:r w:rsidRPr="00EE3355">
              <w:rPr>
                <w:sz w:val="18"/>
              </w:rPr>
              <w:t>44 %**</w:t>
            </w:r>
          </w:p>
        </w:tc>
        <w:tc>
          <w:tcPr>
            <w:tcW w:w="756" w:type="dxa"/>
            <w:gridSpan w:val="2"/>
          </w:tcPr>
          <w:p w14:paraId="34E90269" w14:textId="77777777" w:rsidR="00222DE0" w:rsidRPr="00EE3355" w:rsidRDefault="0098273B" w:rsidP="00EA1CDF">
            <w:pPr>
              <w:pStyle w:val="TableParagraph"/>
              <w:widowControl/>
              <w:jc w:val="center"/>
              <w:rPr>
                <w:sz w:val="18"/>
              </w:rPr>
            </w:pPr>
            <w:r w:rsidRPr="00EE3355">
              <w:rPr>
                <w:sz w:val="18"/>
              </w:rPr>
              <w:t>33 %</w:t>
            </w:r>
          </w:p>
        </w:tc>
        <w:tc>
          <w:tcPr>
            <w:tcW w:w="798" w:type="dxa"/>
          </w:tcPr>
          <w:p w14:paraId="6A0E4052" w14:textId="77777777" w:rsidR="00222DE0" w:rsidRPr="00EE3355" w:rsidRDefault="0098273B" w:rsidP="00EA1CDF">
            <w:pPr>
              <w:pStyle w:val="TableParagraph"/>
              <w:widowControl/>
              <w:ind w:left="-94" w:right="-89" w:firstLine="56"/>
              <w:jc w:val="center"/>
              <w:rPr>
                <w:sz w:val="18"/>
              </w:rPr>
            </w:pPr>
            <w:r w:rsidRPr="00EE3355">
              <w:rPr>
                <w:sz w:val="18"/>
              </w:rPr>
              <w:t>32 %***</w:t>
            </w:r>
          </w:p>
        </w:tc>
        <w:tc>
          <w:tcPr>
            <w:tcW w:w="784" w:type="dxa"/>
          </w:tcPr>
          <w:p w14:paraId="3FC68340" w14:textId="77777777" w:rsidR="00222DE0" w:rsidRPr="00EE3355" w:rsidRDefault="0098273B" w:rsidP="00EA1CDF">
            <w:pPr>
              <w:pStyle w:val="TableParagraph"/>
              <w:widowControl/>
              <w:jc w:val="center"/>
              <w:rPr>
                <w:sz w:val="18"/>
              </w:rPr>
            </w:pPr>
            <w:r w:rsidRPr="00EE3355">
              <w:rPr>
                <w:sz w:val="18"/>
              </w:rPr>
              <w:t>10 %</w:t>
            </w:r>
          </w:p>
        </w:tc>
        <w:tc>
          <w:tcPr>
            <w:tcW w:w="882" w:type="dxa"/>
            <w:gridSpan w:val="2"/>
          </w:tcPr>
          <w:p w14:paraId="3DA5F296" w14:textId="77777777" w:rsidR="00222DE0" w:rsidRPr="00EE3355" w:rsidRDefault="0098273B" w:rsidP="00EA1CDF">
            <w:pPr>
              <w:pStyle w:val="TableParagraph"/>
              <w:widowControl/>
              <w:jc w:val="center"/>
              <w:rPr>
                <w:sz w:val="18"/>
              </w:rPr>
            </w:pPr>
            <w:r w:rsidRPr="00EE3355">
              <w:rPr>
                <w:sz w:val="18"/>
              </w:rPr>
              <w:t>44 %***</w:t>
            </w:r>
          </w:p>
        </w:tc>
        <w:tc>
          <w:tcPr>
            <w:tcW w:w="882" w:type="dxa"/>
            <w:gridSpan w:val="2"/>
          </w:tcPr>
          <w:p w14:paraId="22583125" w14:textId="77777777" w:rsidR="00222DE0" w:rsidRPr="00EE3355" w:rsidRDefault="0098273B" w:rsidP="00EA1CDF">
            <w:pPr>
              <w:pStyle w:val="TableParagraph"/>
              <w:widowControl/>
              <w:jc w:val="center"/>
              <w:rPr>
                <w:sz w:val="18"/>
              </w:rPr>
            </w:pPr>
            <w:r w:rsidRPr="00EE3355">
              <w:rPr>
                <w:sz w:val="18"/>
              </w:rPr>
              <w:t>11 %</w:t>
            </w:r>
          </w:p>
        </w:tc>
        <w:tc>
          <w:tcPr>
            <w:tcW w:w="937" w:type="dxa"/>
            <w:gridSpan w:val="3"/>
          </w:tcPr>
          <w:p w14:paraId="2C622B50" w14:textId="77777777" w:rsidR="00222DE0" w:rsidRPr="00EE3355" w:rsidRDefault="0098273B" w:rsidP="00EA1CDF">
            <w:pPr>
              <w:pStyle w:val="TableParagraph"/>
              <w:widowControl/>
              <w:jc w:val="center"/>
              <w:rPr>
                <w:sz w:val="18"/>
              </w:rPr>
            </w:pPr>
            <w:r w:rsidRPr="00EE3355">
              <w:rPr>
                <w:sz w:val="18"/>
              </w:rPr>
              <w:t>38 %***</w:t>
            </w:r>
          </w:p>
        </w:tc>
        <w:tc>
          <w:tcPr>
            <w:tcW w:w="910" w:type="dxa"/>
          </w:tcPr>
          <w:p w14:paraId="4D2471DB" w14:textId="77777777" w:rsidR="00222DE0" w:rsidRPr="00EE3355" w:rsidRDefault="0098273B" w:rsidP="00EA1CDF">
            <w:pPr>
              <w:pStyle w:val="TableParagraph"/>
              <w:widowControl/>
              <w:jc w:val="center"/>
              <w:rPr>
                <w:sz w:val="18"/>
              </w:rPr>
            </w:pPr>
            <w:r w:rsidRPr="00EE3355">
              <w:rPr>
                <w:sz w:val="18"/>
              </w:rPr>
              <w:t>9 %</w:t>
            </w:r>
          </w:p>
        </w:tc>
        <w:tc>
          <w:tcPr>
            <w:tcW w:w="938" w:type="dxa"/>
            <w:gridSpan w:val="2"/>
          </w:tcPr>
          <w:p w14:paraId="0A30B794" w14:textId="77777777" w:rsidR="00222DE0" w:rsidRPr="00EE3355" w:rsidRDefault="0098273B" w:rsidP="00EA1CDF">
            <w:pPr>
              <w:pStyle w:val="TableParagraph"/>
              <w:widowControl/>
              <w:jc w:val="center"/>
              <w:rPr>
                <w:sz w:val="18"/>
              </w:rPr>
            </w:pPr>
            <w:r w:rsidRPr="00EE3355">
              <w:rPr>
                <w:sz w:val="18"/>
              </w:rPr>
              <w:t>29 %***</w:t>
            </w:r>
          </w:p>
        </w:tc>
        <w:tc>
          <w:tcPr>
            <w:tcW w:w="756" w:type="dxa"/>
          </w:tcPr>
          <w:p w14:paraId="09FF5427" w14:textId="77777777" w:rsidR="00222DE0" w:rsidRPr="00EE3355" w:rsidRDefault="0098273B" w:rsidP="00EA1CDF">
            <w:pPr>
              <w:pStyle w:val="TableParagraph"/>
              <w:widowControl/>
              <w:jc w:val="center"/>
              <w:rPr>
                <w:sz w:val="18"/>
              </w:rPr>
            </w:pPr>
            <w:r w:rsidRPr="00EE3355">
              <w:rPr>
                <w:sz w:val="18"/>
              </w:rPr>
              <w:t>4 %</w:t>
            </w:r>
          </w:p>
        </w:tc>
      </w:tr>
      <w:tr w:rsidR="00222DE0" w:rsidRPr="00EE3355" w14:paraId="652168F4" w14:textId="77777777" w:rsidTr="00C0205A">
        <w:trPr>
          <w:cantSplit/>
          <w:trHeight w:val="206"/>
        </w:trPr>
        <w:tc>
          <w:tcPr>
            <w:tcW w:w="588" w:type="dxa"/>
          </w:tcPr>
          <w:p w14:paraId="38FB135D" w14:textId="77777777" w:rsidR="00222DE0" w:rsidRPr="00EE3355" w:rsidRDefault="0098273B" w:rsidP="00EA1CDF">
            <w:pPr>
              <w:pStyle w:val="TableParagraph"/>
              <w:widowControl/>
              <w:jc w:val="center"/>
              <w:rPr>
                <w:sz w:val="18"/>
              </w:rPr>
            </w:pPr>
            <w:r w:rsidRPr="00EE3355">
              <w:rPr>
                <w:sz w:val="18"/>
              </w:rPr>
              <w:t>52</w:t>
            </w:r>
          </w:p>
        </w:tc>
        <w:tc>
          <w:tcPr>
            <w:tcW w:w="840" w:type="dxa"/>
            <w:gridSpan w:val="2"/>
          </w:tcPr>
          <w:p w14:paraId="1322A2EA" w14:textId="77777777" w:rsidR="00222DE0" w:rsidRPr="00EE3355" w:rsidRDefault="00222DE0" w:rsidP="00EA1CDF">
            <w:pPr>
              <w:pStyle w:val="TableParagraph"/>
              <w:widowControl/>
              <w:rPr>
                <w:sz w:val="14"/>
              </w:rPr>
            </w:pPr>
          </w:p>
        </w:tc>
        <w:tc>
          <w:tcPr>
            <w:tcW w:w="756" w:type="dxa"/>
            <w:gridSpan w:val="2"/>
          </w:tcPr>
          <w:p w14:paraId="32D0B377" w14:textId="77777777" w:rsidR="00222DE0" w:rsidRPr="00EE3355" w:rsidRDefault="00222DE0" w:rsidP="00EA1CDF">
            <w:pPr>
              <w:pStyle w:val="TableParagraph"/>
              <w:widowControl/>
              <w:rPr>
                <w:sz w:val="14"/>
              </w:rPr>
            </w:pPr>
          </w:p>
        </w:tc>
        <w:tc>
          <w:tcPr>
            <w:tcW w:w="798" w:type="dxa"/>
          </w:tcPr>
          <w:p w14:paraId="0B81A883" w14:textId="77777777" w:rsidR="00222DE0" w:rsidRPr="00EE3355" w:rsidRDefault="0098273B" w:rsidP="00EA1CDF">
            <w:pPr>
              <w:pStyle w:val="TableParagraph"/>
              <w:widowControl/>
              <w:ind w:left="-38" w:right="-80" w:hanging="28"/>
              <w:jc w:val="center"/>
              <w:rPr>
                <w:sz w:val="18"/>
              </w:rPr>
            </w:pPr>
            <w:r w:rsidRPr="00EE3355">
              <w:rPr>
                <w:sz w:val="18"/>
              </w:rPr>
              <w:t>36 %***</w:t>
            </w:r>
          </w:p>
        </w:tc>
        <w:tc>
          <w:tcPr>
            <w:tcW w:w="784" w:type="dxa"/>
          </w:tcPr>
          <w:p w14:paraId="082A599F" w14:textId="77777777" w:rsidR="00222DE0" w:rsidRPr="00EE3355" w:rsidRDefault="0098273B" w:rsidP="00EA1CDF">
            <w:pPr>
              <w:pStyle w:val="TableParagraph"/>
              <w:widowControl/>
              <w:jc w:val="center"/>
              <w:rPr>
                <w:sz w:val="18"/>
              </w:rPr>
            </w:pPr>
            <w:r w:rsidRPr="00EE3355">
              <w:rPr>
                <w:sz w:val="18"/>
              </w:rPr>
              <w:t>10 %</w:t>
            </w:r>
          </w:p>
        </w:tc>
        <w:tc>
          <w:tcPr>
            <w:tcW w:w="882" w:type="dxa"/>
            <w:gridSpan w:val="2"/>
          </w:tcPr>
          <w:p w14:paraId="5BBCECCC" w14:textId="77777777" w:rsidR="00222DE0" w:rsidRPr="00EE3355" w:rsidRDefault="00222DE0" w:rsidP="00EA1CDF">
            <w:pPr>
              <w:pStyle w:val="TableParagraph"/>
              <w:widowControl/>
              <w:rPr>
                <w:sz w:val="14"/>
              </w:rPr>
            </w:pPr>
          </w:p>
        </w:tc>
        <w:tc>
          <w:tcPr>
            <w:tcW w:w="882" w:type="dxa"/>
            <w:gridSpan w:val="2"/>
          </w:tcPr>
          <w:p w14:paraId="79D5253F" w14:textId="77777777" w:rsidR="00222DE0" w:rsidRPr="00EE3355" w:rsidRDefault="00222DE0" w:rsidP="00EA1CDF">
            <w:pPr>
              <w:pStyle w:val="TableParagraph"/>
              <w:widowControl/>
              <w:rPr>
                <w:sz w:val="14"/>
              </w:rPr>
            </w:pPr>
          </w:p>
        </w:tc>
        <w:tc>
          <w:tcPr>
            <w:tcW w:w="937" w:type="dxa"/>
            <w:gridSpan w:val="3"/>
          </w:tcPr>
          <w:p w14:paraId="0102EB9C" w14:textId="77777777" w:rsidR="00222DE0" w:rsidRPr="00EE3355" w:rsidRDefault="00222DE0" w:rsidP="00EA1CDF">
            <w:pPr>
              <w:pStyle w:val="TableParagraph"/>
              <w:widowControl/>
              <w:rPr>
                <w:sz w:val="14"/>
              </w:rPr>
            </w:pPr>
          </w:p>
        </w:tc>
        <w:tc>
          <w:tcPr>
            <w:tcW w:w="910" w:type="dxa"/>
          </w:tcPr>
          <w:p w14:paraId="68156DC0" w14:textId="77777777" w:rsidR="00222DE0" w:rsidRPr="00EE3355" w:rsidRDefault="00222DE0" w:rsidP="00EA1CDF">
            <w:pPr>
              <w:pStyle w:val="TableParagraph"/>
              <w:widowControl/>
              <w:rPr>
                <w:sz w:val="14"/>
              </w:rPr>
            </w:pPr>
          </w:p>
        </w:tc>
        <w:tc>
          <w:tcPr>
            <w:tcW w:w="938" w:type="dxa"/>
            <w:gridSpan w:val="2"/>
          </w:tcPr>
          <w:p w14:paraId="192053CB" w14:textId="77777777" w:rsidR="00222DE0" w:rsidRPr="00EE3355" w:rsidRDefault="00222DE0" w:rsidP="00EA1CDF">
            <w:pPr>
              <w:pStyle w:val="TableParagraph"/>
              <w:widowControl/>
              <w:rPr>
                <w:sz w:val="14"/>
              </w:rPr>
            </w:pPr>
          </w:p>
        </w:tc>
        <w:tc>
          <w:tcPr>
            <w:tcW w:w="756" w:type="dxa"/>
          </w:tcPr>
          <w:p w14:paraId="083B470D" w14:textId="77777777" w:rsidR="00222DE0" w:rsidRPr="00EE3355" w:rsidRDefault="00222DE0" w:rsidP="00EA1CDF">
            <w:pPr>
              <w:pStyle w:val="TableParagraph"/>
              <w:widowControl/>
              <w:rPr>
                <w:sz w:val="14"/>
              </w:rPr>
            </w:pPr>
          </w:p>
        </w:tc>
      </w:tr>
      <w:tr w:rsidR="00222DE0" w:rsidRPr="00EE3355" w14:paraId="7F7494F1" w14:textId="77777777" w:rsidTr="00C0205A">
        <w:trPr>
          <w:cantSplit/>
          <w:trHeight w:val="205"/>
        </w:trPr>
        <w:tc>
          <w:tcPr>
            <w:tcW w:w="9071" w:type="dxa"/>
            <w:gridSpan w:val="18"/>
          </w:tcPr>
          <w:p w14:paraId="4DC4516D" w14:textId="77777777" w:rsidR="00222DE0" w:rsidRPr="00EE3355" w:rsidRDefault="0098273B" w:rsidP="00EA1CDF">
            <w:pPr>
              <w:pStyle w:val="TableParagraph"/>
              <w:widowControl/>
              <w:jc w:val="center"/>
              <w:rPr>
                <w:b/>
                <w:sz w:val="18"/>
              </w:rPr>
            </w:pPr>
            <w:r w:rsidRPr="00EE3355">
              <w:rPr>
                <w:b/>
                <w:sz w:val="18"/>
              </w:rPr>
              <w:t>ACR 70</w:t>
            </w:r>
          </w:p>
        </w:tc>
      </w:tr>
      <w:tr w:rsidR="00222DE0" w:rsidRPr="00EE3355" w14:paraId="057B214F" w14:textId="77777777" w:rsidTr="00C0205A">
        <w:trPr>
          <w:cantSplit/>
          <w:trHeight w:val="208"/>
        </w:trPr>
        <w:tc>
          <w:tcPr>
            <w:tcW w:w="588" w:type="dxa"/>
          </w:tcPr>
          <w:p w14:paraId="3682D34B" w14:textId="77777777" w:rsidR="00222DE0" w:rsidRPr="00EE3355" w:rsidRDefault="0098273B" w:rsidP="00EA1CDF">
            <w:pPr>
              <w:pStyle w:val="TableParagraph"/>
              <w:widowControl/>
              <w:jc w:val="center"/>
              <w:rPr>
                <w:sz w:val="18"/>
              </w:rPr>
            </w:pPr>
            <w:r w:rsidRPr="00EE3355">
              <w:rPr>
                <w:sz w:val="18"/>
              </w:rPr>
              <w:t>24</w:t>
            </w:r>
          </w:p>
        </w:tc>
        <w:tc>
          <w:tcPr>
            <w:tcW w:w="826" w:type="dxa"/>
          </w:tcPr>
          <w:p w14:paraId="53F0B3E5" w14:textId="77777777" w:rsidR="00222DE0" w:rsidRPr="00EE3355" w:rsidRDefault="0098273B" w:rsidP="00EA1CDF">
            <w:pPr>
              <w:pStyle w:val="TableParagraph"/>
              <w:widowControl/>
              <w:jc w:val="center"/>
              <w:rPr>
                <w:sz w:val="18"/>
              </w:rPr>
            </w:pPr>
            <w:r w:rsidRPr="00EE3355">
              <w:rPr>
                <w:sz w:val="18"/>
              </w:rPr>
              <w:t>28 %**</w:t>
            </w:r>
          </w:p>
        </w:tc>
        <w:tc>
          <w:tcPr>
            <w:tcW w:w="770" w:type="dxa"/>
            <w:gridSpan w:val="3"/>
          </w:tcPr>
          <w:p w14:paraId="54323540" w14:textId="77777777" w:rsidR="00222DE0" w:rsidRPr="00EE3355" w:rsidRDefault="0098273B" w:rsidP="00EA1CDF">
            <w:pPr>
              <w:pStyle w:val="TableParagraph"/>
              <w:widowControl/>
              <w:jc w:val="center"/>
              <w:rPr>
                <w:sz w:val="18"/>
              </w:rPr>
            </w:pPr>
            <w:r w:rsidRPr="00EE3355">
              <w:rPr>
                <w:sz w:val="18"/>
              </w:rPr>
              <w:t>15 %</w:t>
            </w:r>
          </w:p>
        </w:tc>
        <w:tc>
          <w:tcPr>
            <w:tcW w:w="798" w:type="dxa"/>
          </w:tcPr>
          <w:p w14:paraId="2531C905" w14:textId="77777777" w:rsidR="00222DE0" w:rsidRPr="00EE3355" w:rsidRDefault="0098273B" w:rsidP="00EA1CDF">
            <w:pPr>
              <w:pStyle w:val="TableParagraph"/>
              <w:widowControl/>
              <w:ind w:left="-52" w:right="-80" w:firstLine="14"/>
              <w:jc w:val="center"/>
              <w:rPr>
                <w:sz w:val="18"/>
              </w:rPr>
            </w:pPr>
            <w:r w:rsidRPr="00EE3355">
              <w:rPr>
                <w:sz w:val="18"/>
              </w:rPr>
              <w:t>13 %***</w:t>
            </w:r>
          </w:p>
        </w:tc>
        <w:tc>
          <w:tcPr>
            <w:tcW w:w="784" w:type="dxa"/>
          </w:tcPr>
          <w:p w14:paraId="01F98675" w14:textId="77777777" w:rsidR="00222DE0" w:rsidRPr="00EE3355" w:rsidRDefault="0098273B" w:rsidP="00EA1CDF">
            <w:pPr>
              <w:pStyle w:val="TableParagraph"/>
              <w:widowControl/>
              <w:jc w:val="center"/>
              <w:rPr>
                <w:sz w:val="18"/>
              </w:rPr>
            </w:pPr>
            <w:r w:rsidRPr="00EE3355">
              <w:rPr>
                <w:sz w:val="18"/>
              </w:rPr>
              <w:t>2 %</w:t>
            </w:r>
          </w:p>
        </w:tc>
        <w:tc>
          <w:tcPr>
            <w:tcW w:w="868" w:type="dxa"/>
          </w:tcPr>
          <w:p w14:paraId="5CA7EE79" w14:textId="77777777" w:rsidR="00222DE0" w:rsidRPr="00EE3355" w:rsidRDefault="0098273B" w:rsidP="00EA1CDF">
            <w:pPr>
              <w:pStyle w:val="TableParagraph"/>
              <w:widowControl/>
              <w:jc w:val="center"/>
              <w:rPr>
                <w:sz w:val="18"/>
              </w:rPr>
            </w:pPr>
            <w:r w:rsidRPr="00EE3355">
              <w:rPr>
                <w:sz w:val="18"/>
              </w:rPr>
              <w:t>22 %***</w:t>
            </w:r>
          </w:p>
        </w:tc>
        <w:tc>
          <w:tcPr>
            <w:tcW w:w="882" w:type="dxa"/>
            <w:gridSpan w:val="2"/>
          </w:tcPr>
          <w:p w14:paraId="31748C19" w14:textId="77777777" w:rsidR="00222DE0" w:rsidRPr="00EE3355" w:rsidRDefault="0098273B" w:rsidP="00EA1CDF">
            <w:pPr>
              <w:pStyle w:val="TableParagraph"/>
              <w:widowControl/>
              <w:jc w:val="center"/>
              <w:rPr>
                <w:sz w:val="18"/>
              </w:rPr>
            </w:pPr>
            <w:r w:rsidRPr="00EE3355">
              <w:rPr>
                <w:sz w:val="18"/>
              </w:rPr>
              <w:t>2 %</w:t>
            </w:r>
          </w:p>
        </w:tc>
        <w:tc>
          <w:tcPr>
            <w:tcW w:w="937" w:type="dxa"/>
            <w:gridSpan w:val="3"/>
          </w:tcPr>
          <w:p w14:paraId="5F2F7A64" w14:textId="77777777" w:rsidR="00222DE0" w:rsidRPr="00EE3355" w:rsidRDefault="0098273B" w:rsidP="00EA1CDF">
            <w:pPr>
              <w:pStyle w:val="TableParagraph"/>
              <w:widowControl/>
              <w:jc w:val="center"/>
              <w:rPr>
                <w:sz w:val="18"/>
              </w:rPr>
            </w:pPr>
            <w:r w:rsidRPr="00EE3355">
              <w:rPr>
                <w:sz w:val="18"/>
              </w:rPr>
              <w:t>21 %***</w:t>
            </w:r>
          </w:p>
        </w:tc>
        <w:tc>
          <w:tcPr>
            <w:tcW w:w="924" w:type="dxa"/>
            <w:gridSpan w:val="2"/>
          </w:tcPr>
          <w:p w14:paraId="3B7729F7" w14:textId="77777777" w:rsidR="00222DE0" w:rsidRPr="00EE3355" w:rsidRDefault="0098273B" w:rsidP="00EA1CDF">
            <w:pPr>
              <w:pStyle w:val="TableParagraph"/>
              <w:widowControl/>
              <w:jc w:val="center"/>
              <w:rPr>
                <w:sz w:val="18"/>
              </w:rPr>
            </w:pPr>
            <w:r w:rsidRPr="00EE3355">
              <w:rPr>
                <w:sz w:val="18"/>
              </w:rPr>
              <w:t>3 %</w:t>
            </w:r>
          </w:p>
        </w:tc>
        <w:tc>
          <w:tcPr>
            <w:tcW w:w="938" w:type="dxa"/>
            <w:gridSpan w:val="2"/>
          </w:tcPr>
          <w:p w14:paraId="6591C830" w14:textId="77777777" w:rsidR="00222DE0" w:rsidRPr="00EE3355" w:rsidRDefault="0098273B" w:rsidP="00EA1CDF">
            <w:pPr>
              <w:pStyle w:val="TableParagraph"/>
              <w:widowControl/>
              <w:jc w:val="center"/>
              <w:rPr>
                <w:sz w:val="18"/>
              </w:rPr>
            </w:pPr>
            <w:r w:rsidRPr="00EE3355">
              <w:rPr>
                <w:sz w:val="18"/>
              </w:rPr>
              <w:t>12 %**</w:t>
            </w:r>
          </w:p>
        </w:tc>
        <w:tc>
          <w:tcPr>
            <w:tcW w:w="756" w:type="dxa"/>
          </w:tcPr>
          <w:p w14:paraId="24B9C303" w14:textId="77777777" w:rsidR="00222DE0" w:rsidRPr="00EE3355" w:rsidRDefault="0098273B" w:rsidP="00EA1CDF">
            <w:pPr>
              <w:pStyle w:val="TableParagraph"/>
              <w:widowControl/>
              <w:jc w:val="center"/>
              <w:rPr>
                <w:sz w:val="18"/>
              </w:rPr>
            </w:pPr>
            <w:r w:rsidRPr="00EE3355">
              <w:rPr>
                <w:sz w:val="18"/>
              </w:rPr>
              <w:t>1 %</w:t>
            </w:r>
          </w:p>
        </w:tc>
      </w:tr>
      <w:tr w:rsidR="00222DE0" w:rsidRPr="00EE3355" w14:paraId="5289F78C" w14:textId="77777777" w:rsidTr="00C0205A">
        <w:trPr>
          <w:cantSplit/>
          <w:trHeight w:val="206"/>
        </w:trPr>
        <w:tc>
          <w:tcPr>
            <w:tcW w:w="588" w:type="dxa"/>
          </w:tcPr>
          <w:p w14:paraId="5FB997A8" w14:textId="77777777" w:rsidR="00222DE0" w:rsidRPr="00EE3355" w:rsidRDefault="0098273B" w:rsidP="00EA1CDF">
            <w:pPr>
              <w:pStyle w:val="TableParagraph"/>
              <w:widowControl/>
              <w:jc w:val="center"/>
              <w:rPr>
                <w:sz w:val="18"/>
              </w:rPr>
            </w:pPr>
            <w:r w:rsidRPr="00EE3355">
              <w:rPr>
                <w:sz w:val="18"/>
              </w:rPr>
              <w:t>52</w:t>
            </w:r>
          </w:p>
        </w:tc>
        <w:tc>
          <w:tcPr>
            <w:tcW w:w="1596" w:type="dxa"/>
            <w:gridSpan w:val="4"/>
          </w:tcPr>
          <w:p w14:paraId="6DFBFE91" w14:textId="77777777" w:rsidR="00222DE0" w:rsidRPr="00EE3355" w:rsidRDefault="00222DE0" w:rsidP="00EA1CDF">
            <w:pPr>
              <w:pStyle w:val="TableParagraph"/>
              <w:widowControl/>
              <w:rPr>
                <w:sz w:val="14"/>
              </w:rPr>
            </w:pPr>
          </w:p>
        </w:tc>
        <w:tc>
          <w:tcPr>
            <w:tcW w:w="798" w:type="dxa"/>
          </w:tcPr>
          <w:p w14:paraId="7761E826" w14:textId="77777777" w:rsidR="00222DE0" w:rsidRPr="00EE3355" w:rsidRDefault="0098273B" w:rsidP="00EA1CDF">
            <w:pPr>
              <w:pStyle w:val="TableParagraph"/>
              <w:widowControl/>
              <w:ind w:left="-80" w:right="-66"/>
              <w:jc w:val="center"/>
              <w:rPr>
                <w:sz w:val="18"/>
              </w:rPr>
            </w:pPr>
            <w:r w:rsidRPr="00EE3355">
              <w:rPr>
                <w:sz w:val="18"/>
              </w:rPr>
              <w:t>20 %***</w:t>
            </w:r>
          </w:p>
        </w:tc>
        <w:tc>
          <w:tcPr>
            <w:tcW w:w="784" w:type="dxa"/>
          </w:tcPr>
          <w:p w14:paraId="0213F42B" w14:textId="77777777" w:rsidR="00222DE0" w:rsidRPr="00EE3355" w:rsidRDefault="0098273B" w:rsidP="00EA1CDF">
            <w:pPr>
              <w:pStyle w:val="TableParagraph"/>
              <w:widowControl/>
              <w:jc w:val="center"/>
              <w:rPr>
                <w:sz w:val="18"/>
              </w:rPr>
            </w:pPr>
            <w:r w:rsidRPr="00EE3355">
              <w:rPr>
                <w:sz w:val="18"/>
              </w:rPr>
              <w:t>4 %</w:t>
            </w:r>
          </w:p>
        </w:tc>
        <w:tc>
          <w:tcPr>
            <w:tcW w:w="1750" w:type="dxa"/>
            <w:gridSpan w:val="3"/>
          </w:tcPr>
          <w:p w14:paraId="528ABA8F" w14:textId="77777777" w:rsidR="00222DE0" w:rsidRPr="00EE3355" w:rsidRDefault="00222DE0" w:rsidP="00EA1CDF">
            <w:pPr>
              <w:pStyle w:val="TableParagraph"/>
              <w:widowControl/>
              <w:rPr>
                <w:sz w:val="14"/>
              </w:rPr>
            </w:pPr>
          </w:p>
        </w:tc>
        <w:tc>
          <w:tcPr>
            <w:tcW w:w="937" w:type="dxa"/>
            <w:gridSpan w:val="3"/>
          </w:tcPr>
          <w:p w14:paraId="2F23EED9" w14:textId="77777777" w:rsidR="00222DE0" w:rsidRPr="00EE3355" w:rsidRDefault="00222DE0" w:rsidP="00EA1CDF">
            <w:pPr>
              <w:pStyle w:val="TableParagraph"/>
              <w:widowControl/>
              <w:rPr>
                <w:sz w:val="14"/>
              </w:rPr>
            </w:pPr>
          </w:p>
        </w:tc>
        <w:tc>
          <w:tcPr>
            <w:tcW w:w="924" w:type="dxa"/>
            <w:gridSpan w:val="2"/>
          </w:tcPr>
          <w:p w14:paraId="108EBEB8" w14:textId="77777777" w:rsidR="00222DE0" w:rsidRPr="00EE3355" w:rsidRDefault="00222DE0" w:rsidP="00EA1CDF">
            <w:pPr>
              <w:pStyle w:val="TableParagraph"/>
              <w:widowControl/>
              <w:rPr>
                <w:sz w:val="14"/>
              </w:rPr>
            </w:pPr>
          </w:p>
        </w:tc>
        <w:tc>
          <w:tcPr>
            <w:tcW w:w="938" w:type="dxa"/>
            <w:gridSpan w:val="2"/>
          </w:tcPr>
          <w:p w14:paraId="4F37620C" w14:textId="77777777" w:rsidR="00222DE0" w:rsidRPr="00EE3355" w:rsidRDefault="00222DE0" w:rsidP="00EA1CDF">
            <w:pPr>
              <w:pStyle w:val="TableParagraph"/>
              <w:widowControl/>
              <w:rPr>
                <w:sz w:val="14"/>
              </w:rPr>
            </w:pPr>
          </w:p>
        </w:tc>
        <w:tc>
          <w:tcPr>
            <w:tcW w:w="756" w:type="dxa"/>
          </w:tcPr>
          <w:p w14:paraId="1AB951F6" w14:textId="77777777" w:rsidR="00222DE0" w:rsidRPr="00EE3355" w:rsidRDefault="00222DE0" w:rsidP="00EA1CDF">
            <w:pPr>
              <w:pStyle w:val="TableParagraph"/>
              <w:widowControl/>
              <w:rPr>
                <w:sz w:val="14"/>
              </w:rPr>
            </w:pPr>
          </w:p>
        </w:tc>
      </w:tr>
    </w:tbl>
    <w:p w14:paraId="11EAA402" w14:textId="77777777" w:rsidR="00222DE0" w:rsidRPr="00EE3355" w:rsidRDefault="0098273B" w:rsidP="00EA1CDF">
      <w:pPr>
        <w:widowControl/>
        <w:tabs>
          <w:tab w:val="left" w:pos="1106"/>
        </w:tabs>
        <w:rPr>
          <w:i/>
          <w:sz w:val="18"/>
        </w:rPr>
      </w:pPr>
      <w:r w:rsidRPr="00EE3355">
        <w:rPr>
          <w:i/>
          <w:sz w:val="18"/>
        </w:rPr>
        <w:t>TCZ</w:t>
      </w:r>
      <w:r w:rsidRPr="00EE3355">
        <w:rPr>
          <w:i/>
          <w:sz w:val="18"/>
        </w:rPr>
        <w:tab/>
        <w:t>- Tocilizumab</w:t>
      </w:r>
    </w:p>
    <w:p w14:paraId="71A294A6" w14:textId="77777777" w:rsidR="00222DE0" w:rsidRPr="00EE3355" w:rsidRDefault="0098273B" w:rsidP="00EA1CDF">
      <w:pPr>
        <w:widowControl/>
        <w:tabs>
          <w:tab w:val="left" w:pos="1106"/>
        </w:tabs>
        <w:rPr>
          <w:i/>
          <w:sz w:val="18"/>
        </w:rPr>
      </w:pPr>
      <w:r w:rsidRPr="00EE3355">
        <w:rPr>
          <w:i/>
          <w:sz w:val="18"/>
        </w:rPr>
        <w:t>MTX</w:t>
      </w:r>
      <w:r w:rsidRPr="00EE3355">
        <w:rPr>
          <w:i/>
          <w:sz w:val="18"/>
        </w:rPr>
        <w:tab/>
        <w:t>- Methotrexát</w:t>
      </w:r>
    </w:p>
    <w:p w14:paraId="052D9FCA" w14:textId="77777777" w:rsidR="00222DE0" w:rsidRPr="00EE3355" w:rsidRDefault="0098273B" w:rsidP="00EA1CDF">
      <w:pPr>
        <w:widowControl/>
        <w:tabs>
          <w:tab w:val="left" w:pos="1106"/>
        </w:tabs>
        <w:rPr>
          <w:i/>
          <w:sz w:val="18"/>
        </w:rPr>
      </w:pPr>
      <w:r w:rsidRPr="00EE3355">
        <w:rPr>
          <w:i/>
          <w:sz w:val="18"/>
        </w:rPr>
        <w:t>PBO</w:t>
      </w:r>
      <w:r w:rsidRPr="00EE3355">
        <w:rPr>
          <w:i/>
          <w:sz w:val="18"/>
        </w:rPr>
        <w:tab/>
        <w:t>- Placebo</w:t>
      </w:r>
    </w:p>
    <w:p w14:paraId="4257C90C" w14:textId="77777777" w:rsidR="00222DE0" w:rsidRPr="00EE3355" w:rsidRDefault="0098273B" w:rsidP="00EA1CDF">
      <w:pPr>
        <w:widowControl/>
        <w:tabs>
          <w:tab w:val="left" w:pos="1106"/>
        </w:tabs>
        <w:rPr>
          <w:i/>
          <w:sz w:val="18"/>
        </w:rPr>
      </w:pPr>
      <w:r w:rsidRPr="00EE3355">
        <w:rPr>
          <w:i/>
          <w:sz w:val="18"/>
        </w:rPr>
        <w:t>DMARD</w:t>
      </w:r>
      <w:r w:rsidRPr="00EE3355">
        <w:rPr>
          <w:i/>
          <w:sz w:val="18"/>
        </w:rPr>
        <w:tab/>
        <w:t>- Antirevmatikum modifikující průběh onemocnění</w:t>
      </w:r>
    </w:p>
    <w:p w14:paraId="3CC8A1D5" w14:textId="77777777" w:rsidR="00222DE0" w:rsidRPr="00EE3355" w:rsidRDefault="0098273B" w:rsidP="00EA1CDF">
      <w:pPr>
        <w:widowControl/>
        <w:tabs>
          <w:tab w:val="left" w:pos="1106"/>
        </w:tabs>
        <w:rPr>
          <w:i/>
          <w:sz w:val="18"/>
        </w:rPr>
      </w:pPr>
      <w:r w:rsidRPr="00EE3355">
        <w:rPr>
          <w:i/>
          <w:sz w:val="18"/>
        </w:rPr>
        <w:t>**</w:t>
      </w:r>
      <w:r w:rsidRPr="00EE3355">
        <w:rPr>
          <w:i/>
          <w:sz w:val="18"/>
        </w:rPr>
        <w:tab/>
        <w:t>- p&lt; 0.01, TCZ vs.PBO + MTX/ DMARD</w:t>
      </w:r>
    </w:p>
    <w:p w14:paraId="77F5455D" w14:textId="77777777" w:rsidR="00222DE0" w:rsidRPr="00EE3355" w:rsidRDefault="0098273B" w:rsidP="00EA1CDF">
      <w:pPr>
        <w:widowControl/>
        <w:tabs>
          <w:tab w:val="left" w:pos="1106"/>
        </w:tabs>
        <w:rPr>
          <w:i/>
          <w:sz w:val="18"/>
        </w:rPr>
      </w:pPr>
      <w:r w:rsidRPr="00EE3355">
        <w:rPr>
          <w:i/>
          <w:sz w:val="18"/>
        </w:rPr>
        <w:t>***</w:t>
      </w:r>
      <w:r w:rsidRPr="00EE3355">
        <w:rPr>
          <w:i/>
          <w:sz w:val="18"/>
        </w:rPr>
        <w:tab/>
        <w:t>- p&lt; 0.0001, TCZ vs.PBO + MTX/ DMARD</w:t>
      </w:r>
    </w:p>
    <w:p w14:paraId="1772EA96" w14:textId="77777777" w:rsidR="00222DE0" w:rsidRPr="00EE3355" w:rsidRDefault="00222DE0" w:rsidP="00EA1CDF">
      <w:pPr>
        <w:pStyle w:val="a3"/>
        <w:widowControl/>
        <w:ind w:left="0"/>
        <w:rPr>
          <w:i/>
          <w:sz w:val="18"/>
        </w:rPr>
      </w:pPr>
    </w:p>
    <w:p w14:paraId="2E9E4240" w14:textId="77777777" w:rsidR="00222DE0" w:rsidRPr="00EE3355" w:rsidRDefault="0098273B" w:rsidP="00EA1CDF">
      <w:pPr>
        <w:widowControl/>
        <w:rPr>
          <w:i/>
        </w:rPr>
      </w:pPr>
      <w:r w:rsidRPr="00EE3355">
        <w:rPr>
          <w:i/>
        </w:rPr>
        <w:t>Významná klinická odpověď</w:t>
      </w:r>
    </w:p>
    <w:p w14:paraId="08606F37" w14:textId="77777777" w:rsidR="00222DE0" w:rsidRPr="00EE3355" w:rsidRDefault="0098273B" w:rsidP="00EA1CDF">
      <w:pPr>
        <w:pStyle w:val="a3"/>
        <w:widowControl/>
        <w:ind w:left="0"/>
      </w:pPr>
      <w:r w:rsidRPr="00EE3355">
        <w:t>Po 2 letech léčby tocilizumabem s MTX dosáhlo14 % pacientů významné klinické odpovědi (udržení ACR70 odpovědi po dobu 24 týdnů nebo déle).</w:t>
      </w:r>
    </w:p>
    <w:p w14:paraId="76973BE9" w14:textId="77777777" w:rsidR="007E0EB1" w:rsidRPr="00EE3355" w:rsidRDefault="007E0EB1" w:rsidP="00EA1CDF">
      <w:pPr>
        <w:pStyle w:val="a3"/>
        <w:widowControl/>
        <w:ind w:left="0"/>
      </w:pPr>
    </w:p>
    <w:p w14:paraId="22E25CEC" w14:textId="77777777" w:rsidR="00222DE0" w:rsidRPr="00EE3355" w:rsidRDefault="0098273B" w:rsidP="00EA1CDF">
      <w:pPr>
        <w:widowControl/>
        <w:rPr>
          <w:i/>
        </w:rPr>
      </w:pPr>
      <w:r w:rsidRPr="00EE3355">
        <w:rPr>
          <w:i/>
        </w:rPr>
        <w:t>Radiografická odpověď</w:t>
      </w:r>
    </w:p>
    <w:p w14:paraId="61138633" w14:textId="77777777" w:rsidR="00222DE0" w:rsidRPr="00EE3355" w:rsidRDefault="0098273B" w:rsidP="00EA1CDF">
      <w:pPr>
        <w:pStyle w:val="a3"/>
        <w:widowControl/>
        <w:ind w:left="0"/>
      </w:pPr>
      <w:r w:rsidRPr="00EE3355">
        <w:t>Ve studii II u pacientů bez dostatečné odpovědi na léčbu MTX byla inhibice strukturálního poškození kloubů hodnocena radiograficky a vyjádřena změnou modifikovaného Sharp skóre a jeho komponent, skóre eroze a skóre zužování kloubní štěrbiny. Inhibice kloubního strukturálního poškození měla významně nižší radiografickou progresi u pacientů dostávajících tocilizumab v porovnání s kontrolami (tabulka 5).</w:t>
      </w:r>
    </w:p>
    <w:p w14:paraId="451042C5" w14:textId="77777777" w:rsidR="00222DE0" w:rsidRPr="00EE3355" w:rsidRDefault="00222DE0" w:rsidP="00EA1CDF">
      <w:pPr>
        <w:pStyle w:val="a3"/>
        <w:widowControl/>
        <w:ind w:left="0"/>
      </w:pPr>
    </w:p>
    <w:p w14:paraId="1BDE5D28" w14:textId="77777777" w:rsidR="00222DE0" w:rsidRPr="00EE3355" w:rsidRDefault="0098273B" w:rsidP="00EA1CDF">
      <w:pPr>
        <w:pStyle w:val="a3"/>
        <w:widowControl/>
        <w:ind w:left="0"/>
      </w:pPr>
      <w:r w:rsidRPr="00EE3355">
        <w:t xml:space="preserve">V otevřené prodloužené fázi studie II byla inhibice progrese strukturálního poškození kloubu ve skupině s tocilizumabem a MTX udržována i v druhém roce léčby. Průměrná změna od výchozích hodnot byla v týdnu 104 v celkovém Sharp-Genant skóre významně nižší u pacientů randomizovaných do skupiny s tocilizumabem v dávce 8 mg/kg a MTX (p </w:t>
      </w:r>
      <w:r w:rsidRPr="00EE3355">
        <w:rPr>
          <w:rFonts w:ascii="Symbol" w:hAnsi="Symbol"/>
        </w:rPr>
        <w:t></w:t>
      </w:r>
      <w:r w:rsidRPr="00EE3355">
        <w:t xml:space="preserve"> 0,0001) v porovnání s pacienty, kteří byli randomizováni do skupiny s placebem a MTX.</w:t>
      </w:r>
    </w:p>
    <w:p w14:paraId="3CA875FD" w14:textId="77777777" w:rsidR="007E0EB1" w:rsidRPr="00EE3355" w:rsidRDefault="007E0EB1" w:rsidP="00EA1CDF">
      <w:pPr>
        <w:pStyle w:val="a3"/>
        <w:widowControl/>
        <w:ind w:left="0"/>
      </w:pPr>
    </w:p>
    <w:p w14:paraId="25C33611" w14:textId="77777777" w:rsidR="00222DE0" w:rsidRPr="00EE3355" w:rsidRDefault="0098273B" w:rsidP="00B93217">
      <w:pPr>
        <w:keepNext/>
        <w:widowControl/>
        <w:ind w:left="1134" w:hanging="1134"/>
        <w:rPr>
          <w:i/>
        </w:rPr>
      </w:pPr>
      <w:r w:rsidRPr="00EE3355">
        <w:rPr>
          <w:i/>
        </w:rPr>
        <w:lastRenderedPageBreak/>
        <w:t>Tabulka 5.</w:t>
      </w:r>
      <w:r w:rsidR="00152CF7" w:rsidRPr="00EE3355">
        <w:rPr>
          <w:i/>
        </w:rPr>
        <w:tab/>
      </w:r>
      <w:r w:rsidRPr="00EE3355">
        <w:rPr>
          <w:i/>
        </w:rPr>
        <w:t>Průměrné radiografické změny po týdnu 52 ve Studii II</w:t>
      </w:r>
    </w:p>
    <w:p w14:paraId="4CFDE4C5" w14:textId="77777777" w:rsidR="007E0EB1" w:rsidRPr="00EE3355" w:rsidRDefault="007E0EB1" w:rsidP="00B93217">
      <w:pPr>
        <w:keepNext/>
        <w:widowControl/>
        <w:rPr>
          <w:i/>
        </w:rPr>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758"/>
        <w:gridCol w:w="2516"/>
        <w:gridCol w:w="2611"/>
      </w:tblGrid>
      <w:tr w:rsidR="00222DE0" w:rsidRPr="00EE3355" w14:paraId="7F9DA0B8" w14:textId="77777777" w:rsidTr="00A66F71">
        <w:trPr>
          <w:cantSplit/>
          <w:trHeight w:val="417"/>
          <w:tblHeader/>
        </w:trPr>
        <w:tc>
          <w:tcPr>
            <w:tcW w:w="2758" w:type="dxa"/>
          </w:tcPr>
          <w:p w14:paraId="433E350E" w14:textId="77777777" w:rsidR="00222DE0" w:rsidRPr="00EE3355" w:rsidRDefault="00222DE0" w:rsidP="00B93217">
            <w:pPr>
              <w:pStyle w:val="TableParagraph"/>
              <w:keepNext/>
              <w:widowControl/>
              <w:jc w:val="center"/>
              <w:rPr>
                <w:sz w:val="20"/>
              </w:rPr>
            </w:pPr>
          </w:p>
        </w:tc>
        <w:tc>
          <w:tcPr>
            <w:tcW w:w="2516" w:type="dxa"/>
          </w:tcPr>
          <w:p w14:paraId="44862B9C" w14:textId="77777777" w:rsidR="00222DE0" w:rsidRPr="00EE3355" w:rsidRDefault="0098273B" w:rsidP="00B93217">
            <w:pPr>
              <w:pStyle w:val="TableParagraph"/>
              <w:keepNext/>
              <w:widowControl/>
              <w:jc w:val="center"/>
              <w:rPr>
                <w:b/>
                <w:sz w:val="20"/>
              </w:rPr>
            </w:pPr>
            <w:r w:rsidRPr="00EE3355">
              <w:rPr>
                <w:b/>
                <w:sz w:val="20"/>
              </w:rPr>
              <w:t>PBO + MTX</w:t>
            </w:r>
            <w:r w:rsidR="00A66F71" w:rsidRPr="00EE3355">
              <w:rPr>
                <w:b/>
                <w:sz w:val="20"/>
              </w:rPr>
              <w:t xml:space="preserve">  </w:t>
            </w:r>
            <w:r w:rsidRPr="00EE3355">
              <w:rPr>
                <w:b/>
                <w:sz w:val="20"/>
              </w:rPr>
              <w:t>(+TCZ od týdne 24)</w:t>
            </w:r>
            <w:r w:rsidR="00A66F71" w:rsidRPr="00EE3355">
              <w:rPr>
                <w:b/>
                <w:sz w:val="20"/>
              </w:rPr>
              <w:t xml:space="preserve"> </w:t>
            </w:r>
            <w:r w:rsidRPr="00EE3355">
              <w:rPr>
                <w:b/>
                <w:sz w:val="20"/>
              </w:rPr>
              <w:t>n = 393</w:t>
            </w:r>
          </w:p>
        </w:tc>
        <w:tc>
          <w:tcPr>
            <w:tcW w:w="2611" w:type="dxa"/>
          </w:tcPr>
          <w:p w14:paraId="6A43CB1F" w14:textId="77777777" w:rsidR="00641781" w:rsidRPr="00EE3355" w:rsidRDefault="0098273B" w:rsidP="00B93217">
            <w:pPr>
              <w:pStyle w:val="TableParagraph"/>
              <w:keepNext/>
              <w:widowControl/>
              <w:jc w:val="center"/>
              <w:rPr>
                <w:b/>
                <w:sz w:val="20"/>
              </w:rPr>
            </w:pPr>
            <w:r w:rsidRPr="00EE3355">
              <w:rPr>
                <w:b/>
                <w:sz w:val="20"/>
              </w:rPr>
              <w:t>TCZ 8 mg/kg + MTX</w:t>
            </w:r>
            <w:r w:rsidR="00A66F71" w:rsidRPr="00EE3355">
              <w:rPr>
                <w:b/>
                <w:sz w:val="20"/>
              </w:rPr>
              <w:t xml:space="preserve"> </w:t>
            </w:r>
          </w:p>
          <w:p w14:paraId="45D46118" w14:textId="77777777" w:rsidR="00222DE0" w:rsidRPr="00EE3355" w:rsidRDefault="0098273B" w:rsidP="00B93217">
            <w:pPr>
              <w:pStyle w:val="TableParagraph"/>
              <w:keepNext/>
              <w:widowControl/>
              <w:jc w:val="center"/>
              <w:rPr>
                <w:b/>
                <w:sz w:val="20"/>
              </w:rPr>
            </w:pPr>
            <w:r w:rsidRPr="00EE3355">
              <w:rPr>
                <w:b/>
                <w:sz w:val="20"/>
              </w:rPr>
              <w:t>n = 398</w:t>
            </w:r>
          </w:p>
        </w:tc>
      </w:tr>
      <w:tr w:rsidR="00222DE0" w:rsidRPr="00EE3355" w14:paraId="42AC9888" w14:textId="77777777" w:rsidTr="003666E0">
        <w:trPr>
          <w:cantSplit/>
          <w:trHeight w:val="216"/>
        </w:trPr>
        <w:tc>
          <w:tcPr>
            <w:tcW w:w="2758" w:type="dxa"/>
          </w:tcPr>
          <w:p w14:paraId="5D2BAC3A" w14:textId="77777777" w:rsidR="00222DE0" w:rsidRPr="00EE3355" w:rsidRDefault="0098273B" w:rsidP="00B93217">
            <w:pPr>
              <w:pStyle w:val="TableParagraph"/>
              <w:keepNext/>
            </w:pPr>
            <w:r w:rsidRPr="00EE3355">
              <w:t>Celkové Sharp-Genant</w:t>
            </w:r>
            <w:r w:rsidR="003666E0" w:rsidRPr="00EE3355">
              <w:t xml:space="preserve"> </w:t>
            </w:r>
            <w:r w:rsidRPr="00EE3355">
              <w:t>skóre</w:t>
            </w:r>
          </w:p>
        </w:tc>
        <w:tc>
          <w:tcPr>
            <w:tcW w:w="2516" w:type="dxa"/>
          </w:tcPr>
          <w:p w14:paraId="6F7B10CC" w14:textId="77777777" w:rsidR="00222DE0" w:rsidRPr="00EE3355" w:rsidRDefault="0098273B" w:rsidP="00B93217">
            <w:pPr>
              <w:pStyle w:val="TableParagraph"/>
              <w:keepNext/>
              <w:jc w:val="center"/>
            </w:pPr>
            <w:r w:rsidRPr="00EE3355">
              <w:t>1,13</w:t>
            </w:r>
          </w:p>
        </w:tc>
        <w:tc>
          <w:tcPr>
            <w:tcW w:w="2611" w:type="dxa"/>
          </w:tcPr>
          <w:p w14:paraId="5F40593E" w14:textId="77777777" w:rsidR="00222DE0" w:rsidRPr="00EE3355" w:rsidRDefault="0098273B" w:rsidP="00B93217">
            <w:pPr>
              <w:pStyle w:val="TableParagraph"/>
              <w:keepNext/>
              <w:jc w:val="center"/>
            </w:pPr>
            <w:r w:rsidRPr="00EE3355">
              <w:t>0,29*</w:t>
            </w:r>
          </w:p>
        </w:tc>
      </w:tr>
      <w:tr w:rsidR="00222DE0" w:rsidRPr="00EE3355" w14:paraId="4B78A7FF" w14:textId="77777777" w:rsidTr="003666E0">
        <w:trPr>
          <w:cantSplit/>
          <w:trHeight w:val="253"/>
        </w:trPr>
        <w:tc>
          <w:tcPr>
            <w:tcW w:w="2758" w:type="dxa"/>
          </w:tcPr>
          <w:p w14:paraId="726480A8" w14:textId="77777777" w:rsidR="00222DE0" w:rsidRPr="00EE3355" w:rsidRDefault="0098273B" w:rsidP="00EA1CDF">
            <w:pPr>
              <w:pStyle w:val="TableParagraph"/>
            </w:pPr>
            <w:r w:rsidRPr="00EE3355">
              <w:t>Skóre eroze</w:t>
            </w:r>
          </w:p>
        </w:tc>
        <w:tc>
          <w:tcPr>
            <w:tcW w:w="2516" w:type="dxa"/>
          </w:tcPr>
          <w:p w14:paraId="14A8926A" w14:textId="77777777" w:rsidR="00222DE0" w:rsidRPr="00EE3355" w:rsidRDefault="0098273B" w:rsidP="00EA1CDF">
            <w:pPr>
              <w:pStyle w:val="TableParagraph"/>
              <w:jc w:val="center"/>
            </w:pPr>
            <w:r w:rsidRPr="00EE3355">
              <w:t>0,71</w:t>
            </w:r>
          </w:p>
        </w:tc>
        <w:tc>
          <w:tcPr>
            <w:tcW w:w="2611" w:type="dxa"/>
          </w:tcPr>
          <w:p w14:paraId="220596D8" w14:textId="77777777" w:rsidR="00222DE0" w:rsidRPr="00EE3355" w:rsidRDefault="0098273B" w:rsidP="00EA1CDF">
            <w:pPr>
              <w:pStyle w:val="TableParagraph"/>
              <w:jc w:val="center"/>
            </w:pPr>
            <w:r w:rsidRPr="00EE3355">
              <w:t>0,17*</w:t>
            </w:r>
          </w:p>
        </w:tc>
      </w:tr>
      <w:tr w:rsidR="00222DE0" w:rsidRPr="00EE3355" w14:paraId="369FFE88" w14:textId="77777777" w:rsidTr="003666E0">
        <w:trPr>
          <w:cantSplit/>
          <w:trHeight w:val="251"/>
        </w:trPr>
        <w:tc>
          <w:tcPr>
            <w:tcW w:w="2758" w:type="dxa"/>
          </w:tcPr>
          <w:p w14:paraId="6ED1BF12" w14:textId="77777777" w:rsidR="00222DE0" w:rsidRPr="00EE3355" w:rsidRDefault="0098273B" w:rsidP="00EA1CDF">
            <w:pPr>
              <w:pStyle w:val="TableParagraph"/>
            </w:pPr>
            <w:r w:rsidRPr="00EE3355">
              <w:t>JSN skóre</w:t>
            </w:r>
          </w:p>
        </w:tc>
        <w:tc>
          <w:tcPr>
            <w:tcW w:w="2516" w:type="dxa"/>
          </w:tcPr>
          <w:p w14:paraId="7F9C02C8" w14:textId="77777777" w:rsidR="00222DE0" w:rsidRPr="00EE3355" w:rsidRDefault="0098273B" w:rsidP="00EA1CDF">
            <w:pPr>
              <w:pStyle w:val="TableParagraph"/>
              <w:jc w:val="center"/>
            </w:pPr>
            <w:r w:rsidRPr="00EE3355">
              <w:t>0,42</w:t>
            </w:r>
          </w:p>
        </w:tc>
        <w:tc>
          <w:tcPr>
            <w:tcW w:w="2611" w:type="dxa"/>
          </w:tcPr>
          <w:p w14:paraId="1F23AC91" w14:textId="77777777" w:rsidR="00222DE0" w:rsidRPr="00EE3355" w:rsidRDefault="0098273B" w:rsidP="00EA1CDF">
            <w:pPr>
              <w:pStyle w:val="TableParagraph"/>
              <w:jc w:val="center"/>
            </w:pPr>
            <w:r w:rsidRPr="00EE3355">
              <w:t>0,12**</w:t>
            </w:r>
          </w:p>
        </w:tc>
      </w:tr>
    </w:tbl>
    <w:p w14:paraId="32F488AA" w14:textId="77777777" w:rsidR="00FF4469" w:rsidRPr="00EE3355" w:rsidRDefault="0098273B" w:rsidP="00EA1CDF">
      <w:pPr>
        <w:widowControl/>
        <w:tabs>
          <w:tab w:val="left" w:pos="804"/>
        </w:tabs>
        <w:rPr>
          <w:i/>
          <w:sz w:val="18"/>
        </w:rPr>
      </w:pPr>
      <w:r w:rsidRPr="00EE3355">
        <w:rPr>
          <w:i/>
          <w:sz w:val="18"/>
        </w:rPr>
        <w:t>PBO</w:t>
      </w:r>
      <w:r w:rsidRPr="00EE3355">
        <w:rPr>
          <w:i/>
          <w:sz w:val="18"/>
        </w:rPr>
        <w:tab/>
        <w:t>- Placebo</w:t>
      </w:r>
    </w:p>
    <w:p w14:paraId="6A2BB2C1" w14:textId="77777777" w:rsidR="00FF4469" w:rsidRPr="00EE3355" w:rsidRDefault="0098273B" w:rsidP="00EA1CDF">
      <w:pPr>
        <w:widowControl/>
        <w:tabs>
          <w:tab w:val="left" w:pos="804"/>
        </w:tabs>
        <w:rPr>
          <w:i/>
          <w:sz w:val="18"/>
        </w:rPr>
      </w:pPr>
      <w:r w:rsidRPr="00EE3355">
        <w:rPr>
          <w:i/>
          <w:sz w:val="18"/>
        </w:rPr>
        <w:t>MTX</w:t>
      </w:r>
      <w:r w:rsidRPr="00EE3355">
        <w:rPr>
          <w:i/>
          <w:sz w:val="18"/>
        </w:rPr>
        <w:tab/>
        <w:t>- Methotrexát</w:t>
      </w:r>
    </w:p>
    <w:p w14:paraId="29757D84" w14:textId="77777777" w:rsidR="00222DE0" w:rsidRPr="00EE3355" w:rsidRDefault="0098273B" w:rsidP="00EA1CDF">
      <w:pPr>
        <w:widowControl/>
        <w:tabs>
          <w:tab w:val="left" w:pos="804"/>
        </w:tabs>
        <w:rPr>
          <w:i/>
          <w:sz w:val="18"/>
        </w:rPr>
      </w:pPr>
      <w:r w:rsidRPr="00EE3355">
        <w:rPr>
          <w:i/>
          <w:sz w:val="18"/>
        </w:rPr>
        <w:t>TCZ</w:t>
      </w:r>
      <w:r w:rsidRPr="00EE3355">
        <w:rPr>
          <w:i/>
          <w:sz w:val="18"/>
        </w:rPr>
        <w:tab/>
        <w:t>- Tocilizumab</w:t>
      </w:r>
    </w:p>
    <w:p w14:paraId="1B5CFDE8" w14:textId="77777777" w:rsidR="00222DE0" w:rsidRPr="00EE3355" w:rsidRDefault="0098273B" w:rsidP="00EA1CDF">
      <w:pPr>
        <w:widowControl/>
        <w:tabs>
          <w:tab w:val="left" w:pos="805"/>
        </w:tabs>
        <w:rPr>
          <w:i/>
          <w:sz w:val="18"/>
        </w:rPr>
      </w:pPr>
      <w:r w:rsidRPr="00EE3355">
        <w:rPr>
          <w:i/>
          <w:sz w:val="18"/>
        </w:rPr>
        <w:t>JSN</w:t>
      </w:r>
      <w:r w:rsidRPr="00EE3355">
        <w:rPr>
          <w:i/>
          <w:sz w:val="18"/>
        </w:rPr>
        <w:tab/>
        <w:t>- Zužování kloubní štěrbiny</w:t>
      </w:r>
    </w:p>
    <w:p w14:paraId="598575A9" w14:textId="77777777" w:rsidR="00222DE0" w:rsidRPr="00EE3355" w:rsidRDefault="0098273B" w:rsidP="00EA1CDF">
      <w:pPr>
        <w:widowControl/>
        <w:tabs>
          <w:tab w:val="left" w:pos="805"/>
        </w:tabs>
        <w:rPr>
          <w:i/>
          <w:sz w:val="18"/>
        </w:rPr>
      </w:pPr>
      <w:r w:rsidRPr="00EE3355">
        <w:rPr>
          <w:i/>
          <w:sz w:val="18"/>
        </w:rPr>
        <w:t>*</w:t>
      </w:r>
      <w:r w:rsidRPr="00EE3355">
        <w:rPr>
          <w:i/>
          <w:sz w:val="18"/>
        </w:rPr>
        <w:tab/>
        <w:t>- p≤0.0001, TCZ vs. PBO + MTX</w:t>
      </w:r>
    </w:p>
    <w:p w14:paraId="6FFFC010" w14:textId="77777777" w:rsidR="00222DE0" w:rsidRPr="00EE3355" w:rsidRDefault="0098273B" w:rsidP="00EA1CDF">
      <w:pPr>
        <w:widowControl/>
        <w:tabs>
          <w:tab w:val="left" w:pos="805"/>
        </w:tabs>
        <w:rPr>
          <w:i/>
          <w:sz w:val="18"/>
        </w:rPr>
      </w:pPr>
      <w:r w:rsidRPr="00EE3355">
        <w:rPr>
          <w:i/>
          <w:sz w:val="18"/>
        </w:rPr>
        <w:t>**</w:t>
      </w:r>
      <w:r w:rsidRPr="00EE3355">
        <w:rPr>
          <w:i/>
          <w:sz w:val="18"/>
        </w:rPr>
        <w:tab/>
        <w:t>- p&lt;0.005, TCZ vs. PBO + MTX</w:t>
      </w:r>
    </w:p>
    <w:p w14:paraId="417826B0" w14:textId="77777777" w:rsidR="00222DE0" w:rsidRPr="00EE3355" w:rsidRDefault="00222DE0" w:rsidP="00EA1CDF">
      <w:pPr>
        <w:pStyle w:val="a3"/>
        <w:ind w:left="0"/>
        <w:rPr>
          <w:i/>
          <w:sz w:val="18"/>
        </w:rPr>
      </w:pPr>
    </w:p>
    <w:p w14:paraId="397117F6" w14:textId="77777777" w:rsidR="00222DE0" w:rsidRPr="00EE3355" w:rsidRDefault="0098273B" w:rsidP="00EA1CDF">
      <w:pPr>
        <w:pStyle w:val="a3"/>
        <w:widowControl/>
        <w:ind w:left="0"/>
      </w:pPr>
      <w:r w:rsidRPr="00EE3355">
        <w:t xml:space="preserve">Po 1 roce léčby tocilizumabem a MTX nevykazovalo 85 % pacientů (n=348) žádnou progresi strukturálního poškození kloubů, jak je definována změnou v celkovém Sharp skóre rovnou 0 nebo nižší, v porovnání s 67 % pacientů ve skupině s placebem a MTX (n=290) (p </w:t>
      </w:r>
      <w:r w:rsidRPr="00EE3355">
        <w:rPr>
          <w:rFonts w:ascii="Symbol" w:hAnsi="Symbol"/>
        </w:rPr>
        <w:t></w:t>
      </w:r>
      <w:r w:rsidRPr="00EE3355">
        <w:t xml:space="preserve"> 0,001). Tyto výsledky setrvávaly i po 2 letech léčby (83 %, n=353). Devadesát tři procenta (93 %; n=271) pacientů nevykazovalo žádnou progresi mezi týdnem 52 a týdnem 104.</w:t>
      </w:r>
    </w:p>
    <w:p w14:paraId="42B11308" w14:textId="77777777" w:rsidR="00222DE0" w:rsidRPr="00EE3355" w:rsidRDefault="00222DE0" w:rsidP="00EA1CDF">
      <w:pPr>
        <w:widowControl/>
      </w:pPr>
    </w:p>
    <w:p w14:paraId="1E33EB81" w14:textId="77777777" w:rsidR="00222DE0" w:rsidRPr="00EE3355" w:rsidRDefault="0098273B" w:rsidP="00EA1CDF">
      <w:pPr>
        <w:widowControl/>
        <w:rPr>
          <w:i/>
        </w:rPr>
      </w:pPr>
      <w:r w:rsidRPr="00EE3355">
        <w:rPr>
          <w:i/>
        </w:rPr>
        <w:t>Výsledky ve vztahu ke zdraví a kvalitě života</w:t>
      </w:r>
    </w:p>
    <w:p w14:paraId="48DE8649" w14:textId="04ED25F2" w:rsidR="00222DE0" w:rsidRPr="00EE3355" w:rsidRDefault="0098273B" w:rsidP="00EA1CDF">
      <w:pPr>
        <w:pStyle w:val="a3"/>
        <w:widowControl/>
        <w:ind w:left="0"/>
      </w:pPr>
      <w:r w:rsidRPr="00EE3355">
        <w:t xml:space="preserve">Pacienti léčení tocilizumabem zaznamenávali zlepšení ve všech výsledcích hlášených pacienty (dotazník hodnotící zdraví a index funkční neschopnosti – HAQ-DI, Health Assessment Questionnaire Disability Index, zkrácený formulář 36 a dotazník funkčního hodnocení léčby chronického onemocnění). Statisticky významná zlepšení ve skóre HAQ-DI byla pozorována u pacientů léčených </w:t>
      </w:r>
      <w:r w:rsidR="00D57525" w:rsidRPr="001879E9">
        <w:t>tocilizumab</w:t>
      </w:r>
      <w:r w:rsidR="00D57525">
        <w:t xml:space="preserve">em </w:t>
      </w:r>
      <w:r w:rsidRPr="00EE3355">
        <w:t>v porovnání s pacienty léčenými DMARD. V průběhu otevřené fáze studie II bylo zlepšení fyzických funkcí udržováno po dobu až 2 let. V týdnu 52 byla střední změna v HAQ-DI</w:t>
      </w:r>
      <w:r w:rsidR="0078332E">
        <w:t xml:space="preserve"> </w:t>
      </w:r>
      <w:r w:rsidRPr="00EE3355">
        <w:t>-0,58 ve skupině s tocilizumabem 8 mg/kg a MTX, ve srovnání s -0,39 ve skupině s placebem a MTX. Průměrná změna HAQ-DI byla ve skupině s tocilizumabem 8 mg/kg a MTX udržována i v týdnu 104 (-0,61).</w:t>
      </w:r>
    </w:p>
    <w:p w14:paraId="1BD270DE" w14:textId="77777777" w:rsidR="00CC1636" w:rsidRPr="00EE3355" w:rsidRDefault="00CC1636" w:rsidP="00EA1CDF">
      <w:pPr>
        <w:pStyle w:val="a3"/>
        <w:widowControl/>
        <w:ind w:left="0"/>
      </w:pPr>
    </w:p>
    <w:p w14:paraId="7340C006" w14:textId="77777777" w:rsidR="00222DE0" w:rsidRPr="00EE3355" w:rsidRDefault="0098273B" w:rsidP="00EA1CDF">
      <w:pPr>
        <w:widowControl/>
        <w:rPr>
          <w:i/>
        </w:rPr>
      </w:pPr>
      <w:r w:rsidRPr="00EE3355">
        <w:rPr>
          <w:i/>
        </w:rPr>
        <w:t>Hladiny hemoglobinu</w:t>
      </w:r>
    </w:p>
    <w:p w14:paraId="16139C0B" w14:textId="77777777" w:rsidR="00222DE0" w:rsidRPr="00EE3355" w:rsidRDefault="0098273B" w:rsidP="00EA1CDF">
      <w:pPr>
        <w:pStyle w:val="a3"/>
        <w:widowControl/>
        <w:ind w:left="0"/>
      </w:pPr>
      <w:r w:rsidRPr="00EE3355">
        <w:t>Statisticky významná zlepšení hladin hemoglobinu byla pozorována u tocilizumabu v</w:t>
      </w:r>
      <w:r w:rsidR="0078332E">
        <w:t> </w:t>
      </w:r>
      <w:r w:rsidRPr="00EE3355">
        <w:t>porovnání</w:t>
      </w:r>
      <w:r w:rsidR="0078332E">
        <w:t xml:space="preserve"> </w:t>
      </w:r>
      <w:r w:rsidRPr="00EE3355">
        <w:t>s tradičními DMARD (p &lt;0,0001) v týdnu 24. Průměrné hladiny hemoglobinu vzrůstaly v týdnu 2 a</w:t>
      </w:r>
      <w:r w:rsidR="0078332E">
        <w:t xml:space="preserve"> </w:t>
      </w:r>
      <w:r w:rsidRPr="00EE3355">
        <w:t>zůstávaly na normálních hodnotách během následujících 24 týdnů.</w:t>
      </w:r>
    </w:p>
    <w:p w14:paraId="09562133" w14:textId="77777777" w:rsidR="00CC1636" w:rsidRPr="00EE3355" w:rsidRDefault="00CC1636" w:rsidP="00EA1CDF">
      <w:pPr>
        <w:pStyle w:val="a3"/>
        <w:widowControl/>
        <w:ind w:left="0"/>
      </w:pPr>
    </w:p>
    <w:p w14:paraId="484454C7" w14:textId="77777777" w:rsidR="00222DE0" w:rsidRPr="00EE3355" w:rsidRDefault="0098273B" w:rsidP="00EA1CDF">
      <w:pPr>
        <w:widowControl/>
        <w:rPr>
          <w:i/>
        </w:rPr>
      </w:pPr>
      <w:r w:rsidRPr="00EE3355">
        <w:rPr>
          <w:i/>
        </w:rPr>
        <w:t>Tocilizumab versus adalimumab v monoterapii</w:t>
      </w:r>
    </w:p>
    <w:p w14:paraId="0075396D" w14:textId="77777777" w:rsidR="00222DE0" w:rsidRPr="00EE3355" w:rsidRDefault="0098273B" w:rsidP="00EA1CDF">
      <w:pPr>
        <w:pStyle w:val="a3"/>
        <w:widowControl/>
        <w:ind w:left="0" w:right="282"/>
      </w:pPr>
      <w:r w:rsidRPr="00EE3355">
        <w:t>Studie VI (WA19924), 24týdenní dvojitě zaslepená studie porovnávající monoterapii tocilizumabem s monoterapií adalimumabem, hodnotila 326 pacientů s RA, kteří netolerovali MTX nebo u kterých nebylo vhodné pokračovat v léčbě MTX (včetně pacientů, kteří na léčbu MTX reagovali nedostatečně). Pacienti v rameni s tocilizumabem dostávali intravenózní (i.v.) infuzi tocilizumabu</w:t>
      </w:r>
      <w:r w:rsidR="00CC1636" w:rsidRPr="00EE3355">
        <w:t xml:space="preserve"> </w:t>
      </w:r>
      <w:r w:rsidRPr="00EE3355">
        <w:t>(8 mg/kg) každé 4 týdny a subkutánní (s.c.) injekci placeba každé 2 týdny. Pacienti v</w:t>
      </w:r>
      <w:r w:rsidR="00CC1636" w:rsidRPr="00EE3355">
        <w:t> </w:t>
      </w:r>
      <w:r w:rsidRPr="00EE3355">
        <w:t>rameni</w:t>
      </w:r>
      <w:r w:rsidR="00CC1636" w:rsidRPr="00EE3355">
        <w:t xml:space="preserve"> </w:t>
      </w:r>
      <w:r w:rsidRPr="00EE3355">
        <w:t>s adalimumabem dostávali s.c. injekci adalimumabu (40 mg) každé dva týdny a i.v. infuzi placeba každé 4 týdny. Statisticky významný superiorní účinek léčby byl pozorovaný ve prospěch tocilizumabu oproti adalimumabu, pokud jde o kontrolu aktivity onemocnění od počátku léčby do 24. týdne léčby u primárního cílového parametru změny DAS28 a u všech sekundárních cílových parametrů (tabulka 6).</w:t>
      </w:r>
    </w:p>
    <w:p w14:paraId="2C28C9FD" w14:textId="77777777" w:rsidR="006A2EA6" w:rsidRPr="00EE3355" w:rsidRDefault="006A2EA6" w:rsidP="00EA1CDF">
      <w:pPr>
        <w:pStyle w:val="a3"/>
        <w:widowControl/>
        <w:ind w:left="0"/>
      </w:pPr>
    </w:p>
    <w:p w14:paraId="33D9BC03" w14:textId="77777777" w:rsidR="00222DE0" w:rsidRPr="00EE3355" w:rsidRDefault="0098273B" w:rsidP="008E1B8C">
      <w:pPr>
        <w:keepNext/>
        <w:ind w:left="1134" w:hanging="1134"/>
        <w:rPr>
          <w:i/>
        </w:rPr>
      </w:pPr>
      <w:r w:rsidRPr="00EE3355">
        <w:rPr>
          <w:i/>
        </w:rPr>
        <w:t>Tabulka 6:</w:t>
      </w:r>
      <w:r w:rsidR="006A2EA6" w:rsidRPr="00EE3355">
        <w:rPr>
          <w:i/>
        </w:rPr>
        <w:tab/>
      </w:r>
      <w:r w:rsidRPr="00EE3355">
        <w:rPr>
          <w:i/>
        </w:rPr>
        <w:t>Výsledky účinnosti ze studie VI (WA19924)</w:t>
      </w:r>
    </w:p>
    <w:p w14:paraId="430EA0E9" w14:textId="77777777" w:rsidR="006A2EA6" w:rsidRPr="00EE3355" w:rsidRDefault="006A2EA6" w:rsidP="008E1B8C">
      <w:pPr>
        <w:keepNext/>
        <w:ind w:left="1134" w:hanging="1134"/>
        <w:rPr>
          <w:i/>
        </w:rPr>
      </w:pPr>
    </w:p>
    <w:tbl>
      <w:tblPr>
        <w:tblW w:w="0" w:type="auto"/>
        <w:tblInd w:w="4"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CellMar>
          <w:top w:w="28" w:type="dxa"/>
          <w:bottom w:w="28" w:type="dxa"/>
        </w:tblCellMar>
        <w:tblLook w:val="01E0" w:firstRow="1" w:lastRow="1" w:firstColumn="1" w:lastColumn="1" w:noHBand="0" w:noVBand="0"/>
      </w:tblPr>
      <w:tblGrid>
        <w:gridCol w:w="3813"/>
        <w:gridCol w:w="1408"/>
        <w:gridCol w:w="1725"/>
        <w:gridCol w:w="1224"/>
      </w:tblGrid>
      <w:tr w:rsidR="00222DE0" w:rsidRPr="009F16F4" w14:paraId="6A234EFA" w14:textId="77777777" w:rsidTr="00A66F71">
        <w:trPr>
          <w:trHeight w:val="303"/>
        </w:trPr>
        <w:tc>
          <w:tcPr>
            <w:tcW w:w="5221" w:type="dxa"/>
            <w:gridSpan w:val="2"/>
          </w:tcPr>
          <w:p w14:paraId="233FD65D" w14:textId="77777777" w:rsidR="00222DE0" w:rsidRPr="00B93217" w:rsidRDefault="0098273B" w:rsidP="008E1B8C">
            <w:pPr>
              <w:pStyle w:val="TableParagraph"/>
              <w:keepNext/>
              <w:ind w:left="3909" w:right="116" w:hanging="452"/>
              <w:rPr>
                <w:b/>
                <w:sz w:val="18"/>
                <w:szCs w:val="18"/>
              </w:rPr>
            </w:pPr>
            <w:r w:rsidRPr="00B93217">
              <w:rPr>
                <w:b/>
                <w:sz w:val="18"/>
                <w:szCs w:val="18"/>
              </w:rPr>
              <w:t>ADA + Placebo (i.v.) n = 162</w:t>
            </w:r>
          </w:p>
        </w:tc>
        <w:tc>
          <w:tcPr>
            <w:tcW w:w="1725" w:type="dxa"/>
          </w:tcPr>
          <w:p w14:paraId="630F6322" w14:textId="77777777" w:rsidR="00222DE0" w:rsidRPr="00B93217" w:rsidRDefault="0098273B" w:rsidP="008E1B8C">
            <w:pPr>
              <w:pStyle w:val="TableParagraph"/>
              <w:keepNext/>
              <w:ind w:right="48"/>
              <w:jc w:val="center"/>
              <w:rPr>
                <w:b/>
                <w:sz w:val="18"/>
                <w:szCs w:val="18"/>
              </w:rPr>
            </w:pPr>
            <w:r w:rsidRPr="00B93217">
              <w:rPr>
                <w:b/>
                <w:sz w:val="18"/>
                <w:szCs w:val="18"/>
              </w:rPr>
              <w:t>TCZ + Placebo (s.c.)</w:t>
            </w:r>
            <w:r w:rsidR="00A66F71" w:rsidRPr="00B93217">
              <w:rPr>
                <w:b/>
                <w:sz w:val="18"/>
                <w:szCs w:val="18"/>
              </w:rPr>
              <w:t xml:space="preserve"> </w:t>
            </w:r>
            <w:r w:rsidRPr="00B93217">
              <w:rPr>
                <w:b/>
                <w:sz w:val="18"/>
                <w:szCs w:val="18"/>
              </w:rPr>
              <w:t>n = 163</w:t>
            </w:r>
          </w:p>
        </w:tc>
        <w:tc>
          <w:tcPr>
            <w:tcW w:w="1224" w:type="dxa"/>
          </w:tcPr>
          <w:p w14:paraId="605AF5C7" w14:textId="77777777" w:rsidR="00222DE0" w:rsidRPr="00B93217" w:rsidRDefault="00222DE0" w:rsidP="008E1B8C">
            <w:pPr>
              <w:pStyle w:val="TableParagraph"/>
              <w:keepNext/>
              <w:rPr>
                <w:i/>
                <w:sz w:val="18"/>
                <w:szCs w:val="18"/>
              </w:rPr>
            </w:pPr>
          </w:p>
          <w:p w14:paraId="1C93B8C0" w14:textId="77777777" w:rsidR="00222DE0" w:rsidRPr="00B93217" w:rsidRDefault="0098273B" w:rsidP="008E1B8C">
            <w:pPr>
              <w:pStyle w:val="TableParagraph"/>
              <w:keepNext/>
              <w:ind w:left="1" w:right="21"/>
              <w:jc w:val="center"/>
              <w:rPr>
                <w:b/>
                <w:sz w:val="18"/>
                <w:szCs w:val="18"/>
              </w:rPr>
            </w:pPr>
            <w:r w:rsidRPr="00B93217">
              <w:rPr>
                <w:sz w:val="18"/>
                <w:szCs w:val="18"/>
              </w:rPr>
              <w:t>p-hodnota</w:t>
            </w:r>
            <w:r w:rsidRPr="00B93217">
              <w:rPr>
                <w:b/>
                <w:sz w:val="18"/>
                <w:szCs w:val="18"/>
                <w:vertAlign w:val="superscript"/>
              </w:rPr>
              <w:t>(a)</w:t>
            </w:r>
          </w:p>
        </w:tc>
      </w:tr>
      <w:tr w:rsidR="00222DE0" w:rsidRPr="009F16F4" w14:paraId="0E8CBCB2" w14:textId="77777777" w:rsidTr="008E1B8C">
        <w:trPr>
          <w:trHeight w:val="227"/>
        </w:trPr>
        <w:tc>
          <w:tcPr>
            <w:tcW w:w="8170" w:type="dxa"/>
            <w:gridSpan w:val="4"/>
            <w:tcBorders>
              <w:bottom w:val="single" w:sz="8" w:space="0" w:color="000000"/>
            </w:tcBorders>
          </w:tcPr>
          <w:p w14:paraId="6799B39F" w14:textId="77777777" w:rsidR="00222DE0" w:rsidRPr="00B93217" w:rsidRDefault="0098273B" w:rsidP="008E1B8C">
            <w:pPr>
              <w:pStyle w:val="TableParagraph"/>
              <w:keepNext/>
              <w:spacing w:before="92"/>
              <w:ind w:left="62"/>
              <w:rPr>
                <w:b/>
                <w:sz w:val="18"/>
                <w:szCs w:val="18"/>
              </w:rPr>
            </w:pPr>
            <w:r w:rsidRPr="00B93217">
              <w:rPr>
                <w:b/>
                <w:sz w:val="18"/>
                <w:szCs w:val="18"/>
              </w:rPr>
              <w:t>Primární cílový parametr – průměrná změna od výchozích hodnot ve 24. týdnu</w:t>
            </w:r>
          </w:p>
        </w:tc>
      </w:tr>
      <w:tr w:rsidR="00222DE0" w:rsidRPr="009F16F4" w14:paraId="1010797A" w14:textId="77777777" w:rsidTr="008E1B8C">
        <w:trPr>
          <w:trHeight w:val="318"/>
        </w:trPr>
        <w:tc>
          <w:tcPr>
            <w:tcW w:w="3813" w:type="dxa"/>
            <w:tcBorders>
              <w:bottom w:val="nil"/>
            </w:tcBorders>
          </w:tcPr>
          <w:p w14:paraId="482FBBA6" w14:textId="77777777" w:rsidR="00222DE0" w:rsidRPr="00B93217" w:rsidRDefault="0098273B" w:rsidP="00EA1CDF">
            <w:pPr>
              <w:pStyle w:val="TableParagraph"/>
              <w:spacing w:before="93"/>
              <w:ind w:right="273"/>
              <w:jc w:val="right"/>
              <w:rPr>
                <w:b/>
                <w:sz w:val="18"/>
                <w:szCs w:val="18"/>
              </w:rPr>
            </w:pPr>
            <w:r w:rsidRPr="00B93217">
              <w:rPr>
                <w:b/>
                <w:sz w:val="18"/>
                <w:szCs w:val="18"/>
              </w:rPr>
              <w:t>DAS28 (upravený průměr)</w:t>
            </w:r>
          </w:p>
        </w:tc>
        <w:tc>
          <w:tcPr>
            <w:tcW w:w="1408" w:type="dxa"/>
            <w:tcBorders>
              <w:bottom w:val="nil"/>
            </w:tcBorders>
          </w:tcPr>
          <w:p w14:paraId="6A3EB7FA" w14:textId="77777777" w:rsidR="00222DE0" w:rsidRPr="00B93217" w:rsidRDefault="0098273B" w:rsidP="00EA1CDF">
            <w:pPr>
              <w:pStyle w:val="TableParagraph"/>
              <w:spacing w:before="93"/>
              <w:ind w:right="234"/>
              <w:jc w:val="center"/>
              <w:rPr>
                <w:b/>
                <w:sz w:val="18"/>
                <w:szCs w:val="18"/>
              </w:rPr>
            </w:pPr>
            <w:r w:rsidRPr="00B93217">
              <w:rPr>
                <w:b/>
                <w:sz w:val="18"/>
                <w:szCs w:val="18"/>
              </w:rPr>
              <w:t>-1,8</w:t>
            </w:r>
          </w:p>
        </w:tc>
        <w:tc>
          <w:tcPr>
            <w:tcW w:w="1725" w:type="dxa"/>
            <w:tcBorders>
              <w:bottom w:val="nil"/>
            </w:tcBorders>
          </w:tcPr>
          <w:p w14:paraId="0324E883" w14:textId="77777777" w:rsidR="00222DE0" w:rsidRPr="00B93217" w:rsidRDefault="0098273B" w:rsidP="00EA1CDF">
            <w:pPr>
              <w:pStyle w:val="TableParagraph"/>
              <w:spacing w:before="93"/>
              <w:ind w:right="56"/>
              <w:jc w:val="center"/>
              <w:rPr>
                <w:b/>
                <w:sz w:val="18"/>
                <w:szCs w:val="18"/>
              </w:rPr>
            </w:pPr>
            <w:r w:rsidRPr="00B93217">
              <w:rPr>
                <w:b/>
                <w:sz w:val="18"/>
                <w:szCs w:val="18"/>
              </w:rPr>
              <w:t>-3,3</w:t>
            </w:r>
          </w:p>
        </w:tc>
        <w:tc>
          <w:tcPr>
            <w:tcW w:w="1224" w:type="dxa"/>
            <w:tcBorders>
              <w:bottom w:val="nil"/>
            </w:tcBorders>
          </w:tcPr>
          <w:p w14:paraId="39F89247" w14:textId="77777777" w:rsidR="00222DE0" w:rsidRPr="00B93217" w:rsidRDefault="00222DE0" w:rsidP="00EA1CDF">
            <w:pPr>
              <w:pStyle w:val="TableParagraph"/>
              <w:rPr>
                <w:b/>
                <w:sz w:val="18"/>
                <w:szCs w:val="18"/>
              </w:rPr>
            </w:pPr>
          </w:p>
        </w:tc>
      </w:tr>
      <w:tr w:rsidR="00222DE0" w:rsidRPr="009F16F4" w14:paraId="696A6576" w14:textId="77777777" w:rsidTr="008E1B8C">
        <w:trPr>
          <w:trHeight w:val="249"/>
        </w:trPr>
        <w:tc>
          <w:tcPr>
            <w:tcW w:w="3813" w:type="dxa"/>
            <w:tcBorders>
              <w:top w:val="nil"/>
            </w:tcBorders>
          </w:tcPr>
          <w:p w14:paraId="6310F2F8" w14:textId="77777777" w:rsidR="00222DE0" w:rsidRPr="00B93217" w:rsidRDefault="0098273B" w:rsidP="00EA1CDF">
            <w:pPr>
              <w:pStyle w:val="TableParagraph"/>
              <w:spacing w:before="74"/>
              <w:ind w:right="273"/>
              <w:jc w:val="right"/>
              <w:rPr>
                <w:b/>
                <w:sz w:val="18"/>
                <w:szCs w:val="18"/>
              </w:rPr>
            </w:pPr>
            <w:r w:rsidRPr="00B93217">
              <w:rPr>
                <w:b/>
                <w:sz w:val="18"/>
                <w:szCs w:val="18"/>
              </w:rPr>
              <w:t>Rozdíl upraveného průměru (95% CI)</w:t>
            </w:r>
          </w:p>
        </w:tc>
        <w:tc>
          <w:tcPr>
            <w:tcW w:w="3133" w:type="dxa"/>
            <w:gridSpan w:val="2"/>
            <w:tcBorders>
              <w:top w:val="nil"/>
            </w:tcBorders>
          </w:tcPr>
          <w:p w14:paraId="1C45F009" w14:textId="77777777" w:rsidR="00222DE0" w:rsidRPr="00B93217" w:rsidRDefault="0098273B" w:rsidP="00EA1CDF">
            <w:pPr>
              <w:pStyle w:val="TableParagraph"/>
              <w:spacing w:before="74"/>
              <w:ind w:left="935"/>
              <w:rPr>
                <w:b/>
                <w:sz w:val="18"/>
                <w:szCs w:val="18"/>
              </w:rPr>
            </w:pPr>
            <w:r w:rsidRPr="00B93217">
              <w:rPr>
                <w:b/>
                <w:sz w:val="18"/>
                <w:szCs w:val="18"/>
              </w:rPr>
              <w:t>-1,5 (-1,8; -1,1)</w:t>
            </w:r>
          </w:p>
        </w:tc>
        <w:tc>
          <w:tcPr>
            <w:tcW w:w="1224" w:type="dxa"/>
            <w:tcBorders>
              <w:top w:val="nil"/>
            </w:tcBorders>
          </w:tcPr>
          <w:p w14:paraId="421637E0" w14:textId="77777777" w:rsidR="00222DE0" w:rsidRPr="00B93217" w:rsidRDefault="0098273B" w:rsidP="00EA1CDF">
            <w:pPr>
              <w:pStyle w:val="TableParagraph"/>
              <w:spacing w:before="74"/>
              <w:ind w:right="21"/>
              <w:jc w:val="center"/>
              <w:rPr>
                <w:b/>
                <w:sz w:val="18"/>
                <w:szCs w:val="18"/>
              </w:rPr>
            </w:pPr>
            <w:r w:rsidRPr="00B93217">
              <w:rPr>
                <w:b/>
                <w:sz w:val="18"/>
                <w:szCs w:val="18"/>
              </w:rPr>
              <w:t>&lt;0,0001</w:t>
            </w:r>
          </w:p>
        </w:tc>
      </w:tr>
      <w:tr w:rsidR="00222DE0" w:rsidRPr="009F16F4" w14:paraId="2F1E4627" w14:textId="77777777" w:rsidTr="008E1B8C">
        <w:trPr>
          <w:trHeight w:val="158"/>
        </w:trPr>
        <w:tc>
          <w:tcPr>
            <w:tcW w:w="8170" w:type="dxa"/>
            <w:gridSpan w:val="4"/>
            <w:tcBorders>
              <w:bottom w:val="single" w:sz="8" w:space="0" w:color="000000"/>
            </w:tcBorders>
          </w:tcPr>
          <w:p w14:paraId="31C35EF2" w14:textId="77777777" w:rsidR="00222DE0" w:rsidRPr="00B93217" w:rsidRDefault="0098273B" w:rsidP="00EA1CDF">
            <w:pPr>
              <w:pStyle w:val="TableParagraph"/>
              <w:spacing w:before="93"/>
              <w:ind w:left="62"/>
              <w:rPr>
                <w:b/>
                <w:sz w:val="18"/>
                <w:szCs w:val="18"/>
              </w:rPr>
            </w:pPr>
            <w:r w:rsidRPr="00B93217">
              <w:rPr>
                <w:b/>
                <w:sz w:val="18"/>
                <w:szCs w:val="18"/>
              </w:rPr>
              <w:t xml:space="preserve">Sekundární cílové parametry – procento responderů ve 24. týdnu </w:t>
            </w:r>
            <w:r w:rsidRPr="00B93217">
              <w:rPr>
                <w:b/>
                <w:sz w:val="18"/>
                <w:szCs w:val="18"/>
                <w:vertAlign w:val="superscript"/>
              </w:rPr>
              <w:t>(b)</w:t>
            </w:r>
          </w:p>
        </w:tc>
      </w:tr>
      <w:tr w:rsidR="00222DE0" w:rsidRPr="009F16F4" w14:paraId="5118C7B0" w14:textId="77777777" w:rsidTr="008E1B8C">
        <w:trPr>
          <w:trHeight w:val="220"/>
        </w:trPr>
        <w:tc>
          <w:tcPr>
            <w:tcW w:w="3813" w:type="dxa"/>
            <w:tcBorders>
              <w:bottom w:val="single" w:sz="4" w:space="0" w:color="auto"/>
            </w:tcBorders>
          </w:tcPr>
          <w:p w14:paraId="377610A6" w14:textId="77777777" w:rsidR="00222DE0" w:rsidRPr="00B93217" w:rsidRDefault="0098273B" w:rsidP="00EA1CDF">
            <w:pPr>
              <w:pStyle w:val="TableParagraph"/>
              <w:spacing w:before="93"/>
              <w:ind w:right="271"/>
              <w:jc w:val="right"/>
              <w:rPr>
                <w:sz w:val="18"/>
                <w:szCs w:val="18"/>
              </w:rPr>
            </w:pPr>
            <w:r w:rsidRPr="00B93217">
              <w:rPr>
                <w:sz w:val="18"/>
                <w:szCs w:val="18"/>
              </w:rPr>
              <w:lastRenderedPageBreak/>
              <w:t>DAS28 &lt; 2,6; n (%)</w:t>
            </w:r>
          </w:p>
        </w:tc>
        <w:tc>
          <w:tcPr>
            <w:tcW w:w="1408" w:type="dxa"/>
            <w:tcBorders>
              <w:bottom w:val="single" w:sz="4" w:space="0" w:color="auto"/>
            </w:tcBorders>
          </w:tcPr>
          <w:p w14:paraId="476978E9" w14:textId="77777777" w:rsidR="00222DE0" w:rsidRPr="00B93217" w:rsidRDefault="0098273B" w:rsidP="00EA1CDF">
            <w:pPr>
              <w:pStyle w:val="TableParagraph"/>
              <w:spacing w:before="93"/>
              <w:ind w:left="2" w:right="234"/>
              <w:jc w:val="center"/>
              <w:rPr>
                <w:sz w:val="18"/>
                <w:szCs w:val="18"/>
              </w:rPr>
            </w:pPr>
            <w:r w:rsidRPr="00B93217">
              <w:rPr>
                <w:sz w:val="18"/>
                <w:szCs w:val="18"/>
              </w:rPr>
              <w:t>17 (10,5)</w:t>
            </w:r>
          </w:p>
        </w:tc>
        <w:tc>
          <w:tcPr>
            <w:tcW w:w="1725" w:type="dxa"/>
            <w:tcBorders>
              <w:bottom w:val="single" w:sz="4" w:space="0" w:color="auto"/>
            </w:tcBorders>
          </w:tcPr>
          <w:p w14:paraId="34505CDC" w14:textId="77777777" w:rsidR="00222DE0" w:rsidRPr="00B93217" w:rsidRDefault="0098273B" w:rsidP="00EA1CDF">
            <w:pPr>
              <w:pStyle w:val="TableParagraph"/>
              <w:spacing w:before="93"/>
              <w:ind w:left="3" w:right="56"/>
              <w:jc w:val="center"/>
              <w:rPr>
                <w:sz w:val="18"/>
                <w:szCs w:val="18"/>
              </w:rPr>
            </w:pPr>
            <w:r w:rsidRPr="00B93217">
              <w:rPr>
                <w:sz w:val="18"/>
                <w:szCs w:val="18"/>
              </w:rPr>
              <w:t>65 (39,9)</w:t>
            </w:r>
          </w:p>
        </w:tc>
        <w:tc>
          <w:tcPr>
            <w:tcW w:w="1224" w:type="dxa"/>
            <w:tcBorders>
              <w:bottom w:val="single" w:sz="4" w:space="0" w:color="auto"/>
            </w:tcBorders>
          </w:tcPr>
          <w:p w14:paraId="0A073213" w14:textId="77777777" w:rsidR="00222DE0" w:rsidRPr="00B93217" w:rsidRDefault="0098273B" w:rsidP="00EA1CDF">
            <w:pPr>
              <w:pStyle w:val="TableParagraph"/>
              <w:spacing w:before="93"/>
              <w:ind w:left="1" w:right="21"/>
              <w:jc w:val="center"/>
              <w:rPr>
                <w:sz w:val="18"/>
                <w:szCs w:val="18"/>
              </w:rPr>
            </w:pPr>
            <w:r w:rsidRPr="00B93217">
              <w:rPr>
                <w:sz w:val="18"/>
                <w:szCs w:val="18"/>
              </w:rPr>
              <w:t>&lt;0,0001</w:t>
            </w:r>
          </w:p>
        </w:tc>
      </w:tr>
      <w:tr w:rsidR="00222DE0" w:rsidRPr="009F16F4" w14:paraId="02606833" w14:textId="77777777" w:rsidTr="008E1B8C">
        <w:trPr>
          <w:trHeight w:val="295"/>
        </w:trPr>
        <w:tc>
          <w:tcPr>
            <w:tcW w:w="3813" w:type="dxa"/>
            <w:tcBorders>
              <w:top w:val="single" w:sz="4" w:space="0" w:color="auto"/>
              <w:bottom w:val="single" w:sz="4" w:space="0" w:color="auto"/>
            </w:tcBorders>
          </w:tcPr>
          <w:p w14:paraId="3EB17B09" w14:textId="77777777" w:rsidR="00222DE0" w:rsidRPr="00B93217" w:rsidRDefault="0098273B" w:rsidP="00EA1CDF">
            <w:pPr>
              <w:pStyle w:val="TableParagraph"/>
              <w:spacing w:before="75"/>
              <w:ind w:right="273"/>
              <w:jc w:val="right"/>
              <w:rPr>
                <w:sz w:val="18"/>
                <w:szCs w:val="18"/>
              </w:rPr>
            </w:pPr>
            <w:r w:rsidRPr="00B93217">
              <w:rPr>
                <w:sz w:val="18"/>
                <w:szCs w:val="18"/>
              </w:rPr>
              <w:t>DAS28 ≤ 3,2; n (%)</w:t>
            </w:r>
          </w:p>
        </w:tc>
        <w:tc>
          <w:tcPr>
            <w:tcW w:w="1408" w:type="dxa"/>
            <w:tcBorders>
              <w:top w:val="single" w:sz="4" w:space="0" w:color="auto"/>
              <w:bottom w:val="single" w:sz="4" w:space="0" w:color="auto"/>
            </w:tcBorders>
          </w:tcPr>
          <w:p w14:paraId="39C9E8C7" w14:textId="77777777" w:rsidR="00222DE0" w:rsidRPr="00B93217" w:rsidRDefault="0098273B" w:rsidP="00EA1CDF">
            <w:pPr>
              <w:pStyle w:val="TableParagraph"/>
              <w:spacing w:before="75"/>
              <w:ind w:left="2" w:right="234"/>
              <w:jc w:val="center"/>
              <w:rPr>
                <w:sz w:val="18"/>
                <w:szCs w:val="18"/>
              </w:rPr>
            </w:pPr>
            <w:r w:rsidRPr="00B93217">
              <w:rPr>
                <w:sz w:val="18"/>
                <w:szCs w:val="18"/>
              </w:rPr>
              <w:t>32 (19,8)</w:t>
            </w:r>
          </w:p>
        </w:tc>
        <w:tc>
          <w:tcPr>
            <w:tcW w:w="1725" w:type="dxa"/>
            <w:tcBorders>
              <w:top w:val="single" w:sz="4" w:space="0" w:color="auto"/>
              <w:bottom w:val="single" w:sz="4" w:space="0" w:color="auto"/>
            </w:tcBorders>
          </w:tcPr>
          <w:p w14:paraId="11F3F256" w14:textId="77777777" w:rsidR="00222DE0" w:rsidRPr="00B93217" w:rsidRDefault="0098273B" w:rsidP="00EA1CDF">
            <w:pPr>
              <w:pStyle w:val="TableParagraph"/>
              <w:spacing w:before="75"/>
              <w:ind w:left="3" w:right="56"/>
              <w:jc w:val="center"/>
              <w:rPr>
                <w:sz w:val="18"/>
                <w:szCs w:val="18"/>
              </w:rPr>
            </w:pPr>
            <w:r w:rsidRPr="00B93217">
              <w:rPr>
                <w:sz w:val="18"/>
                <w:szCs w:val="18"/>
              </w:rPr>
              <w:t>84 (51,5)</w:t>
            </w:r>
          </w:p>
        </w:tc>
        <w:tc>
          <w:tcPr>
            <w:tcW w:w="1224" w:type="dxa"/>
            <w:tcBorders>
              <w:top w:val="single" w:sz="4" w:space="0" w:color="auto"/>
              <w:bottom w:val="single" w:sz="4" w:space="0" w:color="auto"/>
            </w:tcBorders>
          </w:tcPr>
          <w:p w14:paraId="56A49120" w14:textId="77777777" w:rsidR="00222DE0" w:rsidRPr="00B93217" w:rsidRDefault="0098273B" w:rsidP="00EA1CDF">
            <w:pPr>
              <w:pStyle w:val="TableParagraph"/>
              <w:spacing w:before="75"/>
              <w:ind w:left="1" w:right="21"/>
              <w:jc w:val="center"/>
              <w:rPr>
                <w:sz w:val="18"/>
                <w:szCs w:val="18"/>
              </w:rPr>
            </w:pPr>
            <w:r w:rsidRPr="00B93217">
              <w:rPr>
                <w:sz w:val="18"/>
                <w:szCs w:val="18"/>
              </w:rPr>
              <w:t>&lt;0,0001</w:t>
            </w:r>
          </w:p>
        </w:tc>
      </w:tr>
      <w:tr w:rsidR="00222DE0" w:rsidRPr="009F16F4" w14:paraId="53427879" w14:textId="77777777" w:rsidTr="008E1B8C">
        <w:trPr>
          <w:trHeight w:val="201"/>
        </w:trPr>
        <w:tc>
          <w:tcPr>
            <w:tcW w:w="3813" w:type="dxa"/>
            <w:tcBorders>
              <w:top w:val="single" w:sz="4" w:space="0" w:color="auto"/>
              <w:bottom w:val="single" w:sz="4" w:space="0" w:color="auto"/>
            </w:tcBorders>
          </w:tcPr>
          <w:p w14:paraId="478A0B66" w14:textId="77777777" w:rsidR="00222DE0" w:rsidRPr="00B93217" w:rsidRDefault="0098273B" w:rsidP="00EA1CDF">
            <w:pPr>
              <w:pStyle w:val="TableParagraph"/>
              <w:spacing w:before="74"/>
              <w:ind w:right="271"/>
              <w:jc w:val="right"/>
              <w:rPr>
                <w:sz w:val="18"/>
                <w:szCs w:val="18"/>
              </w:rPr>
            </w:pPr>
            <w:r w:rsidRPr="00B93217">
              <w:rPr>
                <w:sz w:val="18"/>
                <w:szCs w:val="18"/>
              </w:rPr>
              <w:t>ACR20 odpověď; n (%)</w:t>
            </w:r>
          </w:p>
        </w:tc>
        <w:tc>
          <w:tcPr>
            <w:tcW w:w="1408" w:type="dxa"/>
            <w:tcBorders>
              <w:top w:val="single" w:sz="4" w:space="0" w:color="auto"/>
              <w:bottom w:val="single" w:sz="4" w:space="0" w:color="auto"/>
            </w:tcBorders>
          </w:tcPr>
          <w:p w14:paraId="15E41B9B" w14:textId="77777777" w:rsidR="00222DE0" w:rsidRPr="00B93217" w:rsidRDefault="0098273B" w:rsidP="00EA1CDF">
            <w:pPr>
              <w:pStyle w:val="TableParagraph"/>
              <w:spacing w:before="74"/>
              <w:ind w:left="2" w:right="234"/>
              <w:jc w:val="center"/>
              <w:rPr>
                <w:sz w:val="18"/>
                <w:szCs w:val="18"/>
              </w:rPr>
            </w:pPr>
            <w:r w:rsidRPr="00B93217">
              <w:rPr>
                <w:sz w:val="18"/>
                <w:szCs w:val="18"/>
              </w:rPr>
              <w:t>80 (49,4)</w:t>
            </w:r>
          </w:p>
        </w:tc>
        <w:tc>
          <w:tcPr>
            <w:tcW w:w="1725" w:type="dxa"/>
            <w:tcBorders>
              <w:top w:val="single" w:sz="4" w:space="0" w:color="auto"/>
              <w:bottom w:val="single" w:sz="4" w:space="0" w:color="auto"/>
            </w:tcBorders>
          </w:tcPr>
          <w:p w14:paraId="6B03C1BA" w14:textId="77777777" w:rsidR="00222DE0" w:rsidRPr="00B93217" w:rsidRDefault="0098273B" w:rsidP="00EA1CDF">
            <w:pPr>
              <w:pStyle w:val="TableParagraph"/>
              <w:spacing w:before="74"/>
              <w:ind w:left="3" w:right="56"/>
              <w:jc w:val="center"/>
              <w:rPr>
                <w:sz w:val="18"/>
                <w:szCs w:val="18"/>
              </w:rPr>
            </w:pPr>
            <w:r w:rsidRPr="00B93217">
              <w:rPr>
                <w:sz w:val="18"/>
                <w:szCs w:val="18"/>
              </w:rPr>
              <w:t>106 (65,0)</w:t>
            </w:r>
          </w:p>
        </w:tc>
        <w:tc>
          <w:tcPr>
            <w:tcW w:w="1224" w:type="dxa"/>
            <w:tcBorders>
              <w:top w:val="single" w:sz="4" w:space="0" w:color="auto"/>
              <w:bottom w:val="single" w:sz="4" w:space="0" w:color="auto"/>
            </w:tcBorders>
          </w:tcPr>
          <w:p w14:paraId="0A2BF429" w14:textId="77777777" w:rsidR="00222DE0" w:rsidRPr="00B93217" w:rsidRDefault="0098273B" w:rsidP="00EA1CDF">
            <w:pPr>
              <w:pStyle w:val="TableParagraph"/>
              <w:spacing w:before="74"/>
              <w:ind w:right="21"/>
              <w:jc w:val="center"/>
              <w:rPr>
                <w:sz w:val="18"/>
                <w:szCs w:val="18"/>
              </w:rPr>
            </w:pPr>
            <w:r w:rsidRPr="00B93217">
              <w:rPr>
                <w:sz w:val="18"/>
                <w:szCs w:val="18"/>
              </w:rPr>
              <w:t>0,0038</w:t>
            </w:r>
          </w:p>
        </w:tc>
      </w:tr>
      <w:tr w:rsidR="00222DE0" w:rsidRPr="009F16F4" w14:paraId="380B45D2" w14:textId="77777777" w:rsidTr="008E1B8C">
        <w:trPr>
          <w:trHeight w:val="150"/>
        </w:trPr>
        <w:tc>
          <w:tcPr>
            <w:tcW w:w="3813" w:type="dxa"/>
            <w:tcBorders>
              <w:top w:val="single" w:sz="4" w:space="0" w:color="auto"/>
              <w:bottom w:val="single" w:sz="4" w:space="0" w:color="auto"/>
            </w:tcBorders>
          </w:tcPr>
          <w:p w14:paraId="3814A0E9" w14:textId="77777777" w:rsidR="00222DE0" w:rsidRPr="00B93217" w:rsidRDefault="0098273B" w:rsidP="00EA1CDF">
            <w:pPr>
              <w:pStyle w:val="TableParagraph"/>
              <w:spacing w:before="75"/>
              <w:ind w:right="271"/>
              <w:jc w:val="right"/>
              <w:rPr>
                <w:sz w:val="18"/>
                <w:szCs w:val="18"/>
              </w:rPr>
            </w:pPr>
            <w:r w:rsidRPr="00B93217">
              <w:rPr>
                <w:sz w:val="18"/>
                <w:szCs w:val="18"/>
              </w:rPr>
              <w:t>ACR50 odpověď; n (%)</w:t>
            </w:r>
          </w:p>
        </w:tc>
        <w:tc>
          <w:tcPr>
            <w:tcW w:w="1408" w:type="dxa"/>
            <w:tcBorders>
              <w:top w:val="single" w:sz="4" w:space="0" w:color="auto"/>
              <w:bottom w:val="single" w:sz="4" w:space="0" w:color="auto"/>
            </w:tcBorders>
          </w:tcPr>
          <w:p w14:paraId="0A6DD427" w14:textId="77777777" w:rsidR="00222DE0" w:rsidRPr="00B93217" w:rsidRDefault="0098273B" w:rsidP="00EA1CDF">
            <w:pPr>
              <w:pStyle w:val="TableParagraph"/>
              <w:spacing w:before="75"/>
              <w:ind w:left="2" w:right="234"/>
              <w:jc w:val="center"/>
              <w:rPr>
                <w:sz w:val="18"/>
                <w:szCs w:val="18"/>
              </w:rPr>
            </w:pPr>
            <w:r w:rsidRPr="00B93217">
              <w:rPr>
                <w:sz w:val="18"/>
                <w:szCs w:val="18"/>
              </w:rPr>
              <w:t>45 (27,8)</w:t>
            </w:r>
          </w:p>
        </w:tc>
        <w:tc>
          <w:tcPr>
            <w:tcW w:w="1725" w:type="dxa"/>
            <w:tcBorders>
              <w:top w:val="single" w:sz="4" w:space="0" w:color="auto"/>
              <w:bottom w:val="single" w:sz="4" w:space="0" w:color="auto"/>
            </w:tcBorders>
          </w:tcPr>
          <w:p w14:paraId="327096EA" w14:textId="77777777" w:rsidR="00222DE0" w:rsidRPr="00B93217" w:rsidRDefault="0098273B" w:rsidP="00EA1CDF">
            <w:pPr>
              <w:pStyle w:val="TableParagraph"/>
              <w:spacing w:before="75"/>
              <w:ind w:left="3" w:right="56"/>
              <w:jc w:val="center"/>
              <w:rPr>
                <w:sz w:val="18"/>
                <w:szCs w:val="18"/>
              </w:rPr>
            </w:pPr>
            <w:r w:rsidRPr="00B93217">
              <w:rPr>
                <w:sz w:val="18"/>
                <w:szCs w:val="18"/>
              </w:rPr>
              <w:t>77 (47,2)</w:t>
            </w:r>
          </w:p>
        </w:tc>
        <w:tc>
          <w:tcPr>
            <w:tcW w:w="1224" w:type="dxa"/>
            <w:tcBorders>
              <w:top w:val="single" w:sz="4" w:space="0" w:color="auto"/>
              <w:bottom w:val="single" w:sz="4" w:space="0" w:color="auto"/>
            </w:tcBorders>
          </w:tcPr>
          <w:p w14:paraId="245A5212" w14:textId="77777777" w:rsidR="00222DE0" w:rsidRPr="00B93217" w:rsidRDefault="0098273B" w:rsidP="00EA1CDF">
            <w:pPr>
              <w:pStyle w:val="TableParagraph"/>
              <w:spacing w:before="75"/>
              <w:ind w:left="1" w:right="21"/>
              <w:jc w:val="center"/>
              <w:rPr>
                <w:sz w:val="18"/>
                <w:szCs w:val="18"/>
              </w:rPr>
            </w:pPr>
            <w:r w:rsidRPr="00B93217">
              <w:rPr>
                <w:sz w:val="18"/>
                <w:szCs w:val="18"/>
              </w:rPr>
              <w:t>0,0002</w:t>
            </w:r>
          </w:p>
        </w:tc>
      </w:tr>
      <w:tr w:rsidR="00222DE0" w:rsidRPr="009F16F4" w14:paraId="69F0667B" w14:textId="77777777" w:rsidTr="008E1B8C">
        <w:trPr>
          <w:trHeight w:val="253"/>
        </w:trPr>
        <w:tc>
          <w:tcPr>
            <w:tcW w:w="3813" w:type="dxa"/>
            <w:tcBorders>
              <w:top w:val="single" w:sz="4" w:space="0" w:color="auto"/>
            </w:tcBorders>
          </w:tcPr>
          <w:p w14:paraId="2382557E" w14:textId="77777777" w:rsidR="00222DE0" w:rsidRPr="00B93217" w:rsidRDefault="0098273B" w:rsidP="00EA1CDF">
            <w:pPr>
              <w:pStyle w:val="TableParagraph"/>
              <w:spacing w:before="75"/>
              <w:ind w:right="271"/>
              <w:jc w:val="right"/>
              <w:rPr>
                <w:sz w:val="18"/>
                <w:szCs w:val="18"/>
              </w:rPr>
            </w:pPr>
            <w:r w:rsidRPr="00B93217">
              <w:rPr>
                <w:sz w:val="18"/>
                <w:szCs w:val="18"/>
              </w:rPr>
              <w:t>ACR70 odpověď; n (%)</w:t>
            </w:r>
          </w:p>
        </w:tc>
        <w:tc>
          <w:tcPr>
            <w:tcW w:w="1408" w:type="dxa"/>
            <w:tcBorders>
              <w:top w:val="single" w:sz="4" w:space="0" w:color="auto"/>
            </w:tcBorders>
          </w:tcPr>
          <w:p w14:paraId="5A169232" w14:textId="77777777" w:rsidR="00222DE0" w:rsidRPr="00B93217" w:rsidRDefault="0098273B" w:rsidP="00EA1CDF">
            <w:pPr>
              <w:pStyle w:val="TableParagraph"/>
              <w:spacing w:before="75"/>
              <w:ind w:left="2" w:right="234"/>
              <w:jc w:val="center"/>
              <w:rPr>
                <w:sz w:val="18"/>
                <w:szCs w:val="18"/>
              </w:rPr>
            </w:pPr>
            <w:r w:rsidRPr="00B93217">
              <w:rPr>
                <w:sz w:val="18"/>
                <w:szCs w:val="18"/>
              </w:rPr>
              <w:t>29 (17,9)</w:t>
            </w:r>
          </w:p>
        </w:tc>
        <w:tc>
          <w:tcPr>
            <w:tcW w:w="1725" w:type="dxa"/>
            <w:tcBorders>
              <w:top w:val="single" w:sz="4" w:space="0" w:color="auto"/>
            </w:tcBorders>
          </w:tcPr>
          <w:p w14:paraId="2EF376AF" w14:textId="77777777" w:rsidR="00222DE0" w:rsidRPr="00B93217" w:rsidRDefault="0098273B" w:rsidP="00EA1CDF">
            <w:pPr>
              <w:pStyle w:val="TableParagraph"/>
              <w:spacing w:before="75"/>
              <w:ind w:left="3" w:right="56"/>
              <w:jc w:val="center"/>
              <w:rPr>
                <w:sz w:val="18"/>
                <w:szCs w:val="18"/>
              </w:rPr>
            </w:pPr>
            <w:r w:rsidRPr="00B93217">
              <w:rPr>
                <w:sz w:val="18"/>
                <w:szCs w:val="18"/>
              </w:rPr>
              <w:t>53 (32,5)</w:t>
            </w:r>
          </w:p>
        </w:tc>
        <w:tc>
          <w:tcPr>
            <w:tcW w:w="1224" w:type="dxa"/>
            <w:tcBorders>
              <w:top w:val="single" w:sz="4" w:space="0" w:color="auto"/>
            </w:tcBorders>
          </w:tcPr>
          <w:p w14:paraId="4D1CEE57" w14:textId="77777777" w:rsidR="00222DE0" w:rsidRPr="00B93217" w:rsidRDefault="0098273B" w:rsidP="00EA1CDF">
            <w:pPr>
              <w:pStyle w:val="TableParagraph"/>
              <w:spacing w:before="75"/>
              <w:ind w:right="21"/>
              <w:jc w:val="center"/>
              <w:rPr>
                <w:sz w:val="18"/>
                <w:szCs w:val="18"/>
              </w:rPr>
            </w:pPr>
            <w:r w:rsidRPr="00B93217">
              <w:rPr>
                <w:sz w:val="18"/>
                <w:szCs w:val="18"/>
              </w:rPr>
              <w:t>0,0023</w:t>
            </w:r>
          </w:p>
        </w:tc>
      </w:tr>
    </w:tbl>
    <w:p w14:paraId="46986595" w14:textId="77777777" w:rsidR="00222DE0" w:rsidRPr="00EE3355" w:rsidRDefault="0098273B" w:rsidP="00EA1CDF">
      <w:pPr>
        <w:rPr>
          <w:i/>
          <w:sz w:val="16"/>
        </w:rPr>
      </w:pPr>
      <w:r w:rsidRPr="00EE3355">
        <w:rPr>
          <w:i/>
          <w:sz w:val="16"/>
          <w:vertAlign w:val="superscript"/>
        </w:rPr>
        <w:t>a</w:t>
      </w:r>
      <w:r w:rsidRPr="00EE3355">
        <w:rPr>
          <w:i/>
          <w:sz w:val="16"/>
        </w:rPr>
        <w:t>p hodnota je upravena podle oblasti a trvání RA u všech cílových parametrů a dále pro výchozí hodnoty u všech spojitých cílových parametrů</w:t>
      </w:r>
    </w:p>
    <w:p w14:paraId="5F7DEA5B" w14:textId="77777777" w:rsidR="00222DE0" w:rsidRPr="00EE3355" w:rsidRDefault="0098273B" w:rsidP="00EA1CDF">
      <w:pPr>
        <w:rPr>
          <w:i/>
          <w:sz w:val="16"/>
        </w:rPr>
      </w:pPr>
      <w:r w:rsidRPr="00EE3355">
        <w:rPr>
          <w:i/>
          <w:sz w:val="16"/>
          <w:vertAlign w:val="superscript"/>
        </w:rPr>
        <w:t>b</w:t>
      </w:r>
      <w:r w:rsidRPr="00EE3355">
        <w:rPr>
          <w:i/>
          <w:sz w:val="16"/>
        </w:rPr>
        <w:t xml:space="preserve"> Označení non-responder se používá pro chybějící údaje. Multiplicita kontrolována s použitím metody dle Bonferroni-Holma</w:t>
      </w:r>
    </w:p>
    <w:p w14:paraId="7C948E1B" w14:textId="77777777" w:rsidR="00222DE0" w:rsidRPr="00EE3355" w:rsidRDefault="00222DE0" w:rsidP="00EA1CDF">
      <w:pPr>
        <w:pStyle w:val="a3"/>
        <w:widowControl/>
        <w:ind w:left="0"/>
        <w:rPr>
          <w:i/>
          <w:sz w:val="16"/>
        </w:rPr>
      </w:pPr>
    </w:p>
    <w:p w14:paraId="6A1C94F9" w14:textId="77777777" w:rsidR="00222DE0" w:rsidRPr="00EE3355" w:rsidRDefault="0098273B" w:rsidP="00EA1CDF">
      <w:pPr>
        <w:pStyle w:val="a3"/>
        <w:widowControl/>
        <w:ind w:left="0"/>
      </w:pPr>
      <w:r w:rsidRPr="00EE3355">
        <w:t>Celkový klinický profil nežádoucích příhod byl mezi tocilizumabem i adalimumabem obdobný. Poměr pacientů se závažnými nežádoucími příhodami byl rovnoměrný mezi oběma léčebnými skupinami (tocilizumab 11,7 % vs. adalimumab 9,9 %). Nežádoucí účinky v rameni s tocilizumabem odpovídaly známému bezpečnostnímu profilu tocilizumabu a nežádoucí účinky byly hlášeny s podobnou četností ve srovnání s tabulkou 1. Vyšší incidence infekcí a infestací byla hlášena v rameni s tocilizumabem (48 % vs. 42 %), a to bez rozdílu v incidenci závažných infekcí (3,1 %). Obě studijní léčby vedly ke stejnému vzorci změn laboratorních bezpečnostních parametrů (snížení počtu neutrofilů a trombocytů, zvýšení ALT, AST a lipidů), rozsah těchto změn a četnost zaznamenaných abnormalit však byly vyšší u tocilizumabu ve srovnání s adalimumabem. U 4 (2,5 %) pacientů v rameni s tocilizumabem a 2 (1,2</w:t>
      </w:r>
      <w:r w:rsidR="00A211A8" w:rsidRPr="00EE3355">
        <w:t xml:space="preserve"> </w:t>
      </w:r>
      <w:r w:rsidRPr="00EE3355">
        <w:t>%) pacientů v rameni s adalimumabem se objevil pokles počtu neutrofilů CTC stupně 3 nebo 4. U 11 (6,8 %) pacientů v rameni s tocilizumabem a 5 (3,1 %) pacientů v rameni s adalimumabem se objevilo zvýšení ALT CTC stupně 2 nebo vyšší. Průměrné zvýšení LDL od výchozích hodnot bylo 0,64 mmol/l (25 mg/dl) u pacientů v rameni s tocilizumabem a 0,19 mmol/l (7 mg/dl) u pacientů v</w:t>
      </w:r>
      <w:r w:rsidR="00525A74" w:rsidRPr="00EE3355">
        <w:t> </w:t>
      </w:r>
      <w:r w:rsidRPr="00EE3355">
        <w:t>rameni</w:t>
      </w:r>
      <w:r w:rsidR="00525A74" w:rsidRPr="00EE3355">
        <w:t xml:space="preserve"> </w:t>
      </w:r>
      <w:r w:rsidRPr="00EE3355">
        <w:t>s adalimumabem. Bezpečnost pozorovaná v rameni s tocilizumabem byla obdobná jako známý bezpečnostní profil tocilizumabu a nebyly pozorovány žádné nové nebo neočekávané nežádoucí účinky (viz tabulka 1).</w:t>
      </w:r>
    </w:p>
    <w:p w14:paraId="658BF556" w14:textId="77777777" w:rsidR="00222DE0" w:rsidRPr="00EE3355" w:rsidRDefault="00222DE0" w:rsidP="00EA1CDF">
      <w:pPr>
        <w:pStyle w:val="a3"/>
        <w:widowControl/>
        <w:ind w:left="0"/>
      </w:pPr>
    </w:p>
    <w:p w14:paraId="454FDF20" w14:textId="77777777" w:rsidR="00222DE0" w:rsidRPr="00AB2582" w:rsidRDefault="0098273B" w:rsidP="00AB2582">
      <w:pPr>
        <w:rPr>
          <w:b/>
          <w:bCs/>
          <w:i/>
          <w:iCs/>
        </w:rPr>
      </w:pPr>
      <w:r w:rsidRPr="00AB2582">
        <w:rPr>
          <w:b/>
          <w:bCs/>
          <w:i/>
          <w:iCs/>
        </w:rPr>
        <w:t>Pacienti dříve neléčeni MTX s časnou RA</w:t>
      </w:r>
    </w:p>
    <w:p w14:paraId="242FA445" w14:textId="77777777" w:rsidR="00222DE0" w:rsidRPr="00EE3355" w:rsidRDefault="0098273B" w:rsidP="00EA1CDF">
      <w:pPr>
        <w:pStyle w:val="a3"/>
        <w:widowControl/>
        <w:ind w:left="0"/>
      </w:pPr>
      <w:r w:rsidRPr="00EE3355">
        <w:t>Studie VII (WA19926), dvouletá studie s plánovanou primární analýzou v týdnu 52 hodnotila 1162 dospělých pacientů dříve neléčených MTX se středně těžkou až těžkou aktivní časnou RA (průměrná doba trvání nemoci ≤ 6 měsíců). Přibližně 20 % pacientů bylo léčeno primárně DMARD jinými než MTX. Tato studie hodnotila účinnost i.v. (intravenózně) podávaného tocilizumabu v dávce 4 nebo</w:t>
      </w:r>
      <w:r w:rsidR="00D13217" w:rsidRPr="00EE3355">
        <w:t xml:space="preserve"> </w:t>
      </w:r>
      <w:r w:rsidRPr="00EE3355">
        <w:t>8 mg/kg každé 4 týdny v kombinované léčbě s MTX, i.v. podávaného tocilizumabu v dávce 8 mg/kg v monoterapii a monoterapii MTX, snížení známek a příznaků a rychlost progrese poškození kloubů po 104 týdnech. Primárním cílovým parametrem byl podíl pacientů, kteří dosáhli remise DAS28 (DAS28</w:t>
      </w:r>
      <w:r w:rsidR="00CF1282" w:rsidRPr="00EE3355">
        <w:t xml:space="preserve"> </w:t>
      </w:r>
      <w:r w:rsidRPr="00EE3355">
        <w:t>&lt; 2,6) ve 24. týdnu. Významně vyšší podíl pacientů ve skupině léčené tocilizumabem 8 mg/kg + MTX a tocilizumabem v monoterapii dosáhl primárního cílového parametru ve srovnání s léčbou samotným MTX. Ve skupině léčené tocilizumabem 8 mg/kg + MTX se rovněž ukázaly statisticky významné výsledky klíčových sekundárních cílových parametrů. Ve skupině s monoterapií tocilizumabem</w:t>
      </w:r>
      <w:r w:rsidR="00CF1282" w:rsidRPr="00EE3355">
        <w:t xml:space="preserve"> </w:t>
      </w:r>
      <w:r w:rsidRPr="00EE3355">
        <w:t>8 mg/kg byly pozorovány numericky vyšší odpovědi u všech sekundárních cílových parametrů, včetně radiografických cílových parametrů, v porovnání s léčbou samotným MTX. V této studii byly také analyzovány ACR/EULAR remise (Boolean a Index) jako předem stanovené exploratorní cílové parametry s vyšší odpovědí pozorovanou ve skupinách s tocilizumabem. Výsledky ze studie VII jsou uvedeny v tabulce 7.</w:t>
      </w:r>
    </w:p>
    <w:p w14:paraId="52BDB625" w14:textId="77777777" w:rsidR="00CF1282" w:rsidRPr="00EE3355" w:rsidRDefault="00CF1282" w:rsidP="00EA1CDF">
      <w:pPr>
        <w:pStyle w:val="a3"/>
        <w:widowControl/>
        <w:ind w:left="0"/>
      </w:pPr>
    </w:p>
    <w:p w14:paraId="5301836E" w14:textId="77777777" w:rsidR="00222DE0" w:rsidRPr="00EE3355" w:rsidRDefault="0098273B" w:rsidP="008E1B8C">
      <w:pPr>
        <w:keepNext/>
        <w:widowControl/>
        <w:ind w:left="1134" w:hanging="1134"/>
        <w:rPr>
          <w:i/>
        </w:rPr>
      </w:pPr>
      <w:r w:rsidRPr="00EE3355">
        <w:rPr>
          <w:i/>
        </w:rPr>
        <w:t>Tabulka 7:</w:t>
      </w:r>
      <w:r w:rsidR="00D13217" w:rsidRPr="00EE3355">
        <w:rPr>
          <w:i/>
        </w:rPr>
        <w:tab/>
      </w:r>
      <w:r w:rsidRPr="00EE3355">
        <w:rPr>
          <w:i/>
        </w:rPr>
        <w:t>Výsledky účinnosti studie VII (WA19926) u pacientů dříve neléčených MTX s časnou RA</w:t>
      </w:r>
    </w:p>
    <w:p w14:paraId="7C1BF291" w14:textId="77777777" w:rsidR="009D3D72" w:rsidRPr="00EE3355" w:rsidRDefault="009D3D72" w:rsidP="008E1B8C">
      <w:pPr>
        <w:keepNext/>
        <w:widowControl/>
        <w:ind w:left="1134" w:hanging="1134"/>
        <w:rPr>
          <w:i/>
        </w:rPr>
      </w:pPr>
    </w:p>
    <w:tbl>
      <w:tblPr>
        <w:tblW w:w="8938"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71"/>
        <w:gridCol w:w="31"/>
        <w:gridCol w:w="70"/>
        <w:gridCol w:w="14"/>
        <w:gridCol w:w="14"/>
        <w:gridCol w:w="1624"/>
        <w:gridCol w:w="1414"/>
        <w:gridCol w:w="1441"/>
        <w:gridCol w:w="1330"/>
        <w:gridCol w:w="1029"/>
      </w:tblGrid>
      <w:tr w:rsidR="00440607" w:rsidRPr="00EE3355" w14:paraId="69535B86" w14:textId="77777777" w:rsidTr="005230C6">
        <w:trPr>
          <w:cantSplit/>
          <w:trHeight w:val="20"/>
          <w:tblHeader/>
        </w:trPr>
        <w:tc>
          <w:tcPr>
            <w:tcW w:w="3724" w:type="dxa"/>
            <w:gridSpan w:val="6"/>
          </w:tcPr>
          <w:p w14:paraId="57359C2F" w14:textId="77777777" w:rsidR="00440607" w:rsidRPr="00EE3355" w:rsidRDefault="00440607" w:rsidP="00EA1CDF">
            <w:pPr>
              <w:pStyle w:val="TableParagraph"/>
              <w:rPr>
                <w:sz w:val="18"/>
              </w:rPr>
            </w:pPr>
          </w:p>
        </w:tc>
        <w:tc>
          <w:tcPr>
            <w:tcW w:w="1414" w:type="dxa"/>
          </w:tcPr>
          <w:p w14:paraId="3EB5AC7D" w14:textId="77777777" w:rsidR="00440607" w:rsidRPr="00EE3355" w:rsidRDefault="00440607" w:rsidP="00EA1CDF">
            <w:pPr>
              <w:pStyle w:val="TableParagraph"/>
              <w:jc w:val="center"/>
              <w:rPr>
                <w:b/>
                <w:sz w:val="18"/>
              </w:rPr>
            </w:pPr>
            <w:r w:rsidRPr="00EE3355">
              <w:rPr>
                <w:b/>
                <w:sz w:val="18"/>
              </w:rPr>
              <w:t>TCZ 8 mg/kg + MTX</w:t>
            </w:r>
            <w:r w:rsidR="00A66F71" w:rsidRPr="00EE3355">
              <w:rPr>
                <w:b/>
                <w:sz w:val="18"/>
              </w:rPr>
              <w:t xml:space="preserve"> </w:t>
            </w:r>
            <w:r w:rsidRPr="00EE3355">
              <w:rPr>
                <w:b/>
                <w:sz w:val="18"/>
              </w:rPr>
              <w:t>n=290</w:t>
            </w:r>
          </w:p>
        </w:tc>
        <w:tc>
          <w:tcPr>
            <w:tcW w:w="1441" w:type="dxa"/>
          </w:tcPr>
          <w:p w14:paraId="5AA70316" w14:textId="77777777" w:rsidR="00440607" w:rsidRPr="00EE3355" w:rsidRDefault="00440607" w:rsidP="00EA1CDF">
            <w:pPr>
              <w:pStyle w:val="TableParagraph"/>
              <w:jc w:val="center"/>
              <w:rPr>
                <w:b/>
                <w:sz w:val="18"/>
              </w:rPr>
            </w:pPr>
            <w:r w:rsidRPr="00EE3355">
              <w:rPr>
                <w:b/>
                <w:sz w:val="18"/>
              </w:rPr>
              <w:t>TCZ 8 mg/kg + placebo</w:t>
            </w:r>
            <w:r w:rsidR="00A66F71" w:rsidRPr="00EE3355">
              <w:rPr>
                <w:b/>
                <w:sz w:val="18"/>
              </w:rPr>
              <w:t xml:space="preserve"> </w:t>
            </w:r>
            <w:r w:rsidRPr="00EE3355">
              <w:rPr>
                <w:b/>
                <w:sz w:val="18"/>
              </w:rPr>
              <w:t>n=292</w:t>
            </w:r>
          </w:p>
        </w:tc>
        <w:tc>
          <w:tcPr>
            <w:tcW w:w="1330" w:type="dxa"/>
          </w:tcPr>
          <w:p w14:paraId="542E4E5D" w14:textId="77777777" w:rsidR="00440607" w:rsidRPr="00EE3355" w:rsidRDefault="00440607" w:rsidP="00EA1CDF">
            <w:pPr>
              <w:pStyle w:val="TableParagraph"/>
              <w:jc w:val="center"/>
              <w:rPr>
                <w:b/>
                <w:sz w:val="18"/>
              </w:rPr>
            </w:pPr>
            <w:r w:rsidRPr="00EE3355">
              <w:rPr>
                <w:b/>
                <w:sz w:val="18"/>
              </w:rPr>
              <w:t>TCZ 4 mg/kg + MTX</w:t>
            </w:r>
            <w:r w:rsidR="00A66F71" w:rsidRPr="00EE3355">
              <w:rPr>
                <w:b/>
                <w:sz w:val="18"/>
              </w:rPr>
              <w:t xml:space="preserve"> </w:t>
            </w:r>
            <w:r w:rsidRPr="00EE3355">
              <w:rPr>
                <w:b/>
                <w:sz w:val="18"/>
              </w:rPr>
              <w:t>n=288</w:t>
            </w:r>
          </w:p>
        </w:tc>
        <w:tc>
          <w:tcPr>
            <w:tcW w:w="1029" w:type="dxa"/>
          </w:tcPr>
          <w:p w14:paraId="0F812ACB" w14:textId="77777777" w:rsidR="00440607" w:rsidRPr="00EE3355" w:rsidRDefault="00440607" w:rsidP="00EA1CDF">
            <w:pPr>
              <w:pStyle w:val="TableParagraph"/>
              <w:jc w:val="center"/>
              <w:rPr>
                <w:b/>
                <w:sz w:val="18"/>
              </w:rPr>
            </w:pPr>
            <w:r w:rsidRPr="00EE3355">
              <w:rPr>
                <w:b/>
                <w:sz w:val="18"/>
              </w:rPr>
              <w:t>Placebo + MTX</w:t>
            </w:r>
            <w:r w:rsidR="00A66F71" w:rsidRPr="00EE3355">
              <w:rPr>
                <w:b/>
                <w:sz w:val="18"/>
              </w:rPr>
              <w:t xml:space="preserve"> </w:t>
            </w:r>
            <w:r w:rsidRPr="00EE3355">
              <w:rPr>
                <w:b/>
                <w:sz w:val="18"/>
              </w:rPr>
              <w:t>n=287</w:t>
            </w:r>
          </w:p>
        </w:tc>
      </w:tr>
      <w:tr w:rsidR="008E1B8C" w:rsidRPr="00EE3355" w14:paraId="5C15DA4D" w14:textId="77777777" w:rsidTr="008E1B8C">
        <w:trPr>
          <w:cantSplit/>
          <w:trHeight w:val="20"/>
        </w:trPr>
        <w:tc>
          <w:tcPr>
            <w:tcW w:w="2100" w:type="dxa"/>
            <w:gridSpan w:val="5"/>
            <w:tcBorders>
              <w:bottom w:val="single" w:sz="4" w:space="0" w:color="000000"/>
            </w:tcBorders>
          </w:tcPr>
          <w:p w14:paraId="3DEB2335" w14:textId="77777777" w:rsidR="008E1B8C" w:rsidRPr="00EE3355" w:rsidRDefault="008E1B8C" w:rsidP="008E1B8C">
            <w:pPr>
              <w:pStyle w:val="TableParagraph"/>
              <w:spacing w:before="74"/>
              <w:ind w:left="54"/>
              <w:rPr>
                <w:b/>
                <w:sz w:val="18"/>
              </w:rPr>
            </w:pPr>
          </w:p>
        </w:tc>
        <w:tc>
          <w:tcPr>
            <w:tcW w:w="6838" w:type="dxa"/>
            <w:gridSpan w:val="5"/>
            <w:tcBorders>
              <w:bottom w:val="single" w:sz="4" w:space="0" w:color="000000"/>
            </w:tcBorders>
          </w:tcPr>
          <w:p w14:paraId="00B287F1" w14:textId="77777777" w:rsidR="008E1B8C" w:rsidRPr="00EE3355" w:rsidRDefault="008E1B8C" w:rsidP="008E1B8C">
            <w:pPr>
              <w:pStyle w:val="TableParagraph"/>
              <w:spacing w:before="74"/>
              <w:ind w:left="54"/>
              <w:rPr>
                <w:b/>
                <w:sz w:val="18"/>
              </w:rPr>
            </w:pPr>
            <w:r w:rsidRPr="00EE3355">
              <w:rPr>
                <w:b/>
                <w:sz w:val="18"/>
              </w:rPr>
              <w:t>Primární cílový parametr</w:t>
            </w:r>
          </w:p>
        </w:tc>
      </w:tr>
      <w:tr w:rsidR="008E1B8C" w:rsidRPr="00EE3355" w14:paraId="4FD6D682" w14:textId="77777777" w:rsidTr="008E1B8C">
        <w:trPr>
          <w:cantSplit/>
          <w:trHeight w:val="20"/>
        </w:trPr>
        <w:tc>
          <w:tcPr>
            <w:tcW w:w="2072" w:type="dxa"/>
            <w:gridSpan w:val="3"/>
            <w:tcBorders>
              <w:bottom w:val="nil"/>
              <w:right w:val="nil"/>
            </w:tcBorders>
          </w:tcPr>
          <w:p w14:paraId="4D64AD31" w14:textId="77777777" w:rsidR="008E1B8C" w:rsidRPr="00EE3355" w:rsidRDefault="008E1B8C" w:rsidP="008E1B8C">
            <w:pPr>
              <w:pStyle w:val="TableParagraph"/>
              <w:spacing w:before="74"/>
              <w:ind w:left="62"/>
              <w:rPr>
                <w:sz w:val="18"/>
              </w:rPr>
            </w:pPr>
            <w:r w:rsidRPr="00EE3355">
              <w:rPr>
                <w:sz w:val="18"/>
              </w:rPr>
              <w:t>DAS28 remise</w:t>
            </w:r>
          </w:p>
        </w:tc>
        <w:tc>
          <w:tcPr>
            <w:tcW w:w="1652" w:type="dxa"/>
            <w:gridSpan w:val="3"/>
            <w:tcBorders>
              <w:left w:val="nil"/>
              <w:bottom w:val="nil"/>
              <w:right w:val="nil"/>
            </w:tcBorders>
          </w:tcPr>
          <w:p w14:paraId="2A55015A" w14:textId="77777777" w:rsidR="008E1B8C" w:rsidRPr="00EE3355" w:rsidRDefault="008E1B8C" w:rsidP="008E1B8C">
            <w:pPr>
              <w:pStyle w:val="TableParagraph"/>
              <w:rPr>
                <w:sz w:val="18"/>
              </w:rPr>
            </w:pPr>
          </w:p>
        </w:tc>
        <w:tc>
          <w:tcPr>
            <w:tcW w:w="1414" w:type="dxa"/>
            <w:tcBorders>
              <w:left w:val="nil"/>
              <w:bottom w:val="nil"/>
              <w:right w:val="nil"/>
            </w:tcBorders>
          </w:tcPr>
          <w:p w14:paraId="1A21974A" w14:textId="77777777" w:rsidR="008E1B8C" w:rsidRPr="00EE3355" w:rsidRDefault="008E1B8C" w:rsidP="008E1B8C">
            <w:pPr>
              <w:pStyle w:val="TableParagraph"/>
              <w:rPr>
                <w:sz w:val="18"/>
              </w:rPr>
            </w:pPr>
          </w:p>
        </w:tc>
        <w:tc>
          <w:tcPr>
            <w:tcW w:w="1441" w:type="dxa"/>
            <w:tcBorders>
              <w:left w:val="nil"/>
              <w:bottom w:val="nil"/>
              <w:right w:val="nil"/>
            </w:tcBorders>
          </w:tcPr>
          <w:p w14:paraId="15B5B133" w14:textId="77777777" w:rsidR="008E1B8C" w:rsidRPr="00EE3355" w:rsidRDefault="008E1B8C" w:rsidP="008E1B8C">
            <w:pPr>
              <w:pStyle w:val="TableParagraph"/>
              <w:rPr>
                <w:sz w:val="18"/>
              </w:rPr>
            </w:pPr>
          </w:p>
        </w:tc>
        <w:tc>
          <w:tcPr>
            <w:tcW w:w="1330" w:type="dxa"/>
            <w:tcBorders>
              <w:left w:val="nil"/>
              <w:bottom w:val="nil"/>
              <w:right w:val="nil"/>
            </w:tcBorders>
          </w:tcPr>
          <w:p w14:paraId="765BB7A8" w14:textId="77777777" w:rsidR="008E1B8C" w:rsidRPr="00EE3355" w:rsidRDefault="008E1B8C" w:rsidP="008E1B8C">
            <w:pPr>
              <w:pStyle w:val="TableParagraph"/>
              <w:rPr>
                <w:sz w:val="18"/>
              </w:rPr>
            </w:pPr>
          </w:p>
        </w:tc>
        <w:tc>
          <w:tcPr>
            <w:tcW w:w="1029" w:type="dxa"/>
            <w:tcBorders>
              <w:left w:val="nil"/>
              <w:bottom w:val="nil"/>
            </w:tcBorders>
          </w:tcPr>
          <w:p w14:paraId="37A1A8D5" w14:textId="77777777" w:rsidR="008E1B8C" w:rsidRPr="00EE3355" w:rsidRDefault="008E1B8C" w:rsidP="008E1B8C">
            <w:pPr>
              <w:pStyle w:val="TableParagraph"/>
              <w:rPr>
                <w:sz w:val="18"/>
              </w:rPr>
            </w:pPr>
          </w:p>
        </w:tc>
      </w:tr>
      <w:tr w:rsidR="008E1B8C" w:rsidRPr="00EE3355" w14:paraId="261EC4B5" w14:textId="77777777" w:rsidTr="008E1B8C">
        <w:trPr>
          <w:cantSplit/>
          <w:trHeight w:val="20"/>
        </w:trPr>
        <w:tc>
          <w:tcPr>
            <w:tcW w:w="2086" w:type="dxa"/>
            <w:gridSpan w:val="4"/>
            <w:tcBorders>
              <w:top w:val="nil"/>
              <w:right w:val="nil"/>
            </w:tcBorders>
          </w:tcPr>
          <w:p w14:paraId="7FF01EFA" w14:textId="77777777" w:rsidR="008E1B8C" w:rsidRPr="00EE3355" w:rsidRDefault="008E1B8C" w:rsidP="008E1B8C">
            <w:pPr>
              <w:pStyle w:val="TableParagraph"/>
              <w:tabs>
                <w:tab w:val="left" w:pos="2025"/>
              </w:tabs>
              <w:spacing w:before="63"/>
              <w:jc w:val="center"/>
              <w:rPr>
                <w:sz w:val="18"/>
              </w:rPr>
            </w:pPr>
            <w:r w:rsidRPr="00EE3355">
              <w:rPr>
                <w:sz w:val="18"/>
              </w:rPr>
              <w:t>24. týden</w:t>
            </w:r>
          </w:p>
        </w:tc>
        <w:tc>
          <w:tcPr>
            <w:tcW w:w="1638" w:type="dxa"/>
            <w:gridSpan w:val="2"/>
            <w:tcBorders>
              <w:top w:val="nil"/>
              <w:left w:val="nil"/>
              <w:right w:val="nil"/>
            </w:tcBorders>
          </w:tcPr>
          <w:p w14:paraId="39E15049" w14:textId="77777777" w:rsidR="008E1B8C" w:rsidRPr="00EE3355" w:rsidRDefault="008E1B8C" w:rsidP="008E1B8C">
            <w:pPr>
              <w:pStyle w:val="TableParagraph"/>
              <w:tabs>
                <w:tab w:val="left" w:pos="2025"/>
              </w:tabs>
              <w:spacing w:before="63"/>
              <w:jc w:val="center"/>
              <w:rPr>
                <w:sz w:val="18"/>
              </w:rPr>
            </w:pPr>
            <w:r w:rsidRPr="00EE3355">
              <w:rPr>
                <w:sz w:val="18"/>
              </w:rPr>
              <w:t>n (%)</w:t>
            </w:r>
          </w:p>
        </w:tc>
        <w:tc>
          <w:tcPr>
            <w:tcW w:w="1414" w:type="dxa"/>
            <w:tcBorders>
              <w:top w:val="nil"/>
              <w:left w:val="nil"/>
              <w:right w:val="nil"/>
            </w:tcBorders>
          </w:tcPr>
          <w:p w14:paraId="13D1D6EA" w14:textId="77777777" w:rsidR="008E1B8C" w:rsidRPr="00EE3355" w:rsidRDefault="008E1B8C" w:rsidP="008E1B8C">
            <w:pPr>
              <w:pStyle w:val="TableParagraph"/>
              <w:spacing w:before="63"/>
              <w:ind w:right="120"/>
              <w:jc w:val="center"/>
              <w:rPr>
                <w:sz w:val="18"/>
              </w:rPr>
            </w:pPr>
            <w:r w:rsidRPr="00EE3355">
              <w:rPr>
                <w:sz w:val="18"/>
              </w:rPr>
              <w:t>130 (44,8)***</w:t>
            </w:r>
          </w:p>
        </w:tc>
        <w:tc>
          <w:tcPr>
            <w:tcW w:w="1441" w:type="dxa"/>
            <w:tcBorders>
              <w:top w:val="nil"/>
              <w:left w:val="nil"/>
              <w:right w:val="nil"/>
            </w:tcBorders>
          </w:tcPr>
          <w:p w14:paraId="742E930A" w14:textId="77777777" w:rsidR="008E1B8C" w:rsidRPr="00EE3355" w:rsidRDefault="008E1B8C" w:rsidP="008E1B8C">
            <w:pPr>
              <w:pStyle w:val="TableParagraph"/>
              <w:spacing w:before="63"/>
              <w:ind w:left="26" w:right="5"/>
              <w:jc w:val="center"/>
              <w:rPr>
                <w:sz w:val="18"/>
              </w:rPr>
            </w:pPr>
            <w:r w:rsidRPr="00EE3355">
              <w:rPr>
                <w:sz w:val="18"/>
              </w:rPr>
              <w:t>113 (38,7)***</w:t>
            </w:r>
          </w:p>
        </w:tc>
        <w:tc>
          <w:tcPr>
            <w:tcW w:w="1330" w:type="dxa"/>
            <w:tcBorders>
              <w:top w:val="nil"/>
              <w:left w:val="nil"/>
              <w:right w:val="nil"/>
            </w:tcBorders>
          </w:tcPr>
          <w:p w14:paraId="39CBE423" w14:textId="77777777" w:rsidR="008E1B8C" w:rsidRPr="00EE3355" w:rsidRDefault="008E1B8C" w:rsidP="008E1B8C">
            <w:pPr>
              <w:pStyle w:val="TableParagraph"/>
              <w:spacing w:before="63"/>
              <w:ind w:left="26"/>
              <w:jc w:val="center"/>
              <w:rPr>
                <w:sz w:val="18"/>
              </w:rPr>
            </w:pPr>
            <w:r w:rsidRPr="00EE3355">
              <w:rPr>
                <w:sz w:val="18"/>
              </w:rPr>
              <w:t>92 (31,9)</w:t>
            </w:r>
          </w:p>
        </w:tc>
        <w:tc>
          <w:tcPr>
            <w:tcW w:w="1029" w:type="dxa"/>
            <w:tcBorders>
              <w:top w:val="nil"/>
              <w:left w:val="nil"/>
            </w:tcBorders>
          </w:tcPr>
          <w:p w14:paraId="5DFBF625" w14:textId="77777777" w:rsidR="008E1B8C" w:rsidRPr="00EE3355" w:rsidRDefault="008E1B8C" w:rsidP="008E1B8C">
            <w:pPr>
              <w:pStyle w:val="TableParagraph"/>
              <w:spacing w:before="63"/>
              <w:ind w:left="69" w:right="2"/>
              <w:jc w:val="center"/>
              <w:rPr>
                <w:sz w:val="18"/>
              </w:rPr>
            </w:pPr>
            <w:r w:rsidRPr="00EE3355">
              <w:rPr>
                <w:sz w:val="18"/>
              </w:rPr>
              <w:t>43 (15,0)</w:t>
            </w:r>
          </w:p>
        </w:tc>
      </w:tr>
      <w:tr w:rsidR="008E1B8C" w:rsidRPr="00EE3355" w14:paraId="30593FDC" w14:textId="77777777" w:rsidTr="00E04140">
        <w:trPr>
          <w:cantSplit/>
          <w:trHeight w:val="20"/>
        </w:trPr>
        <w:tc>
          <w:tcPr>
            <w:tcW w:w="2100" w:type="dxa"/>
            <w:gridSpan w:val="5"/>
            <w:tcBorders>
              <w:bottom w:val="single" w:sz="4" w:space="0" w:color="000000"/>
            </w:tcBorders>
          </w:tcPr>
          <w:p w14:paraId="056D1060" w14:textId="77777777" w:rsidR="008E1B8C" w:rsidRPr="00EE3355" w:rsidRDefault="008E1B8C" w:rsidP="008E1B8C">
            <w:pPr>
              <w:pStyle w:val="TableParagraph"/>
              <w:spacing w:before="74"/>
              <w:ind w:left="54"/>
              <w:rPr>
                <w:b/>
                <w:sz w:val="18"/>
              </w:rPr>
            </w:pPr>
          </w:p>
        </w:tc>
        <w:tc>
          <w:tcPr>
            <w:tcW w:w="6838" w:type="dxa"/>
            <w:gridSpan w:val="5"/>
            <w:tcBorders>
              <w:bottom w:val="single" w:sz="4" w:space="0" w:color="000000"/>
            </w:tcBorders>
          </w:tcPr>
          <w:p w14:paraId="4419E454" w14:textId="77777777" w:rsidR="008E1B8C" w:rsidRPr="00EE3355" w:rsidRDefault="008E1B8C" w:rsidP="008E1B8C">
            <w:pPr>
              <w:pStyle w:val="TableParagraph"/>
              <w:spacing w:before="74"/>
              <w:ind w:left="54"/>
              <w:rPr>
                <w:b/>
                <w:sz w:val="18"/>
              </w:rPr>
            </w:pPr>
            <w:r w:rsidRPr="00EE3355">
              <w:rPr>
                <w:b/>
                <w:sz w:val="18"/>
              </w:rPr>
              <w:t>Klíčové sekundární cílové parametry</w:t>
            </w:r>
          </w:p>
        </w:tc>
      </w:tr>
      <w:tr w:rsidR="008E1B8C" w:rsidRPr="00EE3355" w14:paraId="0CCF2DDB" w14:textId="77777777" w:rsidTr="00E04140">
        <w:trPr>
          <w:cantSplit/>
          <w:trHeight w:val="20"/>
        </w:trPr>
        <w:tc>
          <w:tcPr>
            <w:tcW w:w="2072" w:type="dxa"/>
            <w:gridSpan w:val="3"/>
            <w:tcBorders>
              <w:bottom w:val="nil"/>
              <w:right w:val="nil"/>
            </w:tcBorders>
          </w:tcPr>
          <w:p w14:paraId="6AF3B07D" w14:textId="77777777" w:rsidR="008E1B8C" w:rsidRPr="00EE3355" w:rsidRDefault="008E1B8C" w:rsidP="008E1B8C">
            <w:pPr>
              <w:pStyle w:val="TableParagraph"/>
              <w:spacing w:before="74"/>
              <w:ind w:left="62"/>
              <w:rPr>
                <w:sz w:val="18"/>
              </w:rPr>
            </w:pPr>
            <w:r w:rsidRPr="00EE3355">
              <w:rPr>
                <w:sz w:val="18"/>
              </w:rPr>
              <w:t>DAS28 remise</w:t>
            </w:r>
          </w:p>
        </w:tc>
        <w:tc>
          <w:tcPr>
            <w:tcW w:w="1652" w:type="dxa"/>
            <w:gridSpan w:val="3"/>
            <w:tcBorders>
              <w:left w:val="nil"/>
              <w:bottom w:val="nil"/>
              <w:right w:val="nil"/>
            </w:tcBorders>
          </w:tcPr>
          <w:p w14:paraId="21C695E3" w14:textId="77777777" w:rsidR="008E1B8C" w:rsidRPr="00EE3355" w:rsidRDefault="008E1B8C" w:rsidP="008E1B8C">
            <w:pPr>
              <w:pStyle w:val="TableParagraph"/>
              <w:rPr>
                <w:sz w:val="18"/>
              </w:rPr>
            </w:pPr>
          </w:p>
        </w:tc>
        <w:tc>
          <w:tcPr>
            <w:tcW w:w="1414" w:type="dxa"/>
            <w:tcBorders>
              <w:left w:val="nil"/>
              <w:bottom w:val="nil"/>
              <w:right w:val="nil"/>
            </w:tcBorders>
          </w:tcPr>
          <w:p w14:paraId="5A70DD49" w14:textId="77777777" w:rsidR="008E1B8C" w:rsidRPr="00EE3355" w:rsidRDefault="008E1B8C" w:rsidP="008E1B8C">
            <w:pPr>
              <w:pStyle w:val="TableParagraph"/>
              <w:rPr>
                <w:sz w:val="18"/>
              </w:rPr>
            </w:pPr>
          </w:p>
        </w:tc>
        <w:tc>
          <w:tcPr>
            <w:tcW w:w="1441" w:type="dxa"/>
            <w:tcBorders>
              <w:left w:val="nil"/>
              <w:bottom w:val="nil"/>
              <w:right w:val="nil"/>
            </w:tcBorders>
          </w:tcPr>
          <w:p w14:paraId="36E61FB9" w14:textId="77777777" w:rsidR="008E1B8C" w:rsidRPr="00EE3355" w:rsidRDefault="008E1B8C" w:rsidP="008E1B8C">
            <w:pPr>
              <w:pStyle w:val="TableParagraph"/>
              <w:rPr>
                <w:sz w:val="18"/>
              </w:rPr>
            </w:pPr>
          </w:p>
        </w:tc>
        <w:tc>
          <w:tcPr>
            <w:tcW w:w="1330" w:type="dxa"/>
            <w:tcBorders>
              <w:left w:val="nil"/>
              <w:bottom w:val="nil"/>
              <w:right w:val="nil"/>
            </w:tcBorders>
          </w:tcPr>
          <w:p w14:paraId="355BCCC2" w14:textId="77777777" w:rsidR="008E1B8C" w:rsidRPr="00EE3355" w:rsidRDefault="008E1B8C" w:rsidP="008E1B8C">
            <w:pPr>
              <w:pStyle w:val="TableParagraph"/>
              <w:rPr>
                <w:sz w:val="18"/>
              </w:rPr>
            </w:pPr>
          </w:p>
        </w:tc>
        <w:tc>
          <w:tcPr>
            <w:tcW w:w="1029" w:type="dxa"/>
            <w:tcBorders>
              <w:left w:val="nil"/>
              <w:bottom w:val="nil"/>
            </w:tcBorders>
          </w:tcPr>
          <w:p w14:paraId="1DCAEC12" w14:textId="77777777" w:rsidR="008E1B8C" w:rsidRPr="00EE3355" w:rsidRDefault="008E1B8C" w:rsidP="008E1B8C">
            <w:pPr>
              <w:pStyle w:val="TableParagraph"/>
              <w:rPr>
                <w:sz w:val="18"/>
              </w:rPr>
            </w:pPr>
          </w:p>
        </w:tc>
      </w:tr>
      <w:tr w:rsidR="008E1B8C" w:rsidRPr="00EE3355" w14:paraId="409E1BD5" w14:textId="77777777" w:rsidTr="00E04140">
        <w:trPr>
          <w:cantSplit/>
          <w:trHeight w:val="20"/>
        </w:trPr>
        <w:tc>
          <w:tcPr>
            <w:tcW w:w="2100" w:type="dxa"/>
            <w:gridSpan w:val="5"/>
            <w:tcBorders>
              <w:top w:val="nil"/>
              <w:bottom w:val="single" w:sz="4" w:space="0" w:color="000000"/>
              <w:right w:val="nil"/>
            </w:tcBorders>
          </w:tcPr>
          <w:p w14:paraId="031EF0B2" w14:textId="77777777" w:rsidR="008E1B8C" w:rsidRPr="00EE3355" w:rsidRDefault="008E1B8C" w:rsidP="008E1B8C">
            <w:pPr>
              <w:pStyle w:val="TableParagraph"/>
              <w:spacing w:before="63"/>
              <w:jc w:val="center"/>
              <w:rPr>
                <w:sz w:val="18"/>
              </w:rPr>
            </w:pPr>
            <w:r w:rsidRPr="00EE3355">
              <w:rPr>
                <w:sz w:val="18"/>
              </w:rPr>
              <w:lastRenderedPageBreak/>
              <w:t>52. týden (%)</w:t>
            </w:r>
          </w:p>
        </w:tc>
        <w:tc>
          <w:tcPr>
            <w:tcW w:w="1624" w:type="dxa"/>
            <w:tcBorders>
              <w:top w:val="nil"/>
              <w:left w:val="nil"/>
              <w:bottom w:val="single" w:sz="4" w:space="0" w:color="000000"/>
              <w:right w:val="nil"/>
            </w:tcBorders>
          </w:tcPr>
          <w:p w14:paraId="550490BD" w14:textId="77777777" w:rsidR="008E1B8C" w:rsidRPr="00EE3355" w:rsidRDefault="008E1B8C" w:rsidP="008E1B8C">
            <w:pPr>
              <w:pStyle w:val="TableParagraph"/>
              <w:spacing w:before="63"/>
              <w:jc w:val="center"/>
              <w:rPr>
                <w:sz w:val="18"/>
              </w:rPr>
            </w:pPr>
            <w:r w:rsidRPr="00EE3355">
              <w:rPr>
                <w:sz w:val="18"/>
              </w:rPr>
              <w:t>ACR, n</w:t>
            </w:r>
          </w:p>
        </w:tc>
        <w:tc>
          <w:tcPr>
            <w:tcW w:w="1414" w:type="dxa"/>
            <w:tcBorders>
              <w:top w:val="nil"/>
              <w:left w:val="nil"/>
              <w:bottom w:val="single" w:sz="4" w:space="0" w:color="000000"/>
              <w:right w:val="nil"/>
            </w:tcBorders>
          </w:tcPr>
          <w:p w14:paraId="2B3185B8" w14:textId="77777777" w:rsidR="008E1B8C" w:rsidRPr="00EE3355" w:rsidRDefault="008E1B8C" w:rsidP="008E1B8C">
            <w:pPr>
              <w:pStyle w:val="TableParagraph"/>
              <w:spacing w:before="63"/>
              <w:ind w:left="21"/>
              <w:jc w:val="center"/>
              <w:rPr>
                <w:sz w:val="18"/>
              </w:rPr>
            </w:pPr>
            <w:r w:rsidRPr="00EE3355">
              <w:rPr>
                <w:sz w:val="18"/>
              </w:rPr>
              <w:t>142 (49,0)***</w:t>
            </w:r>
          </w:p>
        </w:tc>
        <w:tc>
          <w:tcPr>
            <w:tcW w:w="1441" w:type="dxa"/>
            <w:tcBorders>
              <w:top w:val="nil"/>
              <w:left w:val="nil"/>
              <w:bottom w:val="single" w:sz="4" w:space="0" w:color="000000"/>
              <w:right w:val="nil"/>
            </w:tcBorders>
          </w:tcPr>
          <w:p w14:paraId="25E3B345" w14:textId="77777777" w:rsidR="008E1B8C" w:rsidRPr="00EE3355" w:rsidRDefault="008E1B8C" w:rsidP="008E1B8C">
            <w:pPr>
              <w:pStyle w:val="TableParagraph"/>
              <w:spacing w:before="63"/>
              <w:ind w:left="26" w:right="3"/>
              <w:jc w:val="center"/>
              <w:rPr>
                <w:sz w:val="18"/>
              </w:rPr>
            </w:pPr>
            <w:r w:rsidRPr="00EE3355">
              <w:rPr>
                <w:sz w:val="18"/>
              </w:rPr>
              <w:t>115 (39,4)</w:t>
            </w:r>
          </w:p>
        </w:tc>
        <w:tc>
          <w:tcPr>
            <w:tcW w:w="1330" w:type="dxa"/>
            <w:tcBorders>
              <w:top w:val="nil"/>
              <w:left w:val="nil"/>
              <w:bottom w:val="single" w:sz="4" w:space="0" w:color="000000"/>
              <w:right w:val="nil"/>
            </w:tcBorders>
          </w:tcPr>
          <w:p w14:paraId="2B612639" w14:textId="77777777" w:rsidR="008E1B8C" w:rsidRPr="00EE3355" w:rsidRDefault="008E1B8C" w:rsidP="008E1B8C">
            <w:pPr>
              <w:pStyle w:val="TableParagraph"/>
              <w:spacing w:before="63"/>
              <w:ind w:left="26"/>
              <w:jc w:val="center"/>
              <w:rPr>
                <w:sz w:val="18"/>
              </w:rPr>
            </w:pPr>
            <w:r w:rsidRPr="00EE3355">
              <w:rPr>
                <w:sz w:val="18"/>
              </w:rPr>
              <w:t>98 (34,0)</w:t>
            </w:r>
          </w:p>
        </w:tc>
        <w:tc>
          <w:tcPr>
            <w:tcW w:w="1029" w:type="dxa"/>
            <w:tcBorders>
              <w:top w:val="nil"/>
              <w:left w:val="nil"/>
              <w:bottom w:val="single" w:sz="4" w:space="0" w:color="000000"/>
            </w:tcBorders>
          </w:tcPr>
          <w:p w14:paraId="49042F79" w14:textId="77777777" w:rsidR="008E1B8C" w:rsidRPr="00EE3355" w:rsidRDefault="008E1B8C" w:rsidP="008E1B8C">
            <w:pPr>
              <w:pStyle w:val="TableParagraph"/>
              <w:spacing w:before="63"/>
              <w:ind w:left="69" w:right="3"/>
              <w:jc w:val="center"/>
              <w:rPr>
                <w:sz w:val="18"/>
              </w:rPr>
            </w:pPr>
            <w:r w:rsidRPr="00EE3355">
              <w:rPr>
                <w:sz w:val="18"/>
              </w:rPr>
              <w:t>56 (19,5)</w:t>
            </w:r>
          </w:p>
        </w:tc>
      </w:tr>
      <w:tr w:rsidR="00E04140" w:rsidRPr="00EE3355" w14:paraId="041FE0C4" w14:textId="77777777" w:rsidTr="00E04140">
        <w:trPr>
          <w:cantSplit/>
          <w:trHeight w:val="20"/>
        </w:trPr>
        <w:tc>
          <w:tcPr>
            <w:tcW w:w="2072" w:type="dxa"/>
            <w:gridSpan w:val="3"/>
            <w:tcBorders>
              <w:bottom w:val="nil"/>
              <w:right w:val="nil"/>
            </w:tcBorders>
          </w:tcPr>
          <w:p w14:paraId="0C9EA348" w14:textId="77777777" w:rsidR="00E04140" w:rsidRPr="00EE3355" w:rsidRDefault="00E04140" w:rsidP="00E04140">
            <w:pPr>
              <w:pStyle w:val="TableParagraph"/>
              <w:tabs>
                <w:tab w:val="left" w:pos="1808"/>
              </w:tabs>
              <w:jc w:val="center"/>
              <w:rPr>
                <w:sz w:val="18"/>
              </w:rPr>
            </w:pPr>
            <w:r w:rsidRPr="00EE3355">
              <w:rPr>
                <w:sz w:val="18"/>
              </w:rPr>
              <w:t>24. týden</w:t>
            </w:r>
          </w:p>
        </w:tc>
        <w:tc>
          <w:tcPr>
            <w:tcW w:w="1652" w:type="dxa"/>
            <w:gridSpan w:val="3"/>
            <w:tcBorders>
              <w:left w:val="nil"/>
              <w:bottom w:val="nil"/>
              <w:right w:val="nil"/>
            </w:tcBorders>
          </w:tcPr>
          <w:p w14:paraId="3CEAC006" w14:textId="77777777" w:rsidR="00E04140" w:rsidRPr="00EE3355" w:rsidRDefault="00E04140" w:rsidP="00E04140">
            <w:pPr>
              <w:pStyle w:val="TableParagraph"/>
              <w:tabs>
                <w:tab w:val="left" w:pos="1808"/>
              </w:tabs>
              <w:jc w:val="center"/>
              <w:rPr>
                <w:sz w:val="18"/>
              </w:rPr>
            </w:pPr>
            <w:r w:rsidRPr="00EE3355">
              <w:rPr>
                <w:sz w:val="18"/>
              </w:rPr>
              <w:t>ACR20, n (%)</w:t>
            </w:r>
          </w:p>
        </w:tc>
        <w:tc>
          <w:tcPr>
            <w:tcW w:w="1414" w:type="dxa"/>
            <w:tcBorders>
              <w:left w:val="nil"/>
              <w:bottom w:val="nil"/>
              <w:right w:val="nil"/>
            </w:tcBorders>
          </w:tcPr>
          <w:p w14:paraId="14D568DE" w14:textId="77777777" w:rsidR="00E04140" w:rsidRPr="00EE3355" w:rsidRDefault="00E04140" w:rsidP="008E1B8C">
            <w:pPr>
              <w:pStyle w:val="TableParagraph"/>
              <w:ind w:left="23"/>
              <w:jc w:val="center"/>
              <w:rPr>
                <w:sz w:val="18"/>
              </w:rPr>
            </w:pPr>
            <w:r w:rsidRPr="00EE3355">
              <w:rPr>
                <w:sz w:val="18"/>
              </w:rPr>
              <w:t>216 (74,5)*</w:t>
            </w:r>
          </w:p>
        </w:tc>
        <w:tc>
          <w:tcPr>
            <w:tcW w:w="1441" w:type="dxa"/>
            <w:tcBorders>
              <w:left w:val="nil"/>
              <w:bottom w:val="nil"/>
              <w:right w:val="nil"/>
            </w:tcBorders>
          </w:tcPr>
          <w:p w14:paraId="5A24D973" w14:textId="77777777" w:rsidR="00E04140" w:rsidRPr="00EE3355" w:rsidRDefault="00E04140" w:rsidP="008E1B8C">
            <w:pPr>
              <w:pStyle w:val="TableParagraph"/>
              <w:ind w:left="26" w:right="3"/>
              <w:jc w:val="center"/>
              <w:rPr>
                <w:sz w:val="18"/>
              </w:rPr>
            </w:pPr>
            <w:r w:rsidRPr="00EE3355">
              <w:rPr>
                <w:sz w:val="18"/>
              </w:rPr>
              <w:t>205 (70,2)</w:t>
            </w:r>
          </w:p>
        </w:tc>
        <w:tc>
          <w:tcPr>
            <w:tcW w:w="1330" w:type="dxa"/>
            <w:tcBorders>
              <w:left w:val="nil"/>
              <w:bottom w:val="nil"/>
              <w:right w:val="nil"/>
            </w:tcBorders>
          </w:tcPr>
          <w:p w14:paraId="52B6F195" w14:textId="77777777" w:rsidR="00E04140" w:rsidRPr="00EE3355" w:rsidRDefault="00E04140" w:rsidP="008E1B8C">
            <w:pPr>
              <w:pStyle w:val="TableParagraph"/>
              <w:ind w:left="26" w:right="3"/>
              <w:jc w:val="center"/>
              <w:rPr>
                <w:sz w:val="18"/>
              </w:rPr>
            </w:pPr>
            <w:r w:rsidRPr="00EE3355">
              <w:rPr>
                <w:sz w:val="18"/>
              </w:rPr>
              <w:t>212 (73,6)</w:t>
            </w:r>
          </w:p>
        </w:tc>
        <w:tc>
          <w:tcPr>
            <w:tcW w:w="1029" w:type="dxa"/>
            <w:tcBorders>
              <w:left w:val="nil"/>
              <w:bottom w:val="nil"/>
            </w:tcBorders>
          </w:tcPr>
          <w:p w14:paraId="4F5ED50B" w14:textId="77777777" w:rsidR="00E04140" w:rsidRPr="00EE3355" w:rsidRDefault="00E04140" w:rsidP="008E1B8C">
            <w:pPr>
              <w:pStyle w:val="TableParagraph"/>
              <w:jc w:val="center"/>
              <w:rPr>
                <w:sz w:val="18"/>
              </w:rPr>
            </w:pPr>
            <w:r w:rsidRPr="00EE3355">
              <w:rPr>
                <w:sz w:val="18"/>
              </w:rPr>
              <w:t>187 (65,2)</w:t>
            </w:r>
          </w:p>
        </w:tc>
      </w:tr>
      <w:tr w:rsidR="008E1B8C" w:rsidRPr="00EE3355" w14:paraId="6CDFFC09" w14:textId="77777777" w:rsidTr="00E04140">
        <w:trPr>
          <w:cantSplit/>
          <w:trHeight w:val="20"/>
        </w:trPr>
        <w:tc>
          <w:tcPr>
            <w:tcW w:w="2072" w:type="dxa"/>
            <w:gridSpan w:val="3"/>
            <w:tcBorders>
              <w:top w:val="nil"/>
              <w:bottom w:val="nil"/>
              <w:right w:val="nil"/>
            </w:tcBorders>
          </w:tcPr>
          <w:p w14:paraId="55FE638B" w14:textId="77777777" w:rsidR="008E1B8C" w:rsidRPr="00EE3355" w:rsidRDefault="008E1B8C" w:rsidP="008E1B8C">
            <w:pPr>
              <w:pStyle w:val="TableParagraph"/>
              <w:rPr>
                <w:sz w:val="18"/>
              </w:rPr>
            </w:pPr>
          </w:p>
        </w:tc>
        <w:tc>
          <w:tcPr>
            <w:tcW w:w="1652" w:type="dxa"/>
            <w:gridSpan w:val="3"/>
            <w:tcBorders>
              <w:top w:val="nil"/>
              <w:left w:val="nil"/>
              <w:bottom w:val="nil"/>
              <w:right w:val="nil"/>
            </w:tcBorders>
          </w:tcPr>
          <w:p w14:paraId="1B3DA902" w14:textId="77777777" w:rsidR="008E1B8C" w:rsidRPr="00EE3355" w:rsidRDefault="008E1B8C" w:rsidP="00E04140">
            <w:pPr>
              <w:pStyle w:val="TableParagraph"/>
              <w:spacing w:before="63"/>
              <w:jc w:val="center"/>
              <w:rPr>
                <w:sz w:val="18"/>
              </w:rPr>
            </w:pPr>
            <w:r w:rsidRPr="00EE3355">
              <w:rPr>
                <w:sz w:val="18"/>
              </w:rPr>
              <w:t>ACR50, n (%)</w:t>
            </w:r>
          </w:p>
        </w:tc>
        <w:tc>
          <w:tcPr>
            <w:tcW w:w="1414" w:type="dxa"/>
            <w:tcBorders>
              <w:top w:val="nil"/>
              <w:left w:val="nil"/>
              <w:bottom w:val="nil"/>
              <w:right w:val="nil"/>
            </w:tcBorders>
          </w:tcPr>
          <w:p w14:paraId="27897F94" w14:textId="77777777" w:rsidR="008E1B8C" w:rsidRPr="00EE3355" w:rsidRDefault="008E1B8C" w:rsidP="008E1B8C">
            <w:pPr>
              <w:pStyle w:val="TableParagraph"/>
              <w:spacing w:before="63"/>
              <w:ind w:left="70" w:right="120" w:hanging="14"/>
              <w:jc w:val="center"/>
              <w:rPr>
                <w:sz w:val="18"/>
              </w:rPr>
            </w:pPr>
            <w:r w:rsidRPr="00EE3355">
              <w:rPr>
                <w:sz w:val="18"/>
              </w:rPr>
              <w:t>165 (56,9)**</w:t>
            </w:r>
          </w:p>
        </w:tc>
        <w:tc>
          <w:tcPr>
            <w:tcW w:w="1441" w:type="dxa"/>
            <w:tcBorders>
              <w:top w:val="nil"/>
              <w:left w:val="nil"/>
              <w:bottom w:val="nil"/>
              <w:right w:val="nil"/>
            </w:tcBorders>
          </w:tcPr>
          <w:p w14:paraId="60F0200A" w14:textId="77777777" w:rsidR="008E1B8C" w:rsidRPr="00EE3355" w:rsidRDefault="008E1B8C" w:rsidP="008E1B8C">
            <w:pPr>
              <w:pStyle w:val="TableParagraph"/>
              <w:spacing w:before="63"/>
              <w:ind w:left="26" w:right="3"/>
              <w:jc w:val="center"/>
              <w:rPr>
                <w:sz w:val="18"/>
              </w:rPr>
            </w:pPr>
            <w:r w:rsidRPr="00EE3355">
              <w:rPr>
                <w:sz w:val="18"/>
              </w:rPr>
              <w:t>139 (47,6)</w:t>
            </w:r>
          </w:p>
        </w:tc>
        <w:tc>
          <w:tcPr>
            <w:tcW w:w="1330" w:type="dxa"/>
            <w:tcBorders>
              <w:top w:val="nil"/>
              <w:left w:val="nil"/>
              <w:bottom w:val="nil"/>
              <w:right w:val="nil"/>
            </w:tcBorders>
          </w:tcPr>
          <w:p w14:paraId="770A0036" w14:textId="77777777" w:rsidR="008E1B8C" w:rsidRPr="00EE3355" w:rsidRDefault="008E1B8C" w:rsidP="008E1B8C">
            <w:pPr>
              <w:pStyle w:val="TableParagraph"/>
              <w:spacing w:before="63"/>
              <w:ind w:left="26" w:right="2"/>
              <w:jc w:val="center"/>
              <w:rPr>
                <w:sz w:val="18"/>
              </w:rPr>
            </w:pPr>
            <w:r w:rsidRPr="00EE3355">
              <w:rPr>
                <w:sz w:val="18"/>
              </w:rPr>
              <w:t>138 (47,9)</w:t>
            </w:r>
          </w:p>
        </w:tc>
        <w:tc>
          <w:tcPr>
            <w:tcW w:w="1029" w:type="dxa"/>
            <w:tcBorders>
              <w:top w:val="nil"/>
              <w:left w:val="nil"/>
              <w:bottom w:val="nil"/>
            </w:tcBorders>
          </w:tcPr>
          <w:p w14:paraId="55B71CFD" w14:textId="77777777" w:rsidR="008E1B8C" w:rsidRPr="00EE3355" w:rsidRDefault="008E1B8C" w:rsidP="008E1B8C">
            <w:pPr>
              <w:pStyle w:val="TableParagraph"/>
              <w:spacing w:before="63"/>
              <w:ind w:left="49"/>
              <w:jc w:val="center"/>
              <w:rPr>
                <w:sz w:val="18"/>
              </w:rPr>
            </w:pPr>
            <w:r w:rsidRPr="00EE3355">
              <w:rPr>
                <w:sz w:val="18"/>
              </w:rPr>
              <w:t>124 (43,2)</w:t>
            </w:r>
          </w:p>
        </w:tc>
      </w:tr>
      <w:tr w:rsidR="008E1B8C" w:rsidRPr="00EE3355" w14:paraId="30BB05C4" w14:textId="77777777" w:rsidTr="00E04140">
        <w:trPr>
          <w:cantSplit/>
          <w:trHeight w:val="20"/>
        </w:trPr>
        <w:tc>
          <w:tcPr>
            <w:tcW w:w="2072" w:type="dxa"/>
            <w:gridSpan w:val="3"/>
            <w:tcBorders>
              <w:top w:val="nil"/>
              <w:bottom w:val="nil"/>
              <w:right w:val="nil"/>
            </w:tcBorders>
          </w:tcPr>
          <w:p w14:paraId="67D4D536" w14:textId="77777777" w:rsidR="008E1B8C" w:rsidRPr="00EE3355" w:rsidRDefault="008E1B8C" w:rsidP="008E1B8C">
            <w:pPr>
              <w:pStyle w:val="TableParagraph"/>
              <w:rPr>
                <w:sz w:val="18"/>
              </w:rPr>
            </w:pPr>
          </w:p>
        </w:tc>
        <w:tc>
          <w:tcPr>
            <w:tcW w:w="1652" w:type="dxa"/>
            <w:gridSpan w:val="3"/>
            <w:tcBorders>
              <w:top w:val="nil"/>
              <w:left w:val="nil"/>
              <w:bottom w:val="nil"/>
              <w:right w:val="nil"/>
            </w:tcBorders>
          </w:tcPr>
          <w:p w14:paraId="6B0460D7" w14:textId="77777777" w:rsidR="008E1B8C" w:rsidRPr="00EE3355" w:rsidRDefault="008E1B8C" w:rsidP="00E04140">
            <w:pPr>
              <w:pStyle w:val="TableParagraph"/>
              <w:spacing w:before="63"/>
              <w:jc w:val="center"/>
              <w:rPr>
                <w:sz w:val="18"/>
              </w:rPr>
            </w:pPr>
            <w:r w:rsidRPr="00EE3355">
              <w:rPr>
                <w:sz w:val="18"/>
              </w:rPr>
              <w:t>ACR70, n (%)</w:t>
            </w:r>
          </w:p>
        </w:tc>
        <w:tc>
          <w:tcPr>
            <w:tcW w:w="1414" w:type="dxa"/>
            <w:tcBorders>
              <w:top w:val="nil"/>
              <w:left w:val="nil"/>
              <w:bottom w:val="nil"/>
              <w:right w:val="nil"/>
            </w:tcBorders>
          </w:tcPr>
          <w:p w14:paraId="22040B59" w14:textId="77777777" w:rsidR="008E1B8C" w:rsidRPr="00EE3355" w:rsidRDefault="008E1B8C" w:rsidP="008E1B8C">
            <w:pPr>
              <w:pStyle w:val="TableParagraph"/>
              <w:spacing w:before="63"/>
              <w:ind w:left="42" w:right="120"/>
              <w:jc w:val="center"/>
              <w:rPr>
                <w:sz w:val="18"/>
              </w:rPr>
            </w:pPr>
            <w:r w:rsidRPr="00EE3355">
              <w:rPr>
                <w:sz w:val="18"/>
              </w:rPr>
              <w:t>112 (38,6)**</w:t>
            </w:r>
          </w:p>
        </w:tc>
        <w:tc>
          <w:tcPr>
            <w:tcW w:w="1441" w:type="dxa"/>
            <w:tcBorders>
              <w:top w:val="nil"/>
              <w:left w:val="nil"/>
              <w:bottom w:val="nil"/>
              <w:right w:val="nil"/>
            </w:tcBorders>
          </w:tcPr>
          <w:p w14:paraId="103416E6" w14:textId="77777777" w:rsidR="008E1B8C" w:rsidRPr="00EE3355" w:rsidRDefault="008E1B8C" w:rsidP="008E1B8C">
            <w:pPr>
              <w:pStyle w:val="TableParagraph"/>
              <w:spacing w:before="63"/>
              <w:ind w:left="26"/>
              <w:jc w:val="center"/>
              <w:rPr>
                <w:sz w:val="18"/>
              </w:rPr>
            </w:pPr>
            <w:r w:rsidRPr="00EE3355">
              <w:rPr>
                <w:sz w:val="18"/>
              </w:rPr>
              <w:t>88 (30,1)</w:t>
            </w:r>
          </w:p>
        </w:tc>
        <w:tc>
          <w:tcPr>
            <w:tcW w:w="1330" w:type="dxa"/>
            <w:tcBorders>
              <w:top w:val="nil"/>
              <w:left w:val="nil"/>
              <w:bottom w:val="nil"/>
              <w:right w:val="nil"/>
            </w:tcBorders>
          </w:tcPr>
          <w:p w14:paraId="395F268F" w14:textId="77777777" w:rsidR="008E1B8C" w:rsidRPr="00EE3355" w:rsidRDefault="008E1B8C" w:rsidP="008E1B8C">
            <w:pPr>
              <w:pStyle w:val="TableParagraph"/>
              <w:spacing w:before="63"/>
              <w:ind w:left="26" w:right="2"/>
              <w:jc w:val="center"/>
              <w:rPr>
                <w:sz w:val="18"/>
              </w:rPr>
            </w:pPr>
            <w:r w:rsidRPr="00EE3355">
              <w:rPr>
                <w:sz w:val="18"/>
              </w:rPr>
              <w:t>100 (34,7)</w:t>
            </w:r>
          </w:p>
        </w:tc>
        <w:tc>
          <w:tcPr>
            <w:tcW w:w="1029" w:type="dxa"/>
            <w:tcBorders>
              <w:top w:val="nil"/>
              <w:left w:val="nil"/>
              <w:bottom w:val="nil"/>
            </w:tcBorders>
          </w:tcPr>
          <w:p w14:paraId="12570DD9" w14:textId="77777777" w:rsidR="008E1B8C" w:rsidRPr="00EE3355" w:rsidRDefault="008E1B8C" w:rsidP="008E1B8C">
            <w:pPr>
              <w:pStyle w:val="TableParagraph"/>
              <w:spacing w:before="63"/>
              <w:ind w:left="69" w:right="2"/>
              <w:jc w:val="center"/>
              <w:rPr>
                <w:sz w:val="18"/>
              </w:rPr>
            </w:pPr>
            <w:r w:rsidRPr="00EE3355">
              <w:rPr>
                <w:sz w:val="18"/>
              </w:rPr>
              <w:t>73 (25,4)</w:t>
            </w:r>
          </w:p>
        </w:tc>
      </w:tr>
      <w:tr w:rsidR="00E04140" w:rsidRPr="00EE3355" w14:paraId="63F7A1C3" w14:textId="77777777" w:rsidTr="00E04140">
        <w:trPr>
          <w:cantSplit/>
          <w:trHeight w:val="20"/>
        </w:trPr>
        <w:tc>
          <w:tcPr>
            <w:tcW w:w="2072" w:type="dxa"/>
            <w:gridSpan w:val="3"/>
            <w:tcBorders>
              <w:top w:val="nil"/>
              <w:bottom w:val="nil"/>
              <w:right w:val="nil"/>
            </w:tcBorders>
          </w:tcPr>
          <w:p w14:paraId="11D8F211" w14:textId="77777777" w:rsidR="00E04140" w:rsidRPr="00EE3355" w:rsidRDefault="00E04140" w:rsidP="00E04140">
            <w:pPr>
              <w:pStyle w:val="TableParagraph"/>
              <w:tabs>
                <w:tab w:val="left" w:pos="1829"/>
              </w:tabs>
              <w:spacing w:before="62"/>
              <w:jc w:val="center"/>
              <w:rPr>
                <w:sz w:val="18"/>
              </w:rPr>
            </w:pPr>
            <w:r w:rsidRPr="00EE3355">
              <w:rPr>
                <w:sz w:val="18"/>
              </w:rPr>
              <w:t>52. týden</w:t>
            </w:r>
          </w:p>
        </w:tc>
        <w:tc>
          <w:tcPr>
            <w:tcW w:w="1652" w:type="dxa"/>
            <w:gridSpan w:val="3"/>
            <w:tcBorders>
              <w:top w:val="nil"/>
              <w:left w:val="nil"/>
              <w:bottom w:val="nil"/>
              <w:right w:val="nil"/>
            </w:tcBorders>
          </w:tcPr>
          <w:p w14:paraId="4ACB430D" w14:textId="77777777" w:rsidR="00E04140" w:rsidRPr="00EE3355" w:rsidRDefault="00E04140" w:rsidP="00E04140">
            <w:pPr>
              <w:pStyle w:val="TableParagraph"/>
              <w:tabs>
                <w:tab w:val="left" w:pos="1829"/>
              </w:tabs>
              <w:spacing w:before="62"/>
              <w:jc w:val="center"/>
              <w:rPr>
                <w:sz w:val="18"/>
              </w:rPr>
            </w:pPr>
            <w:r w:rsidRPr="00EE3355">
              <w:rPr>
                <w:sz w:val="18"/>
              </w:rPr>
              <w:t>ACR20, n (%)</w:t>
            </w:r>
          </w:p>
        </w:tc>
        <w:tc>
          <w:tcPr>
            <w:tcW w:w="1414" w:type="dxa"/>
            <w:tcBorders>
              <w:top w:val="nil"/>
              <w:left w:val="nil"/>
              <w:bottom w:val="nil"/>
              <w:right w:val="nil"/>
            </w:tcBorders>
          </w:tcPr>
          <w:p w14:paraId="72D8317F" w14:textId="77777777" w:rsidR="00E04140" w:rsidRPr="00EE3355" w:rsidRDefault="00E04140" w:rsidP="008E1B8C">
            <w:pPr>
              <w:pStyle w:val="TableParagraph"/>
              <w:spacing w:before="62"/>
              <w:ind w:left="23"/>
              <w:jc w:val="center"/>
              <w:rPr>
                <w:sz w:val="18"/>
              </w:rPr>
            </w:pPr>
            <w:r w:rsidRPr="00EE3355">
              <w:rPr>
                <w:sz w:val="18"/>
              </w:rPr>
              <w:t>195 (67,2)*</w:t>
            </w:r>
          </w:p>
        </w:tc>
        <w:tc>
          <w:tcPr>
            <w:tcW w:w="1441" w:type="dxa"/>
            <w:tcBorders>
              <w:top w:val="nil"/>
              <w:left w:val="nil"/>
              <w:bottom w:val="nil"/>
              <w:right w:val="nil"/>
            </w:tcBorders>
          </w:tcPr>
          <w:p w14:paraId="6AEFC4ED" w14:textId="77777777" w:rsidR="00E04140" w:rsidRPr="00EE3355" w:rsidRDefault="00E04140" w:rsidP="008E1B8C">
            <w:pPr>
              <w:pStyle w:val="TableParagraph"/>
              <w:spacing w:before="62"/>
              <w:ind w:left="26" w:right="3"/>
              <w:jc w:val="center"/>
              <w:rPr>
                <w:sz w:val="18"/>
              </w:rPr>
            </w:pPr>
            <w:r w:rsidRPr="00EE3355">
              <w:rPr>
                <w:sz w:val="18"/>
              </w:rPr>
              <w:t>184 (63,0)</w:t>
            </w:r>
          </w:p>
        </w:tc>
        <w:tc>
          <w:tcPr>
            <w:tcW w:w="1330" w:type="dxa"/>
            <w:tcBorders>
              <w:top w:val="nil"/>
              <w:left w:val="nil"/>
              <w:bottom w:val="nil"/>
              <w:right w:val="nil"/>
            </w:tcBorders>
          </w:tcPr>
          <w:p w14:paraId="0B62B89A" w14:textId="77777777" w:rsidR="00E04140" w:rsidRPr="00EE3355" w:rsidRDefault="00E04140" w:rsidP="008E1B8C">
            <w:pPr>
              <w:pStyle w:val="TableParagraph"/>
              <w:spacing w:before="62"/>
              <w:ind w:left="26" w:right="3"/>
              <w:jc w:val="center"/>
              <w:rPr>
                <w:sz w:val="18"/>
              </w:rPr>
            </w:pPr>
            <w:r w:rsidRPr="00EE3355">
              <w:rPr>
                <w:sz w:val="18"/>
              </w:rPr>
              <w:t>181 (62,8)</w:t>
            </w:r>
          </w:p>
        </w:tc>
        <w:tc>
          <w:tcPr>
            <w:tcW w:w="1029" w:type="dxa"/>
            <w:tcBorders>
              <w:top w:val="nil"/>
              <w:left w:val="nil"/>
              <w:bottom w:val="nil"/>
            </w:tcBorders>
          </w:tcPr>
          <w:p w14:paraId="6550B333" w14:textId="77777777" w:rsidR="00E04140" w:rsidRPr="00EE3355" w:rsidRDefault="00E04140" w:rsidP="008E1B8C">
            <w:pPr>
              <w:pStyle w:val="TableParagraph"/>
              <w:spacing w:before="62"/>
              <w:jc w:val="center"/>
              <w:rPr>
                <w:sz w:val="18"/>
              </w:rPr>
            </w:pPr>
            <w:r w:rsidRPr="00EE3355">
              <w:rPr>
                <w:sz w:val="18"/>
              </w:rPr>
              <w:t>164 (57,1)</w:t>
            </w:r>
          </w:p>
        </w:tc>
      </w:tr>
      <w:tr w:rsidR="008E1B8C" w:rsidRPr="00EE3355" w14:paraId="4C9B21F9" w14:textId="77777777" w:rsidTr="00E04140">
        <w:trPr>
          <w:cantSplit/>
          <w:trHeight w:val="20"/>
        </w:trPr>
        <w:tc>
          <w:tcPr>
            <w:tcW w:w="2072" w:type="dxa"/>
            <w:gridSpan w:val="3"/>
            <w:tcBorders>
              <w:top w:val="nil"/>
              <w:bottom w:val="nil"/>
              <w:right w:val="nil"/>
            </w:tcBorders>
          </w:tcPr>
          <w:p w14:paraId="2E05A7CF" w14:textId="77777777" w:rsidR="008E1B8C" w:rsidRPr="00EE3355" w:rsidRDefault="008E1B8C" w:rsidP="008E1B8C">
            <w:pPr>
              <w:pStyle w:val="TableParagraph"/>
              <w:rPr>
                <w:sz w:val="18"/>
              </w:rPr>
            </w:pPr>
          </w:p>
        </w:tc>
        <w:tc>
          <w:tcPr>
            <w:tcW w:w="1652" w:type="dxa"/>
            <w:gridSpan w:val="3"/>
            <w:tcBorders>
              <w:top w:val="nil"/>
              <w:left w:val="nil"/>
              <w:bottom w:val="nil"/>
              <w:right w:val="nil"/>
            </w:tcBorders>
          </w:tcPr>
          <w:p w14:paraId="2A036E3E" w14:textId="77777777" w:rsidR="008E1B8C" w:rsidRPr="00EE3355" w:rsidRDefault="008E1B8C" w:rsidP="00E04140">
            <w:pPr>
              <w:pStyle w:val="TableParagraph"/>
              <w:spacing w:before="63"/>
              <w:jc w:val="center"/>
              <w:rPr>
                <w:sz w:val="18"/>
              </w:rPr>
            </w:pPr>
            <w:r w:rsidRPr="00EE3355">
              <w:rPr>
                <w:sz w:val="18"/>
              </w:rPr>
              <w:t>ACR50, n (%)</w:t>
            </w:r>
          </w:p>
        </w:tc>
        <w:tc>
          <w:tcPr>
            <w:tcW w:w="1414" w:type="dxa"/>
            <w:tcBorders>
              <w:top w:val="nil"/>
              <w:left w:val="nil"/>
              <w:bottom w:val="nil"/>
              <w:right w:val="nil"/>
            </w:tcBorders>
          </w:tcPr>
          <w:p w14:paraId="60A90348" w14:textId="77777777" w:rsidR="008E1B8C" w:rsidRPr="00EE3355" w:rsidRDefault="008E1B8C" w:rsidP="008E1B8C">
            <w:pPr>
              <w:pStyle w:val="TableParagraph"/>
              <w:spacing w:before="63"/>
              <w:ind w:left="84" w:right="120" w:hanging="28"/>
              <w:jc w:val="center"/>
              <w:rPr>
                <w:sz w:val="18"/>
              </w:rPr>
            </w:pPr>
            <w:r w:rsidRPr="00EE3355">
              <w:rPr>
                <w:sz w:val="18"/>
              </w:rPr>
              <w:t>162 (55,9)**</w:t>
            </w:r>
          </w:p>
        </w:tc>
        <w:tc>
          <w:tcPr>
            <w:tcW w:w="1441" w:type="dxa"/>
            <w:tcBorders>
              <w:top w:val="nil"/>
              <w:left w:val="nil"/>
              <w:bottom w:val="nil"/>
              <w:right w:val="nil"/>
            </w:tcBorders>
          </w:tcPr>
          <w:p w14:paraId="4EEFDB4A" w14:textId="77777777" w:rsidR="008E1B8C" w:rsidRPr="00EE3355" w:rsidRDefault="008E1B8C" w:rsidP="008E1B8C">
            <w:pPr>
              <w:pStyle w:val="TableParagraph"/>
              <w:spacing w:before="63"/>
              <w:ind w:left="26" w:right="3"/>
              <w:jc w:val="center"/>
              <w:rPr>
                <w:sz w:val="18"/>
              </w:rPr>
            </w:pPr>
            <w:r w:rsidRPr="00EE3355">
              <w:rPr>
                <w:sz w:val="18"/>
              </w:rPr>
              <w:t>144 (49,3)</w:t>
            </w:r>
          </w:p>
        </w:tc>
        <w:tc>
          <w:tcPr>
            <w:tcW w:w="1330" w:type="dxa"/>
            <w:tcBorders>
              <w:top w:val="nil"/>
              <w:left w:val="nil"/>
              <w:bottom w:val="nil"/>
              <w:right w:val="nil"/>
            </w:tcBorders>
          </w:tcPr>
          <w:p w14:paraId="62BC8291" w14:textId="77777777" w:rsidR="008E1B8C" w:rsidRPr="00EE3355" w:rsidRDefault="008E1B8C" w:rsidP="008E1B8C">
            <w:pPr>
              <w:pStyle w:val="TableParagraph"/>
              <w:spacing w:before="63"/>
              <w:ind w:left="26" w:right="2"/>
              <w:jc w:val="center"/>
              <w:rPr>
                <w:sz w:val="18"/>
              </w:rPr>
            </w:pPr>
            <w:r w:rsidRPr="00EE3355">
              <w:rPr>
                <w:sz w:val="18"/>
              </w:rPr>
              <w:t>151 (52,4)</w:t>
            </w:r>
          </w:p>
        </w:tc>
        <w:tc>
          <w:tcPr>
            <w:tcW w:w="1029" w:type="dxa"/>
            <w:tcBorders>
              <w:top w:val="nil"/>
              <w:left w:val="nil"/>
              <w:bottom w:val="nil"/>
            </w:tcBorders>
          </w:tcPr>
          <w:p w14:paraId="74E9E8F6" w14:textId="77777777" w:rsidR="008E1B8C" w:rsidRPr="00EE3355" w:rsidRDefault="008E1B8C" w:rsidP="008E1B8C">
            <w:pPr>
              <w:pStyle w:val="TableParagraph"/>
              <w:spacing w:before="63"/>
              <w:ind w:left="49"/>
              <w:jc w:val="center"/>
              <w:rPr>
                <w:sz w:val="18"/>
              </w:rPr>
            </w:pPr>
            <w:r w:rsidRPr="00EE3355">
              <w:rPr>
                <w:sz w:val="18"/>
              </w:rPr>
              <w:t>117 (40,8)</w:t>
            </w:r>
          </w:p>
        </w:tc>
      </w:tr>
      <w:tr w:rsidR="008E1B8C" w:rsidRPr="00EE3355" w14:paraId="23A852F8" w14:textId="77777777" w:rsidTr="00E04140">
        <w:trPr>
          <w:cantSplit/>
          <w:trHeight w:val="20"/>
        </w:trPr>
        <w:tc>
          <w:tcPr>
            <w:tcW w:w="2072" w:type="dxa"/>
            <w:gridSpan w:val="3"/>
            <w:tcBorders>
              <w:top w:val="nil"/>
              <w:bottom w:val="single" w:sz="4" w:space="0" w:color="000000"/>
              <w:right w:val="nil"/>
            </w:tcBorders>
          </w:tcPr>
          <w:p w14:paraId="767329FE" w14:textId="77777777" w:rsidR="008E1B8C" w:rsidRPr="00EE3355" w:rsidRDefault="008E1B8C" w:rsidP="008E1B8C">
            <w:pPr>
              <w:pStyle w:val="TableParagraph"/>
              <w:rPr>
                <w:sz w:val="18"/>
              </w:rPr>
            </w:pPr>
          </w:p>
        </w:tc>
        <w:tc>
          <w:tcPr>
            <w:tcW w:w="1652" w:type="dxa"/>
            <w:gridSpan w:val="3"/>
            <w:tcBorders>
              <w:top w:val="nil"/>
              <w:left w:val="nil"/>
              <w:bottom w:val="single" w:sz="4" w:space="0" w:color="000000"/>
              <w:right w:val="nil"/>
            </w:tcBorders>
          </w:tcPr>
          <w:p w14:paraId="3B1EDBA0" w14:textId="77777777" w:rsidR="008E1B8C" w:rsidRPr="00EE3355" w:rsidRDefault="008E1B8C" w:rsidP="00E04140">
            <w:pPr>
              <w:pStyle w:val="TableParagraph"/>
              <w:spacing w:before="63"/>
              <w:jc w:val="center"/>
              <w:rPr>
                <w:sz w:val="18"/>
              </w:rPr>
            </w:pPr>
            <w:r w:rsidRPr="00EE3355">
              <w:rPr>
                <w:sz w:val="18"/>
              </w:rPr>
              <w:t>ACR70, n (%)</w:t>
            </w:r>
          </w:p>
        </w:tc>
        <w:tc>
          <w:tcPr>
            <w:tcW w:w="1414" w:type="dxa"/>
            <w:tcBorders>
              <w:top w:val="nil"/>
              <w:left w:val="nil"/>
              <w:bottom w:val="single" w:sz="4" w:space="0" w:color="000000"/>
              <w:right w:val="nil"/>
            </w:tcBorders>
          </w:tcPr>
          <w:p w14:paraId="29DC67C3" w14:textId="77777777" w:rsidR="008E1B8C" w:rsidRPr="00EE3355" w:rsidRDefault="008E1B8C" w:rsidP="008E1B8C">
            <w:pPr>
              <w:pStyle w:val="TableParagraph"/>
              <w:spacing w:before="63"/>
              <w:ind w:left="28" w:right="120"/>
              <w:jc w:val="center"/>
              <w:rPr>
                <w:sz w:val="18"/>
              </w:rPr>
            </w:pPr>
            <w:r w:rsidRPr="00EE3355">
              <w:rPr>
                <w:sz w:val="18"/>
              </w:rPr>
              <w:t>125 (43,1)**</w:t>
            </w:r>
          </w:p>
        </w:tc>
        <w:tc>
          <w:tcPr>
            <w:tcW w:w="1441" w:type="dxa"/>
            <w:tcBorders>
              <w:top w:val="nil"/>
              <w:left w:val="nil"/>
              <w:bottom w:val="single" w:sz="4" w:space="0" w:color="000000"/>
              <w:right w:val="nil"/>
            </w:tcBorders>
          </w:tcPr>
          <w:p w14:paraId="07856721" w14:textId="77777777" w:rsidR="008E1B8C" w:rsidRPr="00EE3355" w:rsidRDefault="008E1B8C" w:rsidP="008E1B8C">
            <w:pPr>
              <w:pStyle w:val="TableParagraph"/>
              <w:spacing w:before="63"/>
              <w:ind w:left="26" w:right="3"/>
              <w:jc w:val="center"/>
              <w:rPr>
                <w:sz w:val="18"/>
              </w:rPr>
            </w:pPr>
            <w:r w:rsidRPr="00EE3355">
              <w:rPr>
                <w:sz w:val="18"/>
              </w:rPr>
              <w:t>105 (36,0)</w:t>
            </w:r>
          </w:p>
        </w:tc>
        <w:tc>
          <w:tcPr>
            <w:tcW w:w="1330" w:type="dxa"/>
            <w:tcBorders>
              <w:top w:val="nil"/>
              <w:left w:val="nil"/>
              <w:bottom w:val="single" w:sz="4" w:space="0" w:color="000000"/>
              <w:right w:val="nil"/>
            </w:tcBorders>
          </w:tcPr>
          <w:p w14:paraId="23D214D0" w14:textId="77777777" w:rsidR="008E1B8C" w:rsidRPr="00EE3355" w:rsidRDefault="008E1B8C" w:rsidP="008E1B8C">
            <w:pPr>
              <w:pStyle w:val="TableParagraph"/>
              <w:spacing w:before="63"/>
              <w:ind w:left="26" w:right="2"/>
              <w:jc w:val="center"/>
              <w:rPr>
                <w:sz w:val="18"/>
              </w:rPr>
            </w:pPr>
            <w:r w:rsidRPr="00EE3355">
              <w:rPr>
                <w:sz w:val="18"/>
              </w:rPr>
              <w:t>107 (37,2)</w:t>
            </w:r>
          </w:p>
        </w:tc>
        <w:tc>
          <w:tcPr>
            <w:tcW w:w="1029" w:type="dxa"/>
            <w:tcBorders>
              <w:top w:val="nil"/>
              <w:left w:val="nil"/>
              <w:bottom w:val="single" w:sz="4" w:space="0" w:color="000000"/>
            </w:tcBorders>
          </w:tcPr>
          <w:p w14:paraId="4D752F67" w14:textId="77777777" w:rsidR="008E1B8C" w:rsidRPr="00EE3355" w:rsidRDefault="008E1B8C" w:rsidP="008E1B8C">
            <w:pPr>
              <w:pStyle w:val="TableParagraph"/>
              <w:spacing w:before="63"/>
              <w:ind w:left="69" w:right="2"/>
              <w:jc w:val="center"/>
              <w:rPr>
                <w:sz w:val="18"/>
              </w:rPr>
            </w:pPr>
            <w:r w:rsidRPr="00EE3355">
              <w:rPr>
                <w:sz w:val="18"/>
              </w:rPr>
              <w:t>83 (28,9)</w:t>
            </w:r>
          </w:p>
        </w:tc>
      </w:tr>
      <w:tr w:rsidR="008E1B8C" w:rsidRPr="00EE3355" w14:paraId="56446C40" w14:textId="77777777" w:rsidTr="00E04140">
        <w:trPr>
          <w:cantSplit/>
          <w:trHeight w:val="20"/>
        </w:trPr>
        <w:tc>
          <w:tcPr>
            <w:tcW w:w="8938" w:type="dxa"/>
            <w:gridSpan w:val="10"/>
            <w:tcBorders>
              <w:bottom w:val="nil"/>
            </w:tcBorders>
          </w:tcPr>
          <w:p w14:paraId="0B83B1B0" w14:textId="77777777" w:rsidR="008E1B8C" w:rsidRPr="00EE3355" w:rsidRDefault="008E1B8C" w:rsidP="008E1B8C">
            <w:pPr>
              <w:pStyle w:val="TableParagraph"/>
              <w:keepNext/>
              <w:spacing w:before="74"/>
              <w:rPr>
                <w:sz w:val="18"/>
              </w:rPr>
            </w:pPr>
            <w:r w:rsidRPr="00EE3355">
              <w:rPr>
                <w:sz w:val="18"/>
              </w:rPr>
              <w:t>HAQ-DI (upravená průměrná změna od výchozích hodnot)</w:t>
            </w:r>
          </w:p>
        </w:tc>
      </w:tr>
      <w:tr w:rsidR="008E1B8C" w:rsidRPr="00EE3355" w14:paraId="2CB72B01" w14:textId="77777777" w:rsidTr="00E04140">
        <w:trPr>
          <w:cantSplit/>
          <w:trHeight w:val="20"/>
        </w:trPr>
        <w:tc>
          <w:tcPr>
            <w:tcW w:w="3724" w:type="dxa"/>
            <w:gridSpan w:val="6"/>
            <w:tcBorders>
              <w:top w:val="nil"/>
              <w:right w:val="nil"/>
            </w:tcBorders>
          </w:tcPr>
          <w:p w14:paraId="19F9BFC0" w14:textId="77777777" w:rsidR="008E1B8C" w:rsidRPr="00EE3355" w:rsidRDefault="008E1B8C" w:rsidP="008E1B8C">
            <w:pPr>
              <w:pStyle w:val="TableParagraph"/>
              <w:spacing w:before="74"/>
              <w:ind w:left="567"/>
              <w:rPr>
                <w:sz w:val="18"/>
              </w:rPr>
            </w:pPr>
            <w:r w:rsidRPr="00EE3355">
              <w:rPr>
                <w:sz w:val="18"/>
              </w:rPr>
              <w:t>52. týden</w:t>
            </w:r>
          </w:p>
        </w:tc>
        <w:tc>
          <w:tcPr>
            <w:tcW w:w="1414" w:type="dxa"/>
            <w:tcBorders>
              <w:top w:val="nil"/>
              <w:left w:val="nil"/>
              <w:right w:val="nil"/>
            </w:tcBorders>
          </w:tcPr>
          <w:p w14:paraId="1D3DDCD4" w14:textId="77777777" w:rsidR="008E1B8C" w:rsidRPr="00EE3355" w:rsidRDefault="008E1B8C" w:rsidP="008E1B8C">
            <w:pPr>
              <w:pStyle w:val="TableParagraph"/>
              <w:spacing w:before="74"/>
              <w:ind w:left="23"/>
              <w:jc w:val="center"/>
              <w:rPr>
                <w:sz w:val="18"/>
              </w:rPr>
            </w:pPr>
            <w:r w:rsidRPr="00EE3355">
              <w:rPr>
                <w:sz w:val="18"/>
              </w:rPr>
              <w:t>-0,81*</w:t>
            </w:r>
          </w:p>
        </w:tc>
        <w:tc>
          <w:tcPr>
            <w:tcW w:w="1441" w:type="dxa"/>
            <w:tcBorders>
              <w:top w:val="nil"/>
              <w:left w:val="nil"/>
              <w:right w:val="nil"/>
            </w:tcBorders>
          </w:tcPr>
          <w:p w14:paraId="694D6DB5" w14:textId="77777777" w:rsidR="008E1B8C" w:rsidRPr="00EE3355" w:rsidRDefault="008E1B8C" w:rsidP="008E1B8C">
            <w:pPr>
              <w:pStyle w:val="TableParagraph"/>
              <w:spacing w:before="74"/>
              <w:ind w:left="26" w:right="6"/>
              <w:jc w:val="center"/>
              <w:rPr>
                <w:sz w:val="18"/>
              </w:rPr>
            </w:pPr>
            <w:r w:rsidRPr="00EE3355">
              <w:rPr>
                <w:sz w:val="18"/>
              </w:rPr>
              <w:t>-0,67</w:t>
            </w:r>
          </w:p>
        </w:tc>
        <w:tc>
          <w:tcPr>
            <w:tcW w:w="1330" w:type="dxa"/>
            <w:tcBorders>
              <w:top w:val="nil"/>
              <w:left w:val="nil"/>
              <w:right w:val="nil"/>
            </w:tcBorders>
          </w:tcPr>
          <w:p w14:paraId="5A769789" w14:textId="77777777" w:rsidR="008E1B8C" w:rsidRPr="00EE3355" w:rsidRDefault="008E1B8C" w:rsidP="008E1B8C">
            <w:pPr>
              <w:pStyle w:val="TableParagraph"/>
              <w:spacing w:before="74"/>
              <w:ind w:left="26" w:right="6"/>
              <w:jc w:val="center"/>
              <w:rPr>
                <w:sz w:val="18"/>
              </w:rPr>
            </w:pPr>
            <w:r w:rsidRPr="00EE3355">
              <w:rPr>
                <w:sz w:val="18"/>
              </w:rPr>
              <w:t>-0,75</w:t>
            </w:r>
          </w:p>
        </w:tc>
        <w:tc>
          <w:tcPr>
            <w:tcW w:w="1029" w:type="dxa"/>
            <w:tcBorders>
              <w:top w:val="nil"/>
              <w:left w:val="nil"/>
            </w:tcBorders>
          </w:tcPr>
          <w:p w14:paraId="12A05A5C" w14:textId="77777777" w:rsidR="008E1B8C" w:rsidRPr="00EE3355" w:rsidRDefault="008E1B8C" w:rsidP="008E1B8C">
            <w:pPr>
              <w:pStyle w:val="TableParagraph"/>
              <w:spacing w:before="74"/>
              <w:ind w:left="69" w:right="4"/>
              <w:jc w:val="center"/>
              <w:rPr>
                <w:sz w:val="18"/>
              </w:rPr>
            </w:pPr>
            <w:r w:rsidRPr="00EE3355">
              <w:rPr>
                <w:sz w:val="18"/>
              </w:rPr>
              <w:t>-0,64</w:t>
            </w:r>
          </w:p>
        </w:tc>
      </w:tr>
      <w:tr w:rsidR="0053673C" w:rsidRPr="00EE3355" w14:paraId="16768B8D" w14:textId="77777777" w:rsidTr="0053673C">
        <w:trPr>
          <w:cantSplit/>
          <w:trHeight w:val="20"/>
        </w:trPr>
        <w:tc>
          <w:tcPr>
            <w:tcW w:w="1971" w:type="dxa"/>
            <w:tcBorders>
              <w:bottom w:val="single" w:sz="4" w:space="0" w:color="000000"/>
            </w:tcBorders>
          </w:tcPr>
          <w:p w14:paraId="09F985F5" w14:textId="77777777" w:rsidR="0053673C" w:rsidRPr="00EE3355" w:rsidRDefault="0053673C" w:rsidP="0053673C">
            <w:pPr>
              <w:pStyle w:val="TableParagraph"/>
              <w:keepNext/>
              <w:spacing w:before="74"/>
              <w:ind w:left="54"/>
              <w:rPr>
                <w:b/>
                <w:sz w:val="18"/>
              </w:rPr>
            </w:pPr>
          </w:p>
        </w:tc>
        <w:tc>
          <w:tcPr>
            <w:tcW w:w="6967" w:type="dxa"/>
            <w:gridSpan w:val="9"/>
            <w:tcBorders>
              <w:bottom w:val="single" w:sz="4" w:space="0" w:color="000000"/>
            </w:tcBorders>
          </w:tcPr>
          <w:p w14:paraId="4494AB25" w14:textId="77777777" w:rsidR="0053673C" w:rsidRPr="00EE3355" w:rsidRDefault="0053673C" w:rsidP="0053673C">
            <w:pPr>
              <w:pStyle w:val="TableParagraph"/>
              <w:keepNext/>
              <w:spacing w:before="74"/>
              <w:ind w:left="54"/>
              <w:rPr>
                <w:b/>
                <w:sz w:val="18"/>
              </w:rPr>
            </w:pPr>
            <w:r w:rsidRPr="00EE3355">
              <w:rPr>
                <w:b/>
                <w:sz w:val="18"/>
              </w:rPr>
              <w:t>Radiografické cílové parametry (průměrná změna od výchozích hodnot)</w:t>
            </w:r>
          </w:p>
        </w:tc>
      </w:tr>
      <w:tr w:rsidR="0053673C" w:rsidRPr="00EE3355" w14:paraId="616BC4DA" w14:textId="77777777" w:rsidTr="0053673C">
        <w:trPr>
          <w:cantSplit/>
          <w:trHeight w:val="20"/>
        </w:trPr>
        <w:tc>
          <w:tcPr>
            <w:tcW w:w="2072" w:type="dxa"/>
            <w:gridSpan w:val="3"/>
            <w:tcBorders>
              <w:bottom w:val="nil"/>
              <w:right w:val="nil"/>
            </w:tcBorders>
          </w:tcPr>
          <w:p w14:paraId="5CD46348" w14:textId="77777777" w:rsidR="0053673C" w:rsidRPr="00EE3355" w:rsidRDefault="0053673C" w:rsidP="0053673C">
            <w:pPr>
              <w:pStyle w:val="TableParagraph"/>
              <w:tabs>
                <w:tab w:val="left" w:pos="1829"/>
              </w:tabs>
              <w:spacing w:before="74"/>
              <w:jc w:val="center"/>
              <w:rPr>
                <w:sz w:val="18"/>
              </w:rPr>
            </w:pPr>
            <w:r w:rsidRPr="00EE3355">
              <w:rPr>
                <w:sz w:val="18"/>
              </w:rPr>
              <w:t>52. týden</w:t>
            </w:r>
          </w:p>
        </w:tc>
        <w:tc>
          <w:tcPr>
            <w:tcW w:w="1652" w:type="dxa"/>
            <w:gridSpan w:val="3"/>
            <w:tcBorders>
              <w:left w:val="nil"/>
              <w:bottom w:val="nil"/>
              <w:right w:val="nil"/>
            </w:tcBorders>
          </w:tcPr>
          <w:p w14:paraId="5AF1B0CC" w14:textId="77777777" w:rsidR="0053673C" w:rsidRPr="00EE3355" w:rsidRDefault="0053673C" w:rsidP="0053673C">
            <w:pPr>
              <w:pStyle w:val="TableParagraph"/>
              <w:tabs>
                <w:tab w:val="left" w:pos="1829"/>
              </w:tabs>
              <w:spacing w:before="74"/>
              <w:jc w:val="right"/>
              <w:rPr>
                <w:sz w:val="18"/>
              </w:rPr>
            </w:pPr>
            <w:r w:rsidRPr="00EE3355">
              <w:rPr>
                <w:sz w:val="18"/>
              </w:rPr>
              <w:t>mTSS</w:t>
            </w:r>
          </w:p>
        </w:tc>
        <w:tc>
          <w:tcPr>
            <w:tcW w:w="1414" w:type="dxa"/>
            <w:tcBorders>
              <w:left w:val="nil"/>
              <w:bottom w:val="nil"/>
              <w:right w:val="nil"/>
            </w:tcBorders>
          </w:tcPr>
          <w:p w14:paraId="051874AE" w14:textId="77777777" w:rsidR="0053673C" w:rsidRPr="00EE3355" w:rsidRDefault="0053673C" w:rsidP="0053673C">
            <w:pPr>
              <w:pStyle w:val="TableParagraph"/>
              <w:spacing w:before="74"/>
              <w:ind w:left="17"/>
              <w:jc w:val="center"/>
              <w:rPr>
                <w:sz w:val="18"/>
              </w:rPr>
            </w:pPr>
            <w:r w:rsidRPr="00EE3355">
              <w:rPr>
                <w:sz w:val="18"/>
              </w:rPr>
              <w:t>0,08***</w:t>
            </w:r>
          </w:p>
        </w:tc>
        <w:tc>
          <w:tcPr>
            <w:tcW w:w="1441" w:type="dxa"/>
            <w:tcBorders>
              <w:left w:val="nil"/>
              <w:bottom w:val="nil"/>
              <w:right w:val="nil"/>
            </w:tcBorders>
          </w:tcPr>
          <w:p w14:paraId="1640E046" w14:textId="77777777" w:rsidR="0053673C" w:rsidRPr="00EE3355" w:rsidRDefault="0053673C" w:rsidP="0053673C">
            <w:pPr>
              <w:pStyle w:val="TableParagraph"/>
              <w:spacing w:before="74"/>
              <w:ind w:left="26" w:right="4"/>
              <w:jc w:val="center"/>
              <w:rPr>
                <w:sz w:val="18"/>
              </w:rPr>
            </w:pPr>
            <w:r w:rsidRPr="00EE3355">
              <w:rPr>
                <w:sz w:val="18"/>
              </w:rPr>
              <w:t>0,26</w:t>
            </w:r>
          </w:p>
        </w:tc>
        <w:tc>
          <w:tcPr>
            <w:tcW w:w="1330" w:type="dxa"/>
            <w:tcBorders>
              <w:left w:val="nil"/>
              <w:bottom w:val="nil"/>
              <w:right w:val="nil"/>
            </w:tcBorders>
          </w:tcPr>
          <w:p w14:paraId="51E8A596" w14:textId="77777777" w:rsidR="0053673C" w:rsidRPr="00EE3355" w:rsidRDefault="0053673C" w:rsidP="0053673C">
            <w:pPr>
              <w:pStyle w:val="TableParagraph"/>
              <w:spacing w:before="74"/>
              <w:ind w:left="26" w:right="4"/>
              <w:jc w:val="center"/>
              <w:rPr>
                <w:sz w:val="18"/>
              </w:rPr>
            </w:pPr>
            <w:r w:rsidRPr="00EE3355">
              <w:rPr>
                <w:sz w:val="18"/>
              </w:rPr>
              <w:t>0,42</w:t>
            </w:r>
          </w:p>
        </w:tc>
        <w:tc>
          <w:tcPr>
            <w:tcW w:w="1029" w:type="dxa"/>
            <w:tcBorders>
              <w:left w:val="nil"/>
              <w:bottom w:val="nil"/>
            </w:tcBorders>
          </w:tcPr>
          <w:p w14:paraId="65254242" w14:textId="77777777" w:rsidR="0053673C" w:rsidRPr="00EE3355" w:rsidRDefault="0053673C" w:rsidP="0053673C">
            <w:pPr>
              <w:pStyle w:val="TableParagraph"/>
              <w:spacing w:before="74"/>
              <w:ind w:left="69" w:right="6"/>
              <w:jc w:val="center"/>
              <w:rPr>
                <w:sz w:val="18"/>
              </w:rPr>
            </w:pPr>
            <w:r w:rsidRPr="00EE3355">
              <w:rPr>
                <w:sz w:val="18"/>
              </w:rPr>
              <w:t>1,14</w:t>
            </w:r>
          </w:p>
        </w:tc>
      </w:tr>
      <w:tr w:rsidR="0053673C" w:rsidRPr="00EE3355" w14:paraId="5ED7D431" w14:textId="77777777" w:rsidTr="0053673C">
        <w:trPr>
          <w:cantSplit/>
          <w:trHeight w:val="20"/>
        </w:trPr>
        <w:tc>
          <w:tcPr>
            <w:tcW w:w="2072" w:type="dxa"/>
            <w:gridSpan w:val="3"/>
            <w:tcBorders>
              <w:top w:val="nil"/>
              <w:bottom w:val="nil"/>
              <w:right w:val="nil"/>
            </w:tcBorders>
          </w:tcPr>
          <w:p w14:paraId="7E6BC817" w14:textId="77777777" w:rsidR="0053673C" w:rsidRPr="00EE3355" w:rsidRDefault="0053673C" w:rsidP="0053673C">
            <w:pPr>
              <w:pStyle w:val="TableParagraph"/>
              <w:rPr>
                <w:sz w:val="18"/>
              </w:rPr>
            </w:pPr>
          </w:p>
        </w:tc>
        <w:tc>
          <w:tcPr>
            <w:tcW w:w="1652" w:type="dxa"/>
            <w:gridSpan w:val="3"/>
            <w:tcBorders>
              <w:top w:val="nil"/>
              <w:left w:val="nil"/>
              <w:bottom w:val="nil"/>
              <w:right w:val="nil"/>
            </w:tcBorders>
          </w:tcPr>
          <w:p w14:paraId="07E825F3" w14:textId="77777777" w:rsidR="0053673C" w:rsidRPr="00EE3355" w:rsidRDefault="0053673C" w:rsidP="0053673C">
            <w:pPr>
              <w:pStyle w:val="TableParagraph"/>
              <w:spacing w:before="63"/>
              <w:jc w:val="right"/>
              <w:rPr>
                <w:sz w:val="18"/>
              </w:rPr>
            </w:pPr>
            <w:r w:rsidRPr="00EE3355">
              <w:rPr>
                <w:sz w:val="18"/>
              </w:rPr>
              <w:t>Skóre eroze</w:t>
            </w:r>
          </w:p>
        </w:tc>
        <w:tc>
          <w:tcPr>
            <w:tcW w:w="1414" w:type="dxa"/>
            <w:tcBorders>
              <w:top w:val="nil"/>
              <w:left w:val="nil"/>
              <w:bottom w:val="nil"/>
              <w:right w:val="nil"/>
            </w:tcBorders>
          </w:tcPr>
          <w:p w14:paraId="70049E09" w14:textId="77777777" w:rsidR="0053673C" w:rsidRPr="00EE3355" w:rsidRDefault="0053673C" w:rsidP="0053673C">
            <w:pPr>
              <w:pStyle w:val="TableParagraph"/>
              <w:spacing w:before="63"/>
              <w:ind w:left="17"/>
              <w:jc w:val="center"/>
              <w:rPr>
                <w:sz w:val="18"/>
              </w:rPr>
            </w:pPr>
            <w:r w:rsidRPr="00EE3355">
              <w:rPr>
                <w:sz w:val="18"/>
              </w:rPr>
              <w:t>0,05**</w:t>
            </w:r>
          </w:p>
        </w:tc>
        <w:tc>
          <w:tcPr>
            <w:tcW w:w="1441" w:type="dxa"/>
            <w:tcBorders>
              <w:top w:val="nil"/>
              <w:left w:val="nil"/>
              <w:bottom w:val="nil"/>
              <w:right w:val="nil"/>
            </w:tcBorders>
          </w:tcPr>
          <w:p w14:paraId="7C2FB966" w14:textId="77777777" w:rsidR="0053673C" w:rsidRPr="00EE3355" w:rsidRDefault="0053673C" w:rsidP="0053673C">
            <w:pPr>
              <w:pStyle w:val="TableParagraph"/>
              <w:spacing w:before="63"/>
              <w:ind w:left="26" w:right="4"/>
              <w:jc w:val="center"/>
              <w:rPr>
                <w:sz w:val="18"/>
              </w:rPr>
            </w:pPr>
            <w:r w:rsidRPr="00EE3355">
              <w:rPr>
                <w:sz w:val="18"/>
              </w:rPr>
              <w:t>0,15</w:t>
            </w:r>
          </w:p>
        </w:tc>
        <w:tc>
          <w:tcPr>
            <w:tcW w:w="1330" w:type="dxa"/>
            <w:tcBorders>
              <w:top w:val="nil"/>
              <w:left w:val="nil"/>
              <w:bottom w:val="nil"/>
              <w:right w:val="nil"/>
            </w:tcBorders>
          </w:tcPr>
          <w:p w14:paraId="4DE88141" w14:textId="77777777" w:rsidR="0053673C" w:rsidRPr="00EE3355" w:rsidRDefault="0053673C" w:rsidP="0053673C">
            <w:pPr>
              <w:pStyle w:val="TableParagraph"/>
              <w:spacing w:before="63"/>
              <w:ind w:left="26" w:right="4"/>
              <w:jc w:val="center"/>
              <w:rPr>
                <w:sz w:val="18"/>
              </w:rPr>
            </w:pPr>
            <w:r w:rsidRPr="00EE3355">
              <w:rPr>
                <w:sz w:val="18"/>
              </w:rPr>
              <w:t>0,25</w:t>
            </w:r>
          </w:p>
        </w:tc>
        <w:tc>
          <w:tcPr>
            <w:tcW w:w="1029" w:type="dxa"/>
            <w:tcBorders>
              <w:top w:val="nil"/>
              <w:left w:val="nil"/>
              <w:bottom w:val="nil"/>
            </w:tcBorders>
          </w:tcPr>
          <w:p w14:paraId="6BB3768C" w14:textId="77777777" w:rsidR="0053673C" w:rsidRPr="00EE3355" w:rsidRDefault="0053673C" w:rsidP="0053673C">
            <w:pPr>
              <w:pStyle w:val="TableParagraph"/>
              <w:spacing w:before="63"/>
              <w:ind w:left="69" w:right="6"/>
              <w:jc w:val="center"/>
              <w:rPr>
                <w:sz w:val="18"/>
              </w:rPr>
            </w:pPr>
            <w:r w:rsidRPr="00EE3355">
              <w:rPr>
                <w:sz w:val="18"/>
              </w:rPr>
              <w:t>0,63</w:t>
            </w:r>
          </w:p>
        </w:tc>
      </w:tr>
      <w:tr w:rsidR="0053673C" w:rsidRPr="00EE3355" w14:paraId="4243BB79" w14:textId="77777777" w:rsidTr="0053673C">
        <w:trPr>
          <w:cantSplit/>
          <w:trHeight w:val="20"/>
        </w:trPr>
        <w:tc>
          <w:tcPr>
            <w:tcW w:w="2072" w:type="dxa"/>
            <w:gridSpan w:val="3"/>
            <w:tcBorders>
              <w:top w:val="nil"/>
              <w:bottom w:val="nil"/>
              <w:right w:val="nil"/>
            </w:tcBorders>
          </w:tcPr>
          <w:p w14:paraId="18F4350B" w14:textId="77777777" w:rsidR="0053673C" w:rsidRPr="00EE3355" w:rsidRDefault="0053673C" w:rsidP="0053673C">
            <w:pPr>
              <w:pStyle w:val="TableParagraph"/>
              <w:rPr>
                <w:sz w:val="18"/>
              </w:rPr>
            </w:pPr>
          </w:p>
        </w:tc>
        <w:tc>
          <w:tcPr>
            <w:tcW w:w="1652" w:type="dxa"/>
            <w:gridSpan w:val="3"/>
            <w:tcBorders>
              <w:top w:val="nil"/>
              <w:left w:val="nil"/>
              <w:bottom w:val="nil"/>
              <w:right w:val="nil"/>
            </w:tcBorders>
          </w:tcPr>
          <w:p w14:paraId="6BA3A748" w14:textId="77777777" w:rsidR="0053673C" w:rsidRPr="00EE3355" w:rsidRDefault="0053673C" w:rsidP="0053673C">
            <w:pPr>
              <w:pStyle w:val="TableParagraph"/>
              <w:spacing w:before="62"/>
              <w:ind w:right="80"/>
              <w:jc w:val="right"/>
              <w:rPr>
                <w:sz w:val="18"/>
              </w:rPr>
            </w:pPr>
            <w:r w:rsidRPr="00EE3355">
              <w:rPr>
                <w:sz w:val="18"/>
              </w:rPr>
              <w:t>JSN</w:t>
            </w:r>
          </w:p>
        </w:tc>
        <w:tc>
          <w:tcPr>
            <w:tcW w:w="1414" w:type="dxa"/>
            <w:tcBorders>
              <w:top w:val="nil"/>
              <w:left w:val="nil"/>
              <w:bottom w:val="nil"/>
              <w:right w:val="nil"/>
            </w:tcBorders>
          </w:tcPr>
          <w:p w14:paraId="00556F85" w14:textId="77777777" w:rsidR="0053673C" w:rsidRPr="00EE3355" w:rsidRDefault="0053673C" w:rsidP="0053673C">
            <w:pPr>
              <w:pStyle w:val="TableParagraph"/>
              <w:spacing w:before="62"/>
              <w:ind w:left="22"/>
              <w:jc w:val="center"/>
              <w:rPr>
                <w:sz w:val="18"/>
              </w:rPr>
            </w:pPr>
            <w:r w:rsidRPr="00EE3355">
              <w:rPr>
                <w:sz w:val="18"/>
              </w:rPr>
              <w:t>0,03</w:t>
            </w:r>
          </w:p>
        </w:tc>
        <w:tc>
          <w:tcPr>
            <w:tcW w:w="1441" w:type="dxa"/>
            <w:tcBorders>
              <w:top w:val="nil"/>
              <w:left w:val="nil"/>
              <w:bottom w:val="nil"/>
              <w:right w:val="nil"/>
            </w:tcBorders>
          </w:tcPr>
          <w:p w14:paraId="68A3E641" w14:textId="77777777" w:rsidR="0053673C" w:rsidRPr="00EE3355" w:rsidRDefault="0053673C" w:rsidP="0053673C">
            <w:pPr>
              <w:pStyle w:val="TableParagraph"/>
              <w:spacing w:before="62"/>
              <w:ind w:left="26" w:right="4"/>
              <w:jc w:val="center"/>
              <w:rPr>
                <w:sz w:val="18"/>
              </w:rPr>
            </w:pPr>
            <w:r w:rsidRPr="00EE3355">
              <w:rPr>
                <w:sz w:val="18"/>
              </w:rPr>
              <w:t>0,11</w:t>
            </w:r>
          </w:p>
        </w:tc>
        <w:tc>
          <w:tcPr>
            <w:tcW w:w="1330" w:type="dxa"/>
            <w:tcBorders>
              <w:top w:val="nil"/>
              <w:left w:val="nil"/>
              <w:bottom w:val="nil"/>
              <w:right w:val="nil"/>
            </w:tcBorders>
          </w:tcPr>
          <w:p w14:paraId="72C53A81" w14:textId="77777777" w:rsidR="0053673C" w:rsidRPr="00EE3355" w:rsidRDefault="0053673C" w:rsidP="0053673C">
            <w:pPr>
              <w:pStyle w:val="TableParagraph"/>
              <w:spacing w:before="62"/>
              <w:ind w:left="26" w:right="4"/>
              <w:jc w:val="center"/>
              <w:rPr>
                <w:sz w:val="18"/>
              </w:rPr>
            </w:pPr>
            <w:r w:rsidRPr="00EE3355">
              <w:rPr>
                <w:sz w:val="18"/>
              </w:rPr>
              <w:t>0,17</w:t>
            </w:r>
          </w:p>
        </w:tc>
        <w:tc>
          <w:tcPr>
            <w:tcW w:w="1029" w:type="dxa"/>
            <w:tcBorders>
              <w:top w:val="nil"/>
              <w:left w:val="nil"/>
              <w:bottom w:val="nil"/>
            </w:tcBorders>
          </w:tcPr>
          <w:p w14:paraId="13626EDC" w14:textId="77777777" w:rsidR="0053673C" w:rsidRPr="00EE3355" w:rsidRDefault="0053673C" w:rsidP="0053673C">
            <w:pPr>
              <w:pStyle w:val="TableParagraph"/>
              <w:spacing w:before="62"/>
              <w:ind w:left="69" w:right="6"/>
              <w:jc w:val="center"/>
              <w:rPr>
                <w:sz w:val="18"/>
              </w:rPr>
            </w:pPr>
            <w:r w:rsidRPr="00EE3355">
              <w:rPr>
                <w:sz w:val="18"/>
              </w:rPr>
              <w:t>0,51</w:t>
            </w:r>
          </w:p>
        </w:tc>
      </w:tr>
      <w:tr w:rsidR="0053673C" w:rsidRPr="00EE3355" w14:paraId="09C3E0F6" w14:textId="77777777" w:rsidTr="0053673C">
        <w:trPr>
          <w:cantSplit/>
          <w:trHeight w:val="20"/>
        </w:trPr>
        <w:tc>
          <w:tcPr>
            <w:tcW w:w="3724" w:type="dxa"/>
            <w:gridSpan w:val="6"/>
            <w:tcBorders>
              <w:top w:val="nil"/>
              <w:right w:val="nil"/>
            </w:tcBorders>
          </w:tcPr>
          <w:p w14:paraId="3B7BEAB9" w14:textId="77777777" w:rsidR="0053673C" w:rsidRPr="00EE3355" w:rsidRDefault="0053673C" w:rsidP="0053673C">
            <w:pPr>
              <w:pStyle w:val="TableParagraph"/>
              <w:spacing w:before="75"/>
              <w:jc w:val="right"/>
              <w:rPr>
                <w:sz w:val="18"/>
              </w:rPr>
            </w:pPr>
            <w:r w:rsidRPr="00EE3355">
              <w:rPr>
                <w:sz w:val="18"/>
              </w:rPr>
              <w:t xml:space="preserve">Radiografická non-progrese n (%) (změna od výchozích hodnot v mTSS </w:t>
            </w:r>
            <w:r w:rsidRPr="00EE3355">
              <w:rPr>
                <w:rFonts w:ascii="SimSun" w:hAnsi="SimSun"/>
                <w:sz w:val="18"/>
              </w:rPr>
              <w:t>≤</w:t>
            </w:r>
            <w:r w:rsidRPr="00EE3355">
              <w:rPr>
                <w:sz w:val="18"/>
              </w:rPr>
              <w:t>0)</w:t>
            </w:r>
          </w:p>
        </w:tc>
        <w:tc>
          <w:tcPr>
            <w:tcW w:w="1414" w:type="dxa"/>
            <w:tcBorders>
              <w:top w:val="nil"/>
              <w:left w:val="nil"/>
              <w:right w:val="nil"/>
            </w:tcBorders>
          </w:tcPr>
          <w:p w14:paraId="1BE885EA" w14:textId="77777777" w:rsidR="0053673C" w:rsidRPr="00EE3355" w:rsidRDefault="0053673C" w:rsidP="0053673C">
            <w:pPr>
              <w:pStyle w:val="TableParagraph"/>
              <w:spacing w:before="75"/>
              <w:ind w:left="22"/>
              <w:jc w:val="center"/>
              <w:rPr>
                <w:b/>
                <w:sz w:val="18"/>
              </w:rPr>
            </w:pPr>
            <w:r w:rsidRPr="00EE3355">
              <w:rPr>
                <w:sz w:val="18"/>
              </w:rPr>
              <w:t>226 (83)</w:t>
            </w:r>
            <w:r w:rsidRPr="00EE3355">
              <w:rPr>
                <w:b/>
                <w:sz w:val="18"/>
                <w:vertAlign w:val="superscript"/>
              </w:rPr>
              <w:t>‡</w:t>
            </w:r>
          </w:p>
        </w:tc>
        <w:tc>
          <w:tcPr>
            <w:tcW w:w="1441" w:type="dxa"/>
            <w:tcBorders>
              <w:top w:val="nil"/>
              <w:left w:val="nil"/>
              <w:right w:val="nil"/>
            </w:tcBorders>
          </w:tcPr>
          <w:p w14:paraId="42661928" w14:textId="77777777" w:rsidR="0053673C" w:rsidRPr="00EE3355" w:rsidRDefault="0053673C" w:rsidP="0053673C">
            <w:pPr>
              <w:pStyle w:val="TableParagraph"/>
              <w:spacing w:before="75"/>
              <w:ind w:left="26" w:right="4"/>
              <w:jc w:val="center"/>
              <w:rPr>
                <w:b/>
                <w:sz w:val="18"/>
              </w:rPr>
            </w:pPr>
            <w:r w:rsidRPr="00EE3355">
              <w:rPr>
                <w:sz w:val="18"/>
              </w:rPr>
              <w:t>226 (82)</w:t>
            </w:r>
            <w:r w:rsidRPr="00EE3355">
              <w:rPr>
                <w:b/>
                <w:sz w:val="18"/>
                <w:vertAlign w:val="superscript"/>
              </w:rPr>
              <w:t>‡</w:t>
            </w:r>
          </w:p>
        </w:tc>
        <w:tc>
          <w:tcPr>
            <w:tcW w:w="1330" w:type="dxa"/>
            <w:tcBorders>
              <w:top w:val="nil"/>
              <w:left w:val="nil"/>
              <w:right w:val="nil"/>
            </w:tcBorders>
          </w:tcPr>
          <w:p w14:paraId="61DFE161" w14:textId="77777777" w:rsidR="0053673C" w:rsidRPr="00EE3355" w:rsidRDefault="0053673C" w:rsidP="0053673C">
            <w:pPr>
              <w:pStyle w:val="TableParagraph"/>
              <w:spacing w:before="75"/>
              <w:ind w:left="26" w:right="2"/>
              <w:jc w:val="center"/>
              <w:rPr>
                <w:sz w:val="18"/>
              </w:rPr>
            </w:pPr>
            <w:r w:rsidRPr="00EE3355">
              <w:rPr>
                <w:sz w:val="18"/>
              </w:rPr>
              <w:t>211 (79)</w:t>
            </w:r>
          </w:p>
        </w:tc>
        <w:tc>
          <w:tcPr>
            <w:tcW w:w="1029" w:type="dxa"/>
            <w:tcBorders>
              <w:top w:val="nil"/>
              <w:left w:val="nil"/>
            </w:tcBorders>
          </w:tcPr>
          <w:p w14:paraId="64D63BE0" w14:textId="77777777" w:rsidR="0053673C" w:rsidRPr="00EE3355" w:rsidRDefault="0053673C" w:rsidP="0053673C">
            <w:pPr>
              <w:pStyle w:val="TableParagraph"/>
              <w:spacing w:before="75"/>
              <w:ind w:left="69"/>
              <w:jc w:val="center"/>
              <w:rPr>
                <w:sz w:val="18"/>
              </w:rPr>
            </w:pPr>
            <w:r w:rsidRPr="00EE3355">
              <w:rPr>
                <w:sz w:val="18"/>
              </w:rPr>
              <w:t>194 (73)</w:t>
            </w:r>
          </w:p>
        </w:tc>
      </w:tr>
      <w:tr w:rsidR="0053673C" w:rsidRPr="00EE3355" w14:paraId="21A4A8ED" w14:textId="77777777" w:rsidTr="0053673C">
        <w:trPr>
          <w:cantSplit/>
          <w:trHeight w:val="20"/>
        </w:trPr>
        <w:tc>
          <w:tcPr>
            <w:tcW w:w="2002" w:type="dxa"/>
            <w:gridSpan w:val="2"/>
            <w:tcBorders>
              <w:bottom w:val="single" w:sz="4" w:space="0" w:color="000000"/>
            </w:tcBorders>
          </w:tcPr>
          <w:p w14:paraId="3A99F603" w14:textId="77777777" w:rsidR="0053673C" w:rsidRPr="00EE3355" w:rsidRDefault="0053673C" w:rsidP="0053673C">
            <w:pPr>
              <w:pStyle w:val="TableParagraph"/>
              <w:spacing w:before="74"/>
              <w:ind w:left="54"/>
              <w:rPr>
                <w:b/>
                <w:sz w:val="18"/>
              </w:rPr>
            </w:pPr>
          </w:p>
        </w:tc>
        <w:tc>
          <w:tcPr>
            <w:tcW w:w="6936" w:type="dxa"/>
            <w:gridSpan w:val="8"/>
            <w:tcBorders>
              <w:bottom w:val="single" w:sz="4" w:space="0" w:color="000000"/>
            </w:tcBorders>
          </w:tcPr>
          <w:p w14:paraId="3F7FB738" w14:textId="77777777" w:rsidR="0053673C" w:rsidRPr="00EE3355" w:rsidRDefault="0053673C" w:rsidP="0053673C">
            <w:pPr>
              <w:pStyle w:val="TableParagraph"/>
              <w:spacing w:before="74"/>
              <w:ind w:left="54"/>
              <w:rPr>
                <w:b/>
                <w:sz w:val="18"/>
              </w:rPr>
            </w:pPr>
            <w:r w:rsidRPr="00EE3355">
              <w:rPr>
                <w:b/>
                <w:sz w:val="18"/>
              </w:rPr>
              <w:t>Exploratorní cílové parametry</w:t>
            </w:r>
          </w:p>
        </w:tc>
      </w:tr>
      <w:tr w:rsidR="0053673C" w:rsidRPr="00EE3355" w14:paraId="0E79D636" w14:textId="77777777" w:rsidTr="0053673C">
        <w:trPr>
          <w:cantSplit/>
          <w:trHeight w:val="20"/>
        </w:trPr>
        <w:tc>
          <w:tcPr>
            <w:tcW w:w="3724" w:type="dxa"/>
            <w:gridSpan w:val="6"/>
            <w:tcBorders>
              <w:bottom w:val="nil"/>
              <w:right w:val="nil"/>
            </w:tcBorders>
          </w:tcPr>
          <w:p w14:paraId="44F14DCF" w14:textId="77777777" w:rsidR="0053673C" w:rsidRPr="00EE3355" w:rsidRDefault="0053673C" w:rsidP="0053673C">
            <w:pPr>
              <w:pStyle w:val="TableParagraph"/>
              <w:spacing w:before="74"/>
              <w:jc w:val="right"/>
              <w:rPr>
                <w:sz w:val="18"/>
              </w:rPr>
            </w:pPr>
            <w:r w:rsidRPr="00EE3355">
              <w:rPr>
                <w:sz w:val="18"/>
              </w:rPr>
              <w:t>24. týden: ACR/EULAR Boolean remise, n (%)</w:t>
            </w:r>
          </w:p>
        </w:tc>
        <w:tc>
          <w:tcPr>
            <w:tcW w:w="1414" w:type="dxa"/>
            <w:tcBorders>
              <w:left w:val="nil"/>
              <w:bottom w:val="nil"/>
              <w:right w:val="nil"/>
            </w:tcBorders>
          </w:tcPr>
          <w:p w14:paraId="7842E380" w14:textId="77777777" w:rsidR="0053673C" w:rsidRPr="00EE3355" w:rsidRDefault="0053673C" w:rsidP="0053673C">
            <w:pPr>
              <w:pStyle w:val="TableParagraph"/>
              <w:spacing w:before="74"/>
              <w:ind w:left="20"/>
              <w:jc w:val="center"/>
              <w:rPr>
                <w:b/>
                <w:sz w:val="18"/>
              </w:rPr>
            </w:pPr>
            <w:r w:rsidRPr="00EE3355">
              <w:rPr>
                <w:sz w:val="18"/>
              </w:rPr>
              <w:t xml:space="preserve">47 (18,4) </w:t>
            </w:r>
            <w:r w:rsidRPr="00EE3355">
              <w:rPr>
                <w:b/>
                <w:sz w:val="18"/>
                <w:vertAlign w:val="superscript"/>
              </w:rPr>
              <w:t>‡</w:t>
            </w:r>
          </w:p>
        </w:tc>
        <w:tc>
          <w:tcPr>
            <w:tcW w:w="1441" w:type="dxa"/>
            <w:tcBorders>
              <w:left w:val="nil"/>
              <w:bottom w:val="nil"/>
              <w:right w:val="nil"/>
            </w:tcBorders>
          </w:tcPr>
          <w:p w14:paraId="391E9585" w14:textId="77777777" w:rsidR="0053673C" w:rsidRPr="00EE3355" w:rsidRDefault="0053673C" w:rsidP="0053673C">
            <w:pPr>
              <w:pStyle w:val="TableParagraph"/>
              <w:spacing w:before="74"/>
              <w:ind w:left="26"/>
              <w:jc w:val="center"/>
              <w:rPr>
                <w:sz w:val="18"/>
              </w:rPr>
            </w:pPr>
            <w:r w:rsidRPr="00EE3355">
              <w:rPr>
                <w:sz w:val="18"/>
              </w:rPr>
              <w:t>38 (14,2)</w:t>
            </w:r>
          </w:p>
        </w:tc>
        <w:tc>
          <w:tcPr>
            <w:tcW w:w="1330" w:type="dxa"/>
            <w:tcBorders>
              <w:left w:val="nil"/>
              <w:bottom w:val="nil"/>
              <w:right w:val="nil"/>
            </w:tcBorders>
          </w:tcPr>
          <w:p w14:paraId="655AD812" w14:textId="77777777" w:rsidR="0053673C" w:rsidRPr="00EE3355" w:rsidRDefault="0053673C" w:rsidP="0053673C">
            <w:pPr>
              <w:pStyle w:val="TableParagraph"/>
              <w:spacing w:before="74"/>
              <w:ind w:left="26" w:right="6"/>
              <w:jc w:val="center"/>
              <w:rPr>
                <w:b/>
                <w:sz w:val="18"/>
              </w:rPr>
            </w:pPr>
            <w:r w:rsidRPr="00EE3355">
              <w:rPr>
                <w:sz w:val="18"/>
              </w:rPr>
              <w:t xml:space="preserve">43 (16,7) </w:t>
            </w:r>
            <w:r w:rsidRPr="00EE3355">
              <w:rPr>
                <w:b/>
                <w:sz w:val="18"/>
                <w:vertAlign w:val="superscript"/>
              </w:rPr>
              <w:t>‡</w:t>
            </w:r>
          </w:p>
        </w:tc>
        <w:tc>
          <w:tcPr>
            <w:tcW w:w="1029" w:type="dxa"/>
            <w:tcBorders>
              <w:left w:val="nil"/>
              <w:bottom w:val="nil"/>
            </w:tcBorders>
          </w:tcPr>
          <w:p w14:paraId="692012B0" w14:textId="77777777" w:rsidR="0053673C" w:rsidRPr="00EE3355" w:rsidRDefault="0053673C" w:rsidP="0053673C">
            <w:pPr>
              <w:pStyle w:val="TableParagraph"/>
              <w:spacing w:before="74"/>
              <w:ind w:left="69" w:right="4"/>
              <w:jc w:val="center"/>
              <w:rPr>
                <w:sz w:val="18"/>
              </w:rPr>
            </w:pPr>
            <w:r w:rsidRPr="00EE3355">
              <w:rPr>
                <w:sz w:val="18"/>
              </w:rPr>
              <w:t>25 (10,0)</w:t>
            </w:r>
          </w:p>
        </w:tc>
      </w:tr>
      <w:tr w:rsidR="0053673C" w:rsidRPr="00EE3355" w14:paraId="1868CCE2" w14:textId="77777777" w:rsidTr="0053673C">
        <w:trPr>
          <w:cantSplit/>
          <w:trHeight w:val="20"/>
        </w:trPr>
        <w:tc>
          <w:tcPr>
            <w:tcW w:w="3724" w:type="dxa"/>
            <w:gridSpan w:val="6"/>
            <w:tcBorders>
              <w:top w:val="nil"/>
              <w:bottom w:val="nil"/>
              <w:right w:val="nil"/>
            </w:tcBorders>
          </w:tcPr>
          <w:p w14:paraId="731B9B26" w14:textId="77777777" w:rsidR="0053673C" w:rsidRPr="00EE3355" w:rsidRDefault="0053673C" w:rsidP="0053673C">
            <w:pPr>
              <w:pStyle w:val="TableParagraph"/>
              <w:spacing w:before="75"/>
              <w:jc w:val="right"/>
              <w:rPr>
                <w:sz w:val="18"/>
              </w:rPr>
            </w:pPr>
            <w:r w:rsidRPr="00EE3355">
              <w:rPr>
                <w:sz w:val="18"/>
              </w:rPr>
              <w:t>ACR/EULAR Index remise, n (%)</w:t>
            </w:r>
          </w:p>
        </w:tc>
        <w:tc>
          <w:tcPr>
            <w:tcW w:w="1414" w:type="dxa"/>
            <w:tcBorders>
              <w:top w:val="nil"/>
              <w:left w:val="nil"/>
              <w:bottom w:val="nil"/>
              <w:right w:val="nil"/>
            </w:tcBorders>
          </w:tcPr>
          <w:p w14:paraId="051BF03A" w14:textId="77777777" w:rsidR="0053673C" w:rsidRPr="00EE3355" w:rsidRDefault="0053673C" w:rsidP="0053673C">
            <w:pPr>
              <w:pStyle w:val="TableParagraph"/>
              <w:spacing w:before="75"/>
              <w:ind w:left="20"/>
              <w:jc w:val="center"/>
              <w:rPr>
                <w:b/>
                <w:sz w:val="18"/>
              </w:rPr>
            </w:pPr>
            <w:r w:rsidRPr="00EE3355">
              <w:rPr>
                <w:sz w:val="18"/>
              </w:rPr>
              <w:t xml:space="preserve">73 (28,5) </w:t>
            </w:r>
            <w:r w:rsidRPr="00EE3355">
              <w:rPr>
                <w:b/>
                <w:sz w:val="18"/>
                <w:vertAlign w:val="superscript"/>
              </w:rPr>
              <w:t>‡</w:t>
            </w:r>
          </w:p>
        </w:tc>
        <w:tc>
          <w:tcPr>
            <w:tcW w:w="1441" w:type="dxa"/>
            <w:tcBorders>
              <w:top w:val="nil"/>
              <w:left w:val="nil"/>
              <w:bottom w:val="nil"/>
              <w:right w:val="nil"/>
            </w:tcBorders>
          </w:tcPr>
          <w:p w14:paraId="1BDB9872" w14:textId="77777777" w:rsidR="0053673C" w:rsidRPr="00EE3355" w:rsidRDefault="0053673C" w:rsidP="0053673C">
            <w:pPr>
              <w:pStyle w:val="TableParagraph"/>
              <w:spacing w:before="75"/>
              <w:ind w:left="26"/>
              <w:jc w:val="center"/>
              <w:rPr>
                <w:sz w:val="18"/>
              </w:rPr>
            </w:pPr>
            <w:r w:rsidRPr="00EE3355">
              <w:rPr>
                <w:sz w:val="18"/>
              </w:rPr>
              <w:t>60 (22,6)</w:t>
            </w:r>
          </w:p>
        </w:tc>
        <w:tc>
          <w:tcPr>
            <w:tcW w:w="1330" w:type="dxa"/>
            <w:tcBorders>
              <w:top w:val="nil"/>
              <w:left w:val="nil"/>
              <w:bottom w:val="nil"/>
              <w:right w:val="nil"/>
            </w:tcBorders>
          </w:tcPr>
          <w:p w14:paraId="527409CE" w14:textId="77777777" w:rsidR="0053673C" w:rsidRPr="00EE3355" w:rsidRDefault="0053673C" w:rsidP="0053673C">
            <w:pPr>
              <w:pStyle w:val="TableParagraph"/>
              <w:spacing w:before="75"/>
              <w:ind w:left="26"/>
              <w:jc w:val="center"/>
              <w:rPr>
                <w:sz w:val="18"/>
              </w:rPr>
            </w:pPr>
            <w:r w:rsidRPr="00EE3355">
              <w:rPr>
                <w:sz w:val="18"/>
              </w:rPr>
              <w:t>58 (22,6)</w:t>
            </w:r>
          </w:p>
        </w:tc>
        <w:tc>
          <w:tcPr>
            <w:tcW w:w="1029" w:type="dxa"/>
            <w:tcBorders>
              <w:top w:val="nil"/>
              <w:left w:val="nil"/>
              <w:bottom w:val="nil"/>
            </w:tcBorders>
          </w:tcPr>
          <w:p w14:paraId="48A90D1C" w14:textId="77777777" w:rsidR="0053673C" w:rsidRPr="00EE3355" w:rsidRDefault="0053673C" w:rsidP="0053673C">
            <w:pPr>
              <w:pStyle w:val="TableParagraph"/>
              <w:spacing w:before="75"/>
              <w:ind w:left="69" w:right="2"/>
              <w:jc w:val="center"/>
              <w:rPr>
                <w:sz w:val="18"/>
              </w:rPr>
            </w:pPr>
            <w:r w:rsidRPr="00EE3355">
              <w:rPr>
                <w:sz w:val="18"/>
              </w:rPr>
              <w:t>41 (16,4)</w:t>
            </w:r>
          </w:p>
        </w:tc>
      </w:tr>
      <w:tr w:rsidR="0053673C" w:rsidRPr="00EE3355" w14:paraId="683285C1" w14:textId="77777777" w:rsidTr="0053673C">
        <w:trPr>
          <w:cantSplit/>
          <w:trHeight w:val="20"/>
        </w:trPr>
        <w:tc>
          <w:tcPr>
            <w:tcW w:w="3724" w:type="dxa"/>
            <w:gridSpan w:val="6"/>
            <w:tcBorders>
              <w:top w:val="nil"/>
              <w:bottom w:val="nil"/>
              <w:right w:val="nil"/>
            </w:tcBorders>
          </w:tcPr>
          <w:p w14:paraId="0788A830" w14:textId="77777777" w:rsidR="0053673C" w:rsidRPr="00EE3355" w:rsidRDefault="0053673C" w:rsidP="0053673C">
            <w:pPr>
              <w:pStyle w:val="TableParagraph"/>
              <w:spacing w:before="74"/>
              <w:jc w:val="right"/>
              <w:rPr>
                <w:sz w:val="18"/>
              </w:rPr>
            </w:pPr>
            <w:r w:rsidRPr="00EE3355">
              <w:rPr>
                <w:sz w:val="18"/>
              </w:rPr>
              <w:t>52. týden: ACR/EULAR Boolean remise, n (%)</w:t>
            </w:r>
          </w:p>
        </w:tc>
        <w:tc>
          <w:tcPr>
            <w:tcW w:w="1414" w:type="dxa"/>
            <w:tcBorders>
              <w:top w:val="nil"/>
              <w:left w:val="nil"/>
              <w:bottom w:val="nil"/>
              <w:right w:val="nil"/>
            </w:tcBorders>
          </w:tcPr>
          <w:p w14:paraId="20A8E1C0" w14:textId="77777777" w:rsidR="0053673C" w:rsidRPr="00EE3355" w:rsidRDefault="0053673C" w:rsidP="0053673C">
            <w:pPr>
              <w:pStyle w:val="TableParagraph"/>
              <w:spacing w:before="74"/>
              <w:ind w:left="20"/>
              <w:jc w:val="center"/>
              <w:rPr>
                <w:b/>
                <w:sz w:val="18"/>
              </w:rPr>
            </w:pPr>
            <w:r w:rsidRPr="00EE3355">
              <w:rPr>
                <w:sz w:val="18"/>
              </w:rPr>
              <w:t xml:space="preserve">59 (25,7) </w:t>
            </w:r>
            <w:r w:rsidRPr="00EE3355">
              <w:rPr>
                <w:b/>
                <w:sz w:val="18"/>
                <w:vertAlign w:val="superscript"/>
              </w:rPr>
              <w:t>‡</w:t>
            </w:r>
          </w:p>
        </w:tc>
        <w:tc>
          <w:tcPr>
            <w:tcW w:w="1441" w:type="dxa"/>
            <w:tcBorders>
              <w:top w:val="nil"/>
              <w:left w:val="nil"/>
              <w:bottom w:val="nil"/>
              <w:right w:val="nil"/>
            </w:tcBorders>
          </w:tcPr>
          <w:p w14:paraId="09E951F4" w14:textId="77777777" w:rsidR="0053673C" w:rsidRPr="00EE3355" w:rsidRDefault="0053673C" w:rsidP="0053673C">
            <w:pPr>
              <w:pStyle w:val="TableParagraph"/>
              <w:spacing w:before="74"/>
              <w:ind w:left="26"/>
              <w:jc w:val="center"/>
              <w:rPr>
                <w:sz w:val="18"/>
              </w:rPr>
            </w:pPr>
            <w:r w:rsidRPr="00EE3355">
              <w:rPr>
                <w:sz w:val="18"/>
              </w:rPr>
              <w:t>43 (18,7)</w:t>
            </w:r>
          </w:p>
        </w:tc>
        <w:tc>
          <w:tcPr>
            <w:tcW w:w="1330" w:type="dxa"/>
            <w:tcBorders>
              <w:top w:val="nil"/>
              <w:left w:val="nil"/>
              <w:bottom w:val="nil"/>
              <w:right w:val="nil"/>
            </w:tcBorders>
          </w:tcPr>
          <w:p w14:paraId="56F9B0E4" w14:textId="77777777" w:rsidR="0053673C" w:rsidRPr="00EE3355" w:rsidRDefault="0053673C" w:rsidP="0053673C">
            <w:pPr>
              <w:pStyle w:val="TableParagraph"/>
              <w:spacing w:before="74"/>
              <w:ind w:left="26"/>
              <w:jc w:val="center"/>
              <w:rPr>
                <w:sz w:val="18"/>
              </w:rPr>
            </w:pPr>
            <w:r w:rsidRPr="00EE3355">
              <w:rPr>
                <w:sz w:val="18"/>
              </w:rPr>
              <w:t>48 (21,1)</w:t>
            </w:r>
          </w:p>
        </w:tc>
        <w:tc>
          <w:tcPr>
            <w:tcW w:w="1029" w:type="dxa"/>
            <w:tcBorders>
              <w:top w:val="nil"/>
              <w:left w:val="nil"/>
              <w:bottom w:val="nil"/>
            </w:tcBorders>
          </w:tcPr>
          <w:p w14:paraId="4403FDF5" w14:textId="77777777" w:rsidR="0053673C" w:rsidRPr="00EE3355" w:rsidRDefault="0053673C" w:rsidP="0053673C">
            <w:pPr>
              <w:pStyle w:val="TableParagraph"/>
              <w:spacing w:before="74"/>
              <w:ind w:left="62"/>
              <w:jc w:val="center"/>
              <w:rPr>
                <w:sz w:val="18"/>
              </w:rPr>
            </w:pPr>
            <w:r w:rsidRPr="00EE3355">
              <w:rPr>
                <w:sz w:val="18"/>
              </w:rPr>
              <w:t>34 (15,5)</w:t>
            </w:r>
          </w:p>
        </w:tc>
      </w:tr>
      <w:tr w:rsidR="0053673C" w:rsidRPr="00EE3355" w14:paraId="3ADBC6E6" w14:textId="77777777" w:rsidTr="0053673C">
        <w:trPr>
          <w:cantSplit/>
          <w:trHeight w:val="20"/>
        </w:trPr>
        <w:tc>
          <w:tcPr>
            <w:tcW w:w="3724" w:type="dxa"/>
            <w:gridSpan w:val="6"/>
            <w:tcBorders>
              <w:top w:val="nil"/>
              <w:right w:val="nil"/>
            </w:tcBorders>
          </w:tcPr>
          <w:p w14:paraId="75423093" w14:textId="77777777" w:rsidR="0053673C" w:rsidRPr="00EE3355" w:rsidRDefault="0053673C" w:rsidP="0053673C">
            <w:pPr>
              <w:pStyle w:val="TableParagraph"/>
              <w:spacing w:before="75"/>
              <w:jc w:val="right"/>
              <w:rPr>
                <w:sz w:val="18"/>
              </w:rPr>
            </w:pPr>
            <w:r w:rsidRPr="00EE3355">
              <w:rPr>
                <w:sz w:val="18"/>
              </w:rPr>
              <w:t>ACR/EULAR Index remise, n (%)</w:t>
            </w:r>
          </w:p>
        </w:tc>
        <w:tc>
          <w:tcPr>
            <w:tcW w:w="1414" w:type="dxa"/>
            <w:tcBorders>
              <w:top w:val="nil"/>
              <w:left w:val="nil"/>
              <w:right w:val="nil"/>
            </w:tcBorders>
          </w:tcPr>
          <w:p w14:paraId="074E7416" w14:textId="77777777" w:rsidR="0053673C" w:rsidRPr="00EE3355" w:rsidRDefault="0053673C" w:rsidP="0053673C">
            <w:pPr>
              <w:pStyle w:val="TableParagraph"/>
              <w:spacing w:before="75"/>
              <w:ind w:left="20"/>
              <w:jc w:val="center"/>
              <w:rPr>
                <w:b/>
                <w:sz w:val="18"/>
              </w:rPr>
            </w:pPr>
            <w:r w:rsidRPr="00EE3355">
              <w:rPr>
                <w:sz w:val="18"/>
              </w:rPr>
              <w:t xml:space="preserve">83 (36,1) </w:t>
            </w:r>
            <w:r w:rsidRPr="00EE3355">
              <w:rPr>
                <w:b/>
                <w:sz w:val="18"/>
                <w:vertAlign w:val="superscript"/>
              </w:rPr>
              <w:t>‡</w:t>
            </w:r>
          </w:p>
        </w:tc>
        <w:tc>
          <w:tcPr>
            <w:tcW w:w="1441" w:type="dxa"/>
            <w:tcBorders>
              <w:top w:val="nil"/>
              <w:left w:val="nil"/>
              <w:right w:val="nil"/>
            </w:tcBorders>
          </w:tcPr>
          <w:p w14:paraId="67C82D0F" w14:textId="77777777" w:rsidR="0053673C" w:rsidRPr="00EE3355" w:rsidRDefault="0053673C" w:rsidP="0053673C">
            <w:pPr>
              <w:pStyle w:val="TableParagraph"/>
              <w:spacing w:before="75"/>
              <w:ind w:left="26"/>
              <w:jc w:val="center"/>
              <w:rPr>
                <w:sz w:val="18"/>
              </w:rPr>
            </w:pPr>
            <w:r w:rsidRPr="00EE3355">
              <w:rPr>
                <w:sz w:val="18"/>
              </w:rPr>
              <w:t>69 (30,0)</w:t>
            </w:r>
          </w:p>
        </w:tc>
        <w:tc>
          <w:tcPr>
            <w:tcW w:w="1330" w:type="dxa"/>
            <w:tcBorders>
              <w:top w:val="nil"/>
              <w:left w:val="nil"/>
              <w:right w:val="nil"/>
            </w:tcBorders>
          </w:tcPr>
          <w:p w14:paraId="057573B7" w14:textId="77777777" w:rsidR="0053673C" w:rsidRPr="00EE3355" w:rsidRDefault="0053673C" w:rsidP="0053673C">
            <w:pPr>
              <w:pStyle w:val="TableParagraph"/>
              <w:spacing w:before="75"/>
              <w:ind w:left="26"/>
              <w:jc w:val="center"/>
              <w:rPr>
                <w:sz w:val="18"/>
              </w:rPr>
            </w:pPr>
            <w:r w:rsidRPr="00EE3355">
              <w:rPr>
                <w:sz w:val="18"/>
              </w:rPr>
              <w:t>66 (29,3)</w:t>
            </w:r>
          </w:p>
        </w:tc>
        <w:tc>
          <w:tcPr>
            <w:tcW w:w="1029" w:type="dxa"/>
            <w:tcBorders>
              <w:top w:val="nil"/>
              <w:left w:val="nil"/>
            </w:tcBorders>
          </w:tcPr>
          <w:p w14:paraId="05E4F01A" w14:textId="77777777" w:rsidR="0053673C" w:rsidRPr="00EE3355" w:rsidRDefault="0053673C" w:rsidP="0053673C">
            <w:pPr>
              <w:pStyle w:val="TableParagraph"/>
              <w:spacing w:before="75"/>
              <w:ind w:left="69" w:right="2"/>
              <w:jc w:val="center"/>
              <w:rPr>
                <w:sz w:val="18"/>
              </w:rPr>
            </w:pPr>
            <w:r w:rsidRPr="00EE3355">
              <w:rPr>
                <w:sz w:val="18"/>
              </w:rPr>
              <w:t>49 (22,4)</w:t>
            </w:r>
          </w:p>
        </w:tc>
      </w:tr>
    </w:tbl>
    <w:p w14:paraId="1C6A3AE7" w14:textId="77777777" w:rsidR="00222DE0" w:rsidRPr="00EE3355" w:rsidRDefault="0098273B" w:rsidP="00EA1CDF">
      <w:pPr>
        <w:rPr>
          <w:i/>
          <w:sz w:val="18"/>
        </w:rPr>
      </w:pPr>
      <w:r w:rsidRPr="00EE3355">
        <w:rPr>
          <w:i/>
          <w:sz w:val="18"/>
        </w:rPr>
        <w:t>mTSS – celkové upravené Sharpovo skóre JSN – zúžení kloubní štěrbiny</w:t>
      </w:r>
    </w:p>
    <w:p w14:paraId="32625F20" w14:textId="77777777" w:rsidR="00222DE0" w:rsidRPr="00EE3355" w:rsidRDefault="0098273B" w:rsidP="00EA1CDF">
      <w:pPr>
        <w:rPr>
          <w:sz w:val="18"/>
        </w:rPr>
      </w:pPr>
      <w:r w:rsidRPr="00EE3355">
        <w:rPr>
          <w:sz w:val="18"/>
        </w:rPr>
        <w:t>Všechna porovnání účinnosti versus placebo + MTX. *** p≤0,0001; **p&lt;0,001; *p&lt;0,05;</w:t>
      </w:r>
    </w:p>
    <w:p w14:paraId="02E812BD" w14:textId="77777777" w:rsidR="00222DE0" w:rsidRPr="00EE3355" w:rsidRDefault="0098273B" w:rsidP="00EA1CDF">
      <w:pPr>
        <w:rPr>
          <w:sz w:val="18"/>
        </w:rPr>
      </w:pPr>
      <w:r w:rsidRPr="00EE3355">
        <w:rPr>
          <w:sz w:val="18"/>
        </w:rPr>
        <w:t>‡p-hodnota &lt; 0,05 versus placebo + MTX, ale cílový parametr byl exploratorní (není zahrnuto do hierarchie statistického testování, a proto nebyla kontrolována multiplicita).</w:t>
      </w:r>
    </w:p>
    <w:p w14:paraId="1C239469" w14:textId="77777777" w:rsidR="00222DE0" w:rsidRPr="00EE3355" w:rsidRDefault="00222DE0" w:rsidP="00EA1CDF">
      <w:pPr>
        <w:pStyle w:val="a3"/>
        <w:widowControl/>
        <w:ind w:left="0"/>
        <w:rPr>
          <w:sz w:val="18"/>
        </w:rPr>
      </w:pPr>
    </w:p>
    <w:p w14:paraId="1C013905" w14:textId="77777777" w:rsidR="00222DE0" w:rsidRPr="00EE3355" w:rsidRDefault="0098273B" w:rsidP="00EA1CDF">
      <w:pPr>
        <w:widowControl/>
        <w:rPr>
          <w:i/>
        </w:rPr>
      </w:pPr>
      <w:r w:rsidRPr="00EE3355">
        <w:rPr>
          <w:i/>
        </w:rPr>
        <w:t>Pacienti s onemocněním COVID-19</w:t>
      </w:r>
    </w:p>
    <w:p w14:paraId="468E894B" w14:textId="77777777" w:rsidR="009F16F4" w:rsidRDefault="009F16F4" w:rsidP="00EA1CDF">
      <w:pPr>
        <w:pStyle w:val="a3"/>
        <w:widowControl/>
        <w:ind w:left="0"/>
      </w:pPr>
    </w:p>
    <w:p w14:paraId="75F53A1F" w14:textId="53783B7A" w:rsidR="00222DE0" w:rsidRPr="00B93217" w:rsidRDefault="0098273B" w:rsidP="00EA1CDF">
      <w:pPr>
        <w:pStyle w:val="a3"/>
        <w:widowControl/>
        <w:ind w:left="0"/>
        <w:rPr>
          <w:u w:val="single"/>
        </w:rPr>
      </w:pPr>
      <w:r w:rsidRPr="00B93217">
        <w:rPr>
          <w:u w:val="single"/>
        </w:rPr>
        <w:t>Klinická účinnost</w:t>
      </w:r>
    </w:p>
    <w:p w14:paraId="5BC3B823" w14:textId="77777777" w:rsidR="00222DE0" w:rsidRPr="00EE3355" w:rsidRDefault="00222DE0" w:rsidP="00EA1CDF">
      <w:pPr>
        <w:widowControl/>
      </w:pPr>
    </w:p>
    <w:p w14:paraId="7E7C00BC" w14:textId="77777777" w:rsidR="00222DE0" w:rsidRPr="00AB2582" w:rsidRDefault="0098273B" w:rsidP="00AB2582">
      <w:pPr>
        <w:rPr>
          <w:b/>
          <w:bCs/>
        </w:rPr>
      </w:pPr>
      <w:r w:rsidRPr="00AB2582">
        <w:rPr>
          <w:b/>
          <w:bCs/>
        </w:rPr>
        <w:t>RECOVERY – randomizovaná studie hodnotící léčbu onemocnění COVID-19 u hospitalizovaných dospělých pacientů s diagnózou COVID-19</w:t>
      </w:r>
    </w:p>
    <w:p w14:paraId="76352D52" w14:textId="77777777" w:rsidR="000537F6" w:rsidRPr="00EE3355" w:rsidRDefault="000537F6" w:rsidP="002963AA"/>
    <w:p w14:paraId="71189AE5" w14:textId="77777777" w:rsidR="00222DE0" w:rsidRPr="00EE3355" w:rsidRDefault="0098273B" w:rsidP="00EA1CDF">
      <w:pPr>
        <w:pStyle w:val="a3"/>
        <w:widowControl/>
        <w:ind w:left="0"/>
      </w:pPr>
      <w:r w:rsidRPr="00EE3355">
        <w:t>RECOVERY byla velká, randomizovaná, kontrolovaná, otevřená, multicentrická, platformová studie prováděná ve Velké Británii ke zhodnocení účinnosti a bezpečnosti možné léčby hospitalizovaných dospělých pacientů s těžkým onemocněním COVID-19. Všichni vhodní pacienti dostali obvyklou péči a absolvovali počáteční (hlavní) randomizaci. Pacienti vhodní ke studii měli klinicky suspektní nebo laboratorně prokázanou infekci virem SARS-CoV-2 a neměli žádné zdravotní kontraindikace vůči žádnému typu léčby. Pacienti s klinicky doloženou progresí onemocnění COVID-19 (definovanou jako kyslíková saturace &lt; 92 % v pokojovém prostředí nebo na oxygenoterapii a CRP ≥ 75 mg/l) absolvovali druhou randomizaci k intravenóznímu tocilizumabu nebo samotné obvyklé péči.</w:t>
      </w:r>
    </w:p>
    <w:p w14:paraId="57FB49FC" w14:textId="77777777" w:rsidR="000537F6" w:rsidRPr="00EE3355" w:rsidRDefault="000537F6" w:rsidP="00EA1CDF">
      <w:pPr>
        <w:pStyle w:val="a3"/>
        <w:widowControl/>
        <w:ind w:left="0"/>
      </w:pPr>
    </w:p>
    <w:p w14:paraId="5E52400E" w14:textId="77777777" w:rsidR="00222DE0" w:rsidRPr="00EE3355" w:rsidRDefault="0098273B" w:rsidP="00EA1CDF">
      <w:pPr>
        <w:pStyle w:val="a3"/>
        <w:widowControl/>
        <w:ind w:left="0"/>
      </w:pPr>
      <w:r w:rsidRPr="00EE3355">
        <w:t>Analýzy účinnosti byly provedeny na populaci ITT (intent-to-treat (se záměrem léčit)) zahrnující</w:t>
      </w:r>
      <w:r w:rsidR="000537F6" w:rsidRPr="00EE3355">
        <w:t xml:space="preserve"> </w:t>
      </w:r>
      <w:r w:rsidRPr="00EE3355">
        <w:t>4 116 pacientů, kteří byli randomizováni takto: 2 022 pacientů do ramena s tocilizumabem a obvyklou</w:t>
      </w:r>
      <w:r w:rsidR="000537F6" w:rsidRPr="00EE3355">
        <w:t xml:space="preserve"> </w:t>
      </w:r>
      <w:r w:rsidRPr="00EE3355">
        <w:t>péčí a 2 094 pacientů do ramena se samotnou obvyklou péčí. Základní demografické charakteristiky</w:t>
      </w:r>
      <w:r w:rsidR="000537F6" w:rsidRPr="00EE3355">
        <w:t xml:space="preserve"> </w:t>
      </w:r>
      <w:r w:rsidRPr="00EE3355">
        <w:t>a charakteristiky onemocnění v populaci ITT byly mezi léčebnými rameny dobře vyváženy. Průměrný věk pacientů byl 63,6 roku (směrodatná odchylka [SD] 13,6 roku). Většina pacientů byli muži (67 %) a běloši (76 %). Medián (rozmezí) hladiny CRP byl 143 mg/l (75 – 982).</w:t>
      </w:r>
    </w:p>
    <w:p w14:paraId="14704E6D" w14:textId="77777777" w:rsidR="000537F6" w:rsidRPr="00EE3355" w:rsidRDefault="000537F6" w:rsidP="00EA1CDF">
      <w:pPr>
        <w:pStyle w:val="a3"/>
        <w:widowControl/>
        <w:ind w:left="0"/>
      </w:pPr>
    </w:p>
    <w:p w14:paraId="337D704F" w14:textId="77777777" w:rsidR="00222DE0" w:rsidRPr="00EE3355" w:rsidRDefault="0098273B" w:rsidP="00EA1CDF">
      <w:pPr>
        <w:pStyle w:val="a3"/>
        <w:widowControl/>
        <w:ind w:left="0"/>
      </w:pPr>
      <w:r w:rsidRPr="00EE3355">
        <w:lastRenderedPageBreak/>
        <w:t>Při zahájení léčby nevyžadovalo 0,2 % (n = 9) pacientů doplňkovou oxygenoterapii, 45 % pacientů vyžadovalo nízkoprůtokovou aplikaci kyslíku, 41 % pacientů vyžadovalo neinvazivní ventilaci nebo vysokoprůtokovou aplikaci kyslíku a 14 % pacientů vyžadovalo invazivní mechanickou ventilaci;</w:t>
      </w:r>
      <w:r w:rsidR="000537F6" w:rsidRPr="00EE3355">
        <w:t xml:space="preserve"> </w:t>
      </w:r>
      <w:r w:rsidRPr="00EE3355">
        <w:t>u 82 % pacientů bylo hlášeno užívání systémových kortikosteroidů (definováni jako pacienti, kteří zahájili léčbu systémovými kortikosteroidy buď před randomizací, nebo při randomizaci).</w:t>
      </w:r>
      <w:r w:rsidR="000537F6" w:rsidRPr="00EE3355">
        <w:t xml:space="preserve"> </w:t>
      </w:r>
      <w:r w:rsidRPr="00EE3355">
        <w:t>K nejčastějším komorbiditám patřil diabetes (28,4 %), srdeční onemocnění (22,6 %) a chronické plicní</w:t>
      </w:r>
      <w:r w:rsidR="0078332E">
        <w:t xml:space="preserve"> </w:t>
      </w:r>
      <w:r w:rsidRPr="00EE3355">
        <w:t>onemocnění (23,3 %).</w:t>
      </w:r>
    </w:p>
    <w:p w14:paraId="6E4A4FD4" w14:textId="77777777" w:rsidR="00222DE0" w:rsidRPr="00EE3355" w:rsidRDefault="00222DE0" w:rsidP="00EA1CDF">
      <w:pPr>
        <w:pStyle w:val="a3"/>
        <w:widowControl/>
        <w:ind w:left="0"/>
      </w:pPr>
    </w:p>
    <w:p w14:paraId="33E55CA5" w14:textId="77777777" w:rsidR="00222DE0" w:rsidRPr="00EE3355" w:rsidRDefault="0098273B" w:rsidP="00EA1CDF">
      <w:pPr>
        <w:pStyle w:val="a3"/>
        <w:widowControl/>
        <w:ind w:left="0"/>
      </w:pPr>
      <w:r w:rsidRPr="00EE3355">
        <w:t>Primárním cílovým parametrem byla doba úmrtí do dne 28. Poměr rizik pro rameno</w:t>
      </w:r>
      <w:r w:rsidR="000537F6" w:rsidRPr="00EE3355">
        <w:t xml:space="preserve"> </w:t>
      </w:r>
      <w:r w:rsidRPr="00EE3355">
        <w:t xml:space="preserve">s tocilizumabem </w:t>
      </w:r>
      <w:r w:rsidRPr="00EE3355">
        <w:rPr>
          <w:rFonts w:ascii="Symbol" w:hAnsi="Symbol"/>
        </w:rPr>
        <w:t></w:t>
      </w:r>
      <w:r w:rsidRPr="00EE3355">
        <w:t xml:space="preserve"> obvyklou péčí ve srovnání se samotnou obvyklou péčí byl rovný 0,85 (95% CI = 0,76 – 0,94) což byl statisticky významný výsledek (p </w:t>
      </w:r>
      <w:r w:rsidRPr="00EE3355">
        <w:rPr>
          <w:rFonts w:ascii="Symbol" w:hAnsi="Symbol"/>
        </w:rPr>
        <w:t></w:t>
      </w:r>
      <w:r w:rsidRPr="00EE3355">
        <w:t xml:space="preserve"> 0,0028). Odhadovaná</w:t>
      </w:r>
      <w:r w:rsidR="000537F6" w:rsidRPr="00EE3355">
        <w:t xml:space="preserve"> </w:t>
      </w:r>
      <w:r w:rsidRPr="00EE3355">
        <w:t>pravděpodobnost úmrtí do dne 28 byla 30,7 % v ramenu s tocilizumabem, resp. 34,9 % v</w:t>
      </w:r>
      <w:r w:rsidR="000537F6" w:rsidRPr="00EE3355">
        <w:t> </w:t>
      </w:r>
      <w:r w:rsidRPr="00EE3355">
        <w:t>ramenu</w:t>
      </w:r>
      <w:r w:rsidR="000537F6" w:rsidRPr="00EE3355">
        <w:t xml:space="preserve"> </w:t>
      </w:r>
      <w:r w:rsidRPr="00EE3355">
        <w:t>s obvyklou péčí. Odhadovaný rozdíl v riziku -4,1 % (95% CI = -7.0 % – -1,3 %) odpovídal primární analýze. Poměr rizik v předem stanovené podskupině pacientů užívajících systémové kortikosteroidy při zahájení léčby byl 0,79 (95% CI = 0,70 – 0,89) a v předem stanovené podskupině pacientů neužívajících při zahájení léčby systémové kortikosteroidy byl 1,16 (95% CI = 0,91 – 1,48).</w:t>
      </w:r>
    </w:p>
    <w:p w14:paraId="011FFDB0" w14:textId="77777777" w:rsidR="004C56EF" w:rsidRPr="00EE3355" w:rsidRDefault="004C56EF" w:rsidP="00EA1CDF">
      <w:pPr>
        <w:pStyle w:val="a3"/>
        <w:widowControl/>
        <w:ind w:left="0"/>
      </w:pPr>
    </w:p>
    <w:p w14:paraId="4353F0F3" w14:textId="77777777" w:rsidR="00222DE0" w:rsidRPr="00EE3355" w:rsidRDefault="0098273B" w:rsidP="00EA1CDF">
      <w:pPr>
        <w:pStyle w:val="a3"/>
        <w:widowControl/>
        <w:ind w:left="0"/>
      </w:pPr>
      <w:r w:rsidRPr="00EE3355">
        <w:t>Medián doby do propuštění z nemocnice byl 19 dnů v ramenu s tocilizumabem a obvyklou péčí</w:t>
      </w:r>
      <w:r w:rsidR="004C56EF" w:rsidRPr="00EE3355">
        <w:t xml:space="preserve"> </w:t>
      </w:r>
      <w:r w:rsidRPr="00EE3355">
        <w:t>a &gt; 28 dnů ramenu se samotnou obvyklou péčí (poměr rizik [95% CI] = 1,22 [1,12 – 1,33]).</w:t>
      </w:r>
    </w:p>
    <w:p w14:paraId="064F73F9" w14:textId="77777777" w:rsidR="00222DE0" w:rsidRPr="00EE3355" w:rsidRDefault="00222DE0" w:rsidP="00EA1CDF">
      <w:pPr>
        <w:pStyle w:val="a3"/>
        <w:widowControl/>
        <w:ind w:left="0"/>
      </w:pPr>
    </w:p>
    <w:p w14:paraId="3120C04B" w14:textId="77777777" w:rsidR="00222DE0" w:rsidRPr="00EE3355" w:rsidRDefault="0098273B" w:rsidP="00EA1CDF">
      <w:pPr>
        <w:pStyle w:val="a3"/>
        <w:widowControl/>
        <w:ind w:left="0"/>
      </w:pPr>
      <w:r w:rsidRPr="00EE3355">
        <w:t>Mezi pacienty nevyžadujícími invazivní mechanickou ventilaci při zahájení léčby bylo zastoupení pacientů, kteří ke dni 28 vyžadovali mechanickou ventilaci nebo zemřeli, 35 % (619/1 754) v ramenu s tocilizumabem a obvyklou péčí ve srovnání se 42 % (754/1 800) v ramenu se samotnou obvyklou péčí (poměr rizik [95% CI] = 0,84 [0,77 – 0,92]; p &lt; 0,0001).</w:t>
      </w:r>
    </w:p>
    <w:p w14:paraId="507DD6DC" w14:textId="77777777" w:rsidR="00222DE0" w:rsidRPr="00EE3355" w:rsidRDefault="00222DE0" w:rsidP="00EA1CDF">
      <w:pPr>
        <w:pStyle w:val="a3"/>
        <w:widowControl/>
        <w:ind w:left="0"/>
      </w:pPr>
    </w:p>
    <w:p w14:paraId="06A8990E" w14:textId="77777777" w:rsidR="00222DE0" w:rsidRPr="00B93217" w:rsidRDefault="0098273B" w:rsidP="00EA1CDF">
      <w:pPr>
        <w:widowControl/>
        <w:rPr>
          <w:bCs/>
          <w:u w:val="single"/>
        </w:rPr>
      </w:pPr>
      <w:r w:rsidRPr="00B93217">
        <w:rPr>
          <w:bCs/>
          <w:u w:val="single"/>
        </w:rPr>
        <w:t>Pediatrická populace</w:t>
      </w:r>
    </w:p>
    <w:p w14:paraId="0D046D7B" w14:textId="77777777" w:rsidR="0053673C" w:rsidRDefault="0053673C" w:rsidP="00EA1CDF">
      <w:pPr>
        <w:widowControl/>
        <w:rPr>
          <w:i/>
        </w:rPr>
      </w:pPr>
    </w:p>
    <w:p w14:paraId="7DE8AE6B" w14:textId="77777777" w:rsidR="00222DE0" w:rsidRPr="00EE3355" w:rsidRDefault="0098273B" w:rsidP="00EA1CDF">
      <w:pPr>
        <w:widowControl/>
        <w:rPr>
          <w:i/>
        </w:rPr>
      </w:pPr>
      <w:r w:rsidRPr="00EE3355">
        <w:rPr>
          <w:i/>
        </w:rPr>
        <w:t>Pacienti se sJIA</w:t>
      </w:r>
    </w:p>
    <w:p w14:paraId="62783B8D" w14:textId="77777777" w:rsidR="00222DE0" w:rsidRPr="00B93217" w:rsidRDefault="0098273B" w:rsidP="00EA1CDF">
      <w:pPr>
        <w:pStyle w:val="a3"/>
        <w:widowControl/>
        <w:ind w:left="0"/>
        <w:rPr>
          <w:i/>
          <w:iCs/>
        </w:rPr>
      </w:pPr>
      <w:r w:rsidRPr="00B93217">
        <w:rPr>
          <w:i/>
          <w:iCs/>
        </w:rPr>
        <w:t>Klinická účinnost</w:t>
      </w:r>
    </w:p>
    <w:p w14:paraId="399173A7" w14:textId="77777777" w:rsidR="00222DE0" w:rsidRPr="00EE3355" w:rsidRDefault="0098273B" w:rsidP="00EA1CDF">
      <w:pPr>
        <w:pStyle w:val="a3"/>
        <w:widowControl/>
        <w:ind w:left="0"/>
      </w:pPr>
      <w:r w:rsidRPr="00EE3355">
        <w:t>Účinnost tocilizumabu v léčbě aktivní sJIA byla hodnocena ve 12týdenní randomizované, dvojitě zaslepené, placebem kontrolované studii paralelních skupin se dvěma rameny. Pacienti zahrnutí ve studii měli celkovou délku onemocnění alespoň 6 měsíců a měli aktivní onemocnění, ale neprodělali akutní vzplanutí vyžadující dávky kortikosteroidů vyšší než 0,5 mg/kg ekvivalentní prednisonu.</w:t>
      </w:r>
      <w:r w:rsidR="00153A9C" w:rsidRPr="00EE3355">
        <w:t xml:space="preserve"> </w:t>
      </w:r>
      <w:r w:rsidRPr="00EE3355">
        <w:t>Účinnost léčby syndromu aktivace makrofágů nebyla zkoumána.</w:t>
      </w:r>
    </w:p>
    <w:p w14:paraId="1C0EA8EF" w14:textId="77777777" w:rsidR="00222DE0" w:rsidRPr="00EE3355" w:rsidRDefault="00222DE0" w:rsidP="00EA1CDF">
      <w:pPr>
        <w:pStyle w:val="a3"/>
        <w:widowControl/>
        <w:ind w:left="0"/>
      </w:pPr>
    </w:p>
    <w:p w14:paraId="79739570" w14:textId="77777777" w:rsidR="00222DE0" w:rsidRPr="00EE3355" w:rsidRDefault="0098273B" w:rsidP="00EA1CDF">
      <w:pPr>
        <w:pStyle w:val="a3"/>
        <w:widowControl/>
        <w:ind w:left="0"/>
      </w:pPr>
      <w:r w:rsidRPr="00EE3355">
        <w:t>Pacienti (léčení s MTX nebo bez MTX) byli randomizováni (tocilizumab:placebo = 2:1) do jedné ze</w:t>
      </w:r>
      <w:r w:rsidR="00153A9C" w:rsidRPr="00EE3355">
        <w:t xml:space="preserve"> </w:t>
      </w:r>
      <w:r w:rsidRPr="00EE3355">
        <w:t>dvou léčebných skupin, 75 pacientů dostávalo infuze tocilizumabu každé dva týdny (pacienti</w:t>
      </w:r>
      <w:r w:rsidR="00153A9C" w:rsidRPr="00EE3355">
        <w:t xml:space="preserve"> </w:t>
      </w:r>
      <w:r w:rsidRPr="00EE3355">
        <w:t>s tělesnou hmotností ≥ 30 kg dávku 8 mg/kg a pacienti s tělesnou hmotnostní &lt; 30 kg dávku 12</w:t>
      </w:r>
      <w:r w:rsidR="00ED48B4" w:rsidRPr="00EE3355">
        <w:t xml:space="preserve"> </w:t>
      </w:r>
      <w:r w:rsidRPr="00EE3355">
        <w:t>mg/kg) a 37 pacientů bylo zařazeno do skupiny, která dostávala každé dva týdny infuze s placebem. Pacientům, kteří dosáhli odpovědi JIA ACR70, bylo od 6. týdne umožněno postupné snižování dávky kortikosteroidů. Po 12 týdnech nebo v době ukončení z důvodu zhoršení onemocnění, byli pacienti léčeni v otevřené fázi s dávkováním podle tělesné hmotnosti.</w:t>
      </w:r>
    </w:p>
    <w:p w14:paraId="6238E7DD" w14:textId="77777777" w:rsidR="00222DE0" w:rsidRPr="00EE3355" w:rsidRDefault="00222DE0" w:rsidP="00EA1CDF">
      <w:pPr>
        <w:pStyle w:val="a3"/>
        <w:widowControl/>
        <w:ind w:left="0"/>
      </w:pPr>
    </w:p>
    <w:p w14:paraId="3C2404FE" w14:textId="77777777" w:rsidR="00222DE0" w:rsidRPr="00EE3355" w:rsidRDefault="0098273B" w:rsidP="00EA1CDF">
      <w:pPr>
        <w:widowControl/>
        <w:rPr>
          <w:i/>
        </w:rPr>
      </w:pPr>
      <w:r w:rsidRPr="00EE3355">
        <w:rPr>
          <w:i/>
        </w:rPr>
        <w:t>Klinická odpověď</w:t>
      </w:r>
    </w:p>
    <w:p w14:paraId="4CE059D7" w14:textId="77777777" w:rsidR="00222DE0" w:rsidRPr="00EE3355" w:rsidRDefault="0098273B" w:rsidP="00EA1CDF">
      <w:pPr>
        <w:pStyle w:val="a3"/>
        <w:widowControl/>
        <w:ind w:left="0"/>
      </w:pPr>
      <w:r w:rsidRPr="00EE3355">
        <w:t>Primárním koncovým parametrem bylo procento pacientů s alespoň 30% zlepšením podle hlavních kritérií JIA ACR (odpověď JIA ACR30) ve 12. týdnu a absence horečky (žádné zaznamenané zvýšení tělesné teploty ≥ 37,5 °C během předchozích 7 dnů). Tohoto cílového parametru dosáhlo 85 % (64/75) pacientů léčených tocilizumabem a 24,3 % (9/37) pacientů léčených placebem. Rozdíl mezi těmito hodnotami byl velmi významný (p&lt;0,0001).</w:t>
      </w:r>
    </w:p>
    <w:p w14:paraId="55E37794" w14:textId="77777777" w:rsidR="00153A9C" w:rsidRPr="00EE3355" w:rsidRDefault="00153A9C" w:rsidP="00EA1CDF">
      <w:pPr>
        <w:pStyle w:val="a3"/>
        <w:widowControl/>
        <w:ind w:left="0"/>
      </w:pPr>
    </w:p>
    <w:p w14:paraId="126F46E1" w14:textId="77777777" w:rsidR="00222DE0" w:rsidRPr="00EE3355" w:rsidRDefault="0098273B" w:rsidP="00EA1CDF">
      <w:pPr>
        <w:pStyle w:val="a3"/>
        <w:widowControl/>
        <w:ind w:left="0"/>
      </w:pPr>
      <w:r w:rsidRPr="00EE3355">
        <w:t>Procento pacientů, které dosáhlo odpovědi JIA ACR 30, 50, 70 a 90, ukazuje tabulka 8.</w:t>
      </w:r>
    </w:p>
    <w:p w14:paraId="51FEDE9C" w14:textId="77777777" w:rsidR="00222DE0" w:rsidRPr="00EE3355" w:rsidRDefault="00222DE0" w:rsidP="00EA1CDF">
      <w:pPr>
        <w:pStyle w:val="a3"/>
        <w:widowControl/>
        <w:ind w:left="0"/>
      </w:pPr>
    </w:p>
    <w:p w14:paraId="39AEDB57" w14:textId="77777777" w:rsidR="00222DE0" w:rsidRPr="00EE3355" w:rsidRDefault="0098273B" w:rsidP="00EA1CDF">
      <w:pPr>
        <w:widowControl/>
        <w:rPr>
          <w:i/>
        </w:rPr>
      </w:pPr>
      <w:r w:rsidRPr="00EE3355">
        <w:rPr>
          <w:i/>
        </w:rPr>
        <w:t>Tabulka 8. Výskyt odpovědi JIA ACR v týdnu 12 (% pacientů)</w:t>
      </w: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332"/>
        <w:gridCol w:w="2409"/>
        <w:gridCol w:w="3261"/>
      </w:tblGrid>
      <w:tr w:rsidR="00222DE0" w:rsidRPr="00EE3355" w14:paraId="64F4422F" w14:textId="77777777" w:rsidTr="005A3E54">
        <w:trPr>
          <w:cantSplit/>
          <w:trHeight w:val="253"/>
        </w:trPr>
        <w:tc>
          <w:tcPr>
            <w:tcW w:w="2332" w:type="dxa"/>
          </w:tcPr>
          <w:p w14:paraId="04217C30" w14:textId="77777777" w:rsidR="00222DE0" w:rsidRPr="00EE3355" w:rsidRDefault="0098273B" w:rsidP="00EA1CDF">
            <w:pPr>
              <w:pStyle w:val="TableParagraph"/>
              <w:rPr>
                <w:b/>
              </w:rPr>
            </w:pPr>
            <w:r w:rsidRPr="00EE3355">
              <w:rPr>
                <w:b/>
              </w:rPr>
              <w:t>Výskyt odpovědi</w:t>
            </w:r>
          </w:p>
        </w:tc>
        <w:tc>
          <w:tcPr>
            <w:tcW w:w="2409" w:type="dxa"/>
          </w:tcPr>
          <w:p w14:paraId="13A60047" w14:textId="77777777" w:rsidR="00222DE0" w:rsidRPr="00EE3355" w:rsidRDefault="0098273B" w:rsidP="00EA1CDF">
            <w:pPr>
              <w:pStyle w:val="TableParagraph"/>
              <w:jc w:val="center"/>
              <w:rPr>
                <w:b/>
              </w:rPr>
            </w:pPr>
            <w:r w:rsidRPr="00EE3355">
              <w:rPr>
                <w:b/>
              </w:rPr>
              <w:t>Tocilizumab n = 75</w:t>
            </w:r>
          </w:p>
        </w:tc>
        <w:tc>
          <w:tcPr>
            <w:tcW w:w="3261" w:type="dxa"/>
          </w:tcPr>
          <w:p w14:paraId="6265582B" w14:textId="77777777" w:rsidR="00222DE0" w:rsidRPr="00EE3355" w:rsidRDefault="0098273B" w:rsidP="00EA1CDF">
            <w:pPr>
              <w:pStyle w:val="TableParagraph"/>
              <w:jc w:val="center"/>
              <w:rPr>
                <w:b/>
              </w:rPr>
            </w:pPr>
            <w:r w:rsidRPr="00EE3355">
              <w:rPr>
                <w:b/>
              </w:rPr>
              <w:t>Placebo n = 37</w:t>
            </w:r>
          </w:p>
        </w:tc>
      </w:tr>
      <w:tr w:rsidR="00222DE0" w:rsidRPr="00EE3355" w14:paraId="1BF58EC3" w14:textId="77777777" w:rsidTr="0008698A">
        <w:trPr>
          <w:cantSplit/>
          <w:trHeight w:val="251"/>
        </w:trPr>
        <w:tc>
          <w:tcPr>
            <w:tcW w:w="2332" w:type="dxa"/>
          </w:tcPr>
          <w:p w14:paraId="099BF9BE" w14:textId="77777777" w:rsidR="00222DE0" w:rsidRPr="00EE3355" w:rsidRDefault="0098273B" w:rsidP="00EA1CDF">
            <w:pPr>
              <w:pStyle w:val="TableParagraph"/>
            </w:pPr>
            <w:r w:rsidRPr="00EE3355">
              <w:t>JIA ACR 30</w:t>
            </w:r>
          </w:p>
        </w:tc>
        <w:tc>
          <w:tcPr>
            <w:tcW w:w="2409" w:type="dxa"/>
          </w:tcPr>
          <w:p w14:paraId="3FC89A62" w14:textId="77777777" w:rsidR="00222DE0" w:rsidRPr="00EE3355" w:rsidRDefault="0098273B" w:rsidP="00EA1CDF">
            <w:pPr>
              <w:pStyle w:val="TableParagraph"/>
              <w:jc w:val="center"/>
            </w:pPr>
            <w:r w:rsidRPr="00EE3355">
              <w:t>90,7 %</w:t>
            </w:r>
            <w:r w:rsidRPr="00EE3355">
              <w:rPr>
                <w:vertAlign w:val="superscript"/>
              </w:rPr>
              <w:t>1</w:t>
            </w:r>
          </w:p>
        </w:tc>
        <w:tc>
          <w:tcPr>
            <w:tcW w:w="3261" w:type="dxa"/>
          </w:tcPr>
          <w:p w14:paraId="0DD76976" w14:textId="77777777" w:rsidR="00222DE0" w:rsidRPr="00EE3355" w:rsidRDefault="0098273B" w:rsidP="00EA1CDF">
            <w:pPr>
              <w:pStyle w:val="TableParagraph"/>
              <w:jc w:val="center"/>
            </w:pPr>
            <w:r w:rsidRPr="00EE3355">
              <w:t>24,3 %</w:t>
            </w:r>
          </w:p>
        </w:tc>
      </w:tr>
      <w:tr w:rsidR="00222DE0" w:rsidRPr="00EE3355" w14:paraId="246F7F13" w14:textId="77777777" w:rsidTr="0008698A">
        <w:trPr>
          <w:cantSplit/>
          <w:trHeight w:val="253"/>
        </w:trPr>
        <w:tc>
          <w:tcPr>
            <w:tcW w:w="2332" w:type="dxa"/>
          </w:tcPr>
          <w:p w14:paraId="36729FD7" w14:textId="77777777" w:rsidR="00222DE0" w:rsidRPr="00EE3355" w:rsidRDefault="0098273B" w:rsidP="00EA1CDF">
            <w:pPr>
              <w:pStyle w:val="TableParagraph"/>
            </w:pPr>
            <w:r w:rsidRPr="00EE3355">
              <w:t>JIA ACR 50</w:t>
            </w:r>
          </w:p>
        </w:tc>
        <w:tc>
          <w:tcPr>
            <w:tcW w:w="2409" w:type="dxa"/>
          </w:tcPr>
          <w:p w14:paraId="666ABC24" w14:textId="77777777" w:rsidR="00222DE0" w:rsidRPr="00EE3355" w:rsidRDefault="0098273B" w:rsidP="00EA1CDF">
            <w:pPr>
              <w:pStyle w:val="TableParagraph"/>
              <w:jc w:val="center"/>
            </w:pPr>
            <w:r w:rsidRPr="00EE3355">
              <w:t>85,3 %</w:t>
            </w:r>
            <w:r w:rsidRPr="00EE3355">
              <w:rPr>
                <w:vertAlign w:val="superscript"/>
              </w:rPr>
              <w:t>1</w:t>
            </w:r>
          </w:p>
        </w:tc>
        <w:tc>
          <w:tcPr>
            <w:tcW w:w="3261" w:type="dxa"/>
          </w:tcPr>
          <w:p w14:paraId="27C0A465" w14:textId="77777777" w:rsidR="00222DE0" w:rsidRPr="00EE3355" w:rsidRDefault="0098273B" w:rsidP="00EA1CDF">
            <w:pPr>
              <w:pStyle w:val="TableParagraph"/>
              <w:jc w:val="center"/>
            </w:pPr>
            <w:r w:rsidRPr="00EE3355">
              <w:t>10,8 %</w:t>
            </w:r>
          </w:p>
        </w:tc>
      </w:tr>
      <w:tr w:rsidR="00222DE0" w:rsidRPr="00EE3355" w14:paraId="4F2C00D4" w14:textId="77777777" w:rsidTr="0008698A">
        <w:trPr>
          <w:cantSplit/>
          <w:trHeight w:val="251"/>
        </w:trPr>
        <w:tc>
          <w:tcPr>
            <w:tcW w:w="2332" w:type="dxa"/>
          </w:tcPr>
          <w:p w14:paraId="646AC136" w14:textId="77777777" w:rsidR="00222DE0" w:rsidRPr="00EE3355" w:rsidRDefault="0098273B" w:rsidP="00EA1CDF">
            <w:pPr>
              <w:pStyle w:val="TableParagraph"/>
            </w:pPr>
            <w:r w:rsidRPr="00EE3355">
              <w:lastRenderedPageBreak/>
              <w:t>JIA ACR 70</w:t>
            </w:r>
          </w:p>
        </w:tc>
        <w:tc>
          <w:tcPr>
            <w:tcW w:w="2409" w:type="dxa"/>
          </w:tcPr>
          <w:p w14:paraId="6E830F21" w14:textId="77777777" w:rsidR="00222DE0" w:rsidRPr="00EE3355" w:rsidRDefault="0098273B" w:rsidP="00EA1CDF">
            <w:pPr>
              <w:pStyle w:val="TableParagraph"/>
              <w:jc w:val="center"/>
            </w:pPr>
            <w:r w:rsidRPr="00EE3355">
              <w:t>70,7 %</w:t>
            </w:r>
            <w:r w:rsidRPr="00EE3355">
              <w:rPr>
                <w:vertAlign w:val="superscript"/>
              </w:rPr>
              <w:t>1</w:t>
            </w:r>
          </w:p>
        </w:tc>
        <w:tc>
          <w:tcPr>
            <w:tcW w:w="3261" w:type="dxa"/>
          </w:tcPr>
          <w:p w14:paraId="34E84F03" w14:textId="77777777" w:rsidR="00222DE0" w:rsidRPr="00EE3355" w:rsidRDefault="0098273B" w:rsidP="00EA1CDF">
            <w:pPr>
              <w:pStyle w:val="TableParagraph"/>
              <w:jc w:val="center"/>
            </w:pPr>
            <w:r w:rsidRPr="00EE3355">
              <w:t>8,1 %</w:t>
            </w:r>
          </w:p>
        </w:tc>
      </w:tr>
      <w:tr w:rsidR="00222DE0" w:rsidRPr="00EE3355" w14:paraId="0B831A6F" w14:textId="77777777" w:rsidTr="0008698A">
        <w:trPr>
          <w:cantSplit/>
          <w:trHeight w:val="253"/>
        </w:trPr>
        <w:tc>
          <w:tcPr>
            <w:tcW w:w="2332" w:type="dxa"/>
          </w:tcPr>
          <w:p w14:paraId="66289D94" w14:textId="77777777" w:rsidR="00222DE0" w:rsidRPr="00EE3355" w:rsidRDefault="0098273B" w:rsidP="00EA1CDF">
            <w:pPr>
              <w:pStyle w:val="TableParagraph"/>
            </w:pPr>
            <w:r w:rsidRPr="00EE3355">
              <w:t>JIA ACR 90</w:t>
            </w:r>
          </w:p>
        </w:tc>
        <w:tc>
          <w:tcPr>
            <w:tcW w:w="2409" w:type="dxa"/>
          </w:tcPr>
          <w:p w14:paraId="3F322B6E" w14:textId="77777777" w:rsidR="00222DE0" w:rsidRPr="00EE3355" w:rsidRDefault="0098273B" w:rsidP="00EA1CDF">
            <w:pPr>
              <w:pStyle w:val="TableParagraph"/>
              <w:jc w:val="center"/>
            </w:pPr>
            <w:r w:rsidRPr="00EE3355">
              <w:t>37,3 %</w:t>
            </w:r>
            <w:r w:rsidRPr="00EE3355">
              <w:rPr>
                <w:vertAlign w:val="superscript"/>
              </w:rPr>
              <w:t>1</w:t>
            </w:r>
          </w:p>
        </w:tc>
        <w:tc>
          <w:tcPr>
            <w:tcW w:w="3261" w:type="dxa"/>
          </w:tcPr>
          <w:p w14:paraId="02B8EDB0" w14:textId="77777777" w:rsidR="00222DE0" w:rsidRPr="00EE3355" w:rsidRDefault="0098273B" w:rsidP="00EA1CDF">
            <w:pPr>
              <w:pStyle w:val="TableParagraph"/>
              <w:jc w:val="center"/>
            </w:pPr>
            <w:r w:rsidRPr="00EE3355">
              <w:t>5,4 %</w:t>
            </w:r>
          </w:p>
        </w:tc>
      </w:tr>
    </w:tbl>
    <w:p w14:paraId="3F99CF38" w14:textId="77777777" w:rsidR="00222DE0" w:rsidRPr="0053673C" w:rsidRDefault="0098273B" w:rsidP="00EA1CDF">
      <w:pPr>
        <w:rPr>
          <w:i/>
          <w:sz w:val="18"/>
          <w:szCs w:val="18"/>
        </w:rPr>
      </w:pPr>
      <w:r w:rsidRPr="0053673C">
        <w:rPr>
          <w:sz w:val="18"/>
          <w:szCs w:val="18"/>
          <w:vertAlign w:val="superscript"/>
        </w:rPr>
        <w:t>1</w:t>
      </w:r>
      <w:r w:rsidRPr="0053673C">
        <w:rPr>
          <w:i/>
          <w:sz w:val="18"/>
          <w:szCs w:val="18"/>
        </w:rPr>
        <w:t>p&lt;0,0001, tocilizumab vs. placebo</w:t>
      </w:r>
    </w:p>
    <w:p w14:paraId="0AAF7F57" w14:textId="77777777" w:rsidR="00222DE0" w:rsidRPr="00EE3355" w:rsidRDefault="00222DE0" w:rsidP="00EA1CDF">
      <w:pPr>
        <w:pStyle w:val="a3"/>
        <w:widowControl/>
        <w:ind w:left="0"/>
        <w:rPr>
          <w:i/>
          <w:sz w:val="18"/>
        </w:rPr>
      </w:pPr>
    </w:p>
    <w:p w14:paraId="09B4D54C" w14:textId="77777777" w:rsidR="00222DE0" w:rsidRPr="00EE3355" w:rsidRDefault="0098273B" w:rsidP="00EA1CDF">
      <w:pPr>
        <w:widowControl/>
        <w:rPr>
          <w:i/>
        </w:rPr>
      </w:pPr>
      <w:r w:rsidRPr="00EE3355">
        <w:rPr>
          <w:i/>
        </w:rPr>
        <w:t>Systémové účinky</w:t>
      </w:r>
    </w:p>
    <w:p w14:paraId="796769EC" w14:textId="77777777" w:rsidR="00222DE0" w:rsidRPr="00EE3355" w:rsidRDefault="0098273B" w:rsidP="00EA1CDF">
      <w:pPr>
        <w:pStyle w:val="a3"/>
        <w:widowControl/>
        <w:ind w:left="0"/>
      </w:pPr>
      <w:r w:rsidRPr="00EE3355">
        <w:t>Ve skupině léčené tocilizumabem bylo 85 % pacientů, kteří měli horečku způsobenou sJIA na počátku léčby, ve 12. týdnu bez horečky (žádné zaznamenané zvýšení tělesné teploty ≥ 37,5 °C během předchozích 14 dnů). Ve skupině léčené placebem to bylo 21 % pacientů (p&lt;0,0001).</w:t>
      </w:r>
    </w:p>
    <w:p w14:paraId="0F576E1C" w14:textId="77777777" w:rsidR="00222DE0" w:rsidRPr="00EE3355" w:rsidRDefault="00222DE0" w:rsidP="00EA1CDF">
      <w:pPr>
        <w:pStyle w:val="a3"/>
        <w:widowControl/>
        <w:ind w:left="0"/>
      </w:pPr>
    </w:p>
    <w:p w14:paraId="2827E6E3" w14:textId="77777777" w:rsidR="00222DE0" w:rsidRPr="00EE3355" w:rsidRDefault="0098273B" w:rsidP="00EA1CDF">
      <w:pPr>
        <w:pStyle w:val="a3"/>
        <w:widowControl/>
        <w:ind w:left="0"/>
      </w:pPr>
      <w:r w:rsidRPr="00EE3355">
        <w:t>Upravená průměrná změna bolesti VAS po 12 týdnech léčby tocilizumabem byla nižší o 41 bodů na</w:t>
      </w:r>
      <w:r w:rsidR="005A3E54" w:rsidRPr="00EE3355">
        <w:t xml:space="preserve"> </w:t>
      </w:r>
      <w:r w:rsidRPr="00EE3355">
        <w:t>škále od 0 do 100 ve srovnání se snížením o 1 bod u pacientů léčených placebem (p&lt;0,0001).</w:t>
      </w:r>
    </w:p>
    <w:p w14:paraId="1DD16D94" w14:textId="77777777" w:rsidR="00222DE0" w:rsidRPr="00EE3355" w:rsidRDefault="00222DE0" w:rsidP="00EA1CDF">
      <w:pPr>
        <w:pStyle w:val="a3"/>
        <w:widowControl/>
        <w:ind w:left="0"/>
      </w:pPr>
    </w:p>
    <w:p w14:paraId="06659BD0" w14:textId="77777777" w:rsidR="00222DE0" w:rsidRPr="00EE3355" w:rsidRDefault="0098273B" w:rsidP="00EA1CDF">
      <w:pPr>
        <w:keepNext/>
        <w:widowControl/>
        <w:rPr>
          <w:i/>
        </w:rPr>
      </w:pPr>
      <w:r w:rsidRPr="00EE3355">
        <w:rPr>
          <w:i/>
        </w:rPr>
        <w:t>Postupné snižování dávky kortikosteroidů</w:t>
      </w:r>
    </w:p>
    <w:p w14:paraId="03173443" w14:textId="77777777" w:rsidR="00222DE0" w:rsidRPr="00EE3355" w:rsidRDefault="0098273B" w:rsidP="00EA1CDF">
      <w:pPr>
        <w:pStyle w:val="a3"/>
        <w:widowControl/>
        <w:ind w:left="0"/>
      </w:pPr>
      <w:r w:rsidRPr="00EE3355">
        <w:t>Pacientům, kteří dosáhli odpovědi JIA ACR 70, bylo umožněno snížení dávky kortikosteroidů. Sedmnáct (24 %) pacientů léčených tocilizumabem, oproti 1 (3 %) pacientovi léčenému placebem, si mohlo snížit dávku kortikosteroidů o alespoň 20 % bez toho, že by do 12. týdne došlo k následnému vzplanutí JIA ACR30 nebo objevení se systémových příznaků (p=0,028). Ve snižování dávky kortikosteroidů se pokračovalo při udržování odpovědi JIA ACR. Ve 44. týdnu bylo 44 pacientů zcela bez perorálních kortikosteroidů.</w:t>
      </w:r>
    </w:p>
    <w:p w14:paraId="2C3C9C92" w14:textId="77777777" w:rsidR="005A3E54" w:rsidRPr="00EE3355" w:rsidRDefault="005A3E54" w:rsidP="00EA1CDF">
      <w:pPr>
        <w:pStyle w:val="a3"/>
        <w:widowControl/>
        <w:ind w:left="0"/>
      </w:pPr>
    </w:p>
    <w:p w14:paraId="2C4F69A8" w14:textId="77777777" w:rsidR="00222DE0" w:rsidRPr="00EE3355" w:rsidRDefault="0098273B" w:rsidP="00EA1CDF">
      <w:pPr>
        <w:widowControl/>
        <w:rPr>
          <w:i/>
        </w:rPr>
      </w:pPr>
      <w:r w:rsidRPr="00EE3355">
        <w:rPr>
          <w:i/>
        </w:rPr>
        <w:t>Výsledky ve vztahu ke zdraví a kvalitě života</w:t>
      </w:r>
    </w:p>
    <w:p w14:paraId="7D9509A0" w14:textId="77777777" w:rsidR="00222DE0" w:rsidRPr="00EE3355" w:rsidRDefault="0098273B" w:rsidP="00EA1CDF">
      <w:pPr>
        <w:pStyle w:val="a3"/>
        <w:widowControl/>
        <w:ind w:left="0"/>
      </w:pPr>
      <w:r w:rsidRPr="00EE3355">
        <w:t>Procento pacientů vykazujících ve 12. týdnu alespoň minimální klinicky významné zlepšení podle Childhood Health Assessment Questionnaire – Disability Index (definovanému jako jednotlivý pokles v celkovém skóre o ≥ 0,13), bylo ve skupině léčené tocilizumabem významně vyšší než ve skupině léčené placebem, 77 % oproti 19 % (p&lt;0,0001).</w:t>
      </w:r>
    </w:p>
    <w:p w14:paraId="599F36C9" w14:textId="77777777" w:rsidR="00222DE0" w:rsidRPr="00EE3355" w:rsidRDefault="00222DE0" w:rsidP="00EA1CDF">
      <w:pPr>
        <w:pStyle w:val="a3"/>
        <w:widowControl/>
        <w:ind w:left="0"/>
      </w:pPr>
    </w:p>
    <w:p w14:paraId="4C059A01" w14:textId="77777777" w:rsidR="00222DE0" w:rsidRPr="00EE3355" w:rsidRDefault="0098273B" w:rsidP="00EA1CDF">
      <w:pPr>
        <w:widowControl/>
        <w:rPr>
          <w:i/>
        </w:rPr>
      </w:pPr>
      <w:r w:rsidRPr="00EE3355">
        <w:rPr>
          <w:i/>
        </w:rPr>
        <w:t>Laboratorní parametry</w:t>
      </w:r>
    </w:p>
    <w:p w14:paraId="0DF2022A" w14:textId="77777777" w:rsidR="00222DE0" w:rsidRPr="00EE3355" w:rsidRDefault="0098273B" w:rsidP="00EA1CDF">
      <w:pPr>
        <w:pStyle w:val="a3"/>
        <w:widowControl/>
        <w:ind w:left="0"/>
      </w:pPr>
      <w:r w:rsidRPr="00EE3355">
        <w:t>Padesát ze sedmdesáti pěti (67 %) pacientů léčených tocilizumabem mělo výchozí hodnotu hemoglobinu &lt; LLN. U 40 (80 %) z těchto pacientů došlo ve 12. týdnu ke zvýšení hladiny hemoglobinu do rozmezí normálních hodnot, ve srovnání s pouze 2 z 29 (7 %) pacientů léčených placebem s výchozí hodnotou hemoglobinu &lt; LLN (p&lt;0,0001).</w:t>
      </w:r>
    </w:p>
    <w:p w14:paraId="1849CB05" w14:textId="77777777" w:rsidR="005A3E54" w:rsidRPr="00EE3355" w:rsidRDefault="005A3E54" w:rsidP="00EA1CDF">
      <w:pPr>
        <w:pStyle w:val="a3"/>
        <w:widowControl/>
        <w:ind w:left="0"/>
      </w:pPr>
    </w:p>
    <w:p w14:paraId="61FE3669" w14:textId="77777777" w:rsidR="00222DE0" w:rsidRPr="00EE3355" w:rsidRDefault="0098273B" w:rsidP="00EA1CDF">
      <w:pPr>
        <w:widowControl/>
        <w:rPr>
          <w:i/>
        </w:rPr>
      </w:pPr>
      <w:r w:rsidRPr="00EE3355">
        <w:rPr>
          <w:i/>
        </w:rPr>
        <w:t>Pacienti s pJIA</w:t>
      </w:r>
    </w:p>
    <w:p w14:paraId="707A51CD" w14:textId="77777777" w:rsidR="00222DE0" w:rsidRPr="00EE3355" w:rsidRDefault="0098273B" w:rsidP="00EA1CDF">
      <w:pPr>
        <w:pStyle w:val="a3"/>
        <w:widowControl/>
        <w:ind w:left="0"/>
      </w:pPr>
      <w:r w:rsidRPr="00EE3355">
        <w:t>Klinická účinnost</w:t>
      </w:r>
    </w:p>
    <w:p w14:paraId="1FA128C0" w14:textId="77777777" w:rsidR="00222DE0" w:rsidRPr="00EE3355" w:rsidRDefault="0098273B" w:rsidP="00EA1CDF">
      <w:pPr>
        <w:pStyle w:val="a3"/>
        <w:widowControl/>
        <w:ind w:left="0"/>
      </w:pPr>
      <w:r w:rsidRPr="00EE3355">
        <w:t>Účinnost tocilizumabu byla hodnocena ve studii WA19977, která měla tři části, včetně otevřeného rozšíření u dětí s aktivní pJIA. Část I sestávala z 16týdenního úvodního období aktivní léčby tocilizumabem (n=188), po které následovala část II, 24týdenní randomizované dvojitě zaslepené placebem kontrolované období vysazení léčby (n=163), následované částí III, 64týdenním otevřeným</w:t>
      </w:r>
      <w:r w:rsidR="005A3E54" w:rsidRPr="00EE3355">
        <w:t xml:space="preserve"> </w:t>
      </w:r>
      <w:r w:rsidRPr="00EE3355">
        <w:t>obdobím. V části I dostávali vhodní pacienti s tělesnou hmotností ≥ 30 kg tocilizumab v dávce 8 mg/kg i.v. každé 4 týdny ve 4 dávkách. Pacienti s tělesnou hmotností &lt; 30 kg byli randomizováni v poměru 1:1 k léčbě tocilizumabem v dávce 8 mg/kg nebo 10 mg/kg i.v. každé 4 týdny, celkem 4</w:t>
      </w:r>
      <w:r w:rsidR="005A3E54" w:rsidRPr="00EE3355">
        <w:t xml:space="preserve"> </w:t>
      </w:r>
      <w:r w:rsidRPr="00EE3355">
        <w:t>dávky. Pacienti, kteří ukončili část I této studie a dosáhli alespoň 30% zlepšení podle hlavních kritérií JIA ACR (odpověď JIA ACR30) v 16. týdnu ve srovnání s výchozími hodnotami, byli vhodní pro vstup do zaslepené fáze s vysazením léčby (část II) této studie. V části II byli pacienti randomizováni k léčbě tocilizumabem (stejná dávka jako v části I) nebo placebem v poměru 1:1 a dále rozděleni podle současné léčby MTX a kortikosteroidy. Každý pacient pokračoval v části II této studie do 40. týdne, nebo dokud nesplnil kritéria vzplanutí onemocnění JIA ACR30 (v porovnání s 16. týdnem) a podmínky ukončení léčby tocilizumabem (stejná dávka jako v části I).</w:t>
      </w:r>
    </w:p>
    <w:p w14:paraId="04A50A39" w14:textId="77777777" w:rsidR="00EF0A2C" w:rsidRPr="00EE3355" w:rsidRDefault="00EF0A2C" w:rsidP="00EA1CDF">
      <w:pPr>
        <w:pStyle w:val="a3"/>
        <w:widowControl/>
        <w:ind w:left="0"/>
      </w:pPr>
    </w:p>
    <w:p w14:paraId="4A85D039" w14:textId="77777777" w:rsidR="00222DE0" w:rsidRPr="00EE3355" w:rsidRDefault="0098273B" w:rsidP="0053673C">
      <w:pPr>
        <w:keepNext/>
        <w:widowControl/>
        <w:rPr>
          <w:i/>
        </w:rPr>
      </w:pPr>
      <w:r w:rsidRPr="00EE3355">
        <w:rPr>
          <w:i/>
        </w:rPr>
        <w:t>Klinická odpověď</w:t>
      </w:r>
    </w:p>
    <w:p w14:paraId="0A91F84C" w14:textId="77777777" w:rsidR="00222DE0" w:rsidRPr="00EE3355" w:rsidRDefault="0098273B" w:rsidP="00EA1CDF">
      <w:pPr>
        <w:pStyle w:val="a3"/>
        <w:widowControl/>
        <w:ind w:left="0"/>
      </w:pPr>
      <w:r w:rsidRPr="00EE3355">
        <w:t>Primárním cílovým parametrem účinnosti byl poměr pacientů se vzplanutím onemocnění JIA ACR30 ve 40. týdnu ve srovnání s 16. týdnem. U čtyřiceti osmi procent (48,1 %, 39/81) pacientů léčených placebem došlo ke vzplanutí onemocnění ve srovnání s 25,6 % (21/82) pacientů léčených tocilizumabem. Tento poměr byl statisticky významný (p=0,0024).</w:t>
      </w:r>
      <w:r w:rsidR="00EF0A2C" w:rsidRPr="00EE3355">
        <w:t xml:space="preserve"> </w:t>
      </w:r>
      <w:r w:rsidRPr="00EE3355">
        <w:t>Výsledkem části I bylo dosažení JIA ACR 30/50/70/90 v 89,4 %, 83,0 %, 62,2 % a 26,1 %.</w:t>
      </w:r>
    </w:p>
    <w:p w14:paraId="1CEF2A11" w14:textId="77777777" w:rsidR="00222DE0" w:rsidRPr="00EE3355" w:rsidRDefault="00222DE0" w:rsidP="00EA1CDF">
      <w:pPr>
        <w:pStyle w:val="a3"/>
        <w:widowControl/>
        <w:ind w:left="0"/>
      </w:pPr>
    </w:p>
    <w:p w14:paraId="1E2D9955" w14:textId="77777777" w:rsidR="00222DE0" w:rsidRPr="00EE3355" w:rsidRDefault="0098273B" w:rsidP="00EA1CDF">
      <w:pPr>
        <w:pStyle w:val="a3"/>
        <w:widowControl/>
        <w:ind w:left="0"/>
      </w:pPr>
      <w:r w:rsidRPr="00EE3355">
        <w:lastRenderedPageBreak/>
        <w:t>Během fáze vysazení léčby (část II) byla zaznamenána procenta pacientů, kteří dosáhli odpovědi JIA ACR 30, 50 a 70 ve 40. týdnu v porovnání s výchozími hodnotami a jsou uvedena v tabulce 9. V této statistické analýze byli pacienti, u kterých došlo během části II ke vzplanutí onemocnění (a kteří se vyhnuli tocilizumabu) nebo kteří odstoupili ze studie, klasifikováni jako non-respondeři. Další analýzy odpovědí JIA ACR, vzhledem k pozorovaným údajům ve 40. týdnu, bez ohledu na vzplanutí onemocnění, ukázaly, že od 40. týdne u 95,1 % pacientů, kterým léčba tocilizumabem byla podávána nepřetržitě, bylo dosaženo JIA ACR30 nebo vyšší.</w:t>
      </w:r>
    </w:p>
    <w:p w14:paraId="56600C79" w14:textId="77777777" w:rsidR="00222DE0" w:rsidRPr="00EE3355" w:rsidRDefault="00222DE0" w:rsidP="00EA1CDF">
      <w:pPr>
        <w:pStyle w:val="a3"/>
        <w:widowControl/>
        <w:ind w:left="0"/>
      </w:pPr>
    </w:p>
    <w:p w14:paraId="3DCB5972" w14:textId="77777777" w:rsidR="00222DE0" w:rsidRPr="00EE3355" w:rsidRDefault="0098273B" w:rsidP="00EA1CDF">
      <w:pPr>
        <w:keepNext/>
        <w:widowControl/>
        <w:ind w:left="1134" w:hanging="1134"/>
        <w:rPr>
          <w:i/>
        </w:rPr>
      </w:pPr>
      <w:r w:rsidRPr="00EE3355">
        <w:rPr>
          <w:i/>
        </w:rPr>
        <w:t>Tabulka 9.</w:t>
      </w:r>
      <w:r w:rsidR="00EF0A2C" w:rsidRPr="00EE3355">
        <w:rPr>
          <w:i/>
        </w:rPr>
        <w:tab/>
      </w:r>
      <w:r w:rsidRPr="00EE3355">
        <w:rPr>
          <w:i/>
        </w:rPr>
        <w:t>Výskyt odpovědi JIA ACR ve 40. týdnu ve srovnání s výchozími hodnotami (procento pacientů)</w:t>
      </w:r>
    </w:p>
    <w:p w14:paraId="3D333BF0" w14:textId="77777777" w:rsidR="00EF0A2C" w:rsidRPr="00EE3355" w:rsidRDefault="00EF0A2C" w:rsidP="00EA1CDF">
      <w:pPr>
        <w:keepNext/>
        <w:widowControl/>
        <w:ind w:left="1134" w:hanging="1134"/>
        <w:rPr>
          <w:i/>
        </w:rPr>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478"/>
        <w:gridCol w:w="2352"/>
        <w:gridCol w:w="2519"/>
      </w:tblGrid>
      <w:tr w:rsidR="00222DE0" w:rsidRPr="0053673C" w14:paraId="188D8C8D" w14:textId="77777777" w:rsidTr="00FE4995">
        <w:trPr>
          <w:cantSplit/>
          <w:trHeight w:val="199"/>
          <w:tblHeader/>
        </w:trPr>
        <w:tc>
          <w:tcPr>
            <w:tcW w:w="2478" w:type="dxa"/>
          </w:tcPr>
          <w:p w14:paraId="718F31A3" w14:textId="77777777" w:rsidR="00222DE0" w:rsidRPr="00B93217" w:rsidRDefault="0098273B" w:rsidP="00EA1CDF">
            <w:pPr>
              <w:pStyle w:val="TableParagraph"/>
              <w:keepNext/>
              <w:widowControl/>
              <w:rPr>
                <w:b/>
              </w:rPr>
            </w:pPr>
            <w:r w:rsidRPr="00B93217">
              <w:rPr>
                <w:b/>
              </w:rPr>
              <w:t>Výskyt odpovědi</w:t>
            </w:r>
          </w:p>
        </w:tc>
        <w:tc>
          <w:tcPr>
            <w:tcW w:w="2352" w:type="dxa"/>
          </w:tcPr>
          <w:p w14:paraId="1D70370C" w14:textId="77777777" w:rsidR="00222DE0" w:rsidRPr="00B93217" w:rsidRDefault="0098273B" w:rsidP="00EA1CDF">
            <w:pPr>
              <w:pStyle w:val="TableParagraph"/>
              <w:keepNext/>
              <w:widowControl/>
              <w:rPr>
                <w:b/>
              </w:rPr>
            </w:pPr>
            <w:r w:rsidRPr="00B93217">
              <w:rPr>
                <w:b/>
              </w:rPr>
              <w:t>Tocilizumab</w:t>
            </w:r>
            <w:r w:rsidR="00FE4995" w:rsidRPr="00B93217">
              <w:rPr>
                <w:b/>
              </w:rPr>
              <w:t xml:space="preserve"> </w:t>
            </w:r>
            <w:r w:rsidRPr="00B93217">
              <w:rPr>
                <w:b/>
              </w:rPr>
              <w:t>n=82</w:t>
            </w:r>
          </w:p>
        </w:tc>
        <w:tc>
          <w:tcPr>
            <w:tcW w:w="2519" w:type="dxa"/>
          </w:tcPr>
          <w:p w14:paraId="74FC9282" w14:textId="77777777" w:rsidR="00222DE0" w:rsidRPr="00B93217" w:rsidRDefault="0098273B" w:rsidP="00EA1CDF">
            <w:pPr>
              <w:pStyle w:val="TableParagraph"/>
              <w:keepNext/>
              <w:widowControl/>
              <w:rPr>
                <w:b/>
              </w:rPr>
            </w:pPr>
            <w:r w:rsidRPr="00B93217">
              <w:rPr>
                <w:b/>
              </w:rPr>
              <w:t>Placebo</w:t>
            </w:r>
            <w:r w:rsidR="00FE4995" w:rsidRPr="00B93217">
              <w:rPr>
                <w:b/>
              </w:rPr>
              <w:t xml:space="preserve"> </w:t>
            </w:r>
            <w:r w:rsidRPr="00B93217">
              <w:rPr>
                <w:b/>
              </w:rPr>
              <w:t>n=81</w:t>
            </w:r>
          </w:p>
        </w:tc>
      </w:tr>
      <w:tr w:rsidR="00222DE0" w:rsidRPr="00EE3355" w14:paraId="4D960BF6" w14:textId="77777777" w:rsidTr="005D0A43">
        <w:trPr>
          <w:cantSplit/>
          <w:trHeight w:val="192"/>
        </w:trPr>
        <w:tc>
          <w:tcPr>
            <w:tcW w:w="2478" w:type="dxa"/>
          </w:tcPr>
          <w:p w14:paraId="0955B280" w14:textId="77777777" w:rsidR="00222DE0" w:rsidRPr="00EE3355" w:rsidRDefault="0098273B" w:rsidP="00EA1CDF">
            <w:pPr>
              <w:pStyle w:val="TableParagraph"/>
              <w:keepNext/>
              <w:widowControl/>
            </w:pPr>
            <w:r w:rsidRPr="00EE3355">
              <w:t>ACR 30</w:t>
            </w:r>
          </w:p>
        </w:tc>
        <w:tc>
          <w:tcPr>
            <w:tcW w:w="2352" w:type="dxa"/>
          </w:tcPr>
          <w:p w14:paraId="37AD9199" w14:textId="77777777" w:rsidR="00222DE0" w:rsidRPr="00EE3355" w:rsidRDefault="0098273B" w:rsidP="00EA1CDF">
            <w:pPr>
              <w:pStyle w:val="TableParagraph"/>
              <w:keepNext/>
              <w:widowControl/>
            </w:pPr>
            <w:r w:rsidRPr="00EE3355">
              <w:t>74,4 %*</w:t>
            </w:r>
          </w:p>
        </w:tc>
        <w:tc>
          <w:tcPr>
            <w:tcW w:w="2519" w:type="dxa"/>
          </w:tcPr>
          <w:p w14:paraId="18B75DCC" w14:textId="77777777" w:rsidR="00222DE0" w:rsidRPr="00EE3355" w:rsidRDefault="0098273B" w:rsidP="00EA1CDF">
            <w:pPr>
              <w:pStyle w:val="TableParagraph"/>
              <w:keepNext/>
              <w:widowControl/>
            </w:pPr>
            <w:r w:rsidRPr="00EE3355">
              <w:t>54,3 %*</w:t>
            </w:r>
          </w:p>
        </w:tc>
      </w:tr>
      <w:tr w:rsidR="00222DE0" w:rsidRPr="00EE3355" w14:paraId="1D771F3F" w14:textId="77777777" w:rsidTr="00FE4995">
        <w:trPr>
          <w:cantSplit/>
          <w:trHeight w:val="278"/>
        </w:trPr>
        <w:tc>
          <w:tcPr>
            <w:tcW w:w="2478" w:type="dxa"/>
          </w:tcPr>
          <w:p w14:paraId="1055C6B2" w14:textId="77777777" w:rsidR="00222DE0" w:rsidRPr="00EE3355" w:rsidRDefault="0098273B" w:rsidP="00EA1CDF">
            <w:pPr>
              <w:pStyle w:val="TableParagraph"/>
              <w:widowControl/>
            </w:pPr>
            <w:r w:rsidRPr="00EE3355">
              <w:t>ACR 50</w:t>
            </w:r>
          </w:p>
        </w:tc>
        <w:tc>
          <w:tcPr>
            <w:tcW w:w="2352" w:type="dxa"/>
          </w:tcPr>
          <w:p w14:paraId="45B44479" w14:textId="77777777" w:rsidR="00222DE0" w:rsidRPr="00EE3355" w:rsidRDefault="0098273B" w:rsidP="00EA1CDF">
            <w:pPr>
              <w:pStyle w:val="TableParagraph"/>
              <w:widowControl/>
            </w:pPr>
            <w:r w:rsidRPr="00EE3355">
              <w:t>73,2 %*</w:t>
            </w:r>
          </w:p>
        </w:tc>
        <w:tc>
          <w:tcPr>
            <w:tcW w:w="2519" w:type="dxa"/>
          </w:tcPr>
          <w:p w14:paraId="2FB3BD6F" w14:textId="77777777" w:rsidR="00222DE0" w:rsidRPr="00EE3355" w:rsidRDefault="0098273B" w:rsidP="00EA1CDF">
            <w:pPr>
              <w:pStyle w:val="TableParagraph"/>
              <w:widowControl/>
            </w:pPr>
            <w:r w:rsidRPr="00EE3355">
              <w:t>51,9 %*</w:t>
            </w:r>
          </w:p>
        </w:tc>
      </w:tr>
      <w:tr w:rsidR="00222DE0" w:rsidRPr="00EE3355" w14:paraId="3D30D5A7" w14:textId="77777777" w:rsidTr="00FE4995">
        <w:trPr>
          <w:cantSplit/>
          <w:trHeight w:val="240"/>
        </w:trPr>
        <w:tc>
          <w:tcPr>
            <w:tcW w:w="2478" w:type="dxa"/>
          </w:tcPr>
          <w:p w14:paraId="7DF67825" w14:textId="77777777" w:rsidR="00222DE0" w:rsidRPr="00EE3355" w:rsidRDefault="0098273B" w:rsidP="00EA1CDF">
            <w:pPr>
              <w:pStyle w:val="TableParagraph"/>
              <w:widowControl/>
            </w:pPr>
            <w:r w:rsidRPr="00EE3355">
              <w:t>ACR 70</w:t>
            </w:r>
          </w:p>
        </w:tc>
        <w:tc>
          <w:tcPr>
            <w:tcW w:w="2352" w:type="dxa"/>
          </w:tcPr>
          <w:p w14:paraId="736C0F7C" w14:textId="77777777" w:rsidR="00222DE0" w:rsidRPr="00EE3355" w:rsidRDefault="0098273B" w:rsidP="00EA1CDF">
            <w:pPr>
              <w:pStyle w:val="TableParagraph"/>
              <w:widowControl/>
            </w:pPr>
            <w:r w:rsidRPr="00EE3355">
              <w:t>64,6 %*</w:t>
            </w:r>
          </w:p>
        </w:tc>
        <w:tc>
          <w:tcPr>
            <w:tcW w:w="2519" w:type="dxa"/>
          </w:tcPr>
          <w:p w14:paraId="139B058E" w14:textId="77777777" w:rsidR="00222DE0" w:rsidRPr="00EE3355" w:rsidRDefault="0098273B" w:rsidP="00EA1CDF">
            <w:pPr>
              <w:pStyle w:val="TableParagraph"/>
              <w:widowControl/>
            </w:pPr>
            <w:r w:rsidRPr="00EE3355">
              <w:t>42,0 %*</w:t>
            </w:r>
          </w:p>
        </w:tc>
      </w:tr>
    </w:tbl>
    <w:p w14:paraId="158142EF" w14:textId="77777777" w:rsidR="00222DE0" w:rsidRPr="00EE3355" w:rsidRDefault="0098273B" w:rsidP="00EA1CDF">
      <w:pPr>
        <w:rPr>
          <w:i/>
          <w:sz w:val="18"/>
        </w:rPr>
      </w:pPr>
      <w:r w:rsidRPr="00EE3355">
        <w:rPr>
          <w:i/>
          <w:sz w:val="18"/>
        </w:rPr>
        <w:t>* p&lt;0.01, tocilizumab vs. placebo</w:t>
      </w:r>
    </w:p>
    <w:p w14:paraId="1AF18772" w14:textId="77777777" w:rsidR="00222DE0" w:rsidRPr="00EE3355" w:rsidRDefault="00222DE0" w:rsidP="00EA1CDF">
      <w:pPr>
        <w:pStyle w:val="a3"/>
        <w:widowControl/>
        <w:ind w:left="0"/>
        <w:rPr>
          <w:i/>
          <w:sz w:val="18"/>
        </w:rPr>
      </w:pPr>
    </w:p>
    <w:p w14:paraId="3EE5D1DE" w14:textId="77777777" w:rsidR="00222DE0" w:rsidRPr="00EE3355" w:rsidRDefault="0098273B" w:rsidP="00EA1CDF">
      <w:pPr>
        <w:pStyle w:val="a3"/>
        <w:widowControl/>
        <w:ind w:left="0"/>
      </w:pPr>
      <w:r w:rsidRPr="00EE3355">
        <w:t>Počet aktivních kloubů byl výrazně snížen ve srovnání s výchozími hodnotami u pacientů léčených</w:t>
      </w:r>
      <w:r w:rsidR="0029285D" w:rsidRPr="00EE3355">
        <w:t xml:space="preserve"> </w:t>
      </w:r>
      <w:r w:rsidRPr="00EE3355">
        <w:t>tocilizumabem ve srovnání s placebem (upravené průměrné změny -14,3 vs. -11,4, p=0,0435). Celkové hodnocení aktivity onemocnění lékařem, měřené na škále 0-100 mm, ukázalo výrazné snížení aktivity onemocnění u tocilizumabu ve srovnání s placebem (upravené průměrné změny -45,2 mm vs.</w:t>
      </w:r>
      <w:r w:rsidR="0029285D" w:rsidRPr="00EE3355">
        <w:t xml:space="preserve"> </w:t>
      </w:r>
      <w:r w:rsidRPr="00EE3355">
        <w:t>-35,2 mm, p=0,0031).</w:t>
      </w:r>
    </w:p>
    <w:p w14:paraId="11B106FF" w14:textId="77777777" w:rsidR="0029285D" w:rsidRPr="00EE3355" w:rsidRDefault="0029285D" w:rsidP="00EA1CDF">
      <w:pPr>
        <w:pStyle w:val="a3"/>
        <w:widowControl/>
        <w:ind w:left="0"/>
      </w:pPr>
    </w:p>
    <w:p w14:paraId="4F6613D7" w14:textId="77777777" w:rsidR="00222DE0" w:rsidRPr="00EE3355" w:rsidRDefault="0098273B" w:rsidP="00EA1CDF">
      <w:pPr>
        <w:pStyle w:val="a3"/>
        <w:widowControl/>
        <w:ind w:left="0"/>
      </w:pPr>
      <w:r w:rsidRPr="00EE3355">
        <w:t>Upravená průměrná změna bolesti VAS po 40 týdnech léčby tocilizumabem byla 32,4 mm, na škále 0- 100 mm, ve srovnání se snížením 22,3 mm u pacientů dostávajících placebo (výrazná statistická významnost, p=0,0076).</w:t>
      </w:r>
    </w:p>
    <w:p w14:paraId="1A140995" w14:textId="77777777" w:rsidR="00222DE0" w:rsidRPr="00EE3355" w:rsidRDefault="00222DE0" w:rsidP="00EA1CDF">
      <w:pPr>
        <w:pStyle w:val="a3"/>
        <w:widowControl/>
        <w:ind w:left="0"/>
      </w:pPr>
    </w:p>
    <w:p w14:paraId="0DC050E1" w14:textId="77777777" w:rsidR="00222DE0" w:rsidRPr="00EE3355" w:rsidRDefault="0098273B" w:rsidP="00EA1CDF">
      <w:pPr>
        <w:pStyle w:val="a3"/>
        <w:widowControl/>
        <w:ind w:left="0"/>
      </w:pPr>
      <w:r w:rsidRPr="00EE3355">
        <w:t>Výskyt odpovědi ACR byl číselně nižší u pacientů s dřívější biologickou léčbou, jak je ukázáno</w:t>
      </w:r>
      <w:r w:rsidR="0078332E">
        <w:t xml:space="preserve"> </w:t>
      </w:r>
      <w:r w:rsidRPr="00EE3355">
        <w:t>v tabulce 10 níže.</w:t>
      </w:r>
    </w:p>
    <w:p w14:paraId="25EB809C" w14:textId="77777777" w:rsidR="005D0A43" w:rsidRPr="00EE3355" w:rsidRDefault="005D0A43" w:rsidP="00EA1CDF">
      <w:pPr>
        <w:pStyle w:val="a3"/>
        <w:widowControl/>
        <w:ind w:left="0"/>
      </w:pPr>
    </w:p>
    <w:p w14:paraId="56B1B557" w14:textId="77777777" w:rsidR="00222DE0" w:rsidRPr="00EE3355" w:rsidRDefault="0098273B" w:rsidP="00EA1CDF">
      <w:pPr>
        <w:widowControl/>
        <w:ind w:left="1418" w:hanging="1418"/>
        <w:rPr>
          <w:i/>
        </w:rPr>
      </w:pPr>
      <w:r w:rsidRPr="00EE3355">
        <w:rPr>
          <w:i/>
        </w:rPr>
        <w:t>Tabulka 10.</w:t>
      </w:r>
      <w:r w:rsidR="0029285D" w:rsidRPr="00EE3355">
        <w:rPr>
          <w:i/>
        </w:rPr>
        <w:tab/>
      </w:r>
      <w:r w:rsidRPr="00EE3355">
        <w:rPr>
          <w:i/>
        </w:rPr>
        <w:t>Počet a podíl pacientů se vzplanutím onemocnění JIA ACR30 a podíl pacientů s odpovědí JIA ACR30/50/70/90 ve 40. týdnu při přechozí biologické léčbě (ITT populace – část II studie)</w:t>
      </w:r>
    </w:p>
    <w:p w14:paraId="7A86AE2F" w14:textId="77777777" w:rsidR="0029285D" w:rsidRPr="00EE3355" w:rsidRDefault="0029285D" w:rsidP="00EA1CDF">
      <w:pPr>
        <w:widowControl/>
        <w:rPr>
          <w:i/>
        </w:rPr>
      </w:pPr>
    </w:p>
    <w:tbl>
      <w:tblPr>
        <w:tblW w:w="8747"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56"/>
        <w:gridCol w:w="1400"/>
        <w:gridCol w:w="1442"/>
        <w:gridCol w:w="1665"/>
        <w:gridCol w:w="2084"/>
      </w:tblGrid>
      <w:tr w:rsidR="00222DE0" w:rsidRPr="00EE3355" w14:paraId="2957CBBD" w14:textId="77777777" w:rsidTr="009C6EB0">
        <w:trPr>
          <w:cantSplit/>
          <w:trHeight w:val="160"/>
          <w:tblHeader/>
        </w:trPr>
        <w:tc>
          <w:tcPr>
            <w:tcW w:w="2156" w:type="dxa"/>
          </w:tcPr>
          <w:p w14:paraId="1BD52A47" w14:textId="77777777" w:rsidR="00222DE0" w:rsidRPr="00EE3355" w:rsidRDefault="00222DE0" w:rsidP="00EA1CDF">
            <w:pPr>
              <w:pStyle w:val="TableParagraph"/>
              <w:rPr>
                <w:sz w:val="20"/>
              </w:rPr>
            </w:pPr>
          </w:p>
        </w:tc>
        <w:tc>
          <w:tcPr>
            <w:tcW w:w="2842" w:type="dxa"/>
            <w:gridSpan w:val="2"/>
          </w:tcPr>
          <w:p w14:paraId="5BC39A2B" w14:textId="77777777" w:rsidR="00222DE0" w:rsidRPr="00EE3355" w:rsidRDefault="0098273B" w:rsidP="00EA1CDF">
            <w:pPr>
              <w:pStyle w:val="TableParagraph"/>
              <w:spacing w:before="50"/>
              <w:ind w:left="1072"/>
              <w:rPr>
                <w:b/>
                <w:sz w:val="20"/>
              </w:rPr>
            </w:pPr>
            <w:r w:rsidRPr="00EE3355">
              <w:rPr>
                <w:b/>
                <w:sz w:val="20"/>
              </w:rPr>
              <w:t>Placebo</w:t>
            </w:r>
          </w:p>
        </w:tc>
        <w:tc>
          <w:tcPr>
            <w:tcW w:w="3749" w:type="dxa"/>
            <w:gridSpan w:val="2"/>
          </w:tcPr>
          <w:p w14:paraId="79FE3C2F" w14:textId="77777777" w:rsidR="00222DE0" w:rsidRPr="00EE3355" w:rsidRDefault="0098273B" w:rsidP="00EA1CDF">
            <w:pPr>
              <w:pStyle w:val="TableParagraph"/>
              <w:spacing w:before="50"/>
              <w:ind w:left="573"/>
              <w:rPr>
                <w:b/>
                <w:sz w:val="20"/>
              </w:rPr>
            </w:pPr>
            <w:r w:rsidRPr="00EE3355">
              <w:rPr>
                <w:b/>
                <w:sz w:val="20"/>
              </w:rPr>
              <w:t>Všichni s tocilizumabem</w:t>
            </w:r>
          </w:p>
        </w:tc>
      </w:tr>
      <w:tr w:rsidR="00222DE0" w:rsidRPr="00EE3355" w14:paraId="3E24291E" w14:textId="77777777" w:rsidTr="009C6EB0">
        <w:trPr>
          <w:cantSplit/>
          <w:trHeight w:val="236"/>
          <w:tblHeader/>
        </w:trPr>
        <w:tc>
          <w:tcPr>
            <w:tcW w:w="2156" w:type="dxa"/>
          </w:tcPr>
          <w:p w14:paraId="282FE475" w14:textId="77777777" w:rsidR="00222DE0" w:rsidRPr="00EE3355" w:rsidRDefault="0098273B" w:rsidP="00EA1CDF">
            <w:pPr>
              <w:pStyle w:val="TableParagraph"/>
              <w:spacing w:before="50"/>
              <w:ind w:left="57"/>
              <w:rPr>
                <w:b/>
                <w:sz w:val="20"/>
              </w:rPr>
            </w:pPr>
            <w:r w:rsidRPr="00EE3355">
              <w:rPr>
                <w:b/>
                <w:sz w:val="20"/>
              </w:rPr>
              <w:t>Biologická léčba</w:t>
            </w:r>
          </w:p>
        </w:tc>
        <w:tc>
          <w:tcPr>
            <w:tcW w:w="1400" w:type="dxa"/>
          </w:tcPr>
          <w:p w14:paraId="505C2B54" w14:textId="77777777" w:rsidR="00222DE0" w:rsidRPr="00EE3355" w:rsidRDefault="0098273B" w:rsidP="00EA1CDF">
            <w:pPr>
              <w:pStyle w:val="TableParagraph"/>
              <w:spacing w:before="46"/>
              <w:ind w:right="57"/>
              <w:jc w:val="center"/>
              <w:rPr>
                <w:b/>
                <w:sz w:val="20"/>
              </w:rPr>
            </w:pPr>
            <w:r w:rsidRPr="00EE3355">
              <w:rPr>
                <w:b/>
                <w:sz w:val="20"/>
              </w:rPr>
              <w:t xml:space="preserve">Ano (n </w:t>
            </w:r>
            <w:r w:rsidRPr="00EE3355">
              <w:rPr>
                <w:sz w:val="20"/>
              </w:rPr>
              <w:t xml:space="preserve">= </w:t>
            </w:r>
            <w:r w:rsidRPr="00EE3355">
              <w:rPr>
                <w:b/>
                <w:sz w:val="20"/>
              </w:rPr>
              <w:t>23)</w:t>
            </w:r>
          </w:p>
        </w:tc>
        <w:tc>
          <w:tcPr>
            <w:tcW w:w="1442" w:type="dxa"/>
          </w:tcPr>
          <w:p w14:paraId="7AF712A6" w14:textId="77777777" w:rsidR="00222DE0" w:rsidRPr="00EE3355" w:rsidRDefault="0098273B" w:rsidP="00EA1CDF">
            <w:pPr>
              <w:pStyle w:val="TableParagraph"/>
              <w:spacing w:before="46"/>
              <w:ind w:right="90"/>
              <w:jc w:val="center"/>
              <w:rPr>
                <w:b/>
                <w:sz w:val="20"/>
              </w:rPr>
            </w:pPr>
            <w:r w:rsidRPr="00EE3355">
              <w:rPr>
                <w:b/>
                <w:sz w:val="20"/>
              </w:rPr>
              <w:t xml:space="preserve">Ne (n </w:t>
            </w:r>
            <w:r w:rsidRPr="00EE3355">
              <w:rPr>
                <w:sz w:val="20"/>
              </w:rPr>
              <w:t xml:space="preserve">= </w:t>
            </w:r>
            <w:r w:rsidRPr="00EE3355">
              <w:rPr>
                <w:b/>
                <w:sz w:val="20"/>
              </w:rPr>
              <w:t>58)</w:t>
            </w:r>
          </w:p>
        </w:tc>
        <w:tc>
          <w:tcPr>
            <w:tcW w:w="1665" w:type="dxa"/>
          </w:tcPr>
          <w:p w14:paraId="7393620A" w14:textId="77777777" w:rsidR="00222DE0" w:rsidRPr="00EE3355" w:rsidRDefault="0098273B" w:rsidP="00EA1CDF">
            <w:pPr>
              <w:pStyle w:val="TableParagraph"/>
              <w:spacing w:before="46"/>
              <w:ind w:left="1" w:right="57"/>
              <w:jc w:val="center"/>
              <w:rPr>
                <w:b/>
                <w:sz w:val="20"/>
              </w:rPr>
            </w:pPr>
            <w:r w:rsidRPr="00EE3355">
              <w:rPr>
                <w:b/>
                <w:sz w:val="20"/>
              </w:rPr>
              <w:t xml:space="preserve">Ano (n </w:t>
            </w:r>
            <w:r w:rsidRPr="00EE3355">
              <w:rPr>
                <w:sz w:val="20"/>
              </w:rPr>
              <w:t xml:space="preserve">= </w:t>
            </w:r>
            <w:r w:rsidRPr="00EE3355">
              <w:rPr>
                <w:b/>
                <w:sz w:val="20"/>
              </w:rPr>
              <w:t>27)</w:t>
            </w:r>
          </w:p>
        </w:tc>
        <w:tc>
          <w:tcPr>
            <w:tcW w:w="2084" w:type="dxa"/>
          </w:tcPr>
          <w:p w14:paraId="7824FDA9" w14:textId="77777777" w:rsidR="00222DE0" w:rsidRPr="00EE3355" w:rsidRDefault="0098273B" w:rsidP="00EA1CDF">
            <w:pPr>
              <w:pStyle w:val="TableParagraph"/>
              <w:spacing w:before="46"/>
              <w:ind w:right="90"/>
              <w:jc w:val="center"/>
              <w:rPr>
                <w:b/>
                <w:sz w:val="20"/>
              </w:rPr>
            </w:pPr>
            <w:r w:rsidRPr="00EE3355">
              <w:rPr>
                <w:b/>
                <w:sz w:val="20"/>
              </w:rPr>
              <w:t xml:space="preserve">Ne (n </w:t>
            </w:r>
            <w:r w:rsidRPr="00EE3355">
              <w:rPr>
                <w:sz w:val="20"/>
              </w:rPr>
              <w:t xml:space="preserve">= </w:t>
            </w:r>
            <w:r w:rsidRPr="00EE3355">
              <w:rPr>
                <w:b/>
                <w:sz w:val="20"/>
              </w:rPr>
              <w:t>55)</w:t>
            </w:r>
          </w:p>
        </w:tc>
      </w:tr>
      <w:tr w:rsidR="00222DE0" w:rsidRPr="00EE3355" w14:paraId="5D695E02" w14:textId="77777777" w:rsidTr="009C6EB0">
        <w:trPr>
          <w:cantSplit/>
          <w:trHeight w:val="169"/>
        </w:trPr>
        <w:tc>
          <w:tcPr>
            <w:tcW w:w="2156" w:type="dxa"/>
          </w:tcPr>
          <w:p w14:paraId="0C4A2CF5" w14:textId="77777777" w:rsidR="00222DE0" w:rsidRPr="00EE3355" w:rsidRDefault="0098273B" w:rsidP="00EA1CDF">
            <w:pPr>
              <w:pStyle w:val="TableParagraph"/>
              <w:spacing w:before="46"/>
              <w:ind w:left="57"/>
              <w:rPr>
                <w:sz w:val="20"/>
              </w:rPr>
            </w:pPr>
            <w:r w:rsidRPr="00EE3355">
              <w:rPr>
                <w:sz w:val="20"/>
              </w:rPr>
              <w:t>Vzplanutí JIA ACR30</w:t>
            </w:r>
          </w:p>
        </w:tc>
        <w:tc>
          <w:tcPr>
            <w:tcW w:w="1400" w:type="dxa"/>
          </w:tcPr>
          <w:p w14:paraId="14AB6A4E" w14:textId="77777777" w:rsidR="00222DE0" w:rsidRPr="00EE3355" w:rsidRDefault="0098273B" w:rsidP="00EA1CDF">
            <w:pPr>
              <w:pStyle w:val="TableParagraph"/>
              <w:spacing w:before="46"/>
              <w:ind w:left="9" w:right="57"/>
              <w:jc w:val="center"/>
              <w:rPr>
                <w:sz w:val="20"/>
              </w:rPr>
            </w:pPr>
            <w:r w:rsidRPr="00EE3355">
              <w:rPr>
                <w:sz w:val="20"/>
              </w:rPr>
              <w:t>18 (78,3)</w:t>
            </w:r>
          </w:p>
        </w:tc>
        <w:tc>
          <w:tcPr>
            <w:tcW w:w="1442" w:type="dxa"/>
          </w:tcPr>
          <w:p w14:paraId="0F19E7C3" w14:textId="77777777" w:rsidR="00222DE0" w:rsidRPr="00EE3355" w:rsidRDefault="0098273B" w:rsidP="00EA1CDF">
            <w:pPr>
              <w:pStyle w:val="TableParagraph"/>
              <w:spacing w:before="46"/>
              <w:ind w:left="40" w:right="90"/>
              <w:jc w:val="center"/>
              <w:rPr>
                <w:sz w:val="20"/>
              </w:rPr>
            </w:pPr>
            <w:r w:rsidRPr="00EE3355">
              <w:rPr>
                <w:sz w:val="20"/>
              </w:rPr>
              <w:t>21 (36,2)</w:t>
            </w:r>
          </w:p>
        </w:tc>
        <w:tc>
          <w:tcPr>
            <w:tcW w:w="1665" w:type="dxa"/>
          </w:tcPr>
          <w:p w14:paraId="6FDCEADF" w14:textId="77777777" w:rsidR="00222DE0" w:rsidRPr="00EE3355" w:rsidRDefault="0098273B" w:rsidP="00EA1CDF">
            <w:pPr>
              <w:pStyle w:val="TableParagraph"/>
              <w:spacing w:before="46"/>
              <w:ind w:left="9" w:right="57"/>
              <w:jc w:val="center"/>
              <w:rPr>
                <w:sz w:val="20"/>
              </w:rPr>
            </w:pPr>
            <w:r w:rsidRPr="00EE3355">
              <w:rPr>
                <w:sz w:val="20"/>
              </w:rPr>
              <w:t>12 (44,4)</w:t>
            </w:r>
          </w:p>
        </w:tc>
        <w:tc>
          <w:tcPr>
            <w:tcW w:w="2084" w:type="dxa"/>
          </w:tcPr>
          <w:p w14:paraId="092B4E59" w14:textId="77777777" w:rsidR="00222DE0" w:rsidRPr="00EE3355" w:rsidRDefault="0098273B" w:rsidP="00EA1CDF">
            <w:pPr>
              <w:pStyle w:val="TableParagraph"/>
              <w:spacing w:before="46"/>
              <w:ind w:left="40" w:right="90"/>
              <w:jc w:val="center"/>
              <w:rPr>
                <w:sz w:val="20"/>
              </w:rPr>
            </w:pPr>
            <w:r w:rsidRPr="00EE3355">
              <w:rPr>
                <w:sz w:val="20"/>
              </w:rPr>
              <w:t>9 (16,4)</w:t>
            </w:r>
          </w:p>
        </w:tc>
      </w:tr>
      <w:tr w:rsidR="00222DE0" w:rsidRPr="00EE3355" w14:paraId="198E8FE8" w14:textId="77777777" w:rsidTr="009C6EB0">
        <w:trPr>
          <w:cantSplit/>
          <w:trHeight w:val="260"/>
        </w:trPr>
        <w:tc>
          <w:tcPr>
            <w:tcW w:w="2156" w:type="dxa"/>
          </w:tcPr>
          <w:p w14:paraId="2E485CFA" w14:textId="77777777" w:rsidR="00222DE0" w:rsidRPr="00EE3355" w:rsidRDefault="0098273B" w:rsidP="00EA1CDF">
            <w:pPr>
              <w:pStyle w:val="TableParagraph"/>
              <w:spacing w:before="46"/>
              <w:ind w:left="57"/>
              <w:rPr>
                <w:sz w:val="20"/>
              </w:rPr>
            </w:pPr>
            <w:r w:rsidRPr="00EE3355">
              <w:rPr>
                <w:sz w:val="20"/>
              </w:rPr>
              <w:t>Odpověď JIA ACR30</w:t>
            </w:r>
          </w:p>
        </w:tc>
        <w:tc>
          <w:tcPr>
            <w:tcW w:w="1400" w:type="dxa"/>
          </w:tcPr>
          <w:p w14:paraId="2923AC07" w14:textId="77777777" w:rsidR="00222DE0" w:rsidRPr="00EE3355" w:rsidRDefault="0098273B" w:rsidP="00EA1CDF">
            <w:pPr>
              <w:pStyle w:val="TableParagraph"/>
              <w:spacing w:before="46"/>
              <w:ind w:left="10" w:right="57"/>
              <w:jc w:val="center"/>
              <w:rPr>
                <w:sz w:val="20"/>
              </w:rPr>
            </w:pPr>
            <w:r w:rsidRPr="00EE3355">
              <w:rPr>
                <w:sz w:val="20"/>
              </w:rPr>
              <w:t>6 (26,1)</w:t>
            </w:r>
          </w:p>
        </w:tc>
        <w:tc>
          <w:tcPr>
            <w:tcW w:w="1442" w:type="dxa"/>
          </w:tcPr>
          <w:p w14:paraId="588B4DC7" w14:textId="77777777" w:rsidR="00222DE0" w:rsidRPr="00EE3355" w:rsidRDefault="0098273B" w:rsidP="00EA1CDF">
            <w:pPr>
              <w:pStyle w:val="TableParagraph"/>
              <w:spacing w:before="46"/>
              <w:ind w:left="35" w:right="90"/>
              <w:jc w:val="center"/>
              <w:rPr>
                <w:sz w:val="20"/>
              </w:rPr>
            </w:pPr>
            <w:r w:rsidRPr="00EE3355">
              <w:rPr>
                <w:sz w:val="20"/>
              </w:rPr>
              <w:t>38 (65,5)</w:t>
            </w:r>
          </w:p>
        </w:tc>
        <w:tc>
          <w:tcPr>
            <w:tcW w:w="1665" w:type="dxa"/>
          </w:tcPr>
          <w:p w14:paraId="73339ED6" w14:textId="77777777" w:rsidR="00222DE0" w:rsidRPr="00EE3355" w:rsidRDefault="0098273B" w:rsidP="00EA1CDF">
            <w:pPr>
              <w:pStyle w:val="TableParagraph"/>
              <w:spacing w:before="46"/>
              <w:ind w:left="4" w:right="57"/>
              <w:jc w:val="center"/>
              <w:rPr>
                <w:sz w:val="20"/>
              </w:rPr>
            </w:pPr>
            <w:r w:rsidRPr="00EE3355">
              <w:rPr>
                <w:sz w:val="20"/>
              </w:rPr>
              <w:t>15 (55,6)</w:t>
            </w:r>
          </w:p>
        </w:tc>
        <w:tc>
          <w:tcPr>
            <w:tcW w:w="2084" w:type="dxa"/>
          </w:tcPr>
          <w:p w14:paraId="1E6165E4" w14:textId="77777777" w:rsidR="00222DE0" w:rsidRPr="00EE3355" w:rsidRDefault="0098273B" w:rsidP="00EA1CDF">
            <w:pPr>
              <w:pStyle w:val="TableParagraph"/>
              <w:spacing w:before="46"/>
              <w:ind w:left="34" w:right="90"/>
              <w:jc w:val="center"/>
              <w:rPr>
                <w:sz w:val="20"/>
              </w:rPr>
            </w:pPr>
            <w:r w:rsidRPr="00EE3355">
              <w:rPr>
                <w:sz w:val="20"/>
              </w:rPr>
              <w:t>46 (83,6)</w:t>
            </w:r>
          </w:p>
        </w:tc>
      </w:tr>
      <w:tr w:rsidR="00222DE0" w:rsidRPr="00EE3355" w14:paraId="735A683F" w14:textId="77777777" w:rsidTr="009C6EB0">
        <w:trPr>
          <w:cantSplit/>
          <w:trHeight w:val="207"/>
        </w:trPr>
        <w:tc>
          <w:tcPr>
            <w:tcW w:w="2156" w:type="dxa"/>
          </w:tcPr>
          <w:p w14:paraId="0D3373FA" w14:textId="77777777" w:rsidR="00222DE0" w:rsidRPr="00EE3355" w:rsidRDefault="0098273B" w:rsidP="00EA1CDF">
            <w:pPr>
              <w:pStyle w:val="TableParagraph"/>
              <w:spacing w:before="46"/>
              <w:ind w:left="57"/>
              <w:rPr>
                <w:sz w:val="20"/>
              </w:rPr>
            </w:pPr>
            <w:r w:rsidRPr="00EE3355">
              <w:rPr>
                <w:sz w:val="20"/>
              </w:rPr>
              <w:t>Odpověď JIA ACR50</w:t>
            </w:r>
          </w:p>
        </w:tc>
        <w:tc>
          <w:tcPr>
            <w:tcW w:w="1400" w:type="dxa"/>
          </w:tcPr>
          <w:p w14:paraId="09F4F63F" w14:textId="77777777" w:rsidR="00222DE0" w:rsidRPr="00EE3355" w:rsidRDefault="0098273B" w:rsidP="00EA1CDF">
            <w:pPr>
              <w:pStyle w:val="TableParagraph"/>
              <w:spacing w:before="46"/>
              <w:ind w:left="10" w:right="57"/>
              <w:jc w:val="center"/>
              <w:rPr>
                <w:sz w:val="20"/>
              </w:rPr>
            </w:pPr>
            <w:r w:rsidRPr="00EE3355">
              <w:rPr>
                <w:sz w:val="20"/>
              </w:rPr>
              <w:t>5 (21,7)</w:t>
            </w:r>
          </w:p>
        </w:tc>
        <w:tc>
          <w:tcPr>
            <w:tcW w:w="1442" w:type="dxa"/>
          </w:tcPr>
          <w:p w14:paraId="159779C0" w14:textId="77777777" w:rsidR="00222DE0" w:rsidRPr="00EE3355" w:rsidRDefault="0098273B" w:rsidP="00EA1CDF">
            <w:pPr>
              <w:pStyle w:val="TableParagraph"/>
              <w:spacing w:before="46"/>
              <w:ind w:left="35" w:right="90"/>
              <w:jc w:val="center"/>
              <w:rPr>
                <w:sz w:val="20"/>
              </w:rPr>
            </w:pPr>
            <w:r w:rsidRPr="00EE3355">
              <w:rPr>
                <w:sz w:val="20"/>
              </w:rPr>
              <w:t>37 (63,8)</w:t>
            </w:r>
          </w:p>
        </w:tc>
        <w:tc>
          <w:tcPr>
            <w:tcW w:w="1665" w:type="dxa"/>
          </w:tcPr>
          <w:p w14:paraId="6F266A54" w14:textId="77777777" w:rsidR="00222DE0" w:rsidRPr="00EE3355" w:rsidRDefault="0098273B" w:rsidP="00EA1CDF">
            <w:pPr>
              <w:pStyle w:val="TableParagraph"/>
              <w:spacing w:before="46"/>
              <w:ind w:left="4" w:right="57"/>
              <w:jc w:val="center"/>
              <w:rPr>
                <w:sz w:val="20"/>
              </w:rPr>
            </w:pPr>
            <w:r w:rsidRPr="00EE3355">
              <w:rPr>
                <w:sz w:val="20"/>
              </w:rPr>
              <w:t>14 (51,9)</w:t>
            </w:r>
          </w:p>
        </w:tc>
        <w:tc>
          <w:tcPr>
            <w:tcW w:w="2084" w:type="dxa"/>
          </w:tcPr>
          <w:p w14:paraId="2FC9FF78" w14:textId="77777777" w:rsidR="00222DE0" w:rsidRPr="00EE3355" w:rsidRDefault="0098273B" w:rsidP="00EA1CDF">
            <w:pPr>
              <w:pStyle w:val="TableParagraph"/>
              <w:spacing w:before="46"/>
              <w:ind w:left="34" w:right="90"/>
              <w:jc w:val="center"/>
              <w:rPr>
                <w:sz w:val="20"/>
              </w:rPr>
            </w:pPr>
            <w:r w:rsidRPr="00EE3355">
              <w:rPr>
                <w:sz w:val="20"/>
              </w:rPr>
              <w:t>46 (83,6)</w:t>
            </w:r>
          </w:p>
        </w:tc>
      </w:tr>
      <w:tr w:rsidR="00222DE0" w:rsidRPr="00EE3355" w14:paraId="2E3F9868" w14:textId="77777777" w:rsidTr="009C6EB0">
        <w:trPr>
          <w:cantSplit/>
          <w:trHeight w:val="142"/>
        </w:trPr>
        <w:tc>
          <w:tcPr>
            <w:tcW w:w="2156" w:type="dxa"/>
          </w:tcPr>
          <w:p w14:paraId="6E5E27EE" w14:textId="77777777" w:rsidR="00222DE0" w:rsidRPr="00EE3355" w:rsidRDefault="0098273B" w:rsidP="00EA1CDF">
            <w:pPr>
              <w:pStyle w:val="TableParagraph"/>
              <w:spacing w:before="46"/>
              <w:ind w:left="57"/>
              <w:rPr>
                <w:sz w:val="20"/>
              </w:rPr>
            </w:pPr>
            <w:r w:rsidRPr="00EE3355">
              <w:rPr>
                <w:sz w:val="20"/>
              </w:rPr>
              <w:t>Odpověď JIA ACR70</w:t>
            </w:r>
          </w:p>
        </w:tc>
        <w:tc>
          <w:tcPr>
            <w:tcW w:w="1400" w:type="dxa"/>
          </w:tcPr>
          <w:p w14:paraId="2D2EB6CB" w14:textId="77777777" w:rsidR="00222DE0" w:rsidRPr="00EE3355" w:rsidRDefault="0098273B" w:rsidP="00EA1CDF">
            <w:pPr>
              <w:pStyle w:val="TableParagraph"/>
              <w:spacing w:before="46"/>
              <w:ind w:left="23" w:right="57"/>
              <w:jc w:val="center"/>
              <w:rPr>
                <w:sz w:val="20"/>
              </w:rPr>
            </w:pPr>
            <w:r w:rsidRPr="00EE3355">
              <w:rPr>
                <w:sz w:val="20"/>
              </w:rPr>
              <w:t>2 (8,7)</w:t>
            </w:r>
          </w:p>
        </w:tc>
        <w:tc>
          <w:tcPr>
            <w:tcW w:w="1442" w:type="dxa"/>
          </w:tcPr>
          <w:p w14:paraId="742761C9" w14:textId="77777777" w:rsidR="00222DE0" w:rsidRPr="00EE3355" w:rsidRDefault="0098273B" w:rsidP="00EA1CDF">
            <w:pPr>
              <w:pStyle w:val="TableParagraph"/>
              <w:spacing w:before="46"/>
              <w:ind w:left="34" w:right="90"/>
              <w:jc w:val="center"/>
              <w:rPr>
                <w:sz w:val="20"/>
              </w:rPr>
            </w:pPr>
            <w:r w:rsidRPr="00EE3355">
              <w:rPr>
                <w:sz w:val="20"/>
              </w:rPr>
              <w:t>32 (55,2)</w:t>
            </w:r>
          </w:p>
        </w:tc>
        <w:tc>
          <w:tcPr>
            <w:tcW w:w="1665" w:type="dxa"/>
          </w:tcPr>
          <w:p w14:paraId="25DF4645" w14:textId="77777777" w:rsidR="00222DE0" w:rsidRPr="00EE3355" w:rsidRDefault="0098273B" w:rsidP="00EA1CDF">
            <w:pPr>
              <w:pStyle w:val="TableParagraph"/>
              <w:spacing w:before="46"/>
              <w:ind w:left="4" w:right="57"/>
              <w:jc w:val="center"/>
              <w:rPr>
                <w:sz w:val="20"/>
              </w:rPr>
            </w:pPr>
            <w:r w:rsidRPr="00EE3355">
              <w:rPr>
                <w:sz w:val="20"/>
              </w:rPr>
              <w:t>13 (48,1)</w:t>
            </w:r>
          </w:p>
        </w:tc>
        <w:tc>
          <w:tcPr>
            <w:tcW w:w="2084" w:type="dxa"/>
          </w:tcPr>
          <w:p w14:paraId="01978E6D" w14:textId="77777777" w:rsidR="00222DE0" w:rsidRPr="00EE3355" w:rsidRDefault="0098273B" w:rsidP="00EA1CDF">
            <w:pPr>
              <w:pStyle w:val="TableParagraph"/>
              <w:spacing w:before="46"/>
              <w:ind w:left="34" w:right="90"/>
              <w:jc w:val="center"/>
              <w:rPr>
                <w:sz w:val="20"/>
              </w:rPr>
            </w:pPr>
            <w:r w:rsidRPr="00EE3355">
              <w:rPr>
                <w:sz w:val="20"/>
              </w:rPr>
              <w:t>40 (72,7)</w:t>
            </w:r>
          </w:p>
        </w:tc>
      </w:tr>
      <w:tr w:rsidR="00222DE0" w:rsidRPr="00EE3355" w14:paraId="17BC2E66" w14:textId="77777777" w:rsidTr="009C6EB0">
        <w:trPr>
          <w:cantSplit/>
          <w:trHeight w:val="76"/>
        </w:trPr>
        <w:tc>
          <w:tcPr>
            <w:tcW w:w="2156" w:type="dxa"/>
          </w:tcPr>
          <w:p w14:paraId="58C69916" w14:textId="77777777" w:rsidR="00222DE0" w:rsidRPr="00EE3355" w:rsidRDefault="0098273B" w:rsidP="00EA1CDF">
            <w:pPr>
              <w:pStyle w:val="TableParagraph"/>
              <w:spacing w:before="48"/>
              <w:ind w:left="57"/>
              <w:rPr>
                <w:sz w:val="20"/>
              </w:rPr>
            </w:pPr>
            <w:r w:rsidRPr="00EE3355">
              <w:rPr>
                <w:sz w:val="20"/>
              </w:rPr>
              <w:t>Odpověď JIA ACR90</w:t>
            </w:r>
          </w:p>
        </w:tc>
        <w:tc>
          <w:tcPr>
            <w:tcW w:w="1400" w:type="dxa"/>
          </w:tcPr>
          <w:p w14:paraId="55EBB506" w14:textId="77777777" w:rsidR="00222DE0" w:rsidRPr="00EE3355" w:rsidRDefault="0098273B" w:rsidP="00EA1CDF">
            <w:pPr>
              <w:pStyle w:val="TableParagraph"/>
              <w:spacing w:before="48"/>
              <w:ind w:left="23" w:right="57"/>
              <w:jc w:val="center"/>
              <w:rPr>
                <w:sz w:val="20"/>
              </w:rPr>
            </w:pPr>
            <w:r w:rsidRPr="00EE3355">
              <w:rPr>
                <w:sz w:val="20"/>
              </w:rPr>
              <w:t>2 (8,7)</w:t>
            </w:r>
          </w:p>
        </w:tc>
        <w:tc>
          <w:tcPr>
            <w:tcW w:w="1442" w:type="dxa"/>
          </w:tcPr>
          <w:p w14:paraId="4E8C8909" w14:textId="77777777" w:rsidR="00222DE0" w:rsidRPr="00EE3355" w:rsidRDefault="0098273B" w:rsidP="00EA1CDF">
            <w:pPr>
              <w:pStyle w:val="TableParagraph"/>
              <w:spacing w:before="48"/>
              <w:ind w:left="40" w:right="90"/>
              <w:jc w:val="center"/>
              <w:rPr>
                <w:sz w:val="20"/>
              </w:rPr>
            </w:pPr>
            <w:r w:rsidRPr="00EE3355">
              <w:rPr>
                <w:sz w:val="20"/>
              </w:rPr>
              <w:t>17 (29,3)</w:t>
            </w:r>
          </w:p>
        </w:tc>
        <w:tc>
          <w:tcPr>
            <w:tcW w:w="1665" w:type="dxa"/>
          </w:tcPr>
          <w:p w14:paraId="007200A8" w14:textId="77777777" w:rsidR="00222DE0" w:rsidRPr="00EE3355" w:rsidRDefault="0098273B" w:rsidP="00EA1CDF">
            <w:pPr>
              <w:pStyle w:val="TableParagraph"/>
              <w:spacing w:before="48"/>
              <w:ind w:left="10" w:right="57"/>
              <w:jc w:val="center"/>
              <w:rPr>
                <w:sz w:val="20"/>
              </w:rPr>
            </w:pPr>
            <w:r w:rsidRPr="00EE3355">
              <w:rPr>
                <w:sz w:val="20"/>
              </w:rPr>
              <w:t>5 (18,5)</w:t>
            </w:r>
          </w:p>
        </w:tc>
        <w:tc>
          <w:tcPr>
            <w:tcW w:w="2084" w:type="dxa"/>
          </w:tcPr>
          <w:p w14:paraId="308FCD1A" w14:textId="77777777" w:rsidR="00222DE0" w:rsidRPr="00EE3355" w:rsidRDefault="0098273B" w:rsidP="00EA1CDF">
            <w:pPr>
              <w:pStyle w:val="TableParagraph"/>
              <w:spacing w:before="48"/>
              <w:ind w:left="34" w:right="90"/>
              <w:jc w:val="center"/>
              <w:rPr>
                <w:sz w:val="20"/>
              </w:rPr>
            </w:pPr>
            <w:r w:rsidRPr="00EE3355">
              <w:rPr>
                <w:sz w:val="20"/>
              </w:rPr>
              <w:t>32 (58,2)</w:t>
            </w:r>
          </w:p>
        </w:tc>
      </w:tr>
    </w:tbl>
    <w:p w14:paraId="294CB6C4" w14:textId="77777777" w:rsidR="002F3710" w:rsidRPr="00EE3355" w:rsidRDefault="002F3710" w:rsidP="00EA1CDF">
      <w:pPr>
        <w:pStyle w:val="a3"/>
        <w:widowControl/>
        <w:ind w:left="0"/>
      </w:pPr>
    </w:p>
    <w:p w14:paraId="7F0C45C5" w14:textId="77777777" w:rsidR="00222DE0" w:rsidRPr="00EE3355" w:rsidRDefault="0098273B" w:rsidP="00EA1CDF">
      <w:pPr>
        <w:pStyle w:val="a3"/>
        <w:widowControl/>
        <w:ind w:left="0"/>
      </w:pPr>
      <w:r w:rsidRPr="00EE3355">
        <w:t>Pacienti randomizováni k léčbě tocilizumabem měli nižší vzplanutí onemocnění ACR30 a vyšší celkové odpovědi ACR než pacienti, kteří dostávali placebo, bez ohledu na dřívější biologickou léčbu.</w:t>
      </w:r>
    </w:p>
    <w:p w14:paraId="14DD807B" w14:textId="77777777" w:rsidR="002F3710" w:rsidRPr="00EE3355" w:rsidRDefault="002F3710" w:rsidP="00EA1CDF">
      <w:pPr>
        <w:pStyle w:val="a3"/>
        <w:widowControl/>
        <w:ind w:left="0"/>
      </w:pPr>
    </w:p>
    <w:p w14:paraId="1096ABC1" w14:textId="77777777" w:rsidR="00222DE0" w:rsidRPr="00EE3355" w:rsidRDefault="0098273B" w:rsidP="0053673C">
      <w:pPr>
        <w:pStyle w:val="a3"/>
        <w:keepNext/>
        <w:widowControl/>
        <w:ind w:left="0"/>
      </w:pPr>
      <w:r w:rsidRPr="00EE3355">
        <w:rPr>
          <w:u w:val="single"/>
        </w:rPr>
        <w:t>CRS</w:t>
      </w:r>
    </w:p>
    <w:p w14:paraId="7F47C002" w14:textId="0AF69894" w:rsidR="00222DE0" w:rsidRPr="00EE3355" w:rsidRDefault="0098273B" w:rsidP="00EA1CDF">
      <w:pPr>
        <w:pStyle w:val="a3"/>
        <w:widowControl/>
        <w:ind w:left="0"/>
      </w:pPr>
      <w:r w:rsidRPr="00EE3355">
        <w:t xml:space="preserve">Účinnost </w:t>
      </w:r>
      <w:r w:rsidR="00D57525" w:rsidRPr="001879E9">
        <w:t>tocilizumab</w:t>
      </w:r>
      <w:r w:rsidR="00D57525">
        <w:t xml:space="preserve">u </w:t>
      </w:r>
      <w:r w:rsidRPr="00EE3355">
        <w:t>v léčbě CRS byla hodnocena v retrospektivní analýze údajů</w:t>
      </w:r>
      <w:r w:rsidR="005230C6">
        <w:t xml:space="preserve"> </w:t>
      </w:r>
      <w:r w:rsidRPr="00EE3355">
        <w:t xml:space="preserve">z klinických studií terapií CAR T lymfocyty (tisagenlecleucel a axicabtagen ciloleucel) v léčbě hematologických malignit. Hodnotitelným pacientům byl podáván tocilizumab 8 mg/kg (12 mg/kg u pacientů &lt; 30 kg) s dodatečnými vysokodávkovými kortikosteroidy nebo bez nich k léčbě závažného nebo život ohrožujícího CRS; analýza zahrnovala pouze první epizodu CRS. Populace k analýze účinnosti v kohortě s tisagenlecleucelem zahrnovala 28 mužů a 23 žen (celkem 51 pacientů) s mediánem věku 17 let (rozmezí od 3 do 68 let). Medián doby od nástupu CRS do první dávky tocilizumabu byl 3 dny (rozmezí od 0 do 18 dnů). Odeznění CRS bylo definováno jako nepřítomnost horečky a vysazení </w:t>
      </w:r>
      <w:r w:rsidRPr="00EE3355">
        <w:lastRenderedPageBreak/>
        <w:t>vazopresorů po dobu nejméně 24 hodin. Pacienti byli považováni za respondenty, pokud CRS odezněl během 14 dnů od první dávky tocilizumabu, pokud nebyly potřebné více než</w:t>
      </w:r>
      <w:r w:rsidR="002F3710" w:rsidRPr="00EE3355">
        <w:t xml:space="preserve"> </w:t>
      </w:r>
      <w:r w:rsidRPr="00EE3355">
        <w:t xml:space="preserve">2 dávky </w:t>
      </w:r>
      <w:r w:rsidR="00D57525" w:rsidRPr="001879E9">
        <w:t>tocilizumab</w:t>
      </w:r>
      <w:r w:rsidR="00D57525">
        <w:t>u</w:t>
      </w:r>
      <w:r w:rsidRPr="00EE3355">
        <w:t xml:space="preserve"> a k léčbě nebyly použity jiné léky než </w:t>
      </w:r>
      <w:r w:rsidR="00D57525" w:rsidRPr="001879E9">
        <w:t>tocilizumab</w:t>
      </w:r>
      <w:r w:rsidR="00D57525" w:rsidRPr="00EE3355" w:rsidDel="00D57525">
        <w:t xml:space="preserve"> </w:t>
      </w:r>
      <w:r w:rsidRPr="00EE3355">
        <w:t>a</w:t>
      </w:r>
      <w:r w:rsidR="002F3710" w:rsidRPr="00EE3355">
        <w:t xml:space="preserve"> </w:t>
      </w:r>
      <w:r w:rsidRPr="00EE3355">
        <w:t>kortikosteroidy. Třicet devět pacientů (76,5 %; 95% CI 62,5 % - 87,2 %) dosáhlo odpovědi.</w:t>
      </w:r>
      <w:r w:rsidR="002F3710" w:rsidRPr="00EE3355">
        <w:t xml:space="preserve"> </w:t>
      </w:r>
      <w:r w:rsidRPr="00EE3355">
        <w:t>V samostatné kohortě 15 pacientů (rozmezí věku od 9 do 75 let) s CRS indukovaným axilabtagene</w:t>
      </w:r>
      <w:r w:rsidR="002F3710" w:rsidRPr="00EE3355">
        <w:t xml:space="preserve"> </w:t>
      </w:r>
      <w:r w:rsidRPr="00EE3355">
        <w:t>ciloleucelem dosáhlo odpovědi 53 %.</w:t>
      </w:r>
    </w:p>
    <w:p w14:paraId="7E9E1611" w14:textId="77777777" w:rsidR="00222DE0" w:rsidRPr="00EE3355" w:rsidRDefault="00222DE0" w:rsidP="00EA1CDF">
      <w:pPr>
        <w:pStyle w:val="a3"/>
        <w:widowControl/>
        <w:ind w:left="0"/>
      </w:pPr>
    </w:p>
    <w:p w14:paraId="11C1886F" w14:textId="35481958" w:rsidR="00222DE0" w:rsidRPr="00EE3355" w:rsidRDefault="0098273B" w:rsidP="00EA1CDF">
      <w:pPr>
        <w:pStyle w:val="a3"/>
        <w:keepNext/>
        <w:widowControl/>
        <w:ind w:left="0"/>
      </w:pPr>
      <w:r w:rsidRPr="00EE3355">
        <w:t>Evropská agentura pro léčivé přípravky rozhodla o zproštění povinnosti předložit výsledky studií</w:t>
      </w:r>
      <w:r w:rsidR="009C6EB0">
        <w:t xml:space="preserve"> </w:t>
      </w:r>
      <w:r w:rsidRPr="00EE3355">
        <w:t>s</w:t>
      </w:r>
      <w:r w:rsidR="00D57525">
        <w:t> </w:t>
      </w:r>
      <w:r w:rsidR="00D57525" w:rsidRPr="001879E9">
        <w:t>tocilizumab</w:t>
      </w:r>
      <w:r w:rsidR="00D57525">
        <w:t xml:space="preserve">em </w:t>
      </w:r>
      <w:r w:rsidRPr="00EE3355">
        <w:t>u všech podskupin pediatrické populace se syndromem z uvolnění cytokinů vyvolaným léčbou CAR T lymfocyty (T lymfocyty upravené pomocí chimérického antigenního receptoru).</w:t>
      </w:r>
    </w:p>
    <w:p w14:paraId="489BC059" w14:textId="77777777" w:rsidR="00222DE0" w:rsidRPr="00EE3355" w:rsidRDefault="00222DE0" w:rsidP="00EA1CDF">
      <w:pPr>
        <w:pStyle w:val="a3"/>
        <w:widowControl/>
        <w:ind w:left="0"/>
      </w:pPr>
    </w:p>
    <w:p w14:paraId="1A2EEEC0" w14:textId="77777777" w:rsidR="00222DE0" w:rsidRPr="00EE3355" w:rsidRDefault="0098273B" w:rsidP="00EA1CDF">
      <w:pPr>
        <w:pStyle w:val="a3"/>
        <w:widowControl/>
        <w:ind w:left="0"/>
      </w:pPr>
      <w:r w:rsidRPr="00EE3355">
        <w:rPr>
          <w:u w:val="single"/>
        </w:rPr>
        <w:t>Onemocnění COVID-19</w:t>
      </w:r>
    </w:p>
    <w:p w14:paraId="1589FC1E" w14:textId="2A011572" w:rsidR="00222DE0" w:rsidRPr="00EE3355" w:rsidRDefault="0098273B" w:rsidP="00EA1CDF">
      <w:pPr>
        <w:pStyle w:val="a3"/>
        <w:widowControl/>
        <w:ind w:left="0"/>
      </w:pPr>
      <w:r w:rsidRPr="00EE3355">
        <w:t>Evropská agentura pro léčivé přípravky udělila odklad povinnosti předložit výsledky studií</w:t>
      </w:r>
      <w:r w:rsidR="009C6EB0">
        <w:t xml:space="preserve"> </w:t>
      </w:r>
      <w:r w:rsidRPr="00EE3355">
        <w:t xml:space="preserve">s </w:t>
      </w:r>
      <w:r w:rsidR="00D57525" w:rsidRPr="001879E9">
        <w:t>tocilizumab</w:t>
      </w:r>
      <w:r w:rsidR="00D57525">
        <w:t>em</w:t>
      </w:r>
      <w:r w:rsidRPr="00EE3355">
        <w:t xml:space="preserve"> u jedné nebo více podskupin pediatrické populace v indikaci onemocnění</w:t>
      </w:r>
      <w:r w:rsidR="009C6EB0">
        <w:t xml:space="preserve"> </w:t>
      </w:r>
      <w:r w:rsidRPr="00EE3355">
        <w:t>COVID-19.</w:t>
      </w:r>
    </w:p>
    <w:p w14:paraId="6999BF7F" w14:textId="77777777" w:rsidR="00222DE0" w:rsidRPr="00EE3355" w:rsidRDefault="00222DE0" w:rsidP="00EA1CDF">
      <w:pPr>
        <w:pStyle w:val="a3"/>
        <w:widowControl/>
        <w:ind w:left="0"/>
      </w:pPr>
    </w:p>
    <w:p w14:paraId="4A54589B" w14:textId="77777777" w:rsidR="00222DE0" w:rsidRPr="00EE3355" w:rsidRDefault="00B23DAE" w:rsidP="00EA1CDF">
      <w:pPr>
        <w:pStyle w:val="2"/>
        <w:keepNext/>
        <w:widowControl/>
        <w:tabs>
          <w:tab w:val="left" w:pos="804"/>
        </w:tabs>
        <w:ind w:left="567" w:hanging="567"/>
      </w:pPr>
      <w:r w:rsidRPr="00EE3355">
        <w:t>5.2</w:t>
      </w:r>
      <w:r w:rsidRPr="00EE3355">
        <w:tab/>
      </w:r>
      <w:r w:rsidR="0098273B" w:rsidRPr="00EE3355">
        <w:t>Farmakokinetické vlastnosti</w:t>
      </w:r>
    </w:p>
    <w:p w14:paraId="20D81A9C" w14:textId="77777777" w:rsidR="002F3710" w:rsidRPr="00EE3355" w:rsidRDefault="002F3710" w:rsidP="002963AA"/>
    <w:p w14:paraId="1D81A685" w14:textId="77777777" w:rsidR="00222DE0" w:rsidRPr="00EE3355" w:rsidRDefault="0098273B" w:rsidP="00EA1CDF">
      <w:pPr>
        <w:pStyle w:val="a3"/>
        <w:keepNext/>
        <w:widowControl/>
        <w:ind w:left="0"/>
      </w:pPr>
      <w:r w:rsidRPr="00EE3355">
        <w:rPr>
          <w:u w:val="single"/>
        </w:rPr>
        <w:t>Intravenózní podání</w:t>
      </w:r>
    </w:p>
    <w:p w14:paraId="11DDF99C" w14:textId="77777777" w:rsidR="00222DE0" w:rsidRPr="00EE3355" w:rsidRDefault="00222DE0" w:rsidP="00EA1CDF">
      <w:pPr>
        <w:pStyle w:val="a3"/>
        <w:keepNext/>
        <w:widowControl/>
        <w:ind w:left="0"/>
      </w:pPr>
    </w:p>
    <w:p w14:paraId="0BBD9F7B" w14:textId="77777777" w:rsidR="00222DE0" w:rsidRPr="00EE3355" w:rsidRDefault="0098273B" w:rsidP="00EA1CDF">
      <w:pPr>
        <w:pStyle w:val="a3"/>
        <w:keepNext/>
        <w:widowControl/>
        <w:ind w:left="0"/>
      </w:pPr>
      <w:r w:rsidRPr="00EE3355">
        <w:rPr>
          <w:u w:val="single"/>
        </w:rPr>
        <w:t>Pacienti s RA</w:t>
      </w:r>
    </w:p>
    <w:p w14:paraId="049BE1F1" w14:textId="77777777" w:rsidR="00222DE0" w:rsidRPr="00EE3355" w:rsidRDefault="0098273B" w:rsidP="00EA1CDF">
      <w:pPr>
        <w:pStyle w:val="a3"/>
        <w:widowControl/>
        <w:ind w:left="0"/>
      </w:pPr>
      <w:r w:rsidRPr="00EE3355">
        <w:t>Farmakokinetika tocilizumabu byla určena za pomoci populace farmakokinetických analýz databází složených z 3552 pacientů s RA léčených podáním hodinové infuze 4 nebo 8 mg/kg tocilizumabu každé 4 týdny po dobu 24 týdnů nebo podáním 162 mg tocilizumabu subkutánně buď jednou týdně, nebo každý druhý týden po dobu 24 týdnů.</w:t>
      </w:r>
    </w:p>
    <w:p w14:paraId="6B378D20" w14:textId="77777777" w:rsidR="00222DE0" w:rsidRPr="00EE3355" w:rsidRDefault="00222DE0" w:rsidP="00EA1CDF">
      <w:pPr>
        <w:pStyle w:val="a3"/>
        <w:widowControl/>
        <w:ind w:left="0"/>
      </w:pPr>
    </w:p>
    <w:p w14:paraId="4D2DF5C4" w14:textId="77777777" w:rsidR="00222DE0" w:rsidRPr="00EE3355" w:rsidRDefault="0098273B" w:rsidP="00EA1CDF">
      <w:pPr>
        <w:pStyle w:val="a3"/>
        <w:widowControl/>
        <w:ind w:left="0"/>
      </w:pPr>
      <w:r w:rsidRPr="00EE3355">
        <w:t xml:space="preserve">Následující parametry (předpokládaný průměr </w:t>
      </w:r>
      <w:r w:rsidRPr="00EE3355">
        <w:rPr>
          <w:rFonts w:ascii="Symbol" w:hAnsi="Symbol"/>
        </w:rPr>
        <w:t></w:t>
      </w:r>
      <w:r w:rsidRPr="00EE3355">
        <w:t xml:space="preserve"> SD, standardní odchylka) se odhadly pro dávku</w:t>
      </w:r>
      <w:r w:rsidR="00A144E7" w:rsidRPr="00EE3355">
        <w:t xml:space="preserve"> </w:t>
      </w:r>
      <w:r w:rsidRPr="00EE3355">
        <w:t xml:space="preserve">8 mg/kg tocilizumabu podávanou jednou za 4 týdny: plochy pod křivkou plasmatických koncentrací (AUC) v ustáleném stavu = 38 000 </w:t>
      </w:r>
      <w:r w:rsidRPr="00EE3355">
        <w:rPr>
          <w:rFonts w:ascii="Symbol" w:hAnsi="Symbol"/>
        </w:rPr>
        <w:t></w:t>
      </w:r>
      <w:r w:rsidRPr="00EE3355">
        <w:t xml:space="preserve"> 13 000 h µg/ml, minimální koncentrace</w:t>
      </w:r>
      <w:r w:rsidR="00A144E7" w:rsidRPr="00EE3355">
        <w:t xml:space="preserve"> </w:t>
      </w:r>
      <w:r w:rsidRPr="00EE3355">
        <w:t>(C</w:t>
      </w:r>
      <w:r w:rsidR="00C5127F" w:rsidRPr="00EE3355">
        <w:rPr>
          <w:vertAlign w:val="subscript"/>
        </w:rPr>
        <w:t>min</w:t>
      </w:r>
      <w:r w:rsidRPr="00EE3355">
        <w:t xml:space="preserve">) = 15,9 </w:t>
      </w:r>
      <w:r w:rsidRPr="00EE3355">
        <w:rPr>
          <w:rFonts w:ascii="Symbol" w:hAnsi="Symbol"/>
        </w:rPr>
        <w:t></w:t>
      </w:r>
      <w:r w:rsidRPr="00EE3355">
        <w:t xml:space="preserve"> 13,1 </w:t>
      </w:r>
      <w:r w:rsidRPr="00EE3355">
        <w:rPr>
          <w:rFonts w:ascii="Symbol" w:hAnsi="Symbol"/>
        </w:rPr>
        <w:t></w:t>
      </w:r>
      <w:r w:rsidRPr="00EE3355">
        <w:t>g/ml a maximální koncentrace (C</w:t>
      </w:r>
      <w:r w:rsidR="00391AE8" w:rsidRPr="00EE3355">
        <w:rPr>
          <w:vertAlign w:val="subscript"/>
        </w:rPr>
        <w:t>max</w:t>
      </w:r>
      <w:r w:rsidRPr="00EE3355">
        <w:t xml:space="preserve">) = 182 </w:t>
      </w:r>
      <w:r w:rsidRPr="00EE3355">
        <w:rPr>
          <w:rFonts w:ascii="Symbol" w:hAnsi="Symbol"/>
        </w:rPr>
        <w:t></w:t>
      </w:r>
      <w:r w:rsidRPr="00EE3355">
        <w:t xml:space="preserve"> 50,4 µg/ml a kumulační poměry</w:t>
      </w:r>
      <w:r w:rsidR="00A144E7" w:rsidRPr="00EE3355">
        <w:t xml:space="preserve"> </w:t>
      </w:r>
      <w:r w:rsidRPr="00EE3355">
        <w:t>pro AUC a C</w:t>
      </w:r>
      <w:r w:rsidR="00391AE8" w:rsidRPr="00EE3355">
        <w:rPr>
          <w:vertAlign w:val="subscript"/>
        </w:rPr>
        <w:t>max</w:t>
      </w:r>
      <w:r w:rsidRPr="00EE3355">
        <w:rPr>
          <w:sz w:val="14"/>
        </w:rPr>
        <w:t xml:space="preserve"> </w:t>
      </w:r>
      <w:r w:rsidRPr="00EE3355">
        <w:t>byly malé, 1,32 resp. 1,09. Akumulační poměr byl vyšší u C</w:t>
      </w:r>
      <w:r w:rsidR="00C5127F" w:rsidRPr="00EE3355">
        <w:rPr>
          <w:vertAlign w:val="subscript"/>
        </w:rPr>
        <w:t>min</w:t>
      </w:r>
      <w:r w:rsidRPr="00EE3355">
        <w:rPr>
          <w:sz w:val="14"/>
        </w:rPr>
        <w:t xml:space="preserve"> </w:t>
      </w:r>
      <w:r w:rsidRPr="00EE3355">
        <w:t>(2,49), což bylo</w:t>
      </w:r>
      <w:r w:rsidR="00A144E7" w:rsidRPr="00EE3355">
        <w:t xml:space="preserve"> </w:t>
      </w:r>
      <w:r w:rsidRPr="00EE3355">
        <w:t>očekáváno na základě přispění nelineární clearance při nižších koncentracích. Ustálený stav po prvním podání byl dosažen po 8 týdnech u AUC a po 20 týdnech u C</w:t>
      </w:r>
      <w:r w:rsidR="00C5127F" w:rsidRPr="00EE3355">
        <w:rPr>
          <w:vertAlign w:val="subscript"/>
        </w:rPr>
        <w:t>min</w:t>
      </w:r>
      <w:r w:rsidRPr="00EE3355">
        <w:t>. AUC, C</w:t>
      </w:r>
      <w:r w:rsidR="00C5127F" w:rsidRPr="00EE3355">
        <w:rPr>
          <w:vertAlign w:val="subscript"/>
        </w:rPr>
        <w:t>min</w:t>
      </w:r>
      <w:r w:rsidRPr="00EE3355">
        <w:rPr>
          <w:sz w:val="14"/>
        </w:rPr>
        <w:t xml:space="preserve"> </w:t>
      </w:r>
      <w:r w:rsidRPr="00EE3355">
        <w:t>a C</w:t>
      </w:r>
      <w:r w:rsidR="00391AE8" w:rsidRPr="00EE3355">
        <w:rPr>
          <w:vertAlign w:val="subscript"/>
        </w:rPr>
        <w:t>max</w:t>
      </w:r>
      <w:r w:rsidRPr="00EE3355">
        <w:rPr>
          <w:sz w:val="14"/>
        </w:rPr>
        <w:t xml:space="preserve"> </w:t>
      </w:r>
      <w:r w:rsidRPr="00EE3355">
        <w:t>tocilizumabu vzrůstalo se stoupající tělesnou hmotností. Při tělesné hmotnosti ≥ 100 kg byl předpovídaný průměr (± SD) AUC tocilizumabu v ustáleném stavu 50 000 ± 16 800 μg•h/ml, C</w:t>
      </w:r>
      <w:r w:rsidR="00C5127F" w:rsidRPr="00EE3355">
        <w:rPr>
          <w:vertAlign w:val="subscript"/>
        </w:rPr>
        <w:t>min</w:t>
      </w:r>
      <w:r w:rsidRPr="00EE3355">
        <w:rPr>
          <w:sz w:val="14"/>
        </w:rPr>
        <w:t xml:space="preserve"> </w:t>
      </w:r>
      <w:r w:rsidRPr="00EE3355">
        <w:t>tocilizumabu 24,4 ± 17,5 μg/ml a C</w:t>
      </w:r>
      <w:r w:rsidR="00391AE8" w:rsidRPr="00EE3355">
        <w:rPr>
          <w:vertAlign w:val="subscript"/>
        </w:rPr>
        <w:t>max</w:t>
      </w:r>
      <w:r w:rsidRPr="00EE3355">
        <w:rPr>
          <w:sz w:val="14"/>
        </w:rPr>
        <w:t xml:space="preserve"> </w:t>
      </w:r>
      <w:r w:rsidRPr="00EE3355">
        <w:t>tocilizumabu 226 ± 50,3 μg/ml, což jsou vyšší hodnoty, než hodnoty při průměrné expozici u souboru pacientů (tj. všechny tělesné hmotnosti) uvedené výše. Křivka odpovědi na dávku se u tocilizumabu při vyšších expozicích zplošťuje, což vede k nižšímu nárůstu účinnosti pro každé další navýšení koncentrace tocilizumabu, takže u pacientů léčených tocilizumabem v dávce &gt; 800 mg nedochází již k žádnému smysluplnému zvýšení účinnosti. Proto nejsou dávky přesahující 800 mg/infuzi doporučovány (viz bod 4.2).</w:t>
      </w:r>
    </w:p>
    <w:p w14:paraId="773A44D4" w14:textId="77777777" w:rsidR="00A144E7" w:rsidRPr="00EE3355" w:rsidRDefault="00A144E7" w:rsidP="00EA1CDF">
      <w:pPr>
        <w:pStyle w:val="a3"/>
        <w:widowControl/>
        <w:ind w:left="0"/>
      </w:pPr>
    </w:p>
    <w:p w14:paraId="116F770C" w14:textId="77777777" w:rsidR="00222DE0" w:rsidRPr="00EE3355" w:rsidRDefault="0098273B" w:rsidP="00EA1CDF">
      <w:pPr>
        <w:pStyle w:val="a3"/>
        <w:widowControl/>
        <w:ind w:left="0"/>
      </w:pPr>
      <w:r w:rsidRPr="00EE3355">
        <w:rPr>
          <w:u w:val="single"/>
        </w:rPr>
        <w:t>Pacienti s onemocněním COVID-19</w:t>
      </w:r>
    </w:p>
    <w:p w14:paraId="7C36CEEA" w14:textId="77777777" w:rsidR="00222DE0" w:rsidRPr="00EE3355" w:rsidRDefault="0098273B" w:rsidP="00EA1CDF">
      <w:pPr>
        <w:pStyle w:val="a3"/>
        <w:widowControl/>
        <w:ind w:left="0"/>
      </w:pPr>
      <w:r w:rsidRPr="00EE3355">
        <w:t xml:space="preserve">Farmakokinetika tocilizumabu byla charakterizována populační farmakokinetickou analýzou databáze, která zahrnovala 380 dospělých pacientů s onemocněním COVID-19 ve studii WA42380 (COVACTA) a studii CA42481 (MARIPOSA) léčených jednou infuzí tocilizumabu v dávce 8 mg/kg nebo dvěma infuzemi s odstupem nejméně 8 hodin. Odhadem byly stanoveny následující parametry </w:t>
      </w:r>
      <w:r w:rsidRPr="00AF1968">
        <w:rPr>
          <w:spacing w:val="-4"/>
        </w:rPr>
        <w:t xml:space="preserve">(predikovaný průměr </w:t>
      </w:r>
      <w:r w:rsidRPr="00AF1968">
        <w:rPr>
          <w:spacing w:val="-4"/>
          <w:u w:val="single"/>
        </w:rPr>
        <w:t>+</w:t>
      </w:r>
      <w:r w:rsidRPr="00AF1968">
        <w:rPr>
          <w:spacing w:val="-4"/>
        </w:rPr>
        <w:t xml:space="preserve"> SD) pro dávku tocilizumabu 8 mg/kg: plocha pod křivkou za 28 dnů</w:t>
      </w:r>
      <w:r w:rsidR="007B0EAF" w:rsidRPr="00AF1968">
        <w:rPr>
          <w:spacing w:val="-4"/>
        </w:rPr>
        <w:t xml:space="preserve"> </w:t>
      </w:r>
      <w:r w:rsidRPr="00AF1968">
        <w:rPr>
          <w:spacing w:val="-4"/>
        </w:rPr>
        <w:t>(AUC</w:t>
      </w:r>
      <w:r w:rsidRPr="002939CB">
        <w:rPr>
          <w:vertAlign w:val="subscript"/>
        </w:rPr>
        <w:t>0-28</w:t>
      </w:r>
      <w:r w:rsidRPr="00AF1968">
        <w:rPr>
          <w:spacing w:val="-4"/>
        </w:rPr>
        <w:t>) =</w:t>
      </w:r>
      <w:r w:rsidR="00AF1968">
        <w:rPr>
          <w:spacing w:val="-4"/>
        </w:rPr>
        <w:t xml:space="preserve"> </w:t>
      </w:r>
      <w:r w:rsidRPr="00EE3355">
        <w:t>18 312 (5 184) hodin•µg/ml, koncentrace ve dnu 28 (C</w:t>
      </w:r>
      <w:r w:rsidRPr="002939CB">
        <w:rPr>
          <w:vertAlign w:val="subscript"/>
        </w:rPr>
        <w:t>day28</w:t>
      </w:r>
      <w:r w:rsidRPr="00EE3355">
        <w:t>) = 0,934 (1,93) µg/ml</w:t>
      </w:r>
      <w:r w:rsidR="007B0EAF" w:rsidRPr="00EE3355">
        <w:t xml:space="preserve"> </w:t>
      </w:r>
      <w:r w:rsidRPr="00EE3355">
        <w:t>a maximální koncentrace (C</w:t>
      </w:r>
      <w:r w:rsidR="00391AE8" w:rsidRPr="00EE3355">
        <w:rPr>
          <w:vertAlign w:val="subscript"/>
        </w:rPr>
        <w:t>max</w:t>
      </w:r>
      <w:r w:rsidRPr="00EE3355">
        <w:t>) = 154 (34,9) µg/ml. Dále byly stanoveny odhadem AUC</w:t>
      </w:r>
      <w:r w:rsidRPr="002939CB">
        <w:rPr>
          <w:vertAlign w:val="subscript"/>
        </w:rPr>
        <w:t>0-28</w:t>
      </w:r>
      <w:r w:rsidRPr="00EE3355">
        <w:t>, C</w:t>
      </w:r>
      <w:r w:rsidRPr="002939CB">
        <w:rPr>
          <w:vertAlign w:val="subscript"/>
        </w:rPr>
        <w:t>day28</w:t>
      </w:r>
      <w:r w:rsidRPr="00EE3355">
        <w:rPr>
          <w:sz w:val="14"/>
        </w:rPr>
        <w:t xml:space="preserve"> </w:t>
      </w:r>
      <w:r w:rsidRPr="00EE3355">
        <w:t>a C</w:t>
      </w:r>
      <w:r w:rsidR="00391AE8" w:rsidRPr="00EE3355">
        <w:rPr>
          <w:vertAlign w:val="subscript"/>
        </w:rPr>
        <w:t>max</w:t>
      </w:r>
      <w:r w:rsidRPr="00EE3355">
        <w:rPr>
          <w:sz w:val="14"/>
        </w:rPr>
        <w:t xml:space="preserve"> </w:t>
      </w:r>
      <w:r w:rsidRPr="00EE3355">
        <w:t xml:space="preserve">po dvou dávkách tocilizumabu 8 mg/kg s odstupem 8 hodin (predikovaný průměr </w:t>
      </w:r>
      <w:r w:rsidRPr="00EE3355">
        <w:rPr>
          <w:u w:val="single"/>
        </w:rPr>
        <w:t>+</w:t>
      </w:r>
      <w:r w:rsidRPr="00EE3355">
        <w:t xml:space="preserve"> SD): 42 240 (11 520) hodin•µg/ml a 8,94 (8,5) µg/ml a 296 (64,7) µg/ml v uvedeném pořadí.</w:t>
      </w:r>
    </w:p>
    <w:p w14:paraId="5DACD2C1" w14:textId="77777777" w:rsidR="007B0EAF" w:rsidRPr="00EE3355" w:rsidRDefault="007B0EAF" w:rsidP="00EA1CDF">
      <w:pPr>
        <w:pStyle w:val="a3"/>
        <w:widowControl/>
        <w:ind w:left="0"/>
      </w:pPr>
    </w:p>
    <w:p w14:paraId="4A1E17BF" w14:textId="77777777" w:rsidR="00222DE0" w:rsidRPr="00EE3355" w:rsidRDefault="0098273B" w:rsidP="00EA1CDF">
      <w:pPr>
        <w:pStyle w:val="a3"/>
        <w:widowControl/>
        <w:ind w:left="0"/>
      </w:pPr>
      <w:r w:rsidRPr="00EE3355">
        <w:rPr>
          <w:u w:val="single"/>
        </w:rPr>
        <w:t>Distribuce</w:t>
      </w:r>
    </w:p>
    <w:p w14:paraId="7F81C7DC" w14:textId="77777777" w:rsidR="00222DE0" w:rsidRPr="00EE3355" w:rsidRDefault="0098273B" w:rsidP="00EA1CDF">
      <w:pPr>
        <w:pStyle w:val="a3"/>
        <w:widowControl/>
        <w:ind w:left="0"/>
      </w:pPr>
      <w:r w:rsidRPr="00EE3355">
        <w:t>U pacientů s RA byl centrální distribuční objem 3,72 l a periferní distribuční objem 3,35 l, což vedlo k distribučnímu objemu 7,07 l v ustáleném stavu.</w:t>
      </w:r>
    </w:p>
    <w:p w14:paraId="30DD3C15" w14:textId="77777777" w:rsidR="007B0EAF" w:rsidRPr="00EE3355" w:rsidRDefault="007B0EAF" w:rsidP="00EA1CDF">
      <w:pPr>
        <w:pStyle w:val="a3"/>
        <w:widowControl/>
        <w:ind w:left="0"/>
      </w:pPr>
    </w:p>
    <w:p w14:paraId="3256C088" w14:textId="77777777" w:rsidR="00222DE0" w:rsidRPr="00EE3355" w:rsidRDefault="0098273B" w:rsidP="00EA1CDF">
      <w:pPr>
        <w:pStyle w:val="a3"/>
        <w:widowControl/>
        <w:ind w:left="0"/>
      </w:pPr>
      <w:r w:rsidRPr="00EE3355">
        <w:lastRenderedPageBreak/>
        <w:t>Centrální distribuční objem u dospělých pacientů s onemocněním COVID-19 byl 4,52 l, periferní distribuční objem byl 4,23 l; distribuční objem tak činil 8,75 l.</w:t>
      </w:r>
    </w:p>
    <w:p w14:paraId="4524DF26" w14:textId="77777777" w:rsidR="007B0EAF" w:rsidRPr="00EE3355" w:rsidRDefault="007B0EAF" w:rsidP="00EA1CDF">
      <w:pPr>
        <w:pStyle w:val="a3"/>
        <w:widowControl/>
        <w:ind w:left="0"/>
      </w:pPr>
    </w:p>
    <w:p w14:paraId="3291820F" w14:textId="77777777" w:rsidR="00222DE0" w:rsidRPr="00EE3355" w:rsidRDefault="0098273B" w:rsidP="00EA1CDF">
      <w:pPr>
        <w:pStyle w:val="a3"/>
        <w:widowControl/>
        <w:ind w:left="0"/>
      </w:pPr>
      <w:r w:rsidRPr="00EE3355">
        <w:rPr>
          <w:u w:val="single"/>
        </w:rPr>
        <w:t>Eliminace</w:t>
      </w:r>
    </w:p>
    <w:p w14:paraId="13373758" w14:textId="06A06D0A" w:rsidR="00222DE0" w:rsidRPr="00EE3355" w:rsidRDefault="0098273B" w:rsidP="00EA1CDF">
      <w:pPr>
        <w:pStyle w:val="a3"/>
        <w:widowControl/>
        <w:ind w:left="0"/>
      </w:pPr>
      <w:r w:rsidRPr="00EE3355">
        <w:t xml:space="preserve">Po intravenózním podání prochází </w:t>
      </w:r>
      <w:r w:rsidR="004B417F" w:rsidRPr="001879E9">
        <w:t>tocilizumab</w:t>
      </w:r>
      <w:r w:rsidR="004B417F" w:rsidRPr="00EE3355" w:rsidDel="004B417F">
        <w:t xml:space="preserve"> </w:t>
      </w:r>
      <w:r w:rsidRPr="00EE3355">
        <w:t>bifázickou eliminací z cirkulace, v jedné fázi dochází k lineární clearance a ve druhé k nelineární clearance závislé na koncentraci. Lineární clearance u pacientů s RA byla 9,5 ml/h. Lineární clearance u dospělých pacientů s onemocněním COVID-19 byla 17,6 ml/h u pacientů s výchozí kategorií 3 na ordinální škále (OS 3, pacienti vyžadující doplňkovou oxygenoterapii), 22,5 ml/h u pacientů s výchozí OS 4 (pacienti vyžadující vysokoprůtokovou aplikaci kyslíku nebo neinvazivní ventilaci), 29 ml/h u pacientů s výchozí OS 5 (pacienti vyžadující mechanickou ventilaci) a 35,4 ml/h u pacientů s výchozí OS 6 (pacienti vyžadující mimotělní membránovou oxygenaci (ECMO) nebo mechanickou ventilaci a dodatečnou orgánovou podporu). Na koncentraci závislá nelineární clearance hraje hlavní roli ve snižování koncentrací tocilizumabu. Jakmile je cesta nelineární clearance jednou saturována při vyšších koncentracích tocilizumabu, je clearance určována hlavně lineární clearancí.</w:t>
      </w:r>
    </w:p>
    <w:p w14:paraId="4852DFCB" w14:textId="77777777" w:rsidR="00222DE0" w:rsidRPr="00EE3355" w:rsidRDefault="00222DE0" w:rsidP="00EA1CDF">
      <w:pPr>
        <w:pStyle w:val="a3"/>
        <w:widowControl/>
        <w:ind w:left="0"/>
      </w:pPr>
    </w:p>
    <w:p w14:paraId="2E604AC2" w14:textId="77777777" w:rsidR="00222DE0" w:rsidRPr="00EE3355" w:rsidRDefault="0098273B" w:rsidP="00EA1CDF">
      <w:pPr>
        <w:pStyle w:val="a3"/>
        <w:widowControl/>
        <w:ind w:left="0"/>
      </w:pPr>
      <w:r w:rsidRPr="00EE3355">
        <w:t>Poločas (t</w:t>
      </w:r>
      <w:r w:rsidRPr="00EE3355">
        <w:rPr>
          <w:sz w:val="14"/>
        </w:rPr>
        <w:t>1/2</w:t>
      </w:r>
      <w:r w:rsidRPr="00EE3355">
        <w:t>) tocilizumabu u pacientů s RA je závislý na koncentraci. V ustáleném stavu po podání dávky 8 mg/kg každé 4 týdny efektivní t</w:t>
      </w:r>
      <w:r w:rsidRPr="00EE3355">
        <w:rPr>
          <w:sz w:val="14"/>
        </w:rPr>
        <w:t xml:space="preserve">1/2 </w:t>
      </w:r>
      <w:r w:rsidRPr="00EE3355">
        <w:t>klesá s poklesem koncentrace během dávkovacího intervalu od 18 do 6 dní.</w:t>
      </w:r>
    </w:p>
    <w:p w14:paraId="3F20D06A" w14:textId="77777777" w:rsidR="007B0EAF" w:rsidRPr="00EE3355" w:rsidRDefault="007B0EAF" w:rsidP="00EA1CDF">
      <w:pPr>
        <w:pStyle w:val="a3"/>
        <w:widowControl/>
        <w:ind w:left="0"/>
      </w:pPr>
    </w:p>
    <w:p w14:paraId="68E84779" w14:textId="77777777" w:rsidR="00222DE0" w:rsidRPr="00EE3355" w:rsidRDefault="0098273B" w:rsidP="00EA1CDF">
      <w:pPr>
        <w:pStyle w:val="a3"/>
        <w:widowControl/>
        <w:ind w:left="0"/>
      </w:pPr>
      <w:r w:rsidRPr="00EE3355">
        <w:t>Sérové koncentrace u pacientů s onemocněním COVID-19 klesly pod limit kvantifikace průměrně</w:t>
      </w:r>
      <w:r w:rsidR="007B0EAF" w:rsidRPr="00EE3355">
        <w:t xml:space="preserve"> </w:t>
      </w:r>
      <w:r w:rsidR="007B0EAF" w:rsidRPr="00EE3355">
        <w:br/>
      </w:r>
      <w:r w:rsidRPr="00EE3355">
        <w:t>35 dnů po jedné intravenózní infuzi tocilizumabu v dávce 8 mg/kg.</w:t>
      </w:r>
    </w:p>
    <w:p w14:paraId="320AEC69" w14:textId="77777777" w:rsidR="007B0EAF" w:rsidRPr="00EE3355" w:rsidRDefault="007B0EAF" w:rsidP="00EA1CDF">
      <w:pPr>
        <w:pStyle w:val="a3"/>
        <w:widowControl/>
        <w:ind w:left="0"/>
      </w:pPr>
    </w:p>
    <w:p w14:paraId="681C50DC" w14:textId="77777777" w:rsidR="00222DE0" w:rsidRPr="00EE3355" w:rsidRDefault="0098273B" w:rsidP="00EA1CDF">
      <w:pPr>
        <w:pStyle w:val="a3"/>
        <w:widowControl/>
        <w:ind w:left="0"/>
      </w:pPr>
      <w:r w:rsidRPr="00EE3355">
        <w:rPr>
          <w:u w:val="single"/>
        </w:rPr>
        <w:t>Linearita</w:t>
      </w:r>
    </w:p>
    <w:p w14:paraId="2156E429" w14:textId="77777777" w:rsidR="00222DE0" w:rsidRPr="00EE3355" w:rsidRDefault="0098273B" w:rsidP="00EA1CDF">
      <w:pPr>
        <w:pStyle w:val="a3"/>
        <w:widowControl/>
        <w:ind w:left="0"/>
      </w:pPr>
      <w:r w:rsidRPr="00EE3355">
        <w:t>Farmakokinetické parametry tocilizumabu se postupem času nezměnily. Při dávkách 4 a 8 mg/kg podávaných jednou za 4 týdny se pozorovalo vyšší než dávce úměrné zvýšení hodnoty AUC a C</w:t>
      </w:r>
      <w:r w:rsidR="00C5127F" w:rsidRPr="00EE3355">
        <w:rPr>
          <w:vertAlign w:val="subscript"/>
        </w:rPr>
        <w:t>min</w:t>
      </w:r>
      <w:r w:rsidRPr="00EE3355">
        <w:rPr>
          <w:sz w:val="14"/>
        </w:rPr>
        <w:t xml:space="preserve">. </w:t>
      </w:r>
      <w:r w:rsidRPr="00EE3355">
        <w:t>Hodnota C</w:t>
      </w:r>
      <w:r w:rsidRPr="00EE3355">
        <w:rPr>
          <w:sz w:val="14"/>
        </w:rPr>
        <w:t xml:space="preserve">max </w:t>
      </w:r>
      <w:r w:rsidRPr="00EE3355">
        <w:t>se zvyšovala úměrně dávce. V ustáleném stavu byla při dávce 8 mg/kg předpokládaná hodnota AUC 3,2 x a hodnota C</w:t>
      </w:r>
      <w:r w:rsidR="00C5127F" w:rsidRPr="00EE3355">
        <w:rPr>
          <w:vertAlign w:val="subscript"/>
        </w:rPr>
        <w:t>min</w:t>
      </w:r>
      <w:r w:rsidRPr="00EE3355">
        <w:rPr>
          <w:sz w:val="14"/>
        </w:rPr>
        <w:t xml:space="preserve"> </w:t>
      </w:r>
      <w:r w:rsidRPr="00EE3355">
        <w:t>30 x vyšší než při dávce 4 mg/kg.</w:t>
      </w:r>
    </w:p>
    <w:p w14:paraId="1D7BC360" w14:textId="77777777" w:rsidR="00222DE0" w:rsidRPr="00EE3355" w:rsidRDefault="00222DE0" w:rsidP="00EA1CDF">
      <w:pPr>
        <w:widowControl/>
      </w:pPr>
    </w:p>
    <w:p w14:paraId="3003027B" w14:textId="77777777" w:rsidR="00222DE0" w:rsidRPr="00EE3355" w:rsidRDefault="0098273B" w:rsidP="00EA1CDF">
      <w:pPr>
        <w:pStyle w:val="a3"/>
        <w:widowControl/>
        <w:ind w:left="0"/>
      </w:pPr>
      <w:r w:rsidRPr="00EE3355">
        <w:rPr>
          <w:u w:val="single"/>
        </w:rPr>
        <w:t>Zvláštní skupiny pacientů</w:t>
      </w:r>
    </w:p>
    <w:p w14:paraId="7E8302E5" w14:textId="77777777" w:rsidR="00222DE0" w:rsidRPr="00EE3355" w:rsidRDefault="0098273B" w:rsidP="00EA1CDF">
      <w:pPr>
        <w:pStyle w:val="a3"/>
        <w:widowControl/>
        <w:ind w:left="0"/>
      </w:pPr>
      <w:r w:rsidRPr="00EE3355">
        <w:rPr>
          <w:i/>
        </w:rPr>
        <w:t xml:space="preserve">Renální poškození: </w:t>
      </w:r>
      <w:r w:rsidRPr="00EE3355">
        <w:t>Žádné formální studie účinků renálního poškození na farmakokinetiku tocilizumabu nebyly provedeny. Většina pacientů v populačních farmakokinetických analýzách měla normální renální funkce nebo mírné renální poškození. Mírné renální poškození (clearance kreatininu založená na Cockcroft-Gault &lt; 80 ml/min a ≥ 50 ml/min) neovlivňovalo farmakokinetiku tocilizumabu.</w:t>
      </w:r>
    </w:p>
    <w:p w14:paraId="0312FFB5" w14:textId="77777777" w:rsidR="007B0EAF" w:rsidRPr="00EE3355" w:rsidRDefault="007B0EAF" w:rsidP="00EA1CDF">
      <w:pPr>
        <w:pStyle w:val="a3"/>
        <w:widowControl/>
        <w:ind w:left="0"/>
      </w:pPr>
    </w:p>
    <w:p w14:paraId="0AE8879E" w14:textId="77777777" w:rsidR="00222DE0" w:rsidRPr="00EE3355" w:rsidRDefault="0098273B" w:rsidP="00EA1CDF">
      <w:pPr>
        <w:pStyle w:val="a3"/>
        <w:widowControl/>
        <w:ind w:left="0"/>
      </w:pPr>
      <w:r w:rsidRPr="00EE3355">
        <w:rPr>
          <w:i/>
        </w:rPr>
        <w:t xml:space="preserve">Jaterní poškození: </w:t>
      </w:r>
      <w:r w:rsidRPr="00EE3355">
        <w:t>Žádné formální studie účinků jaterního poškození na farmakokinetiku tocilizumabu nebyly provedeny.</w:t>
      </w:r>
    </w:p>
    <w:p w14:paraId="15A7691B" w14:textId="77777777" w:rsidR="00222DE0" w:rsidRPr="00EE3355" w:rsidRDefault="00222DE0" w:rsidP="00EA1CDF">
      <w:pPr>
        <w:pStyle w:val="a3"/>
        <w:widowControl/>
        <w:ind w:left="0"/>
      </w:pPr>
    </w:p>
    <w:p w14:paraId="5277FDD3" w14:textId="77777777" w:rsidR="00222DE0" w:rsidRPr="00EE3355" w:rsidRDefault="0098273B" w:rsidP="00EA1CDF">
      <w:pPr>
        <w:widowControl/>
      </w:pPr>
      <w:r w:rsidRPr="00EE3355">
        <w:rPr>
          <w:i/>
        </w:rPr>
        <w:t xml:space="preserve">Věk, pohlaví a etnikum: </w:t>
      </w:r>
      <w:r w:rsidRPr="00EE3355">
        <w:t>Populační farmakokinetické analýzy u pacientů s RA a onemocněním</w:t>
      </w:r>
      <w:r w:rsidR="007B0EAF" w:rsidRPr="00EE3355">
        <w:t xml:space="preserve"> </w:t>
      </w:r>
      <w:r w:rsidRPr="00EE3355">
        <w:t>COVID-19 prokázaly, že věk, pohlaví ani etnikum neovlivňují farmakokinetiku tocilizumabu.</w:t>
      </w:r>
    </w:p>
    <w:p w14:paraId="60516E1D" w14:textId="77777777" w:rsidR="00222DE0" w:rsidRPr="00EE3355" w:rsidRDefault="00222DE0" w:rsidP="00EA1CDF">
      <w:pPr>
        <w:pStyle w:val="a3"/>
        <w:widowControl/>
        <w:ind w:left="0"/>
      </w:pPr>
    </w:p>
    <w:p w14:paraId="2EFA4A9E" w14:textId="77777777" w:rsidR="00222DE0" w:rsidRPr="00EE3355" w:rsidRDefault="0098273B" w:rsidP="00EA1CDF">
      <w:pPr>
        <w:pStyle w:val="a3"/>
        <w:widowControl/>
        <w:ind w:left="0"/>
      </w:pPr>
      <w:r w:rsidRPr="00EE3355">
        <w:t>Výsledky populační farmakokinetické analýzy pro pacienty s onemocněním COVID-19 prokázaly, že tělesná hmotnost a závažnost onemocnění jsou kovariáty se značným vlivem na lineární clearance tocilizumabu.</w:t>
      </w:r>
    </w:p>
    <w:p w14:paraId="530D6172" w14:textId="77777777" w:rsidR="007B0EAF" w:rsidRPr="00EE3355" w:rsidRDefault="007B0EAF" w:rsidP="00EA1CDF">
      <w:pPr>
        <w:pStyle w:val="a3"/>
        <w:widowControl/>
        <w:ind w:left="0"/>
      </w:pPr>
    </w:p>
    <w:p w14:paraId="43602848" w14:textId="77777777" w:rsidR="00222DE0" w:rsidRPr="00EE3355" w:rsidRDefault="0098273B" w:rsidP="0053673C">
      <w:pPr>
        <w:keepNext/>
        <w:widowControl/>
      </w:pPr>
      <w:r w:rsidRPr="00EE3355">
        <w:rPr>
          <w:i/>
        </w:rPr>
        <w:t>Pacienti se sJIA</w:t>
      </w:r>
      <w:r w:rsidRPr="00EE3355">
        <w:t>:</w:t>
      </w:r>
    </w:p>
    <w:p w14:paraId="5AF63223" w14:textId="77777777" w:rsidR="00222DE0" w:rsidRPr="00EE3355" w:rsidRDefault="0098273B" w:rsidP="00EA1CDF">
      <w:pPr>
        <w:pStyle w:val="a3"/>
        <w:widowControl/>
        <w:ind w:left="0"/>
      </w:pPr>
      <w:r w:rsidRPr="00EE3355">
        <w:t>Farmakokinetika tocilizumabu byla stanovena za použití populační farmakokinetické analýzy databáze, kterou tvořilo 140 pacientů se sJIA léčených dávkou 8 mg/kg podanou intravenózně každé dva týdny (pacienti s tělesnou hmotností ≥ 30 kg), 12 mg/kg podanou intravenózně každé dva týdny (pacienti s tělesnou hmotností &lt; 30 kg), 162 mg podanou subkutánně každý týden (pacienti s tělesnou hmotností ≥ 30 kg), 162 mg podanou subkutánně každých 10 dnů nebo každé dva týdny (pacienti</w:t>
      </w:r>
      <w:r w:rsidR="004B5E82">
        <w:t xml:space="preserve"> </w:t>
      </w:r>
      <w:r w:rsidRPr="00EE3355">
        <w:t>s tělesnou hmotností &lt; 30 kg).</w:t>
      </w:r>
    </w:p>
    <w:p w14:paraId="31EE5CB4" w14:textId="77777777" w:rsidR="00222DE0" w:rsidRPr="00EE3355" w:rsidRDefault="00222DE0" w:rsidP="00EA1CDF">
      <w:pPr>
        <w:pStyle w:val="a3"/>
        <w:widowControl/>
        <w:ind w:left="0"/>
      </w:pPr>
    </w:p>
    <w:p w14:paraId="20674620" w14:textId="77777777" w:rsidR="00222DE0" w:rsidRPr="00EE3355" w:rsidRDefault="0098273B" w:rsidP="00B93217">
      <w:pPr>
        <w:keepNext/>
        <w:widowControl/>
        <w:ind w:left="1418" w:hanging="1418"/>
        <w:rPr>
          <w:i/>
        </w:rPr>
      </w:pPr>
      <w:r w:rsidRPr="00EE3355">
        <w:rPr>
          <w:i/>
        </w:rPr>
        <w:lastRenderedPageBreak/>
        <w:t>Tabulka 11.</w:t>
      </w:r>
      <w:r w:rsidR="005507B8" w:rsidRPr="00EE3355">
        <w:rPr>
          <w:i/>
        </w:rPr>
        <w:tab/>
      </w:r>
      <w:r w:rsidRPr="00EE3355">
        <w:rPr>
          <w:i/>
        </w:rPr>
        <w:t>Predikované střední hodnoty ± SD pro PK parametry v ustáleném stavu po intravenózním podání pacientům se sJIA</w:t>
      </w:r>
    </w:p>
    <w:p w14:paraId="34FA0035" w14:textId="77777777" w:rsidR="007B0EAF" w:rsidRPr="00EE3355" w:rsidRDefault="007B0EAF" w:rsidP="00B93217">
      <w:pPr>
        <w:keepNext/>
        <w:widowControl/>
        <w:rPr>
          <w:i/>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4063"/>
        <w:gridCol w:w="2410"/>
        <w:gridCol w:w="2523"/>
      </w:tblGrid>
      <w:tr w:rsidR="00222DE0" w:rsidRPr="0053673C" w14:paraId="293ADE05" w14:textId="77777777" w:rsidTr="004B5E82">
        <w:trPr>
          <w:cantSplit/>
          <w:trHeight w:val="20"/>
          <w:tblHeader/>
        </w:trPr>
        <w:tc>
          <w:tcPr>
            <w:tcW w:w="4063" w:type="dxa"/>
          </w:tcPr>
          <w:p w14:paraId="75E6CF23" w14:textId="5383DC11" w:rsidR="00222DE0" w:rsidRPr="00B93217" w:rsidRDefault="0098273B" w:rsidP="00B93217">
            <w:pPr>
              <w:pStyle w:val="TableParagraph"/>
              <w:keepNext/>
              <w:widowControl/>
              <w:rPr>
                <w:b/>
              </w:rPr>
            </w:pPr>
            <w:r w:rsidRPr="00B93217">
              <w:rPr>
                <w:b/>
              </w:rPr>
              <w:t>PK parametr</w:t>
            </w:r>
            <w:r w:rsidR="00FE4995" w:rsidRPr="00B93217">
              <w:rPr>
                <w:b/>
              </w:rPr>
              <w:t xml:space="preserve"> </w:t>
            </w:r>
            <w:r w:rsidR="00D57525" w:rsidRPr="00B93217">
              <w:rPr>
                <w:b/>
                <w:bCs/>
              </w:rPr>
              <w:t>tocilizumab</w:t>
            </w:r>
            <w:r w:rsidR="00D57525" w:rsidRPr="00B93217">
              <w:rPr>
                <w:b/>
              </w:rPr>
              <w:t>u</w:t>
            </w:r>
          </w:p>
        </w:tc>
        <w:tc>
          <w:tcPr>
            <w:tcW w:w="2410" w:type="dxa"/>
          </w:tcPr>
          <w:p w14:paraId="32A56268" w14:textId="77777777" w:rsidR="00222DE0" w:rsidRPr="00B93217" w:rsidRDefault="0098273B" w:rsidP="00B93217">
            <w:pPr>
              <w:pStyle w:val="TableParagraph"/>
              <w:keepNext/>
              <w:widowControl/>
              <w:rPr>
                <w:b/>
              </w:rPr>
            </w:pPr>
            <w:r w:rsidRPr="00B93217">
              <w:rPr>
                <w:b/>
              </w:rPr>
              <w:t>8 mg/kg každé 2 týdny</w:t>
            </w:r>
            <w:r w:rsidR="00FE4995" w:rsidRPr="00B93217">
              <w:rPr>
                <w:b/>
              </w:rPr>
              <w:t xml:space="preserve"> </w:t>
            </w:r>
            <w:r w:rsidRPr="00B93217">
              <w:rPr>
                <w:b/>
              </w:rPr>
              <w:t>≥ 30 kg</w:t>
            </w:r>
          </w:p>
        </w:tc>
        <w:tc>
          <w:tcPr>
            <w:tcW w:w="2523" w:type="dxa"/>
          </w:tcPr>
          <w:p w14:paraId="0DBD10D1" w14:textId="77777777" w:rsidR="00222DE0" w:rsidRPr="00B93217" w:rsidRDefault="0098273B" w:rsidP="00B93217">
            <w:pPr>
              <w:pStyle w:val="TableParagraph"/>
              <w:keepNext/>
              <w:widowControl/>
              <w:rPr>
                <w:b/>
              </w:rPr>
            </w:pPr>
            <w:r w:rsidRPr="00B93217">
              <w:rPr>
                <w:b/>
              </w:rPr>
              <w:t>12 mg/kg každé 2 týdny</w:t>
            </w:r>
            <w:r w:rsidR="00FE4995" w:rsidRPr="00B93217">
              <w:rPr>
                <w:b/>
              </w:rPr>
              <w:t xml:space="preserve"> </w:t>
            </w:r>
            <w:r w:rsidRPr="00B93217">
              <w:rPr>
                <w:b/>
              </w:rPr>
              <w:t>&lt; 30 kg</w:t>
            </w:r>
          </w:p>
        </w:tc>
      </w:tr>
      <w:tr w:rsidR="00222DE0" w:rsidRPr="00EE3355" w14:paraId="77D9B838" w14:textId="77777777" w:rsidTr="004B5E82">
        <w:trPr>
          <w:cantSplit/>
          <w:trHeight w:val="20"/>
        </w:trPr>
        <w:tc>
          <w:tcPr>
            <w:tcW w:w="4063" w:type="dxa"/>
          </w:tcPr>
          <w:p w14:paraId="52643337" w14:textId="77777777" w:rsidR="00222DE0" w:rsidRPr="00EE3355" w:rsidRDefault="0098273B" w:rsidP="00EA1CDF">
            <w:pPr>
              <w:pStyle w:val="TableParagraph"/>
              <w:widowControl/>
            </w:pPr>
            <w:r w:rsidRPr="00EE3355">
              <w:t>C</w:t>
            </w:r>
            <w:r w:rsidR="00391AE8" w:rsidRPr="00EE3355">
              <w:rPr>
                <w:vertAlign w:val="subscript"/>
              </w:rPr>
              <w:t>max</w:t>
            </w:r>
            <w:r w:rsidRPr="00EE3355">
              <w:rPr>
                <w:sz w:val="14"/>
              </w:rPr>
              <w:t xml:space="preserve"> </w:t>
            </w:r>
            <w:r w:rsidRPr="00EE3355">
              <w:t>(µg/ml)</w:t>
            </w:r>
          </w:p>
        </w:tc>
        <w:tc>
          <w:tcPr>
            <w:tcW w:w="2410" w:type="dxa"/>
          </w:tcPr>
          <w:p w14:paraId="690DB72B" w14:textId="77777777" w:rsidR="00222DE0" w:rsidRPr="00EE3355" w:rsidRDefault="0098273B" w:rsidP="00EA1CDF">
            <w:pPr>
              <w:pStyle w:val="TableParagraph"/>
              <w:widowControl/>
              <w:jc w:val="center"/>
            </w:pPr>
            <w:r w:rsidRPr="00EE3355">
              <w:t>256 ± 60,8</w:t>
            </w:r>
          </w:p>
        </w:tc>
        <w:tc>
          <w:tcPr>
            <w:tcW w:w="2523" w:type="dxa"/>
          </w:tcPr>
          <w:p w14:paraId="4E38E5EE" w14:textId="77777777" w:rsidR="00222DE0" w:rsidRPr="00EE3355" w:rsidRDefault="0098273B" w:rsidP="00EA1CDF">
            <w:pPr>
              <w:pStyle w:val="TableParagraph"/>
              <w:widowControl/>
              <w:jc w:val="center"/>
            </w:pPr>
            <w:r w:rsidRPr="00EE3355">
              <w:t xml:space="preserve">274 </w:t>
            </w:r>
            <w:r w:rsidRPr="00EE3355">
              <w:rPr>
                <w:rFonts w:ascii="Symbol" w:hAnsi="Symbol"/>
              </w:rPr>
              <w:t></w:t>
            </w:r>
            <w:r w:rsidRPr="00EE3355">
              <w:t xml:space="preserve"> 63,8</w:t>
            </w:r>
          </w:p>
        </w:tc>
      </w:tr>
      <w:tr w:rsidR="00222DE0" w:rsidRPr="00EE3355" w14:paraId="09ED66B8" w14:textId="77777777" w:rsidTr="004B5E82">
        <w:trPr>
          <w:cantSplit/>
          <w:trHeight w:val="20"/>
        </w:trPr>
        <w:tc>
          <w:tcPr>
            <w:tcW w:w="4063" w:type="dxa"/>
          </w:tcPr>
          <w:p w14:paraId="767D3799" w14:textId="77777777" w:rsidR="00222DE0" w:rsidRPr="00EE3355" w:rsidRDefault="0098273B" w:rsidP="00EA1CDF">
            <w:pPr>
              <w:pStyle w:val="TableParagraph"/>
              <w:widowControl/>
            </w:pPr>
            <w:r w:rsidRPr="00EE3355">
              <w:t>C</w:t>
            </w:r>
            <w:r w:rsidR="00C5127F" w:rsidRPr="00EE3355">
              <w:rPr>
                <w:vertAlign w:val="subscript"/>
              </w:rPr>
              <w:t>údolní</w:t>
            </w:r>
            <w:r w:rsidRPr="00EE3355">
              <w:rPr>
                <w:sz w:val="14"/>
              </w:rPr>
              <w:t xml:space="preserve"> </w:t>
            </w:r>
            <w:r w:rsidRPr="00EE3355">
              <w:t>(µg/ml)</w:t>
            </w:r>
          </w:p>
        </w:tc>
        <w:tc>
          <w:tcPr>
            <w:tcW w:w="2410" w:type="dxa"/>
          </w:tcPr>
          <w:p w14:paraId="3CCAE124" w14:textId="77777777" w:rsidR="00222DE0" w:rsidRPr="00EE3355" w:rsidRDefault="0098273B" w:rsidP="00EA1CDF">
            <w:pPr>
              <w:pStyle w:val="TableParagraph"/>
              <w:widowControl/>
              <w:jc w:val="center"/>
            </w:pPr>
            <w:r w:rsidRPr="00EE3355">
              <w:t>69,7 ± 29,1</w:t>
            </w:r>
          </w:p>
        </w:tc>
        <w:tc>
          <w:tcPr>
            <w:tcW w:w="2523" w:type="dxa"/>
          </w:tcPr>
          <w:p w14:paraId="4E2C05F5" w14:textId="77777777" w:rsidR="00222DE0" w:rsidRPr="00EE3355" w:rsidRDefault="0098273B" w:rsidP="00EA1CDF">
            <w:pPr>
              <w:pStyle w:val="TableParagraph"/>
              <w:widowControl/>
              <w:jc w:val="center"/>
            </w:pPr>
            <w:r w:rsidRPr="00EE3355">
              <w:t xml:space="preserve">68,4 </w:t>
            </w:r>
            <w:r w:rsidRPr="00EE3355">
              <w:rPr>
                <w:rFonts w:ascii="Symbol" w:hAnsi="Symbol"/>
              </w:rPr>
              <w:t></w:t>
            </w:r>
            <w:r w:rsidRPr="00EE3355">
              <w:t xml:space="preserve"> 30,0</w:t>
            </w:r>
          </w:p>
        </w:tc>
      </w:tr>
      <w:tr w:rsidR="00222DE0" w:rsidRPr="00EE3355" w14:paraId="535B86C4" w14:textId="77777777" w:rsidTr="004B5E82">
        <w:trPr>
          <w:cantSplit/>
          <w:trHeight w:val="20"/>
        </w:trPr>
        <w:tc>
          <w:tcPr>
            <w:tcW w:w="4063" w:type="dxa"/>
          </w:tcPr>
          <w:p w14:paraId="738A44BB" w14:textId="77777777" w:rsidR="00222DE0" w:rsidRPr="00EE3355" w:rsidRDefault="0098273B" w:rsidP="00EA1CDF">
            <w:pPr>
              <w:pStyle w:val="TableParagraph"/>
              <w:widowControl/>
            </w:pPr>
            <w:r w:rsidRPr="00EE3355">
              <w:t>C</w:t>
            </w:r>
            <w:r w:rsidRPr="00EE3355">
              <w:rPr>
                <w:sz w:val="14"/>
              </w:rPr>
              <w:t xml:space="preserve">střední </w:t>
            </w:r>
            <w:r w:rsidRPr="00EE3355">
              <w:t>(µg/ml)</w:t>
            </w:r>
          </w:p>
        </w:tc>
        <w:tc>
          <w:tcPr>
            <w:tcW w:w="2410" w:type="dxa"/>
          </w:tcPr>
          <w:p w14:paraId="1A7BBA5D" w14:textId="77777777" w:rsidR="00222DE0" w:rsidRPr="00EE3355" w:rsidRDefault="0098273B" w:rsidP="00EA1CDF">
            <w:pPr>
              <w:pStyle w:val="TableParagraph"/>
              <w:widowControl/>
              <w:jc w:val="center"/>
            </w:pPr>
            <w:r w:rsidRPr="00EE3355">
              <w:t>119 ± 36,0</w:t>
            </w:r>
          </w:p>
        </w:tc>
        <w:tc>
          <w:tcPr>
            <w:tcW w:w="2523" w:type="dxa"/>
          </w:tcPr>
          <w:p w14:paraId="17A94227" w14:textId="77777777" w:rsidR="00222DE0" w:rsidRPr="00EE3355" w:rsidRDefault="0098273B" w:rsidP="00EA1CDF">
            <w:pPr>
              <w:pStyle w:val="TableParagraph"/>
              <w:widowControl/>
              <w:jc w:val="center"/>
            </w:pPr>
            <w:r w:rsidRPr="00EE3355">
              <w:t xml:space="preserve">123 </w:t>
            </w:r>
            <w:r w:rsidRPr="00EE3355">
              <w:rPr>
                <w:rFonts w:ascii="Symbol" w:hAnsi="Symbol"/>
              </w:rPr>
              <w:t></w:t>
            </w:r>
            <w:r w:rsidRPr="00EE3355">
              <w:t xml:space="preserve"> 36,0</w:t>
            </w:r>
          </w:p>
        </w:tc>
      </w:tr>
      <w:tr w:rsidR="00222DE0" w:rsidRPr="00EE3355" w14:paraId="635E6BF0" w14:textId="77777777" w:rsidTr="004B5E82">
        <w:trPr>
          <w:cantSplit/>
          <w:trHeight w:val="20"/>
        </w:trPr>
        <w:tc>
          <w:tcPr>
            <w:tcW w:w="4063" w:type="dxa"/>
          </w:tcPr>
          <w:p w14:paraId="794DFAAC" w14:textId="77777777" w:rsidR="00222DE0" w:rsidRPr="00EE3355" w:rsidRDefault="00222DE0" w:rsidP="00EA1CDF">
            <w:pPr>
              <w:pStyle w:val="TableParagraph"/>
              <w:widowControl/>
              <w:rPr>
                <w:sz w:val="18"/>
              </w:rPr>
            </w:pPr>
          </w:p>
        </w:tc>
        <w:tc>
          <w:tcPr>
            <w:tcW w:w="2410" w:type="dxa"/>
          </w:tcPr>
          <w:p w14:paraId="3F9680C9" w14:textId="77777777" w:rsidR="00222DE0" w:rsidRPr="00EE3355" w:rsidRDefault="00222DE0" w:rsidP="00EA1CDF">
            <w:pPr>
              <w:pStyle w:val="TableParagraph"/>
              <w:widowControl/>
              <w:rPr>
                <w:sz w:val="18"/>
              </w:rPr>
            </w:pPr>
          </w:p>
        </w:tc>
        <w:tc>
          <w:tcPr>
            <w:tcW w:w="2523" w:type="dxa"/>
          </w:tcPr>
          <w:p w14:paraId="0BD772DE" w14:textId="77777777" w:rsidR="00222DE0" w:rsidRPr="00EE3355" w:rsidRDefault="00222DE0" w:rsidP="00EA1CDF">
            <w:pPr>
              <w:pStyle w:val="TableParagraph"/>
              <w:widowControl/>
              <w:rPr>
                <w:sz w:val="18"/>
              </w:rPr>
            </w:pPr>
          </w:p>
        </w:tc>
      </w:tr>
      <w:tr w:rsidR="00222DE0" w:rsidRPr="00EE3355" w14:paraId="722B8029" w14:textId="77777777" w:rsidTr="004B5E82">
        <w:trPr>
          <w:cantSplit/>
          <w:trHeight w:val="20"/>
        </w:trPr>
        <w:tc>
          <w:tcPr>
            <w:tcW w:w="4063" w:type="dxa"/>
          </w:tcPr>
          <w:p w14:paraId="385FC65B" w14:textId="77777777" w:rsidR="00222DE0" w:rsidRPr="00EE3355" w:rsidRDefault="0098273B" w:rsidP="00EA1CDF">
            <w:pPr>
              <w:pStyle w:val="TableParagraph"/>
              <w:widowControl/>
              <w:rPr>
                <w:sz w:val="14"/>
              </w:rPr>
            </w:pPr>
            <w:r w:rsidRPr="00EE3355">
              <w:t>Koeficient kumulace pro C</w:t>
            </w:r>
            <w:r w:rsidR="00391AE8" w:rsidRPr="00EE3355">
              <w:rPr>
                <w:vertAlign w:val="subscript"/>
              </w:rPr>
              <w:t>max</w:t>
            </w:r>
          </w:p>
        </w:tc>
        <w:tc>
          <w:tcPr>
            <w:tcW w:w="2410" w:type="dxa"/>
          </w:tcPr>
          <w:p w14:paraId="4D4967AD" w14:textId="77777777" w:rsidR="00222DE0" w:rsidRPr="00EE3355" w:rsidRDefault="0098273B" w:rsidP="00EA1CDF">
            <w:pPr>
              <w:pStyle w:val="TableParagraph"/>
              <w:widowControl/>
              <w:jc w:val="center"/>
            </w:pPr>
            <w:r w:rsidRPr="00EE3355">
              <w:t>1,42</w:t>
            </w:r>
          </w:p>
        </w:tc>
        <w:tc>
          <w:tcPr>
            <w:tcW w:w="2523" w:type="dxa"/>
          </w:tcPr>
          <w:p w14:paraId="141B30CA" w14:textId="77777777" w:rsidR="00222DE0" w:rsidRPr="00EE3355" w:rsidRDefault="0098273B" w:rsidP="00EA1CDF">
            <w:pPr>
              <w:pStyle w:val="TableParagraph"/>
              <w:widowControl/>
              <w:jc w:val="center"/>
            </w:pPr>
            <w:r w:rsidRPr="00EE3355">
              <w:t>1,37</w:t>
            </w:r>
          </w:p>
        </w:tc>
      </w:tr>
      <w:tr w:rsidR="00222DE0" w:rsidRPr="00EE3355" w14:paraId="72217BF4" w14:textId="77777777" w:rsidTr="004B5E82">
        <w:trPr>
          <w:cantSplit/>
          <w:trHeight w:val="20"/>
        </w:trPr>
        <w:tc>
          <w:tcPr>
            <w:tcW w:w="4063" w:type="dxa"/>
          </w:tcPr>
          <w:p w14:paraId="09E08961" w14:textId="77777777" w:rsidR="00222DE0" w:rsidRPr="00EE3355" w:rsidRDefault="0098273B" w:rsidP="00EA1CDF">
            <w:pPr>
              <w:pStyle w:val="TableParagraph"/>
              <w:widowControl/>
              <w:rPr>
                <w:sz w:val="14"/>
              </w:rPr>
            </w:pPr>
            <w:r w:rsidRPr="00EE3355">
              <w:t>Koeficient kumulace pro C</w:t>
            </w:r>
            <w:r w:rsidR="00C5127F" w:rsidRPr="00EE3355">
              <w:rPr>
                <w:vertAlign w:val="subscript"/>
              </w:rPr>
              <w:t>údolní</w:t>
            </w:r>
          </w:p>
        </w:tc>
        <w:tc>
          <w:tcPr>
            <w:tcW w:w="2410" w:type="dxa"/>
          </w:tcPr>
          <w:p w14:paraId="0602F1AF" w14:textId="77777777" w:rsidR="00222DE0" w:rsidRPr="00EE3355" w:rsidRDefault="0098273B" w:rsidP="00EA1CDF">
            <w:pPr>
              <w:pStyle w:val="TableParagraph"/>
              <w:widowControl/>
              <w:jc w:val="center"/>
            </w:pPr>
            <w:r w:rsidRPr="00EE3355">
              <w:t>3,20</w:t>
            </w:r>
          </w:p>
        </w:tc>
        <w:tc>
          <w:tcPr>
            <w:tcW w:w="2523" w:type="dxa"/>
          </w:tcPr>
          <w:p w14:paraId="39FE76D4" w14:textId="77777777" w:rsidR="00222DE0" w:rsidRPr="00EE3355" w:rsidRDefault="0098273B" w:rsidP="00EA1CDF">
            <w:pPr>
              <w:pStyle w:val="TableParagraph"/>
              <w:widowControl/>
              <w:jc w:val="center"/>
            </w:pPr>
            <w:r w:rsidRPr="00EE3355">
              <w:t>3,41</w:t>
            </w:r>
          </w:p>
        </w:tc>
      </w:tr>
      <w:tr w:rsidR="00222DE0" w:rsidRPr="00EE3355" w14:paraId="37BA9D05" w14:textId="77777777" w:rsidTr="004B5E82">
        <w:trPr>
          <w:cantSplit/>
          <w:trHeight w:val="20"/>
        </w:trPr>
        <w:tc>
          <w:tcPr>
            <w:tcW w:w="4063" w:type="dxa"/>
          </w:tcPr>
          <w:p w14:paraId="099D30C9" w14:textId="77777777" w:rsidR="00222DE0" w:rsidRPr="00EE3355" w:rsidRDefault="0098273B" w:rsidP="00EA1CDF">
            <w:pPr>
              <w:pStyle w:val="TableParagraph"/>
              <w:widowControl/>
            </w:pPr>
            <w:r w:rsidRPr="00EE3355">
              <w:t>Koeficient kumulace pro C</w:t>
            </w:r>
            <w:r w:rsidRPr="00EE3355">
              <w:rPr>
                <w:sz w:val="14"/>
              </w:rPr>
              <w:t xml:space="preserve">střední </w:t>
            </w:r>
            <w:r w:rsidRPr="00EE3355">
              <w:t>nebo</w:t>
            </w:r>
          </w:p>
          <w:p w14:paraId="6E654D48" w14:textId="77777777" w:rsidR="00222DE0" w:rsidRPr="00EE3355" w:rsidRDefault="0098273B" w:rsidP="00EA1CDF">
            <w:pPr>
              <w:pStyle w:val="TableParagraph"/>
              <w:widowControl/>
            </w:pPr>
            <w:r w:rsidRPr="00EE3355">
              <w:t>AUCτ*</w:t>
            </w:r>
          </w:p>
        </w:tc>
        <w:tc>
          <w:tcPr>
            <w:tcW w:w="2410" w:type="dxa"/>
          </w:tcPr>
          <w:p w14:paraId="3F52C130" w14:textId="77777777" w:rsidR="00222DE0" w:rsidRPr="00EE3355" w:rsidRDefault="0098273B" w:rsidP="00EA1CDF">
            <w:pPr>
              <w:pStyle w:val="TableParagraph"/>
              <w:widowControl/>
              <w:jc w:val="center"/>
            </w:pPr>
            <w:r w:rsidRPr="00EE3355">
              <w:t>2,01</w:t>
            </w:r>
          </w:p>
        </w:tc>
        <w:tc>
          <w:tcPr>
            <w:tcW w:w="2523" w:type="dxa"/>
          </w:tcPr>
          <w:p w14:paraId="64CA15FE" w14:textId="77777777" w:rsidR="00222DE0" w:rsidRPr="00EE3355" w:rsidRDefault="0098273B" w:rsidP="00EA1CDF">
            <w:pPr>
              <w:pStyle w:val="TableParagraph"/>
              <w:widowControl/>
              <w:jc w:val="center"/>
            </w:pPr>
            <w:r w:rsidRPr="00EE3355">
              <w:t>1,95</w:t>
            </w:r>
          </w:p>
        </w:tc>
      </w:tr>
    </w:tbl>
    <w:p w14:paraId="0D26AA4D" w14:textId="77777777" w:rsidR="00222DE0" w:rsidRDefault="0098273B" w:rsidP="00EA1CDF">
      <w:pPr>
        <w:pStyle w:val="a3"/>
        <w:ind w:left="0"/>
      </w:pPr>
      <w:r w:rsidRPr="00EE3355">
        <w:t>*τ = 2 týdny u intravenózních režimů</w:t>
      </w:r>
    </w:p>
    <w:p w14:paraId="1F600B84" w14:textId="77777777" w:rsidR="0053673C" w:rsidRPr="00EE3355" w:rsidRDefault="0053673C" w:rsidP="00EA1CDF">
      <w:pPr>
        <w:pStyle w:val="a3"/>
        <w:ind w:left="0"/>
      </w:pPr>
    </w:p>
    <w:p w14:paraId="42A67BA1" w14:textId="77777777" w:rsidR="00222DE0" w:rsidRPr="00EE3355" w:rsidRDefault="0098273B" w:rsidP="00EA1CDF">
      <w:pPr>
        <w:pStyle w:val="a3"/>
        <w:widowControl/>
        <w:ind w:left="0"/>
      </w:pPr>
      <w:r w:rsidRPr="00EE3355">
        <w:t>Po intravenózním podání bylo dosaženo přibližně 90 % ustáleného stavu do týdne 8, jak v režimu 12 mg/kg (tělesná hmotnost &lt; 30 kg) tak 8 mg/kg (tělesná hmotnost ≥ 30 kg) každé dva týdny.</w:t>
      </w:r>
    </w:p>
    <w:p w14:paraId="07E19D91" w14:textId="77777777" w:rsidR="00222DE0" w:rsidRPr="00EE3355" w:rsidRDefault="00222DE0" w:rsidP="00EA1CDF">
      <w:pPr>
        <w:pStyle w:val="a3"/>
        <w:widowControl/>
        <w:ind w:left="0"/>
      </w:pPr>
    </w:p>
    <w:p w14:paraId="7566817D" w14:textId="77777777" w:rsidR="00222DE0" w:rsidRPr="00EE3355" w:rsidRDefault="0098273B" w:rsidP="00EA1CDF">
      <w:pPr>
        <w:pStyle w:val="a3"/>
        <w:widowControl/>
        <w:ind w:left="0"/>
      </w:pPr>
      <w:r w:rsidRPr="00EE3355">
        <w:t>U pacientů se sJIA byl centrální distribuční objem 1,87 l a periferní distribuční objem 2,14 l, což vedlo k distribučnímu objemu 4,01 l v ustáleném stavu. Lineární clearance, odhadovaná jako parametr</w:t>
      </w:r>
      <w:r w:rsidR="005507B8" w:rsidRPr="00EE3355">
        <w:t xml:space="preserve"> </w:t>
      </w:r>
      <w:r w:rsidRPr="00EE3355">
        <w:t>v populační farmakokinetické analýze, byla 5,7 ml/hod.</w:t>
      </w:r>
    </w:p>
    <w:p w14:paraId="788292FD" w14:textId="77777777" w:rsidR="00222DE0" w:rsidRPr="00EE3355" w:rsidRDefault="00222DE0" w:rsidP="00EA1CDF">
      <w:pPr>
        <w:pStyle w:val="a3"/>
        <w:widowControl/>
        <w:ind w:left="0"/>
      </w:pPr>
    </w:p>
    <w:p w14:paraId="444DFA68" w14:textId="77777777" w:rsidR="00222DE0" w:rsidRPr="00EE3355" w:rsidRDefault="0098273B" w:rsidP="00EA1CDF">
      <w:pPr>
        <w:pStyle w:val="a3"/>
        <w:widowControl/>
        <w:ind w:left="0"/>
      </w:pPr>
      <w:r w:rsidRPr="00EE3355">
        <w:t>Poločas tocilizumabu u pacientů se sJIA je ve 12. týdnu až 16 dnů v obou kategoriích tělesné</w:t>
      </w:r>
      <w:r w:rsidR="005507B8" w:rsidRPr="00EE3355">
        <w:t xml:space="preserve"> </w:t>
      </w:r>
      <w:r w:rsidRPr="00EE3355">
        <w:t>hmotnosti (8 mg/kg pro tělesnou hmotnost ≥ 30 kg nebo 12 mg/kg pro tělesnou hmotnost &lt; 30 kg).</w:t>
      </w:r>
    </w:p>
    <w:p w14:paraId="7E8C436A" w14:textId="77777777" w:rsidR="005507B8" w:rsidRPr="00EE3355" w:rsidRDefault="005507B8" w:rsidP="00EA1CDF">
      <w:pPr>
        <w:widowControl/>
        <w:jc w:val="both"/>
        <w:rPr>
          <w:i/>
        </w:rPr>
      </w:pPr>
    </w:p>
    <w:p w14:paraId="66033F54" w14:textId="77777777" w:rsidR="00222DE0" w:rsidRPr="00EE3355" w:rsidRDefault="0098273B" w:rsidP="00EA1CDF">
      <w:pPr>
        <w:widowControl/>
        <w:jc w:val="both"/>
        <w:rPr>
          <w:i/>
        </w:rPr>
      </w:pPr>
      <w:r w:rsidRPr="00EE3355">
        <w:rPr>
          <w:i/>
        </w:rPr>
        <w:t>Pacienti s pJIA:</w:t>
      </w:r>
    </w:p>
    <w:p w14:paraId="25A1633E" w14:textId="77777777" w:rsidR="00222DE0" w:rsidRPr="00EE3355" w:rsidRDefault="0098273B" w:rsidP="00EA1CDF">
      <w:pPr>
        <w:pStyle w:val="a3"/>
        <w:widowControl/>
        <w:ind w:left="0"/>
        <w:jc w:val="both"/>
      </w:pPr>
      <w:r w:rsidRPr="00EE3355">
        <w:t>Famkakokinetika tocilizumabu u pacientů s pJIA byla charakterizována populační farmakokinetickou</w:t>
      </w:r>
      <w:r w:rsidR="005507B8" w:rsidRPr="00EE3355">
        <w:t xml:space="preserve"> </w:t>
      </w:r>
      <w:r w:rsidRPr="00EE3355">
        <w:t>analýzou, která zahrnovala 237 pacientů léčených dávkou 8 mg/kg podanou intravenózně každé 4 týdny (pacienti s tělesnou hmotností ≥ 30 kg), 10 mg/kg podanou intravenózně každé 4 týdny (pacienti s tělesnou hmotností &lt; 30 kg), 162 mg podanou subkutánně každé 2 týdny (pacienti</w:t>
      </w:r>
      <w:r w:rsidR="005507B8" w:rsidRPr="00EE3355">
        <w:t xml:space="preserve"> </w:t>
      </w:r>
      <w:r w:rsidRPr="00EE3355">
        <w:t>s tělesnou hmotností ≥ 30 kg) nebo 162 mg podanou subkutánně každé 3 týdny (pacienti s tělesnou</w:t>
      </w:r>
    </w:p>
    <w:p w14:paraId="3B690050" w14:textId="77777777" w:rsidR="00222DE0" w:rsidRPr="00EE3355" w:rsidRDefault="0098273B" w:rsidP="00EA1CDF">
      <w:pPr>
        <w:pStyle w:val="a3"/>
        <w:widowControl/>
        <w:ind w:left="0"/>
        <w:jc w:val="both"/>
      </w:pPr>
      <w:r w:rsidRPr="00EE3355">
        <w:t>hmotností &lt; 30 kg).</w:t>
      </w:r>
    </w:p>
    <w:p w14:paraId="463DDF25" w14:textId="77777777" w:rsidR="005507B8" w:rsidRPr="00EE3355" w:rsidRDefault="005507B8" w:rsidP="00EA1CDF">
      <w:pPr>
        <w:pStyle w:val="a3"/>
        <w:widowControl/>
        <w:ind w:left="0"/>
        <w:jc w:val="both"/>
      </w:pPr>
    </w:p>
    <w:p w14:paraId="4EA65F5D" w14:textId="77777777" w:rsidR="00222DE0" w:rsidRPr="00EE3355" w:rsidRDefault="0098273B" w:rsidP="00EA1CDF">
      <w:pPr>
        <w:widowControl/>
        <w:ind w:left="1418" w:hanging="1418"/>
        <w:rPr>
          <w:i/>
        </w:rPr>
      </w:pPr>
      <w:r w:rsidRPr="00EE3355">
        <w:rPr>
          <w:i/>
        </w:rPr>
        <w:t>Tabulka 12.</w:t>
      </w:r>
      <w:r w:rsidR="00D360E1" w:rsidRPr="00EE3355">
        <w:rPr>
          <w:i/>
        </w:rPr>
        <w:tab/>
      </w:r>
      <w:r w:rsidRPr="00EE3355">
        <w:rPr>
          <w:i/>
        </w:rPr>
        <w:t>Predikované střední hodnoty ± SD pro PK parametry v ustáleném stavu po intravenózním podání pacientům s</w:t>
      </w:r>
      <w:r w:rsidR="005507B8" w:rsidRPr="00EE3355">
        <w:rPr>
          <w:i/>
        </w:rPr>
        <w:t> </w:t>
      </w:r>
      <w:r w:rsidRPr="00EE3355">
        <w:rPr>
          <w:i/>
        </w:rPr>
        <w:t>pJIA</w:t>
      </w:r>
    </w:p>
    <w:p w14:paraId="5FA55337" w14:textId="77777777" w:rsidR="005507B8" w:rsidRPr="00EE3355" w:rsidRDefault="005507B8" w:rsidP="00EA1CDF">
      <w:pPr>
        <w:widowControl/>
        <w:rPr>
          <w: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4105"/>
        <w:gridCol w:w="2410"/>
        <w:gridCol w:w="2523"/>
      </w:tblGrid>
      <w:tr w:rsidR="00222DE0" w:rsidRPr="0053673C" w14:paraId="636645CB" w14:textId="77777777" w:rsidTr="004B5E82">
        <w:trPr>
          <w:cantSplit/>
          <w:trHeight w:val="20"/>
        </w:trPr>
        <w:tc>
          <w:tcPr>
            <w:tcW w:w="4105" w:type="dxa"/>
          </w:tcPr>
          <w:p w14:paraId="64765C6A" w14:textId="049E644D" w:rsidR="00222DE0" w:rsidRPr="00B93217" w:rsidRDefault="0098273B" w:rsidP="0053673C">
            <w:pPr>
              <w:pStyle w:val="TableParagraph"/>
              <w:widowControl/>
              <w:rPr>
                <w:b/>
              </w:rPr>
            </w:pPr>
            <w:r w:rsidRPr="00B93217">
              <w:rPr>
                <w:b/>
              </w:rPr>
              <w:t>PK parametr</w:t>
            </w:r>
            <w:r w:rsidR="00FE4995" w:rsidRPr="00B93217">
              <w:rPr>
                <w:b/>
              </w:rPr>
              <w:t xml:space="preserve"> </w:t>
            </w:r>
            <w:r w:rsidR="00D57525" w:rsidRPr="00B93217">
              <w:rPr>
                <w:b/>
                <w:bCs/>
              </w:rPr>
              <w:t>tocilizumab</w:t>
            </w:r>
            <w:r w:rsidR="00D57525" w:rsidRPr="00B93217">
              <w:rPr>
                <w:b/>
              </w:rPr>
              <w:t>u</w:t>
            </w:r>
          </w:p>
        </w:tc>
        <w:tc>
          <w:tcPr>
            <w:tcW w:w="2410" w:type="dxa"/>
          </w:tcPr>
          <w:p w14:paraId="2BC43CE1" w14:textId="77777777" w:rsidR="00222DE0" w:rsidRPr="00B93217" w:rsidRDefault="0098273B" w:rsidP="0053673C">
            <w:pPr>
              <w:pStyle w:val="TableParagraph"/>
              <w:widowControl/>
              <w:jc w:val="center"/>
              <w:rPr>
                <w:b/>
              </w:rPr>
            </w:pPr>
            <w:r w:rsidRPr="00B93217">
              <w:rPr>
                <w:b/>
              </w:rPr>
              <w:t>8 mg/kg každé 4 týdny</w:t>
            </w:r>
            <w:r w:rsidR="00FE4995" w:rsidRPr="00B93217">
              <w:rPr>
                <w:b/>
              </w:rPr>
              <w:t xml:space="preserve"> </w:t>
            </w:r>
            <w:r w:rsidRPr="00B93217">
              <w:rPr>
                <w:b/>
              </w:rPr>
              <w:t>≥ 30 kg</w:t>
            </w:r>
          </w:p>
        </w:tc>
        <w:tc>
          <w:tcPr>
            <w:tcW w:w="2523" w:type="dxa"/>
          </w:tcPr>
          <w:p w14:paraId="22604C92" w14:textId="77777777" w:rsidR="00222DE0" w:rsidRPr="00B93217" w:rsidRDefault="0098273B" w:rsidP="0053673C">
            <w:pPr>
              <w:pStyle w:val="TableParagraph"/>
              <w:widowControl/>
              <w:jc w:val="center"/>
              <w:rPr>
                <w:b/>
              </w:rPr>
            </w:pPr>
            <w:r w:rsidRPr="00B93217">
              <w:rPr>
                <w:b/>
              </w:rPr>
              <w:t>10 mg/kg každé 4 týdny</w:t>
            </w:r>
            <w:r w:rsidR="00FE4995" w:rsidRPr="00B93217">
              <w:rPr>
                <w:b/>
              </w:rPr>
              <w:t xml:space="preserve"> </w:t>
            </w:r>
            <w:r w:rsidRPr="00B93217">
              <w:rPr>
                <w:b/>
              </w:rPr>
              <w:t>&lt; 30 kg</w:t>
            </w:r>
          </w:p>
        </w:tc>
      </w:tr>
      <w:tr w:rsidR="00222DE0" w:rsidRPr="00EE3355" w14:paraId="7135F341" w14:textId="77777777" w:rsidTr="004B5E82">
        <w:trPr>
          <w:cantSplit/>
          <w:trHeight w:val="20"/>
        </w:trPr>
        <w:tc>
          <w:tcPr>
            <w:tcW w:w="4105" w:type="dxa"/>
          </w:tcPr>
          <w:p w14:paraId="659064E5" w14:textId="77777777" w:rsidR="00222DE0" w:rsidRPr="00EE3355" w:rsidRDefault="0098273B" w:rsidP="00EA1CDF">
            <w:pPr>
              <w:pStyle w:val="TableParagraph"/>
              <w:widowControl/>
            </w:pPr>
            <w:r w:rsidRPr="00EE3355">
              <w:t>C</w:t>
            </w:r>
            <w:r w:rsidR="00391AE8" w:rsidRPr="00EE3355">
              <w:rPr>
                <w:vertAlign w:val="subscript"/>
              </w:rPr>
              <w:t>max</w:t>
            </w:r>
            <w:r w:rsidRPr="00EE3355">
              <w:rPr>
                <w:sz w:val="14"/>
              </w:rPr>
              <w:t xml:space="preserve"> </w:t>
            </w:r>
            <w:r w:rsidRPr="00EE3355">
              <w:t>(µg/ml)</w:t>
            </w:r>
          </w:p>
        </w:tc>
        <w:tc>
          <w:tcPr>
            <w:tcW w:w="2410" w:type="dxa"/>
          </w:tcPr>
          <w:p w14:paraId="6F7B9176" w14:textId="77777777" w:rsidR="00222DE0" w:rsidRPr="00EE3355" w:rsidRDefault="0098273B" w:rsidP="00EA1CDF">
            <w:pPr>
              <w:pStyle w:val="TableParagraph"/>
              <w:widowControl/>
              <w:jc w:val="center"/>
            </w:pPr>
            <w:r w:rsidRPr="00EE3355">
              <w:t>183 ± 42,3</w:t>
            </w:r>
          </w:p>
        </w:tc>
        <w:tc>
          <w:tcPr>
            <w:tcW w:w="2523" w:type="dxa"/>
          </w:tcPr>
          <w:p w14:paraId="728847C3" w14:textId="77777777" w:rsidR="00222DE0" w:rsidRPr="00EE3355" w:rsidRDefault="0098273B" w:rsidP="00EA1CDF">
            <w:pPr>
              <w:pStyle w:val="TableParagraph"/>
              <w:widowControl/>
              <w:jc w:val="center"/>
            </w:pPr>
            <w:r w:rsidRPr="00EE3355">
              <w:t xml:space="preserve">168 </w:t>
            </w:r>
            <w:r w:rsidRPr="00EE3355">
              <w:rPr>
                <w:rFonts w:ascii="Symbol" w:hAnsi="Symbol"/>
              </w:rPr>
              <w:t></w:t>
            </w:r>
            <w:r w:rsidRPr="00EE3355">
              <w:t xml:space="preserve"> 24,8</w:t>
            </w:r>
          </w:p>
        </w:tc>
      </w:tr>
      <w:tr w:rsidR="00222DE0" w:rsidRPr="00EE3355" w14:paraId="7CC4501D" w14:textId="77777777" w:rsidTr="004B5E82">
        <w:trPr>
          <w:cantSplit/>
          <w:trHeight w:val="20"/>
        </w:trPr>
        <w:tc>
          <w:tcPr>
            <w:tcW w:w="4105" w:type="dxa"/>
          </w:tcPr>
          <w:p w14:paraId="3DC208B6" w14:textId="77777777" w:rsidR="00222DE0" w:rsidRPr="00EE3355" w:rsidRDefault="0098273B" w:rsidP="00EA1CDF">
            <w:pPr>
              <w:pStyle w:val="TableParagraph"/>
              <w:widowControl/>
            </w:pPr>
            <w:r w:rsidRPr="00EE3355">
              <w:t>C</w:t>
            </w:r>
            <w:r w:rsidR="00C5127F" w:rsidRPr="00EE3355">
              <w:rPr>
                <w:vertAlign w:val="subscript"/>
              </w:rPr>
              <w:t>údolní</w:t>
            </w:r>
            <w:r w:rsidRPr="00EE3355">
              <w:rPr>
                <w:sz w:val="14"/>
              </w:rPr>
              <w:t xml:space="preserve"> </w:t>
            </w:r>
            <w:r w:rsidRPr="00EE3355">
              <w:t>(µg/ml)</w:t>
            </w:r>
          </w:p>
        </w:tc>
        <w:tc>
          <w:tcPr>
            <w:tcW w:w="2410" w:type="dxa"/>
          </w:tcPr>
          <w:p w14:paraId="57D510F2" w14:textId="77777777" w:rsidR="00222DE0" w:rsidRPr="00EE3355" w:rsidRDefault="0098273B" w:rsidP="00EA1CDF">
            <w:pPr>
              <w:pStyle w:val="TableParagraph"/>
              <w:widowControl/>
              <w:jc w:val="center"/>
            </w:pPr>
            <w:r w:rsidRPr="00EE3355">
              <w:t>6,55 ± 7,93</w:t>
            </w:r>
          </w:p>
        </w:tc>
        <w:tc>
          <w:tcPr>
            <w:tcW w:w="2523" w:type="dxa"/>
          </w:tcPr>
          <w:p w14:paraId="23F80429" w14:textId="77777777" w:rsidR="00222DE0" w:rsidRPr="00EE3355" w:rsidRDefault="0098273B" w:rsidP="00EA1CDF">
            <w:pPr>
              <w:pStyle w:val="TableParagraph"/>
              <w:widowControl/>
              <w:jc w:val="center"/>
            </w:pPr>
            <w:r w:rsidRPr="00EE3355">
              <w:t xml:space="preserve">1,47 </w:t>
            </w:r>
            <w:r w:rsidRPr="00EE3355">
              <w:rPr>
                <w:rFonts w:ascii="Symbol" w:hAnsi="Symbol"/>
              </w:rPr>
              <w:t></w:t>
            </w:r>
            <w:r w:rsidRPr="00EE3355">
              <w:t xml:space="preserve"> 2,44</w:t>
            </w:r>
          </w:p>
        </w:tc>
      </w:tr>
      <w:tr w:rsidR="00222DE0" w:rsidRPr="00EE3355" w14:paraId="661AF1B4" w14:textId="77777777" w:rsidTr="004B5E82">
        <w:trPr>
          <w:cantSplit/>
          <w:trHeight w:val="20"/>
        </w:trPr>
        <w:tc>
          <w:tcPr>
            <w:tcW w:w="4105" w:type="dxa"/>
          </w:tcPr>
          <w:p w14:paraId="124263B8" w14:textId="77777777" w:rsidR="00222DE0" w:rsidRPr="00EE3355" w:rsidRDefault="0098273B" w:rsidP="00EA1CDF">
            <w:pPr>
              <w:pStyle w:val="TableParagraph"/>
              <w:widowControl/>
            </w:pPr>
            <w:r w:rsidRPr="00EE3355">
              <w:t>C</w:t>
            </w:r>
            <w:r w:rsidRPr="00EE3355">
              <w:rPr>
                <w:sz w:val="14"/>
              </w:rPr>
              <w:t xml:space="preserve">střední </w:t>
            </w:r>
            <w:r w:rsidRPr="00EE3355">
              <w:t>(µg/ml)</w:t>
            </w:r>
          </w:p>
        </w:tc>
        <w:tc>
          <w:tcPr>
            <w:tcW w:w="2410" w:type="dxa"/>
          </w:tcPr>
          <w:p w14:paraId="17F85500" w14:textId="77777777" w:rsidR="00222DE0" w:rsidRPr="00EE3355" w:rsidRDefault="0098273B" w:rsidP="00EA1CDF">
            <w:pPr>
              <w:pStyle w:val="TableParagraph"/>
              <w:widowControl/>
              <w:jc w:val="center"/>
            </w:pPr>
            <w:r w:rsidRPr="00EE3355">
              <w:t>42,2 ± 13,4</w:t>
            </w:r>
          </w:p>
        </w:tc>
        <w:tc>
          <w:tcPr>
            <w:tcW w:w="2523" w:type="dxa"/>
          </w:tcPr>
          <w:p w14:paraId="2CE19B98" w14:textId="77777777" w:rsidR="00222DE0" w:rsidRPr="00EE3355" w:rsidRDefault="0098273B" w:rsidP="00EA1CDF">
            <w:pPr>
              <w:pStyle w:val="TableParagraph"/>
              <w:widowControl/>
              <w:jc w:val="center"/>
            </w:pPr>
            <w:r w:rsidRPr="00EE3355">
              <w:t xml:space="preserve">31,6 </w:t>
            </w:r>
            <w:r w:rsidRPr="00EE3355">
              <w:rPr>
                <w:rFonts w:ascii="Symbol" w:hAnsi="Symbol"/>
              </w:rPr>
              <w:t></w:t>
            </w:r>
            <w:r w:rsidRPr="00EE3355">
              <w:t xml:space="preserve"> 7,84</w:t>
            </w:r>
          </w:p>
        </w:tc>
      </w:tr>
      <w:tr w:rsidR="00222DE0" w:rsidRPr="00EE3355" w14:paraId="561AD610" w14:textId="77777777" w:rsidTr="004B5E82">
        <w:trPr>
          <w:cantSplit/>
          <w:trHeight w:val="20"/>
        </w:trPr>
        <w:tc>
          <w:tcPr>
            <w:tcW w:w="4105" w:type="dxa"/>
          </w:tcPr>
          <w:p w14:paraId="32B77E47" w14:textId="77777777" w:rsidR="00222DE0" w:rsidRPr="00EE3355" w:rsidRDefault="0098273B" w:rsidP="00EA1CDF">
            <w:pPr>
              <w:pStyle w:val="TableParagraph"/>
              <w:widowControl/>
              <w:rPr>
                <w:sz w:val="14"/>
              </w:rPr>
            </w:pPr>
            <w:r w:rsidRPr="00EE3355">
              <w:t>Koeficient kumulace pro C</w:t>
            </w:r>
            <w:r w:rsidR="00C5127F" w:rsidRPr="00EE3355">
              <w:rPr>
                <w:vertAlign w:val="subscript"/>
              </w:rPr>
              <w:t>max</w:t>
            </w:r>
          </w:p>
        </w:tc>
        <w:tc>
          <w:tcPr>
            <w:tcW w:w="2410" w:type="dxa"/>
          </w:tcPr>
          <w:p w14:paraId="4474353F" w14:textId="77777777" w:rsidR="00222DE0" w:rsidRPr="00EE3355" w:rsidRDefault="0098273B" w:rsidP="00EA1CDF">
            <w:pPr>
              <w:pStyle w:val="TableParagraph"/>
              <w:widowControl/>
              <w:jc w:val="center"/>
            </w:pPr>
            <w:r w:rsidRPr="00EE3355">
              <w:t>1,04</w:t>
            </w:r>
          </w:p>
        </w:tc>
        <w:tc>
          <w:tcPr>
            <w:tcW w:w="2523" w:type="dxa"/>
          </w:tcPr>
          <w:p w14:paraId="392B885B" w14:textId="77777777" w:rsidR="00222DE0" w:rsidRPr="00EE3355" w:rsidRDefault="0098273B" w:rsidP="00EA1CDF">
            <w:pPr>
              <w:pStyle w:val="TableParagraph"/>
              <w:widowControl/>
              <w:jc w:val="center"/>
            </w:pPr>
            <w:r w:rsidRPr="00EE3355">
              <w:t>1,01</w:t>
            </w:r>
          </w:p>
        </w:tc>
      </w:tr>
      <w:tr w:rsidR="00222DE0" w:rsidRPr="00EE3355" w14:paraId="3DBB2569" w14:textId="77777777" w:rsidTr="004B5E82">
        <w:trPr>
          <w:cantSplit/>
          <w:trHeight w:val="20"/>
        </w:trPr>
        <w:tc>
          <w:tcPr>
            <w:tcW w:w="4105" w:type="dxa"/>
          </w:tcPr>
          <w:p w14:paraId="5E92F6D5" w14:textId="77777777" w:rsidR="00222DE0" w:rsidRPr="00EE3355" w:rsidRDefault="0098273B" w:rsidP="00EA1CDF">
            <w:pPr>
              <w:pStyle w:val="TableParagraph"/>
              <w:widowControl/>
              <w:rPr>
                <w:sz w:val="14"/>
              </w:rPr>
            </w:pPr>
            <w:r w:rsidRPr="00EE3355">
              <w:t>Koeficient kumulace pro C</w:t>
            </w:r>
            <w:r w:rsidRPr="00EE3355">
              <w:rPr>
                <w:sz w:val="14"/>
              </w:rPr>
              <w:t>údolní</w:t>
            </w:r>
          </w:p>
        </w:tc>
        <w:tc>
          <w:tcPr>
            <w:tcW w:w="2410" w:type="dxa"/>
          </w:tcPr>
          <w:p w14:paraId="47142D1C" w14:textId="77777777" w:rsidR="00222DE0" w:rsidRPr="00EE3355" w:rsidRDefault="0098273B" w:rsidP="00EA1CDF">
            <w:pPr>
              <w:pStyle w:val="TableParagraph"/>
              <w:widowControl/>
              <w:jc w:val="center"/>
            </w:pPr>
            <w:r w:rsidRPr="00EE3355">
              <w:t>2,22</w:t>
            </w:r>
          </w:p>
        </w:tc>
        <w:tc>
          <w:tcPr>
            <w:tcW w:w="2523" w:type="dxa"/>
          </w:tcPr>
          <w:p w14:paraId="6C135BF1" w14:textId="77777777" w:rsidR="00222DE0" w:rsidRPr="00EE3355" w:rsidRDefault="0098273B" w:rsidP="00EA1CDF">
            <w:pPr>
              <w:pStyle w:val="TableParagraph"/>
              <w:widowControl/>
              <w:jc w:val="center"/>
            </w:pPr>
            <w:r w:rsidRPr="00EE3355">
              <w:t>1,43</w:t>
            </w:r>
          </w:p>
        </w:tc>
      </w:tr>
      <w:tr w:rsidR="00222DE0" w:rsidRPr="00EE3355" w14:paraId="5F7F5D61" w14:textId="77777777" w:rsidTr="004B5E82">
        <w:trPr>
          <w:cantSplit/>
          <w:trHeight w:val="20"/>
        </w:trPr>
        <w:tc>
          <w:tcPr>
            <w:tcW w:w="4105" w:type="dxa"/>
          </w:tcPr>
          <w:p w14:paraId="4F970689" w14:textId="77777777" w:rsidR="00222DE0" w:rsidRPr="00EE3355" w:rsidRDefault="0098273B" w:rsidP="00EA1CDF">
            <w:pPr>
              <w:pStyle w:val="TableParagraph"/>
              <w:widowControl/>
            </w:pPr>
            <w:r w:rsidRPr="00EE3355">
              <w:t>Koeficient kumulace pro C</w:t>
            </w:r>
            <w:r w:rsidRPr="00EE3355">
              <w:rPr>
                <w:sz w:val="14"/>
              </w:rPr>
              <w:t xml:space="preserve">střední </w:t>
            </w:r>
            <w:r w:rsidRPr="00EE3355">
              <w:t>nebo</w:t>
            </w:r>
            <w:r w:rsidR="004B5E82">
              <w:t xml:space="preserve"> </w:t>
            </w:r>
            <w:r w:rsidRPr="00EE3355">
              <w:t>AUCτ*</w:t>
            </w:r>
          </w:p>
        </w:tc>
        <w:tc>
          <w:tcPr>
            <w:tcW w:w="2410" w:type="dxa"/>
          </w:tcPr>
          <w:p w14:paraId="6FE283FE" w14:textId="77777777" w:rsidR="00222DE0" w:rsidRPr="00EE3355" w:rsidRDefault="0098273B" w:rsidP="00EA1CDF">
            <w:pPr>
              <w:pStyle w:val="TableParagraph"/>
              <w:widowControl/>
              <w:jc w:val="center"/>
            </w:pPr>
            <w:r w:rsidRPr="00EE3355">
              <w:t>1,16</w:t>
            </w:r>
          </w:p>
        </w:tc>
        <w:tc>
          <w:tcPr>
            <w:tcW w:w="2523" w:type="dxa"/>
          </w:tcPr>
          <w:p w14:paraId="5FEE9963" w14:textId="77777777" w:rsidR="00222DE0" w:rsidRPr="00EE3355" w:rsidRDefault="0098273B" w:rsidP="00EA1CDF">
            <w:pPr>
              <w:pStyle w:val="TableParagraph"/>
              <w:widowControl/>
              <w:jc w:val="center"/>
            </w:pPr>
            <w:r w:rsidRPr="00EE3355">
              <w:t>1,05</w:t>
            </w:r>
          </w:p>
        </w:tc>
      </w:tr>
    </w:tbl>
    <w:p w14:paraId="342E3A17" w14:textId="77777777" w:rsidR="00222DE0" w:rsidRPr="00EE3355" w:rsidRDefault="0098273B" w:rsidP="00EA1CDF">
      <w:pPr>
        <w:pStyle w:val="a3"/>
        <w:ind w:left="0"/>
      </w:pPr>
      <w:r w:rsidRPr="00EE3355">
        <w:t>*τ = 4 týdny u intravenózních režimů</w:t>
      </w:r>
    </w:p>
    <w:p w14:paraId="6C7754C0" w14:textId="77777777" w:rsidR="00B764A0" w:rsidRPr="00EE3355" w:rsidRDefault="00B764A0" w:rsidP="00EA1CDF">
      <w:pPr>
        <w:pStyle w:val="a3"/>
        <w:widowControl/>
        <w:ind w:left="0"/>
      </w:pPr>
    </w:p>
    <w:p w14:paraId="38FB4622" w14:textId="77777777" w:rsidR="00222DE0" w:rsidRPr="00EE3355" w:rsidRDefault="0098273B" w:rsidP="00EA1CDF">
      <w:pPr>
        <w:pStyle w:val="a3"/>
        <w:widowControl/>
        <w:ind w:left="0"/>
      </w:pPr>
      <w:r w:rsidRPr="00EE3355">
        <w:t>Po intravenózním podání bylo dosaženo přibližně 90 % ustáleného stavu do týdne 12 pro dávku 10 mg/kg (tělesná hmotnost &lt; 30 kg) a do týdne 16 pro dávku 8 mg/kg (tělesná hmotnost ≥ 30 kg).</w:t>
      </w:r>
    </w:p>
    <w:p w14:paraId="1ABE4DE9" w14:textId="77777777" w:rsidR="00B764A0" w:rsidRPr="00EE3355" w:rsidRDefault="00B764A0" w:rsidP="00EA1CDF">
      <w:pPr>
        <w:pStyle w:val="a3"/>
        <w:widowControl/>
        <w:ind w:left="0"/>
      </w:pPr>
    </w:p>
    <w:p w14:paraId="11BFA908" w14:textId="77777777" w:rsidR="00222DE0" w:rsidRPr="00EE3355" w:rsidRDefault="0098273B" w:rsidP="00EA1CDF">
      <w:pPr>
        <w:pStyle w:val="a3"/>
        <w:widowControl/>
        <w:ind w:left="0"/>
      </w:pPr>
      <w:r w:rsidRPr="00EE3355">
        <w:t>Poločas tocilizumabu u pacientů s pJIA je až do 16. dne pro obě kategorie tělesné hmotnosti (8 mg/kg pro tělesnou hmotnost ≥ 30 kg nebo 10 mg/kg pro tělesnou hmotnost &lt; 30 kg) během dávkovacího intervalu v ustáleném stavu.</w:t>
      </w:r>
    </w:p>
    <w:p w14:paraId="00C45307" w14:textId="77777777" w:rsidR="00222DE0" w:rsidRPr="00EE3355" w:rsidRDefault="00222DE0" w:rsidP="00EA1CDF">
      <w:pPr>
        <w:pStyle w:val="a3"/>
        <w:widowControl/>
        <w:ind w:left="0"/>
      </w:pPr>
    </w:p>
    <w:p w14:paraId="06B1F316" w14:textId="77777777" w:rsidR="00222DE0" w:rsidRPr="00EE3355" w:rsidRDefault="00B23DAE" w:rsidP="00EA1CDF">
      <w:pPr>
        <w:pStyle w:val="2"/>
        <w:keepNext/>
        <w:tabs>
          <w:tab w:val="left" w:pos="804"/>
        </w:tabs>
        <w:ind w:left="567" w:hanging="567"/>
      </w:pPr>
      <w:r w:rsidRPr="00EE3355">
        <w:t>5.3</w:t>
      </w:r>
      <w:r w:rsidRPr="00EE3355">
        <w:tab/>
      </w:r>
      <w:r w:rsidR="0098273B" w:rsidRPr="00EE3355">
        <w:t>Předklinické údaje vztahující se k</w:t>
      </w:r>
      <w:r w:rsidR="00B764A0" w:rsidRPr="00EE3355">
        <w:t> </w:t>
      </w:r>
      <w:r w:rsidR="0098273B" w:rsidRPr="00EE3355">
        <w:t>bezpečnosti</w:t>
      </w:r>
    </w:p>
    <w:p w14:paraId="73C747AA" w14:textId="77777777" w:rsidR="00B764A0" w:rsidRPr="00EE3355" w:rsidRDefault="00B764A0" w:rsidP="002963AA"/>
    <w:p w14:paraId="3F1544B3" w14:textId="77777777" w:rsidR="00222DE0" w:rsidRPr="00EE3355" w:rsidRDefault="0098273B" w:rsidP="00EA1CDF">
      <w:pPr>
        <w:pStyle w:val="a3"/>
        <w:widowControl/>
        <w:ind w:left="0"/>
      </w:pPr>
      <w:r w:rsidRPr="00EE3355">
        <w:t>Neklinické údaje získané na základě konvenčních farmakologických studií bezpečnosti, toxicity po opakovaném podávání, genotoxicity, hodnocení kancerogenního potenciálu a reprodukční toxicity neodhalily žádné zvláštní riziko pro člověka.</w:t>
      </w:r>
    </w:p>
    <w:p w14:paraId="2DF95388" w14:textId="77777777" w:rsidR="00222DE0" w:rsidRPr="00EE3355" w:rsidRDefault="0098273B" w:rsidP="00EA1CDF">
      <w:pPr>
        <w:pStyle w:val="a3"/>
        <w:widowControl/>
        <w:ind w:left="0"/>
      </w:pPr>
      <w:r w:rsidRPr="00EE3355">
        <w:t>Studie kancerogenity nebyly provedeny, neboť se předpokládá, že monoklonální protilátky IgG1</w:t>
      </w:r>
      <w:r w:rsidR="00B764A0" w:rsidRPr="00EE3355">
        <w:t xml:space="preserve"> </w:t>
      </w:r>
      <w:r w:rsidRPr="00EE3355">
        <w:t>nemají vlastní kancerogenní potenciál.</w:t>
      </w:r>
    </w:p>
    <w:p w14:paraId="51064D57" w14:textId="77777777" w:rsidR="00222DE0" w:rsidRPr="00EE3355" w:rsidRDefault="00222DE0" w:rsidP="00EA1CDF">
      <w:pPr>
        <w:pStyle w:val="a3"/>
        <w:widowControl/>
        <w:ind w:left="0"/>
      </w:pPr>
    </w:p>
    <w:p w14:paraId="79D1E0A3" w14:textId="77777777" w:rsidR="00222DE0" w:rsidRPr="00EE3355" w:rsidRDefault="0098273B" w:rsidP="00EA1CDF">
      <w:pPr>
        <w:pStyle w:val="a3"/>
        <w:widowControl/>
        <w:ind w:left="0"/>
      </w:pPr>
      <w:r w:rsidRPr="00EE3355">
        <w:t>Dostupná preklinická data ukazují na přispění IL-6 k maligní progresi a rezistenci k apoptóze u různých typů nádorů. Tyto údaje nepoukazují na významné riziko vzniku a progrese nádorového onemocnění při léčbě tocilizumabem. Při chronické depleci IL-6 u 6měsíčních chronických studiích toxicity u opic Cynomolgus ani u myší s deficitem IL-6 nebyly pozorovány proliferační léze.</w:t>
      </w:r>
    </w:p>
    <w:p w14:paraId="03A3CBD9" w14:textId="77777777" w:rsidR="00B764A0" w:rsidRPr="00EE3355" w:rsidRDefault="00B764A0" w:rsidP="00EA1CDF">
      <w:pPr>
        <w:pStyle w:val="a3"/>
        <w:widowControl/>
        <w:ind w:left="0"/>
      </w:pPr>
    </w:p>
    <w:p w14:paraId="3DCFF669" w14:textId="4B7A9592" w:rsidR="00222DE0" w:rsidRPr="00EE3355" w:rsidRDefault="0098273B" w:rsidP="00EA1CDF">
      <w:pPr>
        <w:pStyle w:val="a3"/>
        <w:widowControl/>
        <w:ind w:left="0"/>
      </w:pPr>
      <w:r w:rsidRPr="00EE3355">
        <w:t xml:space="preserve">Dostupná preklinická data nenaznačují účinky na fertilitu při užívání tocilizumabu. Účinky na endokrinní aktivitu a reprodukční orgány nebyly ve studiích chronické toxicity u opic Cynomolgus pozorovány a reprodukční schopnosti nebyly u IL-6 deficitních myší porušeny. Podávání </w:t>
      </w:r>
      <w:r w:rsidR="004B417F">
        <w:t>t</w:t>
      </w:r>
      <w:r w:rsidR="004B417F" w:rsidRPr="001879E9">
        <w:t>ocilizumab</w:t>
      </w:r>
      <w:r w:rsidR="004B417F">
        <w:t>u</w:t>
      </w:r>
      <w:r w:rsidRPr="00EE3355">
        <w:t xml:space="preserve"> opicím Cynomolgus v časné gestaci nemělo ani přímý ani nepřímý škodlivý efekt na březost ani embryo-fetální vývoj. Při vysoké systémové expozici (&gt; 100násobek lidské expozice) ve skupině s dávkami 50 mg/kg bylo pozorováno mírné zvýšení potratů /embryo-fetálních úmrtí</w:t>
      </w:r>
      <w:r w:rsidR="00B764A0" w:rsidRPr="00EE3355">
        <w:t xml:space="preserve"> </w:t>
      </w:r>
      <w:r w:rsidRPr="00EE3355">
        <w:t>v porovnání s placebem nebo skupinou s nízkými dávkami. Nicméně se nezdá, že by IL-6 byl kritický cytokin pro fetální růst nebo imunologickou kontrolu maternálního / fetálního vzájemného stavu a vztah těchto nálezů k tocilizumabu nemůže tak být vyloučen.</w:t>
      </w:r>
    </w:p>
    <w:p w14:paraId="6E2CE4EC" w14:textId="77777777" w:rsidR="00B764A0" w:rsidRPr="00EE3355" w:rsidRDefault="00B764A0" w:rsidP="00EA1CDF">
      <w:pPr>
        <w:pStyle w:val="a3"/>
        <w:widowControl/>
        <w:ind w:left="0"/>
      </w:pPr>
    </w:p>
    <w:p w14:paraId="4B571636" w14:textId="77777777" w:rsidR="00222DE0" w:rsidRPr="00EE3355" w:rsidRDefault="0098273B" w:rsidP="00EA1CDF">
      <w:pPr>
        <w:pStyle w:val="a3"/>
        <w:widowControl/>
        <w:ind w:left="0"/>
      </w:pPr>
      <w:r w:rsidRPr="00EE3355">
        <w:t>Léčba myšími analogy nevyvolala toxicitu u mladých myší. Zejména nedošlo k žádné poruše</w:t>
      </w:r>
      <w:r w:rsidR="00B764A0" w:rsidRPr="00EE3355">
        <w:t xml:space="preserve"> </w:t>
      </w:r>
      <w:r w:rsidRPr="00EE3355">
        <w:t>skeletálního růstu, imunitních funkcí ani pohlavní zralosti.</w:t>
      </w:r>
    </w:p>
    <w:p w14:paraId="66FC05C8" w14:textId="77777777" w:rsidR="00B764A0" w:rsidRDefault="00B764A0" w:rsidP="00EA1CDF">
      <w:pPr>
        <w:pStyle w:val="a3"/>
        <w:widowControl/>
        <w:ind w:left="0"/>
      </w:pPr>
    </w:p>
    <w:p w14:paraId="6D76C6A2" w14:textId="77777777" w:rsidR="0053673C" w:rsidRPr="00EE3355" w:rsidRDefault="0053673C" w:rsidP="00EA1CDF">
      <w:pPr>
        <w:pStyle w:val="a3"/>
        <w:widowControl/>
        <w:ind w:left="0"/>
      </w:pPr>
    </w:p>
    <w:p w14:paraId="00AF3429" w14:textId="77777777" w:rsidR="00222DE0" w:rsidRPr="00EE3355" w:rsidRDefault="00B23DAE" w:rsidP="00EA1CDF">
      <w:pPr>
        <w:pStyle w:val="1"/>
        <w:widowControl/>
        <w:tabs>
          <w:tab w:val="left" w:pos="804"/>
        </w:tabs>
        <w:ind w:left="567" w:hanging="567"/>
      </w:pPr>
      <w:r w:rsidRPr="00EE3355">
        <w:t>6.</w:t>
      </w:r>
      <w:r w:rsidRPr="00EE3355">
        <w:tab/>
      </w:r>
      <w:r w:rsidR="0098273B" w:rsidRPr="00EE3355">
        <w:t>FARMACEUTICKÉ ÚDAJE</w:t>
      </w:r>
    </w:p>
    <w:p w14:paraId="5C70AD62" w14:textId="77777777" w:rsidR="00222DE0" w:rsidRPr="00EE3355" w:rsidRDefault="00222DE0" w:rsidP="00EA1CDF">
      <w:pPr>
        <w:pStyle w:val="a3"/>
        <w:widowControl/>
        <w:ind w:left="0"/>
        <w:rPr>
          <w:b/>
        </w:rPr>
      </w:pPr>
    </w:p>
    <w:p w14:paraId="69B8740C" w14:textId="77777777" w:rsidR="00222DE0" w:rsidRPr="00EE3355" w:rsidRDefault="00B23DAE" w:rsidP="00EA1CDF">
      <w:pPr>
        <w:pStyle w:val="2"/>
        <w:widowControl/>
        <w:tabs>
          <w:tab w:val="left" w:pos="804"/>
        </w:tabs>
        <w:ind w:left="567" w:hanging="567"/>
      </w:pPr>
      <w:r w:rsidRPr="00EE3355">
        <w:t>6.1</w:t>
      </w:r>
      <w:r w:rsidRPr="00EE3355">
        <w:tab/>
      </w:r>
      <w:r w:rsidR="0098273B" w:rsidRPr="00EE3355">
        <w:t>Seznam pomocných látek</w:t>
      </w:r>
    </w:p>
    <w:p w14:paraId="6448E7CB" w14:textId="77777777" w:rsidR="00F86677" w:rsidRPr="00EE3355" w:rsidRDefault="00F86677" w:rsidP="00EA1CDF">
      <w:pPr>
        <w:pStyle w:val="a3"/>
        <w:widowControl/>
        <w:ind w:left="0"/>
      </w:pPr>
    </w:p>
    <w:p w14:paraId="5BF1451D" w14:textId="38C8D356" w:rsidR="00C962BF" w:rsidRDefault="00D57525" w:rsidP="00EA1CDF">
      <w:pPr>
        <w:pStyle w:val="a3"/>
        <w:widowControl/>
        <w:ind w:left="0"/>
        <w:rPr>
          <w:rFonts w:eastAsia="맑은 고딕"/>
          <w:lang w:eastAsia="ko-KR"/>
        </w:rPr>
      </w:pPr>
      <w:bookmarkStart w:id="10" w:name="_Hlk183552501"/>
      <w:r>
        <w:t>L-Histidin</w:t>
      </w:r>
    </w:p>
    <w:p w14:paraId="67ECE95F" w14:textId="72B8DD77" w:rsidR="00AD6345" w:rsidRPr="002F0CCA" w:rsidRDefault="00AD6345" w:rsidP="00395E0C">
      <w:pPr>
        <w:pStyle w:val="a3"/>
        <w:widowControl/>
        <w:ind w:left="0"/>
        <w:rPr>
          <w:rFonts w:eastAsia="맑은 고딕"/>
          <w:lang w:eastAsia="ko-KR"/>
        </w:rPr>
      </w:pPr>
      <w:r w:rsidRPr="00AD6345">
        <w:rPr>
          <w:rFonts w:eastAsia="맑은 고딕" w:hint="eastAsia"/>
          <w:lang w:eastAsia="ko-KR"/>
        </w:rPr>
        <w:t>Monohydrát histidin-hydrochloridu</w:t>
      </w:r>
    </w:p>
    <w:p w14:paraId="5F56B4EA" w14:textId="1CBA335D" w:rsidR="00D57525" w:rsidRDefault="00D57525" w:rsidP="00EA1CDF">
      <w:pPr>
        <w:pStyle w:val="a3"/>
        <w:widowControl/>
        <w:ind w:left="0"/>
      </w:pPr>
      <w:r>
        <w:t>L-Threonin</w:t>
      </w:r>
    </w:p>
    <w:p w14:paraId="37F62BF8" w14:textId="3DB4C665" w:rsidR="00D57525" w:rsidRPr="00EE3355" w:rsidRDefault="00D57525" w:rsidP="00EA1CDF">
      <w:pPr>
        <w:pStyle w:val="a3"/>
        <w:widowControl/>
        <w:ind w:left="0"/>
      </w:pPr>
      <w:r>
        <w:t>L-Methionin</w:t>
      </w:r>
    </w:p>
    <w:p w14:paraId="51F558BA" w14:textId="77777777" w:rsidR="00222DE0" w:rsidRPr="00EE3355" w:rsidRDefault="0098273B" w:rsidP="00EA1CDF">
      <w:pPr>
        <w:pStyle w:val="a3"/>
        <w:widowControl/>
        <w:ind w:left="0"/>
      </w:pPr>
      <w:r w:rsidRPr="00EE3355">
        <w:t>Polysorbát 80</w:t>
      </w:r>
    </w:p>
    <w:p w14:paraId="40AFD644" w14:textId="5DC77052" w:rsidR="00222DE0" w:rsidRPr="00EE3355" w:rsidRDefault="0098273B" w:rsidP="00EA1CDF">
      <w:pPr>
        <w:pStyle w:val="a3"/>
        <w:widowControl/>
        <w:ind w:left="0"/>
      </w:pPr>
      <w:r w:rsidRPr="00EE3355">
        <w:t>Voda pro injekci</w:t>
      </w:r>
    </w:p>
    <w:bookmarkEnd w:id="10"/>
    <w:p w14:paraId="34BBB43D" w14:textId="77777777" w:rsidR="00222DE0" w:rsidRPr="00EE3355" w:rsidRDefault="00222DE0" w:rsidP="00EA1CDF">
      <w:pPr>
        <w:pStyle w:val="a3"/>
        <w:widowControl/>
        <w:ind w:left="0"/>
      </w:pPr>
    </w:p>
    <w:p w14:paraId="1FFE5138" w14:textId="77777777" w:rsidR="00222DE0" w:rsidRPr="00EE3355" w:rsidRDefault="00B23DAE" w:rsidP="00EA1CDF">
      <w:pPr>
        <w:pStyle w:val="2"/>
        <w:widowControl/>
        <w:tabs>
          <w:tab w:val="left" w:pos="804"/>
        </w:tabs>
        <w:ind w:left="567" w:hanging="567"/>
      </w:pPr>
      <w:r w:rsidRPr="00EE3355">
        <w:t>6.2</w:t>
      </w:r>
      <w:r w:rsidRPr="00EE3355">
        <w:tab/>
      </w:r>
      <w:r w:rsidR="0098273B" w:rsidRPr="00EE3355">
        <w:t>Inkompatibility</w:t>
      </w:r>
    </w:p>
    <w:p w14:paraId="7A7E88A3" w14:textId="77777777" w:rsidR="00C962BF" w:rsidRPr="00EE3355" w:rsidRDefault="00C962BF" w:rsidP="00EA1CDF">
      <w:pPr>
        <w:pStyle w:val="a3"/>
        <w:widowControl/>
        <w:ind w:left="0"/>
      </w:pPr>
    </w:p>
    <w:p w14:paraId="634CD75D" w14:textId="77777777" w:rsidR="00222DE0" w:rsidRPr="00EE3355" w:rsidRDefault="0098273B" w:rsidP="00EA1CDF">
      <w:pPr>
        <w:pStyle w:val="a3"/>
        <w:widowControl/>
        <w:ind w:left="0"/>
      </w:pPr>
      <w:r w:rsidRPr="00EE3355">
        <w:t>Tento léčivý přípravek nesmí být mísen s jinými léčivými přípravky s výjimkou těch, které jsou</w:t>
      </w:r>
      <w:r w:rsidR="004B5E82">
        <w:t xml:space="preserve"> </w:t>
      </w:r>
      <w:r w:rsidRPr="00EE3355">
        <w:t>uvedeny v bodě 6.6.</w:t>
      </w:r>
    </w:p>
    <w:p w14:paraId="15EEF842" w14:textId="77777777" w:rsidR="00222DE0" w:rsidRPr="00EE3355" w:rsidRDefault="00222DE0" w:rsidP="00EA1CDF">
      <w:pPr>
        <w:pStyle w:val="a3"/>
        <w:widowControl/>
        <w:ind w:left="0"/>
      </w:pPr>
    </w:p>
    <w:p w14:paraId="0BB6BDEB" w14:textId="77777777" w:rsidR="00222DE0" w:rsidRPr="00EE3355" w:rsidRDefault="00B23DAE" w:rsidP="00EA1CDF">
      <w:pPr>
        <w:pStyle w:val="2"/>
        <w:widowControl/>
        <w:tabs>
          <w:tab w:val="left" w:pos="804"/>
        </w:tabs>
        <w:ind w:left="567" w:hanging="567"/>
      </w:pPr>
      <w:r w:rsidRPr="00EE3355">
        <w:t>6.3</w:t>
      </w:r>
      <w:r w:rsidRPr="00EE3355">
        <w:tab/>
      </w:r>
      <w:r w:rsidR="0098273B" w:rsidRPr="00EE3355">
        <w:t>Doba použitelnosti</w:t>
      </w:r>
    </w:p>
    <w:p w14:paraId="7CA08DD9" w14:textId="77777777" w:rsidR="00C962BF" w:rsidRPr="00EE3355" w:rsidRDefault="00C962BF" w:rsidP="00EA1CDF">
      <w:pPr>
        <w:pStyle w:val="a3"/>
        <w:widowControl/>
        <w:ind w:left="0"/>
      </w:pPr>
    </w:p>
    <w:p w14:paraId="366EC7DA" w14:textId="2415A186" w:rsidR="00222DE0" w:rsidRPr="00EE3355" w:rsidRDefault="0098273B" w:rsidP="00EA1CDF">
      <w:pPr>
        <w:pStyle w:val="a3"/>
        <w:widowControl/>
        <w:ind w:left="0"/>
      </w:pPr>
      <w:r w:rsidRPr="00B93217">
        <w:rPr>
          <w:i/>
          <w:iCs/>
        </w:rPr>
        <w:t>Neotevřená injekční lahvička</w:t>
      </w:r>
      <w:r w:rsidRPr="00EE3355">
        <w:t xml:space="preserve">: </w:t>
      </w:r>
      <w:ins w:id="11" w:author="만든 이">
        <w:r w:rsidR="001643DA" w:rsidRPr="001643DA">
          <w:rPr>
            <w:rFonts w:eastAsia="맑은 고딕"/>
            <w:lang w:eastAsia="ko-KR"/>
          </w:rPr>
          <w:t>3 roky</w:t>
        </w:r>
      </w:ins>
      <w:del w:id="12" w:author="만든 이">
        <w:r w:rsidR="003A17F7" w:rsidDel="001643DA">
          <w:rPr>
            <w:rFonts w:eastAsia="맑은 고딕" w:hint="eastAsia"/>
            <w:lang w:eastAsia="ko-KR"/>
          </w:rPr>
          <w:delText>36</w:delText>
        </w:r>
        <w:r w:rsidR="003A17F7" w:rsidRPr="00EE3355" w:rsidDel="001643DA">
          <w:delText xml:space="preserve"> </w:delText>
        </w:r>
        <w:r w:rsidRPr="00EE3355" w:rsidDel="001643DA">
          <w:delText>měsíců</w:delText>
        </w:r>
      </w:del>
    </w:p>
    <w:p w14:paraId="52F5C026" w14:textId="77777777" w:rsidR="00222DE0" w:rsidRPr="00EE3355" w:rsidRDefault="00222DE0" w:rsidP="00EA1CDF">
      <w:pPr>
        <w:pStyle w:val="a3"/>
        <w:widowControl/>
        <w:ind w:left="0"/>
      </w:pPr>
    </w:p>
    <w:p w14:paraId="38D9565C" w14:textId="05429838" w:rsidR="00222DE0" w:rsidRPr="00805678" w:rsidRDefault="0098273B" w:rsidP="00EA1CDF">
      <w:pPr>
        <w:pStyle w:val="a3"/>
        <w:widowControl/>
        <w:ind w:left="0"/>
      </w:pPr>
      <w:r w:rsidRPr="00805678">
        <w:rPr>
          <w:i/>
        </w:rPr>
        <w:t xml:space="preserve">Naředěný lék: </w:t>
      </w:r>
      <w:bookmarkStart w:id="13" w:name="_Hlk183642140"/>
      <w:bookmarkStart w:id="14" w:name="_Hlk183595689"/>
      <w:r w:rsidRPr="00805678">
        <w:t>Byla prokázána chemická a fyzikální stabilita připraveného infuzního roztoku po naředění injekčním roztokem chloridu sodného 9 mg/ml</w:t>
      </w:r>
      <w:r w:rsidR="006F2288">
        <w:t xml:space="preserve"> (</w:t>
      </w:r>
      <w:r w:rsidR="006F2288" w:rsidRPr="00805678">
        <w:t>0,9%</w:t>
      </w:r>
      <w:r w:rsidR="006F2288">
        <w:t xml:space="preserve">) </w:t>
      </w:r>
      <w:r w:rsidR="00D57525" w:rsidRPr="00805678">
        <w:t>nebo injek</w:t>
      </w:r>
      <w:r w:rsidR="004F45E9" w:rsidRPr="00805678">
        <w:t xml:space="preserve">čním roztokem chloridu sodného </w:t>
      </w:r>
      <w:r w:rsidR="00D57525" w:rsidRPr="00805678">
        <w:t>4,5 mg/ml (0,45%)</w:t>
      </w:r>
      <w:r w:rsidRPr="00805678">
        <w:t xml:space="preserve">. </w:t>
      </w:r>
      <w:bookmarkEnd w:id="13"/>
      <w:r w:rsidRPr="00805678">
        <w:t xml:space="preserve">Může být uchováván po dobu </w:t>
      </w:r>
      <w:r w:rsidR="00D57525" w:rsidRPr="00805678">
        <w:t>48</w:t>
      </w:r>
      <w:r w:rsidRPr="00805678">
        <w:t xml:space="preserve"> hodin při 30 °C a až po dobu </w:t>
      </w:r>
      <w:r w:rsidR="00D57525" w:rsidRPr="00805678">
        <w:t>1</w:t>
      </w:r>
      <w:r w:rsidR="000A4BDC">
        <w:t> </w:t>
      </w:r>
      <w:r w:rsidR="00D57525" w:rsidRPr="00805678">
        <w:t>měsíce</w:t>
      </w:r>
      <w:r w:rsidRPr="00805678">
        <w:t xml:space="preserve"> v chladničce při 2 °C – 8 °C</w:t>
      </w:r>
      <w:bookmarkEnd w:id="14"/>
      <w:r w:rsidRPr="00805678">
        <w:t>.</w:t>
      </w:r>
    </w:p>
    <w:p w14:paraId="04D2D820" w14:textId="77777777" w:rsidR="00222DE0" w:rsidRPr="00805678" w:rsidRDefault="00222DE0" w:rsidP="00EA1CDF">
      <w:pPr>
        <w:pStyle w:val="a3"/>
        <w:widowControl/>
        <w:ind w:left="0"/>
      </w:pPr>
    </w:p>
    <w:p w14:paraId="27B9E8CB" w14:textId="77777777" w:rsidR="00222DE0" w:rsidRPr="00EE3355" w:rsidRDefault="0098273B" w:rsidP="00EA1CDF">
      <w:pPr>
        <w:pStyle w:val="a3"/>
        <w:widowControl/>
        <w:ind w:left="0"/>
      </w:pPr>
      <w:r w:rsidRPr="00EE3355">
        <w:t>Z mikrobiologického hlediska má být připravený infuzní roztok použit okamžitě. Není-li použit okamžitě, doba a podmínky uchovávání přípravku po otevření před použitím jsou v odpovědnosti uživatele a normálně by doba neměla být delší než 24 hodin při 2 - 8</w:t>
      </w:r>
      <w:r w:rsidRPr="00EE3355">
        <w:rPr>
          <w:vertAlign w:val="superscript"/>
        </w:rPr>
        <w:t>o</w:t>
      </w:r>
      <w:r w:rsidRPr="00EE3355">
        <w:t>C, pokud ředění neproběhlo za kontrolovaných a validovaných aseptických podmínek.</w:t>
      </w:r>
    </w:p>
    <w:p w14:paraId="22246AD2" w14:textId="77777777" w:rsidR="00222DE0" w:rsidRPr="00EE3355" w:rsidRDefault="00222DE0" w:rsidP="00EA1CDF">
      <w:pPr>
        <w:pStyle w:val="a3"/>
        <w:widowControl/>
        <w:ind w:left="0"/>
      </w:pPr>
    </w:p>
    <w:p w14:paraId="6A22C12B" w14:textId="77777777" w:rsidR="00222DE0" w:rsidRPr="00EE3355" w:rsidRDefault="00B23DAE" w:rsidP="00EA1CDF">
      <w:pPr>
        <w:pStyle w:val="2"/>
        <w:widowControl/>
        <w:tabs>
          <w:tab w:val="left" w:pos="804"/>
        </w:tabs>
        <w:ind w:left="567" w:hanging="567"/>
      </w:pPr>
      <w:r w:rsidRPr="00EE3355">
        <w:t>6.4</w:t>
      </w:r>
      <w:r w:rsidRPr="00EE3355">
        <w:tab/>
      </w:r>
      <w:r w:rsidR="0098273B" w:rsidRPr="00EE3355">
        <w:t>Zvláštní opatření pro uchovávání</w:t>
      </w:r>
    </w:p>
    <w:p w14:paraId="52598861" w14:textId="77777777" w:rsidR="00C962BF" w:rsidRPr="00EE3355" w:rsidRDefault="00C962BF" w:rsidP="002963AA"/>
    <w:p w14:paraId="4FD1D172" w14:textId="77777777" w:rsidR="00C962BF" w:rsidRPr="00EE3355" w:rsidRDefault="0098273B" w:rsidP="00EA1CDF">
      <w:pPr>
        <w:pStyle w:val="a3"/>
        <w:widowControl/>
        <w:ind w:left="0"/>
      </w:pPr>
      <w:r w:rsidRPr="00EE3355">
        <w:t>Uchovávejte injekční lahvičky v chladničce (2 °</w:t>
      </w:r>
      <w:r w:rsidR="00C962BF" w:rsidRPr="00EE3355">
        <w:t>C – 8 °C). Chraňte před mrazem.</w:t>
      </w:r>
    </w:p>
    <w:p w14:paraId="3F5CE4F2" w14:textId="77777777" w:rsidR="00C962BF" w:rsidRPr="00EE3355" w:rsidRDefault="00C962BF" w:rsidP="00EA1CDF">
      <w:pPr>
        <w:pStyle w:val="a3"/>
        <w:widowControl/>
        <w:ind w:left="0"/>
      </w:pPr>
    </w:p>
    <w:p w14:paraId="69C7EC48" w14:textId="77777777" w:rsidR="00C962BF" w:rsidRPr="00EE3355" w:rsidRDefault="0098273B" w:rsidP="00EA1CDF">
      <w:pPr>
        <w:pStyle w:val="a3"/>
        <w:widowControl/>
        <w:ind w:left="0"/>
      </w:pPr>
      <w:r w:rsidRPr="00EE3355">
        <w:t>Uchovávejte injekční lahvičku(y) v krabičce, aby byl přípra</w:t>
      </w:r>
      <w:r w:rsidR="00C962BF" w:rsidRPr="00EE3355">
        <w:t>vek chráněn před světlem.</w:t>
      </w:r>
    </w:p>
    <w:p w14:paraId="35C0743A" w14:textId="77777777" w:rsidR="00C962BF" w:rsidRPr="00EE3355" w:rsidRDefault="00C962BF" w:rsidP="00EA1CDF">
      <w:pPr>
        <w:pStyle w:val="a3"/>
        <w:widowControl/>
        <w:ind w:left="0"/>
      </w:pPr>
    </w:p>
    <w:p w14:paraId="3337A864" w14:textId="77777777" w:rsidR="00222DE0" w:rsidRPr="00EE3355" w:rsidRDefault="0098273B" w:rsidP="00EA1CDF">
      <w:pPr>
        <w:pStyle w:val="a3"/>
        <w:widowControl/>
        <w:ind w:left="0"/>
      </w:pPr>
      <w:r w:rsidRPr="00EE3355">
        <w:t>Podmínky uchovávání tohoto léčivého přípravku po jeho naředění jsou uvedeny v bodě 6.3.</w:t>
      </w:r>
    </w:p>
    <w:p w14:paraId="7943DD91" w14:textId="77777777" w:rsidR="00C962BF" w:rsidRPr="00EE3355" w:rsidRDefault="00C962BF" w:rsidP="00EA1CDF">
      <w:pPr>
        <w:pStyle w:val="a3"/>
        <w:widowControl/>
        <w:ind w:left="0"/>
      </w:pPr>
    </w:p>
    <w:p w14:paraId="3B97EA54" w14:textId="77777777" w:rsidR="00222DE0" w:rsidRPr="00EE3355" w:rsidRDefault="00B23DAE" w:rsidP="00EA1CDF">
      <w:pPr>
        <w:pStyle w:val="2"/>
        <w:widowControl/>
        <w:tabs>
          <w:tab w:val="left" w:pos="804"/>
        </w:tabs>
        <w:ind w:left="567" w:hanging="567"/>
      </w:pPr>
      <w:r w:rsidRPr="00EE3355">
        <w:t>6.5</w:t>
      </w:r>
      <w:r w:rsidRPr="00EE3355">
        <w:tab/>
      </w:r>
      <w:r w:rsidR="0098273B" w:rsidRPr="00EE3355">
        <w:t>Druh obalu a obsah balení</w:t>
      </w:r>
    </w:p>
    <w:p w14:paraId="4E056CA9" w14:textId="77777777" w:rsidR="000950B1" w:rsidRPr="00EE3355" w:rsidRDefault="000950B1" w:rsidP="002963AA"/>
    <w:p w14:paraId="4126688F" w14:textId="0B66B1DA" w:rsidR="00222DE0" w:rsidRPr="00EE3355" w:rsidRDefault="00D128CD" w:rsidP="00EA1CDF">
      <w:pPr>
        <w:pStyle w:val="a3"/>
        <w:widowControl/>
        <w:ind w:left="0"/>
      </w:pPr>
      <w:r>
        <w:t>Avtozma</w:t>
      </w:r>
      <w:r w:rsidR="0098273B" w:rsidRPr="00EE3355">
        <w:t xml:space="preserve"> se dodává v injekční lahvičce (sklo typu 1) se zátkou (butylopryž) obsahující 4 ml, 10 ml nebo 20 ml koncentrátu. Balení obsahuje 1 nebo 4 lahvičky.</w:t>
      </w:r>
    </w:p>
    <w:p w14:paraId="798615A1" w14:textId="77777777" w:rsidR="000950B1" w:rsidRPr="00EE3355" w:rsidRDefault="000950B1" w:rsidP="00EA1CDF">
      <w:pPr>
        <w:pStyle w:val="a3"/>
        <w:widowControl/>
        <w:ind w:left="0"/>
      </w:pPr>
    </w:p>
    <w:p w14:paraId="27F8BFF8" w14:textId="77777777" w:rsidR="00222DE0" w:rsidRPr="00EE3355" w:rsidRDefault="0098273B" w:rsidP="00EA1CDF">
      <w:pPr>
        <w:pStyle w:val="a3"/>
        <w:widowControl/>
        <w:ind w:left="0"/>
      </w:pPr>
      <w:r w:rsidRPr="00EE3355">
        <w:t>Na trhu nemusí být všechny velikosti balení.</w:t>
      </w:r>
    </w:p>
    <w:p w14:paraId="0CE957F3" w14:textId="77777777" w:rsidR="00222DE0" w:rsidRPr="00EE3355" w:rsidRDefault="00222DE0" w:rsidP="00EA1CDF">
      <w:pPr>
        <w:pStyle w:val="a3"/>
        <w:widowControl/>
        <w:ind w:left="0"/>
      </w:pPr>
    </w:p>
    <w:p w14:paraId="6EDFCA5C" w14:textId="77777777" w:rsidR="00222DE0" w:rsidRPr="00EE3355" w:rsidRDefault="00B23DAE" w:rsidP="00EA1CDF">
      <w:pPr>
        <w:pStyle w:val="2"/>
        <w:widowControl/>
        <w:tabs>
          <w:tab w:val="left" w:pos="804"/>
        </w:tabs>
        <w:ind w:left="567" w:hanging="567"/>
      </w:pPr>
      <w:r w:rsidRPr="00EE3355">
        <w:t>6.6</w:t>
      </w:r>
      <w:r w:rsidRPr="00EE3355">
        <w:tab/>
      </w:r>
      <w:r w:rsidR="0098273B" w:rsidRPr="00EE3355">
        <w:t>Zvláštní opatření pro likvidaci přípravku a pro zacházení s</w:t>
      </w:r>
      <w:r w:rsidR="000950B1" w:rsidRPr="00EE3355">
        <w:t> </w:t>
      </w:r>
      <w:r w:rsidR="0098273B" w:rsidRPr="00EE3355">
        <w:t>ním</w:t>
      </w:r>
    </w:p>
    <w:p w14:paraId="1A631765" w14:textId="77777777" w:rsidR="000950B1" w:rsidRPr="00EE3355" w:rsidRDefault="000950B1" w:rsidP="002963AA"/>
    <w:p w14:paraId="66854DCA" w14:textId="77777777" w:rsidR="00222DE0" w:rsidRPr="00EE3355" w:rsidRDefault="0098273B" w:rsidP="00EA1CDF">
      <w:pPr>
        <w:pStyle w:val="a3"/>
        <w:widowControl/>
        <w:ind w:left="0"/>
        <w:rPr>
          <w:u w:val="single"/>
        </w:rPr>
      </w:pPr>
      <w:r w:rsidRPr="00EE3355">
        <w:rPr>
          <w:u w:val="single"/>
        </w:rPr>
        <w:t>Návod na naředění před podáním</w:t>
      </w:r>
    </w:p>
    <w:p w14:paraId="23061EE4" w14:textId="7DC1A2AD" w:rsidR="00222DE0" w:rsidRDefault="0098273B" w:rsidP="00EA1CDF">
      <w:pPr>
        <w:pStyle w:val="a3"/>
        <w:widowControl/>
        <w:ind w:left="0"/>
      </w:pPr>
      <w:r w:rsidRPr="00EE3355">
        <w:t xml:space="preserve">Parenterální přípravky mají být před podáváním vizuálně prohlédnuty na přítomnost pevných částic nebo diskolorací. Aplikován smí být pouze čirý až </w:t>
      </w:r>
      <w:r w:rsidR="00D128CD">
        <w:t xml:space="preserve">lehce </w:t>
      </w:r>
      <w:r w:rsidRPr="00EE3355">
        <w:t xml:space="preserve">opalizující, bezbarvý až světle žlutý roztok bez viditelných částic. K přípravě přípravku </w:t>
      </w:r>
      <w:r w:rsidR="00D128CD">
        <w:t>Avtozma</w:t>
      </w:r>
      <w:r w:rsidRPr="00EE3355">
        <w:t xml:space="preserve"> použijte sterilní jehlu a injekční stříkačku.</w:t>
      </w:r>
    </w:p>
    <w:p w14:paraId="39BE6185" w14:textId="3FC194B1" w:rsidR="00D57525" w:rsidRDefault="00D57525" w:rsidP="00D57525">
      <w:r w:rsidRPr="00AD2EBB">
        <w:t>Pro infuzní vaky vyrobené z polyvinylchloridu (PVC) se m</w:t>
      </w:r>
      <w:r w:rsidR="006F2288">
        <w:t>ají</w:t>
      </w:r>
      <w:r w:rsidRPr="00AD2EBB">
        <w:t xml:space="preserve"> používat infuzní vaky, které neobsahují di(2</w:t>
      </w:r>
      <w:r>
        <w:t>-</w:t>
      </w:r>
      <w:r w:rsidRPr="00AD2EBB">
        <w:t>ethylhexyl)ftalát (</w:t>
      </w:r>
      <w:r w:rsidR="006C4BD6">
        <w:t xml:space="preserve">bez </w:t>
      </w:r>
      <w:r w:rsidRPr="00AD2EBB">
        <w:t>DEHP).</w:t>
      </w:r>
    </w:p>
    <w:p w14:paraId="3CDBE8DF" w14:textId="77777777" w:rsidR="00222DE0" w:rsidRPr="00EE3355" w:rsidRDefault="00222DE0" w:rsidP="00EA1CDF">
      <w:pPr>
        <w:pStyle w:val="a3"/>
        <w:widowControl/>
        <w:ind w:left="0"/>
      </w:pPr>
    </w:p>
    <w:p w14:paraId="5B8176E5" w14:textId="77777777" w:rsidR="00222DE0" w:rsidRPr="00EE3355" w:rsidRDefault="0098273B" w:rsidP="00EA1CDF">
      <w:pPr>
        <w:pStyle w:val="a3"/>
        <w:keepNext/>
        <w:widowControl/>
        <w:ind w:left="0"/>
        <w:rPr>
          <w:u w:val="single"/>
        </w:rPr>
      </w:pPr>
      <w:r w:rsidRPr="00EE3355">
        <w:rPr>
          <w:u w:val="single"/>
        </w:rPr>
        <w:t>Pacienti s RA, CRS (≥ 30 kg) a onemocněním COVID-19</w:t>
      </w:r>
    </w:p>
    <w:p w14:paraId="10BB1EC3" w14:textId="4EF4B031" w:rsidR="00222DE0" w:rsidRPr="00EE3355" w:rsidRDefault="0098273B" w:rsidP="00EA1CDF">
      <w:pPr>
        <w:pStyle w:val="a3"/>
        <w:widowControl/>
        <w:ind w:left="0"/>
      </w:pPr>
      <w:r w:rsidRPr="00EE3355">
        <w:t>Za aseptických podmínek odeberte ze 100 ml infuzního vaku objem sterilního, nepyrogenního injekčního roztoku chloridu sodného 9 mg/ml (0,9%)</w:t>
      </w:r>
      <w:r w:rsidR="00D128CD">
        <w:t xml:space="preserve"> nebo 4,5 mg/ml (0,45%)</w:t>
      </w:r>
      <w:r w:rsidRPr="00EE3355">
        <w:t xml:space="preserve">, který se rovná objemu koncentrátu přípravku </w:t>
      </w:r>
      <w:r w:rsidR="00D128CD">
        <w:t>Avtozma</w:t>
      </w:r>
      <w:r w:rsidRPr="00EE3355">
        <w:t xml:space="preserve"> potřebného na dávku pro pacienta. Potřebné množství koncentrátu přípravku </w:t>
      </w:r>
      <w:r w:rsidR="00D128CD">
        <w:t>Avtozma</w:t>
      </w:r>
      <w:r w:rsidRPr="00EE3355">
        <w:t xml:space="preserve"> (0,4 ml/kg) se má odebrat z injekční lahvičky a přenést do 100 ml infuzního vaku. Konečný objem má být 100 ml. K promíchání roztoku jemně obraťte infuzní vak, aby nedošlo k napěnění.</w:t>
      </w:r>
    </w:p>
    <w:p w14:paraId="7597E412" w14:textId="77777777" w:rsidR="00222DE0" w:rsidRPr="00EE3355" w:rsidRDefault="00222DE0" w:rsidP="00EA1CDF">
      <w:pPr>
        <w:widowControl/>
      </w:pPr>
    </w:p>
    <w:p w14:paraId="5F158072" w14:textId="77777777" w:rsidR="00222DE0" w:rsidRPr="00EE3355" w:rsidRDefault="0098273B" w:rsidP="00EA1CDF">
      <w:pPr>
        <w:pStyle w:val="a3"/>
        <w:widowControl/>
        <w:ind w:left="0"/>
      </w:pPr>
      <w:r w:rsidRPr="00EE3355">
        <w:rPr>
          <w:u w:val="single"/>
        </w:rPr>
        <w:t>Použití u pediatrické populace</w:t>
      </w:r>
    </w:p>
    <w:p w14:paraId="56ED83A2" w14:textId="77777777" w:rsidR="00222DE0" w:rsidRPr="00EE3355" w:rsidRDefault="00222DE0" w:rsidP="00EA1CDF">
      <w:pPr>
        <w:pStyle w:val="a3"/>
        <w:widowControl/>
        <w:ind w:left="0"/>
      </w:pPr>
    </w:p>
    <w:p w14:paraId="70DFBF1B" w14:textId="77777777" w:rsidR="00222DE0" w:rsidRPr="00EE3355" w:rsidRDefault="0098273B" w:rsidP="00EA1CDF">
      <w:pPr>
        <w:pStyle w:val="a3"/>
        <w:widowControl/>
        <w:ind w:left="0"/>
      </w:pPr>
      <w:r w:rsidRPr="00EE3355">
        <w:rPr>
          <w:u w:val="single"/>
        </w:rPr>
        <w:t>Pacienti se sJIA, pJIA a CRS s tělesnou hmotností ≥ 30 kg</w:t>
      </w:r>
    </w:p>
    <w:p w14:paraId="52B3662B" w14:textId="3240CDA2" w:rsidR="00222DE0" w:rsidRPr="00EE3355" w:rsidRDefault="0098273B" w:rsidP="00EA1CDF">
      <w:pPr>
        <w:pStyle w:val="a3"/>
        <w:widowControl/>
        <w:ind w:left="0"/>
      </w:pPr>
      <w:r w:rsidRPr="00EE3355">
        <w:t xml:space="preserve">Za aseptických podmínek odeberte ze 100 ml infuzního vaku objem sterilního, </w:t>
      </w:r>
      <w:bookmarkStart w:id="15" w:name="_Hlk183642274"/>
      <w:r w:rsidRPr="00EE3355">
        <w:t>nepyrogenního injekčního roztoku chloridu sodného 9 mg/ml (0,9%)</w:t>
      </w:r>
      <w:r w:rsidR="00D128CD">
        <w:t xml:space="preserve"> nebo 4,5 mg/ml (0,45%)</w:t>
      </w:r>
      <w:r w:rsidRPr="00EE3355">
        <w:t xml:space="preserve">, </w:t>
      </w:r>
      <w:bookmarkEnd w:id="15"/>
      <w:r w:rsidRPr="00EE3355">
        <w:t xml:space="preserve">který se rovná objemu koncentrátu přípravku </w:t>
      </w:r>
      <w:r w:rsidR="00D128CD">
        <w:t>Avtozma</w:t>
      </w:r>
      <w:r w:rsidRPr="00EE3355">
        <w:t xml:space="preserve"> potřebného na dávku pro pacienta. Potřebné množství koncentrátu přípravku </w:t>
      </w:r>
      <w:r w:rsidR="00D128CD">
        <w:t>Avtozma</w:t>
      </w:r>
      <w:r w:rsidRPr="00EE3355">
        <w:t xml:space="preserve"> (</w:t>
      </w:r>
      <w:r w:rsidRPr="00EE3355">
        <w:rPr>
          <w:b/>
        </w:rPr>
        <w:t>0,4 ml/kg</w:t>
      </w:r>
      <w:r w:rsidRPr="00EE3355">
        <w:t>) se má odebrat z injekční lahvičky a přenést do 100 ml infuzního vaku. Konečný objem má být 100 ml. K promíchání roztoku jemně obraťte infuzní vak, aby nedošlo k napěnění.</w:t>
      </w:r>
    </w:p>
    <w:p w14:paraId="47636719" w14:textId="77777777" w:rsidR="000950B1" w:rsidRPr="00EE3355" w:rsidRDefault="000950B1" w:rsidP="00EA1CDF">
      <w:pPr>
        <w:pStyle w:val="a3"/>
        <w:widowControl/>
        <w:ind w:left="0"/>
      </w:pPr>
    </w:p>
    <w:p w14:paraId="4B76FE00" w14:textId="77777777" w:rsidR="00222DE0" w:rsidRPr="00EE3355" w:rsidRDefault="0098273B" w:rsidP="00EA1CDF">
      <w:pPr>
        <w:pStyle w:val="a3"/>
        <w:widowControl/>
        <w:ind w:left="0"/>
      </w:pPr>
      <w:r w:rsidRPr="00EE3355">
        <w:rPr>
          <w:u w:val="single"/>
        </w:rPr>
        <w:t>Pacienti se sJIA a CRS s tělesnou hmotností &lt; 30 kg</w:t>
      </w:r>
    </w:p>
    <w:p w14:paraId="2EFB30A0" w14:textId="36621238" w:rsidR="00222DE0" w:rsidRPr="00EE3355" w:rsidRDefault="0098273B" w:rsidP="00EA1CDF">
      <w:pPr>
        <w:pStyle w:val="a3"/>
        <w:widowControl/>
        <w:ind w:left="0"/>
      </w:pPr>
      <w:r w:rsidRPr="00EE3355">
        <w:t>Za aseptických podmínek odeberte z 50 ml infuzního vaku objem sterilního, nepyrogenního injekčního roztoku chloridu sodného 9 mg/ml (0,9%)</w:t>
      </w:r>
      <w:r w:rsidR="00D128CD">
        <w:t xml:space="preserve"> nebo 4,5 mg/ml (0,45%)</w:t>
      </w:r>
      <w:r w:rsidRPr="00EE3355">
        <w:t xml:space="preserve">, který se rovná objemu koncentrátu přípravku </w:t>
      </w:r>
      <w:r w:rsidR="00D128CD">
        <w:t>Avtozma</w:t>
      </w:r>
      <w:r w:rsidRPr="00EE3355">
        <w:t xml:space="preserve"> potřebného na dávku pro pacienta. Potřebné množství koncentrátu přípravku </w:t>
      </w:r>
      <w:r w:rsidR="00D128CD">
        <w:t>Avtozma</w:t>
      </w:r>
      <w:r w:rsidRPr="00EE3355">
        <w:t xml:space="preserve"> (</w:t>
      </w:r>
      <w:r w:rsidRPr="00EE3355">
        <w:rPr>
          <w:b/>
        </w:rPr>
        <w:t>0,6 ml/kg</w:t>
      </w:r>
      <w:r w:rsidRPr="00EE3355">
        <w:t>) se má odebrat z injekční lahvičky a přenést do 50 ml infuzního vaku. Konečný objem má být 50 ml. K promíchání roztoku jemně obraťte infuzní vak, aby nedošlo k napěnění.</w:t>
      </w:r>
    </w:p>
    <w:p w14:paraId="75852FCE" w14:textId="77777777" w:rsidR="000950B1" w:rsidRPr="00EE3355" w:rsidRDefault="000950B1" w:rsidP="00EA1CDF">
      <w:pPr>
        <w:pStyle w:val="a3"/>
        <w:widowControl/>
        <w:ind w:left="0"/>
      </w:pPr>
    </w:p>
    <w:p w14:paraId="1187EF32" w14:textId="77777777" w:rsidR="00222DE0" w:rsidRPr="00EE3355" w:rsidRDefault="0098273B" w:rsidP="00EA1CDF">
      <w:pPr>
        <w:pStyle w:val="a3"/>
        <w:widowControl/>
        <w:ind w:left="0"/>
      </w:pPr>
      <w:r w:rsidRPr="00EE3355">
        <w:rPr>
          <w:u w:val="single"/>
        </w:rPr>
        <w:t>Pacienti s pJIA s tělesnou hmotností &lt; 30 kg</w:t>
      </w:r>
    </w:p>
    <w:p w14:paraId="26F0004C" w14:textId="20E20967" w:rsidR="00222DE0" w:rsidRPr="00EE3355" w:rsidRDefault="0098273B" w:rsidP="00EA1CDF">
      <w:pPr>
        <w:pStyle w:val="a3"/>
        <w:widowControl/>
        <w:ind w:left="0"/>
      </w:pPr>
      <w:r w:rsidRPr="00EE3355">
        <w:t>Za aseptických podmínek odeberte z 50 ml infuzního vaku objem sterilního, nepyrogenního injekčního roztoku chloridu sodného 9 mg/ml (0,9%)</w:t>
      </w:r>
      <w:r w:rsidR="004F22FB" w:rsidRPr="004F22FB">
        <w:t xml:space="preserve"> </w:t>
      </w:r>
      <w:r w:rsidR="004F22FB">
        <w:t>nebo 4,5 mg/ml (0,45%)</w:t>
      </w:r>
      <w:r w:rsidRPr="00EE3355">
        <w:t xml:space="preserve">, který se rovná objemu koncentrátu přípravku </w:t>
      </w:r>
      <w:r w:rsidR="00D128CD">
        <w:t>Avtozma</w:t>
      </w:r>
      <w:r w:rsidRPr="00EE3355">
        <w:t xml:space="preserve"> potřebného na dávku pro pacienta. Potřebné množství koncentrátu přípravku </w:t>
      </w:r>
      <w:r w:rsidR="00D128CD">
        <w:t>Avtozma</w:t>
      </w:r>
      <w:r w:rsidRPr="00EE3355">
        <w:t xml:space="preserve"> (</w:t>
      </w:r>
      <w:r w:rsidRPr="00EE3355">
        <w:rPr>
          <w:b/>
        </w:rPr>
        <w:t>0,5 ml/kg</w:t>
      </w:r>
      <w:r w:rsidRPr="00EE3355">
        <w:t xml:space="preserve">) se má odebrat z injekční lahvičky a přenést do 50 ml infuzního vaku. </w:t>
      </w:r>
      <w:r w:rsidRPr="00EE3355">
        <w:lastRenderedPageBreak/>
        <w:t>Konečný objem má být 50 ml. K promíchání roztoku jemně obraťte infuzní vak, aby nedošlo k napěnění.</w:t>
      </w:r>
    </w:p>
    <w:p w14:paraId="604820C0" w14:textId="77777777" w:rsidR="00222DE0" w:rsidRPr="00EE3355" w:rsidRDefault="00222DE0" w:rsidP="00EA1CDF">
      <w:pPr>
        <w:pStyle w:val="a3"/>
        <w:widowControl/>
        <w:ind w:left="0"/>
      </w:pPr>
    </w:p>
    <w:p w14:paraId="4A1D47FB" w14:textId="1A8F88DD" w:rsidR="00222DE0" w:rsidRPr="00EE3355" w:rsidRDefault="00D128CD" w:rsidP="00EA1CDF">
      <w:pPr>
        <w:pStyle w:val="a3"/>
        <w:widowControl/>
        <w:ind w:left="0"/>
      </w:pPr>
      <w:r>
        <w:t>Avtozma</w:t>
      </w:r>
      <w:r w:rsidR="0098273B" w:rsidRPr="00EE3355">
        <w:t xml:space="preserve"> je určena pouze k jednorázovému použití.</w:t>
      </w:r>
    </w:p>
    <w:p w14:paraId="605F470B" w14:textId="77777777" w:rsidR="00222DE0" w:rsidRPr="00EE3355" w:rsidRDefault="0098273B" w:rsidP="00EA1CDF">
      <w:pPr>
        <w:pStyle w:val="a3"/>
        <w:widowControl/>
        <w:ind w:left="0"/>
      </w:pPr>
      <w:r w:rsidRPr="00EE3355">
        <w:t>Veškerý nepoužitý léčivý přípravek nebo odpad musí být zlikvidován v souladu s místními požadavky.</w:t>
      </w:r>
    </w:p>
    <w:p w14:paraId="42354930" w14:textId="77777777" w:rsidR="00222DE0" w:rsidRPr="00EE3355" w:rsidRDefault="00222DE0" w:rsidP="00EA1CDF">
      <w:pPr>
        <w:pStyle w:val="a3"/>
        <w:widowControl/>
        <w:ind w:left="0"/>
      </w:pPr>
    </w:p>
    <w:p w14:paraId="11458843" w14:textId="77777777" w:rsidR="00222DE0" w:rsidRPr="00EE3355" w:rsidRDefault="00222DE0" w:rsidP="00EA1CDF">
      <w:pPr>
        <w:pStyle w:val="a3"/>
        <w:widowControl/>
        <w:ind w:left="0"/>
      </w:pPr>
    </w:p>
    <w:p w14:paraId="3389334E" w14:textId="77777777" w:rsidR="00222DE0" w:rsidRPr="00EE3355" w:rsidRDefault="00B23DAE" w:rsidP="002963AA">
      <w:pPr>
        <w:pStyle w:val="1"/>
        <w:widowControl/>
        <w:tabs>
          <w:tab w:val="left" w:pos="804"/>
        </w:tabs>
        <w:ind w:left="567" w:hanging="567"/>
      </w:pPr>
      <w:r w:rsidRPr="00EE3355">
        <w:t>7.</w:t>
      </w:r>
      <w:r w:rsidRPr="00EE3355">
        <w:tab/>
      </w:r>
      <w:r w:rsidR="0098273B" w:rsidRPr="00EE3355">
        <w:t>DRŽITEL ROZHODNUTÍ O REGISTRACI</w:t>
      </w:r>
    </w:p>
    <w:p w14:paraId="3181FD52" w14:textId="77777777" w:rsidR="000950B1" w:rsidRPr="00EE3355" w:rsidRDefault="000950B1" w:rsidP="00EA1CDF">
      <w:pPr>
        <w:pStyle w:val="a3"/>
        <w:widowControl/>
        <w:ind w:left="0"/>
      </w:pPr>
    </w:p>
    <w:p w14:paraId="7871A358" w14:textId="77777777" w:rsidR="00D128CD" w:rsidRPr="001879E9" w:rsidRDefault="00D128CD" w:rsidP="00D128CD">
      <w:pPr>
        <w:keepNext/>
      </w:pPr>
      <w:r w:rsidRPr="001879E9">
        <w:t xml:space="preserve">Celltrion Healthcare Hungary Kft. </w:t>
      </w:r>
    </w:p>
    <w:p w14:paraId="3A945D35" w14:textId="77777777" w:rsidR="00D128CD" w:rsidRPr="001879E9" w:rsidRDefault="00D128CD" w:rsidP="00D128CD">
      <w:pPr>
        <w:keepNext/>
      </w:pPr>
      <w:r w:rsidRPr="001879E9">
        <w:t>1062 Budapest</w:t>
      </w:r>
    </w:p>
    <w:p w14:paraId="68C88601" w14:textId="77777777" w:rsidR="00D128CD" w:rsidRPr="001879E9" w:rsidRDefault="00D128CD" w:rsidP="00D128CD">
      <w:pPr>
        <w:keepNext/>
      </w:pPr>
      <w:r w:rsidRPr="001879E9">
        <w:t>Váci út 1-3. WestEnd Office Building B torony</w:t>
      </w:r>
    </w:p>
    <w:p w14:paraId="453AB3BF" w14:textId="76D44EEA" w:rsidR="00222DE0" w:rsidRPr="00EE3355" w:rsidRDefault="00D128CD" w:rsidP="00EA1CDF">
      <w:pPr>
        <w:pStyle w:val="a3"/>
        <w:widowControl/>
        <w:ind w:left="0"/>
      </w:pPr>
      <w:r>
        <w:t>Maďarsko</w:t>
      </w:r>
    </w:p>
    <w:p w14:paraId="780E7EA6" w14:textId="77777777" w:rsidR="00222DE0" w:rsidRPr="00EE3355" w:rsidRDefault="00222DE0" w:rsidP="00EA1CDF">
      <w:pPr>
        <w:pStyle w:val="a3"/>
        <w:ind w:left="0"/>
      </w:pPr>
    </w:p>
    <w:p w14:paraId="5F1DA575" w14:textId="77777777" w:rsidR="00222DE0" w:rsidRPr="00EE3355" w:rsidRDefault="00222DE0" w:rsidP="00B93217">
      <w:pPr>
        <w:pStyle w:val="a3"/>
        <w:ind w:left="0"/>
      </w:pPr>
    </w:p>
    <w:p w14:paraId="0F615CCA" w14:textId="77777777" w:rsidR="00222DE0" w:rsidRPr="00EE3355" w:rsidRDefault="00B23DAE" w:rsidP="002963AA">
      <w:pPr>
        <w:pStyle w:val="1"/>
        <w:widowControl/>
        <w:tabs>
          <w:tab w:val="left" w:pos="804"/>
        </w:tabs>
        <w:ind w:left="567" w:hanging="567"/>
      </w:pPr>
      <w:r w:rsidRPr="00EE3355">
        <w:t>8.</w:t>
      </w:r>
      <w:r w:rsidRPr="00EE3355">
        <w:tab/>
      </w:r>
      <w:r w:rsidR="0098273B" w:rsidRPr="00EE3355">
        <w:t>REGISTRAČNÍ ČÍSLO/REGISTRAČNÍ ČÍSLA</w:t>
      </w:r>
    </w:p>
    <w:p w14:paraId="25315859" w14:textId="77777777" w:rsidR="000950B1" w:rsidRPr="00EE3355" w:rsidRDefault="000950B1" w:rsidP="002963AA"/>
    <w:p w14:paraId="71171330" w14:textId="583C6389" w:rsidR="000950B1" w:rsidRPr="00EE3355" w:rsidRDefault="0098273B" w:rsidP="00EA1CDF">
      <w:pPr>
        <w:pStyle w:val="a3"/>
        <w:widowControl/>
        <w:ind w:left="0"/>
        <w:jc w:val="both"/>
      </w:pPr>
      <w:r w:rsidRPr="00EE3355">
        <w:t>EU/</w:t>
      </w:r>
      <w:r w:rsidR="00D41ABC" w:rsidRPr="00231CE5">
        <w:rPr>
          <w:spacing w:val="-1"/>
        </w:rPr>
        <w:t>1/24/1896/001</w:t>
      </w:r>
    </w:p>
    <w:p w14:paraId="1D4815DF" w14:textId="28023E1E" w:rsidR="000950B1" w:rsidRPr="00EE3355" w:rsidRDefault="0098273B" w:rsidP="00EA1CDF">
      <w:pPr>
        <w:pStyle w:val="a3"/>
        <w:widowControl/>
        <w:ind w:left="0"/>
        <w:jc w:val="both"/>
      </w:pPr>
      <w:r w:rsidRPr="00EE3355">
        <w:t>EU/</w:t>
      </w:r>
      <w:r w:rsidR="00D41ABC" w:rsidRPr="00231CE5">
        <w:rPr>
          <w:spacing w:val="-1"/>
        </w:rPr>
        <w:t>1/24/1896/00</w:t>
      </w:r>
      <w:r w:rsidR="00D41ABC">
        <w:rPr>
          <w:rFonts w:eastAsia="맑은 고딕" w:hint="eastAsia"/>
          <w:spacing w:val="-1"/>
          <w:lang w:eastAsia="ko-KR"/>
        </w:rPr>
        <w:t>2</w:t>
      </w:r>
    </w:p>
    <w:p w14:paraId="41E1DEF7" w14:textId="7915C1F6" w:rsidR="00D41ABC" w:rsidRPr="001879E9" w:rsidRDefault="0098273B" w:rsidP="00D41ABC">
      <w:r w:rsidRPr="00EE3355">
        <w:t>EU/</w:t>
      </w:r>
      <w:r w:rsidR="00D41ABC" w:rsidRPr="00231CE5">
        <w:rPr>
          <w:spacing w:val="-1"/>
        </w:rPr>
        <w:t>1/24/1896/00</w:t>
      </w:r>
      <w:r w:rsidR="00D41ABC">
        <w:rPr>
          <w:rFonts w:eastAsia="맑은 고딕" w:hint="eastAsia"/>
          <w:spacing w:val="-1"/>
          <w:lang w:eastAsia="ko-KR"/>
        </w:rPr>
        <w:t>3</w:t>
      </w:r>
    </w:p>
    <w:p w14:paraId="33D56B6D" w14:textId="54D83A4F" w:rsidR="000950B1" w:rsidRPr="00EE3355" w:rsidRDefault="0098273B" w:rsidP="00EA1CDF">
      <w:pPr>
        <w:pStyle w:val="a3"/>
        <w:widowControl/>
        <w:ind w:left="0"/>
        <w:jc w:val="both"/>
      </w:pPr>
      <w:r w:rsidRPr="00EE3355">
        <w:t>EU/</w:t>
      </w:r>
      <w:r w:rsidR="00D41ABC" w:rsidRPr="00231CE5">
        <w:rPr>
          <w:spacing w:val="-1"/>
        </w:rPr>
        <w:t>1/24/1896/00</w:t>
      </w:r>
      <w:r w:rsidR="00D41ABC">
        <w:rPr>
          <w:rFonts w:eastAsia="맑은 고딕" w:hint="eastAsia"/>
          <w:spacing w:val="-1"/>
          <w:lang w:eastAsia="ko-KR"/>
        </w:rPr>
        <w:t>4</w:t>
      </w:r>
    </w:p>
    <w:p w14:paraId="1D87133C" w14:textId="2540E941" w:rsidR="000950B1" w:rsidRPr="00EE3355" w:rsidRDefault="0098273B" w:rsidP="00EA1CDF">
      <w:pPr>
        <w:pStyle w:val="a3"/>
        <w:widowControl/>
        <w:ind w:left="0"/>
        <w:jc w:val="both"/>
      </w:pPr>
      <w:r w:rsidRPr="00EE3355">
        <w:t>EU/</w:t>
      </w:r>
      <w:r w:rsidR="00D41ABC" w:rsidRPr="00231CE5">
        <w:rPr>
          <w:spacing w:val="-1"/>
        </w:rPr>
        <w:t>1/24/1896/00</w:t>
      </w:r>
      <w:r w:rsidR="00D41ABC">
        <w:rPr>
          <w:rFonts w:eastAsia="맑은 고딕" w:hint="eastAsia"/>
          <w:spacing w:val="-1"/>
          <w:lang w:eastAsia="ko-KR"/>
        </w:rPr>
        <w:t>5</w:t>
      </w:r>
    </w:p>
    <w:p w14:paraId="3D71F563" w14:textId="4B57F240" w:rsidR="00B059EF" w:rsidRPr="00EE3355" w:rsidRDefault="0098273B" w:rsidP="00EA1CDF">
      <w:pPr>
        <w:pStyle w:val="a3"/>
        <w:widowControl/>
        <w:ind w:left="0"/>
        <w:jc w:val="both"/>
      </w:pPr>
      <w:r w:rsidRPr="00EE3355">
        <w:t>EU/</w:t>
      </w:r>
      <w:r w:rsidR="00D41ABC" w:rsidRPr="00231CE5">
        <w:rPr>
          <w:spacing w:val="-1"/>
        </w:rPr>
        <w:t>1/24/1896/00</w:t>
      </w:r>
      <w:r w:rsidR="00D41ABC">
        <w:rPr>
          <w:spacing w:val="-1"/>
        </w:rPr>
        <w:t>6</w:t>
      </w:r>
    </w:p>
    <w:p w14:paraId="41B20BD0" w14:textId="77777777" w:rsidR="00222DE0" w:rsidRPr="00EE3355" w:rsidRDefault="00222DE0" w:rsidP="00D128CD">
      <w:pPr>
        <w:pStyle w:val="a3"/>
        <w:widowControl/>
        <w:ind w:left="0"/>
        <w:jc w:val="both"/>
      </w:pPr>
    </w:p>
    <w:p w14:paraId="667C10C3" w14:textId="77777777" w:rsidR="00222DE0" w:rsidRPr="00EE3355" w:rsidRDefault="00222DE0" w:rsidP="00B93217">
      <w:pPr>
        <w:pStyle w:val="a3"/>
        <w:ind w:left="0"/>
      </w:pPr>
    </w:p>
    <w:p w14:paraId="409BFFC0" w14:textId="77777777" w:rsidR="00222DE0" w:rsidRPr="00EE3355" w:rsidRDefault="00B23DAE" w:rsidP="002963AA">
      <w:pPr>
        <w:pStyle w:val="1"/>
        <w:widowControl/>
        <w:tabs>
          <w:tab w:val="left" w:pos="804"/>
        </w:tabs>
        <w:ind w:left="567" w:hanging="567"/>
      </w:pPr>
      <w:r w:rsidRPr="00EE3355">
        <w:t>9.</w:t>
      </w:r>
      <w:r w:rsidRPr="00EE3355">
        <w:tab/>
      </w:r>
      <w:r w:rsidR="0098273B" w:rsidRPr="00EE3355">
        <w:t>DATUM PRVNÍ REGISTRACE/PRODLOUŽENÍ REGISTRACE</w:t>
      </w:r>
    </w:p>
    <w:p w14:paraId="3BAF4CB4" w14:textId="77777777" w:rsidR="000950B1" w:rsidRPr="00EE3355" w:rsidRDefault="000950B1" w:rsidP="00EA1CDF">
      <w:pPr>
        <w:pStyle w:val="a3"/>
        <w:widowControl/>
        <w:ind w:left="0"/>
      </w:pPr>
    </w:p>
    <w:p w14:paraId="5F6427AC" w14:textId="06C3BE92" w:rsidR="00222DE0" w:rsidRPr="00EE3355" w:rsidRDefault="0098273B" w:rsidP="00D128CD">
      <w:pPr>
        <w:pStyle w:val="a3"/>
        <w:widowControl/>
        <w:ind w:left="0"/>
      </w:pPr>
      <w:r w:rsidRPr="00EE3355">
        <w:t xml:space="preserve">Datum první registrace: </w:t>
      </w:r>
      <w:r w:rsidR="00D128CD" w:rsidRPr="00D128CD">
        <w:t xml:space="preserve"> </w:t>
      </w:r>
      <w:r w:rsidR="00F77327">
        <w:rPr>
          <w:rFonts w:eastAsia="맑은 고딕" w:hint="eastAsia"/>
          <w:lang w:eastAsia="ko-KR"/>
        </w:rPr>
        <w:t xml:space="preserve">14 </w:t>
      </w:r>
      <w:r w:rsidR="00500D7D" w:rsidRPr="004C41FF">
        <w:t>únor</w:t>
      </w:r>
      <w:r w:rsidR="00500D7D">
        <w:rPr>
          <w:rFonts w:eastAsia="맑은 고딕" w:hint="eastAsia"/>
          <w:lang w:eastAsia="ko-KR"/>
        </w:rPr>
        <w:t xml:space="preserve"> 2025</w:t>
      </w:r>
    </w:p>
    <w:p w14:paraId="2052CBED" w14:textId="77777777" w:rsidR="00222DE0" w:rsidRPr="00EE3355" w:rsidRDefault="00222DE0" w:rsidP="00EA1CDF">
      <w:pPr>
        <w:pStyle w:val="a3"/>
        <w:widowControl/>
        <w:ind w:left="0"/>
      </w:pPr>
    </w:p>
    <w:p w14:paraId="2365FFCB" w14:textId="77777777" w:rsidR="00222DE0" w:rsidRPr="00EE3355" w:rsidRDefault="00222DE0" w:rsidP="00EA1CDF">
      <w:pPr>
        <w:pStyle w:val="a3"/>
        <w:widowControl/>
        <w:ind w:left="0"/>
      </w:pPr>
    </w:p>
    <w:p w14:paraId="1B12C72B" w14:textId="77777777" w:rsidR="00222DE0" w:rsidRPr="00EE3355" w:rsidRDefault="00B23DAE" w:rsidP="002963AA">
      <w:pPr>
        <w:pStyle w:val="1"/>
        <w:widowControl/>
        <w:tabs>
          <w:tab w:val="left" w:pos="804"/>
        </w:tabs>
        <w:ind w:left="567" w:hanging="567"/>
      </w:pPr>
      <w:r w:rsidRPr="00EE3355">
        <w:t>10.</w:t>
      </w:r>
      <w:r w:rsidRPr="00EE3355">
        <w:tab/>
      </w:r>
      <w:r w:rsidR="0098273B" w:rsidRPr="00EE3355">
        <w:t>DATUM REVIZE TEXTU</w:t>
      </w:r>
    </w:p>
    <w:p w14:paraId="3A6F8DD8" w14:textId="77777777" w:rsidR="000950B1" w:rsidRPr="00EE3355" w:rsidRDefault="000950B1" w:rsidP="00EA1CDF">
      <w:pPr>
        <w:pStyle w:val="a3"/>
        <w:keepNext/>
        <w:widowControl/>
        <w:ind w:left="0"/>
      </w:pPr>
    </w:p>
    <w:p w14:paraId="64A16D69" w14:textId="357F8F26" w:rsidR="00222DE0" w:rsidRPr="00EE3355" w:rsidRDefault="00C301E6" w:rsidP="00EA1CDF">
      <w:pPr>
        <w:pStyle w:val="a3"/>
        <w:widowControl/>
        <w:ind w:left="0"/>
      </w:pPr>
      <w:r>
        <w:rPr>
          <w:noProof/>
          <w:lang w:val="en-US" w:eastAsia="ko-KR"/>
        </w:rPr>
        <mc:AlternateContent>
          <mc:Choice Requires="wps">
            <w:drawing>
              <wp:anchor distT="0" distB="0" distL="0" distR="0" simplePos="0" relativeHeight="251658240" behindDoc="0" locked="0" layoutInCell="1" allowOverlap="1" wp14:anchorId="47252ECE" wp14:editId="7249212A">
                <wp:simplePos x="0" y="0"/>
                <wp:positionH relativeFrom="page">
                  <wp:posOffset>4077970</wp:posOffset>
                </wp:positionH>
                <wp:positionV relativeFrom="paragraph">
                  <wp:posOffset>464820</wp:posOffset>
                </wp:positionV>
                <wp:extent cx="40005" cy="6350"/>
                <wp:effectExtent l="1270" t="1905" r="0" b="1270"/>
                <wp:wrapNone/>
                <wp:docPr id="314604659"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39624 w 40005"/>
                            <a:gd name="T1" fmla="*/ 0 h 6350"/>
                            <a:gd name="T2" fmla="*/ 0 w 40005"/>
                            <a:gd name="T3" fmla="*/ 0 h 6350"/>
                            <a:gd name="T4" fmla="*/ 0 w 40005"/>
                            <a:gd name="T5" fmla="*/ 6096 h 6350"/>
                            <a:gd name="T6" fmla="*/ 39624 w 40005"/>
                            <a:gd name="T7" fmla="*/ 6096 h 6350"/>
                            <a:gd name="T8" fmla="*/ 39624 w 40005"/>
                            <a:gd name="T9" fmla="*/ 0 h 6350"/>
                          </a:gdLst>
                          <a:ahLst/>
                          <a:cxnLst>
                            <a:cxn ang="0">
                              <a:pos x="T0" y="T1"/>
                            </a:cxn>
                            <a:cxn ang="0">
                              <a:pos x="T2" y="T3"/>
                            </a:cxn>
                            <a:cxn ang="0">
                              <a:pos x="T4" y="T5"/>
                            </a:cxn>
                            <a:cxn ang="0">
                              <a:pos x="T6" y="T7"/>
                            </a:cxn>
                            <a:cxn ang="0">
                              <a:pos x="T8" y="T9"/>
                            </a:cxn>
                          </a:cxnLst>
                          <a:rect l="0" t="0" r="r" b="b"/>
                          <a:pathLst>
                            <a:path w="40005" h="6350">
                              <a:moveTo>
                                <a:pt x="39624" y="0"/>
                              </a:moveTo>
                              <a:lnTo>
                                <a:pt x="0" y="0"/>
                              </a:lnTo>
                              <a:lnTo>
                                <a:pt x="0" y="6096"/>
                              </a:lnTo>
                              <a:lnTo>
                                <a:pt x="39624" y="6096"/>
                              </a:lnTo>
                              <a:lnTo>
                                <a:pt x="39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63FD0" id="Graphic 2" o:spid="_x0000_s1026" style="position:absolute;margin-left:321.1pt;margin-top:36.6pt;width:3.1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" path="m39624,l,,,6096r39624,l39624,xe" fillcolor="black" stroked="f">
                <v:path arrowok="t" o:connecttype="custom" o:connectlocs="39624,0;0,0;0,6096;39624,6096;39624,0" o:connectangles="0,0,0,0,0"/>
                <w10:wrap anchorx="page"/>
              </v:shape>
            </w:pict>
          </mc:Fallback>
        </mc:AlternateContent>
      </w:r>
      <w:r w:rsidR="0098273B" w:rsidRPr="00EE3355">
        <w:t xml:space="preserve">Podrobné informace o tomto léčivém přípravku jsou k dispozici na webových stránkách Evropské agentury pro léčivé přípravky </w:t>
      </w:r>
      <w:r w:rsidR="00392C24">
        <w:fldChar w:fldCharType="begin"/>
      </w:r>
      <w:r w:rsidR="00392C24">
        <w:instrText>HYPERLINK "http://www.ema.europa.eu/"</w:instrText>
      </w:r>
      <w:r w:rsidR="00392C24">
        <w:fldChar w:fldCharType="separate"/>
      </w:r>
      <w:r w:rsidR="00392C24">
        <w:t>https:</w:t>
      </w:r>
      <w:r w:rsidR="000950B1" w:rsidRPr="00EE3355">
        <w:t>//www.ema.europa.eu/</w:t>
      </w:r>
      <w:r w:rsidR="00392C24">
        <w:fldChar w:fldCharType="end"/>
      </w:r>
      <w:r w:rsidR="0098273B" w:rsidRPr="00EE3355">
        <w:t>.</w:t>
      </w:r>
    </w:p>
    <w:p w14:paraId="1FEF3C19" w14:textId="77777777" w:rsidR="000950B1" w:rsidRPr="00EE3355" w:rsidRDefault="000950B1" w:rsidP="00EA1CDF">
      <w:pPr>
        <w:pStyle w:val="a3"/>
        <w:widowControl/>
        <w:ind w:left="0"/>
      </w:pPr>
    </w:p>
    <w:p w14:paraId="37E15496" w14:textId="6A870169" w:rsidR="00107B13" w:rsidRPr="00EE3355" w:rsidRDefault="00107B13" w:rsidP="00EA1CDF">
      <w:r w:rsidRPr="00EE3355">
        <w:br w:type="page"/>
      </w:r>
      <w:r w:rsidR="00C301E6">
        <w:rPr>
          <w:noProof/>
          <w:lang w:val="en-US" w:eastAsia="ko-KR"/>
        </w:rPr>
        <w:lastRenderedPageBreak/>
        <w:drawing>
          <wp:inline distT="0" distB="0" distL="0" distR="0" wp14:anchorId="1F15C3D0" wp14:editId="38FA0462">
            <wp:extent cx="191135" cy="159385"/>
            <wp:effectExtent l="0" t="0" r="0" b="0"/>
            <wp:docPr id="3" name="그림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59385"/>
                    </a:xfrm>
                    <a:prstGeom prst="rect">
                      <a:avLst/>
                    </a:prstGeom>
                    <a:noFill/>
                    <a:ln>
                      <a:noFill/>
                    </a:ln>
                  </pic:spPr>
                </pic:pic>
              </a:graphicData>
            </a:graphic>
          </wp:inline>
        </w:drawing>
      </w:r>
      <w:r w:rsidR="00D128CD" w:rsidRPr="00D128CD">
        <w:t>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w:t>
      </w:r>
    </w:p>
    <w:p w14:paraId="74526C4A" w14:textId="77777777" w:rsidR="00D128CD" w:rsidRDefault="00D128CD" w:rsidP="00E8799A"/>
    <w:p w14:paraId="1F1F12B6" w14:textId="77777777" w:rsidR="001E0E7C" w:rsidRDefault="001E0E7C" w:rsidP="00E8799A"/>
    <w:p w14:paraId="5A76DF99" w14:textId="15518B1C" w:rsidR="00222DE0" w:rsidRPr="00EE3355" w:rsidRDefault="00B23DAE" w:rsidP="00EA1CDF">
      <w:pPr>
        <w:pStyle w:val="1"/>
        <w:keepNext/>
        <w:ind w:left="567" w:hanging="567"/>
      </w:pPr>
      <w:r w:rsidRPr="00EE3355">
        <w:t>1.</w:t>
      </w:r>
      <w:r w:rsidRPr="00EE3355">
        <w:tab/>
      </w:r>
      <w:r w:rsidR="0098273B" w:rsidRPr="00EE3355">
        <w:t>NÁZEV PŘÍPRAVKU</w:t>
      </w:r>
    </w:p>
    <w:p w14:paraId="1D6CDA02" w14:textId="77777777" w:rsidR="00063876" w:rsidRPr="00EE3355" w:rsidRDefault="00063876" w:rsidP="00EA1CDF">
      <w:pPr>
        <w:pStyle w:val="a3"/>
        <w:widowControl/>
        <w:ind w:left="0"/>
      </w:pPr>
    </w:p>
    <w:p w14:paraId="73F44801" w14:textId="1839CA24" w:rsidR="00222DE0" w:rsidRPr="00EE3355" w:rsidRDefault="00D128CD" w:rsidP="00EA1CDF">
      <w:pPr>
        <w:pStyle w:val="a3"/>
        <w:widowControl/>
        <w:ind w:left="0"/>
      </w:pPr>
      <w:r>
        <w:t>Avtozma</w:t>
      </w:r>
      <w:r w:rsidR="0098273B" w:rsidRPr="00EE3355">
        <w:t xml:space="preserve"> 162 mg injekční roztok v předplněné injekční stříkačce</w:t>
      </w:r>
    </w:p>
    <w:p w14:paraId="7D7B40ED" w14:textId="77777777" w:rsidR="00222DE0" w:rsidRPr="00EE3355" w:rsidRDefault="00222DE0" w:rsidP="00EA1CDF">
      <w:pPr>
        <w:pStyle w:val="a3"/>
        <w:widowControl/>
        <w:ind w:left="0"/>
      </w:pPr>
    </w:p>
    <w:p w14:paraId="7C76B9F5" w14:textId="77777777" w:rsidR="00222DE0" w:rsidRPr="00EE3355" w:rsidRDefault="00222DE0" w:rsidP="00EA1CDF">
      <w:pPr>
        <w:pStyle w:val="a3"/>
        <w:widowControl/>
        <w:ind w:left="0"/>
      </w:pPr>
    </w:p>
    <w:p w14:paraId="71C8E190" w14:textId="77777777" w:rsidR="00222DE0" w:rsidRPr="00EE3355" w:rsidRDefault="00B23DAE" w:rsidP="00EA1CDF">
      <w:pPr>
        <w:pStyle w:val="1"/>
        <w:ind w:left="567" w:hanging="567"/>
      </w:pPr>
      <w:r w:rsidRPr="00EE3355">
        <w:t>2.</w:t>
      </w:r>
      <w:r w:rsidRPr="00EE3355">
        <w:tab/>
      </w:r>
      <w:r w:rsidR="0098273B" w:rsidRPr="00EE3355">
        <w:t>KVALITATIVNÍ A KVANTITATIVNÍ SLOŽENÍ</w:t>
      </w:r>
    </w:p>
    <w:p w14:paraId="4282515D" w14:textId="77777777" w:rsidR="00B91F0A" w:rsidRPr="00EE3355" w:rsidRDefault="00B91F0A" w:rsidP="00E8799A"/>
    <w:p w14:paraId="1C7846F6" w14:textId="77777777" w:rsidR="00222DE0" w:rsidRPr="00EE3355" w:rsidRDefault="0098273B" w:rsidP="00EA1CDF">
      <w:pPr>
        <w:pStyle w:val="a3"/>
        <w:widowControl/>
        <w:ind w:left="0"/>
      </w:pPr>
      <w:r w:rsidRPr="00EE3355">
        <w:t>Jedna předplněná injekční stříkačka obsahuje tocilizumabum 162 mg v 0,9 ml.</w:t>
      </w:r>
    </w:p>
    <w:p w14:paraId="4D470D9A" w14:textId="77777777" w:rsidR="00222DE0" w:rsidRPr="00EE3355" w:rsidRDefault="00222DE0" w:rsidP="00EA1CDF">
      <w:pPr>
        <w:pStyle w:val="a3"/>
        <w:widowControl/>
        <w:ind w:left="0"/>
      </w:pPr>
    </w:p>
    <w:p w14:paraId="39E1BCAA" w14:textId="77777777" w:rsidR="00222DE0" w:rsidRPr="00EE3355" w:rsidRDefault="0098273B" w:rsidP="00EA1CDF">
      <w:pPr>
        <w:pStyle w:val="a3"/>
        <w:widowControl/>
        <w:ind w:left="0"/>
      </w:pPr>
      <w:r w:rsidRPr="00EE3355">
        <w:t>Tocilizumabum je rekombinantní humanizovaná, anti-humánní monoklonální protilátka, podtřída imunoglobulinu G1 (IgG1) namířená proti rozpustným a na membránu vázajícím se receptorům interleukinu 6.</w:t>
      </w:r>
    </w:p>
    <w:p w14:paraId="240F98EE" w14:textId="77777777" w:rsidR="00222DE0" w:rsidRDefault="00222DE0" w:rsidP="00EA1CDF">
      <w:pPr>
        <w:pStyle w:val="a3"/>
        <w:widowControl/>
        <w:ind w:left="0"/>
      </w:pPr>
    </w:p>
    <w:p w14:paraId="219381A7" w14:textId="41FB86EA" w:rsidR="00D41ABC" w:rsidRPr="00C41310" w:rsidRDefault="00D41ABC" w:rsidP="00EA1CDF">
      <w:pPr>
        <w:pStyle w:val="a3"/>
        <w:widowControl/>
        <w:ind w:left="0"/>
        <w:rPr>
          <w:u w:val="single"/>
        </w:rPr>
      </w:pPr>
      <w:r w:rsidRPr="00C41310">
        <w:rPr>
          <w:u w:val="single"/>
        </w:rPr>
        <w:t>Pomocné látky se známým účinkem</w:t>
      </w:r>
      <w:r w:rsidR="00F56EA7" w:rsidRPr="00C41310">
        <w:rPr>
          <w:u w:val="single"/>
        </w:rPr>
        <w:t>:</w:t>
      </w:r>
    </w:p>
    <w:p w14:paraId="3AD75CDA" w14:textId="7DE7E9F7" w:rsidR="00D41ABC" w:rsidRPr="00C41310" w:rsidRDefault="00D41ABC" w:rsidP="00EA1CDF">
      <w:pPr>
        <w:pStyle w:val="a3"/>
        <w:widowControl/>
        <w:ind w:left="0"/>
        <w:rPr>
          <w:i/>
          <w:iCs/>
        </w:rPr>
      </w:pPr>
      <w:r w:rsidRPr="00C41310">
        <w:rPr>
          <w:i/>
          <w:iCs/>
        </w:rPr>
        <w:t>Polysorbát</w:t>
      </w:r>
    </w:p>
    <w:p w14:paraId="6CF7F9DE" w14:textId="1DA46514" w:rsidR="00D41ABC" w:rsidRDefault="00D41ABC" w:rsidP="00EA1CDF">
      <w:pPr>
        <w:pStyle w:val="a3"/>
        <w:widowControl/>
        <w:ind w:left="0"/>
      </w:pPr>
      <w:r>
        <w:t>Každá 162</w:t>
      </w:r>
      <w:r w:rsidR="00123A00">
        <w:rPr>
          <w:rFonts w:eastAsia="맑은 고딕" w:hint="eastAsia"/>
          <w:lang w:eastAsia="ko-KR"/>
        </w:rPr>
        <w:t xml:space="preserve"> </w:t>
      </w:r>
      <w:r>
        <w:t>mg předplněná injekční stříkačka obsahuje 0,2 mg polysorbátu</w:t>
      </w:r>
      <w:r w:rsidR="00395E0C">
        <w:rPr>
          <w:rFonts w:eastAsia="맑은 고딕" w:hint="eastAsia"/>
          <w:lang w:eastAsia="ko-KR"/>
        </w:rPr>
        <w:t xml:space="preserve"> 80</w:t>
      </w:r>
      <w:r>
        <w:t>.</w:t>
      </w:r>
    </w:p>
    <w:p w14:paraId="06D07667" w14:textId="77777777" w:rsidR="00D41ABC" w:rsidRPr="00EE3355" w:rsidRDefault="00D41ABC" w:rsidP="00EA1CDF">
      <w:pPr>
        <w:pStyle w:val="a3"/>
        <w:widowControl/>
        <w:ind w:left="0"/>
      </w:pPr>
    </w:p>
    <w:p w14:paraId="056AADC5" w14:textId="77777777" w:rsidR="00222DE0" w:rsidRPr="00EE3355" w:rsidRDefault="0098273B" w:rsidP="00EA1CDF">
      <w:pPr>
        <w:pStyle w:val="a3"/>
        <w:widowControl/>
        <w:ind w:left="0"/>
      </w:pPr>
      <w:r w:rsidRPr="00EE3355">
        <w:t>Úplný seznam pomocných látek viz bod 6.1.</w:t>
      </w:r>
    </w:p>
    <w:p w14:paraId="689900BB" w14:textId="77777777" w:rsidR="00222DE0" w:rsidRPr="00EE3355" w:rsidRDefault="00222DE0" w:rsidP="00EA1CDF">
      <w:pPr>
        <w:pStyle w:val="a3"/>
        <w:widowControl/>
        <w:ind w:left="0"/>
      </w:pPr>
    </w:p>
    <w:p w14:paraId="50BDFF8B" w14:textId="77777777" w:rsidR="00222DE0" w:rsidRPr="00EE3355" w:rsidRDefault="00222DE0" w:rsidP="00EA1CDF">
      <w:pPr>
        <w:pStyle w:val="a3"/>
        <w:widowControl/>
        <w:ind w:left="0"/>
      </w:pPr>
    </w:p>
    <w:p w14:paraId="240149C5" w14:textId="77777777" w:rsidR="00222DE0" w:rsidRPr="00EE3355" w:rsidRDefault="00B23DAE" w:rsidP="00EA1CDF">
      <w:pPr>
        <w:pStyle w:val="1"/>
        <w:ind w:left="567" w:hanging="567"/>
      </w:pPr>
      <w:r w:rsidRPr="00EE3355">
        <w:t>3.</w:t>
      </w:r>
      <w:r w:rsidRPr="00EE3355">
        <w:tab/>
      </w:r>
      <w:r w:rsidR="0098273B" w:rsidRPr="00EE3355">
        <w:t>LÉKOVÁ FORMA</w:t>
      </w:r>
    </w:p>
    <w:p w14:paraId="6077CEF9" w14:textId="77777777" w:rsidR="00B91F0A" w:rsidRPr="00EE3355" w:rsidRDefault="00B91F0A" w:rsidP="00E8799A"/>
    <w:p w14:paraId="6F4C2070" w14:textId="77777777" w:rsidR="00B91F0A" w:rsidRPr="00EE3355" w:rsidRDefault="0098273B" w:rsidP="00EA1CDF">
      <w:pPr>
        <w:pStyle w:val="a3"/>
        <w:widowControl/>
        <w:ind w:left="0"/>
      </w:pPr>
      <w:r w:rsidRPr="00EE3355">
        <w:t xml:space="preserve">Injekční roztok v předplněné injekční stříkačce. </w:t>
      </w:r>
    </w:p>
    <w:p w14:paraId="386DE3F1" w14:textId="77472331" w:rsidR="00222DE0" w:rsidRDefault="00D128CD" w:rsidP="00EA1CDF">
      <w:pPr>
        <w:pStyle w:val="a3"/>
        <w:widowControl/>
        <w:ind w:left="0"/>
      </w:pPr>
      <w:r w:rsidRPr="00D128CD">
        <w:t>Čirý až mírně opalizující, bezbarvý až žlutý roztok s pH 5,7 - 6,3 a osmolalitou 280 - 340 mmol/kg.</w:t>
      </w:r>
    </w:p>
    <w:p w14:paraId="4AE00F3A" w14:textId="77777777" w:rsidR="00D128CD" w:rsidRDefault="00D128CD" w:rsidP="00EA1CDF">
      <w:pPr>
        <w:pStyle w:val="a3"/>
        <w:widowControl/>
        <w:ind w:left="0"/>
      </w:pPr>
    </w:p>
    <w:p w14:paraId="37C3B392" w14:textId="77777777" w:rsidR="001E0E7C" w:rsidRPr="00EE3355" w:rsidRDefault="001E0E7C" w:rsidP="00EA1CDF">
      <w:pPr>
        <w:pStyle w:val="a3"/>
        <w:widowControl/>
        <w:ind w:left="0"/>
      </w:pPr>
    </w:p>
    <w:p w14:paraId="6ACE73EF" w14:textId="77777777" w:rsidR="00222DE0" w:rsidRPr="00EE3355" w:rsidRDefault="00B23DAE" w:rsidP="00EA1CDF">
      <w:pPr>
        <w:pStyle w:val="1"/>
        <w:ind w:left="567" w:hanging="567"/>
      </w:pPr>
      <w:r w:rsidRPr="00EE3355">
        <w:t>4.</w:t>
      </w:r>
      <w:r w:rsidRPr="00EE3355">
        <w:tab/>
      </w:r>
      <w:r w:rsidR="0098273B" w:rsidRPr="00EE3355">
        <w:t>KLINICKÉ ÚDAJE</w:t>
      </w:r>
    </w:p>
    <w:p w14:paraId="0D427A6F" w14:textId="77777777" w:rsidR="00222DE0" w:rsidRPr="00EE3355" w:rsidRDefault="00222DE0" w:rsidP="00EA1CDF">
      <w:pPr>
        <w:pStyle w:val="a3"/>
        <w:ind w:left="0"/>
        <w:rPr>
          <w:b/>
        </w:rPr>
      </w:pPr>
    </w:p>
    <w:p w14:paraId="4A5FA94C" w14:textId="77777777" w:rsidR="00222DE0" w:rsidRPr="00EE3355" w:rsidRDefault="00B23DAE" w:rsidP="00E8799A">
      <w:pPr>
        <w:pStyle w:val="2"/>
        <w:keepNext/>
        <w:widowControl/>
        <w:tabs>
          <w:tab w:val="left" w:pos="799"/>
        </w:tabs>
        <w:ind w:left="567" w:hanging="567"/>
      </w:pPr>
      <w:r w:rsidRPr="00EE3355">
        <w:t>4.1</w:t>
      </w:r>
      <w:r w:rsidRPr="00EE3355">
        <w:tab/>
      </w:r>
      <w:r w:rsidR="0098273B" w:rsidRPr="00EE3355">
        <w:t>Terapeutické indikace</w:t>
      </w:r>
    </w:p>
    <w:p w14:paraId="52EEB28F" w14:textId="77777777" w:rsidR="00B91F0A" w:rsidRPr="00EE3355" w:rsidRDefault="00B91F0A" w:rsidP="00EA1CDF">
      <w:pPr>
        <w:pStyle w:val="a3"/>
        <w:ind w:left="0"/>
      </w:pPr>
    </w:p>
    <w:p w14:paraId="64109EC5" w14:textId="19946388" w:rsidR="00395E0C" w:rsidRPr="002F0CCA" w:rsidRDefault="00395E0C" w:rsidP="00EA1CDF">
      <w:pPr>
        <w:pStyle w:val="a3"/>
        <w:ind w:left="0"/>
        <w:rPr>
          <w:rFonts w:eastAsia="맑은 고딕"/>
          <w:u w:val="single"/>
          <w:lang w:eastAsia="ko-KR"/>
        </w:rPr>
      </w:pPr>
      <w:r w:rsidRPr="002F0CCA">
        <w:rPr>
          <w:rFonts w:eastAsia="맑은 고딕"/>
          <w:u w:val="single"/>
          <w:lang w:eastAsia="ko-KR"/>
        </w:rPr>
        <w:t>Revmatoidní artritida (RA)</w:t>
      </w:r>
    </w:p>
    <w:p w14:paraId="2A44EBA5" w14:textId="2DFD28BD" w:rsidR="00222DE0" w:rsidRPr="00EE3355" w:rsidRDefault="0098273B" w:rsidP="00EA1CDF">
      <w:pPr>
        <w:pStyle w:val="a3"/>
        <w:ind w:left="0"/>
      </w:pPr>
      <w:r w:rsidRPr="00EE3355">
        <w:t xml:space="preserve">Přípravek </w:t>
      </w:r>
      <w:r w:rsidR="00D128CD">
        <w:t>Avtozma</w:t>
      </w:r>
      <w:r w:rsidRPr="00EE3355">
        <w:t xml:space="preserve"> v kombinaci s methotrexátem (MTX) je indikován:</w:t>
      </w:r>
    </w:p>
    <w:p w14:paraId="3110EEA9" w14:textId="77777777" w:rsidR="00B91F0A" w:rsidRPr="00EE3355" w:rsidRDefault="00B91F0A" w:rsidP="00EA1CDF">
      <w:pPr>
        <w:pStyle w:val="a3"/>
        <w:ind w:left="0"/>
      </w:pPr>
    </w:p>
    <w:p w14:paraId="71A09B70" w14:textId="77777777" w:rsidR="00222DE0" w:rsidRPr="00EE3355" w:rsidRDefault="00B23DAE" w:rsidP="00EA1CDF">
      <w:pPr>
        <w:widowControl/>
        <w:tabs>
          <w:tab w:val="left" w:pos="821"/>
        </w:tabs>
        <w:ind w:left="567" w:hanging="567"/>
      </w:pPr>
      <w:r w:rsidRPr="00EE3355">
        <w:rPr>
          <w:rFonts w:ascii="Symbol" w:eastAsia="Symbol" w:hAnsi="Symbol" w:cs="Symbol"/>
        </w:rPr>
        <w:t></w:t>
      </w:r>
      <w:r w:rsidRPr="00EE3355">
        <w:rPr>
          <w:rFonts w:ascii="Symbol" w:eastAsia="Symbol" w:hAnsi="Symbol" w:cs="Symbol"/>
        </w:rPr>
        <w:tab/>
      </w:r>
      <w:r w:rsidR="0098273B" w:rsidRPr="00EE3355">
        <w:t>k léčbě těžké, aktivní a progresivní revmatoidní artritidy (RA) u dospělých pacientů dříve neléčených methotrexátem.</w:t>
      </w:r>
    </w:p>
    <w:p w14:paraId="397813EB" w14:textId="77777777" w:rsidR="00222DE0" w:rsidRPr="00EE3355" w:rsidRDefault="00B23DAE" w:rsidP="00EA1CDF">
      <w:pPr>
        <w:widowControl/>
        <w:tabs>
          <w:tab w:val="left" w:pos="821"/>
        </w:tabs>
        <w:ind w:left="567" w:hanging="567"/>
      </w:pPr>
      <w:r w:rsidRPr="00EE3355">
        <w:rPr>
          <w:rFonts w:ascii="Symbol" w:eastAsia="Symbol" w:hAnsi="Symbol" w:cs="Symbol"/>
        </w:rPr>
        <w:t></w:t>
      </w:r>
      <w:r w:rsidRPr="00EE3355">
        <w:rPr>
          <w:rFonts w:ascii="Symbol" w:eastAsia="Symbol" w:hAnsi="Symbol" w:cs="Symbol"/>
        </w:rPr>
        <w:tab/>
      </w:r>
      <w:r w:rsidR="0098273B" w:rsidRPr="00EE3355">
        <w:t>k léčbě středně těžké až těžké aktivní RA u dospělých pacientů, kteří na předchozí terapii jedním nebo více tradičními DMARD (disease modifying anti-rheumatic drugs) nebo antagonisty tumor nekrotizujícího faktoru (TNF) neodpovídali dostatečně, nebo ji netolerovali.</w:t>
      </w:r>
    </w:p>
    <w:p w14:paraId="4EA0FE81" w14:textId="77777777" w:rsidR="00B91F0A" w:rsidRPr="00EE3355" w:rsidRDefault="00B91F0A" w:rsidP="00EA1CDF">
      <w:pPr>
        <w:widowControl/>
        <w:tabs>
          <w:tab w:val="left" w:pos="821"/>
        </w:tabs>
      </w:pPr>
    </w:p>
    <w:p w14:paraId="1150766E" w14:textId="6C594336" w:rsidR="00222DE0" w:rsidRPr="00EE3355" w:rsidRDefault="0098273B" w:rsidP="00EA1CDF">
      <w:pPr>
        <w:pStyle w:val="a3"/>
        <w:widowControl/>
        <w:ind w:left="0"/>
      </w:pPr>
      <w:r w:rsidRPr="00EE3355">
        <w:t xml:space="preserve">U těchto pacientů se </w:t>
      </w:r>
      <w:r w:rsidR="00D128CD">
        <w:t>Avtozma</w:t>
      </w:r>
      <w:r w:rsidRPr="00EE3355">
        <w:t xml:space="preserve"> může podávat v monoterapii v případě intolerance MTX nebo</w:t>
      </w:r>
    </w:p>
    <w:p w14:paraId="56DC0C16" w14:textId="77777777" w:rsidR="00222DE0" w:rsidRPr="00EE3355" w:rsidRDefault="0098273B" w:rsidP="00EA1CDF">
      <w:pPr>
        <w:pStyle w:val="a3"/>
        <w:widowControl/>
        <w:ind w:left="0"/>
      </w:pPr>
      <w:r w:rsidRPr="00EE3355">
        <w:t>v případě, že pokračující léčba MTX je nevhodná.</w:t>
      </w:r>
    </w:p>
    <w:p w14:paraId="52C895B0" w14:textId="77777777" w:rsidR="00222DE0" w:rsidRPr="00EE3355" w:rsidRDefault="00222DE0" w:rsidP="00EA1CDF">
      <w:pPr>
        <w:pStyle w:val="a3"/>
        <w:widowControl/>
        <w:ind w:left="0"/>
      </w:pPr>
    </w:p>
    <w:p w14:paraId="742357C7" w14:textId="37745366" w:rsidR="00222DE0" w:rsidRPr="00EE3355" w:rsidRDefault="0098273B" w:rsidP="00EA1CDF">
      <w:pPr>
        <w:pStyle w:val="a3"/>
        <w:widowControl/>
        <w:ind w:left="0"/>
      </w:pPr>
      <w:r w:rsidRPr="00EE3355">
        <w:t xml:space="preserve">Bylo prokázáno, že přípravek </w:t>
      </w:r>
      <w:r w:rsidR="00D128CD">
        <w:t>Avtozma</w:t>
      </w:r>
      <w:r w:rsidRPr="00EE3355">
        <w:t xml:space="preserve"> snižuje rychlost progrese kloubního poškození měřeného pomocí RTG vyšetření a zlepšuje fyzické funkce, pokud je podáván v kombinaci s methotrexátem.</w:t>
      </w:r>
    </w:p>
    <w:p w14:paraId="0AEB5B24" w14:textId="77777777" w:rsidR="007C287D" w:rsidRPr="00EE3355" w:rsidRDefault="007C287D" w:rsidP="00EA1CDF">
      <w:pPr>
        <w:pStyle w:val="a3"/>
        <w:widowControl/>
        <w:ind w:left="0"/>
      </w:pPr>
    </w:p>
    <w:p w14:paraId="124244FD" w14:textId="1BF691F2" w:rsidR="005A3016" w:rsidRPr="002F0CCA" w:rsidRDefault="005A3016" w:rsidP="00EA1CDF">
      <w:pPr>
        <w:pStyle w:val="a3"/>
        <w:widowControl/>
        <w:ind w:left="0"/>
        <w:jc w:val="both"/>
        <w:rPr>
          <w:rFonts w:eastAsia="맑은 고딕"/>
          <w:u w:val="single"/>
          <w:lang w:eastAsia="ko-KR"/>
        </w:rPr>
      </w:pPr>
      <w:r w:rsidRPr="002F0CCA">
        <w:rPr>
          <w:rFonts w:eastAsia="맑은 고딕"/>
          <w:u w:val="single"/>
          <w:lang w:eastAsia="ko-KR"/>
        </w:rPr>
        <w:t>Systémová juvenilní idiopatická artritida (sJIA)</w:t>
      </w:r>
    </w:p>
    <w:p w14:paraId="021432A6" w14:textId="024AFFC1" w:rsidR="00222DE0" w:rsidRPr="00EE3355" w:rsidRDefault="0098273B" w:rsidP="00EA1CDF">
      <w:pPr>
        <w:pStyle w:val="a3"/>
        <w:widowControl/>
        <w:ind w:left="0"/>
        <w:jc w:val="both"/>
      </w:pPr>
      <w:r w:rsidRPr="00EE3355">
        <w:t xml:space="preserve">Přípravek </w:t>
      </w:r>
      <w:r w:rsidR="00D128CD">
        <w:t>Avtozma</w:t>
      </w:r>
      <w:r w:rsidRPr="00EE3355">
        <w:t xml:space="preserve"> je indikován k léčbě aktivní systémové juvenilní idiopatické artritidy (sJIA) u pacientů od 1 roku, kteří na předchozí léčbu nesteroidními antirevmatiky (NSA) a systémovými kortikosteroidy neodpovídali dostatečně. Přípravek </w:t>
      </w:r>
      <w:r w:rsidR="00D128CD">
        <w:t>Avtozma</w:t>
      </w:r>
      <w:r w:rsidRPr="00EE3355">
        <w:t xml:space="preserve"> se může podávat v</w:t>
      </w:r>
      <w:r w:rsidR="007C287D" w:rsidRPr="00EE3355">
        <w:t> </w:t>
      </w:r>
      <w:r w:rsidRPr="00EE3355">
        <w:t>monoterapii</w:t>
      </w:r>
      <w:r w:rsidR="007C287D" w:rsidRPr="00EE3355">
        <w:t xml:space="preserve"> </w:t>
      </w:r>
      <w:r w:rsidRPr="00EE3355">
        <w:t>(v případě intolerance MTX nebo v případě, že léčba MTX je nevhodná) nebo v kombinaci s MTX.</w:t>
      </w:r>
    </w:p>
    <w:p w14:paraId="5645F8DF" w14:textId="43BF0068" w:rsidR="00222DE0" w:rsidRPr="002F0CCA" w:rsidRDefault="005A3016" w:rsidP="002F0CCA">
      <w:pPr>
        <w:widowControl/>
        <w:autoSpaceDE/>
        <w:autoSpaceDN/>
        <w:rPr>
          <w:rFonts w:eastAsia="맑은 고딕"/>
          <w:lang w:eastAsia="ko-KR"/>
        </w:rPr>
      </w:pPr>
      <w:r>
        <w:br w:type="page"/>
      </w:r>
    </w:p>
    <w:p w14:paraId="5471418F" w14:textId="05C4FE7E" w:rsidR="005A3016" w:rsidRPr="002F0CCA" w:rsidRDefault="005A3016" w:rsidP="00EA1CDF">
      <w:pPr>
        <w:pStyle w:val="a3"/>
        <w:widowControl/>
        <w:ind w:left="0"/>
        <w:rPr>
          <w:rFonts w:eastAsia="맑은 고딕"/>
          <w:u w:val="single"/>
          <w:lang w:eastAsia="ko-KR"/>
        </w:rPr>
      </w:pPr>
      <w:r w:rsidRPr="002F0CCA">
        <w:rPr>
          <w:rFonts w:eastAsia="맑은 고딕"/>
          <w:u w:val="single"/>
          <w:lang w:eastAsia="ko-KR"/>
        </w:rPr>
        <w:lastRenderedPageBreak/>
        <w:t>Juvenilní idiopatická polyartritida (pJIA)</w:t>
      </w:r>
    </w:p>
    <w:p w14:paraId="6282A92F" w14:textId="0B58458F" w:rsidR="00222DE0" w:rsidRPr="00EE3355" w:rsidRDefault="0098273B" w:rsidP="00EA1CDF">
      <w:pPr>
        <w:pStyle w:val="a3"/>
        <w:widowControl/>
        <w:ind w:left="0"/>
      </w:pPr>
      <w:r w:rsidRPr="00EE3355">
        <w:t xml:space="preserve">Přípravek </w:t>
      </w:r>
      <w:r w:rsidR="00D128CD">
        <w:t>Avtozma</w:t>
      </w:r>
      <w:r w:rsidRPr="00EE3355">
        <w:t xml:space="preserve"> je v kombinaci s methotrexátem (MTX) indikován k léčbě juvenilní idiopatické polyartritidy (pJIA; s pozitivním nebo negativním revmatoidním faktorem a rozšířenou oligoartritidou) u pacientů od 2 let, kteří nedostatečně odpověděli na předchozí léčbu MTX.</w:t>
      </w:r>
      <w:r w:rsidR="007C287D" w:rsidRPr="00EE3355">
        <w:t xml:space="preserve"> </w:t>
      </w:r>
      <w:r w:rsidRPr="00EE3355">
        <w:t xml:space="preserve">Přípravek </w:t>
      </w:r>
      <w:r w:rsidR="00D128CD">
        <w:t>Avtozma</w:t>
      </w:r>
      <w:r w:rsidRPr="00EE3355">
        <w:t xml:space="preserve"> může být podáván v monoterapii v případě intolerance MTX nebo v případě, že pokračující léčba MTX je nevhodná.</w:t>
      </w:r>
    </w:p>
    <w:p w14:paraId="49A16663" w14:textId="77777777" w:rsidR="007C287D" w:rsidRDefault="007C287D" w:rsidP="00EA1CDF">
      <w:pPr>
        <w:pStyle w:val="a3"/>
        <w:widowControl/>
        <w:ind w:left="0"/>
        <w:rPr>
          <w:rFonts w:eastAsia="맑은 고딕"/>
          <w:lang w:eastAsia="ko-KR"/>
        </w:rPr>
      </w:pPr>
    </w:p>
    <w:p w14:paraId="3A99D602" w14:textId="63088E5B" w:rsidR="005A3016" w:rsidRPr="002F0CCA" w:rsidRDefault="005A3016" w:rsidP="00EA1CDF">
      <w:pPr>
        <w:pStyle w:val="a3"/>
        <w:widowControl/>
        <w:ind w:left="0"/>
        <w:rPr>
          <w:rFonts w:eastAsia="맑은 고딕"/>
          <w:u w:val="single"/>
          <w:lang w:eastAsia="ko-KR"/>
        </w:rPr>
      </w:pPr>
      <w:r w:rsidRPr="002F0CCA">
        <w:rPr>
          <w:rFonts w:eastAsia="맑은 고딕"/>
          <w:u w:val="single"/>
          <w:lang w:eastAsia="ko-KR"/>
        </w:rPr>
        <w:t>Obrovskobuněčná arteriitida (GCA)</w:t>
      </w:r>
    </w:p>
    <w:p w14:paraId="4FE1B689" w14:textId="5EB4D4E6" w:rsidR="00222DE0" w:rsidRPr="00EE3355" w:rsidRDefault="0098273B" w:rsidP="00EA1CDF">
      <w:pPr>
        <w:pStyle w:val="a3"/>
        <w:widowControl/>
        <w:ind w:left="0"/>
        <w:jc w:val="both"/>
      </w:pPr>
      <w:r w:rsidRPr="00EE3355">
        <w:t xml:space="preserve">Přípravek </w:t>
      </w:r>
      <w:r w:rsidR="00D128CD">
        <w:t>Avtozma</w:t>
      </w:r>
      <w:r w:rsidRPr="00EE3355">
        <w:t xml:space="preserve"> je indikován k léčbě obrovskobuněčné arteritidy (GCA) u dospělých.</w:t>
      </w:r>
    </w:p>
    <w:p w14:paraId="2124860E" w14:textId="77777777" w:rsidR="00222DE0" w:rsidRPr="00EE3355" w:rsidRDefault="00222DE0" w:rsidP="00EA1CDF">
      <w:pPr>
        <w:jc w:val="both"/>
      </w:pPr>
    </w:p>
    <w:p w14:paraId="11378A3A" w14:textId="77777777" w:rsidR="00222DE0" w:rsidRPr="00EE3355" w:rsidRDefault="00B23DAE" w:rsidP="00EA1CDF">
      <w:pPr>
        <w:pStyle w:val="2"/>
        <w:keepNext/>
        <w:widowControl/>
        <w:tabs>
          <w:tab w:val="left" w:pos="799"/>
        </w:tabs>
        <w:ind w:left="567" w:hanging="567"/>
      </w:pPr>
      <w:r w:rsidRPr="00EE3355">
        <w:t>4.2</w:t>
      </w:r>
      <w:r w:rsidRPr="00EE3355">
        <w:tab/>
      </w:r>
      <w:r w:rsidR="0098273B" w:rsidRPr="00EE3355">
        <w:t>Dávkování a způsob podání</w:t>
      </w:r>
    </w:p>
    <w:p w14:paraId="1ABE7CF5" w14:textId="77777777" w:rsidR="007C287D" w:rsidRPr="00EE3355" w:rsidRDefault="007C287D" w:rsidP="00E8799A"/>
    <w:p w14:paraId="18CC8B16" w14:textId="5A586F05" w:rsidR="00222DE0" w:rsidRPr="00EE3355" w:rsidRDefault="0098273B" w:rsidP="00EA1CDF">
      <w:pPr>
        <w:pStyle w:val="a3"/>
        <w:widowControl/>
        <w:ind w:left="0"/>
      </w:pPr>
      <w:r w:rsidRPr="00EE3355">
        <w:t>Podkožní léková forma tocilizumabu se podává jednorázovou předplněnou injekční stříkačkou a</w:t>
      </w:r>
      <w:r w:rsidR="007C287D" w:rsidRPr="00EE3355">
        <w:t xml:space="preserve"> </w:t>
      </w:r>
      <w:r w:rsidRPr="00EE3355">
        <w:t>jehlou s bezpečnostním systémem. Léčba má být zahájena lékařem, který má zkušenosti</w:t>
      </w:r>
      <w:r w:rsidR="00B9185F" w:rsidRPr="00EE3355">
        <w:t xml:space="preserve"> </w:t>
      </w:r>
      <w:r w:rsidRPr="00EE3355">
        <w:t xml:space="preserve">s diagnostikou a léčbou RA, sJIA, pJIA a/nebo GCA. První injekci je třeba podat pod dohledem kvalifikovaného zdravotnického pracovníka. Pacient nebo rodič / opatrovník si může sám injekčně podávat přípravek </w:t>
      </w:r>
      <w:r w:rsidR="00D128CD">
        <w:t>Avtozma</w:t>
      </w:r>
      <w:r w:rsidRPr="00EE3355">
        <w:t xml:space="preserve"> pouze tehdy, pokud lékař rozhodne, že je to vhodné a pacient nebo rodič / opatrovník souhlasí s lékařským sledováním podle potřeby a je vyškolen ve správné technice podávání injekce.</w:t>
      </w:r>
    </w:p>
    <w:p w14:paraId="7A009ACA" w14:textId="77777777" w:rsidR="00222DE0" w:rsidRPr="00EE3355" w:rsidRDefault="00222DE0" w:rsidP="00EA1CDF">
      <w:pPr>
        <w:pStyle w:val="a3"/>
        <w:widowControl/>
        <w:ind w:left="0"/>
      </w:pPr>
    </w:p>
    <w:p w14:paraId="043F2262" w14:textId="77777777" w:rsidR="00222DE0" w:rsidRPr="00EE3355" w:rsidRDefault="0098273B" w:rsidP="00EA1CDF">
      <w:pPr>
        <w:pStyle w:val="a3"/>
        <w:widowControl/>
        <w:ind w:left="0"/>
      </w:pPr>
      <w:r w:rsidRPr="00EE3355">
        <w:t>Pacienti, kteří přecházejí z i.v. léčby tocilizumabem na s.c. podání, si musejí podat první s.c. dávku v době další plánované i.v. dávky pod dohledem kvalifikovaného zdravotnického pracovníka.</w:t>
      </w:r>
    </w:p>
    <w:p w14:paraId="0516CBC4" w14:textId="77777777" w:rsidR="00B9185F" w:rsidRPr="00EE3355" w:rsidRDefault="00B9185F" w:rsidP="00EA1CDF">
      <w:pPr>
        <w:pStyle w:val="a3"/>
        <w:widowControl/>
        <w:ind w:left="0"/>
      </w:pPr>
    </w:p>
    <w:p w14:paraId="5693E097" w14:textId="0DA7E923" w:rsidR="00222DE0" w:rsidRPr="00EE3355" w:rsidRDefault="0098273B" w:rsidP="00EA1CDF">
      <w:pPr>
        <w:pStyle w:val="a3"/>
        <w:widowControl/>
        <w:ind w:left="0"/>
      </w:pPr>
      <w:r w:rsidRPr="00EE3355">
        <w:t xml:space="preserve">Všichni pacienti léčení přípravkem </w:t>
      </w:r>
      <w:r w:rsidR="00D128CD">
        <w:t>Avtozma</w:t>
      </w:r>
      <w:r w:rsidRPr="00EE3355">
        <w:t xml:space="preserve"> mají obdržet Kartu pacienta léčeného přípravkem</w:t>
      </w:r>
    </w:p>
    <w:p w14:paraId="021BD827" w14:textId="7DA7A0C7" w:rsidR="00222DE0" w:rsidRPr="00EE3355" w:rsidRDefault="00D128CD" w:rsidP="00EA1CDF">
      <w:pPr>
        <w:pStyle w:val="a3"/>
        <w:widowControl/>
        <w:ind w:left="0"/>
      </w:pPr>
      <w:r>
        <w:t>Avtozma</w:t>
      </w:r>
      <w:r w:rsidR="0098273B" w:rsidRPr="00EE3355">
        <w:t>.</w:t>
      </w:r>
    </w:p>
    <w:p w14:paraId="013FF4BD" w14:textId="77777777" w:rsidR="00222DE0" w:rsidRPr="00EE3355" w:rsidRDefault="00222DE0" w:rsidP="00EA1CDF">
      <w:pPr>
        <w:pStyle w:val="a3"/>
        <w:widowControl/>
        <w:ind w:left="0"/>
      </w:pPr>
    </w:p>
    <w:p w14:paraId="0D9C9C5B" w14:textId="77777777" w:rsidR="00222DE0" w:rsidRPr="00EE3355" w:rsidRDefault="0098273B" w:rsidP="00EA1CDF">
      <w:pPr>
        <w:pStyle w:val="a3"/>
        <w:widowControl/>
        <w:ind w:left="0"/>
      </w:pPr>
      <w:r w:rsidRPr="00EE3355">
        <w:t>Je potřeba posoudit vhodnost pacienta nebo rodiče/opatrovníka pro domácí aplikaci subkutánních injekcí a je potřeba poučit tyto pacienty nebo rodiče/opatrovníky, aby před podáním další dávky informovali zdravotnického pracovníka, pokud se u nich objeví příznaky alergické reakce. Pacienti mají vyhledat okamžitou lékařskou pomoc, pokud se u nich projeví příznaky závažné alergické reakce (viz bod 4.4).</w:t>
      </w:r>
    </w:p>
    <w:p w14:paraId="4C27012E" w14:textId="77777777" w:rsidR="00222DE0" w:rsidRPr="00EE3355" w:rsidRDefault="00222DE0" w:rsidP="00EA1CDF">
      <w:pPr>
        <w:pStyle w:val="a3"/>
        <w:widowControl/>
        <w:ind w:left="0"/>
      </w:pPr>
    </w:p>
    <w:p w14:paraId="0F651C49" w14:textId="77777777" w:rsidR="00222DE0" w:rsidRPr="00EE3355" w:rsidRDefault="0098273B" w:rsidP="00EA1CDF">
      <w:pPr>
        <w:pStyle w:val="a3"/>
        <w:widowControl/>
        <w:ind w:left="0"/>
      </w:pPr>
      <w:r w:rsidRPr="00EE3355">
        <w:rPr>
          <w:u w:val="single"/>
        </w:rPr>
        <w:t>Dávkování</w:t>
      </w:r>
    </w:p>
    <w:p w14:paraId="34FAC8A7" w14:textId="77777777" w:rsidR="00222DE0" w:rsidRPr="00EE3355" w:rsidRDefault="00222DE0" w:rsidP="00EA1CDF">
      <w:pPr>
        <w:pStyle w:val="a3"/>
        <w:widowControl/>
        <w:ind w:left="0"/>
      </w:pPr>
    </w:p>
    <w:p w14:paraId="13F087FC" w14:textId="77777777" w:rsidR="00222DE0" w:rsidRPr="00EE3355" w:rsidRDefault="0098273B" w:rsidP="00EA1CDF">
      <w:pPr>
        <w:pStyle w:val="a3"/>
        <w:widowControl/>
        <w:ind w:left="0"/>
      </w:pPr>
      <w:r w:rsidRPr="00EE3355">
        <w:rPr>
          <w:u w:val="single"/>
        </w:rPr>
        <w:t>RA</w:t>
      </w:r>
    </w:p>
    <w:p w14:paraId="0D9D95CF" w14:textId="77777777" w:rsidR="00222DE0" w:rsidRPr="00EE3355" w:rsidRDefault="0098273B" w:rsidP="00EA1CDF">
      <w:pPr>
        <w:pStyle w:val="a3"/>
        <w:widowControl/>
        <w:ind w:left="0"/>
      </w:pPr>
      <w:r w:rsidRPr="00EE3355">
        <w:t>Doporučená dávka je 162 mg podaná subkutánně, jedenkrát týdně.</w:t>
      </w:r>
    </w:p>
    <w:p w14:paraId="7188CFB5" w14:textId="77777777" w:rsidR="00222DE0" w:rsidRPr="00EE3355" w:rsidRDefault="00222DE0" w:rsidP="00EA1CDF">
      <w:pPr>
        <w:pStyle w:val="a3"/>
        <w:widowControl/>
        <w:ind w:left="0"/>
      </w:pPr>
    </w:p>
    <w:p w14:paraId="289544B9" w14:textId="1ECD6181" w:rsidR="00222DE0" w:rsidRDefault="0098273B" w:rsidP="00EA1CDF">
      <w:pPr>
        <w:pStyle w:val="a3"/>
        <w:widowControl/>
        <w:ind w:left="0"/>
      </w:pPr>
      <w:r w:rsidRPr="00EE3355">
        <w:t xml:space="preserve">Jsou dostupné omezené informace týkající se přechodu pacientů z intravenózní lékové formy přípravku </w:t>
      </w:r>
      <w:r w:rsidR="00D128CD">
        <w:t>Avtozma</w:t>
      </w:r>
      <w:r w:rsidRPr="00EE3355">
        <w:t xml:space="preserve"> na subkutánní lékovou formu s pevně stanovenou dávkou přípravku </w:t>
      </w:r>
      <w:r w:rsidR="00D128CD">
        <w:t>Avtozma</w:t>
      </w:r>
      <w:r w:rsidRPr="00EE3355">
        <w:t>. Má být dodržován dávkovací interval jedenkrát týdně.</w:t>
      </w:r>
    </w:p>
    <w:p w14:paraId="017A2B54" w14:textId="77777777" w:rsidR="0053673C" w:rsidRPr="00EE3355" w:rsidRDefault="0053673C" w:rsidP="00EA1CDF">
      <w:pPr>
        <w:pStyle w:val="a3"/>
        <w:widowControl/>
        <w:ind w:left="0"/>
      </w:pPr>
    </w:p>
    <w:p w14:paraId="46DCD8E2" w14:textId="77777777" w:rsidR="00222DE0" w:rsidRPr="00EE3355" w:rsidRDefault="0098273B" w:rsidP="00EA1CDF">
      <w:pPr>
        <w:pStyle w:val="a3"/>
        <w:widowControl/>
        <w:ind w:left="0"/>
      </w:pPr>
      <w:r w:rsidRPr="00EE3355">
        <w:t>Pacienti, kteří přecházejí z intravenózní na subkutánní lékovou formu, mají být pod dohledem kvalifikovaného zdravotnického pracovníka při prvním podání subkutánní dávky, která nahrazuje příští plánovanou intravenózní dávku.</w:t>
      </w:r>
    </w:p>
    <w:p w14:paraId="217925C1" w14:textId="77777777" w:rsidR="00222DE0" w:rsidRPr="00EE3355" w:rsidRDefault="00222DE0" w:rsidP="00EA1CDF">
      <w:pPr>
        <w:pStyle w:val="a3"/>
        <w:widowControl/>
        <w:ind w:left="0"/>
      </w:pPr>
    </w:p>
    <w:p w14:paraId="3FAA1F46" w14:textId="77777777" w:rsidR="00222DE0" w:rsidRPr="00EE3355" w:rsidRDefault="0098273B" w:rsidP="00EA1CDF">
      <w:pPr>
        <w:pStyle w:val="a3"/>
        <w:widowControl/>
        <w:ind w:left="0"/>
      </w:pPr>
      <w:r w:rsidRPr="00EE3355">
        <w:rPr>
          <w:u w:val="single"/>
        </w:rPr>
        <w:t>GCA</w:t>
      </w:r>
    </w:p>
    <w:p w14:paraId="7C7EA92D" w14:textId="77777777" w:rsidR="00222DE0" w:rsidRPr="00EE3355" w:rsidRDefault="00222DE0" w:rsidP="00EA1CDF">
      <w:pPr>
        <w:pStyle w:val="a3"/>
        <w:widowControl/>
        <w:ind w:left="0"/>
      </w:pPr>
    </w:p>
    <w:p w14:paraId="222D2101" w14:textId="6793F7B6" w:rsidR="00222DE0" w:rsidRPr="00EE3355" w:rsidRDefault="0098273B" w:rsidP="0053673C">
      <w:pPr>
        <w:pStyle w:val="a3"/>
        <w:widowControl/>
        <w:ind w:left="0"/>
      </w:pPr>
      <w:r w:rsidRPr="00EE3355">
        <w:t>Doporučená dávka je 162 mg podaná subkutánně, jedenkrát týdně v kombinaci s</w:t>
      </w:r>
      <w:r w:rsidR="0053673C">
        <w:t> </w:t>
      </w:r>
      <w:r w:rsidRPr="00EE3355">
        <w:t>postupným</w:t>
      </w:r>
      <w:r w:rsidR="0053673C">
        <w:t xml:space="preserve"> </w:t>
      </w:r>
      <w:r w:rsidRPr="00EE3355">
        <w:t xml:space="preserve">vysazováním glukokortikoidů. Po vysazení glukokortikoidů lze přípravek </w:t>
      </w:r>
      <w:r w:rsidR="00D128CD">
        <w:t>Avtozma</w:t>
      </w:r>
      <w:r w:rsidRPr="00EE3355">
        <w:t xml:space="preserve"> použít</w:t>
      </w:r>
      <w:r w:rsidR="0053673C">
        <w:t xml:space="preserve"> </w:t>
      </w:r>
      <w:r w:rsidRPr="00EE3355">
        <w:t xml:space="preserve">v monoterapii. Přípravek </w:t>
      </w:r>
      <w:r w:rsidR="00D128CD">
        <w:t>Avtozma</w:t>
      </w:r>
      <w:r w:rsidRPr="00EE3355">
        <w:t xml:space="preserve"> nemá být používán v monoterapii k léčbě akutního relapsu (viz 4.4).</w:t>
      </w:r>
    </w:p>
    <w:p w14:paraId="3857EE5E" w14:textId="77777777" w:rsidR="00222DE0" w:rsidRPr="00EE3355" w:rsidRDefault="00222DE0" w:rsidP="00EA1CDF">
      <w:pPr>
        <w:pStyle w:val="a3"/>
        <w:widowControl/>
        <w:ind w:left="0"/>
      </w:pPr>
    </w:p>
    <w:p w14:paraId="20605F2C" w14:textId="77777777" w:rsidR="00222DE0" w:rsidRPr="00EE3355" w:rsidRDefault="0098273B" w:rsidP="00EA1CDF">
      <w:pPr>
        <w:pStyle w:val="a3"/>
        <w:widowControl/>
        <w:ind w:left="0"/>
      </w:pPr>
      <w:r w:rsidRPr="00EE3355">
        <w:t>Na základě chronické povahy GCA má být léčba po 52 týdnech řízena aktivitou onemocnění, lékařskou diskrétností a volbou pacienta.</w:t>
      </w:r>
    </w:p>
    <w:p w14:paraId="2C2FD85A" w14:textId="77777777" w:rsidR="00B9185F" w:rsidRPr="00EE3355" w:rsidRDefault="00B9185F" w:rsidP="00EA1CDF">
      <w:pPr>
        <w:pStyle w:val="a3"/>
        <w:widowControl/>
        <w:ind w:left="0"/>
      </w:pPr>
    </w:p>
    <w:p w14:paraId="428BC578" w14:textId="77777777" w:rsidR="00222DE0" w:rsidRDefault="0098273B" w:rsidP="00EA1CDF">
      <w:pPr>
        <w:pStyle w:val="a3"/>
        <w:widowControl/>
        <w:spacing w:before="66"/>
        <w:ind w:left="0"/>
        <w:rPr>
          <w:u w:val="single"/>
        </w:rPr>
      </w:pPr>
      <w:r w:rsidRPr="00EE3355">
        <w:rPr>
          <w:u w:val="single"/>
        </w:rPr>
        <w:t>RA a GCA</w:t>
      </w:r>
    </w:p>
    <w:p w14:paraId="07235F18" w14:textId="77777777" w:rsidR="0053673C" w:rsidRPr="00EE3355" w:rsidRDefault="0053673C" w:rsidP="00EA1CDF">
      <w:pPr>
        <w:pStyle w:val="a3"/>
        <w:widowControl/>
        <w:spacing w:before="66"/>
        <w:ind w:left="0"/>
      </w:pPr>
    </w:p>
    <w:p w14:paraId="7303CEAB" w14:textId="77777777" w:rsidR="00222DE0" w:rsidRPr="00EE3355" w:rsidRDefault="0098273B" w:rsidP="00EA1CDF">
      <w:pPr>
        <w:pStyle w:val="a3"/>
        <w:widowControl/>
        <w:ind w:left="0"/>
      </w:pPr>
      <w:r w:rsidRPr="00EE3355">
        <w:rPr>
          <w:u w:val="single"/>
        </w:rPr>
        <w:t>Úpravy dávky z důvodu laboratorních odchylek (viz bod 4.4)</w:t>
      </w:r>
    </w:p>
    <w:p w14:paraId="741C63BD" w14:textId="77777777" w:rsidR="00222DE0" w:rsidRPr="00EE3355" w:rsidRDefault="00222DE0" w:rsidP="00EA1CDF">
      <w:pPr>
        <w:pStyle w:val="a3"/>
        <w:spacing w:before="1"/>
        <w:ind w:left="0"/>
      </w:pPr>
    </w:p>
    <w:p w14:paraId="002B3FFA"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Odchylky hodnot jaterních enzymů</w:t>
      </w:r>
    </w:p>
    <w:p w14:paraId="1642061B" w14:textId="77777777" w:rsidR="00222DE0" w:rsidRPr="00EE3355" w:rsidRDefault="00222DE0" w:rsidP="00EA1CDF">
      <w:pPr>
        <w:pStyle w:val="a3"/>
        <w:spacing w:before="29"/>
        <w:ind w:left="0"/>
        <w:rPr>
          <w:sz w:val="20"/>
        </w:rPr>
      </w:pPr>
    </w:p>
    <w:tbl>
      <w:tblPr>
        <w:tblW w:w="9029"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91"/>
        <w:gridCol w:w="6838"/>
      </w:tblGrid>
      <w:tr w:rsidR="00222DE0" w:rsidRPr="00EE3355" w14:paraId="2B07F9D7" w14:textId="77777777" w:rsidTr="00BC4221">
        <w:trPr>
          <w:cantSplit/>
          <w:trHeight w:val="246"/>
          <w:tblHeader/>
        </w:trPr>
        <w:tc>
          <w:tcPr>
            <w:tcW w:w="2191" w:type="dxa"/>
          </w:tcPr>
          <w:p w14:paraId="7DF0FAB2" w14:textId="77777777" w:rsidR="00222DE0" w:rsidRPr="00EE3355" w:rsidRDefault="0098273B" w:rsidP="00B93217">
            <w:pPr>
              <w:pStyle w:val="TableParagraph"/>
              <w:keepNext/>
              <w:widowControl/>
            </w:pPr>
            <w:r w:rsidRPr="00EE3355">
              <w:t>Laboratorní hodnota</w:t>
            </w:r>
          </w:p>
        </w:tc>
        <w:tc>
          <w:tcPr>
            <w:tcW w:w="6838" w:type="dxa"/>
          </w:tcPr>
          <w:p w14:paraId="20CE7269" w14:textId="77777777" w:rsidR="00222DE0" w:rsidRPr="00EE3355" w:rsidRDefault="0098273B" w:rsidP="00B93217">
            <w:pPr>
              <w:pStyle w:val="TableParagraph"/>
              <w:keepNext/>
              <w:widowControl/>
              <w:jc w:val="center"/>
            </w:pPr>
            <w:r w:rsidRPr="00EE3355">
              <w:t>Opatření</w:t>
            </w:r>
          </w:p>
        </w:tc>
      </w:tr>
      <w:tr w:rsidR="00222DE0" w:rsidRPr="00EE3355" w14:paraId="2F3544A0" w14:textId="77777777" w:rsidTr="002223F3">
        <w:trPr>
          <w:cantSplit/>
          <w:trHeight w:val="2347"/>
        </w:trPr>
        <w:tc>
          <w:tcPr>
            <w:tcW w:w="2191" w:type="dxa"/>
          </w:tcPr>
          <w:p w14:paraId="6C0882D2" w14:textId="77777777" w:rsidR="00222DE0" w:rsidRPr="00EE3355" w:rsidRDefault="00B23DAE" w:rsidP="0053673C">
            <w:pPr>
              <w:pStyle w:val="TableParagraph"/>
              <w:widowControl/>
              <w:tabs>
                <w:tab w:val="left" w:pos="286"/>
              </w:tabs>
            </w:pPr>
            <w:r w:rsidRPr="00EE3355">
              <w:t>&gt;</w:t>
            </w:r>
            <w:r w:rsidR="0053673C">
              <w:t xml:space="preserve"> </w:t>
            </w:r>
            <w:r w:rsidR="0098273B" w:rsidRPr="00EE3355">
              <w:t>1- až 3násobek horní hranice normálních hodnot (ULN)</w:t>
            </w:r>
          </w:p>
        </w:tc>
        <w:tc>
          <w:tcPr>
            <w:tcW w:w="6838" w:type="dxa"/>
          </w:tcPr>
          <w:p w14:paraId="1D8FAAB4" w14:textId="77777777" w:rsidR="00222DE0" w:rsidRPr="00EE3355" w:rsidRDefault="0098273B" w:rsidP="00EA1CDF">
            <w:pPr>
              <w:pStyle w:val="TableParagraph"/>
              <w:widowControl/>
            </w:pPr>
            <w:r w:rsidRPr="00EE3355">
              <w:t>Upravte dávku souběžně podávaného DMARD (RA) nebo</w:t>
            </w:r>
            <w:r w:rsidR="00B25E0F" w:rsidRPr="00EE3355">
              <w:t xml:space="preserve"> </w:t>
            </w:r>
            <w:r w:rsidRPr="00EE3355">
              <w:t>imunomodulačních přípravků (GCA), pokud je to vhodné.</w:t>
            </w:r>
          </w:p>
          <w:p w14:paraId="2B946AF9" w14:textId="77777777" w:rsidR="00222DE0" w:rsidRPr="00EE3355" w:rsidRDefault="00222DE0" w:rsidP="00EA1CDF">
            <w:pPr>
              <w:pStyle w:val="TableParagraph"/>
              <w:widowControl/>
            </w:pPr>
          </w:p>
          <w:p w14:paraId="77D8930B" w14:textId="4C1F5E8A" w:rsidR="00222DE0" w:rsidRPr="00EE3355" w:rsidRDefault="0098273B" w:rsidP="00EA1CDF">
            <w:pPr>
              <w:pStyle w:val="TableParagraph"/>
              <w:widowControl/>
            </w:pPr>
            <w:r w:rsidRPr="00EE3355">
              <w:t xml:space="preserve">Při přetrvávajících vzestupech v tomto rozpětí snižte četnost dávkování přípravku </w:t>
            </w:r>
            <w:r w:rsidR="00D128CD">
              <w:t>Avtozma</w:t>
            </w:r>
            <w:r w:rsidRPr="00EE3355">
              <w:t xml:space="preserve"> na podání injekce každý druhý týden nebo přerušte podávání přípravku </w:t>
            </w:r>
            <w:r w:rsidR="00D128CD">
              <w:t>Avtozma</w:t>
            </w:r>
            <w:r w:rsidRPr="00EE3355">
              <w:t>, dokud nedojde k normalizaci hodnot alaninaminotransferázy (ALT) nebo aspartátaminotransferázy (AST).</w:t>
            </w:r>
          </w:p>
          <w:p w14:paraId="4A8DFCDD" w14:textId="77777777" w:rsidR="00222DE0" w:rsidRPr="00EE3355" w:rsidRDefault="00222DE0" w:rsidP="00EA1CDF">
            <w:pPr>
              <w:pStyle w:val="TableParagraph"/>
              <w:widowControl/>
            </w:pPr>
          </w:p>
          <w:p w14:paraId="442A8B78" w14:textId="77777777" w:rsidR="00222DE0" w:rsidRPr="00EE3355" w:rsidRDefault="0098273B" w:rsidP="00EA1CDF">
            <w:pPr>
              <w:pStyle w:val="TableParagraph"/>
              <w:widowControl/>
            </w:pPr>
            <w:r w:rsidRPr="00EE3355">
              <w:t>Léčbu znovu začněte podáním injekcí jednou týdně nebo každý druhý týden,</w:t>
            </w:r>
            <w:r w:rsidR="002223F3">
              <w:t xml:space="preserve"> </w:t>
            </w:r>
            <w:r w:rsidRPr="00EE3355">
              <w:t>pokud je to klinicky vhodné.</w:t>
            </w:r>
          </w:p>
        </w:tc>
      </w:tr>
      <w:tr w:rsidR="00222DE0" w:rsidRPr="00EE3355" w14:paraId="7C33167E" w14:textId="77777777" w:rsidTr="00BC4221">
        <w:trPr>
          <w:cantSplit/>
          <w:trHeight w:val="1518"/>
        </w:trPr>
        <w:tc>
          <w:tcPr>
            <w:tcW w:w="2191" w:type="dxa"/>
          </w:tcPr>
          <w:p w14:paraId="29967349" w14:textId="77777777" w:rsidR="00222DE0" w:rsidRPr="00EE3355" w:rsidRDefault="00B23DAE" w:rsidP="0053673C">
            <w:pPr>
              <w:pStyle w:val="TableParagraph"/>
              <w:widowControl/>
              <w:tabs>
                <w:tab w:val="left" w:pos="286"/>
              </w:tabs>
            </w:pPr>
            <w:r w:rsidRPr="00EE3355">
              <w:t>&gt;</w:t>
            </w:r>
            <w:r w:rsidR="0053673C">
              <w:t xml:space="preserve"> </w:t>
            </w:r>
            <w:r w:rsidR="0098273B" w:rsidRPr="00EE3355">
              <w:t>3- až 5násobek ULN</w:t>
            </w:r>
          </w:p>
        </w:tc>
        <w:tc>
          <w:tcPr>
            <w:tcW w:w="6838" w:type="dxa"/>
          </w:tcPr>
          <w:p w14:paraId="0BD1841A" w14:textId="6A7AAF65" w:rsidR="00222DE0" w:rsidRPr="00EE3355" w:rsidRDefault="0098273B" w:rsidP="00EA1CDF">
            <w:pPr>
              <w:pStyle w:val="TableParagraph"/>
              <w:widowControl/>
            </w:pPr>
            <w:r w:rsidRPr="00EE3355">
              <w:t xml:space="preserve">Přerušte podávání přípravku </w:t>
            </w:r>
            <w:r w:rsidR="00D128CD">
              <w:t>Avtozma</w:t>
            </w:r>
            <w:r w:rsidRPr="00EE3355">
              <w:t>, dokud nebude hodnota &lt; 3násobek ULN a poté postupujte dle výše uvedeného doporučení pro hodnoty v</w:t>
            </w:r>
            <w:r w:rsidR="00B25E0F" w:rsidRPr="00EE3355">
              <w:t> </w:t>
            </w:r>
            <w:r w:rsidRPr="00EE3355">
              <w:t>rozmezí</w:t>
            </w:r>
            <w:r w:rsidR="00B25E0F" w:rsidRPr="00EE3355">
              <w:t xml:space="preserve"> </w:t>
            </w:r>
            <w:r w:rsidRPr="00EE3355">
              <w:t>&gt;1- až 3násobek ULN.</w:t>
            </w:r>
          </w:p>
          <w:p w14:paraId="7FC57EFB" w14:textId="77777777" w:rsidR="00B25E0F" w:rsidRPr="00EE3355" w:rsidRDefault="00B25E0F" w:rsidP="00EA1CDF">
            <w:pPr>
              <w:pStyle w:val="TableParagraph"/>
              <w:widowControl/>
            </w:pPr>
          </w:p>
          <w:p w14:paraId="56A56376" w14:textId="77777777" w:rsidR="00222DE0" w:rsidRPr="00EE3355" w:rsidRDefault="0098273B" w:rsidP="00EA1CDF">
            <w:pPr>
              <w:pStyle w:val="TableParagraph"/>
              <w:widowControl/>
            </w:pPr>
            <w:r w:rsidRPr="00EE3355">
              <w:t>Při přetrvávajících vzestupech na &gt; 3násobek ULN (potvrzené opakovaným</w:t>
            </w:r>
          </w:p>
          <w:p w14:paraId="21E57E82" w14:textId="7FA798AB" w:rsidR="00222DE0" w:rsidRPr="00EE3355" w:rsidRDefault="0098273B" w:rsidP="00EA1CDF">
            <w:pPr>
              <w:pStyle w:val="TableParagraph"/>
              <w:widowControl/>
            </w:pPr>
            <w:r w:rsidRPr="00EE3355">
              <w:t xml:space="preserve">vyšetřením, viz bod 4.4) ukončete léčbu přípravkem </w:t>
            </w:r>
            <w:r w:rsidR="00D128CD">
              <w:t>Avtozma</w:t>
            </w:r>
            <w:r w:rsidRPr="00EE3355">
              <w:t>.</w:t>
            </w:r>
          </w:p>
        </w:tc>
      </w:tr>
      <w:tr w:rsidR="00222DE0" w:rsidRPr="00EE3355" w14:paraId="0228CE70" w14:textId="77777777" w:rsidTr="00BC4221">
        <w:trPr>
          <w:cantSplit/>
          <w:trHeight w:val="170"/>
        </w:trPr>
        <w:tc>
          <w:tcPr>
            <w:tcW w:w="2191" w:type="dxa"/>
          </w:tcPr>
          <w:p w14:paraId="4EF2D4BC" w14:textId="77777777" w:rsidR="00222DE0" w:rsidRPr="00EE3355" w:rsidRDefault="00B23DAE" w:rsidP="0053673C">
            <w:pPr>
              <w:pStyle w:val="TableParagraph"/>
              <w:widowControl/>
              <w:tabs>
                <w:tab w:val="left" w:pos="286"/>
              </w:tabs>
            </w:pPr>
            <w:r w:rsidRPr="00EE3355">
              <w:t>&gt;</w:t>
            </w:r>
            <w:r w:rsidR="0053673C">
              <w:t xml:space="preserve"> </w:t>
            </w:r>
            <w:r w:rsidR="0098273B" w:rsidRPr="00EE3355">
              <w:t>5násobek ULN</w:t>
            </w:r>
          </w:p>
        </w:tc>
        <w:tc>
          <w:tcPr>
            <w:tcW w:w="6838" w:type="dxa"/>
          </w:tcPr>
          <w:p w14:paraId="54D81EF7" w14:textId="5B98D64D" w:rsidR="00222DE0" w:rsidRPr="00EE3355" w:rsidRDefault="0098273B" w:rsidP="00EA1CDF">
            <w:pPr>
              <w:pStyle w:val="TableParagraph"/>
              <w:widowControl/>
            </w:pPr>
            <w:r w:rsidRPr="00EE3355">
              <w:t xml:space="preserve">Ukončete léčbu přípravkem </w:t>
            </w:r>
            <w:r w:rsidR="00D128CD">
              <w:t>Avtozma</w:t>
            </w:r>
            <w:r w:rsidRPr="00EE3355">
              <w:t>.</w:t>
            </w:r>
          </w:p>
        </w:tc>
      </w:tr>
    </w:tbl>
    <w:p w14:paraId="728456F5" w14:textId="77777777" w:rsidR="00B25E0F" w:rsidRPr="00EE3355" w:rsidRDefault="00B25E0F" w:rsidP="00EA1CDF">
      <w:pPr>
        <w:widowControl/>
        <w:tabs>
          <w:tab w:val="left" w:pos="804"/>
        </w:tabs>
        <w:ind w:left="567" w:hanging="567"/>
        <w:rPr>
          <w:rFonts w:ascii="Symbol" w:eastAsia="Symbol" w:hAnsi="Symbol" w:cs="Symbol"/>
        </w:rPr>
      </w:pPr>
    </w:p>
    <w:p w14:paraId="5A08DEA7"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absolutní počet neutrofilů (ANC)</w:t>
      </w:r>
    </w:p>
    <w:p w14:paraId="2152A1EF" w14:textId="77777777" w:rsidR="00B25E0F" w:rsidRPr="00EE3355" w:rsidRDefault="00B25E0F" w:rsidP="00EA1CDF">
      <w:pPr>
        <w:widowControl/>
        <w:tabs>
          <w:tab w:val="left" w:pos="804"/>
        </w:tabs>
        <w:ind w:left="567" w:hanging="567"/>
      </w:pPr>
    </w:p>
    <w:p w14:paraId="7A1B0B90" w14:textId="11621D52" w:rsidR="00222DE0" w:rsidRPr="00EE3355" w:rsidRDefault="0098273B" w:rsidP="00EA1CDF">
      <w:pPr>
        <w:pStyle w:val="a3"/>
        <w:widowControl/>
        <w:ind w:left="0"/>
      </w:pPr>
      <w:r w:rsidRPr="00EE3355">
        <w:t xml:space="preserve">U pacientů, kteří nebyli dříve léčeni </w:t>
      </w:r>
      <w:r w:rsidR="00D128CD" w:rsidRPr="001879E9">
        <w:rPr>
          <w:rFonts w:hint="eastAsia"/>
        </w:rPr>
        <w:t>tocilizumab</w:t>
      </w:r>
      <w:r w:rsidR="00D128CD">
        <w:t>em</w:t>
      </w:r>
      <w:r w:rsidRPr="00EE3355">
        <w:t xml:space="preserve"> a u nichž je absolutní počet neutrofilů</w:t>
      </w:r>
    </w:p>
    <w:p w14:paraId="7A9786EC" w14:textId="77777777" w:rsidR="00222DE0" w:rsidRPr="00EE3355" w:rsidRDefault="0098273B" w:rsidP="00EA1CDF">
      <w:pPr>
        <w:pStyle w:val="a3"/>
        <w:widowControl/>
        <w:ind w:left="0"/>
      </w:pPr>
      <w:r w:rsidRPr="00EE3355">
        <w:t>(ANC) nižší než 2 x 10</w:t>
      </w:r>
      <w:r w:rsidRPr="00EE3355">
        <w:rPr>
          <w:vertAlign w:val="superscript"/>
        </w:rPr>
        <w:t>9</w:t>
      </w:r>
      <w:r w:rsidRPr="00EE3355">
        <w:t>/l, se zahájení léčby nedoporučuje.</w:t>
      </w:r>
    </w:p>
    <w:p w14:paraId="2220166E" w14:textId="77777777" w:rsidR="00222DE0" w:rsidRPr="00EE3355" w:rsidRDefault="00222DE0" w:rsidP="00EA1CDF">
      <w:pPr>
        <w:pStyle w:val="a3"/>
        <w:widowControl/>
        <w:ind w:left="0"/>
        <w:rPr>
          <w:sz w:val="20"/>
        </w:rPr>
      </w:pPr>
    </w:p>
    <w:tbl>
      <w:tblPr>
        <w:tblW w:w="90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33"/>
        <w:gridCol w:w="6838"/>
      </w:tblGrid>
      <w:tr w:rsidR="00222DE0" w:rsidRPr="00EE3355" w14:paraId="7A8DB57F" w14:textId="77777777" w:rsidTr="00BC4221">
        <w:trPr>
          <w:cantSplit/>
          <w:trHeight w:val="437"/>
        </w:trPr>
        <w:tc>
          <w:tcPr>
            <w:tcW w:w="2233" w:type="dxa"/>
          </w:tcPr>
          <w:p w14:paraId="440935D4" w14:textId="77777777" w:rsidR="00222DE0" w:rsidRPr="00EE3355" w:rsidRDefault="0098273B" w:rsidP="00EA1CDF">
            <w:pPr>
              <w:pStyle w:val="TableParagraph"/>
              <w:widowControl/>
              <w:jc w:val="center"/>
            </w:pPr>
            <w:r w:rsidRPr="00EE3355">
              <w:t>Laboratorní hodnota</w:t>
            </w:r>
          </w:p>
          <w:p w14:paraId="3062E4E0" w14:textId="77777777" w:rsidR="00222DE0" w:rsidRPr="00EE3355" w:rsidRDefault="0098273B" w:rsidP="00EA1CDF">
            <w:pPr>
              <w:pStyle w:val="TableParagraph"/>
              <w:widowControl/>
              <w:jc w:val="center"/>
            </w:pPr>
            <w:r w:rsidRPr="00EE3355">
              <w:t>(buňky x 10</w:t>
            </w:r>
            <w:r w:rsidRPr="00EE3355">
              <w:rPr>
                <w:vertAlign w:val="superscript"/>
              </w:rPr>
              <w:t>9</w:t>
            </w:r>
            <w:r w:rsidRPr="00EE3355">
              <w:t>/l)</w:t>
            </w:r>
          </w:p>
        </w:tc>
        <w:tc>
          <w:tcPr>
            <w:tcW w:w="6838" w:type="dxa"/>
          </w:tcPr>
          <w:p w14:paraId="5CF33D90" w14:textId="77777777" w:rsidR="00222DE0" w:rsidRPr="00EE3355" w:rsidRDefault="0098273B" w:rsidP="00EA1CDF">
            <w:pPr>
              <w:pStyle w:val="TableParagraph"/>
              <w:widowControl/>
              <w:jc w:val="center"/>
            </w:pPr>
            <w:r w:rsidRPr="00EE3355">
              <w:t>Opatření</w:t>
            </w:r>
          </w:p>
        </w:tc>
      </w:tr>
      <w:tr w:rsidR="00222DE0" w:rsidRPr="00EE3355" w14:paraId="79EA695A" w14:textId="77777777" w:rsidTr="00BC4221">
        <w:trPr>
          <w:cantSplit/>
          <w:trHeight w:val="147"/>
        </w:trPr>
        <w:tc>
          <w:tcPr>
            <w:tcW w:w="2233" w:type="dxa"/>
          </w:tcPr>
          <w:p w14:paraId="2978B077" w14:textId="77777777" w:rsidR="00222DE0" w:rsidRPr="00EE3355" w:rsidRDefault="0098273B" w:rsidP="00EA1CDF">
            <w:pPr>
              <w:pStyle w:val="TableParagraph"/>
              <w:widowControl/>
            </w:pPr>
            <w:r w:rsidRPr="00EE3355">
              <w:t>ANC &gt; 1</w:t>
            </w:r>
          </w:p>
        </w:tc>
        <w:tc>
          <w:tcPr>
            <w:tcW w:w="6838" w:type="dxa"/>
          </w:tcPr>
          <w:p w14:paraId="16168B4B" w14:textId="77777777" w:rsidR="00222DE0" w:rsidRPr="00EE3355" w:rsidRDefault="0098273B" w:rsidP="00EA1CDF">
            <w:pPr>
              <w:pStyle w:val="TableParagraph"/>
              <w:widowControl/>
            </w:pPr>
            <w:r w:rsidRPr="00EE3355">
              <w:t>Udržujte dávku.</w:t>
            </w:r>
          </w:p>
        </w:tc>
      </w:tr>
      <w:tr w:rsidR="00222DE0" w:rsidRPr="00EE3355" w14:paraId="4787586E" w14:textId="77777777" w:rsidTr="00BC4221">
        <w:trPr>
          <w:cantSplit/>
          <w:trHeight w:val="1102"/>
        </w:trPr>
        <w:tc>
          <w:tcPr>
            <w:tcW w:w="2233" w:type="dxa"/>
          </w:tcPr>
          <w:p w14:paraId="30D888DF" w14:textId="77777777" w:rsidR="00222DE0" w:rsidRPr="00EE3355" w:rsidRDefault="0098273B" w:rsidP="00EA1CDF">
            <w:pPr>
              <w:pStyle w:val="TableParagraph"/>
              <w:widowControl/>
            </w:pPr>
            <w:r w:rsidRPr="00EE3355">
              <w:t>ANC 0,5 až 1</w:t>
            </w:r>
          </w:p>
        </w:tc>
        <w:tc>
          <w:tcPr>
            <w:tcW w:w="6838" w:type="dxa"/>
          </w:tcPr>
          <w:p w14:paraId="7E07B17E" w14:textId="7C0B81FE" w:rsidR="00222DE0" w:rsidRPr="00EE3355" w:rsidRDefault="0098273B" w:rsidP="00EA1CDF">
            <w:pPr>
              <w:pStyle w:val="TableParagraph"/>
              <w:widowControl/>
            </w:pPr>
            <w:r w:rsidRPr="00EE3355">
              <w:t xml:space="preserve">Přerušte podávání přípravku </w:t>
            </w:r>
            <w:r w:rsidR="00D128CD">
              <w:t>Avtozma</w:t>
            </w:r>
            <w:r w:rsidRPr="00EE3355">
              <w:t>.</w:t>
            </w:r>
          </w:p>
          <w:p w14:paraId="083130DA" w14:textId="77777777" w:rsidR="00222DE0" w:rsidRPr="00EE3355" w:rsidRDefault="00222DE0" w:rsidP="00EA1CDF">
            <w:pPr>
              <w:pStyle w:val="TableParagraph"/>
              <w:widowControl/>
            </w:pPr>
          </w:p>
          <w:p w14:paraId="622BDB42" w14:textId="6086D7BF" w:rsidR="00222DE0" w:rsidRPr="00EE3355" w:rsidRDefault="0098273B" w:rsidP="00EA1CDF">
            <w:pPr>
              <w:pStyle w:val="TableParagraph"/>
              <w:widowControl/>
            </w:pPr>
            <w:r w:rsidRPr="00EE3355">
              <w:t>Pokud se ANC zvýší na &gt; 1 x 10</w:t>
            </w:r>
            <w:r w:rsidRPr="00EE3355">
              <w:rPr>
                <w:vertAlign w:val="superscript"/>
              </w:rPr>
              <w:t>9</w:t>
            </w:r>
            <w:r w:rsidRPr="00EE3355">
              <w:t xml:space="preserve">/l, léčbu přípravkem </w:t>
            </w:r>
            <w:r w:rsidR="00D128CD">
              <w:t>Avtozma</w:t>
            </w:r>
            <w:r w:rsidRPr="00EE3355">
              <w:t xml:space="preserve"> znovu začněte dávkou podanou každý druhý týden a zvyšte na podání injekce jednou týdně, pokud je to klinicky vhodné.</w:t>
            </w:r>
          </w:p>
        </w:tc>
      </w:tr>
      <w:tr w:rsidR="00222DE0" w:rsidRPr="00EE3355" w14:paraId="0B4C931D" w14:textId="77777777" w:rsidTr="00BC4221">
        <w:trPr>
          <w:cantSplit/>
          <w:trHeight w:val="199"/>
        </w:trPr>
        <w:tc>
          <w:tcPr>
            <w:tcW w:w="2233" w:type="dxa"/>
          </w:tcPr>
          <w:p w14:paraId="2E584B8E" w14:textId="77777777" w:rsidR="00222DE0" w:rsidRPr="00EE3355" w:rsidRDefault="0098273B" w:rsidP="00EA1CDF">
            <w:pPr>
              <w:pStyle w:val="TableParagraph"/>
              <w:widowControl/>
            </w:pPr>
            <w:r w:rsidRPr="00EE3355">
              <w:t>ANC &lt; 0,5</w:t>
            </w:r>
          </w:p>
        </w:tc>
        <w:tc>
          <w:tcPr>
            <w:tcW w:w="6838" w:type="dxa"/>
          </w:tcPr>
          <w:p w14:paraId="0C574707" w14:textId="300F9893" w:rsidR="00222DE0" w:rsidRPr="00EE3355" w:rsidRDefault="0098273B" w:rsidP="00EA1CDF">
            <w:pPr>
              <w:pStyle w:val="TableParagraph"/>
              <w:widowControl/>
            </w:pPr>
            <w:r w:rsidRPr="00EE3355">
              <w:t xml:space="preserve">Ukončete léčbu přípravkem </w:t>
            </w:r>
            <w:r w:rsidR="00D128CD">
              <w:t>Avtozma</w:t>
            </w:r>
            <w:r w:rsidRPr="00EE3355">
              <w:t>.</w:t>
            </w:r>
          </w:p>
        </w:tc>
      </w:tr>
    </w:tbl>
    <w:p w14:paraId="13B48286" w14:textId="77777777" w:rsidR="00DE246C" w:rsidRPr="00EE3355" w:rsidRDefault="00DE246C" w:rsidP="00EA1CDF">
      <w:pPr>
        <w:widowControl/>
        <w:tabs>
          <w:tab w:val="left" w:pos="804"/>
        </w:tabs>
        <w:ind w:left="567" w:hanging="567"/>
        <w:rPr>
          <w:rFonts w:ascii="Symbol" w:eastAsia="Symbol" w:hAnsi="Symbol" w:cs="Symbol"/>
        </w:rPr>
      </w:pPr>
    </w:p>
    <w:p w14:paraId="0F0010FF"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trombocytů</w:t>
      </w:r>
    </w:p>
    <w:p w14:paraId="1098B09A" w14:textId="77777777" w:rsidR="00222DE0" w:rsidRPr="00EE3355" w:rsidRDefault="00222DE0" w:rsidP="00EA1CDF">
      <w:pPr>
        <w:pStyle w:val="a3"/>
        <w:widowControl/>
        <w:ind w:left="0"/>
        <w:rPr>
          <w:sz w:val="20"/>
        </w:rPr>
      </w:pPr>
    </w:p>
    <w:tbl>
      <w:tblPr>
        <w:tblW w:w="9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33"/>
        <w:gridCol w:w="6852"/>
      </w:tblGrid>
      <w:tr w:rsidR="00222DE0" w:rsidRPr="00EE3355" w14:paraId="603B1382" w14:textId="77777777" w:rsidTr="00BC4221">
        <w:trPr>
          <w:cantSplit/>
          <w:trHeight w:val="385"/>
        </w:trPr>
        <w:tc>
          <w:tcPr>
            <w:tcW w:w="2233" w:type="dxa"/>
          </w:tcPr>
          <w:p w14:paraId="4CBBACA2" w14:textId="77777777" w:rsidR="00222DE0" w:rsidRPr="00EE3355" w:rsidRDefault="0098273B" w:rsidP="00EA1CDF">
            <w:pPr>
              <w:pStyle w:val="TableParagraph"/>
              <w:jc w:val="center"/>
            </w:pPr>
            <w:r w:rsidRPr="00EE3355">
              <w:t>Laboratorní hodnota</w:t>
            </w:r>
          </w:p>
          <w:p w14:paraId="56DA8E87" w14:textId="77777777" w:rsidR="00222DE0" w:rsidRPr="00EE3355" w:rsidRDefault="0098273B" w:rsidP="00EA1CDF">
            <w:pPr>
              <w:pStyle w:val="TableParagraph"/>
              <w:jc w:val="center"/>
            </w:pPr>
            <w:r w:rsidRPr="00EE3355">
              <w:t>(buňky x 10</w:t>
            </w:r>
            <w:r w:rsidRPr="00EE3355">
              <w:rPr>
                <w:vertAlign w:val="superscript"/>
              </w:rPr>
              <w:t>3</w:t>
            </w:r>
            <w:r w:rsidRPr="00EE3355">
              <w:t>/µl)</w:t>
            </w:r>
          </w:p>
        </w:tc>
        <w:tc>
          <w:tcPr>
            <w:tcW w:w="6852" w:type="dxa"/>
          </w:tcPr>
          <w:p w14:paraId="199ABC6B" w14:textId="77777777" w:rsidR="00222DE0" w:rsidRPr="00EE3355" w:rsidRDefault="0098273B" w:rsidP="00EA1CDF">
            <w:pPr>
              <w:pStyle w:val="TableParagraph"/>
              <w:jc w:val="center"/>
            </w:pPr>
            <w:r w:rsidRPr="00EE3355">
              <w:t>Opatření</w:t>
            </w:r>
          </w:p>
        </w:tc>
      </w:tr>
      <w:tr w:rsidR="00222DE0" w:rsidRPr="00EE3355" w14:paraId="3726FC76" w14:textId="77777777" w:rsidTr="00BC4221">
        <w:trPr>
          <w:cantSplit/>
          <w:trHeight w:val="1230"/>
        </w:trPr>
        <w:tc>
          <w:tcPr>
            <w:tcW w:w="2233" w:type="dxa"/>
          </w:tcPr>
          <w:p w14:paraId="55685CBC" w14:textId="77777777" w:rsidR="00222DE0" w:rsidRPr="00EE3355" w:rsidRDefault="0098273B" w:rsidP="00EA1CDF">
            <w:pPr>
              <w:pStyle w:val="TableParagraph"/>
            </w:pPr>
            <w:r w:rsidRPr="00EE3355">
              <w:t>50 až 100</w:t>
            </w:r>
          </w:p>
        </w:tc>
        <w:tc>
          <w:tcPr>
            <w:tcW w:w="6852" w:type="dxa"/>
          </w:tcPr>
          <w:p w14:paraId="1FBA7177" w14:textId="615CFF3D" w:rsidR="00222DE0" w:rsidRPr="00EE3355" w:rsidRDefault="0098273B" w:rsidP="00EA1CDF">
            <w:pPr>
              <w:pStyle w:val="TableParagraph"/>
            </w:pPr>
            <w:r w:rsidRPr="00EE3355">
              <w:t xml:space="preserve">Přerušte podávání přípravku </w:t>
            </w:r>
            <w:r w:rsidR="00D128CD">
              <w:t>Avtozma</w:t>
            </w:r>
            <w:r w:rsidRPr="00EE3355">
              <w:t>.</w:t>
            </w:r>
          </w:p>
          <w:p w14:paraId="4E9F9B8D" w14:textId="77777777" w:rsidR="00222DE0" w:rsidRPr="00EE3355" w:rsidRDefault="00222DE0" w:rsidP="00EA1CDF">
            <w:pPr>
              <w:pStyle w:val="TableParagraph"/>
            </w:pPr>
          </w:p>
          <w:p w14:paraId="5C1F4856" w14:textId="47B8BE12" w:rsidR="00222DE0" w:rsidRPr="00EE3355" w:rsidRDefault="0098273B" w:rsidP="00EA1CDF">
            <w:pPr>
              <w:pStyle w:val="TableParagraph"/>
            </w:pPr>
            <w:r w:rsidRPr="00EE3355">
              <w:t>Pokud bude počet trombocytů &gt; 100 x 10</w:t>
            </w:r>
            <w:r w:rsidRPr="00EE3355">
              <w:rPr>
                <w:vertAlign w:val="superscript"/>
              </w:rPr>
              <w:t>3</w:t>
            </w:r>
            <w:r w:rsidRPr="00EE3355">
              <w:t xml:space="preserve">/µl, léčbu přípravkem </w:t>
            </w:r>
            <w:r w:rsidR="00D128CD">
              <w:t>Avtozma</w:t>
            </w:r>
            <w:r w:rsidRPr="00EE3355">
              <w:t xml:space="preserve"> znovu začněte dávkou podanou každý druhý týden a zvyšte na podání injekce jednou týdně, pokud je to klinicky vhodné.</w:t>
            </w:r>
          </w:p>
        </w:tc>
      </w:tr>
      <w:tr w:rsidR="00222DE0" w:rsidRPr="00EE3355" w14:paraId="1E38DC5A" w14:textId="77777777" w:rsidTr="00BC4221">
        <w:trPr>
          <w:cantSplit/>
          <w:trHeight w:val="185"/>
        </w:trPr>
        <w:tc>
          <w:tcPr>
            <w:tcW w:w="2233" w:type="dxa"/>
          </w:tcPr>
          <w:p w14:paraId="6DAFFFF3" w14:textId="77777777" w:rsidR="00222DE0" w:rsidRPr="00EE3355" w:rsidRDefault="0098273B" w:rsidP="00EA1CDF">
            <w:pPr>
              <w:pStyle w:val="TableParagraph"/>
            </w:pPr>
            <w:r w:rsidRPr="00EE3355">
              <w:t>&lt; 50</w:t>
            </w:r>
          </w:p>
        </w:tc>
        <w:tc>
          <w:tcPr>
            <w:tcW w:w="6852" w:type="dxa"/>
          </w:tcPr>
          <w:p w14:paraId="13FAF941" w14:textId="15609C7F" w:rsidR="00222DE0" w:rsidRPr="00EE3355" w:rsidRDefault="0098273B" w:rsidP="00EA1CDF">
            <w:pPr>
              <w:pStyle w:val="TableParagraph"/>
            </w:pPr>
            <w:r w:rsidRPr="00EE3355">
              <w:t xml:space="preserve">Ukončete léčbu přípravkem </w:t>
            </w:r>
            <w:r w:rsidR="00D128CD">
              <w:t>Avtozma</w:t>
            </w:r>
            <w:r w:rsidRPr="00EE3355">
              <w:t>.</w:t>
            </w:r>
          </w:p>
        </w:tc>
      </w:tr>
    </w:tbl>
    <w:p w14:paraId="066A22D8" w14:textId="77777777" w:rsidR="00D54571" w:rsidRPr="00EE3355" w:rsidRDefault="00D54571" w:rsidP="00EA1CDF">
      <w:pPr>
        <w:pStyle w:val="a3"/>
        <w:widowControl/>
        <w:ind w:left="0"/>
        <w:rPr>
          <w:u w:val="single"/>
        </w:rPr>
      </w:pPr>
    </w:p>
    <w:p w14:paraId="30C76A26" w14:textId="77777777" w:rsidR="00222DE0" w:rsidRPr="00EE3355" w:rsidRDefault="0098273B" w:rsidP="00EA1CDF">
      <w:pPr>
        <w:pStyle w:val="a3"/>
        <w:keepNext/>
        <w:widowControl/>
        <w:ind w:left="0"/>
      </w:pPr>
      <w:r w:rsidRPr="00EE3355">
        <w:rPr>
          <w:u w:val="single"/>
        </w:rPr>
        <w:t>RA a GCA</w:t>
      </w:r>
    </w:p>
    <w:p w14:paraId="6D3FF7B0" w14:textId="77777777" w:rsidR="00222DE0" w:rsidRPr="00B93217" w:rsidRDefault="0098273B" w:rsidP="00EA1CDF">
      <w:pPr>
        <w:pStyle w:val="a3"/>
        <w:keepNext/>
        <w:widowControl/>
        <w:ind w:left="0"/>
        <w:rPr>
          <w:i/>
          <w:iCs/>
        </w:rPr>
      </w:pPr>
      <w:r w:rsidRPr="00B93217">
        <w:rPr>
          <w:i/>
          <w:iCs/>
        </w:rPr>
        <w:t>Vynechání dávky</w:t>
      </w:r>
    </w:p>
    <w:p w14:paraId="4A0E0A81" w14:textId="2D39EF46" w:rsidR="00222DE0" w:rsidRPr="00EE3355" w:rsidRDefault="0098273B" w:rsidP="00EA1CDF">
      <w:pPr>
        <w:pStyle w:val="a3"/>
        <w:widowControl/>
        <w:ind w:left="0"/>
      </w:pPr>
      <w:r w:rsidRPr="00EE3355">
        <w:t xml:space="preserve">Pokud si pacient zapomene podat subkutánní injekci přípravku </w:t>
      </w:r>
      <w:r w:rsidR="00D128CD">
        <w:t>Avtozma</w:t>
      </w:r>
      <w:r w:rsidRPr="00EE3355">
        <w:t xml:space="preserve"> během 7 dnů po plánované dávce, má být poučen, aby si chybějící dávku podal v následující plánovaný den. Pokud si pacient zapomene podat subkutánní injekci přípravku </w:t>
      </w:r>
      <w:r w:rsidR="00D128CD">
        <w:t>Avtozma</w:t>
      </w:r>
      <w:r w:rsidRPr="00EE3355">
        <w:t xml:space="preserve"> během 7 dnů po plánované dávce podávané </w:t>
      </w:r>
      <w:r w:rsidRPr="00EE3355">
        <w:lastRenderedPageBreak/>
        <w:t>jedenkrát každý druhý týden, má být poučen, aby si chybějící dávku podal okamžitě a další dávku v příští plánovaný den.</w:t>
      </w:r>
    </w:p>
    <w:p w14:paraId="17B5E28A" w14:textId="77777777" w:rsidR="00D54571" w:rsidRPr="00EE3355" w:rsidRDefault="00D54571" w:rsidP="00EA1CDF">
      <w:pPr>
        <w:pStyle w:val="a3"/>
        <w:widowControl/>
        <w:ind w:left="0"/>
      </w:pPr>
    </w:p>
    <w:p w14:paraId="37C07C49" w14:textId="77777777" w:rsidR="00222DE0" w:rsidRPr="00EE3355" w:rsidRDefault="0098273B" w:rsidP="00EA1CDF">
      <w:pPr>
        <w:pStyle w:val="a3"/>
        <w:keepNext/>
        <w:widowControl/>
        <w:ind w:left="0"/>
      </w:pPr>
      <w:r w:rsidRPr="00EE3355">
        <w:rPr>
          <w:u w:val="single"/>
        </w:rPr>
        <w:t>Zvláštní skupiny pacientů</w:t>
      </w:r>
    </w:p>
    <w:p w14:paraId="6E6CC02D" w14:textId="77777777" w:rsidR="00222DE0" w:rsidRPr="00EE3355" w:rsidRDefault="00222DE0" w:rsidP="00EA1CDF">
      <w:pPr>
        <w:pStyle w:val="a3"/>
        <w:keepNext/>
        <w:widowControl/>
        <w:ind w:left="0"/>
      </w:pPr>
    </w:p>
    <w:p w14:paraId="5D157F5F" w14:textId="77777777" w:rsidR="00222DE0" w:rsidRPr="00EE3355" w:rsidRDefault="0098273B" w:rsidP="00EA1CDF">
      <w:pPr>
        <w:keepNext/>
        <w:widowControl/>
        <w:rPr>
          <w:i/>
        </w:rPr>
      </w:pPr>
      <w:r w:rsidRPr="00EE3355">
        <w:rPr>
          <w:i/>
        </w:rPr>
        <w:t>Starší pacienti</w:t>
      </w:r>
    </w:p>
    <w:p w14:paraId="1CC457A0" w14:textId="77777777" w:rsidR="00222DE0" w:rsidRPr="00EE3355" w:rsidRDefault="0098273B" w:rsidP="00EA1CDF">
      <w:pPr>
        <w:pStyle w:val="a3"/>
        <w:widowControl/>
        <w:ind w:left="0"/>
      </w:pPr>
      <w:r w:rsidRPr="00EE3355">
        <w:t>U starších pacientů ve věku &gt; 65 let není požadována úprava dávkování.</w:t>
      </w:r>
    </w:p>
    <w:p w14:paraId="33624F1F" w14:textId="77777777" w:rsidR="00222DE0" w:rsidRPr="00EE3355" w:rsidRDefault="00222DE0" w:rsidP="00EA1CDF">
      <w:pPr>
        <w:pStyle w:val="a3"/>
        <w:widowControl/>
        <w:ind w:left="0"/>
      </w:pPr>
    </w:p>
    <w:p w14:paraId="5D82225D" w14:textId="77777777" w:rsidR="00222DE0" w:rsidRPr="00EE3355" w:rsidRDefault="0098273B" w:rsidP="00EA1CDF">
      <w:pPr>
        <w:widowControl/>
        <w:rPr>
          <w:i/>
        </w:rPr>
      </w:pPr>
      <w:r w:rsidRPr="00EE3355">
        <w:rPr>
          <w:i/>
        </w:rPr>
        <w:t>Porucha funkce ledvin</w:t>
      </w:r>
    </w:p>
    <w:p w14:paraId="646D3C46" w14:textId="229D2ADF" w:rsidR="00222DE0" w:rsidRPr="00EE3355" w:rsidRDefault="0098273B" w:rsidP="00EA1CDF">
      <w:pPr>
        <w:pStyle w:val="a3"/>
        <w:widowControl/>
        <w:ind w:left="0"/>
      </w:pPr>
      <w:r w:rsidRPr="00EE3355">
        <w:t xml:space="preserve">U pacientů s lehkou nebo středně těžkou poruchou funkce ledvin není požadována úprava dávkování. U pacientů s těžkou poruchou funkce ledvin nebylo podávání přípravku </w:t>
      </w:r>
      <w:r w:rsidR="00D128CD">
        <w:t>Avtozma</w:t>
      </w:r>
      <w:r w:rsidRPr="00EE3355">
        <w:t xml:space="preserve"> studováno (viz bod 5.2). U těchto pacientů by měly být renální funkce pečlivě monitorovány.</w:t>
      </w:r>
    </w:p>
    <w:p w14:paraId="4DAE3840" w14:textId="77777777" w:rsidR="00222DE0" w:rsidRPr="00EE3355" w:rsidRDefault="00222DE0" w:rsidP="00EA1CDF">
      <w:pPr>
        <w:pStyle w:val="a3"/>
        <w:widowControl/>
        <w:ind w:left="0"/>
      </w:pPr>
    </w:p>
    <w:p w14:paraId="2FB0BB87" w14:textId="77777777" w:rsidR="00222DE0" w:rsidRPr="00EE3355" w:rsidRDefault="0098273B" w:rsidP="00EA1CDF">
      <w:pPr>
        <w:widowControl/>
        <w:rPr>
          <w:i/>
        </w:rPr>
      </w:pPr>
      <w:r w:rsidRPr="00EE3355">
        <w:rPr>
          <w:i/>
        </w:rPr>
        <w:t>Porucha funkce jater</w:t>
      </w:r>
    </w:p>
    <w:p w14:paraId="2A170070" w14:textId="028269B5" w:rsidR="00222DE0" w:rsidRPr="00EE3355" w:rsidRDefault="0098273B" w:rsidP="00EA1CDF">
      <w:pPr>
        <w:pStyle w:val="a3"/>
        <w:widowControl/>
        <w:ind w:left="0"/>
      </w:pPr>
      <w:r w:rsidRPr="00EE3355">
        <w:t xml:space="preserve">U pacientů s jaterním onemocněním nebylo podávání přípravku </w:t>
      </w:r>
      <w:r w:rsidR="00D128CD">
        <w:t>Avtozma</w:t>
      </w:r>
      <w:r w:rsidRPr="00EE3355">
        <w:t xml:space="preserve"> studováno, proto nemůže být doporučena žádná úprava dávkování.</w:t>
      </w:r>
    </w:p>
    <w:p w14:paraId="4F788CB9" w14:textId="77777777" w:rsidR="002B5263" w:rsidRPr="00EE3355" w:rsidRDefault="002B5263" w:rsidP="00EA1CDF">
      <w:pPr>
        <w:pStyle w:val="a3"/>
        <w:widowControl/>
        <w:ind w:left="0"/>
      </w:pPr>
    </w:p>
    <w:p w14:paraId="5EBB6C59" w14:textId="77777777" w:rsidR="00222DE0" w:rsidRPr="00EE3355" w:rsidRDefault="0098273B" w:rsidP="00EA1CDF">
      <w:pPr>
        <w:widowControl/>
        <w:rPr>
          <w:i/>
        </w:rPr>
      </w:pPr>
      <w:r w:rsidRPr="00EE3355">
        <w:rPr>
          <w:i/>
        </w:rPr>
        <w:t>Pediatričtí pacienti</w:t>
      </w:r>
    </w:p>
    <w:p w14:paraId="573875B0" w14:textId="601DFD2C" w:rsidR="00222DE0" w:rsidRPr="00EE3355" w:rsidRDefault="0098273B" w:rsidP="0053673C">
      <w:pPr>
        <w:pStyle w:val="a3"/>
        <w:widowControl/>
        <w:ind w:left="0"/>
      </w:pPr>
      <w:r w:rsidRPr="00EE3355">
        <w:t xml:space="preserve">Bezpečnost a účinnost přípravku </w:t>
      </w:r>
      <w:r w:rsidR="00D128CD">
        <w:t>Avtozma</w:t>
      </w:r>
      <w:r w:rsidRPr="00EE3355">
        <w:t xml:space="preserve"> pro subkutánní podání nebyly stanoveny u dětí ve věku</w:t>
      </w:r>
      <w:r w:rsidR="0053673C">
        <w:t xml:space="preserve"> </w:t>
      </w:r>
      <w:r w:rsidRPr="00EE3355">
        <w:t>od narození až po mladší 1 roku. Nejsou dostupné údaje.</w:t>
      </w:r>
    </w:p>
    <w:p w14:paraId="2C07B53C" w14:textId="77777777" w:rsidR="002B5263" w:rsidRPr="00EE3355" w:rsidRDefault="002B5263" w:rsidP="00EA1CDF">
      <w:pPr>
        <w:pStyle w:val="a3"/>
        <w:widowControl/>
        <w:ind w:left="0"/>
      </w:pPr>
    </w:p>
    <w:p w14:paraId="3EC07F89" w14:textId="79867892" w:rsidR="00222DE0" w:rsidRPr="00EE3355" w:rsidRDefault="0098273B" w:rsidP="00EA1CDF">
      <w:pPr>
        <w:pStyle w:val="a3"/>
        <w:widowControl/>
        <w:ind w:left="0"/>
      </w:pPr>
      <w:r w:rsidRPr="00EE3355">
        <w:t xml:space="preserve">Změna dávky musí vycházet pouze z konzistentní změny pacientovy tělesné hmotnosti v průběhu času. Přípravek </w:t>
      </w:r>
      <w:r w:rsidR="00AE3C2F">
        <w:t>Avtozma</w:t>
      </w:r>
      <w:r w:rsidRPr="00EE3355">
        <w:t xml:space="preserve"> lze podávat v monoterapii nebo v kombinaci s MTX.</w:t>
      </w:r>
    </w:p>
    <w:p w14:paraId="79E98235" w14:textId="77777777" w:rsidR="00222DE0" w:rsidRPr="00EE3355" w:rsidRDefault="00222DE0" w:rsidP="00EA1CDF">
      <w:pPr>
        <w:pStyle w:val="a3"/>
        <w:widowControl/>
        <w:ind w:left="0"/>
      </w:pPr>
    </w:p>
    <w:p w14:paraId="0E352A7C" w14:textId="77777777" w:rsidR="00222DE0" w:rsidRPr="00EE3355" w:rsidRDefault="0098273B" w:rsidP="00EA1CDF">
      <w:pPr>
        <w:widowControl/>
        <w:rPr>
          <w:i/>
        </w:rPr>
      </w:pPr>
      <w:r w:rsidRPr="00EE3355">
        <w:rPr>
          <w:i/>
        </w:rPr>
        <w:t>Pacienti se sJIA</w:t>
      </w:r>
    </w:p>
    <w:p w14:paraId="28AB9B02" w14:textId="77777777" w:rsidR="002B5263" w:rsidRPr="00EE3355" w:rsidRDefault="0098273B" w:rsidP="00EA1CDF">
      <w:pPr>
        <w:pStyle w:val="a3"/>
        <w:widowControl/>
        <w:ind w:left="0"/>
      </w:pPr>
      <w:r w:rsidRPr="00EE3355">
        <w:t>Doporučené dávkování u pacientů od 1 roku je 162 mg subkutánně jednou týdně u pacientů s</w:t>
      </w:r>
      <w:r w:rsidR="002B5263" w:rsidRPr="00EE3355">
        <w:t> </w:t>
      </w:r>
      <w:r w:rsidRPr="00EE3355">
        <w:t>tělesnou</w:t>
      </w:r>
      <w:r w:rsidR="002B5263" w:rsidRPr="00EE3355">
        <w:t xml:space="preserve"> </w:t>
      </w:r>
      <w:r w:rsidRPr="00EE3355">
        <w:t>hmotností vyšší nebo rovnající se 30 kg nebo 162 mg subkutánně jednou za dva týdny u pacientů</w:t>
      </w:r>
      <w:r w:rsidR="002B5263" w:rsidRPr="00EE3355">
        <w:t xml:space="preserve"> </w:t>
      </w:r>
      <w:r w:rsidRPr="00EE3355">
        <w:t>s tělesnou hmotností nižší než 30 kg.</w:t>
      </w:r>
      <w:r w:rsidR="002B5263" w:rsidRPr="00EE3355">
        <w:t xml:space="preserve"> </w:t>
      </w:r>
    </w:p>
    <w:p w14:paraId="5A666BE6" w14:textId="36CC65FC" w:rsidR="00222DE0" w:rsidRPr="00EE3355" w:rsidRDefault="0098273B" w:rsidP="00EA1CDF">
      <w:pPr>
        <w:pStyle w:val="a3"/>
        <w:widowControl/>
        <w:ind w:left="0"/>
      </w:pPr>
      <w:r w:rsidRPr="00EE3355">
        <w:t xml:space="preserve">Pro subkutánní podání přípravku </w:t>
      </w:r>
      <w:r w:rsidR="00AE3C2F">
        <w:t>Avtozma</w:t>
      </w:r>
      <w:r w:rsidRPr="00EE3355">
        <w:t xml:space="preserve"> musí mít pacienti tělesnou hmotnost alespoň 10 kg.</w:t>
      </w:r>
    </w:p>
    <w:p w14:paraId="26463E08" w14:textId="77777777" w:rsidR="00222DE0" w:rsidRPr="00EE3355" w:rsidRDefault="00222DE0" w:rsidP="00EA1CDF">
      <w:pPr>
        <w:pStyle w:val="a3"/>
        <w:widowControl/>
        <w:ind w:left="0"/>
      </w:pPr>
    </w:p>
    <w:p w14:paraId="6FC68CD3" w14:textId="77777777" w:rsidR="00222DE0" w:rsidRPr="00EE3355" w:rsidRDefault="0098273B" w:rsidP="00EA1CDF">
      <w:pPr>
        <w:widowControl/>
        <w:rPr>
          <w:i/>
        </w:rPr>
      </w:pPr>
      <w:r w:rsidRPr="00EE3355">
        <w:rPr>
          <w:i/>
        </w:rPr>
        <w:t>Pacienti s pJIA:</w:t>
      </w:r>
    </w:p>
    <w:p w14:paraId="2F156547" w14:textId="77777777" w:rsidR="00222DE0" w:rsidRPr="00EE3355" w:rsidRDefault="0098273B" w:rsidP="00EA1CDF">
      <w:pPr>
        <w:pStyle w:val="a3"/>
        <w:widowControl/>
        <w:ind w:left="0"/>
      </w:pPr>
      <w:r w:rsidRPr="00EE3355">
        <w:t>Doporučené dávkování u pacientů od 2 let je 162 mg podkožně jednou za 2 týdny u pacientů</w:t>
      </w:r>
    </w:p>
    <w:p w14:paraId="62DB1A8D" w14:textId="77777777" w:rsidR="00222DE0" w:rsidRPr="00EE3355" w:rsidRDefault="0098273B" w:rsidP="00EA1CDF">
      <w:pPr>
        <w:pStyle w:val="a3"/>
        <w:widowControl/>
        <w:ind w:left="0"/>
      </w:pPr>
      <w:r w:rsidRPr="00EE3355">
        <w:t>s hmotností rovnající se 30 kg a vyšší nebo 162 mg podkožně jednou za 3 týdny u pacientů</w:t>
      </w:r>
    </w:p>
    <w:p w14:paraId="0A967130" w14:textId="77777777" w:rsidR="00222DE0" w:rsidRPr="00EE3355" w:rsidRDefault="0098273B" w:rsidP="00EA1CDF">
      <w:pPr>
        <w:pStyle w:val="a3"/>
        <w:widowControl/>
        <w:ind w:left="0"/>
      </w:pPr>
      <w:r w:rsidRPr="00EE3355">
        <w:t>s hmotností nižší než 30 kg.</w:t>
      </w:r>
    </w:p>
    <w:p w14:paraId="4880E95F" w14:textId="77777777" w:rsidR="00222DE0" w:rsidRPr="00EE3355" w:rsidRDefault="00222DE0" w:rsidP="00EA1CDF">
      <w:pPr>
        <w:widowControl/>
      </w:pPr>
    </w:p>
    <w:p w14:paraId="1485BE6D" w14:textId="77777777" w:rsidR="00222DE0" w:rsidRPr="00EE3355" w:rsidRDefault="0098273B" w:rsidP="00EA1CDF">
      <w:pPr>
        <w:pStyle w:val="a3"/>
        <w:widowControl/>
        <w:ind w:left="0"/>
      </w:pPr>
      <w:r w:rsidRPr="00EE3355">
        <w:rPr>
          <w:u w:val="single"/>
        </w:rPr>
        <w:t>Úpravy dávky z důvodu laboratorních odchylek (sJIA a pJIA)</w:t>
      </w:r>
    </w:p>
    <w:p w14:paraId="69E71810" w14:textId="77777777" w:rsidR="00222DE0" w:rsidRPr="00EE3355" w:rsidRDefault="00222DE0" w:rsidP="00EA1CDF">
      <w:pPr>
        <w:pStyle w:val="a3"/>
        <w:widowControl/>
        <w:ind w:left="0"/>
      </w:pPr>
    </w:p>
    <w:p w14:paraId="61930E0E" w14:textId="77777777" w:rsidR="00222DE0" w:rsidRPr="00EE3355" w:rsidRDefault="0098273B" w:rsidP="0053673C">
      <w:pPr>
        <w:pStyle w:val="a3"/>
        <w:widowControl/>
        <w:ind w:left="0"/>
      </w:pPr>
      <w:r w:rsidRPr="00EE3355">
        <w:t>Je-li třeba, má se dávka souběžně podávaného MTX a/nebo jiných léků upravit nebo se má ukončit jejich podávání a přerušit podávání tocilizumabu, dokud nebude posouzen klinický stav. Vzhledem</w:t>
      </w:r>
      <w:r w:rsidR="0053673C">
        <w:t xml:space="preserve"> </w:t>
      </w:r>
      <w:r w:rsidRPr="00EE3355">
        <w:t>k tomu, že existuje mnoho komorbidit, které mohou u sJIA nebo pJIA ovlivňovat laboratorní hodnoty, musí rozhodnutí ukončit léčbu tocilizumabem z důvodu laboratorní odchylky vycházet z lékařského posouzení jednotlivého pacienta.</w:t>
      </w:r>
    </w:p>
    <w:p w14:paraId="618F0CAB" w14:textId="77777777" w:rsidR="00222DE0" w:rsidRPr="00EE3355" w:rsidRDefault="00222DE0" w:rsidP="00EA1CDF">
      <w:pPr>
        <w:pStyle w:val="a3"/>
        <w:widowControl/>
        <w:ind w:left="0"/>
      </w:pPr>
    </w:p>
    <w:p w14:paraId="47E5F74E" w14:textId="77777777" w:rsidR="00222DE0" w:rsidRPr="00EE3355" w:rsidRDefault="00B23DAE" w:rsidP="00EA1CDF">
      <w:pPr>
        <w:widowControl/>
        <w:tabs>
          <w:tab w:val="left" w:pos="950"/>
        </w:tabs>
        <w:ind w:left="567" w:hanging="567"/>
      </w:pPr>
      <w:r w:rsidRPr="00EE3355">
        <w:rPr>
          <w:rFonts w:ascii="Symbol" w:eastAsia="Symbol" w:hAnsi="Symbol" w:cs="Symbol"/>
        </w:rPr>
        <w:t></w:t>
      </w:r>
      <w:r w:rsidRPr="00EE3355">
        <w:rPr>
          <w:rFonts w:ascii="Symbol" w:eastAsia="Symbol" w:hAnsi="Symbol" w:cs="Symbol"/>
        </w:rPr>
        <w:tab/>
      </w:r>
      <w:r w:rsidR="0098273B" w:rsidRPr="00EE3355">
        <w:t>Odchylky jaterních enzymů</w:t>
      </w:r>
    </w:p>
    <w:p w14:paraId="5C4D367D" w14:textId="77777777" w:rsidR="00222DE0" w:rsidRPr="00EE3355" w:rsidRDefault="00222DE0" w:rsidP="00EA1CDF">
      <w:pPr>
        <w:pStyle w:val="a3"/>
        <w:spacing w:before="27"/>
        <w:ind w:left="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721"/>
        <w:gridCol w:w="6005"/>
      </w:tblGrid>
      <w:tr w:rsidR="00222DE0" w:rsidRPr="00EE3355" w14:paraId="1B6455BD" w14:textId="77777777" w:rsidTr="002223F3">
        <w:trPr>
          <w:cantSplit/>
          <w:trHeight w:val="20"/>
          <w:tblHeader/>
        </w:trPr>
        <w:tc>
          <w:tcPr>
            <w:tcW w:w="2721" w:type="dxa"/>
          </w:tcPr>
          <w:p w14:paraId="19303A5F" w14:textId="77777777" w:rsidR="00222DE0" w:rsidRPr="00EE3355" w:rsidRDefault="0098273B" w:rsidP="00EA1CDF">
            <w:pPr>
              <w:pStyle w:val="TableParagraph"/>
              <w:rPr>
                <w:bCs/>
              </w:rPr>
            </w:pPr>
            <w:r w:rsidRPr="00EE3355">
              <w:rPr>
                <w:bCs/>
              </w:rPr>
              <w:t>Laboratorní hodnota</w:t>
            </w:r>
          </w:p>
        </w:tc>
        <w:tc>
          <w:tcPr>
            <w:tcW w:w="6005" w:type="dxa"/>
          </w:tcPr>
          <w:p w14:paraId="6A3C03A2" w14:textId="77777777" w:rsidR="00222DE0" w:rsidRPr="00EE3355" w:rsidRDefault="0098273B" w:rsidP="00EA1CDF">
            <w:pPr>
              <w:pStyle w:val="TableParagraph"/>
              <w:jc w:val="center"/>
              <w:rPr>
                <w:bCs/>
              </w:rPr>
            </w:pPr>
            <w:r w:rsidRPr="00EE3355">
              <w:rPr>
                <w:bCs/>
              </w:rPr>
              <w:t>Opatření</w:t>
            </w:r>
          </w:p>
        </w:tc>
      </w:tr>
      <w:tr w:rsidR="00222DE0" w:rsidRPr="00EE3355" w14:paraId="62132121" w14:textId="77777777" w:rsidTr="002223F3">
        <w:trPr>
          <w:cantSplit/>
          <w:trHeight w:val="20"/>
        </w:trPr>
        <w:tc>
          <w:tcPr>
            <w:tcW w:w="2721" w:type="dxa"/>
          </w:tcPr>
          <w:p w14:paraId="7339FF1C" w14:textId="77777777" w:rsidR="00222DE0" w:rsidRPr="00EE3355" w:rsidRDefault="00B23DAE" w:rsidP="00EA1CDF">
            <w:pPr>
              <w:pStyle w:val="TableParagraph"/>
              <w:tabs>
                <w:tab w:val="left" w:pos="336"/>
              </w:tabs>
              <w:jc w:val="both"/>
            </w:pPr>
            <w:r w:rsidRPr="00EE3355">
              <w:t>&gt;</w:t>
            </w:r>
            <w:r w:rsidR="00AF1968">
              <w:t xml:space="preserve"> </w:t>
            </w:r>
            <w:r w:rsidR="0098273B" w:rsidRPr="00EE3355">
              <w:t>1 až 3násobek horní hranice normy (ULN)</w:t>
            </w:r>
          </w:p>
        </w:tc>
        <w:tc>
          <w:tcPr>
            <w:tcW w:w="6005" w:type="dxa"/>
          </w:tcPr>
          <w:p w14:paraId="12FCD201" w14:textId="77777777" w:rsidR="00222DE0" w:rsidRPr="00EE3355" w:rsidRDefault="0098273B" w:rsidP="00EA1CDF">
            <w:pPr>
              <w:pStyle w:val="TableParagraph"/>
              <w:jc w:val="both"/>
            </w:pPr>
            <w:r w:rsidRPr="00EE3355">
              <w:t>Upravte případně dávku souběžně podávaného MTX</w:t>
            </w:r>
          </w:p>
          <w:p w14:paraId="08113B85" w14:textId="77777777" w:rsidR="00A6541A" w:rsidRPr="00EE3355" w:rsidRDefault="00A6541A" w:rsidP="00EA1CDF">
            <w:pPr>
              <w:pStyle w:val="TableParagraph"/>
              <w:jc w:val="both"/>
            </w:pPr>
          </w:p>
          <w:p w14:paraId="182517EA" w14:textId="5A715295" w:rsidR="00222DE0" w:rsidRPr="00EE3355" w:rsidRDefault="0098273B" w:rsidP="00EA1CDF">
            <w:pPr>
              <w:pStyle w:val="TableParagraph"/>
              <w:jc w:val="both"/>
            </w:pPr>
            <w:r w:rsidRPr="00EE3355">
              <w:t xml:space="preserve">Při přetrvávajících zvýšeních v tomto rozmezí přerušte podávání přípravku </w:t>
            </w:r>
            <w:r w:rsidR="00AE3C2F">
              <w:t>Avtozma</w:t>
            </w:r>
            <w:r w:rsidRPr="00EE3355">
              <w:t>, dokud se hodnoty ALT/AST nenormalizují.</w:t>
            </w:r>
          </w:p>
        </w:tc>
      </w:tr>
      <w:tr w:rsidR="00222DE0" w:rsidRPr="00EE3355" w14:paraId="5991E2E2" w14:textId="77777777" w:rsidTr="002223F3">
        <w:trPr>
          <w:cantSplit/>
          <w:trHeight w:val="20"/>
        </w:trPr>
        <w:tc>
          <w:tcPr>
            <w:tcW w:w="2721" w:type="dxa"/>
          </w:tcPr>
          <w:p w14:paraId="12EAE6E0" w14:textId="77777777" w:rsidR="00222DE0" w:rsidRPr="00EE3355" w:rsidRDefault="00B23DAE" w:rsidP="00EA1CDF">
            <w:pPr>
              <w:pStyle w:val="TableParagraph"/>
              <w:tabs>
                <w:tab w:val="left" w:pos="312"/>
              </w:tabs>
              <w:jc w:val="both"/>
            </w:pPr>
            <w:r w:rsidRPr="00EE3355">
              <w:t>&gt;</w:t>
            </w:r>
            <w:r w:rsidR="00AF1968">
              <w:t xml:space="preserve"> </w:t>
            </w:r>
            <w:r w:rsidR="0098273B" w:rsidRPr="00EE3355">
              <w:t>3násobek horní hranice   normy</w:t>
            </w:r>
          </w:p>
          <w:p w14:paraId="58A7EAD4" w14:textId="77777777" w:rsidR="00A6541A" w:rsidRPr="00EE3355" w:rsidRDefault="00A6541A" w:rsidP="00EA1CDF">
            <w:pPr>
              <w:pStyle w:val="TableParagraph"/>
              <w:tabs>
                <w:tab w:val="left" w:pos="312"/>
              </w:tabs>
              <w:jc w:val="both"/>
            </w:pPr>
          </w:p>
          <w:p w14:paraId="3CE89D7C" w14:textId="77777777" w:rsidR="00222DE0" w:rsidRPr="00EE3355" w:rsidRDefault="0098273B" w:rsidP="00EA1CDF">
            <w:pPr>
              <w:pStyle w:val="TableParagraph"/>
              <w:tabs>
                <w:tab w:val="left" w:pos="1494"/>
              </w:tabs>
              <w:jc w:val="both"/>
            </w:pPr>
            <w:r w:rsidRPr="00EE3355">
              <w:t>(ULN)</w:t>
            </w:r>
            <w:r w:rsidR="007F2529">
              <w:t xml:space="preserve"> </w:t>
            </w:r>
            <w:r w:rsidRPr="00EE3355">
              <w:t>až</w:t>
            </w:r>
            <w:r w:rsidR="007F2529">
              <w:t xml:space="preserve"> </w:t>
            </w:r>
            <w:r w:rsidRPr="00EE3355">
              <w:t>5násobek horní hranice normy (ULN)</w:t>
            </w:r>
          </w:p>
        </w:tc>
        <w:tc>
          <w:tcPr>
            <w:tcW w:w="6005" w:type="dxa"/>
          </w:tcPr>
          <w:p w14:paraId="42EE690D" w14:textId="77777777" w:rsidR="00222DE0" w:rsidRPr="002223F3" w:rsidRDefault="0098273B" w:rsidP="00EA1CDF">
            <w:pPr>
              <w:pStyle w:val="TableParagraph"/>
              <w:jc w:val="both"/>
            </w:pPr>
            <w:r w:rsidRPr="002223F3">
              <w:t>Upravte případně dávku souběžně podávaného MTX</w:t>
            </w:r>
          </w:p>
          <w:p w14:paraId="4F40EABE" w14:textId="77777777" w:rsidR="00A6541A" w:rsidRPr="002223F3" w:rsidRDefault="00A6541A" w:rsidP="00EA1CDF">
            <w:pPr>
              <w:pStyle w:val="TableParagraph"/>
              <w:jc w:val="both"/>
            </w:pPr>
          </w:p>
          <w:p w14:paraId="087A5EC2" w14:textId="4879F665" w:rsidR="00222DE0" w:rsidRPr="002223F3" w:rsidRDefault="0098273B" w:rsidP="00EA1CDF">
            <w:pPr>
              <w:pStyle w:val="TableParagraph"/>
              <w:jc w:val="both"/>
            </w:pPr>
            <w:r w:rsidRPr="002223F3">
              <w:t xml:space="preserve">Přerušte podávání přípravku </w:t>
            </w:r>
            <w:r w:rsidR="00AE3C2F">
              <w:t>Avtozma</w:t>
            </w:r>
            <w:r w:rsidRPr="002223F3">
              <w:t xml:space="preserve"> dokud nebudou hodnoty &lt; 3násobek horní hranice normy (ULN) a řiďte se výše uvedenými doporučeními pro hodnoty &gt;1 až 3násobek horní hranice normy (ULN)</w:t>
            </w:r>
          </w:p>
        </w:tc>
      </w:tr>
      <w:tr w:rsidR="00222DE0" w:rsidRPr="00EE3355" w14:paraId="0E3CF65F" w14:textId="77777777" w:rsidTr="002223F3">
        <w:trPr>
          <w:cantSplit/>
          <w:trHeight w:val="20"/>
        </w:trPr>
        <w:tc>
          <w:tcPr>
            <w:tcW w:w="2721" w:type="dxa"/>
          </w:tcPr>
          <w:p w14:paraId="4CB9F0F6" w14:textId="77777777" w:rsidR="00222DE0" w:rsidRPr="00EE3355" w:rsidRDefault="00B23DAE" w:rsidP="00EA1CDF">
            <w:pPr>
              <w:pStyle w:val="TableParagraph"/>
              <w:tabs>
                <w:tab w:val="left" w:pos="312"/>
              </w:tabs>
              <w:jc w:val="both"/>
            </w:pPr>
            <w:r w:rsidRPr="00EE3355">
              <w:lastRenderedPageBreak/>
              <w:t>&gt;</w:t>
            </w:r>
            <w:r w:rsidRPr="00EE3355">
              <w:tab/>
            </w:r>
            <w:r w:rsidR="0098273B" w:rsidRPr="00EE3355">
              <w:t>5násobek horní hranice normy (ULN)</w:t>
            </w:r>
          </w:p>
        </w:tc>
        <w:tc>
          <w:tcPr>
            <w:tcW w:w="6005" w:type="dxa"/>
          </w:tcPr>
          <w:p w14:paraId="145DE6AF" w14:textId="09EE597C" w:rsidR="00222DE0" w:rsidRPr="00EE3355" w:rsidRDefault="0098273B" w:rsidP="00EA1CDF">
            <w:pPr>
              <w:pStyle w:val="TableParagraph"/>
              <w:jc w:val="both"/>
            </w:pPr>
            <w:r w:rsidRPr="00EE3355">
              <w:t xml:space="preserve">Ukončete podávání přípravku </w:t>
            </w:r>
            <w:r w:rsidR="00AE3C2F">
              <w:t>Avtozma</w:t>
            </w:r>
            <w:r w:rsidRPr="00EE3355">
              <w:t>.</w:t>
            </w:r>
          </w:p>
          <w:p w14:paraId="71678ED4" w14:textId="77777777" w:rsidR="00A6541A" w:rsidRPr="00EE3355" w:rsidRDefault="00A6541A" w:rsidP="00EA1CDF">
            <w:pPr>
              <w:pStyle w:val="TableParagraph"/>
              <w:jc w:val="both"/>
            </w:pPr>
          </w:p>
          <w:p w14:paraId="2CDF5141" w14:textId="17EBA6E4" w:rsidR="00222DE0" w:rsidRPr="00EE3355" w:rsidRDefault="0098273B" w:rsidP="00EA1CDF">
            <w:pPr>
              <w:pStyle w:val="TableParagraph"/>
              <w:jc w:val="both"/>
            </w:pPr>
            <w:r w:rsidRPr="00EE3355">
              <w:t xml:space="preserve">Rozhodnutí ukončit podávání přípravku </w:t>
            </w:r>
            <w:r w:rsidR="00AE3C2F">
              <w:t>Avtozma</w:t>
            </w:r>
            <w:r w:rsidRPr="00EE3355">
              <w:t xml:space="preserve"> u sJIA nebo pJIA z důvodu laboratorní odchylky musí vycházet z lékařského posouzení jednotlivého pacienta.</w:t>
            </w:r>
          </w:p>
        </w:tc>
      </w:tr>
    </w:tbl>
    <w:p w14:paraId="53C44020" w14:textId="77777777" w:rsidR="00A6541A" w:rsidRPr="00EE3355" w:rsidRDefault="00A6541A" w:rsidP="00EA1CDF">
      <w:pPr>
        <w:widowControl/>
        <w:tabs>
          <w:tab w:val="left" w:pos="951"/>
        </w:tabs>
        <w:ind w:left="567" w:hanging="567"/>
        <w:rPr>
          <w:rFonts w:ascii="Symbol" w:eastAsia="Symbol" w:hAnsi="Symbol" w:cs="Symbol"/>
        </w:rPr>
      </w:pPr>
    </w:p>
    <w:p w14:paraId="2ADCEC82" w14:textId="77777777" w:rsidR="00222DE0" w:rsidRPr="00EE3355" w:rsidRDefault="00B23DAE" w:rsidP="00EA1CDF">
      <w:pPr>
        <w:widowControl/>
        <w:tabs>
          <w:tab w:val="left" w:pos="951"/>
        </w:tabs>
        <w:ind w:left="567" w:hanging="567"/>
      </w:pPr>
      <w:r w:rsidRPr="00EE3355">
        <w:rPr>
          <w:rFonts w:ascii="Symbol" w:eastAsia="Symbol" w:hAnsi="Symbol" w:cs="Symbol"/>
        </w:rPr>
        <w:t></w:t>
      </w:r>
      <w:r w:rsidRPr="00EE3355">
        <w:rPr>
          <w:rFonts w:ascii="Symbol" w:eastAsia="Symbol" w:hAnsi="Symbol" w:cs="Symbol"/>
        </w:rPr>
        <w:tab/>
      </w:r>
      <w:r w:rsidR="0098273B" w:rsidRPr="00EE3355">
        <w:t>Nízký absolutní počet neutrofilů (ANC)</w:t>
      </w:r>
    </w:p>
    <w:p w14:paraId="786A0BBE" w14:textId="77777777" w:rsidR="00222DE0" w:rsidRPr="00EE3355" w:rsidRDefault="00222DE0" w:rsidP="00EA1CDF">
      <w:pPr>
        <w:pStyle w:val="a3"/>
        <w:spacing w:before="28" w:after="1"/>
        <w:ind w:left="0"/>
        <w:rPr>
          <w:sz w:val="20"/>
        </w:rPr>
      </w:pP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318"/>
        <w:gridCol w:w="6417"/>
      </w:tblGrid>
      <w:tr w:rsidR="00222DE0" w:rsidRPr="00EE3355" w14:paraId="7614C344" w14:textId="77777777" w:rsidTr="00BC4221">
        <w:trPr>
          <w:cantSplit/>
          <w:trHeight w:val="515"/>
        </w:trPr>
        <w:tc>
          <w:tcPr>
            <w:tcW w:w="2318" w:type="dxa"/>
          </w:tcPr>
          <w:p w14:paraId="17517408" w14:textId="77777777" w:rsidR="00222DE0" w:rsidRPr="0053673C" w:rsidRDefault="0098273B" w:rsidP="00EA1CDF">
            <w:pPr>
              <w:pStyle w:val="TableParagraph"/>
              <w:widowControl/>
              <w:jc w:val="center"/>
              <w:rPr>
                <w:b/>
              </w:rPr>
            </w:pPr>
            <w:r w:rsidRPr="0053673C">
              <w:rPr>
                <w:b/>
              </w:rPr>
              <w:t>Laboratorní hodnota</w:t>
            </w:r>
          </w:p>
          <w:p w14:paraId="2ADD2210" w14:textId="77777777" w:rsidR="00222DE0" w:rsidRPr="0053673C" w:rsidRDefault="0098273B" w:rsidP="00EA1CDF">
            <w:pPr>
              <w:pStyle w:val="TableParagraph"/>
              <w:widowControl/>
              <w:jc w:val="center"/>
              <w:rPr>
                <w:b/>
              </w:rPr>
            </w:pPr>
            <w:r w:rsidRPr="0053673C">
              <w:rPr>
                <w:b/>
              </w:rPr>
              <w:t>(počet buněk x 10</w:t>
            </w:r>
            <w:r w:rsidRPr="0053673C">
              <w:rPr>
                <w:b/>
                <w:vertAlign w:val="superscript"/>
              </w:rPr>
              <w:t>9</w:t>
            </w:r>
            <w:r w:rsidRPr="0053673C">
              <w:rPr>
                <w:b/>
              </w:rPr>
              <w:t>/ l)</w:t>
            </w:r>
          </w:p>
        </w:tc>
        <w:tc>
          <w:tcPr>
            <w:tcW w:w="6417" w:type="dxa"/>
          </w:tcPr>
          <w:p w14:paraId="00707A69" w14:textId="77777777" w:rsidR="00222DE0" w:rsidRPr="0053673C" w:rsidRDefault="0098273B" w:rsidP="00EA1CDF">
            <w:pPr>
              <w:pStyle w:val="TableParagraph"/>
              <w:widowControl/>
              <w:jc w:val="center"/>
              <w:rPr>
                <w:b/>
              </w:rPr>
            </w:pPr>
            <w:r w:rsidRPr="0053673C">
              <w:rPr>
                <w:b/>
              </w:rPr>
              <w:t>Opatření</w:t>
            </w:r>
          </w:p>
        </w:tc>
      </w:tr>
      <w:tr w:rsidR="00222DE0" w:rsidRPr="00EE3355" w14:paraId="302FCC40" w14:textId="77777777" w:rsidTr="00BC4221">
        <w:trPr>
          <w:cantSplit/>
          <w:trHeight w:val="211"/>
        </w:trPr>
        <w:tc>
          <w:tcPr>
            <w:tcW w:w="2318" w:type="dxa"/>
          </w:tcPr>
          <w:p w14:paraId="1593FF98" w14:textId="77777777" w:rsidR="00222DE0" w:rsidRPr="00EE3355" w:rsidRDefault="0098273B" w:rsidP="00EA1CDF">
            <w:pPr>
              <w:pStyle w:val="TableParagraph"/>
              <w:widowControl/>
            </w:pPr>
            <w:r w:rsidRPr="00EE3355">
              <w:t>ANC &gt; 1</w:t>
            </w:r>
          </w:p>
        </w:tc>
        <w:tc>
          <w:tcPr>
            <w:tcW w:w="6417" w:type="dxa"/>
          </w:tcPr>
          <w:p w14:paraId="69C11AD8" w14:textId="77777777" w:rsidR="00222DE0" w:rsidRPr="00EE3355" w:rsidRDefault="0098273B" w:rsidP="00EA1CDF">
            <w:pPr>
              <w:pStyle w:val="TableParagraph"/>
              <w:widowControl/>
            </w:pPr>
            <w:r w:rsidRPr="00EE3355">
              <w:t>Ponechejte stejnou dávku</w:t>
            </w:r>
          </w:p>
        </w:tc>
      </w:tr>
      <w:tr w:rsidR="00222DE0" w:rsidRPr="00EE3355" w14:paraId="683508C2" w14:textId="77777777" w:rsidTr="00BC4221">
        <w:trPr>
          <w:cantSplit/>
          <w:trHeight w:val="613"/>
        </w:trPr>
        <w:tc>
          <w:tcPr>
            <w:tcW w:w="2318" w:type="dxa"/>
          </w:tcPr>
          <w:p w14:paraId="34BB8FCA" w14:textId="77777777" w:rsidR="00222DE0" w:rsidRPr="00EE3355" w:rsidRDefault="0098273B" w:rsidP="00EA1CDF">
            <w:pPr>
              <w:pStyle w:val="TableParagraph"/>
              <w:widowControl/>
            </w:pPr>
            <w:r w:rsidRPr="00EE3355">
              <w:t>ANC 0,5 až</w:t>
            </w:r>
            <w:r w:rsidR="000C71CA" w:rsidRPr="00EE3355">
              <w:t xml:space="preserve"> </w:t>
            </w:r>
            <w:r w:rsidRPr="00EE3355">
              <w:t>1</w:t>
            </w:r>
          </w:p>
        </w:tc>
        <w:tc>
          <w:tcPr>
            <w:tcW w:w="6417" w:type="dxa"/>
          </w:tcPr>
          <w:p w14:paraId="1A87F860" w14:textId="466E3F30" w:rsidR="00222DE0" w:rsidRPr="00EE3355" w:rsidRDefault="0098273B" w:rsidP="00EA1CDF">
            <w:pPr>
              <w:pStyle w:val="TableParagraph"/>
              <w:widowControl/>
            </w:pPr>
            <w:r w:rsidRPr="00EE3355">
              <w:t xml:space="preserve">Přerušte podávání přípravku </w:t>
            </w:r>
            <w:r w:rsidR="00AE3C2F">
              <w:t>Avtozma</w:t>
            </w:r>
          </w:p>
          <w:p w14:paraId="6D5032FE" w14:textId="77777777" w:rsidR="00222DE0" w:rsidRPr="00EE3355" w:rsidRDefault="0098273B" w:rsidP="00EA1CDF">
            <w:pPr>
              <w:pStyle w:val="TableParagraph"/>
              <w:widowControl/>
            </w:pPr>
            <w:r w:rsidRPr="00EE3355">
              <w:t>Až počet ANC stoupne na &gt; 1 x 10</w:t>
            </w:r>
            <w:r w:rsidRPr="00EE3355">
              <w:rPr>
                <w:vertAlign w:val="superscript"/>
              </w:rPr>
              <w:t>9</w:t>
            </w:r>
            <w:r w:rsidRPr="00EE3355">
              <w:t>/l, obnovte podávání přípravku</w:t>
            </w:r>
          </w:p>
          <w:p w14:paraId="38C13C5A" w14:textId="0E7ADD6C" w:rsidR="00222DE0" w:rsidRPr="00EE3355" w:rsidRDefault="00AE3C2F" w:rsidP="00EA1CDF">
            <w:pPr>
              <w:pStyle w:val="TableParagraph"/>
              <w:widowControl/>
            </w:pPr>
            <w:r>
              <w:t>Avtozma</w:t>
            </w:r>
          </w:p>
        </w:tc>
      </w:tr>
      <w:tr w:rsidR="00222DE0" w:rsidRPr="00EE3355" w14:paraId="1A19389D" w14:textId="77777777" w:rsidTr="00BC4221">
        <w:trPr>
          <w:cantSplit/>
          <w:trHeight w:val="780"/>
        </w:trPr>
        <w:tc>
          <w:tcPr>
            <w:tcW w:w="2318" w:type="dxa"/>
          </w:tcPr>
          <w:p w14:paraId="559DDFEE" w14:textId="77777777" w:rsidR="00222DE0" w:rsidRPr="00EE3355" w:rsidRDefault="0098273B" w:rsidP="00EA1CDF">
            <w:pPr>
              <w:pStyle w:val="TableParagraph"/>
              <w:widowControl/>
            </w:pPr>
            <w:r w:rsidRPr="00EE3355">
              <w:t>ANC &lt; 0,5</w:t>
            </w:r>
          </w:p>
        </w:tc>
        <w:tc>
          <w:tcPr>
            <w:tcW w:w="6417" w:type="dxa"/>
          </w:tcPr>
          <w:p w14:paraId="24A4850E" w14:textId="1A8D2891" w:rsidR="00222DE0" w:rsidRPr="00EE3355" w:rsidRDefault="0098273B" w:rsidP="00EA1CDF">
            <w:pPr>
              <w:pStyle w:val="TableParagraph"/>
              <w:widowControl/>
              <w:jc w:val="both"/>
            </w:pPr>
            <w:r w:rsidRPr="00EE3355">
              <w:t xml:space="preserve">Ukončete podávání přípravku </w:t>
            </w:r>
            <w:r w:rsidR="00AE3C2F">
              <w:t>Avtozma</w:t>
            </w:r>
          </w:p>
          <w:p w14:paraId="56912A86" w14:textId="3459FC39" w:rsidR="00222DE0" w:rsidRPr="00EE3355" w:rsidRDefault="0098273B" w:rsidP="00EA1CDF">
            <w:pPr>
              <w:pStyle w:val="TableParagraph"/>
              <w:widowControl/>
              <w:jc w:val="both"/>
            </w:pPr>
            <w:r w:rsidRPr="00EE3355">
              <w:t xml:space="preserve">Rozhodnutí ukončit podávání přípravku </w:t>
            </w:r>
            <w:r w:rsidR="00AE3C2F">
              <w:t>Avtozma</w:t>
            </w:r>
            <w:r w:rsidRPr="00EE3355">
              <w:t xml:space="preserve"> u sJIA nebo pJIA z důvodu laboratorní odchylky musí vycházet z lékařského posouzení jednotlivého pacienta.</w:t>
            </w:r>
          </w:p>
        </w:tc>
      </w:tr>
    </w:tbl>
    <w:p w14:paraId="549DA205" w14:textId="77777777" w:rsidR="00222DE0" w:rsidRPr="00EE3355" w:rsidRDefault="00222DE0" w:rsidP="00EA1CDF">
      <w:pPr>
        <w:jc w:val="both"/>
      </w:pPr>
    </w:p>
    <w:p w14:paraId="3E5D827E" w14:textId="77777777" w:rsidR="00222DE0" w:rsidRPr="00EE3355" w:rsidRDefault="00B23DAE" w:rsidP="00EA1CDF">
      <w:pPr>
        <w:tabs>
          <w:tab w:val="left" w:pos="951"/>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trombocytů</w:t>
      </w:r>
    </w:p>
    <w:p w14:paraId="2463EC19" w14:textId="77777777" w:rsidR="00222DE0" w:rsidRPr="00EE3355" w:rsidRDefault="00222DE0" w:rsidP="00EA1CDF">
      <w:pPr>
        <w:pStyle w:val="a3"/>
        <w:ind w:left="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623"/>
        <w:gridCol w:w="6098"/>
      </w:tblGrid>
      <w:tr w:rsidR="00222DE0" w:rsidRPr="0053673C" w14:paraId="7E172702" w14:textId="77777777" w:rsidTr="00BC4221">
        <w:trPr>
          <w:cantSplit/>
          <w:trHeight w:val="459"/>
        </w:trPr>
        <w:tc>
          <w:tcPr>
            <w:tcW w:w="2623" w:type="dxa"/>
          </w:tcPr>
          <w:p w14:paraId="28654A22" w14:textId="77777777" w:rsidR="00222DE0" w:rsidRPr="0053673C" w:rsidRDefault="0098273B" w:rsidP="00EA1CDF">
            <w:pPr>
              <w:pStyle w:val="TableParagraph"/>
              <w:widowControl/>
              <w:jc w:val="center"/>
              <w:rPr>
                <w:b/>
              </w:rPr>
            </w:pPr>
            <w:r w:rsidRPr="0053673C">
              <w:rPr>
                <w:b/>
              </w:rPr>
              <w:t>Laboratorní hodnota</w:t>
            </w:r>
          </w:p>
          <w:p w14:paraId="50D9C607" w14:textId="77777777" w:rsidR="00222DE0" w:rsidRPr="0053673C" w:rsidRDefault="0098273B" w:rsidP="00EA1CDF">
            <w:pPr>
              <w:pStyle w:val="TableParagraph"/>
              <w:widowControl/>
              <w:jc w:val="center"/>
              <w:rPr>
                <w:b/>
              </w:rPr>
            </w:pPr>
            <w:r w:rsidRPr="0053673C">
              <w:rPr>
                <w:b/>
              </w:rPr>
              <w:t>(počet buněk x</w:t>
            </w:r>
            <w:r w:rsidR="007B2458" w:rsidRPr="0053673C">
              <w:rPr>
                <w:b/>
              </w:rPr>
              <w:t xml:space="preserve"> </w:t>
            </w:r>
            <w:r w:rsidRPr="0053673C">
              <w:rPr>
                <w:b/>
              </w:rPr>
              <w:t>10</w:t>
            </w:r>
            <w:r w:rsidRPr="0053673C">
              <w:rPr>
                <w:b/>
                <w:vertAlign w:val="superscript"/>
              </w:rPr>
              <w:t>3</w:t>
            </w:r>
            <w:r w:rsidRPr="0053673C">
              <w:rPr>
                <w:b/>
              </w:rPr>
              <w:t>/</w:t>
            </w:r>
            <w:r w:rsidRPr="0053673C">
              <w:rPr>
                <w:rFonts w:ascii="Symbol" w:hAnsi="Symbol"/>
                <w:b/>
              </w:rPr>
              <w:t></w:t>
            </w:r>
            <w:r w:rsidRPr="0053673C">
              <w:rPr>
                <w:b/>
              </w:rPr>
              <w:t>l)</w:t>
            </w:r>
          </w:p>
        </w:tc>
        <w:tc>
          <w:tcPr>
            <w:tcW w:w="6098" w:type="dxa"/>
          </w:tcPr>
          <w:p w14:paraId="4D8EE5EA" w14:textId="77777777" w:rsidR="00222DE0" w:rsidRPr="0053673C" w:rsidRDefault="0098273B" w:rsidP="00EA1CDF">
            <w:pPr>
              <w:pStyle w:val="TableParagraph"/>
              <w:widowControl/>
              <w:jc w:val="center"/>
              <w:rPr>
                <w:b/>
              </w:rPr>
            </w:pPr>
            <w:r w:rsidRPr="0053673C">
              <w:rPr>
                <w:b/>
              </w:rPr>
              <w:t>Opatření</w:t>
            </w:r>
          </w:p>
        </w:tc>
      </w:tr>
      <w:tr w:rsidR="00222DE0" w:rsidRPr="00EE3355" w14:paraId="3E835A29" w14:textId="77777777" w:rsidTr="00BC4221">
        <w:trPr>
          <w:cantSplit/>
          <w:trHeight w:val="862"/>
        </w:trPr>
        <w:tc>
          <w:tcPr>
            <w:tcW w:w="2623" w:type="dxa"/>
          </w:tcPr>
          <w:p w14:paraId="5940723C" w14:textId="77777777" w:rsidR="00222DE0" w:rsidRPr="00EE3355" w:rsidRDefault="0098273B" w:rsidP="00EA1CDF">
            <w:pPr>
              <w:pStyle w:val="TableParagraph"/>
              <w:widowControl/>
            </w:pPr>
            <w:r w:rsidRPr="00EE3355">
              <w:t>50 až 100</w:t>
            </w:r>
          </w:p>
        </w:tc>
        <w:tc>
          <w:tcPr>
            <w:tcW w:w="6098" w:type="dxa"/>
          </w:tcPr>
          <w:p w14:paraId="186B410A" w14:textId="7B2DDD5C" w:rsidR="00222DE0" w:rsidRPr="00EE3355" w:rsidRDefault="0098273B" w:rsidP="00EA1CDF">
            <w:pPr>
              <w:pStyle w:val="TableParagraph"/>
              <w:widowControl/>
            </w:pPr>
            <w:r w:rsidRPr="00EE3355">
              <w:t xml:space="preserve">Upravte případně dávku souběžně podávaného MTX Přerušte podávání přípravku </w:t>
            </w:r>
            <w:r w:rsidR="00AE3C2F">
              <w:t>Avtozma</w:t>
            </w:r>
          </w:p>
          <w:p w14:paraId="65AADCEB" w14:textId="77777777" w:rsidR="00222DE0" w:rsidRPr="00EE3355" w:rsidRDefault="0098273B" w:rsidP="00EA1CDF">
            <w:pPr>
              <w:pStyle w:val="TableParagraph"/>
              <w:widowControl/>
            </w:pPr>
            <w:r w:rsidRPr="00EE3355">
              <w:t>Až bude počet  trombocytů  &gt; 100  x  10</w:t>
            </w:r>
            <w:r w:rsidRPr="00EE3355">
              <w:rPr>
                <w:vertAlign w:val="superscript"/>
              </w:rPr>
              <w:t>3</w:t>
            </w:r>
            <w:r w:rsidRPr="00EE3355">
              <w:t>/</w:t>
            </w:r>
            <w:r w:rsidRPr="00EE3355">
              <w:rPr>
                <w:rFonts w:ascii="Symbol" w:hAnsi="Symbol"/>
              </w:rPr>
              <w:t></w:t>
            </w:r>
            <w:r w:rsidRPr="00EE3355">
              <w:t>l, obnovte</w:t>
            </w:r>
          </w:p>
          <w:p w14:paraId="66EA1DBA" w14:textId="29921DA4" w:rsidR="00222DE0" w:rsidRPr="00EE3355" w:rsidRDefault="0098273B" w:rsidP="00EA1CDF">
            <w:pPr>
              <w:pStyle w:val="TableParagraph"/>
              <w:widowControl/>
            </w:pPr>
            <w:r w:rsidRPr="00EE3355">
              <w:t xml:space="preserve">podávání přípravku </w:t>
            </w:r>
            <w:r w:rsidR="00AE3C2F">
              <w:t>Avtozma</w:t>
            </w:r>
          </w:p>
        </w:tc>
      </w:tr>
      <w:tr w:rsidR="00222DE0" w:rsidRPr="00EE3355" w14:paraId="08007579" w14:textId="77777777" w:rsidTr="00BC4221">
        <w:trPr>
          <w:cantSplit/>
          <w:trHeight w:val="750"/>
        </w:trPr>
        <w:tc>
          <w:tcPr>
            <w:tcW w:w="2623" w:type="dxa"/>
          </w:tcPr>
          <w:p w14:paraId="5026BED2" w14:textId="77777777" w:rsidR="00222DE0" w:rsidRPr="00EE3355" w:rsidRDefault="0098273B" w:rsidP="00EA1CDF">
            <w:pPr>
              <w:pStyle w:val="TableParagraph"/>
              <w:widowControl/>
            </w:pPr>
            <w:r w:rsidRPr="00EE3355">
              <w:t>&lt; 50</w:t>
            </w:r>
          </w:p>
        </w:tc>
        <w:tc>
          <w:tcPr>
            <w:tcW w:w="6098" w:type="dxa"/>
          </w:tcPr>
          <w:p w14:paraId="797355A7" w14:textId="6587E2EF" w:rsidR="00222DE0" w:rsidRPr="00EE3355" w:rsidRDefault="0098273B" w:rsidP="00EA1CDF">
            <w:pPr>
              <w:pStyle w:val="TableParagraph"/>
              <w:widowControl/>
              <w:jc w:val="both"/>
            </w:pPr>
            <w:r w:rsidRPr="00EE3355">
              <w:t xml:space="preserve">Ukončete podávání přípravku </w:t>
            </w:r>
            <w:r w:rsidR="00AE3C2F">
              <w:t>Avtozma</w:t>
            </w:r>
            <w:r w:rsidRPr="00EE3355">
              <w:t>.</w:t>
            </w:r>
          </w:p>
          <w:p w14:paraId="58A9DFED" w14:textId="2919DA2B" w:rsidR="00222DE0" w:rsidRPr="00EE3355" w:rsidRDefault="0098273B" w:rsidP="00EA1CDF">
            <w:pPr>
              <w:pStyle w:val="TableParagraph"/>
              <w:widowControl/>
              <w:jc w:val="both"/>
            </w:pPr>
            <w:r w:rsidRPr="00EE3355">
              <w:t xml:space="preserve">Rozhodnutí ukončit podávání přípravku </w:t>
            </w:r>
            <w:r w:rsidR="00AE3C2F">
              <w:t>Avtozma</w:t>
            </w:r>
            <w:r w:rsidRPr="00EE3355">
              <w:t xml:space="preserve"> u sJIA nebo pJIA z důvodu laboratorní odchylky musí vycházet z lékařského posouzení jednotlivého pacienta.</w:t>
            </w:r>
          </w:p>
        </w:tc>
      </w:tr>
    </w:tbl>
    <w:p w14:paraId="14A7456D" w14:textId="77777777" w:rsidR="008635CC" w:rsidRPr="00EE3355" w:rsidRDefault="008635CC" w:rsidP="00EA1CDF">
      <w:pPr>
        <w:pStyle w:val="a3"/>
        <w:widowControl/>
        <w:ind w:left="0"/>
      </w:pPr>
    </w:p>
    <w:p w14:paraId="701F2F5A" w14:textId="77777777" w:rsidR="00222DE0" w:rsidRPr="00EE3355" w:rsidRDefault="0098273B" w:rsidP="00EA1CDF">
      <w:pPr>
        <w:pStyle w:val="a3"/>
        <w:widowControl/>
        <w:ind w:left="0"/>
      </w:pPr>
      <w:r w:rsidRPr="00EE3355">
        <w:t>Snížení četnosti podávání tocilizumabu z důvodů laboratorních odchylek nebylo u pacientů se sJIA nebo pJIA zkoumáno.</w:t>
      </w:r>
    </w:p>
    <w:p w14:paraId="776877D8" w14:textId="77777777" w:rsidR="008635CC" w:rsidRPr="00EE3355" w:rsidRDefault="008635CC" w:rsidP="00EA1CDF">
      <w:pPr>
        <w:pStyle w:val="a3"/>
        <w:widowControl/>
        <w:ind w:left="0"/>
      </w:pPr>
    </w:p>
    <w:p w14:paraId="7DCA85E3" w14:textId="5FD37A50" w:rsidR="00222DE0" w:rsidRPr="00EE3355" w:rsidRDefault="0098273B" w:rsidP="0053673C">
      <w:pPr>
        <w:pStyle w:val="a3"/>
        <w:widowControl/>
        <w:ind w:left="0"/>
      </w:pPr>
      <w:r w:rsidRPr="00EE3355">
        <w:t xml:space="preserve">Bezpečnost a účinnost podkožní lékové formy přípravku </w:t>
      </w:r>
      <w:r w:rsidR="00AE3C2F">
        <w:t>Avtozma</w:t>
      </w:r>
      <w:r w:rsidRPr="00EE3355">
        <w:t xml:space="preserve"> u dětí s jinými onemocněními</w:t>
      </w:r>
      <w:r w:rsidR="0053673C">
        <w:t xml:space="preserve"> </w:t>
      </w:r>
      <w:r w:rsidRPr="00EE3355">
        <w:t>než sJIA nebo pJIA nebyly stanoveny.</w:t>
      </w:r>
    </w:p>
    <w:p w14:paraId="5D7F4F5F" w14:textId="77777777" w:rsidR="008635CC" w:rsidRPr="00EE3355" w:rsidRDefault="008635CC" w:rsidP="00EA1CDF">
      <w:pPr>
        <w:pStyle w:val="a3"/>
        <w:widowControl/>
        <w:ind w:left="0"/>
      </w:pPr>
    </w:p>
    <w:p w14:paraId="7814DDBA" w14:textId="6A07DAC9" w:rsidR="00222DE0" w:rsidRPr="00EE3355" w:rsidRDefault="0098273B" w:rsidP="00EA1CDF">
      <w:pPr>
        <w:pStyle w:val="a3"/>
        <w:widowControl/>
        <w:ind w:left="0"/>
      </w:pPr>
      <w:r w:rsidRPr="00EE3355">
        <w:t xml:space="preserve">Dle dostupných údajů u i.v. podání je pozorováno klinické zlepšení během 12 týdnů od zahájení léčby </w:t>
      </w:r>
      <w:r w:rsidR="00F56EA7">
        <w:rPr>
          <w:spacing w:val="-1"/>
        </w:rPr>
        <w:t>tocilizumabem</w:t>
      </w:r>
      <w:r w:rsidRPr="00EE3355">
        <w:t>. U pacientů, u kterých nedojde v tomto období ke zlepšení, je třeba pokračování v léčbě znovu pečlivě zvážit.</w:t>
      </w:r>
    </w:p>
    <w:p w14:paraId="538B3031" w14:textId="77777777" w:rsidR="00222DE0" w:rsidRPr="00EE3355" w:rsidRDefault="00222DE0" w:rsidP="00EA1CDF">
      <w:pPr>
        <w:pStyle w:val="a3"/>
        <w:widowControl/>
        <w:ind w:left="0"/>
      </w:pPr>
    </w:p>
    <w:p w14:paraId="1DC498F3" w14:textId="77777777" w:rsidR="00222DE0" w:rsidRPr="00EE3355" w:rsidRDefault="0098273B" w:rsidP="00EA1CDF">
      <w:pPr>
        <w:pStyle w:val="a3"/>
        <w:keepNext/>
        <w:widowControl/>
        <w:ind w:left="0"/>
      </w:pPr>
      <w:r w:rsidRPr="00EE3355">
        <w:rPr>
          <w:u w:val="single"/>
        </w:rPr>
        <w:t>Vynechaná dávka</w:t>
      </w:r>
    </w:p>
    <w:p w14:paraId="1A2C7141" w14:textId="77777777" w:rsidR="00222DE0" w:rsidRPr="00EE3355" w:rsidRDefault="00222DE0" w:rsidP="00EA1CDF">
      <w:pPr>
        <w:pStyle w:val="a3"/>
        <w:keepNext/>
        <w:widowControl/>
        <w:ind w:left="0"/>
      </w:pPr>
    </w:p>
    <w:p w14:paraId="36018F53" w14:textId="550FB663" w:rsidR="00222DE0" w:rsidRPr="00EE3355" w:rsidRDefault="0098273B" w:rsidP="00EA1CDF">
      <w:pPr>
        <w:pStyle w:val="a3"/>
        <w:widowControl/>
        <w:ind w:left="0"/>
      </w:pPr>
      <w:r w:rsidRPr="00EE3355">
        <w:t xml:space="preserve">Vynechá-li pacient se sJIA subkutánní injekci přípravku </w:t>
      </w:r>
      <w:r w:rsidR="00AE3C2F">
        <w:t>Avtozma</w:t>
      </w:r>
      <w:r w:rsidRPr="00EE3355">
        <w:t xml:space="preserve"> podávanou jednou týdně a uplyne již 7 dnů od plánovaného termínu dávky, má být poučen, že si má vynechanou dávku aplikovat</w:t>
      </w:r>
      <w:r w:rsidR="008635CC" w:rsidRPr="00EE3355">
        <w:t xml:space="preserve"> </w:t>
      </w:r>
      <w:r w:rsidRPr="00EE3355">
        <w:t xml:space="preserve">v dalším plánovaném termínu. Vynechá-li pacient subkutánní injekci přípravku </w:t>
      </w:r>
      <w:r w:rsidR="00AE3C2F">
        <w:t>Avtozma</w:t>
      </w:r>
      <w:r w:rsidRPr="00EE3355">
        <w:t xml:space="preserve"> podávanou ve dvoutýdenních intervalech a uplyne 7 dnů od plánovaného termínu dávky, má být poučen, že si má vynechanou dávku aplikovat okamžitě a další dávku v dalším plánovaném termínu.</w:t>
      </w:r>
    </w:p>
    <w:p w14:paraId="74E42C48" w14:textId="77777777" w:rsidR="00222DE0" w:rsidRPr="00EE3355" w:rsidRDefault="00222DE0" w:rsidP="00EA1CDF">
      <w:pPr>
        <w:pStyle w:val="a3"/>
        <w:widowControl/>
        <w:ind w:left="0"/>
      </w:pPr>
    </w:p>
    <w:p w14:paraId="7083AAC8" w14:textId="3FB6C92D" w:rsidR="00222DE0" w:rsidRPr="00EE3355" w:rsidRDefault="0098273B" w:rsidP="00EA1CDF">
      <w:pPr>
        <w:pStyle w:val="a3"/>
        <w:widowControl/>
        <w:ind w:left="0"/>
      </w:pPr>
      <w:r w:rsidRPr="00EE3355">
        <w:t xml:space="preserve">Pokud pacient s pJIA vynechá podkožní injekci přípravku </w:t>
      </w:r>
      <w:r w:rsidR="00AE3C2F">
        <w:t>Avtozma</w:t>
      </w:r>
      <w:r w:rsidRPr="00EE3355">
        <w:t xml:space="preserve"> a neuplyne více než 7 dnů od plánovaného termínu podání dávky, musí si vynechanou dávku aplikovat okamžitě, jakmile si vzpomene a příští dávku si aplikovat v pravidelném plánovaném čase. Pokud pacient vynechá </w:t>
      </w:r>
      <w:r w:rsidRPr="00EE3355">
        <w:lastRenderedPageBreak/>
        <w:t xml:space="preserve">podkožní injekci přípravku </w:t>
      </w:r>
      <w:r w:rsidR="00AE3C2F">
        <w:t>Avtozma</w:t>
      </w:r>
      <w:r w:rsidRPr="00EE3355">
        <w:t xml:space="preserve"> a uplyne více než 7 dnů od plánovaného termínu podání dávky nebo si není jistý, kdy si injekci aplikovat, má zavolat lékaři nebo lékárníkovi.</w:t>
      </w:r>
    </w:p>
    <w:p w14:paraId="063BB8C4" w14:textId="77777777" w:rsidR="00495028" w:rsidRPr="00EE3355" w:rsidRDefault="00495028" w:rsidP="00EA1CDF">
      <w:pPr>
        <w:pStyle w:val="a3"/>
        <w:widowControl/>
        <w:ind w:left="0"/>
      </w:pPr>
    </w:p>
    <w:p w14:paraId="3C2BDF4A" w14:textId="77777777" w:rsidR="00222DE0" w:rsidRPr="00EE3355" w:rsidRDefault="0098273B" w:rsidP="00EA1CDF">
      <w:pPr>
        <w:pStyle w:val="a3"/>
        <w:widowControl/>
        <w:ind w:left="0"/>
      </w:pPr>
      <w:r w:rsidRPr="00EE3355">
        <w:rPr>
          <w:u w:val="single"/>
        </w:rPr>
        <w:t>Způsob podání</w:t>
      </w:r>
    </w:p>
    <w:p w14:paraId="7A21FA89" w14:textId="6250A248" w:rsidR="00222DE0" w:rsidRPr="00EE3355" w:rsidRDefault="0098273B" w:rsidP="00EA1CDF">
      <w:pPr>
        <w:pStyle w:val="a3"/>
        <w:widowControl/>
        <w:ind w:left="0"/>
      </w:pPr>
      <w:r w:rsidRPr="00EE3355">
        <w:t xml:space="preserve">Přípravek </w:t>
      </w:r>
      <w:r w:rsidR="00AE3C2F">
        <w:t>Avtozma</w:t>
      </w:r>
      <w:r w:rsidRPr="00EE3355">
        <w:t xml:space="preserve"> je určen pro subkutánní podání.</w:t>
      </w:r>
    </w:p>
    <w:p w14:paraId="0495661D" w14:textId="4A6E8351" w:rsidR="00222DE0" w:rsidRPr="00EE3355" w:rsidRDefault="0098273B" w:rsidP="00EA1CDF">
      <w:pPr>
        <w:pStyle w:val="a3"/>
        <w:widowControl/>
        <w:ind w:left="0"/>
      </w:pPr>
      <w:r w:rsidRPr="00EE3355">
        <w:t xml:space="preserve">Po náležitém proškolení v technice podání injekce si pacienti mohou sami aplikovat přípravek </w:t>
      </w:r>
      <w:r w:rsidR="00AE3C2F">
        <w:t>Avtozma</w:t>
      </w:r>
      <w:r w:rsidRPr="00EE3355">
        <w:t>, pokud jejich lékař rozhodne, že je to vhodné. Celkový obsah (0,9 ml) předplněné injekční stříkačky má být podán jako subkutánní injekce. Doporučená místa vpichu injekce (oblast břicha, stehno a horní část paže) se mají střídat a injekce nesmí nikdy být podána do mateřských znamének, jizev nebo do míst, kde je kůže citlivá, kde jsou modřiny, kůže je začervenalá, ztvrdlá nebo porušená.</w:t>
      </w:r>
    </w:p>
    <w:p w14:paraId="727B2240" w14:textId="77777777" w:rsidR="00222DE0" w:rsidRPr="00EE3355" w:rsidRDefault="00222DE0" w:rsidP="00EA1CDF">
      <w:pPr>
        <w:pStyle w:val="a3"/>
        <w:widowControl/>
        <w:ind w:left="0"/>
      </w:pPr>
    </w:p>
    <w:p w14:paraId="78DDE888" w14:textId="77777777" w:rsidR="00222DE0" w:rsidRDefault="0098273B" w:rsidP="00EA1CDF">
      <w:pPr>
        <w:pStyle w:val="a3"/>
        <w:widowControl/>
        <w:ind w:left="0"/>
      </w:pPr>
      <w:r w:rsidRPr="00EE3355">
        <w:t>S předplněnou injekční stříkačkou netřepejte.</w:t>
      </w:r>
    </w:p>
    <w:p w14:paraId="742EB033" w14:textId="77777777" w:rsidR="0053673C" w:rsidRPr="00EE3355" w:rsidRDefault="0053673C" w:rsidP="00EA1CDF">
      <w:pPr>
        <w:pStyle w:val="a3"/>
        <w:widowControl/>
        <w:ind w:left="0"/>
      </w:pPr>
    </w:p>
    <w:p w14:paraId="3E2A8C0A" w14:textId="0CB08821" w:rsidR="00222DE0" w:rsidRPr="00EE3355" w:rsidRDefault="0098273B" w:rsidP="00EA1CDF">
      <w:pPr>
        <w:pStyle w:val="a3"/>
        <w:widowControl/>
        <w:ind w:left="0"/>
      </w:pPr>
      <w:r w:rsidRPr="00EE3355">
        <w:t xml:space="preserve">Úplné informace o podání přípravku </w:t>
      </w:r>
      <w:r w:rsidR="00AE3C2F">
        <w:t>Avtozma</w:t>
      </w:r>
      <w:r w:rsidRPr="00EE3355">
        <w:t xml:space="preserve"> v předplněné injekční stříkačce jsou uvedeny</w:t>
      </w:r>
      <w:r w:rsidR="00130E42">
        <w:t xml:space="preserve"> </w:t>
      </w:r>
      <w:r w:rsidRPr="00EE3355">
        <w:t>v příbalové informaci, viz bod 6.6.</w:t>
      </w:r>
    </w:p>
    <w:p w14:paraId="014B2AB0" w14:textId="77777777" w:rsidR="00222DE0" w:rsidRPr="00EE3355" w:rsidRDefault="00222DE0" w:rsidP="00EA1CDF">
      <w:pPr>
        <w:widowControl/>
      </w:pPr>
    </w:p>
    <w:p w14:paraId="3BB14741" w14:textId="77777777" w:rsidR="00222DE0" w:rsidRPr="00EE3355" w:rsidRDefault="00B23DAE" w:rsidP="00EA1CDF">
      <w:pPr>
        <w:pStyle w:val="2"/>
        <w:widowControl/>
        <w:tabs>
          <w:tab w:val="left" w:pos="804"/>
        </w:tabs>
        <w:ind w:left="567" w:hanging="567"/>
      </w:pPr>
      <w:r w:rsidRPr="00EE3355">
        <w:t>4.3</w:t>
      </w:r>
      <w:r w:rsidRPr="00EE3355">
        <w:tab/>
      </w:r>
      <w:r w:rsidR="0098273B" w:rsidRPr="00EE3355">
        <w:t>Kontraindikace</w:t>
      </w:r>
    </w:p>
    <w:p w14:paraId="1B074DA0" w14:textId="77777777" w:rsidR="00495028" w:rsidRPr="00EE3355" w:rsidRDefault="00495028" w:rsidP="00EA1CDF">
      <w:pPr>
        <w:pStyle w:val="a3"/>
        <w:widowControl/>
        <w:ind w:left="0"/>
      </w:pPr>
    </w:p>
    <w:p w14:paraId="0239BD3C" w14:textId="77777777" w:rsidR="00222DE0" w:rsidRPr="00EE3355" w:rsidRDefault="0098273B" w:rsidP="00EA1CDF">
      <w:pPr>
        <w:pStyle w:val="a3"/>
        <w:widowControl/>
        <w:ind w:left="0"/>
      </w:pPr>
      <w:r w:rsidRPr="00EE3355">
        <w:t>Hypersenzitivita na léčivou látku nebo na kteroukoli pomocnou látku uvedenou v bodě 6.1.</w:t>
      </w:r>
    </w:p>
    <w:p w14:paraId="7C1D4C8F" w14:textId="77777777" w:rsidR="00222DE0" w:rsidRPr="00EE3355" w:rsidRDefault="00222DE0" w:rsidP="00EA1CDF">
      <w:pPr>
        <w:pStyle w:val="a3"/>
        <w:widowControl/>
        <w:ind w:left="0"/>
      </w:pPr>
    </w:p>
    <w:p w14:paraId="0B0EF8C6" w14:textId="77777777" w:rsidR="00222DE0" w:rsidRPr="00EE3355" w:rsidRDefault="0098273B" w:rsidP="00EA1CDF">
      <w:pPr>
        <w:pStyle w:val="a3"/>
        <w:widowControl/>
        <w:ind w:left="0"/>
      </w:pPr>
      <w:r w:rsidRPr="00EE3355">
        <w:t>Aktivní, závažné infekce (viz bod 4.4)</w:t>
      </w:r>
    </w:p>
    <w:p w14:paraId="586A80D8" w14:textId="77777777" w:rsidR="00222DE0" w:rsidRPr="00EE3355" w:rsidRDefault="00222DE0" w:rsidP="00EA1CDF">
      <w:pPr>
        <w:pStyle w:val="a3"/>
        <w:widowControl/>
        <w:ind w:left="0"/>
      </w:pPr>
    </w:p>
    <w:p w14:paraId="08DDD229" w14:textId="77777777" w:rsidR="00222DE0" w:rsidRPr="00EE3355" w:rsidRDefault="00B23DAE" w:rsidP="00EA1CDF">
      <w:pPr>
        <w:pStyle w:val="2"/>
        <w:widowControl/>
        <w:tabs>
          <w:tab w:val="left" w:pos="804"/>
        </w:tabs>
        <w:ind w:left="567" w:hanging="567"/>
      </w:pPr>
      <w:r w:rsidRPr="00EE3355">
        <w:t>4.4</w:t>
      </w:r>
      <w:r w:rsidRPr="00EE3355">
        <w:tab/>
      </w:r>
      <w:r w:rsidR="0098273B" w:rsidRPr="00EE3355">
        <w:t>Zvláštní upozornění a opatření pro použití</w:t>
      </w:r>
    </w:p>
    <w:p w14:paraId="40D433C1" w14:textId="77777777" w:rsidR="00DB1DDD" w:rsidRPr="00EE3355" w:rsidRDefault="00DB1DDD" w:rsidP="00EA1CDF">
      <w:pPr>
        <w:pStyle w:val="a3"/>
        <w:widowControl/>
        <w:ind w:left="0"/>
      </w:pPr>
    </w:p>
    <w:p w14:paraId="27D24A2F" w14:textId="6B631B53" w:rsidR="00222DE0" w:rsidRPr="00EE3355" w:rsidRDefault="0098273B" w:rsidP="00EA1CDF">
      <w:pPr>
        <w:pStyle w:val="a3"/>
        <w:widowControl/>
        <w:ind w:left="0"/>
      </w:pPr>
      <w:r w:rsidRPr="00EE3355">
        <w:t xml:space="preserve">Subkutánní forma přípravku </w:t>
      </w:r>
      <w:r w:rsidR="00AE3C2F">
        <w:t>Avtozma</w:t>
      </w:r>
      <w:r w:rsidRPr="00EE3355">
        <w:t xml:space="preserve"> není určena k intravenóznímu podání.</w:t>
      </w:r>
    </w:p>
    <w:p w14:paraId="4974A319" w14:textId="77777777" w:rsidR="00222DE0" w:rsidRPr="00EE3355" w:rsidRDefault="00222DE0" w:rsidP="00EA1CDF">
      <w:pPr>
        <w:pStyle w:val="a3"/>
        <w:widowControl/>
        <w:ind w:left="0"/>
      </w:pPr>
    </w:p>
    <w:p w14:paraId="1AA1CE80" w14:textId="541C27FA" w:rsidR="00222DE0" w:rsidRPr="00EE3355" w:rsidRDefault="0098273B" w:rsidP="00EA1CDF">
      <w:pPr>
        <w:pStyle w:val="a3"/>
        <w:widowControl/>
        <w:ind w:left="0"/>
      </w:pPr>
      <w:r w:rsidRPr="00EE3355">
        <w:t xml:space="preserve">Subkutánní forma přípravku </w:t>
      </w:r>
      <w:r w:rsidR="00AE3C2F">
        <w:t>Avtozma</w:t>
      </w:r>
      <w:r w:rsidRPr="00EE3355">
        <w:t xml:space="preserve"> není určena k podání dětem se sJIA s tělesnou hmotností do</w:t>
      </w:r>
      <w:r w:rsidR="00130E42">
        <w:t xml:space="preserve"> </w:t>
      </w:r>
      <w:r w:rsidRPr="00EE3355">
        <w:t>10 kg.</w:t>
      </w:r>
    </w:p>
    <w:p w14:paraId="4C7BC4DD" w14:textId="77777777" w:rsidR="00222DE0" w:rsidRPr="00EE3355" w:rsidRDefault="00222DE0" w:rsidP="00EA1CDF">
      <w:pPr>
        <w:pStyle w:val="a3"/>
        <w:widowControl/>
        <w:ind w:left="0"/>
      </w:pPr>
    </w:p>
    <w:p w14:paraId="433C2D40" w14:textId="77777777" w:rsidR="00222DE0" w:rsidRPr="00EE3355" w:rsidRDefault="0098273B" w:rsidP="00EA1CDF">
      <w:pPr>
        <w:widowControl/>
        <w:rPr>
          <w:i/>
        </w:rPr>
      </w:pPr>
      <w:r w:rsidRPr="00EE3355">
        <w:rPr>
          <w:i/>
        </w:rPr>
        <w:t>Zpětná zjistitelnost</w:t>
      </w:r>
    </w:p>
    <w:p w14:paraId="76A0B75B" w14:textId="77777777" w:rsidR="00222DE0" w:rsidRPr="00EE3355" w:rsidRDefault="0098273B" w:rsidP="00EA1CDF">
      <w:pPr>
        <w:pStyle w:val="a3"/>
        <w:widowControl/>
        <w:ind w:left="0"/>
      </w:pPr>
      <w:r w:rsidRPr="00EE3355">
        <w:t>Z důvodu snadnější zpětné zjistitelnosti biologických léčivých přípravků mají být obchodní název a číslo šarže podávaného přípravku zřetelně zaznamenány.</w:t>
      </w:r>
    </w:p>
    <w:p w14:paraId="0EA7065D" w14:textId="77777777" w:rsidR="00DB1DDD" w:rsidRPr="00EE3355" w:rsidRDefault="00DB1DDD" w:rsidP="00EA1CDF">
      <w:pPr>
        <w:widowControl/>
        <w:rPr>
          <w:i/>
        </w:rPr>
      </w:pPr>
    </w:p>
    <w:p w14:paraId="38ABCB44" w14:textId="77777777" w:rsidR="00222DE0" w:rsidRPr="00EE3355" w:rsidRDefault="0098273B" w:rsidP="00EA1CDF">
      <w:pPr>
        <w:widowControl/>
        <w:rPr>
          <w:i/>
        </w:rPr>
      </w:pPr>
      <w:r w:rsidRPr="00EE3355">
        <w:rPr>
          <w:i/>
        </w:rPr>
        <w:t>Infekce</w:t>
      </w:r>
    </w:p>
    <w:p w14:paraId="31A1D35C" w14:textId="39077A11" w:rsidR="00222DE0" w:rsidRPr="00EE3355" w:rsidRDefault="0098273B" w:rsidP="00EA1CDF">
      <w:pPr>
        <w:pStyle w:val="a3"/>
        <w:widowControl/>
        <w:ind w:left="0"/>
      </w:pPr>
      <w:r w:rsidRPr="00EE3355">
        <w:t xml:space="preserve">U pacientů léčených imunosupresivy včetně </w:t>
      </w:r>
      <w:r w:rsidR="00AE3C2F" w:rsidRPr="001879E9">
        <w:t>tocilizumab</w:t>
      </w:r>
      <w:r w:rsidR="00AE3C2F">
        <w:t xml:space="preserve">u </w:t>
      </w:r>
      <w:r w:rsidRPr="00EE3355">
        <w:t xml:space="preserve">byly hlášeny závažné, někdy fatální infekce (viz bod 4.8). Léčba přípravkem </w:t>
      </w:r>
      <w:r w:rsidR="00AE3C2F">
        <w:t>Avtozma</w:t>
      </w:r>
      <w:r w:rsidRPr="00EE3355">
        <w:t xml:space="preserve"> nesmí být zahájena u pacientů s aktivní infekcí (viz bod 4.3). Pokud se u pacienta rozvine závažná infekce, podávání </w:t>
      </w:r>
      <w:r w:rsidR="00AE3C2F" w:rsidRPr="001879E9">
        <w:t>tocilizumab</w:t>
      </w:r>
      <w:r w:rsidR="00AE3C2F">
        <w:t>u</w:t>
      </w:r>
      <w:r w:rsidRPr="00EE3355">
        <w:t xml:space="preserve"> má být až do doby, než je infekce pod kontrolou, přerušeno (viz bod 4.8). Lékaři mají být opatrní, pokud zvažují použití přípravku </w:t>
      </w:r>
      <w:r w:rsidR="00AE3C2F">
        <w:t>Avtozma</w:t>
      </w:r>
      <w:r w:rsidRPr="00EE3355">
        <w:t xml:space="preserve"> u pacientů s anamnézou rekurentních nebo chronických infekcí nebo se základními onemocněními (např. divertikulitidou, diabetem a intersticiálním plicním onemocněním), které mohou pacienty predisponovat k infekcím.</w:t>
      </w:r>
    </w:p>
    <w:p w14:paraId="28363A3A" w14:textId="77777777" w:rsidR="00222DE0" w:rsidRPr="00EE3355" w:rsidRDefault="00222DE0" w:rsidP="00EA1CDF">
      <w:pPr>
        <w:pStyle w:val="a3"/>
        <w:widowControl/>
        <w:ind w:left="0"/>
      </w:pPr>
    </w:p>
    <w:p w14:paraId="436499B0" w14:textId="6EE2BCCF" w:rsidR="00222DE0" w:rsidRPr="00EE3355" w:rsidRDefault="0098273B" w:rsidP="00EA1CDF">
      <w:pPr>
        <w:pStyle w:val="a3"/>
        <w:widowControl/>
        <w:ind w:left="0"/>
      </w:pPr>
      <w:r w:rsidRPr="00EE3355">
        <w:t xml:space="preserve">U pacientů podstupujících léčbu imunosupresivy např. přípravkem </w:t>
      </w:r>
      <w:r w:rsidR="00AE3C2F">
        <w:t>Avtozma</w:t>
      </w:r>
      <w:r w:rsidRPr="00EE3355">
        <w:t xml:space="preserve"> je doporučena kvůli časné detekci závažných infekcí zvýšená pozornost, protože známky a příznaky akutního zánětu mohou být zastřeny a může být potlačena akutní fáze reakce. Při vyšetřování pacienta z důvodu možné infekce je třeba vzít v úvahu vliv tocilizumabu na C-reaktivní protein (CRP), neutrofily a na známky a příznaky infekce. Pacienti (kteří zahrnují mladší děti se sJIA nebo pJIA, které nemusí být dostatečně schopné popsat příznaky) a rodiče / opatrovníci pacientů se sJIA nebo pJIA mají být poučeni, aby kontaktovali neprodleně svého lékaře, jakmile se objeví jakékoli známky naznačující infekci, aby mohlo být zajištěno rychlé zhodnocení stavu a vhodná terapie.</w:t>
      </w:r>
    </w:p>
    <w:p w14:paraId="0568CDE2" w14:textId="77777777" w:rsidR="00DB1DDD" w:rsidRPr="00EE3355" w:rsidRDefault="00DB1DDD" w:rsidP="00EA1CDF">
      <w:pPr>
        <w:pStyle w:val="a3"/>
        <w:widowControl/>
        <w:ind w:left="0"/>
      </w:pPr>
    </w:p>
    <w:p w14:paraId="20AEFB85" w14:textId="77777777" w:rsidR="00222DE0" w:rsidRPr="00EE3355" w:rsidRDefault="0098273B" w:rsidP="00EA1CDF">
      <w:pPr>
        <w:widowControl/>
        <w:rPr>
          <w:i/>
        </w:rPr>
      </w:pPr>
      <w:r w:rsidRPr="00EE3355">
        <w:rPr>
          <w:i/>
        </w:rPr>
        <w:t>Tuberkulóza</w:t>
      </w:r>
    </w:p>
    <w:p w14:paraId="73F3DB6E" w14:textId="3848752B" w:rsidR="00222DE0" w:rsidRDefault="0098273B" w:rsidP="00EA1CDF">
      <w:pPr>
        <w:pStyle w:val="a3"/>
        <w:widowControl/>
        <w:ind w:left="0"/>
      </w:pPr>
      <w:r w:rsidRPr="00EE3355">
        <w:t xml:space="preserve">Stejně jako je doporučeno u jiné biologické léčby, mají být všichni pacienti před zahájením léčby přípravkem </w:t>
      </w:r>
      <w:r w:rsidR="00AE3C2F">
        <w:t>Avtozma</w:t>
      </w:r>
      <w:r w:rsidRPr="00EE3355">
        <w:t xml:space="preserve"> vyšetřeni pro možnost latentní tuberkulózní (TB) infekce. Pacienti s latentní tuberkulózou (TB) mají být před zahájením léčby přípravkem </w:t>
      </w:r>
      <w:r w:rsidR="00AE3C2F">
        <w:t>Avtozma</w:t>
      </w:r>
      <w:r w:rsidRPr="00EE3355">
        <w:t xml:space="preserve"> léčeni standardní antimykobakteriální terapií. Lékaře je třeba upozornit na riziko falešně negativních výsledků kožních </w:t>
      </w:r>
      <w:r w:rsidRPr="00EE3355">
        <w:lastRenderedPageBreak/>
        <w:t>testů na tuberkulózu a interferon gama TB krevních testů, zvláště u pacientů, kteří jsou vážně nemocní nebo mají oslabenou imunitu.</w:t>
      </w:r>
    </w:p>
    <w:p w14:paraId="6D35FB0D" w14:textId="77777777" w:rsidR="00CE49B3" w:rsidRPr="00EE3355" w:rsidRDefault="00CE49B3" w:rsidP="00EA1CDF">
      <w:pPr>
        <w:pStyle w:val="a3"/>
        <w:widowControl/>
        <w:ind w:left="0"/>
      </w:pPr>
    </w:p>
    <w:p w14:paraId="4AED17BC" w14:textId="4EC3C065" w:rsidR="00222DE0" w:rsidRPr="00EE3355" w:rsidRDefault="0098273B" w:rsidP="00EA1CDF">
      <w:pPr>
        <w:pStyle w:val="a3"/>
        <w:widowControl/>
        <w:ind w:left="0"/>
      </w:pPr>
      <w:r w:rsidRPr="00EE3355">
        <w:t xml:space="preserve">Pacienti a rodiče/opatrovníci pacientů se sJIA nebo pJIA mají být poučeni o nutnosti vyhledat lékařskou pomoc, pokud se známky/příznaky (např. přetrvávající kašel, chřadnutí/úbytek hmotnosti, mírná horečka) naznačující infekci tuberkulózy vyskytnou v průběhu nebo po ukončení léčby přípravkem </w:t>
      </w:r>
      <w:r w:rsidR="00AE3C2F">
        <w:t>Avtozma</w:t>
      </w:r>
      <w:r w:rsidRPr="00EE3355">
        <w:t>.</w:t>
      </w:r>
    </w:p>
    <w:p w14:paraId="04B46470" w14:textId="77777777" w:rsidR="00DB1DDD" w:rsidRPr="00EE3355" w:rsidRDefault="00DB1DDD" w:rsidP="00EA1CDF">
      <w:pPr>
        <w:pStyle w:val="a3"/>
        <w:widowControl/>
        <w:ind w:left="0"/>
      </w:pPr>
    </w:p>
    <w:p w14:paraId="177DC7B3" w14:textId="77777777" w:rsidR="00222DE0" w:rsidRPr="00EE3355" w:rsidRDefault="0098273B" w:rsidP="00EA1CDF">
      <w:pPr>
        <w:widowControl/>
        <w:rPr>
          <w:i/>
        </w:rPr>
      </w:pPr>
      <w:r w:rsidRPr="00EE3355">
        <w:rPr>
          <w:i/>
        </w:rPr>
        <w:t>Reaktivace viru</w:t>
      </w:r>
    </w:p>
    <w:p w14:paraId="4F62DB8B" w14:textId="46B8D15C" w:rsidR="00222DE0" w:rsidRPr="00EE3355" w:rsidRDefault="0098273B" w:rsidP="00EA1CDF">
      <w:pPr>
        <w:pStyle w:val="a3"/>
        <w:widowControl/>
        <w:ind w:left="0"/>
      </w:pPr>
      <w:r w:rsidRPr="00EE3355">
        <w:t>Reaktivace viru (např. viru hepatitidy B) byla zaznamenána u biologické léčby RA. Z klinických studií</w:t>
      </w:r>
      <w:r w:rsidR="00BC4221">
        <w:t xml:space="preserve"> </w:t>
      </w:r>
      <w:r w:rsidRPr="00EE3355">
        <w:t xml:space="preserve">s </w:t>
      </w:r>
      <w:r w:rsidR="00AE3C2F" w:rsidRPr="001879E9">
        <w:t>tocilizumab</w:t>
      </w:r>
      <w:r w:rsidR="00AE3C2F">
        <w:t>em</w:t>
      </w:r>
      <w:r w:rsidRPr="00EE3355">
        <w:t xml:space="preserve"> byli pacienti, kteří měli pozitivní test na hepatitidu, vyloučeni.</w:t>
      </w:r>
    </w:p>
    <w:p w14:paraId="1E8D4235" w14:textId="77777777" w:rsidR="00222DE0" w:rsidRPr="00EE3355" w:rsidRDefault="00222DE0" w:rsidP="00EA1CDF">
      <w:pPr>
        <w:widowControl/>
      </w:pPr>
    </w:p>
    <w:p w14:paraId="2C31B582" w14:textId="77777777" w:rsidR="00222DE0" w:rsidRPr="00EE3355" w:rsidRDefault="0098273B" w:rsidP="00EA1CDF">
      <w:pPr>
        <w:widowControl/>
        <w:rPr>
          <w:i/>
        </w:rPr>
      </w:pPr>
      <w:r w:rsidRPr="00EE3355">
        <w:rPr>
          <w:i/>
        </w:rPr>
        <w:t>Komplikace divertikulitidy</w:t>
      </w:r>
    </w:p>
    <w:p w14:paraId="0A0D164B" w14:textId="51FFF942" w:rsidR="00222DE0" w:rsidRPr="00EE3355" w:rsidRDefault="0098273B" w:rsidP="00EA1CDF">
      <w:pPr>
        <w:pStyle w:val="a3"/>
        <w:widowControl/>
        <w:ind w:left="0"/>
      </w:pPr>
      <w:r w:rsidRPr="00EE3355">
        <w:t xml:space="preserve">Případy divertikulární perforace jako komplikace divertikulitidy byly při léčbě pacientů </w:t>
      </w:r>
      <w:r w:rsidR="00AE3C2F" w:rsidRPr="001879E9">
        <w:t>tocilizumab</w:t>
      </w:r>
      <w:r w:rsidR="00AE3C2F">
        <w:t>em</w:t>
      </w:r>
      <w:r w:rsidRPr="00EE3355">
        <w:t xml:space="preserve"> zaznamenány méně často (viz bod 4.8). Přípravek </w:t>
      </w:r>
      <w:r w:rsidR="00AE3C2F">
        <w:t>Avtozma</w:t>
      </w:r>
      <w:r w:rsidRPr="00EE3355">
        <w:t xml:space="preserve"> má být používán</w:t>
      </w:r>
      <w:r w:rsidR="00BC4221">
        <w:t xml:space="preserve"> </w:t>
      </w:r>
      <w:r w:rsidRPr="00EE3355">
        <w:t>s opatrností u pacientů s dřívější anamnézou intestinální ulcerace nebo divertikulitidy. Pacienti s příznaky, které by mohly naznačovat komplikace divertikulitidy, jako je bolest břicha, krvácení a/nebo nevysvětlitelné změny vyměšovacích stereotypů s horečkou, mají být okamžitě vyšetřeni pro možnost časné identifikace divertikulitidy, která může být spojena s gastrointestinální perforací.</w:t>
      </w:r>
    </w:p>
    <w:p w14:paraId="331CFB76" w14:textId="77777777" w:rsidR="00222DE0" w:rsidRPr="00EE3355" w:rsidRDefault="00222DE0" w:rsidP="00EA1CDF">
      <w:pPr>
        <w:pStyle w:val="a3"/>
        <w:widowControl/>
        <w:ind w:left="0"/>
      </w:pPr>
    </w:p>
    <w:p w14:paraId="79E7AAE4" w14:textId="77777777" w:rsidR="00222DE0" w:rsidRPr="00EE3355" w:rsidRDefault="0098273B" w:rsidP="00EA1CDF">
      <w:pPr>
        <w:widowControl/>
        <w:rPr>
          <w:i/>
        </w:rPr>
      </w:pPr>
      <w:r w:rsidRPr="00EE3355">
        <w:rPr>
          <w:i/>
        </w:rPr>
        <w:t>Reakce přecitlivělosti</w:t>
      </w:r>
    </w:p>
    <w:p w14:paraId="4793E28A" w14:textId="4C5306E7" w:rsidR="00222DE0" w:rsidRPr="00EE3355" w:rsidRDefault="0098273B" w:rsidP="00EA1CDF">
      <w:pPr>
        <w:pStyle w:val="a3"/>
        <w:widowControl/>
        <w:ind w:left="0"/>
      </w:pPr>
      <w:r w:rsidRPr="00EE3355">
        <w:t xml:space="preserve">V souvislosti s </w:t>
      </w:r>
      <w:r w:rsidR="00AE3C2F" w:rsidRPr="001879E9">
        <w:t>tocilizumab</w:t>
      </w:r>
      <w:r w:rsidR="00AE3C2F">
        <w:t>em</w:t>
      </w:r>
      <w:r w:rsidRPr="00EE3355">
        <w:t xml:space="preserve"> byly zaznamenány závažné reakce přecitlivělosti, včetně anafylaxe (viz bod 4.8). Tyto reakce mohou být závažnější a potenciálně fatální u pacientů, u nichž se objevily reakce přecitlivělosti v průběhu předchozí léčby přípravkem </w:t>
      </w:r>
      <w:r w:rsidR="00AE3C2F">
        <w:t>Avtozma</w:t>
      </w:r>
      <w:r w:rsidRPr="00EE3355">
        <w:t xml:space="preserve">, přestože byli premedikováni steroidy a antihistaminiky. Pokud se objeví anafylaktická reakce nebo jiná závažná reakce přecitlivělosti, musí se podávání přípravku </w:t>
      </w:r>
      <w:r w:rsidR="00AE3C2F">
        <w:t>Avtozma</w:t>
      </w:r>
      <w:r w:rsidRPr="00EE3355">
        <w:t xml:space="preserve"> okamžitě přerušit a zahájit vhodná léčba a léčba tocilizumabem musí být trvale ukončena.</w:t>
      </w:r>
    </w:p>
    <w:p w14:paraId="0F66AFC3" w14:textId="77777777" w:rsidR="00FE5D5F" w:rsidRPr="00EE3355" w:rsidRDefault="00FE5D5F" w:rsidP="00EA1CDF">
      <w:pPr>
        <w:pStyle w:val="a3"/>
        <w:widowControl/>
        <w:ind w:left="0"/>
      </w:pPr>
    </w:p>
    <w:p w14:paraId="71718755" w14:textId="77777777" w:rsidR="00222DE0" w:rsidRPr="00EE3355" w:rsidRDefault="0098273B" w:rsidP="00EA1CDF">
      <w:pPr>
        <w:widowControl/>
        <w:rPr>
          <w:i/>
        </w:rPr>
      </w:pPr>
      <w:r w:rsidRPr="00EE3355">
        <w:rPr>
          <w:i/>
        </w:rPr>
        <w:t>Aktivní jaterní onemocnění a jaterní poškození</w:t>
      </w:r>
    </w:p>
    <w:p w14:paraId="2B61AA43" w14:textId="283C9C78" w:rsidR="00222DE0" w:rsidRPr="00EE3355" w:rsidRDefault="0098273B" w:rsidP="00EA1CDF">
      <w:pPr>
        <w:pStyle w:val="a3"/>
        <w:widowControl/>
        <w:ind w:left="0"/>
      </w:pPr>
      <w:r w:rsidRPr="00EE3355">
        <w:t xml:space="preserve">Léčba </w:t>
      </w:r>
      <w:r w:rsidR="003E54FF" w:rsidRPr="001879E9">
        <w:t>tocilizumab</w:t>
      </w:r>
      <w:r w:rsidR="003E54FF">
        <w:t>em</w:t>
      </w:r>
      <w:r w:rsidRPr="00EE3355">
        <w:t>, zvláště pokud je podáván současně s MTX, může být spojena se zvýšením jaterních aminotransferáz, proto pacientům s aktivním jaterním onemocněním nebo jaterním poškozením má být věnována pozornost (viz body 4.2 a 4.8).</w:t>
      </w:r>
    </w:p>
    <w:p w14:paraId="5CCD92D9" w14:textId="77777777" w:rsidR="00222DE0" w:rsidRPr="00EE3355" w:rsidRDefault="00222DE0" w:rsidP="00EA1CDF">
      <w:pPr>
        <w:pStyle w:val="a3"/>
        <w:widowControl/>
        <w:ind w:left="0"/>
      </w:pPr>
    </w:p>
    <w:p w14:paraId="558765BF" w14:textId="77777777" w:rsidR="00222DE0" w:rsidRPr="00EE3355" w:rsidRDefault="0098273B" w:rsidP="00EA1CDF">
      <w:pPr>
        <w:widowControl/>
        <w:rPr>
          <w:i/>
        </w:rPr>
      </w:pPr>
      <w:r w:rsidRPr="00EE3355">
        <w:rPr>
          <w:i/>
        </w:rPr>
        <w:t>Hepatotoxicita</w:t>
      </w:r>
    </w:p>
    <w:p w14:paraId="46574533" w14:textId="1ECB2F40" w:rsidR="00222DE0" w:rsidRPr="00EE3355" w:rsidRDefault="0098273B" w:rsidP="00EA1CDF">
      <w:pPr>
        <w:pStyle w:val="a3"/>
        <w:widowControl/>
        <w:ind w:left="0"/>
      </w:pPr>
      <w:r w:rsidRPr="00EE3355">
        <w:t xml:space="preserve">Při léčbě </w:t>
      </w:r>
      <w:r w:rsidR="00AE3C2F" w:rsidRPr="001879E9">
        <w:t>tocilizumab</w:t>
      </w:r>
      <w:r w:rsidR="00AE3C2F">
        <w:t>em</w:t>
      </w:r>
      <w:r w:rsidRPr="00EE3355">
        <w:t xml:space="preserve"> bylo často hlášeno přechodné nebo intermitentní mírné až středně závažné zvýšení jaterních aminotransferáz (viz bod 4.8). Pokud byl v kombinaci s</w:t>
      </w:r>
      <w:r w:rsidR="00AE3C2F">
        <w:t> </w:t>
      </w:r>
      <w:r w:rsidR="00AE3C2F" w:rsidRPr="001879E9">
        <w:t>tocilizumab</w:t>
      </w:r>
      <w:r w:rsidR="00AE3C2F">
        <w:t xml:space="preserve">em </w:t>
      </w:r>
      <w:r w:rsidRPr="00EE3355">
        <w:t>podáván potenciálně hepatotoxický lék (např. MTX), bylo pozorováno zvýšení frekvence těchto elevací. V případě, že je to klinicky odůvodněno, je třeba zvážit provedení dalších jaterních testů, včetně testů na bilirubin.</w:t>
      </w:r>
    </w:p>
    <w:p w14:paraId="1D069630" w14:textId="77777777" w:rsidR="00222DE0" w:rsidRPr="00EE3355" w:rsidRDefault="00222DE0" w:rsidP="00EA1CDF">
      <w:pPr>
        <w:pStyle w:val="a3"/>
        <w:widowControl/>
        <w:ind w:left="0"/>
      </w:pPr>
    </w:p>
    <w:p w14:paraId="20BC6F0E" w14:textId="018F7936" w:rsidR="00222DE0" w:rsidRPr="00EE3355" w:rsidRDefault="0098273B" w:rsidP="00EA1CDF">
      <w:pPr>
        <w:pStyle w:val="a3"/>
        <w:widowControl/>
        <w:ind w:left="0"/>
      </w:pPr>
      <w:r w:rsidRPr="00EE3355">
        <w:t xml:space="preserve">Při léčbě </w:t>
      </w:r>
      <w:r w:rsidR="00AE3C2F" w:rsidRPr="001879E9">
        <w:t>tocilizumab</w:t>
      </w:r>
      <w:r w:rsidR="00AE3C2F">
        <w:t xml:space="preserve">em </w:t>
      </w:r>
      <w:r w:rsidRPr="00EE3355">
        <w:t xml:space="preserve">bylo pozorováno závažné polékové poškození jater zahrnující akutní jaterní selhání, hepatitidu a ikterus (viz bod 4.8). Závažné poškození jater se vyskytlo od 2 týdnů do více než 5 let od zahájení léčby </w:t>
      </w:r>
      <w:r w:rsidR="00AE3C2F" w:rsidRPr="001879E9">
        <w:t>tocilizumab</w:t>
      </w:r>
      <w:r w:rsidR="00AE3C2F">
        <w:t>em</w:t>
      </w:r>
      <w:r w:rsidRPr="00EE3355">
        <w:t>. Byly hlášeny případy jaterního selhání vedoucí k transplantaci jater. Pacienti mají být poučeni o nutnosti vyhledat okamžitě lékařskou pomoc, pokud se u nich vyskytnou známky a příznaky poškození jater.</w:t>
      </w:r>
    </w:p>
    <w:p w14:paraId="77FD27BA" w14:textId="77777777" w:rsidR="00FE5D5F" w:rsidRPr="00EE3355" w:rsidRDefault="00FE5D5F" w:rsidP="00EA1CDF">
      <w:pPr>
        <w:pStyle w:val="a3"/>
        <w:widowControl/>
        <w:ind w:left="0"/>
      </w:pPr>
    </w:p>
    <w:p w14:paraId="45E9FAE3" w14:textId="7829C52F" w:rsidR="00222DE0" w:rsidRPr="00EE3355" w:rsidRDefault="0098273B" w:rsidP="00EA1CDF">
      <w:pPr>
        <w:pStyle w:val="a3"/>
        <w:widowControl/>
        <w:ind w:left="0"/>
        <w:jc w:val="both"/>
      </w:pPr>
      <w:r w:rsidRPr="00EE3355">
        <w:t xml:space="preserve">Zahájení léčby přípravkem </w:t>
      </w:r>
      <w:r w:rsidR="00AE3C2F">
        <w:t>Avtozma</w:t>
      </w:r>
      <w:r w:rsidRPr="00EE3355">
        <w:t xml:space="preserve"> u pacientů s elevací ALT (alaninaminotransferáza) nebo AST (aspartátaminotransferáza) &gt; 1,5 x ULN má být věnována zvýšená pozornost. U pacientů s výchozími hodnotami ALT nebo AST &gt; 5 x ULN není léčba doporučena.</w:t>
      </w:r>
    </w:p>
    <w:p w14:paraId="3C4ABB18" w14:textId="77777777" w:rsidR="00222DE0" w:rsidRPr="00EE3355" w:rsidRDefault="00222DE0" w:rsidP="00EA1CDF">
      <w:pPr>
        <w:pStyle w:val="a3"/>
        <w:widowControl/>
        <w:ind w:left="0"/>
      </w:pPr>
    </w:p>
    <w:p w14:paraId="19F85F63" w14:textId="160A43D3" w:rsidR="00222DE0" w:rsidRPr="00EE3355" w:rsidRDefault="0098273B" w:rsidP="00EA1CDF">
      <w:pPr>
        <w:pStyle w:val="a3"/>
        <w:widowControl/>
        <w:ind w:left="0"/>
      </w:pPr>
      <w:r w:rsidRPr="00EE3355">
        <w:t xml:space="preserve">U pacientů s RA, GCA, pJIA a sJIA je třeba ALT/AST monitorovat jednou za 4 až 8 týdnů po dobu prvních 6 měsíců léčby a následně jednou za 12 týdnů. Doporučené úpravy dávkování, včetně ukončení podávání přípravku </w:t>
      </w:r>
      <w:r w:rsidR="00AE3C2F">
        <w:t>Avtozma</w:t>
      </w:r>
      <w:r w:rsidRPr="00EE3355">
        <w:t xml:space="preserve">, na základě hladin aminotransferáz jsou uvedeny v bodě 4.2. Při elevaci ALT nebo AST &gt; 3-5 x ULN, má být léčba přípravkem </w:t>
      </w:r>
      <w:r w:rsidR="00AE3C2F">
        <w:t>Avtozma</w:t>
      </w:r>
      <w:r w:rsidRPr="00EE3355">
        <w:t xml:space="preserve"> přerušena.</w:t>
      </w:r>
    </w:p>
    <w:p w14:paraId="6870205F" w14:textId="77777777" w:rsidR="00222DE0" w:rsidRPr="00EE3355" w:rsidRDefault="00222DE0" w:rsidP="00EA1CDF">
      <w:pPr>
        <w:pStyle w:val="a3"/>
        <w:widowControl/>
        <w:ind w:left="0"/>
      </w:pPr>
    </w:p>
    <w:p w14:paraId="3096BA53" w14:textId="77777777" w:rsidR="00222DE0" w:rsidRPr="00EE3355" w:rsidRDefault="0098273B" w:rsidP="00EA1CDF">
      <w:pPr>
        <w:keepNext/>
        <w:widowControl/>
        <w:rPr>
          <w:i/>
        </w:rPr>
      </w:pPr>
      <w:r w:rsidRPr="00EE3355">
        <w:rPr>
          <w:i/>
        </w:rPr>
        <w:lastRenderedPageBreak/>
        <w:t>Hematologické odchylky</w:t>
      </w:r>
    </w:p>
    <w:p w14:paraId="2176C584" w14:textId="77777777" w:rsidR="00222DE0" w:rsidRPr="00EE3355" w:rsidRDefault="0098273B" w:rsidP="00EA1CDF">
      <w:pPr>
        <w:pStyle w:val="a3"/>
        <w:widowControl/>
        <w:ind w:left="0"/>
      </w:pPr>
      <w:r w:rsidRPr="00EE3355">
        <w:t>Při léčbě tocilizumabem v dávce 8 mg/kg v kombinaci s MTX byl pozorován pokles neutrofilů a trombocytů (viz bod 4.8). U pacientů, kteří byli předtím léčeni antagonistou TNF, může existovat zvýšené riziko neutropenie.</w:t>
      </w:r>
    </w:p>
    <w:p w14:paraId="648417BE" w14:textId="77777777" w:rsidR="00222DE0" w:rsidRPr="00EE3355" w:rsidRDefault="00222DE0" w:rsidP="00EA1CDF">
      <w:pPr>
        <w:pStyle w:val="a3"/>
        <w:ind w:left="0"/>
      </w:pPr>
    </w:p>
    <w:p w14:paraId="3A8FB61B" w14:textId="6ECB926A" w:rsidR="00222DE0" w:rsidRPr="00EE3355" w:rsidRDefault="0098273B" w:rsidP="00EA1CDF">
      <w:pPr>
        <w:pStyle w:val="a3"/>
        <w:widowControl/>
        <w:ind w:left="0"/>
      </w:pPr>
      <w:r w:rsidRPr="00EE3355">
        <w:t xml:space="preserve">U pacientů, kteří nebyli dříve léčeni </w:t>
      </w:r>
      <w:r w:rsidR="00AE3C2F" w:rsidRPr="001879E9">
        <w:t>tocilizumab</w:t>
      </w:r>
      <w:r w:rsidR="00AE3C2F">
        <w:t>em</w:t>
      </w:r>
      <w:r w:rsidRPr="00EE3355">
        <w:t xml:space="preserve"> a u nichž je ANC nižší než 2 x 10</w:t>
      </w:r>
      <w:r w:rsidRPr="00EE3355">
        <w:rPr>
          <w:vertAlign w:val="superscript"/>
        </w:rPr>
        <w:t>9</w:t>
      </w:r>
      <w:r w:rsidRPr="00EE3355">
        <w:t xml:space="preserve">/l, se zahájení léčby nedoporučuje. Pokud je zvažováno zahájení léčby přípravkem </w:t>
      </w:r>
      <w:r w:rsidR="00AE3C2F">
        <w:t>Avtozma</w:t>
      </w:r>
      <w:r w:rsidRPr="00EE3355">
        <w:t xml:space="preserve"> u pacientů s nízkým počtem trombocytů (tj. počet trombocytů nižší než 100 x 10</w:t>
      </w:r>
      <w:r w:rsidRPr="00EE3355">
        <w:rPr>
          <w:vertAlign w:val="superscript"/>
        </w:rPr>
        <w:t>3</w:t>
      </w:r>
      <w:r w:rsidRPr="00EE3355">
        <w:t>/</w:t>
      </w:r>
      <w:r w:rsidRPr="00EE3355">
        <w:rPr>
          <w:rFonts w:ascii="Symbol" w:hAnsi="Symbol"/>
        </w:rPr>
        <w:t></w:t>
      </w:r>
      <w:r w:rsidRPr="00EE3355">
        <w:t>l), má jim být věnována zvláštní pozornost. U pacientů, u kterých je ANC &lt; 0,5 x 10</w:t>
      </w:r>
      <w:r w:rsidRPr="00EE3355">
        <w:rPr>
          <w:vertAlign w:val="superscript"/>
        </w:rPr>
        <w:t>9</w:t>
      </w:r>
      <w:r w:rsidRPr="00EE3355">
        <w:t>/l nebo počet trombocytů &lt; 50 x 10</w:t>
      </w:r>
      <w:r w:rsidRPr="00EE3355">
        <w:rPr>
          <w:vertAlign w:val="superscript"/>
        </w:rPr>
        <w:t>3</w:t>
      </w:r>
      <w:r w:rsidRPr="00EE3355">
        <w:t>/</w:t>
      </w:r>
      <w:r w:rsidRPr="00EE3355">
        <w:rPr>
          <w:rFonts w:ascii="Symbol" w:hAnsi="Symbol"/>
        </w:rPr>
        <w:t></w:t>
      </w:r>
      <w:r w:rsidRPr="00EE3355">
        <w:t>l, se nedoporučuje pokračovat v léčbě.</w:t>
      </w:r>
    </w:p>
    <w:p w14:paraId="3649FABB" w14:textId="77777777" w:rsidR="00D50440" w:rsidRPr="00EE3355" w:rsidRDefault="00D50440" w:rsidP="00EA1CDF">
      <w:pPr>
        <w:pStyle w:val="a3"/>
        <w:widowControl/>
        <w:ind w:left="0"/>
      </w:pPr>
    </w:p>
    <w:p w14:paraId="4F24B85E" w14:textId="72033431" w:rsidR="00222DE0" w:rsidRPr="00EE3355" w:rsidRDefault="0098273B" w:rsidP="00EA1CDF">
      <w:pPr>
        <w:pStyle w:val="a3"/>
        <w:widowControl/>
        <w:ind w:left="0"/>
        <w:jc w:val="both"/>
      </w:pPr>
      <w:r w:rsidRPr="00EE3355">
        <w:t>Těžká neutropenie může být spojena se zvýšeným rizikem závažných infekcí, ačkoliv zřejmá spojitost mezi snížením počtu neutrofilů a výskytem závažných infekcí nebyla doposud v klinických studiích s</w:t>
      </w:r>
      <w:r w:rsidR="00AE3C2F">
        <w:t> </w:t>
      </w:r>
      <w:r w:rsidR="00AE3C2F" w:rsidRPr="001879E9">
        <w:t>tocilizumab</w:t>
      </w:r>
      <w:r w:rsidR="00AE3C2F">
        <w:t xml:space="preserve">em </w:t>
      </w:r>
      <w:r w:rsidRPr="00EE3355">
        <w:t>zjištěna.</w:t>
      </w:r>
    </w:p>
    <w:p w14:paraId="4EC1BF38" w14:textId="77777777" w:rsidR="00222DE0" w:rsidRPr="00EE3355" w:rsidRDefault="00222DE0" w:rsidP="00EA1CDF">
      <w:pPr>
        <w:widowControl/>
        <w:jc w:val="both"/>
      </w:pPr>
    </w:p>
    <w:p w14:paraId="79D1B5B6" w14:textId="77777777" w:rsidR="00222DE0" w:rsidRPr="00EE3355" w:rsidRDefault="0098273B" w:rsidP="00EA1CDF">
      <w:pPr>
        <w:pStyle w:val="a3"/>
        <w:widowControl/>
        <w:ind w:left="0"/>
        <w:jc w:val="both"/>
      </w:pPr>
      <w:r w:rsidRPr="00EE3355">
        <w:t>U pacientů s RA a GCA je třeba počet neutrofilů a trombocytů monitorovat 4 až 8 týdnů po zahájení terapie a následně podle správné klinické praxe. Doporučené úpravy dávky na základě počtu ANC a neutrofilů viz bod 4.2.</w:t>
      </w:r>
    </w:p>
    <w:p w14:paraId="7D34F64F" w14:textId="77777777" w:rsidR="00222DE0" w:rsidRPr="00EE3355" w:rsidRDefault="00222DE0" w:rsidP="00EA1CDF">
      <w:pPr>
        <w:pStyle w:val="a3"/>
        <w:widowControl/>
        <w:ind w:left="0"/>
      </w:pPr>
    </w:p>
    <w:p w14:paraId="73DA23D1" w14:textId="77777777" w:rsidR="00222DE0" w:rsidRPr="00EE3355" w:rsidRDefault="0098273B" w:rsidP="00EA1CDF">
      <w:pPr>
        <w:pStyle w:val="a3"/>
        <w:widowControl/>
        <w:ind w:left="0"/>
      </w:pPr>
      <w:r w:rsidRPr="00EE3355">
        <w:t>U pacientů se sJIA a pJIA je třeba sledovat hodnoty neutrofilů a trombocytů v době druhé aplikace a</w:t>
      </w:r>
      <w:r w:rsidR="00BC4221">
        <w:t xml:space="preserve"> </w:t>
      </w:r>
      <w:r w:rsidRPr="00EE3355">
        <w:t>poté podle správné klinické praxe (viz bod 4.2).</w:t>
      </w:r>
    </w:p>
    <w:p w14:paraId="129CF127" w14:textId="77777777" w:rsidR="00222DE0" w:rsidRPr="00EE3355" w:rsidRDefault="00222DE0" w:rsidP="00EA1CDF">
      <w:pPr>
        <w:pStyle w:val="a3"/>
        <w:widowControl/>
        <w:ind w:left="0"/>
      </w:pPr>
    </w:p>
    <w:p w14:paraId="29DC321F" w14:textId="77777777" w:rsidR="00222DE0" w:rsidRPr="00EE3355" w:rsidRDefault="0098273B" w:rsidP="00EA1CDF">
      <w:pPr>
        <w:widowControl/>
        <w:rPr>
          <w:i/>
        </w:rPr>
      </w:pPr>
      <w:r w:rsidRPr="00EE3355">
        <w:rPr>
          <w:i/>
        </w:rPr>
        <w:t>Lipidové parametry</w:t>
      </w:r>
    </w:p>
    <w:p w14:paraId="7F7B97A4" w14:textId="7FF63CF9" w:rsidR="00222DE0" w:rsidRPr="00EE3355" w:rsidRDefault="0098273B" w:rsidP="00EA1CDF">
      <w:pPr>
        <w:pStyle w:val="a3"/>
        <w:widowControl/>
        <w:ind w:left="0"/>
      </w:pPr>
      <w:r w:rsidRPr="00EE3355">
        <w:t xml:space="preserve">U pacientů léčených </w:t>
      </w:r>
      <w:r w:rsidR="00AE3C2F" w:rsidRPr="001879E9">
        <w:t>tocilizumab</w:t>
      </w:r>
      <w:r w:rsidR="00AE3C2F">
        <w:t xml:space="preserve">em </w:t>
      </w:r>
      <w:r w:rsidRPr="00EE3355">
        <w:t>bylo pozorováno zvýšení lipidových parametrů, včetně hladiny celkového cholesterolu, lipoproteinů s nízkou hustotou (LDL), lipoproteinů s vysokou hustotou (HDL) a triglyceridů (viz bod 4.8). U většiny pacientů, kteří odpověděli na léčbu hypolipidemiky, nedošlo ke zvýšení aterogenního indexu ani zvýšení celkového cholesterolu.</w:t>
      </w:r>
    </w:p>
    <w:p w14:paraId="43755A40" w14:textId="77777777" w:rsidR="00D50440" w:rsidRPr="00EE3355" w:rsidRDefault="00D50440" w:rsidP="00EA1CDF">
      <w:pPr>
        <w:pStyle w:val="a3"/>
        <w:widowControl/>
        <w:ind w:left="0"/>
      </w:pPr>
    </w:p>
    <w:p w14:paraId="081423D8" w14:textId="248E225B" w:rsidR="00222DE0" w:rsidRPr="00EE3355" w:rsidRDefault="0098273B" w:rsidP="00EA1CDF">
      <w:pPr>
        <w:pStyle w:val="a3"/>
        <w:widowControl/>
        <w:ind w:left="0"/>
        <w:jc w:val="both"/>
      </w:pPr>
      <w:r w:rsidRPr="00EE3355">
        <w:t xml:space="preserve">U všech pacientů je třeba provést stanovení lipidových parametrů 4 až 8 týdnů po zahájení léčby přípravkem </w:t>
      </w:r>
      <w:r w:rsidR="00AE3C2F">
        <w:t>Avtozma</w:t>
      </w:r>
      <w:r w:rsidRPr="00EE3355">
        <w:t>. Pacienti mají být léčeni podle místních klinických doporučení pro léčbu hyperlipidémie.</w:t>
      </w:r>
    </w:p>
    <w:p w14:paraId="07AFB9BD" w14:textId="77777777" w:rsidR="00222DE0" w:rsidRPr="00EE3355" w:rsidRDefault="00222DE0" w:rsidP="00EA1CDF">
      <w:pPr>
        <w:pStyle w:val="a3"/>
        <w:widowControl/>
        <w:ind w:left="0"/>
      </w:pPr>
    </w:p>
    <w:p w14:paraId="7B7537D6" w14:textId="77777777" w:rsidR="00222DE0" w:rsidRPr="00EE3355" w:rsidRDefault="0098273B" w:rsidP="00EA1CDF">
      <w:pPr>
        <w:widowControl/>
        <w:rPr>
          <w:i/>
        </w:rPr>
      </w:pPr>
      <w:r w:rsidRPr="00EE3355">
        <w:rPr>
          <w:i/>
        </w:rPr>
        <w:t>Neurologické poruchy</w:t>
      </w:r>
    </w:p>
    <w:p w14:paraId="5AEC0513" w14:textId="7BC8C74F" w:rsidR="00222DE0" w:rsidRPr="00EE3355" w:rsidRDefault="0098273B" w:rsidP="00EA1CDF">
      <w:pPr>
        <w:pStyle w:val="a3"/>
        <w:widowControl/>
        <w:ind w:left="0"/>
      </w:pPr>
      <w:r w:rsidRPr="00EE3355">
        <w:t xml:space="preserve">Lékař má věnovat pozornost příznakům, které by mohly naznačovat nový nástup centrální demyelinizační poruchy. Jaký má přípravek </w:t>
      </w:r>
      <w:r w:rsidR="00AE3C2F">
        <w:t>Avtozma</w:t>
      </w:r>
      <w:r w:rsidRPr="00EE3355">
        <w:t xml:space="preserve"> potenciál pro rozvoj centrální demyelinizace, není zatím známo.</w:t>
      </w:r>
    </w:p>
    <w:p w14:paraId="2B8B9F51" w14:textId="77777777" w:rsidR="00222DE0" w:rsidRPr="00EE3355" w:rsidRDefault="00222DE0" w:rsidP="00EA1CDF">
      <w:pPr>
        <w:pStyle w:val="a3"/>
        <w:widowControl/>
        <w:ind w:left="0"/>
      </w:pPr>
    </w:p>
    <w:p w14:paraId="266BB21B" w14:textId="77777777" w:rsidR="00222DE0" w:rsidRPr="00EE3355" w:rsidRDefault="0098273B" w:rsidP="00EA1CDF">
      <w:pPr>
        <w:widowControl/>
        <w:rPr>
          <w:i/>
        </w:rPr>
      </w:pPr>
      <w:r w:rsidRPr="00EE3355">
        <w:rPr>
          <w:i/>
        </w:rPr>
        <w:t>Malignity</w:t>
      </w:r>
    </w:p>
    <w:p w14:paraId="0C9C7AD2" w14:textId="77777777" w:rsidR="00222DE0" w:rsidRPr="00EE3355" w:rsidRDefault="0098273B" w:rsidP="00EA1CDF">
      <w:pPr>
        <w:pStyle w:val="a3"/>
        <w:widowControl/>
        <w:ind w:left="0"/>
      </w:pPr>
      <w:r w:rsidRPr="00EE3355">
        <w:t>U pacientů s RA je riziko maligního onemocnění zvýšené. Riziko malignity mohou zvyšovat i imunomodulační léčivé přípravky.</w:t>
      </w:r>
    </w:p>
    <w:p w14:paraId="6A2088ED" w14:textId="77777777" w:rsidR="00222DE0" w:rsidRPr="00EE3355" w:rsidRDefault="00222DE0" w:rsidP="00EA1CDF">
      <w:pPr>
        <w:pStyle w:val="a3"/>
        <w:widowControl/>
        <w:ind w:left="0"/>
      </w:pPr>
    </w:p>
    <w:p w14:paraId="7D31E69A" w14:textId="77777777" w:rsidR="00222DE0" w:rsidRPr="00EE3355" w:rsidRDefault="0098273B" w:rsidP="00EA1CDF">
      <w:pPr>
        <w:widowControl/>
        <w:rPr>
          <w:i/>
        </w:rPr>
      </w:pPr>
      <w:r w:rsidRPr="00EE3355">
        <w:rPr>
          <w:i/>
        </w:rPr>
        <w:t>Očkování</w:t>
      </w:r>
    </w:p>
    <w:p w14:paraId="7E68A178" w14:textId="57602180" w:rsidR="00222DE0" w:rsidRPr="00EE3355" w:rsidRDefault="0098273B" w:rsidP="00EA1CDF">
      <w:pPr>
        <w:pStyle w:val="a3"/>
        <w:widowControl/>
        <w:ind w:left="0"/>
      </w:pPr>
      <w:r w:rsidRPr="00EE3355">
        <w:t xml:space="preserve">Vzhledem k tomu, že nebyla stanovena jejich bezpečnost, nesmí se při podávání přípravku </w:t>
      </w:r>
      <w:r w:rsidR="00AE3C2F">
        <w:t>Avtozma</w:t>
      </w:r>
      <w:r w:rsidRPr="00EE3355">
        <w:t xml:space="preserve"> aplikovat živé nebo atenuované vakcíny. V randomizované otevřené studii byli dospělí pacienti s RA, kteří byli léčeni </w:t>
      </w:r>
      <w:r w:rsidR="00AE3C2F" w:rsidRPr="001879E9">
        <w:t>tocilizumab</w:t>
      </w:r>
      <w:r w:rsidR="00AE3C2F">
        <w:t xml:space="preserve">em </w:t>
      </w:r>
      <w:r w:rsidRPr="00EE3355">
        <w:t xml:space="preserve">a methotrexátem, schopni účinné odpovědi na 23valentní pneumokokovou polysacharidovou vakcínu a vakcínu obsahující toxoid tetanu, srovnatelné s odpovědí u pacientů léčených pouze methotrexátem. Doporučuje se, aby všichni pacienti, zejména pediatričtí pacienti a pacienti staršího věku, měli aktuálně zajištěnou veškerou imunizaci v souladu se současnými imunizačními pokyny před zahájením léčby přípravkem </w:t>
      </w:r>
      <w:r w:rsidR="00AE3C2F">
        <w:t>Avtozma</w:t>
      </w:r>
      <w:r w:rsidRPr="00EE3355">
        <w:t xml:space="preserve">. Interval mezi očkováním živou očkovací látkou a zahájením léčby přípravkem </w:t>
      </w:r>
      <w:r w:rsidR="00AE3C2F">
        <w:t>Avtozma</w:t>
      </w:r>
      <w:r w:rsidRPr="00EE3355">
        <w:t xml:space="preserve"> má být v souladu se současnými očkovacími pokyny s ohledem na imunosupresivní přípravky.</w:t>
      </w:r>
    </w:p>
    <w:p w14:paraId="0F077ECB" w14:textId="77777777" w:rsidR="00D50440" w:rsidRPr="00EE3355" w:rsidRDefault="00D50440" w:rsidP="00EA1CDF">
      <w:pPr>
        <w:pStyle w:val="a3"/>
        <w:widowControl/>
        <w:ind w:left="0"/>
      </w:pPr>
    </w:p>
    <w:p w14:paraId="2D97F183" w14:textId="77777777" w:rsidR="00222DE0" w:rsidRPr="00EE3355" w:rsidRDefault="0098273B" w:rsidP="00EA1CDF">
      <w:pPr>
        <w:widowControl/>
        <w:rPr>
          <w:i/>
        </w:rPr>
      </w:pPr>
      <w:r w:rsidRPr="00EE3355">
        <w:rPr>
          <w:i/>
        </w:rPr>
        <w:t>Kardiovaskulární riziko</w:t>
      </w:r>
    </w:p>
    <w:p w14:paraId="3918F82C" w14:textId="77777777" w:rsidR="00222DE0" w:rsidRPr="00EE3355" w:rsidRDefault="0098273B" w:rsidP="00EA1CDF">
      <w:pPr>
        <w:pStyle w:val="a3"/>
        <w:widowControl/>
        <w:ind w:left="0"/>
      </w:pPr>
      <w:r w:rsidRPr="00EE3355">
        <w:t>Pacienti s RA mají zvýšené riziko kardiovaskulárních onemocnění a mají být standardně vyšetřováni pro jejich rizikové faktory (např. hypertenze, hyperlipidémie).</w:t>
      </w:r>
    </w:p>
    <w:p w14:paraId="0DF571B3" w14:textId="77777777" w:rsidR="00222DE0" w:rsidRPr="00EE3355" w:rsidRDefault="00222DE0" w:rsidP="00EA1CDF">
      <w:pPr>
        <w:pStyle w:val="a3"/>
        <w:widowControl/>
        <w:ind w:left="0"/>
      </w:pPr>
    </w:p>
    <w:p w14:paraId="1C179EF8" w14:textId="77777777" w:rsidR="00222DE0" w:rsidRPr="00EE3355" w:rsidRDefault="0098273B" w:rsidP="00CE49B3">
      <w:pPr>
        <w:keepNext/>
        <w:widowControl/>
        <w:rPr>
          <w:i/>
        </w:rPr>
      </w:pPr>
      <w:r w:rsidRPr="00EE3355">
        <w:rPr>
          <w:i/>
        </w:rPr>
        <w:lastRenderedPageBreak/>
        <w:t>Kombinace s antagonisty TNF</w:t>
      </w:r>
    </w:p>
    <w:p w14:paraId="513A59BF" w14:textId="6AEE7351" w:rsidR="00222DE0" w:rsidRPr="00EE3355" w:rsidRDefault="0098273B" w:rsidP="00EA1CDF">
      <w:pPr>
        <w:pStyle w:val="a3"/>
        <w:widowControl/>
        <w:ind w:left="0"/>
      </w:pPr>
      <w:r w:rsidRPr="00EE3355">
        <w:t xml:space="preserve">Nejsou žádné zkušenosti s použitím přípravku </w:t>
      </w:r>
      <w:r w:rsidR="00AE3C2F">
        <w:t>Avtozma</w:t>
      </w:r>
      <w:r w:rsidRPr="00EE3355">
        <w:t xml:space="preserve"> s antagonisty TNF nebo další biologickou léčbou u pacientů s RA. Přípravek </w:t>
      </w:r>
      <w:r w:rsidR="00AE3C2F">
        <w:t>Avtozma</w:t>
      </w:r>
      <w:r w:rsidRPr="00EE3355">
        <w:t xml:space="preserve"> není doporučen k používání spolu s dalšími biologickými látkami.</w:t>
      </w:r>
    </w:p>
    <w:p w14:paraId="4691E36E" w14:textId="77777777" w:rsidR="00222DE0" w:rsidRPr="00EE3355" w:rsidRDefault="00222DE0" w:rsidP="00EA1CDF">
      <w:pPr>
        <w:pStyle w:val="a3"/>
        <w:widowControl/>
        <w:ind w:left="0"/>
      </w:pPr>
    </w:p>
    <w:p w14:paraId="65CED424" w14:textId="77777777" w:rsidR="00222DE0" w:rsidRPr="00EE3355" w:rsidRDefault="0098273B" w:rsidP="00EA1CDF">
      <w:pPr>
        <w:keepNext/>
        <w:widowControl/>
        <w:rPr>
          <w:i/>
        </w:rPr>
      </w:pPr>
      <w:r w:rsidRPr="00EE3355">
        <w:rPr>
          <w:i/>
        </w:rPr>
        <w:t>GCA</w:t>
      </w:r>
    </w:p>
    <w:p w14:paraId="4AAD5978" w14:textId="58CACE14" w:rsidR="00222DE0" w:rsidRPr="00EE3355" w:rsidRDefault="0098273B" w:rsidP="00EA1CDF">
      <w:pPr>
        <w:pStyle w:val="a3"/>
        <w:widowControl/>
        <w:ind w:left="0"/>
      </w:pPr>
      <w:r w:rsidRPr="00EE3355">
        <w:t xml:space="preserve">Přípravek </w:t>
      </w:r>
      <w:r w:rsidR="00AE3C2F">
        <w:t>Avtozma</w:t>
      </w:r>
      <w:r w:rsidRPr="00EE3355">
        <w:t xml:space="preserve"> v monoterapii nemá být používán k léčbě akutního relapsu, neboť účinnost v tomto případě nebyla stanovena. Glukokortikoidy mají být podávány dle lékařského úsudku a pokynů praxe.</w:t>
      </w:r>
    </w:p>
    <w:p w14:paraId="774E3C1D" w14:textId="77777777" w:rsidR="00222DE0" w:rsidRPr="00EE3355" w:rsidRDefault="00222DE0" w:rsidP="00EA1CDF">
      <w:pPr>
        <w:pStyle w:val="a3"/>
        <w:widowControl/>
        <w:ind w:left="0"/>
      </w:pPr>
    </w:p>
    <w:p w14:paraId="0F65177A" w14:textId="77777777" w:rsidR="00222DE0" w:rsidRPr="00EE3355" w:rsidRDefault="0098273B" w:rsidP="00EA1CDF">
      <w:pPr>
        <w:widowControl/>
        <w:rPr>
          <w:i/>
        </w:rPr>
      </w:pPr>
      <w:r w:rsidRPr="00EE3355">
        <w:rPr>
          <w:i/>
        </w:rPr>
        <w:t>sJIA</w:t>
      </w:r>
    </w:p>
    <w:p w14:paraId="34426F60" w14:textId="7750C595" w:rsidR="00222DE0" w:rsidRDefault="0098273B" w:rsidP="00EA1CDF">
      <w:pPr>
        <w:pStyle w:val="a3"/>
        <w:widowControl/>
        <w:ind w:left="0"/>
      </w:pPr>
      <w:r w:rsidRPr="00EE3355">
        <w:t xml:space="preserve">Syndrom aktivace makrofágů (MAS) je závažné život ohrožující onemocnění, které se může vyskytnout u pacientů se sJIA. V klinických studiích nebyl </w:t>
      </w:r>
      <w:r w:rsidR="00AE3C2F" w:rsidRPr="001879E9">
        <w:t>tocilizumab</w:t>
      </w:r>
      <w:r w:rsidR="00AE3C2F">
        <w:t xml:space="preserve"> </w:t>
      </w:r>
      <w:r w:rsidRPr="00EE3355">
        <w:t>hodnocen u pacientů s epizodou aktivního MAS.</w:t>
      </w:r>
    </w:p>
    <w:p w14:paraId="02B88051" w14:textId="77777777" w:rsidR="00AE3C2F" w:rsidRDefault="00AE3C2F" w:rsidP="00EA1CDF">
      <w:pPr>
        <w:pStyle w:val="a3"/>
        <w:widowControl/>
        <w:ind w:left="0"/>
      </w:pPr>
    </w:p>
    <w:p w14:paraId="53B4C314" w14:textId="5965C5EB" w:rsidR="00AE3C2F" w:rsidRPr="00B93217" w:rsidRDefault="00AE3C2F" w:rsidP="00EA1CDF">
      <w:pPr>
        <w:pStyle w:val="a3"/>
        <w:widowControl/>
        <w:ind w:left="0"/>
        <w:rPr>
          <w:u w:val="single"/>
        </w:rPr>
      </w:pPr>
      <w:r w:rsidRPr="00B93217">
        <w:rPr>
          <w:u w:val="single"/>
        </w:rPr>
        <w:t>Pomocné látky se známým účinkem</w:t>
      </w:r>
    </w:p>
    <w:p w14:paraId="205596C9" w14:textId="77777777" w:rsidR="00AC6C11" w:rsidRDefault="00AC6C11" w:rsidP="00EA1CDF">
      <w:pPr>
        <w:pStyle w:val="a3"/>
        <w:widowControl/>
        <w:ind w:left="0"/>
        <w:rPr>
          <w:i/>
          <w:iCs/>
        </w:rPr>
      </w:pPr>
    </w:p>
    <w:p w14:paraId="39438DA4" w14:textId="1E6EEBB7" w:rsidR="00AE3C2F" w:rsidRPr="00B93217" w:rsidRDefault="00AE3C2F" w:rsidP="00EA1CDF">
      <w:pPr>
        <w:pStyle w:val="a3"/>
        <w:widowControl/>
        <w:ind w:left="0"/>
        <w:rPr>
          <w:i/>
          <w:iCs/>
        </w:rPr>
      </w:pPr>
      <w:r w:rsidRPr="00B93217">
        <w:rPr>
          <w:i/>
          <w:iCs/>
        </w:rPr>
        <w:t>Polysorbát</w:t>
      </w:r>
    </w:p>
    <w:p w14:paraId="04DC502E" w14:textId="2DC35C8E" w:rsidR="00AE3C2F" w:rsidRDefault="00AE3C2F" w:rsidP="00EA1CDF">
      <w:pPr>
        <w:pStyle w:val="a3"/>
        <w:widowControl/>
        <w:ind w:left="0"/>
      </w:pPr>
      <w:r>
        <w:t>Každá 162mg předplněná injekční stříkačka obsahuje 0,2 mg polysorbátu</w:t>
      </w:r>
      <w:r w:rsidR="00395E0C">
        <w:rPr>
          <w:rFonts w:eastAsia="맑은 고딕" w:hint="eastAsia"/>
          <w:lang w:eastAsia="ko-KR"/>
        </w:rPr>
        <w:t xml:space="preserve"> 80</w:t>
      </w:r>
      <w:r>
        <w:t>.</w:t>
      </w:r>
    </w:p>
    <w:p w14:paraId="180E8CF5" w14:textId="7A0EA963" w:rsidR="00AE3C2F" w:rsidRPr="00EE3355" w:rsidRDefault="00AE3C2F" w:rsidP="00EA1CDF">
      <w:pPr>
        <w:pStyle w:val="a3"/>
        <w:widowControl/>
        <w:ind w:left="0"/>
      </w:pPr>
      <w:r>
        <w:t xml:space="preserve">Polysorbáty mohou způsobit alergické reakce. Pacienti s alergií na polysorbát </w:t>
      </w:r>
      <w:r w:rsidR="00CF0518">
        <w:t>nesmějí</w:t>
      </w:r>
      <w:r>
        <w:t xml:space="preserve"> tento léčivý přípravek používat.</w:t>
      </w:r>
    </w:p>
    <w:p w14:paraId="73B7775C" w14:textId="77777777" w:rsidR="00222DE0" w:rsidRPr="00EE3355" w:rsidRDefault="00222DE0" w:rsidP="00EA1CDF">
      <w:pPr>
        <w:widowControl/>
      </w:pPr>
    </w:p>
    <w:p w14:paraId="606AFB2E" w14:textId="77777777" w:rsidR="00222DE0" w:rsidRPr="00EE3355" w:rsidRDefault="00B23DAE" w:rsidP="00EA1CDF">
      <w:pPr>
        <w:pStyle w:val="2"/>
        <w:widowControl/>
        <w:tabs>
          <w:tab w:val="left" w:pos="804"/>
        </w:tabs>
        <w:ind w:left="567" w:hanging="567"/>
      </w:pPr>
      <w:r w:rsidRPr="00EE3355">
        <w:t>4.5</w:t>
      </w:r>
      <w:r w:rsidRPr="00EE3355">
        <w:tab/>
      </w:r>
      <w:r w:rsidR="0098273B" w:rsidRPr="00EE3355">
        <w:t>Interakce s jinými léčivými přípravky a jiné formy interakce</w:t>
      </w:r>
    </w:p>
    <w:p w14:paraId="0333102C" w14:textId="77777777" w:rsidR="006F42DE" w:rsidRPr="00EE3355" w:rsidRDefault="006F42DE" w:rsidP="00AA36AD"/>
    <w:p w14:paraId="59001025" w14:textId="77777777" w:rsidR="00222DE0" w:rsidRPr="00EE3355" w:rsidRDefault="0098273B" w:rsidP="00EA1CDF">
      <w:pPr>
        <w:pStyle w:val="a3"/>
        <w:widowControl/>
        <w:ind w:left="0"/>
      </w:pPr>
      <w:r w:rsidRPr="00EE3355">
        <w:t>Studie interakcí byly provedeny pouze u dospělých.</w:t>
      </w:r>
    </w:p>
    <w:p w14:paraId="72784311" w14:textId="77777777" w:rsidR="00222DE0" w:rsidRPr="00EE3355" w:rsidRDefault="00222DE0" w:rsidP="00EA1CDF">
      <w:pPr>
        <w:pStyle w:val="a3"/>
        <w:widowControl/>
        <w:ind w:left="0"/>
      </w:pPr>
    </w:p>
    <w:p w14:paraId="0AB1DC0A" w14:textId="70B8C9AE" w:rsidR="00222DE0" w:rsidRDefault="0098273B" w:rsidP="00EA1CDF">
      <w:pPr>
        <w:pStyle w:val="a3"/>
        <w:widowControl/>
        <w:ind w:left="0"/>
      </w:pPr>
      <w:r w:rsidRPr="00EE3355">
        <w:t xml:space="preserve">Současné podání jednorázové dávky přípravku </w:t>
      </w:r>
      <w:r w:rsidR="00AE3C2F">
        <w:t>Avtozma</w:t>
      </w:r>
      <w:r w:rsidRPr="00EE3355">
        <w:t xml:space="preserve"> 10 mg/kg s MTX v dávce 10 – 25 mg</w:t>
      </w:r>
      <w:r w:rsidR="006F42DE" w:rsidRPr="00EE3355">
        <w:t xml:space="preserve"> </w:t>
      </w:r>
      <w:r w:rsidRPr="00EE3355">
        <w:t>podávané jedenkrát týdně nemělo klinicky významný vliv na expozici MTX.</w:t>
      </w:r>
    </w:p>
    <w:p w14:paraId="64531EA8" w14:textId="77777777" w:rsidR="00CE49B3" w:rsidRPr="00EE3355" w:rsidRDefault="00CE49B3" w:rsidP="00EA1CDF">
      <w:pPr>
        <w:pStyle w:val="a3"/>
        <w:widowControl/>
        <w:ind w:left="0"/>
      </w:pPr>
    </w:p>
    <w:p w14:paraId="63CC079E" w14:textId="28427BC7" w:rsidR="00222DE0" w:rsidRPr="00EE3355" w:rsidRDefault="0098273B" w:rsidP="00EA1CDF">
      <w:pPr>
        <w:pStyle w:val="a3"/>
        <w:widowControl/>
        <w:ind w:left="0"/>
      </w:pPr>
      <w:r w:rsidRPr="00EE3355">
        <w:t xml:space="preserve">Populační farmakokinetické analýzy neprokázaly žádný vliv MTX, nesteroidních protizánětlivých léků (NSAID) nebo kortikosteroidů na clearance </w:t>
      </w:r>
      <w:r w:rsidR="00AE3C2F" w:rsidRPr="001879E9">
        <w:t>tocilizumab</w:t>
      </w:r>
      <w:r w:rsidR="00AE3C2F">
        <w:t xml:space="preserve">u </w:t>
      </w:r>
      <w:r w:rsidRPr="00EE3355">
        <w:t xml:space="preserve">u pacientů s RA. U pacientů s GCA nebyl zjištěn žádný účinek kumulativní dávky kortikosteroidů na expozici </w:t>
      </w:r>
      <w:r w:rsidR="00AE3C2F" w:rsidRPr="001879E9">
        <w:t>tocilizumab</w:t>
      </w:r>
      <w:r w:rsidR="00AE3C2F">
        <w:t>u</w:t>
      </w:r>
      <w:r w:rsidRPr="00EE3355">
        <w:t>.</w:t>
      </w:r>
    </w:p>
    <w:p w14:paraId="254D2A84" w14:textId="77777777" w:rsidR="006F42DE" w:rsidRPr="00EE3355" w:rsidRDefault="006F42DE" w:rsidP="00EA1CDF">
      <w:pPr>
        <w:pStyle w:val="a3"/>
        <w:widowControl/>
        <w:ind w:left="0"/>
      </w:pPr>
    </w:p>
    <w:p w14:paraId="1C64D5EF" w14:textId="1993372B" w:rsidR="00222DE0" w:rsidRPr="00EE3355" w:rsidRDefault="0098273B" w:rsidP="00EA1CDF">
      <w:pPr>
        <w:pStyle w:val="a3"/>
        <w:widowControl/>
        <w:ind w:left="0"/>
      </w:pPr>
      <w:r w:rsidRPr="00EE3355">
        <w:t xml:space="preserve">Exprese jaterních enzymů CYP450 je potlačena cytokiny, jako je například IL-6, který stimuluje chronický zánět. Exprese CYP450 ale může být reverzibilní, pokud je k terapii přidán silný cytokinový inhibitor, jako je například přípravek </w:t>
      </w:r>
      <w:r w:rsidR="00AE3C2F">
        <w:t>Avtozma</w:t>
      </w:r>
      <w:r w:rsidRPr="00EE3355">
        <w:t>.</w:t>
      </w:r>
    </w:p>
    <w:p w14:paraId="636FEC57" w14:textId="77777777" w:rsidR="00222DE0" w:rsidRPr="00EE3355" w:rsidRDefault="00222DE0" w:rsidP="00EA1CDF">
      <w:pPr>
        <w:pStyle w:val="a3"/>
        <w:widowControl/>
        <w:ind w:left="0"/>
      </w:pPr>
    </w:p>
    <w:p w14:paraId="57CAC07D" w14:textId="3FB8371A" w:rsidR="00222DE0" w:rsidRPr="00EE3355" w:rsidRDefault="0098273B" w:rsidP="00EA1CDF">
      <w:pPr>
        <w:pStyle w:val="a3"/>
        <w:widowControl/>
        <w:ind w:left="0"/>
      </w:pPr>
      <w:r w:rsidRPr="00EE3355">
        <w:t xml:space="preserve">V </w:t>
      </w:r>
      <w:r w:rsidRPr="00EE3355">
        <w:rPr>
          <w:i/>
        </w:rPr>
        <w:t xml:space="preserve">in vitro </w:t>
      </w:r>
      <w:r w:rsidRPr="00EE3355">
        <w:t xml:space="preserve">studiích s kulturami lidských hepatocytů bylo prokázáno, že IL-6 způsobuje redukci exprese enzymů CYP1A2, CYP2C9, CYP2C19 a CYP3A4. </w:t>
      </w:r>
      <w:r w:rsidR="00AE3C2F">
        <w:t>T</w:t>
      </w:r>
      <w:r w:rsidR="00AE3C2F" w:rsidRPr="001879E9">
        <w:t>ocilizumab</w:t>
      </w:r>
      <w:r w:rsidR="00AE3C2F">
        <w:t xml:space="preserve"> </w:t>
      </w:r>
      <w:r w:rsidRPr="00EE3355">
        <w:t>expresi těchto enzymů normalizuje.</w:t>
      </w:r>
    </w:p>
    <w:p w14:paraId="1847510E" w14:textId="77777777" w:rsidR="00222DE0" w:rsidRPr="00EE3355" w:rsidRDefault="00222DE0" w:rsidP="00EA1CDF">
      <w:pPr>
        <w:pStyle w:val="a3"/>
        <w:widowControl/>
        <w:ind w:left="0"/>
      </w:pPr>
    </w:p>
    <w:p w14:paraId="02FD512B" w14:textId="77777777" w:rsidR="00222DE0" w:rsidRPr="00EE3355" w:rsidRDefault="0098273B" w:rsidP="00EA1CDF">
      <w:pPr>
        <w:pStyle w:val="a3"/>
        <w:widowControl/>
        <w:ind w:left="0"/>
      </w:pPr>
      <w:r w:rsidRPr="00EE3355">
        <w:t>Ve studii u pacientů s RA hladiny simvastatinu (CYP3A4) po jedné dávce tocilizumabu poklesly za týden o 57 %, k hodnotám podobným, nebo lehce vyšším, než je pozorováno u zdravých subjektů.</w:t>
      </w:r>
    </w:p>
    <w:p w14:paraId="4B1F923F" w14:textId="77777777" w:rsidR="006F42DE" w:rsidRPr="00EE3355" w:rsidRDefault="006F42DE" w:rsidP="00EA1CDF">
      <w:pPr>
        <w:pStyle w:val="a3"/>
        <w:widowControl/>
        <w:ind w:left="0"/>
      </w:pPr>
    </w:p>
    <w:p w14:paraId="153A5A80" w14:textId="77777777" w:rsidR="00222DE0" w:rsidRPr="00EE3355" w:rsidRDefault="0098273B" w:rsidP="00EA1CDF">
      <w:pPr>
        <w:pStyle w:val="a3"/>
        <w:widowControl/>
        <w:ind w:left="0"/>
      </w:pPr>
      <w:r w:rsidRPr="00EE3355">
        <w:t>Při zahájení nebo ukončení terapie tocilizumabem mají být pacienti užívající léčivé přípravky, které jsou upravovány individuálně a jsou metabolizovány cestou CYP450 3A4, 1A2 nebo 2C9 (např. methylprednisolon, dexamethason (s možným abstinenčním syndromem po vysazení perorálních glukokortikoidů) atorvastatin, blokátory kalciových kanálů, teofylin, warfarin, fenprokumon, fenytoin, cyklosporin nebo benzodiazepiny) pečlivě sledováni, protože k udržení terapeutického účinku může být nutné zvýšení dávkování. Vzhledem k relativně dlouhému poločasu eliminace (t</w:t>
      </w:r>
      <w:r w:rsidRPr="00EE3355">
        <w:rPr>
          <w:vertAlign w:val="subscript"/>
        </w:rPr>
        <w:t>1/2</w:t>
      </w:r>
      <w:r w:rsidRPr="00EE3355">
        <w:t>) mohou účinky tocilizumabu na aktivitu enzymů CYP450 přetrvávat i několik týdnů po ukončení terapie.</w:t>
      </w:r>
    </w:p>
    <w:p w14:paraId="7AAEA249" w14:textId="77777777" w:rsidR="00222DE0" w:rsidRPr="00EE3355" w:rsidRDefault="00222DE0" w:rsidP="00EA1CDF">
      <w:pPr>
        <w:pStyle w:val="a3"/>
        <w:widowControl/>
        <w:ind w:left="0"/>
      </w:pPr>
    </w:p>
    <w:p w14:paraId="1894B6CB" w14:textId="77777777" w:rsidR="00222DE0" w:rsidRPr="00EE3355" w:rsidRDefault="00B23DAE" w:rsidP="00EA1CDF">
      <w:pPr>
        <w:pStyle w:val="2"/>
        <w:tabs>
          <w:tab w:val="left" w:pos="804"/>
        </w:tabs>
        <w:ind w:left="567" w:hanging="567"/>
      </w:pPr>
      <w:r w:rsidRPr="00EE3355">
        <w:t>4.6</w:t>
      </w:r>
      <w:r w:rsidRPr="00EE3355">
        <w:tab/>
      </w:r>
      <w:r w:rsidR="0098273B" w:rsidRPr="00EE3355">
        <w:t>Fertilita, těhotenství a kojení</w:t>
      </w:r>
    </w:p>
    <w:p w14:paraId="1C354F5B" w14:textId="77777777" w:rsidR="006F42DE" w:rsidRPr="00EE3355" w:rsidRDefault="006F42DE" w:rsidP="00AA36AD"/>
    <w:p w14:paraId="44322615" w14:textId="77777777" w:rsidR="00222DE0" w:rsidRPr="00EE3355" w:rsidRDefault="0098273B" w:rsidP="00EA1CDF">
      <w:pPr>
        <w:pStyle w:val="a3"/>
        <w:widowControl/>
        <w:ind w:left="0"/>
        <w:rPr>
          <w:u w:val="single"/>
        </w:rPr>
      </w:pPr>
      <w:r w:rsidRPr="00EE3355">
        <w:rPr>
          <w:u w:val="single"/>
        </w:rPr>
        <w:t>Ženy ve fertilním věku</w:t>
      </w:r>
    </w:p>
    <w:p w14:paraId="2AE499BA" w14:textId="77777777" w:rsidR="008D1875" w:rsidRDefault="008D1875" w:rsidP="00EA1CDF">
      <w:pPr>
        <w:pStyle w:val="a3"/>
        <w:widowControl/>
        <w:ind w:left="0"/>
      </w:pPr>
    </w:p>
    <w:p w14:paraId="52EBCD2B" w14:textId="11DEC97E" w:rsidR="00222DE0" w:rsidRPr="00EE3355" w:rsidRDefault="0098273B" w:rsidP="00EA1CDF">
      <w:pPr>
        <w:pStyle w:val="a3"/>
        <w:widowControl/>
        <w:ind w:left="0"/>
      </w:pPr>
      <w:r w:rsidRPr="00EE3355">
        <w:t>Ženy ve fertilním věku musí během léčby a ještě 3 měsíce po ukončení terapie používat účinnou</w:t>
      </w:r>
      <w:r w:rsidR="00BC4221">
        <w:t xml:space="preserve"> </w:t>
      </w:r>
      <w:r w:rsidRPr="00EE3355">
        <w:t>antikoncepci.</w:t>
      </w:r>
    </w:p>
    <w:p w14:paraId="3B2AC6C9" w14:textId="77777777" w:rsidR="00222DE0" w:rsidRPr="00EE3355" w:rsidRDefault="00222DE0" w:rsidP="00EA1CDF">
      <w:pPr>
        <w:pStyle w:val="a3"/>
        <w:widowControl/>
        <w:ind w:left="0"/>
      </w:pPr>
    </w:p>
    <w:p w14:paraId="7318D087" w14:textId="77777777" w:rsidR="00222DE0" w:rsidRPr="00EE3355" w:rsidRDefault="0098273B" w:rsidP="00EA1CDF">
      <w:pPr>
        <w:pStyle w:val="a3"/>
        <w:widowControl/>
        <w:ind w:left="0"/>
        <w:rPr>
          <w:u w:val="single"/>
        </w:rPr>
      </w:pPr>
      <w:r w:rsidRPr="00EE3355">
        <w:rPr>
          <w:u w:val="single"/>
        </w:rPr>
        <w:t>Těhotenství</w:t>
      </w:r>
    </w:p>
    <w:p w14:paraId="1A04BE23" w14:textId="1926A90E" w:rsidR="00222DE0" w:rsidRPr="00EE3355" w:rsidRDefault="0098273B" w:rsidP="00EA1CDF">
      <w:pPr>
        <w:pStyle w:val="a3"/>
        <w:widowControl/>
        <w:ind w:left="0"/>
      </w:pPr>
      <w:r w:rsidRPr="00EE3355">
        <w:t xml:space="preserve">Adekvátní údaje o podávání přípravku </w:t>
      </w:r>
      <w:r w:rsidR="00D2449D">
        <w:t>Avtozma</w:t>
      </w:r>
      <w:r w:rsidRPr="00EE3355">
        <w:t xml:space="preserve"> těhotným ženám nejsou k dispozici. Studie na zvířatech prokázaly zvýšené riziko spontánního potratu / embryo-fetálního úmrtí při vysokých dávkách (viz bod 5.3). Potenciální riziko pro člověka není známé.</w:t>
      </w:r>
    </w:p>
    <w:p w14:paraId="42FEF831" w14:textId="77777777" w:rsidR="00222DE0" w:rsidRPr="00EE3355" w:rsidRDefault="00222DE0" w:rsidP="00EA1CDF">
      <w:pPr>
        <w:pStyle w:val="a3"/>
        <w:widowControl/>
        <w:ind w:left="0"/>
      </w:pPr>
    </w:p>
    <w:p w14:paraId="4A844179" w14:textId="7B3031EF" w:rsidR="00222DE0" w:rsidRPr="00EE3355" w:rsidRDefault="0098273B" w:rsidP="00EA1CDF">
      <w:pPr>
        <w:pStyle w:val="a3"/>
        <w:widowControl/>
        <w:ind w:left="0"/>
      </w:pPr>
      <w:r w:rsidRPr="00EE3355">
        <w:t xml:space="preserve">Přípravek </w:t>
      </w:r>
      <w:r w:rsidR="00D2449D">
        <w:t>Avtozma</w:t>
      </w:r>
      <w:r w:rsidRPr="00EE3355">
        <w:t xml:space="preserve"> nemá být během těhotenství podáván, pokud to není nezbytně nutné.</w:t>
      </w:r>
    </w:p>
    <w:p w14:paraId="4ED09859" w14:textId="77777777" w:rsidR="006F42DE" w:rsidRPr="00EE3355" w:rsidRDefault="006F42DE" w:rsidP="00EA1CDF">
      <w:pPr>
        <w:pStyle w:val="a3"/>
        <w:widowControl/>
        <w:ind w:left="0"/>
      </w:pPr>
    </w:p>
    <w:p w14:paraId="33715C8F" w14:textId="77777777" w:rsidR="00222DE0" w:rsidRPr="00EE3355" w:rsidRDefault="0098273B" w:rsidP="00EA1CDF">
      <w:pPr>
        <w:pStyle w:val="a3"/>
        <w:keepNext/>
        <w:widowControl/>
        <w:ind w:left="0"/>
      </w:pPr>
      <w:r w:rsidRPr="00EE3355">
        <w:rPr>
          <w:u w:val="single"/>
        </w:rPr>
        <w:t>Kojení</w:t>
      </w:r>
    </w:p>
    <w:p w14:paraId="1EF8A5B4" w14:textId="0F07244E" w:rsidR="00222DE0" w:rsidRPr="00EE3355" w:rsidRDefault="0098273B" w:rsidP="00EA1CDF">
      <w:pPr>
        <w:pStyle w:val="a3"/>
        <w:keepNext/>
        <w:widowControl/>
        <w:ind w:left="0"/>
      </w:pPr>
      <w:r w:rsidRPr="00EE3355">
        <w:t xml:space="preserve">Není známo, zda je tocilizumab vylučován do lidského mateřského mléka. Vylučování přípravku </w:t>
      </w:r>
      <w:r w:rsidR="00D2449D">
        <w:t>Avtozma</w:t>
      </w:r>
      <w:r w:rsidRPr="00EE3355">
        <w:t xml:space="preserve"> do mléka u zvířat nebylo studováno. Při rozhodování, zda pokračovat /ukončit kojení, nebo zda pokračovat /ukončit terapii přípravkem </w:t>
      </w:r>
      <w:r w:rsidR="00D2449D">
        <w:t>Avtozma</w:t>
      </w:r>
      <w:r w:rsidRPr="00EE3355">
        <w:t xml:space="preserve"> má být vzat v úvahu prospěch kojení pro dítě a prospěch léčby přípravkem </w:t>
      </w:r>
      <w:r w:rsidR="00D2449D">
        <w:t>Avtozma</w:t>
      </w:r>
      <w:r w:rsidRPr="00EE3355">
        <w:t xml:space="preserve"> pro ženu.</w:t>
      </w:r>
    </w:p>
    <w:p w14:paraId="43F9B65E" w14:textId="77777777" w:rsidR="00222DE0" w:rsidRPr="00EE3355" w:rsidRDefault="00222DE0" w:rsidP="00EA1CDF">
      <w:pPr>
        <w:pStyle w:val="a3"/>
        <w:widowControl/>
        <w:ind w:left="0"/>
      </w:pPr>
    </w:p>
    <w:p w14:paraId="5DD61507" w14:textId="77777777" w:rsidR="00222DE0" w:rsidRPr="00EE3355" w:rsidRDefault="0098273B" w:rsidP="00EA1CDF">
      <w:pPr>
        <w:pStyle w:val="a3"/>
        <w:widowControl/>
        <w:ind w:left="0"/>
        <w:rPr>
          <w:u w:val="single"/>
        </w:rPr>
      </w:pPr>
      <w:r w:rsidRPr="00EE3355">
        <w:rPr>
          <w:u w:val="single"/>
        </w:rPr>
        <w:t>Fertilita</w:t>
      </w:r>
    </w:p>
    <w:p w14:paraId="78F1A86C" w14:textId="77777777" w:rsidR="006F42DE" w:rsidRPr="00EE3355" w:rsidRDefault="006F42DE" w:rsidP="00EA1CDF">
      <w:pPr>
        <w:pStyle w:val="a3"/>
        <w:widowControl/>
        <w:ind w:left="0"/>
      </w:pPr>
    </w:p>
    <w:p w14:paraId="69D7333D" w14:textId="20086B00" w:rsidR="00222DE0" w:rsidRPr="00EE3355" w:rsidRDefault="0098273B" w:rsidP="00EA1CDF">
      <w:pPr>
        <w:pStyle w:val="a3"/>
        <w:widowControl/>
        <w:ind w:left="0"/>
      </w:pPr>
      <w:r w:rsidRPr="00EE3355">
        <w:t xml:space="preserve">Dostupné neklinické údaje nenaznačují vliv léčby přípravkem </w:t>
      </w:r>
      <w:r w:rsidR="00D2449D">
        <w:t>Avtozma</w:t>
      </w:r>
      <w:r w:rsidRPr="00EE3355">
        <w:t xml:space="preserve"> na fertilitu.</w:t>
      </w:r>
    </w:p>
    <w:p w14:paraId="7FD59CAC" w14:textId="77777777" w:rsidR="00222DE0" w:rsidRPr="00EE3355" w:rsidRDefault="00222DE0" w:rsidP="00EA1CDF">
      <w:pPr>
        <w:pStyle w:val="a3"/>
        <w:ind w:left="0"/>
      </w:pPr>
    </w:p>
    <w:p w14:paraId="40E879CE" w14:textId="77777777" w:rsidR="00222DE0" w:rsidRPr="00EE3355" w:rsidRDefault="00B23DAE" w:rsidP="00EA1CDF">
      <w:pPr>
        <w:pStyle w:val="2"/>
        <w:widowControl/>
        <w:tabs>
          <w:tab w:val="left" w:pos="804"/>
        </w:tabs>
        <w:ind w:left="567" w:hanging="567"/>
      </w:pPr>
      <w:r w:rsidRPr="00EE3355">
        <w:t>4.7</w:t>
      </w:r>
      <w:r w:rsidRPr="00EE3355">
        <w:tab/>
      </w:r>
      <w:r w:rsidR="0098273B" w:rsidRPr="00EE3355">
        <w:t>Účinky na schopnost řídit a obsluhovat stroje</w:t>
      </w:r>
    </w:p>
    <w:p w14:paraId="3195AF79" w14:textId="77777777" w:rsidR="00E12C9A" w:rsidRPr="00EE3355" w:rsidRDefault="00E12C9A" w:rsidP="00AA36AD"/>
    <w:p w14:paraId="5679946A" w14:textId="7DFDAE58" w:rsidR="00222DE0" w:rsidRPr="00EE3355" w:rsidRDefault="00D2449D" w:rsidP="00EA1CDF">
      <w:pPr>
        <w:pStyle w:val="a3"/>
        <w:widowControl/>
        <w:ind w:left="0"/>
      </w:pPr>
      <w:r w:rsidRPr="001879E9">
        <w:t>Tocilizumab</w:t>
      </w:r>
      <w:r>
        <w:t xml:space="preserve"> </w:t>
      </w:r>
      <w:r w:rsidR="0098273B" w:rsidRPr="00EE3355">
        <w:t>má malý vliv na schopnost řídit a obsluhovat stroje (viz bod 4.8, závratě).</w:t>
      </w:r>
    </w:p>
    <w:p w14:paraId="113F9016" w14:textId="77777777" w:rsidR="00222DE0" w:rsidRPr="00EE3355" w:rsidRDefault="00222DE0" w:rsidP="00EA1CDF">
      <w:pPr>
        <w:widowControl/>
      </w:pPr>
    </w:p>
    <w:p w14:paraId="4E874CD8" w14:textId="77777777" w:rsidR="00222DE0" w:rsidRPr="00EE3355" w:rsidRDefault="00B23DAE" w:rsidP="00EA1CDF">
      <w:pPr>
        <w:pStyle w:val="2"/>
        <w:widowControl/>
        <w:tabs>
          <w:tab w:val="left" w:pos="804"/>
        </w:tabs>
        <w:ind w:left="567" w:hanging="567"/>
      </w:pPr>
      <w:r w:rsidRPr="00EE3355">
        <w:t>4.8</w:t>
      </w:r>
      <w:r w:rsidRPr="00EE3355">
        <w:tab/>
      </w:r>
      <w:r w:rsidR="0098273B" w:rsidRPr="00EE3355">
        <w:t>Nežádoucí účinky</w:t>
      </w:r>
    </w:p>
    <w:p w14:paraId="379BE4CB" w14:textId="77777777" w:rsidR="00680587" w:rsidRPr="00EE3355" w:rsidRDefault="00680587" w:rsidP="00EA1CDF">
      <w:pPr>
        <w:pStyle w:val="a3"/>
        <w:widowControl/>
        <w:ind w:left="0"/>
        <w:rPr>
          <w:u w:val="single"/>
        </w:rPr>
      </w:pPr>
    </w:p>
    <w:p w14:paraId="72A50FEB" w14:textId="77777777" w:rsidR="00222DE0" w:rsidRPr="00EE3355" w:rsidRDefault="0098273B" w:rsidP="00EA1CDF">
      <w:pPr>
        <w:pStyle w:val="a3"/>
        <w:widowControl/>
        <w:ind w:left="0"/>
        <w:rPr>
          <w:u w:val="single"/>
        </w:rPr>
      </w:pPr>
      <w:r w:rsidRPr="00EE3355">
        <w:rPr>
          <w:u w:val="single"/>
        </w:rPr>
        <w:t>Shrnutí bezpečnostního profilu</w:t>
      </w:r>
    </w:p>
    <w:p w14:paraId="04521E81" w14:textId="77777777" w:rsidR="00F56EA7" w:rsidRDefault="00F56EA7" w:rsidP="00EA1CDF">
      <w:pPr>
        <w:pStyle w:val="a3"/>
        <w:widowControl/>
        <w:ind w:left="0"/>
      </w:pPr>
    </w:p>
    <w:p w14:paraId="416091D9" w14:textId="38ADF30D" w:rsidR="00222DE0" w:rsidRPr="00EE3355" w:rsidRDefault="0098273B" w:rsidP="00EA1CDF">
      <w:pPr>
        <w:pStyle w:val="a3"/>
        <w:widowControl/>
        <w:ind w:left="0"/>
      </w:pPr>
      <w:r w:rsidRPr="00EE3355">
        <w:t xml:space="preserve">Bezpečnostní profil byl stanoven u 4 510 pacientů užívajících </w:t>
      </w:r>
      <w:r w:rsidR="00D2449D" w:rsidRPr="001879E9">
        <w:t>tocilizumab</w:t>
      </w:r>
      <w:r w:rsidRPr="00EE3355">
        <w:t xml:space="preserve"> v klinických studiích; většina z nich se účastnila studií RA (n = 4 009) s dospělými pacienty a zbývající údaje pocházejí ze studií GCA (n = 149), pJIA (n=240) a sJIA (n=112). Bezpečnostní profil </w:t>
      </w:r>
      <w:r w:rsidR="00D2449D" w:rsidRPr="001879E9">
        <w:t>tocilizumab</w:t>
      </w:r>
      <w:r w:rsidR="00D2449D">
        <w:t xml:space="preserve">u </w:t>
      </w:r>
      <w:r w:rsidRPr="00EE3355">
        <w:t>v těchto indikacích zůstává podobný a nediferencovaný.</w:t>
      </w:r>
    </w:p>
    <w:p w14:paraId="30C805D4" w14:textId="77777777" w:rsidR="00222DE0" w:rsidRPr="00EE3355" w:rsidRDefault="00222DE0" w:rsidP="00EA1CDF">
      <w:pPr>
        <w:pStyle w:val="a3"/>
        <w:widowControl/>
        <w:ind w:left="0"/>
      </w:pPr>
    </w:p>
    <w:p w14:paraId="0494613F" w14:textId="77777777" w:rsidR="00222DE0" w:rsidRPr="00EE3355" w:rsidRDefault="0098273B" w:rsidP="00EA1CDF">
      <w:pPr>
        <w:pStyle w:val="a3"/>
        <w:widowControl/>
        <w:ind w:left="0"/>
      </w:pPr>
      <w:r w:rsidRPr="00EE3355">
        <w:t>Nejčastěji hlášené nežádoucí účinky byly infekce horních cest dýchacích, nazofaryngitida, bolest</w:t>
      </w:r>
      <w:r w:rsidR="00BC4221">
        <w:t xml:space="preserve"> </w:t>
      </w:r>
      <w:r w:rsidRPr="00EE3355">
        <w:t>hlavy, hypertenze a zvýšené ALT.</w:t>
      </w:r>
    </w:p>
    <w:p w14:paraId="4B636F73" w14:textId="77777777" w:rsidR="00222DE0" w:rsidRPr="00EE3355" w:rsidRDefault="00222DE0" w:rsidP="00EA1CDF">
      <w:pPr>
        <w:pStyle w:val="a3"/>
        <w:widowControl/>
        <w:ind w:left="0"/>
      </w:pPr>
    </w:p>
    <w:p w14:paraId="40B76625" w14:textId="77777777" w:rsidR="00222DE0" w:rsidRPr="00EE3355" w:rsidRDefault="0098273B" w:rsidP="00EA1CDF">
      <w:pPr>
        <w:pStyle w:val="a3"/>
        <w:widowControl/>
        <w:ind w:left="0"/>
      </w:pPr>
      <w:r w:rsidRPr="00EE3355">
        <w:t>Nejzávažnější nežádoucí účinky byly závažné infekce, komplikovaná divertikulitida a hypersenzitivní reakce.</w:t>
      </w:r>
    </w:p>
    <w:p w14:paraId="56D66B56" w14:textId="77777777" w:rsidR="00222DE0" w:rsidRPr="00EE3355" w:rsidRDefault="00222DE0" w:rsidP="00EA1CDF">
      <w:pPr>
        <w:pStyle w:val="a3"/>
        <w:widowControl/>
        <w:ind w:left="0"/>
      </w:pPr>
    </w:p>
    <w:p w14:paraId="7AE0B089" w14:textId="77777777" w:rsidR="00222DE0" w:rsidRPr="00EE3355" w:rsidRDefault="0098273B" w:rsidP="00EA1CDF">
      <w:pPr>
        <w:pStyle w:val="a3"/>
        <w:widowControl/>
        <w:ind w:left="0"/>
      </w:pPr>
      <w:r w:rsidRPr="00EE3355">
        <w:rPr>
          <w:u w:val="single"/>
        </w:rPr>
        <w:t>Přehled nežádoucích účinků v tabulce</w:t>
      </w:r>
    </w:p>
    <w:p w14:paraId="18E15FFF" w14:textId="43AAA475" w:rsidR="00222DE0" w:rsidRPr="00EE3355" w:rsidRDefault="0098273B" w:rsidP="00EA1CDF">
      <w:pPr>
        <w:pStyle w:val="a3"/>
        <w:widowControl/>
        <w:ind w:left="0"/>
      </w:pPr>
      <w:r w:rsidRPr="00EE3355">
        <w:t>Nežádoucí účinky z klinických studií s</w:t>
      </w:r>
      <w:r w:rsidR="00D2449D">
        <w:t> </w:t>
      </w:r>
      <w:r w:rsidR="00D2449D" w:rsidRPr="001879E9">
        <w:t>tocilizumab</w:t>
      </w:r>
      <w:r w:rsidR="00D2449D">
        <w:t xml:space="preserve">em </w:t>
      </w:r>
      <w:r w:rsidRPr="00EE3355">
        <w:t>a/nebo v době po uvedení přípravku na trh jsou na základě spontánních hlášení, kazuistik a případů z neintervenčních studií uvedeny</w:t>
      </w:r>
      <w:r w:rsidR="00BC4221">
        <w:t xml:space="preserve"> </w:t>
      </w:r>
      <w:r w:rsidRPr="00EE3355">
        <w:t>v tabulce 1 a jsou řazeny podle tříd orgánových systémů databáze MedDRA. Odpovídající kategorie frekvencí je založena na následující terminologii: velmi časté (≥ 1/10); časté (≥ 1/100 až &lt; 1/10), méně časté (≥ 1/1</w:t>
      </w:r>
      <w:r w:rsidR="00F56EA7">
        <w:t> </w:t>
      </w:r>
      <w:r w:rsidRPr="00EE3355">
        <w:t>000 až &lt; 1/100), vzácné (≥ 1/10</w:t>
      </w:r>
      <w:r w:rsidR="00F56EA7">
        <w:t xml:space="preserve"> </w:t>
      </w:r>
      <w:r w:rsidRPr="00EE3355">
        <w:t>000 až &lt;1/1</w:t>
      </w:r>
      <w:r w:rsidR="00F56EA7">
        <w:t xml:space="preserve"> </w:t>
      </w:r>
      <w:r w:rsidRPr="00EE3355">
        <w:t>000) nebo velmi vzácné (&lt;1/10</w:t>
      </w:r>
      <w:r w:rsidR="00F56EA7">
        <w:t xml:space="preserve"> </w:t>
      </w:r>
      <w:r w:rsidRPr="00EE3355">
        <w:t>000). V každé skupině četností jsou nežádoucí účinky seřazeny podle klesající závažnosti.</w:t>
      </w:r>
    </w:p>
    <w:p w14:paraId="192C8697" w14:textId="77777777" w:rsidR="00680587" w:rsidRPr="00EE3355" w:rsidRDefault="00680587" w:rsidP="00EA1CDF">
      <w:pPr>
        <w:pStyle w:val="a3"/>
        <w:widowControl/>
        <w:ind w:left="0"/>
      </w:pPr>
    </w:p>
    <w:p w14:paraId="5C34173C" w14:textId="7CCC018C" w:rsidR="00222DE0" w:rsidRDefault="0098273B" w:rsidP="00EA1CDF">
      <w:pPr>
        <w:ind w:left="1418" w:hanging="1418"/>
        <w:rPr>
          <w:i/>
          <w:iCs/>
        </w:rPr>
      </w:pPr>
      <w:r w:rsidRPr="00EE3355">
        <w:rPr>
          <w:i/>
        </w:rPr>
        <w:t>Tabulka 1.</w:t>
      </w:r>
      <w:r w:rsidR="00D360E1" w:rsidRPr="00EE3355">
        <w:rPr>
          <w:i/>
        </w:rPr>
        <w:tab/>
      </w:r>
      <w:r w:rsidRPr="00EE3355">
        <w:rPr>
          <w:i/>
        </w:rPr>
        <w:t xml:space="preserve">Přehled nežádoucích účinků objevujících se u pacientů léčených </w:t>
      </w:r>
      <w:r w:rsidR="00D2449D" w:rsidRPr="00B93217">
        <w:rPr>
          <w:i/>
          <w:iCs/>
        </w:rPr>
        <w:t>tocilizumabem</w:t>
      </w:r>
    </w:p>
    <w:p w14:paraId="54F2A578" w14:textId="77777777" w:rsidR="00AC6C11" w:rsidRPr="00EE3355" w:rsidRDefault="00AC6C11" w:rsidP="00EA1CDF">
      <w:pPr>
        <w:ind w:left="1418" w:hanging="1418"/>
        <w:rPr>
          <w:i/>
        </w:rPr>
      </w:pPr>
    </w:p>
    <w:tbl>
      <w:tblPr>
        <w:tblW w:w="9099"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64"/>
        <w:gridCol w:w="1662"/>
        <w:gridCol w:w="2044"/>
        <w:gridCol w:w="1889"/>
        <w:gridCol w:w="1540"/>
      </w:tblGrid>
      <w:tr w:rsidR="00222DE0" w:rsidRPr="00EE3355" w14:paraId="453E17D5" w14:textId="77777777" w:rsidTr="00130E42">
        <w:trPr>
          <w:cantSplit/>
          <w:trHeight w:val="20"/>
          <w:tblHeader/>
        </w:trPr>
        <w:tc>
          <w:tcPr>
            <w:tcW w:w="1964" w:type="dxa"/>
            <w:vMerge w:val="restart"/>
          </w:tcPr>
          <w:p w14:paraId="556C4478" w14:textId="77777777" w:rsidR="00222DE0" w:rsidRPr="00EE3355" w:rsidRDefault="0098273B" w:rsidP="00EA1CDF">
            <w:pPr>
              <w:pStyle w:val="TableParagraph"/>
              <w:widowControl/>
              <w:jc w:val="center"/>
              <w:rPr>
                <w:b/>
              </w:rPr>
            </w:pPr>
            <w:r w:rsidRPr="00EE3355">
              <w:rPr>
                <w:b/>
              </w:rPr>
              <w:t>Třídy orgánových systémů dle</w:t>
            </w:r>
            <w:r w:rsidR="00627304" w:rsidRPr="00EE3355">
              <w:rPr>
                <w:b/>
              </w:rPr>
              <w:t xml:space="preserve"> </w:t>
            </w:r>
            <w:r w:rsidRPr="00EE3355">
              <w:rPr>
                <w:b/>
              </w:rPr>
              <w:t>MedDRA</w:t>
            </w:r>
          </w:p>
        </w:tc>
        <w:tc>
          <w:tcPr>
            <w:tcW w:w="7135" w:type="dxa"/>
            <w:gridSpan w:val="4"/>
          </w:tcPr>
          <w:p w14:paraId="358B8A1C" w14:textId="77777777" w:rsidR="00222DE0" w:rsidRPr="00EE3355" w:rsidRDefault="0098273B" w:rsidP="00EA1CDF">
            <w:pPr>
              <w:pStyle w:val="TableParagraph"/>
              <w:widowControl/>
              <w:jc w:val="center"/>
              <w:rPr>
                <w:b/>
              </w:rPr>
            </w:pPr>
            <w:r w:rsidRPr="00EE3355">
              <w:rPr>
                <w:b/>
              </w:rPr>
              <w:t>Kategorie frekvencí s preferovanými termíny</w:t>
            </w:r>
          </w:p>
        </w:tc>
      </w:tr>
      <w:tr w:rsidR="00222DE0" w:rsidRPr="00EE3355" w14:paraId="616B82E9" w14:textId="77777777" w:rsidTr="00130E42">
        <w:trPr>
          <w:cantSplit/>
          <w:trHeight w:val="20"/>
          <w:tblHeader/>
        </w:trPr>
        <w:tc>
          <w:tcPr>
            <w:tcW w:w="1964" w:type="dxa"/>
            <w:vMerge/>
            <w:tcBorders>
              <w:top w:val="nil"/>
            </w:tcBorders>
          </w:tcPr>
          <w:p w14:paraId="7A25210A" w14:textId="77777777" w:rsidR="00222DE0" w:rsidRPr="00EE3355" w:rsidRDefault="00222DE0" w:rsidP="00EA1CDF">
            <w:pPr>
              <w:widowControl/>
              <w:rPr>
                <w:sz w:val="2"/>
                <w:szCs w:val="2"/>
              </w:rPr>
            </w:pPr>
          </w:p>
        </w:tc>
        <w:tc>
          <w:tcPr>
            <w:tcW w:w="1662" w:type="dxa"/>
          </w:tcPr>
          <w:p w14:paraId="7D717497" w14:textId="77777777" w:rsidR="00222DE0" w:rsidRPr="00EE3355" w:rsidRDefault="0098273B" w:rsidP="00EA1CDF">
            <w:pPr>
              <w:pStyle w:val="TableParagraph"/>
              <w:widowControl/>
              <w:jc w:val="center"/>
              <w:rPr>
                <w:b/>
              </w:rPr>
            </w:pPr>
            <w:r w:rsidRPr="00EE3355">
              <w:rPr>
                <w:b/>
              </w:rPr>
              <w:t>Velmi časté</w:t>
            </w:r>
          </w:p>
        </w:tc>
        <w:tc>
          <w:tcPr>
            <w:tcW w:w="2044" w:type="dxa"/>
          </w:tcPr>
          <w:p w14:paraId="0492BDB8" w14:textId="77777777" w:rsidR="00222DE0" w:rsidRPr="00EE3355" w:rsidRDefault="0098273B" w:rsidP="00EA1CDF">
            <w:pPr>
              <w:pStyle w:val="TableParagraph"/>
              <w:widowControl/>
              <w:jc w:val="center"/>
              <w:rPr>
                <w:b/>
              </w:rPr>
            </w:pPr>
            <w:r w:rsidRPr="00EE3355">
              <w:rPr>
                <w:b/>
              </w:rPr>
              <w:t>Časté</w:t>
            </w:r>
          </w:p>
        </w:tc>
        <w:tc>
          <w:tcPr>
            <w:tcW w:w="1889" w:type="dxa"/>
          </w:tcPr>
          <w:p w14:paraId="0C84EEE0" w14:textId="77777777" w:rsidR="00222DE0" w:rsidRPr="00EE3355" w:rsidRDefault="0098273B" w:rsidP="00EA1CDF">
            <w:pPr>
              <w:pStyle w:val="TableParagraph"/>
              <w:widowControl/>
              <w:rPr>
                <w:b/>
              </w:rPr>
            </w:pPr>
            <w:r w:rsidRPr="00EE3355">
              <w:rPr>
                <w:b/>
              </w:rPr>
              <w:t>Méně časté</w:t>
            </w:r>
          </w:p>
        </w:tc>
        <w:tc>
          <w:tcPr>
            <w:tcW w:w="1540" w:type="dxa"/>
          </w:tcPr>
          <w:p w14:paraId="62CCAF3C" w14:textId="77777777" w:rsidR="00222DE0" w:rsidRPr="00EE3355" w:rsidRDefault="0098273B" w:rsidP="00EA1CDF">
            <w:pPr>
              <w:pStyle w:val="TableParagraph"/>
              <w:widowControl/>
              <w:rPr>
                <w:b/>
              </w:rPr>
            </w:pPr>
            <w:r w:rsidRPr="00EE3355">
              <w:rPr>
                <w:b/>
              </w:rPr>
              <w:t>Vzácné</w:t>
            </w:r>
          </w:p>
        </w:tc>
      </w:tr>
      <w:tr w:rsidR="00222DE0" w:rsidRPr="00EE3355" w14:paraId="7879CE4C" w14:textId="77777777" w:rsidTr="00130E42">
        <w:trPr>
          <w:cantSplit/>
          <w:trHeight w:val="20"/>
        </w:trPr>
        <w:tc>
          <w:tcPr>
            <w:tcW w:w="1964" w:type="dxa"/>
          </w:tcPr>
          <w:p w14:paraId="748A16FB" w14:textId="77777777" w:rsidR="00222DE0" w:rsidRPr="00EE3355" w:rsidRDefault="0098273B" w:rsidP="00EA1CDF">
            <w:pPr>
              <w:pStyle w:val="TableParagraph"/>
              <w:widowControl/>
            </w:pPr>
            <w:r w:rsidRPr="00EE3355">
              <w:t>Infekce a infestace</w:t>
            </w:r>
          </w:p>
        </w:tc>
        <w:tc>
          <w:tcPr>
            <w:tcW w:w="1662" w:type="dxa"/>
          </w:tcPr>
          <w:p w14:paraId="70A0A26D" w14:textId="77777777" w:rsidR="00222DE0" w:rsidRPr="00EE3355" w:rsidRDefault="0098273B" w:rsidP="00EA1CDF">
            <w:pPr>
              <w:pStyle w:val="TableParagraph"/>
              <w:widowControl/>
            </w:pPr>
            <w:r w:rsidRPr="00EE3355">
              <w:t>Infekce horních cest dýchacích</w:t>
            </w:r>
          </w:p>
        </w:tc>
        <w:tc>
          <w:tcPr>
            <w:tcW w:w="2044" w:type="dxa"/>
          </w:tcPr>
          <w:p w14:paraId="5D842A8E" w14:textId="77777777" w:rsidR="00222DE0" w:rsidRPr="00EE3355" w:rsidRDefault="0098273B" w:rsidP="00EA1CDF">
            <w:pPr>
              <w:pStyle w:val="TableParagraph"/>
              <w:widowControl/>
            </w:pPr>
            <w:r w:rsidRPr="00EE3355">
              <w:t>Celulitida, pneumonie, orální herpes simplex,</w:t>
            </w:r>
            <w:r w:rsidR="00E16E62" w:rsidRPr="00EE3355">
              <w:t xml:space="preserve"> </w:t>
            </w:r>
            <w:r w:rsidRPr="00EE3355">
              <w:t>herpes zoster</w:t>
            </w:r>
          </w:p>
        </w:tc>
        <w:tc>
          <w:tcPr>
            <w:tcW w:w="1889" w:type="dxa"/>
          </w:tcPr>
          <w:p w14:paraId="32616646" w14:textId="77777777" w:rsidR="00222DE0" w:rsidRPr="00EE3355" w:rsidRDefault="0098273B" w:rsidP="00EA1CDF">
            <w:pPr>
              <w:pStyle w:val="TableParagraph"/>
              <w:widowControl/>
            </w:pPr>
            <w:r w:rsidRPr="00EE3355">
              <w:t>Divertikulitida</w:t>
            </w:r>
          </w:p>
        </w:tc>
        <w:tc>
          <w:tcPr>
            <w:tcW w:w="1540" w:type="dxa"/>
          </w:tcPr>
          <w:p w14:paraId="5D9D595B" w14:textId="77777777" w:rsidR="00222DE0" w:rsidRPr="00EE3355" w:rsidRDefault="00222DE0" w:rsidP="00EA1CDF">
            <w:pPr>
              <w:pStyle w:val="TableParagraph"/>
              <w:widowControl/>
            </w:pPr>
          </w:p>
        </w:tc>
      </w:tr>
      <w:tr w:rsidR="00222DE0" w:rsidRPr="00EE3355" w14:paraId="3B6B5F3C" w14:textId="77777777" w:rsidTr="00130E42">
        <w:trPr>
          <w:cantSplit/>
          <w:trHeight w:val="20"/>
        </w:trPr>
        <w:tc>
          <w:tcPr>
            <w:tcW w:w="1964" w:type="dxa"/>
          </w:tcPr>
          <w:p w14:paraId="73EC3C6E" w14:textId="77777777" w:rsidR="00222DE0" w:rsidRPr="00EE3355" w:rsidRDefault="0098273B" w:rsidP="00EA1CDF">
            <w:pPr>
              <w:pStyle w:val="TableParagraph"/>
              <w:widowControl/>
            </w:pPr>
            <w:r w:rsidRPr="00EE3355">
              <w:lastRenderedPageBreak/>
              <w:t>Poruchy krve a lymfatického systému</w:t>
            </w:r>
          </w:p>
        </w:tc>
        <w:tc>
          <w:tcPr>
            <w:tcW w:w="1662" w:type="dxa"/>
          </w:tcPr>
          <w:p w14:paraId="48D74DDC" w14:textId="77777777" w:rsidR="00222DE0" w:rsidRPr="00EE3355" w:rsidRDefault="00222DE0" w:rsidP="00EA1CDF">
            <w:pPr>
              <w:pStyle w:val="TableParagraph"/>
              <w:widowControl/>
            </w:pPr>
          </w:p>
        </w:tc>
        <w:tc>
          <w:tcPr>
            <w:tcW w:w="2044" w:type="dxa"/>
          </w:tcPr>
          <w:p w14:paraId="06D2BB2E" w14:textId="77777777" w:rsidR="00222DE0" w:rsidRPr="00EE3355" w:rsidRDefault="0098273B" w:rsidP="00EA1CDF">
            <w:pPr>
              <w:pStyle w:val="TableParagraph"/>
              <w:widowControl/>
            </w:pPr>
            <w:r w:rsidRPr="00EE3355">
              <w:t>Leukopenie, neutropenie, hypofibrinogenemie</w:t>
            </w:r>
          </w:p>
        </w:tc>
        <w:tc>
          <w:tcPr>
            <w:tcW w:w="1889" w:type="dxa"/>
          </w:tcPr>
          <w:p w14:paraId="5D638769" w14:textId="77777777" w:rsidR="00222DE0" w:rsidRPr="00EE3355" w:rsidRDefault="00222DE0" w:rsidP="00EA1CDF">
            <w:pPr>
              <w:pStyle w:val="TableParagraph"/>
              <w:widowControl/>
            </w:pPr>
          </w:p>
        </w:tc>
        <w:tc>
          <w:tcPr>
            <w:tcW w:w="1540" w:type="dxa"/>
          </w:tcPr>
          <w:p w14:paraId="4E4EADB9" w14:textId="77777777" w:rsidR="00222DE0" w:rsidRPr="00EE3355" w:rsidRDefault="00222DE0" w:rsidP="00EA1CDF">
            <w:pPr>
              <w:pStyle w:val="TableParagraph"/>
              <w:widowControl/>
            </w:pPr>
          </w:p>
        </w:tc>
      </w:tr>
      <w:tr w:rsidR="00222DE0" w:rsidRPr="00EE3355" w14:paraId="2AC064E6" w14:textId="77777777" w:rsidTr="00130E42">
        <w:trPr>
          <w:cantSplit/>
          <w:trHeight w:val="20"/>
        </w:trPr>
        <w:tc>
          <w:tcPr>
            <w:tcW w:w="1964" w:type="dxa"/>
          </w:tcPr>
          <w:p w14:paraId="21315026" w14:textId="77777777" w:rsidR="00222DE0" w:rsidRPr="00EE3355" w:rsidRDefault="0098273B" w:rsidP="00EA1CDF">
            <w:pPr>
              <w:pStyle w:val="TableParagraph"/>
              <w:widowControl/>
            </w:pPr>
            <w:r w:rsidRPr="00EE3355">
              <w:t>Poruchy imunitního</w:t>
            </w:r>
            <w:r w:rsidR="00E16E62" w:rsidRPr="00EE3355">
              <w:t xml:space="preserve"> </w:t>
            </w:r>
            <w:r w:rsidRPr="00EE3355">
              <w:t>systému</w:t>
            </w:r>
          </w:p>
        </w:tc>
        <w:tc>
          <w:tcPr>
            <w:tcW w:w="1662" w:type="dxa"/>
          </w:tcPr>
          <w:p w14:paraId="7BDC82FD" w14:textId="77777777" w:rsidR="00222DE0" w:rsidRPr="00EE3355" w:rsidRDefault="00222DE0" w:rsidP="00EA1CDF">
            <w:pPr>
              <w:pStyle w:val="TableParagraph"/>
              <w:widowControl/>
            </w:pPr>
          </w:p>
        </w:tc>
        <w:tc>
          <w:tcPr>
            <w:tcW w:w="2044" w:type="dxa"/>
          </w:tcPr>
          <w:p w14:paraId="559A2529" w14:textId="77777777" w:rsidR="00222DE0" w:rsidRPr="00EE3355" w:rsidRDefault="00222DE0" w:rsidP="00EA1CDF">
            <w:pPr>
              <w:pStyle w:val="TableParagraph"/>
              <w:widowControl/>
            </w:pPr>
          </w:p>
        </w:tc>
        <w:tc>
          <w:tcPr>
            <w:tcW w:w="1889" w:type="dxa"/>
          </w:tcPr>
          <w:p w14:paraId="15907C79" w14:textId="77777777" w:rsidR="00222DE0" w:rsidRPr="00EE3355" w:rsidRDefault="00222DE0" w:rsidP="00EA1CDF">
            <w:pPr>
              <w:pStyle w:val="TableParagraph"/>
              <w:widowControl/>
            </w:pPr>
          </w:p>
        </w:tc>
        <w:tc>
          <w:tcPr>
            <w:tcW w:w="1540" w:type="dxa"/>
          </w:tcPr>
          <w:p w14:paraId="6303FAFB" w14:textId="77777777" w:rsidR="00222DE0" w:rsidRPr="00EE3355" w:rsidRDefault="0098273B" w:rsidP="00EA1CDF">
            <w:pPr>
              <w:pStyle w:val="TableParagraph"/>
              <w:widowControl/>
            </w:pPr>
            <w:r w:rsidRPr="00EE3355">
              <w:t>Anafylaxe (fatální)</w:t>
            </w:r>
            <w:r w:rsidRPr="00EE3355">
              <w:rPr>
                <w:vertAlign w:val="superscript"/>
              </w:rPr>
              <w:t>1,2,3</w:t>
            </w:r>
          </w:p>
        </w:tc>
      </w:tr>
      <w:tr w:rsidR="00222DE0" w:rsidRPr="00EE3355" w14:paraId="2634434B" w14:textId="77777777" w:rsidTr="00130E42">
        <w:trPr>
          <w:cantSplit/>
          <w:trHeight w:val="20"/>
        </w:trPr>
        <w:tc>
          <w:tcPr>
            <w:tcW w:w="1964" w:type="dxa"/>
          </w:tcPr>
          <w:p w14:paraId="31EB8CBE" w14:textId="77777777" w:rsidR="00222DE0" w:rsidRPr="00EE3355" w:rsidRDefault="0098273B" w:rsidP="00EA1CDF">
            <w:pPr>
              <w:pStyle w:val="TableParagraph"/>
              <w:widowControl/>
            </w:pPr>
            <w:r w:rsidRPr="00EE3355">
              <w:t>Endokrinníporuchy</w:t>
            </w:r>
          </w:p>
        </w:tc>
        <w:tc>
          <w:tcPr>
            <w:tcW w:w="1662" w:type="dxa"/>
          </w:tcPr>
          <w:p w14:paraId="34832FEA" w14:textId="77777777" w:rsidR="00222DE0" w:rsidRPr="00EE3355" w:rsidRDefault="00222DE0" w:rsidP="00EA1CDF">
            <w:pPr>
              <w:pStyle w:val="TableParagraph"/>
              <w:widowControl/>
            </w:pPr>
          </w:p>
        </w:tc>
        <w:tc>
          <w:tcPr>
            <w:tcW w:w="2044" w:type="dxa"/>
          </w:tcPr>
          <w:p w14:paraId="27D1E426" w14:textId="77777777" w:rsidR="00222DE0" w:rsidRPr="00EE3355" w:rsidRDefault="00222DE0" w:rsidP="00EA1CDF">
            <w:pPr>
              <w:pStyle w:val="TableParagraph"/>
              <w:widowControl/>
            </w:pPr>
          </w:p>
        </w:tc>
        <w:tc>
          <w:tcPr>
            <w:tcW w:w="1889" w:type="dxa"/>
          </w:tcPr>
          <w:p w14:paraId="3A2A4BDD" w14:textId="77777777" w:rsidR="00222DE0" w:rsidRPr="00EE3355" w:rsidRDefault="0098273B" w:rsidP="00EA1CDF">
            <w:pPr>
              <w:pStyle w:val="TableParagraph"/>
              <w:widowControl/>
            </w:pPr>
            <w:r w:rsidRPr="00EE3355">
              <w:t>Hypothyroidismus</w:t>
            </w:r>
          </w:p>
        </w:tc>
        <w:tc>
          <w:tcPr>
            <w:tcW w:w="1540" w:type="dxa"/>
          </w:tcPr>
          <w:p w14:paraId="03AD30C2" w14:textId="77777777" w:rsidR="00222DE0" w:rsidRPr="00EE3355" w:rsidRDefault="00222DE0" w:rsidP="00EA1CDF">
            <w:pPr>
              <w:pStyle w:val="TableParagraph"/>
              <w:widowControl/>
            </w:pPr>
          </w:p>
        </w:tc>
      </w:tr>
      <w:tr w:rsidR="00222DE0" w:rsidRPr="00EE3355" w14:paraId="5EF42891" w14:textId="77777777" w:rsidTr="00130E42">
        <w:trPr>
          <w:cantSplit/>
          <w:trHeight w:val="20"/>
        </w:trPr>
        <w:tc>
          <w:tcPr>
            <w:tcW w:w="1964" w:type="dxa"/>
          </w:tcPr>
          <w:p w14:paraId="3E064C4B" w14:textId="77777777" w:rsidR="00222DE0" w:rsidRPr="00EE3355" w:rsidRDefault="0098273B" w:rsidP="00EA1CDF">
            <w:pPr>
              <w:pStyle w:val="TableParagraph"/>
              <w:widowControl/>
            </w:pPr>
            <w:r w:rsidRPr="00EE3355">
              <w:t>Poruchy</w:t>
            </w:r>
            <w:r w:rsidR="00E04932" w:rsidRPr="00EE3355">
              <w:t xml:space="preserve"> </w:t>
            </w:r>
            <w:r w:rsidRPr="00EE3355">
              <w:t>metabolismu a výživy</w:t>
            </w:r>
          </w:p>
        </w:tc>
        <w:tc>
          <w:tcPr>
            <w:tcW w:w="1662" w:type="dxa"/>
          </w:tcPr>
          <w:p w14:paraId="12A9ADFE" w14:textId="77777777" w:rsidR="00222DE0" w:rsidRPr="00EE3355" w:rsidRDefault="0098273B" w:rsidP="00EA1CDF">
            <w:pPr>
              <w:pStyle w:val="TableParagraph"/>
              <w:widowControl/>
            </w:pPr>
            <w:r w:rsidRPr="00EE3355">
              <w:t>Hypercholesterolemie*</w:t>
            </w:r>
          </w:p>
        </w:tc>
        <w:tc>
          <w:tcPr>
            <w:tcW w:w="2044" w:type="dxa"/>
          </w:tcPr>
          <w:p w14:paraId="1284AD76" w14:textId="77777777" w:rsidR="00222DE0" w:rsidRPr="00EE3355" w:rsidRDefault="00222DE0" w:rsidP="00EA1CDF">
            <w:pPr>
              <w:pStyle w:val="TableParagraph"/>
              <w:widowControl/>
            </w:pPr>
          </w:p>
        </w:tc>
        <w:tc>
          <w:tcPr>
            <w:tcW w:w="1889" w:type="dxa"/>
          </w:tcPr>
          <w:p w14:paraId="06FF4696" w14:textId="77777777" w:rsidR="00222DE0" w:rsidRPr="00EE3355" w:rsidRDefault="0098273B" w:rsidP="00EA1CDF">
            <w:pPr>
              <w:pStyle w:val="TableParagraph"/>
              <w:widowControl/>
            </w:pPr>
            <w:r w:rsidRPr="00EE3355">
              <w:t>Hypertriglyceridemie</w:t>
            </w:r>
          </w:p>
        </w:tc>
        <w:tc>
          <w:tcPr>
            <w:tcW w:w="1540" w:type="dxa"/>
          </w:tcPr>
          <w:p w14:paraId="0A439D3F" w14:textId="77777777" w:rsidR="00222DE0" w:rsidRPr="00EE3355" w:rsidRDefault="00222DE0" w:rsidP="00EA1CDF">
            <w:pPr>
              <w:pStyle w:val="TableParagraph"/>
              <w:widowControl/>
            </w:pPr>
          </w:p>
        </w:tc>
      </w:tr>
      <w:tr w:rsidR="00222DE0" w:rsidRPr="00EE3355" w14:paraId="3EA7FC71" w14:textId="77777777" w:rsidTr="00130E42">
        <w:trPr>
          <w:cantSplit/>
          <w:trHeight w:val="20"/>
        </w:trPr>
        <w:tc>
          <w:tcPr>
            <w:tcW w:w="1964" w:type="dxa"/>
          </w:tcPr>
          <w:p w14:paraId="57C522BC" w14:textId="77777777" w:rsidR="00222DE0" w:rsidRPr="00EE3355" w:rsidRDefault="0098273B" w:rsidP="00EA1CDF">
            <w:pPr>
              <w:pStyle w:val="TableParagraph"/>
              <w:widowControl/>
            </w:pPr>
            <w:r w:rsidRPr="00EE3355">
              <w:t>Poruchy nervového systému</w:t>
            </w:r>
          </w:p>
        </w:tc>
        <w:tc>
          <w:tcPr>
            <w:tcW w:w="1662" w:type="dxa"/>
          </w:tcPr>
          <w:p w14:paraId="40D25AE4" w14:textId="77777777" w:rsidR="00222DE0" w:rsidRPr="00EE3355" w:rsidRDefault="00222DE0" w:rsidP="00EA1CDF">
            <w:pPr>
              <w:pStyle w:val="TableParagraph"/>
              <w:widowControl/>
            </w:pPr>
          </w:p>
        </w:tc>
        <w:tc>
          <w:tcPr>
            <w:tcW w:w="2044" w:type="dxa"/>
          </w:tcPr>
          <w:p w14:paraId="60F5B970" w14:textId="77777777" w:rsidR="00222DE0" w:rsidRPr="00EE3355" w:rsidRDefault="0098273B" w:rsidP="00EA1CDF">
            <w:pPr>
              <w:pStyle w:val="TableParagraph"/>
              <w:widowControl/>
            </w:pPr>
            <w:r w:rsidRPr="00EE3355">
              <w:t>Bolest hlavy, závrať</w:t>
            </w:r>
          </w:p>
        </w:tc>
        <w:tc>
          <w:tcPr>
            <w:tcW w:w="1889" w:type="dxa"/>
          </w:tcPr>
          <w:p w14:paraId="4DD7EB02" w14:textId="77777777" w:rsidR="00222DE0" w:rsidRPr="00EE3355" w:rsidRDefault="00222DE0" w:rsidP="00EA1CDF">
            <w:pPr>
              <w:pStyle w:val="TableParagraph"/>
              <w:widowControl/>
            </w:pPr>
          </w:p>
        </w:tc>
        <w:tc>
          <w:tcPr>
            <w:tcW w:w="1540" w:type="dxa"/>
          </w:tcPr>
          <w:p w14:paraId="6F5F8616" w14:textId="77777777" w:rsidR="00222DE0" w:rsidRPr="00EE3355" w:rsidRDefault="00222DE0" w:rsidP="00EA1CDF">
            <w:pPr>
              <w:pStyle w:val="TableParagraph"/>
              <w:widowControl/>
            </w:pPr>
          </w:p>
        </w:tc>
      </w:tr>
      <w:tr w:rsidR="00222DE0" w:rsidRPr="00EE3355" w14:paraId="4E51DEAB" w14:textId="77777777" w:rsidTr="00130E42">
        <w:trPr>
          <w:cantSplit/>
          <w:trHeight w:val="20"/>
        </w:trPr>
        <w:tc>
          <w:tcPr>
            <w:tcW w:w="1964" w:type="dxa"/>
          </w:tcPr>
          <w:p w14:paraId="4D8C5E08" w14:textId="77777777" w:rsidR="00222DE0" w:rsidRPr="00EE3355" w:rsidRDefault="0098273B" w:rsidP="00EA1CDF">
            <w:pPr>
              <w:pStyle w:val="TableParagraph"/>
              <w:widowControl/>
            </w:pPr>
            <w:r w:rsidRPr="00EE3355">
              <w:t>Poruchy oka</w:t>
            </w:r>
          </w:p>
        </w:tc>
        <w:tc>
          <w:tcPr>
            <w:tcW w:w="1662" w:type="dxa"/>
          </w:tcPr>
          <w:p w14:paraId="1D0030BA" w14:textId="77777777" w:rsidR="00222DE0" w:rsidRPr="00EE3355" w:rsidRDefault="00222DE0" w:rsidP="00EA1CDF">
            <w:pPr>
              <w:pStyle w:val="TableParagraph"/>
              <w:widowControl/>
              <w:rPr>
                <w:sz w:val="18"/>
              </w:rPr>
            </w:pPr>
          </w:p>
        </w:tc>
        <w:tc>
          <w:tcPr>
            <w:tcW w:w="2044" w:type="dxa"/>
          </w:tcPr>
          <w:p w14:paraId="2B59FE8D" w14:textId="77777777" w:rsidR="00222DE0" w:rsidRPr="00EE3355" w:rsidRDefault="0098273B" w:rsidP="00EA1CDF">
            <w:pPr>
              <w:pStyle w:val="TableParagraph"/>
              <w:widowControl/>
            </w:pPr>
            <w:r w:rsidRPr="00EE3355">
              <w:t>Konjunktivitida</w:t>
            </w:r>
          </w:p>
        </w:tc>
        <w:tc>
          <w:tcPr>
            <w:tcW w:w="1889" w:type="dxa"/>
          </w:tcPr>
          <w:p w14:paraId="36873CCB" w14:textId="77777777" w:rsidR="00222DE0" w:rsidRPr="00EE3355" w:rsidRDefault="00222DE0" w:rsidP="00EA1CDF">
            <w:pPr>
              <w:pStyle w:val="TableParagraph"/>
              <w:widowControl/>
              <w:rPr>
                <w:sz w:val="18"/>
              </w:rPr>
            </w:pPr>
          </w:p>
        </w:tc>
        <w:tc>
          <w:tcPr>
            <w:tcW w:w="1540" w:type="dxa"/>
          </w:tcPr>
          <w:p w14:paraId="7D33FBDA" w14:textId="77777777" w:rsidR="00222DE0" w:rsidRPr="00EE3355" w:rsidRDefault="00222DE0" w:rsidP="00EA1CDF">
            <w:pPr>
              <w:pStyle w:val="TableParagraph"/>
              <w:widowControl/>
              <w:rPr>
                <w:sz w:val="18"/>
              </w:rPr>
            </w:pPr>
          </w:p>
        </w:tc>
      </w:tr>
      <w:tr w:rsidR="00222DE0" w:rsidRPr="00EE3355" w14:paraId="79E10502" w14:textId="77777777" w:rsidTr="00130E42">
        <w:trPr>
          <w:cantSplit/>
          <w:trHeight w:val="20"/>
        </w:trPr>
        <w:tc>
          <w:tcPr>
            <w:tcW w:w="1964" w:type="dxa"/>
          </w:tcPr>
          <w:p w14:paraId="35D8255B" w14:textId="77777777" w:rsidR="00222DE0" w:rsidRPr="00EE3355" w:rsidRDefault="0098273B" w:rsidP="00EA1CDF">
            <w:pPr>
              <w:pStyle w:val="TableParagraph"/>
              <w:widowControl/>
            </w:pPr>
            <w:r w:rsidRPr="00EE3355">
              <w:t>Cévní poruchy</w:t>
            </w:r>
          </w:p>
        </w:tc>
        <w:tc>
          <w:tcPr>
            <w:tcW w:w="1662" w:type="dxa"/>
          </w:tcPr>
          <w:p w14:paraId="401DE8BA" w14:textId="77777777" w:rsidR="00222DE0" w:rsidRPr="00EE3355" w:rsidRDefault="00222DE0" w:rsidP="00EA1CDF">
            <w:pPr>
              <w:pStyle w:val="TableParagraph"/>
              <w:widowControl/>
              <w:rPr>
                <w:sz w:val="18"/>
              </w:rPr>
            </w:pPr>
          </w:p>
        </w:tc>
        <w:tc>
          <w:tcPr>
            <w:tcW w:w="2044" w:type="dxa"/>
          </w:tcPr>
          <w:p w14:paraId="56760B26" w14:textId="77777777" w:rsidR="00222DE0" w:rsidRPr="00EE3355" w:rsidRDefault="0098273B" w:rsidP="00EA1CDF">
            <w:pPr>
              <w:pStyle w:val="TableParagraph"/>
              <w:widowControl/>
            </w:pPr>
            <w:r w:rsidRPr="00EE3355">
              <w:t>Hypertenze</w:t>
            </w:r>
          </w:p>
        </w:tc>
        <w:tc>
          <w:tcPr>
            <w:tcW w:w="1889" w:type="dxa"/>
          </w:tcPr>
          <w:p w14:paraId="09969A02" w14:textId="77777777" w:rsidR="00222DE0" w:rsidRPr="00EE3355" w:rsidRDefault="00222DE0" w:rsidP="00EA1CDF">
            <w:pPr>
              <w:pStyle w:val="TableParagraph"/>
              <w:widowControl/>
              <w:rPr>
                <w:sz w:val="18"/>
              </w:rPr>
            </w:pPr>
          </w:p>
        </w:tc>
        <w:tc>
          <w:tcPr>
            <w:tcW w:w="1540" w:type="dxa"/>
          </w:tcPr>
          <w:p w14:paraId="719EF319" w14:textId="77777777" w:rsidR="00222DE0" w:rsidRPr="00EE3355" w:rsidRDefault="00222DE0" w:rsidP="00EA1CDF">
            <w:pPr>
              <w:pStyle w:val="TableParagraph"/>
              <w:widowControl/>
              <w:rPr>
                <w:sz w:val="18"/>
              </w:rPr>
            </w:pPr>
          </w:p>
        </w:tc>
      </w:tr>
      <w:tr w:rsidR="00222DE0" w:rsidRPr="00EE3355" w14:paraId="1F6E63DD" w14:textId="77777777" w:rsidTr="00130E42">
        <w:trPr>
          <w:cantSplit/>
          <w:trHeight w:val="20"/>
        </w:trPr>
        <w:tc>
          <w:tcPr>
            <w:tcW w:w="1964" w:type="dxa"/>
          </w:tcPr>
          <w:p w14:paraId="488A128A" w14:textId="77777777" w:rsidR="00222DE0" w:rsidRPr="00EE3355" w:rsidRDefault="0098273B" w:rsidP="00EA1CDF">
            <w:pPr>
              <w:pStyle w:val="TableParagraph"/>
              <w:widowControl/>
            </w:pPr>
            <w:r w:rsidRPr="00EE3355">
              <w:t>Respirační, hrudní a mediastinální</w:t>
            </w:r>
            <w:r w:rsidR="00627304" w:rsidRPr="00EE3355">
              <w:t xml:space="preserve"> </w:t>
            </w:r>
            <w:r w:rsidRPr="00EE3355">
              <w:t>poruchy</w:t>
            </w:r>
          </w:p>
        </w:tc>
        <w:tc>
          <w:tcPr>
            <w:tcW w:w="1662" w:type="dxa"/>
          </w:tcPr>
          <w:p w14:paraId="73F618DD" w14:textId="77777777" w:rsidR="00222DE0" w:rsidRPr="00EE3355" w:rsidRDefault="00222DE0" w:rsidP="00EA1CDF">
            <w:pPr>
              <w:pStyle w:val="TableParagraph"/>
              <w:widowControl/>
            </w:pPr>
          </w:p>
        </w:tc>
        <w:tc>
          <w:tcPr>
            <w:tcW w:w="2044" w:type="dxa"/>
          </w:tcPr>
          <w:p w14:paraId="4324C33B" w14:textId="77777777" w:rsidR="00222DE0" w:rsidRPr="00EE3355" w:rsidRDefault="0098273B" w:rsidP="00EA1CDF">
            <w:pPr>
              <w:pStyle w:val="TableParagraph"/>
              <w:widowControl/>
            </w:pPr>
            <w:r w:rsidRPr="00EE3355">
              <w:t>Kašel, dyspnoe</w:t>
            </w:r>
          </w:p>
        </w:tc>
        <w:tc>
          <w:tcPr>
            <w:tcW w:w="1889" w:type="dxa"/>
          </w:tcPr>
          <w:p w14:paraId="74628C77" w14:textId="77777777" w:rsidR="00222DE0" w:rsidRPr="00EE3355" w:rsidRDefault="00222DE0" w:rsidP="00EA1CDF">
            <w:pPr>
              <w:pStyle w:val="TableParagraph"/>
              <w:widowControl/>
            </w:pPr>
          </w:p>
        </w:tc>
        <w:tc>
          <w:tcPr>
            <w:tcW w:w="1540" w:type="dxa"/>
          </w:tcPr>
          <w:p w14:paraId="03B3AFDD" w14:textId="77777777" w:rsidR="00222DE0" w:rsidRPr="00EE3355" w:rsidRDefault="00222DE0" w:rsidP="00EA1CDF">
            <w:pPr>
              <w:pStyle w:val="TableParagraph"/>
              <w:widowControl/>
            </w:pPr>
          </w:p>
        </w:tc>
      </w:tr>
      <w:tr w:rsidR="00222DE0" w:rsidRPr="00EE3355" w14:paraId="67CF4D6F" w14:textId="77777777" w:rsidTr="00130E42">
        <w:trPr>
          <w:cantSplit/>
          <w:trHeight w:val="20"/>
        </w:trPr>
        <w:tc>
          <w:tcPr>
            <w:tcW w:w="1964" w:type="dxa"/>
          </w:tcPr>
          <w:p w14:paraId="68F9E010" w14:textId="77777777" w:rsidR="00222DE0" w:rsidRPr="00EE3355" w:rsidRDefault="0098273B" w:rsidP="00EA1CDF">
            <w:pPr>
              <w:pStyle w:val="TableParagraph"/>
              <w:widowControl/>
            </w:pPr>
            <w:r w:rsidRPr="00EE3355">
              <w:t>Gastrointestinální poruchy</w:t>
            </w:r>
          </w:p>
        </w:tc>
        <w:tc>
          <w:tcPr>
            <w:tcW w:w="1662" w:type="dxa"/>
          </w:tcPr>
          <w:p w14:paraId="5515AA4A" w14:textId="77777777" w:rsidR="00222DE0" w:rsidRPr="00EE3355" w:rsidRDefault="00222DE0" w:rsidP="00EA1CDF">
            <w:pPr>
              <w:pStyle w:val="TableParagraph"/>
              <w:widowControl/>
            </w:pPr>
          </w:p>
        </w:tc>
        <w:tc>
          <w:tcPr>
            <w:tcW w:w="2044" w:type="dxa"/>
          </w:tcPr>
          <w:p w14:paraId="3B32C8FA" w14:textId="77777777" w:rsidR="00222DE0" w:rsidRPr="00EE3355" w:rsidRDefault="0098273B" w:rsidP="00EA1CDF">
            <w:pPr>
              <w:pStyle w:val="TableParagraph"/>
              <w:widowControl/>
            </w:pPr>
            <w:r w:rsidRPr="00EE3355">
              <w:t>Bolest břicha,</w:t>
            </w:r>
            <w:r w:rsidR="00627304" w:rsidRPr="00EE3355">
              <w:t xml:space="preserve"> </w:t>
            </w:r>
            <w:r w:rsidRPr="00EE3355">
              <w:t>ulcerace úst, gastritida</w:t>
            </w:r>
          </w:p>
        </w:tc>
        <w:tc>
          <w:tcPr>
            <w:tcW w:w="1889" w:type="dxa"/>
          </w:tcPr>
          <w:p w14:paraId="2654EE79" w14:textId="77777777" w:rsidR="00222DE0" w:rsidRPr="00EE3355" w:rsidRDefault="0098273B" w:rsidP="00EA1CDF">
            <w:pPr>
              <w:pStyle w:val="TableParagraph"/>
              <w:widowControl/>
            </w:pPr>
            <w:r w:rsidRPr="00EE3355">
              <w:t>Stomatitida,</w:t>
            </w:r>
            <w:r w:rsidR="00627304" w:rsidRPr="00EE3355">
              <w:t xml:space="preserve"> </w:t>
            </w:r>
            <w:r w:rsidRPr="00EE3355">
              <w:t>žaludeční vřed</w:t>
            </w:r>
          </w:p>
        </w:tc>
        <w:tc>
          <w:tcPr>
            <w:tcW w:w="1540" w:type="dxa"/>
          </w:tcPr>
          <w:p w14:paraId="234D4EA8" w14:textId="77777777" w:rsidR="00222DE0" w:rsidRPr="00EE3355" w:rsidRDefault="00222DE0" w:rsidP="00EA1CDF">
            <w:pPr>
              <w:pStyle w:val="TableParagraph"/>
              <w:widowControl/>
            </w:pPr>
          </w:p>
        </w:tc>
      </w:tr>
      <w:tr w:rsidR="00222DE0" w:rsidRPr="00EE3355" w14:paraId="33B0AA35" w14:textId="77777777" w:rsidTr="00130E42">
        <w:trPr>
          <w:cantSplit/>
          <w:trHeight w:val="20"/>
        </w:trPr>
        <w:tc>
          <w:tcPr>
            <w:tcW w:w="1964" w:type="dxa"/>
          </w:tcPr>
          <w:p w14:paraId="16DA8354" w14:textId="77777777" w:rsidR="00222DE0" w:rsidRPr="00EE3355" w:rsidRDefault="0098273B" w:rsidP="00CE49B3">
            <w:pPr>
              <w:pStyle w:val="TableParagraph"/>
              <w:widowControl/>
            </w:pPr>
            <w:r w:rsidRPr="00EE3355">
              <w:t>Poruchy jater a</w:t>
            </w:r>
            <w:r w:rsidR="003D0642" w:rsidRPr="00EE3355">
              <w:t xml:space="preserve"> </w:t>
            </w:r>
            <w:r w:rsidRPr="00EE3355">
              <w:t>žlučových cest</w:t>
            </w:r>
          </w:p>
        </w:tc>
        <w:tc>
          <w:tcPr>
            <w:tcW w:w="1662" w:type="dxa"/>
          </w:tcPr>
          <w:p w14:paraId="57ECE57C" w14:textId="77777777" w:rsidR="00222DE0" w:rsidRPr="00EE3355" w:rsidRDefault="00222DE0" w:rsidP="00CE49B3">
            <w:pPr>
              <w:pStyle w:val="TableParagraph"/>
              <w:widowControl/>
              <w:rPr>
                <w:sz w:val="20"/>
              </w:rPr>
            </w:pPr>
          </w:p>
        </w:tc>
        <w:tc>
          <w:tcPr>
            <w:tcW w:w="2044" w:type="dxa"/>
          </w:tcPr>
          <w:p w14:paraId="362CBA30" w14:textId="77777777" w:rsidR="00222DE0" w:rsidRPr="00EE3355" w:rsidRDefault="00222DE0" w:rsidP="00CE49B3">
            <w:pPr>
              <w:pStyle w:val="TableParagraph"/>
              <w:widowControl/>
              <w:rPr>
                <w:sz w:val="20"/>
              </w:rPr>
            </w:pPr>
          </w:p>
        </w:tc>
        <w:tc>
          <w:tcPr>
            <w:tcW w:w="1889" w:type="dxa"/>
          </w:tcPr>
          <w:p w14:paraId="6CEF8BBE" w14:textId="77777777" w:rsidR="00222DE0" w:rsidRPr="00EE3355" w:rsidRDefault="00222DE0" w:rsidP="00EA1CDF">
            <w:pPr>
              <w:pStyle w:val="TableParagraph"/>
              <w:widowControl/>
              <w:rPr>
                <w:sz w:val="20"/>
              </w:rPr>
            </w:pPr>
          </w:p>
        </w:tc>
        <w:tc>
          <w:tcPr>
            <w:tcW w:w="1540" w:type="dxa"/>
          </w:tcPr>
          <w:p w14:paraId="3CD0DCBA" w14:textId="77777777" w:rsidR="00222DE0" w:rsidRPr="00EE3355" w:rsidRDefault="0098273B" w:rsidP="00CE49B3">
            <w:pPr>
              <w:pStyle w:val="TableParagraph"/>
              <w:widowControl/>
              <w:ind w:left="18" w:hanging="16"/>
            </w:pPr>
            <w:r w:rsidRPr="00EE3355">
              <w:t>Polékové poškození jater, hepatitida, ikterus,</w:t>
            </w:r>
            <w:r w:rsidR="003D0642" w:rsidRPr="00EE3355">
              <w:t xml:space="preserve"> </w:t>
            </w:r>
            <w:r w:rsidRPr="00EE3355">
              <w:t>Velmi vzácné: jaterní selhání</w:t>
            </w:r>
          </w:p>
        </w:tc>
      </w:tr>
      <w:tr w:rsidR="00222DE0" w:rsidRPr="00EE3355" w14:paraId="1F386942" w14:textId="77777777" w:rsidTr="00130E42">
        <w:trPr>
          <w:cantSplit/>
          <w:trHeight w:val="20"/>
        </w:trPr>
        <w:tc>
          <w:tcPr>
            <w:tcW w:w="1964" w:type="dxa"/>
          </w:tcPr>
          <w:p w14:paraId="1B7E768B" w14:textId="77777777" w:rsidR="00222DE0" w:rsidRPr="00EE3355" w:rsidRDefault="0098273B" w:rsidP="00CE49B3">
            <w:pPr>
              <w:pStyle w:val="TableParagraph"/>
              <w:widowControl/>
            </w:pPr>
            <w:r w:rsidRPr="00EE3355">
              <w:t>Poruchy kůže a podkožní tkáně</w:t>
            </w:r>
          </w:p>
        </w:tc>
        <w:tc>
          <w:tcPr>
            <w:tcW w:w="1662" w:type="dxa"/>
          </w:tcPr>
          <w:p w14:paraId="5D966A51" w14:textId="77777777" w:rsidR="00222DE0" w:rsidRPr="00EE3355" w:rsidRDefault="00222DE0" w:rsidP="00CE49B3">
            <w:pPr>
              <w:pStyle w:val="TableParagraph"/>
              <w:widowControl/>
              <w:rPr>
                <w:sz w:val="20"/>
              </w:rPr>
            </w:pPr>
          </w:p>
        </w:tc>
        <w:tc>
          <w:tcPr>
            <w:tcW w:w="2044" w:type="dxa"/>
          </w:tcPr>
          <w:p w14:paraId="6E798BA0" w14:textId="77777777" w:rsidR="00222DE0" w:rsidRPr="00EE3355" w:rsidRDefault="0098273B" w:rsidP="00CE49B3">
            <w:pPr>
              <w:pStyle w:val="TableParagraph"/>
              <w:widowControl/>
            </w:pPr>
            <w:r w:rsidRPr="00EE3355">
              <w:t>Vyrážka, pruritus,</w:t>
            </w:r>
            <w:r w:rsidR="003D0642" w:rsidRPr="00EE3355">
              <w:t xml:space="preserve"> </w:t>
            </w:r>
            <w:r w:rsidRPr="00EE3355">
              <w:t>kopřivka</w:t>
            </w:r>
          </w:p>
        </w:tc>
        <w:tc>
          <w:tcPr>
            <w:tcW w:w="1889" w:type="dxa"/>
          </w:tcPr>
          <w:p w14:paraId="47EE7009" w14:textId="77777777" w:rsidR="00222DE0" w:rsidRPr="00EE3355" w:rsidRDefault="00222DE0" w:rsidP="00EA1CDF">
            <w:pPr>
              <w:pStyle w:val="TableParagraph"/>
              <w:widowControl/>
              <w:rPr>
                <w:sz w:val="20"/>
              </w:rPr>
            </w:pPr>
          </w:p>
        </w:tc>
        <w:tc>
          <w:tcPr>
            <w:tcW w:w="1540" w:type="dxa"/>
          </w:tcPr>
          <w:p w14:paraId="214CED4D" w14:textId="77777777" w:rsidR="00222DE0" w:rsidRPr="00EE3355" w:rsidRDefault="0098273B" w:rsidP="00EA1CDF">
            <w:pPr>
              <w:pStyle w:val="TableParagraph"/>
              <w:widowControl/>
              <w:ind w:left="-24"/>
            </w:pPr>
            <w:r w:rsidRPr="00EE3355">
              <w:t>Stevensův- Johnsonův</w:t>
            </w:r>
            <w:r w:rsidR="003D0642" w:rsidRPr="00EE3355">
              <w:t xml:space="preserve"> </w:t>
            </w:r>
            <w:r w:rsidRPr="00EE3355">
              <w:t>syndrom</w:t>
            </w:r>
            <w:r w:rsidRPr="00EE3355">
              <w:rPr>
                <w:vertAlign w:val="superscript"/>
              </w:rPr>
              <w:t>3</w:t>
            </w:r>
          </w:p>
        </w:tc>
      </w:tr>
      <w:tr w:rsidR="00222DE0" w:rsidRPr="00EE3355" w14:paraId="39A8503F" w14:textId="77777777" w:rsidTr="00130E42">
        <w:trPr>
          <w:cantSplit/>
          <w:trHeight w:val="20"/>
        </w:trPr>
        <w:tc>
          <w:tcPr>
            <w:tcW w:w="1964" w:type="dxa"/>
          </w:tcPr>
          <w:p w14:paraId="522ACAFD" w14:textId="77777777" w:rsidR="00222DE0" w:rsidRPr="00EE3355" w:rsidRDefault="0098273B" w:rsidP="00CE49B3">
            <w:pPr>
              <w:pStyle w:val="TableParagraph"/>
              <w:widowControl/>
            </w:pPr>
            <w:r w:rsidRPr="00EE3355">
              <w:t>Poruchy ledvin a</w:t>
            </w:r>
            <w:r w:rsidR="003D0642" w:rsidRPr="00EE3355">
              <w:t xml:space="preserve"> </w:t>
            </w:r>
            <w:r w:rsidRPr="00EE3355">
              <w:t>močových cest</w:t>
            </w:r>
          </w:p>
        </w:tc>
        <w:tc>
          <w:tcPr>
            <w:tcW w:w="1662" w:type="dxa"/>
          </w:tcPr>
          <w:p w14:paraId="4EBA26B9" w14:textId="77777777" w:rsidR="00222DE0" w:rsidRPr="00EE3355" w:rsidRDefault="00222DE0" w:rsidP="00CE49B3">
            <w:pPr>
              <w:pStyle w:val="TableParagraph"/>
              <w:widowControl/>
              <w:rPr>
                <w:sz w:val="20"/>
              </w:rPr>
            </w:pPr>
          </w:p>
        </w:tc>
        <w:tc>
          <w:tcPr>
            <w:tcW w:w="2044" w:type="dxa"/>
          </w:tcPr>
          <w:p w14:paraId="566C66BD" w14:textId="77777777" w:rsidR="00222DE0" w:rsidRPr="00EE3355" w:rsidRDefault="00222DE0" w:rsidP="00CE49B3">
            <w:pPr>
              <w:pStyle w:val="TableParagraph"/>
              <w:widowControl/>
              <w:rPr>
                <w:sz w:val="20"/>
              </w:rPr>
            </w:pPr>
          </w:p>
        </w:tc>
        <w:tc>
          <w:tcPr>
            <w:tcW w:w="1889" w:type="dxa"/>
          </w:tcPr>
          <w:p w14:paraId="17AE5135" w14:textId="77777777" w:rsidR="00222DE0" w:rsidRPr="00EE3355" w:rsidRDefault="0098273B" w:rsidP="00EA1CDF">
            <w:pPr>
              <w:pStyle w:val="TableParagraph"/>
              <w:widowControl/>
              <w:ind w:left="106"/>
            </w:pPr>
            <w:r w:rsidRPr="00EE3355">
              <w:t>Nefrolithiáza</w:t>
            </w:r>
          </w:p>
        </w:tc>
        <w:tc>
          <w:tcPr>
            <w:tcW w:w="1540" w:type="dxa"/>
          </w:tcPr>
          <w:p w14:paraId="156E0AFD" w14:textId="77777777" w:rsidR="00222DE0" w:rsidRPr="00EE3355" w:rsidRDefault="00222DE0" w:rsidP="00EA1CDF">
            <w:pPr>
              <w:pStyle w:val="TableParagraph"/>
              <w:widowControl/>
              <w:rPr>
                <w:sz w:val="20"/>
              </w:rPr>
            </w:pPr>
          </w:p>
        </w:tc>
      </w:tr>
      <w:tr w:rsidR="00222DE0" w:rsidRPr="00EE3355" w14:paraId="6EB3F58E" w14:textId="77777777" w:rsidTr="00130E42">
        <w:trPr>
          <w:cantSplit/>
          <w:trHeight w:val="20"/>
        </w:trPr>
        <w:tc>
          <w:tcPr>
            <w:tcW w:w="1964" w:type="dxa"/>
          </w:tcPr>
          <w:p w14:paraId="091B4D8B" w14:textId="77777777" w:rsidR="00222DE0" w:rsidRPr="00EE3355" w:rsidRDefault="0098273B" w:rsidP="00CE49B3">
            <w:pPr>
              <w:pStyle w:val="TableParagraph"/>
              <w:widowControl/>
            </w:pPr>
            <w:r w:rsidRPr="00EE3355">
              <w:t>Celkové poruchy</w:t>
            </w:r>
            <w:r w:rsidR="003D0642" w:rsidRPr="00EE3355">
              <w:t xml:space="preserve"> </w:t>
            </w:r>
            <w:r w:rsidRPr="00EE3355">
              <w:t>a reakce v místě aplikace</w:t>
            </w:r>
          </w:p>
        </w:tc>
        <w:tc>
          <w:tcPr>
            <w:tcW w:w="1662" w:type="dxa"/>
          </w:tcPr>
          <w:p w14:paraId="777A7A00" w14:textId="77777777" w:rsidR="00222DE0" w:rsidRPr="00EE3355" w:rsidRDefault="0098273B" w:rsidP="00CE49B3">
            <w:pPr>
              <w:pStyle w:val="TableParagraph"/>
              <w:widowControl/>
            </w:pPr>
            <w:r w:rsidRPr="00EE3355">
              <w:t>Reakce v místě vpichu</w:t>
            </w:r>
            <w:r w:rsidR="003D0642" w:rsidRPr="00EE3355">
              <w:t xml:space="preserve"> </w:t>
            </w:r>
            <w:r w:rsidRPr="00EE3355">
              <w:t>injekce</w:t>
            </w:r>
          </w:p>
        </w:tc>
        <w:tc>
          <w:tcPr>
            <w:tcW w:w="2044" w:type="dxa"/>
          </w:tcPr>
          <w:p w14:paraId="30A74E28" w14:textId="77777777" w:rsidR="00222DE0" w:rsidRPr="00EE3355" w:rsidRDefault="0098273B" w:rsidP="00CE49B3">
            <w:pPr>
              <w:pStyle w:val="TableParagraph"/>
              <w:widowControl/>
            </w:pPr>
            <w:r w:rsidRPr="00EE3355">
              <w:t>Periferní otok,</w:t>
            </w:r>
            <w:r w:rsidR="003D0642" w:rsidRPr="00EE3355">
              <w:t xml:space="preserve"> </w:t>
            </w:r>
            <w:r w:rsidRPr="00EE3355">
              <w:t>reakce přecitlivělosti</w:t>
            </w:r>
          </w:p>
        </w:tc>
        <w:tc>
          <w:tcPr>
            <w:tcW w:w="1889" w:type="dxa"/>
          </w:tcPr>
          <w:p w14:paraId="1D6E2DA0" w14:textId="77777777" w:rsidR="00222DE0" w:rsidRPr="00EE3355" w:rsidRDefault="00222DE0" w:rsidP="00EA1CDF">
            <w:pPr>
              <w:pStyle w:val="TableParagraph"/>
              <w:widowControl/>
              <w:rPr>
                <w:sz w:val="20"/>
              </w:rPr>
            </w:pPr>
          </w:p>
        </w:tc>
        <w:tc>
          <w:tcPr>
            <w:tcW w:w="1540" w:type="dxa"/>
          </w:tcPr>
          <w:p w14:paraId="26D9057B" w14:textId="77777777" w:rsidR="00222DE0" w:rsidRPr="00EE3355" w:rsidRDefault="00222DE0" w:rsidP="00EA1CDF">
            <w:pPr>
              <w:pStyle w:val="TableParagraph"/>
              <w:widowControl/>
              <w:rPr>
                <w:sz w:val="20"/>
              </w:rPr>
            </w:pPr>
          </w:p>
        </w:tc>
      </w:tr>
      <w:tr w:rsidR="00222DE0" w:rsidRPr="00EE3355" w14:paraId="211DCAEF" w14:textId="77777777" w:rsidTr="00130E42">
        <w:trPr>
          <w:cantSplit/>
          <w:trHeight w:val="20"/>
        </w:trPr>
        <w:tc>
          <w:tcPr>
            <w:tcW w:w="1964" w:type="dxa"/>
          </w:tcPr>
          <w:p w14:paraId="08E0396F" w14:textId="77777777" w:rsidR="00222DE0" w:rsidRPr="00EE3355" w:rsidRDefault="0098273B" w:rsidP="00CE49B3">
            <w:pPr>
              <w:pStyle w:val="TableParagraph"/>
              <w:widowControl/>
            </w:pPr>
            <w:r w:rsidRPr="00EE3355">
              <w:t>Vyšetření</w:t>
            </w:r>
          </w:p>
        </w:tc>
        <w:tc>
          <w:tcPr>
            <w:tcW w:w="1662" w:type="dxa"/>
          </w:tcPr>
          <w:p w14:paraId="1D07F9B8" w14:textId="77777777" w:rsidR="00222DE0" w:rsidRPr="00EE3355" w:rsidRDefault="00222DE0" w:rsidP="00CE49B3">
            <w:pPr>
              <w:pStyle w:val="TableParagraph"/>
              <w:widowControl/>
              <w:rPr>
                <w:sz w:val="20"/>
              </w:rPr>
            </w:pPr>
          </w:p>
        </w:tc>
        <w:tc>
          <w:tcPr>
            <w:tcW w:w="2044" w:type="dxa"/>
          </w:tcPr>
          <w:p w14:paraId="5603C9A1" w14:textId="77777777" w:rsidR="00222DE0" w:rsidRPr="00EE3355" w:rsidRDefault="0098273B" w:rsidP="00CE49B3">
            <w:pPr>
              <w:pStyle w:val="TableParagraph"/>
              <w:widowControl/>
              <w:ind w:right="60"/>
            </w:pPr>
            <w:r w:rsidRPr="00EE3355">
              <w:t>Zvýšení jaterních aminotransferáz, zvýšení tělesné hmotnosti, zvýšení celkového</w:t>
            </w:r>
            <w:r w:rsidR="003D0642" w:rsidRPr="00EE3355">
              <w:t xml:space="preserve"> </w:t>
            </w:r>
            <w:r w:rsidRPr="00EE3355">
              <w:t>bilirubinu*</w:t>
            </w:r>
          </w:p>
        </w:tc>
        <w:tc>
          <w:tcPr>
            <w:tcW w:w="1889" w:type="dxa"/>
          </w:tcPr>
          <w:p w14:paraId="6A5B11C2" w14:textId="77777777" w:rsidR="00222DE0" w:rsidRPr="00EE3355" w:rsidRDefault="00222DE0" w:rsidP="00EA1CDF">
            <w:pPr>
              <w:pStyle w:val="TableParagraph"/>
              <w:widowControl/>
              <w:rPr>
                <w:sz w:val="20"/>
              </w:rPr>
            </w:pPr>
          </w:p>
        </w:tc>
        <w:tc>
          <w:tcPr>
            <w:tcW w:w="1540" w:type="dxa"/>
          </w:tcPr>
          <w:p w14:paraId="42C52B60" w14:textId="77777777" w:rsidR="00222DE0" w:rsidRPr="00EE3355" w:rsidRDefault="00222DE0" w:rsidP="00EA1CDF">
            <w:pPr>
              <w:pStyle w:val="TableParagraph"/>
              <w:widowControl/>
              <w:rPr>
                <w:sz w:val="20"/>
              </w:rPr>
            </w:pPr>
          </w:p>
        </w:tc>
      </w:tr>
    </w:tbl>
    <w:p w14:paraId="0EFEEA20" w14:textId="77777777" w:rsidR="00222DE0" w:rsidRPr="00EE3355" w:rsidRDefault="0098273B" w:rsidP="00EA1CDF">
      <w:pPr>
        <w:widowControl/>
        <w:rPr>
          <w:sz w:val="18"/>
        </w:rPr>
      </w:pPr>
      <w:r w:rsidRPr="00EE3355">
        <w:rPr>
          <w:sz w:val="18"/>
        </w:rPr>
        <w:t>* Včetně zvýšených hodnot získaných v rámci běžného laboratorního sledování (viz text níže)</w:t>
      </w:r>
    </w:p>
    <w:p w14:paraId="6468830C" w14:textId="77777777" w:rsidR="00222DE0" w:rsidRPr="00EE3355" w:rsidRDefault="0098273B" w:rsidP="00EA1CDF">
      <w:pPr>
        <w:widowControl/>
        <w:rPr>
          <w:sz w:val="18"/>
        </w:rPr>
      </w:pPr>
      <w:r w:rsidRPr="00EE3355">
        <w:rPr>
          <w:sz w:val="12"/>
        </w:rPr>
        <w:t xml:space="preserve">1 </w:t>
      </w:r>
      <w:r w:rsidRPr="00EE3355">
        <w:rPr>
          <w:sz w:val="18"/>
        </w:rPr>
        <w:t>Viz bod 4.3</w:t>
      </w:r>
    </w:p>
    <w:p w14:paraId="187850C2" w14:textId="77777777" w:rsidR="00222DE0" w:rsidRPr="00EE3355" w:rsidRDefault="0098273B" w:rsidP="00EA1CDF">
      <w:pPr>
        <w:widowControl/>
        <w:rPr>
          <w:sz w:val="18"/>
        </w:rPr>
      </w:pPr>
      <w:r w:rsidRPr="00EE3355">
        <w:rPr>
          <w:sz w:val="12"/>
        </w:rPr>
        <w:t xml:space="preserve">2 </w:t>
      </w:r>
      <w:r w:rsidRPr="00EE3355">
        <w:rPr>
          <w:sz w:val="18"/>
        </w:rPr>
        <w:t>Viz bod 4.4</w:t>
      </w:r>
    </w:p>
    <w:p w14:paraId="5ABEDD72" w14:textId="77777777" w:rsidR="00222DE0" w:rsidRPr="00EE3355" w:rsidRDefault="0098273B" w:rsidP="00EA1CDF">
      <w:pPr>
        <w:widowControl/>
        <w:rPr>
          <w:sz w:val="18"/>
        </w:rPr>
      </w:pPr>
      <w:r w:rsidRPr="00EE3355">
        <w:rPr>
          <w:sz w:val="12"/>
        </w:rPr>
        <w:t xml:space="preserve">3 </w:t>
      </w:r>
      <w:r w:rsidRPr="00EE3355">
        <w:rPr>
          <w:sz w:val="18"/>
        </w:rPr>
        <w:t>Tento nežádoucí účinek byl identifikován v rámci sledování v době po uvedení na trh, nebyl ale pozorován</w:t>
      </w:r>
    </w:p>
    <w:p w14:paraId="67423661" w14:textId="77777777" w:rsidR="00222DE0" w:rsidRPr="00EE3355" w:rsidRDefault="0098273B" w:rsidP="00EA1CDF">
      <w:pPr>
        <w:widowControl/>
        <w:rPr>
          <w:sz w:val="18"/>
        </w:rPr>
      </w:pPr>
      <w:r w:rsidRPr="00EE3355">
        <w:rPr>
          <w:sz w:val="18"/>
        </w:rPr>
        <w:t>v kontrolovaných klinických hodnoceních. Kategorie frekvencí byla odhadnuta jako horní limit 95% intervalu spolehlivosti</w:t>
      </w:r>
    </w:p>
    <w:p w14:paraId="722D0A84" w14:textId="77777777" w:rsidR="00222DE0" w:rsidRPr="00EE3355" w:rsidRDefault="0098273B" w:rsidP="00EA1CDF">
      <w:pPr>
        <w:widowControl/>
        <w:rPr>
          <w:sz w:val="18"/>
        </w:rPr>
      </w:pPr>
      <w:r w:rsidRPr="00EE3355">
        <w:rPr>
          <w:sz w:val="18"/>
        </w:rPr>
        <w:t>vypočítaného na základě celkového počtu pacientů vystavených TCZ v klinických hodnoceních.</w:t>
      </w:r>
    </w:p>
    <w:p w14:paraId="44F95DA4" w14:textId="77777777" w:rsidR="00222DE0" w:rsidRPr="00EE3355" w:rsidRDefault="00222DE0" w:rsidP="00EA1CDF">
      <w:pPr>
        <w:pStyle w:val="a3"/>
        <w:widowControl/>
        <w:ind w:left="0"/>
        <w:rPr>
          <w:sz w:val="18"/>
        </w:rPr>
      </w:pPr>
    </w:p>
    <w:p w14:paraId="2D8A47CD" w14:textId="77777777" w:rsidR="00222DE0" w:rsidRPr="00EE3355" w:rsidRDefault="0098273B" w:rsidP="00EA1CDF">
      <w:pPr>
        <w:pStyle w:val="a3"/>
        <w:keepNext/>
        <w:widowControl/>
        <w:ind w:left="0"/>
      </w:pPr>
      <w:r w:rsidRPr="00EE3355">
        <w:rPr>
          <w:u w:val="single"/>
        </w:rPr>
        <w:t>Subkutánní podání</w:t>
      </w:r>
    </w:p>
    <w:p w14:paraId="2CF15A8A" w14:textId="77777777" w:rsidR="00222DE0" w:rsidRPr="00B93217" w:rsidRDefault="0098273B" w:rsidP="00EA1CDF">
      <w:pPr>
        <w:keepNext/>
        <w:widowControl/>
        <w:rPr>
          <w:b/>
          <w:u w:val="single"/>
        </w:rPr>
      </w:pPr>
      <w:r w:rsidRPr="00EE3355">
        <w:rPr>
          <w:b/>
          <w:u w:val="single"/>
        </w:rPr>
        <w:t>RA</w:t>
      </w:r>
    </w:p>
    <w:p w14:paraId="422B3C85" w14:textId="32702ED6" w:rsidR="00222DE0" w:rsidRPr="00EE3355" w:rsidRDefault="0098273B" w:rsidP="00EA1CDF">
      <w:pPr>
        <w:pStyle w:val="a3"/>
        <w:widowControl/>
        <w:ind w:left="0"/>
      </w:pPr>
      <w:r w:rsidRPr="00EE3355">
        <w:t xml:space="preserve">Bezpečnost </w:t>
      </w:r>
      <w:r w:rsidR="00D2449D" w:rsidRPr="001879E9">
        <w:t>tocilizumab</w:t>
      </w:r>
      <w:r w:rsidR="00D2449D">
        <w:t xml:space="preserve">u </w:t>
      </w:r>
      <w:r w:rsidRPr="00EE3355">
        <w:t xml:space="preserve">při subkutánním podání u RA zahrnuje dvojitě zaslepená, kontrolovaná, multicentrická studie, SC-I. SC-I byla noninferioritní studie, která porovnávala účinnost a bezpečnost </w:t>
      </w:r>
      <w:r w:rsidR="00D2449D" w:rsidRPr="001879E9">
        <w:lastRenderedPageBreak/>
        <w:t>tocilizumab</w:t>
      </w:r>
      <w:r w:rsidR="00D2449D">
        <w:t xml:space="preserve">u </w:t>
      </w:r>
      <w:r w:rsidRPr="00EE3355">
        <w:t xml:space="preserve">v dávce 162 mg podaného jednou týdně versus 8mg/kg intravenózně u 1262 pacientů s RA. Všichni pacienti zároveň dostávali nebiologické DMARD. Bezpečnost a imunogenita pozorované u </w:t>
      </w:r>
      <w:r w:rsidR="00D2449D" w:rsidRPr="001879E9">
        <w:t>tocilizumab</w:t>
      </w:r>
      <w:r w:rsidR="00D2449D">
        <w:t xml:space="preserve">u </w:t>
      </w:r>
      <w:r w:rsidRPr="00EE3355">
        <w:t xml:space="preserve">podávaného subkutánně byly shodné se známým bezpečnostním profilem </w:t>
      </w:r>
      <w:r w:rsidR="00D2449D" w:rsidRPr="001879E9">
        <w:t>tocilizumab</w:t>
      </w:r>
      <w:r w:rsidR="00D2449D">
        <w:t>u</w:t>
      </w:r>
      <w:r w:rsidRPr="00EE3355">
        <w:t xml:space="preserve"> podávaného intravenózně a nebyly pozorovány žádné nové ani neočekávané nežádoucí reakce na přípravek (viz tabulka 1). Byla pozorována vyšší četnost reakcí v místě vpichu injekce u subkutánního ramene v porovnání se subkutánní injekcí s placebem v intravenózním rameni.</w:t>
      </w:r>
    </w:p>
    <w:p w14:paraId="0FBD92BC" w14:textId="77777777" w:rsidR="002731BD" w:rsidRPr="00EE3355" w:rsidRDefault="002731BD" w:rsidP="00EA1CDF">
      <w:pPr>
        <w:widowControl/>
        <w:rPr>
          <w:i/>
        </w:rPr>
      </w:pPr>
    </w:p>
    <w:p w14:paraId="76B2F6A8" w14:textId="77777777" w:rsidR="00222DE0" w:rsidRPr="00EE3355" w:rsidRDefault="0098273B" w:rsidP="00EA1CDF">
      <w:pPr>
        <w:keepNext/>
        <w:widowControl/>
        <w:rPr>
          <w:i/>
        </w:rPr>
      </w:pPr>
      <w:r w:rsidRPr="00EE3355">
        <w:rPr>
          <w:i/>
        </w:rPr>
        <w:t>Reakce v místě vpichu injekce</w:t>
      </w:r>
    </w:p>
    <w:p w14:paraId="4AAD8C5B" w14:textId="62FC0753" w:rsidR="00222DE0" w:rsidRPr="00EE3355" w:rsidRDefault="0098273B" w:rsidP="00EA1CDF">
      <w:pPr>
        <w:pStyle w:val="a3"/>
        <w:widowControl/>
        <w:ind w:left="0"/>
      </w:pPr>
      <w:r w:rsidRPr="00EE3355">
        <w:t>Během 6měsíční kontrolované části studie SC-I byla četnost reakcí v místě vpichu injekce 10,1 % (64/631) u týdenních subkutánních injekcí s</w:t>
      </w:r>
      <w:r w:rsidR="00D2449D">
        <w:t> </w:t>
      </w:r>
      <w:r w:rsidR="00D2449D" w:rsidRPr="001879E9">
        <w:t>tocilizumab</w:t>
      </w:r>
      <w:r w:rsidR="00D2449D">
        <w:t xml:space="preserve">em </w:t>
      </w:r>
      <w:r w:rsidRPr="00EE3355">
        <w:t>a 2,4 % (15/631) u týdenních subkutánních injekcí s placebem (intravenózní skupina). Tyto reakce v místě vpichu injekce (zahrnující erytém, pruritus, bolest, hematom) byly lehké až středně těžké. Většina vymizela bez jakékoli léčby a u nikoho nebylo třeba vysazení přípravku.</w:t>
      </w:r>
    </w:p>
    <w:p w14:paraId="7EEE6CAD" w14:textId="77777777" w:rsidR="00222DE0" w:rsidRPr="00EE3355" w:rsidRDefault="00222DE0" w:rsidP="00EA1CDF">
      <w:pPr>
        <w:pStyle w:val="a3"/>
        <w:widowControl/>
        <w:ind w:left="0"/>
      </w:pPr>
    </w:p>
    <w:p w14:paraId="225D1133" w14:textId="77777777" w:rsidR="00222DE0" w:rsidRPr="00EE3355" w:rsidRDefault="0098273B" w:rsidP="00EA1CDF">
      <w:pPr>
        <w:widowControl/>
        <w:rPr>
          <w:i/>
        </w:rPr>
      </w:pPr>
      <w:r w:rsidRPr="00EE3355">
        <w:rPr>
          <w:i/>
        </w:rPr>
        <w:t>Hematologické odchylky:</w:t>
      </w:r>
    </w:p>
    <w:p w14:paraId="6769A49F" w14:textId="77777777" w:rsidR="00222DE0" w:rsidRPr="00EE3355" w:rsidRDefault="0098273B" w:rsidP="00EA1CDF">
      <w:pPr>
        <w:widowControl/>
        <w:rPr>
          <w:i/>
        </w:rPr>
      </w:pPr>
      <w:r w:rsidRPr="00EE3355">
        <w:rPr>
          <w:i/>
        </w:rPr>
        <w:t>Neutrofily</w:t>
      </w:r>
    </w:p>
    <w:p w14:paraId="5ADD5275" w14:textId="79E834F0" w:rsidR="00222DE0" w:rsidRPr="00EE3355" w:rsidRDefault="0098273B" w:rsidP="00EA1CDF">
      <w:pPr>
        <w:pStyle w:val="a3"/>
        <w:widowControl/>
        <w:ind w:left="0"/>
      </w:pPr>
      <w:r w:rsidRPr="00EE3355">
        <w:t xml:space="preserve">Během rutinního laboratorního monitorování u 6měsíční kontrolované klinické studie </w:t>
      </w:r>
      <w:r w:rsidR="00D2449D" w:rsidRPr="001879E9">
        <w:t>tocilizumab</w:t>
      </w:r>
      <w:r w:rsidR="00D2449D">
        <w:t>u</w:t>
      </w:r>
      <w:r w:rsidRPr="00EE3355">
        <w:t xml:space="preserve"> SC-I se pokles počtu neutrofilů pod 1 x 10</w:t>
      </w:r>
      <w:r w:rsidRPr="00EE3355">
        <w:rPr>
          <w:vertAlign w:val="superscript"/>
        </w:rPr>
        <w:t>9</w:t>
      </w:r>
      <w:r w:rsidRPr="00EE3355">
        <w:t>/ l objevil u 2,9 % pacientů dostávající týdně subkutánní dávky.</w:t>
      </w:r>
    </w:p>
    <w:p w14:paraId="77B14584" w14:textId="77777777" w:rsidR="00222DE0" w:rsidRPr="00EE3355" w:rsidRDefault="00222DE0" w:rsidP="00EA1CDF">
      <w:pPr>
        <w:pStyle w:val="a3"/>
        <w:widowControl/>
        <w:ind w:left="0"/>
      </w:pPr>
    </w:p>
    <w:p w14:paraId="66C4D22F" w14:textId="77777777" w:rsidR="00222DE0" w:rsidRPr="00EE3355" w:rsidRDefault="0098273B" w:rsidP="00EA1CDF">
      <w:pPr>
        <w:pStyle w:val="a3"/>
        <w:widowControl/>
        <w:ind w:left="0"/>
      </w:pPr>
      <w:r w:rsidRPr="00EE3355">
        <w:t>Neexistují žádné přímé důkazy o vztahu mezi snížením počtu neutrofilů pod 1 x 10</w:t>
      </w:r>
      <w:r w:rsidRPr="00EE3355">
        <w:rPr>
          <w:vertAlign w:val="superscript"/>
        </w:rPr>
        <w:t>9</w:t>
      </w:r>
      <w:r w:rsidRPr="00EE3355">
        <w:t>/ l a výskytem závažných infekcí.</w:t>
      </w:r>
    </w:p>
    <w:p w14:paraId="27C05162" w14:textId="77777777" w:rsidR="002731BD" w:rsidRPr="00EE3355" w:rsidRDefault="002731BD" w:rsidP="00EA1CDF">
      <w:pPr>
        <w:pStyle w:val="a3"/>
        <w:widowControl/>
        <w:ind w:left="0"/>
      </w:pPr>
    </w:p>
    <w:p w14:paraId="17FEDD31" w14:textId="77777777" w:rsidR="00222DE0" w:rsidRPr="00EE3355" w:rsidRDefault="0098273B" w:rsidP="00EA1CDF">
      <w:pPr>
        <w:widowControl/>
        <w:rPr>
          <w:i/>
        </w:rPr>
      </w:pPr>
      <w:r w:rsidRPr="00EE3355">
        <w:rPr>
          <w:i/>
        </w:rPr>
        <w:t>Trombocyty</w:t>
      </w:r>
    </w:p>
    <w:p w14:paraId="27786A4F" w14:textId="5C43DC10" w:rsidR="00222DE0" w:rsidRPr="00EE3355" w:rsidRDefault="0098273B" w:rsidP="00EA1CDF">
      <w:pPr>
        <w:pStyle w:val="a3"/>
        <w:widowControl/>
        <w:ind w:left="0"/>
      </w:pPr>
      <w:r w:rsidRPr="00EE3355">
        <w:t xml:space="preserve">Během rutinního laboratorního monitorování u 6měsíční kontrolované klinické studie </w:t>
      </w:r>
      <w:r w:rsidR="00D2449D" w:rsidRPr="001879E9">
        <w:t>tocilizumab</w:t>
      </w:r>
      <w:r w:rsidR="00D2449D">
        <w:t>u</w:t>
      </w:r>
      <w:r w:rsidRPr="00EE3355">
        <w:t xml:space="preserve"> SC-I se nevyskytl pokles trombocytů pod ≤50 × 10</w:t>
      </w:r>
      <w:r w:rsidRPr="00EE3355">
        <w:rPr>
          <w:vertAlign w:val="superscript"/>
        </w:rPr>
        <w:t>3</w:t>
      </w:r>
      <w:r w:rsidRPr="00EE3355">
        <w:t xml:space="preserve"> / μl u žádného pacienta dostávající týdně subkutánní dávky.</w:t>
      </w:r>
    </w:p>
    <w:p w14:paraId="51931371" w14:textId="77777777" w:rsidR="00222DE0" w:rsidRPr="00EE3355" w:rsidRDefault="00222DE0" w:rsidP="00EA1CDF">
      <w:pPr>
        <w:pStyle w:val="a3"/>
        <w:widowControl/>
        <w:ind w:left="0"/>
      </w:pPr>
    </w:p>
    <w:p w14:paraId="125DBF7A" w14:textId="77777777" w:rsidR="00222DE0" w:rsidRPr="00EE3355" w:rsidRDefault="0098273B" w:rsidP="00EA1CDF">
      <w:pPr>
        <w:widowControl/>
        <w:rPr>
          <w:i/>
        </w:rPr>
      </w:pPr>
      <w:r w:rsidRPr="00EE3355">
        <w:rPr>
          <w:i/>
        </w:rPr>
        <w:t>Elevace jaterních aminotransferáz</w:t>
      </w:r>
    </w:p>
    <w:p w14:paraId="3187749A" w14:textId="325E3BD6" w:rsidR="00222DE0" w:rsidRPr="00EE3355" w:rsidRDefault="0098273B" w:rsidP="00EA1CDF">
      <w:pPr>
        <w:pStyle w:val="a3"/>
        <w:widowControl/>
        <w:ind w:left="0"/>
      </w:pPr>
      <w:r w:rsidRPr="00EE3355">
        <w:t xml:space="preserve">Během rutinního laboratorního monitorování u 6měsíční kontrolované klinické studie </w:t>
      </w:r>
      <w:r w:rsidR="00D2449D" w:rsidRPr="001879E9">
        <w:t>tocilizumab</w:t>
      </w:r>
      <w:r w:rsidR="00D2449D">
        <w:t>u</w:t>
      </w:r>
      <w:r w:rsidRPr="00EE3355">
        <w:t xml:space="preserve"> SC-I se zvýšení ALT ≥ 3 ULN vyskytlo u 6,5 % pacientů a zvýšení AST ≥ 3 ULN u 1,4 % pacientů při týdenních subkutánních dávkách.</w:t>
      </w:r>
    </w:p>
    <w:p w14:paraId="34910426" w14:textId="77777777" w:rsidR="00222DE0" w:rsidRPr="00EE3355" w:rsidRDefault="00222DE0" w:rsidP="00EA1CDF">
      <w:pPr>
        <w:pStyle w:val="a3"/>
        <w:widowControl/>
        <w:ind w:left="0"/>
      </w:pPr>
    </w:p>
    <w:p w14:paraId="3A58F53B" w14:textId="77777777" w:rsidR="00222DE0" w:rsidRPr="00EE3355" w:rsidRDefault="0098273B" w:rsidP="00EA1CDF">
      <w:pPr>
        <w:widowControl/>
        <w:rPr>
          <w:i/>
        </w:rPr>
      </w:pPr>
      <w:r w:rsidRPr="00EE3355">
        <w:rPr>
          <w:i/>
        </w:rPr>
        <w:t>Lipidové parametry</w:t>
      </w:r>
    </w:p>
    <w:p w14:paraId="01C4A098" w14:textId="7B2739A8" w:rsidR="00222DE0" w:rsidRPr="00EE3355" w:rsidRDefault="0098273B" w:rsidP="00EA1CDF">
      <w:pPr>
        <w:pStyle w:val="a3"/>
        <w:widowControl/>
        <w:ind w:left="0"/>
      </w:pPr>
      <w:r w:rsidRPr="00EE3355">
        <w:t xml:space="preserve">Během rutinního laboratorního monitorování u 6měsíční kontrolované klinické studie </w:t>
      </w:r>
      <w:r w:rsidR="00D2449D" w:rsidRPr="001879E9">
        <w:t>tocilizumab</w:t>
      </w:r>
      <w:r w:rsidR="00D2449D">
        <w:t>u</w:t>
      </w:r>
      <w:r w:rsidRPr="00EE3355">
        <w:t xml:space="preserve"> SC-I došlo u 19 % pacientů k trvalému zvýšení hodnot celkového cholesterolu na</w:t>
      </w:r>
      <w:r w:rsidR="002731BD" w:rsidRPr="00EE3355">
        <w:t xml:space="preserve"> </w:t>
      </w:r>
      <w:r w:rsidR="00B23DAE" w:rsidRPr="00EE3355">
        <w:t>&gt;</w:t>
      </w:r>
      <w:r w:rsidR="00BC4221">
        <w:t xml:space="preserve"> </w:t>
      </w:r>
      <w:r w:rsidRPr="00EE3355">
        <w:t xml:space="preserve">6,2 mmol/l (240 mg/dl), přičemž u 9 % pacientů došlo k trvalému zvýšení LDL na </w:t>
      </w:r>
      <w:r w:rsidRPr="00EE3355">
        <w:rPr>
          <w:rFonts w:ascii="Symbol" w:hAnsi="Symbol"/>
        </w:rPr>
        <w:t></w:t>
      </w:r>
      <w:r w:rsidRPr="00EE3355">
        <w:t xml:space="preserve"> 4.1 mmol/l (160 mg/dl) při týdenních subkutánních dávkách.</w:t>
      </w:r>
    </w:p>
    <w:p w14:paraId="6F51979F" w14:textId="77777777" w:rsidR="00222DE0" w:rsidRPr="00EE3355" w:rsidRDefault="00222DE0" w:rsidP="00EA1CDF">
      <w:pPr>
        <w:pStyle w:val="a3"/>
        <w:widowControl/>
        <w:ind w:left="0"/>
      </w:pPr>
    </w:p>
    <w:p w14:paraId="283295A4" w14:textId="77777777" w:rsidR="00222DE0" w:rsidRPr="008D1875" w:rsidRDefault="0098273B" w:rsidP="00EA1CDF">
      <w:pPr>
        <w:widowControl/>
        <w:rPr>
          <w:b/>
        </w:rPr>
      </w:pPr>
      <w:r w:rsidRPr="00B93217">
        <w:rPr>
          <w:b/>
        </w:rPr>
        <w:t>sJIA (subkutánní podání)</w:t>
      </w:r>
    </w:p>
    <w:p w14:paraId="37A38E1E" w14:textId="2ADBDABE" w:rsidR="00222DE0" w:rsidRDefault="0098273B" w:rsidP="00EA1CDF">
      <w:pPr>
        <w:pStyle w:val="a3"/>
        <w:widowControl/>
        <w:ind w:left="0"/>
      </w:pPr>
      <w:r w:rsidRPr="00EE3355">
        <w:t xml:space="preserve">Bezpečnostní profil subkutánně podávaného </w:t>
      </w:r>
      <w:r w:rsidR="00D2449D" w:rsidRPr="001879E9">
        <w:t>tocilizumab</w:t>
      </w:r>
      <w:r w:rsidR="00D2449D">
        <w:t xml:space="preserve">u </w:t>
      </w:r>
      <w:r w:rsidRPr="00EE3355">
        <w:t>byl hodnocen u 51 pediatrických pacientů (ve věku od 1 do 17 let) se sJIA. Typ nežádoucích účinků u pacientů se sJIA se obecně podobal typu nežádoucích účinků u pacientů s RA (viz výše uvedená část Nežádoucí účinky).</w:t>
      </w:r>
    </w:p>
    <w:p w14:paraId="188FF110" w14:textId="77777777" w:rsidR="00CE49B3" w:rsidRPr="00EE3355" w:rsidRDefault="00CE49B3" w:rsidP="00EA1CDF">
      <w:pPr>
        <w:pStyle w:val="a3"/>
        <w:widowControl/>
        <w:ind w:left="0"/>
      </w:pPr>
    </w:p>
    <w:p w14:paraId="651FB652" w14:textId="77777777" w:rsidR="00222DE0" w:rsidRPr="00EE3355" w:rsidRDefault="0098273B" w:rsidP="00EA1CDF">
      <w:pPr>
        <w:keepNext/>
        <w:widowControl/>
        <w:rPr>
          <w:i/>
        </w:rPr>
      </w:pPr>
      <w:r w:rsidRPr="00EE3355">
        <w:rPr>
          <w:i/>
        </w:rPr>
        <w:t>Infekce</w:t>
      </w:r>
    </w:p>
    <w:p w14:paraId="0CA25AE2" w14:textId="35C4FCCA" w:rsidR="00222DE0" w:rsidRPr="00EE3355" w:rsidRDefault="0098273B" w:rsidP="00EA1CDF">
      <w:pPr>
        <w:pStyle w:val="a3"/>
        <w:widowControl/>
        <w:ind w:left="0"/>
      </w:pPr>
      <w:r w:rsidRPr="00EE3355">
        <w:t xml:space="preserve">Výskyt infekcí u pacientů se sJIA léčených subkutánně podávaným </w:t>
      </w:r>
      <w:r w:rsidR="00D2449D" w:rsidRPr="001879E9">
        <w:t>tocilizumab</w:t>
      </w:r>
      <w:r w:rsidR="00D2449D">
        <w:t xml:space="preserve">em </w:t>
      </w:r>
      <w:r w:rsidRPr="00EE3355">
        <w:t xml:space="preserve">byl srovnatelný s výskytem infekcí u pacientů se sJIA léčených intravenózně podávaným </w:t>
      </w:r>
      <w:r w:rsidR="00D2449D" w:rsidRPr="001879E9">
        <w:t>tocilizumab</w:t>
      </w:r>
      <w:r w:rsidR="00D2449D">
        <w:t>em</w:t>
      </w:r>
      <w:r w:rsidRPr="00EE3355">
        <w:t>.</w:t>
      </w:r>
    </w:p>
    <w:p w14:paraId="4B854394" w14:textId="77777777" w:rsidR="00041107" w:rsidRPr="00EE3355" w:rsidRDefault="00041107" w:rsidP="00EA1CDF">
      <w:pPr>
        <w:pStyle w:val="a3"/>
        <w:widowControl/>
        <w:ind w:left="0"/>
      </w:pPr>
    </w:p>
    <w:p w14:paraId="527E5670" w14:textId="77777777" w:rsidR="00222DE0" w:rsidRPr="00EE3355" w:rsidRDefault="0098273B" w:rsidP="00EA1CDF">
      <w:pPr>
        <w:keepNext/>
        <w:widowControl/>
        <w:rPr>
          <w:i/>
        </w:rPr>
      </w:pPr>
      <w:r w:rsidRPr="00EE3355">
        <w:rPr>
          <w:i/>
        </w:rPr>
        <w:t>Reakce v místě vpichu</w:t>
      </w:r>
    </w:p>
    <w:p w14:paraId="53C6E013" w14:textId="61229C62" w:rsidR="00222DE0" w:rsidRPr="00EE3355" w:rsidRDefault="0098273B" w:rsidP="00EA1CDF">
      <w:pPr>
        <w:pStyle w:val="a3"/>
        <w:widowControl/>
        <w:ind w:left="0"/>
      </w:pPr>
      <w:r w:rsidRPr="00EE3355">
        <w:t xml:space="preserve">Ve studii subkutánně podávaného </w:t>
      </w:r>
      <w:r w:rsidR="00D2449D" w:rsidRPr="001879E9">
        <w:t>tocilizumab</w:t>
      </w:r>
      <w:r w:rsidR="00D2449D">
        <w:t xml:space="preserve">u </w:t>
      </w:r>
      <w:r w:rsidRPr="00EE3355">
        <w:t>(WA28118) se reakce v místě vpichu vyskytly celkem u 41,2 % (21/51) pacientů se sJIA. Nejčastěji hlášenými reakcemi v místě vpichu byly erytém, pruritus, bolest a otok. Většina hlášených reakcí v místě vpichu byla stupně 1 a všechny hlášené reakce v místě vpichu byly nezávažné a žádná si nevyžádala ukončení léčby ani její přerušení.</w:t>
      </w:r>
    </w:p>
    <w:p w14:paraId="0F8F2D7E" w14:textId="77777777" w:rsidR="00041107" w:rsidRPr="00EE3355" w:rsidRDefault="00041107" w:rsidP="00EA1CDF">
      <w:pPr>
        <w:widowControl/>
        <w:rPr>
          <w:i/>
        </w:rPr>
      </w:pPr>
    </w:p>
    <w:p w14:paraId="29B97B8D" w14:textId="77777777" w:rsidR="00222DE0" w:rsidRPr="00EE3355" w:rsidRDefault="0098273B" w:rsidP="00EA1CDF">
      <w:pPr>
        <w:widowControl/>
        <w:rPr>
          <w:i/>
        </w:rPr>
      </w:pPr>
      <w:r w:rsidRPr="00EE3355">
        <w:rPr>
          <w:i/>
        </w:rPr>
        <w:t>Laboratorní odchylky</w:t>
      </w:r>
    </w:p>
    <w:p w14:paraId="4BC59CCD" w14:textId="01E4723C" w:rsidR="00222DE0" w:rsidRPr="00EE3355" w:rsidRDefault="0098273B" w:rsidP="00EA1CDF">
      <w:pPr>
        <w:pStyle w:val="a3"/>
        <w:widowControl/>
        <w:ind w:left="0"/>
      </w:pPr>
      <w:r w:rsidRPr="00EE3355">
        <w:t xml:space="preserve">V 52týdenní otevřené studii se subkutánním podáním (WA28118) došlo u 23,5 % pacientů léčených subkutánně podávaným </w:t>
      </w:r>
      <w:r w:rsidR="00D2449D" w:rsidRPr="001879E9">
        <w:t>tocilizumab</w:t>
      </w:r>
      <w:r w:rsidR="00D2449D">
        <w:t xml:space="preserve">em </w:t>
      </w:r>
      <w:r w:rsidRPr="00EE3355">
        <w:t>k poklesu počtu neutrofilů pod 1 x 10</w:t>
      </w:r>
      <w:r w:rsidRPr="00EE3355">
        <w:rPr>
          <w:vertAlign w:val="superscript"/>
        </w:rPr>
        <w:t>9</w:t>
      </w:r>
      <w:r w:rsidRPr="00EE3355">
        <w:t>/l.</w:t>
      </w:r>
      <w:r w:rsidR="00041107" w:rsidRPr="00EE3355">
        <w:t xml:space="preserve"> </w:t>
      </w:r>
      <w:r w:rsidRPr="00EE3355">
        <w:t xml:space="preserve">U 2 % pacientů </w:t>
      </w:r>
      <w:r w:rsidRPr="00EE3355">
        <w:lastRenderedPageBreak/>
        <w:t xml:space="preserve">léčených subkutánně podávaným </w:t>
      </w:r>
      <w:r w:rsidR="00D2449D" w:rsidRPr="001879E9">
        <w:t>tocilizumab</w:t>
      </w:r>
      <w:r w:rsidR="00D2449D">
        <w:t xml:space="preserve">em </w:t>
      </w:r>
      <w:r w:rsidRPr="00EE3355">
        <w:t>došlo k poklesu počtu trombocytů pod 100 x 10</w:t>
      </w:r>
      <w:r w:rsidRPr="00EE3355">
        <w:rPr>
          <w:vertAlign w:val="superscript"/>
        </w:rPr>
        <w:t>3</w:t>
      </w:r>
      <w:r w:rsidRPr="00EE3355">
        <w:t xml:space="preserve">/μl. U 9,8 % pacientů léčených subkutánně podávaným </w:t>
      </w:r>
      <w:r w:rsidR="00D2449D" w:rsidRPr="001879E9">
        <w:t>tocilizumab</w:t>
      </w:r>
      <w:r w:rsidR="00D2449D">
        <w:t xml:space="preserve">em </w:t>
      </w:r>
      <w:r w:rsidRPr="00EE3355">
        <w:t>došlo k elevaci ALT a u 4,0 % k elevaci AST ≥ 3 x ULN.</w:t>
      </w:r>
    </w:p>
    <w:p w14:paraId="771D305F" w14:textId="77777777" w:rsidR="00041107" w:rsidRPr="00EE3355" w:rsidRDefault="00041107" w:rsidP="00EA1CDF">
      <w:pPr>
        <w:pStyle w:val="a3"/>
        <w:widowControl/>
        <w:ind w:left="0"/>
      </w:pPr>
    </w:p>
    <w:p w14:paraId="35D5ACCA" w14:textId="77777777" w:rsidR="00222DE0" w:rsidRPr="00EE3355" w:rsidRDefault="0098273B" w:rsidP="00EA1CDF">
      <w:pPr>
        <w:widowControl/>
        <w:rPr>
          <w:i/>
        </w:rPr>
      </w:pPr>
      <w:r w:rsidRPr="00EE3355">
        <w:rPr>
          <w:i/>
        </w:rPr>
        <w:t>Lipidové parametry</w:t>
      </w:r>
    </w:p>
    <w:p w14:paraId="61529A05" w14:textId="77777777" w:rsidR="00222DE0" w:rsidRPr="00EE3355" w:rsidRDefault="0098273B" w:rsidP="00EA1CDF">
      <w:pPr>
        <w:pStyle w:val="a3"/>
        <w:widowControl/>
        <w:ind w:left="0"/>
      </w:pPr>
      <w:r w:rsidRPr="00EE3355">
        <w:t>V 52týdenní otevřené studii se subkutánním podáním (WA28118) došlo kdykoliv během studijní léčby k elevaci LDL cholesterolu na ≥ 130 mg/dl u 23,4 % pacientů a celkového cholesterolu na</w:t>
      </w:r>
      <w:r w:rsidR="00041107" w:rsidRPr="00EE3355">
        <w:t xml:space="preserve"> </w:t>
      </w:r>
      <w:r w:rsidRPr="00EE3355">
        <w:t>≥ 200 mg/dl u 35,4 % pacientů.</w:t>
      </w:r>
    </w:p>
    <w:p w14:paraId="38EBAD73" w14:textId="77777777" w:rsidR="00222DE0" w:rsidRPr="00EE3355" w:rsidRDefault="00222DE0" w:rsidP="00EA1CDF">
      <w:pPr>
        <w:pStyle w:val="a3"/>
        <w:widowControl/>
        <w:ind w:left="0"/>
      </w:pPr>
    </w:p>
    <w:p w14:paraId="4469E361" w14:textId="77777777" w:rsidR="00222DE0" w:rsidRPr="008D1875" w:rsidRDefault="0098273B" w:rsidP="00EA1CDF">
      <w:pPr>
        <w:widowControl/>
        <w:rPr>
          <w:b/>
        </w:rPr>
      </w:pPr>
      <w:r w:rsidRPr="00B93217">
        <w:rPr>
          <w:b/>
        </w:rPr>
        <w:t>pJIA (subkutánní podání)</w:t>
      </w:r>
    </w:p>
    <w:p w14:paraId="2D44C878" w14:textId="2033D55B" w:rsidR="00222DE0" w:rsidRPr="00EE3355" w:rsidRDefault="0098273B" w:rsidP="00EA1CDF">
      <w:pPr>
        <w:pStyle w:val="a3"/>
        <w:widowControl/>
        <w:ind w:left="0"/>
      </w:pPr>
      <w:r w:rsidRPr="00EE3355">
        <w:t xml:space="preserve">Bezpečnostní profil subkutánně podávaného </w:t>
      </w:r>
      <w:r w:rsidR="00D2449D" w:rsidRPr="001879E9">
        <w:t>tocilizumab</w:t>
      </w:r>
      <w:r w:rsidR="00D2449D">
        <w:t xml:space="preserve">u </w:t>
      </w:r>
      <w:r w:rsidRPr="00EE3355">
        <w:t>byl také hodnocen</w:t>
      </w:r>
      <w:r w:rsidR="00041107" w:rsidRPr="00EE3355">
        <w:t xml:space="preserve"> </w:t>
      </w:r>
      <w:r w:rsidRPr="00EE3355">
        <w:t xml:space="preserve">u 52 pediatrických pacientů s pJIA. Celková expozice pacientů </w:t>
      </w:r>
      <w:r w:rsidR="00D2449D" w:rsidRPr="001879E9">
        <w:t>tocilizumab</w:t>
      </w:r>
      <w:r w:rsidR="00D2449D">
        <w:t xml:space="preserve">u </w:t>
      </w:r>
      <w:r w:rsidRPr="00EE3355">
        <w:t xml:space="preserve">v celkové populaci exponovaných pacientů s pJIA byla 184,4 pacientoroků v případě intravenózně podávaného tocilizumabu a 50,4 pacientoroků v případě subkutánně podávaného tocilizumabu. Bezpečnostní profil byl u pacientů s pJIA obecně konzistentní se známým bezpečnostním profilem </w:t>
      </w:r>
      <w:r w:rsidR="00D2449D" w:rsidRPr="001879E9">
        <w:t>tocilizumab</w:t>
      </w:r>
      <w:r w:rsidR="00D2449D">
        <w:t xml:space="preserve">u </w:t>
      </w:r>
      <w:r w:rsidRPr="00EE3355">
        <w:t>s výjimkou reakcí v místě vpichu (viz tabulka 1). U pacientů s pJIA se po subkutánních injekcích</w:t>
      </w:r>
      <w:r w:rsidR="00041107" w:rsidRPr="00EE3355">
        <w:t xml:space="preserve"> </w:t>
      </w:r>
      <w:r w:rsidR="00D2449D" w:rsidRPr="001879E9">
        <w:t>tocilizumab</w:t>
      </w:r>
      <w:r w:rsidR="00D2449D">
        <w:t xml:space="preserve">u </w:t>
      </w:r>
      <w:r w:rsidRPr="00EE3355">
        <w:t>vyskytly častěji reakce v místě vpichu ve srovnání s dospělými pacienty s RA.</w:t>
      </w:r>
    </w:p>
    <w:p w14:paraId="42CB8154" w14:textId="77777777" w:rsidR="00222DE0" w:rsidRPr="00EE3355" w:rsidRDefault="00222DE0" w:rsidP="00EA1CDF">
      <w:pPr>
        <w:pStyle w:val="a3"/>
        <w:widowControl/>
        <w:ind w:left="0"/>
      </w:pPr>
    </w:p>
    <w:p w14:paraId="142D5646" w14:textId="77777777" w:rsidR="00222DE0" w:rsidRPr="00EE3355" w:rsidRDefault="0098273B" w:rsidP="00EA1CDF">
      <w:pPr>
        <w:widowControl/>
        <w:rPr>
          <w:i/>
        </w:rPr>
      </w:pPr>
      <w:r w:rsidRPr="00EE3355">
        <w:rPr>
          <w:i/>
        </w:rPr>
        <w:t>Infekce</w:t>
      </w:r>
    </w:p>
    <w:p w14:paraId="2A537E58" w14:textId="0A5E0A23" w:rsidR="00222DE0" w:rsidRPr="00EE3355" w:rsidRDefault="0098273B" w:rsidP="00EA1CDF">
      <w:pPr>
        <w:pStyle w:val="a3"/>
        <w:widowControl/>
        <w:ind w:left="0"/>
      </w:pPr>
      <w:r w:rsidRPr="00EE3355">
        <w:t xml:space="preserve">Ve studii subkutánně podávaného </w:t>
      </w:r>
      <w:r w:rsidR="00D2449D" w:rsidRPr="001879E9">
        <w:t>tocilizumab</w:t>
      </w:r>
      <w:r w:rsidR="00D2449D">
        <w:t xml:space="preserve">u </w:t>
      </w:r>
      <w:r w:rsidRPr="00EE3355">
        <w:t xml:space="preserve">byl výskyt infekcí u pacientů s pJIA léčených subkutánně podávaným </w:t>
      </w:r>
      <w:r w:rsidR="00D2449D" w:rsidRPr="001879E9">
        <w:t>tocilizumab</w:t>
      </w:r>
      <w:r w:rsidR="00D2449D">
        <w:t xml:space="preserve">em </w:t>
      </w:r>
      <w:r w:rsidRPr="00EE3355">
        <w:t xml:space="preserve">srovnatelný s výskytem infekcí u pacientů s pJIA léčených intravenózně podávaným </w:t>
      </w:r>
      <w:r w:rsidR="00D2449D" w:rsidRPr="001879E9">
        <w:t>tocilizumab</w:t>
      </w:r>
      <w:r w:rsidR="00D2449D">
        <w:t>em</w:t>
      </w:r>
      <w:r w:rsidRPr="00EE3355">
        <w:t>.</w:t>
      </w:r>
    </w:p>
    <w:p w14:paraId="6022B14F" w14:textId="77777777" w:rsidR="00222DE0" w:rsidRPr="00EE3355" w:rsidRDefault="00222DE0" w:rsidP="00EA1CDF">
      <w:pPr>
        <w:pStyle w:val="a3"/>
        <w:widowControl/>
        <w:ind w:left="0"/>
      </w:pPr>
    </w:p>
    <w:p w14:paraId="2DF91E82" w14:textId="77777777" w:rsidR="00222DE0" w:rsidRPr="00EE3355" w:rsidRDefault="0098273B" w:rsidP="00EA1CDF">
      <w:pPr>
        <w:widowControl/>
        <w:rPr>
          <w:i/>
        </w:rPr>
      </w:pPr>
      <w:r w:rsidRPr="00EE3355">
        <w:rPr>
          <w:i/>
        </w:rPr>
        <w:t>Reakce v místě vpichu</w:t>
      </w:r>
    </w:p>
    <w:p w14:paraId="49142FE7" w14:textId="54B7965D" w:rsidR="00222DE0" w:rsidRPr="00EE3355" w:rsidRDefault="0098273B" w:rsidP="00EA1CDF">
      <w:pPr>
        <w:pStyle w:val="a3"/>
        <w:widowControl/>
        <w:ind w:left="0"/>
      </w:pPr>
      <w:r w:rsidRPr="00EE3355">
        <w:t xml:space="preserve">Reakce v místě vpichu po subkutánním podání </w:t>
      </w:r>
      <w:r w:rsidR="00D2449D" w:rsidRPr="001879E9">
        <w:t>tocilizumab</w:t>
      </w:r>
      <w:r w:rsidR="00D2449D">
        <w:t xml:space="preserve">u </w:t>
      </w:r>
      <w:r w:rsidRPr="00EE3355">
        <w:t xml:space="preserve">se vyskytly celkem u 28,8 % (15/52) pacientů s pJIA. Tyto reakce se vyskytly u 44 % pacientů s tělesnou hmotností </w:t>
      </w:r>
      <w:r w:rsidRPr="00EE3355">
        <w:rPr>
          <w:u w:val="single"/>
        </w:rPr>
        <w:t>≥</w:t>
      </w:r>
      <w:r w:rsidRPr="00EE3355">
        <w:t xml:space="preserve"> 30 kg ve srovnání se 14,8 % pacientů s tělesnou hmotností &lt; 30 kg. Nejčastějšími reakcemi v místě vpichu byly erytém, otok, hematom, bolest a pruritus. Všechny hlášené reakce v místě vpichu byly nezávažné příhody stupně 1 a žádná si nevyžádala ukončení léčby ani její přerušení.</w:t>
      </w:r>
    </w:p>
    <w:p w14:paraId="267E801E" w14:textId="77777777" w:rsidR="00770A13" w:rsidRPr="00EE3355" w:rsidRDefault="00770A13" w:rsidP="00EA1CDF">
      <w:pPr>
        <w:pStyle w:val="a3"/>
        <w:widowControl/>
        <w:ind w:left="0"/>
      </w:pPr>
    </w:p>
    <w:p w14:paraId="33802EAF" w14:textId="77777777" w:rsidR="00222DE0" w:rsidRPr="00EE3355" w:rsidRDefault="0098273B" w:rsidP="00EA1CDF">
      <w:pPr>
        <w:keepNext/>
        <w:widowControl/>
        <w:rPr>
          <w:i/>
        </w:rPr>
      </w:pPr>
      <w:r w:rsidRPr="00EE3355">
        <w:rPr>
          <w:i/>
        </w:rPr>
        <w:t>Laboratorní odchylky</w:t>
      </w:r>
    </w:p>
    <w:p w14:paraId="578BC5E4" w14:textId="66010B58" w:rsidR="00222DE0" w:rsidRPr="00EE3355" w:rsidRDefault="0098273B" w:rsidP="00EA1CDF">
      <w:pPr>
        <w:pStyle w:val="a3"/>
        <w:widowControl/>
        <w:ind w:left="0"/>
      </w:pPr>
      <w:r w:rsidRPr="00EE3355">
        <w:t xml:space="preserve">Při běžném laboratorním sledování celkové populace pacientů vystavených </w:t>
      </w:r>
      <w:r w:rsidR="00D2449D" w:rsidRPr="001879E9">
        <w:t>tocilizumab</w:t>
      </w:r>
      <w:r w:rsidR="00D2449D">
        <w:t xml:space="preserve">u </w:t>
      </w:r>
      <w:r w:rsidRPr="00EE3355">
        <w:t>došlo u 15,4 % pacientů ve skupině s</w:t>
      </w:r>
      <w:r w:rsidR="00D2449D">
        <w:t> </w:t>
      </w:r>
      <w:r w:rsidR="00D2449D" w:rsidRPr="001879E9">
        <w:t>tocilizumab</w:t>
      </w:r>
      <w:r w:rsidR="00D2449D">
        <w:t xml:space="preserve">em </w:t>
      </w:r>
      <w:r w:rsidRPr="00EE3355">
        <w:t>podávaným subkutánně k poklesu počtu neutrofilů pod 1 x 10</w:t>
      </w:r>
      <w:r w:rsidRPr="00EE3355">
        <w:rPr>
          <w:vertAlign w:val="superscript"/>
        </w:rPr>
        <w:t>9</w:t>
      </w:r>
      <w:r w:rsidRPr="00EE3355">
        <w:t xml:space="preserve">/l. U 9,6 % pacientů léčených subkutánně podávaným </w:t>
      </w:r>
      <w:r w:rsidR="00D2449D" w:rsidRPr="001879E9">
        <w:t>tocilizumab</w:t>
      </w:r>
      <w:r w:rsidR="00D2449D">
        <w:t xml:space="preserve">em </w:t>
      </w:r>
      <w:r w:rsidRPr="00EE3355">
        <w:t xml:space="preserve">došlo k elevaci ALT a u 3,8 % k elevaci AST ≥ 3 x ULN. U žádného pacienta léčeného subkutánně podávaným </w:t>
      </w:r>
      <w:r w:rsidR="00D2449D" w:rsidRPr="001879E9">
        <w:t>tocilizumab</w:t>
      </w:r>
      <w:r w:rsidR="00D2449D">
        <w:t>em</w:t>
      </w:r>
      <w:r w:rsidRPr="00EE3355">
        <w:t xml:space="preserve"> nedošlo k poklesu počtu trombocytů na </w:t>
      </w:r>
      <w:r w:rsidRPr="00EE3355">
        <w:rPr>
          <w:rFonts w:ascii="Symbol" w:hAnsi="Symbol"/>
        </w:rPr>
        <w:t></w:t>
      </w:r>
      <w:r w:rsidRPr="00EE3355">
        <w:t xml:space="preserve"> 50 x 10</w:t>
      </w:r>
      <w:r w:rsidRPr="00EE3355">
        <w:rPr>
          <w:vertAlign w:val="superscript"/>
        </w:rPr>
        <w:t>3</w:t>
      </w:r>
      <w:r w:rsidRPr="00EE3355">
        <w:t>/μl.</w:t>
      </w:r>
    </w:p>
    <w:p w14:paraId="28339F42" w14:textId="77777777" w:rsidR="00222DE0" w:rsidRPr="00EE3355" w:rsidRDefault="00222DE0" w:rsidP="00EA1CDF">
      <w:pPr>
        <w:pStyle w:val="a3"/>
        <w:widowControl/>
        <w:ind w:left="0"/>
      </w:pPr>
    </w:p>
    <w:p w14:paraId="5F71823D" w14:textId="77777777" w:rsidR="00222DE0" w:rsidRPr="00EE3355" w:rsidRDefault="0098273B" w:rsidP="00EA1CDF">
      <w:pPr>
        <w:keepNext/>
        <w:widowControl/>
        <w:rPr>
          <w:i/>
        </w:rPr>
      </w:pPr>
      <w:r w:rsidRPr="00EE3355">
        <w:rPr>
          <w:i/>
        </w:rPr>
        <w:t>Lipidové parametry</w:t>
      </w:r>
    </w:p>
    <w:p w14:paraId="209E4125" w14:textId="77777777" w:rsidR="00222DE0" w:rsidRPr="00EE3355" w:rsidRDefault="0098273B" w:rsidP="00EA1CDF">
      <w:pPr>
        <w:pStyle w:val="a3"/>
        <w:keepNext/>
        <w:widowControl/>
        <w:ind w:left="0"/>
      </w:pPr>
      <w:r w:rsidRPr="00EE3355">
        <w:t>Ve studii se subkutánním podáním došlo kdykoliv během studijní léčby k elevaci LDL cholesterolu na</w:t>
      </w:r>
      <w:r w:rsidR="00041107" w:rsidRPr="00EE3355">
        <w:t xml:space="preserve"> </w:t>
      </w:r>
      <w:r w:rsidRPr="00EE3355">
        <w:t>≥ 130 mg/dl u 14,3 % pacientů a celkového cholesterolu na ≥ 200 mg/dl u 12,8 % pacientů.</w:t>
      </w:r>
    </w:p>
    <w:p w14:paraId="7235D9E4" w14:textId="77777777" w:rsidR="00222DE0" w:rsidRPr="00EE3355" w:rsidRDefault="00222DE0" w:rsidP="00EA1CDF">
      <w:pPr>
        <w:pStyle w:val="a3"/>
        <w:widowControl/>
        <w:ind w:left="0"/>
      </w:pPr>
    </w:p>
    <w:p w14:paraId="16F4FB8A" w14:textId="77777777" w:rsidR="00222DE0" w:rsidRPr="008D1875" w:rsidRDefault="0098273B" w:rsidP="00EA1CDF">
      <w:pPr>
        <w:widowControl/>
        <w:rPr>
          <w:b/>
        </w:rPr>
      </w:pPr>
      <w:r w:rsidRPr="00B93217">
        <w:rPr>
          <w:b/>
        </w:rPr>
        <w:t>GCA (subkutánní podání)</w:t>
      </w:r>
    </w:p>
    <w:p w14:paraId="4F628C69" w14:textId="072CF660" w:rsidR="00222DE0" w:rsidRPr="00EE3355" w:rsidRDefault="0098273B" w:rsidP="00EA1CDF">
      <w:pPr>
        <w:pStyle w:val="a3"/>
        <w:widowControl/>
        <w:ind w:left="0"/>
      </w:pPr>
      <w:r w:rsidRPr="00EE3355">
        <w:t xml:space="preserve">Bezpečnost </w:t>
      </w:r>
      <w:r w:rsidR="00D2449D" w:rsidRPr="001879E9">
        <w:t>tocilizumab</w:t>
      </w:r>
      <w:r w:rsidR="00D2449D">
        <w:t xml:space="preserve">u </w:t>
      </w:r>
      <w:r w:rsidRPr="00EE3355">
        <w:t xml:space="preserve">při subkutánním podání byla hodnocena v jedné studii fáze III (WA28119) s 251 pacienty s GCA. Během 12měsíční dvojitě zaslepené, placebem kontrolované fáze studie byla celková expozice </w:t>
      </w:r>
      <w:r w:rsidR="00D2449D" w:rsidRPr="001879E9">
        <w:t>tocilizumab</w:t>
      </w:r>
      <w:r w:rsidR="00D2449D">
        <w:t xml:space="preserve">u </w:t>
      </w:r>
      <w:r w:rsidRPr="00EE3355">
        <w:t xml:space="preserve">138,5 pacientoroků. Celkový bezpečnostní profil ve skupinách léčených </w:t>
      </w:r>
      <w:r w:rsidR="00D2449D" w:rsidRPr="001879E9">
        <w:t>tocilizumab</w:t>
      </w:r>
      <w:r w:rsidR="00D2449D">
        <w:t xml:space="preserve">em </w:t>
      </w:r>
      <w:r w:rsidRPr="00EE3355">
        <w:t xml:space="preserve">byl konzistentní se známým bezpečnostním profilem </w:t>
      </w:r>
      <w:r w:rsidR="00D2449D" w:rsidRPr="001879E9">
        <w:t>tocilizumab</w:t>
      </w:r>
      <w:r w:rsidR="00D2449D">
        <w:t>u</w:t>
      </w:r>
      <w:r w:rsidR="00D2449D" w:rsidRPr="00EE3355" w:rsidDel="00D2449D">
        <w:t xml:space="preserve"> </w:t>
      </w:r>
      <w:r w:rsidRPr="00EE3355">
        <w:t>(viz tabulka 1).</w:t>
      </w:r>
    </w:p>
    <w:p w14:paraId="12B18997" w14:textId="77777777" w:rsidR="00222DE0" w:rsidRPr="00EE3355" w:rsidRDefault="00222DE0" w:rsidP="00EA1CDF">
      <w:pPr>
        <w:widowControl/>
      </w:pPr>
    </w:p>
    <w:p w14:paraId="3FF8197B" w14:textId="77777777" w:rsidR="00222DE0" w:rsidRPr="00EE3355" w:rsidRDefault="0098273B" w:rsidP="00EA1CDF">
      <w:pPr>
        <w:widowControl/>
        <w:rPr>
          <w:i/>
        </w:rPr>
      </w:pPr>
      <w:r w:rsidRPr="00EE3355">
        <w:rPr>
          <w:i/>
        </w:rPr>
        <w:t>Infekce</w:t>
      </w:r>
    </w:p>
    <w:p w14:paraId="2BF6634B" w14:textId="57B30BC5" w:rsidR="00222DE0" w:rsidRPr="00EE3355" w:rsidRDefault="0098273B" w:rsidP="00EA1CDF">
      <w:pPr>
        <w:pStyle w:val="a3"/>
        <w:widowControl/>
        <w:ind w:left="0"/>
      </w:pPr>
      <w:r w:rsidRPr="00EE3355">
        <w:t>Výskyt infekcí / závažných infekcí byl vyvážen ve skupině s</w:t>
      </w:r>
      <w:r w:rsidR="00D2449D">
        <w:t> </w:t>
      </w:r>
      <w:r w:rsidR="00D2449D" w:rsidRPr="001879E9">
        <w:t>tocilizumab</w:t>
      </w:r>
      <w:r w:rsidR="00D2449D">
        <w:t xml:space="preserve">em </w:t>
      </w:r>
      <w:r w:rsidRPr="00EE3355">
        <w:t>jednou týdně (200,2/9,7 příhod na 100 pacientoroků) vs. placebo plus 26týdenní postupné vysazování prednisonu (156,0/4,2 příhod na 100 pacientoroků) a placebo plus 52týdenní postupné vysazování</w:t>
      </w:r>
      <w:r w:rsidR="00041107" w:rsidRPr="00EE3355">
        <w:t xml:space="preserve"> </w:t>
      </w:r>
      <w:r w:rsidRPr="00EE3355">
        <w:t>(210,2/12,5 příhod na 100 pacientoroků).</w:t>
      </w:r>
    </w:p>
    <w:p w14:paraId="264C0565" w14:textId="77777777" w:rsidR="00222DE0" w:rsidRPr="00EE3355" w:rsidRDefault="00222DE0" w:rsidP="00EA1CDF">
      <w:pPr>
        <w:pStyle w:val="a3"/>
        <w:widowControl/>
        <w:ind w:left="0"/>
      </w:pPr>
    </w:p>
    <w:p w14:paraId="4D77C2AA" w14:textId="77777777" w:rsidR="00222DE0" w:rsidRPr="00EE3355" w:rsidRDefault="0098273B" w:rsidP="00EA1CDF">
      <w:pPr>
        <w:widowControl/>
        <w:rPr>
          <w:i/>
        </w:rPr>
      </w:pPr>
      <w:r w:rsidRPr="00EE3355">
        <w:rPr>
          <w:i/>
        </w:rPr>
        <w:t>Reakce v místě vpichu</w:t>
      </w:r>
    </w:p>
    <w:p w14:paraId="0673DED6" w14:textId="063BCBB4" w:rsidR="00222DE0" w:rsidRPr="00EE3355" w:rsidRDefault="0098273B" w:rsidP="00EA1CDF">
      <w:pPr>
        <w:pStyle w:val="a3"/>
        <w:widowControl/>
        <w:ind w:left="0"/>
      </w:pPr>
      <w:r w:rsidRPr="00EE3355">
        <w:lastRenderedPageBreak/>
        <w:t>Ve skupině s</w:t>
      </w:r>
      <w:r w:rsidR="00D2449D">
        <w:t> </w:t>
      </w:r>
      <w:r w:rsidR="00D2449D" w:rsidRPr="001879E9">
        <w:t>tocilizumab</w:t>
      </w:r>
      <w:r w:rsidR="00D2449D">
        <w:t xml:space="preserve">em </w:t>
      </w:r>
      <w:r w:rsidRPr="00EE3355">
        <w:t>podávaným subkutánně jednou týdně hlásilo celkem 6 % (6/100) pacientů nežádoucí účinek v místě vpichu subkutánní injekce. Žádná reakce v místě vpichu nebyla hlášena jako závažná nežádoucí příhoda ani nevyžadovala vysazení léčby.</w:t>
      </w:r>
    </w:p>
    <w:p w14:paraId="26385A83" w14:textId="77777777" w:rsidR="00222DE0" w:rsidRPr="00EE3355" w:rsidRDefault="00222DE0" w:rsidP="00EA1CDF">
      <w:pPr>
        <w:pStyle w:val="a3"/>
        <w:widowControl/>
        <w:ind w:left="0"/>
      </w:pPr>
    </w:p>
    <w:p w14:paraId="046BC422" w14:textId="77777777" w:rsidR="00222DE0" w:rsidRPr="00EE3355" w:rsidRDefault="0098273B" w:rsidP="00B93217">
      <w:pPr>
        <w:keepNext/>
        <w:widowControl/>
        <w:rPr>
          <w:i/>
        </w:rPr>
      </w:pPr>
      <w:r w:rsidRPr="00EE3355">
        <w:rPr>
          <w:i/>
        </w:rPr>
        <w:t>Hematologické odchylky:</w:t>
      </w:r>
    </w:p>
    <w:p w14:paraId="35500FB7" w14:textId="77777777" w:rsidR="00222DE0" w:rsidRPr="00EE3355" w:rsidRDefault="0098273B" w:rsidP="00B93217">
      <w:pPr>
        <w:keepNext/>
        <w:widowControl/>
        <w:rPr>
          <w:i/>
        </w:rPr>
      </w:pPr>
      <w:r w:rsidRPr="00EE3355">
        <w:rPr>
          <w:i/>
        </w:rPr>
        <w:t>Neutrofily</w:t>
      </w:r>
    </w:p>
    <w:p w14:paraId="5B779E45" w14:textId="16B85105" w:rsidR="00222DE0" w:rsidRPr="00EE3355" w:rsidRDefault="0098273B" w:rsidP="00EA1CDF">
      <w:pPr>
        <w:pStyle w:val="a3"/>
        <w:widowControl/>
        <w:ind w:left="0"/>
      </w:pPr>
      <w:r w:rsidRPr="00EE3355">
        <w:t xml:space="preserve">Během laboratorních měření v rámci 12měsíčního kontrolovaného klinického hodnocení </w:t>
      </w:r>
      <w:r w:rsidR="00D2449D" w:rsidRPr="001879E9">
        <w:t>tocilizumab</w:t>
      </w:r>
      <w:r w:rsidR="00D2449D">
        <w:t>u</w:t>
      </w:r>
      <w:r w:rsidRPr="00EE3355">
        <w:t xml:space="preserve"> došlo u 4 % pacientů ve skupině s</w:t>
      </w:r>
      <w:r w:rsidR="00D2449D">
        <w:t> </w:t>
      </w:r>
      <w:r w:rsidR="00D2449D" w:rsidRPr="001879E9">
        <w:t>tocilizumab</w:t>
      </w:r>
      <w:r w:rsidR="00D2449D">
        <w:t xml:space="preserve">em </w:t>
      </w:r>
      <w:r w:rsidRPr="00EE3355">
        <w:t>podávaným subkutánně jednou týdně k poklesu počtu neutrofilů pod 1 x 10</w:t>
      </w:r>
      <w:r w:rsidRPr="00EE3355">
        <w:rPr>
          <w:vertAlign w:val="superscript"/>
        </w:rPr>
        <w:t>9</w:t>
      </w:r>
      <w:r w:rsidRPr="00EE3355">
        <w:t>/l. Ve skupinách s placebem plus postupně vysazovaným prednisonem k poklesu nedošlo.</w:t>
      </w:r>
    </w:p>
    <w:p w14:paraId="16FF9F26" w14:textId="77777777" w:rsidR="00222DE0" w:rsidRPr="00EE3355" w:rsidRDefault="00222DE0" w:rsidP="00EA1CDF">
      <w:pPr>
        <w:pStyle w:val="a3"/>
        <w:widowControl/>
        <w:ind w:left="0"/>
      </w:pPr>
    </w:p>
    <w:p w14:paraId="678945BA" w14:textId="77777777" w:rsidR="00222DE0" w:rsidRPr="00EE3355" w:rsidRDefault="0098273B" w:rsidP="00EA1CDF">
      <w:pPr>
        <w:widowControl/>
        <w:rPr>
          <w:i/>
        </w:rPr>
      </w:pPr>
      <w:r w:rsidRPr="00EE3355">
        <w:rPr>
          <w:i/>
        </w:rPr>
        <w:t>Trombocyty</w:t>
      </w:r>
    </w:p>
    <w:p w14:paraId="1844D101" w14:textId="21481A81" w:rsidR="00222DE0" w:rsidRPr="00EE3355" w:rsidRDefault="0098273B" w:rsidP="00EA1CDF">
      <w:pPr>
        <w:pStyle w:val="a3"/>
        <w:widowControl/>
        <w:ind w:left="0"/>
      </w:pPr>
      <w:r w:rsidRPr="00EE3355">
        <w:t xml:space="preserve">Během rutinního laboratorního měření v rámci 12měsíčního kontrolovaného klinického hodnocení </w:t>
      </w:r>
      <w:r w:rsidR="006F7140" w:rsidRPr="001879E9">
        <w:t>tocilizumab</w:t>
      </w:r>
      <w:r w:rsidR="006F7140">
        <w:t xml:space="preserve">u </w:t>
      </w:r>
      <w:r w:rsidRPr="00EE3355">
        <w:t>byl u jednoho pacienta (1 %, 1/100) ve skupině s</w:t>
      </w:r>
      <w:r w:rsidR="006F7140">
        <w:t> </w:t>
      </w:r>
      <w:r w:rsidR="006F7140" w:rsidRPr="001879E9">
        <w:t>tocilizumab</w:t>
      </w:r>
      <w:r w:rsidR="006F7140">
        <w:t xml:space="preserve">em </w:t>
      </w:r>
      <w:r w:rsidRPr="00EE3355">
        <w:t>podávaným subkutánně jednou týdně zjištěn jednorázový přechodný pokles počtu trombocytů na</w:t>
      </w:r>
      <w:r w:rsidR="00041107" w:rsidRPr="00EE3355">
        <w:t xml:space="preserve"> </w:t>
      </w:r>
      <w:r w:rsidRPr="00EE3355">
        <w:t>&lt; 100 x 10</w:t>
      </w:r>
      <w:r w:rsidRPr="00EE3355">
        <w:rPr>
          <w:vertAlign w:val="superscript"/>
        </w:rPr>
        <w:t>3</w:t>
      </w:r>
      <w:r w:rsidRPr="00EE3355">
        <w:t>/μl, který nebyl spojen s krvácením. Ve skupinách s placebem plus postupně vysazovaným</w:t>
      </w:r>
      <w:r w:rsidR="00041107" w:rsidRPr="00EE3355">
        <w:t xml:space="preserve"> </w:t>
      </w:r>
      <w:r w:rsidRPr="00EE3355">
        <w:t>prednisonem k poklesu počtu trombocytů pod 100 x 10</w:t>
      </w:r>
      <w:r w:rsidRPr="00EE3355">
        <w:rPr>
          <w:vertAlign w:val="superscript"/>
        </w:rPr>
        <w:t>3</w:t>
      </w:r>
      <w:r w:rsidRPr="00EE3355">
        <w:t>/μl nedošlo.</w:t>
      </w:r>
    </w:p>
    <w:p w14:paraId="2312E470" w14:textId="77777777" w:rsidR="00222DE0" w:rsidRPr="00EE3355" w:rsidRDefault="00222DE0" w:rsidP="00EA1CDF">
      <w:pPr>
        <w:pStyle w:val="a3"/>
        <w:widowControl/>
        <w:ind w:left="0"/>
      </w:pPr>
    </w:p>
    <w:p w14:paraId="26D264B2" w14:textId="77777777" w:rsidR="00222DE0" w:rsidRPr="00EE3355" w:rsidRDefault="0098273B" w:rsidP="00EA1CDF">
      <w:pPr>
        <w:widowControl/>
        <w:rPr>
          <w:i/>
        </w:rPr>
      </w:pPr>
      <w:r w:rsidRPr="00EE3355">
        <w:rPr>
          <w:i/>
        </w:rPr>
        <w:t>Elevace jaterních aminotransferáz</w:t>
      </w:r>
    </w:p>
    <w:p w14:paraId="706DC97E" w14:textId="4F9E66A9" w:rsidR="00222DE0" w:rsidRPr="00EE3355" w:rsidRDefault="0098273B" w:rsidP="00EA1CDF">
      <w:pPr>
        <w:pStyle w:val="a3"/>
        <w:widowControl/>
        <w:ind w:left="0"/>
      </w:pPr>
      <w:r w:rsidRPr="00EE3355">
        <w:t xml:space="preserve">Během rutinního laboratorního měření v rámci 12měsíčního kontrolovaného klinického hodnocení </w:t>
      </w:r>
      <w:r w:rsidR="006F7140" w:rsidRPr="001879E9">
        <w:t>tocilizumab</w:t>
      </w:r>
      <w:r w:rsidR="006F7140">
        <w:t xml:space="preserve">u </w:t>
      </w:r>
      <w:r w:rsidRPr="00EE3355">
        <w:t>bylo u 3 % pacientů ve skupině s</w:t>
      </w:r>
      <w:r w:rsidR="006F7140">
        <w:t> </w:t>
      </w:r>
      <w:r w:rsidR="006F7140" w:rsidRPr="001879E9">
        <w:t>tocilizumab</w:t>
      </w:r>
      <w:r w:rsidR="006F7140">
        <w:t xml:space="preserve">em </w:t>
      </w:r>
      <w:r w:rsidRPr="00EE3355">
        <w:t>podávaným subkutánně jednou týdně zjištěno zvýšení ALT ≥ 3 x ULN ve srovnání se 2 % pacientů ve skupině</w:t>
      </w:r>
      <w:r w:rsidR="00041107" w:rsidRPr="00EE3355">
        <w:t xml:space="preserve"> </w:t>
      </w:r>
      <w:r w:rsidRPr="00EE3355">
        <w:t>s placebem plus 52týdenním postupným vysazováním prednisonu a se žádným pacientem ve skupiněs placebem plus 26týdenním postupným vysazováním prednisonu. Ke zvýšení AST &gt; 3 x ULN došlo u 1 % pacientů ve skupině s</w:t>
      </w:r>
      <w:r w:rsidR="006F7140">
        <w:t> </w:t>
      </w:r>
      <w:r w:rsidR="006F7140" w:rsidRPr="001879E9">
        <w:t>tocilizumab</w:t>
      </w:r>
      <w:r w:rsidR="006F7140">
        <w:t xml:space="preserve">em </w:t>
      </w:r>
      <w:r w:rsidRPr="00EE3355">
        <w:t>podávaným subkutánně jednou týdně ve srovnání</w:t>
      </w:r>
      <w:r w:rsidR="00041107" w:rsidRPr="00EE3355">
        <w:t xml:space="preserve"> </w:t>
      </w:r>
      <w:r w:rsidRPr="00EE3355">
        <w:t>s 0 % pacientů v obou skupinách s placebem plus postupným vysazováním prednisonu.</w:t>
      </w:r>
    </w:p>
    <w:p w14:paraId="3ED7D5E4" w14:textId="77777777" w:rsidR="00041107" w:rsidRPr="00EE3355" w:rsidRDefault="00041107" w:rsidP="00EA1CDF">
      <w:pPr>
        <w:pStyle w:val="a3"/>
        <w:widowControl/>
        <w:ind w:left="0"/>
      </w:pPr>
    </w:p>
    <w:p w14:paraId="7935740D" w14:textId="77777777" w:rsidR="00222DE0" w:rsidRPr="00EE3355" w:rsidRDefault="0098273B" w:rsidP="00EA1CDF">
      <w:pPr>
        <w:keepNext/>
        <w:widowControl/>
        <w:rPr>
          <w:i/>
        </w:rPr>
      </w:pPr>
      <w:r w:rsidRPr="00EE3355">
        <w:rPr>
          <w:i/>
        </w:rPr>
        <w:t>Lipidové parametry</w:t>
      </w:r>
    </w:p>
    <w:p w14:paraId="12B209F7" w14:textId="19691C17" w:rsidR="00222DE0" w:rsidRPr="00EE3355" w:rsidRDefault="0098273B" w:rsidP="00EA1CDF">
      <w:pPr>
        <w:pStyle w:val="a3"/>
        <w:widowControl/>
        <w:ind w:left="0"/>
      </w:pPr>
      <w:r w:rsidRPr="00EE3355">
        <w:t xml:space="preserve">Během rutinního laboratorního měření v rámci 12měsíčního kontrolovaného klinického hodnocení </w:t>
      </w:r>
      <w:r w:rsidR="006F7140" w:rsidRPr="001879E9">
        <w:t>tocilizumab</w:t>
      </w:r>
      <w:r w:rsidR="006F7140">
        <w:t xml:space="preserve">u </w:t>
      </w:r>
      <w:r w:rsidRPr="00EE3355">
        <w:t>bylo u 34 % pacientů zjištěno trvalé zvýšení celkového cholesterolu</w:t>
      </w:r>
      <w:r w:rsidR="00770A13" w:rsidRPr="00EE3355">
        <w:t xml:space="preserve"> </w:t>
      </w:r>
      <w:r w:rsidR="00B23DAE" w:rsidRPr="00EE3355">
        <w:t>&gt;</w:t>
      </w:r>
      <w:r w:rsidR="00770A13" w:rsidRPr="00EE3355">
        <w:t xml:space="preserve"> </w:t>
      </w:r>
      <w:r w:rsidRPr="00EE3355">
        <w:t xml:space="preserve">6,2 mmol/l (240 mg/dl), z nichž 15 % s trvalým zvýšením LDL na </w:t>
      </w:r>
      <w:r w:rsidRPr="00EE3355">
        <w:rPr>
          <w:rFonts w:ascii="Symbol" w:hAnsi="Symbol"/>
        </w:rPr>
        <w:t></w:t>
      </w:r>
      <w:r w:rsidRPr="00EE3355">
        <w:t xml:space="preserve"> 4,1 mmol/l (160 mg/dl) patřilo</w:t>
      </w:r>
      <w:r w:rsidR="00770A13" w:rsidRPr="00EE3355">
        <w:t xml:space="preserve"> </w:t>
      </w:r>
      <w:r w:rsidRPr="00EE3355">
        <w:t>do skupiny s</w:t>
      </w:r>
      <w:r w:rsidR="006F7140">
        <w:t> </w:t>
      </w:r>
      <w:r w:rsidR="006F7140" w:rsidRPr="001879E9">
        <w:t>tocilizumab</w:t>
      </w:r>
      <w:r w:rsidR="006F7140">
        <w:t xml:space="preserve">em </w:t>
      </w:r>
      <w:r w:rsidRPr="00EE3355">
        <w:t>podávaným subkutánně jednou týdně.</w:t>
      </w:r>
    </w:p>
    <w:p w14:paraId="53350A4B" w14:textId="77777777" w:rsidR="00222DE0" w:rsidRPr="00EE3355" w:rsidRDefault="00222DE0" w:rsidP="00EA1CDF">
      <w:pPr>
        <w:pStyle w:val="a3"/>
        <w:widowControl/>
        <w:ind w:left="0"/>
      </w:pPr>
    </w:p>
    <w:p w14:paraId="34D8B69D" w14:textId="77777777" w:rsidR="00222DE0" w:rsidRPr="00EE3355" w:rsidRDefault="0098273B" w:rsidP="00EA1CDF">
      <w:pPr>
        <w:keepNext/>
        <w:widowControl/>
        <w:rPr>
          <w:i/>
        </w:rPr>
      </w:pPr>
      <w:r w:rsidRPr="00EE3355">
        <w:rPr>
          <w:i/>
        </w:rPr>
        <w:t>Intravenózní podání</w:t>
      </w:r>
    </w:p>
    <w:p w14:paraId="78E276EE" w14:textId="77777777" w:rsidR="00222DE0" w:rsidRPr="008D1875" w:rsidRDefault="0098273B" w:rsidP="00EA1CDF">
      <w:pPr>
        <w:keepNext/>
        <w:widowControl/>
        <w:rPr>
          <w:b/>
        </w:rPr>
      </w:pPr>
      <w:r w:rsidRPr="00B93217">
        <w:rPr>
          <w:b/>
        </w:rPr>
        <w:t>RA</w:t>
      </w:r>
    </w:p>
    <w:p w14:paraId="22F976C2" w14:textId="706755A6" w:rsidR="00222DE0" w:rsidRPr="00EE3355" w:rsidRDefault="0098273B" w:rsidP="00EA1CDF">
      <w:pPr>
        <w:pStyle w:val="a3"/>
        <w:widowControl/>
        <w:ind w:left="0"/>
      </w:pPr>
      <w:r w:rsidRPr="00EE3355">
        <w:t xml:space="preserve">Bezpečnost </w:t>
      </w:r>
      <w:r w:rsidR="006F7140" w:rsidRPr="001879E9">
        <w:t>tocilizumab</w:t>
      </w:r>
      <w:r w:rsidR="006F7140">
        <w:t xml:space="preserve">u </w:t>
      </w:r>
      <w:r w:rsidRPr="00EE3355">
        <w:t>byla hodnocena v 5 dvojitě zaslepených studiích fáze III a jejich prodloužených fázích.</w:t>
      </w:r>
    </w:p>
    <w:p w14:paraId="574DB256" w14:textId="77777777" w:rsidR="00041107" w:rsidRPr="00EE3355" w:rsidRDefault="00041107" w:rsidP="00EA1CDF">
      <w:pPr>
        <w:pStyle w:val="a3"/>
        <w:widowControl/>
        <w:ind w:left="0"/>
      </w:pPr>
    </w:p>
    <w:p w14:paraId="5ABF807B" w14:textId="474DC374" w:rsidR="00222DE0" w:rsidRPr="00EE3355" w:rsidRDefault="0098273B" w:rsidP="00EA1CDF">
      <w:pPr>
        <w:pStyle w:val="a3"/>
        <w:widowControl/>
        <w:ind w:left="0"/>
      </w:pPr>
      <w:r w:rsidRPr="00EE3355">
        <w:t xml:space="preserve">Kontrolní soubor zahrnuje všechny pacienty v období dvojitě zaslepené fáze každé klíčové studie od randomizace do období první změny léčebného režimu nebo po dosažení dvou let. Ve 4 studiích trvalo kontrolované období léčby 6 měsíců a v jedné studii trvalo až 2 roky. Ve dvojitě zaslepených, kontrolovaných studiích dostávalo 774 pacientů </w:t>
      </w:r>
      <w:r w:rsidR="006F7140" w:rsidRPr="001879E9">
        <w:t>tocilizumab</w:t>
      </w:r>
      <w:r w:rsidR="006F7140">
        <w:t xml:space="preserve"> </w:t>
      </w:r>
      <w:r w:rsidRPr="00EE3355">
        <w:t>v dávce 4 mg/kg v</w:t>
      </w:r>
      <w:r w:rsidR="00041107" w:rsidRPr="00EE3355">
        <w:t> </w:t>
      </w:r>
      <w:r w:rsidRPr="00EE3355">
        <w:t>kombinaci</w:t>
      </w:r>
      <w:r w:rsidR="00041107" w:rsidRPr="00EE3355">
        <w:t xml:space="preserve"> </w:t>
      </w:r>
      <w:r w:rsidRPr="00EE3355">
        <w:t>s MTX, 1870 pacientů dostávalo tocilizumab v dávce 8 mg/kg v kombinaci s MTX/jinými DMARD a 288 pacientů dostávalo tocilizumab v dávce 8 mg/kg v monoterapii.</w:t>
      </w:r>
    </w:p>
    <w:p w14:paraId="7FB0D675" w14:textId="77777777" w:rsidR="00222DE0" w:rsidRPr="00EE3355" w:rsidRDefault="00222DE0" w:rsidP="00EA1CDF">
      <w:pPr>
        <w:widowControl/>
      </w:pPr>
    </w:p>
    <w:p w14:paraId="3E20364C" w14:textId="0D50269D" w:rsidR="00222DE0" w:rsidRPr="00EE3355" w:rsidRDefault="0098273B" w:rsidP="00EA1CDF">
      <w:pPr>
        <w:pStyle w:val="a3"/>
        <w:widowControl/>
        <w:ind w:left="0"/>
      </w:pPr>
      <w:r w:rsidRPr="00EE3355">
        <w:t xml:space="preserve">Soubor celkové expozice zahrnuje pacienty, kteří dostali alespoň jednu dávku </w:t>
      </w:r>
      <w:r w:rsidR="006F7140" w:rsidRPr="001879E9">
        <w:t>tocilizumab</w:t>
      </w:r>
      <w:r w:rsidR="006F7140">
        <w:t xml:space="preserve">u </w:t>
      </w:r>
      <w:r w:rsidRPr="00EE3355">
        <w:t>buď v období dvojitě zaslepené, kontrolované části, nebo v otevřené prodloužené fázi těchto studií. Z celkem 4 009 pacientů v tomto souboru dostávalo 3 577 pacientů léčbu po dobu alespoň 6 měsíců, 3 296 po dobu alespoň 1 roku, 2 806 dostávalo léčbu po dobu alespoň 2 let a 1 222 po dobu 3 let.</w:t>
      </w:r>
    </w:p>
    <w:p w14:paraId="74CFDBBF" w14:textId="77777777" w:rsidR="00222DE0" w:rsidRPr="00EE3355" w:rsidRDefault="00222DE0" w:rsidP="00EA1CDF">
      <w:pPr>
        <w:pStyle w:val="a3"/>
        <w:widowControl/>
        <w:ind w:left="0"/>
      </w:pPr>
    </w:p>
    <w:p w14:paraId="652E1BEE" w14:textId="77777777" w:rsidR="00222DE0" w:rsidRPr="00EE3355" w:rsidRDefault="0098273B" w:rsidP="00EA1CDF">
      <w:pPr>
        <w:pStyle w:val="a3"/>
        <w:widowControl/>
        <w:ind w:left="0"/>
      </w:pPr>
      <w:r w:rsidRPr="00EE3355">
        <w:rPr>
          <w:u w:val="single"/>
        </w:rPr>
        <w:t>Popis vybraných nežádoucích účinků</w:t>
      </w:r>
    </w:p>
    <w:p w14:paraId="34F268E1" w14:textId="77777777" w:rsidR="00222DE0" w:rsidRPr="00EE3355" w:rsidRDefault="00222DE0" w:rsidP="00EA1CDF">
      <w:pPr>
        <w:pStyle w:val="a3"/>
        <w:widowControl/>
        <w:ind w:left="0"/>
      </w:pPr>
    </w:p>
    <w:p w14:paraId="52AE5D66" w14:textId="77777777" w:rsidR="00222DE0" w:rsidRPr="00EE3355" w:rsidRDefault="0098273B" w:rsidP="00EA1CDF">
      <w:pPr>
        <w:widowControl/>
        <w:rPr>
          <w:i/>
        </w:rPr>
      </w:pPr>
      <w:r w:rsidRPr="00EE3355">
        <w:rPr>
          <w:i/>
        </w:rPr>
        <w:t>Infekce</w:t>
      </w:r>
    </w:p>
    <w:p w14:paraId="0641EDD8" w14:textId="540C224D" w:rsidR="00222DE0" w:rsidRPr="00EE3355" w:rsidRDefault="0098273B" w:rsidP="00EA1CDF">
      <w:pPr>
        <w:pStyle w:val="a3"/>
        <w:widowControl/>
        <w:ind w:left="0"/>
      </w:pPr>
      <w:r w:rsidRPr="00EE3355">
        <w:t xml:space="preserve">V 6měsíčních kontrolovaných studiích byl počet všech infekcí zaznamenaných při podávání </w:t>
      </w:r>
      <w:r w:rsidR="006F7140" w:rsidRPr="001879E9">
        <w:t>tocilizumab</w:t>
      </w:r>
      <w:r w:rsidR="006F7140">
        <w:t>u</w:t>
      </w:r>
      <w:r w:rsidRPr="00EE3355">
        <w:t xml:space="preserve"> 8 mg/kg spolu s tradičními DMARD 127 příhod na 100 pacientoroků v porovnání se 112 příhodami na 100 pacientoroků ve skupině s placebem spolu s tradičními DMARD. V souboru </w:t>
      </w:r>
      <w:r w:rsidRPr="00EE3355">
        <w:lastRenderedPageBreak/>
        <w:t xml:space="preserve">dlouhodobé expozice byl celkový počet infekcí při používání </w:t>
      </w:r>
      <w:r w:rsidR="006F7140" w:rsidRPr="001879E9">
        <w:t>tocilizumab</w:t>
      </w:r>
      <w:r w:rsidR="006F7140">
        <w:t xml:space="preserve">u </w:t>
      </w:r>
      <w:r w:rsidRPr="00EE3355">
        <w:t>108 příhod na 100 pacientoroků expozice.</w:t>
      </w:r>
    </w:p>
    <w:p w14:paraId="2A4E3E81" w14:textId="77777777" w:rsidR="00222DE0" w:rsidRPr="00EE3355" w:rsidRDefault="00222DE0" w:rsidP="00EA1CDF">
      <w:pPr>
        <w:pStyle w:val="a3"/>
        <w:widowControl/>
        <w:ind w:left="0"/>
      </w:pPr>
    </w:p>
    <w:p w14:paraId="16C095D6" w14:textId="38B054F0" w:rsidR="00222DE0" w:rsidRPr="00EE3355" w:rsidRDefault="0098273B" w:rsidP="00EA1CDF">
      <w:pPr>
        <w:pStyle w:val="a3"/>
        <w:widowControl/>
        <w:ind w:left="0"/>
      </w:pPr>
      <w:r w:rsidRPr="00EE3355">
        <w:t>V 6měsíčních kontrolovaných klinických studiích byl počet závažných infekcí v</w:t>
      </w:r>
      <w:r w:rsidR="00041107" w:rsidRPr="00EE3355">
        <w:t> </w:t>
      </w:r>
      <w:r w:rsidRPr="00EE3355">
        <w:t>souvislosti</w:t>
      </w:r>
      <w:r w:rsidR="00041107" w:rsidRPr="00EE3355">
        <w:t xml:space="preserve"> </w:t>
      </w:r>
      <w:r w:rsidRPr="00EE3355">
        <w:t>s</w:t>
      </w:r>
      <w:r w:rsidR="006F7140">
        <w:t> </w:t>
      </w:r>
      <w:r w:rsidR="006F7140" w:rsidRPr="001879E9">
        <w:t>tocilizumab</w:t>
      </w:r>
      <w:r w:rsidR="006F7140">
        <w:t xml:space="preserve">em </w:t>
      </w:r>
      <w:r w:rsidRPr="00EE3355">
        <w:t>8 mg/kg spolu s tradičními DMARD 5,3 příhod na 100 pacientoroků expozice v porovnání s 3,9 příhodami na 100 pacientoroků expozice ve skupině s placebem spolu s tradičními DMARD. Ve studiích monoterapie byl počet závažných infekcí 3,6 příhod na 100</w:t>
      </w:r>
      <w:r w:rsidR="00041107" w:rsidRPr="00EE3355">
        <w:t xml:space="preserve"> </w:t>
      </w:r>
      <w:r w:rsidRPr="00EE3355">
        <w:t xml:space="preserve">pacientoroků expozice u </w:t>
      </w:r>
      <w:r w:rsidR="006F7140" w:rsidRPr="001879E9">
        <w:t>tocilizumab</w:t>
      </w:r>
      <w:r w:rsidR="006F7140">
        <w:t xml:space="preserve">u </w:t>
      </w:r>
      <w:r w:rsidRPr="00EE3355">
        <w:t>a 1,5 příhody na 100 pacientoroků expozice ve skupině</w:t>
      </w:r>
      <w:r w:rsidR="00041107" w:rsidRPr="00EE3355">
        <w:t xml:space="preserve"> </w:t>
      </w:r>
      <w:r w:rsidRPr="00EE3355">
        <w:t>MTX.</w:t>
      </w:r>
    </w:p>
    <w:p w14:paraId="7540E457" w14:textId="77777777" w:rsidR="00041107" w:rsidRPr="00EE3355" w:rsidRDefault="00041107" w:rsidP="00EA1CDF">
      <w:pPr>
        <w:pStyle w:val="a3"/>
        <w:widowControl/>
        <w:ind w:left="0"/>
      </w:pPr>
    </w:p>
    <w:p w14:paraId="5584E73F" w14:textId="77777777" w:rsidR="00222DE0" w:rsidRPr="00EE3355" w:rsidRDefault="0098273B" w:rsidP="00EA1CDF">
      <w:pPr>
        <w:pStyle w:val="a3"/>
        <w:widowControl/>
        <w:ind w:left="0"/>
      </w:pPr>
      <w:r w:rsidRPr="00EE3355">
        <w:t>V souboru celkové expozice byla celková míra závažných infekcí 4,7 příhod na 100 pacientoroků. Zaznamenané závažné infekce, z nichž některé byly fatální, zahrnovaly pneumonii, celulitidu, herpes zoster, gastroenteritidu, divertikulitidu, sepsi, bakteriální artritidu. Byly rovněž zaznamenány případy oportunních infekcí.</w:t>
      </w:r>
    </w:p>
    <w:p w14:paraId="66A84FA6" w14:textId="77777777" w:rsidR="00222DE0" w:rsidRPr="00EE3355" w:rsidRDefault="00222DE0" w:rsidP="00EA1CDF">
      <w:pPr>
        <w:pStyle w:val="a3"/>
        <w:widowControl/>
        <w:ind w:left="0"/>
      </w:pPr>
    </w:p>
    <w:p w14:paraId="6204857E" w14:textId="77777777" w:rsidR="00222DE0" w:rsidRPr="00EE3355" w:rsidRDefault="0098273B" w:rsidP="00EA1CDF">
      <w:pPr>
        <w:widowControl/>
        <w:rPr>
          <w:i/>
        </w:rPr>
      </w:pPr>
      <w:r w:rsidRPr="00EE3355">
        <w:rPr>
          <w:i/>
        </w:rPr>
        <w:t>Intersticiální plicní onemocnění</w:t>
      </w:r>
    </w:p>
    <w:p w14:paraId="62822C15" w14:textId="77777777" w:rsidR="00222DE0" w:rsidRDefault="0098273B" w:rsidP="00EA1CDF">
      <w:pPr>
        <w:pStyle w:val="a3"/>
        <w:widowControl/>
        <w:ind w:left="0"/>
      </w:pPr>
      <w:r w:rsidRPr="00EE3355">
        <w:t>Porucha plicních funkcí může zvýšit riziko rozvoje infekcí. Po uvedení přípravku na trh byly hlášeny případy intersticiálního plicního onemocnění (včetně pneumonitidy a plicní fibrózy), některé z nich končily fatálně.</w:t>
      </w:r>
    </w:p>
    <w:p w14:paraId="36E1FE64" w14:textId="77777777" w:rsidR="00130E42" w:rsidRPr="00EE3355" w:rsidRDefault="00130E42" w:rsidP="00EA1CDF">
      <w:pPr>
        <w:pStyle w:val="a3"/>
        <w:widowControl/>
        <w:ind w:left="0"/>
      </w:pPr>
    </w:p>
    <w:p w14:paraId="16E9173A" w14:textId="77777777" w:rsidR="00222DE0" w:rsidRPr="00EE3355" w:rsidRDefault="0098273B" w:rsidP="00EA1CDF">
      <w:pPr>
        <w:widowControl/>
        <w:rPr>
          <w:i/>
        </w:rPr>
      </w:pPr>
      <w:r w:rsidRPr="00EE3355">
        <w:rPr>
          <w:i/>
        </w:rPr>
        <w:t>Gastrointestinální perforace</w:t>
      </w:r>
    </w:p>
    <w:p w14:paraId="072CB7D5" w14:textId="182E94BE" w:rsidR="00222DE0" w:rsidRPr="00EE3355" w:rsidRDefault="0098273B" w:rsidP="00EA1CDF">
      <w:pPr>
        <w:pStyle w:val="a3"/>
        <w:widowControl/>
        <w:ind w:left="0"/>
      </w:pPr>
      <w:r w:rsidRPr="00EE3355">
        <w:t xml:space="preserve">Při léčbě </w:t>
      </w:r>
      <w:r w:rsidR="006F7140" w:rsidRPr="001879E9">
        <w:t>tocilizumab</w:t>
      </w:r>
      <w:r w:rsidR="006F7140">
        <w:t xml:space="preserve">em </w:t>
      </w:r>
      <w:r w:rsidRPr="00EE3355">
        <w:t xml:space="preserve">byl v průběhu 6měsíčních kontrolovaných klinických studií celkový výskyt gastrointestinálních perforací 0,26 příhod na 100 pacientoroků. V souboru dlouhodobé expozice byl celkový výskyt gastrointestinálních perforací 0,28 příhod na 100 pacientoroků. Hlášení gastrointestinálních perforací při léčbě </w:t>
      </w:r>
      <w:r w:rsidR="006F7140" w:rsidRPr="001879E9">
        <w:t>tocilizumab</w:t>
      </w:r>
      <w:r w:rsidR="006F7140">
        <w:t xml:space="preserve">em </w:t>
      </w:r>
      <w:r w:rsidRPr="00EE3355">
        <w:t>byla primárně zaznamenávána jako komplikace divertikulitidy a zahrnovala generalizovanou purulentní peritonitidu, perforaci dolní části GIT, píštěle a abscesy.</w:t>
      </w:r>
    </w:p>
    <w:p w14:paraId="59951CDA" w14:textId="77777777" w:rsidR="00041107" w:rsidRPr="00EE3355" w:rsidRDefault="00041107" w:rsidP="00EA1CDF">
      <w:pPr>
        <w:pStyle w:val="a3"/>
        <w:widowControl/>
        <w:ind w:left="0"/>
      </w:pPr>
    </w:p>
    <w:p w14:paraId="4880B30F" w14:textId="77777777" w:rsidR="00222DE0" w:rsidRPr="00EE3355" w:rsidRDefault="0098273B" w:rsidP="00EA1CDF">
      <w:pPr>
        <w:keepNext/>
        <w:widowControl/>
        <w:rPr>
          <w:i/>
        </w:rPr>
      </w:pPr>
      <w:r w:rsidRPr="00EE3355">
        <w:rPr>
          <w:i/>
        </w:rPr>
        <w:t>Reakce související s infuzí</w:t>
      </w:r>
    </w:p>
    <w:p w14:paraId="0C621474" w14:textId="77777777" w:rsidR="00222DE0" w:rsidRPr="00EE3355" w:rsidRDefault="0098273B" w:rsidP="00EA1CDF">
      <w:pPr>
        <w:pStyle w:val="a3"/>
        <w:widowControl/>
        <w:ind w:left="0"/>
      </w:pPr>
      <w:r w:rsidRPr="00EE3355">
        <w:t>V 6měsíčních kontrolovaných klinických studiích byly nežádoucí účinky v souvislosti s infuzí (vybrané příhody se objevují v průběhu nebo do 24 hodin po aplikaci infuze) zaznamenány u 6,9 % pacientů dostávajících tocilizumab v dávce 8 mg/kg spolu s tradičními DMARD a u 5,1 % ve skupině pacientů s placebem spolu s tradičními DMARD. Nežádoucí účinky zaznamenané během aplikace infuze zahrnovaly primárně epizody hypertenze; příhody zaznamenané během 24 hodin po ukončení infuze byly bolest hlavy a kožní reakce (vyrážka, urtikarie). Tyto nežádoucí účinky nelimitovaly léčbu.</w:t>
      </w:r>
    </w:p>
    <w:p w14:paraId="29B75CFD" w14:textId="77777777" w:rsidR="00041107" w:rsidRPr="00EE3355" w:rsidRDefault="00041107" w:rsidP="00EA1CDF">
      <w:pPr>
        <w:pStyle w:val="a3"/>
        <w:widowControl/>
        <w:ind w:left="0"/>
      </w:pPr>
    </w:p>
    <w:p w14:paraId="7A772E3F" w14:textId="0E5CAAF5" w:rsidR="00222DE0" w:rsidRPr="00EE3355" w:rsidRDefault="0098273B" w:rsidP="00EA1CDF">
      <w:pPr>
        <w:pStyle w:val="a3"/>
        <w:widowControl/>
        <w:ind w:left="0"/>
      </w:pPr>
      <w:r w:rsidRPr="00EE3355">
        <w:t>Počet anafylaktických reakcí (objevujících se u celkem 6/3</w:t>
      </w:r>
      <w:r w:rsidR="00F56EA7">
        <w:t xml:space="preserve"> </w:t>
      </w:r>
      <w:r w:rsidRPr="00EE3355">
        <w:t xml:space="preserve">778 pacientů; 0,2 %) byl mnohem závažnější u dávky 4 mg/kg v porovnání s 8 mg/kg. Klinicky významná reakce přecitlivělosti spojená s podáváním </w:t>
      </w:r>
      <w:r w:rsidR="006F7140" w:rsidRPr="001879E9">
        <w:t>tocilizumab</w:t>
      </w:r>
      <w:r w:rsidR="006F7140">
        <w:t xml:space="preserve">u </w:t>
      </w:r>
      <w:r w:rsidRPr="00EE3355">
        <w:t xml:space="preserve">a vyžadující přerušení léčby byla zaznamenána u 13 pacientů ze 3 778 (0,3 %) léčených </w:t>
      </w:r>
      <w:r w:rsidR="006F7140" w:rsidRPr="001879E9">
        <w:t>tocilizumab</w:t>
      </w:r>
      <w:r w:rsidR="006F7140">
        <w:t xml:space="preserve">em </w:t>
      </w:r>
      <w:r w:rsidRPr="00EE3355">
        <w:t xml:space="preserve">během kontrolovaných a otevřených klinických studií. Tyto reakce byly obvykle pozorovány během druhé až páté infuze (viz bod 4.4). Po udělení registrace byla během léčby </w:t>
      </w:r>
      <w:r w:rsidR="006F7140" w:rsidRPr="001879E9">
        <w:t>tocilizumab</w:t>
      </w:r>
      <w:r w:rsidR="006F7140">
        <w:t xml:space="preserve">em </w:t>
      </w:r>
      <w:r w:rsidRPr="00EE3355">
        <w:t>podaným intravenózně hlášena fatální anafylaktická reakce (viz bod 4.4).</w:t>
      </w:r>
    </w:p>
    <w:p w14:paraId="49362D02" w14:textId="77777777" w:rsidR="00222DE0" w:rsidRPr="00EE3355" w:rsidRDefault="00222DE0" w:rsidP="00EA1CDF">
      <w:pPr>
        <w:widowControl/>
      </w:pPr>
    </w:p>
    <w:p w14:paraId="57DF901B" w14:textId="77777777" w:rsidR="00222DE0" w:rsidRPr="00EE3355" w:rsidRDefault="0098273B" w:rsidP="00EA1CDF">
      <w:pPr>
        <w:widowControl/>
        <w:rPr>
          <w:i/>
        </w:rPr>
      </w:pPr>
      <w:r w:rsidRPr="00EE3355">
        <w:rPr>
          <w:i/>
        </w:rPr>
        <w:t>Hematologické odchylky:</w:t>
      </w:r>
    </w:p>
    <w:p w14:paraId="36A83D84" w14:textId="77777777" w:rsidR="00222DE0" w:rsidRPr="00EE3355" w:rsidRDefault="0098273B" w:rsidP="00EA1CDF">
      <w:pPr>
        <w:widowControl/>
        <w:rPr>
          <w:i/>
        </w:rPr>
      </w:pPr>
      <w:r w:rsidRPr="00EE3355">
        <w:rPr>
          <w:i/>
        </w:rPr>
        <w:t>Neutrofily</w:t>
      </w:r>
    </w:p>
    <w:p w14:paraId="6F4CC565" w14:textId="71CC4B64" w:rsidR="00222DE0" w:rsidRPr="00EE3355" w:rsidRDefault="0098273B" w:rsidP="00EA1CDF">
      <w:pPr>
        <w:pStyle w:val="a3"/>
        <w:widowControl/>
        <w:ind w:left="0"/>
      </w:pPr>
      <w:r w:rsidRPr="00EE3355">
        <w:t>V 6měsíčních kontrolovaných klinických studiích se pokles počtu neutrofilů pod 1 x 10</w:t>
      </w:r>
      <w:r w:rsidRPr="00EE3355">
        <w:rPr>
          <w:vertAlign w:val="superscript"/>
        </w:rPr>
        <w:t>9</w:t>
      </w:r>
      <w:r w:rsidRPr="00EE3355">
        <w:t xml:space="preserve">/ l objevil u 3,4 % pacientů dostávajících </w:t>
      </w:r>
      <w:r w:rsidR="00DF1AA9" w:rsidRPr="001879E9">
        <w:t>tocilizumab</w:t>
      </w:r>
      <w:r w:rsidR="00DF1AA9">
        <w:t xml:space="preserve"> </w:t>
      </w:r>
      <w:r w:rsidRPr="00EE3355">
        <w:t>v dávce 8 mg/kg spolu s tradičními DMARD</w:t>
      </w:r>
      <w:r w:rsidR="00041107" w:rsidRPr="00EE3355">
        <w:t xml:space="preserve"> </w:t>
      </w:r>
      <w:r w:rsidRPr="00EE3355">
        <w:t>v porovnání s poklesem u &lt; 0,1 % pacientů dostávajících placebo v kombinaci s tradičními DMARD.</w:t>
      </w:r>
      <w:r w:rsidR="00041107" w:rsidRPr="00EE3355">
        <w:t xml:space="preserve"> </w:t>
      </w:r>
      <w:r w:rsidRPr="00EE3355">
        <w:t>Přibližně u poloviny pacientů, u kterých došlo k poklesu ANC &lt; 1 x 10</w:t>
      </w:r>
      <w:r w:rsidRPr="00EE3355">
        <w:rPr>
          <w:vertAlign w:val="superscript"/>
        </w:rPr>
        <w:t>9</w:t>
      </w:r>
      <w:r w:rsidRPr="00EE3355">
        <w:t>/ l, došlo k tomuto poklesu v průběhu 8 týdnů po zahájení terapie. Pokles pod 0,5 x 10</w:t>
      </w:r>
      <w:r w:rsidRPr="00EE3355">
        <w:rPr>
          <w:vertAlign w:val="superscript"/>
        </w:rPr>
        <w:t>9</w:t>
      </w:r>
      <w:r w:rsidRPr="00EE3355">
        <w:t xml:space="preserve">/ l byl zaznamenán u 0,3 % pacientů dostávajících </w:t>
      </w:r>
      <w:r w:rsidR="00DF1AA9" w:rsidRPr="001879E9">
        <w:t>tocilizumab</w:t>
      </w:r>
      <w:r w:rsidR="00DF1AA9">
        <w:t xml:space="preserve"> </w:t>
      </w:r>
      <w:r w:rsidRPr="00EE3355">
        <w:t>8 mg/kg spolu s tradičními DMARD. Byly hlášeny infekce</w:t>
      </w:r>
      <w:r w:rsidR="00041107" w:rsidRPr="00EE3355">
        <w:t xml:space="preserve"> </w:t>
      </w:r>
      <w:r w:rsidRPr="00EE3355">
        <w:t>s neutropenií.</w:t>
      </w:r>
    </w:p>
    <w:p w14:paraId="6F3DA8BA" w14:textId="77777777" w:rsidR="00041107" w:rsidRPr="00EE3355" w:rsidRDefault="00041107" w:rsidP="00EA1CDF">
      <w:pPr>
        <w:pStyle w:val="a3"/>
        <w:widowControl/>
        <w:ind w:left="0"/>
      </w:pPr>
    </w:p>
    <w:p w14:paraId="2B7EDD49" w14:textId="77777777" w:rsidR="00222DE0" w:rsidRPr="00EE3355" w:rsidRDefault="0098273B" w:rsidP="00EA1CDF">
      <w:pPr>
        <w:pStyle w:val="a3"/>
        <w:widowControl/>
        <w:ind w:left="0"/>
      </w:pPr>
      <w:r w:rsidRPr="00EE3355">
        <w:t>V průběhu dvojitě zaslepené kontrolní fáze a při dlouhodobé expozici zůstávaly vzorec a incidence poklesu počtu neutrofilů stejné, jako byly pozorovány během 6měsíčních kontrolovaných klinických studií.</w:t>
      </w:r>
    </w:p>
    <w:p w14:paraId="3CFBFAC8" w14:textId="77777777" w:rsidR="00222DE0" w:rsidRPr="00EE3355" w:rsidRDefault="00222DE0" w:rsidP="00EA1CDF">
      <w:pPr>
        <w:pStyle w:val="a3"/>
        <w:widowControl/>
        <w:ind w:left="0"/>
      </w:pPr>
    </w:p>
    <w:p w14:paraId="29D0AC84" w14:textId="77777777" w:rsidR="00222DE0" w:rsidRPr="00EE3355" w:rsidRDefault="0098273B" w:rsidP="00EA1CDF">
      <w:pPr>
        <w:widowControl/>
        <w:rPr>
          <w:i/>
        </w:rPr>
      </w:pPr>
      <w:r w:rsidRPr="00EE3355">
        <w:rPr>
          <w:i/>
        </w:rPr>
        <w:t>Trombocyty</w:t>
      </w:r>
    </w:p>
    <w:p w14:paraId="4576FFF8" w14:textId="4575346A" w:rsidR="00222DE0" w:rsidRPr="00EE3355" w:rsidRDefault="0098273B" w:rsidP="00EA1CDF">
      <w:pPr>
        <w:pStyle w:val="a3"/>
        <w:widowControl/>
        <w:ind w:left="0"/>
      </w:pPr>
      <w:r w:rsidRPr="00EE3355">
        <w:lastRenderedPageBreak/>
        <w:t>V 6měsíčních kontrolovaných klinických studiích se pokles počtu trombocytů pod 100 x 10</w:t>
      </w:r>
      <w:r w:rsidRPr="00EE3355">
        <w:rPr>
          <w:vertAlign w:val="superscript"/>
        </w:rPr>
        <w:t>3</w:t>
      </w:r>
      <w:r w:rsidRPr="00EE3355">
        <w:t>/</w:t>
      </w:r>
      <w:r w:rsidRPr="00EE3355">
        <w:rPr>
          <w:rFonts w:ascii="Symbol" w:hAnsi="Symbol"/>
        </w:rPr>
        <w:t></w:t>
      </w:r>
      <w:r w:rsidRPr="00EE3355">
        <w:t xml:space="preserve">l objevil u 1,7 % pacientů dostávajících </w:t>
      </w:r>
      <w:r w:rsidR="00DF1AA9" w:rsidRPr="001879E9">
        <w:t>tocilizumab</w:t>
      </w:r>
      <w:r w:rsidR="00DF1AA9">
        <w:t xml:space="preserve"> </w:t>
      </w:r>
      <w:r w:rsidRPr="00EE3355">
        <w:t>v dávce 8 mg/kg spolu s tradičními DMARD</w:t>
      </w:r>
      <w:r w:rsidR="00BC4221">
        <w:t xml:space="preserve"> </w:t>
      </w:r>
      <w:r w:rsidRPr="00EE3355">
        <w:t>v porovnání s méně než 1 % pacientů dostávajících placebo spolu s tradičními DMARD. Tento pokles se objevil bez spojitosti s krvácivými příhodami.</w:t>
      </w:r>
    </w:p>
    <w:p w14:paraId="0146B9E5" w14:textId="77777777" w:rsidR="00041107" w:rsidRPr="00EE3355" w:rsidRDefault="00041107" w:rsidP="00EA1CDF">
      <w:pPr>
        <w:pStyle w:val="a3"/>
        <w:widowControl/>
        <w:ind w:left="0"/>
      </w:pPr>
    </w:p>
    <w:p w14:paraId="11562FC8" w14:textId="77777777" w:rsidR="00222DE0" w:rsidRPr="00EE3355" w:rsidRDefault="0098273B" w:rsidP="00EA1CDF">
      <w:pPr>
        <w:pStyle w:val="a3"/>
        <w:widowControl/>
        <w:ind w:left="0"/>
      </w:pPr>
      <w:r w:rsidRPr="00EE3355">
        <w:t>V průběhu dvojitě zaslepené kontrolní fáze a při dlouhodobé expozici zůstávaly vzorec a incidence poklesu počtu trombocytů stejné, jako byly pozorovány během 6měsíčních kontrolovaných klinických studií.</w:t>
      </w:r>
    </w:p>
    <w:p w14:paraId="3273B7DE" w14:textId="77777777" w:rsidR="00222DE0" w:rsidRPr="00EE3355" w:rsidRDefault="00222DE0" w:rsidP="00EA1CDF">
      <w:pPr>
        <w:pStyle w:val="a3"/>
        <w:widowControl/>
        <w:ind w:left="0"/>
      </w:pPr>
    </w:p>
    <w:p w14:paraId="1C618512" w14:textId="77777777" w:rsidR="00222DE0" w:rsidRDefault="0098273B" w:rsidP="00EA1CDF">
      <w:pPr>
        <w:pStyle w:val="a3"/>
        <w:widowControl/>
        <w:ind w:left="0"/>
      </w:pPr>
      <w:r w:rsidRPr="00EE3355">
        <w:t>Po uvedení přípravku na trh byla velmi vzácně hlášena pancytopenie.</w:t>
      </w:r>
    </w:p>
    <w:p w14:paraId="643AD552" w14:textId="77777777" w:rsidR="00130E42" w:rsidRPr="00EE3355" w:rsidRDefault="00130E42" w:rsidP="00EA1CDF">
      <w:pPr>
        <w:pStyle w:val="a3"/>
        <w:widowControl/>
        <w:ind w:left="0"/>
      </w:pPr>
    </w:p>
    <w:p w14:paraId="4016A1D0" w14:textId="77777777" w:rsidR="00222DE0" w:rsidRPr="00EE3355" w:rsidRDefault="0098273B" w:rsidP="00EA1CDF">
      <w:pPr>
        <w:widowControl/>
        <w:rPr>
          <w:i/>
        </w:rPr>
      </w:pPr>
      <w:r w:rsidRPr="00EE3355">
        <w:rPr>
          <w:i/>
        </w:rPr>
        <w:t>Elevace jaterních aminotransferáz</w:t>
      </w:r>
    </w:p>
    <w:p w14:paraId="3F4A83D3" w14:textId="122A670C" w:rsidR="00222DE0" w:rsidRPr="00EE3355" w:rsidRDefault="0098273B" w:rsidP="00EA1CDF">
      <w:pPr>
        <w:pStyle w:val="a3"/>
        <w:widowControl/>
        <w:ind w:left="0"/>
      </w:pPr>
      <w:r w:rsidRPr="00EE3355">
        <w:t xml:space="preserve">V průběhu 6měsíčních kontrolovaných klinických studií bylo přechodné zvýšení ALT/AST &gt; 3 ULN pozorováno u 2,1 % pacientů dostávajících </w:t>
      </w:r>
      <w:r w:rsidR="00DF1AA9" w:rsidRPr="001879E9">
        <w:t>tocilizumab</w:t>
      </w:r>
      <w:r w:rsidR="00DF1AA9">
        <w:t xml:space="preserve"> </w:t>
      </w:r>
      <w:r w:rsidRPr="00EE3355">
        <w:t>v dávce 8 mg/kg v</w:t>
      </w:r>
      <w:r w:rsidR="00041107" w:rsidRPr="00EE3355">
        <w:t> </w:t>
      </w:r>
      <w:r w:rsidRPr="00EE3355">
        <w:t>porovnání</w:t>
      </w:r>
      <w:r w:rsidR="00041107" w:rsidRPr="00EE3355">
        <w:t xml:space="preserve"> </w:t>
      </w:r>
      <w:r w:rsidRPr="00EE3355">
        <w:t xml:space="preserve">s 4,9 % pacientů užívajících MTX a 6,5 % pacientů dostávajících </w:t>
      </w:r>
      <w:r w:rsidR="00DF1AA9" w:rsidRPr="001879E9">
        <w:t>tocilizumab</w:t>
      </w:r>
      <w:r w:rsidR="00DF1AA9">
        <w:t xml:space="preserve"> </w:t>
      </w:r>
      <w:r w:rsidRPr="00EE3355">
        <w:t>v</w:t>
      </w:r>
      <w:r w:rsidR="00041107" w:rsidRPr="00EE3355">
        <w:t> </w:t>
      </w:r>
      <w:r w:rsidRPr="00EE3355">
        <w:t>dávce</w:t>
      </w:r>
      <w:r w:rsidR="00041107" w:rsidRPr="00EE3355">
        <w:t xml:space="preserve"> </w:t>
      </w:r>
      <w:r w:rsidRPr="00EE3355">
        <w:t>8 mg/kg spolu s tradičními DMARD v porovnání s 1,5 % pacientů dostávajících placebo s</w:t>
      </w:r>
      <w:r w:rsidR="00041107" w:rsidRPr="00EE3355">
        <w:t> </w:t>
      </w:r>
      <w:r w:rsidRPr="00EE3355">
        <w:t>tradičními</w:t>
      </w:r>
      <w:r w:rsidR="00041107" w:rsidRPr="00EE3355">
        <w:t xml:space="preserve"> </w:t>
      </w:r>
      <w:r w:rsidRPr="00EE3355">
        <w:t>DMARD.</w:t>
      </w:r>
    </w:p>
    <w:p w14:paraId="28B018A2" w14:textId="77777777" w:rsidR="00222DE0" w:rsidRPr="00EE3355" w:rsidRDefault="00222DE0" w:rsidP="00EA1CDF">
      <w:pPr>
        <w:pStyle w:val="a3"/>
        <w:widowControl/>
        <w:ind w:left="0"/>
      </w:pPr>
    </w:p>
    <w:p w14:paraId="06ADD6AC" w14:textId="6B1EBBBC" w:rsidR="00222DE0" w:rsidRPr="00EE3355" w:rsidRDefault="0098273B" w:rsidP="00EA1CDF">
      <w:pPr>
        <w:pStyle w:val="a3"/>
        <w:widowControl/>
        <w:ind w:left="0"/>
      </w:pPr>
      <w:r w:rsidRPr="00EE3355">
        <w:t>Přidání potenciálně hepatotoxických léků (např. MTX) k</w:t>
      </w:r>
      <w:r w:rsidR="00DF1AA9">
        <w:t> </w:t>
      </w:r>
      <w:r w:rsidR="00DF1AA9" w:rsidRPr="001879E9">
        <w:t>tocilizumab</w:t>
      </w:r>
      <w:r w:rsidR="00DF1AA9">
        <w:t xml:space="preserve">u </w:t>
      </w:r>
      <w:r w:rsidRPr="00EE3355">
        <w:t xml:space="preserve">podávanému v monoterapii vedlo ke zvýšení frekvence těchto elevací. Elevace ALT/AST &gt; 5x ULN byla pozorována u 0,7 % pacientů dostávajících </w:t>
      </w:r>
      <w:r w:rsidR="00DF1AA9" w:rsidRPr="001879E9">
        <w:t>tocilizumab</w:t>
      </w:r>
      <w:r w:rsidR="00DF1AA9">
        <w:t xml:space="preserve"> </w:t>
      </w:r>
      <w:r w:rsidRPr="00EE3355">
        <w:t xml:space="preserve">v monoterapii a u 1,4 % pacientů dostávajících </w:t>
      </w:r>
      <w:r w:rsidR="00DF1AA9" w:rsidRPr="001879E9">
        <w:t>tocilizumab</w:t>
      </w:r>
      <w:r w:rsidRPr="00EE3355">
        <w:t xml:space="preserve"> v kombinaci s tradičními DMARD, u většiny z nich byla léčba tocilizumabem trvale ukončena. V průběhu dvojitě zaslepené kontrolní fáze zjištěná incidence nepřímého bilirubinu vyššího než ULN, v rámci rutinního laboratorního vyšetření, byla 6,2 % u pacientů léčených </w:t>
      </w:r>
      <w:r w:rsidR="00DF1AA9" w:rsidRPr="001879E9">
        <w:t>tocilizumab</w:t>
      </w:r>
      <w:r w:rsidR="00DF1AA9">
        <w:t>em</w:t>
      </w:r>
      <w:r w:rsidRPr="00EE3355">
        <w:t xml:space="preserve"> v dávce 8 mg/kg + DMARD. U celkem 5,8 % pacientů bylo zaznamenáno zvýšení nepřímého bilirubinu na &gt; 1 až 2 x ULN a 0,4 % pacientů mělo zvýšení na &gt; 2 x ULN.</w:t>
      </w:r>
    </w:p>
    <w:p w14:paraId="56113377" w14:textId="77777777" w:rsidR="00222DE0" w:rsidRPr="00EE3355" w:rsidRDefault="00222DE0" w:rsidP="00EA1CDF">
      <w:pPr>
        <w:pStyle w:val="a3"/>
        <w:widowControl/>
        <w:ind w:left="0"/>
      </w:pPr>
    </w:p>
    <w:p w14:paraId="6CF031CC" w14:textId="77777777" w:rsidR="00222DE0" w:rsidRPr="00EE3355" w:rsidRDefault="0098273B" w:rsidP="00EA1CDF">
      <w:pPr>
        <w:pStyle w:val="a3"/>
        <w:widowControl/>
        <w:ind w:left="0"/>
      </w:pPr>
      <w:r w:rsidRPr="00EE3355">
        <w:t>V průběhu dvojitě zaslepené kontrolní fáze a při dlouhodobé expozici zůstávaly vzorec a incidence elevací ALT/AST stejné, jako byly pozorovány během 6měsíčních kontrolovaných klinických studií.</w:t>
      </w:r>
    </w:p>
    <w:p w14:paraId="55B34995" w14:textId="77777777" w:rsidR="000F0BE8" w:rsidRPr="00EE3355" w:rsidRDefault="000F0BE8" w:rsidP="00EA1CDF">
      <w:pPr>
        <w:pStyle w:val="a3"/>
        <w:widowControl/>
        <w:ind w:left="0"/>
      </w:pPr>
    </w:p>
    <w:p w14:paraId="5A1AB750" w14:textId="77777777" w:rsidR="00222DE0" w:rsidRPr="00EE3355" w:rsidRDefault="0098273B" w:rsidP="00EA1CDF">
      <w:pPr>
        <w:widowControl/>
        <w:rPr>
          <w:i/>
        </w:rPr>
      </w:pPr>
      <w:r w:rsidRPr="00EE3355">
        <w:rPr>
          <w:i/>
        </w:rPr>
        <w:t>Lipidové parametry</w:t>
      </w:r>
    </w:p>
    <w:p w14:paraId="4DF75E44" w14:textId="1515180E" w:rsidR="00222DE0" w:rsidRPr="00EE3355" w:rsidRDefault="0098273B" w:rsidP="00EA1CDF">
      <w:pPr>
        <w:pStyle w:val="a3"/>
        <w:widowControl/>
        <w:ind w:left="0"/>
      </w:pPr>
      <w:r w:rsidRPr="00EE3355">
        <w:t xml:space="preserve">Zvýšení hodnot lipidových parametrů, jako je například celkový cholesterol, triglyceridy, LDL cholesterol a/nebo HDL cholesterol, bylo v průběhu 6měsíčních kontrolovaných studií hlášené často. V rámci běžných laboratorních kontrol bylo zjištěno, že přibližně u 24 % pacientů, kteří v klinických studiích dostávali </w:t>
      </w:r>
      <w:r w:rsidR="00DF1AA9" w:rsidRPr="001879E9">
        <w:t>tocilizumab</w:t>
      </w:r>
      <w:r w:rsidRPr="00EE3355">
        <w:t>, došlo k trvalému zvýšení hodnot celkového cholesterolu na</w:t>
      </w:r>
      <w:r w:rsidR="000F0BE8" w:rsidRPr="00EE3355">
        <w:t xml:space="preserve"> </w:t>
      </w:r>
      <w:r w:rsidRPr="00EE3355">
        <w:rPr>
          <w:rFonts w:ascii="Symbol" w:hAnsi="Symbol"/>
        </w:rPr>
        <w:t></w:t>
      </w:r>
      <w:r w:rsidRPr="00EE3355">
        <w:t xml:space="preserve"> 6,2 mmol/l, přičemž u 15 % pacientů došlo k trvalému zvýšení hodnot LDL na </w:t>
      </w:r>
      <w:r w:rsidRPr="00EE3355">
        <w:rPr>
          <w:rFonts w:ascii="Symbol" w:hAnsi="Symbol"/>
        </w:rPr>
        <w:t></w:t>
      </w:r>
      <w:r w:rsidRPr="00EE3355">
        <w:t xml:space="preserve"> 4,1 mmol/l.</w:t>
      </w:r>
      <w:r w:rsidR="000F0BE8" w:rsidRPr="00EE3355">
        <w:t xml:space="preserve"> </w:t>
      </w:r>
      <w:r w:rsidRPr="00EE3355">
        <w:t>Zvýšené lipidové parametry odpověděly na léčbu hypolipidemiky.</w:t>
      </w:r>
    </w:p>
    <w:p w14:paraId="25E82741" w14:textId="77777777" w:rsidR="00222DE0" w:rsidRPr="00EE3355" w:rsidRDefault="00222DE0" w:rsidP="00EA1CDF">
      <w:pPr>
        <w:pStyle w:val="a3"/>
        <w:widowControl/>
        <w:ind w:left="0"/>
      </w:pPr>
    </w:p>
    <w:p w14:paraId="5636A634" w14:textId="77777777" w:rsidR="00222DE0" w:rsidRPr="00EE3355" w:rsidRDefault="0098273B" w:rsidP="00EA1CDF">
      <w:pPr>
        <w:pStyle w:val="a3"/>
        <w:widowControl/>
        <w:ind w:left="0"/>
      </w:pPr>
      <w:r w:rsidRPr="00EE3355">
        <w:t>V průběhu dvojitě zaslepené kontrolní fáze a při dlouhodobé expozici zůstávaly vzorec a incidence elevací lipidových parametrů stejné, jako byly pozorovány během 6měsíčních kontrolovaných klinických studií.</w:t>
      </w:r>
    </w:p>
    <w:p w14:paraId="0992FE92" w14:textId="77777777" w:rsidR="000F0BE8" w:rsidRPr="00EE3355" w:rsidRDefault="000F0BE8" w:rsidP="00EA1CDF">
      <w:pPr>
        <w:pStyle w:val="a3"/>
        <w:widowControl/>
        <w:ind w:left="0"/>
      </w:pPr>
    </w:p>
    <w:p w14:paraId="673CED2B" w14:textId="77777777" w:rsidR="00222DE0" w:rsidRPr="00EE3355" w:rsidRDefault="0098273B" w:rsidP="00EA1CDF">
      <w:pPr>
        <w:widowControl/>
        <w:rPr>
          <w:i/>
        </w:rPr>
      </w:pPr>
      <w:r w:rsidRPr="00EE3355">
        <w:rPr>
          <w:i/>
        </w:rPr>
        <w:t>Malignity</w:t>
      </w:r>
    </w:p>
    <w:p w14:paraId="27638B6D" w14:textId="65489532" w:rsidR="00222DE0" w:rsidRPr="00EE3355" w:rsidRDefault="0098273B" w:rsidP="00EA1CDF">
      <w:pPr>
        <w:pStyle w:val="a3"/>
        <w:widowControl/>
        <w:ind w:left="0"/>
      </w:pPr>
      <w:r w:rsidRPr="00EE3355">
        <w:t xml:space="preserve">Klinická data nejsou dostatečná k určení potenciální incidence malignit následujících po expozici </w:t>
      </w:r>
      <w:r w:rsidR="00DF1AA9" w:rsidRPr="001879E9">
        <w:t>tocilizumab</w:t>
      </w:r>
      <w:r w:rsidR="00DF1AA9">
        <w:t>u</w:t>
      </w:r>
      <w:r w:rsidRPr="00EE3355">
        <w:t>. Dlouhodobá bezpečnostní zhodnocení zatím probíhají.</w:t>
      </w:r>
    </w:p>
    <w:p w14:paraId="30E8914A" w14:textId="77777777" w:rsidR="000F0BE8" w:rsidRPr="00EE3355" w:rsidRDefault="000F0BE8" w:rsidP="00EA1CDF">
      <w:pPr>
        <w:pStyle w:val="a3"/>
        <w:widowControl/>
        <w:ind w:left="0"/>
      </w:pPr>
    </w:p>
    <w:p w14:paraId="651AA2AA" w14:textId="77777777" w:rsidR="00222DE0" w:rsidRPr="00EE3355" w:rsidRDefault="0098273B" w:rsidP="00EA1CDF">
      <w:pPr>
        <w:widowControl/>
        <w:rPr>
          <w:i/>
        </w:rPr>
      </w:pPr>
      <w:r w:rsidRPr="00EE3355">
        <w:rPr>
          <w:i/>
        </w:rPr>
        <w:t>Kožní reakce</w:t>
      </w:r>
    </w:p>
    <w:p w14:paraId="49DF4B58" w14:textId="77777777" w:rsidR="00222DE0" w:rsidRDefault="0098273B" w:rsidP="00EA1CDF">
      <w:pPr>
        <w:pStyle w:val="a3"/>
        <w:widowControl/>
        <w:ind w:left="0"/>
      </w:pPr>
      <w:r w:rsidRPr="00EE3355">
        <w:t>V postmarketingovém sledování byl vzácně hlášen výskyt Stevensova-Johnsonova syndromu.</w:t>
      </w:r>
    </w:p>
    <w:p w14:paraId="46797261" w14:textId="77777777" w:rsidR="00DF1AA9" w:rsidRDefault="00DF1AA9" w:rsidP="00EA1CDF">
      <w:pPr>
        <w:pStyle w:val="a3"/>
        <w:widowControl/>
        <w:ind w:left="0"/>
      </w:pPr>
    </w:p>
    <w:p w14:paraId="408EFC62" w14:textId="0AD310B3" w:rsidR="00DF1AA9" w:rsidRPr="00B93217" w:rsidRDefault="00DF1AA9" w:rsidP="00EA1CDF">
      <w:pPr>
        <w:pStyle w:val="a3"/>
        <w:widowControl/>
        <w:ind w:left="0"/>
        <w:rPr>
          <w:u w:val="single"/>
        </w:rPr>
      </w:pPr>
      <w:bookmarkStart w:id="16" w:name="_Hlk183561746"/>
      <w:r w:rsidRPr="00B93217">
        <w:rPr>
          <w:u w:val="single"/>
        </w:rPr>
        <w:t>Imunogenita</w:t>
      </w:r>
    </w:p>
    <w:p w14:paraId="23638AB4" w14:textId="77777777" w:rsidR="00DF1AA9" w:rsidRPr="00EE3355" w:rsidRDefault="00DF1AA9" w:rsidP="00DF1AA9">
      <w:pPr>
        <w:pStyle w:val="a3"/>
        <w:widowControl/>
        <w:ind w:left="0"/>
      </w:pPr>
      <w:r>
        <w:t>Během léčby tocilizumabem se mohou vytvořit proti tocilizumabu protilátky. Může být</w:t>
      </w:r>
      <w:r w:rsidRPr="00EE3355">
        <w:t xml:space="preserve"> pozorována korelace mezi tvorbou protilátek a klinickou odpovědí nebo nežádoucími účinky</w:t>
      </w:r>
      <w:r>
        <w:t>.</w:t>
      </w:r>
    </w:p>
    <w:bookmarkEnd w:id="16"/>
    <w:p w14:paraId="165A44EA" w14:textId="77777777" w:rsidR="00222DE0" w:rsidRPr="00EE3355" w:rsidRDefault="00222DE0" w:rsidP="00EA1CDF">
      <w:pPr>
        <w:pStyle w:val="a3"/>
        <w:widowControl/>
        <w:ind w:left="0"/>
      </w:pPr>
    </w:p>
    <w:p w14:paraId="20128599" w14:textId="77777777" w:rsidR="00222DE0" w:rsidRPr="00EE3355" w:rsidRDefault="0098273B" w:rsidP="00EA1CDF">
      <w:pPr>
        <w:pStyle w:val="a3"/>
        <w:widowControl/>
        <w:ind w:left="0"/>
      </w:pPr>
      <w:r w:rsidRPr="00EE3355">
        <w:rPr>
          <w:u w:val="single"/>
        </w:rPr>
        <w:t>Hlášení podezření na nežádoucí účinky</w:t>
      </w:r>
    </w:p>
    <w:p w14:paraId="019C0817" w14:textId="77777777" w:rsidR="00222DE0" w:rsidRPr="00EE3355" w:rsidRDefault="0098273B" w:rsidP="00EA1CDF">
      <w:pPr>
        <w:pStyle w:val="a3"/>
        <w:widowControl/>
        <w:ind w:left="0"/>
      </w:pPr>
      <w:r w:rsidRPr="00EE3355">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Pr>
          <w:color w:val="000000"/>
          <w:highlight w:val="lightGray"/>
        </w:rPr>
        <w:t xml:space="preserve">národního systému hlášení nežádoucích účinků uvedeného v </w:t>
      </w:r>
      <w:r>
        <w:fldChar w:fldCharType="begin"/>
      </w:r>
      <w:r>
        <w:instrText>HYPERLINK "https://www.ema.europa.eu/documents/template-form/appendix-v-adverse-drug-reaction-reporting-details_en.doc" \h</w:instrText>
      </w:r>
      <w:r>
        <w:fldChar w:fldCharType="separate"/>
      </w:r>
      <w:r>
        <w:rPr>
          <w:color w:val="0033CC"/>
          <w:highlight w:val="lightGray"/>
          <w:u w:val="single" w:color="0033CC"/>
        </w:rPr>
        <w:t>Dodatku V</w:t>
      </w:r>
      <w:r>
        <w:rPr>
          <w:color w:val="000000"/>
          <w:highlight w:val="lightGray"/>
        </w:rPr>
        <w:t>.</w:t>
      </w:r>
      <w:r>
        <w:fldChar w:fldCharType="end"/>
      </w:r>
    </w:p>
    <w:p w14:paraId="59EF1519" w14:textId="77777777" w:rsidR="00222DE0" w:rsidRPr="00EE3355" w:rsidRDefault="00222DE0" w:rsidP="00EA1CDF">
      <w:pPr>
        <w:pStyle w:val="a3"/>
        <w:widowControl/>
        <w:ind w:left="0"/>
      </w:pPr>
    </w:p>
    <w:p w14:paraId="44094982" w14:textId="77777777" w:rsidR="00222DE0" w:rsidRPr="00EE3355" w:rsidRDefault="00B23DAE" w:rsidP="00B93217">
      <w:pPr>
        <w:pStyle w:val="2"/>
        <w:keepNext/>
        <w:widowControl/>
        <w:tabs>
          <w:tab w:val="left" w:pos="804"/>
        </w:tabs>
        <w:ind w:left="0"/>
      </w:pPr>
      <w:r w:rsidRPr="00EE3355">
        <w:t>4.9</w:t>
      </w:r>
      <w:r w:rsidRPr="00EE3355">
        <w:tab/>
      </w:r>
      <w:r w:rsidR="0098273B" w:rsidRPr="00EE3355">
        <w:t>Předávkování</w:t>
      </w:r>
    </w:p>
    <w:p w14:paraId="3355D4F9" w14:textId="77777777" w:rsidR="000F0BE8" w:rsidRPr="00EE3355" w:rsidRDefault="000F0BE8" w:rsidP="00B93217">
      <w:pPr>
        <w:pStyle w:val="a3"/>
        <w:keepNext/>
        <w:widowControl/>
        <w:ind w:left="0"/>
      </w:pPr>
    </w:p>
    <w:p w14:paraId="7ED818A3" w14:textId="17593C2E" w:rsidR="00222DE0" w:rsidRPr="00EE3355" w:rsidRDefault="0098273B" w:rsidP="00EA1CDF">
      <w:pPr>
        <w:pStyle w:val="a3"/>
        <w:widowControl/>
        <w:ind w:left="0"/>
      </w:pPr>
      <w:r w:rsidRPr="00EE3355">
        <w:t xml:space="preserve">K dispozici jsou pouze omezené údaje o předávkování </w:t>
      </w:r>
      <w:r w:rsidR="00DF1AA9" w:rsidRPr="001879E9">
        <w:t>tocilizumab</w:t>
      </w:r>
      <w:r w:rsidR="00DF1AA9">
        <w:t>em</w:t>
      </w:r>
      <w:r w:rsidRPr="00EE3355">
        <w:t>. Jeden případ náhodného předávkování byl zaznamenán u pacienta s mnohočetným myelomem, který dostal jednotlivou dávku 40 mg/kg podanou intravenózně. Nebyly pozorovány žádné nežádoucí účinky.</w:t>
      </w:r>
    </w:p>
    <w:p w14:paraId="433630A8" w14:textId="77777777" w:rsidR="00222DE0" w:rsidRPr="00EE3355" w:rsidRDefault="00222DE0" w:rsidP="00EA1CDF">
      <w:pPr>
        <w:pStyle w:val="a3"/>
        <w:widowControl/>
        <w:ind w:left="0"/>
      </w:pPr>
    </w:p>
    <w:p w14:paraId="10F57839" w14:textId="77777777" w:rsidR="00222DE0" w:rsidRPr="00EE3355" w:rsidRDefault="0098273B" w:rsidP="00EA1CDF">
      <w:pPr>
        <w:pStyle w:val="a3"/>
        <w:widowControl/>
        <w:ind w:left="0"/>
      </w:pPr>
      <w:r w:rsidRPr="00EE3355">
        <w:t>Žádné závažné nežádoucí účinky nebyly pozorovány u zdravých dobrovolníků, kteří dostávali</w:t>
      </w:r>
      <w:r w:rsidR="00BC4221">
        <w:t xml:space="preserve"> </w:t>
      </w:r>
      <w:r w:rsidRPr="00EE3355">
        <w:t>jednotlivé dávky až do 28 mg/kg, byla pozorována pouze dávku limitující neutropenie.</w:t>
      </w:r>
    </w:p>
    <w:p w14:paraId="3411D85B" w14:textId="77777777" w:rsidR="00222DE0" w:rsidRPr="00EE3355" w:rsidRDefault="00222DE0" w:rsidP="00EA1CDF">
      <w:pPr>
        <w:pStyle w:val="a3"/>
        <w:widowControl/>
        <w:ind w:left="0"/>
      </w:pPr>
    </w:p>
    <w:p w14:paraId="2BA5F6FF" w14:textId="77777777" w:rsidR="00222DE0" w:rsidRPr="00EE3355" w:rsidRDefault="00222DE0" w:rsidP="00EA1CDF">
      <w:pPr>
        <w:pStyle w:val="a3"/>
        <w:widowControl/>
        <w:ind w:left="0"/>
      </w:pPr>
    </w:p>
    <w:p w14:paraId="1901699C" w14:textId="77777777" w:rsidR="00222DE0" w:rsidRPr="00EE3355" w:rsidRDefault="00B23DAE" w:rsidP="00EA1CDF">
      <w:pPr>
        <w:pStyle w:val="1"/>
        <w:widowControl/>
        <w:tabs>
          <w:tab w:val="left" w:pos="804"/>
        </w:tabs>
        <w:ind w:left="567" w:hanging="567"/>
      </w:pPr>
      <w:r w:rsidRPr="00EE3355">
        <w:t>5.</w:t>
      </w:r>
      <w:r w:rsidRPr="00EE3355">
        <w:tab/>
      </w:r>
      <w:r w:rsidR="0098273B" w:rsidRPr="00EE3355">
        <w:t>FARMAKOLOGICKÉ VLASTNOSTI</w:t>
      </w:r>
    </w:p>
    <w:p w14:paraId="663D3865" w14:textId="77777777" w:rsidR="000F0BE8" w:rsidRPr="00EE3355" w:rsidRDefault="000F0BE8" w:rsidP="00AA36AD"/>
    <w:p w14:paraId="55A979C5" w14:textId="77777777" w:rsidR="00222DE0" w:rsidRPr="00EE3355" w:rsidRDefault="00B23DAE" w:rsidP="00EA1CDF">
      <w:pPr>
        <w:pStyle w:val="2"/>
        <w:widowControl/>
        <w:tabs>
          <w:tab w:val="left" w:pos="804"/>
        </w:tabs>
        <w:ind w:left="567" w:hanging="567"/>
      </w:pPr>
      <w:r w:rsidRPr="00EE3355">
        <w:t>5.1</w:t>
      </w:r>
      <w:r w:rsidRPr="00EE3355">
        <w:tab/>
      </w:r>
      <w:r w:rsidR="0098273B" w:rsidRPr="00EE3355">
        <w:t>Farmakodynamické vlastnosti</w:t>
      </w:r>
    </w:p>
    <w:p w14:paraId="61B156CD" w14:textId="77777777" w:rsidR="000F0BE8" w:rsidRPr="00EE3355" w:rsidRDefault="000F0BE8" w:rsidP="00B75C94"/>
    <w:p w14:paraId="6B5BE750" w14:textId="77777777" w:rsidR="00222DE0" w:rsidRDefault="0098273B" w:rsidP="00EA1CDF">
      <w:pPr>
        <w:pStyle w:val="a3"/>
        <w:widowControl/>
        <w:ind w:left="0"/>
      </w:pPr>
      <w:r w:rsidRPr="00EE3355">
        <w:t>Farmakoterapeutická skupina: Imunosupresiva, inhibitory interleukinu: ATC kód: L04AC07</w:t>
      </w:r>
    </w:p>
    <w:p w14:paraId="4E1209CA" w14:textId="77777777" w:rsidR="00DF1AA9" w:rsidRDefault="00DF1AA9" w:rsidP="00EA1CDF">
      <w:pPr>
        <w:pStyle w:val="a3"/>
        <w:widowControl/>
        <w:ind w:left="0"/>
      </w:pPr>
    </w:p>
    <w:p w14:paraId="5E49F626" w14:textId="77777777" w:rsidR="00DF1AA9" w:rsidRPr="00EE3355" w:rsidRDefault="00DF1AA9" w:rsidP="00DF1AA9">
      <w:pPr>
        <w:pStyle w:val="a3"/>
        <w:widowControl/>
        <w:ind w:left="0"/>
      </w:pPr>
      <w:r>
        <w:t xml:space="preserve">Avtozma </w:t>
      </w:r>
      <w:r w:rsidRPr="00D57525">
        <w:t xml:space="preserve">je tzv. podobným biologickým léčivým přípravkem („biosimilar“). Podrobné informace jsou k dispozici na webových stránkách Evropské agentury pro léčivé přípravky </w:t>
      </w:r>
      <w:r>
        <w:fldChar w:fldCharType="begin"/>
      </w:r>
      <w:r>
        <w:instrText>HYPERLINK "https://www.ema.europa.eu"</w:instrText>
      </w:r>
      <w:r>
        <w:fldChar w:fldCharType="separate"/>
      </w:r>
      <w:r w:rsidRPr="00D57525">
        <w:rPr>
          <w:rStyle w:val="a9"/>
        </w:rPr>
        <w:t>https://www.ema.europa.eu</w:t>
      </w:r>
      <w:r>
        <w:fldChar w:fldCharType="end"/>
      </w:r>
      <w:r w:rsidRPr="00D57525">
        <w:t>.</w:t>
      </w:r>
    </w:p>
    <w:p w14:paraId="3FC5D708" w14:textId="77777777" w:rsidR="00222DE0" w:rsidRPr="00EE3355" w:rsidRDefault="00222DE0" w:rsidP="00EA1CDF">
      <w:pPr>
        <w:pStyle w:val="a3"/>
        <w:widowControl/>
        <w:ind w:left="0"/>
      </w:pPr>
    </w:p>
    <w:p w14:paraId="23D72832" w14:textId="77777777" w:rsidR="00222DE0" w:rsidRPr="00EE3355" w:rsidRDefault="0098273B" w:rsidP="00EA1CDF">
      <w:pPr>
        <w:pStyle w:val="a3"/>
        <w:keepNext/>
        <w:widowControl/>
        <w:ind w:left="0"/>
      </w:pPr>
      <w:r w:rsidRPr="00EE3355">
        <w:rPr>
          <w:u w:val="single"/>
        </w:rPr>
        <w:t>Mechanismus účinku</w:t>
      </w:r>
    </w:p>
    <w:p w14:paraId="102DDB49" w14:textId="77777777" w:rsidR="00222DE0" w:rsidRPr="00EE3355" w:rsidRDefault="0098273B" w:rsidP="00EA1CDF">
      <w:pPr>
        <w:pStyle w:val="a3"/>
        <w:widowControl/>
        <w:ind w:left="0"/>
      </w:pPr>
      <w:r w:rsidRPr="00EE3355">
        <w:t>Tocilizumab se váže specificky jak na rozpustnou, tak i membranózní část receptorů IL-6 (sIL-6R a mIL-6R). Bylo prokázáno, že tocilizumab inhibuje přenos signálu zprostředkovaného</w:t>
      </w:r>
      <w:r w:rsidR="000F0BE8" w:rsidRPr="00EE3355">
        <w:t xml:space="preserve"> </w:t>
      </w:r>
      <w:r w:rsidRPr="00EE3355">
        <w:t>sIL-6R a mIL-6R. IL-6 je pleiotropní prozánětlivý cytokin produkovaný různými typy buněk včetně T a B-buněk, monocytů a fibroblastů. IL-6 se účastní rozličných fyziologických procesů, jako je aktivace T-buněk, indukce sekrece imunoglobulinů, indukce syntézy jaterních proteinů akutní fáze a stimulace hemopoézy. IL-6 se podílí na patogenezi onemocnění včetně zánětlivých onemocnění, osteoporózy a neoplazmat.</w:t>
      </w:r>
    </w:p>
    <w:p w14:paraId="4A42402F" w14:textId="77777777" w:rsidR="00FB64D7" w:rsidRPr="00EE3355" w:rsidRDefault="00FB64D7" w:rsidP="00EA1CDF">
      <w:pPr>
        <w:pStyle w:val="a3"/>
        <w:widowControl/>
        <w:ind w:left="0"/>
      </w:pPr>
    </w:p>
    <w:p w14:paraId="6AA51B8C" w14:textId="77777777" w:rsidR="00222DE0" w:rsidRPr="00EE3355" w:rsidRDefault="0098273B" w:rsidP="00EA1CDF">
      <w:pPr>
        <w:pStyle w:val="a3"/>
        <w:keepNext/>
        <w:widowControl/>
        <w:ind w:left="0"/>
      </w:pPr>
      <w:r w:rsidRPr="00EE3355">
        <w:rPr>
          <w:u w:val="single"/>
        </w:rPr>
        <w:t>Farmakodynamické účinky</w:t>
      </w:r>
    </w:p>
    <w:p w14:paraId="38D89AD3" w14:textId="4964488B" w:rsidR="00222DE0" w:rsidRPr="00EE3355" w:rsidRDefault="0098273B" w:rsidP="00E84462">
      <w:pPr>
        <w:pStyle w:val="a3"/>
        <w:widowControl/>
        <w:ind w:left="0"/>
      </w:pPr>
      <w:r w:rsidRPr="00EE3355">
        <w:t>V klinických studiích s</w:t>
      </w:r>
      <w:r w:rsidR="00E84462">
        <w:t> </w:t>
      </w:r>
      <w:r w:rsidR="00E84462" w:rsidRPr="001879E9">
        <w:t>tocilizumab</w:t>
      </w:r>
      <w:r w:rsidR="00E84462">
        <w:t xml:space="preserve">em </w:t>
      </w:r>
      <w:r w:rsidRPr="00EE3355">
        <w:t xml:space="preserve">byl pozorován rychlý pokles CRP, sedimentace erytrocytů (FW), sérového amyloidu A (SAA) a fibrinogenu. V souladu s účinky na reaktanty akutní fáze byla léčba </w:t>
      </w:r>
      <w:r w:rsidR="00E84462" w:rsidRPr="001879E9">
        <w:t>tocilizumab</w:t>
      </w:r>
      <w:r w:rsidR="00E84462">
        <w:t xml:space="preserve">em </w:t>
      </w:r>
      <w:r w:rsidRPr="00EE3355">
        <w:t xml:space="preserve">spojena s poklesem počtu trombocytů k normálním hodnotám. Bylo pozorováno zvýšení hladin hemoglobinu. </w:t>
      </w:r>
      <w:r w:rsidR="00E84462" w:rsidRPr="001879E9">
        <w:t>Tocilizumab</w:t>
      </w:r>
      <w:r w:rsidR="00E84462">
        <w:t xml:space="preserve"> </w:t>
      </w:r>
      <w:r w:rsidRPr="00EE3355">
        <w:t xml:space="preserve">snižuje posilující účinky IL-6 na produkci hepcidinu, což vede ke zvýšení dostupnosti železa. U pacientů léčených </w:t>
      </w:r>
      <w:r w:rsidR="00E84462" w:rsidRPr="001879E9">
        <w:t>tocilizumab</w:t>
      </w:r>
      <w:r w:rsidR="00E84462">
        <w:t>em</w:t>
      </w:r>
      <w:r w:rsidRPr="00EE3355">
        <w:t xml:space="preserve"> byl pozorován pokles hladin CRP k normálním hodnotám již ve 2. týdnu a pokles</w:t>
      </w:r>
      <w:r w:rsidR="00CE49B3">
        <w:t xml:space="preserve"> </w:t>
      </w:r>
      <w:r w:rsidRPr="00EE3355">
        <w:t>přetrvával po celou dobu léčby.</w:t>
      </w:r>
    </w:p>
    <w:p w14:paraId="68B86E9C" w14:textId="77777777" w:rsidR="00222DE0" w:rsidRPr="00EE3355" w:rsidRDefault="00222DE0" w:rsidP="00EA1CDF">
      <w:pPr>
        <w:pStyle w:val="a3"/>
        <w:widowControl/>
        <w:ind w:left="0"/>
      </w:pPr>
    </w:p>
    <w:p w14:paraId="15F90E60" w14:textId="273FDCA2" w:rsidR="008F73FE" w:rsidRDefault="0098273B" w:rsidP="00EA1CDF">
      <w:pPr>
        <w:pStyle w:val="a3"/>
        <w:widowControl/>
        <w:ind w:left="0"/>
        <w:rPr>
          <w:rFonts w:eastAsia="맑은 고딕"/>
          <w:lang w:eastAsia="ko-KR"/>
        </w:rPr>
      </w:pPr>
      <w:r w:rsidRPr="00EE3355">
        <w:t xml:space="preserve">V klinické studii WA28119 s GCA byly zjištěny podobné rychlé poklesy CRP a ESR spolu s mírným zvýšením střední barevné koncentrace (MCHC). U zdravých dobrovolníků, kterým byl podáván </w:t>
      </w:r>
      <w:r w:rsidR="00E84462" w:rsidRPr="001879E9">
        <w:t>tocilizumab</w:t>
      </w:r>
      <w:r w:rsidR="00E84462">
        <w:t xml:space="preserve"> </w:t>
      </w:r>
      <w:r w:rsidRPr="00EE3355">
        <w:t xml:space="preserve">v dávkách od 2 do 28 mg/kg intravenózně a v dávkách od 81 do 162 mg subkutánně, klesal absolutní počet neutrofilů k nejnižším hodnotám 2 až 5 dnů po podání. Poté se počet neutrofilů vrátil k výchozím hodnotám způsobem závislým na dávce. </w:t>
      </w:r>
    </w:p>
    <w:p w14:paraId="2B9A4D12" w14:textId="77777777" w:rsidR="008F73FE" w:rsidRDefault="008F73FE" w:rsidP="00EA1CDF">
      <w:pPr>
        <w:pStyle w:val="a3"/>
        <w:widowControl/>
        <w:ind w:left="0"/>
        <w:rPr>
          <w:rFonts w:eastAsia="맑은 고딕"/>
          <w:lang w:eastAsia="ko-KR"/>
        </w:rPr>
      </w:pPr>
    </w:p>
    <w:p w14:paraId="06784E56" w14:textId="57FFE80D" w:rsidR="00222DE0" w:rsidRPr="00EE3355" w:rsidRDefault="0098273B" w:rsidP="00EA1CDF">
      <w:pPr>
        <w:pStyle w:val="a3"/>
        <w:widowControl/>
        <w:ind w:left="0"/>
      </w:pPr>
      <w:r w:rsidRPr="00EE3355">
        <w:t xml:space="preserve">Pacienti po podání </w:t>
      </w:r>
      <w:r w:rsidR="00E84462" w:rsidRPr="001879E9">
        <w:t>tocilizumab</w:t>
      </w:r>
      <w:r w:rsidR="001A37A6">
        <w:t>u</w:t>
      </w:r>
      <w:r w:rsidR="00E84462">
        <w:t xml:space="preserve"> </w:t>
      </w:r>
      <w:r w:rsidRPr="00EE3355">
        <w:t>vykazují shodné (se zdravými jedinci) snížení absolutního počtu neutrofilů (viz bod 4.8).</w:t>
      </w:r>
    </w:p>
    <w:p w14:paraId="5061EFCA" w14:textId="77777777" w:rsidR="00222DE0" w:rsidRPr="00EE3355" w:rsidRDefault="00222DE0" w:rsidP="00EA1CDF">
      <w:pPr>
        <w:pStyle w:val="a3"/>
        <w:widowControl/>
        <w:ind w:left="0"/>
      </w:pPr>
    </w:p>
    <w:p w14:paraId="5838FB36" w14:textId="77777777" w:rsidR="00222DE0" w:rsidRPr="00EE3355" w:rsidRDefault="0098273B" w:rsidP="00EA1CDF">
      <w:pPr>
        <w:pStyle w:val="a3"/>
        <w:widowControl/>
        <w:ind w:left="0"/>
      </w:pPr>
      <w:r w:rsidRPr="00EE3355">
        <w:rPr>
          <w:u w:val="single"/>
        </w:rPr>
        <w:t>Subkutánní podání</w:t>
      </w:r>
    </w:p>
    <w:p w14:paraId="1D0A36DD" w14:textId="77777777" w:rsidR="00222DE0" w:rsidRPr="00EE3355" w:rsidRDefault="0098273B" w:rsidP="00EA1CDF">
      <w:pPr>
        <w:widowControl/>
        <w:rPr>
          <w:b/>
        </w:rPr>
      </w:pPr>
      <w:r w:rsidRPr="00EE3355">
        <w:rPr>
          <w:b/>
          <w:u w:val="single"/>
        </w:rPr>
        <w:t>RA</w:t>
      </w:r>
    </w:p>
    <w:p w14:paraId="2BE77382" w14:textId="77777777" w:rsidR="00222DE0" w:rsidRPr="00EE3355" w:rsidRDefault="0098273B" w:rsidP="00EA1CDF">
      <w:pPr>
        <w:pStyle w:val="a3"/>
        <w:widowControl/>
        <w:ind w:left="0"/>
      </w:pPr>
      <w:r w:rsidRPr="00EE3355">
        <w:rPr>
          <w:u w:val="single"/>
        </w:rPr>
        <w:t>Klinická účinnost</w:t>
      </w:r>
    </w:p>
    <w:p w14:paraId="6947170B" w14:textId="0F761337" w:rsidR="00222DE0" w:rsidRPr="00EE3355" w:rsidRDefault="0098273B" w:rsidP="00EA1CDF">
      <w:pPr>
        <w:pStyle w:val="a3"/>
        <w:widowControl/>
        <w:ind w:left="0"/>
      </w:pPr>
      <w:r w:rsidRPr="00EE3355">
        <w:t xml:space="preserve">Účinnost subkutánního podání </w:t>
      </w:r>
      <w:r w:rsidR="00E84462" w:rsidRPr="001879E9">
        <w:t>tocilizumab</w:t>
      </w:r>
      <w:r w:rsidR="00E84462">
        <w:t xml:space="preserve">u </w:t>
      </w:r>
      <w:r w:rsidRPr="00EE3355">
        <w:t>na zmírnění známek a příznaků RA a radiografické odpovědi byla hodnocena ve 2 randomizovaných, dvojitě zaslepených, multicentrických studiích. Pro studii I (SC-I) byli vhodní pacienti &gt; 18 let se středně těžkou až těžkou aktivní RA diagnostikovanou v souladu s kritérii ACR, kteří měli alespoň 4 bolestivé a 4 oteklé klouby na začátku léčby. Všem pacientům byly současně podávány nebiologické DMARD. Pro studii II (SC-II) byli vhodní pacienti &gt; 18 let se středně těžkou až těžkou aktivní RA diagnostikovanou v souladu s kritérii ACR, kteří měli alespoň 8 bolestivých a 6 oteklých kloubů na začátku léčby.</w:t>
      </w:r>
    </w:p>
    <w:p w14:paraId="674BF283" w14:textId="77777777" w:rsidR="00FB64D7" w:rsidRPr="00EE3355" w:rsidRDefault="00FB64D7" w:rsidP="00EA1CDF">
      <w:pPr>
        <w:pStyle w:val="a3"/>
        <w:widowControl/>
        <w:ind w:left="0"/>
      </w:pPr>
    </w:p>
    <w:p w14:paraId="67A36C8C" w14:textId="77777777" w:rsidR="00222DE0" w:rsidRPr="00EE3355" w:rsidRDefault="0098273B" w:rsidP="00EA1CDF">
      <w:pPr>
        <w:pStyle w:val="a3"/>
        <w:widowControl/>
        <w:ind w:left="0"/>
      </w:pPr>
      <w:r w:rsidRPr="00EE3355">
        <w:t>Přechod z intravenózní dávky 8 mg/kg jednou za 4 týdny na subkutánní dávku 162 mg jednou týdně změní expozici u pacienta. Míra se liší podle tělesné hmotnosti pacienta (zvýšení u pacientů s nižší hmotností a snížení u pacientů s vyšší hmotností), ale klinický výsledek je v souladu s pozorovanými výsledky u pacientů léčených intravenózně.</w:t>
      </w:r>
    </w:p>
    <w:p w14:paraId="0388125A" w14:textId="77777777" w:rsidR="00222DE0" w:rsidRPr="00EE3355" w:rsidRDefault="00222DE0" w:rsidP="00EA1CDF">
      <w:pPr>
        <w:pStyle w:val="a3"/>
        <w:widowControl/>
        <w:ind w:left="0"/>
      </w:pPr>
    </w:p>
    <w:p w14:paraId="1634B1DB" w14:textId="77777777" w:rsidR="00222DE0" w:rsidRPr="00EE3355" w:rsidRDefault="0098273B" w:rsidP="00EA1CDF">
      <w:pPr>
        <w:pStyle w:val="a3"/>
        <w:widowControl/>
        <w:ind w:left="0"/>
      </w:pPr>
      <w:r w:rsidRPr="00EE3355">
        <w:rPr>
          <w:u w:val="single"/>
        </w:rPr>
        <w:t>Klinická odpověď</w:t>
      </w:r>
    </w:p>
    <w:p w14:paraId="7E97EA02" w14:textId="0D358FE8" w:rsidR="00222DE0" w:rsidRPr="00EE3355" w:rsidRDefault="0098273B" w:rsidP="00EA1CDF">
      <w:pPr>
        <w:pStyle w:val="a3"/>
        <w:widowControl/>
        <w:ind w:left="0"/>
      </w:pPr>
      <w:r w:rsidRPr="00EE3355">
        <w:t xml:space="preserve">Studie SC-I hodnotila pacienty se středně těžkou až těžkou aktivní RA, kteří neodpovídali dostatečně na svoji dosavadní revmatologickou terapii, včetně jednoho nebo více DMARD, kde přibližně 20 % mělo v minulosti nedostatečnou odpověď na alespoň jeden TNF inhibitor. Ve studii SC-I 1262 pacientů bylo randomizováno v poměru 1:1 s dávkou 162 mg </w:t>
      </w:r>
      <w:r w:rsidR="00E84462" w:rsidRPr="001879E9">
        <w:t>tocilizumab</w:t>
      </w:r>
      <w:r w:rsidR="00E84462">
        <w:t xml:space="preserve">u </w:t>
      </w:r>
      <w:r w:rsidRPr="00EE3355">
        <w:t xml:space="preserve">subkutánně každý týden nebo s dávkou 8 mg/kg </w:t>
      </w:r>
      <w:r w:rsidR="00E84462" w:rsidRPr="001879E9">
        <w:t>tocilizumab</w:t>
      </w:r>
      <w:r w:rsidR="00E84462">
        <w:t xml:space="preserve">u </w:t>
      </w:r>
      <w:r w:rsidRPr="00EE3355">
        <w:t>intravenózně jednou za 4 týdny v</w:t>
      </w:r>
      <w:r w:rsidR="00BC4221">
        <w:t> </w:t>
      </w:r>
      <w:r w:rsidRPr="00EE3355">
        <w:t>kombinaci</w:t>
      </w:r>
      <w:r w:rsidR="00BC4221">
        <w:t xml:space="preserve"> </w:t>
      </w:r>
      <w:r w:rsidRPr="00EE3355">
        <w:t>s nebiologickými DMARD. Primární cílový parametr účinnosti v této studii byl rozdíl v poměru pacientů, kteří dosáhli odpovědi podle ACR20 ve 24. týdnu. Výsledky ze studie SC-I jsou uvedeny v tabulce 2.</w:t>
      </w:r>
    </w:p>
    <w:p w14:paraId="24F94B8F" w14:textId="77777777" w:rsidR="00FB64D7" w:rsidRPr="00EE3355" w:rsidRDefault="00FB64D7" w:rsidP="00EA1CDF">
      <w:pPr>
        <w:pStyle w:val="a3"/>
        <w:widowControl/>
        <w:ind w:left="0"/>
      </w:pPr>
    </w:p>
    <w:p w14:paraId="0AD4781B" w14:textId="77777777" w:rsidR="00222DE0" w:rsidRPr="00EE3355" w:rsidRDefault="0098273B" w:rsidP="00EA1CDF">
      <w:pPr>
        <w:widowControl/>
        <w:ind w:left="1418" w:hanging="1418"/>
        <w:rPr>
          <w:i/>
        </w:rPr>
      </w:pPr>
      <w:r w:rsidRPr="00EE3355">
        <w:rPr>
          <w:i/>
        </w:rPr>
        <w:t>Tabulka 2: Odpovědi dle ACR ve studii SC-I (% pacientů) ve 24. týdnu</w:t>
      </w: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831"/>
        <w:gridCol w:w="2559"/>
        <w:gridCol w:w="2662"/>
      </w:tblGrid>
      <w:tr w:rsidR="00222DE0" w:rsidRPr="00EE3355" w14:paraId="1FB245CE" w14:textId="77777777" w:rsidTr="00130E42">
        <w:trPr>
          <w:cantSplit/>
          <w:trHeight w:val="20"/>
          <w:tblHeader/>
        </w:trPr>
        <w:tc>
          <w:tcPr>
            <w:tcW w:w="2831" w:type="dxa"/>
          </w:tcPr>
          <w:p w14:paraId="14105E68" w14:textId="77777777" w:rsidR="00222DE0" w:rsidRPr="00EE3355" w:rsidRDefault="00222DE0" w:rsidP="00EA1CDF">
            <w:pPr>
              <w:pStyle w:val="TableParagraph"/>
              <w:widowControl/>
              <w:rPr>
                <w:sz w:val="20"/>
              </w:rPr>
            </w:pPr>
          </w:p>
        </w:tc>
        <w:tc>
          <w:tcPr>
            <w:tcW w:w="5221" w:type="dxa"/>
            <w:gridSpan w:val="2"/>
          </w:tcPr>
          <w:p w14:paraId="530270E8" w14:textId="77777777" w:rsidR="00222DE0" w:rsidRPr="00EE3355" w:rsidRDefault="0098273B" w:rsidP="00EA1CDF">
            <w:pPr>
              <w:pStyle w:val="TableParagraph"/>
              <w:widowControl/>
              <w:jc w:val="center"/>
              <w:rPr>
                <w:sz w:val="20"/>
              </w:rPr>
            </w:pPr>
            <w:r w:rsidRPr="00EE3355">
              <w:rPr>
                <w:sz w:val="20"/>
              </w:rPr>
              <w:t>SC-I</w:t>
            </w:r>
            <w:r w:rsidRPr="00EE3355">
              <w:rPr>
                <w:sz w:val="20"/>
                <w:vertAlign w:val="superscript"/>
              </w:rPr>
              <w:t>a</w:t>
            </w:r>
          </w:p>
        </w:tc>
      </w:tr>
      <w:tr w:rsidR="00222DE0" w:rsidRPr="00EE3355" w14:paraId="19F72D20" w14:textId="77777777" w:rsidTr="00130E42">
        <w:trPr>
          <w:cantSplit/>
          <w:trHeight w:val="20"/>
          <w:tblHeader/>
        </w:trPr>
        <w:tc>
          <w:tcPr>
            <w:tcW w:w="2831" w:type="dxa"/>
          </w:tcPr>
          <w:p w14:paraId="152CBB4B" w14:textId="77777777" w:rsidR="00222DE0" w:rsidRPr="00EE3355" w:rsidRDefault="00222DE0" w:rsidP="00EA1CDF">
            <w:pPr>
              <w:pStyle w:val="TableParagraph"/>
              <w:widowControl/>
              <w:rPr>
                <w:sz w:val="20"/>
              </w:rPr>
            </w:pPr>
          </w:p>
        </w:tc>
        <w:tc>
          <w:tcPr>
            <w:tcW w:w="2559" w:type="dxa"/>
          </w:tcPr>
          <w:p w14:paraId="7019DC59" w14:textId="77777777" w:rsidR="00222DE0" w:rsidRPr="00EE3355" w:rsidRDefault="0098273B" w:rsidP="00EA1CDF">
            <w:pPr>
              <w:pStyle w:val="TableParagraph"/>
              <w:widowControl/>
              <w:ind w:left="-125" w:firstLine="14"/>
              <w:jc w:val="center"/>
              <w:rPr>
                <w:sz w:val="20"/>
              </w:rPr>
            </w:pPr>
            <w:r w:rsidRPr="00EE3355">
              <w:rPr>
                <w:sz w:val="20"/>
              </w:rPr>
              <w:t>TCZ s.c. 162 mg každý týden</w:t>
            </w:r>
            <w:r w:rsidR="00FB64D7" w:rsidRPr="00EE3355">
              <w:rPr>
                <w:sz w:val="20"/>
              </w:rPr>
              <w:t xml:space="preserve"> </w:t>
            </w:r>
            <w:r w:rsidRPr="00EE3355">
              <w:rPr>
                <w:sz w:val="20"/>
              </w:rPr>
              <w:t>+ DMARD</w:t>
            </w:r>
            <w:r w:rsidR="00943216" w:rsidRPr="00EE3355">
              <w:rPr>
                <w:sz w:val="20"/>
              </w:rPr>
              <w:t xml:space="preserve"> </w:t>
            </w:r>
            <w:r w:rsidRPr="00EE3355">
              <w:rPr>
                <w:sz w:val="20"/>
              </w:rPr>
              <w:t>n=558</w:t>
            </w:r>
          </w:p>
        </w:tc>
        <w:tc>
          <w:tcPr>
            <w:tcW w:w="2662" w:type="dxa"/>
          </w:tcPr>
          <w:p w14:paraId="2B2733B3" w14:textId="77777777" w:rsidR="00222DE0" w:rsidRPr="00EE3355" w:rsidRDefault="0098273B" w:rsidP="00EA1CDF">
            <w:pPr>
              <w:pStyle w:val="TableParagraph"/>
              <w:widowControl/>
              <w:jc w:val="center"/>
              <w:rPr>
                <w:sz w:val="20"/>
              </w:rPr>
            </w:pPr>
            <w:r w:rsidRPr="00EE3355">
              <w:rPr>
                <w:sz w:val="20"/>
              </w:rPr>
              <w:t>TCZ i.v. 8 mg/kg</w:t>
            </w:r>
            <w:r w:rsidR="00943216" w:rsidRPr="00EE3355">
              <w:rPr>
                <w:sz w:val="20"/>
              </w:rPr>
              <w:t xml:space="preserve"> </w:t>
            </w:r>
            <w:r w:rsidRPr="00EE3355">
              <w:rPr>
                <w:sz w:val="20"/>
              </w:rPr>
              <w:t>+ DMARD</w:t>
            </w:r>
            <w:r w:rsidR="00943216" w:rsidRPr="00EE3355">
              <w:rPr>
                <w:sz w:val="20"/>
              </w:rPr>
              <w:t xml:space="preserve"> </w:t>
            </w:r>
            <w:r w:rsidRPr="00EE3355">
              <w:rPr>
                <w:sz w:val="20"/>
              </w:rPr>
              <w:t>n=537</w:t>
            </w:r>
          </w:p>
        </w:tc>
      </w:tr>
      <w:tr w:rsidR="00222DE0" w:rsidRPr="00EE3355" w14:paraId="2F3841E2" w14:textId="77777777" w:rsidTr="00130E42">
        <w:trPr>
          <w:cantSplit/>
          <w:trHeight w:val="20"/>
        </w:trPr>
        <w:tc>
          <w:tcPr>
            <w:tcW w:w="2831" w:type="dxa"/>
          </w:tcPr>
          <w:p w14:paraId="3A8AE8F6" w14:textId="77777777" w:rsidR="00222DE0" w:rsidRPr="00EE3355" w:rsidRDefault="0098273B" w:rsidP="00EA1CDF">
            <w:pPr>
              <w:pStyle w:val="TableParagraph"/>
              <w:widowControl/>
              <w:jc w:val="right"/>
              <w:rPr>
                <w:sz w:val="20"/>
              </w:rPr>
            </w:pPr>
            <w:r w:rsidRPr="00EE3355">
              <w:rPr>
                <w:sz w:val="20"/>
              </w:rPr>
              <w:t>ACR20 24. týden</w:t>
            </w:r>
          </w:p>
        </w:tc>
        <w:tc>
          <w:tcPr>
            <w:tcW w:w="2559" w:type="dxa"/>
          </w:tcPr>
          <w:p w14:paraId="7E17F204" w14:textId="77777777" w:rsidR="00222DE0" w:rsidRPr="00EE3355" w:rsidRDefault="0098273B" w:rsidP="00EA1CDF">
            <w:pPr>
              <w:pStyle w:val="TableParagraph"/>
              <w:widowControl/>
              <w:jc w:val="center"/>
              <w:rPr>
                <w:sz w:val="20"/>
              </w:rPr>
            </w:pPr>
            <w:r w:rsidRPr="00EE3355">
              <w:rPr>
                <w:sz w:val="20"/>
              </w:rPr>
              <w:t>69,4 %</w:t>
            </w:r>
          </w:p>
        </w:tc>
        <w:tc>
          <w:tcPr>
            <w:tcW w:w="2662" w:type="dxa"/>
          </w:tcPr>
          <w:p w14:paraId="77AC7CAF" w14:textId="77777777" w:rsidR="00222DE0" w:rsidRPr="00EE3355" w:rsidRDefault="0098273B" w:rsidP="00EA1CDF">
            <w:pPr>
              <w:pStyle w:val="TableParagraph"/>
              <w:widowControl/>
              <w:jc w:val="center"/>
              <w:rPr>
                <w:sz w:val="20"/>
              </w:rPr>
            </w:pPr>
            <w:r w:rsidRPr="00EE3355">
              <w:rPr>
                <w:sz w:val="20"/>
              </w:rPr>
              <w:t>73,4 %</w:t>
            </w:r>
          </w:p>
        </w:tc>
      </w:tr>
      <w:tr w:rsidR="00222DE0" w:rsidRPr="00EE3355" w14:paraId="52952FD5" w14:textId="77777777" w:rsidTr="00130E42">
        <w:trPr>
          <w:cantSplit/>
          <w:trHeight w:val="20"/>
        </w:trPr>
        <w:tc>
          <w:tcPr>
            <w:tcW w:w="2831" w:type="dxa"/>
          </w:tcPr>
          <w:p w14:paraId="1C443BC4" w14:textId="77777777" w:rsidR="00222DE0" w:rsidRPr="00EE3355" w:rsidRDefault="0098273B" w:rsidP="00EA1CDF">
            <w:pPr>
              <w:pStyle w:val="TableParagraph"/>
              <w:widowControl/>
              <w:jc w:val="right"/>
              <w:rPr>
                <w:sz w:val="20"/>
              </w:rPr>
            </w:pPr>
            <w:r w:rsidRPr="00EE3355">
              <w:rPr>
                <w:sz w:val="20"/>
              </w:rPr>
              <w:t>Vážený rozdíl (95% CI)</w:t>
            </w:r>
          </w:p>
        </w:tc>
        <w:tc>
          <w:tcPr>
            <w:tcW w:w="5221" w:type="dxa"/>
            <w:gridSpan w:val="2"/>
          </w:tcPr>
          <w:p w14:paraId="00B59EAE" w14:textId="77777777" w:rsidR="00222DE0" w:rsidRPr="00EE3355" w:rsidRDefault="0098273B" w:rsidP="00EA1CDF">
            <w:pPr>
              <w:pStyle w:val="TableParagraph"/>
              <w:widowControl/>
              <w:jc w:val="center"/>
              <w:rPr>
                <w:sz w:val="20"/>
              </w:rPr>
            </w:pPr>
            <w:r w:rsidRPr="00EE3355">
              <w:rPr>
                <w:sz w:val="20"/>
              </w:rPr>
              <w:t>-4,0 (-9,2; 1,2)</w:t>
            </w:r>
          </w:p>
        </w:tc>
      </w:tr>
      <w:tr w:rsidR="00222DE0" w:rsidRPr="00EE3355" w14:paraId="7D913927" w14:textId="77777777" w:rsidTr="00130E42">
        <w:trPr>
          <w:cantSplit/>
          <w:trHeight w:val="20"/>
        </w:trPr>
        <w:tc>
          <w:tcPr>
            <w:tcW w:w="2831" w:type="dxa"/>
          </w:tcPr>
          <w:p w14:paraId="4058E82E" w14:textId="77777777" w:rsidR="00222DE0" w:rsidRPr="00EE3355" w:rsidRDefault="0098273B" w:rsidP="00EA1CDF">
            <w:pPr>
              <w:pStyle w:val="TableParagraph"/>
              <w:widowControl/>
              <w:jc w:val="right"/>
              <w:rPr>
                <w:sz w:val="20"/>
              </w:rPr>
            </w:pPr>
            <w:r w:rsidRPr="00EE3355">
              <w:rPr>
                <w:sz w:val="20"/>
              </w:rPr>
              <w:t>ACR50 24. týden</w:t>
            </w:r>
          </w:p>
        </w:tc>
        <w:tc>
          <w:tcPr>
            <w:tcW w:w="2559" w:type="dxa"/>
          </w:tcPr>
          <w:p w14:paraId="2DCFFDEF" w14:textId="77777777" w:rsidR="00222DE0" w:rsidRPr="00EE3355" w:rsidRDefault="0098273B" w:rsidP="00EA1CDF">
            <w:pPr>
              <w:pStyle w:val="TableParagraph"/>
              <w:widowControl/>
              <w:jc w:val="center"/>
              <w:rPr>
                <w:sz w:val="20"/>
              </w:rPr>
            </w:pPr>
            <w:r w:rsidRPr="00EE3355">
              <w:rPr>
                <w:sz w:val="20"/>
              </w:rPr>
              <w:t>47,0 %</w:t>
            </w:r>
          </w:p>
        </w:tc>
        <w:tc>
          <w:tcPr>
            <w:tcW w:w="2662" w:type="dxa"/>
          </w:tcPr>
          <w:p w14:paraId="1F4D8FC5" w14:textId="77777777" w:rsidR="00222DE0" w:rsidRPr="00EE3355" w:rsidRDefault="0098273B" w:rsidP="00EA1CDF">
            <w:pPr>
              <w:pStyle w:val="TableParagraph"/>
              <w:widowControl/>
              <w:jc w:val="center"/>
              <w:rPr>
                <w:sz w:val="20"/>
              </w:rPr>
            </w:pPr>
            <w:r w:rsidRPr="00EE3355">
              <w:rPr>
                <w:sz w:val="20"/>
              </w:rPr>
              <w:t>48,6 %</w:t>
            </w:r>
          </w:p>
        </w:tc>
      </w:tr>
      <w:tr w:rsidR="00222DE0" w:rsidRPr="00EE3355" w14:paraId="46AA632B" w14:textId="77777777" w:rsidTr="00130E42">
        <w:trPr>
          <w:cantSplit/>
          <w:trHeight w:val="20"/>
        </w:trPr>
        <w:tc>
          <w:tcPr>
            <w:tcW w:w="2831" w:type="dxa"/>
          </w:tcPr>
          <w:p w14:paraId="474A7D09" w14:textId="77777777" w:rsidR="00222DE0" w:rsidRPr="00EE3355" w:rsidRDefault="0098273B" w:rsidP="00EA1CDF">
            <w:pPr>
              <w:pStyle w:val="TableParagraph"/>
              <w:widowControl/>
              <w:jc w:val="right"/>
              <w:rPr>
                <w:sz w:val="20"/>
              </w:rPr>
            </w:pPr>
            <w:r w:rsidRPr="00EE3355">
              <w:rPr>
                <w:sz w:val="20"/>
              </w:rPr>
              <w:t>Vážený rozdíl (95% CI)</w:t>
            </w:r>
          </w:p>
        </w:tc>
        <w:tc>
          <w:tcPr>
            <w:tcW w:w="5221" w:type="dxa"/>
            <w:gridSpan w:val="2"/>
          </w:tcPr>
          <w:p w14:paraId="0FABA374" w14:textId="77777777" w:rsidR="00222DE0" w:rsidRPr="00EE3355" w:rsidRDefault="0098273B" w:rsidP="00EA1CDF">
            <w:pPr>
              <w:pStyle w:val="TableParagraph"/>
              <w:widowControl/>
              <w:jc w:val="center"/>
              <w:rPr>
                <w:sz w:val="20"/>
              </w:rPr>
            </w:pPr>
            <w:r w:rsidRPr="00EE3355">
              <w:rPr>
                <w:sz w:val="20"/>
              </w:rPr>
              <w:t>-1,8 (-7,5; 4,0)</w:t>
            </w:r>
          </w:p>
        </w:tc>
      </w:tr>
      <w:tr w:rsidR="00222DE0" w:rsidRPr="00EE3355" w14:paraId="540DA7D5" w14:textId="77777777" w:rsidTr="00130E42">
        <w:trPr>
          <w:cantSplit/>
          <w:trHeight w:val="20"/>
        </w:trPr>
        <w:tc>
          <w:tcPr>
            <w:tcW w:w="2831" w:type="dxa"/>
          </w:tcPr>
          <w:p w14:paraId="11AB5425" w14:textId="77777777" w:rsidR="00222DE0" w:rsidRPr="00EE3355" w:rsidRDefault="0098273B" w:rsidP="00EA1CDF">
            <w:pPr>
              <w:pStyle w:val="TableParagraph"/>
              <w:widowControl/>
              <w:jc w:val="right"/>
              <w:rPr>
                <w:sz w:val="20"/>
              </w:rPr>
            </w:pPr>
            <w:r w:rsidRPr="00EE3355">
              <w:rPr>
                <w:sz w:val="20"/>
              </w:rPr>
              <w:t>ACR70 24. týden</w:t>
            </w:r>
          </w:p>
        </w:tc>
        <w:tc>
          <w:tcPr>
            <w:tcW w:w="2559" w:type="dxa"/>
          </w:tcPr>
          <w:p w14:paraId="74C7DC04" w14:textId="77777777" w:rsidR="00222DE0" w:rsidRPr="00EE3355" w:rsidRDefault="0098273B" w:rsidP="00EA1CDF">
            <w:pPr>
              <w:pStyle w:val="TableParagraph"/>
              <w:widowControl/>
              <w:jc w:val="center"/>
              <w:rPr>
                <w:sz w:val="20"/>
              </w:rPr>
            </w:pPr>
            <w:r w:rsidRPr="00EE3355">
              <w:rPr>
                <w:sz w:val="20"/>
              </w:rPr>
              <w:t>24,0 %</w:t>
            </w:r>
          </w:p>
        </w:tc>
        <w:tc>
          <w:tcPr>
            <w:tcW w:w="2662" w:type="dxa"/>
          </w:tcPr>
          <w:p w14:paraId="325077B8" w14:textId="77777777" w:rsidR="00222DE0" w:rsidRPr="00EE3355" w:rsidRDefault="0098273B" w:rsidP="00EA1CDF">
            <w:pPr>
              <w:pStyle w:val="TableParagraph"/>
              <w:widowControl/>
              <w:jc w:val="center"/>
              <w:rPr>
                <w:sz w:val="20"/>
              </w:rPr>
            </w:pPr>
            <w:r w:rsidRPr="00EE3355">
              <w:rPr>
                <w:sz w:val="20"/>
              </w:rPr>
              <w:t>27,9 %</w:t>
            </w:r>
          </w:p>
        </w:tc>
      </w:tr>
      <w:tr w:rsidR="00222DE0" w:rsidRPr="00EE3355" w14:paraId="1547DA6D" w14:textId="77777777" w:rsidTr="00130E42">
        <w:trPr>
          <w:cantSplit/>
          <w:trHeight w:val="20"/>
        </w:trPr>
        <w:tc>
          <w:tcPr>
            <w:tcW w:w="2831" w:type="dxa"/>
          </w:tcPr>
          <w:p w14:paraId="2AEC75FD" w14:textId="77777777" w:rsidR="00222DE0" w:rsidRPr="00EE3355" w:rsidRDefault="0098273B" w:rsidP="00EA1CDF">
            <w:pPr>
              <w:pStyle w:val="TableParagraph"/>
              <w:widowControl/>
              <w:jc w:val="right"/>
              <w:rPr>
                <w:sz w:val="20"/>
              </w:rPr>
            </w:pPr>
            <w:r w:rsidRPr="00EE3355">
              <w:rPr>
                <w:sz w:val="20"/>
              </w:rPr>
              <w:t>Vážený rozdíl (95% CI)</w:t>
            </w:r>
          </w:p>
        </w:tc>
        <w:tc>
          <w:tcPr>
            <w:tcW w:w="5221" w:type="dxa"/>
            <w:gridSpan w:val="2"/>
          </w:tcPr>
          <w:p w14:paraId="4C773C0F" w14:textId="77777777" w:rsidR="00222DE0" w:rsidRPr="00EE3355" w:rsidRDefault="0098273B" w:rsidP="00EA1CDF">
            <w:pPr>
              <w:pStyle w:val="TableParagraph"/>
              <w:widowControl/>
              <w:jc w:val="center"/>
              <w:rPr>
                <w:sz w:val="20"/>
              </w:rPr>
            </w:pPr>
            <w:r w:rsidRPr="00EE3355">
              <w:rPr>
                <w:sz w:val="20"/>
              </w:rPr>
              <w:t>-3,8 (-9,0; 1,3)</w:t>
            </w:r>
          </w:p>
        </w:tc>
      </w:tr>
    </w:tbl>
    <w:p w14:paraId="00934C50" w14:textId="77777777" w:rsidR="00222DE0" w:rsidRPr="00EE3355" w:rsidRDefault="0098273B" w:rsidP="00EA1CDF">
      <w:pPr>
        <w:widowControl/>
        <w:rPr>
          <w:sz w:val="18"/>
        </w:rPr>
      </w:pPr>
      <w:r w:rsidRPr="00EE3355">
        <w:rPr>
          <w:sz w:val="18"/>
        </w:rPr>
        <w:t>TCZ = tocilizumab</w:t>
      </w:r>
    </w:p>
    <w:p w14:paraId="2DE33BD5" w14:textId="77777777" w:rsidR="00222DE0" w:rsidRPr="00EE3355" w:rsidRDefault="0098273B" w:rsidP="00EA1CDF">
      <w:pPr>
        <w:widowControl/>
        <w:rPr>
          <w:sz w:val="18"/>
        </w:rPr>
      </w:pPr>
      <w:r w:rsidRPr="00CE49B3">
        <w:rPr>
          <w:sz w:val="18"/>
        </w:rPr>
        <w:t>a</w:t>
      </w:r>
      <w:r w:rsidRPr="00EE3355">
        <w:rPr>
          <w:sz w:val="18"/>
        </w:rPr>
        <w:t xml:space="preserve"> = Per Protocol Population (populace podle protokolu)</w:t>
      </w:r>
    </w:p>
    <w:p w14:paraId="017B18A6" w14:textId="77777777" w:rsidR="00222DE0" w:rsidRPr="00EE3355" w:rsidRDefault="00222DE0" w:rsidP="00EA1CDF">
      <w:pPr>
        <w:pStyle w:val="a3"/>
        <w:widowControl/>
        <w:ind w:left="0"/>
        <w:rPr>
          <w:sz w:val="18"/>
        </w:rPr>
      </w:pPr>
    </w:p>
    <w:p w14:paraId="2A0E3FCC" w14:textId="24B1E39F" w:rsidR="00222DE0" w:rsidRPr="00EE3355" w:rsidRDefault="0098273B" w:rsidP="00EA1CDF">
      <w:pPr>
        <w:pStyle w:val="a3"/>
        <w:widowControl/>
        <w:ind w:left="0"/>
      </w:pPr>
      <w:r w:rsidRPr="00EE3355">
        <w:t>Pacienti ve studii SC-I měli před začátkem léčby průměrné skóre aktivity onemocnění (DAS28) 6,6 v subkutánním rameni a 6,7 v intravenózním rameni. Ve 24. týdnu bylo u pacientů v obou ramenech pozorováno významné snížení (průměrné zlepšení) skóre DAS28 o 3,5 oproti skóre před začátkem</w:t>
      </w:r>
      <w:r w:rsidR="00DB4D25">
        <w:rPr>
          <w:rFonts w:eastAsia="맑은 고딕" w:hint="eastAsia"/>
          <w:lang w:eastAsia="ko-KR"/>
        </w:rPr>
        <w:t xml:space="preserve"> </w:t>
      </w:r>
      <w:r w:rsidRPr="00EE3355">
        <w:t>léčby a se srovnatelným poměrem pacientů, kteří dosáhli DAS28 klinické remise (DAS28 &lt; 2,6)</w:t>
      </w:r>
      <w:r w:rsidR="00BC4221">
        <w:t xml:space="preserve"> </w:t>
      </w:r>
      <w:r w:rsidRPr="00EE3355">
        <w:t>v subkutánním rameni (38,4 %) a v intravenózním rameni (36,9 %).</w:t>
      </w:r>
    </w:p>
    <w:p w14:paraId="7FB233F8" w14:textId="77777777" w:rsidR="00222DE0" w:rsidRPr="00EE3355" w:rsidRDefault="00222DE0" w:rsidP="00EA1CDF">
      <w:pPr>
        <w:pStyle w:val="a3"/>
        <w:widowControl/>
        <w:ind w:left="0"/>
      </w:pPr>
    </w:p>
    <w:p w14:paraId="7280C081" w14:textId="77777777" w:rsidR="00222DE0" w:rsidRPr="00EE3355" w:rsidRDefault="0098273B" w:rsidP="00EA1CDF">
      <w:pPr>
        <w:widowControl/>
        <w:rPr>
          <w:i/>
        </w:rPr>
      </w:pPr>
      <w:r w:rsidRPr="00EE3355">
        <w:rPr>
          <w:i/>
        </w:rPr>
        <w:t>Radiografická odpověď</w:t>
      </w:r>
    </w:p>
    <w:p w14:paraId="5066082D" w14:textId="666A8787" w:rsidR="00222DE0" w:rsidRPr="00EE3355" w:rsidRDefault="0098273B" w:rsidP="00EA1CDF">
      <w:pPr>
        <w:pStyle w:val="a3"/>
        <w:widowControl/>
        <w:ind w:left="0"/>
      </w:pPr>
      <w:r w:rsidRPr="00EE3355">
        <w:t xml:space="preserve">Radiografická odpověď po subkutánním podání </w:t>
      </w:r>
      <w:r w:rsidR="00E84462" w:rsidRPr="001879E9">
        <w:t>tocilizumab</w:t>
      </w:r>
      <w:r w:rsidR="00E84462">
        <w:t xml:space="preserve">u </w:t>
      </w:r>
      <w:r w:rsidRPr="00EE3355">
        <w:t xml:space="preserve">byla hodnocena ve dvojitě zaslepené, kontrolované, multicentrické studii u pacientů s aktivní RA (SC-II). Studie SC-II hodnotila pacienty se středně těžkou až těžkou aktivní RA, kteří neodpovídali dostatečně na svoji dosavadní revmatologickou terapii, včetně jednoho nebo více DMARD, kde přibližně 20 % mělo v minulosti nedostatečnou odpověď na alespoň jeden TNF inhibitor. Vhodnými pacienty byli &gt; 18 let s aktivní RA diagnostikovanou v souladu s kritérii ACR, a kteří měli alespoň 8 bolestivých a 6 oteklých kloubů na začátku léčby. Ve studii SC-II 656 pacientů bylo randomizováno v poměru 2:1 s dávkou 162 mg </w:t>
      </w:r>
      <w:r w:rsidR="00E84462" w:rsidRPr="001879E9">
        <w:t>tocilizumab</w:t>
      </w:r>
      <w:r w:rsidR="00E84462">
        <w:t xml:space="preserve">u </w:t>
      </w:r>
      <w:r w:rsidRPr="00EE3355">
        <w:t>subkutánně každý druhý týden nebo jim bylo podáváno placebo, v</w:t>
      </w:r>
      <w:r w:rsidR="00073B2C" w:rsidRPr="00EE3355">
        <w:t> </w:t>
      </w:r>
      <w:r w:rsidRPr="00EE3355">
        <w:t>kombinaci</w:t>
      </w:r>
      <w:r w:rsidR="00073B2C" w:rsidRPr="00EE3355">
        <w:t xml:space="preserve"> </w:t>
      </w:r>
      <w:r w:rsidRPr="00EE3355">
        <w:t>s nebiologickými DMARD.</w:t>
      </w:r>
    </w:p>
    <w:p w14:paraId="7554952A" w14:textId="77777777" w:rsidR="00222DE0" w:rsidRPr="00EE3355" w:rsidRDefault="00222DE0" w:rsidP="00EA1CDF">
      <w:pPr>
        <w:pStyle w:val="a3"/>
        <w:widowControl/>
        <w:ind w:left="0"/>
      </w:pPr>
    </w:p>
    <w:p w14:paraId="48EB5EE6" w14:textId="282F0AA1" w:rsidR="00222DE0" w:rsidRPr="00EE3355" w:rsidRDefault="0098273B" w:rsidP="00EA1CDF">
      <w:pPr>
        <w:pStyle w:val="a3"/>
        <w:widowControl/>
        <w:ind w:left="0"/>
      </w:pPr>
      <w:r w:rsidRPr="00EE3355">
        <w:t xml:space="preserve">Ve studii SC-II byla inhibice strukturálního poškození kloubů hodnocena radiograficky a vyjádřena změnou od úvodu studie ve van der Heijde modifikovaném průměru celkového Sharp skóre (mTSS). Ve 24. týdnu měla inhibice strukturálního poškození kloubů významně nižší radiografickou progresi u pacientů dostávajících </w:t>
      </w:r>
      <w:r w:rsidR="00E84462" w:rsidRPr="001879E9">
        <w:t>tocilizumab</w:t>
      </w:r>
      <w:r w:rsidR="00E84462">
        <w:t xml:space="preserve"> </w:t>
      </w:r>
      <w:r w:rsidRPr="00EE3355">
        <w:t xml:space="preserve">subkutánně v porovnání s placebem (střední hodnota mTSS 0,62 versus 1,23, p=0,0149 van Elteren). Tyto výsledky jsou shodné s výsledky pozorovanými u pacientů léčených </w:t>
      </w:r>
      <w:r w:rsidR="00E84462" w:rsidRPr="001879E9">
        <w:t>tocilizumab</w:t>
      </w:r>
      <w:r w:rsidR="00E84462">
        <w:t xml:space="preserve">em </w:t>
      </w:r>
      <w:r w:rsidRPr="00EE3355">
        <w:t>intravenózně.</w:t>
      </w:r>
    </w:p>
    <w:p w14:paraId="08A4741A" w14:textId="77777777" w:rsidR="00222DE0" w:rsidRPr="00EE3355" w:rsidRDefault="00222DE0" w:rsidP="00EA1CDF">
      <w:pPr>
        <w:pStyle w:val="a3"/>
        <w:widowControl/>
        <w:ind w:left="0"/>
      </w:pPr>
    </w:p>
    <w:p w14:paraId="2806B50E" w14:textId="2FB77E6F" w:rsidR="00222DE0" w:rsidRPr="00EE3355" w:rsidRDefault="0098273B" w:rsidP="00EA1CDF">
      <w:pPr>
        <w:pStyle w:val="a3"/>
        <w:widowControl/>
        <w:ind w:left="0"/>
      </w:pPr>
      <w:r w:rsidRPr="00EE3355">
        <w:t xml:space="preserve">Ve studii SC-II ve 24. týdnu byly odpovědi u pacientů léčených </w:t>
      </w:r>
      <w:r w:rsidR="00E84462" w:rsidRPr="001879E9">
        <w:t>tocilizumab</w:t>
      </w:r>
      <w:r w:rsidR="00E84462">
        <w:t xml:space="preserve">em </w:t>
      </w:r>
      <w:r w:rsidRPr="00EE3355">
        <w:t>subkutánně</w:t>
      </w:r>
      <w:r w:rsidR="00073B2C" w:rsidRPr="00EE3355">
        <w:t xml:space="preserve"> </w:t>
      </w:r>
      <w:r w:rsidRPr="00EE3355">
        <w:t>s podáním každý druhý týden ACR20 60,9 %, ACR50 39,8 % a ACR70 19,7 % ve srovnání</w:t>
      </w:r>
      <w:r w:rsidR="00073B2C" w:rsidRPr="00EE3355">
        <w:t xml:space="preserve"> </w:t>
      </w:r>
      <w:r w:rsidRPr="00EE3355">
        <w:t xml:space="preserve">s placebem, kde odpovědi byly ACR20 31,5 %, ACR50 12,3 % a ACR70 5,0 %. Pacienti na začátku léčby měli průměr DAS28 6,7 v subkutánním rameni a 6,6 v rameni s placebem. Ve 24. týdnu bylo pozorováno výrazné </w:t>
      </w:r>
      <w:r w:rsidRPr="00EE3355">
        <w:lastRenderedPageBreak/>
        <w:t>snížení DAS28 oproti hodnotám na začátku léčby, a to o 3,1 v subkutánním rameni a o 1,7 v rameni s placebem. Skóre DAS28 &lt; 2,6 bylo pozorováno u 32 % v subkutánním rameni a u 4,0 % v rameni s placebem.</w:t>
      </w:r>
    </w:p>
    <w:p w14:paraId="245CA8FD" w14:textId="77777777" w:rsidR="00073B2C" w:rsidRPr="00EE3355" w:rsidRDefault="00073B2C" w:rsidP="00EA1CDF">
      <w:pPr>
        <w:pStyle w:val="a3"/>
        <w:widowControl/>
        <w:ind w:left="0"/>
      </w:pPr>
    </w:p>
    <w:p w14:paraId="11CBAFA7" w14:textId="77777777" w:rsidR="00222DE0" w:rsidRPr="00EE3355" w:rsidRDefault="0098273B" w:rsidP="00EA1CDF">
      <w:pPr>
        <w:widowControl/>
        <w:rPr>
          <w:i/>
        </w:rPr>
      </w:pPr>
      <w:r w:rsidRPr="00EE3355">
        <w:rPr>
          <w:i/>
        </w:rPr>
        <w:t>Výsledky ve vztahu ke zdraví a kvalitě života</w:t>
      </w:r>
    </w:p>
    <w:p w14:paraId="4E1E66EB" w14:textId="77777777" w:rsidR="00222DE0" w:rsidRPr="00EE3355" w:rsidRDefault="0098273B" w:rsidP="00EA1CDF">
      <w:pPr>
        <w:pStyle w:val="a3"/>
        <w:widowControl/>
        <w:ind w:left="0"/>
      </w:pPr>
      <w:r w:rsidRPr="00EE3355">
        <w:t>Ve studii SC-I bylo průměrné snížení HAQ-DI 0,6 od začátku léčby až do 24. týdne v obou ramenech, subkutánním i intravenózním. Poměr pacientů, kteří dosáhli klinicky relevantního zlepšení HAQ-DI ve 24. týdnu (změna od počátku léčby o ≥ 0,3 jednotek) byl také srovnatelný v subkutánním rameni (65,2 %) versus v intravenózním rameni (67,4 %) s váženým rozdílem v poměru 2,3 % (95% interval spolehlivosti 8,1; 3,4). U SF-36 byla průměrná změna 6,22 v subkutánním rameni a 6,54</w:t>
      </w:r>
      <w:r w:rsidR="00073B2C" w:rsidRPr="00EE3355">
        <w:t xml:space="preserve"> </w:t>
      </w:r>
      <w:r w:rsidRPr="00EE3355">
        <w:t>v intravenózním rameni od začátku léčby do 24. týdne a fyzické složky skóre byly také podobné</w:t>
      </w:r>
      <w:r w:rsidR="00073B2C" w:rsidRPr="00EE3355">
        <w:t xml:space="preserve"> </w:t>
      </w:r>
      <w:r w:rsidRPr="00EE3355">
        <w:t>v subkutánním rameni (9,49) a intravenózním rameni (9,65).</w:t>
      </w:r>
    </w:p>
    <w:p w14:paraId="7F5F299F" w14:textId="77777777" w:rsidR="00222DE0" w:rsidRPr="00EE3355" w:rsidRDefault="00222DE0" w:rsidP="00EA1CDF">
      <w:pPr>
        <w:pStyle w:val="a3"/>
        <w:widowControl/>
        <w:ind w:left="0"/>
      </w:pPr>
    </w:p>
    <w:p w14:paraId="00CCBA51" w14:textId="5C2FE856" w:rsidR="00222DE0" w:rsidRPr="00EE3355" w:rsidRDefault="0098273B" w:rsidP="00EA1CDF">
      <w:pPr>
        <w:pStyle w:val="a3"/>
        <w:widowControl/>
        <w:ind w:left="0"/>
      </w:pPr>
      <w:r w:rsidRPr="00EE3355">
        <w:t xml:space="preserve">Ve studii SC-II bylo průměrné snížení HAQ-DI ve 24. týdnu od začátku léčby výrazně vyšší u pacientů léčených </w:t>
      </w:r>
      <w:r w:rsidR="00E84462" w:rsidRPr="001879E9">
        <w:t>tocilizumab</w:t>
      </w:r>
      <w:r w:rsidR="00E84462">
        <w:t xml:space="preserve">em </w:t>
      </w:r>
      <w:r w:rsidRPr="00EE3355">
        <w:t xml:space="preserve">subkutánně, podaného každý druhý týden (0,4) v porovnání s placebem (0,3). Poměr pacientů, kteří dosáhli klinicky relevantního zlepšení HAQ-DI ve 24. týdnu (změna od počátku léčby o ≥ 0,3 jednotek) byl vyšší u podání </w:t>
      </w:r>
      <w:r w:rsidR="00E84462" w:rsidRPr="001879E9">
        <w:t>tocilizumab</w:t>
      </w:r>
      <w:r w:rsidR="00E84462">
        <w:t xml:space="preserve">u </w:t>
      </w:r>
      <w:r w:rsidRPr="00EE3355">
        <w:t xml:space="preserve">subkutánně každý druhý týden (58 %) v porovnání s placebem (46,8 %). SF-36 (průměrná změna psychických a fyzických složek skóre) byla výrazně vyšší u skupiny se subkutánně podávaným </w:t>
      </w:r>
      <w:r w:rsidR="00E84462" w:rsidRPr="001879E9">
        <w:t>tocilizumab</w:t>
      </w:r>
      <w:r w:rsidR="00E84462">
        <w:t xml:space="preserve">em </w:t>
      </w:r>
      <w:r w:rsidRPr="00EE3355">
        <w:t>(6,5 a 5,3) než u skupiny s placebem (3,8 a 2,9).</w:t>
      </w:r>
    </w:p>
    <w:p w14:paraId="49146B26" w14:textId="77777777" w:rsidR="00222DE0" w:rsidRPr="00EE3355" w:rsidRDefault="00222DE0" w:rsidP="00EA1CDF">
      <w:pPr>
        <w:pStyle w:val="a3"/>
        <w:widowControl/>
        <w:ind w:left="0"/>
      </w:pPr>
    </w:p>
    <w:p w14:paraId="2F5F73B6" w14:textId="77777777" w:rsidR="00222DE0" w:rsidRPr="00EE3355" w:rsidRDefault="0098273B" w:rsidP="00EA1CDF">
      <w:pPr>
        <w:keepNext/>
        <w:widowControl/>
        <w:rPr>
          <w:b/>
        </w:rPr>
      </w:pPr>
      <w:r w:rsidRPr="00EE3355">
        <w:rPr>
          <w:b/>
          <w:u w:val="single"/>
        </w:rPr>
        <w:t>sJIA (subkutánní podání)</w:t>
      </w:r>
    </w:p>
    <w:p w14:paraId="7BE6E96D" w14:textId="77777777" w:rsidR="00222DE0" w:rsidRPr="00EE3355" w:rsidRDefault="0098273B" w:rsidP="00EA1CDF">
      <w:pPr>
        <w:pStyle w:val="a3"/>
        <w:keepNext/>
        <w:widowControl/>
        <w:ind w:left="0"/>
      </w:pPr>
      <w:r w:rsidRPr="00EE3355">
        <w:rPr>
          <w:u w:val="single"/>
        </w:rPr>
        <w:t>Klinická účinnost</w:t>
      </w:r>
    </w:p>
    <w:p w14:paraId="6495F268" w14:textId="34F10F0C" w:rsidR="00222DE0" w:rsidRPr="00EE3355" w:rsidRDefault="0098273B" w:rsidP="00EA1CDF">
      <w:pPr>
        <w:pStyle w:val="a3"/>
        <w:widowControl/>
        <w:ind w:left="0"/>
      </w:pPr>
      <w:r w:rsidRPr="00EE3355">
        <w:t xml:space="preserve">U pediatrických pacientů se sJIA ve věku od 1 do 17 let byla provedena 52týdenní otevřená, multicentrická studie farmakokinetiky, farmakodynamiky a bezpečnosti (WA28118) ke stanovení vhodné subkutánní dávky </w:t>
      </w:r>
      <w:r w:rsidR="00E84462" w:rsidRPr="001879E9">
        <w:t>tocilizumab</w:t>
      </w:r>
      <w:r w:rsidR="00E84462">
        <w:t>u</w:t>
      </w:r>
      <w:r w:rsidRPr="00EE3355">
        <w:t>, která by měla srovnatelný farmakokinetický, farmakodynamický a bezpečnostní profil jako intravenózní režim.</w:t>
      </w:r>
    </w:p>
    <w:p w14:paraId="67816AB4" w14:textId="77777777" w:rsidR="00222DE0" w:rsidRPr="00EE3355" w:rsidRDefault="00222DE0" w:rsidP="00EA1CDF">
      <w:pPr>
        <w:widowControl/>
      </w:pPr>
    </w:p>
    <w:p w14:paraId="6AE75CF2" w14:textId="469FD801" w:rsidR="00222DE0" w:rsidRPr="00EE3355" w:rsidRDefault="0098273B" w:rsidP="00EA1CDF">
      <w:pPr>
        <w:pStyle w:val="a3"/>
        <w:widowControl/>
        <w:ind w:left="0"/>
      </w:pPr>
      <w:r w:rsidRPr="00EE3355">
        <w:t xml:space="preserve">Způsobilí pacienti dostávali po dobu 52 týdnů </w:t>
      </w:r>
      <w:r w:rsidR="00E84462" w:rsidRPr="001879E9">
        <w:t>tocilizumab</w:t>
      </w:r>
      <w:r w:rsidR="00E84462">
        <w:t xml:space="preserve"> </w:t>
      </w:r>
      <w:r w:rsidRPr="00EE3355">
        <w:t xml:space="preserve">v dávkách podle tělesné hmotnosti: pacienti s tělesnou hmotností ≥ 30 kg (n = 26) dostávali </w:t>
      </w:r>
      <w:r w:rsidR="00E84462" w:rsidRPr="001879E9">
        <w:t>tocilizumab</w:t>
      </w:r>
      <w:r w:rsidR="00E84462">
        <w:t xml:space="preserve"> </w:t>
      </w:r>
      <w:r w:rsidRPr="00EE3355">
        <w:t xml:space="preserve">v dávce 162 mg každý týden a pacienti s tělesnou hmotností &lt; 30 kg (n = 25) dostávali </w:t>
      </w:r>
      <w:r w:rsidR="00E84462" w:rsidRPr="001879E9">
        <w:t>tocilizumab</w:t>
      </w:r>
      <w:r w:rsidR="00E84462">
        <w:t xml:space="preserve"> </w:t>
      </w:r>
      <w:r w:rsidRPr="00EE3355">
        <w:t>v dávce 162 mg každých 10 dnů (n = 8) nebo každé 2 týdny (n = 17). Celkem 26 (51 %) z</w:t>
      </w:r>
      <w:r w:rsidR="00073B2C" w:rsidRPr="00EE3355">
        <w:t> </w:t>
      </w:r>
      <w:r w:rsidRPr="00EE3355">
        <w:t>těchto</w:t>
      </w:r>
      <w:r w:rsidR="00073B2C" w:rsidRPr="00EE3355">
        <w:t xml:space="preserve"> </w:t>
      </w:r>
      <w:r w:rsidRPr="00EE3355">
        <w:t xml:space="preserve">51 pacientů dosud </w:t>
      </w:r>
      <w:r w:rsidR="00E84462" w:rsidRPr="001879E9">
        <w:t>tocilizumab</w:t>
      </w:r>
      <w:r w:rsidR="00E84462">
        <w:t xml:space="preserve"> </w:t>
      </w:r>
      <w:r w:rsidRPr="00EE3355">
        <w:t xml:space="preserve">neužívalo a 25 (49 %) z těchto 51 pacientů užívalo </w:t>
      </w:r>
      <w:r w:rsidR="00E84462" w:rsidRPr="001879E9">
        <w:t>tocilizumab</w:t>
      </w:r>
      <w:r w:rsidR="00E84462">
        <w:t xml:space="preserve"> </w:t>
      </w:r>
      <w:r w:rsidRPr="00EE3355">
        <w:t>intravenózně a při zahájení studijní léčby bylo převedeno na subkutánní podání.</w:t>
      </w:r>
    </w:p>
    <w:p w14:paraId="48E59CC9" w14:textId="77777777" w:rsidR="00073B2C" w:rsidRPr="00EE3355" w:rsidRDefault="00073B2C" w:rsidP="00EA1CDF">
      <w:pPr>
        <w:pStyle w:val="a3"/>
        <w:widowControl/>
        <w:ind w:left="0"/>
      </w:pPr>
    </w:p>
    <w:p w14:paraId="2BBCA203" w14:textId="78EBE9E6" w:rsidR="00222DE0" w:rsidRPr="00EE3355" w:rsidRDefault="0098273B" w:rsidP="00EA1CDF">
      <w:pPr>
        <w:pStyle w:val="a3"/>
        <w:widowControl/>
        <w:ind w:left="0"/>
      </w:pPr>
      <w:r w:rsidRPr="00EE3355">
        <w:t xml:space="preserve">Výsledky průzkumu účinnosti prokázaly, že subkutánně podávaný </w:t>
      </w:r>
      <w:r w:rsidR="00E84462" w:rsidRPr="001879E9">
        <w:t>tocilizumab</w:t>
      </w:r>
      <w:r w:rsidR="00E84462">
        <w:t xml:space="preserve"> </w:t>
      </w:r>
      <w:r w:rsidRPr="00EE3355">
        <w:t xml:space="preserve">zlepšil všechny zkoumané parametry účinnosti včetně skóre „Juvenile Arthritis Disease Activity Score“ (JADAS)-71 u pacientů bez předchozí léčby tocilizumabem a zachoval všechny zkoumané parametry účinnosti u pacientů převedených z intravenózně na subkutánně podávaný </w:t>
      </w:r>
      <w:r w:rsidR="00E84462" w:rsidRPr="001879E9">
        <w:t>tocilizumab</w:t>
      </w:r>
      <w:r w:rsidRPr="00EE3355">
        <w:t>, a to během celé studie u pacientů v obou skupinách tělesné hmotnosti (&lt; 30 kg a ≥ 30 kg).</w:t>
      </w:r>
    </w:p>
    <w:p w14:paraId="7EA02281" w14:textId="77777777" w:rsidR="00222DE0" w:rsidRPr="00EE3355" w:rsidRDefault="00222DE0" w:rsidP="00EA1CDF">
      <w:pPr>
        <w:pStyle w:val="a3"/>
        <w:widowControl/>
        <w:ind w:left="0"/>
      </w:pPr>
    </w:p>
    <w:p w14:paraId="6058B1C3" w14:textId="77777777" w:rsidR="00222DE0" w:rsidRPr="00EE3355" w:rsidRDefault="0098273B" w:rsidP="00EA1CDF">
      <w:pPr>
        <w:widowControl/>
        <w:rPr>
          <w:b/>
        </w:rPr>
      </w:pPr>
      <w:r w:rsidRPr="00EE3355">
        <w:rPr>
          <w:b/>
          <w:u w:val="single"/>
        </w:rPr>
        <w:t>pJIA (subkutánní podání)</w:t>
      </w:r>
    </w:p>
    <w:p w14:paraId="45A86C44" w14:textId="0D7911D2" w:rsidR="00222DE0" w:rsidRPr="00EE3355" w:rsidRDefault="0098273B" w:rsidP="00EA1CDF">
      <w:pPr>
        <w:pStyle w:val="a3"/>
        <w:widowControl/>
        <w:ind w:left="0"/>
      </w:pPr>
      <w:r w:rsidRPr="00EE3355">
        <w:t xml:space="preserve">U pediatrických pacientů s pJIA ve věku od 1 do 17 let byla provedena 52týdenní otevřená, multicentrická studie farmakokinetiky, farmakodynamiky a bezpečnosti ke stanovení vhodné subkutánní dávky </w:t>
      </w:r>
      <w:r w:rsidR="00E84462" w:rsidRPr="001879E9">
        <w:t>tocilizumab</w:t>
      </w:r>
      <w:r w:rsidR="00E84462">
        <w:t>u</w:t>
      </w:r>
      <w:r w:rsidRPr="00EE3355">
        <w:t>, která měla srovnatelný farmakokinetický, farmakodynamický a bezpečnostní profil jako intravenózní režim.</w:t>
      </w:r>
    </w:p>
    <w:p w14:paraId="694E5227" w14:textId="77777777" w:rsidR="00073B2C" w:rsidRPr="00EE3355" w:rsidRDefault="00073B2C" w:rsidP="00EA1CDF">
      <w:pPr>
        <w:pStyle w:val="a3"/>
        <w:widowControl/>
        <w:ind w:left="0"/>
      </w:pPr>
    </w:p>
    <w:p w14:paraId="7CB2A01E" w14:textId="3F985369" w:rsidR="00222DE0" w:rsidRPr="00EE3355" w:rsidRDefault="0098273B" w:rsidP="00EA1CDF">
      <w:pPr>
        <w:pStyle w:val="a3"/>
        <w:widowControl/>
        <w:ind w:left="0"/>
      </w:pPr>
      <w:r w:rsidRPr="00EE3355">
        <w:t xml:space="preserve">Způsobilí pacienti dostávali po dobu 52 týdnů tocilizumab v dávkách podle tělesné hmotnosti: pacienti s tělesnou hmotností ≥ 30 kg (n = 25) dostávali </w:t>
      </w:r>
      <w:r w:rsidR="00E84462" w:rsidRPr="001879E9">
        <w:t>tocilizumab</w:t>
      </w:r>
      <w:r w:rsidR="00E84462">
        <w:t xml:space="preserve"> </w:t>
      </w:r>
      <w:r w:rsidRPr="00EE3355">
        <w:t xml:space="preserve">v dávce 162 mg každé 2 týdny a pacienti s tělesnou hmotností &lt; 30 kg (n = 27) dostávali </w:t>
      </w:r>
      <w:r w:rsidR="00E84462" w:rsidRPr="001879E9">
        <w:t>tocilizumab</w:t>
      </w:r>
      <w:r w:rsidR="00E84462">
        <w:t xml:space="preserve"> </w:t>
      </w:r>
      <w:r w:rsidRPr="00EE3355">
        <w:t xml:space="preserve">v dávce 162 mg každé 3 týdny. Z těchto 52 pacientů dosud </w:t>
      </w:r>
      <w:r w:rsidR="00E84462" w:rsidRPr="001879E9">
        <w:t>tocilizumab</w:t>
      </w:r>
      <w:r w:rsidR="00E84462">
        <w:t xml:space="preserve"> </w:t>
      </w:r>
      <w:r w:rsidRPr="00EE3355">
        <w:t xml:space="preserve">neužívalo 37 (71 %) pacientů a 15 (29 %) pacientů užívalo </w:t>
      </w:r>
      <w:r w:rsidR="00E84462" w:rsidRPr="001879E9">
        <w:t>tocilizumab</w:t>
      </w:r>
      <w:r w:rsidRPr="00EE3355">
        <w:t xml:space="preserve"> intravenózně a při zahájení studijní léčby bylo převedeno na subkutánní podání.</w:t>
      </w:r>
    </w:p>
    <w:p w14:paraId="6BB5AC10" w14:textId="77777777" w:rsidR="00073B2C" w:rsidRPr="00EE3355" w:rsidRDefault="00073B2C" w:rsidP="00EA1CDF">
      <w:pPr>
        <w:pStyle w:val="a3"/>
        <w:widowControl/>
        <w:ind w:left="0"/>
      </w:pPr>
    </w:p>
    <w:p w14:paraId="3396C3BF" w14:textId="035F238D" w:rsidR="00222DE0" w:rsidRPr="00EE3355" w:rsidRDefault="0098273B" w:rsidP="00EA1CDF">
      <w:pPr>
        <w:pStyle w:val="a3"/>
        <w:widowControl/>
        <w:ind w:left="0"/>
      </w:pPr>
      <w:r w:rsidRPr="00EE3355">
        <w:t xml:space="preserve">Režimy se subkutánním podáním </w:t>
      </w:r>
      <w:r w:rsidR="00E84462" w:rsidRPr="001879E9">
        <w:t>tocilizumab</w:t>
      </w:r>
      <w:r w:rsidR="00E84462">
        <w:t xml:space="preserve">u </w:t>
      </w:r>
      <w:r w:rsidRPr="00EE3355">
        <w:t>162 mg každé 3 týdny v případě pacientů</w:t>
      </w:r>
      <w:r w:rsidR="00073B2C" w:rsidRPr="00EE3355">
        <w:t xml:space="preserve"> </w:t>
      </w:r>
      <w:r w:rsidRPr="00EE3355">
        <w:t xml:space="preserve">s tělesnou hmotností &lt; 30 kg a 162 mg každé 2 týdny v případě pacientů s tělesnou hmotností ≥ 30 kg zajišťují farmakokinetickou expozici a farmakodynamické odpovědi potvrzující výsledky účinnosti i </w:t>
      </w:r>
      <w:r w:rsidRPr="00EE3355">
        <w:lastRenderedPageBreak/>
        <w:t xml:space="preserve">bezpečnosti obdobné těm, kterých bylo dosaženo u režimů intravenózně podávaného </w:t>
      </w:r>
      <w:r w:rsidR="00E84462" w:rsidRPr="001879E9">
        <w:t>tocilizumab</w:t>
      </w:r>
      <w:r w:rsidR="00E84462">
        <w:t xml:space="preserve">u </w:t>
      </w:r>
      <w:r w:rsidRPr="00EE3355">
        <w:t>k léčbě pJIA.</w:t>
      </w:r>
    </w:p>
    <w:p w14:paraId="39E03973" w14:textId="77777777" w:rsidR="00073B2C" w:rsidRPr="00EE3355" w:rsidRDefault="00073B2C" w:rsidP="00EA1CDF">
      <w:pPr>
        <w:pStyle w:val="a3"/>
        <w:widowControl/>
        <w:ind w:left="0"/>
      </w:pPr>
    </w:p>
    <w:p w14:paraId="6A08BA0E" w14:textId="502CD7F1" w:rsidR="00222DE0" w:rsidRPr="00EE3355" w:rsidRDefault="0098273B" w:rsidP="00EA1CDF">
      <w:pPr>
        <w:pStyle w:val="a3"/>
        <w:widowControl/>
        <w:ind w:left="0"/>
      </w:pPr>
      <w:r w:rsidRPr="00EE3355">
        <w:t xml:space="preserve">Výsledky průzkumu účinnosti prokázaly, že subkutánně podávaný </w:t>
      </w:r>
      <w:r w:rsidR="00E84462" w:rsidRPr="001879E9">
        <w:t>tocilizumab</w:t>
      </w:r>
      <w:r w:rsidR="00E84462">
        <w:t xml:space="preserve"> </w:t>
      </w:r>
      <w:r w:rsidRPr="00EE3355">
        <w:t xml:space="preserve">zlepšil medián skóre „Juvenile Arthritis Disease Activity Score“ (JADAS)-71 u pacientů bez předchozí léčby </w:t>
      </w:r>
      <w:r w:rsidR="00E84462" w:rsidRPr="001879E9">
        <w:t>tocilizumab</w:t>
      </w:r>
      <w:r w:rsidR="00E84462">
        <w:t xml:space="preserve">em </w:t>
      </w:r>
      <w:r w:rsidRPr="00EE3355">
        <w:t xml:space="preserve">a zachoval medián JADAS-71 u pacientů převedených z intravenózně na subkutánně podávaný </w:t>
      </w:r>
      <w:r w:rsidR="00E84462" w:rsidRPr="001879E9">
        <w:t>tocilizumab</w:t>
      </w:r>
      <w:r w:rsidRPr="00EE3355">
        <w:t>, a to během celé studie u pacientů v obou skupinách tělesné hmotnosti (&lt; 30 kg a ≥ 30 kg).</w:t>
      </w:r>
    </w:p>
    <w:p w14:paraId="6BD69DA6" w14:textId="77777777" w:rsidR="00222DE0" w:rsidRPr="00EE3355" w:rsidRDefault="00222DE0" w:rsidP="00EA1CDF">
      <w:pPr>
        <w:pStyle w:val="a3"/>
        <w:widowControl/>
        <w:ind w:left="0"/>
      </w:pPr>
    </w:p>
    <w:p w14:paraId="236ADF18" w14:textId="77777777" w:rsidR="00222DE0" w:rsidRPr="00EE3355" w:rsidRDefault="0098273B" w:rsidP="00EA1CDF">
      <w:pPr>
        <w:widowControl/>
        <w:jc w:val="both"/>
        <w:rPr>
          <w:b/>
        </w:rPr>
      </w:pPr>
      <w:r w:rsidRPr="00EE3355">
        <w:rPr>
          <w:b/>
          <w:u w:val="single"/>
        </w:rPr>
        <w:t>GCA (subkutánní podání)</w:t>
      </w:r>
    </w:p>
    <w:p w14:paraId="55FD63E0" w14:textId="77777777" w:rsidR="00222DE0" w:rsidRPr="00EE3355" w:rsidRDefault="0098273B" w:rsidP="00EA1CDF">
      <w:pPr>
        <w:pStyle w:val="a3"/>
        <w:widowControl/>
        <w:ind w:left="0"/>
        <w:jc w:val="both"/>
      </w:pPr>
      <w:r w:rsidRPr="00EE3355">
        <w:rPr>
          <w:u w:val="single"/>
        </w:rPr>
        <w:t>Klinická účinnost</w:t>
      </w:r>
    </w:p>
    <w:p w14:paraId="74ED5F24" w14:textId="636505CD" w:rsidR="00222DE0" w:rsidRPr="00EE3355" w:rsidRDefault="0098273B" w:rsidP="00EA1CDF">
      <w:pPr>
        <w:pStyle w:val="a3"/>
        <w:widowControl/>
        <w:ind w:left="0"/>
        <w:jc w:val="both"/>
      </w:pPr>
      <w:r w:rsidRPr="00EE3355">
        <w:t xml:space="preserve">Studie WA28119 byla randomizovaná, multicentrická, dvojitě zaslepená, placebem kontrolovaná studie superiority fáze III, která hodnotila účinnost a bezpečnost </w:t>
      </w:r>
      <w:r w:rsidR="00E84462" w:rsidRPr="001879E9">
        <w:t>tocilizumab</w:t>
      </w:r>
      <w:r w:rsidR="00E84462">
        <w:t xml:space="preserve">u </w:t>
      </w:r>
      <w:r w:rsidRPr="00EE3355">
        <w:t>u pacientů s GCA.</w:t>
      </w:r>
    </w:p>
    <w:p w14:paraId="5167CEF4" w14:textId="77777777" w:rsidR="00642FD8" w:rsidRPr="00EE3355" w:rsidRDefault="00642FD8" w:rsidP="00EA1CDF">
      <w:pPr>
        <w:pStyle w:val="a3"/>
        <w:widowControl/>
        <w:ind w:left="0"/>
        <w:jc w:val="both"/>
      </w:pPr>
    </w:p>
    <w:p w14:paraId="167B4F9E" w14:textId="6BDC157C" w:rsidR="00222DE0" w:rsidRPr="00EE3355" w:rsidRDefault="0098273B" w:rsidP="00EA1CDF">
      <w:pPr>
        <w:pStyle w:val="a3"/>
        <w:widowControl/>
        <w:ind w:left="0"/>
      </w:pPr>
      <w:r w:rsidRPr="00EE3355">
        <w:t xml:space="preserve">Do studie bylo zařazeno 251 pacientů s novou nebo relabující GCA, kteří byli vždy zařazeni do jednoho ze čtyř léčebných ramen. Studie se skládala z 52týdenního zaslepeného období (část 1) a následujícího 104týdenního otevřeného prodlužovacího období (část 2). Část 2 měla za účel popsat dlouhodobou bezpečnost a udržení účinnosti po 52týdenní léčbě </w:t>
      </w:r>
      <w:r w:rsidR="00E84462" w:rsidRPr="001879E9">
        <w:t>tocilizumab</w:t>
      </w:r>
      <w:r w:rsidR="00E84462">
        <w:t>em</w:t>
      </w:r>
      <w:r w:rsidRPr="00EE3355">
        <w:t xml:space="preserve">, prozkoumat výskyt relapsu a potřebu </w:t>
      </w:r>
      <w:r w:rsidR="00E84462" w:rsidRPr="001879E9">
        <w:t>tocilizumab</w:t>
      </w:r>
      <w:r w:rsidR="00E84462">
        <w:t xml:space="preserve">u </w:t>
      </w:r>
      <w:r w:rsidRPr="00EE3355">
        <w:t xml:space="preserve">po 52 týdnech a získat informace o možném dlouhodobém steroidy šetřícím účinku </w:t>
      </w:r>
      <w:r w:rsidR="00E84462" w:rsidRPr="001879E9">
        <w:t>tocilizumab</w:t>
      </w:r>
      <w:r w:rsidR="00E84462">
        <w:t>u</w:t>
      </w:r>
      <w:r w:rsidRPr="00EE3355">
        <w:t>.</w:t>
      </w:r>
    </w:p>
    <w:p w14:paraId="13AA263C" w14:textId="77777777" w:rsidR="00222DE0" w:rsidRPr="00EE3355" w:rsidRDefault="00222DE0" w:rsidP="00EA1CDF">
      <w:pPr>
        <w:pStyle w:val="a3"/>
        <w:widowControl/>
        <w:ind w:left="0"/>
      </w:pPr>
    </w:p>
    <w:p w14:paraId="01898A5E" w14:textId="75313858" w:rsidR="00222DE0" w:rsidRPr="00EE3355" w:rsidRDefault="0098273B" w:rsidP="00EA1CDF">
      <w:pPr>
        <w:pStyle w:val="a3"/>
        <w:widowControl/>
        <w:ind w:left="0"/>
      </w:pPr>
      <w:r w:rsidRPr="00EE3355">
        <w:t xml:space="preserve">Porovnávaly se dvě dávky </w:t>
      </w:r>
      <w:r w:rsidR="00E84462" w:rsidRPr="001879E9">
        <w:t>tocilizumab</w:t>
      </w:r>
      <w:r w:rsidR="00E84462">
        <w:t xml:space="preserve">u </w:t>
      </w:r>
      <w:r w:rsidRPr="00EE3355">
        <w:t>podávaného subkutánně (162 mg jednou týdně a</w:t>
      </w:r>
      <w:r w:rsidR="00BC4221">
        <w:t xml:space="preserve"> </w:t>
      </w:r>
      <w:r w:rsidRPr="00EE3355">
        <w:t>162 mg každé dva týdny) a dvě různé kontrolní skupiny s placebem randomizované v</w:t>
      </w:r>
      <w:r w:rsidR="00BC4221">
        <w:t> </w:t>
      </w:r>
      <w:r w:rsidRPr="00EE3355">
        <w:t>poměru</w:t>
      </w:r>
      <w:r w:rsidR="00BC4221">
        <w:t xml:space="preserve"> </w:t>
      </w:r>
      <w:r w:rsidRPr="00EE3355">
        <w:t>2 : 1 : 1 : 1.</w:t>
      </w:r>
    </w:p>
    <w:p w14:paraId="148DDEF7" w14:textId="77777777" w:rsidR="00222DE0" w:rsidRPr="00EE3355" w:rsidRDefault="00222DE0" w:rsidP="00EA1CDF">
      <w:pPr>
        <w:widowControl/>
      </w:pPr>
    </w:p>
    <w:p w14:paraId="21AF60A8" w14:textId="77FBDA01" w:rsidR="00222DE0" w:rsidRDefault="0098273B" w:rsidP="00EA1CDF">
      <w:pPr>
        <w:pStyle w:val="a3"/>
        <w:widowControl/>
        <w:ind w:left="0"/>
      </w:pPr>
      <w:r w:rsidRPr="00EE3355">
        <w:t>Všem pacientům byla poskytnuta základní léčba glukokortikoidem (prednisonem). Obě skupiny s</w:t>
      </w:r>
      <w:r w:rsidR="00E84462">
        <w:t> </w:t>
      </w:r>
      <w:r w:rsidR="00E84462" w:rsidRPr="001879E9">
        <w:t>tocilizumab</w:t>
      </w:r>
      <w:r w:rsidR="00E84462">
        <w:t xml:space="preserve">em </w:t>
      </w:r>
      <w:r w:rsidRPr="00EE3355">
        <w:t>a jedna skupina s placebem absolvovaly předem stanovený režim postupného vysazení prednisonu během 26 týdnů, zatímco druhá skupina s placebem absolvovala předem stanovený režim postupného vysazení prednisonu během 52 týdnů, aby se více přiblížila standardní praxi.</w:t>
      </w:r>
    </w:p>
    <w:p w14:paraId="601BD17A" w14:textId="77777777" w:rsidR="00130E42" w:rsidRPr="00EE3355" w:rsidRDefault="00130E42" w:rsidP="00EA1CDF">
      <w:pPr>
        <w:pStyle w:val="a3"/>
        <w:widowControl/>
        <w:ind w:left="0"/>
      </w:pPr>
    </w:p>
    <w:p w14:paraId="26401F9C" w14:textId="13E75A5E" w:rsidR="00222DE0" w:rsidRPr="00EE3355" w:rsidRDefault="0098273B" w:rsidP="00EA1CDF">
      <w:pPr>
        <w:pStyle w:val="a3"/>
        <w:widowControl/>
        <w:ind w:left="0"/>
      </w:pPr>
      <w:r w:rsidRPr="00EE3355">
        <w:t xml:space="preserve">Délka léčby glukokortikoidy během vstupních vyšetření a před zahájením léčby </w:t>
      </w:r>
      <w:r w:rsidR="00E84462" w:rsidRPr="001879E9">
        <w:t>tocilizumab</w:t>
      </w:r>
      <w:r w:rsidR="00E84462">
        <w:t xml:space="preserve">em </w:t>
      </w:r>
      <w:r w:rsidRPr="00EE3355">
        <w:t>(nebo placebo) byla podobná ve všech 4 léčených skupinách (viz tabulka 3).</w:t>
      </w:r>
    </w:p>
    <w:p w14:paraId="05095D39" w14:textId="77777777" w:rsidR="00CC5D43" w:rsidRPr="00EE3355" w:rsidRDefault="00CC5D43" w:rsidP="00EA1CDF">
      <w:pPr>
        <w:pStyle w:val="a3"/>
        <w:widowControl/>
        <w:ind w:left="0"/>
      </w:pPr>
    </w:p>
    <w:p w14:paraId="5349F400" w14:textId="77777777" w:rsidR="00222DE0" w:rsidRPr="00EE3355" w:rsidRDefault="0098273B" w:rsidP="00EA1CDF">
      <w:pPr>
        <w:widowControl/>
        <w:rPr>
          <w:i/>
        </w:rPr>
      </w:pPr>
      <w:r w:rsidRPr="00EE3355">
        <w:rPr>
          <w:i/>
        </w:rPr>
        <w:t>Tabulka 3. Délka léčby kortikosteroidy během vstupního vyšetření ve studii WA28119</w:t>
      </w:r>
    </w:p>
    <w:p w14:paraId="572288DA" w14:textId="77777777" w:rsidR="00CC5D43" w:rsidRPr="00EE3355" w:rsidRDefault="00CC5D43" w:rsidP="00EA1CDF">
      <w:pPr>
        <w:widowControl/>
        <w:rPr>
          <w:i/>
        </w:rPr>
      </w:pPr>
    </w:p>
    <w:tbl>
      <w:tblPr>
        <w:tblW w:w="9027" w:type="dxa"/>
        <w:tblInd w:w="-5" w:type="dxa"/>
        <w:tblBorders>
          <w:top w:val="single" w:sz="4" w:space="0" w:color="000000"/>
          <w:left w:val="single" w:sz="4" w:space="0" w:color="000000"/>
          <w:bottom w:val="single" w:sz="4" w:space="0" w:color="000000"/>
          <w:right w:val="single" w:sz="4" w:space="0" w:color="000000"/>
        </w:tblBorders>
        <w:tblLayout w:type="fixed"/>
        <w:tblCellMar>
          <w:top w:w="28" w:type="dxa"/>
          <w:bottom w:w="28" w:type="dxa"/>
        </w:tblCellMar>
        <w:tblLook w:val="01E0" w:firstRow="1" w:lastRow="1" w:firstColumn="1" w:lastColumn="1" w:noHBand="0" w:noVBand="0"/>
      </w:tblPr>
      <w:tblGrid>
        <w:gridCol w:w="1701"/>
        <w:gridCol w:w="2408"/>
        <w:gridCol w:w="1588"/>
        <w:gridCol w:w="1660"/>
        <w:gridCol w:w="1670"/>
      </w:tblGrid>
      <w:tr w:rsidR="00222DE0" w:rsidRPr="00EE3355" w14:paraId="160D58F3" w14:textId="77777777" w:rsidTr="00CE49B3">
        <w:trPr>
          <w:cantSplit/>
          <w:trHeight w:val="1216"/>
        </w:trPr>
        <w:tc>
          <w:tcPr>
            <w:tcW w:w="1701" w:type="dxa"/>
            <w:tcBorders>
              <w:top w:val="single" w:sz="4" w:space="0" w:color="000000"/>
              <w:bottom w:val="single" w:sz="4" w:space="0" w:color="auto"/>
            </w:tcBorders>
          </w:tcPr>
          <w:p w14:paraId="62E8FFC4" w14:textId="77777777" w:rsidR="00222DE0" w:rsidRPr="00EE3355" w:rsidRDefault="00222DE0" w:rsidP="00EA1CDF">
            <w:pPr>
              <w:pStyle w:val="TableParagraph"/>
              <w:widowControl/>
              <w:jc w:val="center"/>
              <w:rPr>
                <w:sz w:val="20"/>
              </w:rPr>
            </w:pPr>
          </w:p>
        </w:tc>
        <w:tc>
          <w:tcPr>
            <w:tcW w:w="2408" w:type="dxa"/>
            <w:tcBorders>
              <w:top w:val="single" w:sz="4" w:space="0" w:color="000000"/>
              <w:bottom w:val="single" w:sz="4" w:space="0" w:color="auto"/>
            </w:tcBorders>
          </w:tcPr>
          <w:p w14:paraId="1FA8E39D" w14:textId="77777777" w:rsidR="00222DE0" w:rsidRPr="00EE3355" w:rsidRDefault="0098273B" w:rsidP="00EA1CDF">
            <w:pPr>
              <w:pStyle w:val="TableParagraph"/>
              <w:widowControl/>
              <w:jc w:val="center"/>
              <w:rPr>
                <w:b/>
                <w:sz w:val="18"/>
              </w:rPr>
            </w:pPr>
            <w:r w:rsidRPr="00EE3355">
              <w:rPr>
                <w:b/>
                <w:sz w:val="18"/>
              </w:rPr>
              <w:t>Placebo + 26 týdnů postupně vysazovaný prednison</w:t>
            </w:r>
            <w:r w:rsidR="00943216" w:rsidRPr="00EE3355">
              <w:rPr>
                <w:b/>
                <w:sz w:val="18"/>
              </w:rPr>
              <w:t xml:space="preserve"> </w:t>
            </w:r>
            <w:r w:rsidRPr="00EE3355">
              <w:rPr>
                <w:b/>
                <w:sz w:val="18"/>
              </w:rPr>
              <w:t>n=50</w:t>
            </w:r>
          </w:p>
        </w:tc>
        <w:tc>
          <w:tcPr>
            <w:tcW w:w="1588" w:type="dxa"/>
            <w:tcBorders>
              <w:top w:val="single" w:sz="4" w:space="0" w:color="000000"/>
              <w:bottom w:val="single" w:sz="4" w:space="0" w:color="auto"/>
            </w:tcBorders>
          </w:tcPr>
          <w:p w14:paraId="2D30B69C" w14:textId="77777777" w:rsidR="00222DE0" w:rsidRPr="00EE3355" w:rsidRDefault="0098273B" w:rsidP="00EA1CDF">
            <w:pPr>
              <w:pStyle w:val="TableParagraph"/>
              <w:widowControl/>
              <w:jc w:val="center"/>
              <w:rPr>
                <w:b/>
                <w:sz w:val="18"/>
              </w:rPr>
            </w:pPr>
            <w:r w:rsidRPr="00EE3355">
              <w:rPr>
                <w:b/>
                <w:sz w:val="18"/>
              </w:rPr>
              <w:t>Placebo + 52 týdnů postupně vysazovaný prednison</w:t>
            </w:r>
            <w:r w:rsidR="00943216" w:rsidRPr="00EE3355">
              <w:rPr>
                <w:b/>
                <w:sz w:val="18"/>
              </w:rPr>
              <w:t xml:space="preserve"> </w:t>
            </w:r>
            <w:r w:rsidRPr="00EE3355">
              <w:rPr>
                <w:b/>
                <w:sz w:val="18"/>
              </w:rPr>
              <w:t>n=51</w:t>
            </w:r>
          </w:p>
        </w:tc>
        <w:tc>
          <w:tcPr>
            <w:tcW w:w="1660" w:type="dxa"/>
            <w:tcBorders>
              <w:top w:val="single" w:sz="4" w:space="0" w:color="000000"/>
              <w:bottom w:val="single" w:sz="4" w:space="0" w:color="auto"/>
            </w:tcBorders>
          </w:tcPr>
          <w:p w14:paraId="40DA3778" w14:textId="2D828152" w:rsidR="00222DE0" w:rsidRPr="00EE3355" w:rsidRDefault="00E84462" w:rsidP="00EA1CDF">
            <w:pPr>
              <w:pStyle w:val="TableParagraph"/>
              <w:widowControl/>
              <w:jc w:val="center"/>
              <w:rPr>
                <w:b/>
                <w:sz w:val="18"/>
              </w:rPr>
            </w:pPr>
            <w:r w:rsidRPr="00B93217">
              <w:rPr>
                <w:b/>
                <w:sz w:val="18"/>
              </w:rPr>
              <w:t>Tocilizumab</w:t>
            </w:r>
            <w:r w:rsidR="0098273B" w:rsidRPr="00EE3355">
              <w:rPr>
                <w:b/>
                <w:sz w:val="18"/>
              </w:rPr>
              <w:t xml:space="preserve"> 162mg</w:t>
            </w:r>
            <w:r w:rsidR="00CC5D43" w:rsidRPr="00EE3355">
              <w:rPr>
                <w:b/>
                <w:sz w:val="18"/>
              </w:rPr>
              <w:t xml:space="preserve"> </w:t>
            </w:r>
            <w:r w:rsidR="0098273B" w:rsidRPr="00EE3355">
              <w:rPr>
                <w:b/>
                <w:sz w:val="18"/>
              </w:rPr>
              <w:t>s.c. 1 x týdně + 26 týdnů postupně</w:t>
            </w:r>
            <w:r w:rsidR="00CC5D43" w:rsidRPr="00EE3355">
              <w:rPr>
                <w:b/>
                <w:sz w:val="18"/>
              </w:rPr>
              <w:t xml:space="preserve"> </w:t>
            </w:r>
            <w:r w:rsidR="0098273B" w:rsidRPr="00EE3355">
              <w:rPr>
                <w:b/>
                <w:sz w:val="18"/>
              </w:rPr>
              <w:t>vysazovaný prednison</w:t>
            </w:r>
            <w:r w:rsidR="00943216" w:rsidRPr="00EE3355">
              <w:rPr>
                <w:b/>
                <w:sz w:val="18"/>
              </w:rPr>
              <w:t xml:space="preserve"> </w:t>
            </w:r>
            <w:r w:rsidR="0098273B" w:rsidRPr="00EE3355">
              <w:rPr>
                <w:b/>
                <w:sz w:val="18"/>
              </w:rPr>
              <w:t>n=100</w:t>
            </w:r>
          </w:p>
        </w:tc>
        <w:tc>
          <w:tcPr>
            <w:tcW w:w="1670" w:type="dxa"/>
            <w:tcBorders>
              <w:top w:val="single" w:sz="4" w:space="0" w:color="000000"/>
              <w:bottom w:val="single" w:sz="4" w:space="0" w:color="auto"/>
            </w:tcBorders>
          </w:tcPr>
          <w:p w14:paraId="0E8EC44C" w14:textId="02A7F0F9" w:rsidR="00222DE0" w:rsidRPr="00EE3355" w:rsidRDefault="00E84462" w:rsidP="00EA1CDF">
            <w:pPr>
              <w:pStyle w:val="TableParagraph"/>
              <w:widowControl/>
              <w:jc w:val="center"/>
              <w:rPr>
                <w:b/>
                <w:sz w:val="18"/>
              </w:rPr>
            </w:pPr>
            <w:r w:rsidRPr="00793EA8">
              <w:rPr>
                <w:b/>
                <w:sz w:val="18"/>
              </w:rPr>
              <w:t>Tocilizumab</w:t>
            </w:r>
            <w:r w:rsidR="0098273B" w:rsidRPr="00EE3355">
              <w:rPr>
                <w:b/>
                <w:sz w:val="18"/>
              </w:rPr>
              <w:t xml:space="preserve"> 162 mg</w:t>
            </w:r>
            <w:r w:rsidR="00CC5D43" w:rsidRPr="00EE3355">
              <w:rPr>
                <w:b/>
                <w:sz w:val="18"/>
              </w:rPr>
              <w:t xml:space="preserve"> </w:t>
            </w:r>
            <w:r w:rsidR="0098273B" w:rsidRPr="00EE3355">
              <w:rPr>
                <w:b/>
                <w:sz w:val="18"/>
              </w:rPr>
              <w:t>s.c. každé 2 týdny +</w:t>
            </w:r>
            <w:r w:rsidR="00CC5D43" w:rsidRPr="00EE3355">
              <w:rPr>
                <w:b/>
                <w:sz w:val="18"/>
              </w:rPr>
              <w:t xml:space="preserve"> </w:t>
            </w:r>
            <w:r w:rsidR="0098273B" w:rsidRPr="00EE3355">
              <w:rPr>
                <w:b/>
                <w:sz w:val="18"/>
              </w:rPr>
              <w:t>26 týdnů postupně vysazovaný prednison</w:t>
            </w:r>
            <w:r w:rsidR="00943216" w:rsidRPr="00EE3355">
              <w:rPr>
                <w:b/>
                <w:sz w:val="18"/>
              </w:rPr>
              <w:t xml:space="preserve"> </w:t>
            </w:r>
            <w:r w:rsidR="0098273B" w:rsidRPr="00EE3355">
              <w:rPr>
                <w:b/>
                <w:sz w:val="18"/>
              </w:rPr>
              <w:t>n=49</w:t>
            </w:r>
          </w:p>
        </w:tc>
      </w:tr>
      <w:tr w:rsidR="00222DE0" w:rsidRPr="00EE3355" w14:paraId="1C8E19F9" w14:textId="77777777" w:rsidTr="00CE49B3">
        <w:trPr>
          <w:cantSplit/>
          <w:trHeight w:val="259"/>
        </w:trPr>
        <w:tc>
          <w:tcPr>
            <w:tcW w:w="1701" w:type="dxa"/>
            <w:tcBorders>
              <w:top w:val="single" w:sz="4" w:space="0" w:color="auto"/>
            </w:tcBorders>
          </w:tcPr>
          <w:p w14:paraId="191A24BE" w14:textId="77777777" w:rsidR="00222DE0" w:rsidRPr="00EE3355" w:rsidRDefault="0098273B" w:rsidP="00EA1CDF">
            <w:pPr>
              <w:pStyle w:val="TableParagraph"/>
              <w:widowControl/>
              <w:rPr>
                <w:sz w:val="18"/>
              </w:rPr>
            </w:pPr>
            <w:r w:rsidRPr="00EE3355">
              <w:rPr>
                <w:sz w:val="18"/>
              </w:rPr>
              <w:t>Délka trvání (dny)</w:t>
            </w:r>
          </w:p>
        </w:tc>
        <w:tc>
          <w:tcPr>
            <w:tcW w:w="2408" w:type="dxa"/>
            <w:tcBorders>
              <w:top w:val="single" w:sz="4" w:space="0" w:color="auto"/>
            </w:tcBorders>
          </w:tcPr>
          <w:p w14:paraId="1B0044EC" w14:textId="77777777" w:rsidR="00222DE0" w:rsidRPr="00EE3355" w:rsidRDefault="00222DE0" w:rsidP="00EA1CDF">
            <w:pPr>
              <w:pStyle w:val="TableParagraph"/>
              <w:widowControl/>
              <w:rPr>
                <w:sz w:val="20"/>
              </w:rPr>
            </w:pPr>
          </w:p>
        </w:tc>
        <w:tc>
          <w:tcPr>
            <w:tcW w:w="1588" w:type="dxa"/>
            <w:tcBorders>
              <w:top w:val="single" w:sz="4" w:space="0" w:color="auto"/>
            </w:tcBorders>
          </w:tcPr>
          <w:p w14:paraId="7460D88A" w14:textId="77777777" w:rsidR="00222DE0" w:rsidRPr="00EE3355" w:rsidRDefault="00222DE0" w:rsidP="00EA1CDF">
            <w:pPr>
              <w:pStyle w:val="TableParagraph"/>
              <w:widowControl/>
              <w:rPr>
                <w:sz w:val="20"/>
              </w:rPr>
            </w:pPr>
          </w:p>
        </w:tc>
        <w:tc>
          <w:tcPr>
            <w:tcW w:w="1660" w:type="dxa"/>
            <w:tcBorders>
              <w:top w:val="single" w:sz="4" w:space="0" w:color="auto"/>
            </w:tcBorders>
          </w:tcPr>
          <w:p w14:paraId="426018EC" w14:textId="77777777" w:rsidR="00222DE0" w:rsidRPr="00EE3355" w:rsidRDefault="00222DE0" w:rsidP="00EA1CDF">
            <w:pPr>
              <w:pStyle w:val="TableParagraph"/>
              <w:widowControl/>
              <w:rPr>
                <w:sz w:val="20"/>
              </w:rPr>
            </w:pPr>
          </w:p>
        </w:tc>
        <w:tc>
          <w:tcPr>
            <w:tcW w:w="1670" w:type="dxa"/>
            <w:tcBorders>
              <w:top w:val="single" w:sz="4" w:space="0" w:color="auto"/>
            </w:tcBorders>
          </w:tcPr>
          <w:p w14:paraId="7BA8FA0F" w14:textId="77777777" w:rsidR="00222DE0" w:rsidRPr="00EE3355" w:rsidRDefault="00222DE0" w:rsidP="00EA1CDF">
            <w:pPr>
              <w:pStyle w:val="TableParagraph"/>
              <w:widowControl/>
              <w:rPr>
                <w:sz w:val="20"/>
              </w:rPr>
            </w:pPr>
          </w:p>
        </w:tc>
      </w:tr>
      <w:tr w:rsidR="00222DE0" w:rsidRPr="00EE3355" w14:paraId="12994884" w14:textId="77777777" w:rsidTr="00CE49B3">
        <w:trPr>
          <w:cantSplit/>
          <w:trHeight w:val="236"/>
        </w:trPr>
        <w:tc>
          <w:tcPr>
            <w:tcW w:w="1701" w:type="dxa"/>
          </w:tcPr>
          <w:p w14:paraId="12871723" w14:textId="77777777" w:rsidR="00222DE0" w:rsidRPr="00EE3355" w:rsidRDefault="0098273B" w:rsidP="00CE49B3">
            <w:pPr>
              <w:pStyle w:val="TableParagraph"/>
              <w:widowControl/>
              <w:ind w:left="567"/>
              <w:rPr>
                <w:sz w:val="18"/>
              </w:rPr>
            </w:pPr>
            <w:r w:rsidRPr="00EE3355">
              <w:rPr>
                <w:sz w:val="18"/>
              </w:rPr>
              <w:t>Průměr (SD)</w:t>
            </w:r>
          </w:p>
        </w:tc>
        <w:tc>
          <w:tcPr>
            <w:tcW w:w="2408" w:type="dxa"/>
          </w:tcPr>
          <w:p w14:paraId="638F5D99" w14:textId="77777777" w:rsidR="00222DE0" w:rsidRPr="00EE3355" w:rsidRDefault="0098273B" w:rsidP="00EA1CDF">
            <w:pPr>
              <w:pStyle w:val="TableParagraph"/>
              <w:widowControl/>
              <w:jc w:val="center"/>
              <w:rPr>
                <w:sz w:val="18"/>
              </w:rPr>
            </w:pPr>
            <w:r w:rsidRPr="00EE3355">
              <w:rPr>
                <w:sz w:val="18"/>
              </w:rPr>
              <w:t>35,7 (11,5)</w:t>
            </w:r>
          </w:p>
        </w:tc>
        <w:tc>
          <w:tcPr>
            <w:tcW w:w="1588" w:type="dxa"/>
          </w:tcPr>
          <w:p w14:paraId="0E06A627" w14:textId="77777777" w:rsidR="00222DE0" w:rsidRPr="00EE3355" w:rsidRDefault="0098273B" w:rsidP="00EA1CDF">
            <w:pPr>
              <w:pStyle w:val="TableParagraph"/>
              <w:widowControl/>
              <w:jc w:val="center"/>
              <w:rPr>
                <w:sz w:val="18"/>
              </w:rPr>
            </w:pPr>
            <w:r w:rsidRPr="00EE3355">
              <w:rPr>
                <w:sz w:val="18"/>
              </w:rPr>
              <w:t>36,3 (12,5)</w:t>
            </w:r>
          </w:p>
        </w:tc>
        <w:tc>
          <w:tcPr>
            <w:tcW w:w="1660" w:type="dxa"/>
          </w:tcPr>
          <w:p w14:paraId="3020EB67" w14:textId="77777777" w:rsidR="00222DE0" w:rsidRPr="00EE3355" w:rsidRDefault="0098273B" w:rsidP="00EA1CDF">
            <w:pPr>
              <w:pStyle w:val="TableParagraph"/>
              <w:widowControl/>
              <w:jc w:val="center"/>
              <w:rPr>
                <w:sz w:val="18"/>
              </w:rPr>
            </w:pPr>
            <w:r w:rsidRPr="00EE3355">
              <w:rPr>
                <w:sz w:val="18"/>
              </w:rPr>
              <w:t>35,6 (13,2)</w:t>
            </w:r>
          </w:p>
        </w:tc>
        <w:tc>
          <w:tcPr>
            <w:tcW w:w="1670" w:type="dxa"/>
          </w:tcPr>
          <w:p w14:paraId="79F3A1F6" w14:textId="77777777" w:rsidR="00222DE0" w:rsidRPr="00EE3355" w:rsidRDefault="0098273B" w:rsidP="00EA1CDF">
            <w:pPr>
              <w:pStyle w:val="TableParagraph"/>
              <w:widowControl/>
              <w:jc w:val="center"/>
              <w:rPr>
                <w:sz w:val="18"/>
              </w:rPr>
            </w:pPr>
            <w:r w:rsidRPr="00EE3355">
              <w:rPr>
                <w:sz w:val="18"/>
              </w:rPr>
              <w:t>37,4 (14,4)</w:t>
            </w:r>
          </w:p>
        </w:tc>
      </w:tr>
      <w:tr w:rsidR="00222DE0" w:rsidRPr="00EE3355" w14:paraId="2E812118" w14:textId="77777777" w:rsidTr="00CE49B3">
        <w:trPr>
          <w:cantSplit/>
          <w:trHeight w:val="197"/>
        </w:trPr>
        <w:tc>
          <w:tcPr>
            <w:tcW w:w="1701" w:type="dxa"/>
          </w:tcPr>
          <w:p w14:paraId="1D7FA408" w14:textId="77777777" w:rsidR="00222DE0" w:rsidRPr="00EE3355" w:rsidRDefault="0098273B" w:rsidP="00CE49B3">
            <w:pPr>
              <w:pStyle w:val="TableParagraph"/>
              <w:widowControl/>
              <w:ind w:left="567"/>
              <w:rPr>
                <w:sz w:val="18"/>
              </w:rPr>
            </w:pPr>
            <w:r w:rsidRPr="00EE3355">
              <w:rPr>
                <w:sz w:val="18"/>
              </w:rPr>
              <w:t>Medián</w:t>
            </w:r>
          </w:p>
        </w:tc>
        <w:tc>
          <w:tcPr>
            <w:tcW w:w="2408" w:type="dxa"/>
          </w:tcPr>
          <w:p w14:paraId="44C48399" w14:textId="77777777" w:rsidR="00222DE0" w:rsidRPr="00EE3355" w:rsidRDefault="0098273B" w:rsidP="00EA1CDF">
            <w:pPr>
              <w:pStyle w:val="TableParagraph"/>
              <w:widowControl/>
              <w:jc w:val="center"/>
              <w:rPr>
                <w:sz w:val="18"/>
              </w:rPr>
            </w:pPr>
            <w:r w:rsidRPr="00EE3355">
              <w:rPr>
                <w:sz w:val="18"/>
              </w:rPr>
              <w:t>42,0</w:t>
            </w:r>
          </w:p>
        </w:tc>
        <w:tc>
          <w:tcPr>
            <w:tcW w:w="1588" w:type="dxa"/>
          </w:tcPr>
          <w:p w14:paraId="41F9635E" w14:textId="77777777" w:rsidR="00222DE0" w:rsidRPr="00EE3355" w:rsidRDefault="0098273B" w:rsidP="00EA1CDF">
            <w:pPr>
              <w:pStyle w:val="TableParagraph"/>
              <w:widowControl/>
              <w:jc w:val="center"/>
              <w:rPr>
                <w:sz w:val="18"/>
              </w:rPr>
            </w:pPr>
            <w:r w:rsidRPr="00EE3355">
              <w:rPr>
                <w:sz w:val="18"/>
              </w:rPr>
              <w:t>41,0</w:t>
            </w:r>
          </w:p>
        </w:tc>
        <w:tc>
          <w:tcPr>
            <w:tcW w:w="1660" w:type="dxa"/>
          </w:tcPr>
          <w:p w14:paraId="1765DE60" w14:textId="77777777" w:rsidR="00222DE0" w:rsidRPr="00EE3355" w:rsidRDefault="0098273B" w:rsidP="00EA1CDF">
            <w:pPr>
              <w:pStyle w:val="TableParagraph"/>
              <w:widowControl/>
              <w:jc w:val="center"/>
              <w:rPr>
                <w:sz w:val="18"/>
              </w:rPr>
            </w:pPr>
            <w:r w:rsidRPr="00EE3355">
              <w:rPr>
                <w:sz w:val="18"/>
              </w:rPr>
              <w:t>41,0</w:t>
            </w:r>
          </w:p>
        </w:tc>
        <w:tc>
          <w:tcPr>
            <w:tcW w:w="1670" w:type="dxa"/>
          </w:tcPr>
          <w:p w14:paraId="3A10B875" w14:textId="77777777" w:rsidR="00222DE0" w:rsidRPr="00EE3355" w:rsidRDefault="0098273B" w:rsidP="00EA1CDF">
            <w:pPr>
              <w:pStyle w:val="TableParagraph"/>
              <w:widowControl/>
              <w:jc w:val="center"/>
              <w:rPr>
                <w:sz w:val="18"/>
              </w:rPr>
            </w:pPr>
            <w:r w:rsidRPr="00EE3355">
              <w:rPr>
                <w:sz w:val="18"/>
              </w:rPr>
              <w:t>42,0</w:t>
            </w:r>
          </w:p>
        </w:tc>
      </w:tr>
      <w:tr w:rsidR="00222DE0" w:rsidRPr="00EE3355" w14:paraId="1F4046CA" w14:textId="77777777" w:rsidTr="00CE49B3">
        <w:trPr>
          <w:cantSplit/>
          <w:trHeight w:val="216"/>
        </w:trPr>
        <w:tc>
          <w:tcPr>
            <w:tcW w:w="1701" w:type="dxa"/>
          </w:tcPr>
          <w:p w14:paraId="2ADF5F3A" w14:textId="77777777" w:rsidR="00222DE0" w:rsidRPr="00EE3355" w:rsidRDefault="0098273B" w:rsidP="00CE49B3">
            <w:pPr>
              <w:pStyle w:val="TableParagraph"/>
              <w:widowControl/>
              <w:ind w:left="567"/>
              <w:rPr>
                <w:sz w:val="18"/>
              </w:rPr>
            </w:pPr>
            <w:r w:rsidRPr="00EE3355">
              <w:rPr>
                <w:sz w:val="18"/>
              </w:rPr>
              <w:t>Min - Max</w:t>
            </w:r>
          </w:p>
        </w:tc>
        <w:tc>
          <w:tcPr>
            <w:tcW w:w="2408" w:type="dxa"/>
          </w:tcPr>
          <w:p w14:paraId="5654EED0" w14:textId="77777777" w:rsidR="00222DE0" w:rsidRPr="00EE3355" w:rsidRDefault="0098273B" w:rsidP="00EA1CDF">
            <w:pPr>
              <w:pStyle w:val="TableParagraph"/>
              <w:widowControl/>
              <w:jc w:val="center"/>
              <w:rPr>
                <w:sz w:val="18"/>
              </w:rPr>
            </w:pPr>
            <w:r w:rsidRPr="00EE3355">
              <w:rPr>
                <w:sz w:val="18"/>
              </w:rPr>
              <w:t>6 - 63</w:t>
            </w:r>
          </w:p>
        </w:tc>
        <w:tc>
          <w:tcPr>
            <w:tcW w:w="1588" w:type="dxa"/>
          </w:tcPr>
          <w:p w14:paraId="135A8AFD" w14:textId="77777777" w:rsidR="00222DE0" w:rsidRPr="00EE3355" w:rsidRDefault="0098273B" w:rsidP="00EA1CDF">
            <w:pPr>
              <w:pStyle w:val="TableParagraph"/>
              <w:widowControl/>
              <w:jc w:val="center"/>
              <w:rPr>
                <w:sz w:val="18"/>
              </w:rPr>
            </w:pPr>
            <w:r w:rsidRPr="00EE3355">
              <w:rPr>
                <w:sz w:val="18"/>
              </w:rPr>
              <w:t>12 – 82</w:t>
            </w:r>
          </w:p>
        </w:tc>
        <w:tc>
          <w:tcPr>
            <w:tcW w:w="1660" w:type="dxa"/>
          </w:tcPr>
          <w:p w14:paraId="1392D531" w14:textId="77777777" w:rsidR="00222DE0" w:rsidRPr="00EE3355" w:rsidRDefault="0098273B" w:rsidP="00EA1CDF">
            <w:pPr>
              <w:pStyle w:val="TableParagraph"/>
              <w:widowControl/>
              <w:jc w:val="center"/>
              <w:rPr>
                <w:sz w:val="18"/>
              </w:rPr>
            </w:pPr>
            <w:r w:rsidRPr="00EE3355">
              <w:rPr>
                <w:sz w:val="18"/>
              </w:rPr>
              <w:t>1 - 87</w:t>
            </w:r>
          </w:p>
        </w:tc>
        <w:tc>
          <w:tcPr>
            <w:tcW w:w="1670" w:type="dxa"/>
          </w:tcPr>
          <w:p w14:paraId="03098502" w14:textId="77777777" w:rsidR="00222DE0" w:rsidRPr="00EE3355" w:rsidRDefault="0098273B" w:rsidP="00EA1CDF">
            <w:pPr>
              <w:pStyle w:val="TableParagraph"/>
              <w:widowControl/>
              <w:jc w:val="center"/>
              <w:rPr>
                <w:sz w:val="18"/>
              </w:rPr>
            </w:pPr>
            <w:r w:rsidRPr="00EE3355">
              <w:rPr>
                <w:sz w:val="18"/>
              </w:rPr>
              <w:t>9 - 87</w:t>
            </w:r>
          </w:p>
        </w:tc>
      </w:tr>
    </w:tbl>
    <w:p w14:paraId="7FE87B8A" w14:textId="77777777" w:rsidR="00CC5D43" w:rsidRPr="00EE3355" w:rsidRDefault="00CC5D43" w:rsidP="00EA1CDF">
      <w:pPr>
        <w:pStyle w:val="a3"/>
        <w:widowControl/>
        <w:ind w:left="0"/>
      </w:pPr>
    </w:p>
    <w:p w14:paraId="14D84AE8" w14:textId="7FD42D30" w:rsidR="00222DE0" w:rsidRDefault="0098273B" w:rsidP="00EA1CDF">
      <w:pPr>
        <w:pStyle w:val="a3"/>
        <w:widowControl/>
        <w:ind w:left="0"/>
      </w:pPr>
      <w:r w:rsidRPr="00EE3355">
        <w:t xml:space="preserve">Primární cílový parametr účinnosti hodnocený na základě zastoupení pacientů, u kterých bylo bez steroidů dosaženo trvalé remise v týdnu 52 na </w:t>
      </w:r>
      <w:r w:rsidR="00E84462" w:rsidRPr="001879E9">
        <w:t>tocilizumab</w:t>
      </w:r>
      <w:r w:rsidR="00E84462">
        <w:t xml:space="preserve">u </w:t>
      </w:r>
      <w:r w:rsidRPr="00EE3355">
        <w:t>plus 26 týdnů postupně vysazovaném prednisonu ve srovnání s placebem plus 26 týdnů postupně vysazovaném prednisonem, byl dosažen (tabulka 4).</w:t>
      </w:r>
    </w:p>
    <w:p w14:paraId="48BE5DCE" w14:textId="77777777" w:rsidR="00D7325E" w:rsidRPr="00EE3355" w:rsidRDefault="00D7325E" w:rsidP="00EA1CDF">
      <w:pPr>
        <w:pStyle w:val="a3"/>
        <w:widowControl/>
        <w:ind w:left="0"/>
      </w:pPr>
    </w:p>
    <w:p w14:paraId="4A21722A" w14:textId="77777777" w:rsidR="00222DE0" w:rsidRDefault="0098273B" w:rsidP="00EA1CDF">
      <w:pPr>
        <w:pStyle w:val="a3"/>
        <w:widowControl/>
        <w:ind w:left="0"/>
      </w:pPr>
      <w:r w:rsidRPr="00EE3355">
        <w:t>Hlavní sekundární cílový parametr účinnosti, který také vycházel ze zastoupení pacientů, u kterých bylo dosaženo trvalé remise v týdnu 52 na tocilizumabu plus 26 týdnů postupně vysazovaném prednisonu ve srovnání s placebem plus 52 týdnů postupně vysazovaném prednisonem, byl také dosažen (tabulka 4).</w:t>
      </w:r>
    </w:p>
    <w:p w14:paraId="0025964B" w14:textId="77777777" w:rsidR="00D7325E" w:rsidRPr="00EE3355" w:rsidRDefault="00D7325E" w:rsidP="00EA1CDF">
      <w:pPr>
        <w:pStyle w:val="a3"/>
        <w:widowControl/>
        <w:ind w:left="0"/>
      </w:pPr>
    </w:p>
    <w:p w14:paraId="3D037757" w14:textId="0358A373" w:rsidR="00CE49B3" w:rsidRDefault="0098273B" w:rsidP="00EA1CDF">
      <w:pPr>
        <w:pStyle w:val="a3"/>
        <w:widowControl/>
        <w:ind w:left="0"/>
        <w:jc w:val="both"/>
      </w:pPr>
      <w:r w:rsidRPr="00EE3355">
        <w:lastRenderedPageBreak/>
        <w:t xml:space="preserve">Byl zjištěn statisticky významný superiorní účinek </w:t>
      </w:r>
      <w:r w:rsidR="00E84462" w:rsidRPr="001879E9">
        <w:t>tocilizumab</w:t>
      </w:r>
      <w:r w:rsidR="00E84462">
        <w:t xml:space="preserve">u </w:t>
      </w:r>
      <w:r w:rsidRPr="00EE3355">
        <w:t xml:space="preserve">ve srovnání s placebem z hlediska dosažení trvalé remise bez steroidů v týdnu 52 na </w:t>
      </w:r>
      <w:r w:rsidR="00E84462" w:rsidRPr="001879E9">
        <w:t>tocilizumab</w:t>
      </w:r>
      <w:r w:rsidR="00E84462">
        <w:t xml:space="preserve">u </w:t>
      </w:r>
      <w:r w:rsidRPr="00EE3355">
        <w:t>plus 26 týdnů postupně vysazovaném prednisonu ve srovnání s placebem plus 26 týdnů postupně vysazovaném prednisonem.</w:t>
      </w:r>
      <w:r w:rsidR="00D7325E">
        <w:t xml:space="preserve"> </w:t>
      </w:r>
    </w:p>
    <w:p w14:paraId="49061202" w14:textId="77777777" w:rsidR="00CE49B3" w:rsidRDefault="00CE49B3" w:rsidP="00EA1CDF">
      <w:pPr>
        <w:pStyle w:val="a3"/>
        <w:widowControl/>
        <w:ind w:left="0"/>
        <w:jc w:val="both"/>
      </w:pPr>
    </w:p>
    <w:p w14:paraId="08EDB0F2" w14:textId="77777777" w:rsidR="00222DE0" w:rsidRPr="00EE3355" w:rsidRDefault="0098273B" w:rsidP="00EA1CDF">
      <w:pPr>
        <w:pStyle w:val="a3"/>
        <w:widowControl/>
        <w:ind w:left="0"/>
        <w:jc w:val="both"/>
      </w:pPr>
      <w:r w:rsidRPr="00EE3355">
        <w:t>Zastoupení pacientů, u kterých byla dosažena trvalá remise v týdnu 52, je uvedeno v tabulce 4.</w:t>
      </w:r>
    </w:p>
    <w:p w14:paraId="21A9DBB4" w14:textId="77777777" w:rsidR="00D7325E" w:rsidRDefault="00D7325E" w:rsidP="00EA1CDF">
      <w:pPr>
        <w:widowControl/>
        <w:rPr>
          <w:i/>
        </w:rPr>
      </w:pPr>
    </w:p>
    <w:p w14:paraId="0C5E4D2E" w14:textId="77777777" w:rsidR="00222DE0" w:rsidRPr="00EE3355" w:rsidRDefault="0098273B" w:rsidP="00EA1CDF">
      <w:pPr>
        <w:widowControl/>
        <w:rPr>
          <w:i/>
        </w:rPr>
      </w:pPr>
      <w:r w:rsidRPr="00EE3355">
        <w:rPr>
          <w:i/>
        </w:rPr>
        <w:t>Sekundární cílové parametry</w:t>
      </w:r>
    </w:p>
    <w:p w14:paraId="18C38773" w14:textId="36AB4F02" w:rsidR="00222DE0" w:rsidRPr="00EE3355" w:rsidRDefault="0098273B" w:rsidP="00EA1CDF">
      <w:pPr>
        <w:pStyle w:val="a3"/>
        <w:widowControl/>
        <w:ind w:left="0"/>
      </w:pPr>
      <w:r w:rsidRPr="00EE3355">
        <w:t>Hodnocení doby do prvního relapsu GCA prokázalo významně nižší riziko relapsu ve skupině</w:t>
      </w:r>
      <w:r w:rsidR="00D7325E">
        <w:t xml:space="preserve"> </w:t>
      </w:r>
      <w:r w:rsidRPr="00EE3355">
        <w:t>s</w:t>
      </w:r>
      <w:r w:rsidR="00E84462">
        <w:t> </w:t>
      </w:r>
      <w:r w:rsidR="00E84462" w:rsidRPr="001879E9">
        <w:t>tocilizumab</w:t>
      </w:r>
      <w:r w:rsidR="00E84462">
        <w:t xml:space="preserve">em </w:t>
      </w:r>
      <w:r w:rsidRPr="00EE3355">
        <w:t>podávaným subkutánně jednou týdně ve srovnání s placebem plus 26 týdnů s postupně vysazovaným prednisonem a placebem plus 52 týdnů s postupně vysazovaným prednisonem a ve skupině s</w:t>
      </w:r>
      <w:r w:rsidR="00E84462">
        <w:t> </w:t>
      </w:r>
      <w:r w:rsidR="00E84462" w:rsidRPr="001879E9">
        <w:t>tocilizumab</w:t>
      </w:r>
      <w:r w:rsidR="00E84462">
        <w:t xml:space="preserve">em </w:t>
      </w:r>
      <w:r w:rsidRPr="00EE3355">
        <w:t>podávaným subkutánně každé dva týdny ve srovnání</w:t>
      </w:r>
      <w:r w:rsidR="00D7325E">
        <w:t xml:space="preserve"> </w:t>
      </w:r>
      <w:r w:rsidRPr="00EE3355">
        <w:t xml:space="preserve">s placebem plus 26 týdnů s postupně vysazovaným prednisonem (při srovnání s hladinou významnosti 0,01). </w:t>
      </w:r>
      <w:r w:rsidR="00E84462">
        <w:t>T</w:t>
      </w:r>
      <w:r w:rsidR="00E84462" w:rsidRPr="001879E9">
        <w:t>ocilizumab</w:t>
      </w:r>
      <w:r w:rsidR="00E84462">
        <w:t xml:space="preserve"> </w:t>
      </w:r>
      <w:r w:rsidRPr="00EE3355">
        <w:t>podávaný subkutánně v dávce jednou týdně dále vedl ke klinicky smysluplnému snížení rizika relapsu ve srovnání s placebem plus 26 týdnů s postupně vysazovaným prednisonem u pacientů, kteří byli do studie zařazeni s relabující GCA, i u pacientů s novou GCA (tabulka 4).</w:t>
      </w:r>
    </w:p>
    <w:p w14:paraId="203000ED" w14:textId="77777777" w:rsidR="00222DE0" w:rsidRPr="00EE3355" w:rsidRDefault="00222DE0" w:rsidP="00EA1CDF">
      <w:pPr>
        <w:widowControl/>
      </w:pPr>
    </w:p>
    <w:p w14:paraId="6CA035C6" w14:textId="77777777" w:rsidR="00222DE0" w:rsidRPr="00EE3355" w:rsidRDefault="0098273B" w:rsidP="00EA1CDF">
      <w:pPr>
        <w:keepNext/>
        <w:widowControl/>
        <w:rPr>
          <w:i/>
        </w:rPr>
      </w:pPr>
      <w:r w:rsidRPr="00EE3355">
        <w:rPr>
          <w:i/>
        </w:rPr>
        <w:t>Kumulativní dávka glukokortikoidu</w:t>
      </w:r>
    </w:p>
    <w:p w14:paraId="593BD72D" w14:textId="4591CDEC" w:rsidR="00222DE0" w:rsidRPr="00EE3355" w:rsidRDefault="0098273B" w:rsidP="00EA1CDF">
      <w:pPr>
        <w:pStyle w:val="a3"/>
        <w:widowControl/>
        <w:ind w:left="0"/>
      </w:pPr>
      <w:r w:rsidRPr="00EE3355">
        <w:t>Kumulativní dávka prednisonu v týdnu 52 byla významně nižší v obou skupinách s</w:t>
      </w:r>
      <w:r w:rsidR="00E84462">
        <w:t> </w:t>
      </w:r>
      <w:r w:rsidR="00E84462" w:rsidRPr="001879E9">
        <w:t>tocilizumab</w:t>
      </w:r>
      <w:r w:rsidR="00E84462">
        <w:t xml:space="preserve">em </w:t>
      </w:r>
      <w:r w:rsidRPr="00EE3355">
        <w:t>než v obou skupinách s placebem (tabulka 4). V samostatné analýze pacientů, kteří dostali záchranný prednison k léčbě relapsu GCA během prvních 52 týdnů, se kumulativní dávka prednisonu výrazně lišila. Medián dávek pro pacienty se záchrannou léčbou ve skupině s</w:t>
      </w:r>
      <w:r w:rsidR="00E84462">
        <w:t> </w:t>
      </w:r>
      <w:r w:rsidR="00E84462" w:rsidRPr="001879E9">
        <w:t>tocilizumab</w:t>
      </w:r>
      <w:r w:rsidR="00E84462">
        <w:t xml:space="preserve">em </w:t>
      </w:r>
      <w:r w:rsidRPr="00EE3355">
        <w:t>jednou týdně a každé dva týdny byl 3 129,75 mg, resp. 3 847 mg. Obě hodnoty byly značně nižší než ve skupině s placebem plus 26 týdnů s postupně vysazovaným prednisonem (4 023,5 mg) a</w:t>
      </w:r>
      <w:r w:rsidR="00F244A8" w:rsidRPr="00EE3355">
        <w:t xml:space="preserve"> </w:t>
      </w:r>
      <w:r w:rsidRPr="00EE3355">
        <w:t>s placebem plus 52 týdnů s postupně vysazovaným prednisonem (5 389,5 mg).</w:t>
      </w:r>
    </w:p>
    <w:p w14:paraId="67BAC910" w14:textId="77777777" w:rsidR="00F244A8" w:rsidRPr="00EE3355" w:rsidRDefault="00F244A8" w:rsidP="00EA1CDF">
      <w:pPr>
        <w:pStyle w:val="a3"/>
        <w:widowControl/>
        <w:ind w:left="0"/>
      </w:pPr>
    </w:p>
    <w:p w14:paraId="03C0645A" w14:textId="77777777" w:rsidR="00222DE0" w:rsidRPr="00EE3355" w:rsidRDefault="0098273B" w:rsidP="00EA1CDF">
      <w:pPr>
        <w:keepNext/>
        <w:widowControl/>
        <w:rPr>
          <w:i/>
        </w:rPr>
      </w:pPr>
      <w:r w:rsidRPr="00EE3355">
        <w:rPr>
          <w:i/>
        </w:rPr>
        <w:t>Tabulka 4. Výsledky účinnosti ze studie WA28119</w:t>
      </w:r>
    </w:p>
    <w:p w14:paraId="06D675A4" w14:textId="77777777" w:rsidR="00F244A8" w:rsidRPr="00EE3355" w:rsidRDefault="00F244A8" w:rsidP="00EA1CDF">
      <w:pPr>
        <w:keepNext/>
        <w:widowControl/>
        <w:rPr>
          <w:i/>
        </w:rPr>
      </w:pPr>
    </w:p>
    <w:tbl>
      <w:tblPr>
        <w:tblW w:w="9225"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4"/>
        <w:gridCol w:w="1210"/>
        <w:gridCol w:w="134"/>
        <w:gridCol w:w="1160"/>
        <w:gridCol w:w="99"/>
        <w:gridCol w:w="1330"/>
        <w:gridCol w:w="14"/>
        <w:gridCol w:w="477"/>
        <w:gridCol w:w="993"/>
        <w:gridCol w:w="14"/>
      </w:tblGrid>
      <w:tr w:rsidR="00222DE0" w:rsidRPr="00EE3355" w14:paraId="41C3A515" w14:textId="77777777" w:rsidTr="009445C1">
        <w:trPr>
          <w:cantSplit/>
          <w:trHeight w:val="1062"/>
          <w:tblHeader/>
        </w:trPr>
        <w:tc>
          <w:tcPr>
            <w:tcW w:w="3794" w:type="dxa"/>
          </w:tcPr>
          <w:p w14:paraId="6C6BB6BE" w14:textId="77777777" w:rsidR="00222DE0" w:rsidRPr="00EE3355" w:rsidRDefault="00222DE0" w:rsidP="00EA1CDF">
            <w:pPr>
              <w:pStyle w:val="TableParagraph"/>
              <w:widowControl/>
              <w:jc w:val="center"/>
              <w:rPr>
                <w:sz w:val="18"/>
              </w:rPr>
            </w:pPr>
          </w:p>
        </w:tc>
        <w:tc>
          <w:tcPr>
            <w:tcW w:w="1344" w:type="dxa"/>
            <w:gridSpan w:val="2"/>
          </w:tcPr>
          <w:p w14:paraId="7B4E90A1" w14:textId="77777777" w:rsidR="00222DE0" w:rsidRDefault="0098273B" w:rsidP="00EA1CDF">
            <w:pPr>
              <w:pStyle w:val="TableParagraph"/>
              <w:widowControl/>
              <w:jc w:val="center"/>
              <w:rPr>
                <w:b/>
                <w:sz w:val="18"/>
              </w:rPr>
            </w:pPr>
            <w:r w:rsidRPr="00EE3355">
              <w:rPr>
                <w:b/>
                <w:sz w:val="18"/>
              </w:rPr>
              <w:t>Placebo + 26 týdnů postupně vysazovaný prednison</w:t>
            </w:r>
          </w:p>
          <w:p w14:paraId="100F6933" w14:textId="77777777" w:rsidR="00910585" w:rsidRPr="00EE3355" w:rsidRDefault="00910585" w:rsidP="00EA1CDF">
            <w:pPr>
              <w:pStyle w:val="TableParagraph"/>
              <w:widowControl/>
              <w:jc w:val="center"/>
              <w:rPr>
                <w:i/>
                <w:sz w:val="18"/>
              </w:rPr>
            </w:pPr>
          </w:p>
          <w:p w14:paraId="3A4394FB" w14:textId="77777777" w:rsidR="00222DE0" w:rsidRPr="00EE3355" w:rsidRDefault="0098273B" w:rsidP="00EA1CDF">
            <w:pPr>
              <w:pStyle w:val="TableParagraph"/>
              <w:widowControl/>
              <w:jc w:val="center"/>
              <w:rPr>
                <w:b/>
                <w:sz w:val="18"/>
              </w:rPr>
            </w:pPr>
            <w:r w:rsidRPr="00EE3355">
              <w:rPr>
                <w:b/>
                <w:sz w:val="18"/>
              </w:rPr>
              <w:t>n = 50</w:t>
            </w:r>
          </w:p>
        </w:tc>
        <w:tc>
          <w:tcPr>
            <w:tcW w:w="1259" w:type="dxa"/>
            <w:gridSpan w:val="2"/>
          </w:tcPr>
          <w:p w14:paraId="4DB737A6" w14:textId="77777777" w:rsidR="00910585" w:rsidRDefault="0098273B" w:rsidP="00910585">
            <w:pPr>
              <w:pStyle w:val="TableParagraph"/>
              <w:widowControl/>
              <w:jc w:val="center"/>
              <w:rPr>
                <w:b/>
                <w:sz w:val="18"/>
              </w:rPr>
            </w:pPr>
            <w:r w:rsidRPr="00EE3355">
              <w:rPr>
                <w:b/>
                <w:sz w:val="18"/>
              </w:rPr>
              <w:t>Placebo + 52 týdnů postupně vysazovaný prednison</w:t>
            </w:r>
            <w:r w:rsidR="00943216" w:rsidRPr="00EE3355">
              <w:rPr>
                <w:b/>
                <w:sz w:val="18"/>
              </w:rPr>
              <w:t xml:space="preserve"> </w:t>
            </w:r>
          </w:p>
          <w:p w14:paraId="08DECCAD" w14:textId="77777777" w:rsidR="00910585" w:rsidRDefault="00910585" w:rsidP="00910585">
            <w:pPr>
              <w:pStyle w:val="TableParagraph"/>
              <w:widowControl/>
              <w:jc w:val="center"/>
              <w:rPr>
                <w:b/>
                <w:sz w:val="18"/>
              </w:rPr>
            </w:pPr>
          </w:p>
          <w:p w14:paraId="665EB581" w14:textId="77777777" w:rsidR="00222DE0" w:rsidRPr="00EE3355" w:rsidRDefault="0098273B" w:rsidP="00910585">
            <w:pPr>
              <w:pStyle w:val="TableParagraph"/>
              <w:widowControl/>
              <w:jc w:val="center"/>
              <w:rPr>
                <w:b/>
                <w:sz w:val="18"/>
              </w:rPr>
            </w:pPr>
            <w:r w:rsidRPr="00EE3355">
              <w:rPr>
                <w:b/>
                <w:sz w:val="18"/>
              </w:rPr>
              <w:t>n = 51</w:t>
            </w:r>
          </w:p>
        </w:tc>
        <w:tc>
          <w:tcPr>
            <w:tcW w:w="1344" w:type="dxa"/>
            <w:gridSpan w:val="2"/>
          </w:tcPr>
          <w:p w14:paraId="5A65F997" w14:textId="0595A1D1" w:rsidR="00222DE0" w:rsidRDefault="00E84462" w:rsidP="00EA1CDF">
            <w:pPr>
              <w:pStyle w:val="TableParagraph"/>
              <w:widowControl/>
              <w:jc w:val="center"/>
              <w:rPr>
                <w:b/>
                <w:sz w:val="18"/>
              </w:rPr>
            </w:pPr>
            <w:r w:rsidRPr="00B93217">
              <w:rPr>
                <w:b/>
                <w:sz w:val="18"/>
              </w:rPr>
              <w:t>Tocilizumab</w:t>
            </w:r>
            <w:r w:rsidR="0098273B" w:rsidRPr="00EE3355">
              <w:rPr>
                <w:b/>
                <w:sz w:val="18"/>
              </w:rPr>
              <w:t xml:space="preserve"> 162 mg</w:t>
            </w:r>
            <w:r w:rsidR="00943216" w:rsidRPr="00EE3355">
              <w:rPr>
                <w:b/>
                <w:sz w:val="18"/>
              </w:rPr>
              <w:t xml:space="preserve"> </w:t>
            </w:r>
            <w:r w:rsidR="0098273B" w:rsidRPr="00EE3355">
              <w:rPr>
                <w:b/>
                <w:sz w:val="18"/>
              </w:rPr>
              <w:t>s.c. 1 x týdně +</w:t>
            </w:r>
            <w:r w:rsidR="00943216" w:rsidRPr="00EE3355">
              <w:rPr>
                <w:b/>
                <w:sz w:val="18"/>
              </w:rPr>
              <w:t xml:space="preserve"> </w:t>
            </w:r>
            <w:r w:rsidR="0098273B" w:rsidRPr="00EE3355">
              <w:rPr>
                <w:b/>
                <w:sz w:val="18"/>
              </w:rPr>
              <w:t>26 týdnů postupně</w:t>
            </w:r>
            <w:r w:rsidR="00943216" w:rsidRPr="00EE3355">
              <w:rPr>
                <w:b/>
                <w:sz w:val="18"/>
              </w:rPr>
              <w:t xml:space="preserve"> </w:t>
            </w:r>
            <w:r w:rsidR="0098273B" w:rsidRPr="00EE3355">
              <w:rPr>
                <w:b/>
                <w:sz w:val="18"/>
              </w:rPr>
              <w:t>vysazovaný prednison</w:t>
            </w:r>
          </w:p>
          <w:p w14:paraId="15250CFF" w14:textId="77777777" w:rsidR="00910585" w:rsidRPr="00EE3355" w:rsidRDefault="00910585" w:rsidP="00EA1CDF">
            <w:pPr>
              <w:pStyle w:val="TableParagraph"/>
              <w:widowControl/>
              <w:jc w:val="center"/>
              <w:rPr>
                <w:b/>
                <w:sz w:val="18"/>
              </w:rPr>
            </w:pPr>
          </w:p>
          <w:p w14:paraId="49703EC5" w14:textId="77777777" w:rsidR="00222DE0" w:rsidRPr="00EE3355" w:rsidRDefault="0098273B" w:rsidP="00EA1CDF">
            <w:pPr>
              <w:pStyle w:val="TableParagraph"/>
              <w:widowControl/>
              <w:jc w:val="center"/>
              <w:rPr>
                <w:b/>
                <w:sz w:val="18"/>
              </w:rPr>
            </w:pPr>
            <w:r w:rsidRPr="00EE3355">
              <w:rPr>
                <w:b/>
                <w:sz w:val="18"/>
              </w:rPr>
              <w:t>n = 100</w:t>
            </w:r>
          </w:p>
        </w:tc>
        <w:tc>
          <w:tcPr>
            <w:tcW w:w="1484" w:type="dxa"/>
            <w:gridSpan w:val="3"/>
          </w:tcPr>
          <w:p w14:paraId="7224E4E1" w14:textId="586D828D" w:rsidR="00222DE0" w:rsidRDefault="00E84462" w:rsidP="00EA1CDF">
            <w:pPr>
              <w:pStyle w:val="TableParagraph"/>
              <w:widowControl/>
              <w:jc w:val="center"/>
              <w:rPr>
                <w:b/>
                <w:sz w:val="18"/>
              </w:rPr>
            </w:pPr>
            <w:r w:rsidRPr="00793EA8">
              <w:rPr>
                <w:b/>
                <w:sz w:val="18"/>
              </w:rPr>
              <w:t>Tocilizumab</w:t>
            </w:r>
            <w:r w:rsidR="0098273B" w:rsidRPr="00EE3355">
              <w:rPr>
                <w:b/>
                <w:sz w:val="18"/>
              </w:rPr>
              <w:t xml:space="preserve"> 162 mg</w:t>
            </w:r>
            <w:r w:rsidR="00943216" w:rsidRPr="00EE3355">
              <w:rPr>
                <w:b/>
                <w:sz w:val="18"/>
              </w:rPr>
              <w:t xml:space="preserve"> </w:t>
            </w:r>
            <w:r w:rsidR="0098273B" w:rsidRPr="00EE3355">
              <w:rPr>
                <w:b/>
                <w:sz w:val="18"/>
              </w:rPr>
              <w:t>s.c. každé 2 týdny + 26 týdnů postupně</w:t>
            </w:r>
            <w:r w:rsidR="00943216" w:rsidRPr="00EE3355">
              <w:rPr>
                <w:b/>
                <w:sz w:val="18"/>
              </w:rPr>
              <w:t xml:space="preserve"> </w:t>
            </w:r>
            <w:r w:rsidR="0098273B" w:rsidRPr="00EE3355">
              <w:rPr>
                <w:b/>
                <w:sz w:val="18"/>
              </w:rPr>
              <w:t>vysazovaný prednison</w:t>
            </w:r>
          </w:p>
          <w:p w14:paraId="0C6D795D" w14:textId="77777777" w:rsidR="00910585" w:rsidRPr="00EE3355" w:rsidRDefault="00910585" w:rsidP="00EA1CDF">
            <w:pPr>
              <w:pStyle w:val="TableParagraph"/>
              <w:widowControl/>
              <w:jc w:val="center"/>
              <w:rPr>
                <w:b/>
                <w:sz w:val="18"/>
              </w:rPr>
            </w:pPr>
          </w:p>
          <w:p w14:paraId="5ED58E5E" w14:textId="77777777" w:rsidR="00222DE0" w:rsidRPr="00EE3355" w:rsidRDefault="0098273B" w:rsidP="00EA1CDF">
            <w:pPr>
              <w:pStyle w:val="TableParagraph"/>
              <w:widowControl/>
              <w:jc w:val="center"/>
              <w:rPr>
                <w:b/>
                <w:sz w:val="18"/>
              </w:rPr>
            </w:pPr>
            <w:r w:rsidRPr="00EE3355">
              <w:rPr>
                <w:b/>
                <w:sz w:val="18"/>
              </w:rPr>
              <w:t>n = 49</w:t>
            </w:r>
          </w:p>
        </w:tc>
      </w:tr>
      <w:tr w:rsidR="00222DE0" w:rsidRPr="00EE3355" w14:paraId="7F2D3224" w14:textId="77777777" w:rsidTr="00CE49B3">
        <w:trPr>
          <w:cantSplit/>
          <w:trHeight w:val="342"/>
        </w:trPr>
        <w:tc>
          <w:tcPr>
            <w:tcW w:w="9225" w:type="dxa"/>
            <w:gridSpan w:val="10"/>
            <w:tcBorders>
              <w:bottom w:val="single" w:sz="4" w:space="0" w:color="000000"/>
            </w:tcBorders>
          </w:tcPr>
          <w:p w14:paraId="09A0F6EA" w14:textId="77777777" w:rsidR="00222DE0" w:rsidRPr="00EE3355" w:rsidRDefault="0098273B" w:rsidP="00EA1CDF">
            <w:pPr>
              <w:pStyle w:val="TableParagraph"/>
              <w:widowControl/>
              <w:ind w:left="54"/>
              <w:rPr>
                <w:b/>
                <w:sz w:val="18"/>
              </w:rPr>
            </w:pPr>
            <w:r w:rsidRPr="00EE3355">
              <w:rPr>
                <w:b/>
                <w:sz w:val="18"/>
              </w:rPr>
              <w:t>Primární cílový parametr</w:t>
            </w:r>
          </w:p>
        </w:tc>
      </w:tr>
      <w:tr w:rsidR="00222DE0" w:rsidRPr="00EE3355" w14:paraId="30BA9F75" w14:textId="77777777" w:rsidTr="00CE49B3">
        <w:trPr>
          <w:cantSplit/>
          <w:trHeight w:val="354"/>
        </w:trPr>
        <w:tc>
          <w:tcPr>
            <w:tcW w:w="9225" w:type="dxa"/>
            <w:gridSpan w:val="10"/>
            <w:tcBorders>
              <w:bottom w:val="nil"/>
            </w:tcBorders>
          </w:tcPr>
          <w:p w14:paraId="03E985B2" w14:textId="77777777" w:rsidR="00222DE0" w:rsidRPr="00EE3355" w:rsidRDefault="0098273B" w:rsidP="00EA1CDF">
            <w:pPr>
              <w:pStyle w:val="TableParagraph"/>
              <w:widowControl/>
              <w:ind w:left="62"/>
              <w:rPr>
                <w:sz w:val="18"/>
              </w:rPr>
            </w:pPr>
            <w:r w:rsidRPr="00EE3355">
              <w:rPr>
                <w:sz w:val="18"/>
              </w:rPr>
              <w:t>****Trvalá remise (skupiny s tocilizumabem vs. placebo + 26)</w:t>
            </w:r>
          </w:p>
        </w:tc>
      </w:tr>
      <w:tr w:rsidR="00222DE0" w:rsidRPr="00EE3355" w14:paraId="1CFF6CBF" w14:textId="77777777" w:rsidTr="00CE49B3">
        <w:trPr>
          <w:gridAfter w:val="1"/>
          <w:wAfter w:w="14" w:type="dxa"/>
          <w:cantSplit/>
          <w:trHeight w:val="268"/>
        </w:trPr>
        <w:tc>
          <w:tcPr>
            <w:tcW w:w="3794" w:type="dxa"/>
            <w:tcBorders>
              <w:top w:val="nil"/>
              <w:bottom w:val="nil"/>
              <w:right w:val="nil"/>
            </w:tcBorders>
          </w:tcPr>
          <w:p w14:paraId="02842246" w14:textId="77777777" w:rsidR="00222DE0" w:rsidRPr="00EE3355" w:rsidRDefault="0098273B" w:rsidP="00EA1CDF">
            <w:pPr>
              <w:pStyle w:val="TableParagraph"/>
              <w:widowControl/>
              <w:ind w:right="340"/>
              <w:jc w:val="right"/>
              <w:rPr>
                <w:sz w:val="18"/>
              </w:rPr>
            </w:pPr>
            <w:r w:rsidRPr="00EE3355">
              <w:rPr>
                <w:sz w:val="18"/>
              </w:rPr>
              <w:t>Pacienti s odpovědí v týdnu 52, n (%)</w:t>
            </w:r>
          </w:p>
        </w:tc>
        <w:tc>
          <w:tcPr>
            <w:tcW w:w="1344" w:type="dxa"/>
            <w:gridSpan w:val="2"/>
            <w:tcBorders>
              <w:top w:val="nil"/>
              <w:left w:val="nil"/>
              <w:bottom w:val="nil"/>
              <w:right w:val="nil"/>
            </w:tcBorders>
          </w:tcPr>
          <w:p w14:paraId="222397F2" w14:textId="77777777" w:rsidR="00222DE0" w:rsidRPr="00EE3355" w:rsidRDefault="0098273B" w:rsidP="00EA1CDF">
            <w:pPr>
              <w:pStyle w:val="TableParagraph"/>
              <w:widowControl/>
              <w:jc w:val="center"/>
              <w:rPr>
                <w:sz w:val="18"/>
              </w:rPr>
            </w:pPr>
            <w:r w:rsidRPr="00EE3355">
              <w:rPr>
                <w:sz w:val="18"/>
              </w:rPr>
              <w:t>7 (14 %)</w:t>
            </w:r>
          </w:p>
        </w:tc>
        <w:tc>
          <w:tcPr>
            <w:tcW w:w="1259" w:type="dxa"/>
            <w:gridSpan w:val="2"/>
            <w:tcBorders>
              <w:top w:val="nil"/>
              <w:left w:val="nil"/>
              <w:bottom w:val="nil"/>
              <w:right w:val="nil"/>
            </w:tcBorders>
          </w:tcPr>
          <w:p w14:paraId="4A88E174" w14:textId="77777777" w:rsidR="00222DE0" w:rsidRPr="00EE3355" w:rsidRDefault="0098273B" w:rsidP="00EA1CDF">
            <w:pPr>
              <w:pStyle w:val="TableParagraph"/>
              <w:widowControl/>
              <w:jc w:val="center"/>
              <w:rPr>
                <w:sz w:val="18"/>
              </w:rPr>
            </w:pPr>
            <w:r w:rsidRPr="00EE3355">
              <w:rPr>
                <w:sz w:val="18"/>
              </w:rPr>
              <w:t>9 (17,6 %)</w:t>
            </w:r>
          </w:p>
        </w:tc>
        <w:tc>
          <w:tcPr>
            <w:tcW w:w="1330" w:type="dxa"/>
            <w:tcBorders>
              <w:top w:val="nil"/>
              <w:left w:val="nil"/>
              <w:bottom w:val="nil"/>
              <w:right w:val="nil"/>
            </w:tcBorders>
          </w:tcPr>
          <w:p w14:paraId="003DF503" w14:textId="77777777" w:rsidR="00222DE0" w:rsidRPr="00EE3355" w:rsidRDefault="0098273B" w:rsidP="00EA1CDF">
            <w:pPr>
              <w:pStyle w:val="TableParagraph"/>
              <w:widowControl/>
              <w:jc w:val="center"/>
              <w:rPr>
                <w:sz w:val="18"/>
              </w:rPr>
            </w:pPr>
            <w:r w:rsidRPr="00EE3355">
              <w:rPr>
                <w:sz w:val="18"/>
              </w:rPr>
              <w:t>56 (56 %)</w:t>
            </w:r>
          </w:p>
        </w:tc>
        <w:tc>
          <w:tcPr>
            <w:tcW w:w="1484" w:type="dxa"/>
            <w:gridSpan w:val="3"/>
            <w:tcBorders>
              <w:top w:val="nil"/>
              <w:left w:val="nil"/>
              <w:bottom w:val="nil"/>
            </w:tcBorders>
          </w:tcPr>
          <w:p w14:paraId="63ED2DB5" w14:textId="77777777" w:rsidR="00222DE0" w:rsidRPr="00EE3355" w:rsidRDefault="0098273B" w:rsidP="00EA1CDF">
            <w:pPr>
              <w:pStyle w:val="TableParagraph"/>
              <w:widowControl/>
              <w:jc w:val="center"/>
              <w:rPr>
                <w:sz w:val="18"/>
              </w:rPr>
            </w:pPr>
            <w:r w:rsidRPr="00EE3355">
              <w:rPr>
                <w:sz w:val="18"/>
              </w:rPr>
              <w:t>26 (53,1 %)</w:t>
            </w:r>
          </w:p>
        </w:tc>
      </w:tr>
      <w:tr w:rsidR="009445C1" w:rsidRPr="00EE3355" w14:paraId="6EAE03FE" w14:textId="77777777" w:rsidTr="00CE49B3">
        <w:trPr>
          <w:gridAfter w:val="1"/>
          <w:wAfter w:w="14" w:type="dxa"/>
          <w:cantSplit/>
          <w:trHeight w:val="344"/>
        </w:trPr>
        <w:tc>
          <w:tcPr>
            <w:tcW w:w="3794" w:type="dxa"/>
            <w:tcBorders>
              <w:top w:val="nil"/>
              <w:right w:val="nil"/>
            </w:tcBorders>
          </w:tcPr>
          <w:p w14:paraId="0DFBA425" w14:textId="77777777" w:rsidR="00CE49B3" w:rsidRDefault="009445C1" w:rsidP="00CE49B3">
            <w:pPr>
              <w:pStyle w:val="TableParagraph"/>
              <w:widowControl/>
              <w:ind w:left="782"/>
              <w:rPr>
                <w:sz w:val="18"/>
              </w:rPr>
            </w:pPr>
            <w:r w:rsidRPr="00EE3355">
              <w:rPr>
                <w:sz w:val="18"/>
              </w:rPr>
              <w:t>Neupravený rozdíl v</w:t>
            </w:r>
            <w:r w:rsidR="00CE49B3">
              <w:rPr>
                <w:sz w:val="18"/>
              </w:rPr>
              <w:t> </w:t>
            </w:r>
            <w:r w:rsidRPr="00EE3355">
              <w:rPr>
                <w:sz w:val="18"/>
              </w:rPr>
              <w:t>zastoupení</w:t>
            </w:r>
            <w:r w:rsidR="00CE49B3">
              <w:rPr>
                <w:sz w:val="18"/>
              </w:rPr>
              <w:t xml:space="preserve"> </w:t>
            </w:r>
          </w:p>
          <w:p w14:paraId="09D4E13B" w14:textId="77777777" w:rsidR="009445C1" w:rsidRPr="00EE3355" w:rsidRDefault="009445C1" w:rsidP="00CE49B3">
            <w:pPr>
              <w:pStyle w:val="TableParagraph"/>
              <w:widowControl/>
              <w:ind w:left="782"/>
              <w:rPr>
                <w:sz w:val="18"/>
              </w:rPr>
            </w:pPr>
            <w:r w:rsidRPr="00EE3355">
              <w:rPr>
                <w:sz w:val="18"/>
              </w:rPr>
              <w:t>(99,5% CI)</w:t>
            </w:r>
          </w:p>
        </w:tc>
        <w:tc>
          <w:tcPr>
            <w:tcW w:w="1344" w:type="dxa"/>
            <w:gridSpan w:val="2"/>
            <w:tcBorders>
              <w:top w:val="nil"/>
              <w:left w:val="nil"/>
              <w:right w:val="nil"/>
            </w:tcBorders>
          </w:tcPr>
          <w:p w14:paraId="46D15A57" w14:textId="77777777" w:rsidR="009445C1" w:rsidRPr="00EE3355" w:rsidRDefault="009445C1" w:rsidP="00EA1CDF">
            <w:pPr>
              <w:pStyle w:val="TableParagraph"/>
              <w:widowControl/>
              <w:jc w:val="center"/>
              <w:rPr>
                <w:sz w:val="18"/>
              </w:rPr>
            </w:pPr>
            <w:r w:rsidRPr="00EE3355">
              <w:rPr>
                <w:sz w:val="18"/>
              </w:rPr>
              <w:t>N/A</w:t>
            </w:r>
          </w:p>
        </w:tc>
        <w:tc>
          <w:tcPr>
            <w:tcW w:w="1259" w:type="dxa"/>
            <w:gridSpan w:val="2"/>
            <w:tcBorders>
              <w:top w:val="nil"/>
              <w:left w:val="nil"/>
              <w:right w:val="nil"/>
            </w:tcBorders>
          </w:tcPr>
          <w:p w14:paraId="6883A780" w14:textId="77777777" w:rsidR="009445C1" w:rsidRPr="00EE3355" w:rsidRDefault="009445C1" w:rsidP="00EA1CDF">
            <w:pPr>
              <w:pStyle w:val="TableParagraph"/>
              <w:widowControl/>
              <w:jc w:val="center"/>
              <w:rPr>
                <w:sz w:val="18"/>
              </w:rPr>
            </w:pPr>
            <w:r w:rsidRPr="00EE3355">
              <w:rPr>
                <w:sz w:val="18"/>
              </w:rPr>
              <w:t>N/A</w:t>
            </w:r>
          </w:p>
        </w:tc>
        <w:tc>
          <w:tcPr>
            <w:tcW w:w="1330" w:type="dxa"/>
            <w:tcBorders>
              <w:top w:val="nil"/>
              <w:left w:val="nil"/>
              <w:right w:val="nil"/>
            </w:tcBorders>
          </w:tcPr>
          <w:p w14:paraId="1DBDC8EC" w14:textId="77777777" w:rsidR="009445C1" w:rsidRPr="00EE3355" w:rsidRDefault="009445C1" w:rsidP="00EA1CDF">
            <w:pPr>
              <w:pStyle w:val="TableParagraph"/>
              <w:widowControl/>
              <w:jc w:val="center"/>
              <w:rPr>
                <w:sz w:val="18"/>
              </w:rPr>
            </w:pPr>
            <w:r w:rsidRPr="00EE3355">
              <w:rPr>
                <w:sz w:val="18"/>
              </w:rPr>
              <w:t>42 %*</w:t>
            </w:r>
          </w:p>
          <w:p w14:paraId="14D1BD09" w14:textId="77777777" w:rsidR="009445C1" w:rsidRPr="00EE3355" w:rsidRDefault="009445C1" w:rsidP="00EA1CDF">
            <w:pPr>
              <w:pStyle w:val="TableParagraph"/>
              <w:widowControl/>
              <w:jc w:val="center"/>
              <w:rPr>
                <w:sz w:val="18"/>
              </w:rPr>
            </w:pPr>
            <w:r w:rsidRPr="00EE3355">
              <w:rPr>
                <w:sz w:val="18"/>
              </w:rPr>
              <w:t>(18,00; 66,00)</w:t>
            </w:r>
          </w:p>
        </w:tc>
        <w:tc>
          <w:tcPr>
            <w:tcW w:w="1484" w:type="dxa"/>
            <w:gridSpan w:val="3"/>
            <w:tcBorders>
              <w:top w:val="nil"/>
              <w:left w:val="nil"/>
            </w:tcBorders>
          </w:tcPr>
          <w:p w14:paraId="4D4DB7B1" w14:textId="77777777" w:rsidR="009445C1" w:rsidRPr="00EE3355" w:rsidRDefault="009445C1" w:rsidP="00EA1CDF">
            <w:pPr>
              <w:pStyle w:val="TableParagraph"/>
              <w:widowControl/>
              <w:jc w:val="center"/>
              <w:rPr>
                <w:sz w:val="18"/>
              </w:rPr>
            </w:pPr>
            <w:r w:rsidRPr="00EE3355">
              <w:rPr>
                <w:sz w:val="18"/>
              </w:rPr>
              <w:t>39,06 %*</w:t>
            </w:r>
          </w:p>
          <w:p w14:paraId="398CEEB2" w14:textId="77777777" w:rsidR="009445C1" w:rsidRPr="00EE3355" w:rsidRDefault="009445C1" w:rsidP="00EA1CDF">
            <w:pPr>
              <w:pStyle w:val="TableParagraph"/>
              <w:widowControl/>
              <w:jc w:val="center"/>
              <w:rPr>
                <w:sz w:val="18"/>
              </w:rPr>
            </w:pPr>
            <w:r w:rsidRPr="00EE3355">
              <w:rPr>
                <w:sz w:val="18"/>
              </w:rPr>
              <w:t>(12,46; 65,66)</w:t>
            </w:r>
          </w:p>
        </w:tc>
      </w:tr>
      <w:tr w:rsidR="00222DE0" w:rsidRPr="00EE3355" w14:paraId="2C9B6860" w14:textId="77777777" w:rsidTr="00CE49B3">
        <w:trPr>
          <w:cantSplit/>
          <w:trHeight w:val="342"/>
        </w:trPr>
        <w:tc>
          <w:tcPr>
            <w:tcW w:w="9225" w:type="dxa"/>
            <w:gridSpan w:val="10"/>
            <w:tcBorders>
              <w:bottom w:val="single" w:sz="4" w:space="0" w:color="000000"/>
            </w:tcBorders>
          </w:tcPr>
          <w:p w14:paraId="24DC259B" w14:textId="77777777" w:rsidR="00222DE0" w:rsidRPr="00EE3355" w:rsidRDefault="0098273B" w:rsidP="00EA1CDF">
            <w:pPr>
              <w:pStyle w:val="TableParagraph"/>
              <w:widowControl/>
              <w:ind w:left="54"/>
              <w:rPr>
                <w:b/>
                <w:sz w:val="18"/>
              </w:rPr>
            </w:pPr>
            <w:r w:rsidRPr="00EE3355">
              <w:rPr>
                <w:b/>
                <w:sz w:val="18"/>
              </w:rPr>
              <w:t>Hlavní sekundární cílový parametr</w:t>
            </w:r>
          </w:p>
        </w:tc>
      </w:tr>
      <w:tr w:rsidR="00222DE0" w:rsidRPr="00EE3355" w14:paraId="58F84FB2" w14:textId="77777777" w:rsidTr="00CE49B3">
        <w:trPr>
          <w:cantSplit/>
          <w:trHeight w:val="353"/>
        </w:trPr>
        <w:tc>
          <w:tcPr>
            <w:tcW w:w="9225" w:type="dxa"/>
            <w:gridSpan w:val="10"/>
            <w:tcBorders>
              <w:bottom w:val="nil"/>
            </w:tcBorders>
          </w:tcPr>
          <w:p w14:paraId="61000623" w14:textId="77777777" w:rsidR="00222DE0" w:rsidRPr="00EE3355" w:rsidRDefault="0098273B" w:rsidP="00EA1CDF">
            <w:pPr>
              <w:pStyle w:val="TableParagraph"/>
              <w:widowControl/>
              <w:ind w:left="62"/>
              <w:rPr>
                <w:sz w:val="18"/>
              </w:rPr>
            </w:pPr>
            <w:r w:rsidRPr="00EE3355">
              <w:rPr>
                <w:sz w:val="18"/>
              </w:rPr>
              <w:t>Trvalá remise (skupiny s tocilizumabem vs. placebo + 52)</w:t>
            </w:r>
          </w:p>
        </w:tc>
      </w:tr>
      <w:tr w:rsidR="00222DE0" w:rsidRPr="00EE3355" w14:paraId="699E929B" w14:textId="77777777" w:rsidTr="00CE49B3">
        <w:trPr>
          <w:cantSplit/>
          <w:trHeight w:val="341"/>
        </w:trPr>
        <w:tc>
          <w:tcPr>
            <w:tcW w:w="3794" w:type="dxa"/>
            <w:tcBorders>
              <w:top w:val="nil"/>
              <w:bottom w:val="nil"/>
              <w:right w:val="nil"/>
            </w:tcBorders>
          </w:tcPr>
          <w:p w14:paraId="4916377B" w14:textId="77777777" w:rsidR="00222DE0" w:rsidRPr="00EE3355" w:rsidRDefault="0098273B" w:rsidP="00EA1CDF">
            <w:pPr>
              <w:pStyle w:val="TableParagraph"/>
              <w:widowControl/>
              <w:ind w:right="341"/>
              <w:jc w:val="right"/>
              <w:rPr>
                <w:sz w:val="18"/>
              </w:rPr>
            </w:pPr>
            <w:r w:rsidRPr="00EE3355">
              <w:rPr>
                <w:sz w:val="18"/>
              </w:rPr>
              <w:t>Pacienti s odpovědí v týdnu 52, n (%)</w:t>
            </w:r>
          </w:p>
        </w:tc>
        <w:tc>
          <w:tcPr>
            <w:tcW w:w="1344" w:type="dxa"/>
            <w:gridSpan w:val="2"/>
            <w:tcBorders>
              <w:top w:val="nil"/>
              <w:left w:val="nil"/>
              <w:bottom w:val="nil"/>
              <w:right w:val="nil"/>
            </w:tcBorders>
          </w:tcPr>
          <w:p w14:paraId="745B3F06" w14:textId="77777777" w:rsidR="00222DE0" w:rsidRPr="00EE3355" w:rsidRDefault="0098273B" w:rsidP="00EA1CDF">
            <w:pPr>
              <w:pStyle w:val="TableParagraph"/>
              <w:widowControl/>
              <w:jc w:val="center"/>
              <w:rPr>
                <w:sz w:val="18"/>
              </w:rPr>
            </w:pPr>
            <w:r w:rsidRPr="00EE3355">
              <w:rPr>
                <w:sz w:val="18"/>
              </w:rPr>
              <w:t>7 (14 %)</w:t>
            </w:r>
          </w:p>
        </w:tc>
        <w:tc>
          <w:tcPr>
            <w:tcW w:w="1259" w:type="dxa"/>
            <w:gridSpan w:val="2"/>
            <w:tcBorders>
              <w:top w:val="nil"/>
              <w:left w:val="nil"/>
              <w:bottom w:val="nil"/>
              <w:right w:val="nil"/>
            </w:tcBorders>
          </w:tcPr>
          <w:p w14:paraId="6B8DC51C" w14:textId="77777777" w:rsidR="00222DE0" w:rsidRPr="00EE3355" w:rsidRDefault="0098273B" w:rsidP="00EA1CDF">
            <w:pPr>
              <w:pStyle w:val="TableParagraph"/>
              <w:widowControl/>
              <w:jc w:val="center"/>
              <w:rPr>
                <w:sz w:val="18"/>
              </w:rPr>
            </w:pPr>
            <w:r w:rsidRPr="00EE3355">
              <w:rPr>
                <w:sz w:val="18"/>
              </w:rPr>
              <w:t>9 (17,6 %)</w:t>
            </w:r>
          </w:p>
        </w:tc>
        <w:tc>
          <w:tcPr>
            <w:tcW w:w="1330" w:type="dxa"/>
            <w:tcBorders>
              <w:top w:val="nil"/>
              <w:left w:val="nil"/>
              <w:bottom w:val="nil"/>
              <w:right w:val="nil"/>
            </w:tcBorders>
          </w:tcPr>
          <w:p w14:paraId="38CFADCC" w14:textId="77777777" w:rsidR="00222DE0" w:rsidRPr="00EE3355" w:rsidRDefault="0098273B" w:rsidP="00EA1CDF">
            <w:pPr>
              <w:pStyle w:val="TableParagraph"/>
              <w:widowControl/>
              <w:jc w:val="center"/>
              <w:rPr>
                <w:sz w:val="18"/>
              </w:rPr>
            </w:pPr>
            <w:r w:rsidRPr="00EE3355">
              <w:rPr>
                <w:sz w:val="18"/>
              </w:rPr>
              <w:t>56 (56 %)</w:t>
            </w:r>
          </w:p>
        </w:tc>
        <w:tc>
          <w:tcPr>
            <w:tcW w:w="1498" w:type="dxa"/>
            <w:gridSpan w:val="4"/>
            <w:tcBorders>
              <w:top w:val="nil"/>
              <w:left w:val="nil"/>
              <w:bottom w:val="nil"/>
            </w:tcBorders>
          </w:tcPr>
          <w:p w14:paraId="124B30DF" w14:textId="77777777" w:rsidR="00222DE0" w:rsidRPr="00EE3355" w:rsidRDefault="0098273B" w:rsidP="00EA1CDF">
            <w:pPr>
              <w:pStyle w:val="TableParagraph"/>
              <w:widowControl/>
              <w:jc w:val="center"/>
              <w:rPr>
                <w:sz w:val="18"/>
              </w:rPr>
            </w:pPr>
            <w:r w:rsidRPr="00EE3355">
              <w:rPr>
                <w:sz w:val="18"/>
              </w:rPr>
              <w:t>26 (53,1 %)</w:t>
            </w:r>
          </w:p>
        </w:tc>
      </w:tr>
      <w:tr w:rsidR="00E6237D" w:rsidRPr="00EE3355" w14:paraId="6B7C0DDB" w14:textId="77777777" w:rsidTr="00CE49B3">
        <w:trPr>
          <w:cantSplit/>
          <w:trHeight w:val="349"/>
        </w:trPr>
        <w:tc>
          <w:tcPr>
            <w:tcW w:w="3794" w:type="dxa"/>
            <w:tcBorders>
              <w:top w:val="nil"/>
              <w:right w:val="nil"/>
            </w:tcBorders>
          </w:tcPr>
          <w:p w14:paraId="036B3BF9" w14:textId="77777777" w:rsidR="00CE49B3" w:rsidRDefault="00E6237D" w:rsidP="00CE49B3">
            <w:pPr>
              <w:pStyle w:val="TableParagraph"/>
              <w:widowControl/>
              <w:ind w:left="782"/>
              <w:rPr>
                <w:sz w:val="18"/>
              </w:rPr>
            </w:pPr>
            <w:r w:rsidRPr="00EE3355">
              <w:rPr>
                <w:sz w:val="18"/>
              </w:rPr>
              <w:t>Neupravený rozdíl v</w:t>
            </w:r>
            <w:r>
              <w:rPr>
                <w:sz w:val="18"/>
              </w:rPr>
              <w:t> </w:t>
            </w:r>
            <w:r w:rsidRPr="00EE3355">
              <w:rPr>
                <w:sz w:val="18"/>
              </w:rPr>
              <w:t>zastoupení</w:t>
            </w:r>
            <w:r>
              <w:rPr>
                <w:sz w:val="18"/>
              </w:rPr>
              <w:t xml:space="preserve"> </w:t>
            </w:r>
          </w:p>
          <w:p w14:paraId="43E87601" w14:textId="77777777" w:rsidR="00E6237D" w:rsidRPr="00EE3355" w:rsidRDefault="00E6237D" w:rsidP="00CE49B3">
            <w:pPr>
              <w:pStyle w:val="TableParagraph"/>
              <w:widowControl/>
              <w:ind w:left="782"/>
              <w:rPr>
                <w:sz w:val="18"/>
              </w:rPr>
            </w:pPr>
            <w:r w:rsidRPr="00EE3355">
              <w:rPr>
                <w:sz w:val="18"/>
              </w:rPr>
              <w:t>(99,5% CI)</w:t>
            </w:r>
          </w:p>
        </w:tc>
        <w:tc>
          <w:tcPr>
            <w:tcW w:w="1344" w:type="dxa"/>
            <w:gridSpan w:val="2"/>
            <w:tcBorders>
              <w:top w:val="nil"/>
              <w:left w:val="nil"/>
              <w:right w:val="nil"/>
            </w:tcBorders>
          </w:tcPr>
          <w:p w14:paraId="4803E732" w14:textId="77777777" w:rsidR="00E6237D" w:rsidRPr="00EE3355" w:rsidRDefault="00E6237D" w:rsidP="00EA1CDF">
            <w:pPr>
              <w:pStyle w:val="TableParagraph"/>
              <w:widowControl/>
              <w:jc w:val="center"/>
              <w:rPr>
                <w:sz w:val="18"/>
              </w:rPr>
            </w:pPr>
            <w:r w:rsidRPr="00EE3355">
              <w:rPr>
                <w:sz w:val="18"/>
              </w:rPr>
              <w:t>N/A</w:t>
            </w:r>
          </w:p>
        </w:tc>
        <w:tc>
          <w:tcPr>
            <w:tcW w:w="1259" w:type="dxa"/>
            <w:gridSpan w:val="2"/>
            <w:tcBorders>
              <w:top w:val="nil"/>
              <w:left w:val="nil"/>
              <w:right w:val="nil"/>
            </w:tcBorders>
          </w:tcPr>
          <w:p w14:paraId="58C9330B" w14:textId="77777777" w:rsidR="00E6237D" w:rsidRPr="00EE3355" w:rsidRDefault="00E6237D" w:rsidP="00EA1CDF">
            <w:pPr>
              <w:pStyle w:val="TableParagraph"/>
              <w:widowControl/>
              <w:jc w:val="center"/>
              <w:rPr>
                <w:sz w:val="18"/>
              </w:rPr>
            </w:pPr>
            <w:r w:rsidRPr="00EE3355">
              <w:rPr>
                <w:sz w:val="18"/>
              </w:rPr>
              <w:t>N/A</w:t>
            </w:r>
          </w:p>
        </w:tc>
        <w:tc>
          <w:tcPr>
            <w:tcW w:w="1330" w:type="dxa"/>
            <w:tcBorders>
              <w:top w:val="nil"/>
              <w:left w:val="nil"/>
              <w:right w:val="nil"/>
            </w:tcBorders>
          </w:tcPr>
          <w:p w14:paraId="39B80A95" w14:textId="77777777" w:rsidR="00E6237D" w:rsidRPr="00EE3355" w:rsidRDefault="00E6237D" w:rsidP="00EA1CDF">
            <w:pPr>
              <w:pStyle w:val="TableParagraph"/>
              <w:widowControl/>
              <w:jc w:val="center"/>
              <w:rPr>
                <w:sz w:val="18"/>
              </w:rPr>
            </w:pPr>
            <w:r w:rsidRPr="00EE3355">
              <w:rPr>
                <w:sz w:val="18"/>
              </w:rPr>
              <w:t>38,35 %*</w:t>
            </w:r>
          </w:p>
          <w:p w14:paraId="647ACAF2" w14:textId="77777777" w:rsidR="00E6237D" w:rsidRPr="00EE3355" w:rsidRDefault="00E6237D" w:rsidP="00EA1CDF">
            <w:pPr>
              <w:pStyle w:val="TableParagraph"/>
              <w:widowControl/>
              <w:jc w:val="center"/>
              <w:rPr>
                <w:sz w:val="18"/>
              </w:rPr>
            </w:pPr>
            <w:r w:rsidRPr="00EE3355">
              <w:rPr>
                <w:sz w:val="18"/>
              </w:rPr>
              <w:t>(17,89; 58,81)</w:t>
            </w:r>
          </w:p>
        </w:tc>
        <w:tc>
          <w:tcPr>
            <w:tcW w:w="1498" w:type="dxa"/>
            <w:gridSpan w:val="4"/>
            <w:tcBorders>
              <w:top w:val="nil"/>
              <w:left w:val="nil"/>
            </w:tcBorders>
          </w:tcPr>
          <w:p w14:paraId="55C8976E" w14:textId="77777777" w:rsidR="00E6237D" w:rsidRPr="00EE3355" w:rsidRDefault="00E6237D" w:rsidP="00EA1CDF">
            <w:pPr>
              <w:pStyle w:val="TableParagraph"/>
              <w:widowControl/>
              <w:jc w:val="center"/>
              <w:rPr>
                <w:sz w:val="18"/>
              </w:rPr>
            </w:pPr>
            <w:r w:rsidRPr="00EE3355">
              <w:rPr>
                <w:sz w:val="18"/>
              </w:rPr>
              <w:t>35,41 %*</w:t>
            </w:r>
          </w:p>
          <w:p w14:paraId="0B6637EC" w14:textId="77777777" w:rsidR="00E6237D" w:rsidRPr="00EE3355" w:rsidRDefault="00E6237D" w:rsidP="00EA1CDF">
            <w:pPr>
              <w:pStyle w:val="TableParagraph"/>
              <w:widowControl/>
              <w:jc w:val="center"/>
              <w:rPr>
                <w:sz w:val="18"/>
              </w:rPr>
            </w:pPr>
            <w:r w:rsidRPr="00EE3355">
              <w:rPr>
                <w:sz w:val="18"/>
              </w:rPr>
              <w:t>(10,41; 60,41)</w:t>
            </w:r>
          </w:p>
        </w:tc>
      </w:tr>
      <w:tr w:rsidR="00222DE0" w:rsidRPr="00EE3355" w14:paraId="73951ADD" w14:textId="77777777" w:rsidTr="00C959DC">
        <w:trPr>
          <w:cantSplit/>
          <w:trHeight w:val="200"/>
        </w:trPr>
        <w:tc>
          <w:tcPr>
            <w:tcW w:w="9225" w:type="dxa"/>
            <w:gridSpan w:val="10"/>
            <w:tcBorders>
              <w:bottom w:val="single" w:sz="4" w:space="0" w:color="000000"/>
            </w:tcBorders>
          </w:tcPr>
          <w:p w14:paraId="112C8272" w14:textId="77777777" w:rsidR="00222DE0" w:rsidRPr="00EE3355" w:rsidRDefault="0098273B" w:rsidP="00EA1CDF">
            <w:pPr>
              <w:pStyle w:val="TableParagraph"/>
              <w:widowControl/>
              <w:ind w:left="62"/>
              <w:rPr>
                <w:b/>
                <w:sz w:val="18"/>
              </w:rPr>
            </w:pPr>
            <w:r w:rsidRPr="00EE3355">
              <w:rPr>
                <w:b/>
                <w:sz w:val="18"/>
              </w:rPr>
              <w:t>Ostatní sekundární cílové parametry</w:t>
            </w:r>
          </w:p>
        </w:tc>
      </w:tr>
      <w:tr w:rsidR="00E6237D" w:rsidRPr="00EE3355" w14:paraId="60BEB56D" w14:textId="77777777" w:rsidTr="00C959DC">
        <w:trPr>
          <w:cantSplit/>
          <w:trHeight w:val="20"/>
        </w:trPr>
        <w:tc>
          <w:tcPr>
            <w:tcW w:w="3794" w:type="dxa"/>
            <w:tcBorders>
              <w:bottom w:val="nil"/>
              <w:right w:val="nil"/>
            </w:tcBorders>
          </w:tcPr>
          <w:p w14:paraId="3A348D1E" w14:textId="77777777" w:rsidR="00E6237D" w:rsidRPr="00EE3355" w:rsidRDefault="00E6237D" w:rsidP="00EA1CDF">
            <w:pPr>
              <w:pStyle w:val="TableParagraph"/>
              <w:widowControl/>
              <w:ind w:left="62"/>
              <w:rPr>
                <w:sz w:val="18"/>
              </w:rPr>
            </w:pPr>
            <w:r w:rsidRPr="00EE3355">
              <w:rPr>
                <w:sz w:val="18"/>
              </w:rPr>
              <w:t>Doba do prvního relapsu GCA</w:t>
            </w:r>
            <w:r w:rsidRPr="000A0CBD">
              <w:rPr>
                <w:sz w:val="18"/>
                <w:vertAlign w:val="superscript"/>
              </w:rPr>
              <w:t>1</w:t>
            </w:r>
            <w:r w:rsidRPr="00EE3355">
              <w:rPr>
                <w:sz w:val="18"/>
              </w:rPr>
              <w:t xml:space="preserve"> (skupiny</w:t>
            </w:r>
            <w:r>
              <w:rPr>
                <w:sz w:val="18"/>
              </w:rPr>
              <w:t xml:space="preserve"> </w:t>
            </w:r>
            <w:r w:rsidRPr="00EE3355">
              <w:rPr>
                <w:sz w:val="18"/>
              </w:rPr>
              <w:t>s tocilizumabem vs. placebo + 26)</w:t>
            </w:r>
          </w:p>
          <w:p w14:paraId="0D16830E" w14:textId="77777777" w:rsidR="00E6237D" w:rsidRPr="00EE3355" w:rsidRDefault="00E6237D" w:rsidP="00C959DC">
            <w:pPr>
              <w:pStyle w:val="TableParagraph"/>
              <w:widowControl/>
              <w:ind w:left="132" w:right="2"/>
              <w:jc w:val="center"/>
              <w:rPr>
                <w:sz w:val="18"/>
              </w:rPr>
            </w:pPr>
            <w:r w:rsidRPr="00EE3355">
              <w:rPr>
                <w:sz w:val="18"/>
              </w:rPr>
              <w:t>HR (99% CI)</w:t>
            </w:r>
          </w:p>
        </w:tc>
        <w:tc>
          <w:tcPr>
            <w:tcW w:w="1344" w:type="dxa"/>
            <w:gridSpan w:val="2"/>
            <w:tcBorders>
              <w:left w:val="nil"/>
              <w:bottom w:val="nil"/>
              <w:right w:val="nil"/>
            </w:tcBorders>
          </w:tcPr>
          <w:p w14:paraId="33AE6AAE" w14:textId="77777777" w:rsidR="00E6237D" w:rsidRPr="00EE3355" w:rsidRDefault="00E6237D" w:rsidP="00EA1CDF">
            <w:pPr>
              <w:pStyle w:val="TableParagraph"/>
              <w:widowControl/>
              <w:ind w:left="62"/>
              <w:jc w:val="center"/>
              <w:rPr>
                <w:sz w:val="18"/>
              </w:rPr>
            </w:pPr>
          </w:p>
        </w:tc>
        <w:tc>
          <w:tcPr>
            <w:tcW w:w="1259" w:type="dxa"/>
            <w:gridSpan w:val="2"/>
            <w:tcBorders>
              <w:left w:val="nil"/>
              <w:bottom w:val="nil"/>
              <w:right w:val="nil"/>
            </w:tcBorders>
          </w:tcPr>
          <w:p w14:paraId="453F70B3" w14:textId="77777777" w:rsidR="00E6237D" w:rsidRPr="00EE3355" w:rsidRDefault="00E6237D" w:rsidP="00EA1CDF">
            <w:pPr>
              <w:pStyle w:val="TableParagraph"/>
              <w:widowControl/>
              <w:ind w:left="624"/>
              <w:rPr>
                <w:sz w:val="18"/>
              </w:rPr>
            </w:pPr>
          </w:p>
        </w:tc>
        <w:tc>
          <w:tcPr>
            <w:tcW w:w="1344" w:type="dxa"/>
            <w:gridSpan w:val="2"/>
            <w:tcBorders>
              <w:left w:val="nil"/>
              <w:bottom w:val="nil"/>
              <w:right w:val="nil"/>
            </w:tcBorders>
          </w:tcPr>
          <w:p w14:paraId="2DD3548D" w14:textId="77777777" w:rsidR="00E6237D" w:rsidRDefault="00E6237D" w:rsidP="00EA1CDF">
            <w:pPr>
              <w:pStyle w:val="TableParagraph"/>
              <w:widowControl/>
              <w:ind w:right="114"/>
              <w:jc w:val="center"/>
              <w:rPr>
                <w:sz w:val="18"/>
              </w:rPr>
            </w:pPr>
            <w:r w:rsidRPr="00EE3355">
              <w:rPr>
                <w:sz w:val="18"/>
              </w:rPr>
              <w:t>0,23*</w:t>
            </w:r>
          </w:p>
          <w:p w14:paraId="1F5F70AE" w14:textId="77777777" w:rsidR="00E6237D" w:rsidRPr="00EE3355" w:rsidRDefault="00E6237D" w:rsidP="00C959DC">
            <w:pPr>
              <w:pStyle w:val="TableParagraph"/>
              <w:widowControl/>
              <w:ind w:right="114"/>
              <w:jc w:val="center"/>
              <w:rPr>
                <w:sz w:val="18"/>
              </w:rPr>
            </w:pPr>
            <w:r w:rsidRPr="00EE3355">
              <w:rPr>
                <w:sz w:val="18"/>
              </w:rPr>
              <w:t>(0,11; 0,46)</w:t>
            </w:r>
          </w:p>
        </w:tc>
        <w:tc>
          <w:tcPr>
            <w:tcW w:w="1484" w:type="dxa"/>
            <w:gridSpan w:val="3"/>
            <w:tcBorders>
              <w:left w:val="nil"/>
              <w:bottom w:val="nil"/>
            </w:tcBorders>
          </w:tcPr>
          <w:p w14:paraId="2B727351" w14:textId="77777777" w:rsidR="00E6237D" w:rsidRPr="00EE3355" w:rsidRDefault="00E6237D" w:rsidP="00C959DC">
            <w:pPr>
              <w:pStyle w:val="TableParagraph"/>
              <w:widowControl/>
              <w:ind w:left="311" w:right="311" w:hanging="7"/>
              <w:jc w:val="center"/>
              <w:rPr>
                <w:sz w:val="18"/>
              </w:rPr>
            </w:pPr>
            <w:r w:rsidRPr="00EE3355">
              <w:rPr>
                <w:sz w:val="18"/>
              </w:rPr>
              <w:t>0,28** (0,12; 0,66)</w:t>
            </w:r>
          </w:p>
        </w:tc>
      </w:tr>
      <w:tr w:rsidR="00C959DC" w:rsidRPr="00EE3355" w14:paraId="39B863C0" w14:textId="77777777" w:rsidTr="00C959DC">
        <w:trPr>
          <w:cantSplit/>
          <w:trHeight w:val="20"/>
        </w:trPr>
        <w:tc>
          <w:tcPr>
            <w:tcW w:w="3794" w:type="dxa"/>
            <w:tcBorders>
              <w:top w:val="nil"/>
              <w:bottom w:val="nil"/>
              <w:right w:val="nil"/>
            </w:tcBorders>
          </w:tcPr>
          <w:p w14:paraId="0F430FFC" w14:textId="77777777" w:rsidR="00C959DC" w:rsidRPr="00EE3355" w:rsidRDefault="00C959DC" w:rsidP="00C959DC">
            <w:pPr>
              <w:pStyle w:val="TableParagraph"/>
              <w:widowControl/>
              <w:ind w:left="62"/>
              <w:rPr>
                <w:sz w:val="18"/>
              </w:rPr>
            </w:pPr>
            <w:r w:rsidRPr="00EE3355">
              <w:rPr>
                <w:sz w:val="18"/>
              </w:rPr>
              <w:t>Doba do prvního relapsu GCA</w:t>
            </w:r>
            <w:r w:rsidRPr="000A0CBD">
              <w:rPr>
                <w:sz w:val="18"/>
                <w:vertAlign w:val="superscript"/>
              </w:rPr>
              <w:t>1</w:t>
            </w:r>
            <w:r w:rsidRPr="00EE3355">
              <w:rPr>
                <w:sz w:val="18"/>
              </w:rPr>
              <w:t xml:space="preserve"> (skupiny s tocilizumabem vs. placebo + 52)</w:t>
            </w:r>
          </w:p>
          <w:p w14:paraId="1AC8F3EA" w14:textId="77777777" w:rsidR="00C959DC" w:rsidRPr="00EE3355" w:rsidRDefault="00C959DC" w:rsidP="00C959DC">
            <w:pPr>
              <w:pStyle w:val="TableParagraph"/>
              <w:widowControl/>
              <w:ind w:left="132"/>
              <w:jc w:val="center"/>
              <w:rPr>
                <w:sz w:val="18"/>
              </w:rPr>
            </w:pPr>
            <w:r w:rsidRPr="00EE3355">
              <w:rPr>
                <w:sz w:val="18"/>
              </w:rPr>
              <w:t>HR (99% CI)</w:t>
            </w:r>
          </w:p>
        </w:tc>
        <w:tc>
          <w:tcPr>
            <w:tcW w:w="1344" w:type="dxa"/>
            <w:gridSpan w:val="2"/>
            <w:tcBorders>
              <w:top w:val="nil"/>
              <w:left w:val="nil"/>
              <w:bottom w:val="nil"/>
              <w:right w:val="nil"/>
            </w:tcBorders>
          </w:tcPr>
          <w:p w14:paraId="2A4228C8" w14:textId="77777777" w:rsidR="00C959DC" w:rsidRPr="00EE3355" w:rsidRDefault="00C959DC" w:rsidP="00C959DC">
            <w:pPr>
              <w:pStyle w:val="TableParagraph"/>
              <w:widowControl/>
              <w:ind w:left="62"/>
              <w:jc w:val="center"/>
              <w:rPr>
                <w:sz w:val="18"/>
              </w:rPr>
            </w:pPr>
            <w:r w:rsidRPr="00EE3355">
              <w:rPr>
                <w:sz w:val="18"/>
              </w:rPr>
              <w:t>N/A</w:t>
            </w:r>
          </w:p>
        </w:tc>
        <w:tc>
          <w:tcPr>
            <w:tcW w:w="1259" w:type="dxa"/>
            <w:gridSpan w:val="2"/>
            <w:tcBorders>
              <w:top w:val="nil"/>
              <w:left w:val="nil"/>
              <w:bottom w:val="nil"/>
              <w:right w:val="nil"/>
            </w:tcBorders>
          </w:tcPr>
          <w:p w14:paraId="47235327" w14:textId="77777777" w:rsidR="00C959DC" w:rsidRPr="00EE3355" w:rsidRDefault="00C959DC" w:rsidP="00C959DC">
            <w:pPr>
              <w:pStyle w:val="TableParagraph"/>
              <w:widowControl/>
              <w:ind w:left="624"/>
              <w:rPr>
                <w:sz w:val="18"/>
              </w:rPr>
            </w:pPr>
            <w:r w:rsidRPr="00EE3355">
              <w:rPr>
                <w:sz w:val="18"/>
              </w:rPr>
              <w:t>N/A</w:t>
            </w:r>
          </w:p>
        </w:tc>
        <w:tc>
          <w:tcPr>
            <w:tcW w:w="1344" w:type="dxa"/>
            <w:gridSpan w:val="2"/>
            <w:tcBorders>
              <w:top w:val="nil"/>
              <w:left w:val="nil"/>
              <w:bottom w:val="nil"/>
              <w:right w:val="nil"/>
            </w:tcBorders>
          </w:tcPr>
          <w:p w14:paraId="3139D87C" w14:textId="77777777" w:rsidR="00C959DC" w:rsidRDefault="00C959DC" w:rsidP="00C959DC">
            <w:pPr>
              <w:pStyle w:val="TableParagraph"/>
              <w:widowControl/>
              <w:ind w:right="114"/>
              <w:jc w:val="center"/>
              <w:rPr>
                <w:sz w:val="18"/>
              </w:rPr>
            </w:pPr>
            <w:r w:rsidRPr="00EE3355">
              <w:rPr>
                <w:sz w:val="18"/>
              </w:rPr>
              <w:t>0,39**</w:t>
            </w:r>
          </w:p>
          <w:p w14:paraId="1332D44F" w14:textId="77777777" w:rsidR="00C959DC" w:rsidRPr="00EE3355" w:rsidRDefault="00C959DC" w:rsidP="00C959DC">
            <w:pPr>
              <w:pStyle w:val="TableParagraph"/>
              <w:widowControl/>
              <w:ind w:right="114"/>
              <w:jc w:val="center"/>
              <w:rPr>
                <w:sz w:val="18"/>
              </w:rPr>
            </w:pPr>
            <w:r w:rsidRPr="00EE3355">
              <w:rPr>
                <w:sz w:val="18"/>
              </w:rPr>
              <w:t>(0,18; 0,82)</w:t>
            </w:r>
          </w:p>
        </w:tc>
        <w:tc>
          <w:tcPr>
            <w:tcW w:w="1484" w:type="dxa"/>
            <w:gridSpan w:val="3"/>
            <w:tcBorders>
              <w:top w:val="nil"/>
              <w:left w:val="nil"/>
              <w:bottom w:val="nil"/>
            </w:tcBorders>
          </w:tcPr>
          <w:p w14:paraId="20078436" w14:textId="77777777" w:rsidR="00C959DC" w:rsidRPr="00EE3355" w:rsidRDefault="00C959DC" w:rsidP="00C959DC">
            <w:pPr>
              <w:pStyle w:val="TableParagraph"/>
              <w:widowControl/>
              <w:ind w:left="84" w:right="7" w:hanging="42"/>
              <w:jc w:val="center"/>
              <w:rPr>
                <w:sz w:val="18"/>
              </w:rPr>
            </w:pPr>
            <w:r w:rsidRPr="00EE3355">
              <w:rPr>
                <w:sz w:val="18"/>
              </w:rPr>
              <w:t>0,48</w:t>
            </w:r>
          </w:p>
          <w:p w14:paraId="5B67D738" w14:textId="77777777" w:rsidR="00C959DC" w:rsidRPr="00EE3355" w:rsidRDefault="00C959DC" w:rsidP="00C959DC">
            <w:pPr>
              <w:pStyle w:val="TableParagraph"/>
              <w:widowControl/>
              <w:ind w:left="84" w:right="5" w:hanging="42"/>
              <w:jc w:val="center"/>
              <w:rPr>
                <w:sz w:val="18"/>
              </w:rPr>
            </w:pPr>
            <w:r w:rsidRPr="00EE3355">
              <w:rPr>
                <w:sz w:val="18"/>
              </w:rPr>
              <w:t>(0,20; 1,16)</w:t>
            </w:r>
          </w:p>
        </w:tc>
      </w:tr>
      <w:tr w:rsidR="00C959DC" w:rsidRPr="00EE3355" w14:paraId="399A6E18" w14:textId="77777777" w:rsidTr="00C959DC">
        <w:trPr>
          <w:cantSplit/>
          <w:trHeight w:val="20"/>
        </w:trPr>
        <w:tc>
          <w:tcPr>
            <w:tcW w:w="3794" w:type="dxa"/>
            <w:tcBorders>
              <w:top w:val="nil"/>
              <w:bottom w:val="nil"/>
              <w:right w:val="nil"/>
            </w:tcBorders>
          </w:tcPr>
          <w:p w14:paraId="71D77F82" w14:textId="77777777" w:rsidR="00C959DC" w:rsidRPr="00EE3355" w:rsidRDefault="00C959DC" w:rsidP="00C959DC">
            <w:pPr>
              <w:pStyle w:val="TableParagraph"/>
              <w:widowControl/>
              <w:ind w:left="62" w:right="173"/>
              <w:rPr>
                <w:sz w:val="18"/>
              </w:rPr>
            </w:pPr>
            <w:r w:rsidRPr="00EE3355">
              <w:rPr>
                <w:sz w:val="18"/>
              </w:rPr>
              <w:t>Doba do prvního relapsu GCA</w:t>
            </w:r>
            <w:r w:rsidRPr="000A0CBD">
              <w:rPr>
                <w:sz w:val="18"/>
                <w:vertAlign w:val="superscript"/>
              </w:rPr>
              <w:t>1</w:t>
            </w:r>
            <w:r w:rsidRPr="00EE3355">
              <w:rPr>
                <w:sz w:val="18"/>
              </w:rPr>
              <w:t xml:space="preserve"> (relabující pacienti; skupiny s</w:t>
            </w:r>
            <w:r>
              <w:rPr>
                <w:sz w:val="18"/>
              </w:rPr>
              <w:t> </w:t>
            </w:r>
            <w:r w:rsidRPr="00EE3355">
              <w:rPr>
                <w:sz w:val="18"/>
              </w:rPr>
              <w:t>tocilizumabem</w:t>
            </w:r>
            <w:r>
              <w:rPr>
                <w:sz w:val="18"/>
              </w:rPr>
              <w:t xml:space="preserve"> </w:t>
            </w:r>
            <w:r w:rsidRPr="00EE3355">
              <w:rPr>
                <w:sz w:val="18"/>
              </w:rPr>
              <w:t>vs. placebo + 26) HR (99% CI)</w:t>
            </w:r>
          </w:p>
        </w:tc>
        <w:tc>
          <w:tcPr>
            <w:tcW w:w="1344" w:type="dxa"/>
            <w:gridSpan w:val="2"/>
            <w:tcBorders>
              <w:top w:val="nil"/>
              <w:left w:val="nil"/>
              <w:bottom w:val="nil"/>
              <w:right w:val="nil"/>
            </w:tcBorders>
          </w:tcPr>
          <w:p w14:paraId="7343985B" w14:textId="77777777" w:rsidR="00C959DC" w:rsidRPr="00EE3355" w:rsidRDefault="00C959DC" w:rsidP="00C959DC">
            <w:pPr>
              <w:pStyle w:val="TableParagraph"/>
              <w:widowControl/>
              <w:ind w:left="62"/>
              <w:jc w:val="center"/>
              <w:rPr>
                <w:sz w:val="18"/>
              </w:rPr>
            </w:pPr>
            <w:r w:rsidRPr="00EE3355">
              <w:rPr>
                <w:sz w:val="18"/>
              </w:rPr>
              <w:t>N/A</w:t>
            </w:r>
          </w:p>
        </w:tc>
        <w:tc>
          <w:tcPr>
            <w:tcW w:w="1259" w:type="dxa"/>
            <w:gridSpan w:val="2"/>
            <w:tcBorders>
              <w:top w:val="nil"/>
              <w:left w:val="nil"/>
              <w:bottom w:val="nil"/>
              <w:right w:val="nil"/>
            </w:tcBorders>
          </w:tcPr>
          <w:p w14:paraId="0338DE43" w14:textId="77777777" w:rsidR="00C959DC" w:rsidRPr="00EE3355" w:rsidRDefault="00C959DC" w:rsidP="00C959DC">
            <w:pPr>
              <w:pStyle w:val="TableParagraph"/>
              <w:widowControl/>
              <w:ind w:left="624"/>
              <w:rPr>
                <w:sz w:val="18"/>
              </w:rPr>
            </w:pPr>
            <w:r w:rsidRPr="00EE3355">
              <w:rPr>
                <w:sz w:val="18"/>
              </w:rPr>
              <w:t>N/A</w:t>
            </w:r>
          </w:p>
        </w:tc>
        <w:tc>
          <w:tcPr>
            <w:tcW w:w="1344" w:type="dxa"/>
            <w:gridSpan w:val="2"/>
            <w:tcBorders>
              <w:top w:val="nil"/>
              <w:left w:val="nil"/>
              <w:bottom w:val="nil"/>
              <w:right w:val="nil"/>
            </w:tcBorders>
          </w:tcPr>
          <w:p w14:paraId="37B365EA" w14:textId="77777777" w:rsidR="00C959DC" w:rsidRDefault="00C959DC" w:rsidP="00C959DC">
            <w:pPr>
              <w:pStyle w:val="TableParagraph"/>
              <w:widowControl/>
              <w:jc w:val="center"/>
              <w:rPr>
                <w:sz w:val="18"/>
              </w:rPr>
            </w:pPr>
            <w:r w:rsidRPr="00EE3355">
              <w:rPr>
                <w:sz w:val="18"/>
              </w:rPr>
              <w:t>0,23***</w:t>
            </w:r>
          </w:p>
          <w:p w14:paraId="785996FA" w14:textId="77777777" w:rsidR="00C959DC" w:rsidRPr="00EE3355" w:rsidRDefault="00C959DC" w:rsidP="00C959DC">
            <w:pPr>
              <w:pStyle w:val="TableParagraph"/>
              <w:widowControl/>
              <w:jc w:val="center"/>
              <w:rPr>
                <w:sz w:val="18"/>
              </w:rPr>
            </w:pPr>
            <w:r w:rsidRPr="00EE3355">
              <w:rPr>
                <w:sz w:val="18"/>
              </w:rPr>
              <w:t>(0,09; 0,61)</w:t>
            </w:r>
          </w:p>
        </w:tc>
        <w:tc>
          <w:tcPr>
            <w:tcW w:w="1484" w:type="dxa"/>
            <w:gridSpan w:val="3"/>
            <w:tcBorders>
              <w:top w:val="nil"/>
              <w:left w:val="nil"/>
              <w:bottom w:val="nil"/>
            </w:tcBorders>
          </w:tcPr>
          <w:p w14:paraId="2001E4EA" w14:textId="77777777" w:rsidR="00C959DC" w:rsidRPr="00EE3355" w:rsidRDefault="00C959DC" w:rsidP="00C959DC">
            <w:pPr>
              <w:pStyle w:val="TableParagraph"/>
              <w:widowControl/>
              <w:ind w:left="242" w:right="7" w:hanging="172"/>
              <w:jc w:val="center"/>
              <w:rPr>
                <w:sz w:val="18"/>
              </w:rPr>
            </w:pPr>
            <w:r w:rsidRPr="00EE3355">
              <w:rPr>
                <w:sz w:val="18"/>
              </w:rPr>
              <w:t>0,42</w:t>
            </w:r>
          </w:p>
          <w:p w14:paraId="03B7B4A9" w14:textId="77777777" w:rsidR="00C959DC" w:rsidRPr="00EE3355" w:rsidRDefault="00C959DC" w:rsidP="00C959DC">
            <w:pPr>
              <w:pStyle w:val="TableParagraph"/>
              <w:widowControl/>
              <w:ind w:left="242" w:hanging="172"/>
              <w:jc w:val="center"/>
              <w:rPr>
                <w:sz w:val="18"/>
              </w:rPr>
            </w:pPr>
            <w:r w:rsidRPr="00EE3355">
              <w:rPr>
                <w:sz w:val="18"/>
              </w:rPr>
              <w:t>(0,14; 1,28)</w:t>
            </w:r>
          </w:p>
        </w:tc>
      </w:tr>
      <w:tr w:rsidR="00C959DC" w:rsidRPr="00EE3355" w14:paraId="40DF1F01" w14:textId="77777777" w:rsidTr="00C959DC">
        <w:trPr>
          <w:cantSplit/>
          <w:trHeight w:val="20"/>
        </w:trPr>
        <w:tc>
          <w:tcPr>
            <w:tcW w:w="3794" w:type="dxa"/>
            <w:tcBorders>
              <w:top w:val="nil"/>
              <w:bottom w:val="nil"/>
              <w:right w:val="nil"/>
            </w:tcBorders>
          </w:tcPr>
          <w:p w14:paraId="747E591F" w14:textId="77777777" w:rsidR="00C959DC" w:rsidRPr="00EE3355" w:rsidRDefault="00C959DC" w:rsidP="00C959DC">
            <w:pPr>
              <w:pStyle w:val="TableParagraph"/>
              <w:widowControl/>
              <w:ind w:left="61"/>
              <w:rPr>
                <w:sz w:val="18"/>
              </w:rPr>
            </w:pPr>
            <w:r w:rsidRPr="00EE3355">
              <w:rPr>
                <w:sz w:val="18"/>
              </w:rPr>
              <w:t>Doba do prvního relapsu GCA¹ (relabující</w:t>
            </w:r>
            <w:r>
              <w:rPr>
                <w:sz w:val="18"/>
              </w:rPr>
              <w:t xml:space="preserve"> </w:t>
            </w:r>
            <w:r w:rsidRPr="00EE3355">
              <w:rPr>
                <w:sz w:val="18"/>
              </w:rPr>
              <w:t>pacienti; skupiny s tocilizumabem</w:t>
            </w:r>
          </w:p>
          <w:p w14:paraId="2E2DE243" w14:textId="77777777" w:rsidR="00C959DC" w:rsidRPr="00EE3355" w:rsidRDefault="00C959DC" w:rsidP="00C959DC">
            <w:pPr>
              <w:pStyle w:val="TableParagraph"/>
              <w:widowControl/>
              <w:ind w:left="61"/>
              <w:rPr>
                <w:sz w:val="18"/>
              </w:rPr>
            </w:pPr>
            <w:r w:rsidRPr="00EE3355">
              <w:rPr>
                <w:sz w:val="18"/>
              </w:rPr>
              <w:t>vs. placebo + 52) HR (99% CI)</w:t>
            </w:r>
          </w:p>
        </w:tc>
        <w:tc>
          <w:tcPr>
            <w:tcW w:w="1344" w:type="dxa"/>
            <w:gridSpan w:val="2"/>
            <w:tcBorders>
              <w:top w:val="nil"/>
              <w:left w:val="nil"/>
              <w:bottom w:val="nil"/>
              <w:right w:val="nil"/>
            </w:tcBorders>
          </w:tcPr>
          <w:p w14:paraId="314E02AD" w14:textId="77777777" w:rsidR="00C959DC" w:rsidRPr="00EE3355" w:rsidRDefault="00C959DC" w:rsidP="00C959DC">
            <w:pPr>
              <w:pStyle w:val="TableParagraph"/>
              <w:widowControl/>
              <w:ind w:left="62"/>
              <w:jc w:val="center"/>
              <w:rPr>
                <w:sz w:val="18"/>
              </w:rPr>
            </w:pPr>
            <w:r w:rsidRPr="00EE3355">
              <w:rPr>
                <w:sz w:val="18"/>
              </w:rPr>
              <w:t>N/A</w:t>
            </w:r>
          </w:p>
        </w:tc>
        <w:tc>
          <w:tcPr>
            <w:tcW w:w="1259" w:type="dxa"/>
            <w:gridSpan w:val="2"/>
            <w:tcBorders>
              <w:top w:val="nil"/>
              <w:left w:val="nil"/>
              <w:bottom w:val="nil"/>
              <w:right w:val="nil"/>
            </w:tcBorders>
          </w:tcPr>
          <w:p w14:paraId="18C974A0" w14:textId="77777777" w:rsidR="00C959DC" w:rsidRPr="00EE3355" w:rsidRDefault="00C959DC" w:rsidP="00C959DC">
            <w:pPr>
              <w:pStyle w:val="TableParagraph"/>
              <w:widowControl/>
              <w:ind w:left="624"/>
              <w:rPr>
                <w:sz w:val="18"/>
              </w:rPr>
            </w:pPr>
            <w:r w:rsidRPr="00EE3355">
              <w:rPr>
                <w:sz w:val="18"/>
              </w:rPr>
              <w:t>N/A</w:t>
            </w:r>
          </w:p>
        </w:tc>
        <w:tc>
          <w:tcPr>
            <w:tcW w:w="1344" w:type="dxa"/>
            <w:gridSpan w:val="2"/>
            <w:tcBorders>
              <w:top w:val="nil"/>
              <w:left w:val="nil"/>
              <w:bottom w:val="nil"/>
              <w:right w:val="nil"/>
            </w:tcBorders>
          </w:tcPr>
          <w:p w14:paraId="038BE66F" w14:textId="77777777" w:rsidR="00C959DC" w:rsidRPr="00EE3355" w:rsidRDefault="00C959DC" w:rsidP="00C959DC">
            <w:pPr>
              <w:pStyle w:val="TableParagraph"/>
              <w:widowControl/>
              <w:ind w:right="6"/>
              <w:jc w:val="center"/>
              <w:rPr>
                <w:sz w:val="18"/>
              </w:rPr>
            </w:pPr>
            <w:r w:rsidRPr="00EE3355">
              <w:rPr>
                <w:sz w:val="18"/>
              </w:rPr>
              <w:t>0,36</w:t>
            </w:r>
          </w:p>
          <w:p w14:paraId="2913EEAB" w14:textId="77777777" w:rsidR="00C959DC" w:rsidRPr="00EE3355" w:rsidRDefault="00C959DC" w:rsidP="00C959DC">
            <w:pPr>
              <w:pStyle w:val="TableParagraph"/>
              <w:widowControl/>
              <w:jc w:val="center"/>
              <w:rPr>
                <w:sz w:val="18"/>
              </w:rPr>
            </w:pPr>
            <w:r w:rsidRPr="00EE3355">
              <w:rPr>
                <w:sz w:val="18"/>
              </w:rPr>
              <w:t>(0,13; 1,00)</w:t>
            </w:r>
          </w:p>
          <w:p w14:paraId="7CB7CE64" w14:textId="77777777" w:rsidR="00C959DC" w:rsidRDefault="00C959DC" w:rsidP="00C959DC">
            <w:pPr>
              <w:pStyle w:val="TableParagraph"/>
              <w:widowControl/>
              <w:ind w:right="67"/>
              <w:jc w:val="center"/>
              <w:rPr>
                <w:sz w:val="18"/>
              </w:rPr>
            </w:pPr>
          </w:p>
        </w:tc>
        <w:tc>
          <w:tcPr>
            <w:tcW w:w="1484" w:type="dxa"/>
            <w:gridSpan w:val="3"/>
            <w:tcBorders>
              <w:top w:val="nil"/>
              <w:left w:val="nil"/>
              <w:bottom w:val="nil"/>
            </w:tcBorders>
          </w:tcPr>
          <w:p w14:paraId="3275BBFA" w14:textId="77777777" w:rsidR="00C959DC" w:rsidRPr="00EE3355" w:rsidRDefault="00C959DC" w:rsidP="00C959DC">
            <w:pPr>
              <w:pStyle w:val="TableParagraph"/>
              <w:widowControl/>
              <w:ind w:left="242" w:right="7" w:hanging="116"/>
              <w:jc w:val="center"/>
              <w:rPr>
                <w:sz w:val="18"/>
              </w:rPr>
            </w:pPr>
            <w:r w:rsidRPr="00EE3355">
              <w:rPr>
                <w:sz w:val="18"/>
              </w:rPr>
              <w:t>0,67</w:t>
            </w:r>
          </w:p>
          <w:p w14:paraId="69B94427" w14:textId="77777777" w:rsidR="00C959DC" w:rsidRPr="00EE3355" w:rsidRDefault="00C959DC" w:rsidP="00C959DC">
            <w:pPr>
              <w:pStyle w:val="TableParagraph"/>
              <w:widowControl/>
              <w:ind w:left="242" w:right="1" w:hanging="116"/>
              <w:jc w:val="center"/>
              <w:rPr>
                <w:sz w:val="18"/>
              </w:rPr>
            </w:pPr>
            <w:r w:rsidRPr="00EE3355">
              <w:rPr>
                <w:sz w:val="18"/>
              </w:rPr>
              <w:t>(0,21; 2,10)</w:t>
            </w:r>
          </w:p>
          <w:p w14:paraId="03788050" w14:textId="77777777" w:rsidR="00C959DC" w:rsidRPr="00EE3355" w:rsidRDefault="00C959DC" w:rsidP="00C959DC">
            <w:pPr>
              <w:pStyle w:val="TableParagraph"/>
              <w:widowControl/>
              <w:ind w:left="280" w:right="312" w:hanging="14"/>
              <w:jc w:val="center"/>
              <w:rPr>
                <w:sz w:val="18"/>
              </w:rPr>
            </w:pPr>
          </w:p>
        </w:tc>
      </w:tr>
      <w:tr w:rsidR="00C959DC" w:rsidRPr="00EE3355" w14:paraId="5FB8FEB9" w14:textId="77777777" w:rsidTr="00C959DC">
        <w:trPr>
          <w:cantSplit/>
          <w:trHeight w:val="20"/>
        </w:trPr>
        <w:tc>
          <w:tcPr>
            <w:tcW w:w="3794" w:type="dxa"/>
            <w:tcBorders>
              <w:top w:val="nil"/>
              <w:bottom w:val="nil"/>
              <w:right w:val="nil"/>
            </w:tcBorders>
          </w:tcPr>
          <w:p w14:paraId="4AB54E11" w14:textId="77777777" w:rsidR="00C959DC" w:rsidRPr="00EE3355" w:rsidRDefault="00C959DC" w:rsidP="00C959DC">
            <w:pPr>
              <w:pStyle w:val="TableParagraph"/>
              <w:widowControl/>
              <w:ind w:left="61"/>
              <w:rPr>
                <w:sz w:val="18"/>
              </w:rPr>
            </w:pPr>
            <w:r w:rsidRPr="00EE3355">
              <w:rPr>
                <w:sz w:val="18"/>
              </w:rPr>
              <w:lastRenderedPageBreak/>
              <w:t>Doba do prvního relapsu GCA</w:t>
            </w:r>
            <w:r w:rsidRPr="000A0CBD">
              <w:rPr>
                <w:sz w:val="18"/>
                <w:vertAlign w:val="superscript"/>
              </w:rPr>
              <w:t>1</w:t>
            </w:r>
            <w:r w:rsidRPr="00EE3355">
              <w:rPr>
                <w:sz w:val="18"/>
              </w:rPr>
              <w:t xml:space="preserve"> (noví pacienti;</w:t>
            </w:r>
            <w:r>
              <w:rPr>
                <w:sz w:val="18"/>
              </w:rPr>
              <w:t xml:space="preserve"> </w:t>
            </w:r>
            <w:r w:rsidRPr="00EE3355">
              <w:rPr>
                <w:sz w:val="18"/>
              </w:rPr>
              <w:t>skupiny s tocilizumabem vs. placebo + 26) HR (99% CI)</w:t>
            </w:r>
          </w:p>
        </w:tc>
        <w:tc>
          <w:tcPr>
            <w:tcW w:w="1344" w:type="dxa"/>
            <w:gridSpan w:val="2"/>
            <w:tcBorders>
              <w:top w:val="nil"/>
              <w:left w:val="nil"/>
              <w:bottom w:val="nil"/>
              <w:right w:val="nil"/>
            </w:tcBorders>
          </w:tcPr>
          <w:p w14:paraId="2880C0D0" w14:textId="77777777" w:rsidR="00C959DC" w:rsidRDefault="00C959DC" w:rsidP="00C959DC">
            <w:pPr>
              <w:pStyle w:val="TableParagraph"/>
              <w:widowControl/>
              <w:ind w:left="62"/>
              <w:jc w:val="center"/>
              <w:rPr>
                <w:sz w:val="18"/>
              </w:rPr>
            </w:pPr>
            <w:r w:rsidRPr="00EE3355">
              <w:rPr>
                <w:sz w:val="18"/>
              </w:rPr>
              <w:t>N/A</w:t>
            </w:r>
          </w:p>
          <w:p w14:paraId="6E71AED8" w14:textId="77777777" w:rsidR="00C959DC" w:rsidRPr="00EE3355" w:rsidRDefault="00C959DC" w:rsidP="00C959DC">
            <w:pPr>
              <w:pStyle w:val="TableParagraph"/>
              <w:widowControl/>
              <w:ind w:left="62"/>
              <w:jc w:val="center"/>
              <w:rPr>
                <w:sz w:val="18"/>
              </w:rPr>
            </w:pPr>
          </w:p>
        </w:tc>
        <w:tc>
          <w:tcPr>
            <w:tcW w:w="1259" w:type="dxa"/>
            <w:gridSpan w:val="2"/>
            <w:tcBorders>
              <w:top w:val="nil"/>
              <w:left w:val="nil"/>
              <w:bottom w:val="nil"/>
              <w:right w:val="nil"/>
            </w:tcBorders>
          </w:tcPr>
          <w:p w14:paraId="1A4D9905" w14:textId="77777777" w:rsidR="00C959DC" w:rsidRPr="00EE3355" w:rsidRDefault="00C959DC" w:rsidP="00C959DC">
            <w:pPr>
              <w:pStyle w:val="TableParagraph"/>
              <w:widowControl/>
              <w:ind w:left="624"/>
              <w:rPr>
                <w:sz w:val="18"/>
              </w:rPr>
            </w:pPr>
            <w:r w:rsidRPr="00EE3355">
              <w:rPr>
                <w:sz w:val="18"/>
              </w:rPr>
              <w:t>N/A</w:t>
            </w:r>
          </w:p>
        </w:tc>
        <w:tc>
          <w:tcPr>
            <w:tcW w:w="1344" w:type="dxa"/>
            <w:gridSpan w:val="2"/>
            <w:tcBorders>
              <w:top w:val="nil"/>
              <w:left w:val="nil"/>
              <w:bottom w:val="nil"/>
              <w:right w:val="nil"/>
            </w:tcBorders>
          </w:tcPr>
          <w:p w14:paraId="2DF414BB" w14:textId="77777777" w:rsidR="00C959DC" w:rsidRDefault="00C959DC" w:rsidP="00C959DC">
            <w:pPr>
              <w:pStyle w:val="TableParagraph"/>
              <w:widowControl/>
              <w:ind w:right="67"/>
              <w:jc w:val="center"/>
              <w:rPr>
                <w:sz w:val="18"/>
              </w:rPr>
            </w:pPr>
            <w:r>
              <w:rPr>
                <w:sz w:val="18"/>
              </w:rPr>
              <w:t>0,25***</w:t>
            </w:r>
          </w:p>
          <w:p w14:paraId="07CC2174" w14:textId="77777777" w:rsidR="00C959DC" w:rsidRPr="00EE3355" w:rsidRDefault="00C959DC" w:rsidP="00C959DC">
            <w:pPr>
              <w:pStyle w:val="TableParagraph"/>
              <w:widowControl/>
              <w:ind w:right="67"/>
              <w:jc w:val="center"/>
              <w:rPr>
                <w:sz w:val="18"/>
              </w:rPr>
            </w:pPr>
            <w:r w:rsidRPr="00EE3355">
              <w:rPr>
                <w:sz w:val="18"/>
              </w:rPr>
              <w:t>(0,09; 0,70)</w:t>
            </w:r>
          </w:p>
        </w:tc>
        <w:tc>
          <w:tcPr>
            <w:tcW w:w="1484" w:type="dxa"/>
            <w:gridSpan w:val="3"/>
            <w:tcBorders>
              <w:top w:val="nil"/>
              <w:left w:val="nil"/>
              <w:bottom w:val="nil"/>
            </w:tcBorders>
          </w:tcPr>
          <w:p w14:paraId="3D2C189C" w14:textId="77777777" w:rsidR="00C959DC" w:rsidRPr="00EE3355" w:rsidRDefault="00C959DC" w:rsidP="00C959DC">
            <w:pPr>
              <w:pStyle w:val="TableParagraph"/>
              <w:widowControl/>
              <w:ind w:left="280" w:right="312" w:hanging="14"/>
              <w:jc w:val="center"/>
              <w:rPr>
                <w:sz w:val="18"/>
              </w:rPr>
            </w:pPr>
            <w:r w:rsidRPr="00EE3355">
              <w:rPr>
                <w:sz w:val="18"/>
              </w:rPr>
              <w:t>0,20*** (0,05; 0,76)</w:t>
            </w:r>
          </w:p>
        </w:tc>
      </w:tr>
      <w:tr w:rsidR="00C959DC" w:rsidRPr="00EE3355" w14:paraId="5DAB21DB" w14:textId="77777777" w:rsidTr="00C959DC">
        <w:trPr>
          <w:cantSplit/>
          <w:trHeight w:val="20"/>
        </w:trPr>
        <w:tc>
          <w:tcPr>
            <w:tcW w:w="3794" w:type="dxa"/>
            <w:tcBorders>
              <w:top w:val="nil"/>
              <w:bottom w:val="nil"/>
              <w:right w:val="nil"/>
            </w:tcBorders>
          </w:tcPr>
          <w:p w14:paraId="5710E82E" w14:textId="77777777" w:rsidR="00C959DC" w:rsidRPr="00EE3355" w:rsidRDefault="00C959DC" w:rsidP="00C959DC">
            <w:pPr>
              <w:pStyle w:val="TableParagraph"/>
              <w:widowControl/>
              <w:ind w:left="62"/>
              <w:rPr>
                <w:sz w:val="18"/>
              </w:rPr>
            </w:pPr>
            <w:r w:rsidRPr="00EE3355">
              <w:rPr>
                <w:sz w:val="18"/>
              </w:rPr>
              <w:t>Doba do prvního relapsu GCA</w:t>
            </w:r>
            <w:r w:rsidRPr="000A0CBD">
              <w:rPr>
                <w:sz w:val="18"/>
                <w:vertAlign w:val="superscript"/>
              </w:rPr>
              <w:t>1</w:t>
            </w:r>
            <w:r w:rsidRPr="00EE3355">
              <w:rPr>
                <w:sz w:val="18"/>
              </w:rPr>
              <w:t xml:space="preserve"> (noví pacienti;</w:t>
            </w:r>
            <w:r>
              <w:rPr>
                <w:sz w:val="18"/>
              </w:rPr>
              <w:t xml:space="preserve"> </w:t>
            </w:r>
            <w:r w:rsidRPr="00EE3355">
              <w:rPr>
                <w:sz w:val="18"/>
              </w:rPr>
              <w:t>skupiny s tocilizumabem vs. placebo + 52) HR</w:t>
            </w:r>
            <w:r>
              <w:rPr>
                <w:sz w:val="18"/>
              </w:rPr>
              <w:t xml:space="preserve"> </w:t>
            </w:r>
            <w:r w:rsidRPr="00EE3355">
              <w:rPr>
                <w:sz w:val="18"/>
              </w:rPr>
              <w:t>(99% CI)</w:t>
            </w:r>
          </w:p>
        </w:tc>
        <w:tc>
          <w:tcPr>
            <w:tcW w:w="1344" w:type="dxa"/>
            <w:gridSpan w:val="2"/>
            <w:tcBorders>
              <w:top w:val="nil"/>
              <w:left w:val="nil"/>
              <w:bottom w:val="nil"/>
              <w:right w:val="nil"/>
            </w:tcBorders>
          </w:tcPr>
          <w:p w14:paraId="3EA818E8" w14:textId="77777777" w:rsidR="00C959DC" w:rsidRPr="00EE3355" w:rsidRDefault="00C959DC" w:rsidP="00C959DC">
            <w:pPr>
              <w:pStyle w:val="TableParagraph"/>
              <w:widowControl/>
              <w:ind w:left="62"/>
              <w:jc w:val="center"/>
              <w:rPr>
                <w:sz w:val="18"/>
              </w:rPr>
            </w:pPr>
            <w:r w:rsidRPr="00EE3355">
              <w:rPr>
                <w:sz w:val="18"/>
              </w:rPr>
              <w:t>N/A</w:t>
            </w:r>
          </w:p>
        </w:tc>
        <w:tc>
          <w:tcPr>
            <w:tcW w:w="1259" w:type="dxa"/>
            <w:gridSpan w:val="2"/>
            <w:tcBorders>
              <w:top w:val="nil"/>
              <w:left w:val="nil"/>
              <w:bottom w:val="nil"/>
              <w:right w:val="nil"/>
            </w:tcBorders>
          </w:tcPr>
          <w:p w14:paraId="51D06135" w14:textId="77777777" w:rsidR="00C959DC" w:rsidRPr="00EE3355" w:rsidRDefault="00C959DC" w:rsidP="00C959DC">
            <w:pPr>
              <w:pStyle w:val="TableParagraph"/>
              <w:widowControl/>
              <w:ind w:left="624"/>
              <w:rPr>
                <w:sz w:val="18"/>
              </w:rPr>
            </w:pPr>
            <w:r w:rsidRPr="00EE3355">
              <w:rPr>
                <w:sz w:val="18"/>
              </w:rPr>
              <w:t>N/A</w:t>
            </w:r>
          </w:p>
        </w:tc>
        <w:tc>
          <w:tcPr>
            <w:tcW w:w="1344" w:type="dxa"/>
            <w:gridSpan w:val="2"/>
            <w:tcBorders>
              <w:top w:val="nil"/>
              <w:left w:val="nil"/>
              <w:bottom w:val="nil"/>
              <w:right w:val="nil"/>
            </w:tcBorders>
          </w:tcPr>
          <w:p w14:paraId="422E21CB" w14:textId="77777777" w:rsidR="00C959DC" w:rsidRPr="00EE3355" w:rsidRDefault="00C959DC" w:rsidP="00C959DC">
            <w:pPr>
              <w:pStyle w:val="TableParagraph"/>
              <w:widowControl/>
              <w:ind w:right="7"/>
              <w:jc w:val="center"/>
              <w:rPr>
                <w:sz w:val="18"/>
              </w:rPr>
            </w:pPr>
            <w:r w:rsidRPr="00EE3355">
              <w:rPr>
                <w:sz w:val="18"/>
              </w:rPr>
              <w:t>0,44</w:t>
            </w:r>
          </w:p>
          <w:p w14:paraId="7ED34607" w14:textId="77777777" w:rsidR="00C959DC" w:rsidRPr="00EE3355" w:rsidRDefault="00C959DC" w:rsidP="00C959DC">
            <w:pPr>
              <w:pStyle w:val="TableParagraph"/>
              <w:widowControl/>
              <w:ind w:right="114"/>
              <w:jc w:val="center"/>
              <w:rPr>
                <w:sz w:val="18"/>
              </w:rPr>
            </w:pPr>
            <w:r w:rsidRPr="00EE3355">
              <w:rPr>
                <w:sz w:val="18"/>
              </w:rPr>
              <w:t>(0,14; 1,32)</w:t>
            </w:r>
          </w:p>
        </w:tc>
        <w:tc>
          <w:tcPr>
            <w:tcW w:w="1484" w:type="dxa"/>
            <w:gridSpan w:val="3"/>
            <w:tcBorders>
              <w:top w:val="nil"/>
              <w:left w:val="nil"/>
              <w:bottom w:val="nil"/>
            </w:tcBorders>
          </w:tcPr>
          <w:p w14:paraId="0A328038" w14:textId="77777777" w:rsidR="00C959DC" w:rsidRPr="00EE3355" w:rsidRDefault="00C959DC" w:rsidP="00C959DC">
            <w:pPr>
              <w:pStyle w:val="TableParagraph"/>
              <w:widowControl/>
              <w:ind w:left="-14" w:right="8" w:hanging="42"/>
              <w:jc w:val="center"/>
              <w:rPr>
                <w:sz w:val="18"/>
              </w:rPr>
            </w:pPr>
            <w:r w:rsidRPr="00EE3355">
              <w:rPr>
                <w:sz w:val="18"/>
              </w:rPr>
              <w:t>0,35</w:t>
            </w:r>
          </w:p>
          <w:p w14:paraId="4E6D999E" w14:textId="77777777" w:rsidR="00C959DC" w:rsidRPr="00EE3355" w:rsidRDefault="00C959DC" w:rsidP="00C959DC">
            <w:pPr>
              <w:pStyle w:val="TableParagraph"/>
              <w:widowControl/>
              <w:ind w:left="311" w:right="311" w:hanging="7"/>
              <w:jc w:val="center"/>
              <w:rPr>
                <w:sz w:val="18"/>
              </w:rPr>
            </w:pPr>
            <w:r w:rsidRPr="00EE3355">
              <w:rPr>
                <w:sz w:val="18"/>
              </w:rPr>
              <w:t>(0,09; 1,42)</w:t>
            </w:r>
          </w:p>
        </w:tc>
      </w:tr>
      <w:tr w:rsidR="00C959DC" w:rsidRPr="00EE3355" w14:paraId="69C1E75D" w14:textId="77777777" w:rsidTr="00910585">
        <w:trPr>
          <w:cantSplit/>
          <w:trHeight w:val="1002"/>
        </w:trPr>
        <w:tc>
          <w:tcPr>
            <w:tcW w:w="3794" w:type="dxa"/>
            <w:tcBorders>
              <w:top w:val="nil"/>
              <w:bottom w:val="single" w:sz="4" w:space="0" w:color="000000"/>
              <w:right w:val="nil"/>
            </w:tcBorders>
          </w:tcPr>
          <w:p w14:paraId="093EB823" w14:textId="77777777" w:rsidR="00C959DC" w:rsidRPr="00EE3355" w:rsidRDefault="00C959DC" w:rsidP="00C959DC">
            <w:pPr>
              <w:pStyle w:val="TableParagraph"/>
              <w:widowControl/>
              <w:ind w:left="782" w:hanging="720"/>
              <w:rPr>
                <w:i/>
                <w:sz w:val="18"/>
              </w:rPr>
            </w:pPr>
            <w:r w:rsidRPr="00EE3355">
              <w:rPr>
                <w:i/>
                <w:sz w:val="18"/>
              </w:rPr>
              <w:t>Kumulativní dávka glukokortikoidu (mg) medián v týdnu 52 (skupiny</w:t>
            </w:r>
            <w:r>
              <w:rPr>
                <w:i/>
                <w:sz w:val="18"/>
              </w:rPr>
              <w:t xml:space="preserve"> </w:t>
            </w:r>
            <w:r w:rsidRPr="00EE3355">
              <w:rPr>
                <w:i/>
                <w:sz w:val="18"/>
              </w:rPr>
              <w:t>s tocilizumabem vs. placebo + 26</w:t>
            </w:r>
            <w:r w:rsidRPr="00EE3355">
              <w:rPr>
                <w:i/>
                <w:sz w:val="18"/>
                <w:vertAlign w:val="superscript"/>
              </w:rPr>
              <w:t>2</w:t>
            </w:r>
            <w:r w:rsidRPr="00EE3355">
              <w:rPr>
                <w:i/>
                <w:sz w:val="18"/>
              </w:rPr>
              <w:t>)</w:t>
            </w:r>
          </w:p>
          <w:p w14:paraId="462AC791" w14:textId="77777777" w:rsidR="00C959DC" w:rsidRPr="00EE3355" w:rsidRDefault="00C959DC" w:rsidP="00C959DC">
            <w:pPr>
              <w:pStyle w:val="TableParagraph"/>
              <w:widowControl/>
              <w:ind w:left="782"/>
              <w:rPr>
                <w:i/>
                <w:sz w:val="18"/>
              </w:rPr>
            </w:pPr>
            <w:r w:rsidRPr="00EE3355">
              <w:rPr>
                <w:i/>
                <w:sz w:val="18"/>
              </w:rPr>
              <w:t>medián v týdnu 52 (skupiny</w:t>
            </w:r>
            <w:r>
              <w:rPr>
                <w:i/>
                <w:sz w:val="18"/>
              </w:rPr>
              <w:t xml:space="preserve"> </w:t>
            </w:r>
            <w:r w:rsidRPr="00EE3355">
              <w:rPr>
                <w:i/>
                <w:sz w:val="18"/>
              </w:rPr>
              <w:t>s tocilizumabem vs. placebo + 52</w:t>
            </w:r>
            <w:r w:rsidRPr="00EE3355">
              <w:rPr>
                <w:i/>
                <w:sz w:val="18"/>
                <w:vertAlign w:val="superscript"/>
              </w:rPr>
              <w:t>2</w:t>
            </w:r>
            <w:r w:rsidRPr="00EE3355">
              <w:rPr>
                <w:i/>
                <w:sz w:val="18"/>
              </w:rPr>
              <w:t>)</w:t>
            </w:r>
          </w:p>
        </w:tc>
        <w:tc>
          <w:tcPr>
            <w:tcW w:w="1344" w:type="dxa"/>
            <w:gridSpan w:val="2"/>
            <w:tcBorders>
              <w:top w:val="nil"/>
              <w:left w:val="nil"/>
              <w:bottom w:val="single" w:sz="4" w:space="0" w:color="000000"/>
              <w:right w:val="nil"/>
            </w:tcBorders>
          </w:tcPr>
          <w:p w14:paraId="7236EFFF" w14:textId="77777777" w:rsidR="00C959DC" w:rsidRPr="00EE3355" w:rsidRDefault="00C959DC" w:rsidP="00C959DC">
            <w:pPr>
              <w:pStyle w:val="TableParagraph"/>
              <w:widowControl/>
              <w:rPr>
                <w:i/>
                <w:sz w:val="18"/>
              </w:rPr>
            </w:pPr>
          </w:p>
          <w:p w14:paraId="40A2002C" w14:textId="77777777" w:rsidR="00C959DC" w:rsidRPr="00EE3355" w:rsidRDefault="00C959DC" w:rsidP="00C959DC">
            <w:pPr>
              <w:pStyle w:val="TableParagraph"/>
              <w:widowControl/>
              <w:ind w:left="70" w:right="1"/>
              <w:jc w:val="center"/>
              <w:rPr>
                <w:sz w:val="18"/>
              </w:rPr>
            </w:pPr>
            <w:r w:rsidRPr="00EE3355">
              <w:rPr>
                <w:sz w:val="18"/>
              </w:rPr>
              <w:t>3 296,00</w:t>
            </w:r>
          </w:p>
          <w:p w14:paraId="21ED7F9D" w14:textId="77777777" w:rsidR="00C959DC" w:rsidRDefault="00C959DC" w:rsidP="00C959DC">
            <w:pPr>
              <w:pStyle w:val="TableParagraph"/>
              <w:widowControl/>
              <w:rPr>
                <w:i/>
                <w:sz w:val="18"/>
              </w:rPr>
            </w:pPr>
          </w:p>
          <w:p w14:paraId="2F456588" w14:textId="77777777" w:rsidR="00C959DC" w:rsidRPr="00EE3355" w:rsidRDefault="00C959DC" w:rsidP="00C959DC">
            <w:pPr>
              <w:pStyle w:val="TableParagraph"/>
              <w:widowControl/>
              <w:ind w:left="67"/>
              <w:jc w:val="center"/>
              <w:rPr>
                <w:sz w:val="18"/>
              </w:rPr>
            </w:pPr>
            <w:r w:rsidRPr="00EE3355">
              <w:rPr>
                <w:sz w:val="18"/>
              </w:rPr>
              <w:t>N/A</w:t>
            </w:r>
          </w:p>
        </w:tc>
        <w:tc>
          <w:tcPr>
            <w:tcW w:w="1259" w:type="dxa"/>
            <w:gridSpan w:val="2"/>
            <w:tcBorders>
              <w:top w:val="nil"/>
              <w:left w:val="nil"/>
              <w:bottom w:val="single" w:sz="4" w:space="0" w:color="000000"/>
              <w:right w:val="nil"/>
            </w:tcBorders>
          </w:tcPr>
          <w:p w14:paraId="1454CE6D" w14:textId="77777777" w:rsidR="00C959DC" w:rsidRPr="00EE3355" w:rsidRDefault="00C959DC" w:rsidP="00C959DC">
            <w:pPr>
              <w:pStyle w:val="TableParagraph"/>
              <w:widowControl/>
              <w:rPr>
                <w:i/>
                <w:sz w:val="18"/>
              </w:rPr>
            </w:pPr>
          </w:p>
          <w:p w14:paraId="147FF209" w14:textId="77777777" w:rsidR="00C959DC" w:rsidRPr="00EE3355" w:rsidRDefault="00C959DC" w:rsidP="00C959DC">
            <w:pPr>
              <w:pStyle w:val="TableParagraph"/>
              <w:widowControl/>
              <w:ind w:left="308" w:right="2"/>
              <w:jc w:val="center"/>
              <w:rPr>
                <w:sz w:val="18"/>
              </w:rPr>
            </w:pPr>
            <w:r w:rsidRPr="00EE3355">
              <w:rPr>
                <w:sz w:val="18"/>
              </w:rPr>
              <w:t>N/A</w:t>
            </w:r>
          </w:p>
          <w:p w14:paraId="0B74ECDC" w14:textId="77777777" w:rsidR="00C959DC" w:rsidRPr="00EE3355" w:rsidRDefault="00C959DC" w:rsidP="00C959DC">
            <w:pPr>
              <w:pStyle w:val="TableParagraph"/>
              <w:widowControl/>
              <w:rPr>
                <w:i/>
                <w:sz w:val="18"/>
              </w:rPr>
            </w:pPr>
          </w:p>
          <w:p w14:paraId="1FAF6022" w14:textId="77777777" w:rsidR="00C959DC" w:rsidRPr="00EE3355" w:rsidRDefault="00C959DC" w:rsidP="00C959DC">
            <w:pPr>
              <w:pStyle w:val="TableParagraph"/>
              <w:widowControl/>
              <w:ind w:left="308"/>
              <w:jc w:val="center"/>
              <w:rPr>
                <w:sz w:val="18"/>
              </w:rPr>
            </w:pPr>
            <w:r w:rsidRPr="00EE3355">
              <w:rPr>
                <w:sz w:val="18"/>
              </w:rPr>
              <w:t>3 817,50</w:t>
            </w:r>
          </w:p>
        </w:tc>
        <w:tc>
          <w:tcPr>
            <w:tcW w:w="1344" w:type="dxa"/>
            <w:gridSpan w:val="2"/>
            <w:tcBorders>
              <w:top w:val="nil"/>
              <w:left w:val="nil"/>
              <w:bottom w:val="single" w:sz="4" w:space="0" w:color="000000"/>
              <w:right w:val="nil"/>
            </w:tcBorders>
          </w:tcPr>
          <w:p w14:paraId="2607B246" w14:textId="77777777" w:rsidR="00C959DC" w:rsidRPr="00EE3355" w:rsidRDefault="00C959DC" w:rsidP="00C959DC">
            <w:pPr>
              <w:pStyle w:val="TableParagraph"/>
              <w:widowControl/>
              <w:rPr>
                <w:i/>
                <w:sz w:val="18"/>
              </w:rPr>
            </w:pPr>
          </w:p>
          <w:p w14:paraId="104EEA92" w14:textId="77777777" w:rsidR="00C959DC" w:rsidRPr="00EE3355" w:rsidRDefault="00C959DC" w:rsidP="00C959DC">
            <w:pPr>
              <w:pStyle w:val="TableParagraph"/>
              <w:widowControl/>
              <w:ind w:left="252"/>
              <w:rPr>
                <w:sz w:val="18"/>
              </w:rPr>
            </w:pPr>
            <w:r w:rsidRPr="00EE3355">
              <w:rPr>
                <w:sz w:val="18"/>
              </w:rPr>
              <w:t>1 862,00*</w:t>
            </w:r>
          </w:p>
          <w:p w14:paraId="3E898CED" w14:textId="77777777" w:rsidR="00C959DC" w:rsidRPr="00EE3355" w:rsidRDefault="00C959DC" w:rsidP="00C959DC">
            <w:pPr>
              <w:pStyle w:val="TableParagraph"/>
              <w:widowControl/>
              <w:rPr>
                <w:i/>
                <w:sz w:val="18"/>
              </w:rPr>
            </w:pPr>
          </w:p>
          <w:p w14:paraId="3DF0282E" w14:textId="77777777" w:rsidR="00C959DC" w:rsidRPr="00EE3355" w:rsidRDefault="00C959DC" w:rsidP="00C959DC">
            <w:pPr>
              <w:pStyle w:val="TableParagraph"/>
              <w:widowControl/>
              <w:ind w:left="252" w:hanging="14"/>
              <w:rPr>
                <w:sz w:val="18"/>
              </w:rPr>
            </w:pPr>
            <w:r w:rsidRPr="00EE3355">
              <w:rPr>
                <w:sz w:val="18"/>
              </w:rPr>
              <w:t>1 862,00*</w:t>
            </w:r>
          </w:p>
        </w:tc>
        <w:tc>
          <w:tcPr>
            <w:tcW w:w="1484" w:type="dxa"/>
            <w:gridSpan w:val="3"/>
            <w:tcBorders>
              <w:top w:val="nil"/>
              <w:left w:val="nil"/>
              <w:bottom w:val="single" w:sz="4" w:space="0" w:color="000000"/>
            </w:tcBorders>
          </w:tcPr>
          <w:p w14:paraId="41423C83" w14:textId="77777777" w:rsidR="00C959DC" w:rsidRPr="00EE3355" w:rsidRDefault="00C959DC" w:rsidP="00C959DC">
            <w:pPr>
              <w:pStyle w:val="TableParagraph"/>
              <w:widowControl/>
              <w:rPr>
                <w:i/>
                <w:sz w:val="18"/>
              </w:rPr>
            </w:pPr>
          </w:p>
          <w:p w14:paraId="2518323A" w14:textId="77777777" w:rsidR="00C959DC" w:rsidRPr="00EE3355" w:rsidRDefault="00C959DC" w:rsidP="00C959DC">
            <w:pPr>
              <w:pStyle w:val="TableParagraph"/>
              <w:widowControl/>
              <w:ind w:left="322" w:hanging="11"/>
              <w:rPr>
                <w:sz w:val="18"/>
              </w:rPr>
            </w:pPr>
            <w:r w:rsidRPr="00EE3355">
              <w:rPr>
                <w:sz w:val="18"/>
              </w:rPr>
              <w:t>1 862,00*</w:t>
            </w:r>
          </w:p>
          <w:p w14:paraId="2C4B9D3C" w14:textId="77777777" w:rsidR="00C959DC" w:rsidRPr="00EE3355" w:rsidRDefault="00C959DC" w:rsidP="00C959DC">
            <w:pPr>
              <w:pStyle w:val="TableParagraph"/>
              <w:widowControl/>
              <w:rPr>
                <w:i/>
                <w:sz w:val="18"/>
              </w:rPr>
            </w:pPr>
          </w:p>
          <w:p w14:paraId="6BDBC92E" w14:textId="77777777" w:rsidR="00C959DC" w:rsidRPr="00EE3355" w:rsidRDefault="00C959DC" w:rsidP="00C959DC">
            <w:pPr>
              <w:pStyle w:val="TableParagraph"/>
              <w:widowControl/>
              <w:ind w:left="336"/>
              <w:rPr>
                <w:sz w:val="18"/>
              </w:rPr>
            </w:pPr>
            <w:r w:rsidRPr="00EE3355">
              <w:rPr>
                <w:sz w:val="18"/>
              </w:rPr>
              <w:t>1 862,00*</w:t>
            </w:r>
          </w:p>
        </w:tc>
      </w:tr>
      <w:tr w:rsidR="00C959DC" w:rsidRPr="00EE3355" w14:paraId="7B05C72F" w14:textId="77777777" w:rsidTr="00CE49B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46"/>
        </w:trPr>
        <w:tc>
          <w:tcPr>
            <w:tcW w:w="9225" w:type="dxa"/>
            <w:gridSpan w:val="10"/>
            <w:tcBorders>
              <w:top w:val="single" w:sz="4" w:space="0" w:color="000000"/>
              <w:left w:val="single" w:sz="4" w:space="0" w:color="000000"/>
              <w:bottom w:val="single" w:sz="4" w:space="0" w:color="000000"/>
              <w:right w:val="single" w:sz="4" w:space="0" w:color="000000"/>
            </w:tcBorders>
          </w:tcPr>
          <w:p w14:paraId="4ED5CC27" w14:textId="77777777" w:rsidR="00C959DC" w:rsidRPr="00EE3355" w:rsidRDefault="00C959DC" w:rsidP="00C959DC">
            <w:pPr>
              <w:pStyle w:val="TableParagraph"/>
              <w:widowControl/>
              <w:ind w:left="-158" w:firstLine="212"/>
              <w:rPr>
                <w:b/>
                <w:sz w:val="18"/>
              </w:rPr>
            </w:pPr>
            <w:r w:rsidRPr="00EE3355">
              <w:rPr>
                <w:b/>
                <w:sz w:val="18"/>
              </w:rPr>
              <w:t>Výzkumné cílové parametry</w:t>
            </w:r>
          </w:p>
        </w:tc>
      </w:tr>
      <w:tr w:rsidR="00C959DC" w:rsidRPr="00EE3355" w14:paraId="7E4D8465" w14:textId="77777777" w:rsidTr="00CE49B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31"/>
        </w:trPr>
        <w:tc>
          <w:tcPr>
            <w:tcW w:w="3794" w:type="dxa"/>
            <w:tcBorders>
              <w:top w:val="single" w:sz="4" w:space="0" w:color="000000"/>
              <w:left w:val="single" w:sz="4" w:space="0" w:color="000000"/>
              <w:bottom w:val="single" w:sz="4" w:space="0" w:color="000000"/>
              <w:right w:val="single" w:sz="4" w:space="0" w:color="auto"/>
            </w:tcBorders>
          </w:tcPr>
          <w:p w14:paraId="27B7602B" w14:textId="77777777" w:rsidR="00C959DC" w:rsidRPr="00EE3355" w:rsidRDefault="00C959DC" w:rsidP="00C959DC">
            <w:pPr>
              <w:pStyle w:val="TableParagraph"/>
              <w:widowControl/>
              <w:ind w:left="-158" w:firstLine="212"/>
              <w:rPr>
                <w:sz w:val="18"/>
              </w:rPr>
            </w:pPr>
            <w:r w:rsidRPr="00EE3355">
              <w:rPr>
                <w:sz w:val="18"/>
              </w:rPr>
              <w:t>Anualizovaný výskyt relapsů v týdnu 52</w:t>
            </w:r>
            <w:r w:rsidRPr="00EE3355">
              <w:rPr>
                <w:sz w:val="18"/>
                <w:vertAlign w:val="superscript"/>
              </w:rPr>
              <w:t>§</w:t>
            </w:r>
          </w:p>
          <w:p w14:paraId="40F12278" w14:textId="77777777" w:rsidR="00C959DC" w:rsidRPr="00EE3355" w:rsidRDefault="00C959DC" w:rsidP="00C959DC">
            <w:pPr>
              <w:pStyle w:val="TableParagraph"/>
              <w:widowControl/>
              <w:ind w:left="-158" w:firstLine="212"/>
              <w:rPr>
                <w:sz w:val="18"/>
              </w:rPr>
            </w:pPr>
            <w:r w:rsidRPr="00EE3355">
              <w:rPr>
                <w:sz w:val="18"/>
              </w:rPr>
              <w:t>Průměr (SD)</w:t>
            </w:r>
          </w:p>
        </w:tc>
        <w:tc>
          <w:tcPr>
            <w:tcW w:w="1210" w:type="dxa"/>
            <w:tcBorders>
              <w:top w:val="single" w:sz="4" w:space="0" w:color="000000"/>
              <w:left w:val="single" w:sz="4" w:space="0" w:color="auto"/>
              <w:bottom w:val="single" w:sz="4" w:space="0" w:color="000000"/>
              <w:right w:val="single" w:sz="4" w:space="0" w:color="auto"/>
            </w:tcBorders>
          </w:tcPr>
          <w:p w14:paraId="7DC42F0E" w14:textId="77777777" w:rsidR="00C959DC" w:rsidRPr="00EE3355" w:rsidRDefault="00C959DC" w:rsidP="00C959DC">
            <w:pPr>
              <w:pStyle w:val="TableParagraph"/>
              <w:widowControl/>
              <w:ind w:left="-158" w:right="3" w:firstLine="158"/>
              <w:jc w:val="center"/>
              <w:rPr>
                <w:sz w:val="18"/>
              </w:rPr>
            </w:pPr>
            <w:r w:rsidRPr="00EE3355">
              <w:rPr>
                <w:sz w:val="18"/>
              </w:rPr>
              <w:t>1,74</w:t>
            </w:r>
          </w:p>
          <w:p w14:paraId="6A4E27A4" w14:textId="77777777" w:rsidR="00C959DC" w:rsidRPr="00EE3355" w:rsidRDefault="00C959DC" w:rsidP="00C959DC">
            <w:pPr>
              <w:pStyle w:val="TableParagraph"/>
              <w:widowControl/>
              <w:ind w:left="-158" w:firstLine="158"/>
              <w:jc w:val="center"/>
              <w:rPr>
                <w:sz w:val="18"/>
              </w:rPr>
            </w:pPr>
            <w:r w:rsidRPr="00EE3355">
              <w:rPr>
                <w:sz w:val="18"/>
              </w:rPr>
              <w:t>(2,18)</w:t>
            </w:r>
          </w:p>
        </w:tc>
        <w:tc>
          <w:tcPr>
            <w:tcW w:w="1294" w:type="dxa"/>
            <w:gridSpan w:val="2"/>
            <w:tcBorders>
              <w:top w:val="single" w:sz="4" w:space="0" w:color="000000"/>
              <w:left w:val="single" w:sz="4" w:space="0" w:color="auto"/>
              <w:bottom w:val="single" w:sz="4" w:space="0" w:color="000000"/>
              <w:right w:val="single" w:sz="4" w:space="0" w:color="auto"/>
            </w:tcBorders>
          </w:tcPr>
          <w:p w14:paraId="5353ACA6" w14:textId="77777777" w:rsidR="00C959DC" w:rsidRPr="00EE3355" w:rsidRDefault="00C959DC" w:rsidP="00C959DC">
            <w:pPr>
              <w:pStyle w:val="TableParagraph"/>
              <w:widowControl/>
              <w:ind w:left="-158" w:firstLine="628"/>
              <w:rPr>
                <w:sz w:val="18"/>
              </w:rPr>
            </w:pPr>
            <w:r w:rsidRPr="00EE3355">
              <w:rPr>
                <w:sz w:val="18"/>
              </w:rPr>
              <w:t>1,30</w:t>
            </w:r>
          </w:p>
          <w:p w14:paraId="4C132FA0" w14:textId="77777777" w:rsidR="00C959DC" w:rsidRPr="00EE3355" w:rsidRDefault="00C959DC" w:rsidP="00C959DC">
            <w:pPr>
              <w:pStyle w:val="TableParagraph"/>
              <w:widowControl/>
              <w:ind w:left="-158" w:firstLine="572"/>
              <w:rPr>
                <w:sz w:val="18"/>
              </w:rPr>
            </w:pPr>
            <w:r w:rsidRPr="00EE3355">
              <w:rPr>
                <w:sz w:val="18"/>
              </w:rPr>
              <w:t>(1,84)</w:t>
            </w:r>
          </w:p>
        </w:tc>
        <w:tc>
          <w:tcPr>
            <w:tcW w:w="1920" w:type="dxa"/>
            <w:gridSpan w:val="4"/>
            <w:tcBorders>
              <w:top w:val="single" w:sz="4" w:space="0" w:color="000000"/>
              <w:left w:val="single" w:sz="4" w:space="0" w:color="auto"/>
              <w:bottom w:val="single" w:sz="4" w:space="0" w:color="000000"/>
              <w:right w:val="single" w:sz="4" w:space="0" w:color="auto"/>
            </w:tcBorders>
          </w:tcPr>
          <w:p w14:paraId="1716E65E" w14:textId="77777777" w:rsidR="00C959DC" w:rsidRPr="00EE3355" w:rsidRDefault="00C959DC" w:rsidP="00C959DC">
            <w:pPr>
              <w:pStyle w:val="TableParagraph"/>
              <w:widowControl/>
              <w:ind w:left="-158" w:right="197" w:firstLine="158"/>
              <w:jc w:val="center"/>
              <w:rPr>
                <w:sz w:val="18"/>
              </w:rPr>
            </w:pPr>
            <w:r w:rsidRPr="00EE3355">
              <w:rPr>
                <w:sz w:val="18"/>
              </w:rPr>
              <w:t>0,41</w:t>
            </w:r>
          </w:p>
          <w:p w14:paraId="6490646F" w14:textId="77777777" w:rsidR="00C959DC" w:rsidRPr="00EE3355" w:rsidRDefault="00C959DC" w:rsidP="00C959DC">
            <w:pPr>
              <w:pStyle w:val="TableParagraph"/>
              <w:widowControl/>
              <w:ind w:left="-158" w:right="166" w:firstLine="158"/>
              <w:jc w:val="center"/>
              <w:rPr>
                <w:sz w:val="18"/>
              </w:rPr>
            </w:pPr>
            <w:r w:rsidRPr="00EE3355">
              <w:rPr>
                <w:sz w:val="18"/>
              </w:rPr>
              <w:t>(0,78)</w:t>
            </w:r>
          </w:p>
        </w:tc>
        <w:tc>
          <w:tcPr>
            <w:tcW w:w="1007" w:type="dxa"/>
            <w:gridSpan w:val="2"/>
            <w:tcBorders>
              <w:top w:val="single" w:sz="4" w:space="0" w:color="000000"/>
              <w:left w:val="single" w:sz="4" w:space="0" w:color="auto"/>
              <w:bottom w:val="single" w:sz="4" w:space="0" w:color="000000"/>
            </w:tcBorders>
          </w:tcPr>
          <w:p w14:paraId="1269F0AF" w14:textId="77777777" w:rsidR="00C959DC" w:rsidRPr="00EE3355" w:rsidRDefault="00C959DC" w:rsidP="00C959DC">
            <w:pPr>
              <w:pStyle w:val="TableParagraph"/>
              <w:widowControl/>
              <w:ind w:left="-158" w:right="49" w:hanging="11"/>
              <w:jc w:val="center"/>
              <w:rPr>
                <w:sz w:val="18"/>
              </w:rPr>
            </w:pPr>
            <w:r w:rsidRPr="00EE3355">
              <w:rPr>
                <w:sz w:val="18"/>
              </w:rPr>
              <w:t>0,67</w:t>
            </w:r>
          </w:p>
          <w:p w14:paraId="054334CE" w14:textId="77777777" w:rsidR="00C959DC" w:rsidRPr="00EE3355" w:rsidRDefault="00C959DC" w:rsidP="00C959DC">
            <w:pPr>
              <w:pStyle w:val="TableParagraph"/>
              <w:widowControl/>
              <w:ind w:left="-158" w:right="181" w:firstLine="158"/>
              <w:jc w:val="center"/>
              <w:rPr>
                <w:sz w:val="18"/>
              </w:rPr>
            </w:pPr>
            <w:r w:rsidRPr="00EE3355">
              <w:rPr>
                <w:sz w:val="18"/>
              </w:rPr>
              <w:t>(1,10)</w:t>
            </w:r>
          </w:p>
        </w:tc>
      </w:tr>
    </w:tbl>
    <w:p w14:paraId="7EDD146B" w14:textId="77777777" w:rsidR="00222DE0" w:rsidRPr="00EE3355" w:rsidRDefault="0098273B" w:rsidP="00EA1CDF">
      <w:pPr>
        <w:widowControl/>
        <w:rPr>
          <w:sz w:val="18"/>
        </w:rPr>
      </w:pPr>
      <w:r w:rsidRPr="00EE3355">
        <w:rPr>
          <w:sz w:val="18"/>
        </w:rPr>
        <w:t>* p &lt; 0,0001</w:t>
      </w:r>
    </w:p>
    <w:p w14:paraId="02654549" w14:textId="77777777" w:rsidR="00222DE0" w:rsidRPr="00EE3355" w:rsidRDefault="0098273B" w:rsidP="00EA1CDF">
      <w:pPr>
        <w:widowControl/>
        <w:rPr>
          <w:sz w:val="18"/>
        </w:rPr>
      </w:pPr>
      <w:r w:rsidRPr="00EE3355">
        <w:rPr>
          <w:sz w:val="18"/>
        </w:rPr>
        <w:t>** p &lt; 0,005 (mez významnosti pro primární a hlavní sekundární testy superiority)</w:t>
      </w:r>
    </w:p>
    <w:p w14:paraId="021FB11A" w14:textId="77777777" w:rsidR="00222DE0" w:rsidRPr="00EE3355" w:rsidRDefault="0098273B" w:rsidP="00EA1CDF">
      <w:pPr>
        <w:widowControl/>
        <w:rPr>
          <w:sz w:val="18"/>
        </w:rPr>
      </w:pPr>
      <w:r w:rsidRPr="00EE3355">
        <w:rPr>
          <w:sz w:val="18"/>
        </w:rPr>
        <w:t xml:space="preserve">*** Deskriptivní hodnota p </w:t>
      </w:r>
      <w:r w:rsidRPr="00EE3355">
        <w:rPr>
          <w:sz w:val="18"/>
          <w:u w:val="single"/>
        </w:rPr>
        <w:t>&lt; 0,005</w:t>
      </w:r>
    </w:p>
    <w:p w14:paraId="14D9F30A" w14:textId="77777777" w:rsidR="00222DE0" w:rsidRPr="00EE3355" w:rsidRDefault="0098273B" w:rsidP="00EA1CDF">
      <w:pPr>
        <w:widowControl/>
        <w:rPr>
          <w:sz w:val="18"/>
        </w:rPr>
      </w:pPr>
      <w:r w:rsidRPr="00EE3355">
        <w:rPr>
          <w:sz w:val="18"/>
        </w:rPr>
        <w:t xml:space="preserve">**** </w:t>
      </w:r>
      <w:r w:rsidRPr="00910585">
        <w:rPr>
          <w:b/>
          <w:bCs/>
          <w:sz w:val="18"/>
        </w:rPr>
        <w:t>Relaps: recidivující příznaky nebo symptomy GCA a/nebo ESR ≥ 30 mm/h</w:t>
      </w:r>
      <w:r w:rsidRPr="00EE3355">
        <w:rPr>
          <w:sz w:val="18"/>
        </w:rPr>
        <w:t xml:space="preserve"> – nutné zvýšení požadované dávky prednisonu</w:t>
      </w:r>
    </w:p>
    <w:p w14:paraId="084D80C7" w14:textId="77777777" w:rsidR="00222DE0" w:rsidRPr="00910585" w:rsidRDefault="0098273B" w:rsidP="00EA1CDF">
      <w:pPr>
        <w:widowControl/>
        <w:rPr>
          <w:b/>
          <w:bCs/>
          <w:sz w:val="18"/>
        </w:rPr>
      </w:pPr>
      <w:r w:rsidRPr="00910585">
        <w:rPr>
          <w:b/>
          <w:bCs/>
          <w:sz w:val="18"/>
        </w:rPr>
        <w:t>Remise: nepřítomnost relapsu a normalizace CRP</w:t>
      </w:r>
    </w:p>
    <w:p w14:paraId="2051FC59" w14:textId="77777777" w:rsidR="00222DE0" w:rsidRPr="00EE3355" w:rsidRDefault="0098273B" w:rsidP="00EA1CDF">
      <w:pPr>
        <w:widowControl/>
        <w:rPr>
          <w:sz w:val="18"/>
        </w:rPr>
      </w:pPr>
      <w:r w:rsidRPr="00910585">
        <w:rPr>
          <w:b/>
          <w:bCs/>
          <w:sz w:val="18"/>
        </w:rPr>
        <w:t>Trvalá remise: remise od 12. do 52. týdne</w:t>
      </w:r>
      <w:r w:rsidRPr="00EE3355">
        <w:rPr>
          <w:sz w:val="18"/>
        </w:rPr>
        <w:t xml:space="preserve"> – pacienti musí dodržovat protokolem definované postupné vysazování prednisonu</w:t>
      </w:r>
    </w:p>
    <w:p w14:paraId="044AB081" w14:textId="77777777" w:rsidR="00222DE0" w:rsidRPr="00EE3355" w:rsidRDefault="007F2529" w:rsidP="00EA1CDF">
      <w:pPr>
        <w:widowControl/>
        <w:rPr>
          <w:sz w:val="18"/>
        </w:rPr>
      </w:pPr>
      <w:r w:rsidRPr="007F2529">
        <w:rPr>
          <w:sz w:val="18"/>
          <w:vertAlign w:val="superscript"/>
        </w:rPr>
        <w:t>1</w:t>
      </w:r>
      <w:r>
        <w:rPr>
          <w:sz w:val="18"/>
        </w:rPr>
        <w:t xml:space="preserve"> </w:t>
      </w:r>
      <w:r w:rsidR="0098273B" w:rsidRPr="00EE3355">
        <w:rPr>
          <w:sz w:val="18"/>
        </w:rPr>
        <w:t>Analýza doby (ve dnech) od klinické remise a prvním relapsem</w:t>
      </w:r>
    </w:p>
    <w:p w14:paraId="406201C8" w14:textId="77777777" w:rsidR="00222DE0" w:rsidRPr="00EE3355" w:rsidRDefault="007F2529" w:rsidP="00EA1CDF">
      <w:pPr>
        <w:widowControl/>
        <w:rPr>
          <w:sz w:val="18"/>
        </w:rPr>
      </w:pPr>
      <w:r w:rsidRPr="007F2529">
        <w:rPr>
          <w:sz w:val="18"/>
          <w:szCs w:val="18"/>
          <w:vertAlign w:val="superscript"/>
        </w:rPr>
        <w:t>2</w:t>
      </w:r>
      <w:r>
        <w:rPr>
          <w:sz w:val="18"/>
        </w:rPr>
        <w:t xml:space="preserve"> </w:t>
      </w:r>
      <w:r w:rsidR="0098273B" w:rsidRPr="00EE3355">
        <w:rPr>
          <w:sz w:val="18"/>
        </w:rPr>
        <w:t>Ke stanovení hodnot p se použila van Elterenova analýza neparametrických dat</w:t>
      </w:r>
    </w:p>
    <w:p w14:paraId="0AEB22FC" w14:textId="77777777" w:rsidR="00222DE0" w:rsidRPr="00EE3355" w:rsidRDefault="0098273B" w:rsidP="00EA1CDF">
      <w:pPr>
        <w:widowControl/>
        <w:rPr>
          <w:sz w:val="18"/>
        </w:rPr>
      </w:pPr>
      <w:r w:rsidRPr="007F2529">
        <w:rPr>
          <w:sz w:val="18"/>
          <w:szCs w:val="18"/>
          <w:vertAlign w:val="superscript"/>
        </w:rPr>
        <w:t>§</w:t>
      </w:r>
      <w:r w:rsidRPr="00EE3355">
        <w:rPr>
          <w:sz w:val="12"/>
        </w:rPr>
        <w:t xml:space="preserve"> </w:t>
      </w:r>
      <w:r w:rsidRPr="00EE3355">
        <w:rPr>
          <w:sz w:val="18"/>
        </w:rPr>
        <w:t>Statistické analýzy nebyly prováděny</w:t>
      </w:r>
    </w:p>
    <w:p w14:paraId="79A9E267" w14:textId="77777777" w:rsidR="00222DE0" w:rsidRPr="00EE3355" w:rsidRDefault="0098273B" w:rsidP="00EA1CDF">
      <w:pPr>
        <w:widowControl/>
        <w:rPr>
          <w:sz w:val="18"/>
        </w:rPr>
      </w:pPr>
      <w:r w:rsidRPr="00EE3355">
        <w:rPr>
          <w:sz w:val="18"/>
        </w:rPr>
        <w:t>N/A – neuplatňuje se</w:t>
      </w:r>
    </w:p>
    <w:p w14:paraId="055F86DA" w14:textId="77777777" w:rsidR="00222DE0" w:rsidRPr="00EE3355" w:rsidRDefault="0098273B" w:rsidP="00EA1CDF">
      <w:pPr>
        <w:widowControl/>
        <w:rPr>
          <w:sz w:val="18"/>
        </w:rPr>
      </w:pPr>
      <w:r w:rsidRPr="00EE3355">
        <w:rPr>
          <w:sz w:val="18"/>
        </w:rPr>
        <w:t>HR - poměr rizik</w:t>
      </w:r>
    </w:p>
    <w:p w14:paraId="3CC50F5E" w14:textId="77777777" w:rsidR="00222DE0" w:rsidRPr="00EE3355" w:rsidRDefault="0098273B" w:rsidP="00EA1CDF">
      <w:pPr>
        <w:widowControl/>
        <w:rPr>
          <w:sz w:val="18"/>
        </w:rPr>
      </w:pPr>
      <w:r w:rsidRPr="00EE3355">
        <w:rPr>
          <w:sz w:val="18"/>
        </w:rPr>
        <w:t>CI - interval spolehlivosti</w:t>
      </w:r>
    </w:p>
    <w:p w14:paraId="6EEB6F7F" w14:textId="77777777" w:rsidR="00222DE0" w:rsidRPr="00EE3355" w:rsidRDefault="00222DE0" w:rsidP="00EA1CDF">
      <w:pPr>
        <w:pStyle w:val="a3"/>
        <w:widowControl/>
        <w:ind w:left="0"/>
        <w:rPr>
          <w:sz w:val="18"/>
        </w:rPr>
      </w:pPr>
    </w:p>
    <w:p w14:paraId="59215FFC" w14:textId="77777777" w:rsidR="00222DE0" w:rsidRPr="00EE3355" w:rsidRDefault="0098273B" w:rsidP="00EA1CDF">
      <w:pPr>
        <w:keepNext/>
        <w:widowControl/>
        <w:rPr>
          <w:i/>
        </w:rPr>
      </w:pPr>
      <w:r w:rsidRPr="00EE3355">
        <w:rPr>
          <w:i/>
        </w:rPr>
        <w:t>Výsledky ve vztahu ke kvalitě života</w:t>
      </w:r>
    </w:p>
    <w:p w14:paraId="706C2255" w14:textId="77777777" w:rsidR="00222DE0" w:rsidRPr="00EE3355" w:rsidRDefault="00222DE0" w:rsidP="00EA1CDF">
      <w:pPr>
        <w:pStyle w:val="a3"/>
        <w:keepNext/>
        <w:widowControl/>
        <w:ind w:left="0"/>
        <w:rPr>
          <w:i/>
        </w:rPr>
      </w:pPr>
    </w:p>
    <w:p w14:paraId="7F6E0445" w14:textId="1577048F" w:rsidR="00222DE0" w:rsidRPr="00EE3355" w:rsidRDefault="0098273B" w:rsidP="00C959DC">
      <w:pPr>
        <w:pStyle w:val="a3"/>
        <w:widowControl/>
        <w:ind w:left="0"/>
      </w:pPr>
      <w:r w:rsidRPr="00EE3355">
        <w:t>Ve studii WA28119 byly výsledky SF-36 rozděleny na souhrnná skóre fyzické složky (physical component score, PCS) a duševní složky (mental component score, MCS). Průměrná změna PCS z výchozí hodnoty na hodnotu v týdnu 52 byla vyšší (odpovídající většímu zlepšení) ve skupinách s</w:t>
      </w:r>
      <w:r w:rsidR="00FB7958">
        <w:t> </w:t>
      </w:r>
      <w:r w:rsidR="00FB7958" w:rsidRPr="001879E9">
        <w:t>tocilizumab</w:t>
      </w:r>
      <w:r w:rsidR="00FB7958">
        <w:t xml:space="preserve">em </w:t>
      </w:r>
      <w:r w:rsidRPr="00EE3355">
        <w:t>jednou týdně a každé dva týdny (4,10, resp. 2,76) než v obou skupinách</w:t>
      </w:r>
      <w:r w:rsidR="00C959DC">
        <w:t xml:space="preserve"> </w:t>
      </w:r>
      <w:r w:rsidRPr="00EE3355">
        <w:t>s placebem (placebo plus 26 týdnů; -0,28, placebo plus 52 týdnů; -1,49), ačkoliv statisticky významný rozdíl (p = 0,0024) byl prokázán pouze při srovnání skupiny s</w:t>
      </w:r>
      <w:r w:rsidR="00FB7958">
        <w:t> </w:t>
      </w:r>
      <w:r w:rsidR="00FB7958" w:rsidRPr="001879E9">
        <w:t>tocilizumab</w:t>
      </w:r>
      <w:r w:rsidR="00FB7958">
        <w:t xml:space="preserve">em </w:t>
      </w:r>
      <w:r w:rsidRPr="00EE3355">
        <w:t>jednou týdně plus 26 týdnů postupně vysazovaný prednison a placebo plus 52 týdnů postupně vysazovaný prednison (5,59; 99% CI: 8,6; 10,32). Průměrná změna MCS z výchozí hodnoty na hodnotu v týdnu 52 byla u obou skupin s</w:t>
      </w:r>
      <w:r w:rsidR="00FB7958">
        <w:t> </w:t>
      </w:r>
      <w:r w:rsidR="00FB7958" w:rsidRPr="001879E9">
        <w:t>tocilizumab</w:t>
      </w:r>
      <w:r w:rsidR="00FB7958">
        <w:t xml:space="preserve">em </w:t>
      </w:r>
      <w:r w:rsidRPr="00EE3355">
        <w:t>jednou týdně a každé dva týdny (7,28, resp. 6,12) vyšší než u skupiny s placebem plus 52 týdnů postupně vysazovaný prednison (2,84) (ačkoliv se nejednalo o statisticky významné rozdíly [p = 0,0252 pro dávku jednou týdně, p = 0,1468 pro dávku každé dva týdny]), a podobná jako u skupiny s placebem plus 26 týdnů postupně vysazovaný prednison (6,67).</w:t>
      </w:r>
    </w:p>
    <w:p w14:paraId="3AA6D2C3" w14:textId="77777777" w:rsidR="00E701AF" w:rsidRPr="00EE3355" w:rsidRDefault="00E701AF" w:rsidP="00EA1CDF">
      <w:pPr>
        <w:pStyle w:val="a3"/>
        <w:widowControl/>
        <w:ind w:left="0"/>
      </w:pPr>
    </w:p>
    <w:p w14:paraId="2CF05AE2" w14:textId="5359113C" w:rsidR="00222DE0" w:rsidRPr="00EE3355" w:rsidRDefault="0098273B" w:rsidP="00C959DC">
      <w:pPr>
        <w:pStyle w:val="a3"/>
        <w:widowControl/>
        <w:ind w:left="0"/>
      </w:pPr>
      <w:r w:rsidRPr="00EE3355">
        <w:t>Globální hodnocení pacienta (PGA) bylo provedeno pomocí vizuální analogové škály (VAS) 0 - 100 mm. Střední změna PGA VAS z výchozí hodnoty na hodnotu v týdnu 52 byla nižší</w:t>
      </w:r>
      <w:r w:rsidR="00E701AF" w:rsidRPr="00EE3355">
        <w:t xml:space="preserve"> </w:t>
      </w:r>
      <w:r w:rsidRPr="00EE3355">
        <w:t>(odpovídající většímu zlepšení) ve skupinách s</w:t>
      </w:r>
      <w:r w:rsidR="00FB7958">
        <w:t> </w:t>
      </w:r>
      <w:r w:rsidR="00FB7958" w:rsidRPr="001879E9">
        <w:t>tocilizumab</w:t>
      </w:r>
      <w:r w:rsidR="00FB7958">
        <w:t xml:space="preserve">em </w:t>
      </w:r>
      <w:r w:rsidRPr="00EE3355">
        <w:t>jednou týdně a každé dva týdny (-19,0, resp. -25,3) než v obou skupinách s placebem (placebo plus 26 týdnů -3,4, placebo plus 52 týdnů -7,2), ačkoliv statisticky významný rozdíl byl prokázán pouze při srovnání skupiny</w:t>
      </w:r>
      <w:r w:rsidR="00E701AF" w:rsidRPr="00EE3355">
        <w:t xml:space="preserve"> </w:t>
      </w:r>
      <w:r w:rsidRPr="00EE3355">
        <w:t>s</w:t>
      </w:r>
      <w:r w:rsidR="00FB7958">
        <w:t> </w:t>
      </w:r>
      <w:r w:rsidR="00FB7958" w:rsidRPr="001879E9">
        <w:t>tocilizumab</w:t>
      </w:r>
      <w:r w:rsidR="00FB7958">
        <w:t xml:space="preserve">em </w:t>
      </w:r>
      <w:r w:rsidRPr="00EE3355">
        <w:t>každé dva týdny plus 26 týdnů postupně vysazovaný prednison s placebem (placebo plus 26 týdnů postupně vysazovaný prednison p = 0,0059 a placebo plus 52 týdnů postupně vysazovaný prednison p = 0,0081).</w:t>
      </w:r>
    </w:p>
    <w:p w14:paraId="1BDB53FD" w14:textId="77777777" w:rsidR="00222DE0" w:rsidRPr="00EE3355" w:rsidRDefault="00222DE0" w:rsidP="00EA1CDF">
      <w:pPr>
        <w:pStyle w:val="a3"/>
        <w:widowControl/>
        <w:ind w:left="0"/>
      </w:pPr>
    </w:p>
    <w:p w14:paraId="4831DA1D" w14:textId="147C103B" w:rsidR="00222DE0" w:rsidRPr="00EE3355" w:rsidRDefault="0098273B" w:rsidP="00EA1CDF">
      <w:pPr>
        <w:pStyle w:val="a3"/>
        <w:widowControl/>
        <w:ind w:left="0"/>
      </w:pPr>
      <w:r w:rsidRPr="00EE3355">
        <w:t>Pro všechny skupiny byly stanoveny změny skóre FACIT-Fatigue z výchozí hodnoty na hodnotu</w:t>
      </w:r>
      <w:r w:rsidR="00E701AF" w:rsidRPr="00EE3355">
        <w:t xml:space="preserve"> </w:t>
      </w:r>
      <w:r w:rsidRPr="00EE3355">
        <w:t xml:space="preserve">v týdnu 52. Průměrné hodnoty (SD) změn skóre byly následující: </w:t>
      </w:r>
      <w:r w:rsidR="00FB7958" w:rsidRPr="001879E9">
        <w:t>tocilizumab</w:t>
      </w:r>
      <w:r w:rsidR="00FB7958">
        <w:t xml:space="preserve"> </w:t>
      </w:r>
      <w:r w:rsidRPr="00EE3355">
        <w:t>jednou týdně</w:t>
      </w:r>
      <w:r w:rsidR="00E701AF" w:rsidRPr="00EE3355">
        <w:t xml:space="preserve"> </w:t>
      </w:r>
      <w:r w:rsidRPr="00EE3355">
        <w:t xml:space="preserve">plus 26 </w:t>
      </w:r>
      <w:r w:rsidRPr="00EE3355">
        <w:lastRenderedPageBreak/>
        <w:t xml:space="preserve">týdnů 5,61 (10,115), </w:t>
      </w:r>
      <w:r w:rsidR="00FB7958" w:rsidRPr="001879E9">
        <w:t>tocilizumab</w:t>
      </w:r>
      <w:r w:rsidR="00FB7958">
        <w:t xml:space="preserve"> </w:t>
      </w:r>
      <w:r w:rsidRPr="00EE3355">
        <w:t>každé dva týdny plus 26 týdnů 1,81 (8,836),</w:t>
      </w:r>
      <w:r w:rsidR="00E701AF" w:rsidRPr="00EE3355">
        <w:t xml:space="preserve"> </w:t>
      </w:r>
      <w:r w:rsidRPr="00EE3355">
        <w:t>placebo plus 26 týdnů 0,26 (10,702) a placebo plus 52 týdnů -1,63 (6,753).</w:t>
      </w:r>
    </w:p>
    <w:p w14:paraId="3B897622" w14:textId="77777777" w:rsidR="00222DE0" w:rsidRPr="00EE3355" w:rsidRDefault="00222DE0" w:rsidP="00EA1CDF">
      <w:pPr>
        <w:pStyle w:val="a3"/>
        <w:widowControl/>
        <w:ind w:left="0"/>
      </w:pPr>
    </w:p>
    <w:p w14:paraId="2385C9E6" w14:textId="42DCA120" w:rsidR="00222DE0" w:rsidRPr="00EE3355" w:rsidRDefault="0098273B" w:rsidP="00EA1CDF">
      <w:pPr>
        <w:pStyle w:val="a3"/>
        <w:widowControl/>
        <w:ind w:left="0"/>
      </w:pPr>
      <w:r w:rsidRPr="00EE3355">
        <w:t xml:space="preserve">Změna skóre EQ5D z výchozí hodnoty na hodnotu v týdnu 52 byla 0,10 (0,198) pro </w:t>
      </w:r>
      <w:r w:rsidR="00FB7958" w:rsidRPr="001879E9">
        <w:t>tocilizumab</w:t>
      </w:r>
      <w:r w:rsidR="00FB7958">
        <w:t xml:space="preserve"> </w:t>
      </w:r>
      <w:r w:rsidRPr="00EE3355">
        <w:t xml:space="preserve">jednou týdně plus 26 týdnů, 0,05 (0,215) pro </w:t>
      </w:r>
      <w:r w:rsidR="00FB7958" w:rsidRPr="001879E9">
        <w:t>tocilizumab</w:t>
      </w:r>
      <w:r w:rsidR="00FB7958">
        <w:t xml:space="preserve"> </w:t>
      </w:r>
      <w:r w:rsidRPr="00EE3355">
        <w:t>každé dva týdny plus 26 týdnů, 0,07 (0,293) pro placebo plus 26 týdnů a -0,02 (0,159) pro placebo plus 52 týdnů.</w:t>
      </w:r>
    </w:p>
    <w:p w14:paraId="5E9F4456" w14:textId="77777777" w:rsidR="00222DE0" w:rsidRPr="00EE3355" w:rsidRDefault="00222DE0" w:rsidP="00EA1CDF">
      <w:pPr>
        <w:widowControl/>
      </w:pPr>
    </w:p>
    <w:p w14:paraId="1F0D7188" w14:textId="77777777" w:rsidR="00222DE0" w:rsidRPr="00EE3355" w:rsidRDefault="0098273B" w:rsidP="00EA1CDF">
      <w:pPr>
        <w:pStyle w:val="a3"/>
        <w:widowControl/>
        <w:ind w:left="0"/>
      </w:pPr>
      <w:r w:rsidRPr="00EE3355">
        <w:t>Vyšší skóre odpovídají zlepšení skóre FACIT-Fatigue i EQ5D.</w:t>
      </w:r>
    </w:p>
    <w:p w14:paraId="61C94386" w14:textId="77777777" w:rsidR="00222DE0" w:rsidRPr="00EE3355" w:rsidRDefault="00222DE0" w:rsidP="00EA1CDF">
      <w:pPr>
        <w:pStyle w:val="a3"/>
        <w:widowControl/>
        <w:ind w:left="0"/>
      </w:pPr>
    </w:p>
    <w:p w14:paraId="013052B6" w14:textId="77777777" w:rsidR="00222DE0" w:rsidRPr="00EE3355" w:rsidRDefault="0098273B" w:rsidP="00EA1CDF">
      <w:pPr>
        <w:pStyle w:val="a3"/>
        <w:keepNext/>
        <w:widowControl/>
        <w:ind w:left="0"/>
      </w:pPr>
      <w:r w:rsidRPr="00EE3355">
        <w:rPr>
          <w:u w:val="single"/>
        </w:rPr>
        <w:t>Intravenózní podání</w:t>
      </w:r>
    </w:p>
    <w:p w14:paraId="35E1BA3A" w14:textId="77777777" w:rsidR="00222DE0" w:rsidRPr="00EE3355" w:rsidRDefault="0098273B" w:rsidP="00EA1CDF">
      <w:pPr>
        <w:keepNext/>
        <w:widowControl/>
        <w:rPr>
          <w:b/>
        </w:rPr>
      </w:pPr>
      <w:r w:rsidRPr="00EE3355">
        <w:rPr>
          <w:b/>
          <w:u w:val="single"/>
        </w:rPr>
        <w:t>RA</w:t>
      </w:r>
    </w:p>
    <w:p w14:paraId="2FB2200F" w14:textId="77777777" w:rsidR="00222DE0" w:rsidRPr="00EE3355" w:rsidRDefault="0098273B" w:rsidP="00EA1CDF">
      <w:pPr>
        <w:pStyle w:val="a3"/>
        <w:keepNext/>
        <w:widowControl/>
        <w:ind w:left="0"/>
      </w:pPr>
      <w:r w:rsidRPr="00EE3355">
        <w:rPr>
          <w:u w:val="single"/>
        </w:rPr>
        <w:t>Klinická účinnost</w:t>
      </w:r>
    </w:p>
    <w:p w14:paraId="5F84AE59" w14:textId="251E23AA" w:rsidR="00222DE0" w:rsidRPr="00EE3355" w:rsidRDefault="0098273B" w:rsidP="00B93217">
      <w:pPr>
        <w:pStyle w:val="a3"/>
        <w:widowControl/>
        <w:ind w:left="0"/>
      </w:pPr>
      <w:r w:rsidRPr="00EE3355">
        <w:t xml:space="preserve">Účinnost </w:t>
      </w:r>
      <w:r w:rsidR="00FB7958" w:rsidRPr="001879E9">
        <w:t>tocilizumab</w:t>
      </w:r>
      <w:r w:rsidR="00FB7958">
        <w:t xml:space="preserve">u </w:t>
      </w:r>
      <w:r w:rsidRPr="00EE3355">
        <w:t>na zmírnění známek a příznaků RA byla hodnocena</w:t>
      </w:r>
      <w:r w:rsidR="00F1288E">
        <w:t xml:space="preserve"> </w:t>
      </w:r>
      <w:r w:rsidRPr="00EE3355">
        <w:t>v 5 randomizovaných, dvojitě zaslepených, multicentrických studiích. Studie I-V zahrnovaly pacienty</w:t>
      </w:r>
      <w:r w:rsidR="00F1288E">
        <w:t xml:space="preserve"> </w:t>
      </w:r>
      <w:r w:rsidRPr="00EE3355">
        <w:rPr>
          <w:rFonts w:ascii="Symbol" w:hAnsi="Symbol"/>
        </w:rPr>
        <w:t></w:t>
      </w:r>
      <w:r w:rsidRPr="00EE3355">
        <w:t xml:space="preserve"> 18 let s aktivní RA diagnostikovanou v souladu s kritérii American College of Rheumatology</w:t>
      </w:r>
      <w:r w:rsidR="00F1288E">
        <w:t xml:space="preserve"> </w:t>
      </w:r>
      <w:r w:rsidRPr="00EE3355">
        <w:t>(ACR), kteří měli alespoň 8 bolestivých a 6 oteklých kloubů v úvodu léčby.</w:t>
      </w:r>
    </w:p>
    <w:p w14:paraId="00217071" w14:textId="77777777" w:rsidR="00222DE0" w:rsidRPr="00EE3355" w:rsidRDefault="00222DE0" w:rsidP="00EA1CDF">
      <w:pPr>
        <w:pStyle w:val="a3"/>
        <w:widowControl/>
        <w:ind w:left="0"/>
      </w:pPr>
    </w:p>
    <w:p w14:paraId="1DE345F1" w14:textId="4B8AE32B" w:rsidR="00222DE0" w:rsidRPr="00EE3355" w:rsidRDefault="0098273B" w:rsidP="00EA1CDF">
      <w:pPr>
        <w:pStyle w:val="a3"/>
        <w:widowControl/>
        <w:ind w:left="0"/>
      </w:pPr>
      <w:r w:rsidRPr="00EE3355">
        <w:t xml:space="preserve">Ve studii I byl </w:t>
      </w:r>
      <w:r w:rsidR="00FB7958" w:rsidRPr="001879E9">
        <w:t>tocilizumab</w:t>
      </w:r>
      <w:r w:rsidR="00FB7958">
        <w:t xml:space="preserve"> </w:t>
      </w:r>
      <w:r w:rsidRPr="00EE3355">
        <w:t>podáván intravenózně každé čtyři týdny jako monoterapie. Ve</w:t>
      </w:r>
      <w:r w:rsidR="00EC71CD" w:rsidRPr="00EE3355">
        <w:t xml:space="preserve"> </w:t>
      </w:r>
      <w:r w:rsidRPr="00EE3355">
        <w:t xml:space="preserve">studiích II, III a V byl </w:t>
      </w:r>
      <w:r w:rsidR="00FB7958" w:rsidRPr="001879E9">
        <w:t>tocilizumab</w:t>
      </w:r>
      <w:r w:rsidR="00FB7958">
        <w:t xml:space="preserve"> </w:t>
      </w:r>
      <w:r w:rsidRPr="00EE3355">
        <w:t>podáván intravenózně každé čtyři týdny v</w:t>
      </w:r>
      <w:r w:rsidR="00EC71CD" w:rsidRPr="00EE3355">
        <w:t> </w:t>
      </w:r>
      <w:r w:rsidRPr="00EE3355">
        <w:t>kombinaci</w:t>
      </w:r>
      <w:r w:rsidR="00EC71CD" w:rsidRPr="00EE3355">
        <w:t xml:space="preserve"> </w:t>
      </w:r>
      <w:r w:rsidRPr="00EE3355">
        <w:t xml:space="preserve">s MTX proti placebu a MTX. Ve studii IV byl </w:t>
      </w:r>
      <w:r w:rsidR="00FB7958" w:rsidRPr="001879E9">
        <w:t>tocilizumab</w:t>
      </w:r>
      <w:r w:rsidR="00FB7958">
        <w:t xml:space="preserve"> </w:t>
      </w:r>
      <w:r w:rsidRPr="00EE3355">
        <w:t>podáván intravenózně každé čtyři</w:t>
      </w:r>
      <w:r w:rsidR="00EC71CD" w:rsidRPr="00EE3355">
        <w:t xml:space="preserve"> </w:t>
      </w:r>
      <w:r w:rsidRPr="00EE3355">
        <w:t>týdny v kombinaci s dalšími DMARD proti placebu a další DMARD. Primárním výstupem každé z pěti studií bylo procento pacientů, kteří dosáhli odpovědi dle kritérií ACR 20 ve 24. týdnu.</w:t>
      </w:r>
    </w:p>
    <w:p w14:paraId="32FEEC72" w14:textId="77777777" w:rsidR="00EC71CD" w:rsidRPr="00EE3355" w:rsidRDefault="00EC71CD" w:rsidP="00EA1CDF">
      <w:pPr>
        <w:pStyle w:val="a3"/>
        <w:widowControl/>
        <w:ind w:left="0"/>
      </w:pPr>
    </w:p>
    <w:p w14:paraId="78C1949F" w14:textId="2A39C8C1" w:rsidR="00222DE0" w:rsidRPr="00EE3355" w:rsidRDefault="0098273B" w:rsidP="00EA1CDF">
      <w:pPr>
        <w:pStyle w:val="a3"/>
        <w:widowControl/>
        <w:ind w:left="0"/>
      </w:pPr>
      <w:r w:rsidRPr="00EE3355">
        <w:t>Studie I hodnotila 673 pacientů, kteří nebyli v průběhu 6 týdnů před randomizací léčeni MTX a kteří nepřerušili předchozí léčbu MTX z důvodu klinicky závažných toxických nežádoucích účinků nebo nedostatečné klinické odpovědi. Většina pacientů (67 %) nebyla nikdy dříve MTX léčena. Dávky</w:t>
      </w:r>
      <w:r w:rsidR="00EC71CD" w:rsidRPr="00EE3355">
        <w:t xml:space="preserve"> </w:t>
      </w:r>
      <w:r w:rsidRPr="00EE3355">
        <w:t xml:space="preserve">8 mg/kg </w:t>
      </w:r>
      <w:r w:rsidR="00FB7958" w:rsidRPr="001879E9">
        <w:t>tocilizumab</w:t>
      </w:r>
      <w:r w:rsidR="00FB7958">
        <w:t xml:space="preserve">u </w:t>
      </w:r>
      <w:r w:rsidRPr="00EE3355">
        <w:t>byly podávány každé čtyři týdny jako monoterapie. Ve srovnávací skupině byl podáván každý týden MTX (dávka titrovaná od 7,5 mg až k maximální dávce 20 mg týdně po dobu 8 týdnů).</w:t>
      </w:r>
    </w:p>
    <w:p w14:paraId="356F9558" w14:textId="77777777" w:rsidR="00EC71CD" w:rsidRPr="00EE3355" w:rsidRDefault="00EC71CD" w:rsidP="00EA1CDF">
      <w:pPr>
        <w:pStyle w:val="a3"/>
        <w:widowControl/>
        <w:ind w:left="0"/>
      </w:pPr>
    </w:p>
    <w:p w14:paraId="14C114EF" w14:textId="2D8688F0" w:rsidR="00222DE0" w:rsidRPr="00EE3355" w:rsidRDefault="0098273B" w:rsidP="00EA1CDF">
      <w:pPr>
        <w:pStyle w:val="a3"/>
        <w:widowControl/>
        <w:ind w:left="0"/>
      </w:pPr>
      <w:r w:rsidRPr="00EE3355">
        <w:t xml:space="preserve">Studie II, dvouletá studie s plánovanými analýzami v týdnu 24, týdnu 52 a týdnu 104 hodnotila 1196 pacientů, kteří neměli dostatečnou klinickou odpověď na léčbu MTX. Každé čtyři týdny byl pacientům podáván </w:t>
      </w:r>
      <w:r w:rsidR="00FB7958" w:rsidRPr="001879E9">
        <w:t>tocilizumab</w:t>
      </w:r>
      <w:r w:rsidR="00FB7958">
        <w:t xml:space="preserve"> </w:t>
      </w:r>
      <w:r w:rsidRPr="00EE3355">
        <w:t xml:space="preserve">v dávce 4 nebo 8 mg/kg nebo placebo jako zaslepená terapie po dobu 52 týdnů v kombinaci se stabilní dávkou MTX (10 mg až 25 mg týdně). Po týdnu 52 mohli všichni pacienti pokračovat v otevřené fázi léčby </w:t>
      </w:r>
      <w:r w:rsidR="00FB7958" w:rsidRPr="001879E9">
        <w:t>tocilizumab</w:t>
      </w:r>
      <w:r w:rsidR="00FB7958">
        <w:t xml:space="preserve">em </w:t>
      </w:r>
      <w:r w:rsidRPr="00EE3355">
        <w:t xml:space="preserve">v dávce 8 mg/kg. Z pacientů, kteří dokončili studii a kteří byli původně randomizováni do skupiny s placebem + MTX, pokračovalo 86 % pacientů v otevřené fázi léčby </w:t>
      </w:r>
      <w:r w:rsidR="00FB7958" w:rsidRPr="001879E9">
        <w:t>tocilizumab</w:t>
      </w:r>
      <w:r w:rsidR="00FB7958">
        <w:t xml:space="preserve">em </w:t>
      </w:r>
      <w:r w:rsidRPr="00EE3355">
        <w:t>v dávce 8 mg/kg v roce 2. Primárním cílovým parametrem v týdnu 24 bylo procento pacientů, kteří dosáhli odpovědi dle kritérií ACR 20.</w:t>
      </w:r>
      <w:r w:rsidR="00EC71CD" w:rsidRPr="00EE3355">
        <w:t xml:space="preserve"> </w:t>
      </w:r>
      <w:r w:rsidRPr="00EE3355">
        <w:t>V 52. týdnu a 104. týdnu byla druhým hlavním cílovým parametrem prevence poškození kloubů a</w:t>
      </w:r>
      <w:r w:rsidR="00F1288E">
        <w:t xml:space="preserve"> </w:t>
      </w:r>
      <w:r w:rsidRPr="00EE3355">
        <w:t>zlepšení fyzických funkcí.</w:t>
      </w:r>
    </w:p>
    <w:p w14:paraId="4E4CBEA2" w14:textId="77777777" w:rsidR="00222DE0" w:rsidRPr="00EE3355" w:rsidRDefault="00222DE0" w:rsidP="00EA1CDF">
      <w:pPr>
        <w:pStyle w:val="a3"/>
        <w:widowControl/>
        <w:ind w:left="0"/>
      </w:pPr>
    </w:p>
    <w:p w14:paraId="713A3453" w14:textId="1D403608" w:rsidR="00222DE0" w:rsidRPr="00EE3355" w:rsidRDefault="0098273B" w:rsidP="00EA1CDF">
      <w:pPr>
        <w:pStyle w:val="a3"/>
        <w:widowControl/>
        <w:ind w:left="0"/>
      </w:pPr>
      <w:r w:rsidRPr="00EE3355">
        <w:t xml:space="preserve">Studie III hodnotila 623 pacientů, kteří neměli dostatečnou odpověď na léčbu MTX. Každé čtyři týdny byl pacientům podáván </w:t>
      </w:r>
      <w:r w:rsidR="00FB7958" w:rsidRPr="001879E9">
        <w:t>tocilizumab</w:t>
      </w:r>
      <w:r w:rsidR="00FB7958">
        <w:t xml:space="preserve"> </w:t>
      </w:r>
      <w:r w:rsidRPr="00EE3355">
        <w:t>v dávce 4 nebo 8 mg/kg v kombinaci se stálou dávkou MTX (10 až 25 mg týdně).</w:t>
      </w:r>
    </w:p>
    <w:p w14:paraId="60F64E6F" w14:textId="77777777" w:rsidR="00EC71CD" w:rsidRPr="00EE3355" w:rsidRDefault="00EC71CD" w:rsidP="00EA1CDF">
      <w:pPr>
        <w:pStyle w:val="a3"/>
        <w:widowControl/>
        <w:ind w:left="0"/>
      </w:pPr>
    </w:p>
    <w:p w14:paraId="642BE2F2" w14:textId="43659863" w:rsidR="00222DE0" w:rsidRPr="00EE3355" w:rsidRDefault="0098273B" w:rsidP="00EA1CDF">
      <w:pPr>
        <w:pStyle w:val="a3"/>
        <w:widowControl/>
        <w:ind w:left="0"/>
      </w:pPr>
      <w:r w:rsidRPr="00EE3355">
        <w:t xml:space="preserve">Studie IV hodnotila 1220 pacientů, kteří neodpovídali dostatečně na svoji dosavadní revmatologickou terapii, včetně jednoho nebo více DMARD. Každé čtyři týdny byl pacientům podáván </w:t>
      </w:r>
      <w:r w:rsidR="00FB7958" w:rsidRPr="001879E9">
        <w:t>tocilizumab</w:t>
      </w:r>
      <w:r w:rsidRPr="00EE3355">
        <w:t xml:space="preserve"> v dávce 8 mg/kg nebo placebo v kombinaci se stálou dávkou DMARD.</w:t>
      </w:r>
    </w:p>
    <w:p w14:paraId="02AE49F7" w14:textId="77777777" w:rsidR="00222DE0" w:rsidRPr="00EE3355" w:rsidRDefault="00222DE0" w:rsidP="00EA1CDF">
      <w:pPr>
        <w:pStyle w:val="a3"/>
        <w:widowControl/>
        <w:ind w:left="0"/>
      </w:pPr>
    </w:p>
    <w:p w14:paraId="7358395B" w14:textId="2B93F2BF" w:rsidR="00222DE0" w:rsidRPr="00EE3355" w:rsidRDefault="0098273B" w:rsidP="00EA1CDF">
      <w:pPr>
        <w:pStyle w:val="a3"/>
        <w:widowControl/>
        <w:ind w:left="0"/>
      </w:pPr>
      <w:r w:rsidRPr="00EE3355">
        <w:t xml:space="preserve">Studie V hodnotila 499 pacientů, kteří neodpovídali dostatečně nebo netolerovali terapii jedním nebo více antagonisty TNF. Terapie antagonisty TNF byla ukončena před randomizací. Každé čtyři týdny byl pacientům podáván </w:t>
      </w:r>
      <w:r w:rsidR="00FB7958" w:rsidRPr="001879E9">
        <w:t>tocilizumab</w:t>
      </w:r>
      <w:r w:rsidR="00FB7958">
        <w:t xml:space="preserve"> </w:t>
      </w:r>
      <w:r w:rsidRPr="00EE3355">
        <w:t>v dávce 4 nebo 8 mg/kg v kombinaci se stálou dávkou MTX (10 až 25 mg týdně).</w:t>
      </w:r>
    </w:p>
    <w:p w14:paraId="1A9D53D8" w14:textId="77777777" w:rsidR="00222DE0" w:rsidRPr="00EE3355" w:rsidRDefault="00222DE0" w:rsidP="00EA1CDF">
      <w:pPr>
        <w:pStyle w:val="a3"/>
        <w:widowControl/>
        <w:ind w:left="0"/>
      </w:pPr>
    </w:p>
    <w:p w14:paraId="20A652B9" w14:textId="77777777" w:rsidR="00222DE0" w:rsidRPr="00EE3355" w:rsidRDefault="0098273B" w:rsidP="00EA1CDF">
      <w:pPr>
        <w:pStyle w:val="a3"/>
        <w:widowControl/>
        <w:ind w:left="0"/>
      </w:pPr>
      <w:r w:rsidRPr="00EE3355">
        <w:rPr>
          <w:u w:val="single"/>
        </w:rPr>
        <w:t>Klinická odpověď</w:t>
      </w:r>
    </w:p>
    <w:p w14:paraId="27C04119" w14:textId="1BF307A8" w:rsidR="00222DE0" w:rsidRPr="00EE3355" w:rsidRDefault="0098273B" w:rsidP="00EA1CDF">
      <w:pPr>
        <w:pStyle w:val="a3"/>
        <w:widowControl/>
        <w:ind w:left="0"/>
      </w:pPr>
      <w:r w:rsidRPr="00EE3355">
        <w:t xml:space="preserve">Ve všech studiích měli pacienti léčení </w:t>
      </w:r>
      <w:r w:rsidR="00FB7958" w:rsidRPr="001879E9">
        <w:t>tocilizumab</w:t>
      </w:r>
      <w:r w:rsidR="00FB7958">
        <w:t xml:space="preserve">em </w:t>
      </w:r>
      <w:r w:rsidRPr="00EE3355">
        <w:t xml:space="preserve">v dávce 8 mg/kg statisticky významně vyšší odpovědi dle kritérií ACR 20, 50 a 70 v 6. měsíci v porovnání s kontrolní skupinou (tabulka 5). Ve studii I byla převaha </w:t>
      </w:r>
      <w:r w:rsidR="00FB7958" w:rsidRPr="001879E9">
        <w:t>tocilizumab</w:t>
      </w:r>
      <w:r w:rsidR="00FB7958">
        <w:t xml:space="preserve">u </w:t>
      </w:r>
      <w:r w:rsidRPr="00EE3355">
        <w:t>v dávce 8 mg/kg prokázána oproti aktivní kontrolní skupině s MTX.</w:t>
      </w:r>
    </w:p>
    <w:p w14:paraId="158E3746" w14:textId="77777777" w:rsidR="00222DE0" w:rsidRPr="00EE3355" w:rsidRDefault="00222DE0" w:rsidP="00EA1CDF">
      <w:pPr>
        <w:widowControl/>
      </w:pPr>
    </w:p>
    <w:p w14:paraId="0BEB2E15" w14:textId="77777777" w:rsidR="00222DE0" w:rsidRPr="00EE3355" w:rsidRDefault="0098273B" w:rsidP="00EA1CDF">
      <w:pPr>
        <w:pStyle w:val="a3"/>
        <w:widowControl/>
        <w:ind w:left="0"/>
      </w:pPr>
      <w:r w:rsidRPr="00EE3355">
        <w:t>Léčebný účinek byl podobný u pacientů nezávisle na stavu revmatoidního faktoru, věku, pohlaví, rasy, počtu předchozích terapií nebo stavu nemoci. Čas k nástupu účinku byl rychlý (již v týdnu 2) a rozsah odpovědi se během léčby zlepšoval. Pokračování trvající odpovědi bylo pozorováno ještě po 3 letech v otevřených rozšířených studiích I - V.</w:t>
      </w:r>
    </w:p>
    <w:p w14:paraId="58539134" w14:textId="77777777" w:rsidR="00222DE0" w:rsidRPr="00EE3355" w:rsidRDefault="00222DE0" w:rsidP="00EA1CDF">
      <w:pPr>
        <w:pStyle w:val="a3"/>
        <w:widowControl/>
        <w:ind w:left="0"/>
      </w:pPr>
    </w:p>
    <w:p w14:paraId="18F64CDD" w14:textId="5579703A" w:rsidR="00222DE0" w:rsidRPr="00EE3355" w:rsidRDefault="0098273B" w:rsidP="00EA1CDF">
      <w:pPr>
        <w:pStyle w:val="a3"/>
        <w:widowControl/>
        <w:ind w:left="0"/>
      </w:pPr>
      <w:r w:rsidRPr="00EE3355">
        <w:t xml:space="preserve">U pacientů léčených </w:t>
      </w:r>
      <w:r w:rsidR="00FB7958" w:rsidRPr="001879E9">
        <w:t>tocilizumab</w:t>
      </w:r>
      <w:r w:rsidR="00FB7958">
        <w:t xml:space="preserve">em </w:t>
      </w:r>
      <w:r w:rsidRPr="00EE3355">
        <w:t>v dávce 8 mg/kg bylo významné zlepšení zaznamenáno ve všech jednotlivých komponentách odpovědí ACR včetně: počtu bolestivých a oteklých kloubů, celkového hodnocení stavu pacientem i lékařem, skóre indexu disability, hodnocení bolesti a CRP</w:t>
      </w:r>
      <w:r w:rsidR="00AF1968">
        <w:t xml:space="preserve"> </w:t>
      </w:r>
      <w:r w:rsidRPr="00EE3355">
        <w:t>v porovnání s pacienty dostávajícími placebo spolu s MTX nebo dalšími DMARD ve všech studiích.</w:t>
      </w:r>
    </w:p>
    <w:p w14:paraId="3BEF6D03" w14:textId="77777777" w:rsidR="00222DE0" w:rsidRPr="00EE3355" w:rsidRDefault="00222DE0" w:rsidP="00EA1CDF">
      <w:pPr>
        <w:pStyle w:val="a3"/>
        <w:widowControl/>
        <w:ind w:left="0"/>
      </w:pPr>
    </w:p>
    <w:p w14:paraId="6B35E4CD" w14:textId="79DAFF0D" w:rsidR="00222DE0" w:rsidRDefault="0098273B" w:rsidP="00EA1CDF">
      <w:pPr>
        <w:pStyle w:val="a3"/>
        <w:widowControl/>
        <w:ind w:left="0"/>
      </w:pPr>
      <w:r w:rsidRPr="00EE3355">
        <w:t xml:space="preserve">Pacienti ve studiích I – V měli před začátkem léčby průměrné skóre aktivity ochrany (DAS28) 6,5 – 6,8. U pacientů léčených </w:t>
      </w:r>
      <w:r w:rsidR="00FB7958" w:rsidRPr="001879E9">
        <w:t>tocilizumab</w:t>
      </w:r>
      <w:r w:rsidR="00FB7958">
        <w:t xml:space="preserve">em </w:t>
      </w:r>
      <w:r w:rsidRPr="00EE3355">
        <w:t xml:space="preserve">bylo v porovnání s pacienty v kontrolované skupině (DAS28 1,3 – 2,1) pozorováno významné snížení (průměrné zlepšení) skóre DAS28 o 3,1 – 3,4 oproti skóre před začátkem léčby. Podíl pacientů, kteří ve 24. týdnu dosáhli klinické remise onemocnění podle DAS28 (DAS28 &lt; 2,6), byl významně vyšší u pacientů léčených </w:t>
      </w:r>
      <w:r w:rsidR="00FB7958" w:rsidRPr="001879E9">
        <w:t>tocilizumab</w:t>
      </w:r>
      <w:r w:rsidR="00FB7958">
        <w:t xml:space="preserve">em </w:t>
      </w:r>
      <w:r w:rsidRPr="00EE3355">
        <w:t xml:space="preserve">(28 – 34 %) v porovnání s 1 – 12 % pacientů v kontrolní skupině. Ve studii II 65 % pacientů dosáhlo DAS28 </w:t>
      </w:r>
      <w:r w:rsidRPr="00EE3355">
        <w:rPr>
          <w:rFonts w:ascii="Symbol" w:hAnsi="Symbol"/>
        </w:rPr>
        <w:t></w:t>
      </w:r>
      <w:r w:rsidRPr="00EE3355">
        <w:t xml:space="preserve"> 2,6 ve 104. týdnu, v porovnání se 48 % v 52. týdnu a 33 % pacientů ve 24. týdnu.</w:t>
      </w:r>
    </w:p>
    <w:p w14:paraId="0D978F13" w14:textId="77777777" w:rsidR="00F1288E" w:rsidRPr="00EE3355" w:rsidRDefault="00F1288E" w:rsidP="00EA1CDF">
      <w:pPr>
        <w:pStyle w:val="a3"/>
        <w:widowControl/>
        <w:ind w:left="0"/>
      </w:pPr>
    </w:p>
    <w:p w14:paraId="0A589676" w14:textId="458B6227" w:rsidR="00222DE0" w:rsidRPr="00EE3355" w:rsidRDefault="0098273B" w:rsidP="00EA1CDF">
      <w:pPr>
        <w:pStyle w:val="a3"/>
        <w:widowControl/>
        <w:ind w:left="0"/>
      </w:pPr>
      <w:r w:rsidRPr="00EE3355">
        <w:t>V souhrnných analýzách studií II, III a IV bylo procento pacientů dosahujících odpovědi dle kritérií ACR 20, 50 a 70 významně vyšší (59 % vs. 50 %, 37 % vs. 27 %, 18 % vs. 11 %) ve prospěch skupiny s tocilizumabem 8 mg/kg s DMARD vs. tocilizumab 4 mg/kg s DMARD (p</w:t>
      </w:r>
      <w:r w:rsidRPr="00EE3355">
        <w:rPr>
          <w:rFonts w:ascii="Symbol" w:hAnsi="Symbol"/>
        </w:rPr>
        <w:t></w:t>
      </w:r>
      <w:r w:rsidRPr="00EE3355">
        <w:t>0,03). Podobně procento pacientů dosahujících remise DAS28 (DAS28</w:t>
      </w:r>
      <w:r w:rsidRPr="00EE3355">
        <w:rPr>
          <w:rFonts w:ascii="Symbol" w:hAnsi="Symbol"/>
        </w:rPr>
        <w:t></w:t>
      </w:r>
      <w:r w:rsidRPr="00EE3355">
        <w:t xml:space="preserve">2,6) bylo významně vyšší (31 % vs. 16 %) u pacientů léčených </w:t>
      </w:r>
      <w:r w:rsidR="00FB7958" w:rsidRPr="001879E9">
        <w:t>tocilizumab</w:t>
      </w:r>
      <w:r w:rsidR="00FB7958">
        <w:t xml:space="preserve">em </w:t>
      </w:r>
      <w:r w:rsidRPr="00EE3355">
        <w:t xml:space="preserve">8 mg/kg s DMARD než u pacientů léčených </w:t>
      </w:r>
      <w:r w:rsidR="00FB7958" w:rsidRPr="001879E9">
        <w:t>tocilizumab</w:t>
      </w:r>
      <w:r w:rsidR="00FB7958">
        <w:t xml:space="preserve">em </w:t>
      </w:r>
      <w:r w:rsidRPr="00EE3355">
        <w:t>4 mg/kg s DMARD (p</w:t>
      </w:r>
      <w:r w:rsidRPr="00EE3355">
        <w:rPr>
          <w:rFonts w:ascii="Symbol" w:hAnsi="Symbol"/>
        </w:rPr>
        <w:t></w:t>
      </w:r>
      <w:r w:rsidRPr="00EE3355">
        <w:t>0,0001).</w:t>
      </w:r>
    </w:p>
    <w:p w14:paraId="0390D615" w14:textId="77777777" w:rsidR="00A979EC" w:rsidRPr="00EE3355" w:rsidRDefault="00A979EC" w:rsidP="00EA1CDF">
      <w:pPr>
        <w:pStyle w:val="a3"/>
        <w:widowControl/>
        <w:ind w:left="0"/>
      </w:pPr>
    </w:p>
    <w:p w14:paraId="6671935B" w14:textId="77777777" w:rsidR="00222DE0" w:rsidRPr="00EE3355" w:rsidRDefault="0098273B" w:rsidP="00EA1CDF">
      <w:pPr>
        <w:keepNext/>
        <w:widowControl/>
        <w:rPr>
          <w:i/>
        </w:rPr>
      </w:pPr>
      <w:r w:rsidRPr="00EE3355">
        <w:rPr>
          <w:i/>
        </w:rPr>
        <w:t>Tabulka 5. Kontrolované studie, odpovědi dle ACR u placeba / MTX / DMARD (% pacientů)</w:t>
      </w:r>
    </w:p>
    <w:p w14:paraId="2E2EFEF3" w14:textId="77777777" w:rsidR="00A979EC" w:rsidRPr="00EE3355" w:rsidRDefault="00A979EC" w:rsidP="00EA1CDF">
      <w:pPr>
        <w:keepNext/>
        <w:widowControl/>
        <w:rPr>
          <w:i/>
        </w:rPr>
      </w:pPr>
    </w:p>
    <w:tbl>
      <w:tblPr>
        <w:tblW w:w="9085"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630"/>
        <w:gridCol w:w="812"/>
        <w:gridCol w:w="14"/>
        <w:gridCol w:w="742"/>
        <w:gridCol w:w="228"/>
        <w:gridCol w:w="626"/>
        <w:gridCol w:w="14"/>
        <w:gridCol w:w="798"/>
        <w:gridCol w:w="14"/>
        <w:gridCol w:w="348"/>
        <w:gridCol w:w="506"/>
        <w:gridCol w:w="14"/>
        <w:gridCol w:w="895"/>
        <w:gridCol w:w="385"/>
        <w:gridCol w:w="609"/>
        <w:gridCol w:w="14"/>
        <w:gridCol w:w="812"/>
        <w:gridCol w:w="542"/>
        <w:gridCol w:w="326"/>
        <w:gridCol w:w="756"/>
      </w:tblGrid>
      <w:tr w:rsidR="00222DE0" w:rsidRPr="00EE3355" w14:paraId="3E37B2AA" w14:textId="77777777" w:rsidTr="008C39D1">
        <w:trPr>
          <w:cantSplit/>
          <w:trHeight w:val="462"/>
        </w:trPr>
        <w:tc>
          <w:tcPr>
            <w:tcW w:w="630" w:type="dxa"/>
          </w:tcPr>
          <w:p w14:paraId="5BF7718A" w14:textId="77777777" w:rsidR="00222DE0" w:rsidRPr="00EE3355" w:rsidRDefault="00222DE0" w:rsidP="00EA1CDF">
            <w:pPr>
              <w:pStyle w:val="TableParagraph"/>
              <w:widowControl/>
              <w:rPr>
                <w:sz w:val="20"/>
              </w:rPr>
            </w:pPr>
          </w:p>
        </w:tc>
        <w:tc>
          <w:tcPr>
            <w:tcW w:w="1796" w:type="dxa"/>
            <w:gridSpan w:val="4"/>
          </w:tcPr>
          <w:p w14:paraId="3ECB9CFD" w14:textId="77777777" w:rsidR="00222DE0" w:rsidRPr="00EE3355" w:rsidRDefault="0098273B" w:rsidP="00EA1CDF">
            <w:pPr>
              <w:pStyle w:val="TableParagraph"/>
              <w:widowControl/>
              <w:rPr>
                <w:b/>
                <w:sz w:val="18"/>
              </w:rPr>
            </w:pPr>
            <w:r w:rsidRPr="00EE3355">
              <w:rPr>
                <w:b/>
                <w:sz w:val="18"/>
              </w:rPr>
              <w:t>Studie I AMBITION</w:t>
            </w:r>
          </w:p>
        </w:tc>
        <w:tc>
          <w:tcPr>
            <w:tcW w:w="1800" w:type="dxa"/>
            <w:gridSpan w:val="5"/>
          </w:tcPr>
          <w:p w14:paraId="2452784B" w14:textId="77777777" w:rsidR="00222DE0" w:rsidRPr="00EE3355" w:rsidRDefault="0098273B" w:rsidP="00EA1CDF">
            <w:pPr>
              <w:pStyle w:val="TableParagraph"/>
              <w:widowControl/>
              <w:rPr>
                <w:b/>
                <w:sz w:val="18"/>
              </w:rPr>
            </w:pPr>
            <w:r w:rsidRPr="00EE3355">
              <w:rPr>
                <w:b/>
                <w:sz w:val="18"/>
              </w:rPr>
              <w:t>Studie II LITHE</w:t>
            </w:r>
          </w:p>
        </w:tc>
        <w:tc>
          <w:tcPr>
            <w:tcW w:w="1800" w:type="dxa"/>
            <w:gridSpan w:val="4"/>
          </w:tcPr>
          <w:p w14:paraId="0ADD9BAF" w14:textId="77777777" w:rsidR="00222DE0" w:rsidRPr="00EE3355" w:rsidRDefault="0098273B" w:rsidP="00EA1CDF">
            <w:pPr>
              <w:pStyle w:val="TableParagraph"/>
              <w:widowControl/>
              <w:rPr>
                <w:b/>
                <w:sz w:val="18"/>
              </w:rPr>
            </w:pPr>
            <w:r w:rsidRPr="00EE3355">
              <w:rPr>
                <w:b/>
                <w:sz w:val="18"/>
              </w:rPr>
              <w:t>Studie III OPTION</w:t>
            </w:r>
          </w:p>
        </w:tc>
        <w:tc>
          <w:tcPr>
            <w:tcW w:w="1977" w:type="dxa"/>
            <w:gridSpan w:val="4"/>
          </w:tcPr>
          <w:p w14:paraId="72AA3228" w14:textId="77777777" w:rsidR="00222DE0" w:rsidRPr="00EE3355" w:rsidRDefault="0098273B" w:rsidP="00EA1CDF">
            <w:pPr>
              <w:pStyle w:val="TableParagraph"/>
              <w:widowControl/>
              <w:rPr>
                <w:b/>
                <w:sz w:val="18"/>
              </w:rPr>
            </w:pPr>
            <w:r w:rsidRPr="00EE3355">
              <w:rPr>
                <w:b/>
                <w:sz w:val="18"/>
              </w:rPr>
              <w:t>Studie IV TOWARD</w:t>
            </w:r>
          </w:p>
        </w:tc>
        <w:tc>
          <w:tcPr>
            <w:tcW w:w="1082" w:type="dxa"/>
            <w:gridSpan w:val="2"/>
          </w:tcPr>
          <w:p w14:paraId="06532178" w14:textId="77777777" w:rsidR="00222DE0" w:rsidRPr="00EE3355" w:rsidRDefault="0098273B" w:rsidP="00EA1CDF">
            <w:pPr>
              <w:pStyle w:val="TableParagraph"/>
              <w:widowControl/>
              <w:rPr>
                <w:b/>
                <w:sz w:val="18"/>
              </w:rPr>
            </w:pPr>
            <w:r w:rsidRPr="00EE3355">
              <w:rPr>
                <w:b/>
                <w:sz w:val="18"/>
              </w:rPr>
              <w:t>Studie V RADIATE</w:t>
            </w:r>
          </w:p>
        </w:tc>
      </w:tr>
      <w:tr w:rsidR="00222DE0" w:rsidRPr="00EE3355" w14:paraId="0A9EBE37" w14:textId="77777777" w:rsidTr="008C39D1">
        <w:trPr>
          <w:cantSplit/>
          <w:trHeight w:val="736"/>
        </w:trPr>
        <w:tc>
          <w:tcPr>
            <w:tcW w:w="630" w:type="dxa"/>
          </w:tcPr>
          <w:p w14:paraId="79CDF4D4" w14:textId="77777777" w:rsidR="00222DE0" w:rsidRPr="00EE3355" w:rsidRDefault="0098273B" w:rsidP="00EA1CDF">
            <w:pPr>
              <w:pStyle w:val="TableParagraph"/>
              <w:widowControl/>
              <w:ind w:left="-80" w:right="-76" w:firstLine="14"/>
              <w:rPr>
                <w:b/>
                <w:sz w:val="18"/>
              </w:rPr>
            </w:pPr>
            <w:r w:rsidRPr="00EE3355">
              <w:rPr>
                <w:b/>
                <w:sz w:val="18"/>
              </w:rPr>
              <w:t>Týd en</w:t>
            </w:r>
          </w:p>
        </w:tc>
        <w:tc>
          <w:tcPr>
            <w:tcW w:w="812" w:type="dxa"/>
          </w:tcPr>
          <w:p w14:paraId="6D365762" w14:textId="77777777" w:rsidR="00222DE0" w:rsidRPr="00EE3355" w:rsidRDefault="0098273B" w:rsidP="00EA1CDF">
            <w:pPr>
              <w:pStyle w:val="TableParagraph"/>
              <w:widowControl/>
              <w:jc w:val="center"/>
              <w:rPr>
                <w:b/>
                <w:sz w:val="18"/>
              </w:rPr>
            </w:pPr>
            <w:r w:rsidRPr="00EE3355">
              <w:rPr>
                <w:b/>
                <w:sz w:val="18"/>
              </w:rPr>
              <w:t>TCZ</w:t>
            </w:r>
            <w:r w:rsidR="00C350A0" w:rsidRPr="00EE3355">
              <w:rPr>
                <w:b/>
                <w:sz w:val="18"/>
              </w:rPr>
              <w:t xml:space="preserve"> </w:t>
            </w:r>
            <w:r w:rsidRPr="00EE3355">
              <w:rPr>
                <w:b/>
                <w:sz w:val="18"/>
              </w:rPr>
              <w:t>8 mg/kg</w:t>
            </w:r>
          </w:p>
        </w:tc>
        <w:tc>
          <w:tcPr>
            <w:tcW w:w="756" w:type="dxa"/>
            <w:gridSpan w:val="2"/>
          </w:tcPr>
          <w:p w14:paraId="58C339DE" w14:textId="77777777" w:rsidR="00222DE0" w:rsidRPr="00EE3355" w:rsidRDefault="0098273B" w:rsidP="00EA1CDF">
            <w:pPr>
              <w:pStyle w:val="TableParagraph"/>
              <w:widowControl/>
              <w:jc w:val="center"/>
              <w:rPr>
                <w:b/>
                <w:sz w:val="18"/>
              </w:rPr>
            </w:pPr>
            <w:r w:rsidRPr="00EE3355">
              <w:rPr>
                <w:b/>
                <w:sz w:val="18"/>
              </w:rPr>
              <w:t>MTX</w:t>
            </w:r>
          </w:p>
        </w:tc>
        <w:tc>
          <w:tcPr>
            <w:tcW w:w="854" w:type="dxa"/>
            <w:gridSpan w:val="2"/>
          </w:tcPr>
          <w:p w14:paraId="548FEFCF" w14:textId="77777777" w:rsidR="00222DE0" w:rsidRPr="00EE3355" w:rsidRDefault="0098273B" w:rsidP="00EA1CDF">
            <w:pPr>
              <w:pStyle w:val="TableParagraph"/>
              <w:widowControl/>
              <w:jc w:val="center"/>
              <w:rPr>
                <w:b/>
                <w:sz w:val="18"/>
              </w:rPr>
            </w:pPr>
            <w:r w:rsidRPr="00EE3355">
              <w:rPr>
                <w:b/>
                <w:sz w:val="18"/>
              </w:rPr>
              <w:t>TCZ</w:t>
            </w:r>
          </w:p>
          <w:p w14:paraId="30EFC333" w14:textId="77777777" w:rsidR="00222DE0" w:rsidRPr="00EE3355" w:rsidRDefault="0098273B" w:rsidP="00EA1CDF">
            <w:pPr>
              <w:pStyle w:val="TableParagraph"/>
              <w:widowControl/>
              <w:jc w:val="center"/>
              <w:rPr>
                <w:b/>
                <w:sz w:val="18"/>
              </w:rPr>
            </w:pPr>
            <w:r w:rsidRPr="00EE3355">
              <w:rPr>
                <w:b/>
                <w:sz w:val="18"/>
              </w:rPr>
              <w:t>8 mg/kg</w:t>
            </w:r>
          </w:p>
          <w:p w14:paraId="79203DB0" w14:textId="77777777" w:rsidR="00222DE0" w:rsidRPr="00EE3355" w:rsidRDefault="0098273B" w:rsidP="00EA1CDF">
            <w:pPr>
              <w:pStyle w:val="TableParagraph"/>
              <w:widowControl/>
              <w:jc w:val="center"/>
              <w:rPr>
                <w:b/>
                <w:sz w:val="18"/>
              </w:rPr>
            </w:pPr>
            <w:r w:rsidRPr="00EE3355">
              <w:rPr>
                <w:b/>
                <w:sz w:val="18"/>
              </w:rPr>
              <w:t>+ MTX</w:t>
            </w:r>
          </w:p>
        </w:tc>
        <w:tc>
          <w:tcPr>
            <w:tcW w:w="826" w:type="dxa"/>
            <w:gridSpan w:val="3"/>
          </w:tcPr>
          <w:p w14:paraId="64EB71AF" w14:textId="77777777" w:rsidR="00222DE0" w:rsidRPr="00EE3355" w:rsidRDefault="0098273B" w:rsidP="00EA1CDF">
            <w:pPr>
              <w:pStyle w:val="TableParagraph"/>
              <w:widowControl/>
              <w:jc w:val="center"/>
              <w:rPr>
                <w:b/>
                <w:sz w:val="18"/>
              </w:rPr>
            </w:pPr>
            <w:r w:rsidRPr="00EE3355">
              <w:rPr>
                <w:b/>
                <w:sz w:val="18"/>
              </w:rPr>
              <w:t>PBO + MTX</w:t>
            </w:r>
          </w:p>
        </w:tc>
        <w:tc>
          <w:tcPr>
            <w:tcW w:w="854" w:type="dxa"/>
            <w:gridSpan w:val="2"/>
          </w:tcPr>
          <w:p w14:paraId="37754461" w14:textId="77777777" w:rsidR="00222DE0" w:rsidRPr="00EE3355" w:rsidRDefault="0098273B" w:rsidP="00EA1CDF">
            <w:pPr>
              <w:pStyle w:val="TableParagraph"/>
              <w:widowControl/>
              <w:jc w:val="center"/>
              <w:rPr>
                <w:b/>
                <w:sz w:val="18"/>
              </w:rPr>
            </w:pPr>
            <w:r w:rsidRPr="00EE3355">
              <w:rPr>
                <w:b/>
                <w:sz w:val="18"/>
              </w:rPr>
              <w:t>TCZ</w:t>
            </w:r>
          </w:p>
          <w:p w14:paraId="28CD161B" w14:textId="77777777" w:rsidR="00222DE0" w:rsidRPr="00EE3355" w:rsidRDefault="0098273B" w:rsidP="00EA1CDF">
            <w:pPr>
              <w:pStyle w:val="TableParagraph"/>
              <w:widowControl/>
              <w:jc w:val="center"/>
              <w:rPr>
                <w:b/>
                <w:sz w:val="18"/>
              </w:rPr>
            </w:pPr>
            <w:r w:rsidRPr="00EE3355">
              <w:rPr>
                <w:b/>
                <w:sz w:val="18"/>
              </w:rPr>
              <w:t>8 mg/kg</w:t>
            </w:r>
          </w:p>
          <w:p w14:paraId="5ED5CD9E" w14:textId="77777777" w:rsidR="00222DE0" w:rsidRPr="00EE3355" w:rsidRDefault="0098273B" w:rsidP="00EA1CDF">
            <w:pPr>
              <w:pStyle w:val="TableParagraph"/>
              <w:widowControl/>
              <w:jc w:val="center"/>
              <w:rPr>
                <w:b/>
                <w:sz w:val="18"/>
              </w:rPr>
            </w:pPr>
            <w:r w:rsidRPr="00EE3355">
              <w:rPr>
                <w:b/>
                <w:sz w:val="18"/>
              </w:rPr>
              <w:t>+ MTX</w:t>
            </w:r>
          </w:p>
        </w:tc>
        <w:tc>
          <w:tcPr>
            <w:tcW w:w="909" w:type="dxa"/>
            <w:gridSpan w:val="2"/>
          </w:tcPr>
          <w:p w14:paraId="4B3E0EFF" w14:textId="77777777" w:rsidR="00222DE0" w:rsidRPr="00EE3355" w:rsidRDefault="0098273B" w:rsidP="00EA1CDF">
            <w:pPr>
              <w:pStyle w:val="TableParagraph"/>
              <w:widowControl/>
              <w:jc w:val="center"/>
              <w:rPr>
                <w:b/>
                <w:sz w:val="18"/>
              </w:rPr>
            </w:pPr>
            <w:r w:rsidRPr="00EE3355">
              <w:rPr>
                <w:b/>
                <w:sz w:val="18"/>
              </w:rPr>
              <w:t>PBO</w:t>
            </w:r>
          </w:p>
          <w:p w14:paraId="26D23C5B" w14:textId="77777777" w:rsidR="00222DE0" w:rsidRPr="00EE3355" w:rsidRDefault="0098273B" w:rsidP="00EA1CDF">
            <w:pPr>
              <w:pStyle w:val="TableParagraph"/>
              <w:widowControl/>
              <w:jc w:val="center"/>
              <w:rPr>
                <w:b/>
                <w:sz w:val="18"/>
              </w:rPr>
            </w:pPr>
            <w:r w:rsidRPr="00EE3355">
              <w:rPr>
                <w:b/>
                <w:sz w:val="18"/>
              </w:rPr>
              <w:t>+ MTX</w:t>
            </w:r>
          </w:p>
        </w:tc>
        <w:tc>
          <w:tcPr>
            <w:tcW w:w="994" w:type="dxa"/>
            <w:gridSpan w:val="2"/>
          </w:tcPr>
          <w:p w14:paraId="6A62423A" w14:textId="77777777" w:rsidR="00222DE0" w:rsidRPr="00EE3355" w:rsidRDefault="0098273B" w:rsidP="00EA1CDF">
            <w:pPr>
              <w:pStyle w:val="TableParagraph"/>
              <w:widowControl/>
              <w:jc w:val="center"/>
              <w:rPr>
                <w:b/>
                <w:sz w:val="18"/>
              </w:rPr>
            </w:pPr>
            <w:r w:rsidRPr="00EE3355">
              <w:rPr>
                <w:b/>
                <w:sz w:val="18"/>
              </w:rPr>
              <w:t>TCZ</w:t>
            </w:r>
          </w:p>
          <w:p w14:paraId="56939CBC" w14:textId="77777777" w:rsidR="00222DE0" w:rsidRPr="00EE3355" w:rsidRDefault="0098273B" w:rsidP="00EA1CDF">
            <w:pPr>
              <w:pStyle w:val="TableParagraph"/>
              <w:widowControl/>
              <w:jc w:val="center"/>
              <w:rPr>
                <w:b/>
                <w:sz w:val="18"/>
              </w:rPr>
            </w:pPr>
            <w:r w:rsidRPr="00EE3355">
              <w:rPr>
                <w:b/>
                <w:sz w:val="18"/>
              </w:rPr>
              <w:t>8 mg/kg + DMARD</w:t>
            </w:r>
          </w:p>
        </w:tc>
        <w:tc>
          <w:tcPr>
            <w:tcW w:w="826" w:type="dxa"/>
            <w:gridSpan w:val="2"/>
          </w:tcPr>
          <w:p w14:paraId="77F0C730" w14:textId="77777777" w:rsidR="00222DE0" w:rsidRPr="00EE3355" w:rsidRDefault="0098273B" w:rsidP="00EA1CDF">
            <w:pPr>
              <w:pStyle w:val="TableParagraph"/>
              <w:widowControl/>
              <w:jc w:val="center"/>
              <w:rPr>
                <w:b/>
                <w:sz w:val="18"/>
              </w:rPr>
            </w:pPr>
            <w:r w:rsidRPr="00EE3355">
              <w:rPr>
                <w:b/>
                <w:sz w:val="18"/>
              </w:rPr>
              <w:t>PBO + DMARD</w:t>
            </w:r>
          </w:p>
        </w:tc>
        <w:tc>
          <w:tcPr>
            <w:tcW w:w="868" w:type="dxa"/>
            <w:gridSpan w:val="2"/>
          </w:tcPr>
          <w:p w14:paraId="6B16760B" w14:textId="77777777" w:rsidR="00222DE0" w:rsidRPr="00EE3355" w:rsidRDefault="0098273B" w:rsidP="00EA1CDF">
            <w:pPr>
              <w:pStyle w:val="TableParagraph"/>
              <w:widowControl/>
              <w:jc w:val="center"/>
              <w:rPr>
                <w:b/>
                <w:sz w:val="18"/>
              </w:rPr>
            </w:pPr>
            <w:r w:rsidRPr="00EE3355">
              <w:rPr>
                <w:b/>
                <w:sz w:val="18"/>
              </w:rPr>
              <w:t>TCZ</w:t>
            </w:r>
          </w:p>
          <w:p w14:paraId="57BB7CB4" w14:textId="77777777" w:rsidR="00222DE0" w:rsidRPr="00EE3355" w:rsidRDefault="0098273B" w:rsidP="00EA1CDF">
            <w:pPr>
              <w:pStyle w:val="TableParagraph"/>
              <w:widowControl/>
              <w:jc w:val="center"/>
              <w:rPr>
                <w:b/>
                <w:sz w:val="18"/>
              </w:rPr>
            </w:pPr>
            <w:r w:rsidRPr="00EE3355">
              <w:rPr>
                <w:b/>
                <w:sz w:val="18"/>
              </w:rPr>
              <w:t>8 mg/kg</w:t>
            </w:r>
          </w:p>
          <w:p w14:paraId="4EABF735" w14:textId="77777777" w:rsidR="00222DE0" w:rsidRPr="00EE3355" w:rsidRDefault="0098273B" w:rsidP="00EA1CDF">
            <w:pPr>
              <w:pStyle w:val="TableParagraph"/>
              <w:widowControl/>
              <w:jc w:val="center"/>
              <w:rPr>
                <w:b/>
                <w:sz w:val="18"/>
              </w:rPr>
            </w:pPr>
            <w:r w:rsidRPr="00EE3355">
              <w:rPr>
                <w:b/>
                <w:sz w:val="18"/>
              </w:rPr>
              <w:t>+ MTX</w:t>
            </w:r>
          </w:p>
        </w:tc>
        <w:tc>
          <w:tcPr>
            <w:tcW w:w="756" w:type="dxa"/>
          </w:tcPr>
          <w:p w14:paraId="363782B9" w14:textId="77777777" w:rsidR="00222DE0" w:rsidRPr="00EE3355" w:rsidRDefault="0098273B" w:rsidP="00EA1CDF">
            <w:pPr>
              <w:pStyle w:val="TableParagraph"/>
              <w:widowControl/>
              <w:jc w:val="center"/>
              <w:rPr>
                <w:b/>
                <w:sz w:val="18"/>
              </w:rPr>
            </w:pPr>
            <w:r w:rsidRPr="00EE3355">
              <w:rPr>
                <w:b/>
                <w:sz w:val="18"/>
              </w:rPr>
              <w:t>PBO + MTX</w:t>
            </w:r>
          </w:p>
        </w:tc>
      </w:tr>
      <w:tr w:rsidR="00222DE0" w:rsidRPr="00EE3355" w14:paraId="073B4E8B" w14:textId="77777777" w:rsidTr="008C39D1">
        <w:trPr>
          <w:cantSplit/>
          <w:trHeight w:val="211"/>
        </w:trPr>
        <w:tc>
          <w:tcPr>
            <w:tcW w:w="630" w:type="dxa"/>
          </w:tcPr>
          <w:p w14:paraId="06F3F0A4" w14:textId="77777777" w:rsidR="00222DE0" w:rsidRPr="00EE3355" w:rsidRDefault="00222DE0" w:rsidP="00EA1CDF">
            <w:pPr>
              <w:pStyle w:val="TableParagraph"/>
              <w:widowControl/>
              <w:rPr>
                <w:sz w:val="20"/>
              </w:rPr>
            </w:pPr>
          </w:p>
        </w:tc>
        <w:tc>
          <w:tcPr>
            <w:tcW w:w="812" w:type="dxa"/>
          </w:tcPr>
          <w:p w14:paraId="576380F1" w14:textId="77777777" w:rsidR="00222DE0" w:rsidRPr="00EE3355" w:rsidRDefault="0098273B" w:rsidP="00EA1CDF">
            <w:pPr>
              <w:pStyle w:val="TableParagraph"/>
              <w:widowControl/>
              <w:jc w:val="center"/>
              <w:rPr>
                <w:b/>
                <w:sz w:val="18"/>
              </w:rPr>
            </w:pPr>
            <w:r w:rsidRPr="00EE3355">
              <w:rPr>
                <w:b/>
                <w:sz w:val="18"/>
              </w:rPr>
              <w:t>n = 286</w:t>
            </w:r>
          </w:p>
        </w:tc>
        <w:tc>
          <w:tcPr>
            <w:tcW w:w="756" w:type="dxa"/>
            <w:gridSpan w:val="2"/>
          </w:tcPr>
          <w:p w14:paraId="1F5694B0" w14:textId="77777777" w:rsidR="00222DE0" w:rsidRPr="00EE3355" w:rsidRDefault="0098273B" w:rsidP="00EA1CDF">
            <w:pPr>
              <w:pStyle w:val="TableParagraph"/>
              <w:widowControl/>
              <w:ind w:right="-192"/>
              <w:rPr>
                <w:b/>
                <w:sz w:val="18"/>
              </w:rPr>
            </w:pPr>
            <w:r w:rsidRPr="00EE3355">
              <w:rPr>
                <w:b/>
                <w:sz w:val="18"/>
              </w:rPr>
              <w:t>n = 284</w:t>
            </w:r>
          </w:p>
        </w:tc>
        <w:tc>
          <w:tcPr>
            <w:tcW w:w="854" w:type="dxa"/>
            <w:gridSpan w:val="2"/>
          </w:tcPr>
          <w:p w14:paraId="5792F66F" w14:textId="77777777" w:rsidR="00222DE0" w:rsidRPr="00EE3355" w:rsidRDefault="0098273B" w:rsidP="00EA1CDF">
            <w:pPr>
              <w:pStyle w:val="TableParagraph"/>
              <w:widowControl/>
              <w:jc w:val="center"/>
              <w:rPr>
                <w:b/>
                <w:sz w:val="18"/>
              </w:rPr>
            </w:pPr>
            <w:r w:rsidRPr="00EE3355">
              <w:rPr>
                <w:b/>
                <w:sz w:val="18"/>
              </w:rPr>
              <w:t>n = 398</w:t>
            </w:r>
          </w:p>
        </w:tc>
        <w:tc>
          <w:tcPr>
            <w:tcW w:w="826" w:type="dxa"/>
            <w:gridSpan w:val="3"/>
          </w:tcPr>
          <w:p w14:paraId="3C04D9A4" w14:textId="77777777" w:rsidR="00222DE0" w:rsidRPr="00EE3355" w:rsidRDefault="0098273B" w:rsidP="00EA1CDF">
            <w:pPr>
              <w:pStyle w:val="TableParagraph"/>
              <w:widowControl/>
              <w:jc w:val="center"/>
              <w:rPr>
                <w:b/>
                <w:sz w:val="18"/>
              </w:rPr>
            </w:pPr>
            <w:r w:rsidRPr="00EE3355">
              <w:rPr>
                <w:b/>
                <w:sz w:val="18"/>
              </w:rPr>
              <w:t>n = 393</w:t>
            </w:r>
          </w:p>
        </w:tc>
        <w:tc>
          <w:tcPr>
            <w:tcW w:w="854" w:type="dxa"/>
            <w:gridSpan w:val="2"/>
          </w:tcPr>
          <w:p w14:paraId="211E2FD6" w14:textId="77777777" w:rsidR="00222DE0" w:rsidRPr="00EE3355" w:rsidRDefault="0098273B" w:rsidP="00EA1CDF">
            <w:pPr>
              <w:pStyle w:val="TableParagraph"/>
              <w:widowControl/>
              <w:jc w:val="center"/>
              <w:rPr>
                <w:b/>
                <w:sz w:val="18"/>
              </w:rPr>
            </w:pPr>
            <w:r w:rsidRPr="00EE3355">
              <w:rPr>
                <w:b/>
                <w:sz w:val="18"/>
              </w:rPr>
              <w:t>n = 205</w:t>
            </w:r>
          </w:p>
        </w:tc>
        <w:tc>
          <w:tcPr>
            <w:tcW w:w="909" w:type="dxa"/>
            <w:gridSpan w:val="2"/>
          </w:tcPr>
          <w:p w14:paraId="1E1DF49E" w14:textId="77777777" w:rsidR="00222DE0" w:rsidRPr="00EE3355" w:rsidRDefault="0098273B" w:rsidP="00EA1CDF">
            <w:pPr>
              <w:pStyle w:val="TableParagraph"/>
              <w:widowControl/>
              <w:jc w:val="center"/>
              <w:rPr>
                <w:b/>
                <w:sz w:val="18"/>
              </w:rPr>
            </w:pPr>
            <w:r w:rsidRPr="00EE3355">
              <w:rPr>
                <w:b/>
                <w:sz w:val="18"/>
              </w:rPr>
              <w:t>n = 204</w:t>
            </w:r>
          </w:p>
        </w:tc>
        <w:tc>
          <w:tcPr>
            <w:tcW w:w="994" w:type="dxa"/>
            <w:gridSpan w:val="2"/>
          </w:tcPr>
          <w:p w14:paraId="7E3E1CFF" w14:textId="77777777" w:rsidR="00222DE0" w:rsidRPr="00EE3355" w:rsidRDefault="0098273B" w:rsidP="00EA1CDF">
            <w:pPr>
              <w:pStyle w:val="TableParagraph"/>
              <w:widowControl/>
              <w:jc w:val="center"/>
              <w:rPr>
                <w:b/>
                <w:sz w:val="18"/>
              </w:rPr>
            </w:pPr>
            <w:r w:rsidRPr="00EE3355">
              <w:rPr>
                <w:b/>
                <w:sz w:val="18"/>
              </w:rPr>
              <w:t>n = 803</w:t>
            </w:r>
          </w:p>
        </w:tc>
        <w:tc>
          <w:tcPr>
            <w:tcW w:w="826" w:type="dxa"/>
            <w:gridSpan w:val="2"/>
          </w:tcPr>
          <w:p w14:paraId="2FEB6D68" w14:textId="77777777" w:rsidR="00222DE0" w:rsidRPr="00EE3355" w:rsidRDefault="0098273B" w:rsidP="00EA1CDF">
            <w:pPr>
              <w:pStyle w:val="TableParagraph"/>
              <w:widowControl/>
              <w:jc w:val="center"/>
              <w:rPr>
                <w:b/>
                <w:sz w:val="18"/>
              </w:rPr>
            </w:pPr>
            <w:r w:rsidRPr="00EE3355">
              <w:rPr>
                <w:b/>
                <w:sz w:val="18"/>
              </w:rPr>
              <w:t>n = 413</w:t>
            </w:r>
          </w:p>
        </w:tc>
        <w:tc>
          <w:tcPr>
            <w:tcW w:w="868" w:type="dxa"/>
            <w:gridSpan w:val="2"/>
          </w:tcPr>
          <w:p w14:paraId="75D0F18A" w14:textId="77777777" w:rsidR="00222DE0" w:rsidRPr="00EE3355" w:rsidRDefault="0098273B" w:rsidP="00EA1CDF">
            <w:pPr>
              <w:pStyle w:val="TableParagraph"/>
              <w:widowControl/>
              <w:jc w:val="center"/>
              <w:rPr>
                <w:b/>
                <w:sz w:val="18"/>
              </w:rPr>
            </w:pPr>
            <w:r w:rsidRPr="00EE3355">
              <w:rPr>
                <w:b/>
                <w:sz w:val="18"/>
              </w:rPr>
              <w:t>n = 170</w:t>
            </w:r>
          </w:p>
        </w:tc>
        <w:tc>
          <w:tcPr>
            <w:tcW w:w="756" w:type="dxa"/>
          </w:tcPr>
          <w:p w14:paraId="6BCF3543" w14:textId="77777777" w:rsidR="00222DE0" w:rsidRPr="00EE3355" w:rsidRDefault="0098273B" w:rsidP="00EA1CDF">
            <w:pPr>
              <w:pStyle w:val="TableParagraph"/>
              <w:widowControl/>
              <w:jc w:val="center"/>
              <w:rPr>
                <w:b/>
                <w:sz w:val="18"/>
              </w:rPr>
            </w:pPr>
            <w:r w:rsidRPr="00EE3355">
              <w:rPr>
                <w:b/>
                <w:sz w:val="18"/>
              </w:rPr>
              <w:t>n = 158</w:t>
            </w:r>
          </w:p>
        </w:tc>
      </w:tr>
      <w:tr w:rsidR="00222DE0" w:rsidRPr="00EE3355" w14:paraId="18E0E783" w14:textId="77777777" w:rsidTr="008C39D1">
        <w:trPr>
          <w:cantSplit/>
          <w:trHeight w:val="208"/>
        </w:trPr>
        <w:tc>
          <w:tcPr>
            <w:tcW w:w="9085" w:type="dxa"/>
            <w:gridSpan w:val="20"/>
          </w:tcPr>
          <w:p w14:paraId="0940E013" w14:textId="77777777" w:rsidR="00222DE0" w:rsidRPr="00EE3355" w:rsidRDefault="0098273B" w:rsidP="00EA1CDF">
            <w:pPr>
              <w:pStyle w:val="TableParagraph"/>
              <w:widowControl/>
              <w:jc w:val="center"/>
              <w:rPr>
                <w:b/>
                <w:sz w:val="18"/>
              </w:rPr>
            </w:pPr>
            <w:r w:rsidRPr="00EE3355">
              <w:rPr>
                <w:b/>
                <w:sz w:val="18"/>
              </w:rPr>
              <w:t>ACR 20</w:t>
            </w:r>
          </w:p>
        </w:tc>
      </w:tr>
      <w:tr w:rsidR="00222DE0" w:rsidRPr="00EE3355" w14:paraId="195D3C0B" w14:textId="77777777" w:rsidTr="008C39D1">
        <w:trPr>
          <w:cantSplit/>
          <w:trHeight w:val="206"/>
        </w:trPr>
        <w:tc>
          <w:tcPr>
            <w:tcW w:w="630" w:type="dxa"/>
          </w:tcPr>
          <w:p w14:paraId="071E3F52" w14:textId="77777777" w:rsidR="00222DE0" w:rsidRPr="00EE3355" w:rsidRDefault="0098273B" w:rsidP="00EA1CDF">
            <w:pPr>
              <w:pStyle w:val="TableParagraph"/>
              <w:widowControl/>
              <w:jc w:val="center"/>
              <w:rPr>
                <w:sz w:val="18"/>
              </w:rPr>
            </w:pPr>
            <w:r w:rsidRPr="00EE3355">
              <w:rPr>
                <w:sz w:val="18"/>
              </w:rPr>
              <w:t>24</w:t>
            </w:r>
          </w:p>
        </w:tc>
        <w:tc>
          <w:tcPr>
            <w:tcW w:w="812" w:type="dxa"/>
          </w:tcPr>
          <w:p w14:paraId="2E6FDF24" w14:textId="77777777" w:rsidR="00222DE0" w:rsidRPr="00EE3355" w:rsidRDefault="0098273B" w:rsidP="00EA1CDF">
            <w:pPr>
              <w:pStyle w:val="TableParagraph"/>
              <w:widowControl/>
              <w:jc w:val="center"/>
              <w:rPr>
                <w:sz w:val="18"/>
              </w:rPr>
            </w:pPr>
            <w:r w:rsidRPr="00EE3355">
              <w:rPr>
                <w:sz w:val="18"/>
              </w:rPr>
              <w:t>70 %***</w:t>
            </w:r>
          </w:p>
        </w:tc>
        <w:tc>
          <w:tcPr>
            <w:tcW w:w="756" w:type="dxa"/>
            <w:gridSpan w:val="2"/>
          </w:tcPr>
          <w:p w14:paraId="14D04451" w14:textId="77777777" w:rsidR="00222DE0" w:rsidRPr="00EE3355" w:rsidRDefault="0098273B" w:rsidP="00EA1CDF">
            <w:pPr>
              <w:pStyle w:val="TableParagraph"/>
              <w:widowControl/>
              <w:jc w:val="center"/>
              <w:rPr>
                <w:sz w:val="18"/>
              </w:rPr>
            </w:pPr>
            <w:r w:rsidRPr="00EE3355">
              <w:rPr>
                <w:sz w:val="18"/>
              </w:rPr>
              <w:t>52 %</w:t>
            </w:r>
          </w:p>
        </w:tc>
        <w:tc>
          <w:tcPr>
            <w:tcW w:w="868" w:type="dxa"/>
            <w:gridSpan w:val="3"/>
          </w:tcPr>
          <w:p w14:paraId="14D9A1E8" w14:textId="77777777" w:rsidR="00222DE0" w:rsidRPr="00EE3355" w:rsidRDefault="0098273B" w:rsidP="00EA1CDF">
            <w:pPr>
              <w:pStyle w:val="TableParagraph"/>
              <w:widowControl/>
              <w:jc w:val="center"/>
              <w:rPr>
                <w:sz w:val="18"/>
              </w:rPr>
            </w:pPr>
            <w:r w:rsidRPr="00EE3355">
              <w:rPr>
                <w:sz w:val="18"/>
              </w:rPr>
              <w:t>56 %***</w:t>
            </w:r>
          </w:p>
        </w:tc>
        <w:tc>
          <w:tcPr>
            <w:tcW w:w="812" w:type="dxa"/>
            <w:gridSpan w:val="2"/>
          </w:tcPr>
          <w:p w14:paraId="7C2509E2" w14:textId="77777777" w:rsidR="00222DE0" w:rsidRPr="00EE3355" w:rsidRDefault="0098273B" w:rsidP="00EA1CDF">
            <w:pPr>
              <w:pStyle w:val="TableParagraph"/>
              <w:widowControl/>
              <w:jc w:val="center"/>
              <w:rPr>
                <w:sz w:val="18"/>
              </w:rPr>
            </w:pPr>
            <w:r w:rsidRPr="00EE3355">
              <w:rPr>
                <w:sz w:val="18"/>
              </w:rPr>
              <w:t>27 %</w:t>
            </w:r>
          </w:p>
        </w:tc>
        <w:tc>
          <w:tcPr>
            <w:tcW w:w="868" w:type="dxa"/>
            <w:gridSpan w:val="3"/>
          </w:tcPr>
          <w:p w14:paraId="33F923AE" w14:textId="77777777" w:rsidR="00222DE0" w:rsidRPr="00EE3355" w:rsidRDefault="0098273B" w:rsidP="00EA1CDF">
            <w:pPr>
              <w:pStyle w:val="TableParagraph"/>
              <w:widowControl/>
              <w:jc w:val="center"/>
              <w:rPr>
                <w:sz w:val="18"/>
              </w:rPr>
            </w:pPr>
            <w:r w:rsidRPr="00EE3355">
              <w:rPr>
                <w:sz w:val="18"/>
              </w:rPr>
              <w:t>59 %***</w:t>
            </w:r>
          </w:p>
        </w:tc>
        <w:tc>
          <w:tcPr>
            <w:tcW w:w="895" w:type="dxa"/>
          </w:tcPr>
          <w:p w14:paraId="77DA985C" w14:textId="77777777" w:rsidR="00222DE0" w:rsidRPr="00EE3355" w:rsidRDefault="0098273B" w:rsidP="00EA1CDF">
            <w:pPr>
              <w:pStyle w:val="TableParagraph"/>
              <w:widowControl/>
              <w:jc w:val="center"/>
              <w:rPr>
                <w:sz w:val="18"/>
              </w:rPr>
            </w:pPr>
            <w:r w:rsidRPr="00EE3355">
              <w:rPr>
                <w:sz w:val="18"/>
              </w:rPr>
              <w:t>26 %</w:t>
            </w:r>
          </w:p>
        </w:tc>
        <w:tc>
          <w:tcPr>
            <w:tcW w:w="994" w:type="dxa"/>
            <w:gridSpan w:val="2"/>
          </w:tcPr>
          <w:p w14:paraId="1813EC92" w14:textId="77777777" w:rsidR="00222DE0" w:rsidRPr="00EE3355" w:rsidRDefault="0098273B" w:rsidP="00EA1CDF">
            <w:pPr>
              <w:pStyle w:val="TableParagraph"/>
              <w:widowControl/>
              <w:jc w:val="center"/>
              <w:rPr>
                <w:sz w:val="18"/>
              </w:rPr>
            </w:pPr>
            <w:r w:rsidRPr="00EE3355">
              <w:rPr>
                <w:sz w:val="18"/>
              </w:rPr>
              <w:t>61 %***</w:t>
            </w:r>
          </w:p>
        </w:tc>
        <w:tc>
          <w:tcPr>
            <w:tcW w:w="826" w:type="dxa"/>
            <w:gridSpan w:val="2"/>
          </w:tcPr>
          <w:p w14:paraId="4F676D49" w14:textId="77777777" w:rsidR="00222DE0" w:rsidRPr="00EE3355" w:rsidRDefault="0098273B" w:rsidP="00EA1CDF">
            <w:pPr>
              <w:pStyle w:val="TableParagraph"/>
              <w:widowControl/>
              <w:jc w:val="center"/>
              <w:rPr>
                <w:sz w:val="18"/>
              </w:rPr>
            </w:pPr>
            <w:r w:rsidRPr="00EE3355">
              <w:rPr>
                <w:sz w:val="18"/>
              </w:rPr>
              <w:t>24 %</w:t>
            </w:r>
          </w:p>
        </w:tc>
        <w:tc>
          <w:tcPr>
            <w:tcW w:w="868" w:type="dxa"/>
            <w:gridSpan w:val="2"/>
          </w:tcPr>
          <w:p w14:paraId="4DD877F7" w14:textId="77777777" w:rsidR="00222DE0" w:rsidRPr="00EE3355" w:rsidRDefault="0098273B" w:rsidP="00EA1CDF">
            <w:pPr>
              <w:pStyle w:val="TableParagraph"/>
              <w:widowControl/>
              <w:jc w:val="center"/>
              <w:rPr>
                <w:sz w:val="18"/>
              </w:rPr>
            </w:pPr>
            <w:r w:rsidRPr="00EE3355">
              <w:rPr>
                <w:sz w:val="18"/>
              </w:rPr>
              <w:t>50 %***</w:t>
            </w:r>
          </w:p>
        </w:tc>
        <w:tc>
          <w:tcPr>
            <w:tcW w:w="756" w:type="dxa"/>
          </w:tcPr>
          <w:p w14:paraId="047F0E88" w14:textId="77777777" w:rsidR="00222DE0" w:rsidRPr="00EE3355" w:rsidRDefault="0098273B" w:rsidP="00EA1CDF">
            <w:pPr>
              <w:pStyle w:val="TableParagraph"/>
              <w:widowControl/>
              <w:jc w:val="center"/>
              <w:rPr>
                <w:sz w:val="18"/>
              </w:rPr>
            </w:pPr>
            <w:r w:rsidRPr="00EE3355">
              <w:rPr>
                <w:sz w:val="18"/>
              </w:rPr>
              <w:t>10 %</w:t>
            </w:r>
          </w:p>
        </w:tc>
      </w:tr>
      <w:tr w:rsidR="00222DE0" w:rsidRPr="00EE3355" w14:paraId="60ADAAA5" w14:textId="77777777" w:rsidTr="008C39D1">
        <w:trPr>
          <w:cantSplit/>
          <w:trHeight w:val="206"/>
        </w:trPr>
        <w:tc>
          <w:tcPr>
            <w:tcW w:w="630" w:type="dxa"/>
          </w:tcPr>
          <w:p w14:paraId="28D53429" w14:textId="77777777" w:rsidR="00222DE0" w:rsidRPr="00EE3355" w:rsidRDefault="0098273B" w:rsidP="00EA1CDF">
            <w:pPr>
              <w:pStyle w:val="TableParagraph"/>
              <w:widowControl/>
              <w:jc w:val="center"/>
              <w:rPr>
                <w:sz w:val="18"/>
              </w:rPr>
            </w:pPr>
            <w:r w:rsidRPr="00EE3355">
              <w:rPr>
                <w:sz w:val="18"/>
              </w:rPr>
              <w:t>52</w:t>
            </w:r>
          </w:p>
        </w:tc>
        <w:tc>
          <w:tcPr>
            <w:tcW w:w="812" w:type="dxa"/>
          </w:tcPr>
          <w:p w14:paraId="163ECB49" w14:textId="77777777" w:rsidR="00222DE0" w:rsidRPr="00EE3355" w:rsidRDefault="00222DE0" w:rsidP="00EA1CDF">
            <w:pPr>
              <w:pStyle w:val="TableParagraph"/>
              <w:widowControl/>
              <w:rPr>
                <w:sz w:val="14"/>
              </w:rPr>
            </w:pPr>
          </w:p>
        </w:tc>
        <w:tc>
          <w:tcPr>
            <w:tcW w:w="756" w:type="dxa"/>
            <w:gridSpan w:val="2"/>
          </w:tcPr>
          <w:p w14:paraId="02096074" w14:textId="77777777" w:rsidR="00222DE0" w:rsidRPr="00EE3355" w:rsidRDefault="00222DE0" w:rsidP="00EA1CDF">
            <w:pPr>
              <w:pStyle w:val="TableParagraph"/>
              <w:widowControl/>
              <w:rPr>
                <w:sz w:val="14"/>
              </w:rPr>
            </w:pPr>
          </w:p>
        </w:tc>
        <w:tc>
          <w:tcPr>
            <w:tcW w:w="868" w:type="dxa"/>
            <w:gridSpan w:val="3"/>
          </w:tcPr>
          <w:p w14:paraId="3CC5E6B5" w14:textId="77777777" w:rsidR="00222DE0" w:rsidRPr="00EE3355" w:rsidRDefault="0098273B" w:rsidP="00EA1CDF">
            <w:pPr>
              <w:pStyle w:val="TableParagraph"/>
              <w:widowControl/>
              <w:jc w:val="center"/>
              <w:rPr>
                <w:sz w:val="18"/>
              </w:rPr>
            </w:pPr>
            <w:r w:rsidRPr="00EE3355">
              <w:rPr>
                <w:sz w:val="18"/>
              </w:rPr>
              <w:t>56 %***</w:t>
            </w:r>
          </w:p>
        </w:tc>
        <w:tc>
          <w:tcPr>
            <w:tcW w:w="812" w:type="dxa"/>
            <w:gridSpan w:val="2"/>
          </w:tcPr>
          <w:p w14:paraId="0F3079D0" w14:textId="77777777" w:rsidR="00222DE0" w:rsidRPr="00EE3355" w:rsidRDefault="0098273B" w:rsidP="00EA1CDF">
            <w:pPr>
              <w:pStyle w:val="TableParagraph"/>
              <w:widowControl/>
              <w:jc w:val="center"/>
              <w:rPr>
                <w:sz w:val="18"/>
              </w:rPr>
            </w:pPr>
            <w:r w:rsidRPr="00EE3355">
              <w:rPr>
                <w:sz w:val="18"/>
              </w:rPr>
              <w:t>25 %</w:t>
            </w:r>
          </w:p>
        </w:tc>
        <w:tc>
          <w:tcPr>
            <w:tcW w:w="868" w:type="dxa"/>
            <w:gridSpan w:val="3"/>
          </w:tcPr>
          <w:p w14:paraId="51BDD2B0" w14:textId="77777777" w:rsidR="00222DE0" w:rsidRPr="00EE3355" w:rsidRDefault="00222DE0" w:rsidP="00EA1CDF">
            <w:pPr>
              <w:pStyle w:val="TableParagraph"/>
              <w:widowControl/>
              <w:rPr>
                <w:sz w:val="14"/>
              </w:rPr>
            </w:pPr>
          </w:p>
        </w:tc>
        <w:tc>
          <w:tcPr>
            <w:tcW w:w="895" w:type="dxa"/>
          </w:tcPr>
          <w:p w14:paraId="7A4897A1" w14:textId="77777777" w:rsidR="00222DE0" w:rsidRPr="00EE3355" w:rsidRDefault="00222DE0" w:rsidP="00EA1CDF">
            <w:pPr>
              <w:pStyle w:val="TableParagraph"/>
              <w:widowControl/>
              <w:rPr>
                <w:sz w:val="14"/>
              </w:rPr>
            </w:pPr>
          </w:p>
        </w:tc>
        <w:tc>
          <w:tcPr>
            <w:tcW w:w="994" w:type="dxa"/>
            <w:gridSpan w:val="2"/>
          </w:tcPr>
          <w:p w14:paraId="4DEDF8B1" w14:textId="77777777" w:rsidR="00222DE0" w:rsidRPr="00EE3355" w:rsidRDefault="00222DE0" w:rsidP="00EA1CDF">
            <w:pPr>
              <w:pStyle w:val="TableParagraph"/>
              <w:widowControl/>
              <w:rPr>
                <w:sz w:val="14"/>
              </w:rPr>
            </w:pPr>
          </w:p>
        </w:tc>
        <w:tc>
          <w:tcPr>
            <w:tcW w:w="826" w:type="dxa"/>
            <w:gridSpan w:val="2"/>
          </w:tcPr>
          <w:p w14:paraId="3D6A8C39" w14:textId="77777777" w:rsidR="00222DE0" w:rsidRPr="00EE3355" w:rsidRDefault="00222DE0" w:rsidP="00EA1CDF">
            <w:pPr>
              <w:pStyle w:val="TableParagraph"/>
              <w:widowControl/>
              <w:rPr>
                <w:sz w:val="14"/>
              </w:rPr>
            </w:pPr>
          </w:p>
        </w:tc>
        <w:tc>
          <w:tcPr>
            <w:tcW w:w="868" w:type="dxa"/>
            <w:gridSpan w:val="2"/>
          </w:tcPr>
          <w:p w14:paraId="3B922C17" w14:textId="77777777" w:rsidR="00222DE0" w:rsidRPr="00EE3355" w:rsidRDefault="00222DE0" w:rsidP="00EA1CDF">
            <w:pPr>
              <w:pStyle w:val="TableParagraph"/>
              <w:widowControl/>
              <w:rPr>
                <w:sz w:val="14"/>
              </w:rPr>
            </w:pPr>
          </w:p>
        </w:tc>
        <w:tc>
          <w:tcPr>
            <w:tcW w:w="756" w:type="dxa"/>
          </w:tcPr>
          <w:p w14:paraId="71B24FD6" w14:textId="77777777" w:rsidR="00222DE0" w:rsidRPr="00EE3355" w:rsidRDefault="00222DE0" w:rsidP="00EA1CDF">
            <w:pPr>
              <w:pStyle w:val="TableParagraph"/>
              <w:widowControl/>
              <w:rPr>
                <w:sz w:val="14"/>
              </w:rPr>
            </w:pPr>
          </w:p>
        </w:tc>
      </w:tr>
      <w:tr w:rsidR="00222DE0" w:rsidRPr="00EE3355" w14:paraId="00ADA943" w14:textId="77777777" w:rsidTr="008C39D1">
        <w:trPr>
          <w:cantSplit/>
          <w:trHeight w:val="208"/>
        </w:trPr>
        <w:tc>
          <w:tcPr>
            <w:tcW w:w="9085" w:type="dxa"/>
            <w:gridSpan w:val="20"/>
          </w:tcPr>
          <w:p w14:paraId="017856FC" w14:textId="77777777" w:rsidR="00222DE0" w:rsidRPr="00EE3355" w:rsidRDefault="0098273B" w:rsidP="00EA1CDF">
            <w:pPr>
              <w:pStyle w:val="TableParagraph"/>
              <w:widowControl/>
              <w:jc w:val="center"/>
              <w:rPr>
                <w:b/>
                <w:sz w:val="18"/>
              </w:rPr>
            </w:pPr>
            <w:r w:rsidRPr="00EE3355">
              <w:rPr>
                <w:b/>
                <w:sz w:val="18"/>
              </w:rPr>
              <w:t>ACR 50</w:t>
            </w:r>
          </w:p>
        </w:tc>
      </w:tr>
      <w:tr w:rsidR="00222DE0" w:rsidRPr="00EE3355" w14:paraId="6588AC7F" w14:textId="77777777" w:rsidTr="008C39D1">
        <w:trPr>
          <w:cantSplit/>
          <w:trHeight w:val="206"/>
        </w:trPr>
        <w:tc>
          <w:tcPr>
            <w:tcW w:w="630" w:type="dxa"/>
          </w:tcPr>
          <w:p w14:paraId="21432D29" w14:textId="77777777" w:rsidR="00222DE0" w:rsidRPr="00EE3355" w:rsidRDefault="0098273B" w:rsidP="00EA1CDF">
            <w:pPr>
              <w:pStyle w:val="TableParagraph"/>
              <w:widowControl/>
              <w:jc w:val="center"/>
              <w:rPr>
                <w:sz w:val="18"/>
              </w:rPr>
            </w:pPr>
            <w:r w:rsidRPr="00EE3355">
              <w:rPr>
                <w:sz w:val="18"/>
              </w:rPr>
              <w:t>24</w:t>
            </w:r>
          </w:p>
        </w:tc>
        <w:tc>
          <w:tcPr>
            <w:tcW w:w="812" w:type="dxa"/>
          </w:tcPr>
          <w:p w14:paraId="29283740" w14:textId="77777777" w:rsidR="00222DE0" w:rsidRPr="00EE3355" w:rsidRDefault="0098273B" w:rsidP="00EA1CDF">
            <w:pPr>
              <w:pStyle w:val="TableParagraph"/>
              <w:widowControl/>
              <w:jc w:val="center"/>
              <w:rPr>
                <w:sz w:val="18"/>
              </w:rPr>
            </w:pPr>
            <w:r w:rsidRPr="00EE3355">
              <w:rPr>
                <w:sz w:val="18"/>
              </w:rPr>
              <w:t>44 %**</w:t>
            </w:r>
          </w:p>
        </w:tc>
        <w:tc>
          <w:tcPr>
            <w:tcW w:w="756" w:type="dxa"/>
            <w:gridSpan w:val="2"/>
          </w:tcPr>
          <w:p w14:paraId="06DC6A08" w14:textId="77777777" w:rsidR="00222DE0" w:rsidRPr="00EE3355" w:rsidRDefault="0098273B" w:rsidP="00EA1CDF">
            <w:pPr>
              <w:pStyle w:val="TableParagraph"/>
              <w:widowControl/>
              <w:jc w:val="center"/>
              <w:rPr>
                <w:sz w:val="18"/>
              </w:rPr>
            </w:pPr>
            <w:r w:rsidRPr="00EE3355">
              <w:rPr>
                <w:sz w:val="18"/>
              </w:rPr>
              <w:t>33 %</w:t>
            </w:r>
          </w:p>
        </w:tc>
        <w:tc>
          <w:tcPr>
            <w:tcW w:w="868" w:type="dxa"/>
            <w:gridSpan w:val="3"/>
          </w:tcPr>
          <w:p w14:paraId="50DC7395" w14:textId="77777777" w:rsidR="00222DE0" w:rsidRPr="00EE3355" w:rsidRDefault="0098273B" w:rsidP="00EA1CDF">
            <w:pPr>
              <w:pStyle w:val="TableParagraph"/>
              <w:widowControl/>
              <w:jc w:val="center"/>
              <w:rPr>
                <w:sz w:val="18"/>
              </w:rPr>
            </w:pPr>
            <w:r w:rsidRPr="00EE3355">
              <w:rPr>
                <w:sz w:val="18"/>
              </w:rPr>
              <w:t>32 %***</w:t>
            </w:r>
          </w:p>
        </w:tc>
        <w:tc>
          <w:tcPr>
            <w:tcW w:w="812" w:type="dxa"/>
            <w:gridSpan w:val="2"/>
          </w:tcPr>
          <w:p w14:paraId="344B05F1" w14:textId="77777777" w:rsidR="00222DE0" w:rsidRPr="00EE3355" w:rsidRDefault="0098273B" w:rsidP="00EA1CDF">
            <w:pPr>
              <w:pStyle w:val="TableParagraph"/>
              <w:widowControl/>
              <w:jc w:val="center"/>
              <w:rPr>
                <w:sz w:val="18"/>
              </w:rPr>
            </w:pPr>
            <w:r w:rsidRPr="00EE3355">
              <w:rPr>
                <w:sz w:val="18"/>
              </w:rPr>
              <w:t>10 %</w:t>
            </w:r>
          </w:p>
        </w:tc>
        <w:tc>
          <w:tcPr>
            <w:tcW w:w="868" w:type="dxa"/>
            <w:gridSpan w:val="3"/>
          </w:tcPr>
          <w:p w14:paraId="3D2FB270" w14:textId="77777777" w:rsidR="00222DE0" w:rsidRPr="00EE3355" w:rsidRDefault="0098273B" w:rsidP="00EA1CDF">
            <w:pPr>
              <w:pStyle w:val="TableParagraph"/>
              <w:widowControl/>
              <w:jc w:val="center"/>
              <w:rPr>
                <w:sz w:val="18"/>
              </w:rPr>
            </w:pPr>
            <w:r w:rsidRPr="00EE3355">
              <w:rPr>
                <w:sz w:val="18"/>
              </w:rPr>
              <w:t>44 %***</w:t>
            </w:r>
          </w:p>
        </w:tc>
        <w:tc>
          <w:tcPr>
            <w:tcW w:w="895" w:type="dxa"/>
          </w:tcPr>
          <w:p w14:paraId="69DD3BE4" w14:textId="77777777" w:rsidR="00222DE0" w:rsidRPr="00EE3355" w:rsidRDefault="0098273B" w:rsidP="00EA1CDF">
            <w:pPr>
              <w:pStyle w:val="TableParagraph"/>
              <w:widowControl/>
              <w:jc w:val="center"/>
              <w:rPr>
                <w:sz w:val="18"/>
              </w:rPr>
            </w:pPr>
            <w:r w:rsidRPr="00EE3355">
              <w:rPr>
                <w:sz w:val="18"/>
              </w:rPr>
              <w:t>11 %</w:t>
            </w:r>
          </w:p>
        </w:tc>
        <w:tc>
          <w:tcPr>
            <w:tcW w:w="994" w:type="dxa"/>
            <w:gridSpan w:val="2"/>
          </w:tcPr>
          <w:p w14:paraId="674F856C" w14:textId="77777777" w:rsidR="00222DE0" w:rsidRPr="00EE3355" w:rsidRDefault="0098273B" w:rsidP="00EA1CDF">
            <w:pPr>
              <w:pStyle w:val="TableParagraph"/>
              <w:widowControl/>
              <w:jc w:val="center"/>
              <w:rPr>
                <w:sz w:val="18"/>
              </w:rPr>
            </w:pPr>
            <w:r w:rsidRPr="00EE3355">
              <w:rPr>
                <w:sz w:val="18"/>
              </w:rPr>
              <w:t>38 %***</w:t>
            </w:r>
          </w:p>
        </w:tc>
        <w:tc>
          <w:tcPr>
            <w:tcW w:w="826" w:type="dxa"/>
            <w:gridSpan w:val="2"/>
          </w:tcPr>
          <w:p w14:paraId="70BE7A24" w14:textId="77777777" w:rsidR="00222DE0" w:rsidRPr="00EE3355" w:rsidRDefault="0098273B" w:rsidP="00EA1CDF">
            <w:pPr>
              <w:pStyle w:val="TableParagraph"/>
              <w:widowControl/>
              <w:jc w:val="center"/>
              <w:rPr>
                <w:sz w:val="18"/>
              </w:rPr>
            </w:pPr>
            <w:r w:rsidRPr="00EE3355">
              <w:rPr>
                <w:sz w:val="18"/>
              </w:rPr>
              <w:t>9 %</w:t>
            </w:r>
          </w:p>
        </w:tc>
        <w:tc>
          <w:tcPr>
            <w:tcW w:w="868" w:type="dxa"/>
            <w:gridSpan w:val="2"/>
          </w:tcPr>
          <w:p w14:paraId="5660A539" w14:textId="77777777" w:rsidR="00222DE0" w:rsidRPr="00EE3355" w:rsidRDefault="0098273B" w:rsidP="00EA1CDF">
            <w:pPr>
              <w:pStyle w:val="TableParagraph"/>
              <w:widowControl/>
              <w:jc w:val="center"/>
              <w:rPr>
                <w:sz w:val="18"/>
              </w:rPr>
            </w:pPr>
            <w:r w:rsidRPr="00EE3355">
              <w:rPr>
                <w:sz w:val="18"/>
              </w:rPr>
              <w:t>29 %***</w:t>
            </w:r>
          </w:p>
        </w:tc>
        <w:tc>
          <w:tcPr>
            <w:tcW w:w="756" w:type="dxa"/>
          </w:tcPr>
          <w:p w14:paraId="54AF5625" w14:textId="77777777" w:rsidR="00222DE0" w:rsidRPr="00EE3355" w:rsidRDefault="0098273B" w:rsidP="00EA1CDF">
            <w:pPr>
              <w:pStyle w:val="TableParagraph"/>
              <w:widowControl/>
              <w:jc w:val="center"/>
              <w:rPr>
                <w:sz w:val="18"/>
              </w:rPr>
            </w:pPr>
            <w:r w:rsidRPr="00EE3355">
              <w:rPr>
                <w:sz w:val="18"/>
              </w:rPr>
              <w:t>4 %</w:t>
            </w:r>
          </w:p>
        </w:tc>
      </w:tr>
      <w:tr w:rsidR="00222DE0" w:rsidRPr="00EE3355" w14:paraId="18F08D95" w14:textId="77777777" w:rsidTr="008C39D1">
        <w:trPr>
          <w:cantSplit/>
          <w:trHeight w:val="208"/>
        </w:trPr>
        <w:tc>
          <w:tcPr>
            <w:tcW w:w="630" w:type="dxa"/>
          </w:tcPr>
          <w:p w14:paraId="474E62EC" w14:textId="77777777" w:rsidR="00222DE0" w:rsidRPr="00EE3355" w:rsidRDefault="0098273B" w:rsidP="00EA1CDF">
            <w:pPr>
              <w:pStyle w:val="TableParagraph"/>
              <w:widowControl/>
              <w:jc w:val="center"/>
              <w:rPr>
                <w:sz w:val="18"/>
              </w:rPr>
            </w:pPr>
            <w:r w:rsidRPr="00EE3355">
              <w:rPr>
                <w:sz w:val="18"/>
              </w:rPr>
              <w:t>52</w:t>
            </w:r>
          </w:p>
        </w:tc>
        <w:tc>
          <w:tcPr>
            <w:tcW w:w="812" w:type="dxa"/>
          </w:tcPr>
          <w:p w14:paraId="2535C8F5" w14:textId="77777777" w:rsidR="00222DE0" w:rsidRPr="00EE3355" w:rsidRDefault="00222DE0" w:rsidP="00EA1CDF">
            <w:pPr>
              <w:pStyle w:val="TableParagraph"/>
              <w:widowControl/>
              <w:rPr>
                <w:sz w:val="14"/>
              </w:rPr>
            </w:pPr>
          </w:p>
        </w:tc>
        <w:tc>
          <w:tcPr>
            <w:tcW w:w="756" w:type="dxa"/>
            <w:gridSpan w:val="2"/>
          </w:tcPr>
          <w:p w14:paraId="1B6B34F3" w14:textId="77777777" w:rsidR="00222DE0" w:rsidRPr="00EE3355" w:rsidRDefault="00222DE0" w:rsidP="00EA1CDF">
            <w:pPr>
              <w:pStyle w:val="TableParagraph"/>
              <w:widowControl/>
              <w:rPr>
                <w:sz w:val="14"/>
              </w:rPr>
            </w:pPr>
          </w:p>
        </w:tc>
        <w:tc>
          <w:tcPr>
            <w:tcW w:w="868" w:type="dxa"/>
            <w:gridSpan w:val="3"/>
          </w:tcPr>
          <w:p w14:paraId="7ADB0EDD" w14:textId="77777777" w:rsidR="00222DE0" w:rsidRPr="00EE3355" w:rsidRDefault="0098273B" w:rsidP="00EA1CDF">
            <w:pPr>
              <w:pStyle w:val="TableParagraph"/>
              <w:widowControl/>
              <w:jc w:val="center"/>
              <w:rPr>
                <w:sz w:val="18"/>
              </w:rPr>
            </w:pPr>
            <w:r w:rsidRPr="00EE3355">
              <w:rPr>
                <w:sz w:val="18"/>
              </w:rPr>
              <w:t>36 %***</w:t>
            </w:r>
          </w:p>
        </w:tc>
        <w:tc>
          <w:tcPr>
            <w:tcW w:w="812" w:type="dxa"/>
            <w:gridSpan w:val="2"/>
          </w:tcPr>
          <w:p w14:paraId="40D62427" w14:textId="77777777" w:rsidR="00222DE0" w:rsidRPr="00EE3355" w:rsidRDefault="0098273B" w:rsidP="00EA1CDF">
            <w:pPr>
              <w:pStyle w:val="TableParagraph"/>
              <w:widowControl/>
              <w:jc w:val="center"/>
              <w:rPr>
                <w:sz w:val="18"/>
              </w:rPr>
            </w:pPr>
            <w:r w:rsidRPr="00EE3355">
              <w:rPr>
                <w:sz w:val="18"/>
              </w:rPr>
              <w:t>10 %</w:t>
            </w:r>
          </w:p>
        </w:tc>
        <w:tc>
          <w:tcPr>
            <w:tcW w:w="868" w:type="dxa"/>
            <w:gridSpan w:val="3"/>
          </w:tcPr>
          <w:p w14:paraId="7235CD59" w14:textId="77777777" w:rsidR="00222DE0" w:rsidRPr="00EE3355" w:rsidRDefault="00222DE0" w:rsidP="00EA1CDF">
            <w:pPr>
              <w:pStyle w:val="TableParagraph"/>
              <w:widowControl/>
              <w:rPr>
                <w:sz w:val="14"/>
              </w:rPr>
            </w:pPr>
          </w:p>
        </w:tc>
        <w:tc>
          <w:tcPr>
            <w:tcW w:w="895" w:type="dxa"/>
          </w:tcPr>
          <w:p w14:paraId="1513BFBA" w14:textId="77777777" w:rsidR="00222DE0" w:rsidRPr="00EE3355" w:rsidRDefault="00222DE0" w:rsidP="00EA1CDF">
            <w:pPr>
              <w:pStyle w:val="TableParagraph"/>
              <w:widowControl/>
              <w:rPr>
                <w:sz w:val="14"/>
              </w:rPr>
            </w:pPr>
          </w:p>
        </w:tc>
        <w:tc>
          <w:tcPr>
            <w:tcW w:w="994" w:type="dxa"/>
            <w:gridSpan w:val="2"/>
          </w:tcPr>
          <w:p w14:paraId="31AF07BB" w14:textId="77777777" w:rsidR="00222DE0" w:rsidRPr="00EE3355" w:rsidRDefault="00222DE0" w:rsidP="00EA1CDF">
            <w:pPr>
              <w:pStyle w:val="TableParagraph"/>
              <w:widowControl/>
              <w:rPr>
                <w:sz w:val="14"/>
              </w:rPr>
            </w:pPr>
          </w:p>
        </w:tc>
        <w:tc>
          <w:tcPr>
            <w:tcW w:w="826" w:type="dxa"/>
            <w:gridSpan w:val="2"/>
          </w:tcPr>
          <w:p w14:paraId="22C85D83" w14:textId="77777777" w:rsidR="00222DE0" w:rsidRPr="00EE3355" w:rsidRDefault="00222DE0" w:rsidP="00EA1CDF">
            <w:pPr>
              <w:pStyle w:val="TableParagraph"/>
              <w:widowControl/>
              <w:rPr>
                <w:sz w:val="14"/>
              </w:rPr>
            </w:pPr>
          </w:p>
        </w:tc>
        <w:tc>
          <w:tcPr>
            <w:tcW w:w="868" w:type="dxa"/>
            <w:gridSpan w:val="2"/>
          </w:tcPr>
          <w:p w14:paraId="7BB8367D" w14:textId="77777777" w:rsidR="00222DE0" w:rsidRPr="00EE3355" w:rsidRDefault="00222DE0" w:rsidP="00EA1CDF">
            <w:pPr>
              <w:pStyle w:val="TableParagraph"/>
              <w:widowControl/>
              <w:rPr>
                <w:sz w:val="14"/>
              </w:rPr>
            </w:pPr>
          </w:p>
        </w:tc>
        <w:tc>
          <w:tcPr>
            <w:tcW w:w="756" w:type="dxa"/>
          </w:tcPr>
          <w:p w14:paraId="650F59AF" w14:textId="77777777" w:rsidR="00222DE0" w:rsidRPr="00EE3355" w:rsidRDefault="00222DE0" w:rsidP="00EA1CDF">
            <w:pPr>
              <w:pStyle w:val="TableParagraph"/>
              <w:widowControl/>
              <w:rPr>
                <w:sz w:val="14"/>
              </w:rPr>
            </w:pPr>
          </w:p>
        </w:tc>
      </w:tr>
      <w:tr w:rsidR="00222DE0" w:rsidRPr="00EE3355" w14:paraId="092FF3DF" w14:textId="77777777" w:rsidTr="008C39D1">
        <w:trPr>
          <w:cantSplit/>
          <w:trHeight w:val="206"/>
        </w:trPr>
        <w:tc>
          <w:tcPr>
            <w:tcW w:w="9085" w:type="dxa"/>
            <w:gridSpan w:val="20"/>
          </w:tcPr>
          <w:p w14:paraId="5F743C08" w14:textId="77777777" w:rsidR="00222DE0" w:rsidRPr="00EE3355" w:rsidRDefault="0098273B" w:rsidP="00EA1CDF">
            <w:pPr>
              <w:pStyle w:val="TableParagraph"/>
              <w:widowControl/>
              <w:jc w:val="center"/>
              <w:rPr>
                <w:b/>
                <w:sz w:val="18"/>
              </w:rPr>
            </w:pPr>
            <w:r w:rsidRPr="00EE3355">
              <w:rPr>
                <w:b/>
                <w:sz w:val="18"/>
              </w:rPr>
              <w:t>ACR 70</w:t>
            </w:r>
          </w:p>
        </w:tc>
      </w:tr>
      <w:tr w:rsidR="00222DE0" w:rsidRPr="00EE3355" w14:paraId="26D7FACD" w14:textId="77777777" w:rsidTr="008C39D1">
        <w:trPr>
          <w:cantSplit/>
          <w:trHeight w:val="208"/>
        </w:trPr>
        <w:tc>
          <w:tcPr>
            <w:tcW w:w="630" w:type="dxa"/>
          </w:tcPr>
          <w:p w14:paraId="0FAB7A3F" w14:textId="77777777" w:rsidR="00222DE0" w:rsidRPr="00EE3355" w:rsidRDefault="0098273B" w:rsidP="00EA1CDF">
            <w:pPr>
              <w:pStyle w:val="TableParagraph"/>
              <w:widowControl/>
              <w:jc w:val="center"/>
              <w:rPr>
                <w:sz w:val="18"/>
              </w:rPr>
            </w:pPr>
            <w:r w:rsidRPr="00EE3355">
              <w:rPr>
                <w:sz w:val="18"/>
              </w:rPr>
              <w:t>24</w:t>
            </w:r>
          </w:p>
        </w:tc>
        <w:tc>
          <w:tcPr>
            <w:tcW w:w="826" w:type="dxa"/>
            <w:gridSpan w:val="2"/>
          </w:tcPr>
          <w:p w14:paraId="407D7A42" w14:textId="77777777" w:rsidR="00222DE0" w:rsidRPr="00EE3355" w:rsidRDefault="0098273B" w:rsidP="00EA1CDF">
            <w:pPr>
              <w:pStyle w:val="TableParagraph"/>
              <w:widowControl/>
              <w:jc w:val="center"/>
              <w:rPr>
                <w:sz w:val="18"/>
              </w:rPr>
            </w:pPr>
            <w:r w:rsidRPr="00EE3355">
              <w:rPr>
                <w:sz w:val="18"/>
              </w:rPr>
              <w:t>28 %**</w:t>
            </w:r>
          </w:p>
        </w:tc>
        <w:tc>
          <w:tcPr>
            <w:tcW w:w="742" w:type="dxa"/>
          </w:tcPr>
          <w:p w14:paraId="28C818BC" w14:textId="77777777" w:rsidR="00222DE0" w:rsidRPr="00EE3355" w:rsidRDefault="0098273B" w:rsidP="00EA1CDF">
            <w:pPr>
              <w:pStyle w:val="TableParagraph"/>
              <w:widowControl/>
              <w:jc w:val="center"/>
              <w:rPr>
                <w:sz w:val="18"/>
              </w:rPr>
            </w:pPr>
            <w:r w:rsidRPr="00EE3355">
              <w:rPr>
                <w:sz w:val="18"/>
              </w:rPr>
              <w:t>15 %</w:t>
            </w:r>
          </w:p>
        </w:tc>
        <w:tc>
          <w:tcPr>
            <w:tcW w:w="868" w:type="dxa"/>
            <w:gridSpan w:val="3"/>
          </w:tcPr>
          <w:p w14:paraId="1F69A736" w14:textId="77777777" w:rsidR="00222DE0" w:rsidRPr="00EE3355" w:rsidRDefault="0098273B" w:rsidP="00EA1CDF">
            <w:pPr>
              <w:pStyle w:val="TableParagraph"/>
              <w:widowControl/>
              <w:jc w:val="center"/>
              <w:rPr>
                <w:sz w:val="18"/>
              </w:rPr>
            </w:pPr>
            <w:r w:rsidRPr="00EE3355">
              <w:rPr>
                <w:sz w:val="18"/>
              </w:rPr>
              <w:t>13 %***</w:t>
            </w:r>
          </w:p>
        </w:tc>
        <w:tc>
          <w:tcPr>
            <w:tcW w:w="798" w:type="dxa"/>
          </w:tcPr>
          <w:p w14:paraId="33407DF6" w14:textId="77777777" w:rsidR="00222DE0" w:rsidRPr="00EE3355" w:rsidRDefault="0098273B" w:rsidP="00EA1CDF">
            <w:pPr>
              <w:pStyle w:val="TableParagraph"/>
              <w:widowControl/>
              <w:jc w:val="center"/>
              <w:rPr>
                <w:sz w:val="18"/>
              </w:rPr>
            </w:pPr>
            <w:r w:rsidRPr="00EE3355">
              <w:rPr>
                <w:sz w:val="18"/>
              </w:rPr>
              <w:t>2 %</w:t>
            </w:r>
          </w:p>
        </w:tc>
        <w:tc>
          <w:tcPr>
            <w:tcW w:w="868" w:type="dxa"/>
            <w:gridSpan w:val="3"/>
          </w:tcPr>
          <w:p w14:paraId="4C2D1AD0" w14:textId="77777777" w:rsidR="00222DE0" w:rsidRPr="00EE3355" w:rsidRDefault="0098273B" w:rsidP="00EA1CDF">
            <w:pPr>
              <w:pStyle w:val="TableParagraph"/>
              <w:widowControl/>
              <w:jc w:val="center"/>
              <w:rPr>
                <w:sz w:val="18"/>
              </w:rPr>
            </w:pPr>
            <w:r w:rsidRPr="00EE3355">
              <w:rPr>
                <w:sz w:val="18"/>
              </w:rPr>
              <w:t>22 %***</w:t>
            </w:r>
          </w:p>
        </w:tc>
        <w:tc>
          <w:tcPr>
            <w:tcW w:w="909" w:type="dxa"/>
            <w:gridSpan w:val="2"/>
          </w:tcPr>
          <w:p w14:paraId="796A6C3C" w14:textId="77777777" w:rsidR="00222DE0" w:rsidRPr="00EE3355" w:rsidRDefault="0098273B" w:rsidP="00EA1CDF">
            <w:pPr>
              <w:pStyle w:val="TableParagraph"/>
              <w:widowControl/>
              <w:jc w:val="center"/>
              <w:rPr>
                <w:sz w:val="18"/>
              </w:rPr>
            </w:pPr>
            <w:r w:rsidRPr="00EE3355">
              <w:rPr>
                <w:sz w:val="18"/>
              </w:rPr>
              <w:t>2 %</w:t>
            </w:r>
          </w:p>
        </w:tc>
        <w:tc>
          <w:tcPr>
            <w:tcW w:w="1008" w:type="dxa"/>
            <w:gridSpan w:val="3"/>
          </w:tcPr>
          <w:p w14:paraId="02C72F5D" w14:textId="77777777" w:rsidR="00222DE0" w:rsidRPr="00EE3355" w:rsidRDefault="0098273B" w:rsidP="00EA1CDF">
            <w:pPr>
              <w:pStyle w:val="TableParagraph"/>
              <w:widowControl/>
              <w:jc w:val="center"/>
              <w:rPr>
                <w:sz w:val="18"/>
              </w:rPr>
            </w:pPr>
            <w:r w:rsidRPr="00EE3355">
              <w:rPr>
                <w:sz w:val="18"/>
              </w:rPr>
              <w:t>21 %***</w:t>
            </w:r>
          </w:p>
        </w:tc>
        <w:tc>
          <w:tcPr>
            <w:tcW w:w="812" w:type="dxa"/>
          </w:tcPr>
          <w:p w14:paraId="2E70B61D" w14:textId="77777777" w:rsidR="00222DE0" w:rsidRPr="00EE3355" w:rsidRDefault="0098273B" w:rsidP="00EA1CDF">
            <w:pPr>
              <w:pStyle w:val="TableParagraph"/>
              <w:widowControl/>
              <w:jc w:val="center"/>
              <w:rPr>
                <w:sz w:val="18"/>
              </w:rPr>
            </w:pPr>
            <w:r w:rsidRPr="00EE3355">
              <w:rPr>
                <w:sz w:val="18"/>
              </w:rPr>
              <w:t>3 %</w:t>
            </w:r>
          </w:p>
        </w:tc>
        <w:tc>
          <w:tcPr>
            <w:tcW w:w="868" w:type="dxa"/>
            <w:gridSpan w:val="2"/>
          </w:tcPr>
          <w:p w14:paraId="35073A46" w14:textId="77777777" w:rsidR="00222DE0" w:rsidRPr="00EE3355" w:rsidRDefault="0098273B" w:rsidP="00EA1CDF">
            <w:pPr>
              <w:pStyle w:val="TableParagraph"/>
              <w:widowControl/>
              <w:jc w:val="center"/>
              <w:rPr>
                <w:sz w:val="18"/>
              </w:rPr>
            </w:pPr>
            <w:r w:rsidRPr="00EE3355">
              <w:rPr>
                <w:sz w:val="18"/>
              </w:rPr>
              <w:t>12 %**</w:t>
            </w:r>
          </w:p>
        </w:tc>
        <w:tc>
          <w:tcPr>
            <w:tcW w:w="756" w:type="dxa"/>
          </w:tcPr>
          <w:p w14:paraId="715361B3" w14:textId="77777777" w:rsidR="00222DE0" w:rsidRPr="00EE3355" w:rsidRDefault="0098273B" w:rsidP="00EA1CDF">
            <w:pPr>
              <w:pStyle w:val="TableParagraph"/>
              <w:widowControl/>
              <w:jc w:val="center"/>
              <w:rPr>
                <w:sz w:val="18"/>
              </w:rPr>
            </w:pPr>
            <w:r w:rsidRPr="00EE3355">
              <w:rPr>
                <w:sz w:val="18"/>
              </w:rPr>
              <w:t>1 %</w:t>
            </w:r>
          </w:p>
        </w:tc>
      </w:tr>
      <w:tr w:rsidR="00222DE0" w:rsidRPr="00EE3355" w14:paraId="0B3050C2" w14:textId="77777777" w:rsidTr="008C39D1">
        <w:trPr>
          <w:cantSplit/>
          <w:trHeight w:val="205"/>
        </w:trPr>
        <w:tc>
          <w:tcPr>
            <w:tcW w:w="630" w:type="dxa"/>
          </w:tcPr>
          <w:p w14:paraId="46BD5E2B" w14:textId="77777777" w:rsidR="00222DE0" w:rsidRPr="00EE3355" w:rsidRDefault="0098273B" w:rsidP="00EA1CDF">
            <w:pPr>
              <w:pStyle w:val="TableParagraph"/>
              <w:widowControl/>
              <w:jc w:val="center"/>
              <w:rPr>
                <w:sz w:val="18"/>
              </w:rPr>
            </w:pPr>
            <w:r w:rsidRPr="00EE3355">
              <w:rPr>
                <w:sz w:val="18"/>
              </w:rPr>
              <w:t>52</w:t>
            </w:r>
          </w:p>
        </w:tc>
        <w:tc>
          <w:tcPr>
            <w:tcW w:w="826" w:type="dxa"/>
            <w:gridSpan w:val="2"/>
          </w:tcPr>
          <w:p w14:paraId="69D26D56" w14:textId="77777777" w:rsidR="00222DE0" w:rsidRPr="00EE3355" w:rsidRDefault="00222DE0" w:rsidP="00EA1CDF">
            <w:pPr>
              <w:pStyle w:val="TableParagraph"/>
              <w:widowControl/>
              <w:rPr>
                <w:sz w:val="14"/>
              </w:rPr>
            </w:pPr>
          </w:p>
        </w:tc>
        <w:tc>
          <w:tcPr>
            <w:tcW w:w="1610" w:type="dxa"/>
            <w:gridSpan w:val="4"/>
          </w:tcPr>
          <w:p w14:paraId="48B974A7" w14:textId="77777777" w:rsidR="00222DE0" w:rsidRPr="00EE3355" w:rsidRDefault="0098273B" w:rsidP="00EA1CDF">
            <w:pPr>
              <w:pStyle w:val="TableParagraph"/>
              <w:widowControl/>
              <w:jc w:val="center"/>
              <w:rPr>
                <w:sz w:val="18"/>
              </w:rPr>
            </w:pPr>
            <w:r w:rsidRPr="00EE3355">
              <w:rPr>
                <w:sz w:val="18"/>
              </w:rPr>
              <w:t>20 %***</w:t>
            </w:r>
          </w:p>
        </w:tc>
        <w:tc>
          <w:tcPr>
            <w:tcW w:w="798" w:type="dxa"/>
          </w:tcPr>
          <w:p w14:paraId="0DBD008A" w14:textId="77777777" w:rsidR="00222DE0" w:rsidRPr="00EE3355" w:rsidRDefault="0098273B" w:rsidP="00EA1CDF">
            <w:pPr>
              <w:pStyle w:val="TableParagraph"/>
              <w:widowControl/>
              <w:jc w:val="center"/>
              <w:rPr>
                <w:sz w:val="18"/>
              </w:rPr>
            </w:pPr>
            <w:r w:rsidRPr="00EE3355">
              <w:rPr>
                <w:sz w:val="18"/>
              </w:rPr>
              <w:t>4 %</w:t>
            </w:r>
          </w:p>
        </w:tc>
        <w:tc>
          <w:tcPr>
            <w:tcW w:w="1777" w:type="dxa"/>
            <w:gridSpan w:val="5"/>
          </w:tcPr>
          <w:p w14:paraId="26CA67C1" w14:textId="77777777" w:rsidR="00222DE0" w:rsidRPr="00EE3355" w:rsidRDefault="00222DE0" w:rsidP="00EA1CDF">
            <w:pPr>
              <w:pStyle w:val="TableParagraph"/>
              <w:widowControl/>
              <w:rPr>
                <w:sz w:val="14"/>
              </w:rPr>
            </w:pPr>
          </w:p>
        </w:tc>
        <w:tc>
          <w:tcPr>
            <w:tcW w:w="1008" w:type="dxa"/>
            <w:gridSpan w:val="3"/>
          </w:tcPr>
          <w:p w14:paraId="3DFB24BD" w14:textId="77777777" w:rsidR="00222DE0" w:rsidRPr="00EE3355" w:rsidRDefault="00222DE0" w:rsidP="00EA1CDF">
            <w:pPr>
              <w:pStyle w:val="TableParagraph"/>
              <w:widowControl/>
              <w:rPr>
                <w:sz w:val="14"/>
              </w:rPr>
            </w:pPr>
          </w:p>
        </w:tc>
        <w:tc>
          <w:tcPr>
            <w:tcW w:w="812" w:type="dxa"/>
          </w:tcPr>
          <w:p w14:paraId="66BD4764" w14:textId="77777777" w:rsidR="00222DE0" w:rsidRPr="00EE3355" w:rsidRDefault="00222DE0" w:rsidP="00EA1CDF">
            <w:pPr>
              <w:pStyle w:val="TableParagraph"/>
              <w:widowControl/>
              <w:rPr>
                <w:sz w:val="14"/>
              </w:rPr>
            </w:pPr>
          </w:p>
        </w:tc>
        <w:tc>
          <w:tcPr>
            <w:tcW w:w="868" w:type="dxa"/>
            <w:gridSpan w:val="2"/>
          </w:tcPr>
          <w:p w14:paraId="0668B447" w14:textId="77777777" w:rsidR="00222DE0" w:rsidRPr="00EE3355" w:rsidRDefault="00222DE0" w:rsidP="00EA1CDF">
            <w:pPr>
              <w:pStyle w:val="TableParagraph"/>
              <w:widowControl/>
              <w:rPr>
                <w:sz w:val="14"/>
              </w:rPr>
            </w:pPr>
          </w:p>
        </w:tc>
        <w:tc>
          <w:tcPr>
            <w:tcW w:w="756" w:type="dxa"/>
          </w:tcPr>
          <w:p w14:paraId="79D8BF50" w14:textId="77777777" w:rsidR="00222DE0" w:rsidRPr="00EE3355" w:rsidRDefault="00222DE0" w:rsidP="00EA1CDF">
            <w:pPr>
              <w:pStyle w:val="TableParagraph"/>
              <w:widowControl/>
              <w:rPr>
                <w:sz w:val="14"/>
              </w:rPr>
            </w:pPr>
          </w:p>
        </w:tc>
      </w:tr>
    </w:tbl>
    <w:p w14:paraId="5796DD25" w14:textId="77777777" w:rsidR="00222DE0" w:rsidRPr="00EE3355" w:rsidRDefault="0098273B" w:rsidP="00EA1CDF">
      <w:pPr>
        <w:widowControl/>
        <w:tabs>
          <w:tab w:val="left" w:pos="1190"/>
        </w:tabs>
        <w:rPr>
          <w:i/>
          <w:sz w:val="18"/>
        </w:rPr>
      </w:pPr>
      <w:r w:rsidRPr="00EE3355">
        <w:rPr>
          <w:i/>
          <w:sz w:val="18"/>
        </w:rPr>
        <w:t>TCZ</w:t>
      </w:r>
      <w:r w:rsidRPr="00EE3355">
        <w:rPr>
          <w:i/>
          <w:sz w:val="18"/>
        </w:rPr>
        <w:tab/>
        <w:t>- Tocilizumab</w:t>
      </w:r>
    </w:p>
    <w:p w14:paraId="51AEB6E5" w14:textId="77777777" w:rsidR="00222DE0" w:rsidRPr="00EE3355" w:rsidRDefault="0098273B" w:rsidP="00EA1CDF">
      <w:pPr>
        <w:widowControl/>
        <w:tabs>
          <w:tab w:val="left" w:pos="1190"/>
        </w:tabs>
        <w:rPr>
          <w:i/>
          <w:sz w:val="18"/>
        </w:rPr>
      </w:pPr>
      <w:r w:rsidRPr="00EE3355">
        <w:rPr>
          <w:i/>
          <w:sz w:val="18"/>
        </w:rPr>
        <w:t>MTX</w:t>
      </w:r>
      <w:r w:rsidRPr="00EE3355">
        <w:rPr>
          <w:i/>
          <w:sz w:val="18"/>
        </w:rPr>
        <w:tab/>
        <w:t>- Methotrexát</w:t>
      </w:r>
    </w:p>
    <w:p w14:paraId="36AB62F5" w14:textId="77777777" w:rsidR="00222DE0" w:rsidRPr="00EE3355" w:rsidRDefault="0098273B" w:rsidP="00EA1CDF">
      <w:pPr>
        <w:widowControl/>
        <w:tabs>
          <w:tab w:val="left" w:pos="1190"/>
        </w:tabs>
        <w:rPr>
          <w:i/>
          <w:sz w:val="18"/>
        </w:rPr>
      </w:pPr>
      <w:r w:rsidRPr="00EE3355">
        <w:rPr>
          <w:i/>
          <w:sz w:val="18"/>
        </w:rPr>
        <w:t>PBO</w:t>
      </w:r>
      <w:r w:rsidRPr="00EE3355">
        <w:rPr>
          <w:i/>
          <w:sz w:val="18"/>
        </w:rPr>
        <w:tab/>
        <w:t>- Placebo</w:t>
      </w:r>
    </w:p>
    <w:p w14:paraId="68001CD4" w14:textId="77777777" w:rsidR="00222DE0" w:rsidRPr="00EE3355" w:rsidRDefault="0098273B" w:rsidP="00EA1CDF">
      <w:pPr>
        <w:widowControl/>
        <w:tabs>
          <w:tab w:val="left" w:pos="1190"/>
        </w:tabs>
        <w:rPr>
          <w:i/>
          <w:sz w:val="18"/>
        </w:rPr>
      </w:pPr>
      <w:r w:rsidRPr="00EE3355">
        <w:rPr>
          <w:i/>
          <w:sz w:val="18"/>
        </w:rPr>
        <w:t>DMARD</w:t>
      </w:r>
      <w:r w:rsidRPr="00EE3355">
        <w:rPr>
          <w:i/>
          <w:sz w:val="18"/>
        </w:rPr>
        <w:tab/>
        <w:t>- Antirevmatikum modifikující průběh onemocnění</w:t>
      </w:r>
    </w:p>
    <w:p w14:paraId="675EEA53" w14:textId="77777777" w:rsidR="00222DE0" w:rsidRPr="00EE3355" w:rsidRDefault="0098273B" w:rsidP="00EA1CDF">
      <w:pPr>
        <w:widowControl/>
        <w:tabs>
          <w:tab w:val="left" w:pos="1190"/>
        </w:tabs>
        <w:rPr>
          <w:i/>
          <w:sz w:val="18"/>
        </w:rPr>
      </w:pPr>
      <w:r w:rsidRPr="00EE3355">
        <w:rPr>
          <w:i/>
          <w:sz w:val="18"/>
        </w:rPr>
        <w:t>**</w:t>
      </w:r>
      <w:r w:rsidRPr="00EE3355">
        <w:rPr>
          <w:i/>
          <w:sz w:val="18"/>
        </w:rPr>
        <w:tab/>
        <w:t>- p&lt; 0.01, TCZ vs.PBO + MTX/ DMARD</w:t>
      </w:r>
    </w:p>
    <w:p w14:paraId="3F504EEA" w14:textId="77777777" w:rsidR="00222DE0" w:rsidRPr="00EE3355" w:rsidRDefault="0098273B" w:rsidP="00EA1CDF">
      <w:pPr>
        <w:widowControl/>
        <w:tabs>
          <w:tab w:val="left" w:pos="1190"/>
        </w:tabs>
        <w:rPr>
          <w:i/>
          <w:sz w:val="18"/>
        </w:rPr>
      </w:pPr>
      <w:r w:rsidRPr="00EE3355">
        <w:rPr>
          <w:i/>
          <w:sz w:val="18"/>
        </w:rPr>
        <w:t>***</w:t>
      </w:r>
      <w:r w:rsidRPr="00EE3355">
        <w:rPr>
          <w:i/>
          <w:sz w:val="18"/>
        </w:rPr>
        <w:tab/>
        <w:t>- p&lt; 0.0001, TCZ vs.PBO + MTX/ DMARD</w:t>
      </w:r>
    </w:p>
    <w:p w14:paraId="06F03BE8" w14:textId="77777777" w:rsidR="00222DE0" w:rsidRPr="00EE3355" w:rsidRDefault="00222DE0" w:rsidP="00EA1CDF">
      <w:pPr>
        <w:pStyle w:val="a3"/>
        <w:widowControl/>
        <w:ind w:left="0"/>
        <w:rPr>
          <w:i/>
          <w:sz w:val="18"/>
        </w:rPr>
      </w:pPr>
    </w:p>
    <w:p w14:paraId="4936DF0A" w14:textId="77777777" w:rsidR="00222DE0" w:rsidRPr="00EE3355" w:rsidRDefault="0098273B" w:rsidP="00EA1CDF">
      <w:pPr>
        <w:widowControl/>
        <w:rPr>
          <w:i/>
        </w:rPr>
      </w:pPr>
      <w:r w:rsidRPr="00EE3355">
        <w:rPr>
          <w:i/>
        </w:rPr>
        <w:t>Významná klinická odpověď</w:t>
      </w:r>
    </w:p>
    <w:p w14:paraId="59175F78" w14:textId="0F414B56" w:rsidR="00222DE0" w:rsidRPr="00EE3355" w:rsidRDefault="0098273B" w:rsidP="00EA1CDF">
      <w:pPr>
        <w:pStyle w:val="a3"/>
        <w:widowControl/>
        <w:ind w:left="0"/>
      </w:pPr>
      <w:r w:rsidRPr="00EE3355">
        <w:t xml:space="preserve">Po 2 letech léčby </w:t>
      </w:r>
      <w:r w:rsidR="00FB7958" w:rsidRPr="001879E9">
        <w:t>tocilizumab</w:t>
      </w:r>
      <w:r w:rsidR="00FB7958">
        <w:t xml:space="preserve">em </w:t>
      </w:r>
      <w:r w:rsidRPr="00EE3355">
        <w:t>s MTX dosáhlo14 % pacientů významné klinické odpovědi (udržení odpovědi podle ACR70 po dobu 24 týdnů nebo déle).</w:t>
      </w:r>
    </w:p>
    <w:p w14:paraId="70B65A74" w14:textId="77777777" w:rsidR="00222DE0" w:rsidRPr="00EE3355" w:rsidRDefault="00222DE0" w:rsidP="00EA1CDF">
      <w:pPr>
        <w:pStyle w:val="a3"/>
        <w:widowControl/>
        <w:ind w:left="0"/>
      </w:pPr>
    </w:p>
    <w:p w14:paraId="1EB90882" w14:textId="77777777" w:rsidR="00222DE0" w:rsidRPr="00EE3355" w:rsidRDefault="0098273B" w:rsidP="00EA1CDF">
      <w:pPr>
        <w:widowControl/>
        <w:rPr>
          <w:i/>
        </w:rPr>
      </w:pPr>
      <w:r w:rsidRPr="00EE3355">
        <w:rPr>
          <w:i/>
        </w:rPr>
        <w:t>Radiografická odpověď</w:t>
      </w:r>
    </w:p>
    <w:p w14:paraId="3B881A26" w14:textId="56F3DB90" w:rsidR="00222DE0" w:rsidRPr="00EE3355" w:rsidRDefault="0098273B" w:rsidP="00EA1CDF">
      <w:pPr>
        <w:pStyle w:val="a3"/>
        <w:widowControl/>
        <w:ind w:left="0"/>
      </w:pPr>
      <w:r w:rsidRPr="00EE3355">
        <w:lastRenderedPageBreak/>
        <w:t xml:space="preserve">Ve studii II u pacientů bez dostatečné odpovědi na léčbu MTX byla inhibice strukturálního poškození kloubů hodnocena radiograficky a vyjádřena změnou modifikovaného Sharp skóre a jeho komponent, skóre eroze a skóre zužování kloubní štěrbiny. Inhibice kloubního strukturálního poškození měla významně nižší radiografickou progresi u pacientů dostávajících </w:t>
      </w:r>
      <w:r w:rsidR="00FB7958" w:rsidRPr="001879E9">
        <w:t>tocilizumab</w:t>
      </w:r>
      <w:r w:rsidR="00FB7958">
        <w:t xml:space="preserve"> </w:t>
      </w:r>
      <w:r w:rsidRPr="00EE3355">
        <w:t>v</w:t>
      </w:r>
      <w:r w:rsidR="00987F8A">
        <w:t> </w:t>
      </w:r>
      <w:r w:rsidRPr="00EE3355">
        <w:t>porovnání</w:t>
      </w:r>
      <w:r w:rsidR="00987F8A">
        <w:t xml:space="preserve"> </w:t>
      </w:r>
      <w:r w:rsidRPr="00EE3355">
        <w:t>s kontrolami (tabulka 6).</w:t>
      </w:r>
    </w:p>
    <w:p w14:paraId="6F60031C" w14:textId="77777777" w:rsidR="00222DE0" w:rsidRPr="00EE3355" w:rsidRDefault="00222DE0" w:rsidP="00EA1CDF">
      <w:pPr>
        <w:widowControl/>
      </w:pPr>
    </w:p>
    <w:p w14:paraId="51644B2C" w14:textId="106470B4" w:rsidR="00222DE0" w:rsidRPr="00EE3355" w:rsidRDefault="0098273B" w:rsidP="00EA1CDF">
      <w:pPr>
        <w:pStyle w:val="a3"/>
        <w:widowControl/>
        <w:ind w:left="0"/>
      </w:pPr>
      <w:r w:rsidRPr="00EE3355">
        <w:t>V otevřené prodloužené fázi studie II byla inhibice progrese strukturálního poškození kloubu ve skupině s</w:t>
      </w:r>
      <w:r w:rsidR="00A90A4B">
        <w:t> </w:t>
      </w:r>
      <w:r w:rsidR="00A90A4B" w:rsidRPr="001879E9">
        <w:t>tocilizumab</w:t>
      </w:r>
      <w:r w:rsidR="00A90A4B">
        <w:t xml:space="preserve">em </w:t>
      </w:r>
      <w:r w:rsidRPr="00EE3355">
        <w:t>a MTX udržována i v druhém roce léčby. Průměrná změna od výchozích hodnot byla v týdnu 104 v celkovém Sharp-Genant skóre významně nižší u pacientů randomizovaných do skupiny s</w:t>
      </w:r>
      <w:r w:rsidR="00A90A4B">
        <w:t> </w:t>
      </w:r>
      <w:r w:rsidR="00A90A4B" w:rsidRPr="001879E9">
        <w:t>tocilizumab</w:t>
      </w:r>
      <w:r w:rsidR="00A90A4B">
        <w:t xml:space="preserve">em </w:t>
      </w:r>
      <w:r w:rsidRPr="00EE3355">
        <w:t xml:space="preserve">v dávce 8 mg/kg a MTX (p </w:t>
      </w:r>
      <w:r w:rsidRPr="00EE3355">
        <w:rPr>
          <w:rFonts w:ascii="Symbol" w:hAnsi="Symbol"/>
        </w:rPr>
        <w:t></w:t>
      </w:r>
      <w:r w:rsidRPr="00EE3355">
        <w:t xml:space="preserve"> 0,0001) v porovnání s pacienty, kteří byli randomizováni do skupiny s placebem a MTX.</w:t>
      </w:r>
    </w:p>
    <w:p w14:paraId="0FA4B685" w14:textId="77777777" w:rsidR="00800D8A" w:rsidRPr="00EE3355" w:rsidRDefault="00800D8A" w:rsidP="00EA1CDF">
      <w:pPr>
        <w:pStyle w:val="a3"/>
        <w:widowControl/>
        <w:ind w:left="0"/>
      </w:pPr>
    </w:p>
    <w:p w14:paraId="3CFAD67F" w14:textId="77777777" w:rsidR="00222DE0" w:rsidRPr="00EE3355" w:rsidRDefault="0098273B" w:rsidP="00EA1CDF">
      <w:pPr>
        <w:widowControl/>
        <w:rPr>
          <w:i/>
        </w:rPr>
      </w:pPr>
      <w:r w:rsidRPr="00EE3355">
        <w:rPr>
          <w:i/>
        </w:rPr>
        <w:t>Tabulka 6. Průměrné radiografické změny po týdnu 52 ve Studii II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2789"/>
        <w:gridCol w:w="2611"/>
      </w:tblGrid>
      <w:tr w:rsidR="00222DE0" w:rsidRPr="00EE3355" w14:paraId="0B747950" w14:textId="77777777" w:rsidTr="00800D8A">
        <w:trPr>
          <w:cantSplit/>
          <w:trHeight w:val="599"/>
          <w:tblHeader/>
        </w:trPr>
        <w:tc>
          <w:tcPr>
            <w:tcW w:w="2499" w:type="dxa"/>
          </w:tcPr>
          <w:p w14:paraId="7E03993B" w14:textId="77777777" w:rsidR="00222DE0" w:rsidRPr="00EE3355" w:rsidRDefault="00222DE0" w:rsidP="00EA1CDF">
            <w:pPr>
              <w:pStyle w:val="TableParagraph"/>
              <w:widowControl/>
              <w:rPr>
                <w:sz w:val="20"/>
              </w:rPr>
            </w:pPr>
          </w:p>
        </w:tc>
        <w:tc>
          <w:tcPr>
            <w:tcW w:w="2789" w:type="dxa"/>
          </w:tcPr>
          <w:p w14:paraId="6B1A5721" w14:textId="77777777" w:rsidR="00222DE0" w:rsidRPr="00EE3355" w:rsidRDefault="0098273B" w:rsidP="00EA1CDF">
            <w:pPr>
              <w:pStyle w:val="TableParagraph"/>
              <w:widowControl/>
              <w:ind w:left="528" w:right="522"/>
              <w:jc w:val="center"/>
              <w:rPr>
                <w:b/>
                <w:sz w:val="20"/>
              </w:rPr>
            </w:pPr>
            <w:r w:rsidRPr="00EE3355">
              <w:rPr>
                <w:b/>
                <w:sz w:val="20"/>
              </w:rPr>
              <w:t>PBO + MTX</w:t>
            </w:r>
            <w:r w:rsidR="00C350A0" w:rsidRPr="00EE3355">
              <w:rPr>
                <w:b/>
                <w:sz w:val="20"/>
              </w:rPr>
              <w:t xml:space="preserve"> </w:t>
            </w:r>
            <w:r w:rsidRPr="00EE3355">
              <w:rPr>
                <w:b/>
                <w:sz w:val="20"/>
              </w:rPr>
              <w:t>(+TCZ od týdne 24) n = 393</w:t>
            </w:r>
          </w:p>
        </w:tc>
        <w:tc>
          <w:tcPr>
            <w:tcW w:w="2611" w:type="dxa"/>
          </w:tcPr>
          <w:p w14:paraId="6C8D8000" w14:textId="77777777" w:rsidR="00222DE0" w:rsidRPr="00EE3355" w:rsidRDefault="0098273B" w:rsidP="00EA1CDF">
            <w:pPr>
              <w:pStyle w:val="TableParagraph"/>
              <w:widowControl/>
              <w:ind w:left="991" w:right="334" w:hanging="600"/>
              <w:rPr>
                <w:b/>
                <w:sz w:val="20"/>
              </w:rPr>
            </w:pPr>
            <w:r w:rsidRPr="00EE3355">
              <w:rPr>
                <w:b/>
                <w:sz w:val="20"/>
              </w:rPr>
              <w:t>TCZ 8 mg/kg + MTX n = 398</w:t>
            </w:r>
          </w:p>
        </w:tc>
      </w:tr>
      <w:tr w:rsidR="00222DE0" w:rsidRPr="00EE3355" w14:paraId="7C04CF67" w14:textId="77777777" w:rsidTr="00800D8A">
        <w:trPr>
          <w:cantSplit/>
          <w:trHeight w:val="400"/>
        </w:trPr>
        <w:tc>
          <w:tcPr>
            <w:tcW w:w="2499" w:type="dxa"/>
          </w:tcPr>
          <w:p w14:paraId="0E5EA88A" w14:textId="77777777" w:rsidR="00222DE0" w:rsidRPr="00EE3355" w:rsidRDefault="0098273B" w:rsidP="00C959DC">
            <w:pPr>
              <w:pStyle w:val="TableParagraph"/>
              <w:widowControl/>
              <w:ind w:left="107"/>
            </w:pPr>
            <w:r w:rsidRPr="00EE3355">
              <w:t>Celkové Sharp-Genant</w:t>
            </w:r>
            <w:r w:rsidR="00C959DC">
              <w:t xml:space="preserve"> </w:t>
            </w:r>
            <w:r w:rsidRPr="00EE3355">
              <w:t>skóre</w:t>
            </w:r>
          </w:p>
        </w:tc>
        <w:tc>
          <w:tcPr>
            <w:tcW w:w="2789" w:type="dxa"/>
          </w:tcPr>
          <w:p w14:paraId="60746BA1" w14:textId="77777777" w:rsidR="00222DE0" w:rsidRPr="00EE3355" w:rsidRDefault="0098273B" w:rsidP="00EA1CDF">
            <w:pPr>
              <w:pStyle w:val="TableParagraph"/>
              <w:widowControl/>
              <w:ind w:left="528" w:right="521"/>
              <w:jc w:val="center"/>
            </w:pPr>
            <w:r w:rsidRPr="00EE3355">
              <w:t>1,13</w:t>
            </w:r>
          </w:p>
        </w:tc>
        <w:tc>
          <w:tcPr>
            <w:tcW w:w="2611" w:type="dxa"/>
          </w:tcPr>
          <w:p w14:paraId="6D51F3D9" w14:textId="77777777" w:rsidR="00222DE0" w:rsidRPr="00EE3355" w:rsidRDefault="0098273B" w:rsidP="00EA1CDF">
            <w:pPr>
              <w:pStyle w:val="TableParagraph"/>
              <w:widowControl/>
              <w:ind w:left="65" w:right="58"/>
              <w:jc w:val="center"/>
            </w:pPr>
            <w:r w:rsidRPr="00EE3355">
              <w:t>0,29*</w:t>
            </w:r>
          </w:p>
        </w:tc>
      </w:tr>
      <w:tr w:rsidR="00222DE0" w:rsidRPr="00EE3355" w14:paraId="4482C68A" w14:textId="77777777" w:rsidTr="00800D8A">
        <w:trPr>
          <w:cantSplit/>
          <w:trHeight w:val="198"/>
        </w:trPr>
        <w:tc>
          <w:tcPr>
            <w:tcW w:w="2499" w:type="dxa"/>
          </w:tcPr>
          <w:p w14:paraId="5F95A11F" w14:textId="77777777" w:rsidR="00222DE0" w:rsidRPr="00EE3355" w:rsidRDefault="0098273B" w:rsidP="00EA1CDF">
            <w:pPr>
              <w:pStyle w:val="TableParagraph"/>
              <w:widowControl/>
              <w:ind w:left="107"/>
            </w:pPr>
            <w:r w:rsidRPr="00EE3355">
              <w:t>Skóre eroze</w:t>
            </w:r>
          </w:p>
        </w:tc>
        <w:tc>
          <w:tcPr>
            <w:tcW w:w="2789" w:type="dxa"/>
          </w:tcPr>
          <w:p w14:paraId="0A530219" w14:textId="77777777" w:rsidR="00222DE0" w:rsidRPr="00EE3355" w:rsidRDefault="0098273B" w:rsidP="00EA1CDF">
            <w:pPr>
              <w:pStyle w:val="TableParagraph"/>
              <w:widowControl/>
              <w:ind w:left="528" w:right="521"/>
              <w:jc w:val="center"/>
            </w:pPr>
            <w:r w:rsidRPr="00EE3355">
              <w:t>0,71</w:t>
            </w:r>
          </w:p>
        </w:tc>
        <w:tc>
          <w:tcPr>
            <w:tcW w:w="2611" w:type="dxa"/>
          </w:tcPr>
          <w:p w14:paraId="2D8438C6" w14:textId="77777777" w:rsidR="00222DE0" w:rsidRPr="00EE3355" w:rsidRDefault="0098273B" w:rsidP="00EA1CDF">
            <w:pPr>
              <w:pStyle w:val="TableParagraph"/>
              <w:widowControl/>
              <w:ind w:left="65" w:right="58"/>
              <w:jc w:val="center"/>
            </w:pPr>
            <w:r w:rsidRPr="00EE3355">
              <w:t>0,17*</w:t>
            </w:r>
          </w:p>
        </w:tc>
      </w:tr>
      <w:tr w:rsidR="00222DE0" w:rsidRPr="00EE3355" w14:paraId="42C0D324" w14:textId="77777777" w:rsidTr="00800D8A">
        <w:trPr>
          <w:cantSplit/>
          <w:trHeight w:val="201"/>
        </w:trPr>
        <w:tc>
          <w:tcPr>
            <w:tcW w:w="2499" w:type="dxa"/>
          </w:tcPr>
          <w:p w14:paraId="68078854" w14:textId="77777777" w:rsidR="00222DE0" w:rsidRPr="00EE3355" w:rsidRDefault="0098273B" w:rsidP="00EA1CDF">
            <w:pPr>
              <w:pStyle w:val="TableParagraph"/>
              <w:widowControl/>
              <w:ind w:left="107"/>
            </w:pPr>
            <w:r w:rsidRPr="00EE3355">
              <w:t>JSN skóre</w:t>
            </w:r>
          </w:p>
        </w:tc>
        <w:tc>
          <w:tcPr>
            <w:tcW w:w="2789" w:type="dxa"/>
          </w:tcPr>
          <w:p w14:paraId="0405E373" w14:textId="77777777" w:rsidR="00222DE0" w:rsidRPr="00EE3355" w:rsidRDefault="0098273B" w:rsidP="00EA1CDF">
            <w:pPr>
              <w:pStyle w:val="TableParagraph"/>
              <w:widowControl/>
              <w:ind w:left="528" w:right="521"/>
              <w:jc w:val="center"/>
            </w:pPr>
            <w:r w:rsidRPr="00EE3355">
              <w:t>0,42</w:t>
            </w:r>
          </w:p>
        </w:tc>
        <w:tc>
          <w:tcPr>
            <w:tcW w:w="2611" w:type="dxa"/>
          </w:tcPr>
          <w:p w14:paraId="70F35996" w14:textId="77777777" w:rsidR="00222DE0" w:rsidRPr="00EE3355" w:rsidRDefault="0098273B" w:rsidP="00EA1CDF">
            <w:pPr>
              <w:pStyle w:val="TableParagraph"/>
              <w:widowControl/>
              <w:ind w:left="65"/>
              <w:jc w:val="center"/>
            </w:pPr>
            <w:r w:rsidRPr="00EE3355">
              <w:t>0,12**</w:t>
            </w:r>
          </w:p>
        </w:tc>
      </w:tr>
    </w:tbl>
    <w:p w14:paraId="7A70EB75" w14:textId="77777777" w:rsidR="00800D8A" w:rsidRPr="00EE3355" w:rsidRDefault="0098273B" w:rsidP="00EA1CDF">
      <w:pPr>
        <w:widowControl/>
        <w:tabs>
          <w:tab w:val="left" w:pos="804"/>
        </w:tabs>
        <w:rPr>
          <w:i/>
          <w:sz w:val="18"/>
        </w:rPr>
      </w:pPr>
      <w:r w:rsidRPr="00EE3355">
        <w:rPr>
          <w:i/>
          <w:sz w:val="18"/>
        </w:rPr>
        <w:t>PBO</w:t>
      </w:r>
      <w:r w:rsidRPr="00EE3355">
        <w:rPr>
          <w:i/>
          <w:sz w:val="18"/>
        </w:rPr>
        <w:tab/>
        <w:t>- Placebo</w:t>
      </w:r>
    </w:p>
    <w:p w14:paraId="5905F079" w14:textId="77777777" w:rsidR="00800D8A" w:rsidRPr="00EE3355" w:rsidRDefault="0098273B" w:rsidP="00EA1CDF">
      <w:pPr>
        <w:widowControl/>
        <w:tabs>
          <w:tab w:val="left" w:pos="804"/>
        </w:tabs>
        <w:rPr>
          <w:i/>
          <w:sz w:val="18"/>
        </w:rPr>
      </w:pPr>
      <w:r w:rsidRPr="00EE3355">
        <w:rPr>
          <w:i/>
          <w:sz w:val="18"/>
        </w:rPr>
        <w:t>MTX</w:t>
      </w:r>
      <w:r w:rsidRPr="00EE3355">
        <w:rPr>
          <w:i/>
          <w:sz w:val="18"/>
        </w:rPr>
        <w:tab/>
        <w:t>- Methotrexát</w:t>
      </w:r>
    </w:p>
    <w:p w14:paraId="53E72D4B" w14:textId="77777777" w:rsidR="00222DE0" w:rsidRPr="00EE3355" w:rsidRDefault="0098273B" w:rsidP="00EA1CDF">
      <w:pPr>
        <w:widowControl/>
        <w:tabs>
          <w:tab w:val="left" w:pos="804"/>
        </w:tabs>
        <w:rPr>
          <w:i/>
          <w:sz w:val="18"/>
        </w:rPr>
      </w:pPr>
      <w:r w:rsidRPr="00EE3355">
        <w:rPr>
          <w:i/>
          <w:sz w:val="18"/>
        </w:rPr>
        <w:t>TCZ</w:t>
      </w:r>
      <w:r w:rsidRPr="00EE3355">
        <w:rPr>
          <w:i/>
          <w:sz w:val="18"/>
        </w:rPr>
        <w:tab/>
        <w:t>- Tocilizumab</w:t>
      </w:r>
    </w:p>
    <w:p w14:paraId="66C18031" w14:textId="77777777" w:rsidR="00222DE0" w:rsidRPr="00EE3355" w:rsidRDefault="0098273B" w:rsidP="00EA1CDF">
      <w:pPr>
        <w:widowControl/>
        <w:tabs>
          <w:tab w:val="left" w:pos="805"/>
        </w:tabs>
        <w:rPr>
          <w:i/>
          <w:sz w:val="18"/>
        </w:rPr>
      </w:pPr>
      <w:r w:rsidRPr="00EE3355">
        <w:rPr>
          <w:i/>
          <w:sz w:val="18"/>
        </w:rPr>
        <w:t>JSN</w:t>
      </w:r>
      <w:r w:rsidRPr="00EE3355">
        <w:rPr>
          <w:i/>
          <w:sz w:val="18"/>
        </w:rPr>
        <w:tab/>
        <w:t>- Zužování kloubní štěrbiny</w:t>
      </w:r>
    </w:p>
    <w:p w14:paraId="285FD1DC" w14:textId="77777777" w:rsidR="00222DE0" w:rsidRPr="00EE3355" w:rsidRDefault="0098273B" w:rsidP="00EA1CDF">
      <w:pPr>
        <w:widowControl/>
        <w:tabs>
          <w:tab w:val="left" w:pos="805"/>
        </w:tabs>
        <w:rPr>
          <w:i/>
          <w:sz w:val="18"/>
        </w:rPr>
      </w:pPr>
      <w:r w:rsidRPr="00EE3355">
        <w:rPr>
          <w:i/>
          <w:sz w:val="18"/>
        </w:rPr>
        <w:t>*</w:t>
      </w:r>
      <w:r w:rsidRPr="00EE3355">
        <w:rPr>
          <w:i/>
          <w:sz w:val="18"/>
        </w:rPr>
        <w:tab/>
        <w:t>- p≤0.0001, TCZ vs. PBO + MTX</w:t>
      </w:r>
    </w:p>
    <w:p w14:paraId="7F02BAA3" w14:textId="77777777" w:rsidR="00222DE0" w:rsidRPr="00EE3355" w:rsidRDefault="0098273B" w:rsidP="00EA1CDF">
      <w:pPr>
        <w:widowControl/>
        <w:tabs>
          <w:tab w:val="left" w:pos="805"/>
        </w:tabs>
        <w:rPr>
          <w:i/>
          <w:sz w:val="18"/>
        </w:rPr>
      </w:pPr>
      <w:r w:rsidRPr="00EE3355">
        <w:rPr>
          <w:i/>
          <w:sz w:val="18"/>
        </w:rPr>
        <w:t>**</w:t>
      </w:r>
      <w:r w:rsidRPr="00EE3355">
        <w:rPr>
          <w:i/>
          <w:sz w:val="18"/>
        </w:rPr>
        <w:tab/>
        <w:t>- p&lt;0.005, TCZ vs. PBO + MTX</w:t>
      </w:r>
    </w:p>
    <w:p w14:paraId="26BEF7A0" w14:textId="77777777" w:rsidR="00222DE0" w:rsidRPr="00EE3355" w:rsidRDefault="00222DE0" w:rsidP="00EA1CDF">
      <w:pPr>
        <w:pStyle w:val="a3"/>
        <w:widowControl/>
        <w:ind w:left="0"/>
        <w:rPr>
          <w:i/>
          <w:sz w:val="18"/>
        </w:rPr>
      </w:pPr>
    </w:p>
    <w:p w14:paraId="072E8B12" w14:textId="7844530C" w:rsidR="00222DE0" w:rsidRPr="00EE3355" w:rsidRDefault="0098273B" w:rsidP="00EA1CDF">
      <w:pPr>
        <w:pStyle w:val="a3"/>
        <w:widowControl/>
        <w:ind w:left="0"/>
      </w:pPr>
      <w:r w:rsidRPr="00EE3355">
        <w:t xml:space="preserve">Po 1 roce léčby </w:t>
      </w:r>
      <w:r w:rsidR="00A90A4B" w:rsidRPr="001879E9">
        <w:t>tocilizumab</w:t>
      </w:r>
      <w:r w:rsidR="00A90A4B">
        <w:t xml:space="preserve">em </w:t>
      </w:r>
      <w:r w:rsidRPr="00EE3355">
        <w:t xml:space="preserve">a MTX nevykazovalo 85 % pacientů (n=348) žádnou progresi strukturálního poškození kloubů, jak je definována změnou v celkovém Sharp skóre rovnou 0 nebo nižší, v porovnání s 67 % pacientů ve skupině s placebem a MTX (n=290) (p </w:t>
      </w:r>
      <w:r w:rsidRPr="00EE3355">
        <w:rPr>
          <w:rFonts w:ascii="Symbol" w:hAnsi="Symbol"/>
        </w:rPr>
        <w:t></w:t>
      </w:r>
      <w:r w:rsidRPr="00EE3355">
        <w:t xml:space="preserve"> 0,001). Tyto výsledky setrvávaly i po 2 letech léčby (83 %, n=353). Devadesát tři procenta (93 %;n=271) pacientů nevykazovalo žádnou progresi mezi týdnem 52 a týdnem 104.</w:t>
      </w:r>
    </w:p>
    <w:p w14:paraId="1F99F221" w14:textId="77777777" w:rsidR="00800D8A" w:rsidRPr="00EE3355" w:rsidRDefault="00800D8A" w:rsidP="00EA1CDF">
      <w:pPr>
        <w:pStyle w:val="a3"/>
        <w:widowControl/>
        <w:ind w:left="0"/>
      </w:pPr>
    </w:p>
    <w:p w14:paraId="6FEAA57E" w14:textId="77777777" w:rsidR="00222DE0" w:rsidRPr="00EE3355" w:rsidRDefault="0098273B" w:rsidP="00EA1CDF">
      <w:pPr>
        <w:widowControl/>
        <w:rPr>
          <w:i/>
        </w:rPr>
      </w:pPr>
      <w:r w:rsidRPr="00EE3355">
        <w:rPr>
          <w:i/>
        </w:rPr>
        <w:t>Výsledky ve vztahu ke zdraví a kvalitě života</w:t>
      </w:r>
    </w:p>
    <w:p w14:paraId="17DBB3E2" w14:textId="19DFB728" w:rsidR="00222DE0" w:rsidRPr="00EE3355" w:rsidRDefault="0098273B" w:rsidP="00EA1CDF">
      <w:pPr>
        <w:pStyle w:val="a3"/>
        <w:widowControl/>
        <w:ind w:left="0"/>
      </w:pPr>
      <w:r w:rsidRPr="00EE3355">
        <w:t xml:space="preserve">Pacienti léčení </w:t>
      </w:r>
      <w:r w:rsidR="00A90A4B" w:rsidRPr="001879E9">
        <w:t>tocilizumab</w:t>
      </w:r>
      <w:r w:rsidR="00A90A4B">
        <w:t xml:space="preserve">em </w:t>
      </w:r>
      <w:r w:rsidRPr="00EE3355">
        <w:t xml:space="preserve">zaznamenávali zlepšení ve všech výsledcích hlášených pacienty (dotazník hodnotící zdraví a index funkční neschopnosti – HAQ-DI, Health Assessment Questionnaire Disability Index, zkrácený formulář 36 a dotazník funkčního hodnocení léčby chronického onemocnění). Statisticky významná zlepšení ve skóre HAQ-DI byla pozorována u pacientů léčených </w:t>
      </w:r>
      <w:r w:rsidR="00A90A4B" w:rsidRPr="001879E9">
        <w:t>tocilizumab</w:t>
      </w:r>
      <w:r w:rsidR="00A90A4B">
        <w:t xml:space="preserve">em </w:t>
      </w:r>
      <w:r w:rsidRPr="00EE3355">
        <w:t>v porovnání s pacienty léčenými DMARD. V průběhu otevřené fáze studie II bylo zlepšení fyzických funkcí udržováno po dobu až 2 let. V týdnu 52 byla střední změna v HAQ-DI -0,58 ve skupině s</w:t>
      </w:r>
      <w:r w:rsidR="00A90A4B">
        <w:t> </w:t>
      </w:r>
      <w:r w:rsidR="00A90A4B" w:rsidRPr="001879E9">
        <w:t>tocilizumab</w:t>
      </w:r>
      <w:r w:rsidR="00A90A4B">
        <w:t xml:space="preserve">em </w:t>
      </w:r>
      <w:r w:rsidRPr="00EE3355">
        <w:t>8 mg/kg a MTX, ve srovnání s - 0,39 ve skupině s placebem a MTX. Průměrná změna HAQ-DI byla ve skupině s</w:t>
      </w:r>
      <w:r w:rsidR="00A90A4B">
        <w:t> </w:t>
      </w:r>
      <w:r w:rsidR="00A90A4B" w:rsidRPr="001879E9">
        <w:t>tocilizumab</w:t>
      </w:r>
      <w:r w:rsidR="00A90A4B">
        <w:t xml:space="preserve">em </w:t>
      </w:r>
      <w:r w:rsidRPr="00EE3355">
        <w:t>8 mg/kg a MTX udržována i v týdnu 104 (-0,61).</w:t>
      </w:r>
    </w:p>
    <w:p w14:paraId="6290A829" w14:textId="77777777" w:rsidR="00222DE0" w:rsidRPr="00EE3355" w:rsidRDefault="00222DE0" w:rsidP="00EA1CDF">
      <w:pPr>
        <w:pStyle w:val="a3"/>
        <w:widowControl/>
        <w:ind w:left="0"/>
      </w:pPr>
    </w:p>
    <w:p w14:paraId="62901C89" w14:textId="77777777" w:rsidR="00222DE0" w:rsidRPr="00EE3355" w:rsidRDefault="0098273B" w:rsidP="00EA1CDF">
      <w:pPr>
        <w:widowControl/>
        <w:rPr>
          <w:i/>
        </w:rPr>
      </w:pPr>
      <w:r w:rsidRPr="00EE3355">
        <w:rPr>
          <w:i/>
        </w:rPr>
        <w:t>Hladiny hemoglobinu</w:t>
      </w:r>
    </w:p>
    <w:p w14:paraId="4DA3A656" w14:textId="3D24BEF5" w:rsidR="00222DE0" w:rsidRPr="00EE3355" w:rsidRDefault="0098273B" w:rsidP="00C959DC">
      <w:pPr>
        <w:pStyle w:val="a3"/>
        <w:widowControl/>
        <w:ind w:left="0"/>
      </w:pPr>
      <w:r w:rsidRPr="00EE3355">
        <w:t xml:space="preserve">Statisticky významná zlepšení hladin hemoglobinu byla pozorována u </w:t>
      </w:r>
      <w:r w:rsidR="006F1E69" w:rsidRPr="001879E9">
        <w:t>tocilizumab</w:t>
      </w:r>
      <w:r w:rsidR="006F1E69">
        <w:t xml:space="preserve">u </w:t>
      </w:r>
      <w:r w:rsidRPr="00EE3355">
        <w:t>v porovnání s tradičními DMARD (p &lt;0,0001) v týdnu 24. Průměrné hladiny hemoglobinu vzrůstaly</w:t>
      </w:r>
      <w:r w:rsidR="00C959DC">
        <w:t xml:space="preserve"> </w:t>
      </w:r>
      <w:r w:rsidRPr="00EE3355">
        <w:t>v týdnu 2 a zůstávaly na normálních hodnotách během následujících 24 týdnů.</w:t>
      </w:r>
    </w:p>
    <w:p w14:paraId="1A3100AB" w14:textId="77777777" w:rsidR="00222DE0" w:rsidRPr="00EE3355" w:rsidRDefault="00222DE0" w:rsidP="00EA1CDF">
      <w:pPr>
        <w:pStyle w:val="a3"/>
        <w:widowControl/>
        <w:ind w:left="0"/>
      </w:pPr>
    </w:p>
    <w:p w14:paraId="64F36846" w14:textId="45BE8AC8" w:rsidR="00222DE0" w:rsidRPr="00EE3355" w:rsidRDefault="006F1E69" w:rsidP="00EA1CDF">
      <w:pPr>
        <w:widowControl/>
        <w:rPr>
          <w:i/>
        </w:rPr>
      </w:pPr>
      <w:r w:rsidRPr="00B93217">
        <w:rPr>
          <w:i/>
          <w:iCs/>
        </w:rPr>
        <w:t>Tocilizumab</w:t>
      </w:r>
      <w:r>
        <w:t xml:space="preserve"> </w:t>
      </w:r>
      <w:r w:rsidR="0098273B" w:rsidRPr="00EE3355">
        <w:rPr>
          <w:i/>
        </w:rPr>
        <w:t>versus adalimumab v monoterapii</w:t>
      </w:r>
    </w:p>
    <w:p w14:paraId="68F4428F" w14:textId="1B76EAA3" w:rsidR="00222DE0" w:rsidRPr="00EE3355" w:rsidRDefault="0098273B" w:rsidP="00EA1CDF">
      <w:pPr>
        <w:pStyle w:val="a3"/>
        <w:widowControl/>
        <w:ind w:left="0"/>
      </w:pPr>
      <w:r w:rsidRPr="00EE3355">
        <w:t xml:space="preserve">Studie VI (WA19924), 24týdenní dvojitě zaslepená studie porovnávající monoterapii </w:t>
      </w:r>
      <w:r w:rsidR="006F1E69" w:rsidRPr="001879E9">
        <w:t>tocilizumab</w:t>
      </w:r>
      <w:r w:rsidR="006F1E69">
        <w:t xml:space="preserve">em </w:t>
      </w:r>
      <w:r w:rsidRPr="00EE3355">
        <w:t>s monoterapií adalimumabem, hodnotila 326 pacientů s RA, kteří netolerovali MTX nebo u kterých nebylo vhodné pokračovat v léčbě MTX (včetně pacientů, kteří na léčbu MTX reagovali nedostatečně). Pacienti v rameni s</w:t>
      </w:r>
      <w:r w:rsidR="006F1E69">
        <w:t> </w:t>
      </w:r>
      <w:r w:rsidR="006F1E69" w:rsidRPr="001879E9">
        <w:t>tocilizumab</w:t>
      </w:r>
      <w:r w:rsidR="006F1E69">
        <w:t xml:space="preserve">em </w:t>
      </w:r>
      <w:r w:rsidRPr="00EE3355">
        <w:t xml:space="preserve">dostávali intravenózní (i.v.) infuzi </w:t>
      </w:r>
      <w:r w:rsidR="006F1E69" w:rsidRPr="001879E9">
        <w:t>tocilizumab</w:t>
      </w:r>
      <w:r w:rsidR="006F1E69">
        <w:t xml:space="preserve">u </w:t>
      </w:r>
      <w:r w:rsidRPr="00EE3355">
        <w:t>(8 mg/kg) každé 4 týdny a subkutánní (s.c.) injekci placeba každé 2 týdny.</w:t>
      </w:r>
      <w:r w:rsidR="00800D8A" w:rsidRPr="00EE3355">
        <w:t xml:space="preserve"> </w:t>
      </w:r>
      <w:r w:rsidRPr="00EE3355">
        <w:t>Pacienti v rameni s adalimumabem dostávali s.c. injekci adalimumabu (40 mg) každé dva týdny a i.v. infuzi placeba každé 4 týdny.</w:t>
      </w:r>
    </w:p>
    <w:p w14:paraId="7DAA4ED3" w14:textId="77777777" w:rsidR="00800D8A" w:rsidRPr="00EE3355" w:rsidRDefault="00800D8A" w:rsidP="00EA1CDF">
      <w:pPr>
        <w:pStyle w:val="a3"/>
        <w:widowControl/>
        <w:ind w:left="0"/>
      </w:pPr>
    </w:p>
    <w:p w14:paraId="099EDD8E" w14:textId="3C142730" w:rsidR="00222DE0" w:rsidRDefault="0098273B" w:rsidP="00EA1CDF">
      <w:pPr>
        <w:pStyle w:val="a3"/>
        <w:widowControl/>
        <w:ind w:left="0"/>
      </w:pPr>
      <w:r w:rsidRPr="00EE3355">
        <w:lastRenderedPageBreak/>
        <w:t xml:space="preserve">Statisticky významný superiorní účinek léčby byl pozorovaný ve prospěch </w:t>
      </w:r>
      <w:r w:rsidR="006F1E69" w:rsidRPr="001879E9">
        <w:t>tocilizumab</w:t>
      </w:r>
      <w:r w:rsidR="006F1E69">
        <w:t xml:space="preserve">u </w:t>
      </w:r>
      <w:r w:rsidRPr="00EE3355">
        <w:t>oproti adalimumabu, pokud jde o kontrolu aktivity onemocnění od počátku léčby do 24. týdne léčby u primárního cílového parametru změny DAS28 a u všech sekundárních cílových parametrů (tabulka 7).</w:t>
      </w:r>
    </w:p>
    <w:p w14:paraId="2EA64F74" w14:textId="77777777" w:rsidR="00BC4221" w:rsidRDefault="00BC4221" w:rsidP="00EA1CDF">
      <w:pPr>
        <w:pStyle w:val="a3"/>
        <w:widowControl/>
        <w:ind w:left="0"/>
      </w:pPr>
    </w:p>
    <w:p w14:paraId="3D42D7D4" w14:textId="77777777" w:rsidR="00222DE0" w:rsidRPr="00EE3355" w:rsidRDefault="0098273B" w:rsidP="00EA1CDF">
      <w:pPr>
        <w:keepNext/>
        <w:widowControl/>
        <w:rPr>
          <w:i/>
        </w:rPr>
      </w:pPr>
      <w:r w:rsidRPr="00EE3355">
        <w:rPr>
          <w:i/>
        </w:rPr>
        <w:t>Tabulka 7: Výsledky účinnosti ze studie VI (WA19924)</w:t>
      </w:r>
    </w:p>
    <w:p w14:paraId="485EACD1" w14:textId="77777777" w:rsidR="00800D8A" w:rsidRPr="00EE3355" w:rsidRDefault="00800D8A" w:rsidP="00EA1CDF">
      <w:pPr>
        <w:keepNext/>
        <w:widowControl/>
        <w:rPr>
          <w:i/>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724"/>
        <w:gridCol w:w="1467"/>
        <w:gridCol w:w="1658"/>
        <w:gridCol w:w="1291"/>
      </w:tblGrid>
      <w:tr w:rsidR="00222DE0" w:rsidRPr="00EE3355" w14:paraId="1429C913" w14:textId="77777777" w:rsidTr="00C350A0">
        <w:trPr>
          <w:cantSplit/>
          <w:trHeight w:val="592"/>
        </w:trPr>
        <w:tc>
          <w:tcPr>
            <w:tcW w:w="5191" w:type="dxa"/>
            <w:gridSpan w:val="2"/>
          </w:tcPr>
          <w:p w14:paraId="7318AEBB" w14:textId="77777777" w:rsidR="00222DE0" w:rsidRPr="00EE3355" w:rsidRDefault="0098273B" w:rsidP="00EA1CDF">
            <w:pPr>
              <w:pStyle w:val="TableParagraph"/>
              <w:keepNext/>
              <w:widowControl/>
              <w:ind w:left="3337"/>
              <w:jc w:val="center"/>
              <w:rPr>
                <w:b/>
              </w:rPr>
            </w:pPr>
            <w:r w:rsidRPr="00EE3355">
              <w:rPr>
                <w:b/>
              </w:rPr>
              <w:t>ADA + Placebo (i.v.)</w:t>
            </w:r>
            <w:r w:rsidR="00C350A0" w:rsidRPr="00EE3355">
              <w:rPr>
                <w:b/>
              </w:rPr>
              <w:t xml:space="preserve"> </w:t>
            </w:r>
            <w:r w:rsidRPr="00EE3355">
              <w:rPr>
                <w:b/>
              </w:rPr>
              <w:t>n = 162</w:t>
            </w:r>
          </w:p>
        </w:tc>
        <w:tc>
          <w:tcPr>
            <w:tcW w:w="1658" w:type="dxa"/>
          </w:tcPr>
          <w:p w14:paraId="14F42FDA" w14:textId="77777777" w:rsidR="00222DE0" w:rsidRPr="00EE3355" w:rsidRDefault="0098273B" w:rsidP="00EA1CDF">
            <w:pPr>
              <w:pStyle w:val="TableParagraph"/>
              <w:keepNext/>
              <w:widowControl/>
              <w:ind w:left="6"/>
              <w:jc w:val="center"/>
              <w:rPr>
                <w:b/>
              </w:rPr>
            </w:pPr>
            <w:r w:rsidRPr="00EE3355">
              <w:rPr>
                <w:b/>
              </w:rPr>
              <w:t>TCZ + Placebo (s.c.)</w:t>
            </w:r>
            <w:r w:rsidR="00C350A0" w:rsidRPr="00EE3355">
              <w:rPr>
                <w:b/>
              </w:rPr>
              <w:t xml:space="preserve"> </w:t>
            </w:r>
            <w:r w:rsidRPr="00EE3355">
              <w:rPr>
                <w:b/>
              </w:rPr>
              <w:t>n = 163</w:t>
            </w:r>
          </w:p>
        </w:tc>
        <w:tc>
          <w:tcPr>
            <w:tcW w:w="1291" w:type="dxa"/>
          </w:tcPr>
          <w:p w14:paraId="76DC71AB" w14:textId="77777777" w:rsidR="00222DE0" w:rsidRPr="00C959DC" w:rsidRDefault="00222DE0" w:rsidP="00EA1CDF">
            <w:pPr>
              <w:pStyle w:val="TableParagraph"/>
              <w:keepNext/>
              <w:widowControl/>
              <w:rPr>
                <w:i/>
              </w:rPr>
            </w:pPr>
          </w:p>
          <w:p w14:paraId="0201A529" w14:textId="77777777" w:rsidR="00222DE0" w:rsidRPr="00C959DC" w:rsidRDefault="0098273B" w:rsidP="00EA1CDF">
            <w:pPr>
              <w:pStyle w:val="TableParagraph"/>
              <w:keepNext/>
              <w:widowControl/>
              <w:ind w:left="-70" w:right="-73" w:hanging="42"/>
              <w:jc w:val="center"/>
            </w:pPr>
            <w:r w:rsidRPr="00C959DC">
              <w:t>p-hodnota</w:t>
            </w:r>
            <w:r w:rsidRPr="00C959DC">
              <w:rPr>
                <w:vertAlign w:val="superscript"/>
              </w:rPr>
              <w:t>(a)</w:t>
            </w:r>
          </w:p>
        </w:tc>
      </w:tr>
      <w:tr w:rsidR="00222DE0" w:rsidRPr="00EE3355" w14:paraId="64163AE7" w14:textId="77777777" w:rsidTr="00C959DC">
        <w:trPr>
          <w:cantSplit/>
          <w:trHeight w:val="340"/>
        </w:trPr>
        <w:tc>
          <w:tcPr>
            <w:tcW w:w="8140" w:type="dxa"/>
            <w:gridSpan w:val="4"/>
            <w:tcBorders>
              <w:bottom w:val="single" w:sz="4" w:space="0" w:color="000000"/>
            </w:tcBorders>
          </w:tcPr>
          <w:p w14:paraId="221393B5" w14:textId="77777777" w:rsidR="00222DE0" w:rsidRPr="00EE3355" w:rsidRDefault="0098273B" w:rsidP="00EA1CDF">
            <w:pPr>
              <w:pStyle w:val="TableParagraph"/>
              <w:keepNext/>
              <w:widowControl/>
              <w:ind w:left="62"/>
              <w:rPr>
                <w:b/>
              </w:rPr>
            </w:pPr>
            <w:r w:rsidRPr="00EE3355">
              <w:rPr>
                <w:b/>
              </w:rPr>
              <w:t>Primární cílový parametr – průměrná změna od výchozích hodnot ve 24. týdnu</w:t>
            </w:r>
          </w:p>
        </w:tc>
      </w:tr>
      <w:tr w:rsidR="00222DE0" w:rsidRPr="00C959DC" w14:paraId="73658BC8" w14:textId="77777777" w:rsidTr="00C959DC">
        <w:trPr>
          <w:cantSplit/>
          <w:trHeight w:val="114"/>
        </w:trPr>
        <w:tc>
          <w:tcPr>
            <w:tcW w:w="3724" w:type="dxa"/>
            <w:tcBorders>
              <w:bottom w:val="nil"/>
              <w:right w:val="nil"/>
            </w:tcBorders>
          </w:tcPr>
          <w:p w14:paraId="43DE99F1" w14:textId="77777777" w:rsidR="00222DE0" w:rsidRPr="00C959DC" w:rsidRDefault="0098273B" w:rsidP="00EA1CDF">
            <w:pPr>
              <w:pStyle w:val="TableParagraph"/>
              <w:keepNext/>
              <w:widowControl/>
              <w:ind w:right="219"/>
              <w:jc w:val="right"/>
              <w:rPr>
                <w:b/>
              </w:rPr>
            </w:pPr>
            <w:r w:rsidRPr="00C959DC">
              <w:rPr>
                <w:b/>
              </w:rPr>
              <w:t>DAS28 (upravený průměr)</w:t>
            </w:r>
          </w:p>
        </w:tc>
        <w:tc>
          <w:tcPr>
            <w:tcW w:w="1467" w:type="dxa"/>
            <w:tcBorders>
              <w:left w:val="nil"/>
              <w:bottom w:val="nil"/>
              <w:right w:val="nil"/>
            </w:tcBorders>
          </w:tcPr>
          <w:p w14:paraId="4DC48D37" w14:textId="77777777" w:rsidR="00222DE0" w:rsidRPr="00C959DC" w:rsidRDefault="0098273B" w:rsidP="00EA1CDF">
            <w:pPr>
              <w:pStyle w:val="TableParagraph"/>
              <w:keepNext/>
              <w:widowControl/>
              <w:ind w:left="3" w:right="181"/>
              <w:jc w:val="center"/>
              <w:rPr>
                <w:b/>
              </w:rPr>
            </w:pPr>
            <w:r w:rsidRPr="00C959DC">
              <w:rPr>
                <w:b/>
              </w:rPr>
              <w:t>-1,8</w:t>
            </w:r>
          </w:p>
        </w:tc>
        <w:tc>
          <w:tcPr>
            <w:tcW w:w="1658" w:type="dxa"/>
            <w:tcBorders>
              <w:left w:val="nil"/>
              <w:bottom w:val="nil"/>
              <w:right w:val="nil"/>
            </w:tcBorders>
          </w:tcPr>
          <w:p w14:paraId="086A4895" w14:textId="77777777" w:rsidR="00222DE0" w:rsidRPr="00C959DC" w:rsidRDefault="0098273B" w:rsidP="00EA1CDF">
            <w:pPr>
              <w:pStyle w:val="TableParagraph"/>
              <w:keepNext/>
              <w:widowControl/>
              <w:ind w:left="6" w:right="5"/>
              <w:jc w:val="center"/>
              <w:rPr>
                <w:b/>
              </w:rPr>
            </w:pPr>
            <w:r w:rsidRPr="00C959DC">
              <w:rPr>
                <w:b/>
              </w:rPr>
              <w:t>-3,3</w:t>
            </w:r>
          </w:p>
        </w:tc>
        <w:tc>
          <w:tcPr>
            <w:tcW w:w="1291" w:type="dxa"/>
            <w:tcBorders>
              <w:left w:val="nil"/>
              <w:bottom w:val="nil"/>
            </w:tcBorders>
          </w:tcPr>
          <w:p w14:paraId="706F282F" w14:textId="77777777" w:rsidR="00222DE0" w:rsidRPr="00C959DC" w:rsidRDefault="00222DE0" w:rsidP="00EA1CDF">
            <w:pPr>
              <w:pStyle w:val="TableParagraph"/>
              <w:keepNext/>
              <w:widowControl/>
              <w:rPr>
                <w:b/>
                <w:sz w:val="20"/>
              </w:rPr>
            </w:pPr>
          </w:p>
        </w:tc>
      </w:tr>
      <w:tr w:rsidR="00222DE0" w:rsidRPr="00C959DC" w14:paraId="2DCA76AA" w14:textId="77777777" w:rsidTr="00C959DC">
        <w:trPr>
          <w:cantSplit/>
          <w:trHeight w:val="217"/>
        </w:trPr>
        <w:tc>
          <w:tcPr>
            <w:tcW w:w="3724" w:type="dxa"/>
            <w:tcBorders>
              <w:top w:val="nil"/>
              <w:right w:val="nil"/>
            </w:tcBorders>
          </w:tcPr>
          <w:p w14:paraId="19B0697A" w14:textId="77777777" w:rsidR="00222DE0" w:rsidRPr="00C959DC" w:rsidRDefault="0098273B" w:rsidP="00EA1CDF">
            <w:pPr>
              <w:pStyle w:val="TableParagraph"/>
              <w:keepNext/>
              <w:widowControl/>
              <w:ind w:right="218"/>
              <w:jc w:val="right"/>
              <w:rPr>
                <w:b/>
              </w:rPr>
            </w:pPr>
            <w:r w:rsidRPr="00C959DC">
              <w:rPr>
                <w:b/>
              </w:rPr>
              <w:t>Rozdíl upraveného průměru</w:t>
            </w:r>
          </w:p>
          <w:p w14:paraId="1FCB1D80" w14:textId="77777777" w:rsidR="00222DE0" w:rsidRPr="00C959DC" w:rsidRDefault="0098273B" w:rsidP="00EA1CDF">
            <w:pPr>
              <w:pStyle w:val="TableParagraph"/>
              <w:keepNext/>
              <w:widowControl/>
              <w:ind w:right="217"/>
              <w:jc w:val="right"/>
              <w:rPr>
                <w:b/>
              </w:rPr>
            </w:pPr>
            <w:r w:rsidRPr="00C959DC">
              <w:rPr>
                <w:b/>
              </w:rPr>
              <w:t>(95% CI)</w:t>
            </w:r>
          </w:p>
        </w:tc>
        <w:tc>
          <w:tcPr>
            <w:tcW w:w="3125" w:type="dxa"/>
            <w:gridSpan w:val="2"/>
            <w:tcBorders>
              <w:top w:val="nil"/>
              <w:left w:val="nil"/>
              <w:right w:val="nil"/>
            </w:tcBorders>
          </w:tcPr>
          <w:p w14:paraId="4E378979" w14:textId="77777777" w:rsidR="00222DE0" w:rsidRPr="00C959DC" w:rsidRDefault="0098273B" w:rsidP="00EA1CDF">
            <w:pPr>
              <w:pStyle w:val="TableParagraph"/>
              <w:keepNext/>
              <w:widowControl/>
              <w:ind w:left="804"/>
              <w:rPr>
                <w:b/>
              </w:rPr>
            </w:pPr>
            <w:r w:rsidRPr="00C959DC">
              <w:rPr>
                <w:b/>
              </w:rPr>
              <w:t>-1,5 (-1,8; -1,1)</w:t>
            </w:r>
          </w:p>
        </w:tc>
        <w:tc>
          <w:tcPr>
            <w:tcW w:w="1291" w:type="dxa"/>
            <w:tcBorders>
              <w:top w:val="nil"/>
              <w:left w:val="nil"/>
            </w:tcBorders>
          </w:tcPr>
          <w:p w14:paraId="43A1B5DB" w14:textId="77777777" w:rsidR="00222DE0" w:rsidRPr="00C959DC" w:rsidRDefault="0098273B" w:rsidP="00EA1CDF">
            <w:pPr>
              <w:pStyle w:val="TableParagraph"/>
              <w:keepNext/>
              <w:widowControl/>
              <w:ind w:left="41"/>
              <w:jc w:val="center"/>
              <w:rPr>
                <w:b/>
              </w:rPr>
            </w:pPr>
            <w:r w:rsidRPr="00C959DC">
              <w:rPr>
                <w:b/>
              </w:rPr>
              <w:t>&lt;0,0001</w:t>
            </w:r>
          </w:p>
        </w:tc>
      </w:tr>
      <w:tr w:rsidR="00222DE0" w:rsidRPr="00EE3355" w14:paraId="1D93A1FC" w14:textId="77777777" w:rsidTr="00C959DC">
        <w:trPr>
          <w:cantSplit/>
          <w:trHeight w:val="55"/>
        </w:trPr>
        <w:tc>
          <w:tcPr>
            <w:tcW w:w="8140" w:type="dxa"/>
            <w:gridSpan w:val="4"/>
            <w:tcBorders>
              <w:bottom w:val="single" w:sz="4" w:space="0" w:color="000000"/>
            </w:tcBorders>
          </w:tcPr>
          <w:p w14:paraId="4B372502" w14:textId="77777777" w:rsidR="00222DE0" w:rsidRPr="00EE3355" w:rsidRDefault="0098273B" w:rsidP="00EA1CDF">
            <w:pPr>
              <w:pStyle w:val="TableParagraph"/>
              <w:widowControl/>
              <w:ind w:left="62"/>
              <w:rPr>
                <w:b/>
              </w:rPr>
            </w:pPr>
            <w:r w:rsidRPr="00EE3355">
              <w:rPr>
                <w:b/>
              </w:rPr>
              <w:t xml:space="preserve">Sekundární cílové parametry – procento responderů ve 24. týdnu </w:t>
            </w:r>
            <w:r w:rsidRPr="00EE3355">
              <w:rPr>
                <w:b/>
                <w:vertAlign w:val="superscript"/>
              </w:rPr>
              <w:t>(b)</w:t>
            </w:r>
          </w:p>
        </w:tc>
      </w:tr>
      <w:tr w:rsidR="00222DE0" w:rsidRPr="00EE3355" w14:paraId="4762163D" w14:textId="77777777" w:rsidTr="00C959DC">
        <w:trPr>
          <w:cantSplit/>
          <w:trHeight w:val="28"/>
        </w:trPr>
        <w:tc>
          <w:tcPr>
            <w:tcW w:w="3724" w:type="dxa"/>
            <w:tcBorders>
              <w:bottom w:val="nil"/>
              <w:right w:val="nil"/>
            </w:tcBorders>
          </w:tcPr>
          <w:p w14:paraId="43B9F55F" w14:textId="77777777" w:rsidR="00222DE0" w:rsidRPr="00EE3355" w:rsidRDefault="0098273B" w:rsidP="00EA1CDF">
            <w:pPr>
              <w:pStyle w:val="TableParagraph"/>
              <w:widowControl/>
              <w:ind w:right="217"/>
              <w:jc w:val="right"/>
            </w:pPr>
            <w:r w:rsidRPr="00EE3355">
              <w:t>DAS28 &lt; 2,6; n (%)</w:t>
            </w:r>
          </w:p>
        </w:tc>
        <w:tc>
          <w:tcPr>
            <w:tcW w:w="1467" w:type="dxa"/>
            <w:tcBorders>
              <w:left w:val="nil"/>
              <w:bottom w:val="nil"/>
              <w:right w:val="nil"/>
            </w:tcBorders>
          </w:tcPr>
          <w:p w14:paraId="50071986" w14:textId="77777777" w:rsidR="00222DE0" w:rsidRPr="00EE3355" w:rsidRDefault="0098273B" w:rsidP="00EA1CDF">
            <w:pPr>
              <w:pStyle w:val="TableParagraph"/>
              <w:widowControl/>
              <w:ind w:right="181"/>
              <w:jc w:val="center"/>
            </w:pPr>
            <w:r w:rsidRPr="00EE3355">
              <w:t>17 (10,5)</w:t>
            </w:r>
          </w:p>
        </w:tc>
        <w:tc>
          <w:tcPr>
            <w:tcW w:w="1658" w:type="dxa"/>
            <w:tcBorders>
              <w:left w:val="nil"/>
              <w:bottom w:val="nil"/>
              <w:right w:val="nil"/>
            </w:tcBorders>
          </w:tcPr>
          <w:p w14:paraId="3B6B059E" w14:textId="77777777" w:rsidR="00222DE0" w:rsidRPr="00EE3355" w:rsidRDefault="0098273B" w:rsidP="00EA1CDF">
            <w:pPr>
              <w:pStyle w:val="TableParagraph"/>
              <w:widowControl/>
              <w:ind w:left="6" w:right="3"/>
              <w:jc w:val="center"/>
            </w:pPr>
            <w:r w:rsidRPr="00EE3355">
              <w:t>65 (39,9)</w:t>
            </w:r>
          </w:p>
        </w:tc>
        <w:tc>
          <w:tcPr>
            <w:tcW w:w="1291" w:type="dxa"/>
            <w:tcBorders>
              <w:left w:val="nil"/>
              <w:bottom w:val="nil"/>
            </w:tcBorders>
          </w:tcPr>
          <w:p w14:paraId="13C3535F" w14:textId="77777777" w:rsidR="00222DE0" w:rsidRPr="00EE3355" w:rsidRDefault="0098273B" w:rsidP="00EA1CDF">
            <w:pPr>
              <w:pStyle w:val="TableParagraph"/>
              <w:widowControl/>
              <w:ind w:left="41"/>
              <w:jc w:val="center"/>
            </w:pPr>
            <w:r w:rsidRPr="00EE3355">
              <w:t>&lt;0,0001</w:t>
            </w:r>
          </w:p>
        </w:tc>
      </w:tr>
      <w:tr w:rsidR="00222DE0" w:rsidRPr="00EE3355" w14:paraId="05046C2B" w14:textId="77777777" w:rsidTr="00C959DC">
        <w:trPr>
          <w:cantSplit/>
          <w:trHeight w:val="135"/>
        </w:trPr>
        <w:tc>
          <w:tcPr>
            <w:tcW w:w="3724" w:type="dxa"/>
            <w:tcBorders>
              <w:top w:val="nil"/>
              <w:bottom w:val="nil"/>
              <w:right w:val="nil"/>
            </w:tcBorders>
          </w:tcPr>
          <w:p w14:paraId="18FBFAE1" w14:textId="77777777" w:rsidR="00222DE0" w:rsidRPr="00EE3355" w:rsidRDefault="0098273B" w:rsidP="00EA1CDF">
            <w:pPr>
              <w:pStyle w:val="TableParagraph"/>
              <w:widowControl/>
              <w:ind w:right="219"/>
              <w:jc w:val="right"/>
            </w:pPr>
            <w:r w:rsidRPr="00EE3355">
              <w:t>DAS28 ≤ 3,2; n (%)</w:t>
            </w:r>
          </w:p>
        </w:tc>
        <w:tc>
          <w:tcPr>
            <w:tcW w:w="1467" w:type="dxa"/>
            <w:tcBorders>
              <w:top w:val="nil"/>
              <w:left w:val="nil"/>
              <w:bottom w:val="nil"/>
              <w:right w:val="nil"/>
            </w:tcBorders>
          </w:tcPr>
          <w:p w14:paraId="15D43F9D" w14:textId="77777777" w:rsidR="00222DE0" w:rsidRPr="00EE3355" w:rsidRDefault="0098273B" w:rsidP="00EA1CDF">
            <w:pPr>
              <w:pStyle w:val="TableParagraph"/>
              <w:widowControl/>
              <w:ind w:right="181"/>
              <w:jc w:val="center"/>
            </w:pPr>
            <w:r w:rsidRPr="00EE3355">
              <w:t>32 (19,8)</w:t>
            </w:r>
          </w:p>
        </w:tc>
        <w:tc>
          <w:tcPr>
            <w:tcW w:w="1658" w:type="dxa"/>
            <w:tcBorders>
              <w:top w:val="nil"/>
              <w:left w:val="nil"/>
              <w:bottom w:val="nil"/>
              <w:right w:val="nil"/>
            </w:tcBorders>
          </w:tcPr>
          <w:p w14:paraId="0A993484" w14:textId="77777777" w:rsidR="00222DE0" w:rsidRPr="00EE3355" w:rsidRDefault="0098273B" w:rsidP="00EA1CDF">
            <w:pPr>
              <w:pStyle w:val="TableParagraph"/>
              <w:widowControl/>
              <w:ind w:left="6" w:right="3"/>
              <w:jc w:val="center"/>
            </w:pPr>
            <w:r w:rsidRPr="00EE3355">
              <w:t>84 (51,5)</w:t>
            </w:r>
          </w:p>
        </w:tc>
        <w:tc>
          <w:tcPr>
            <w:tcW w:w="1291" w:type="dxa"/>
            <w:tcBorders>
              <w:top w:val="nil"/>
              <w:left w:val="nil"/>
              <w:bottom w:val="nil"/>
            </w:tcBorders>
          </w:tcPr>
          <w:p w14:paraId="3280748F" w14:textId="77777777" w:rsidR="00222DE0" w:rsidRPr="00EE3355" w:rsidRDefault="0098273B" w:rsidP="00EA1CDF">
            <w:pPr>
              <w:pStyle w:val="TableParagraph"/>
              <w:widowControl/>
              <w:ind w:left="41"/>
              <w:jc w:val="center"/>
            </w:pPr>
            <w:r w:rsidRPr="00EE3355">
              <w:t>&lt;0,0001</w:t>
            </w:r>
          </w:p>
        </w:tc>
      </w:tr>
      <w:tr w:rsidR="00222DE0" w:rsidRPr="00EE3355" w14:paraId="38E7658C" w14:textId="77777777" w:rsidTr="00C959DC">
        <w:trPr>
          <w:cantSplit/>
          <w:trHeight w:val="98"/>
        </w:trPr>
        <w:tc>
          <w:tcPr>
            <w:tcW w:w="3724" w:type="dxa"/>
            <w:tcBorders>
              <w:top w:val="nil"/>
              <w:bottom w:val="nil"/>
              <w:right w:val="nil"/>
            </w:tcBorders>
          </w:tcPr>
          <w:p w14:paraId="15B65569" w14:textId="77777777" w:rsidR="00222DE0" w:rsidRPr="00EE3355" w:rsidRDefault="0098273B" w:rsidP="00EA1CDF">
            <w:pPr>
              <w:pStyle w:val="TableParagraph"/>
              <w:widowControl/>
              <w:ind w:right="217"/>
              <w:jc w:val="right"/>
            </w:pPr>
            <w:r w:rsidRPr="00EE3355">
              <w:t>ACR20 odpověď; n (%)</w:t>
            </w:r>
          </w:p>
        </w:tc>
        <w:tc>
          <w:tcPr>
            <w:tcW w:w="1467" w:type="dxa"/>
            <w:tcBorders>
              <w:top w:val="nil"/>
              <w:left w:val="nil"/>
              <w:bottom w:val="nil"/>
              <w:right w:val="nil"/>
            </w:tcBorders>
          </w:tcPr>
          <w:p w14:paraId="0EF761EF" w14:textId="77777777" w:rsidR="00222DE0" w:rsidRPr="00EE3355" w:rsidRDefault="0098273B" w:rsidP="00EA1CDF">
            <w:pPr>
              <w:pStyle w:val="TableParagraph"/>
              <w:widowControl/>
              <w:ind w:right="181"/>
              <w:jc w:val="center"/>
            </w:pPr>
            <w:r w:rsidRPr="00EE3355">
              <w:t>80 (49,4)</w:t>
            </w:r>
          </w:p>
        </w:tc>
        <w:tc>
          <w:tcPr>
            <w:tcW w:w="1658" w:type="dxa"/>
            <w:tcBorders>
              <w:top w:val="nil"/>
              <w:left w:val="nil"/>
              <w:bottom w:val="nil"/>
              <w:right w:val="nil"/>
            </w:tcBorders>
          </w:tcPr>
          <w:p w14:paraId="4374B78F" w14:textId="77777777" w:rsidR="00222DE0" w:rsidRPr="00EE3355" w:rsidRDefault="0098273B" w:rsidP="00EA1CDF">
            <w:pPr>
              <w:pStyle w:val="TableParagraph"/>
              <w:widowControl/>
              <w:ind w:left="6" w:right="3"/>
              <w:jc w:val="center"/>
            </w:pPr>
            <w:r w:rsidRPr="00EE3355">
              <w:t>106 (65,0)</w:t>
            </w:r>
          </w:p>
        </w:tc>
        <w:tc>
          <w:tcPr>
            <w:tcW w:w="1291" w:type="dxa"/>
            <w:tcBorders>
              <w:top w:val="nil"/>
              <w:left w:val="nil"/>
              <w:bottom w:val="nil"/>
            </w:tcBorders>
          </w:tcPr>
          <w:p w14:paraId="6FB2C974" w14:textId="77777777" w:rsidR="00222DE0" w:rsidRPr="00EE3355" w:rsidRDefault="0098273B" w:rsidP="00EA1CDF">
            <w:pPr>
              <w:pStyle w:val="TableParagraph"/>
              <w:widowControl/>
              <w:ind w:left="41"/>
              <w:jc w:val="center"/>
            </w:pPr>
            <w:r w:rsidRPr="00EE3355">
              <w:t>0,0038</w:t>
            </w:r>
          </w:p>
        </w:tc>
      </w:tr>
      <w:tr w:rsidR="00222DE0" w:rsidRPr="00EE3355" w14:paraId="4E55D316" w14:textId="77777777" w:rsidTr="00C959DC">
        <w:trPr>
          <w:cantSplit/>
          <w:trHeight w:val="202"/>
        </w:trPr>
        <w:tc>
          <w:tcPr>
            <w:tcW w:w="3724" w:type="dxa"/>
            <w:tcBorders>
              <w:top w:val="nil"/>
              <w:bottom w:val="nil"/>
              <w:right w:val="nil"/>
            </w:tcBorders>
          </w:tcPr>
          <w:p w14:paraId="202F6FD2" w14:textId="77777777" w:rsidR="00222DE0" w:rsidRPr="00EE3355" w:rsidRDefault="0098273B" w:rsidP="00EA1CDF">
            <w:pPr>
              <w:pStyle w:val="TableParagraph"/>
              <w:widowControl/>
              <w:ind w:right="217"/>
              <w:jc w:val="right"/>
            </w:pPr>
            <w:r w:rsidRPr="00EE3355">
              <w:t>ACR50 odpověď; n (%)</w:t>
            </w:r>
          </w:p>
        </w:tc>
        <w:tc>
          <w:tcPr>
            <w:tcW w:w="1467" w:type="dxa"/>
            <w:tcBorders>
              <w:top w:val="nil"/>
              <w:left w:val="nil"/>
              <w:bottom w:val="nil"/>
              <w:right w:val="nil"/>
            </w:tcBorders>
          </w:tcPr>
          <w:p w14:paraId="56E19B76" w14:textId="77777777" w:rsidR="00222DE0" w:rsidRPr="00EE3355" w:rsidRDefault="0098273B" w:rsidP="00EA1CDF">
            <w:pPr>
              <w:pStyle w:val="TableParagraph"/>
              <w:widowControl/>
              <w:ind w:right="181"/>
              <w:jc w:val="center"/>
            </w:pPr>
            <w:r w:rsidRPr="00EE3355">
              <w:t>45 (27,8)</w:t>
            </w:r>
          </w:p>
        </w:tc>
        <w:tc>
          <w:tcPr>
            <w:tcW w:w="1658" w:type="dxa"/>
            <w:tcBorders>
              <w:top w:val="nil"/>
              <w:left w:val="nil"/>
              <w:bottom w:val="nil"/>
              <w:right w:val="nil"/>
            </w:tcBorders>
          </w:tcPr>
          <w:p w14:paraId="2815E558" w14:textId="77777777" w:rsidR="00222DE0" w:rsidRPr="00EE3355" w:rsidRDefault="0098273B" w:rsidP="00EA1CDF">
            <w:pPr>
              <w:pStyle w:val="TableParagraph"/>
              <w:widowControl/>
              <w:ind w:left="6" w:right="3"/>
              <w:jc w:val="center"/>
            </w:pPr>
            <w:r w:rsidRPr="00EE3355">
              <w:t>77 (47,2)</w:t>
            </w:r>
          </w:p>
        </w:tc>
        <w:tc>
          <w:tcPr>
            <w:tcW w:w="1291" w:type="dxa"/>
            <w:tcBorders>
              <w:top w:val="nil"/>
              <w:left w:val="nil"/>
              <w:bottom w:val="nil"/>
            </w:tcBorders>
          </w:tcPr>
          <w:p w14:paraId="6B0C34E3" w14:textId="77777777" w:rsidR="00222DE0" w:rsidRPr="00EE3355" w:rsidRDefault="0098273B" w:rsidP="00EA1CDF">
            <w:pPr>
              <w:pStyle w:val="TableParagraph"/>
              <w:widowControl/>
              <w:ind w:left="41"/>
              <w:jc w:val="center"/>
            </w:pPr>
            <w:r w:rsidRPr="00EE3355">
              <w:t>0,0002</w:t>
            </w:r>
          </w:p>
        </w:tc>
      </w:tr>
      <w:tr w:rsidR="00222DE0" w:rsidRPr="00EE3355" w14:paraId="1C9181A1" w14:textId="77777777" w:rsidTr="00C959DC">
        <w:trPr>
          <w:cantSplit/>
          <w:trHeight w:val="36"/>
        </w:trPr>
        <w:tc>
          <w:tcPr>
            <w:tcW w:w="3724" w:type="dxa"/>
            <w:tcBorders>
              <w:top w:val="nil"/>
              <w:right w:val="nil"/>
            </w:tcBorders>
          </w:tcPr>
          <w:p w14:paraId="4D8FDF1D" w14:textId="77777777" w:rsidR="00222DE0" w:rsidRPr="00EE3355" w:rsidRDefault="0098273B" w:rsidP="00EA1CDF">
            <w:pPr>
              <w:pStyle w:val="TableParagraph"/>
              <w:widowControl/>
              <w:ind w:right="217"/>
              <w:jc w:val="right"/>
            </w:pPr>
            <w:r w:rsidRPr="00EE3355">
              <w:t>ACR70 odpověď; n (%)</w:t>
            </w:r>
          </w:p>
        </w:tc>
        <w:tc>
          <w:tcPr>
            <w:tcW w:w="1467" w:type="dxa"/>
            <w:tcBorders>
              <w:top w:val="nil"/>
              <w:left w:val="nil"/>
              <w:right w:val="nil"/>
            </w:tcBorders>
          </w:tcPr>
          <w:p w14:paraId="236F397F" w14:textId="77777777" w:rsidR="00222DE0" w:rsidRPr="00EE3355" w:rsidRDefault="0098273B" w:rsidP="00EA1CDF">
            <w:pPr>
              <w:pStyle w:val="TableParagraph"/>
              <w:widowControl/>
              <w:ind w:right="181"/>
              <w:jc w:val="center"/>
            </w:pPr>
            <w:r w:rsidRPr="00EE3355">
              <w:t>29 (17,9)</w:t>
            </w:r>
          </w:p>
        </w:tc>
        <w:tc>
          <w:tcPr>
            <w:tcW w:w="1658" w:type="dxa"/>
            <w:tcBorders>
              <w:top w:val="nil"/>
              <w:left w:val="nil"/>
              <w:right w:val="nil"/>
            </w:tcBorders>
          </w:tcPr>
          <w:p w14:paraId="7CFD8E6E" w14:textId="77777777" w:rsidR="00222DE0" w:rsidRPr="00EE3355" w:rsidRDefault="0098273B" w:rsidP="00EA1CDF">
            <w:pPr>
              <w:pStyle w:val="TableParagraph"/>
              <w:widowControl/>
              <w:ind w:left="6" w:right="3"/>
              <w:jc w:val="center"/>
            </w:pPr>
            <w:r w:rsidRPr="00EE3355">
              <w:t>53 (32,5)</w:t>
            </w:r>
          </w:p>
        </w:tc>
        <w:tc>
          <w:tcPr>
            <w:tcW w:w="1291" w:type="dxa"/>
            <w:tcBorders>
              <w:top w:val="nil"/>
              <w:left w:val="nil"/>
            </w:tcBorders>
          </w:tcPr>
          <w:p w14:paraId="264E153D" w14:textId="77777777" w:rsidR="00222DE0" w:rsidRPr="00EE3355" w:rsidRDefault="0098273B" w:rsidP="00EA1CDF">
            <w:pPr>
              <w:pStyle w:val="TableParagraph"/>
              <w:widowControl/>
              <w:ind w:left="41"/>
              <w:jc w:val="center"/>
            </w:pPr>
            <w:r w:rsidRPr="00EE3355">
              <w:t>0,0023</w:t>
            </w:r>
          </w:p>
        </w:tc>
      </w:tr>
    </w:tbl>
    <w:p w14:paraId="1526C75F" w14:textId="77777777" w:rsidR="00222DE0" w:rsidRPr="00EE3355" w:rsidRDefault="00BC4221" w:rsidP="00EA1CDF">
      <w:pPr>
        <w:widowControl/>
        <w:rPr>
          <w:i/>
          <w:sz w:val="18"/>
        </w:rPr>
      </w:pPr>
      <w:r w:rsidRPr="00BC4221">
        <w:rPr>
          <w:i/>
          <w:sz w:val="18"/>
          <w:szCs w:val="18"/>
          <w:vertAlign w:val="superscript"/>
        </w:rPr>
        <w:t xml:space="preserve">a </w:t>
      </w:r>
      <w:r w:rsidR="0098273B" w:rsidRPr="00EE3355">
        <w:rPr>
          <w:i/>
          <w:sz w:val="18"/>
        </w:rPr>
        <w:t>p hodnota je upravena podle oblasti a trvání RA u všech cílových parametrů a dále pro výchozí hodnoty u všech spojitých cílových parametrů</w:t>
      </w:r>
    </w:p>
    <w:p w14:paraId="0BBB3EBD" w14:textId="77777777" w:rsidR="00222DE0" w:rsidRPr="00EE3355" w:rsidRDefault="0098273B" w:rsidP="00EA1CDF">
      <w:pPr>
        <w:widowControl/>
        <w:rPr>
          <w:i/>
          <w:sz w:val="18"/>
        </w:rPr>
      </w:pPr>
      <w:r w:rsidRPr="00BC4221">
        <w:rPr>
          <w:i/>
          <w:sz w:val="18"/>
          <w:szCs w:val="18"/>
          <w:vertAlign w:val="superscript"/>
        </w:rPr>
        <w:t>b</w:t>
      </w:r>
      <w:r w:rsidRPr="00EE3355">
        <w:rPr>
          <w:i/>
          <w:sz w:val="12"/>
        </w:rPr>
        <w:t xml:space="preserve"> </w:t>
      </w:r>
      <w:r w:rsidRPr="00EE3355">
        <w:rPr>
          <w:i/>
          <w:sz w:val="18"/>
        </w:rPr>
        <w:t>Označení non-responder se používá pro chybějící údaje. Multiplicita kontrolována s použitím metody dle Bonferroni-Holma</w:t>
      </w:r>
    </w:p>
    <w:p w14:paraId="2962871E" w14:textId="77777777" w:rsidR="00222DE0" w:rsidRPr="00EE3355" w:rsidRDefault="00222DE0" w:rsidP="00EA1CDF">
      <w:pPr>
        <w:pStyle w:val="a3"/>
        <w:widowControl/>
        <w:ind w:left="0"/>
        <w:rPr>
          <w:i/>
          <w:sz w:val="18"/>
        </w:rPr>
      </w:pPr>
    </w:p>
    <w:p w14:paraId="43E6550D" w14:textId="6DDA2653" w:rsidR="00222DE0" w:rsidRPr="00EE3355" w:rsidRDefault="0098273B" w:rsidP="00EA1CDF">
      <w:pPr>
        <w:pStyle w:val="a3"/>
        <w:widowControl/>
        <w:ind w:left="0"/>
      </w:pPr>
      <w:r w:rsidRPr="00EE3355">
        <w:t xml:space="preserve">Celkový klinický profil nežádoucích příhod byl mezi </w:t>
      </w:r>
      <w:r w:rsidR="006F1E69" w:rsidRPr="001879E9">
        <w:t>tocilizumab</w:t>
      </w:r>
      <w:r w:rsidR="006F1E69">
        <w:t xml:space="preserve">em </w:t>
      </w:r>
      <w:r w:rsidRPr="00EE3355">
        <w:t>i adalimumabem obdobný. Poměr pacientů se závažnými nežádoucími příhodami byl rovnoměrný mezi oběma léčebnými skupinami (</w:t>
      </w:r>
      <w:r w:rsidR="006F1E69" w:rsidRPr="001879E9">
        <w:t>tocilizumab</w:t>
      </w:r>
      <w:r w:rsidR="006F1E69">
        <w:t xml:space="preserve"> </w:t>
      </w:r>
      <w:r w:rsidRPr="00EE3355">
        <w:t>11,7 % vs. adalimumab 9,9 %). Nežádoucí účinky v rameni s</w:t>
      </w:r>
      <w:r w:rsidR="006F1E69">
        <w:t> </w:t>
      </w:r>
      <w:r w:rsidR="006F1E69" w:rsidRPr="001879E9">
        <w:t>tocilizumab</w:t>
      </w:r>
      <w:r w:rsidR="006F1E69">
        <w:t xml:space="preserve">em </w:t>
      </w:r>
      <w:r w:rsidRPr="00EE3355">
        <w:t xml:space="preserve">odpovídaly známému bezpečnostnímu profilu </w:t>
      </w:r>
      <w:r w:rsidR="006F1E69" w:rsidRPr="001879E9">
        <w:t>tocilizumab</w:t>
      </w:r>
      <w:r w:rsidR="006F1E69">
        <w:t xml:space="preserve">u </w:t>
      </w:r>
      <w:r w:rsidRPr="00EE3355">
        <w:t>a nežádoucí účinky byly hlášeny s podobnou četností ve srovnání s tabulkou 1. Vyšší incidence infekcí a infestací byla hlášena v rameni s</w:t>
      </w:r>
      <w:r w:rsidR="006F1E69">
        <w:t> </w:t>
      </w:r>
      <w:r w:rsidR="006F1E69" w:rsidRPr="001879E9">
        <w:t>tocilizumab</w:t>
      </w:r>
      <w:r w:rsidR="006F1E69">
        <w:t xml:space="preserve">em </w:t>
      </w:r>
      <w:r w:rsidRPr="00EE3355">
        <w:t xml:space="preserve">(48 % vs. 42 %), a to bez rozdílu v incidenci závažných infekcí (3,1 %). Obě studijní léčby vedly ke stejnému vzorci změn laboratorních bezpečnostních parametrů (snížení počtu neutrofilů a trombocytů, zvýšení ALT, AST a lipidů), rozsah těchto změn a četnost zaznamenaných abnormalit však byly vyšší u </w:t>
      </w:r>
      <w:r w:rsidR="006F1E69" w:rsidRPr="001879E9">
        <w:t>tocilizumab</w:t>
      </w:r>
      <w:r w:rsidR="006F1E69">
        <w:t xml:space="preserve">u </w:t>
      </w:r>
      <w:r w:rsidRPr="00EE3355">
        <w:t>ve srovnání s adalimumabem. U 4 (2,5 %) pacientů v rameni s</w:t>
      </w:r>
      <w:r w:rsidR="006F1E69">
        <w:t> </w:t>
      </w:r>
      <w:r w:rsidR="006F1E69" w:rsidRPr="001879E9">
        <w:t>tocilizumab</w:t>
      </w:r>
      <w:r w:rsidR="006F1E69">
        <w:t xml:space="preserve">em </w:t>
      </w:r>
      <w:r w:rsidRPr="00EE3355">
        <w:t>a 2 (1,2 %) pacientů v rameni s adalimumabem se objevil pokles počtu neutrofilů CTC stupně 3 nebo 4. U 11 (6,8 %) pacientů v rameni s</w:t>
      </w:r>
      <w:r w:rsidR="006F1E69">
        <w:t> </w:t>
      </w:r>
      <w:r w:rsidR="006F1E69" w:rsidRPr="001879E9">
        <w:t>tocilizumab</w:t>
      </w:r>
      <w:r w:rsidR="006F1E69">
        <w:t xml:space="preserve">em </w:t>
      </w:r>
      <w:r w:rsidRPr="00EE3355">
        <w:t>a 5 (3,1 %) pacientů v rameni s adalimumabem se objevilo zvýšení ALT CTC stupně 2 nebo vyšší. Průměrné zvýšení LDL od výchozích hodnot bylo 0,64 mmol/l (25 mg/dl) u pacientů v rameni s</w:t>
      </w:r>
      <w:r w:rsidR="006F1E69">
        <w:t> </w:t>
      </w:r>
      <w:r w:rsidR="006F1E69" w:rsidRPr="001879E9">
        <w:t>tocilizumab</w:t>
      </w:r>
      <w:r w:rsidR="006F1E69">
        <w:t xml:space="preserve">em </w:t>
      </w:r>
      <w:r w:rsidRPr="00EE3355">
        <w:t>a 0,19 mmol/l (7 mg/dl) u pacientů v rameni s adalimumabem. Bezpečnost pozorovaná v rameni s</w:t>
      </w:r>
      <w:r w:rsidR="006F1E69">
        <w:t> </w:t>
      </w:r>
      <w:r w:rsidR="006F1E69" w:rsidRPr="001879E9">
        <w:t>tocilizumab</w:t>
      </w:r>
      <w:r w:rsidR="006F1E69">
        <w:t xml:space="preserve">em </w:t>
      </w:r>
      <w:r w:rsidRPr="00EE3355">
        <w:t>byla obdobná jako známý bezpečnostní profil tocilizumabu a nebyly pozorovány žádné nové nebo neočekávané nežádoucí účinky (viz tabulka 1).</w:t>
      </w:r>
    </w:p>
    <w:p w14:paraId="7659B4AD" w14:textId="77777777" w:rsidR="00222DE0" w:rsidRPr="00EE3355" w:rsidRDefault="00222DE0" w:rsidP="00EA1CDF">
      <w:pPr>
        <w:pStyle w:val="a3"/>
        <w:widowControl/>
        <w:ind w:left="0"/>
      </w:pPr>
    </w:p>
    <w:p w14:paraId="6A7552B2" w14:textId="77777777" w:rsidR="00222DE0" w:rsidRPr="00EE3355" w:rsidRDefault="00B23DAE" w:rsidP="00EA1CDF">
      <w:pPr>
        <w:pStyle w:val="2"/>
        <w:widowControl/>
        <w:tabs>
          <w:tab w:val="left" w:pos="804"/>
        </w:tabs>
        <w:ind w:left="567" w:hanging="567"/>
      </w:pPr>
      <w:r w:rsidRPr="00EE3355">
        <w:t>5.2</w:t>
      </w:r>
      <w:r w:rsidRPr="00EE3355">
        <w:tab/>
      </w:r>
      <w:r w:rsidR="0098273B" w:rsidRPr="00EE3355">
        <w:t>Farmakokinetické vlastnosti</w:t>
      </w:r>
    </w:p>
    <w:p w14:paraId="31F26EA0" w14:textId="77777777" w:rsidR="00854EEF" w:rsidRPr="00EE3355" w:rsidRDefault="00854EEF" w:rsidP="00B75C94"/>
    <w:p w14:paraId="3C8AC28C" w14:textId="0552C80B" w:rsidR="00222DE0" w:rsidRPr="00EE3355" w:rsidRDefault="0098273B" w:rsidP="00EA1CDF">
      <w:pPr>
        <w:pStyle w:val="a3"/>
        <w:widowControl/>
        <w:ind w:left="0"/>
      </w:pPr>
      <w:r w:rsidRPr="00EE3355">
        <w:t xml:space="preserve">Farmakokinetika </w:t>
      </w:r>
      <w:r w:rsidR="006F1E69" w:rsidRPr="001879E9">
        <w:t>tocilizumab</w:t>
      </w:r>
      <w:r w:rsidR="006F1E69">
        <w:t xml:space="preserve">u </w:t>
      </w:r>
      <w:r w:rsidRPr="00EE3355">
        <w:t xml:space="preserve">je charakterizována nelineární eliminací, která je kombinací lineární clearance a eliminace podle Michaelise a Mentenové. Nelineární část eliminace </w:t>
      </w:r>
      <w:r w:rsidR="006F1E69" w:rsidRPr="001879E9">
        <w:t>tocilizumab</w:t>
      </w:r>
      <w:r w:rsidR="006F1E69">
        <w:t xml:space="preserve">u </w:t>
      </w:r>
      <w:r w:rsidRPr="00EE3355">
        <w:t xml:space="preserve">vede ke zvýšení expozice, které je větší než úměrné dávce. Farmakokinetické parametry </w:t>
      </w:r>
      <w:r w:rsidR="006F1E69" w:rsidRPr="001879E9">
        <w:t>tocilizumab</w:t>
      </w:r>
      <w:r w:rsidR="006F1E69">
        <w:t xml:space="preserve">u </w:t>
      </w:r>
      <w:r w:rsidRPr="00EE3355">
        <w:t xml:space="preserve">se v čase nemění. Vzhledem k závislosti celkové clearance na sérových koncentracích je i poločas </w:t>
      </w:r>
      <w:r w:rsidR="006F1E69" w:rsidRPr="001879E9">
        <w:t>tocilizumab</w:t>
      </w:r>
      <w:r w:rsidR="006F1E69">
        <w:t xml:space="preserve">u </w:t>
      </w:r>
      <w:r w:rsidRPr="00EE3355">
        <w:t>závislý na koncentraci a kolísá podle sérové koncentrace. Dosavadní populační farmakokinetické analýzy jakékoliv populace pacientů neprokázaly žádný vztah mezi zdánlivou clearance a přítomností protilátek proti lékům.</w:t>
      </w:r>
    </w:p>
    <w:p w14:paraId="32564735" w14:textId="77777777" w:rsidR="00222DE0" w:rsidRDefault="00222DE0" w:rsidP="00EA1CDF">
      <w:pPr>
        <w:pStyle w:val="a3"/>
        <w:widowControl/>
        <w:ind w:left="0"/>
        <w:rPr>
          <w:rFonts w:eastAsia="맑은 고딕"/>
          <w:lang w:eastAsia="ko-KR"/>
        </w:rPr>
      </w:pPr>
    </w:p>
    <w:p w14:paraId="2334826E" w14:textId="2B2B9210" w:rsidR="00FA51A7" w:rsidRPr="00FA51A7" w:rsidRDefault="00FA51A7" w:rsidP="00EA1CDF">
      <w:pPr>
        <w:pStyle w:val="a3"/>
        <w:widowControl/>
        <w:ind w:left="0"/>
        <w:rPr>
          <w:rFonts w:eastAsia="맑은 고딕"/>
          <w:lang w:eastAsia="ko-KR"/>
        </w:rPr>
      </w:pPr>
      <w:r>
        <w:rPr>
          <w:u w:val="single"/>
        </w:rPr>
        <w:t>Pacienti s RA</w:t>
      </w:r>
    </w:p>
    <w:p w14:paraId="32F687A2" w14:textId="77777777" w:rsidR="00222DE0" w:rsidRDefault="0098273B" w:rsidP="00EA1CDF">
      <w:pPr>
        <w:pStyle w:val="a3"/>
        <w:widowControl/>
        <w:ind w:left="0"/>
        <w:rPr>
          <w:u w:val="single"/>
        </w:rPr>
      </w:pPr>
      <w:r w:rsidRPr="00EE3355">
        <w:rPr>
          <w:u w:val="single"/>
        </w:rPr>
        <w:t>Intravenózní podání</w:t>
      </w:r>
    </w:p>
    <w:p w14:paraId="36BE215A" w14:textId="164618B5" w:rsidR="00222DE0" w:rsidRPr="00EE3355" w:rsidRDefault="0098273B" w:rsidP="00EA1CDF">
      <w:pPr>
        <w:pStyle w:val="a3"/>
        <w:widowControl/>
        <w:ind w:left="0"/>
      </w:pPr>
      <w:r w:rsidRPr="00EE3355">
        <w:t xml:space="preserve">Farmakokinetika </w:t>
      </w:r>
      <w:r w:rsidR="006F1E69" w:rsidRPr="001879E9">
        <w:t>tocilizumab</w:t>
      </w:r>
      <w:r w:rsidR="006F1E69">
        <w:t xml:space="preserve">u </w:t>
      </w:r>
      <w:r w:rsidRPr="00EE3355">
        <w:t xml:space="preserve">byla určena za pomoci populace farmakokinetických analýz databází složených z 3552 pacientů s RA léčených podáním hodinové infuze 4 nebo 8 mg/kg </w:t>
      </w:r>
      <w:r w:rsidR="006F1E69" w:rsidRPr="001879E9">
        <w:t>tocilizumab</w:t>
      </w:r>
      <w:r w:rsidR="006F1E69">
        <w:t xml:space="preserve">u </w:t>
      </w:r>
      <w:r w:rsidRPr="00EE3355">
        <w:t>každé 4 týdny po dobu 24 týdnů nebo podáním 162 mg tocilizumabu subkutánně buď jednou týdně, nebo každý druhý týden po dobu 24 týdnů.</w:t>
      </w:r>
    </w:p>
    <w:p w14:paraId="371248D2" w14:textId="77777777" w:rsidR="00222DE0" w:rsidRPr="00EE3355" w:rsidRDefault="00222DE0" w:rsidP="00EA1CDF">
      <w:pPr>
        <w:widowControl/>
      </w:pPr>
    </w:p>
    <w:p w14:paraId="538072EF" w14:textId="16627C7E" w:rsidR="00222DE0" w:rsidRPr="00EE3355" w:rsidRDefault="0098273B" w:rsidP="00C959DC">
      <w:pPr>
        <w:pStyle w:val="a3"/>
        <w:widowControl/>
        <w:ind w:left="0"/>
      </w:pPr>
      <w:r w:rsidRPr="00EE3355">
        <w:t xml:space="preserve">Následující parametry (předpokládaný průměr </w:t>
      </w:r>
      <w:r w:rsidRPr="00EE3355">
        <w:rPr>
          <w:rFonts w:ascii="Symbol" w:hAnsi="Symbol"/>
        </w:rPr>
        <w:t></w:t>
      </w:r>
      <w:r w:rsidRPr="00EE3355">
        <w:t xml:space="preserve"> SD, standardní odchylka) se odhadly pro dávku 8 mg/kg </w:t>
      </w:r>
      <w:r w:rsidR="006F1E69" w:rsidRPr="001879E9">
        <w:t>tocilizumab</w:t>
      </w:r>
      <w:r w:rsidR="006F1E69">
        <w:t xml:space="preserve">u </w:t>
      </w:r>
      <w:r w:rsidRPr="00EE3355">
        <w:t xml:space="preserve">podávanou jednou za 4 týdny: plochy pod křivkou plasmatických koncentrací (AUC) v ustáleném stavu = 38 000 </w:t>
      </w:r>
      <w:r w:rsidRPr="00EE3355">
        <w:rPr>
          <w:rFonts w:ascii="Symbol" w:hAnsi="Symbol"/>
        </w:rPr>
        <w:t></w:t>
      </w:r>
      <w:r w:rsidRPr="00EE3355">
        <w:t xml:space="preserve"> 13 000 h•µg/ml, minimální koncentrace</w:t>
      </w:r>
      <w:r w:rsidR="00854EEF" w:rsidRPr="00EE3355">
        <w:t xml:space="preserve"> </w:t>
      </w:r>
      <w:r w:rsidRPr="00EE3355">
        <w:t>(C</w:t>
      </w:r>
      <w:r w:rsidR="00C5127F" w:rsidRPr="00EE3355">
        <w:rPr>
          <w:vertAlign w:val="subscript"/>
        </w:rPr>
        <w:t>min</w:t>
      </w:r>
      <w:r w:rsidRPr="00EE3355">
        <w:t xml:space="preserve">) = 15,9 </w:t>
      </w:r>
      <w:r w:rsidRPr="00EE3355">
        <w:rPr>
          <w:rFonts w:ascii="Symbol" w:hAnsi="Symbol"/>
        </w:rPr>
        <w:t></w:t>
      </w:r>
      <w:r w:rsidRPr="00EE3355">
        <w:t xml:space="preserve"> 13,1 </w:t>
      </w:r>
      <w:r w:rsidRPr="00EE3355">
        <w:rPr>
          <w:rFonts w:ascii="Symbol" w:hAnsi="Symbol"/>
        </w:rPr>
        <w:t></w:t>
      </w:r>
      <w:r w:rsidRPr="00EE3355">
        <w:t>g/ml a maximální koncentrace (C</w:t>
      </w:r>
      <w:r w:rsidRPr="00732B29">
        <w:rPr>
          <w:vertAlign w:val="subscript"/>
        </w:rPr>
        <w:t>max</w:t>
      </w:r>
      <w:r w:rsidRPr="00EE3355">
        <w:t xml:space="preserve">) = 182 </w:t>
      </w:r>
      <w:r w:rsidRPr="00EE3355">
        <w:rPr>
          <w:rFonts w:ascii="Symbol" w:hAnsi="Symbol"/>
        </w:rPr>
        <w:t></w:t>
      </w:r>
      <w:r w:rsidRPr="00EE3355">
        <w:t xml:space="preserve"> 50,4 µg/ml a kumulační poměry pro AUC a C</w:t>
      </w:r>
      <w:r w:rsidRPr="00732B29">
        <w:rPr>
          <w:vertAlign w:val="subscript"/>
        </w:rPr>
        <w:t>max</w:t>
      </w:r>
      <w:r w:rsidRPr="00EE3355">
        <w:rPr>
          <w:sz w:val="14"/>
        </w:rPr>
        <w:t xml:space="preserve"> </w:t>
      </w:r>
      <w:r w:rsidRPr="00EE3355">
        <w:t>byly malé, 1,32 resp. 1,09. Akumulační poměr byl vyšší u C</w:t>
      </w:r>
      <w:r w:rsidR="00C5127F" w:rsidRPr="00EE3355">
        <w:rPr>
          <w:vertAlign w:val="subscript"/>
        </w:rPr>
        <w:t>min</w:t>
      </w:r>
      <w:r w:rsidRPr="00EE3355">
        <w:rPr>
          <w:sz w:val="14"/>
        </w:rPr>
        <w:t xml:space="preserve"> </w:t>
      </w:r>
      <w:r w:rsidRPr="00EE3355">
        <w:t>(2,49), což bylo očekáváno na základě přispění nelineární clearance při nižších koncentracích. Ustálený stav po prvním podání byl dosažen po 8 týdnech u AUC a po 20 týdnech u C</w:t>
      </w:r>
      <w:r w:rsidR="00C5127F" w:rsidRPr="00EE3355">
        <w:rPr>
          <w:vertAlign w:val="subscript"/>
        </w:rPr>
        <w:t>min</w:t>
      </w:r>
      <w:r w:rsidRPr="00EE3355">
        <w:t>. AUC, C</w:t>
      </w:r>
      <w:r w:rsidR="00C5127F" w:rsidRPr="00EE3355">
        <w:rPr>
          <w:vertAlign w:val="subscript"/>
        </w:rPr>
        <w:t>min</w:t>
      </w:r>
      <w:r w:rsidRPr="00EE3355">
        <w:rPr>
          <w:sz w:val="14"/>
        </w:rPr>
        <w:t xml:space="preserve"> </w:t>
      </w:r>
      <w:r w:rsidRPr="00EE3355">
        <w:t>a C</w:t>
      </w:r>
      <w:r w:rsidR="00C5127F" w:rsidRPr="00EE3355">
        <w:rPr>
          <w:vertAlign w:val="subscript"/>
        </w:rPr>
        <w:t>max</w:t>
      </w:r>
      <w:r w:rsidRPr="00EE3355">
        <w:rPr>
          <w:sz w:val="14"/>
        </w:rPr>
        <w:t xml:space="preserve"> </w:t>
      </w:r>
      <w:r w:rsidR="006F1E69" w:rsidRPr="001879E9">
        <w:t>tocilizumab</w:t>
      </w:r>
      <w:r w:rsidR="006F1E69">
        <w:t xml:space="preserve">u </w:t>
      </w:r>
      <w:r w:rsidRPr="00EE3355">
        <w:t xml:space="preserve">vzrůstalo se stoupající tělesnou hmotností. Při tělesné hmotnosti ≥ 100 kg byl předpovídaný průměr (± SD) AUC </w:t>
      </w:r>
      <w:r w:rsidR="006F1E69" w:rsidRPr="001879E9">
        <w:t>tocilizumab</w:t>
      </w:r>
      <w:r w:rsidR="006F1E69">
        <w:t xml:space="preserve">u </w:t>
      </w:r>
      <w:r w:rsidRPr="00EE3355">
        <w:t>v ustáleném stavu 50 000 ± 16 800 μg•h/ml, C</w:t>
      </w:r>
      <w:r w:rsidR="00C5127F" w:rsidRPr="00EE3355">
        <w:rPr>
          <w:vertAlign w:val="subscript"/>
        </w:rPr>
        <w:t>min</w:t>
      </w:r>
      <w:r w:rsidRPr="00EE3355">
        <w:rPr>
          <w:sz w:val="14"/>
        </w:rPr>
        <w:t xml:space="preserve"> </w:t>
      </w:r>
      <w:r w:rsidR="006F1E69" w:rsidRPr="001879E9">
        <w:t>tocilizumab</w:t>
      </w:r>
      <w:r w:rsidR="006F1E69">
        <w:t>u</w:t>
      </w:r>
      <w:r w:rsidRPr="00EE3355">
        <w:t xml:space="preserve"> 24,4 ± 17,5 μg/ml a C</w:t>
      </w:r>
      <w:r w:rsidR="00C5127F" w:rsidRPr="00EE3355">
        <w:rPr>
          <w:vertAlign w:val="subscript"/>
        </w:rPr>
        <w:t>max</w:t>
      </w:r>
      <w:r w:rsidRPr="00EE3355">
        <w:rPr>
          <w:sz w:val="14"/>
        </w:rPr>
        <w:t xml:space="preserve"> </w:t>
      </w:r>
      <w:r w:rsidRPr="00EE3355">
        <w:t xml:space="preserve"> 226 ± 50,3 μg/ml, což jsou vyšší hodnoty, než hodnoty při průměrné expozici u souboru pacientů (tj. všechny tělesné hmotnosti) uvedené výše. Křivka odpovědi na dávku se u </w:t>
      </w:r>
      <w:r w:rsidR="006F1E69" w:rsidRPr="001879E9">
        <w:t>tocilizumab</w:t>
      </w:r>
      <w:r w:rsidR="006F1E69">
        <w:t>u</w:t>
      </w:r>
      <w:r w:rsidRPr="00EE3355">
        <w:t xml:space="preserve"> při vyšších expozicích zplošťuje, což vede k nižšímu nárůstu účinnosti pro každé další navýšení koncentrace </w:t>
      </w:r>
      <w:r w:rsidR="006F1E69" w:rsidRPr="001879E9">
        <w:t>tocilizumab</w:t>
      </w:r>
      <w:r w:rsidR="006F1E69">
        <w:t>u</w:t>
      </w:r>
      <w:r w:rsidRPr="00EE3355">
        <w:t xml:space="preserve">, takže u pacientů léčených </w:t>
      </w:r>
      <w:r w:rsidR="006F1E69" w:rsidRPr="001879E9">
        <w:t>tocilizumab</w:t>
      </w:r>
      <w:r w:rsidR="006F1E69">
        <w:t xml:space="preserve">em </w:t>
      </w:r>
      <w:r w:rsidRPr="00EE3355">
        <w:t>v dávce &gt; 800 mg nedochází již k žádnému smysluplnému zvýšení účinnosti. Proto nejsou dávky přesahující 800 mg/infuzi doporučovány (viz bod 4.2).</w:t>
      </w:r>
    </w:p>
    <w:p w14:paraId="01C62214" w14:textId="77777777" w:rsidR="00854EEF" w:rsidRPr="00EE3355" w:rsidRDefault="00854EEF" w:rsidP="00EA1CDF">
      <w:pPr>
        <w:pStyle w:val="a3"/>
        <w:widowControl/>
        <w:ind w:left="0"/>
        <w:jc w:val="both"/>
      </w:pPr>
    </w:p>
    <w:p w14:paraId="29161848" w14:textId="77777777" w:rsidR="00222DE0" w:rsidRPr="00EE3355" w:rsidRDefault="0098273B" w:rsidP="00EA1CDF">
      <w:pPr>
        <w:pStyle w:val="a3"/>
        <w:widowControl/>
        <w:ind w:left="0"/>
      </w:pPr>
      <w:r w:rsidRPr="00EE3355">
        <w:rPr>
          <w:u w:val="single"/>
        </w:rPr>
        <w:t>Distribuce</w:t>
      </w:r>
    </w:p>
    <w:p w14:paraId="4FAE52C8" w14:textId="77777777" w:rsidR="00222DE0" w:rsidRPr="00EE3355" w:rsidRDefault="0098273B" w:rsidP="00EA1CDF">
      <w:pPr>
        <w:pStyle w:val="a3"/>
        <w:widowControl/>
        <w:ind w:left="0"/>
      </w:pPr>
      <w:r w:rsidRPr="00EE3355">
        <w:t>U pacientů s RA byl centrální distribuční objem 3,72 l a periferní distribuční objem 3,35 l, což vedlo k distribučnímu objemu 7,07 l v ustáleném stavu.</w:t>
      </w:r>
    </w:p>
    <w:p w14:paraId="6DAA9E37" w14:textId="77777777" w:rsidR="00854EEF" w:rsidRPr="00EE3355" w:rsidRDefault="00854EEF" w:rsidP="00EA1CDF">
      <w:pPr>
        <w:pStyle w:val="a3"/>
        <w:widowControl/>
        <w:ind w:left="0"/>
      </w:pPr>
    </w:p>
    <w:p w14:paraId="4584A2D6" w14:textId="77777777" w:rsidR="00222DE0" w:rsidRPr="00EE3355" w:rsidRDefault="0098273B" w:rsidP="00EA1CDF">
      <w:pPr>
        <w:pStyle w:val="a3"/>
        <w:keepNext/>
        <w:widowControl/>
        <w:ind w:left="0"/>
      </w:pPr>
      <w:r w:rsidRPr="00EE3355">
        <w:rPr>
          <w:u w:val="single"/>
        </w:rPr>
        <w:t>Eliminace</w:t>
      </w:r>
    </w:p>
    <w:p w14:paraId="0C67B327" w14:textId="0216A20F" w:rsidR="00222DE0" w:rsidRPr="00EE3355" w:rsidRDefault="0098273B" w:rsidP="00EA1CDF">
      <w:pPr>
        <w:pStyle w:val="a3"/>
        <w:keepNext/>
        <w:widowControl/>
        <w:ind w:left="0"/>
      </w:pPr>
      <w:r w:rsidRPr="00EE3355">
        <w:t xml:space="preserve">Po intravenózním podání prochází </w:t>
      </w:r>
      <w:r w:rsidR="006F1E69" w:rsidRPr="001879E9">
        <w:t>tocilizumab</w:t>
      </w:r>
      <w:r w:rsidR="006F1E69">
        <w:t xml:space="preserve"> </w:t>
      </w:r>
      <w:r w:rsidRPr="00EE3355">
        <w:t xml:space="preserve">bifázickou eliminací z cirkulace. Celková clearance </w:t>
      </w:r>
      <w:r w:rsidR="006F1E69" w:rsidRPr="001879E9">
        <w:t>tocilizumab</w:t>
      </w:r>
      <w:r w:rsidR="006F1E69">
        <w:t xml:space="preserve">u </w:t>
      </w:r>
      <w:r w:rsidRPr="00EE3355">
        <w:t xml:space="preserve">byla závislá na koncentraci a je součtem lineární a nelineární clearance. Lineární clearance byla odhadnuta jako parametr v populaci farmakokinetických analýz a byla 9,5 ml/h. Na koncentraci závislá nelineární clearance hraje hlavní roli ve snižování koncentrací </w:t>
      </w:r>
      <w:r w:rsidR="006F1E69" w:rsidRPr="001879E9">
        <w:t>tocilizumab</w:t>
      </w:r>
      <w:r w:rsidR="006F1E69">
        <w:t>u</w:t>
      </w:r>
      <w:r w:rsidRPr="00EE3355">
        <w:t xml:space="preserve">. Jakmile je cesta nelineární clearance jednou saturována při vyšších koncentracích </w:t>
      </w:r>
      <w:r w:rsidR="006F1E69" w:rsidRPr="001879E9">
        <w:t>tocilizumab</w:t>
      </w:r>
      <w:r w:rsidR="006F1E69">
        <w:t>u</w:t>
      </w:r>
      <w:r w:rsidRPr="00EE3355">
        <w:t>, je clearance určována hlavně lineární clearancí.</w:t>
      </w:r>
    </w:p>
    <w:p w14:paraId="0150969E" w14:textId="77777777" w:rsidR="00854EEF" w:rsidRPr="00EE3355" w:rsidRDefault="00854EEF" w:rsidP="00EA1CDF">
      <w:pPr>
        <w:pStyle w:val="a3"/>
        <w:widowControl/>
        <w:ind w:left="0"/>
      </w:pPr>
    </w:p>
    <w:p w14:paraId="0BAEEEC3" w14:textId="3953D624" w:rsidR="00222DE0" w:rsidRPr="00EE3355" w:rsidRDefault="0098273B" w:rsidP="00EA1CDF">
      <w:pPr>
        <w:pStyle w:val="a3"/>
        <w:widowControl/>
        <w:ind w:left="0"/>
      </w:pPr>
      <w:r w:rsidRPr="00EE3355">
        <w:t>Poločas (t</w:t>
      </w:r>
      <w:r w:rsidRPr="00EE3355">
        <w:rPr>
          <w:sz w:val="14"/>
        </w:rPr>
        <w:t>1/2</w:t>
      </w:r>
      <w:r w:rsidRPr="00EE3355">
        <w:t xml:space="preserve">) </w:t>
      </w:r>
      <w:r w:rsidR="006F1E69" w:rsidRPr="001879E9">
        <w:t>tocilizumab</w:t>
      </w:r>
      <w:r w:rsidR="006F1E69">
        <w:t xml:space="preserve">u </w:t>
      </w:r>
      <w:r w:rsidRPr="00EE3355">
        <w:t>je závislý na koncentraci. V ustáleném stavu po podání dávky</w:t>
      </w:r>
      <w:r w:rsidR="00854EEF" w:rsidRPr="00EE3355">
        <w:t xml:space="preserve"> </w:t>
      </w:r>
      <w:r w:rsidRPr="00EE3355">
        <w:t>8 mg/kg každé 4 týdny efektivní t</w:t>
      </w:r>
      <w:r w:rsidRPr="00EE3355">
        <w:rPr>
          <w:sz w:val="14"/>
        </w:rPr>
        <w:t xml:space="preserve">1/2 </w:t>
      </w:r>
      <w:r w:rsidRPr="00EE3355">
        <w:t>klesá s poklesem koncentrace během dávkovacího intervalu od 18 do 6 dní.</w:t>
      </w:r>
    </w:p>
    <w:p w14:paraId="510A6DA1" w14:textId="77777777" w:rsidR="00854EEF" w:rsidRPr="00EE3355" w:rsidRDefault="00854EEF" w:rsidP="00EA1CDF">
      <w:pPr>
        <w:pStyle w:val="a3"/>
        <w:widowControl/>
        <w:ind w:left="0"/>
      </w:pPr>
    </w:p>
    <w:p w14:paraId="181CA713" w14:textId="77777777" w:rsidR="00222DE0" w:rsidRPr="00EE3355" w:rsidRDefault="0098273B" w:rsidP="00EA1CDF">
      <w:pPr>
        <w:pStyle w:val="a3"/>
        <w:widowControl/>
        <w:ind w:left="0"/>
      </w:pPr>
      <w:r w:rsidRPr="00EE3355">
        <w:rPr>
          <w:u w:val="single"/>
        </w:rPr>
        <w:t>Linearita</w:t>
      </w:r>
    </w:p>
    <w:p w14:paraId="1E423D26" w14:textId="604B01DD" w:rsidR="00222DE0" w:rsidRPr="00EE3355" w:rsidRDefault="0098273B" w:rsidP="00EA1CDF">
      <w:pPr>
        <w:pStyle w:val="a3"/>
        <w:widowControl/>
        <w:ind w:left="0"/>
      </w:pPr>
      <w:r w:rsidRPr="00EE3355">
        <w:t xml:space="preserve">Farmakokinetické parametry </w:t>
      </w:r>
      <w:r w:rsidR="006F1E69" w:rsidRPr="001879E9">
        <w:t>tocilizumab</w:t>
      </w:r>
      <w:r w:rsidR="006F1E69">
        <w:t xml:space="preserve">u </w:t>
      </w:r>
      <w:r w:rsidRPr="00EE3355">
        <w:t>se postupem času nezměnily. Při dávkách 4 a</w:t>
      </w:r>
      <w:r w:rsidR="00854EEF" w:rsidRPr="00EE3355">
        <w:t xml:space="preserve"> </w:t>
      </w:r>
      <w:r w:rsidRPr="00EE3355">
        <w:t>8 mg/kg podávaných jednou za 4 týdny se pozorovalo vyšší než dávce úměrné zvýšení hodnoty AUC a C</w:t>
      </w:r>
      <w:r w:rsidR="00C5127F" w:rsidRPr="00EE3355">
        <w:rPr>
          <w:vertAlign w:val="subscript"/>
        </w:rPr>
        <w:t>min</w:t>
      </w:r>
      <w:r w:rsidRPr="00EE3355">
        <w:rPr>
          <w:sz w:val="14"/>
        </w:rPr>
        <w:t xml:space="preserve">. </w:t>
      </w:r>
      <w:r w:rsidRPr="00EE3355">
        <w:t>Hodnota C</w:t>
      </w:r>
      <w:r w:rsidR="00C5127F" w:rsidRPr="00EE3355">
        <w:rPr>
          <w:vertAlign w:val="subscript"/>
        </w:rPr>
        <w:t>max</w:t>
      </w:r>
      <w:r w:rsidRPr="00EE3355">
        <w:rPr>
          <w:sz w:val="14"/>
        </w:rPr>
        <w:t xml:space="preserve"> </w:t>
      </w:r>
      <w:r w:rsidRPr="00EE3355">
        <w:t>se zvyšovala úměrně dávce. V ustáleném stavu byla při dávce 8 mg/kg předpokládaná hodnota AUC 3,2 x a hodnota C</w:t>
      </w:r>
      <w:r w:rsidR="00C5127F" w:rsidRPr="00EE3355">
        <w:rPr>
          <w:vertAlign w:val="subscript"/>
        </w:rPr>
        <w:t>min</w:t>
      </w:r>
      <w:r w:rsidRPr="00EE3355">
        <w:rPr>
          <w:sz w:val="14"/>
        </w:rPr>
        <w:t xml:space="preserve"> </w:t>
      </w:r>
      <w:r w:rsidRPr="00EE3355">
        <w:t>30 x vyšší než při dávce 4 mg/kg.</w:t>
      </w:r>
    </w:p>
    <w:p w14:paraId="6E30ABF3" w14:textId="77777777" w:rsidR="00222DE0" w:rsidRPr="00EE3355" w:rsidRDefault="00222DE0" w:rsidP="00EA1CDF">
      <w:pPr>
        <w:pStyle w:val="a3"/>
        <w:widowControl/>
        <w:ind w:left="0"/>
      </w:pPr>
    </w:p>
    <w:p w14:paraId="5C417E9D" w14:textId="77777777" w:rsidR="00222DE0" w:rsidRPr="00EE3355" w:rsidRDefault="0098273B" w:rsidP="00EA1CDF">
      <w:pPr>
        <w:pStyle w:val="a3"/>
        <w:widowControl/>
        <w:ind w:left="0"/>
      </w:pPr>
      <w:r w:rsidRPr="00EE3355">
        <w:rPr>
          <w:u w:val="single"/>
        </w:rPr>
        <w:t>Subkutánní podání</w:t>
      </w:r>
    </w:p>
    <w:p w14:paraId="57A33842" w14:textId="38936383" w:rsidR="00222DE0" w:rsidRPr="00EE3355" w:rsidRDefault="0098273B" w:rsidP="00EA1CDF">
      <w:pPr>
        <w:pStyle w:val="a3"/>
        <w:widowControl/>
        <w:ind w:left="0"/>
      </w:pPr>
      <w:r w:rsidRPr="00EE3355">
        <w:t xml:space="preserve">Farmakokinetika </w:t>
      </w:r>
      <w:r w:rsidR="006F1E69" w:rsidRPr="001879E9">
        <w:t>tocilizumab</w:t>
      </w:r>
      <w:r w:rsidR="006F1E69">
        <w:t xml:space="preserve">u </w:t>
      </w:r>
      <w:r w:rsidRPr="00EE3355">
        <w:t>byla určena za pomoci farmakokinetické analýzy populace v databázi složené z 3552 pacientů s RA léčených podáním 162 mg subkutánně každý týden, 162 mg subkutánně každý druhý týden a 4 nebo 8 mg/kg intravenózně každé 4 týdny po dobu 24 týdnů.</w:t>
      </w:r>
    </w:p>
    <w:p w14:paraId="2BB2130B" w14:textId="77777777" w:rsidR="00222DE0" w:rsidRPr="00EE3355" w:rsidRDefault="00222DE0" w:rsidP="00EA1CDF">
      <w:pPr>
        <w:pStyle w:val="a3"/>
        <w:widowControl/>
        <w:ind w:left="0"/>
      </w:pPr>
    </w:p>
    <w:p w14:paraId="69916961" w14:textId="2E2B0C28" w:rsidR="00222DE0" w:rsidRPr="00EE3355" w:rsidRDefault="0098273B" w:rsidP="00EA1CDF">
      <w:pPr>
        <w:pStyle w:val="a3"/>
        <w:widowControl/>
        <w:ind w:left="0"/>
      </w:pPr>
      <w:r w:rsidRPr="00EE3355">
        <w:t xml:space="preserve">Farmakokinetické parametry </w:t>
      </w:r>
      <w:r w:rsidR="006F1E69" w:rsidRPr="001879E9">
        <w:t>tocilizumab</w:t>
      </w:r>
      <w:r w:rsidR="006F1E69">
        <w:t xml:space="preserve">u </w:t>
      </w:r>
      <w:r w:rsidRPr="00EE3355">
        <w:t>byly s časem neměnné. U dávky 162 mg podané každý týden byl předpokládaný průměr (</w:t>
      </w:r>
      <w:r w:rsidRPr="00EE3355">
        <w:rPr>
          <w:rFonts w:ascii="Symbol" w:hAnsi="Symbol"/>
        </w:rPr>
        <w:t></w:t>
      </w:r>
      <w:r w:rsidRPr="00EE3355">
        <w:t xml:space="preserve"> SD) AUC v ustáleném stavu za 1. týden 7 970 ± 3 432 h•µg/ml, C</w:t>
      </w:r>
      <w:r w:rsidR="00C5127F" w:rsidRPr="00EE3355">
        <w:rPr>
          <w:vertAlign w:val="subscript"/>
        </w:rPr>
        <w:t>min</w:t>
      </w:r>
      <w:r w:rsidRPr="00EE3355">
        <w:rPr>
          <w:sz w:val="14"/>
        </w:rPr>
        <w:t xml:space="preserve"> </w:t>
      </w:r>
      <w:r w:rsidR="006F1E69" w:rsidRPr="001879E9">
        <w:t>tocilizumab</w:t>
      </w:r>
      <w:r w:rsidR="006F1E69">
        <w:t>u</w:t>
      </w:r>
      <w:r w:rsidRPr="00EE3355">
        <w:t xml:space="preserve"> 43,0 ± 19,8 µg/ml a C</w:t>
      </w:r>
      <w:r w:rsidR="00C5127F" w:rsidRPr="00EE3355">
        <w:rPr>
          <w:vertAlign w:val="subscript"/>
        </w:rPr>
        <w:t>max</w:t>
      </w:r>
      <w:r w:rsidRPr="00EE3355">
        <w:rPr>
          <w:sz w:val="14"/>
        </w:rPr>
        <w:t xml:space="preserve"> </w:t>
      </w:r>
      <w:r w:rsidR="003E54FF" w:rsidRPr="001879E9">
        <w:t>tocilizumab</w:t>
      </w:r>
      <w:r w:rsidR="003E54FF">
        <w:t xml:space="preserve">u </w:t>
      </w:r>
      <w:r w:rsidRPr="00EE3355">
        <w:t>49,8 ± 21,0 µg/ml. Akumulační poměry byly pro AUC 6,32, C</w:t>
      </w:r>
      <w:r w:rsidR="00C5127F" w:rsidRPr="00EE3355">
        <w:rPr>
          <w:vertAlign w:val="subscript"/>
        </w:rPr>
        <w:t>min</w:t>
      </w:r>
      <w:r w:rsidRPr="00EE3355">
        <w:rPr>
          <w:sz w:val="14"/>
        </w:rPr>
        <w:t xml:space="preserve"> </w:t>
      </w:r>
      <w:r w:rsidRPr="00EE3355">
        <w:t>6,30 a C</w:t>
      </w:r>
      <w:r w:rsidR="00C5127F" w:rsidRPr="00EE3355">
        <w:rPr>
          <w:vertAlign w:val="subscript"/>
        </w:rPr>
        <w:t>max</w:t>
      </w:r>
      <w:r w:rsidRPr="00EE3355">
        <w:rPr>
          <w:sz w:val="14"/>
        </w:rPr>
        <w:t xml:space="preserve"> </w:t>
      </w:r>
      <w:r w:rsidRPr="00EE3355">
        <w:t>5,27. Ustálený stav byl dosažen po 12 týdnech u AUC, C</w:t>
      </w:r>
      <w:r w:rsidR="00C5127F" w:rsidRPr="00EE3355">
        <w:rPr>
          <w:vertAlign w:val="subscript"/>
        </w:rPr>
        <w:t>min</w:t>
      </w:r>
      <w:r w:rsidRPr="00EE3355">
        <w:rPr>
          <w:sz w:val="14"/>
        </w:rPr>
        <w:t xml:space="preserve"> </w:t>
      </w:r>
      <w:r w:rsidRPr="00EE3355">
        <w:t>a C</w:t>
      </w:r>
      <w:r w:rsidR="00C5127F" w:rsidRPr="00EE3355">
        <w:rPr>
          <w:vertAlign w:val="subscript"/>
        </w:rPr>
        <w:t>max</w:t>
      </w:r>
      <w:r w:rsidRPr="00EE3355">
        <w:t>.</w:t>
      </w:r>
    </w:p>
    <w:p w14:paraId="0A84AD05" w14:textId="77777777" w:rsidR="00854EEF" w:rsidRPr="00EE3355" w:rsidRDefault="00854EEF" w:rsidP="00EA1CDF">
      <w:pPr>
        <w:pStyle w:val="a3"/>
        <w:widowControl/>
        <w:ind w:left="0"/>
      </w:pPr>
    </w:p>
    <w:p w14:paraId="1EEE592F" w14:textId="38B771AB" w:rsidR="00222DE0" w:rsidRPr="00EE3355" w:rsidRDefault="0098273B" w:rsidP="00EA1CDF">
      <w:pPr>
        <w:pStyle w:val="a3"/>
        <w:widowControl/>
        <w:ind w:left="0"/>
      </w:pPr>
      <w:r w:rsidRPr="00EE3355">
        <w:t>U dávky 162 mg podané každý druhý týden byl předpokládaný průměr (</w:t>
      </w:r>
      <w:r w:rsidRPr="00EE3355">
        <w:rPr>
          <w:rFonts w:ascii="Symbol" w:hAnsi="Symbol"/>
        </w:rPr>
        <w:t></w:t>
      </w:r>
      <w:r w:rsidRPr="00EE3355">
        <w:t xml:space="preserve"> SD) AUC v ustáleném stavu za 2. týden 3 430 ± 2 660 h•µg/ml, C</w:t>
      </w:r>
      <w:r w:rsidR="00C5127F" w:rsidRPr="00EE3355">
        <w:rPr>
          <w:vertAlign w:val="subscript"/>
        </w:rPr>
        <w:t>min</w:t>
      </w:r>
      <w:r w:rsidRPr="00EE3355">
        <w:rPr>
          <w:sz w:val="14"/>
        </w:rPr>
        <w:t xml:space="preserve"> </w:t>
      </w:r>
      <w:r w:rsidR="006F1E69" w:rsidRPr="001879E9">
        <w:t>tocilizumab</w:t>
      </w:r>
      <w:r w:rsidR="006F1E69">
        <w:t>u</w:t>
      </w:r>
      <w:r w:rsidRPr="00EE3355">
        <w:t xml:space="preserve"> 5,7 ± 6,8 µg/ml a C</w:t>
      </w:r>
      <w:r w:rsidR="00C5127F" w:rsidRPr="00EE3355">
        <w:rPr>
          <w:vertAlign w:val="subscript"/>
        </w:rPr>
        <w:t>max</w:t>
      </w:r>
      <w:r w:rsidRPr="00EE3355">
        <w:rPr>
          <w:sz w:val="14"/>
        </w:rPr>
        <w:t xml:space="preserve"> </w:t>
      </w:r>
      <w:r w:rsidR="006F1E69" w:rsidRPr="001879E9">
        <w:t>tocilizumab</w:t>
      </w:r>
      <w:r w:rsidR="006F1E69">
        <w:t xml:space="preserve">u </w:t>
      </w:r>
      <w:r w:rsidRPr="00EE3355">
        <w:t>13,2 ± 8,8 µg/ml. Akumulační poměry byly pro AUC 2,67, C</w:t>
      </w:r>
      <w:r w:rsidR="00C5127F" w:rsidRPr="00EE3355">
        <w:rPr>
          <w:vertAlign w:val="subscript"/>
        </w:rPr>
        <w:t>min</w:t>
      </w:r>
      <w:r w:rsidRPr="00EE3355">
        <w:rPr>
          <w:sz w:val="14"/>
        </w:rPr>
        <w:t xml:space="preserve"> </w:t>
      </w:r>
      <w:r w:rsidRPr="00EE3355">
        <w:t>6,02 a C</w:t>
      </w:r>
      <w:r w:rsidR="00C5127F" w:rsidRPr="00EE3355">
        <w:rPr>
          <w:vertAlign w:val="subscript"/>
        </w:rPr>
        <w:t>max</w:t>
      </w:r>
      <w:r w:rsidRPr="00EE3355">
        <w:rPr>
          <w:sz w:val="14"/>
        </w:rPr>
        <w:t xml:space="preserve"> </w:t>
      </w:r>
      <w:r w:rsidRPr="00EE3355">
        <w:t>2,12. Ustálený stav byl dosažen po 12 týdnech u AUC, C</w:t>
      </w:r>
      <w:r w:rsidR="00C5127F" w:rsidRPr="00EE3355">
        <w:rPr>
          <w:vertAlign w:val="subscript"/>
        </w:rPr>
        <w:t>min</w:t>
      </w:r>
      <w:r w:rsidRPr="00EE3355">
        <w:rPr>
          <w:sz w:val="14"/>
        </w:rPr>
        <w:t xml:space="preserve"> </w:t>
      </w:r>
      <w:r w:rsidRPr="00EE3355">
        <w:t>a po 10 týdnech u C</w:t>
      </w:r>
      <w:r w:rsidR="00C5127F" w:rsidRPr="00EE3355">
        <w:rPr>
          <w:vertAlign w:val="subscript"/>
        </w:rPr>
        <w:t>max</w:t>
      </w:r>
      <w:r w:rsidRPr="00EE3355">
        <w:t>.</w:t>
      </w:r>
    </w:p>
    <w:p w14:paraId="38E014AD" w14:textId="77777777" w:rsidR="00222DE0" w:rsidRPr="00EE3355" w:rsidRDefault="00222DE0" w:rsidP="00EA1CDF">
      <w:pPr>
        <w:widowControl/>
      </w:pPr>
    </w:p>
    <w:p w14:paraId="0785F7F5" w14:textId="77777777" w:rsidR="00222DE0" w:rsidRPr="00EE3355" w:rsidRDefault="0098273B" w:rsidP="00EA1CDF">
      <w:pPr>
        <w:pStyle w:val="a3"/>
        <w:widowControl/>
        <w:ind w:left="0"/>
      </w:pPr>
      <w:r w:rsidRPr="00EE3355">
        <w:rPr>
          <w:u w:val="single"/>
        </w:rPr>
        <w:t>Absorpce</w:t>
      </w:r>
    </w:p>
    <w:p w14:paraId="398633F1" w14:textId="1052A6BC" w:rsidR="00222DE0" w:rsidRDefault="0098273B" w:rsidP="00EA1CDF">
      <w:pPr>
        <w:pStyle w:val="a3"/>
        <w:widowControl/>
        <w:ind w:left="0"/>
      </w:pPr>
      <w:r w:rsidRPr="00EE3355">
        <w:t xml:space="preserve">Po subkutánním podání dávky pacientům s RA byla doba k dosažení vrcholové koncentrace </w:t>
      </w:r>
      <w:r w:rsidR="006F1E69" w:rsidRPr="001879E9">
        <w:t>tocilizumab</w:t>
      </w:r>
      <w:r w:rsidR="006F1E69">
        <w:t>u</w:t>
      </w:r>
      <w:r w:rsidRPr="00EE3355">
        <w:t xml:space="preserve"> v séru t</w:t>
      </w:r>
      <w:r w:rsidR="00C5127F" w:rsidRPr="00EE3355">
        <w:rPr>
          <w:vertAlign w:val="subscript"/>
        </w:rPr>
        <w:t>max</w:t>
      </w:r>
      <w:r w:rsidRPr="00EE3355">
        <w:rPr>
          <w:sz w:val="14"/>
        </w:rPr>
        <w:t xml:space="preserve"> </w:t>
      </w:r>
      <w:r w:rsidRPr="00EE3355">
        <w:t>2,8 dne. Biodostupnost subkutánní formy byla 79 %.</w:t>
      </w:r>
    </w:p>
    <w:p w14:paraId="6C837865" w14:textId="77777777" w:rsidR="00C959DC" w:rsidRPr="00EE3355" w:rsidRDefault="00C959DC" w:rsidP="00EA1CDF">
      <w:pPr>
        <w:pStyle w:val="a3"/>
        <w:widowControl/>
        <w:ind w:left="0"/>
      </w:pPr>
    </w:p>
    <w:p w14:paraId="0AAE9E5A" w14:textId="77777777" w:rsidR="00222DE0" w:rsidRPr="00EE3355" w:rsidRDefault="0098273B" w:rsidP="00EA1CDF">
      <w:pPr>
        <w:pStyle w:val="a3"/>
        <w:keepNext/>
        <w:widowControl/>
        <w:ind w:left="0"/>
      </w:pPr>
      <w:r w:rsidRPr="00EE3355">
        <w:rPr>
          <w:u w:val="single"/>
        </w:rPr>
        <w:lastRenderedPageBreak/>
        <w:t>Eliminace</w:t>
      </w:r>
    </w:p>
    <w:p w14:paraId="67FD8649" w14:textId="77777777" w:rsidR="00222DE0" w:rsidRPr="00EE3355" w:rsidRDefault="0098273B" w:rsidP="00EA1CDF">
      <w:pPr>
        <w:pStyle w:val="a3"/>
        <w:widowControl/>
        <w:ind w:left="0"/>
      </w:pPr>
      <w:r w:rsidRPr="00EE3355">
        <w:t>U subkutánního podání je účinný t</w:t>
      </w:r>
      <w:r w:rsidRPr="00EE3355">
        <w:rPr>
          <w:sz w:val="14"/>
        </w:rPr>
        <w:t xml:space="preserve">1/2 </w:t>
      </w:r>
      <w:r w:rsidRPr="00EE3355">
        <w:t>až 13 dnů při podání 162 mg každý týden a 5 dnů při podání 162 mg každý druhý týden pacientům s RA v ustáleném stavu.</w:t>
      </w:r>
    </w:p>
    <w:p w14:paraId="04158314" w14:textId="77777777" w:rsidR="00222DE0" w:rsidRPr="00EE3355" w:rsidRDefault="00222DE0" w:rsidP="00EA1CDF">
      <w:pPr>
        <w:pStyle w:val="a3"/>
        <w:widowControl/>
        <w:ind w:left="0"/>
      </w:pPr>
    </w:p>
    <w:p w14:paraId="4852409A" w14:textId="77777777" w:rsidR="00222DE0" w:rsidRPr="00EE3355" w:rsidRDefault="0098273B" w:rsidP="00EA1CDF">
      <w:pPr>
        <w:pStyle w:val="a3"/>
        <w:widowControl/>
        <w:ind w:left="0"/>
      </w:pPr>
      <w:r w:rsidRPr="00EE3355">
        <w:rPr>
          <w:u w:val="single"/>
        </w:rPr>
        <w:t>sJIA</w:t>
      </w:r>
    </w:p>
    <w:p w14:paraId="16851F7A" w14:textId="77777777" w:rsidR="00222DE0" w:rsidRPr="00EE3355" w:rsidRDefault="0098273B" w:rsidP="00EA1CDF">
      <w:pPr>
        <w:pStyle w:val="a3"/>
        <w:widowControl/>
        <w:ind w:left="0"/>
      </w:pPr>
      <w:r w:rsidRPr="00EE3355">
        <w:rPr>
          <w:u w:val="single"/>
        </w:rPr>
        <w:t>Subkutánní podání</w:t>
      </w:r>
    </w:p>
    <w:p w14:paraId="0C154265" w14:textId="4DD340A7" w:rsidR="00222DE0" w:rsidRPr="00EE3355" w:rsidRDefault="0098273B" w:rsidP="00EA1CDF">
      <w:pPr>
        <w:pStyle w:val="a3"/>
        <w:widowControl/>
        <w:ind w:left="0"/>
      </w:pPr>
      <w:r w:rsidRPr="00EE3355">
        <w:t xml:space="preserve">Farmakokinetika </w:t>
      </w:r>
      <w:r w:rsidR="006F1E69" w:rsidRPr="001879E9">
        <w:t>tocilizumab</w:t>
      </w:r>
      <w:r w:rsidR="006F1E69">
        <w:t xml:space="preserve">u </w:t>
      </w:r>
      <w:r w:rsidRPr="00EE3355">
        <w:t>u pacientů se sJIA byla charakterizována populační farmakokinetickou analýzou, která zahrnovala 140 pacientů léčených dávkou 8 mg/kg podanou intravenózně každé 2 týdny (pacienti s tělesnou hmotností ≥ 30 kg), 12 mg/kg podanou intravenózně každé 2 týdny (pacienti s tělesnou hmotností &lt; 30 kg), 162 mg podanou subkutánně každý týden (pacienti s tělesnou hmotností ≥ 30 kg), 162 mg podanou subkutánně každých 10 dnů nebo každé</w:t>
      </w:r>
      <w:r w:rsidR="00854EEF" w:rsidRPr="00EE3355">
        <w:t xml:space="preserve"> </w:t>
      </w:r>
      <w:r w:rsidRPr="00EE3355">
        <w:t>2 týdny (pacienti s tělesnou hmotností &lt; 30 kg).</w:t>
      </w:r>
    </w:p>
    <w:p w14:paraId="26A0E393" w14:textId="77777777" w:rsidR="00854EEF" w:rsidRPr="00EE3355" w:rsidRDefault="00854EEF" w:rsidP="00EA1CDF">
      <w:pPr>
        <w:pStyle w:val="a3"/>
        <w:widowControl/>
        <w:ind w:left="0"/>
      </w:pPr>
    </w:p>
    <w:p w14:paraId="1C19DF52" w14:textId="6B78E7C8" w:rsidR="00854EEF" w:rsidRPr="00B93217" w:rsidRDefault="0098273B" w:rsidP="00EA1CDF">
      <w:pPr>
        <w:pStyle w:val="a3"/>
        <w:widowControl/>
        <w:ind w:left="0"/>
        <w:rPr>
          <w:rFonts w:eastAsia="맑은 고딕"/>
          <w:lang w:eastAsia="ko-KR"/>
        </w:rPr>
      </w:pPr>
      <w:r w:rsidRPr="00EE3355">
        <w:t xml:space="preserve">Jsou k dispozici omezené údaje o expozicích po subkutánním podání </w:t>
      </w:r>
      <w:r w:rsidR="006F1E69" w:rsidRPr="001879E9">
        <w:t>tocilizumab</w:t>
      </w:r>
      <w:r w:rsidR="006F1E69">
        <w:t xml:space="preserve">u </w:t>
      </w:r>
      <w:r w:rsidRPr="00EE3355">
        <w:t>pacientům</w:t>
      </w:r>
      <w:r w:rsidR="00854EEF" w:rsidRPr="00EE3355">
        <w:t xml:space="preserve"> </w:t>
      </w:r>
      <w:r w:rsidRPr="00EE3355">
        <w:t>se sJIA mladším než 2 roky s tělesnou hmotností &lt; 10 kg.</w:t>
      </w:r>
    </w:p>
    <w:p w14:paraId="279908F5" w14:textId="1860C391" w:rsidR="00222DE0" w:rsidRPr="00EE3355" w:rsidRDefault="0098273B" w:rsidP="00EA1CDF">
      <w:pPr>
        <w:pStyle w:val="a3"/>
        <w:widowControl/>
        <w:ind w:left="0"/>
      </w:pPr>
      <w:r w:rsidRPr="00EE3355">
        <w:t xml:space="preserve">Pro subkutánní podání </w:t>
      </w:r>
      <w:r w:rsidR="006F1E69" w:rsidRPr="001879E9">
        <w:t>tocilizumab</w:t>
      </w:r>
      <w:r w:rsidR="006F1E69">
        <w:t xml:space="preserve">u </w:t>
      </w:r>
      <w:r w:rsidRPr="00EE3355">
        <w:t>musí mít pacienti se sJIA tělesnou hmotnost alespoň 10</w:t>
      </w:r>
      <w:r w:rsidR="00716588">
        <w:t xml:space="preserve"> </w:t>
      </w:r>
      <w:r w:rsidRPr="00EE3355">
        <w:t>kg (viz bod 4.2).</w:t>
      </w:r>
    </w:p>
    <w:p w14:paraId="34F97360" w14:textId="77777777" w:rsidR="00854EEF" w:rsidRPr="00EE3355" w:rsidRDefault="00854EEF" w:rsidP="00EA1CDF">
      <w:pPr>
        <w:pStyle w:val="a3"/>
        <w:widowControl/>
        <w:ind w:left="0"/>
      </w:pPr>
    </w:p>
    <w:p w14:paraId="60CBF194" w14:textId="77777777" w:rsidR="00222DE0" w:rsidRPr="00EE3355" w:rsidRDefault="0098273B" w:rsidP="00EA1CDF">
      <w:pPr>
        <w:keepNext/>
        <w:widowControl/>
        <w:ind w:left="1418" w:hanging="1418"/>
        <w:rPr>
          <w:i/>
        </w:rPr>
      </w:pPr>
      <w:r w:rsidRPr="00EE3355">
        <w:rPr>
          <w:i/>
        </w:rPr>
        <w:t>Tabulka 8.</w:t>
      </w:r>
      <w:r w:rsidR="00854EEF" w:rsidRPr="00EE3355">
        <w:rPr>
          <w:i/>
        </w:rPr>
        <w:tab/>
      </w:r>
      <w:r w:rsidRPr="00EE3355">
        <w:rPr>
          <w:i/>
        </w:rPr>
        <w:t>Predikované střední hodnoty ± SD pro farmakokinetické parametry v ustáleném stavu po subkutánním podání pacientům se sJIA</w:t>
      </w: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4077"/>
        <w:gridCol w:w="2268"/>
        <w:gridCol w:w="2664"/>
      </w:tblGrid>
      <w:tr w:rsidR="00222DE0" w:rsidRPr="00C959DC" w14:paraId="72B660CD" w14:textId="77777777" w:rsidTr="00716588">
        <w:trPr>
          <w:cantSplit/>
          <w:trHeight w:val="20"/>
          <w:tblHeader/>
        </w:trPr>
        <w:tc>
          <w:tcPr>
            <w:tcW w:w="4077" w:type="dxa"/>
          </w:tcPr>
          <w:p w14:paraId="0AFFB474" w14:textId="533B5855" w:rsidR="00222DE0" w:rsidRPr="00C959DC" w:rsidRDefault="0098273B" w:rsidP="00EA1CDF">
            <w:pPr>
              <w:pStyle w:val="TableParagraph"/>
              <w:widowControl/>
              <w:rPr>
                <w:b/>
                <w:u w:val="single"/>
              </w:rPr>
            </w:pPr>
            <w:r w:rsidRPr="00C959DC">
              <w:rPr>
                <w:b/>
                <w:u w:val="single"/>
              </w:rPr>
              <w:t>PK parametr</w:t>
            </w:r>
            <w:r w:rsidR="00F13F18" w:rsidRPr="00C959DC">
              <w:rPr>
                <w:b/>
                <w:u w:val="single"/>
              </w:rPr>
              <w:t xml:space="preserve"> </w:t>
            </w:r>
            <w:r w:rsidR="006F1E69" w:rsidRPr="00B93217">
              <w:rPr>
                <w:b/>
                <w:bCs/>
                <w:u w:val="single"/>
              </w:rPr>
              <w:t>tocilizumab</w:t>
            </w:r>
            <w:r w:rsidR="006F1E69">
              <w:rPr>
                <w:b/>
                <w:u w:val="single"/>
              </w:rPr>
              <w:t>u</w:t>
            </w:r>
          </w:p>
        </w:tc>
        <w:tc>
          <w:tcPr>
            <w:tcW w:w="2268" w:type="dxa"/>
          </w:tcPr>
          <w:p w14:paraId="0EBA7905" w14:textId="77777777" w:rsidR="00222DE0" w:rsidRPr="00C959DC" w:rsidRDefault="0098273B" w:rsidP="00EA1CDF">
            <w:pPr>
              <w:pStyle w:val="TableParagraph"/>
              <w:widowControl/>
              <w:jc w:val="center"/>
              <w:rPr>
                <w:b/>
                <w:u w:val="single"/>
              </w:rPr>
            </w:pPr>
            <w:r w:rsidRPr="00C959DC">
              <w:rPr>
                <w:b/>
                <w:u w:val="single"/>
              </w:rPr>
              <w:t>162 mg každý týden</w:t>
            </w:r>
            <w:r w:rsidR="00F13F18" w:rsidRPr="00C959DC">
              <w:rPr>
                <w:b/>
                <w:u w:val="single"/>
              </w:rPr>
              <w:t xml:space="preserve"> </w:t>
            </w:r>
            <w:r w:rsidRPr="00C959DC">
              <w:rPr>
                <w:b/>
                <w:u w:val="single"/>
              </w:rPr>
              <w:t>≥ 30 kg</w:t>
            </w:r>
          </w:p>
        </w:tc>
        <w:tc>
          <w:tcPr>
            <w:tcW w:w="2664" w:type="dxa"/>
          </w:tcPr>
          <w:p w14:paraId="22C1751B" w14:textId="77777777" w:rsidR="00222DE0" w:rsidRPr="00C959DC" w:rsidRDefault="0098273B" w:rsidP="00EA1CDF">
            <w:pPr>
              <w:pStyle w:val="TableParagraph"/>
              <w:widowControl/>
              <w:jc w:val="center"/>
              <w:rPr>
                <w:b/>
                <w:u w:val="single"/>
              </w:rPr>
            </w:pPr>
            <w:r w:rsidRPr="00C959DC">
              <w:rPr>
                <w:b/>
                <w:u w:val="single"/>
              </w:rPr>
              <w:t>162 mg každé 2 týdny</w:t>
            </w:r>
            <w:r w:rsidR="00F13F18" w:rsidRPr="00C959DC">
              <w:rPr>
                <w:b/>
                <w:u w:val="single"/>
              </w:rPr>
              <w:t xml:space="preserve"> </w:t>
            </w:r>
            <w:r w:rsidRPr="00C959DC">
              <w:rPr>
                <w:b/>
                <w:u w:val="single"/>
              </w:rPr>
              <w:t>&lt; 30 kg</w:t>
            </w:r>
          </w:p>
        </w:tc>
      </w:tr>
      <w:tr w:rsidR="00222DE0" w:rsidRPr="00EE3355" w14:paraId="5D494770" w14:textId="77777777" w:rsidTr="00716588">
        <w:trPr>
          <w:cantSplit/>
          <w:trHeight w:val="20"/>
        </w:trPr>
        <w:tc>
          <w:tcPr>
            <w:tcW w:w="4077" w:type="dxa"/>
          </w:tcPr>
          <w:p w14:paraId="59AC8A10" w14:textId="77777777" w:rsidR="00222DE0" w:rsidRPr="00EE3355" w:rsidRDefault="0098273B" w:rsidP="00EA1CDF">
            <w:pPr>
              <w:pStyle w:val="TableParagraph"/>
              <w:widowControl/>
            </w:pPr>
            <w:r w:rsidRPr="00EE3355">
              <w:t>C</w:t>
            </w:r>
            <w:r w:rsidR="00C5127F" w:rsidRPr="00EE3355">
              <w:rPr>
                <w:vertAlign w:val="subscript"/>
              </w:rPr>
              <w:t>max</w:t>
            </w:r>
            <w:r w:rsidRPr="00EE3355">
              <w:rPr>
                <w:sz w:val="14"/>
              </w:rPr>
              <w:t xml:space="preserve"> </w:t>
            </w:r>
            <w:r w:rsidRPr="00EE3355">
              <w:t>(µg/ml)</w:t>
            </w:r>
          </w:p>
        </w:tc>
        <w:tc>
          <w:tcPr>
            <w:tcW w:w="2268" w:type="dxa"/>
          </w:tcPr>
          <w:p w14:paraId="4B396FBD" w14:textId="77777777" w:rsidR="00222DE0" w:rsidRPr="00EE3355" w:rsidRDefault="0098273B" w:rsidP="00EA1CDF">
            <w:pPr>
              <w:pStyle w:val="TableParagraph"/>
              <w:widowControl/>
              <w:jc w:val="center"/>
            </w:pPr>
            <w:r w:rsidRPr="00EE3355">
              <w:t>99,8 ± 46,2</w:t>
            </w:r>
          </w:p>
        </w:tc>
        <w:tc>
          <w:tcPr>
            <w:tcW w:w="2664" w:type="dxa"/>
          </w:tcPr>
          <w:p w14:paraId="75807D06" w14:textId="77777777" w:rsidR="00222DE0" w:rsidRPr="00EE3355" w:rsidRDefault="0098273B" w:rsidP="00EA1CDF">
            <w:pPr>
              <w:pStyle w:val="TableParagraph"/>
              <w:widowControl/>
              <w:jc w:val="center"/>
            </w:pPr>
            <w:r w:rsidRPr="00EE3355">
              <w:t>134 ± 58,6</w:t>
            </w:r>
          </w:p>
        </w:tc>
      </w:tr>
      <w:tr w:rsidR="00222DE0" w:rsidRPr="00EE3355" w14:paraId="5A11AECB" w14:textId="77777777" w:rsidTr="00716588">
        <w:trPr>
          <w:cantSplit/>
          <w:trHeight w:val="20"/>
        </w:trPr>
        <w:tc>
          <w:tcPr>
            <w:tcW w:w="4077" w:type="dxa"/>
          </w:tcPr>
          <w:p w14:paraId="5F46820E" w14:textId="77777777" w:rsidR="00222DE0" w:rsidRPr="00EE3355" w:rsidRDefault="0098273B" w:rsidP="00EA1CDF">
            <w:pPr>
              <w:pStyle w:val="TableParagraph"/>
              <w:widowControl/>
            </w:pPr>
            <w:r w:rsidRPr="00EE3355">
              <w:t>C</w:t>
            </w:r>
            <w:r w:rsidR="00C5127F" w:rsidRPr="00EE3355">
              <w:rPr>
                <w:vertAlign w:val="subscript"/>
              </w:rPr>
              <w:t>min</w:t>
            </w:r>
            <w:r w:rsidRPr="00EE3355">
              <w:rPr>
                <w:sz w:val="14"/>
              </w:rPr>
              <w:t xml:space="preserve"> </w:t>
            </w:r>
            <w:r w:rsidRPr="00EE3355">
              <w:t>(µg/ml)</w:t>
            </w:r>
          </w:p>
        </w:tc>
        <w:tc>
          <w:tcPr>
            <w:tcW w:w="2268" w:type="dxa"/>
          </w:tcPr>
          <w:p w14:paraId="2EF84248" w14:textId="77777777" w:rsidR="00222DE0" w:rsidRPr="00EE3355" w:rsidRDefault="0098273B" w:rsidP="00EA1CDF">
            <w:pPr>
              <w:pStyle w:val="TableParagraph"/>
              <w:widowControl/>
              <w:jc w:val="center"/>
            </w:pPr>
            <w:r w:rsidRPr="00EE3355">
              <w:t>79,2 ± 35,6</w:t>
            </w:r>
          </w:p>
        </w:tc>
        <w:tc>
          <w:tcPr>
            <w:tcW w:w="2664" w:type="dxa"/>
          </w:tcPr>
          <w:p w14:paraId="05138CEA" w14:textId="77777777" w:rsidR="00222DE0" w:rsidRPr="00EE3355" w:rsidRDefault="0098273B" w:rsidP="00EA1CDF">
            <w:pPr>
              <w:pStyle w:val="TableParagraph"/>
              <w:widowControl/>
              <w:jc w:val="center"/>
            </w:pPr>
            <w:r w:rsidRPr="00EE3355">
              <w:t>65,9 ± 31,3</w:t>
            </w:r>
          </w:p>
        </w:tc>
      </w:tr>
      <w:tr w:rsidR="00222DE0" w:rsidRPr="00EE3355" w14:paraId="1FCAE76A" w14:textId="77777777" w:rsidTr="00716588">
        <w:trPr>
          <w:cantSplit/>
          <w:trHeight w:val="20"/>
        </w:trPr>
        <w:tc>
          <w:tcPr>
            <w:tcW w:w="4077" w:type="dxa"/>
          </w:tcPr>
          <w:p w14:paraId="736B8E04" w14:textId="77777777" w:rsidR="00222DE0" w:rsidRPr="00EE3355" w:rsidRDefault="0098273B" w:rsidP="00EA1CDF">
            <w:pPr>
              <w:pStyle w:val="TableParagraph"/>
              <w:widowControl/>
            </w:pPr>
            <w:r w:rsidRPr="00EE3355">
              <w:t>C</w:t>
            </w:r>
            <w:r w:rsidR="00C5127F" w:rsidRPr="00EE3355">
              <w:rPr>
                <w:vertAlign w:val="subscript"/>
              </w:rPr>
              <w:t>střední</w:t>
            </w:r>
            <w:r w:rsidRPr="00EE3355">
              <w:rPr>
                <w:sz w:val="14"/>
              </w:rPr>
              <w:t xml:space="preserve"> </w:t>
            </w:r>
            <w:r w:rsidRPr="00EE3355">
              <w:t>(µg/ml)</w:t>
            </w:r>
          </w:p>
        </w:tc>
        <w:tc>
          <w:tcPr>
            <w:tcW w:w="2268" w:type="dxa"/>
          </w:tcPr>
          <w:p w14:paraId="00341B5B" w14:textId="77777777" w:rsidR="00222DE0" w:rsidRPr="00EE3355" w:rsidRDefault="0098273B" w:rsidP="00EA1CDF">
            <w:pPr>
              <w:pStyle w:val="TableParagraph"/>
              <w:widowControl/>
              <w:jc w:val="center"/>
            </w:pPr>
            <w:r w:rsidRPr="00EE3355">
              <w:t>91,3 ± 40,4</w:t>
            </w:r>
          </w:p>
        </w:tc>
        <w:tc>
          <w:tcPr>
            <w:tcW w:w="2664" w:type="dxa"/>
          </w:tcPr>
          <w:p w14:paraId="6A0A14C0" w14:textId="77777777" w:rsidR="00222DE0" w:rsidRPr="00EE3355" w:rsidRDefault="0098273B" w:rsidP="00EA1CDF">
            <w:pPr>
              <w:pStyle w:val="TableParagraph"/>
              <w:widowControl/>
              <w:jc w:val="center"/>
            </w:pPr>
            <w:r w:rsidRPr="00EE3355">
              <w:t>101 ± 43,2</w:t>
            </w:r>
          </w:p>
        </w:tc>
      </w:tr>
      <w:tr w:rsidR="00222DE0" w:rsidRPr="00EE3355" w14:paraId="6830ECB9" w14:textId="77777777" w:rsidTr="00716588">
        <w:trPr>
          <w:cantSplit/>
          <w:trHeight w:val="20"/>
        </w:trPr>
        <w:tc>
          <w:tcPr>
            <w:tcW w:w="4077" w:type="dxa"/>
          </w:tcPr>
          <w:p w14:paraId="461C9151" w14:textId="77777777" w:rsidR="00222DE0" w:rsidRPr="00EE3355" w:rsidRDefault="0098273B" w:rsidP="00EA1CDF">
            <w:pPr>
              <w:pStyle w:val="TableParagraph"/>
              <w:widowControl/>
              <w:rPr>
                <w:sz w:val="14"/>
              </w:rPr>
            </w:pPr>
            <w:r w:rsidRPr="00EE3355">
              <w:t>Koeficient kumulace pro C</w:t>
            </w:r>
            <w:r w:rsidR="00C5127F" w:rsidRPr="00EE3355">
              <w:rPr>
                <w:vertAlign w:val="subscript"/>
              </w:rPr>
              <w:t>max</w:t>
            </w:r>
          </w:p>
        </w:tc>
        <w:tc>
          <w:tcPr>
            <w:tcW w:w="2268" w:type="dxa"/>
          </w:tcPr>
          <w:p w14:paraId="50FFB906" w14:textId="77777777" w:rsidR="00222DE0" w:rsidRPr="00EE3355" w:rsidRDefault="0098273B" w:rsidP="00EA1CDF">
            <w:pPr>
              <w:pStyle w:val="TableParagraph"/>
              <w:widowControl/>
              <w:jc w:val="center"/>
            </w:pPr>
            <w:r w:rsidRPr="00EE3355">
              <w:t>3,66</w:t>
            </w:r>
          </w:p>
        </w:tc>
        <w:tc>
          <w:tcPr>
            <w:tcW w:w="2664" w:type="dxa"/>
          </w:tcPr>
          <w:p w14:paraId="7D6A0AE5" w14:textId="77777777" w:rsidR="00222DE0" w:rsidRPr="00EE3355" w:rsidRDefault="0098273B" w:rsidP="00EA1CDF">
            <w:pPr>
              <w:pStyle w:val="TableParagraph"/>
              <w:widowControl/>
              <w:jc w:val="center"/>
            </w:pPr>
            <w:r w:rsidRPr="00EE3355">
              <w:t>1,88</w:t>
            </w:r>
          </w:p>
        </w:tc>
      </w:tr>
      <w:tr w:rsidR="00222DE0" w:rsidRPr="00EE3355" w14:paraId="320667B9" w14:textId="77777777" w:rsidTr="00716588">
        <w:trPr>
          <w:cantSplit/>
          <w:trHeight w:val="20"/>
        </w:trPr>
        <w:tc>
          <w:tcPr>
            <w:tcW w:w="4077" w:type="dxa"/>
          </w:tcPr>
          <w:p w14:paraId="37F66706" w14:textId="77777777" w:rsidR="00222DE0" w:rsidRPr="00EE3355" w:rsidRDefault="0098273B" w:rsidP="00EA1CDF">
            <w:pPr>
              <w:pStyle w:val="TableParagraph"/>
              <w:widowControl/>
              <w:rPr>
                <w:sz w:val="14"/>
              </w:rPr>
            </w:pPr>
            <w:r w:rsidRPr="00EE3355">
              <w:t>Koeficient kumulace pro C</w:t>
            </w:r>
            <w:r w:rsidR="00C5127F" w:rsidRPr="00EE3355">
              <w:rPr>
                <w:vertAlign w:val="subscript"/>
              </w:rPr>
              <w:t>min</w:t>
            </w:r>
          </w:p>
        </w:tc>
        <w:tc>
          <w:tcPr>
            <w:tcW w:w="2268" w:type="dxa"/>
          </w:tcPr>
          <w:p w14:paraId="02DB27A7" w14:textId="77777777" w:rsidR="00222DE0" w:rsidRPr="00EE3355" w:rsidRDefault="0098273B" w:rsidP="00EA1CDF">
            <w:pPr>
              <w:pStyle w:val="TableParagraph"/>
              <w:widowControl/>
              <w:jc w:val="center"/>
            </w:pPr>
            <w:r w:rsidRPr="00EE3355">
              <w:t>4,39</w:t>
            </w:r>
          </w:p>
        </w:tc>
        <w:tc>
          <w:tcPr>
            <w:tcW w:w="2664" w:type="dxa"/>
          </w:tcPr>
          <w:p w14:paraId="2C8CD64F" w14:textId="77777777" w:rsidR="00222DE0" w:rsidRPr="00EE3355" w:rsidRDefault="0098273B" w:rsidP="00EA1CDF">
            <w:pPr>
              <w:pStyle w:val="TableParagraph"/>
              <w:widowControl/>
              <w:jc w:val="center"/>
            </w:pPr>
            <w:r w:rsidRPr="00EE3355">
              <w:t>3,21</w:t>
            </w:r>
          </w:p>
        </w:tc>
      </w:tr>
      <w:tr w:rsidR="00222DE0" w:rsidRPr="00EE3355" w14:paraId="2DA5B309" w14:textId="77777777" w:rsidTr="00716588">
        <w:trPr>
          <w:cantSplit/>
          <w:trHeight w:val="20"/>
        </w:trPr>
        <w:tc>
          <w:tcPr>
            <w:tcW w:w="4077" w:type="dxa"/>
          </w:tcPr>
          <w:p w14:paraId="3AC5F894" w14:textId="77777777" w:rsidR="00222DE0" w:rsidRPr="00EE3355" w:rsidRDefault="0098273B" w:rsidP="00EA1CDF">
            <w:pPr>
              <w:pStyle w:val="TableParagraph"/>
              <w:widowControl/>
            </w:pPr>
            <w:r w:rsidRPr="00EE3355">
              <w:t>Koeficient kumulace pro C</w:t>
            </w:r>
            <w:r w:rsidR="00C5127F" w:rsidRPr="00EE3355">
              <w:rPr>
                <w:vertAlign w:val="subscript"/>
              </w:rPr>
              <w:t>střední</w:t>
            </w:r>
            <w:r w:rsidRPr="00EE3355">
              <w:rPr>
                <w:sz w:val="14"/>
              </w:rPr>
              <w:t xml:space="preserve"> </w:t>
            </w:r>
            <w:r w:rsidRPr="00EE3355">
              <w:t>nebo</w:t>
            </w:r>
            <w:r w:rsidR="00716588">
              <w:t xml:space="preserve"> </w:t>
            </w:r>
            <w:r w:rsidRPr="00EE3355">
              <w:t>AUCτ*</w:t>
            </w:r>
          </w:p>
        </w:tc>
        <w:tc>
          <w:tcPr>
            <w:tcW w:w="2268" w:type="dxa"/>
          </w:tcPr>
          <w:p w14:paraId="57DE0D79" w14:textId="77777777" w:rsidR="00222DE0" w:rsidRPr="00EE3355" w:rsidRDefault="0098273B" w:rsidP="00EA1CDF">
            <w:pPr>
              <w:pStyle w:val="TableParagraph"/>
              <w:widowControl/>
              <w:jc w:val="center"/>
            </w:pPr>
            <w:r w:rsidRPr="00EE3355">
              <w:t>4,28</w:t>
            </w:r>
          </w:p>
        </w:tc>
        <w:tc>
          <w:tcPr>
            <w:tcW w:w="2664" w:type="dxa"/>
          </w:tcPr>
          <w:p w14:paraId="7CB7AE46" w14:textId="77777777" w:rsidR="00222DE0" w:rsidRPr="00EE3355" w:rsidRDefault="0098273B" w:rsidP="00EA1CDF">
            <w:pPr>
              <w:pStyle w:val="TableParagraph"/>
              <w:widowControl/>
              <w:jc w:val="center"/>
            </w:pPr>
            <w:r w:rsidRPr="00EE3355">
              <w:t>2,27</w:t>
            </w:r>
          </w:p>
        </w:tc>
      </w:tr>
    </w:tbl>
    <w:p w14:paraId="48D220A2" w14:textId="77777777" w:rsidR="00222DE0" w:rsidRPr="00EE3355" w:rsidRDefault="0098273B" w:rsidP="00EA1CDF">
      <w:pPr>
        <w:widowControl/>
        <w:rPr>
          <w:sz w:val="18"/>
        </w:rPr>
      </w:pPr>
      <w:r w:rsidRPr="00EE3355">
        <w:rPr>
          <w:sz w:val="18"/>
        </w:rPr>
        <w:t>*τ = 1 týden, resp. 2 týdny u dvou subkutánních režimů</w:t>
      </w:r>
    </w:p>
    <w:p w14:paraId="403AC1D1" w14:textId="77777777" w:rsidR="00222DE0" w:rsidRPr="00EE3355" w:rsidRDefault="00222DE0" w:rsidP="00EA1CDF">
      <w:pPr>
        <w:pStyle w:val="a3"/>
        <w:widowControl/>
        <w:ind w:left="0"/>
        <w:rPr>
          <w:sz w:val="18"/>
        </w:rPr>
      </w:pPr>
    </w:p>
    <w:p w14:paraId="292A3609" w14:textId="77777777" w:rsidR="00222DE0" w:rsidRPr="00EE3355" w:rsidRDefault="0098273B" w:rsidP="00EA1CDF">
      <w:pPr>
        <w:pStyle w:val="a3"/>
        <w:widowControl/>
        <w:ind w:left="0"/>
      </w:pPr>
      <w:r w:rsidRPr="00EE3355">
        <w:t>Po subkutánním podání bylo dosaženo přibližně 90 % ustáleného stavu do týdne 12 v režimu 162 mg každý týden i každé 2 týdny.</w:t>
      </w:r>
    </w:p>
    <w:p w14:paraId="5367B935" w14:textId="77777777" w:rsidR="00222DE0" w:rsidRPr="00EE3355" w:rsidRDefault="00222DE0" w:rsidP="00EA1CDF">
      <w:pPr>
        <w:pStyle w:val="a3"/>
        <w:widowControl/>
        <w:ind w:left="0"/>
      </w:pPr>
    </w:p>
    <w:p w14:paraId="4D38FA19" w14:textId="77777777" w:rsidR="00222DE0" w:rsidRPr="00EE3355" w:rsidRDefault="0098273B" w:rsidP="00EA1CDF">
      <w:pPr>
        <w:pStyle w:val="a3"/>
        <w:widowControl/>
        <w:ind w:left="0"/>
      </w:pPr>
      <w:r w:rsidRPr="00EE3355">
        <w:rPr>
          <w:u w:val="single"/>
        </w:rPr>
        <w:t>Absorpce</w:t>
      </w:r>
    </w:p>
    <w:p w14:paraId="1DDF74BD" w14:textId="77777777" w:rsidR="00222DE0" w:rsidRPr="00EE3355" w:rsidRDefault="0098273B" w:rsidP="00EA1CDF">
      <w:pPr>
        <w:pStyle w:val="a3"/>
        <w:widowControl/>
        <w:ind w:left="0"/>
      </w:pPr>
      <w:r w:rsidRPr="00EE3355">
        <w:t>Po subkutánním podání byl u pacientů se sJIA absorpční poločas přibližně 2 dny a biologická dostupnost subkutánní lékové formy byla u pacientů se sJIA 95 %.</w:t>
      </w:r>
    </w:p>
    <w:p w14:paraId="208E4077" w14:textId="77777777" w:rsidR="00222DE0" w:rsidRPr="00EE3355" w:rsidRDefault="00222DE0" w:rsidP="00EA1CDF">
      <w:pPr>
        <w:pStyle w:val="a3"/>
        <w:widowControl/>
        <w:ind w:left="0"/>
      </w:pPr>
    </w:p>
    <w:p w14:paraId="0C4BEBDA" w14:textId="77777777" w:rsidR="00222DE0" w:rsidRPr="00EE3355" w:rsidRDefault="0098273B" w:rsidP="00EA1CDF">
      <w:pPr>
        <w:pStyle w:val="a3"/>
        <w:widowControl/>
        <w:ind w:left="0"/>
      </w:pPr>
      <w:r w:rsidRPr="00EE3355">
        <w:rPr>
          <w:u w:val="single"/>
        </w:rPr>
        <w:t>Distribuce</w:t>
      </w:r>
    </w:p>
    <w:p w14:paraId="57A3BCC5" w14:textId="77777777" w:rsidR="00222DE0" w:rsidRPr="00EE3355" w:rsidRDefault="0098273B" w:rsidP="00EA1CDF">
      <w:pPr>
        <w:pStyle w:val="a3"/>
        <w:widowControl/>
        <w:ind w:left="0"/>
      </w:pPr>
      <w:r w:rsidRPr="00EE3355">
        <w:t>Centrální distribuční objem u pediatrických pacientů se sJIA byl 1,87 l, periferní distribuční objem byl</w:t>
      </w:r>
      <w:r w:rsidR="00716588">
        <w:t xml:space="preserve"> </w:t>
      </w:r>
      <w:r w:rsidRPr="00EE3355">
        <w:t>2,14 l; distribuční objem v ustáleném stavu tak činil 4,01 l.</w:t>
      </w:r>
    </w:p>
    <w:p w14:paraId="3F8DC2B5" w14:textId="77777777" w:rsidR="00222DE0" w:rsidRPr="00EE3355" w:rsidRDefault="00222DE0" w:rsidP="00EA1CDF">
      <w:pPr>
        <w:pStyle w:val="a3"/>
        <w:widowControl/>
        <w:ind w:left="0"/>
      </w:pPr>
    </w:p>
    <w:p w14:paraId="3C737E3C" w14:textId="77777777" w:rsidR="00222DE0" w:rsidRPr="00EE3355" w:rsidRDefault="0098273B" w:rsidP="00EA1CDF">
      <w:pPr>
        <w:pStyle w:val="a3"/>
        <w:widowControl/>
        <w:ind w:left="0"/>
      </w:pPr>
      <w:r w:rsidRPr="00EE3355">
        <w:rPr>
          <w:u w:val="single"/>
        </w:rPr>
        <w:t>Eliminace</w:t>
      </w:r>
    </w:p>
    <w:p w14:paraId="35BE8D87" w14:textId="26B899BC" w:rsidR="00222DE0" w:rsidRPr="00EE3355" w:rsidRDefault="0098273B" w:rsidP="00EA1CDF">
      <w:pPr>
        <w:pStyle w:val="a3"/>
        <w:widowControl/>
        <w:ind w:left="0"/>
      </w:pPr>
      <w:r w:rsidRPr="00EE3355">
        <w:t>Celková clearance tocilizumabu byla závislá na koncentraci a je součtem lineární a nelineární clearance. Lineární clearance byla stanovena odhadem jako parametr v populační farmakokinetické analýze jako 5,7 ml/hod u pediatrických pacientů se systémovou juvenilní idiopatickou artritidou. Účinný t</w:t>
      </w:r>
      <w:r w:rsidRPr="00EE3355">
        <w:rPr>
          <w:sz w:val="14"/>
        </w:rPr>
        <w:t xml:space="preserve">1/2 </w:t>
      </w:r>
      <w:r w:rsidRPr="00EE3355">
        <w:t xml:space="preserve">po subkutánním podání </w:t>
      </w:r>
      <w:r w:rsidR="006F1E69" w:rsidRPr="001879E9">
        <w:t>tocilizumab</w:t>
      </w:r>
      <w:r w:rsidR="006F1E69">
        <w:t xml:space="preserve">u </w:t>
      </w:r>
      <w:r w:rsidRPr="00EE3355">
        <w:t>pacientům se sJIA je do 14 dnů v režimu 162 mg každý týden i každé 2 týdny během intervalu podávání v ustáleném stavu.</w:t>
      </w:r>
    </w:p>
    <w:p w14:paraId="6A4843B1" w14:textId="77777777" w:rsidR="00222DE0" w:rsidRPr="00EE3355" w:rsidRDefault="00222DE0" w:rsidP="00EA1CDF">
      <w:pPr>
        <w:widowControl/>
      </w:pPr>
    </w:p>
    <w:p w14:paraId="7159BA5C" w14:textId="77777777" w:rsidR="00222DE0" w:rsidRPr="00EE3355" w:rsidRDefault="0098273B" w:rsidP="00EA1CDF">
      <w:pPr>
        <w:pStyle w:val="a3"/>
        <w:keepNext/>
        <w:widowControl/>
        <w:ind w:left="0"/>
      </w:pPr>
      <w:r w:rsidRPr="00EE3355">
        <w:rPr>
          <w:u w:val="single"/>
        </w:rPr>
        <w:t>pJIA</w:t>
      </w:r>
    </w:p>
    <w:p w14:paraId="1A4F4C31" w14:textId="77777777" w:rsidR="00222DE0" w:rsidRPr="00EE3355" w:rsidRDefault="0098273B" w:rsidP="00EA1CDF">
      <w:pPr>
        <w:pStyle w:val="a3"/>
        <w:keepNext/>
        <w:widowControl/>
        <w:ind w:left="0"/>
      </w:pPr>
      <w:r w:rsidRPr="00EE3355">
        <w:rPr>
          <w:u w:val="single"/>
        </w:rPr>
        <w:t>Subkutánní podání</w:t>
      </w:r>
    </w:p>
    <w:p w14:paraId="6F2AB583" w14:textId="12EE8782" w:rsidR="00222DE0" w:rsidRPr="00EE3355" w:rsidRDefault="0098273B" w:rsidP="00EA1CDF">
      <w:pPr>
        <w:pStyle w:val="a3"/>
        <w:widowControl/>
        <w:ind w:left="0"/>
      </w:pPr>
      <w:r w:rsidRPr="00EE3355">
        <w:t xml:space="preserve">Farmakokinetika </w:t>
      </w:r>
      <w:r w:rsidR="006F1E69" w:rsidRPr="001879E9">
        <w:t>tocilizumab</w:t>
      </w:r>
      <w:r w:rsidR="006F1E69">
        <w:t xml:space="preserve">u </w:t>
      </w:r>
      <w:r w:rsidRPr="00EE3355">
        <w:t>u pacientů s pJIA byla charakterizována populační farmakokinetickou analýzou, která zahrnovala 237 pacientů léčených dávkou 8 mg/kg podanou intravenózně každé 4 týdny (pacienti s tělesnou hmotností ≥ 30 kg), 10 mg/kg podanou intravenózně každé 4 týdny (pacienti s tělesnou hmotností &lt; 30 kg), 162 mg podanou subkutánně každé 2 týdny (pacienti s tělesnou hmotností ≥ 30 kg) nebo 162 mg podanou subkutánně každé 3 týdny (pacienti</w:t>
      </w:r>
    </w:p>
    <w:p w14:paraId="548247E4" w14:textId="77777777" w:rsidR="00222DE0" w:rsidRPr="00EE3355" w:rsidRDefault="0098273B" w:rsidP="00EA1CDF">
      <w:pPr>
        <w:pStyle w:val="a3"/>
        <w:widowControl/>
        <w:ind w:left="0"/>
      </w:pPr>
      <w:r w:rsidRPr="00EE3355">
        <w:lastRenderedPageBreak/>
        <w:t>s tělesnou hmotností &lt; 30 kg).</w:t>
      </w:r>
    </w:p>
    <w:p w14:paraId="250CE5D9" w14:textId="77777777" w:rsidR="00222DE0" w:rsidRPr="00EE3355" w:rsidRDefault="00222DE0" w:rsidP="00EA1CDF">
      <w:pPr>
        <w:pStyle w:val="a3"/>
        <w:widowControl/>
        <w:ind w:left="0"/>
      </w:pPr>
    </w:p>
    <w:p w14:paraId="7ADA7E82" w14:textId="77777777" w:rsidR="00222DE0" w:rsidRPr="00EE3355" w:rsidRDefault="0098273B" w:rsidP="00EA1CDF">
      <w:pPr>
        <w:widowControl/>
        <w:ind w:left="1418" w:hanging="1418"/>
        <w:rPr>
          <w:i/>
        </w:rPr>
      </w:pPr>
      <w:r w:rsidRPr="00EE3355">
        <w:rPr>
          <w:i/>
        </w:rPr>
        <w:t>Tabulka 9.</w:t>
      </w:r>
      <w:r w:rsidR="00AB33B8" w:rsidRPr="00EE3355">
        <w:rPr>
          <w:i/>
        </w:rPr>
        <w:tab/>
      </w:r>
      <w:r w:rsidRPr="00EE3355">
        <w:rPr>
          <w:i/>
        </w:rPr>
        <w:t>Predikované střední hodnoty ± SD pro farmakokinetické parametry v ustáleném stavu po subkutánním podání pacientům s</w:t>
      </w:r>
      <w:r w:rsidR="0041600F" w:rsidRPr="00EE3355">
        <w:rPr>
          <w:i/>
        </w:rPr>
        <w:t> </w:t>
      </w:r>
      <w:r w:rsidRPr="00EE3355">
        <w:rPr>
          <w:i/>
        </w:rPr>
        <w:t>pJIA</w:t>
      </w:r>
    </w:p>
    <w:tbl>
      <w:tblPr>
        <w:tblW w:w="91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884"/>
        <w:gridCol w:w="3034"/>
        <w:gridCol w:w="3258"/>
      </w:tblGrid>
      <w:tr w:rsidR="00222DE0" w:rsidRPr="00EE3355" w14:paraId="48779083" w14:textId="77777777" w:rsidTr="00716588">
        <w:trPr>
          <w:cantSplit/>
          <w:trHeight w:val="20"/>
          <w:tblHeader/>
        </w:trPr>
        <w:tc>
          <w:tcPr>
            <w:tcW w:w="2884" w:type="dxa"/>
          </w:tcPr>
          <w:p w14:paraId="2B3448C6" w14:textId="63D14145" w:rsidR="00222DE0" w:rsidRPr="00EE3355" w:rsidRDefault="0098273B" w:rsidP="00EA1CDF">
            <w:pPr>
              <w:pStyle w:val="TableParagraph"/>
              <w:widowControl/>
              <w:rPr>
                <w:b/>
              </w:rPr>
            </w:pPr>
            <w:r w:rsidRPr="00EE3355">
              <w:rPr>
                <w:b/>
              </w:rPr>
              <w:t>PK parametr</w:t>
            </w:r>
            <w:r w:rsidR="00F13F18" w:rsidRPr="00EE3355">
              <w:rPr>
                <w:b/>
              </w:rPr>
              <w:t xml:space="preserve"> </w:t>
            </w:r>
            <w:r w:rsidR="006F1E69" w:rsidRPr="00B93217">
              <w:rPr>
                <w:b/>
                <w:bCs/>
              </w:rPr>
              <w:t>tocilizumab</w:t>
            </w:r>
            <w:r w:rsidR="006F1E69">
              <w:rPr>
                <w:b/>
              </w:rPr>
              <w:t>u</w:t>
            </w:r>
          </w:p>
        </w:tc>
        <w:tc>
          <w:tcPr>
            <w:tcW w:w="3034" w:type="dxa"/>
          </w:tcPr>
          <w:p w14:paraId="0FD89E09" w14:textId="77777777" w:rsidR="00222DE0" w:rsidRPr="00EE3355" w:rsidRDefault="0098273B" w:rsidP="00EA1CDF">
            <w:pPr>
              <w:pStyle w:val="TableParagraph"/>
              <w:widowControl/>
              <w:jc w:val="center"/>
              <w:rPr>
                <w:b/>
              </w:rPr>
            </w:pPr>
            <w:r w:rsidRPr="00EE3355">
              <w:rPr>
                <w:b/>
              </w:rPr>
              <w:t>162 mg</w:t>
            </w:r>
            <w:r w:rsidR="00E62324" w:rsidRPr="00EE3355">
              <w:rPr>
                <w:b/>
              </w:rPr>
              <w:t xml:space="preserve"> </w:t>
            </w:r>
            <w:r w:rsidRPr="00EE3355">
              <w:rPr>
                <w:b/>
              </w:rPr>
              <w:t>každé 2 týdny</w:t>
            </w:r>
            <w:r w:rsidR="00F13F18" w:rsidRPr="00EE3355">
              <w:rPr>
                <w:b/>
              </w:rPr>
              <w:t xml:space="preserve"> </w:t>
            </w:r>
            <w:r w:rsidRPr="00EE3355">
              <w:rPr>
                <w:b/>
              </w:rPr>
              <w:t>≥ 30 kg</w:t>
            </w:r>
          </w:p>
        </w:tc>
        <w:tc>
          <w:tcPr>
            <w:tcW w:w="3258" w:type="dxa"/>
          </w:tcPr>
          <w:p w14:paraId="04338B67" w14:textId="77777777" w:rsidR="00222DE0" w:rsidRPr="00EE3355" w:rsidRDefault="0098273B" w:rsidP="00EA1CDF">
            <w:pPr>
              <w:pStyle w:val="TableParagraph"/>
              <w:widowControl/>
              <w:jc w:val="center"/>
              <w:rPr>
                <w:b/>
              </w:rPr>
            </w:pPr>
            <w:r w:rsidRPr="00EE3355">
              <w:rPr>
                <w:b/>
              </w:rPr>
              <w:t>162 mg</w:t>
            </w:r>
            <w:r w:rsidR="00E62324" w:rsidRPr="00EE3355">
              <w:rPr>
                <w:b/>
              </w:rPr>
              <w:t xml:space="preserve"> </w:t>
            </w:r>
            <w:r w:rsidRPr="00EE3355">
              <w:rPr>
                <w:b/>
              </w:rPr>
              <w:t>každé 3 týdny</w:t>
            </w:r>
            <w:r w:rsidR="00F13F18" w:rsidRPr="00EE3355">
              <w:rPr>
                <w:b/>
              </w:rPr>
              <w:t xml:space="preserve"> </w:t>
            </w:r>
            <w:r w:rsidRPr="00EE3355">
              <w:rPr>
                <w:b/>
              </w:rPr>
              <w:t>&lt; 30 kg</w:t>
            </w:r>
          </w:p>
        </w:tc>
      </w:tr>
      <w:tr w:rsidR="00222DE0" w:rsidRPr="00EE3355" w14:paraId="117F700D" w14:textId="77777777" w:rsidTr="00716588">
        <w:trPr>
          <w:cantSplit/>
          <w:trHeight w:val="20"/>
        </w:trPr>
        <w:tc>
          <w:tcPr>
            <w:tcW w:w="2884" w:type="dxa"/>
          </w:tcPr>
          <w:p w14:paraId="2DEFBDDE" w14:textId="77777777" w:rsidR="00222DE0" w:rsidRPr="00EE3355" w:rsidRDefault="0098273B" w:rsidP="00EA1CDF">
            <w:pPr>
              <w:pStyle w:val="TableParagraph"/>
              <w:widowControl/>
            </w:pPr>
            <w:r w:rsidRPr="00EE3355">
              <w:t>C</w:t>
            </w:r>
            <w:r w:rsidR="00C5127F" w:rsidRPr="00EE3355">
              <w:rPr>
                <w:vertAlign w:val="subscript"/>
              </w:rPr>
              <w:t>max</w:t>
            </w:r>
            <w:r w:rsidRPr="00EE3355">
              <w:rPr>
                <w:sz w:val="14"/>
              </w:rPr>
              <w:t xml:space="preserve"> </w:t>
            </w:r>
            <w:r w:rsidRPr="00EE3355">
              <w:t>(µg/ml)</w:t>
            </w:r>
          </w:p>
        </w:tc>
        <w:tc>
          <w:tcPr>
            <w:tcW w:w="3034" w:type="dxa"/>
          </w:tcPr>
          <w:p w14:paraId="6153C40A" w14:textId="77777777" w:rsidR="00222DE0" w:rsidRPr="00EE3355" w:rsidRDefault="0098273B" w:rsidP="00EA1CDF">
            <w:pPr>
              <w:pStyle w:val="TableParagraph"/>
              <w:widowControl/>
              <w:jc w:val="center"/>
            </w:pPr>
            <w:r w:rsidRPr="00EE3355">
              <w:t>29,4 ± 13,5</w:t>
            </w:r>
          </w:p>
        </w:tc>
        <w:tc>
          <w:tcPr>
            <w:tcW w:w="3258" w:type="dxa"/>
          </w:tcPr>
          <w:p w14:paraId="65949E07" w14:textId="77777777" w:rsidR="00222DE0" w:rsidRPr="00EE3355" w:rsidRDefault="0098273B" w:rsidP="00EA1CDF">
            <w:pPr>
              <w:pStyle w:val="TableParagraph"/>
              <w:widowControl/>
              <w:jc w:val="center"/>
            </w:pPr>
            <w:r w:rsidRPr="00EE3355">
              <w:t>75,5 ± 24,1</w:t>
            </w:r>
          </w:p>
        </w:tc>
      </w:tr>
      <w:tr w:rsidR="00222DE0" w:rsidRPr="00EE3355" w14:paraId="614D8C59" w14:textId="77777777" w:rsidTr="00716588">
        <w:trPr>
          <w:cantSplit/>
          <w:trHeight w:val="20"/>
        </w:trPr>
        <w:tc>
          <w:tcPr>
            <w:tcW w:w="2884" w:type="dxa"/>
          </w:tcPr>
          <w:p w14:paraId="60FA5FB6" w14:textId="77777777" w:rsidR="00222DE0" w:rsidRPr="00EE3355" w:rsidRDefault="0098273B" w:rsidP="00EA1CDF">
            <w:pPr>
              <w:pStyle w:val="TableParagraph"/>
              <w:widowControl/>
            </w:pPr>
            <w:r w:rsidRPr="00EE3355">
              <w:t>C</w:t>
            </w:r>
            <w:r w:rsidR="00C5127F" w:rsidRPr="00EE3355">
              <w:rPr>
                <w:vertAlign w:val="subscript"/>
              </w:rPr>
              <w:t>min</w:t>
            </w:r>
            <w:r w:rsidRPr="00EE3355">
              <w:rPr>
                <w:sz w:val="14"/>
              </w:rPr>
              <w:t xml:space="preserve"> </w:t>
            </w:r>
            <w:r w:rsidRPr="00EE3355">
              <w:t>(µg/ml)</w:t>
            </w:r>
          </w:p>
        </w:tc>
        <w:tc>
          <w:tcPr>
            <w:tcW w:w="3034" w:type="dxa"/>
          </w:tcPr>
          <w:p w14:paraId="0036C3C7" w14:textId="77777777" w:rsidR="00222DE0" w:rsidRPr="00EE3355" w:rsidRDefault="0098273B" w:rsidP="00EA1CDF">
            <w:pPr>
              <w:pStyle w:val="TableParagraph"/>
              <w:widowControl/>
              <w:jc w:val="center"/>
            </w:pPr>
            <w:r w:rsidRPr="00EE3355">
              <w:t>11,8 ± 7,08</w:t>
            </w:r>
          </w:p>
        </w:tc>
        <w:tc>
          <w:tcPr>
            <w:tcW w:w="3258" w:type="dxa"/>
          </w:tcPr>
          <w:p w14:paraId="50016A08" w14:textId="77777777" w:rsidR="00222DE0" w:rsidRPr="00EE3355" w:rsidRDefault="0098273B" w:rsidP="00EA1CDF">
            <w:pPr>
              <w:pStyle w:val="TableParagraph"/>
              <w:widowControl/>
              <w:jc w:val="center"/>
            </w:pPr>
            <w:r w:rsidRPr="00EE3355">
              <w:t>18,4 ± 12,9</w:t>
            </w:r>
          </w:p>
        </w:tc>
      </w:tr>
      <w:tr w:rsidR="00222DE0" w:rsidRPr="00EE3355" w14:paraId="0998CCB4" w14:textId="77777777" w:rsidTr="00716588">
        <w:trPr>
          <w:cantSplit/>
          <w:trHeight w:val="20"/>
        </w:trPr>
        <w:tc>
          <w:tcPr>
            <w:tcW w:w="2884" w:type="dxa"/>
          </w:tcPr>
          <w:p w14:paraId="770E1995" w14:textId="77777777" w:rsidR="00222DE0" w:rsidRPr="00EE3355" w:rsidRDefault="0098273B" w:rsidP="00EA1CDF">
            <w:pPr>
              <w:pStyle w:val="TableParagraph"/>
              <w:widowControl/>
            </w:pPr>
            <w:r w:rsidRPr="00EE3355">
              <w:t>C</w:t>
            </w:r>
            <w:r w:rsidRPr="00EE3355">
              <w:rPr>
                <w:sz w:val="14"/>
              </w:rPr>
              <w:t xml:space="preserve">průměr </w:t>
            </w:r>
            <w:r w:rsidRPr="00EE3355">
              <w:t>(µg/ml)</w:t>
            </w:r>
          </w:p>
        </w:tc>
        <w:tc>
          <w:tcPr>
            <w:tcW w:w="3034" w:type="dxa"/>
          </w:tcPr>
          <w:p w14:paraId="72F84E81" w14:textId="77777777" w:rsidR="00222DE0" w:rsidRPr="00EE3355" w:rsidRDefault="0098273B" w:rsidP="00EA1CDF">
            <w:pPr>
              <w:pStyle w:val="TableParagraph"/>
              <w:widowControl/>
              <w:jc w:val="center"/>
            </w:pPr>
            <w:r w:rsidRPr="00EE3355">
              <w:t>21,7 ± 10,4</w:t>
            </w:r>
          </w:p>
        </w:tc>
        <w:tc>
          <w:tcPr>
            <w:tcW w:w="3258" w:type="dxa"/>
          </w:tcPr>
          <w:p w14:paraId="3AE8A1ED" w14:textId="77777777" w:rsidR="00222DE0" w:rsidRPr="00EE3355" w:rsidRDefault="0098273B" w:rsidP="00EA1CDF">
            <w:pPr>
              <w:pStyle w:val="TableParagraph"/>
              <w:widowControl/>
              <w:jc w:val="center"/>
            </w:pPr>
            <w:r w:rsidRPr="00EE3355">
              <w:t>45,5 ± 19,8</w:t>
            </w:r>
          </w:p>
        </w:tc>
      </w:tr>
      <w:tr w:rsidR="00222DE0" w:rsidRPr="00EE3355" w14:paraId="60D5C486" w14:textId="77777777" w:rsidTr="00716588">
        <w:trPr>
          <w:cantSplit/>
          <w:trHeight w:val="20"/>
        </w:trPr>
        <w:tc>
          <w:tcPr>
            <w:tcW w:w="2884" w:type="dxa"/>
          </w:tcPr>
          <w:p w14:paraId="45F1D36E" w14:textId="77777777" w:rsidR="00222DE0" w:rsidRPr="00EE3355" w:rsidRDefault="0098273B" w:rsidP="00EA1CDF">
            <w:pPr>
              <w:pStyle w:val="TableParagraph"/>
              <w:widowControl/>
              <w:rPr>
                <w:sz w:val="14"/>
              </w:rPr>
            </w:pPr>
            <w:r w:rsidRPr="00EE3355">
              <w:t>Koeficient kumulace</w:t>
            </w:r>
            <w:r w:rsidR="00716588">
              <w:t xml:space="preserve"> </w:t>
            </w:r>
            <w:r w:rsidRPr="00EE3355">
              <w:t>pro C</w:t>
            </w:r>
            <w:r w:rsidR="00C5127F" w:rsidRPr="00EE3355">
              <w:rPr>
                <w:vertAlign w:val="subscript"/>
              </w:rPr>
              <w:t>max</w:t>
            </w:r>
          </w:p>
        </w:tc>
        <w:tc>
          <w:tcPr>
            <w:tcW w:w="3034" w:type="dxa"/>
          </w:tcPr>
          <w:p w14:paraId="69490C15" w14:textId="77777777" w:rsidR="00222DE0" w:rsidRPr="00EE3355" w:rsidRDefault="0098273B" w:rsidP="00EA1CDF">
            <w:pPr>
              <w:pStyle w:val="TableParagraph"/>
              <w:widowControl/>
              <w:jc w:val="center"/>
            </w:pPr>
            <w:r w:rsidRPr="00EE3355">
              <w:t>1,72</w:t>
            </w:r>
          </w:p>
        </w:tc>
        <w:tc>
          <w:tcPr>
            <w:tcW w:w="3258" w:type="dxa"/>
          </w:tcPr>
          <w:p w14:paraId="32617BC3" w14:textId="77777777" w:rsidR="00222DE0" w:rsidRPr="00EE3355" w:rsidRDefault="0098273B" w:rsidP="00EA1CDF">
            <w:pPr>
              <w:pStyle w:val="TableParagraph"/>
              <w:widowControl/>
              <w:jc w:val="center"/>
            </w:pPr>
            <w:r w:rsidRPr="00EE3355">
              <w:t>1,32</w:t>
            </w:r>
          </w:p>
        </w:tc>
      </w:tr>
      <w:tr w:rsidR="00222DE0" w:rsidRPr="00EE3355" w14:paraId="086467EE" w14:textId="77777777" w:rsidTr="00716588">
        <w:trPr>
          <w:cantSplit/>
          <w:trHeight w:val="20"/>
        </w:trPr>
        <w:tc>
          <w:tcPr>
            <w:tcW w:w="2884" w:type="dxa"/>
          </w:tcPr>
          <w:p w14:paraId="03E13CF9" w14:textId="77777777" w:rsidR="00222DE0" w:rsidRPr="00EE3355" w:rsidRDefault="0098273B" w:rsidP="00EA1CDF">
            <w:pPr>
              <w:pStyle w:val="TableParagraph"/>
              <w:widowControl/>
              <w:rPr>
                <w:sz w:val="14"/>
              </w:rPr>
            </w:pPr>
            <w:r w:rsidRPr="00EE3355">
              <w:t>Koeficient kumulace</w:t>
            </w:r>
            <w:r w:rsidR="00716588">
              <w:t xml:space="preserve"> </w:t>
            </w:r>
            <w:r w:rsidRPr="00EE3355">
              <w:t>pro C</w:t>
            </w:r>
            <w:r w:rsidR="00C5127F" w:rsidRPr="00EE3355">
              <w:rPr>
                <w:vertAlign w:val="subscript"/>
              </w:rPr>
              <w:t>min</w:t>
            </w:r>
          </w:p>
        </w:tc>
        <w:tc>
          <w:tcPr>
            <w:tcW w:w="3034" w:type="dxa"/>
          </w:tcPr>
          <w:p w14:paraId="72ECCC55" w14:textId="77777777" w:rsidR="00222DE0" w:rsidRPr="00EE3355" w:rsidRDefault="0098273B" w:rsidP="00EA1CDF">
            <w:pPr>
              <w:pStyle w:val="TableParagraph"/>
              <w:widowControl/>
              <w:jc w:val="center"/>
            </w:pPr>
            <w:r w:rsidRPr="00EE3355">
              <w:t>3,58</w:t>
            </w:r>
          </w:p>
        </w:tc>
        <w:tc>
          <w:tcPr>
            <w:tcW w:w="3258" w:type="dxa"/>
          </w:tcPr>
          <w:p w14:paraId="0167DBB5" w14:textId="77777777" w:rsidR="00222DE0" w:rsidRPr="00EE3355" w:rsidRDefault="0098273B" w:rsidP="00EA1CDF">
            <w:pPr>
              <w:pStyle w:val="TableParagraph"/>
              <w:widowControl/>
              <w:jc w:val="center"/>
            </w:pPr>
            <w:r w:rsidRPr="00EE3355">
              <w:t>2,08</w:t>
            </w:r>
          </w:p>
        </w:tc>
      </w:tr>
      <w:tr w:rsidR="00222DE0" w:rsidRPr="00EE3355" w14:paraId="61A6AC16" w14:textId="77777777" w:rsidTr="00716588">
        <w:trPr>
          <w:cantSplit/>
          <w:trHeight w:val="20"/>
        </w:trPr>
        <w:tc>
          <w:tcPr>
            <w:tcW w:w="2884" w:type="dxa"/>
          </w:tcPr>
          <w:p w14:paraId="0EF3B948" w14:textId="77777777" w:rsidR="00222DE0" w:rsidRPr="00EE3355" w:rsidRDefault="0098273B" w:rsidP="00EA1CDF">
            <w:pPr>
              <w:pStyle w:val="TableParagraph"/>
              <w:widowControl/>
            </w:pPr>
            <w:r w:rsidRPr="00EE3355">
              <w:t>Koeficient kumulace</w:t>
            </w:r>
            <w:r w:rsidR="00716588">
              <w:t xml:space="preserve"> </w:t>
            </w:r>
            <w:r w:rsidRPr="00EE3355">
              <w:t>pro C</w:t>
            </w:r>
            <w:r w:rsidR="00C5127F" w:rsidRPr="00EE3355">
              <w:rPr>
                <w:vertAlign w:val="subscript"/>
              </w:rPr>
              <w:t>střední</w:t>
            </w:r>
            <w:r w:rsidRPr="00EE3355">
              <w:rPr>
                <w:sz w:val="14"/>
              </w:rPr>
              <w:t xml:space="preserve"> </w:t>
            </w:r>
            <w:r w:rsidRPr="00EE3355">
              <w:t>nebo AUCτ*</w:t>
            </w:r>
          </w:p>
        </w:tc>
        <w:tc>
          <w:tcPr>
            <w:tcW w:w="3034" w:type="dxa"/>
          </w:tcPr>
          <w:p w14:paraId="3717B764" w14:textId="77777777" w:rsidR="00222DE0" w:rsidRPr="00EE3355" w:rsidRDefault="0098273B" w:rsidP="00EA1CDF">
            <w:pPr>
              <w:pStyle w:val="TableParagraph"/>
              <w:widowControl/>
              <w:jc w:val="center"/>
            </w:pPr>
            <w:r w:rsidRPr="00EE3355">
              <w:t>2,04</w:t>
            </w:r>
          </w:p>
        </w:tc>
        <w:tc>
          <w:tcPr>
            <w:tcW w:w="3258" w:type="dxa"/>
          </w:tcPr>
          <w:p w14:paraId="23E34A50" w14:textId="77777777" w:rsidR="00222DE0" w:rsidRPr="00EE3355" w:rsidRDefault="0098273B" w:rsidP="00EA1CDF">
            <w:pPr>
              <w:pStyle w:val="TableParagraph"/>
              <w:widowControl/>
              <w:jc w:val="center"/>
            </w:pPr>
            <w:r w:rsidRPr="00EE3355">
              <w:t>1,46</w:t>
            </w:r>
          </w:p>
        </w:tc>
      </w:tr>
    </w:tbl>
    <w:p w14:paraId="5224BDB4" w14:textId="77777777" w:rsidR="00222DE0" w:rsidRPr="00EE3355" w:rsidRDefault="0098273B" w:rsidP="00EA1CDF">
      <w:pPr>
        <w:widowControl/>
        <w:rPr>
          <w:sz w:val="18"/>
        </w:rPr>
      </w:pPr>
      <w:r w:rsidRPr="00EE3355">
        <w:rPr>
          <w:sz w:val="18"/>
        </w:rPr>
        <w:t>*τ = 4 týdny u intravenózních režimů a 2 týdny, resp. 3 týdny u subkutánních režimů</w:t>
      </w:r>
    </w:p>
    <w:p w14:paraId="668E89F1" w14:textId="77777777" w:rsidR="00222DE0" w:rsidRPr="00EE3355" w:rsidRDefault="00222DE0" w:rsidP="00EA1CDF">
      <w:pPr>
        <w:pStyle w:val="a3"/>
        <w:widowControl/>
        <w:ind w:left="0"/>
        <w:rPr>
          <w:sz w:val="18"/>
        </w:rPr>
      </w:pPr>
    </w:p>
    <w:p w14:paraId="054EBD71" w14:textId="77777777" w:rsidR="00222DE0" w:rsidRDefault="0098273B" w:rsidP="00EA1CDF">
      <w:pPr>
        <w:pStyle w:val="a3"/>
        <w:widowControl/>
        <w:ind w:left="0"/>
      </w:pPr>
      <w:r w:rsidRPr="00EE3355">
        <w:t>Po intravenózním podání bylo dosaženo přibližně 90 % ustáleného stavu do týdne 12 pro dávku</w:t>
      </w:r>
      <w:r w:rsidR="00E74330">
        <w:t xml:space="preserve"> </w:t>
      </w:r>
      <w:r w:rsidRPr="00EE3355">
        <w:t>10 mg/kg (tělesná hmotnost &lt; 30 kg) a do týdne 16 pro dávku 8 mg/kg (tělesná hmotnost ≥ 30 kg). Po subkutánním podání bylo dosaženo přibližně 90 % ustáleného stavu do týdne 12 v režimu 162 mg každé 2 týdny i každé 3 týdny.</w:t>
      </w:r>
    </w:p>
    <w:p w14:paraId="38C65831" w14:textId="77777777" w:rsidR="00E74330" w:rsidRPr="00EE3355" w:rsidRDefault="00E74330" w:rsidP="00EA1CDF">
      <w:pPr>
        <w:pStyle w:val="a3"/>
        <w:widowControl/>
        <w:ind w:left="0"/>
      </w:pPr>
    </w:p>
    <w:p w14:paraId="2C3215DC" w14:textId="77777777" w:rsidR="00222DE0" w:rsidRPr="00EE3355" w:rsidRDefault="0098273B" w:rsidP="00EA1CDF">
      <w:pPr>
        <w:pStyle w:val="a3"/>
        <w:widowControl/>
        <w:ind w:left="0"/>
      </w:pPr>
      <w:r w:rsidRPr="00EE3355">
        <w:rPr>
          <w:u w:val="single"/>
        </w:rPr>
        <w:t>Absorpce</w:t>
      </w:r>
    </w:p>
    <w:p w14:paraId="187D6C65" w14:textId="77777777" w:rsidR="00222DE0" w:rsidRPr="00EE3355" w:rsidRDefault="0098273B" w:rsidP="00EA1CDF">
      <w:pPr>
        <w:pStyle w:val="a3"/>
        <w:widowControl/>
        <w:ind w:left="0"/>
      </w:pPr>
      <w:r w:rsidRPr="00EE3355">
        <w:t>Po subkutánním podání byl u pacientů s pJIA absorpční poločas přibližně 2 dny a biologická</w:t>
      </w:r>
      <w:r w:rsidR="00E74330">
        <w:t xml:space="preserve"> </w:t>
      </w:r>
      <w:r w:rsidRPr="00EE3355">
        <w:t>dostupnost subkutánní lékové formy byla u pacientů s pJIA 96 %.</w:t>
      </w:r>
    </w:p>
    <w:p w14:paraId="1EB41F82" w14:textId="77777777" w:rsidR="00222DE0" w:rsidRPr="00EE3355" w:rsidRDefault="00222DE0" w:rsidP="00EA1CDF">
      <w:pPr>
        <w:pStyle w:val="a3"/>
        <w:widowControl/>
        <w:ind w:left="0"/>
      </w:pPr>
    </w:p>
    <w:p w14:paraId="7F297645" w14:textId="77777777" w:rsidR="00222DE0" w:rsidRPr="00EE3355" w:rsidRDefault="0098273B" w:rsidP="00EA1CDF">
      <w:pPr>
        <w:pStyle w:val="a3"/>
        <w:widowControl/>
        <w:ind w:left="0"/>
      </w:pPr>
      <w:r w:rsidRPr="00EE3355">
        <w:rPr>
          <w:u w:val="single"/>
        </w:rPr>
        <w:t>Distribuce</w:t>
      </w:r>
    </w:p>
    <w:p w14:paraId="74AB302C" w14:textId="77777777" w:rsidR="00222DE0" w:rsidRPr="00EE3355" w:rsidRDefault="0098273B" w:rsidP="00EA1CDF">
      <w:pPr>
        <w:pStyle w:val="a3"/>
        <w:widowControl/>
        <w:ind w:left="0"/>
      </w:pPr>
      <w:r w:rsidRPr="00EE3355">
        <w:t>Centrální distribuční objem u pediatrických pacientů s pJIA byl 1,97 l, periferní distribuční objem byl</w:t>
      </w:r>
      <w:r w:rsidR="00E74330">
        <w:t xml:space="preserve"> </w:t>
      </w:r>
      <w:r w:rsidRPr="00EE3355">
        <w:t>2,03 l; distribuční objem v ustáleném stavu tak činil 4,0 l.</w:t>
      </w:r>
    </w:p>
    <w:p w14:paraId="6663F29B" w14:textId="77777777" w:rsidR="006D01F5" w:rsidRPr="00EE3355" w:rsidRDefault="006D01F5" w:rsidP="00EA1CDF">
      <w:pPr>
        <w:pStyle w:val="a3"/>
        <w:widowControl/>
        <w:ind w:left="0"/>
      </w:pPr>
    </w:p>
    <w:p w14:paraId="235F106F" w14:textId="77777777" w:rsidR="00222DE0" w:rsidRPr="00EE3355" w:rsidRDefault="0098273B" w:rsidP="00EA1CDF">
      <w:pPr>
        <w:pStyle w:val="a3"/>
        <w:widowControl/>
        <w:ind w:left="0"/>
      </w:pPr>
      <w:r w:rsidRPr="00EE3355">
        <w:rPr>
          <w:u w:val="single"/>
        </w:rPr>
        <w:t>Eliminace</w:t>
      </w:r>
    </w:p>
    <w:p w14:paraId="110629ED" w14:textId="6DC1D300" w:rsidR="00222DE0" w:rsidRPr="00EE3355" w:rsidRDefault="0098273B" w:rsidP="00EA1CDF">
      <w:pPr>
        <w:pStyle w:val="a3"/>
        <w:widowControl/>
        <w:ind w:left="0"/>
      </w:pPr>
      <w:r w:rsidRPr="00EE3355">
        <w:t>Populační farmakokinetická analýza pacientů s pJIA prokázala vliv tělesného rozměru na lineární clearance, a proto má být zváženo dávkování na základě tělesné hmotnosti (viz tabulka 9).</w:t>
      </w:r>
      <w:r w:rsidR="006D01F5" w:rsidRPr="00EE3355">
        <w:t xml:space="preserve"> </w:t>
      </w:r>
      <w:r w:rsidRPr="00EE3355">
        <w:t>Účinný t</w:t>
      </w:r>
      <w:r w:rsidRPr="00EE3355">
        <w:rPr>
          <w:sz w:val="14"/>
        </w:rPr>
        <w:t xml:space="preserve">1/2 </w:t>
      </w:r>
      <w:r w:rsidRPr="00EE3355">
        <w:t xml:space="preserve">po subkutánním podání </w:t>
      </w:r>
      <w:r w:rsidR="006F1E69" w:rsidRPr="001879E9">
        <w:t>tocilizumab</w:t>
      </w:r>
      <w:r w:rsidR="006F1E69">
        <w:t xml:space="preserve">u </w:t>
      </w:r>
      <w:r w:rsidRPr="00EE3355">
        <w:t>pacientům s pJIA je do 10 dnů u pacientů</w:t>
      </w:r>
      <w:r w:rsidR="00E74330">
        <w:t xml:space="preserve"> </w:t>
      </w:r>
      <w:r w:rsidRPr="00EE3355">
        <w:t>&lt; 30 kg (162 mg subkutánně každé 3 týdny) a do 7 dnů u pacientů ≥ 30 kg (162 mg subkutánně každé 2 týdny) během intervalu podávání v ustáleném stavu. Tocilizumab prochází po intravenózním podání dvoufázovou eliminací z cirkulace. Celková clearance tocilizumabu byla závislá na koncentraci a je součtem lineární a nelineární clearance. Lineární clearance byla stanovena odhadem jako parametr</w:t>
      </w:r>
      <w:r w:rsidR="006D01F5" w:rsidRPr="00EE3355">
        <w:t xml:space="preserve"> </w:t>
      </w:r>
      <w:r w:rsidRPr="00EE3355">
        <w:t>v populační farmakokinetické analýze a byla 6,25 ml/hod. Při nízkých koncentracích tocilizumabu hraje důležitou roli nelineární clearance závislá na koncentraci. Po saturování nelineárního eliminačního mechanismu při vyšších koncentracích je pro eliminaci rozhodující především lineární clearance.</w:t>
      </w:r>
    </w:p>
    <w:p w14:paraId="34831408" w14:textId="77777777" w:rsidR="00222DE0" w:rsidRPr="00EE3355" w:rsidRDefault="00222DE0" w:rsidP="00EA1CDF">
      <w:pPr>
        <w:widowControl/>
      </w:pPr>
    </w:p>
    <w:p w14:paraId="23A453D2" w14:textId="77777777" w:rsidR="00222DE0" w:rsidRPr="00EE3355" w:rsidRDefault="0098273B" w:rsidP="00EA1CDF">
      <w:pPr>
        <w:pStyle w:val="a3"/>
        <w:widowControl/>
        <w:ind w:left="0"/>
      </w:pPr>
      <w:r w:rsidRPr="00EE3355">
        <w:rPr>
          <w:u w:val="single"/>
        </w:rPr>
        <w:t>GCA</w:t>
      </w:r>
    </w:p>
    <w:p w14:paraId="72305BC1" w14:textId="77777777" w:rsidR="00222DE0" w:rsidRPr="00EE3355" w:rsidRDefault="0098273B" w:rsidP="00EA1CDF">
      <w:pPr>
        <w:pStyle w:val="a3"/>
        <w:widowControl/>
        <w:ind w:left="0"/>
      </w:pPr>
      <w:r w:rsidRPr="00EE3355">
        <w:rPr>
          <w:u w:val="single"/>
        </w:rPr>
        <w:t>Subkutánní podání</w:t>
      </w:r>
    </w:p>
    <w:p w14:paraId="443CEB5B" w14:textId="3FC88629" w:rsidR="00222DE0" w:rsidRPr="00EE3355" w:rsidRDefault="0098273B" w:rsidP="00EA1CDF">
      <w:pPr>
        <w:pStyle w:val="a3"/>
        <w:widowControl/>
        <w:ind w:left="0"/>
      </w:pPr>
      <w:r w:rsidRPr="00EE3355">
        <w:t xml:space="preserve">PK </w:t>
      </w:r>
      <w:r w:rsidR="006F1E69" w:rsidRPr="001879E9">
        <w:t>tocilizumab</w:t>
      </w:r>
      <w:r w:rsidR="006F1E69">
        <w:t xml:space="preserve">u </w:t>
      </w:r>
      <w:r w:rsidRPr="00EE3355">
        <w:t>u pacientů s GCA byla stanovena pomocí populačního PK modelu na základě souboru dat pro analýzu od 149 pacientů s GCA léčených 162 mg podanými subkutánně jednou týdně nebo 162 mg podanými subkutánně každé dva týdny. Model měl stejnou strukturu jako předchozí populační PK model vycházející z dat pro pacienty s RA (viz tabulka 10).</w:t>
      </w:r>
    </w:p>
    <w:p w14:paraId="701DDFCB" w14:textId="77777777" w:rsidR="00E62324" w:rsidRPr="00EE3355" w:rsidRDefault="00E62324" w:rsidP="00EA1CDF">
      <w:pPr>
        <w:pStyle w:val="a3"/>
        <w:widowControl/>
        <w:ind w:left="0"/>
      </w:pPr>
    </w:p>
    <w:p w14:paraId="451F5180" w14:textId="77777777" w:rsidR="00222DE0" w:rsidRPr="00EE3355" w:rsidRDefault="0098273B" w:rsidP="00EA1CDF">
      <w:pPr>
        <w:keepNext/>
        <w:widowControl/>
        <w:ind w:left="1418" w:hanging="1418"/>
        <w:rPr>
          <w:i/>
        </w:rPr>
      </w:pPr>
      <w:r w:rsidRPr="00EE3355">
        <w:rPr>
          <w:i/>
        </w:rPr>
        <w:t>Tabulka 10.</w:t>
      </w:r>
      <w:r w:rsidR="00E62324" w:rsidRPr="00EE3355">
        <w:rPr>
          <w:i/>
        </w:rPr>
        <w:tab/>
      </w:r>
      <w:r w:rsidRPr="00EE3355">
        <w:rPr>
          <w:i/>
        </w:rPr>
        <w:t>Predikované střední hodnoty ± SD pro PK parametry v ustáleném stavu po subkutánním podání pacientům s GCA</w:t>
      </w:r>
    </w:p>
    <w:tbl>
      <w:tblPr>
        <w:tblW w:w="917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920"/>
        <w:gridCol w:w="2657"/>
        <w:gridCol w:w="2602"/>
      </w:tblGrid>
      <w:tr w:rsidR="00222DE0" w:rsidRPr="00EE3355" w14:paraId="6126F270" w14:textId="77777777" w:rsidTr="00E74330">
        <w:trPr>
          <w:cantSplit/>
          <w:trHeight w:val="20"/>
          <w:tblHeader/>
        </w:trPr>
        <w:tc>
          <w:tcPr>
            <w:tcW w:w="3920" w:type="dxa"/>
          </w:tcPr>
          <w:p w14:paraId="5D8684EC" w14:textId="77777777" w:rsidR="00222DE0" w:rsidRPr="00EE3355" w:rsidRDefault="00222DE0" w:rsidP="00EA1CDF">
            <w:pPr>
              <w:pStyle w:val="TableParagraph"/>
              <w:widowControl/>
              <w:rPr>
                <w:sz w:val="20"/>
              </w:rPr>
            </w:pPr>
          </w:p>
        </w:tc>
        <w:tc>
          <w:tcPr>
            <w:tcW w:w="5259" w:type="dxa"/>
            <w:gridSpan w:val="2"/>
          </w:tcPr>
          <w:p w14:paraId="0CA64162" w14:textId="77777777" w:rsidR="00222DE0" w:rsidRPr="00EE3355" w:rsidRDefault="0098273B" w:rsidP="00EA1CDF">
            <w:pPr>
              <w:pStyle w:val="TableParagraph"/>
              <w:widowControl/>
              <w:jc w:val="center"/>
              <w:rPr>
                <w:b/>
                <w:sz w:val="20"/>
              </w:rPr>
            </w:pPr>
            <w:r w:rsidRPr="00EE3355">
              <w:rPr>
                <w:b/>
                <w:sz w:val="20"/>
              </w:rPr>
              <w:t>Subkutánní</w:t>
            </w:r>
          </w:p>
        </w:tc>
      </w:tr>
      <w:tr w:rsidR="00222DE0" w:rsidRPr="00EE3355" w14:paraId="585A4E04" w14:textId="77777777" w:rsidTr="00E74330">
        <w:trPr>
          <w:cantSplit/>
          <w:trHeight w:val="20"/>
          <w:tblHeader/>
        </w:trPr>
        <w:tc>
          <w:tcPr>
            <w:tcW w:w="3920" w:type="dxa"/>
          </w:tcPr>
          <w:p w14:paraId="2E2FA87A" w14:textId="0ACFA0C0" w:rsidR="00222DE0" w:rsidRPr="00EE3355" w:rsidRDefault="0098273B" w:rsidP="00EA1CDF">
            <w:pPr>
              <w:pStyle w:val="TableParagraph"/>
              <w:widowControl/>
              <w:rPr>
                <w:b/>
                <w:sz w:val="20"/>
              </w:rPr>
            </w:pPr>
            <w:r w:rsidRPr="00EE3355">
              <w:rPr>
                <w:b/>
                <w:sz w:val="20"/>
              </w:rPr>
              <w:t>PK parametr tocilizumab</w:t>
            </w:r>
          </w:p>
        </w:tc>
        <w:tc>
          <w:tcPr>
            <w:tcW w:w="2657" w:type="dxa"/>
          </w:tcPr>
          <w:p w14:paraId="755F1879" w14:textId="77777777" w:rsidR="00222DE0" w:rsidRPr="00EE3355" w:rsidRDefault="0098273B" w:rsidP="00EA1CDF">
            <w:pPr>
              <w:pStyle w:val="TableParagraph"/>
              <w:widowControl/>
              <w:jc w:val="center"/>
              <w:rPr>
                <w:b/>
                <w:sz w:val="20"/>
              </w:rPr>
            </w:pPr>
            <w:r w:rsidRPr="00EE3355">
              <w:rPr>
                <w:b/>
                <w:sz w:val="20"/>
              </w:rPr>
              <w:t>162 mg každé dva týdny</w:t>
            </w:r>
          </w:p>
        </w:tc>
        <w:tc>
          <w:tcPr>
            <w:tcW w:w="2602" w:type="dxa"/>
          </w:tcPr>
          <w:p w14:paraId="5C3AD716" w14:textId="77777777" w:rsidR="00222DE0" w:rsidRPr="00EE3355" w:rsidRDefault="0098273B" w:rsidP="00EA1CDF">
            <w:pPr>
              <w:pStyle w:val="TableParagraph"/>
              <w:widowControl/>
              <w:jc w:val="center"/>
              <w:rPr>
                <w:b/>
                <w:sz w:val="20"/>
              </w:rPr>
            </w:pPr>
            <w:r w:rsidRPr="00EE3355">
              <w:rPr>
                <w:b/>
                <w:sz w:val="20"/>
              </w:rPr>
              <w:t>162 mg jednou týdně</w:t>
            </w:r>
          </w:p>
        </w:tc>
      </w:tr>
      <w:tr w:rsidR="00222DE0" w:rsidRPr="00EE3355" w14:paraId="1DCD008A" w14:textId="77777777" w:rsidTr="00E74330">
        <w:trPr>
          <w:cantSplit/>
          <w:trHeight w:val="20"/>
        </w:trPr>
        <w:tc>
          <w:tcPr>
            <w:tcW w:w="3920" w:type="dxa"/>
          </w:tcPr>
          <w:p w14:paraId="1B6FE64B" w14:textId="77777777" w:rsidR="00222DE0" w:rsidRPr="00EE3355" w:rsidRDefault="0098273B" w:rsidP="00EA1CDF">
            <w:pPr>
              <w:pStyle w:val="TableParagraph"/>
              <w:widowControl/>
              <w:rPr>
                <w:sz w:val="20"/>
              </w:rPr>
            </w:pPr>
            <w:r w:rsidRPr="00EE3355">
              <w:rPr>
                <w:sz w:val="20"/>
              </w:rPr>
              <w:t>C</w:t>
            </w:r>
            <w:r w:rsidRPr="00EE3355">
              <w:rPr>
                <w:sz w:val="13"/>
              </w:rPr>
              <w:t xml:space="preserve">max </w:t>
            </w:r>
            <w:r w:rsidRPr="00EE3355">
              <w:rPr>
                <w:sz w:val="20"/>
              </w:rPr>
              <w:t>(µg/ml)</w:t>
            </w:r>
          </w:p>
        </w:tc>
        <w:tc>
          <w:tcPr>
            <w:tcW w:w="2657" w:type="dxa"/>
          </w:tcPr>
          <w:p w14:paraId="2EE281DF" w14:textId="77777777" w:rsidR="00222DE0" w:rsidRPr="00EE3355" w:rsidRDefault="0098273B" w:rsidP="00EA1CDF">
            <w:pPr>
              <w:pStyle w:val="TableParagraph"/>
              <w:widowControl/>
              <w:jc w:val="center"/>
              <w:rPr>
                <w:sz w:val="20"/>
              </w:rPr>
            </w:pPr>
            <w:r w:rsidRPr="00EE3355">
              <w:rPr>
                <w:sz w:val="20"/>
              </w:rPr>
              <w:t>19,3 ± 12,8</w:t>
            </w:r>
          </w:p>
        </w:tc>
        <w:tc>
          <w:tcPr>
            <w:tcW w:w="2602" w:type="dxa"/>
          </w:tcPr>
          <w:p w14:paraId="429D0B73" w14:textId="77777777" w:rsidR="00222DE0" w:rsidRPr="00EE3355" w:rsidRDefault="0098273B" w:rsidP="00EA1CDF">
            <w:pPr>
              <w:pStyle w:val="TableParagraph"/>
              <w:widowControl/>
              <w:jc w:val="center"/>
              <w:rPr>
                <w:sz w:val="20"/>
              </w:rPr>
            </w:pPr>
            <w:r w:rsidRPr="00EE3355">
              <w:rPr>
                <w:sz w:val="20"/>
              </w:rPr>
              <w:t>73 ± 30,4</w:t>
            </w:r>
          </w:p>
        </w:tc>
      </w:tr>
      <w:tr w:rsidR="00222DE0" w:rsidRPr="00EE3355" w14:paraId="3A6C3ECD" w14:textId="77777777" w:rsidTr="00E74330">
        <w:trPr>
          <w:cantSplit/>
          <w:trHeight w:val="20"/>
        </w:trPr>
        <w:tc>
          <w:tcPr>
            <w:tcW w:w="3920" w:type="dxa"/>
          </w:tcPr>
          <w:p w14:paraId="5C9A65BA" w14:textId="77777777" w:rsidR="00222DE0" w:rsidRPr="00EE3355" w:rsidRDefault="0098273B" w:rsidP="00EA1CDF">
            <w:pPr>
              <w:pStyle w:val="TableParagraph"/>
              <w:widowControl/>
              <w:rPr>
                <w:sz w:val="20"/>
              </w:rPr>
            </w:pPr>
            <w:r w:rsidRPr="00EE3355">
              <w:rPr>
                <w:sz w:val="20"/>
              </w:rPr>
              <w:t>C</w:t>
            </w:r>
            <w:r w:rsidRPr="00EE3355">
              <w:rPr>
                <w:sz w:val="13"/>
              </w:rPr>
              <w:t xml:space="preserve">min </w:t>
            </w:r>
            <w:r w:rsidRPr="00EE3355">
              <w:rPr>
                <w:sz w:val="20"/>
              </w:rPr>
              <w:t>(µg/ml)</w:t>
            </w:r>
          </w:p>
        </w:tc>
        <w:tc>
          <w:tcPr>
            <w:tcW w:w="2657" w:type="dxa"/>
          </w:tcPr>
          <w:p w14:paraId="2A3D883C" w14:textId="77777777" w:rsidR="00222DE0" w:rsidRPr="00EE3355" w:rsidRDefault="0098273B" w:rsidP="00EA1CDF">
            <w:pPr>
              <w:pStyle w:val="TableParagraph"/>
              <w:widowControl/>
              <w:jc w:val="center"/>
              <w:rPr>
                <w:sz w:val="20"/>
              </w:rPr>
            </w:pPr>
            <w:r w:rsidRPr="00EE3355">
              <w:rPr>
                <w:sz w:val="20"/>
              </w:rPr>
              <w:t>11,1 ± 10,3</w:t>
            </w:r>
          </w:p>
        </w:tc>
        <w:tc>
          <w:tcPr>
            <w:tcW w:w="2602" w:type="dxa"/>
          </w:tcPr>
          <w:p w14:paraId="15A01C59" w14:textId="77777777" w:rsidR="00222DE0" w:rsidRPr="00EE3355" w:rsidRDefault="0098273B" w:rsidP="00EA1CDF">
            <w:pPr>
              <w:pStyle w:val="TableParagraph"/>
              <w:widowControl/>
              <w:jc w:val="center"/>
              <w:rPr>
                <w:sz w:val="20"/>
              </w:rPr>
            </w:pPr>
            <w:r w:rsidRPr="00EE3355">
              <w:rPr>
                <w:sz w:val="20"/>
              </w:rPr>
              <w:t>68,1 ± 29,5</w:t>
            </w:r>
          </w:p>
        </w:tc>
      </w:tr>
      <w:tr w:rsidR="00222DE0" w:rsidRPr="00EE3355" w14:paraId="011779FA" w14:textId="77777777" w:rsidTr="00E74330">
        <w:trPr>
          <w:cantSplit/>
          <w:trHeight w:val="20"/>
        </w:trPr>
        <w:tc>
          <w:tcPr>
            <w:tcW w:w="3920" w:type="dxa"/>
          </w:tcPr>
          <w:p w14:paraId="65B2085A" w14:textId="77777777" w:rsidR="00222DE0" w:rsidRPr="00EE3355" w:rsidRDefault="0098273B" w:rsidP="00EA1CDF">
            <w:pPr>
              <w:pStyle w:val="TableParagraph"/>
              <w:widowControl/>
              <w:rPr>
                <w:sz w:val="20"/>
              </w:rPr>
            </w:pPr>
            <w:r w:rsidRPr="00EE3355">
              <w:rPr>
                <w:sz w:val="20"/>
              </w:rPr>
              <w:t>C</w:t>
            </w:r>
            <w:r w:rsidRPr="00EE3355">
              <w:rPr>
                <w:sz w:val="13"/>
              </w:rPr>
              <w:t xml:space="preserve">střední </w:t>
            </w:r>
            <w:r w:rsidRPr="00EE3355">
              <w:rPr>
                <w:sz w:val="20"/>
              </w:rPr>
              <w:t>(µg/ml)</w:t>
            </w:r>
          </w:p>
        </w:tc>
        <w:tc>
          <w:tcPr>
            <w:tcW w:w="2657" w:type="dxa"/>
          </w:tcPr>
          <w:p w14:paraId="79F74247" w14:textId="77777777" w:rsidR="00222DE0" w:rsidRPr="00EE3355" w:rsidRDefault="0098273B" w:rsidP="00EA1CDF">
            <w:pPr>
              <w:pStyle w:val="TableParagraph"/>
              <w:widowControl/>
              <w:jc w:val="center"/>
              <w:rPr>
                <w:sz w:val="20"/>
              </w:rPr>
            </w:pPr>
            <w:r w:rsidRPr="00EE3355">
              <w:rPr>
                <w:sz w:val="20"/>
              </w:rPr>
              <w:t>16,2 ± 11,8</w:t>
            </w:r>
          </w:p>
        </w:tc>
        <w:tc>
          <w:tcPr>
            <w:tcW w:w="2602" w:type="dxa"/>
          </w:tcPr>
          <w:p w14:paraId="1DB698FA" w14:textId="77777777" w:rsidR="00222DE0" w:rsidRPr="00EE3355" w:rsidRDefault="0098273B" w:rsidP="00EA1CDF">
            <w:pPr>
              <w:pStyle w:val="TableParagraph"/>
              <w:widowControl/>
              <w:jc w:val="center"/>
              <w:rPr>
                <w:sz w:val="20"/>
              </w:rPr>
            </w:pPr>
            <w:r w:rsidRPr="00EE3355">
              <w:rPr>
                <w:sz w:val="20"/>
              </w:rPr>
              <w:t>71,3 ± 30,1</w:t>
            </w:r>
          </w:p>
        </w:tc>
      </w:tr>
      <w:tr w:rsidR="00222DE0" w:rsidRPr="00EE3355" w14:paraId="2CBF874E" w14:textId="77777777" w:rsidTr="00E74330">
        <w:trPr>
          <w:cantSplit/>
          <w:trHeight w:val="20"/>
        </w:trPr>
        <w:tc>
          <w:tcPr>
            <w:tcW w:w="3920" w:type="dxa"/>
          </w:tcPr>
          <w:p w14:paraId="7CAF2669" w14:textId="77777777" w:rsidR="00222DE0" w:rsidRPr="00EE3355" w:rsidRDefault="0098273B" w:rsidP="00EA1CDF">
            <w:pPr>
              <w:pStyle w:val="TableParagraph"/>
              <w:widowControl/>
              <w:rPr>
                <w:sz w:val="13"/>
              </w:rPr>
            </w:pPr>
            <w:r w:rsidRPr="00EE3355">
              <w:rPr>
                <w:sz w:val="20"/>
              </w:rPr>
              <w:t>Akumulační C</w:t>
            </w:r>
            <w:r w:rsidRPr="00EE3355">
              <w:rPr>
                <w:sz w:val="13"/>
              </w:rPr>
              <w:t>max</w:t>
            </w:r>
          </w:p>
        </w:tc>
        <w:tc>
          <w:tcPr>
            <w:tcW w:w="2657" w:type="dxa"/>
          </w:tcPr>
          <w:p w14:paraId="66618BFF" w14:textId="77777777" w:rsidR="00222DE0" w:rsidRPr="00EE3355" w:rsidRDefault="0098273B" w:rsidP="00EA1CDF">
            <w:pPr>
              <w:pStyle w:val="TableParagraph"/>
              <w:widowControl/>
              <w:jc w:val="center"/>
              <w:rPr>
                <w:sz w:val="20"/>
              </w:rPr>
            </w:pPr>
            <w:r w:rsidRPr="00EE3355">
              <w:rPr>
                <w:sz w:val="20"/>
              </w:rPr>
              <w:t>2,18</w:t>
            </w:r>
          </w:p>
        </w:tc>
        <w:tc>
          <w:tcPr>
            <w:tcW w:w="2602" w:type="dxa"/>
          </w:tcPr>
          <w:p w14:paraId="474492C6" w14:textId="77777777" w:rsidR="00222DE0" w:rsidRPr="00EE3355" w:rsidRDefault="0098273B" w:rsidP="00EA1CDF">
            <w:pPr>
              <w:pStyle w:val="TableParagraph"/>
              <w:widowControl/>
              <w:jc w:val="center"/>
              <w:rPr>
                <w:sz w:val="20"/>
              </w:rPr>
            </w:pPr>
            <w:r w:rsidRPr="00EE3355">
              <w:rPr>
                <w:sz w:val="20"/>
              </w:rPr>
              <w:t>8,88</w:t>
            </w:r>
          </w:p>
        </w:tc>
      </w:tr>
      <w:tr w:rsidR="00222DE0" w:rsidRPr="00EE3355" w14:paraId="21B1E0D6" w14:textId="77777777" w:rsidTr="00E74330">
        <w:trPr>
          <w:cantSplit/>
          <w:trHeight w:val="20"/>
        </w:trPr>
        <w:tc>
          <w:tcPr>
            <w:tcW w:w="3920" w:type="dxa"/>
          </w:tcPr>
          <w:p w14:paraId="4AB678DA" w14:textId="77777777" w:rsidR="00222DE0" w:rsidRPr="00EE3355" w:rsidRDefault="0098273B" w:rsidP="00EA1CDF">
            <w:pPr>
              <w:pStyle w:val="TableParagraph"/>
              <w:widowControl/>
              <w:rPr>
                <w:sz w:val="13"/>
              </w:rPr>
            </w:pPr>
            <w:r w:rsidRPr="00EE3355">
              <w:rPr>
                <w:sz w:val="20"/>
              </w:rPr>
              <w:lastRenderedPageBreak/>
              <w:t>Akumulační C</w:t>
            </w:r>
            <w:r w:rsidRPr="00EE3355">
              <w:rPr>
                <w:sz w:val="13"/>
              </w:rPr>
              <w:t>min</w:t>
            </w:r>
          </w:p>
        </w:tc>
        <w:tc>
          <w:tcPr>
            <w:tcW w:w="2657" w:type="dxa"/>
          </w:tcPr>
          <w:p w14:paraId="554721E7" w14:textId="77777777" w:rsidR="00222DE0" w:rsidRPr="00EE3355" w:rsidRDefault="0098273B" w:rsidP="00EA1CDF">
            <w:pPr>
              <w:pStyle w:val="TableParagraph"/>
              <w:widowControl/>
              <w:jc w:val="center"/>
              <w:rPr>
                <w:sz w:val="20"/>
              </w:rPr>
            </w:pPr>
            <w:r w:rsidRPr="00EE3355">
              <w:rPr>
                <w:sz w:val="20"/>
              </w:rPr>
              <w:t>5,61</w:t>
            </w:r>
          </w:p>
        </w:tc>
        <w:tc>
          <w:tcPr>
            <w:tcW w:w="2602" w:type="dxa"/>
          </w:tcPr>
          <w:p w14:paraId="24EC8B8A" w14:textId="77777777" w:rsidR="00222DE0" w:rsidRPr="00EE3355" w:rsidRDefault="0098273B" w:rsidP="00EA1CDF">
            <w:pPr>
              <w:pStyle w:val="TableParagraph"/>
              <w:widowControl/>
              <w:jc w:val="center"/>
              <w:rPr>
                <w:sz w:val="20"/>
              </w:rPr>
            </w:pPr>
            <w:r w:rsidRPr="00EE3355">
              <w:rPr>
                <w:sz w:val="20"/>
              </w:rPr>
              <w:t>9,59</w:t>
            </w:r>
          </w:p>
        </w:tc>
      </w:tr>
      <w:tr w:rsidR="00222DE0" w:rsidRPr="00EE3355" w14:paraId="494DF82A" w14:textId="77777777" w:rsidTr="00E74330">
        <w:trPr>
          <w:cantSplit/>
          <w:trHeight w:val="20"/>
        </w:trPr>
        <w:tc>
          <w:tcPr>
            <w:tcW w:w="3920" w:type="dxa"/>
          </w:tcPr>
          <w:p w14:paraId="400B31F5" w14:textId="77777777" w:rsidR="00222DE0" w:rsidRPr="00EE3355" w:rsidRDefault="0098273B" w:rsidP="00EA1CDF">
            <w:pPr>
              <w:pStyle w:val="TableParagraph"/>
              <w:widowControl/>
              <w:rPr>
                <w:sz w:val="20"/>
              </w:rPr>
            </w:pPr>
            <w:r w:rsidRPr="00EE3355">
              <w:rPr>
                <w:sz w:val="20"/>
              </w:rPr>
              <w:t>Akumulační C</w:t>
            </w:r>
            <w:r w:rsidRPr="00EE3355">
              <w:rPr>
                <w:sz w:val="13"/>
              </w:rPr>
              <w:t xml:space="preserve">střední </w:t>
            </w:r>
            <w:r w:rsidRPr="00EE3355">
              <w:rPr>
                <w:sz w:val="20"/>
              </w:rPr>
              <w:t>nebo AUC</w:t>
            </w:r>
            <w:r w:rsidRPr="00EE3355">
              <w:rPr>
                <w:sz w:val="13"/>
              </w:rPr>
              <w:t xml:space="preserve">τ </w:t>
            </w:r>
            <w:r w:rsidRPr="00EE3355">
              <w:rPr>
                <w:sz w:val="20"/>
              </w:rPr>
              <w:t>*</w:t>
            </w:r>
          </w:p>
        </w:tc>
        <w:tc>
          <w:tcPr>
            <w:tcW w:w="2657" w:type="dxa"/>
          </w:tcPr>
          <w:p w14:paraId="08885109" w14:textId="77777777" w:rsidR="00222DE0" w:rsidRPr="00EE3355" w:rsidRDefault="0098273B" w:rsidP="00EA1CDF">
            <w:pPr>
              <w:pStyle w:val="TableParagraph"/>
              <w:widowControl/>
              <w:jc w:val="center"/>
              <w:rPr>
                <w:sz w:val="20"/>
              </w:rPr>
            </w:pPr>
            <w:r w:rsidRPr="00EE3355">
              <w:rPr>
                <w:sz w:val="20"/>
              </w:rPr>
              <w:t>2,81</w:t>
            </w:r>
          </w:p>
        </w:tc>
        <w:tc>
          <w:tcPr>
            <w:tcW w:w="2602" w:type="dxa"/>
          </w:tcPr>
          <w:p w14:paraId="70996F41" w14:textId="77777777" w:rsidR="00222DE0" w:rsidRPr="00EE3355" w:rsidRDefault="0098273B" w:rsidP="00EA1CDF">
            <w:pPr>
              <w:pStyle w:val="TableParagraph"/>
              <w:widowControl/>
              <w:jc w:val="center"/>
              <w:rPr>
                <w:sz w:val="20"/>
              </w:rPr>
            </w:pPr>
            <w:r w:rsidRPr="00EE3355">
              <w:rPr>
                <w:sz w:val="20"/>
              </w:rPr>
              <w:t>10,91</w:t>
            </w:r>
          </w:p>
        </w:tc>
      </w:tr>
    </w:tbl>
    <w:p w14:paraId="4F363E4C" w14:textId="77777777" w:rsidR="00222DE0" w:rsidRPr="00EE3355" w:rsidRDefault="0098273B" w:rsidP="00EA1CDF">
      <w:pPr>
        <w:widowControl/>
        <w:rPr>
          <w:sz w:val="18"/>
        </w:rPr>
      </w:pPr>
      <w:r w:rsidRPr="00EE3355">
        <w:rPr>
          <w:sz w:val="18"/>
        </w:rPr>
        <w:t>*τ = 1 týden, resp. 2 týdny u dvou subkutánních režimů</w:t>
      </w:r>
    </w:p>
    <w:p w14:paraId="6F00B7AF" w14:textId="77777777" w:rsidR="00222DE0" w:rsidRPr="00B93217" w:rsidRDefault="00222DE0" w:rsidP="00EA1CDF">
      <w:pPr>
        <w:pStyle w:val="a3"/>
        <w:widowControl/>
        <w:ind w:left="0"/>
      </w:pPr>
    </w:p>
    <w:p w14:paraId="099398C2" w14:textId="45ABC9FA" w:rsidR="00222DE0" w:rsidRPr="00C47BED" w:rsidRDefault="0098273B" w:rsidP="00EA1CDF">
      <w:pPr>
        <w:pStyle w:val="a3"/>
        <w:widowControl/>
        <w:ind w:left="0"/>
      </w:pPr>
      <w:r w:rsidRPr="00C47BED">
        <w:t xml:space="preserve">Profil v ustáleném stavu po podání </w:t>
      </w:r>
      <w:r w:rsidR="006F1E69" w:rsidRPr="00C47BED">
        <w:t xml:space="preserve">tocilizumabu </w:t>
      </w:r>
      <w:r w:rsidRPr="00C47BED">
        <w:t xml:space="preserve">jednou týdně byl téměř plochý s minimálním kolísáním mezi minimálními a maximálními hodnotami na rozdíl od značného kolísání po podání </w:t>
      </w:r>
      <w:r w:rsidR="00741F0E" w:rsidRPr="00C47BED">
        <w:t xml:space="preserve">tocilizumabu </w:t>
      </w:r>
      <w:r w:rsidRPr="00C47BED">
        <w:t xml:space="preserve">každé dva týdny. K dosažení přibližně 90 % ustáleného stavu </w:t>
      </w:r>
      <w:r w:rsidRPr="00B93217">
        <w:t>(AUC</w:t>
      </w:r>
      <w:r w:rsidRPr="00B93217">
        <w:rPr>
          <w:vertAlign w:val="subscript"/>
        </w:rPr>
        <w:t>τ</w:t>
      </w:r>
      <w:r w:rsidRPr="00C47BED">
        <w:t>) došlo</w:t>
      </w:r>
    </w:p>
    <w:p w14:paraId="7E57F867" w14:textId="77777777" w:rsidR="00222DE0" w:rsidRPr="00C47BED" w:rsidRDefault="0098273B" w:rsidP="00EA1CDF">
      <w:pPr>
        <w:pStyle w:val="a3"/>
        <w:widowControl/>
        <w:ind w:left="0"/>
      </w:pPr>
      <w:r w:rsidRPr="00C47BED">
        <w:t>v týdnu 14 u dávky každé dva týdny a v týdnu 17 u dávky jednou týdně.</w:t>
      </w:r>
    </w:p>
    <w:p w14:paraId="0FE194E3" w14:textId="77777777" w:rsidR="00222DE0" w:rsidRPr="00EE3355" w:rsidRDefault="00222DE0" w:rsidP="00EA1CDF">
      <w:pPr>
        <w:pStyle w:val="a3"/>
        <w:widowControl/>
        <w:ind w:left="0"/>
      </w:pPr>
    </w:p>
    <w:p w14:paraId="5C19798B" w14:textId="6A705AD4" w:rsidR="00222DE0" w:rsidRPr="00EE3355" w:rsidRDefault="0098273B" w:rsidP="00EA1CDF">
      <w:pPr>
        <w:pStyle w:val="a3"/>
        <w:widowControl/>
        <w:ind w:left="0"/>
      </w:pPr>
      <w:r w:rsidRPr="00EE3355">
        <w:t xml:space="preserve">Na základě stávající charakterizace PK byly v této populaci zjištěny mírně vyšší (o 50 %) koncentrace v ustáleném stavu </w:t>
      </w:r>
      <w:r w:rsidR="006F1E69" w:rsidRPr="001879E9">
        <w:t>tocilizumab</w:t>
      </w:r>
      <w:r w:rsidR="006F1E69">
        <w:t xml:space="preserve">u </w:t>
      </w:r>
      <w:r w:rsidRPr="00EE3355">
        <w:t>ve vztahu k průměrným koncentracím ve velkém souboru dat z populace s RA. Příčiny těchto rozdílů nejsou známy. PK rozdíly nejsou provázeny významnými rozdíly v PD parametrech, a klinická relevance tak není známa.</w:t>
      </w:r>
    </w:p>
    <w:p w14:paraId="5858A25C" w14:textId="77777777" w:rsidR="006D01F5" w:rsidRPr="00EE3355" w:rsidRDefault="006D01F5" w:rsidP="00EA1CDF">
      <w:pPr>
        <w:pStyle w:val="a3"/>
        <w:widowControl/>
        <w:ind w:left="0"/>
      </w:pPr>
    </w:p>
    <w:p w14:paraId="5B598D98" w14:textId="77777777" w:rsidR="00222DE0" w:rsidRPr="00C47BED" w:rsidRDefault="0098273B" w:rsidP="00EA1CDF">
      <w:pPr>
        <w:pStyle w:val="a3"/>
        <w:widowControl/>
        <w:ind w:left="0"/>
      </w:pPr>
      <w:r w:rsidRPr="00C47BED">
        <w:t>Vyšší expozice byla pozorována u pacientů s GCA s nižší tělesnou hmotností. V dávkovacím režimu 162 mg jednou týdně byl C</w:t>
      </w:r>
      <w:r w:rsidRPr="00B93217">
        <w:rPr>
          <w:vertAlign w:val="subscript"/>
        </w:rPr>
        <w:t>průměr</w:t>
      </w:r>
      <w:r w:rsidRPr="00B93217">
        <w:t xml:space="preserve"> </w:t>
      </w:r>
      <w:r w:rsidRPr="00C47BED">
        <w:t>v ustáleném stavu o 51 % vyšší u pacientů s tělesnou hmotností nižší než 60 kg v porovnání s pacienty s tělesnou hmotností v rozmezí mezi 60 až 100 kg. V dávkovacím režimu 162 mg každé dva týdny byl C</w:t>
      </w:r>
      <w:r w:rsidRPr="00B93217">
        <w:rPr>
          <w:vertAlign w:val="subscript"/>
        </w:rPr>
        <w:t>průměr</w:t>
      </w:r>
      <w:r w:rsidRPr="00B93217">
        <w:t xml:space="preserve"> </w:t>
      </w:r>
      <w:r w:rsidRPr="00C47BED">
        <w:t>v ustáleném stavu o 129 % vyšší u pacientů s tělesnou hmotností nižší než 60 kg v porovnání s pacienty s tělesnou hmotností v rozmezí mezi 60 až 100 kg. Existují omezené údaje o pacientech s tělesnou hmotností vyšší než 100 kg (n=7).</w:t>
      </w:r>
    </w:p>
    <w:p w14:paraId="1599E8D2" w14:textId="77777777" w:rsidR="006D01F5" w:rsidRPr="00C47BED" w:rsidRDefault="006D01F5" w:rsidP="00EA1CDF">
      <w:pPr>
        <w:pStyle w:val="a3"/>
        <w:widowControl/>
        <w:ind w:left="0"/>
      </w:pPr>
    </w:p>
    <w:p w14:paraId="4C8589A5" w14:textId="77777777" w:rsidR="00222DE0" w:rsidRPr="00C47BED" w:rsidRDefault="0098273B" w:rsidP="00EA1CDF">
      <w:pPr>
        <w:pStyle w:val="a3"/>
        <w:widowControl/>
        <w:ind w:left="0"/>
      </w:pPr>
      <w:r w:rsidRPr="00C47BED">
        <w:rPr>
          <w:u w:val="single"/>
        </w:rPr>
        <w:t>Absorpce</w:t>
      </w:r>
    </w:p>
    <w:p w14:paraId="39FE521D" w14:textId="73595D24" w:rsidR="00222DE0" w:rsidRPr="00C47BED" w:rsidRDefault="0098273B" w:rsidP="00EA1CDF">
      <w:pPr>
        <w:pStyle w:val="a3"/>
        <w:widowControl/>
        <w:ind w:left="0"/>
      </w:pPr>
      <w:r w:rsidRPr="00C47BED">
        <w:t>Poločas absorpce t</w:t>
      </w:r>
      <w:r w:rsidRPr="00B93217">
        <w:rPr>
          <w:vertAlign w:val="subscript"/>
        </w:rPr>
        <w:t>1/2</w:t>
      </w:r>
      <w:r w:rsidRPr="00B93217">
        <w:t xml:space="preserve"> </w:t>
      </w:r>
      <w:r w:rsidRPr="00C47BED">
        <w:t>po subkutánním podání pacientům s GCA byl přibližně 4 dny. Biologická dostupnost subkutánní formy byla 0,8. Hodnoty mediánu T</w:t>
      </w:r>
      <w:r w:rsidR="00C5127F" w:rsidRPr="00C47BED">
        <w:rPr>
          <w:vertAlign w:val="subscript"/>
        </w:rPr>
        <w:t>max</w:t>
      </w:r>
      <w:r w:rsidRPr="00B93217">
        <w:t xml:space="preserve"> </w:t>
      </w:r>
      <w:r w:rsidRPr="00C47BED">
        <w:t xml:space="preserve">byly 3 dny po podání </w:t>
      </w:r>
      <w:r w:rsidR="00741F0E" w:rsidRPr="00C47BED">
        <w:t xml:space="preserve">tocilizumabu </w:t>
      </w:r>
      <w:r w:rsidRPr="00C47BED">
        <w:t>jednou týdně a 4,5 dne po podání tocilizumabu každé dva týdny.</w:t>
      </w:r>
    </w:p>
    <w:p w14:paraId="6CA0EDD6" w14:textId="77777777" w:rsidR="00222DE0" w:rsidRPr="00EE3355" w:rsidRDefault="00222DE0" w:rsidP="00EA1CDF">
      <w:pPr>
        <w:pStyle w:val="a3"/>
        <w:widowControl/>
        <w:ind w:left="0"/>
      </w:pPr>
    </w:p>
    <w:p w14:paraId="74D119A2" w14:textId="77777777" w:rsidR="00222DE0" w:rsidRPr="00EE3355" w:rsidRDefault="0098273B" w:rsidP="00EA1CDF">
      <w:pPr>
        <w:pStyle w:val="a3"/>
        <w:widowControl/>
        <w:ind w:left="0"/>
      </w:pPr>
      <w:r w:rsidRPr="00EE3355">
        <w:rPr>
          <w:u w:val="single"/>
        </w:rPr>
        <w:t>Distribuce</w:t>
      </w:r>
    </w:p>
    <w:p w14:paraId="14D15577" w14:textId="77777777" w:rsidR="00222DE0" w:rsidRPr="00EE3355" w:rsidRDefault="0098273B" w:rsidP="00EA1CDF">
      <w:pPr>
        <w:pStyle w:val="a3"/>
        <w:widowControl/>
        <w:ind w:left="0"/>
      </w:pPr>
      <w:r w:rsidRPr="00EE3355">
        <w:t>Centrální distribuční objem u pacientů s GCA byl 4,09 l, periferní distribuční objem byl 3,37 l;</w:t>
      </w:r>
      <w:r w:rsidR="00E74330">
        <w:t xml:space="preserve"> </w:t>
      </w:r>
      <w:r w:rsidRPr="00EE3355">
        <w:t>distribuční objem v ustáleném stavu tak činil 7,46 l.</w:t>
      </w:r>
    </w:p>
    <w:p w14:paraId="3DC86237" w14:textId="77777777" w:rsidR="00222DE0" w:rsidRPr="00EE3355" w:rsidRDefault="00222DE0" w:rsidP="00EA1CDF">
      <w:pPr>
        <w:pStyle w:val="a3"/>
        <w:widowControl/>
        <w:ind w:left="0"/>
      </w:pPr>
    </w:p>
    <w:p w14:paraId="4B6CA35C" w14:textId="77777777" w:rsidR="00222DE0" w:rsidRPr="00EE3355" w:rsidRDefault="0098273B" w:rsidP="00EA1CDF">
      <w:pPr>
        <w:pStyle w:val="a3"/>
        <w:widowControl/>
        <w:ind w:left="0"/>
      </w:pPr>
      <w:r w:rsidRPr="00EE3355">
        <w:rPr>
          <w:u w:val="single"/>
        </w:rPr>
        <w:t>Eliminace</w:t>
      </w:r>
    </w:p>
    <w:p w14:paraId="21C3CFEC" w14:textId="46571E05" w:rsidR="00222DE0" w:rsidRPr="00EE3355" w:rsidRDefault="0098273B" w:rsidP="00EA1CDF">
      <w:pPr>
        <w:pStyle w:val="a3"/>
        <w:widowControl/>
        <w:ind w:left="0"/>
      </w:pPr>
      <w:r w:rsidRPr="00EE3355">
        <w:t xml:space="preserve">Celková clearance </w:t>
      </w:r>
      <w:r w:rsidR="00741F0E" w:rsidRPr="001879E9">
        <w:t>tocilizumab</w:t>
      </w:r>
      <w:r w:rsidR="00741F0E">
        <w:t xml:space="preserve">u </w:t>
      </w:r>
      <w:r w:rsidRPr="00EE3355">
        <w:t>závisela na dávce a představuje součet lineární clearance a nelineární clearance. Lineární clearance byla stanovena odhadem jako parametr v populační farmakokinetické analýze jako 6,7 ml/h u pacientů s GCA.</w:t>
      </w:r>
    </w:p>
    <w:p w14:paraId="700C5FDB" w14:textId="77777777" w:rsidR="006D01F5" w:rsidRPr="00EE3355" w:rsidRDefault="006D01F5" w:rsidP="00EA1CDF">
      <w:pPr>
        <w:pStyle w:val="a3"/>
        <w:widowControl/>
        <w:ind w:left="0"/>
      </w:pPr>
    </w:p>
    <w:p w14:paraId="25C64D92" w14:textId="638108DF" w:rsidR="00222DE0" w:rsidRPr="00C47BED" w:rsidRDefault="0098273B" w:rsidP="00EA1CDF">
      <w:pPr>
        <w:pStyle w:val="a3"/>
        <w:widowControl/>
        <w:ind w:left="0"/>
      </w:pPr>
      <w:r w:rsidRPr="00C47BED">
        <w:t>Efektivní poločas t</w:t>
      </w:r>
      <w:r w:rsidRPr="00B93217">
        <w:rPr>
          <w:vertAlign w:val="subscript"/>
        </w:rPr>
        <w:t>1/2</w:t>
      </w:r>
      <w:r w:rsidRPr="00B93217">
        <w:t xml:space="preserve"> </w:t>
      </w:r>
      <w:r w:rsidR="00741F0E" w:rsidRPr="00C47BED">
        <w:t xml:space="preserve">tocilizumabu </w:t>
      </w:r>
      <w:r w:rsidRPr="00C47BED">
        <w:t xml:space="preserve">u pacientů s GCA v ustáleném stavu kolísal mezi 18,3 a 18,9 dne pro režim 162 mg jednou týdně a mezi 4,2 a 7,9 dne pro režim 162 mg každé dva týdny. Při vysokých sérových koncentracích, kdy celkové clearance </w:t>
      </w:r>
      <w:r w:rsidR="00741F0E" w:rsidRPr="00C47BED">
        <w:t xml:space="preserve">tocilizumabu </w:t>
      </w:r>
      <w:r w:rsidRPr="00C47BED">
        <w:t>dominuje lineární clearance, činil efektivní t</w:t>
      </w:r>
      <w:r w:rsidRPr="00B93217">
        <w:rPr>
          <w:vertAlign w:val="subscript"/>
        </w:rPr>
        <w:t>1/2</w:t>
      </w:r>
      <w:r w:rsidRPr="00B93217">
        <w:t xml:space="preserve"> </w:t>
      </w:r>
      <w:r w:rsidRPr="00C47BED">
        <w:t>odvozený od odhadovaných populačních parametrů přibližně 32 dny.</w:t>
      </w:r>
    </w:p>
    <w:p w14:paraId="439A9B01" w14:textId="77777777" w:rsidR="00F13F18" w:rsidRPr="00EE3355" w:rsidRDefault="00F13F18" w:rsidP="00EA1CDF">
      <w:pPr>
        <w:pStyle w:val="a3"/>
        <w:widowControl/>
        <w:ind w:left="0"/>
        <w:rPr>
          <w:u w:val="single"/>
        </w:rPr>
      </w:pPr>
    </w:p>
    <w:p w14:paraId="1D393B59" w14:textId="77777777" w:rsidR="00222DE0" w:rsidRPr="00EE3355" w:rsidRDefault="0098273B" w:rsidP="00EA1CDF">
      <w:pPr>
        <w:pStyle w:val="a3"/>
        <w:widowControl/>
        <w:ind w:left="0"/>
      </w:pPr>
      <w:r w:rsidRPr="00EE3355">
        <w:rPr>
          <w:u w:val="single"/>
        </w:rPr>
        <w:t>Zvláštní skupiny pacientů</w:t>
      </w:r>
    </w:p>
    <w:p w14:paraId="37A691D6" w14:textId="366220D0" w:rsidR="00222DE0" w:rsidRPr="00EE3355" w:rsidRDefault="0098273B" w:rsidP="00EA1CDF">
      <w:pPr>
        <w:pStyle w:val="a3"/>
        <w:widowControl/>
        <w:ind w:left="0"/>
      </w:pPr>
      <w:r w:rsidRPr="00EE3355">
        <w:rPr>
          <w:i/>
        </w:rPr>
        <w:t xml:space="preserve">Porucha funkce ledvin: </w:t>
      </w:r>
      <w:r w:rsidRPr="00EE3355">
        <w:t xml:space="preserve">Žádné formální studie účinků poruchy funkce ledvin na farmakokinetiku </w:t>
      </w:r>
      <w:r w:rsidR="00741F0E" w:rsidRPr="001879E9">
        <w:t>tocilizumab</w:t>
      </w:r>
      <w:r w:rsidR="00741F0E">
        <w:t xml:space="preserve">u </w:t>
      </w:r>
      <w:r w:rsidRPr="00EE3355">
        <w:t xml:space="preserve">nebyly provedeny. Většina pacientů v populačních farmakokinetických analýzách v rámci studií RA a GCA měla normální funkci ledvin nebo lehkou poruchu funkce ledvin. Lehká porucha funkce ledvin (odhadovaná clearance kreatininu založená na Cockcroft-Gaultově vzorci) neovlivňovala farmakokinetiku </w:t>
      </w:r>
      <w:r w:rsidR="00741F0E" w:rsidRPr="001879E9">
        <w:t>tocilizumab</w:t>
      </w:r>
      <w:r w:rsidR="00741F0E">
        <w:t>u</w:t>
      </w:r>
      <w:r w:rsidRPr="00EE3355">
        <w:t>.</w:t>
      </w:r>
    </w:p>
    <w:p w14:paraId="0C3583AE" w14:textId="77777777" w:rsidR="006D01F5" w:rsidRPr="00EE3355" w:rsidRDefault="006D01F5" w:rsidP="00EA1CDF">
      <w:pPr>
        <w:pStyle w:val="a3"/>
        <w:widowControl/>
        <w:ind w:left="0"/>
      </w:pPr>
    </w:p>
    <w:p w14:paraId="7C0961E1" w14:textId="6D91A5B3" w:rsidR="00222DE0" w:rsidRPr="00EE3355" w:rsidRDefault="0098273B" w:rsidP="00EA1CDF">
      <w:pPr>
        <w:pStyle w:val="a3"/>
        <w:widowControl/>
        <w:ind w:left="0"/>
      </w:pPr>
      <w:r w:rsidRPr="00EE3355">
        <w:t xml:space="preserve">Přibližně jedna třetina pacientů ve studii GCA měla středně těžkou poruchu funkce ledvin ve výchozím stavu (odhadovaná clearance kreatininu 30 - 59 ml/min). U těchto pacientů nebyl zjištěn žádný vliv na expozici </w:t>
      </w:r>
      <w:r w:rsidR="00741F0E" w:rsidRPr="001879E9">
        <w:t>tocilizumab</w:t>
      </w:r>
      <w:r w:rsidR="00741F0E">
        <w:t>u</w:t>
      </w:r>
      <w:r w:rsidRPr="00EE3355">
        <w:t>.</w:t>
      </w:r>
    </w:p>
    <w:p w14:paraId="0EFCF35F" w14:textId="77777777" w:rsidR="00222DE0" w:rsidRPr="00EE3355" w:rsidRDefault="00222DE0" w:rsidP="00EA1CDF">
      <w:pPr>
        <w:pStyle w:val="a3"/>
        <w:widowControl/>
        <w:ind w:left="0"/>
      </w:pPr>
    </w:p>
    <w:p w14:paraId="19113617" w14:textId="77777777" w:rsidR="00222DE0" w:rsidRPr="00EE3355" w:rsidRDefault="0098273B" w:rsidP="00EA1CDF">
      <w:pPr>
        <w:pStyle w:val="a3"/>
        <w:widowControl/>
        <w:ind w:left="0"/>
      </w:pPr>
      <w:r w:rsidRPr="00EE3355">
        <w:t>U pacientů s lehkou nebo středně těžkou poruchou funkce ledvin není požadována žádná úprava dávkování.</w:t>
      </w:r>
    </w:p>
    <w:p w14:paraId="4454DB22" w14:textId="77777777" w:rsidR="00CD134B" w:rsidRPr="00EE3355" w:rsidRDefault="00CD134B" w:rsidP="00EA1CDF">
      <w:pPr>
        <w:pStyle w:val="a3"/>
        <w:widowControl/>
        <w:ind w:left="0"/>
      </w:pPr>
    </w:p>
    <w:p w14:paraId="06678BD6" w14:textId="078EB194" w:rsidR="00222DE0" w:rsidRPr="00EE3355" w:rsidRDefault="0098273B" w:rsidP="00EA1CDF">
      <w:pPr>
        <w:pStyle w:val="a3"/>
        <w:widowControl/>
        <w:ind w:left="0"/>
      </w:pPr>
      <w:r w:rsidRPr="00EE3355">
        <w:rPr>
          <w:i/>
        </w:rPr>
        <w:lastRenderedPageBreak/>
        <w:t xml:space="preserve">Porucha funkce jater: </w:t>
      </w:r>
      <w:r w:rsidRPr="00EE3355">
        <w:t xml:space="preserve">Žádné formální studie účinků poruchy funkce jater na farmakokinetiku </w:t>
      </w:r>
      <w:r w:rsidR="00741F0E" w:rsidRPr="001879E9">
        <w:t>tocilizumab</w:t>
      </w:r>
      <w:r w:rsidR="00741F0E">
        <w:t xml:space="preserve">u </w:t>
      </w:r>
      <w:r w:rsidRPr="00EE3355">
        <w:t>nebyly provedeny.</w:t>
      </w:r>
    </w:p>
    <w:p w14:paraId="4D6C341C" w14:textId="77777777" w:rsidR="00222DE0" w:rsidRPr="00EE3355" w:rsidRDefault="00222DE0" w:rsidP="00EA1CDF">
      <w:pPr>
        <w:pStyle w:val="a3"/>
        <w:widowControl/>
        <w:ind w:left="0"/>
      </w:pPr>
    </w:p>
    <w:p w14:paraId="4B17E5D2" w14:textId="083F1D76" w:rsidR="00222DE0" w:rsidRPr="00EE3355" w:rsidRDefault="0098273B" w:rsidP="00EA1CDF">
      <w:pPr>
        <w:widowControl/>
      </w:pPr>
      <w:r w:rsidRPr="00EE3355">
        <w:rPr>
          <w:i/>
        </w:rPr>
        <w:t xml:space="preserve">Věk, pohlaví a etnikum: </w:t>
      </w:r>
      <w:r w:rsidRPr="00EE3355">
        <w:t>Populační farmakokinetické analýzy u pacientů s RA a GCA prokázaly, že</w:t>
      </w:r>
      <w:r w:rsidR="006D01F5" w:rsidRPr="00EE3355">
        <w:t xml:space="preserve"> </w:t>
      </w:r>
      <w:r w:rsidRPr="00EE3355">
        <w:t xml:space="preserve">věk, pohlaví ani etnikum neovlivňují farmakokinetiku </w:t>
      </w:r>
      <w:r w:rsidR="00741F0E" w:rsidRPr="001879E9">
        <w:t>tocilizumab</w:t>
      </w:r>
      <w:r w:rsidR="00741F0E">
        <w:t>u</w:t>
      </w:r>
      <w:r w:rsidRPr="00EE3355">
        <w:t>.</w:t>
      </w:r>
    </w:p>
    <w:p w14:paraId="6ED88659" w14:textId="77777777" w:rsidR="00222DE0" w:rsidRPr="00EE3355" w:rsidRDefault="00222DE0" w:rsidP="00EA1CDF">
      <w:pPr>
        <w:pStyle w:val="a3"/>
        <w:widowControl/>
        <w:ind w:left="0"/>
      </w:pPr>
    </w:p>
    <w:p w14:paraId="03A6F51A" w14:textId="7859EF29" w:rsidR="00222DE0" w:rsidRPr="00EE3355" w:rsidRDefault="0098273B" w:rsidP="00EA1CDF">
      <w:pPr>
        <w:pStyle w:val="a3"/>
        <w:widowControl/>
        <w:ind w:left="0"/>
      </w:pPr>
      <w:r w:rsidRPr="00EE3355">
        <w:t xml:space="preserve">Výsledky PK populačních analýz u pacientů se sJIA a s pJIA potvrdily, že velikost těla je jedinou kovariancí, která má značný dopad na farmakokinetiku </w:t>
      </w:r>
      <w:r w:rsidR="00741F0E" w:rsidRPr="001879E9">
        <w:t>tocilizumab</w:t>
      </w:r>
      <w:r w:rsidR="00741F0E">
        <w:t xml:space="preserve">u </w:t>
      </w:r>
      <w:r w:rsidRPr="00EE3355">
        <w:t>včetně eliminace a absorpce, proto má být zváženo dávkování na základě tělesné hmotnosti (viz tabulky 8 a 9).</w:t>
      </w:r>
    </w:p>
    <w:p w14:paraId="3715A829" w14:textId="77777777" w:rsidR="00222DE0" w:rsidRPr="00EE3355" w:rsidRDefault="00222DE0" w:rsidP="00EA1CDF">
      <w:pPr>
        <w:pStyle w:val="a3"/>
        <w:widowControl/>
        <w:ind w:left="0"/>
      </w:pPr>
    </w:p>
    <w:p w14:paraId="54E0EBD5" w14:textId="77777777" w:rsidR="00222DE0" w:rsidRPr="00EE3355" w:rsidRDefault="00B23DAE" w:rsidP="00EA1CDF">
      <w:pPr>
        <w:pStyle w:val="2"/>
        <w:widowControl/>
        <w:tabs>
          <w:tab w:val="left" w:pos="804"/>
        </w:tabs>
        <w:ind w:left="567" w:hanging="567"/>
      </w:pPr>
      <w:r w:rsidRPr="00EE3355">
        <w:t>5.3</w:t>
      </w:r>
      <w:r w:rsidRPr="00EE3355">
        <w:tab/>
      </w:r>
      <w:r w:rsidR="0098273B" w:rsidRPr="00EE3355">
        <w:t>Předklinické údaje vztahující se k</w:t>
      </w:r>
      <w:r w:rsidR="006D01F5" w:rsidRPr="00EE3355">
        <w:t> </w:t>
      </w:r>
      <w:r w:rsidR="0098273B" w:rsidRPr="00EE3355">
        <w:t>bezpečnosti</w:t>
      </w:r>
    </w:p>
    <w:p w14:paraId="53C43A65" w14:textId="77777777" w:rsidR="006D01F5" w:rsidRPr="00EE3355" w:rsidRDefault="006D01F5" w:rsidP="00B75C94"/>
    <w:p w14:paraId="2A0123BD" w14:textId="77777777" w:rsidR="00222DE0" w:rsidRPr="00EE3355" w:rsidRDefault="0098273B" w:rsidP="00EA1CDF">
      <w:pPr>
        <w:pStyle w:val="a3"/>
        <w:widowControl/>
        <w:ind w:left="0"/>
      </w:pPr>
      <w:r w:rsidRPr="00EE3355">
        <w:t>Neklinické údaje získané na základě konvenčních farmakologických studií bezpečnosti, toxicity po opakovaném podávání, genotoxicity a reprodukční a vývojové toxicity neodhalily žádné zvláštní riziko pro člověka.</w:t>
      </w:r>
    </w:p>
    <w:p w14:paraId="08C4C47C" w14:textId="77777777" w:rsidR="00222DE0" w:rsidRPr="00EE3355" w:rsidRDefault="00222DE0" w:rsidP="00EA1CDF">
      <w:pPr>
        <w:pStyle w:val="a3"/>
        <w:widowControl/>
        <w:ind w:left="0"/>
      </w:pPr>
    </w:p>
    <w:p w14:paraId="7FB26CB6" w14:textId="77777777" w:rsidR="00222DE0" w:rsidRPr="00EE3355" w:rsidRDefault="0098273B" w:rsidP="00EA1CDF">
      <w:pPr>
        <w:pStyle w:val="a3"/>
        <w:widowControl/>
        <w:ind w:left="0"/>
      </w:pPr>
      <w:r w:rsidRPr="00EE3355">
        <w:t>Studie kancerogenity nebyly provedeny, neboť se předpokládá, že monoklonální protilátky IgG1</w:t>
      </w:r>
      <w:r w:rsidR="00CD134B" w:rsidRPr="00EE3355">
        <w:t xml:space="preserve"> </w:t>
      </w:r>
      <w:r w:rsidRPr="00EE3355">
        <w:t>nemají vlastní kancerogenní potenciál.</w:t>
      </w:r>
    </w:p>
    <w:p w14:paraId="7B016DA3" w14:textId="77777777" w:rsidR="00222DE0" w:rsidRPr="00EE3355" w:rsidRDefault="00222DE0" w:rsidP="00EA1CDF">
      <w:pPr>
        <w:pStyle w:val="a3"/>
        <w:widowControl/>
        <w:ind w:left="0"/>
      </w:pPr>
    </w:p>
    <w:p w14:paraId="00D7F93C" w14:textId="2D38FA0C" w:rsidR="00222DE0" w:rsidRPr="00EE3355" w:rsidRDefault="0098273B" w:rsidP="00EA1CDF">
      <w:pPr>
        <w:pStyle w:val="a3"/>
        <w:widowControl/>
        <w:ind w:left="0"/>
      </w:pPr>
      <w:r w:rsidRPr="00EE3355">
        <w:t xml:space="preserve">Dostupná preklinická data ukazují na přispění IL-6 k maligní progresi a rezistenci k apoptóze u různých typů nádorů. Tyto údaje nepoukazují na významné riziko vzniku a progrese nádorového onemocnění při léčbě </w:t>
      </w:r>
      <w:r w:rsidR="00741F0E" w:rsidRPr="001879E9">
        <w:t>tocilizumab</w:t>
      </w:r>
      <w:r w:rsidR="00741F0E">
        <w:t>em</w:t>
      </w:r>
      <w:r w:rsidRPr="00EE3355">
        <w:t>. Při chronické depleci IL-6 u 6měsíčních chronických studiích toxicity u opic Cynomolgus ani u myší s deficitem IL-6 nebyly pozorovány proliferační léze.</w:t>
      </w:r>
    </w:p>
    <w:p w14:paraId="78811F60" w14:textId="77777777" w:rsidR="006D01F5" w:rsidRPr="00EE3355" w:rsidRDefault="006D01F5" w:rsidP="00EA1CDF">
      <w:pPr>
        <w:pStyle w:val="a3"/>
        <w:widowControl/>
        <w:ind w:left="0"/>
      </w:pPr>
    </w:p>
    <w:p w14:paraId="0C9DA901" w14:textId="0EEB19E8" w:rsidR="00222DE0" w:rsidRPr="00EE3355" w:rsidRDefault="0098273B" w:rsidP="00EA1CDF">
      <w:pPr>
        <w:pStyle w:val="a3"/>
        <w:widowControl/>
        <w:ind w:left="0"/>
      </w:pPr>
      <w:r w:rsidRPr="00EE3355">
        <w:t xml:space="preserve">Dostupná preklinická data nenaznačují účinky na fertilitu při užívání </w:t>
      </w:r>
      <w:r w:rsidR="00741F0E" w:rsidRPr="001879E9">
        <w:t>tocilizumab</w:t>
      </w:r>
      <w:r w:rsidR="00741F0E">
        <w:t>u</w:t>
      </w:r>
      <w:r w:rsidRPr="00EE3355">
        <w:t xml:space="preserve">. Účinky na endokrinní aktivitu a reprodukční orgány nebyly ve studiích chronické toxicity u opic Cynomolgus pozorovány a reprodukční schopnosti nebyly u IL-6 deficitních myší porušeny. Podávání </w:t>
      </w:r>
      <w:r w:rsidR="00741F0E" w:rsidRPr="001879E9">
        <w:t>tocilizumab</w:t>
      </w:r>
      <w:r w:rsidR="00741F0E">
        <w:t>u</w:t>
      </w:r>
      <w:r w:rsidRPr="00EE3355">
        <w:t xml:space="preserve"> opicím Cynomolgus v časné gestaci nemělo ani přímý ani nepřímý škodlivý efekt na březost ani embryo-fetální vývoj. Při vysoké systémové expozici (&gt; 100násobek lidské expozice) ve skupině s dávkami 50 mg/kg bylo pozorováno mírné zvýšení potratů /embryo-fetálních úmrtí</w:t>
      </w:r>
      <w:r w:rsidR="006D01F5" w:rsidRPr="00EE3355">
        <w:t xml:space="preserve"> </w:t>
      </w:r>
      <w:r w:rsidRPr="00EE3355">
        <w:t>v porovnání s placebem nebo skupinou s nízkými dávkami. Nicméně se nezdá, že by IL-6 byl kritický cytokin pro fetální růst nebo imunologickou kontrolu maternálního / fetálního vzájemného stavu a vztah těchto nálezů k</w:t>
      </w:r>
      <w:r w:rsidR="00741F0E">
        <w:t> </w:t>
      </w:r>
      <w:r w:rsidR="00741F0E" w:rsidRPr="001879E9">
        <w:t>tocilizumab</w:t>
      </w:r>
      <w:r w:rsidR="00741F0E">
        <w:t xml:space="preserve">u </w:t>
      </w:r>
      <w:r w:rsidRPr="00EE3355">
        <w:t>nemůže tak být vyloučen.</w:t>
      </w:r>
    </w:p>
    <w:p w14:paraId="1769456F" w14:textId="77777777" w:rsidR="006D01F5" w:rsidRPr="00EE3355" w:rsidRDefault="006D01F5" w:rsidP="00EA1CDF">
      <w:pPr>
        <w:pStyle w:val="a3"/>
        <w:widowControl/>
        <w:ind w:left="0"/>
      </w:pPr>
    </w:p>
    <w:p w14:paraId="3C998466" w14:textId="77777777" w:rsidR="00222DE0" w:rsidRPr="00EE3355" w:rsidRDefault="0098273B" w:rsidP="00EA1CDF">
      <w:pPr>
        <w:pStyle w:val="a3"/>
        <w:widowControl/>
        <w:ind w:left="0"/>
      </w:pPr>
      <w:r w:rsidRPr="00EE3355">
        <w:t>Léčba myšími analogy nevyvolala toxicitu u mladých myší. Zejména nedošlo k žádné poruše skeletálního růstu, imunitních funkcí ani pohlavní zralosti.</w:t>
      </w:r>
    </w:p>
    <w:p w14:paraId="6879050F" w14:textId="77777777" w:rsidR="00222DE0" w:rsidRPr="00EE3355" w:rsidRDefault="00222DE0" w:rsidP="00EA1CDF">
      <w:pPr>
        <w:widowControl/>
      </w:pPr>
    </w:p>
    <w:p w14:paraId="05C3FFA6" w14:textId="6C4DA315" w:rsidR="00222DE0" w:rsidRPr="00EE3355" w:rsidRDefault="0098273B" w:rsidP="00EA1CDF">
      <w:pPr>
        <w:pStyle w:val="a3"/>
        <w:widowControl/>
        <w:ind w:left="0"/>
      </w:pPr>
      <w:r w:rsidRPr="00EE3355">
        <w:t xml:space="preserve">Neklinický bezpečnostní profil </w:t>
      </w:r>
      <w:r w:rsidR="00741F0E" w:rsidRPr="001879E9">
        <w:t>tocilizumab</w:t>
      </w:r>
      <w:r w:rsidR="00741F0E">
        <w:t xml:space="preserve">u </w:t>
      </w:r>
      <w:r w:rsidRPr="00EE3355">
        <w:t>u opic Cynomolgus nenaznačuje rozdíl mezi</w:t>
      </w:r>
      <w:r w:rsidR="008A64BF" w:rsidRPr="00EE3355">
        <w:t xml:space="preserve"> </w:t>
      </w:r>
      <w:r w:rsidRPr="00EE3355">
        <w:t>intravenózní a subkutánní cestou podání.</w:t>
      </w:r>
    </w:p>
    <w:p w14:paraId="4B3325B2" w14:textId="77777777" w:rsidR="00222DE0" w:rsidRPr="00EE3355" w:rsidRDefault="00222DE0" w:rsidP="00EA1CDF">
      <w:pPr>
        <w:pStyle w:val="a3"/>
        <w:widowControl/>
        <w:ind w:left="0"/>
      </w:pPr>
    </w:p>
    <w:p w14:paraId="043A05D2" w14:textId="77777777" w:rsidR="00222DE0" w:rsidRPr="00EE3355" w:rsidRDefault="00222DE0" w:rsidP="00EA1CDF">
      <w:pPr>
        <w:pStyle w:val="a3"/>
        <w:widowControl/>
        <w:ind w:left="0"/>
      </w:pPr>
    </w:p>
    <w:p w14:paraId="40FDE8D6" w14:textId="77777777" w:rsidR="00222DE0" w:rsidRPr="00EE3355" w:rsidRDefault="00B23DAE" w:rsidP="00EA1CDF">
      <w:pPr>
        <w:pStyle w:val="1"/>
        <w:widowControl/>
        <w:tabs>
          <w:tab w:val="left" w:pos="804"/>
        </w:tabs>
        <w:ind w:left="567" w:hanging="567"/>
      </w:pPr>
      <w:r w:rsidRPr="00EE3355">
        <w:t>6.</w:t>
      </w:r>
      <w:r w:rsidRPr="00EE3355">
        <w:tab/>
      </w:r>
      <w:r w:rsidR="0098273B" w:rsidRPr="00EE3355">
        <w:t>FARMACEUTICKÉ ÚDAJE</w:t>
      </w:r>
    </w:p>
    <w:p w14:paraId="67DA1F46" w14:textId="77777777" w:rsidR="00222DE0" w:rsidRPr="00EE3355" w:rsidRDefault="00222DE0" w:rsidP="00EA1CDF">
      <w:pPr>
        <w:pStyle w:val="a3"/>
        <w:widowControl/>
        <w:ind w:left="0"/>
        <w:rPr>
          <w:b/>
        </w:rPr>
      </w:pPr>
    </w:p>
    <w:p w14:paraId="35EEAFD9" w14:textId="77777777" w:rsidR="00222DE0" w:rsidRPr="00EE3355" w:rsidRDefault="00B23DAE" w:rsidP="00EA1CDF">
      <w:pPr>
        <w:pStyle w:val="2"/>
        <w:widowControl/>
        <w:tabs>
          <w:tab w:val="left" w:pos="804"/>
        </w:tabs>
        <w:ind w:left="567" w:hanging="567"/>
      </w:pPr>
      <w:r w:rsidRPr="00EE3355">
        <w:t>6.1</w:t>
      </w:r>
      <w:r w:rsidRPr="00EE3355">
        <w:tab/>
      </w:r>
      <w:r w:rsidR="0098273B" w:rsidRPr="00EE3355">
        <w:t>Seznam pomocných látek</w:t>
      </w:r>
    </w:p>
    <w:p w14:paraId="20DCF57F" w14:textId="77777777" w:rsidR="006D01F5" w:rsidRPr="00EE3355" w:rsidRDefault="006D01F5" w:rsidP="00B75C94"/>
    <w:p w14:paraId="57C2BE8F" w14:textId="1F6C1DF4" w:rsidR="00222DE0" w:rsidRDefault="00741F0E" w:rsidP="00EA1CDF">
      <w:pPr>
        <w:pStyle w:val="a3"/>
        <w:widowControl/>
        <w:ind w:left="0"/>
        <w:rPr>
          <w:rFonts w:eastAsia="맑은 고딕"/>
          <w:lang w:eastAsia="ko-KR"/>
        </w:rPr>
      </w:pPr>
      <w:r w:rsidRPr="0091188E">
        <w:t>L-</w:t>
      </w:r>
      <w:r w:rsidR="0098273B" w:rsidRPr="0091188E">
        <w:t>Histidin</w:t>
      </w:r>
    </w:p>
    <w:p w14:paraId="004FC77D" w14:textId="50EB303C" w:rsidR="00395E0C" w:rsidRPr="002F0CCA" w:rsidRDefault="00AD6345" w:rsidP="00EA1CDF">
      <w:pPr>
        <w:pStyle w:val="a3"/>
        <w:widowControl/>
        <w:ind w:left="0"/>
        <w:rPr>
          <w:rFonts w:eastAsia="맑은 고딕"/>
          <w:lang w:eastAsia="ko-KR"/>
        </w:rPr>
      </w:pPr>
      <w:r w:rsidRPr="00AD6345">
        <w:rPr>
          <w:rFonts w:eastAsia="맑은 고딕" w:hint="eastAsia"/>
          <w:lang w:eastAsia="ko-KR"/>
        </w:rPr>
        <w:t>Monohydrát histidin-hydrochloridu</w:t>
      </w:r>
    </w:p>
    <w:p w14:paraId="20CCD5E9" w14:textId="7A3A2710" w:rsidR="00741F0E" w:rsidRPr="0091188E" w:rsidRDefault="00741F0E" w:rsidP="00EA1CDF">
      <w:pPr>
        <w:pStyle w:val="a3"/>
        <w:widowControl/>
        <w:ind w:left="0"/>
      </w:pPr>
      <w:r w:rsidRPr="0091188E">
        <w:t>L-Threonin</w:t>
      </w:r>
    </w:p>
    <w:p w14:paraId="577CB7F0" w14:textId="1FC3DAEA" w:rsidR="00222DE0" w:rsidRPr="0091188E" w:rsidRDefault="00741F0E" w:rsidP="00EA1CDF">
      <w:pPr>
        <w:pStyle w:val="a3"/>
        <w:widowControl/>
        <w:ind w:left="0"/>
      </w:pPr>
      <w:r w:rsidRPr="0091188E">
        <w:t>L-</w:t>
      </w:r>
      <w:r w:rsidR="0098273B" w:rsidRPr="0091188E">
        <w:t>Methionin</w:t>
      </w:r>
    </w:p>
    <w:p w14:paraId="66A95578" w14:textId="77777777" w:rsidR="00C959DC" w:rsidRPr="0091188E" w:rsidRDefault="0098273B" w:rsidP="00EA1CDF">
      <w:pPr>
        <w:pStyle w:val="a3"/>
        <w:widowControl/>
        <w:ind w:left="0"/>
      </w:pPr>
      <w:r w:rsidRPr="0091188E">
        <w:t xml:space="preserve">Polysorbát 80 </w:t>
      </w:r>
    </w:p>
    <w:p w14:paraId="0940B84F" w14:textId="263CC9D1" w:rsidR="00222DE0" w:rsidRPr="0091188E" w:rsidRDefault="0098273B" w:rsidP="00EA1CDF">
      <w:pPr>
        <w:pStyle w:val="a3"/>
        <w:widowControl/>
        <w:ind w:left="0"/>
      </w:pPr>
      <w:r w:rsidRPr="0091188E">
        <w:t>Voda pro injekci</w:t>
      </w:r>
    </w:p>
    <w:p w14:paraId="12EB6EC4" w14:textId="77777777" w:rsidR="00222DE0" w:rsidRPr="00EE3355" w:rsidRDefault="00222DE0" w:rsidP="00EA1CDF">
      <w:pPr>
        <w:pStyle w:val="a3"/>
        <w:widowControl/>
        <w:ind w:left="0"/>
      </w:pPr>
    </w:p>
    <w:p w14:paraId="6D05144A" w14:textId="77777777" w:rsidR="00222DE0" w:rsidRPr="00EE3355" w:rsidRDefault="00B23DAE" w:rsidP="00EA1CDF">
      <w:pPr>
        <w:pStyle w:val="2"/>
        <w:keepNext/>
        <w:widowControl/>
        <w:tabs>
          <w:tab w:val="left" w:pos="803"/>
        </w:tabs>
        <w:ind w:left="567" w:hanging="567"/>
      </w:pPr>
      <w:r w:rsidRPr="00EE3355">
        <w:t>6.2</w:t>
      </w:r>
      <w:r w:rsidRPr="00EE3355">
        <w:tab/>
      </w:r>
      <w:r w:rsidR="0098273B" w:rsidRPr="00EE3355">
        <w:t>Inkompatibility</w:t>
      </w:r>
    </w:p>
    <w:p w14:paraId="76E858D6" w14:textId="77777777" w:rsidR="006D01F5" w:rsidRPr="00EE3355" w:rsidRDefault="006D01F5" w:rsidP="00B75C94"/>
    <w:p w14:paraId="4AA4F09E" w14:textId="5149B460" w:rsidR="00222DE0" w:rsidRPr="00EE3355" w:rsidRDefault="0098273B" w:rsidP="00C959DC">
      <w:pPr>
        <w:pStyle w:val="a3"/>
        <w:widowControl/>
        <w:ind w:left="0"/>
      </w:pPr>
      <w:r w:rsidRPr="00EE3355">
        <w:t>Studie kompatibilit</w:t>
      </w:r>
      <w:r w:rsidRPr="0091188E">
        <w:t>y ne</w:t>
      </w:r>
      <w:r w:rsidR="000A0D2D" w:rsidRPr="0091188E">
        <w:t>j</w:t>
      </w:r>
      <w:r w:rsidRPr="0091188E">
        <w:t>sou k</w:t>
      </w:r>
      <w:r w:rsidRPr="00EE3355">
        <w:t xml:space="preserve"> dispozici, a proto nesmí být tento léčivý přípravek mísen s</w:t>
      </w:r>
      <w:r w:rsidR="00C959DC">
        <w:t> </w:t>
      </w:r>
      <w:r w:rsidRPr="00EE3355">
        <w:t>jinými</w:t>
      </w:r>
      <w:r w:rsidR="00C959DC">
        <w:t xml:space="preserve"> </w:t>
      </w:r>
      <w:r w:rsidRPr="00EE3355">
        <w:t>léčivými přípravky.</w:t>
      </w:r>
    </w:p>
    <w:p w14:paraId="34AFC660" w14:textId="77777777" w:rsidR="00222DE0" w:rsidRPr="00EE3355" w:rsidRDefault="00222DE0" w:rsidP="00EA1CDF">
      <w:pPr>
        <w:pStyle w:val="a3"/>
        <w:widowControl/>
        <w:ind w:left="0"/>
      </w:pPr>
    </w:p>
    <w:p w14:paraId="565A16B5" w14:textId="77777777" w:rsidR="00222DE0" w:rsidRPr="00EE3355" w:rsidRDefault="00B23DAE" w:rsidP="00EA1CDF">
      <w:pPr>
        <w:pStyle w:val="2"/>
        <w:keepNext/>
        <w:widowControl/>
        <w:tabs>
          <w:tab w:val="left" w:pos="803"/>
        </w:tabs>
        <w:ind w:left="567" w:hanging="567"/>
      </w:pPr>
      <w:r w:rsidRPr="00EE3355">
        <w:lastRenderedPageBreak/>
        <w:t>6.3</w:t>
      </w:r>
      <w:r w:rsidRPr="00EE3355">
        <w:tab/>
      </w:r>
      <w:r w:rsidR="0098273B" w:rsidRPr="00EE3355">
        <w:t>Doba použitelnosti</w:t>
      </w:r>
    </w:p>
    <w:p w14:paraId="592602AE" w14:textId="77777777" w:rsidR="006D01F5" w:rsidRPr="00EE3355" w:rsidRDefault="006D01F5" w:rsidP="00B75C94"/>
    <w:p w14:paraId="2241C0C1" w14:textId="69A64469" w:rsidR="00222DE0" w:rsidRPr="00EE3355" w:rsidRDefault="003A17F7" w:rsidP="00EA1CDF">
      <w:pPr>
        <w:pStyle w:val="a3"/>
        <w:widowControl/>
        <w:ind w:left="0"/>
      </w:pPr>
      <w:r>
        <w:rPr>
          <w:rFonts w:eastAsia="맑은 고딕" w:hint="eastAsia"/>
          <w:lang w:eastAsia="ko-KR"/>
        </w:rPr>
        <w:t>42</w:t>
      </w:r>
      <w:r w:rsidRPr="00EE3355">
        <w:t xml:space="preserve"> </w:t>
      </w:r>
      <w:r w:rsidR="0098273B" w:rsidRPr="00EE3355">
        <w:t>měsíců.</w:t>
      </w:r>
    </w:p>
    <w:p w14:paraId="4F8C6309" w14:textId="77777777" w:rsidR="00222DE0" w:rsidRPr="00EE3355" w:rsidRDefault="00222DE0" w:rsidP="00EA1CDF">
      <w:pPr>
        <w:pStyle w:val="a3"/>
        <w:widowControl/>
        <w:ind w:left="0"/>
      </w:pPr>
    </w:p>
    <w:p w14:paraId="57C02F94" w14:textId="77777777" w:rsidR="006D01F5" w:rsidRPr="00EE3355" w:rsidRDefault="006D01F5" w:rsidP="00EA1CDF">
      <w:pPr>
        <w:pStyle w:val="a3"/>
        <w:widowControl/>
        <w:ind w:left="0"/>
      </w:pPr>
    </w:p>
    <w:p w14:paraId="02EE1C68" w14:textId="77777777" w:rsidR="00222DE0" w:rsidRPr="00EE3355" w:rsidRDefault="00B23DAE" w:rsidP="00EA1CDF">
      <w:pPr>
        <w:pStyle w:val="2"/>
        <w:keepNext/>
        <w:widowControl/>
        <w:tabs>
          <w:tab w:val="left" w:pos="803"/>
        </w:tabs>
        <w:ind w:left="567" w:hanging="567"/>
      </w:pPr>
      <w:r w:rsidRPr="00EE3355">
        <w:t>6.4</w:t>
      </w:r>
      <w:r w:rsidRPr="00EE3355">
        <w:tab/>
      </w:r>
      <w:r w:rsidR="0098273B" w:rsidRPr="00EE3355">
        <w:t>Zvláštní opatření pro uchovávání</w:t>
      </w:r>
    </w:p>
    <w:p w14:paraId="6228C93F" w14:textId="77777777" w:rsidR="0091188E" w:rsidRDefault="0091188E" w:rsidP="00B93217">
      <w:pPr>
        <w:pStyle w:val="a3"/>
        <w:keepNext/>
        <w:widowControl/>
        <w:ind w:left="0"/>
      </w:pPr>
    </w:p>
    <w:p w14:paraId="03C47AE1" w14:textId="37B208C4" w:rsidR="00222DE0" w:rsidRDefault="0098273B" w:rsidP="00C959DC">
      <w:pPr>
        <w:pStyle w:val="a3"/>
        <w:widowControl/>
        <w:ind w:left="0"/>
      </w:pPr>
      <w:r w:rsidRPr="00EE3355">
        <w:t>Uchovávejte v chladničce (2 °C – 8 °C). Chraňte před mrazem. Po vyjmutí z chladničky může být</w:t>
      </w:r>
      <w:r w:rsidR="00C959DC">
        <w:t xml:space="preserve"> </w:t>
      </w:r>
      <w:r w:rsidRPr="00EE3355">
        <w:t xml:space="preserve">předplněná stříkačka uchovávána až po dobu </w:t>
      </w:r>
      <w:r w:rsidR="000A0D2D">
        <w:t>3</w:t>
      </w:r>
      <w:r w:rsidRPr="00EE3355">
        <w:t xml:space="preserve"> týdnů při teplotě do 30 °C.</w:t>
      </w:r>
    </w:p>
    <w:p w14:paraId="23AACCF4" w14:textId="77777777" w:rsidR="00C959DC" w:rsidRPr="00EE3355" w:rsidRDefault="00C959DC" w:rsidP="00C959DC">
      <w:pPr>
        <w:pStyle w:val="a3"/>
        <w:widowControl/>
        <w:ind w:left="0"/>
      </w:pPr>
    </w:p>
    <w:p w14:paraId="6A85747C" w14:textId="77777777" w:rsidR="00222DE0" w:rsidRPr="00EE3355" w:rsidRDefault="0098273B" w:rsidP="00EA1CDF">
      <w:pPr>
        <w:pStyle w:val="a3"/>
        <w:widowControl/>
        <w:ind w:left="0"/>
      </w:pPr>
      <w:r w:rsidRPr="00EE3355">
        <w:t>Uchovávejte předplněné stříkačky v krabičce, aby byl přípravek chráněn před světlem a vlhkostí.</w:t>
      </w:r>
    </w:p>
    <w:p w14:paraId="1CD2B16C" w14:textId="77777777" w:rsidR="00222DE0" w:rsidRPr="00EE3355" w:rsidRDefault="00222DE0" w:rsidP="00EA1CDF">
      <w:pPr>
        <w:pStyle w:val="a3"/>
        <w:widowControl/>
        <w:ind w:left="0"/>
      </w:pPr>
    </w:p>
    <w:p w14:paraId="59ED3B79" w14:textId="77777777" w:rsidR="00222DE0" w:rsidRPr="00EE3355" w:rsidRDefault="00B23DAE" w:rsidP="00EA1CDF">
      <w:pPr>
        <w:pStyle w:val="2"/>
        <w:keepNext/>
        <w:widowControl/>
        <w:tabs>
          <w:tab w:val="left" w:pos="803"/>
        </w:tabs>
        <w:ind w:left="567" w:hanging="567"/>
      </w:pPr>
      <w:r w:rsidRPr="00EE3355">
        <w:t>6.5</w:t>
      </w:r>
      <w:r w:rsidRPr="00EE3355">
        <w:tab/>
      </w:r>
      <w:r w:rsidR="0098273B" w:rsidRPr="00EE3355">
        <w:t>Druh obalu a obsah balení</w:t>
      </w:r>
    </w:p>
    <w:p w14:paraId="7D0F767B" w14:textId="77777777" w:rsidR="006D01F5" w:rsidRPr="00EE3355" w:rsidRDefault="006D01F5" w:rsidP="00B75C94"/>
    <w:p w14:paraId="5541519B" w14:textId="61298D8E" w:rsidR="00222DE0" w:rsidRDefault="0098273B" w:rsidP="00EA1CDF">
      <w:pPr>
        <w:pStyle w:val="a3"/>
        <w:widowControl/>
        <w:ind w:left="0"/>
      </w:pPr>
      <w:r w:rsidRPr="00EE3355">
        <w:t>0,9 ml roztoku v předplněné injekční stříkačce (sklo typ I) s nasazovací jehlou. Injekční stříkačka je uzavřena pevným štítem jehly (</w:t>
      </w:r>
      <w:r w:rsidR="000A0D2D">
        <w:t>p</w:t>
      </w:r>
      <w:r w:rsidR="000A0D2D" w:rsidRPr="00B93217">
        <w:t>olyisoprenový</w:t>
      </w:r>
      <w:r w:rsidR="000A0D2D" w:rsidRPr="000A0D2D">
        <w:t> kaučuk</w:t>
      </w:r>
      <w:r w:rsidR="000A0D2D">
        <w:t xml:space="preserve"> a polypropylen</w:t>
      </w:r>
      <w:r w:rsidRPr="00EE3355">
        <w:t xml:space="preserve">) a </w:t>
      </w:r>
      <w:r w:rsidR="00DC44E2">
        <w:t>st</w:t>
      </w:r>
      <w:r w:rsidR="00202E2F">
        <w:t>e</w:t>
      </w:r>
      <w:r w:rsidR="00DC44E2">
        <w:t xml:space="preserve">rilní elastomerovou </w:t>
      </w:r>
      <w:r w:rsidRPr="00EE3355">
        <w:t xml:space="preserve">zarážkou pístu </w:t>
      </w:r>
      <w:r w:rsidR="00DC44E2" w:rsidRPr="00BA5074">
        <w:t>s</w:t>
      </w:r>
      <w:r w:rsidR="00BA5074" w:rsidRPr="00B93217">
        <w:t> </w:t>
      </w:r>
      <w:r w:rsidR="00DC44E2" w:rsidRPr="00BA5074">
        <w:t>povlakem</w:t>
      </w:r>
      <w:r w:rsidR="00BA5074">
        <w:t xml:space="preserve"> fluorotec</w:t>
      </w:r>
      <w:r w:rsidR="00DC44E2">
        <w:t xml:space="preserve"> </w:t>
      </w:r>
      <w:r w:rsidRPr="00EE3355">
        <w:t>(</w:t>
      </w:r>
      <w:r w:rsidR="000A0D2D">
        <w:t>se silikonem</w:t>
      </w:r>
      <w:r w:rsidRPr="00EE3355">
        <w:t>).</w:t>
      </w:r>
    </w:p>
    <w:p w14:paraId="7550421C" w14:textId="77777777" w:rsidR="00DC44E2" w:rsidRDefault="00DC44E2" w:rsidP="00EA1CDF">
      <w:pPr>
        <w:pStyle w:val="a3"/>
        <w:widowControl/>
        <w:ind w:left="0"/>
      </w:pPr>
    </w:p>
    <w:p w14:paraId="478F68D0" w14:textId="252973E3" w:rsidR="00DC44E2" w:rsidRDefault="00DC44E2" w:rsidP="00EA1CDF">
      <w:pPr>
        <w:pStyle w:val="a3"/>
        <w:widowControl/>
        <w:ind w:left="0"/>
      </w:pPr>
      <w:r w:rsidRPr="00DC44E2">
        <w:t>Předplněná injekční stříkačka Avtozma pro použití pacientem je k dispozici v baleních obsahujících:</w:t>
      </w:r>
    </w:p>
    <w:p w14:paraId="6F7C01ED" w14:textId="1FAEBBAC" w:rsidR="00DC44E2" w:rsidRPr="005A5001" w:rsidRDefault="00DC44E2" w:rsidP="00DC44E2">
      <w:pPr>
        <w:pStyle w:val="a4"/>
        <w:widowControl/>
        <w:numPr>
          <w:ilvl w:val="0"/>
          <w:numId w:val="66"/>
        </w:numPr>
        <w:autoSpaceDE/>
        <w:autoSpaceDN/>
        <w:ind w:left="567" w:hanging="567"/>
        <w:contextualSpacing/>
        <w:rPr>
          <w:ins w:id="17" w:author="만든 이"/>
          <w:rPrChange w:id="18" w:author="만든 이">
            <w:rPr>
              <w:ins w:id="19" w:author="만든 이"/>
              <w:rFonts w:eastAsia="맑은 고딕"/>
              <w:lang w:eastAsia="ko-KR"/>
            </w:rPr>
          </w:rPrChange>
        </w:rPr>
      </w:pPr>
      <w:r w:rsidRPr="00C61A9B">
        <w:rPr>
          <w:rFonts w:hint="eastAsia"/>
        </w:rPr>
        <w:t>1</w:t>
      </w:r>
      <w:r w:rsidRPr="00C61A9B">
        <w:t xml:space="preserve"> </w:t>
      </w:r>
      <w:r>
        <w:t>předplněn</w:t>
      </w:r>
      <w:r w:rsidR="00BA5074">
        <w:t>ou</w:t>
      </w:r>
      <w:r>
        <w:t xml:space="preserve"> injekční stříkačk</w:t>
      </w:r>
      <w:r w:rsidR="00BA5074">
        <w:t>u</w:t>
      </w:r>
    </w:p>
    <w:p w14:paraId="63AF977F" w14:textId="2C36F7D0" w:rsidR="005A5001" w:rsidRPr="00C61A9B" w:rsidRDefault="005A5001" w:rsidP="00DC44E2">
      <w:pPr>
        <w:pStyle w:val="a4"/>
        <w:widowControl/>
        <w:numPr>
          <w:ilvl w:val="0"/>
          <w:numId w:val="66"/>
        </w:numPr>
        <w:autoSpaceDE/>
        <w:autoSpaceDN/>
        <w:ind w:left="567" w:hanging="567"/>
        <w:contextualSpacing/>
      </w:pPr>
      <w:ins w:id="20" w:author="만든 이">
        <w:r>
          <w:rPr>
            <w:rFonts w:eastAsia="맑은 고딕" w:hint="eastAsia"/>
            <w:lang w:eastAsia="ko-KR"/>
          </w:rPr>
          <w:t>2</w:t>
        </w:r>
        <w:r w:rsidRPr="00C61A9B">
          <w:t xml:space="preserve"> </w:t>
        </w:r>
        <w:r>
          <w:t>předplněné injekční stříkačky</w:t>
        </w:r>
      </w:ins>
    </w:p>
    <w:p w14:paraId="0362D0BF" w14:textId="1E534107" w:rsidR="00DC44E2" w:rsidRPr="00C61A9B" w:rsidRDefault="00DC44E2" w:rsidP="00DC44E2">
      <w:pPr>
        <w:pStyle w:val="a4"/>
        <w:widowControl/>
        <w:numPr>
          <w:ilvl w:val="0"/>
          <w:numId w:val="66"/>
        </w:numPr>
        <w:autoSpaceDE/>
        <w:autoSpaceDN/>
        <w:ind w:left="567" w:hanging="567"/>
        <w:contextualSpacing/>
      </w:pPr>
      <w:r w:rsidRPr="00C61A9B">
        <w:rPr>
          <w:rFonts w:hint="eastAsia"/>
        </w:rPr>
        <w:t>4</w:t>
      </w:r>
      <w:r w:rsidRPr="00C61A9B">
        <w:t xml:space="preserve"> </w:t>
      </w:r>
      <w:r>
        <w:t>předplněné injekční stříkačky</w:t>
      </w:r>
    </w:p>
    <w:p w14:paraId="00EED561" w14:textId="6153B06E" w:rsidR="00DC44E2" w:rsidRPr="00C61A9B" w:rsidRDefault="00DC44E2" w:rsidP="00DC44E2">
      <w:pPr>
        <w:pStyle w:val="a4"/>
        <w:widowControl/>
        <w:numPr>
          <w:ilvl w:val="0"/>
          <w:numId w:val="66"/>
        </w:numPr>
        <w:autoSpaceDE/>
        <w:autoSpaceDN/>
        <w:ind w:left="567" w:hanging="567"/>
        <w:contextualSpacing/>
      </w:pPr>
      <w:r w:rsidRPr="00C61A9B">
        <w:rPr>
          <w:rFonts w:hint="eastAsia"/>
        </w:rPr>
        <w:t>1</w:t>
      </w:r>
      <w:r w:rsidRPr="00C61A9B">
        <w:t xml:space="preserve">2 (3 </w:t>
      </w:r>
      <w:r>
        <w:t>balení po</w:t>
      </w:r>
      <w:r w:rsidRPr="00C61A9B">
        <w:t xml:space="preserve"> 4) </w:t>
      </w:r>
      <w:r>
        <w:t>předplněných injekčních stříkaček</w:t>
      </w:r>
      <w:r w:rsidRPr="00C61A9B">
        <w:t xml:space="preserve"> (</w:t>
      </w:r>
      <w:r w:rsidR="00BA5074">
        <w:t>vícenásobn</w:t>
      </w:r>
      <w:r w:rsidR="006C4BD6">
        <w:t>á</w:t>
      </w:r>
      <w:r w:rsidR="00BA5074">
        <w:t xml:space="preserve"> balení</w:t>
      </w:r>
      <w:r w:rsidRPr="00C61A9B">
        <w:t>)</w:t>
      </w:r>
    </w:p>
    <w:p w14:paraId="098E9B22" w14:textId="77777777" w:rsidR="00DC44E2" w:rsidRDefault="00DC44E2" w:rsidP="00EA1CDF">
      <w:pPr>
        <w:pStyle w:val="a3"/>
        <w:widowControl/>
        <w:ind w:left="0"/>
      </w:pPr>
    </w:p>
    <w:p w14:paraId="6B9450F5" w14:textId="7B8A7AD0" w:rsidR="00222DE0" w:rsidRPr="00EE3355" w:rsidRDefault="0098273B" w:rsidP="00EA1CDF">
      <w:pPr>
        <w:widowControl/>
      </w:pPr>
      <w:r w:rsidRPr="00C959DC">
        <w:rPr>
          <w:b/>
          <w:bCs/>
        </w:rPr>
        <w:t>Na trhu nemusí být všechny velikosti balení.</w:t>
      </w:r>
    </w:p>
    <w:p w14:paraId="33F2A497" w14:textId="77777777" w:rsidR="00222DE0" w:rsidRPr="00EE3355" w:rsidRDefault="00222DE0" w:rsidP="00EA1CDF">
      <w:pPr>
        <w:pStyle w:val="a3"/>
        <w:widowControl/>
        <w:ind w:left="0"/>
        <w:rPr>
          <w:b/>
        </w:rPr>
      </w:pPr>
    </w:p>
    <w:p w14:paraId="7EA109BF" w14:textId="77777777" w:rsidR="00222DE0" w:rsidRPr="00EE3355" w:rsidRDefault="00B23DAE" w:rsidP="00EA1CDF">
      <w:pPr>
        <w:keepNext/>
        <w:widowControl/>
        <w:tabs>
          <w:tab w:val="left" w:pos="803"/>
        </w:tabs>
        <w:ind w:left="567" w:hanging="567"/>
        <w:rPr>
          <w:b/>
        </w:rPr>
      </w:pPr>
      <w:r w:rsidRPr="00EE3355">
        <w:rPr>
          <w:b/>
          <w:bCs/>
        </w:rPr>
        <w:t>6.6</w:t>
      </w:r>
      <w:r w:rsidRPr="00EE3355">
        <w:rPr>
          <w:b/>
          <w:bCs/>
        </w:rPr>
        <w:tab/>
      </w:r>
      <w:r w:rsidR="0098273B" w:rsidRPr="00EE3355">
        <w:rPr>
          <w:b/>
        </w:rPr>
        <w:t>Zvláštní opatření pro likvidaci přípravku a pro zacházení s</w:t>
      </w:r>
      <w:r w:rsidR="006D01F5" w:rsidRPr="00EE3355">
        <w:rPr>
          <w:b/>
        </w:rPr>
        <w:t> </w:t>
      </w:r>
      <w:r w:rsidR="0098273B" w:rsidRPr="00EE3355">
        <w:rPr>
          <w:b/>
        </w:rPr>
        <w:t>ním</w:t>
      </w:r>
    </w:p>
    <w:p w14:paraId="02FFDCE0" w14:textId="77777777" w:rsidR="006D01F5" w:rsidRPr="00EE3355" w:rsidRDefault="006D01F5" w:rsidP="00EA1CDF">
      <w:pPr>
        <w:keepNext/>
        <w:widowControl/>
        <w:tabs>
          <w:tab w:val="left" w:pos="803"/>
        </w:tabs>
        <w:rPr>
          <w:b/>
        </w:rPr>
      </w:pPr>
    </w:p>
    <w:p w14:paraId="2CC933D9" w14:textId="62C98330" w:rsidR="00222DE0" w:rsidRPr="00EE3355" w:rsidRDefault="0098273B" w:rsidP="00EA1CDF">
      <w:pPr>
        <w:pStyle w:val="a3"/>
        <w:widowControl/>
        <w:ind w:left="0"/>
      </w:pPr>
      <w:r w:rsidRPr="00EE3355">
        <w:t xml:space="preserve">Přípravek </w:t>
      </w:r>
      <w:r w:rsidR="00DC44E2">
        <w:t>Avtozma</w:t>
      </w:r>
      <w:r w:rsidRPr="00EE3355">
        <w:t xml:space="preserve"> je dodáván v předplněné injekční stříkačce s ochrannou pojistkou jehly. Po vyjmutí z chladničky má být předplněná injekční stříkačka vytemperována na pokojovou teplotu (</w:t>
      </w:r>
      <w:r w:rsidR="00F86246">
        <w:rPr>
          <w:rFonts w:eastAsia="맑은 고딕" w:hint="eastAsia"/>
          <w:lang w:eastAsia="ko-KR"/>
        </w:rPr>
        <w:t>18</w:t>
      </w:r>
      <w:r w:rsidR="00F86246">
        <w:t> </w:t>
      </w:r>
      <w:r w:rsidRPr="00EE3355">
        <w:t xml:space="preserve">°C až </w:t>
      </w:r>
      <w:r w:rsidR="00F86246" w:rsidRPr="00EE3355">
        <w:t>2</w:t>
      </w:r>
      <w:r w:rsidR="00F86246">
        <w:rPr>
          <w:rFonts w:eastAsia="맑은 고딕" w:hint="eastAsia"/>
          <w:lang w:eastAsia="ko-KR"/>
        </w:rPr>
        <w:t>8</w:t>
      </w:r>
      <w:r w:rsidR="00F86246" w:rsidRPr="00EE3355">
        <w:t xml:space="preserve"> </w:t>
      </w:r>
      <w:r w:rsidRPr="00EE3355">
        <w:t xml:space="preserve">°C), je nutno vyčkat 30 minut před podáním injekce přípravku </w:t>
      </w:r>
      <w:r w:rsidR="00DC44E2">
        <w:t>Avtozma</w:t>
      </w:r>
      <w:r w:rsidRPr="00EE3355">
        <w:t>. S předplněnou injekční stříkačkou se nesmí třepat. Po odstranění víčka musí být injekce podána do 5 minut, aby se zabránilo vysychání léčivého přípravku a zablokování jehly. Pokud předplněná injekční stříkačka není po odstranění víčka použita do 5 minut, musíte ji zlikvidovat vyhozením do nepropíchnutelné nádoby a musí být použita nová injekční stříkačka.</w:t>
      </w:r>
    </w:p>
    <w:p w14:paraId="3DD6E7B2" w14:textId="77777777" w:rsidR="006D01F5" w:rsidRPr="00EE3355" w:rsidRDefault="006D01F5" w:rsidP="00EA1CDF">
      <w:pPr>
        <w:pStyle w:val="a3"/>
        <w:widowControl/>
        <w:ind w:left="0"/>
      </w:pPr>
    </w:p>
    <w:p w14:paraId="78837CAA" w14:textId="7C521EE8" w:rsidR="00222DE0" w:rsidRPr="00EE3355" w:rsidRDefault="0098273B" w:rsidP="00EA1CDF">
      <w:pPr>
        <w:pStyle w:val="a3"/>
        <w:widowControl/>
        <w:ind w:left="0"/>
      </w:pPr>
      <w:r w:rsidRPr="00EE3355">
        <w:t>Pokud po vpíchnutí jehly (injekce) nemůžete stlačit píst, musíte tuto injekční stříkačku zlikvidovat vyhozením do nepropíchnutelné nádoby a použít novou předplněnou injekční stříkačku.</w:t>
      </w:r>
      <w:r w:rsidR="006D01F5" w:rsidRPr="00EE3355">
        <w:t xml:space="preserve"> </w:t>
      </w:r>
      <w:r w:rsidRPr="00EE3355">
        <w:t xml:space="preserve">Nepoužívejte v případě, že je léčivý přípravek zakalený nebo obsahuje částice, pokud je jakkoli odlišně zbarvený kromě bezbarvé až </w:t>
      </w:r>
      <w:r w:rsidR="007160D5">
        <w:t>žluté</w:t>
      </w:r>
      <w:r w:rsidRPr="00EE3355">
        <w:t xml:space="preserve"> barvy nebo pokud se jakákoli část předplněné injekční stříkačky zdá být poškozená.</w:t>
      </w:r>
    </w:p>
    <w:p w14:paraId="67528043" w14:textId="77777777" w:rsidR="006D01F5" w:rsidRPr="00EE3355" w:rsidRDefault="006D01F5" w:rsidP="00EA1CDF">
      <w:pPr>
        <w:pStyle w:val="a3"/>
        <w:widowControl/>
        <w:ind w:left="0"/>
      </w:pPr>
    </w:p>
    <w:p w14:paraId="630F89F1" w14:textId="7578A5E9" w:rsidR="00222DE0" w:rsidRPr="00EE3355" w:rsidRDefault="0098273B" w:rsidP="00EA1CDF">
      <w:pPr>
        <w:pStyle w:val="a3"/>
        <w:widowControl/>
        <w:ind w:left="0"/>
      </w:pPr>
      <w:r w:rsidRPr="00EE3355">
        <w:t xml:space="preserve">Úplný návod na podání přípravku </w:t>
      </w:r>
      <w:r w:rsidR="00DC44E2">
        <w:t>Avtozma</w:t>
      </w:r>
      <w:r w:rsidRPr="00EE3355">
        <w:t xml:space="preserve"> v předplněné injekční stříkačce je uveden v</w:t>
      </w:r>
      <w:r w:rsidR="004B01FB">
        <w:t> </w:t>
      </w:r>
      <w:r w:rsidRPr="00EE3355">
        <w:t>příbalové</w:t>
      </w:r>
      <w:r w:rsidR="004B01FB">
        <w:t xml:space="preserve"> </w:t>
      </w:r>
      <w:r w:rsidRPr="00EE3355">
        <w:t>informaci.</w:t>
      </w:r>
    </w:p>
    <w:p w14:paraId="662BC933" w14:textId="77777777" w:rsidR="00222DE0" w:rsidRPr="00EE3355" w:rsidRDefault="00222DE0" w:rsidP="00EA1CDF">
      <w:pPr>
        <w:pStyle w:val="a3"/>
        <w:widowControl/>
        <w:ind w:left="0"/>
      </w:pPr>
    </w:p>
    <w:p w14:paraId="38D2A3E3" w14:textId="77777777" w:rsidR="00222DE0" w:rsidRPr="00EE3355" w:rsidRDefault="0098273B" w:rsidP="00EA1CDF">
      <w:pPr>
        <w:pStyle w:val="a3"/>
        <w:widowControl/>
        <w:ind w:left="0"/>
      </w:pPr>
      <w:r w:rsidRPr="00EE3355">
        <w:t>Veškerý nepoužitý léčivý přípravek nebo odpad musí být zlikvidován v souladu s místními požadavky.</w:t>
      </w:r>
    </w:p>
    <w:p w14:paraId="03E606B2" w14:textId="77777777" w:rsidR="00222DE0" w:rsidRPr="00EE3355" w:rsidRDefault="00222DE0" w:rsidP="00EA1CDF">
      <w:pPr>
        <w:pStyle w:val="a3"/>
        <w:widowControl/>
        <w:ind w:left="0"/>
      </w:pPr>
    </w:p>
    <w:p w14:paraId="2A9B9C3A" w14:textId="77777777" w:rsidR="00222DE0" w:rsidRPr="00EE3355" w:rsidRDefault="00222DE0" w:rsidP="00EA1CDF">
      <w:pPr>
        <w:pStyle w:val="a3"/>
        <w:widowControl/>
        <w:ind w:left="0"/>
      </w:pPr>
    </w:p>
    <w:p w14:paraId="2EC53470" w14:textId="77777777" w:rsidR="00222DE0" w:rsidRPr="00EE3355" w:rsidRDefault="00B23DAE" w:rsidP="00EA1CDF">
      <w:pPr>
        <w:pStyle w:val="1"/>
        <w:widowControl/>
        <w:tabs>
          <w:tab w:val="left" w:pos="804"/>
        </w:tabs>
        <w:ind w:left="567" w:hanging="567"/>
      </w:pPr>
      <w:r w:rsidRPr="00EE3355">
        <w:t>7.</w:t>
      </w:r>
      <w:r w:rsidRPr="00EE3355">
        <w:tab/>
      </w:r>
      <w:r w:rsidR="0098273B" w:rsidRPr="00EE3355">
        <w:t>DRŽITEL ROZHODNUTÍ O REGISTRACI</w:t>
      </w:r>
    </w:p>
    <w:p w14:paraId="5E797E95" w14:textId="77777777" w:rsidR="006D01F5" w:rsidRPr="00EE3355" w:rsidRDefault="006D01F5" w:rsidP="00EA1CDF">
      <w:pPr>
        <w:pStyle w:val="a3"/>
        <w:widowControl/>
        <w:ind w:left="0"/>
      </w:pPr>
    </w:p>
    <w:p w14:paraId="62096DEB" w14:textId="77777777" w:rsidR="00DC44E2" w:rsidRPr="001879E9" w:rsidRDefault="00DC44E2" w:rsidP="00B93217">
      <w:pPr>
        <w:pStyle w:val="a3"/>
        <w:keepNext/>
        <w:ind w:left="0"/>
      </w:pPr>
      <w:r w:rsidRPr="001879E9">
        <w:t xml:space="preserve">Celltrion Healthcare Hungary Kft. </w:t>
      </w:r>
    </w:p>
    <w:p w14:paraId="1ECACD94" w14:textId="77777777" w:rsidR="00DC44E2" w:rsidRPr="001879E9" w:rsidRDefault="00DC44E2" w:rsidP="00B93217">
      <w:pPr>
        <w:pStyle w:val="a3"/>
        <w:keepNext/>
        <w:ind w:left="0"/>
      </w:pPr>
      <w:r w:rsidRPr="001879E9">
        <w:t>1062 Budapest</w:t>
      </w:r>
    </w:p>
    <w:p w14:paraId="653D6E3F" w14:textId="77777777" w:rsidR="00DC44E2" w:rsidRPr="001879E9" w:rsidRDefault="00DC44E2" w:rsidP="00B93217">
      <w:pPr>
        <w:pStyle w:val="a3"/>
        <w:keepNext/>
        <w:ind w:left="0"/>
      </w:pPr>
      <w:r w:rsidRPr="001879E9">
        <w:t>Váci út 1-3. WestEnd Office Building B torony</w:t>
      </w:r>
    </w:p>
    <w:p w14:paraId="247526AC" w14:textId="35DE9CE4" w:rsidR="00222DE0" w:rsidRPr="00EE3355" w:rsidRDefault="00DC44E2" w:rsidP="004A6A2B">
      <w:pPr>
        <w:pStyle w:val="a3"/>
        <w:widowControl/>
        <w:ind w:left="0"/>
      </w:pPr>
      <w:r>
        <w:t>Maďarsko</w:t>
      </w:r>
    </w:p>
    <w:p w14:paraId="3D5959F2" w14:textId="77777777" w:rsidR="00222DE0" w:rsidRPr="00EE3355" w:rsidRDefault="00222DE0" w:rsidP="00EA1CDF">
      <w:pPr>
        <w:pStyle w:val="a3"/>
        <w:widowControl/>
        <w:ind w:left="0"/>
      </w:pPr>
    </w:p>
    <w:p w14:paraId="27DC5B01" w14:textId="77777777" w:rsidR="00222DE0" w:rsidRPr="00EE3355" w:rsidRDefault="00222DE0" w:rsidP="00EA1CDF">
      <w:pPr>
        <w:pStyle w:val="a3"/>
        <w:widowControl/>
        <w:ind w:left="0"/>
      </w:pPr>
    </w:p>
    <w:p w14:paraId="4B9BF0C8" w14:textId="77777777" w:rsidR="00222DE0" w:rsidRPr="00EE3355" w:rsidRDefault="00B23DAE" w:rsidP="00EA1CDF">
      <w:pPr>
        <w:pStyle w:val="1"/>
        <w:keepNext/>
        <w:widowControl/>
        <w:tabs>
          <w:tab w:val="left" w:pos="804"/>
        </w:tabs>
        <w:ind w:left="567" w:hanging="567"/>
      </w:pPr>
      <w:r w:rsidRPr="00EE3355">
        <w:lastRenderedPageBreak/>
        <w:t>8.</w:t>
      </w:r>
      <w:r w:rsidRPr="00EE3355">
        <w:tab/>
      </w:r>
      <w:r w:rsidR="0098273B" w:rsidRPr="00EE3355">
        <w:t>REGISTRAČNÍ ČÍSLO/REGISTRAČNÍ ČÍSLA</w:t>
      </w:r>
    </w:p>
    <w:p w14:paraId="38710412" w14:textId="77777777" w:rsidR="006D01F5" w:rsidRPr="00EE3355" w:rsidRDefault="006D01F5" w:rsidP="00B75C94"/>
    <w:p w14:paraId="5A90A1B9" w14:textId="0F342EE3" w:rsidR="00DC44E2" w:rsidRDefault="0098273B" w:rsidP="00EA1CDF">
      <w:pPr>
        <w:pStyle w:val="a3"/>
        <w:keepNext/>
        <w:widowControl/>
        <w:ind w:left="0"/>
      </w:pPr>
      <w:r w:rsidRPr="00EE3355">
        <w:t>EU/</w:t>
      </w:r>
      <w:r w:rsidR="00F56EA7">
        <w:rPr>
          <w:rFonts w:cs="Verdana"/>
          <w:color w:val="000000"/>
          <w:kern w:val="2"/>
        </w:rPr>
        <w:t>1/24/1896/007</w:t>
      </w:r>
    </w:p>
    <w:p w14:paraId="162B24F2" w14:textId="77777777" w:rsidR="00F56EA7" w:rsidRPr="00C61A9B" w:rsidRDefault="0098273B" w:rsidP="00F56EA7">
      <w:r w:rsidRPr="00EE3355">
        <w:t>EU/</w:t>
      </w:r>
      <w:r w:rsidR="00F56EA7">
        <w:rPr>
          <w:rFonts w:cs="Verdana"/>
          <w:color w:val="000000"/>
          <w:kern w:val="2"/>
        </w:rPr>
        <w:t>1/24/1896/00</w:t>
      </w:r>
      <w:r w:rsidR="00F56EA7">
        <w:rPr>
          <w:rFonts w:eastAsia="맑은 고딕" w:cs="Verdana" w:hint="eastAsia"/>
          <w:color w:val="000000"/>
          <w:kern w:val="2"/>
          <w:lang w:eastAsia="ko-KR"/>
        </w:rPr>
        <w:t>8</w:t>
      </w:r>
    </w:p>
    <w:p w14:paraId="7F4E10E2" w14:textId="326D9A05" w:rsidR="00DC44E2" w:rsidRDefault="00DC44E2" w:rsidP="00EA1CDF">
      <w:pPr>
        <w:pStyle w:val="a3"/>
        <w:keepNext/>
        <w:widowControl/>
        <w:ind w:left="0"/>
        <w:rPr>
          <w:ins w:id="21" w:author="만든 이"/>
          <w:rFonts w:eastAsia="맑은 고딕" w:cs="Verdana"/>
          <w:color w:val="000000"/>
          <w:kern w:val="2"/>
          <w:lang w:eastAsia="ko-KR"/>
        </w:rPr>
      </w:pPr>
      <w:r>
        <w:rPr>
          <w:lang w:val="fr-FR"/>
        </w:rPr>
        <w:t>EU/</w:t>
      </w:r>
      <w:r w:rsidR="00F56EA7">
        <w:rPr>
          <w:rFonts w:cs="Verdana"/>
          <w:color w:val="000000"/>
          <w:kern w:val="2"/>
        </w:rPr>
        <w:t>1/24/1896/00</w:t>
      </w:r>
      <w:r w:rsidR="00F56EA7">
        <w:rPr>
          <w:rFonts w:eastAsia="맑은 고딕" w:cs="Verdana" w:hint="eastAsia"/>
          <w:color w:val="000000"/>
          <w:kern w:val="2"/>
          <w:lang w:eastAsia="ko-KR"/>
        </w:rPr>
        <w:t>9</w:t>
      </w:r>
    </w:p>
    <w:p w14:paraId="2DAA7D51" w14:textId="3D4F1BBE" w:rsidR="005A5001" w:rsidRPr="00EE3355" w:rsidRDefault="005A5001" w:rsidP="00EA1CDF">
      <w:pPr>
        <w:pStyle w:val="a3"/>
        <w:keepNext/>
        <w:widowControl/>
        <w:ind w:left="0"/>
      </w:pPr>
      <w:ins w:id="22" w:author="만든 이">
        <w:r>
          <w:rPr>
            <w:rFonts w:eastAsia="맑은 고딕" w:cs="Verdana" w:hint="eastAsia"/>
            <w:color w:val="000000"/>
            <w:kern w:val="2"/>
            <w:lang w:eastAsia="ko-KR"/>
          </w:rPr>
          <w:t>EU/1/24/1896/</w:t>
        </w:r>
        <w:r w:rsidR="00755DCB">
          <w:rPr>
            <w:rFonts w:eastAsia="맑은 고딕" w:cs="Verdana" w:hint="eastAsia"/>
            <w:color w:val="000000"/>
            <w:kern w:val="2"/>
            <w:lang w:eastAsia="ko-KR"/>
          </w:rPr>
          <w:t>013</w:t>
        </w:r>
      </w:ins>
    </w:p>
    <w:p w14:paraId="02451458" w14:textId="77777777" w:rsidR="00222DE0" w:rsidRPr="00EE3355" w:rsidRDefault="00222DE0" w:rsidP="00DC44E2">
      <w:pPr>
        <w:pStyle w:val="a3"/>
        <w:keepNext/>
        <w:widowControl/>
        <w:ind w:left="0"/>
      </w:pPr>
    </w:p>
    <w:p w14:paraId="2F2A1C35" w14:textId="77777777" w:rsidR="00222DE0" w:rsidRPr="00EE3355" w:rsidRDefault="00222DE0" w:rsidP="00EA1CDF">
      <w:pPr>
        <w:pStyle w:val="a3"/>
        <w:widowControl/>
        <w:ind w:left="0"/>
      </w:pPr>
    </w:p>
    <w:p w14:paraId="7D88E57C" w14:textId="77777777" w:rsidR="00222DE0" w:rsidRPr="00EE3355" w:rsidRDefault="00B23DAE" w:rsidP="00EA1CDF">
      <w:pPr>
        <w:pStyle w:val="1"/>
        <w:keepNext/>
        <w:widowControl/>
        <w:tabs>
          <w:tab w:val="left" w:pos="804"/>
        </w:tabs>
        <w:ind w:left="567" w:hanging="567"/>
      </w:pPr>
      <w:r w:rsidRPr="00EE3355">
        <w:t>9.</w:t>
      </w:r>
      <w:r w:rsidRPr="00EE3355">
        <w:tab/>
      </w:r>
      <w:r w:rsidR="0098273B" w:rsidRPr="00EE3355">
        <w:t>DATUM PRVNÍ REGISTRACE/PRODLOUŽENÍ REGISTRACE</w:t>
      </w:r>
    </w:p>
    <w:p w14:paraId="07D8BACA" w14:textId="77777777" w:rsidR="006D01F5" w:rsidRPr="00EE3355" w:rsidRDefault="006D01F5" w:rsidP="00EA1CDF">
      <w:pPr>
        <w:pStyle w:val="a3"/>
        <w:widowControl/>
        <w:ind w:left="0"/>
      </w:pPr>
    </w:p>
    <w:p w14:paraId="7C482F8F" w14:textId="1A4ABFC2" w:rsidR="00B059EF" w:rsidRPr="00EE3355" w:rsidRDefault="0098273B" w:rsidP="00DC44E2">
      <w:pPr>
        <w:pStyle w:val="a3"/>
        <w:widowControl/>
        <w:ind w:left="0"/>
      </w:pPr>
      <w:r w:rsidRPr="00EE3355">
        <w:t xml:space="preserve">Datum první registrace: </w:t>
      </w:r>
      <w:r w:rsidR="00F77327">
        <w:rPr>
          <w:rFonts w:eastAsia="맑은 고딕" w:hint="eastAsia"/>
          <w:lang w:eastAsia="ko-KR"/>
        </w:rPr>
        <w:t xml:space="preserve">14 </w:t>
      </w:r>
      <w:r w:rsidR="00500D7D" w:rsidRPr="004C41FF">
        <w:t>únor</w:t>
      </w:r>
      <w:r w:rsidR="00500D7D">
        <w:rPr>
          <w:rFonts w:eastAsia="맑은 고딕" w:hint="eastAsia"/>
          <w:lang w:eastAsia="ko-KR"/>
        </w:rPr>
        <w:t xml:space="preserve"> 2025</w:t>
      </w:r>
    </w:p>
    <w:p w14:paraId="22FBFF9C" w14:textId="77777777" w:rsidR="00222DE0" w:rsidRPr="00EE3355" w:rsidRDefault="00222DE0" w:rsidP="00DC44E2">
      <w:pPr>
        <w:pStyle w:val="a3"/>
        <w:widowControl/>
        <w:ind w:left="0"/>
      </w:pPr>
    </w:p>
    <w:p w14:paraId="3889D1E6" w14:textId="77777777" w:rsidR="00222DE0" w:rsidRPr="00EE3355" w:rsidRDefault="00222DE0" w:rsidP="00EA1CDF">
      <w:pPr>
        <w:pStyle w:val="a3"/>
        <w:widowControl/>
        <w:ind w:left="0"/>
      </w:pPr>
    </w:p>
    <w:p w14:paraId="1A46304F" w14:textId="77777777" w:rsidR="00222DE0" w:rsidRPr="00EE3355" w:rsidRDefault="00B23DAE" w:rsidP="00EA1CDF">
      <w:pPr>
        <w:pStyle w:val="1"/>
        <w:keepNext/>
        <w:widowControl/>
        <w:tabs>
          <w:tab w:val="left" w:pos="804"/>
        </w:tabs>
        <w:ind w:left="567" w:hanging="567"/>
      </w:pPr>
      <w:r w:rsidRPr="00EE3355">
        <w:t>10.</w:t>
      </w:r>
      <w:r w:rsidRPr="00EE3355">
        <w:tab/>
      </w:r>
      <w:r w:rsidR="0098273B" w:rsidRPr="00EE3355">
        <w:t>DATUM REVIZE TEXTU</w:t>
      </w:r>
    </w:p>
    <w:p w14:paraId="11B812AE" w14:textId="77777777" w:rsidR="006D01F5" w:rsidRPr="00EE3355" w:rsidRDefault="006D01F5" w:rsidP="00B75C94"/>
    <w:p w14:paraId="5DB157BA" w14:textId="0E2D74E0" w:rsidR="00222DE0" w:rsidRPr="00EE3355" w:rsidRDefault="0098273B" w:rsidP="00C959DC">
      <w:pPr>
        <w:pStyle w:val="a3"/>
        <w:widowControl/>
        <w:ind w:left="0"/>
      </w:pPr>
      <w:r w:rsidRPr="00EE3355">
        <w:t>Podrobné informace o tomto léčivém přípravku jsou k dispozici na webových stránkách Evropské</w:t>
      </w:r>
      <w:r w:rsidR="00C959DC">
        <w:t xml:space="preserve"> </w:t>
      </w:r>
      <w:r w:rsidR="00C301E6">
        <w:rPr>
          <w:noProof/>
          <w:lang w:val="en-US" w:eastAsia="ko-KR"/>
        </w:rPr>
        <mc:AlternateContent>
          <mc:Choice Requires="wps">
            <w:drawing>
              <wp:anchor distT="0" distB="0" distL="0" distR="0" simplePos="0" relativeHeight="251658241" behindDoc="0" locked="0" layoutInCell="1" allowOverlap="1" wp14:anchorId="6B3803EF" wp14:editId="4058E771">
                <wp:simplePos x="0" y="0"/>
                <wp:positionH relativeFrom="page">
                  <wp:posOffset>4077970</wp:posOffset>
                </wp:positionH>
                <wp:positionV relativeFrom="paragraph">
                  <wp:posOffset>146685</wp:posOffset>
                </wp:positionV>
                <wp:extent cx="40005" cy="6350"/>
                <wp:effectExtent l="1270" t="0" r="0" b="3175"/>
                <wp:wrapNone/>
                <wp:docPr id="186068012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39624 w 40005"/>
                            <a:gd name="T1" fmla="*/ 0 h 6350"/>
                            <a:gd name="T2" fmla="*/ 0 w 40005"/>
                            <a:gd name="T3" fmla="*/ 0 h 6350"/>
                            <a:gd name="T4" fmla="*/ 0 w 40005"/>
                            <a:gd name="T5" fmla="*/ 6096 h 6350"/>
                            <a:gd name="T6" fmla="*/ 39624 w 40005"/>
                            <a:gd name="T7" fmla="*/ 6096 h 6350"/>
                            <a:gd name="T8" fmla="*/ 39624 w 40005"/>
                            <a:gd name="T9" fmla="*/ 0 h 6350"/>
                          </a:gdLst>
                          <a:ahLst/>
                          <a:cxnLst>
                            <a:cxn ang="0">
                              <a:pos x="T0" y="T1"/>
                            </a:cxn>
                            <a:cxn ang="0">
                              <a:pos x="T2" y="T3"/>
                            </a:cxn>
                            <a:cxn ang="0">
                              <a:pos x="T4" y="T5"/>
                            </a:cxn>
                            <a:cxn ang="0">
                              <a:pos x="T6" y="T7"/>
                            </a:cxn>
                            <a:cxn ang="0">
                              <a:pos x="T8" y="T9"/>
                            </a:cxn>
                          </a:cxnLst>
                          <a:rect l="0" t="0" r="r" b="b"/>
                          <a:pathLst>
                            <a:path w="40005" h="6350">
                              <a:moveTo>
                                <a:pt x="39624" y="0"/>
                              </a:moveTo>
                              <a:lnTo>
                                <a:pt x="0" y="0"/>
                              </a:lnTo>
                              <a:lnTo>
                                <a:pt x="0" y="6096"/>
                              </a:lnTo>
                              <a:lnTo>
                                <a:pt x="39624" y="6096"/>
                              </a:lnTo>
                              <a:lnTo>
                                <a:pt x="39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7BCCD" id="Graphic 3" o:spid="_x0000_s1026" style="position:absolute;margin-left:321.1pt;margin-top:11.55pt;width:3.15pt;height:.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" path="m39624,l,,,6096r39624,l39624,xe" fillcolor="black" stroked="f">
                <v:path arrowok="t" o:connecttype="custom" o:connectlocs="39624,0;0,0;0,6096;39624,6096;39624,0" o:connectangles="0,0,0,0,0"/>
                <w10:wrap anchorx="page"/>
              </v:shape>
            </w:pict>
          </mc:Fallback>
        </mc:AlternateContent>
      </w:r>
      <w:r w:rsidRPr="00EE3355">
        <w:t xml:space="preserve">agentury pro léčivé přípravky </w:t>
      </w:r>
      <w:r w:rsidR="00392C24">
        <w:fldChar w:fldCharType="begin"/>
      </w:r>
      <w:r w:rsidR="00392C24">
        <w:instrText>HYPERLINK "http://www.ema.europa.eu/" \h</w:instrText>
      </w:r>
      <w:r w:rsidR="00392C24">
        <w:fldChar w:fldCharType="separate"/>
      </w:r>
      <w:r w:rsidR="00392C24">
        <w:rPr>
          <w:color w:val="0000FF"/>
          <w:u w:val="single" w:color="0000FF"/>
        </w:rPr>
        <w:t>https:</w:t>
      </w:r>
      <w:r w:rsidRPr="00EE3355">
        <w:rPr>
          <w:color w:val="0000FF"/>
          <w:u w:val="single" w:color="0000FF"/>
        </w:rPr>
        <w:t>//www.ema.europa.eu</w:t>
      </w:r>
      <w:r w:rsidR="00392C24">
        <w:fldChar w:fldCharType="end"/>
      </w:r>
      <w:r w:rsidRPr="00EE3355">
        <w:t>/.</w:t>
      </w:r>
    </w:p>
    <w:p w14:paraId="777F7573" w14:textId="77777777" w:rsidR="00222DE0" w:rsidRPr="00EE3355" w:rsidRDefault="00222DE0" w:rsidP="00EA1CDF">
      <w:pPr>
        <w:widowControl/>
      </w:pPr>
    </w:p>
    <w:p w14:paraId="6FC9B8C8" w14:textId="55B9B03C" w:rsidR="006D01F5" w:rsidRPr="00EE3355" w:rsidRDefault="006D01F5" w:rsidP="00EA1CDF">
      <w:pPr>
        <w:widowControl/>
      </w:pPr>
      <w:r w:rsidRPr="00EE3355">
        <w:br w:type="page"/>
      </w:r>
      <w:r w:rsidR="00C301E6">
        <w:rPr>
          <w:noProof/>
          <w:lang w:val="en-US" w:eastAsia="ko-KR"/>
        </w:rPr>
        <w:lastRenderedPageBreak/>
        <w:drawing>
          <wp:inline distT="0" distB="0" distL="0" distR="0" wp14:anchorId="2D63E692" wp14:editId="3577F333">
            <wp:extent cx="191135" cy="159385"/>
            <wp:effectExtent l="0" t="0" r="0" b="0"/>
            <wp:docPr id="4" name="그림 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59385"/>
                    </a:xfrm>
                    <a:prstGeom prst="rect">
                      <a:avLst/>
                    </a:prstGeom>
                    <a:noFill/>
                    <a:ln>
                      <a:noFill/>
                    </a:ln>
                  </pic:spPr>
                </pic:pic>
              </a:graphicData>
            </a:graphic>
          </wp:inline>
        </w:drawing>
      </w:r>
      <w:r w:rsidR="00DC44E2" w:rsidRPr="00DB288E">
        <w:t>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w:t>
      </w:r>
    </w:p>
    <w:p w14:paraId="01CFFA90" w14:textId="77777777" w:rsidR="00DC44E2" w:rsidRDefault="00DC44E2" w:rsidP="00B75C94"/>
    <w:p w14:paraId="6DF6FA2B" w14:textId="77777777" w:rsidR="0091188E" w:rsidRDefault="0091188E" w:rsidP="00B75C94"/>
    <w:p w14:paraId="28C2C22D" w14:textId="5CF017DA" w:rsidR="00222DE0" w:rsidRPr="00EE3355" w:rsidRDefault="00B23DAE" w:rsidP="00EA1CDF">
      <w:pPr>
        <w:pStyle w:val="1"/>
        <w:keepNext/>
        <w:widowControl/>
        <w:tabs>
          <w:tab w:val="left" w:pos="804"/>
        </w:tabs>
        <w:ind w:left="567" w:hanging="567"/>
      </w:pPr>
      <w:r w:rsidRPr="00EE3355">
        <w:t>1.</w:t>
      </w:r>
      <w:r w:rsidRPr="00EE3355">
        <w:tab/>
      </w:r>
      <w:r w:rsidR="0098273B" w:rsidRPr="00EE3355">
        <w:t>NÁZEV PŘÍPRAVKU</w:t>
      </w:r>
    </w:p>
    <w:p w14:paraId="529FF304" w14:textId="77777777" w:rsidR="00393F75" w:rsidRPr="00EE3355" w:rsidRDefault="00393F75" w:rsidP="00B75C94"/>
    <w:p w14:paraId="5D3AC2E8" w14:textId="06A38BFF" w:rsidR="00222DE0" w:rsidRPr="005353C5" w:rsidRDefault="00DC44E2" w:rsidP="00EA1CDF">
      <w:pPr>
        <w:pStyle w:val="a3"/>
        <w:widowControl/>
        <w:ind w:left="0"/>
        <w:rPr>
          <w:rFonts w:eastAsia="맑은 고딕" w:hint="eastAsia"/>
          <w:lang w:eastAsia="ko-KR"/>
          <w:rPrChange w:id="23" w:author="만든 이">
            <w:rPr/>
          </w:rPrChange>
        </w:rPr>
      </w:pPr>
      <w:r>
        <w:t>Avtozma</w:t>
      </w:r>
      <w:r w:rsidR="0098273B" w:rsidRPr="00EE3355">
        <w:t xml:space="preserve"> 162 mg injekční roztok v předplněném peru</w:t>
      </w:r>
      <w:del w:id="24" w:author="만든 이">
        <w:r w:rsidR="0098273B" w:rsidRPr="00EE3355" w:rsidDel="005353C5">
          <w:delText>.</w:delText>
        </w:r>
      </w:del>
    </w:p>
    <w:p w14:paraId="3254320C" w14:textId="77777777" w:rsidR="00222DE0" w:rsidRPr="00EE3355" w:rsidRDefault="00222DE0" w:rsidP="00EA1CDF">
      <w:pPr>
        <w:pStyle w:val="a3"/>
        <w:widowControl/>
        <w:ind w:left="0"/>
      </w:pPr>
    </w:p>
    <w:p w14:paraId="6310C22F" w14:textId="77777777" w:rsidR="00222DE0" w:rsidRPr="00EE3355" w:rsidRDefault="00222DE0" w:rsidP="00EA1CDF">
      <w:pPr>
        <w:pStyle w:val="a3"/>
        <w:widowControl/>
        <w:ind w:left="0"/>
      </w:pPr>
    </w:p>
    <w:p w14:paraId="14F67E63" w14:textId="77777777" w:rsidR="00222DE0" w:rsidRPr="00EE3355" w:rsidRDefault="00B23DAE" w:rsidP="00EA1CDF">
      <w:pPr>
        <w:pStyle w:val="1"/>
        <w:widowControl/>
        <w:tabs>
          <w:tab w:val="left" w:pos="804"/>
        </w:tabs>
        <w:ind w:left="567" w:hanging="567"/>
      </w:pPr>
      <w:r w:rsidRPr="00EE3355">
        <w:t>2.</w:t>
      </w:r>
      <w:r w:rsidRPr="00EE3355">
        <w:tab/>
      </w:r>
      <w:r w:rsidR="0098273B" w:rsidRPr="00EE3355">
        <w:t>KVALITATIVNÍ A KVANTITATIVNÍ SLOŽENÍ</w:t>
      </w:r>
    </w:p>
    <w:p w14:paraId="4F5B525D" w14:textId="77777777" w:rsidR="00393F75" w:rsidRPr="00EE3355" w:rsidRDefault="00393F75" w:rsidP="00B75C94"/>
    <w:p w14:paraId="7D738EAD" w14:textId="77777777" w:rsidR="00222DE0" w:rsidRPr="00EE3355" w:rsidRDefault="0098273B" w:rsidP="00EA1CDF">
      <w:pPr>
        <w:pStyle w:val="a3"/>
        <w:widowControl/>
        <w:ind w:left="0"/>
      </w:pPr>
      <w:r w:rsidRPr="00EE3355">
        <w:t>Jedno předplněné pero obsahuje tocilizumabum 162 mg v 0,9 ml.</w:t>
      </w:r>
    </w:p>
    <w:p w14:paraId="55357B55" w14:textId="77777777" w:rsidR="00222DE0" w:rsidRPr="00EE3355" w:rsidRDefault="00222DE0" w:rsidP="00EA1CDF">
      <w:pPr>
        <w:pStyle w:val="a3"/>
        <w:widowControl/>
        <w:ind w:left="0"/>
      </w:pPr>
    </w:p>
    <w:p w14:paraId="7FC948B6" w14:textId="4B3E7C38" w:rsidR="00C959DC" w:rsidRDefault="00DC44E2" w:rsidP="00EA1CDF">
      <w:pPr>
        <w:pStyle w:val="a3"/>
        <w:widowControl/>
        <w:ind w:left="0"/>
      </w:pPr>
      <w:r w:rsidRPr="00C61A9B">
        <w:t>Tocilizumab</w:t>
      </w:r>
      <w:r w:rsidR="0098273B" w:rsidRPr="00EE3355">
        <w:t xml:space="preserve"> je rekombinantní humanizovaná monoklonální protilátka imunoglobulinu podtřídy G1 (IgG1) zaměřená proti lidským rozpustným a membránovým receptorům interleukinu 6 (IL-6).</w:t>
      </w:r>
      <w:r w:rsidR="008A64BF" w:rsidRPr="00EE3355">
        <w:t xml:space="preserve"> </w:t>
      </w:r>
    </w:p>
    <w:p w14:paraId="67F77057" w14:textId="77777777" w:rsidR="00C959DC" w:rsidRDefault="00C959DC" w:rsidP="00EA1CDF">
      <w:pPr>
        <w:pStyle w:val="a3"/>
        <w:widowControl/>
        <w:ind w:left="0"/>
      </w:pPr>
    </w:p>
    <w:p w14:paraId="3641D936" w14:textId="13A93247" w:rsidR="00F56EA7" w:rsidRPr="00C41310" w:rsidRDefault="00F56EA7" w:rsidP="00EA1CDF">
      <w:pPr>
        <w:pStyle w:val="a3"/>
        <w:widowControl/>
        <w:ind w:left="0"/>
        <w:rPr>
          <w:u w:val="single"/>
        </w:rPr>
      </w:pPr>
      <w:r w:rsidRPr="00C41310">
        <w:rPr>
          <w:u w:val="single"/>
        </w:rPr>
        <w:t>Pomocné látky se známým účinkem:</w:t>
      </w:r>
    </w:p>
    <w:p w14:paraId="72B90AE0" w14:textId="477776CB" w:rsidR="00F56EA7" w:rsidRPr="00C41310" w:rsidRDefault="00F56EA7" w:rsidP="00EA1CDF">
      <w:pPr>
        <w:pStyle w:val="a3"/>
        <w:widowControl/>
        <w:ind w:left="0"/>
        <w:rPr>
          <w:i/>
          <w:iCs/>
        </w:rPr>
      </w:pPr>
      <w:r w:rsidRPr="00C41310">
        <w:rPr>
          <w:i/>
          <w:iCs/>
        </w:rPr>
        <w:t>Polysorbát</w:t>
      </w:r>
    </w:p>
    <w:p w14:paraId="77AEAEC7" w14:textId="1A53EC3C" w:rsidR="00F56EA7" w:rsidRDefault="00F56EA7" w:rsidP="00EA1CDF">
      <w:pPr>
        <w:pStyle w:val="a3"/>
        <w:widowControl/>
        <w:ind w:left="0"/>
      </w:pPr>
      <w:r>
        <w:t>Každé 162</w:t>
      </w:r>
      <w:r w:rsidR="00200682">
        <w:rPr>
          <w:rFonts w:eastAsia="맑은 고딕" w:hint="eastAsia"/>
          <w:lang w:eastAsia="ko-KR"/>
        </w:rPr>
        <w:t xml:space="preserve"> </w:t>
      </w:r>
      <w:r>
        <w:t>mg předplněné pero obsahuje 0,2 mg polysorbátu</w:t>
      </w:r>
      <w:r w:rsidR="00395E0C">
        <w:rPr>
          <w:rFonts w:eastAsia="맑은 고딕" w:hint="eastAsia"/>
          <w:lang w:eastAsia="ko-KR"/>
        </w:rPr>
        <w:t xml:space="preserve"> 80</w:t>
      </w:r>
      <w:r>
        <w:t>.</w:t>
      </w:r>
    </w:p>
    <w:p w14:paraId="34529D5E" w14:textId="77777777" w:rsidR="00F56EA7" w:rsidRDefault="00F56EA7" w:rsidP="00EA1CDF">
      <w:pPr>
        <w:pStyle w:val="a3"/>
        <w:widowControl/>
        <w:ind w:left="0"/>
      </w:pPr>
    </w:p>
    <w:p w14:paraId="1A9DAE1F" w14:textId="77777777" w:rsidR="00222DE0" w:rsidRPr="00EE3355" w:rsidRDefault="0098273B" w:rsidP="00EA1CDF">
      <w:pPr>
        <w:pStyle w:val="a3"/>
        <w:widowControl/>
        <w:ind w:left="0"/>
      </w:pPr>
      <w:r w:rsidRPr="00EE3355">
        <w:t>Úplný seznam pomocných látek viz bod 6.1.</w:t>
      </w:r>
    </w:p>
    <w:p w14:paraId="2E2DA00C" w14:textId="77777777" w:rsidR="00222DE0" w:rsidRPr="00EE3355" w:rsidRDefault="00222DE0" w:rsidP="00EA1CDF">
      <w:pPr>
        <w:pStyle w:val="a3"/>
        <w:widowControl/>
        <w:ind w:left="0"/>
      </w:pPr>
    </w:p>
    <w:p w14:paraId="2761BC76" w14:textId="77777777" w:rsidR="00222DE0" w:rsidRPr="00EE3355" w:rsidRDefault="00222DE0" w:rsidP="00EA1CDF">
      <w:pPr>
        <w:pStyle w:val="a3"/>
        <w:widowControl/>
        <w:ind w:left="0"/>
      </w:pPr>
    </w:p>
    <w:p w14:paraId="6B87B502" w14:textId="77777777" w:rsidR="00222DE0" w:rsidRPr="00EE3355" w:rsidRDefault="00B23DAE" w:rsidP="00EA1CDF">
      <w:pPr>
        <w:pStyle w:val="1"/>
        <w:widowControl/>
        <w:tabs>
          <w:tab w:val="left" w:pos="804"/>
        </w:tabs>
        <w:ind w:left="567" w:hanging="567"/>
      </w:pPr>
      <w:r w:rsidRPr="00EE3355">
        <w:t>3.</w:t>
      </w:r>
      <w:r w:rsidRPr="00EE3355">
        <w:tab/>
      </w:r>
      <w:r w:rsidR="0098273B" w:rsidRPr="00EE3355">
        <w:t>LÉKOVÁ FORMA</w:t>
      </w:r>
    </w:p>
    <w:p w14:paraId="50380C21" w14:textId="77777777" w:rsidR="00393F75" w:rsidRPr="00EE3355" w:rsidRDefault="00393F75" w:rsidP="00B75C94"/>
    <w:p w14:paraId="330B6A49" w14:textId="27750FA9" w:rsidR="00DC44E2" w:rsidRDefault="000A60CF" w:rsidP="00DC44E2">
      <w:r w:rsidRPr="000A60CF">
        <w:t>Injekční roztok v předplněném peru</w:t>
      </w:r>
      <w:r>
        <w:t>.</w:t>
      </w:r>
      <w:r w:rsidRPr="000A60CF">
        <w:t xml:space="preserve"> </w:t>
      </w:r>
      <w:r w:rsidR="00DC44E2" w:rsidRPr="00F22ECB">
        <w:t>Čirý až mírně opalizující, bezbarvý až žlutý roztok s pH 5,7 - 6,3 a osmolalitou 280 - 340 mmol/kg.</w:t>
      </w:r>
    </w:p>
    <w:p w14:paraId="0653D4DA" w14:textId="77777777" w:rsidR="0091188E" w:rsidRPr="00EE3355" w:rsidRDefault="0091188E" w:rsidP="00EA1CDF">
      <w:pPr>
        <w:pStyle w:val="a3"/>
        <w:widowControl/>
        <w:ind w:left="0"/>
      </w:pPr>
    </w:p>
    <w:p w14:paraId="6E4A33F4" w14:textId="77777777" w:rsidR="00222DE0" w:rsidRPr="00EE3355" w:rsidRDefault="00222DE0" w:rsidP="00EA1CDF">
      <w:pPr>
        <w:pStyle w:val="a3"/>
        <w:widowControl/>
        <w:ind w:left="0"/>
      </w:pPr>
    </w:p>
    <w:p w14:paraId="2FB803B0" w14:textId="77777777" w:rsidR="00222DE0" w:rsidRPr="00EE3355" w:rsidRDefault="00B23DAE" w:rsidP="00EA1CDF">
      <w:pPr>
        <w:pStyle w:val="1"/>
        <w:widowControl/>
        <w:tabs>
          <w:tab w:val="left" w:pos="804"/>
        </w:tabs>
        <w:ind w:left="567" w:hanging="567"/>
      </w:pPr>
      <w:r w:rsidRPr="00EE3355">
        <w:t>4.</w:t>
      </w:r>
      <w:r w:rsidRPr="00EE3355">
        <w:tab/>
      </w:r>
      <w:r w:rsidR="0098273B" w:rsidRPr="00EE3355">
        <w:t>KLINICKÉ ÚDAJE</w:t>
      </w:r>
    </w:p>
    <w:p w14:paraId="41724E14" w14:textId="77777777" w:rsidR="00222DE0" w:rsidRPr="00EE3355" w:rsidRDefault="00222DE0" w:rsidP="00EA1CDF">
      <w:pPr>
        <w:pStyle w:val="a3"/>
        <w:widowControl/>
        <w:ind w:left="0"/>
        <w:rPr>
          <w:b/>
        </w:rPr>
      </w:pPr>
    </w:p>
    <w:p w14:paraId="592A389F" w14:textId="77777777" w:rsidR="00222DE0" w:rsidRPr="00EE3355" w:rsidRDefault="00B23DAE" w:rsidP="00B75C94">
      <w:pPr>
        <w:pStyle w:val="2"/>
        <w:keepNext/>
        <w:widowControl/>
        <w:tabs>
          <w:tab w:val="left" w:pos="804"/>
        </w:tabs>
        <w:ind w:left="567" w:hanging="567"/>
      </w:pPr>
      <w:r w:rsidRPr="00EE3355">
        <w:t>4.1</w:t>
      </w:r>
      <w:r w:rsidRPr="00EE3355">
        <w:tab/>
      </w:r>
      <w:r w:rsidR="0098273B" w:rsidRPr="00EE3355">
        <w:t>Terapeutické indikace</w:t>
      </w:r>
    </w:p>
    <w:p w14:paraId="43CB000E" w14:textId="77777777" w:rsidR="00393F75" w:rsidRPr="00EE3355" w:rsidRDefault="00393F75" w:rsidP="00B75C94"/>
    <w:p w14:paraId="4292B79B" w14:textId="0AD84AD5" w:rsidR="005A3016" w:rsidRPr="002F0CCA" w:rsidRDefault="005A3016" w:rsidP="00EA1CDF">
      <w:pPr>
        <w:pStyle w:val="a3"/>
        <w:widowControl/>
        <w:ind w:left="0"/>
        <w:rPr>
          <w:rFonts w:eastAsia="맑은 고딕"/>
          <w:u w:val="single"/>
          <w:lang w:eastAsia="ko-KR"/>
        </w:rPr>
      </w:pPr>
      <w:r w:rsidRPr="002F0CCA">
        <w:rPr>
          <w:rFonts w:eastAsia="맑은 고딕"/>
          <w:u w:val="single"/>
          <w:lang w:eastAsia="ko-KR"/>
        </w:rPr>
        <w:t>Revmatoidní artritida (RA)</w:t>
      </w:r>
    </w:p>
    <w:p w14:paraId="5DCE0030" w14:textId="70DF537C" w:rsidR="00222DE0" w:rsidRPr="00EE3355" w:rsidRDefault="0098273B" w:rsidP="00EA1CDF">
      <w:pPr>
        <w:pStyle w:val="a3"/>
        <w:widowControl/>
        <w:ind w:left="0"/>
      </w:pPr>
      <w:r w:rsidRPr="00EE3355">
        <w:t xml:space="preserve">Přípravek </w:t>
      </w:r>
      <w:r w:rsidR="00DC44E2">
        <w:t>Avtozma</w:t>
      </w:r>
      <w:r w:rsidRPr="00EE3355">
        <w:t xml:space="preserve"> v kombinaci s methotrexátem (MTX) je indikován:</w:t>
      </w:r>
    </w:p>
    <w:p w14:paraId="42EA08E1" w14:textId="77777777" w:rsidR="00222DE0" w:rsidRPr="00EE3355" w:rsidRDefault="00222DE0" w:rsidP="00EA1CDF">
      <w:pPr>
        <w:pStyle w:val="a3"/>
        <w:widowControl/>
        <w:ind w:left="0"/>
      </w:pPr>
    </w:p>
    <w:p w14:paraId="2763789B" w14:textId="77777777" w:rsidR="00222DE0" w:rsidRPr="00EE3355" w:rsidRDefault="00B23DAE" w:rsidP="00EA1CDF">
      <w:pPr>
        <w:widowControl/>
        <w:tabs>
          <w:tab w:val="left" w:pos="946"/>
          <w:tab w:val="left" w:pos="951"/>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k léčbě těžké, aktivní a progresivní revmatoidní artritidy (RA) u dospělých pacientů dříve neléčených methotrexátem (MTX)</w:t>
      </w:r>
    </w:p>
    <w:p w14:paraId="2E16961F" w14:textId="77777777" w:rsidR="00222DE0" w:rsidRPr="00EE3355" w:rsidRDefault="00B23DAE" w:rsidP="00EA1CDF">
      <w:pPr>
        <w:widowControl/>
        <w:tabs>
          <w:tab w:val="left" w:pos="946"/>
          <w:tab w:val="left" w:pos="951"/>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k léčbě středně těžké až těžké aktivní RA u dospělých pacientů, kteří na předchozí terapii jedním nebo více tradičními DMARD (disease modifying anti-rheumatic drugs) nebo antagonisty tumor nekrotizujícího faktoru (TNF) neodpovídali dostatečně nebo ji netolerovali.</w:t>
      </w:r>
    </w:p>
    <w:p w14:paraId="3389E580" w14:textId="77777777" w:rsidR="00222DE0" w:rsidRPr="00EE3355" w:rsidRDefault="00222DE0" w:rsidP="00EA1CDF">
      <w:pPr>
        <w:pStyle w:val="a3"/>
        <w:widowControl/>
        <w:ind w:left="0"/>
      </w:pPr>
    </w:p>
    <w:p w14:paraId="4C3628DB" w14:textId="2EE95178" w:rsidR="00222DE0" w:rsidRPr="00EE3355" w:rsidRDefault="0098273B" w:rsidP="00EA1CDF">
      <w:pPr>
        <w:pStyle w:val="a3"/>
        <w:widowControl/>
        <w:ind w:left="0"/>
      </w:pPr>
      <w:r w:rsidRPr="00EE3355">
        <w:t xml:space="preserve">U těchto pacientů se přípravek </w:t>
      </w:r>
      <w:r w:rsidR="00DC44E2">
        <w:t>Avtozma</w:t>
      </w:r>
      <w:r w:rsidRPr="00EE3355">
        <w:t xml:space="preserve"> může podávat v monoterapii v případě intolerance MTX</w:t>
      </w:r>
      <w:r w:rsidR="008A64BF" w:rsidRPr="00EE3355">
        <w:t xml:space="preserve"> </w:t>
      </w:r>
      <w:r w:rsidRPr="00EE3355">
        <w:t>nebo v případě, že pokračující léčba MTX je nevhodná.</w:t>
      </w:r>
    </w:p>
    <w:p w14:paraId="54CA2CBA" w14:textId="77777777" w:rsidR="00222DE0" w:rsidRPr="00EE3355" w:rsidRDefault="00222DE0" w:rsidP="00EA1CDF">
      <w:pPr>
        <w:pStyle w:val="a3"/>
        <w:widowControl/>
        <w:ind w:left="0"/>
      </w:pPr>
    </w:p>
    <w:p w14:paraId="5636BFC6" w14:textId="77777777" w:rsidR="005A3016" w:rsidRDefault="0098273B" w:rsidP="00EA1CDF">
      <w:pPr>
        <w:pStyle w:val="a3"/>
        <w:widowControl/>
        <w:ind w:left="0"/>
        <w:rPr>
          <w:rFonts w:eastAsia="맑은 고딕"/>
          <w:lang w:eastAsia="ko-KR"/>
        </w:rPr>
      </w:pPr>
      <w:r w:rsidRPr="00EE3355">
        <w:t xml:space="preserve">Bylo prokázáno, že přípravek </w:t>
      </w:r>
      <w:r w:rsidR="00DC44E2">
        <w:t>Avtozma</w:t>
      </w:r>
      <w:r w:rsidRPr="00EE3355">
        <w:t xml:space="preserve"> snižuje rychlost progrese kloubního poškození měřeného pomocí RTG vyšetření a zlepšuje fyzické funkce, pokud je podáván v kombinaci s methotrexátem.</w:t>
      </w:r>
    </w:p>
    <w:p w14:paraId="408EBC24" w14:textId="77777777" w:rsidR="005A3016" w:rsidRPr="005A3016" w:rsidRDefault="005A3016" w:rsidP="00EA1CDF">
      <w:pPr>
        <w:pStyle w:val="a3"/>
        <w:widowControl/>
        <w:ind w:left="0"/>
        <w:rPr>
          <w:rFonts w:eastAsia="맑은 고딕"/>
          <w:lang w:eastAsia="ko-KR"/>
        </w:rPr>
      </w:pPr>
    </w:p>
    <w:p w14:paraId="336F7115" w14:textId="60A098EE" w:rsidR="005A3016" w:rsidRPr="002F0CCA" w:rsidRDefault="005A3016" w:rsidP="00EA1CDF">
      <w:pPr>
        <w:pStyle w:val="a3"/>
        <w:widowControl/>
        <w:ind w:left="0"/>
        <w:rPr>
          <w:rFonts w:eastAsia="맑은 고딕"/>
          <w:u w:val="single"/>
          <w:lang w:eastAsia="ko-KR"/>
        </w:rPr>
      </w:pPr>
      <w:r w:rsidRPr="002F0CCA">
        <w:rPr>
          <w:rFonts w:eastAsia="맑은 고딕"/>
          <w:u w:val="single"/>
          <w:lang w:eastAsia="ko-KR"/>
        </w:rPr>
        <w:t>Systémová juvenilní idiopatická artritida (sJIA)</w:t>
      </w:r>
    </w:p>
    <w:p w14:paraId="6B22CD3C" w14:textId="2A9B6F73" w:rsidR="00222DE0" w:rsidRPr="00EE3355" w:rsidRDefault="0098273B" w:rsidP="00EA1CDF">
      <w:pPr>
        <w:pStyle w:val="a3"/>
        <w:widowControl/>
        <w:ind w:left="0"/>
      </w:pPr>
      <w:r w:rsidRPr="00EE3355">
        <w:t xml:space="preserve">Přípravek </w:t>
      </w:r>
      <w:r w:rsidR="00DC44E2">
        <w:t>Avtozma</w:t>
      </w:r>
      <w:r w:rsidRPr="00EE3355">
        <w:t xml:space="preserve"> je indikován k léčbě aktivní systémové juvenilní idiopatické artritidy (sJIA) u pacientů od 12 let, kteří nedostatečně odpovídali na předchozí léčbu NSAID a systémovými kortikoidy (viz bod 4.2).</w:t>
      </w:r>
    </w:p>
    <w:p w14:paraId="312865B1" w14:textId="77777777" w:rsidR="008A64BF" w:rsidRPr="00EE3355" w:rsidRDefault="008A64BF" w:rsidP="00EA1CDF">
      <w:pPr>
        <w:pStyle w:val="a3"/>
        <w:widowControl/>
        <w:ind w:left="0"/>
      </w:pPr>
    </w:p>
    <w:p w14:paraId="75D20A8B" w14:textId="409BFF2D" w:rsidR="00222DE0" w:rsidRPr="00EE3355" w:rsidRDefault="0098273B" w:rsidP="00EA1CDF">
      <w:pPr>
        <w:pStyle w:val="a3"/>
        <w:widowControl/>
        <w:ind w:left="0"/>
      </w:pPr>
      <w:r w:rsidRPr="00EE3355">
        <w:t xml:space="preserve">Přípravek </w:t>
      </w:r>
      <w:r w:rsidR="00DC44E2">
        <w:t>Avtozma</w:t>
      </w:r>
      <w:r w:rsidRPr="00EE3355">
        <w:t xml:space="preserve"> lze podávat v monoterapii (v případě intolerance MTX nebo pokud léčba MTX</w:t>
      </w:r>
      <w:r w:rsidR="008A64BF" w:rsidRPr="00EE3355">
        <w:t xml:space="preserve"> </w:t>
      </w:r>
      <w:r w:rsidRPr="00EE3355">
        <w:t>není vhodná) nebo v kombinaci s MTX.</w:t>
      </w:r>
    </w:p>
    <w:p w14:paraId="15EB6F22" w14:textId="77777777" w:rsidR="008A64BF" w:rsidRPr="00EE3355" w:rsidRDefault="008A64BF" w:rsidP="00EA1CDF">
      <w:pPr>
        <w:pStyle w:val="a3"/>
        <w:widowControl/>
        <w:ind w:left="0"/>
      </w:pPr>
    </w:p>
    <w:p w14:paraId="25D8F96C" w14:textId="1EFAFEEE" w:rsidR="005A3016" w:rsidRPr="002F0CCA" w:rsidRDefault="005A3016" w:rsidP="00EA1CDF">
      <w:pPr>
        <w:pStyle w:val="a3"/>
        <w:widowControl/>
        <w:ind w:left="0"/>
        <w:rPr>
          <w:rFonts w:eastAsia="맑은 고딕"/>
          <w:u w:val="single"/>
          <w:lang w:eastAsia="ko-KR"/>
        </w:rPr>
      </w:pPr>
      <w:r w:rsidRPr="002F0CCA">
        <w:rPr>
          <w:rFonts w:eastAsia="맑은 고딕"/>
          <w:u w:val="single"/>
          <w:lang w:eastAsia="ko-KR"/>
        </w:rPr>
        <w:lastRenderedPageBreak/>
        <w:t>Juvenilní idiopatická polyartritida (pJIA)</w:t>
      </w:r>
    </w:p>
    <w:p w14:paraId="04132FEA" w14:textId="0F78BC35" w:rsidR="00222DE0" w:rsidRPr="00EE3355" w:rsidRDefault="0098273B" w:rsidP="00EA1CDF">
      <w:pPr>
        <w:pStyle w:val="a3"/>
        <w:widowControl/>
        <w:ind w:left="0"/>
      </w:pPr>
      <w:r w:rsidRPr="00EE3355">
        <w:t xml:space="preserve">Přípravek </w:t>
      </w:r>
      <w:r w:rsidR="00DC44E2">
        <w:t>Avtozma</w:t>
      </w:r>
      <w:r w:rsidRPr="00EE3355">
        <w:t xml:space="preserve"> v kombinaci s methotrexátem (MTX) je indikován k léčbě juvenilní idiopatické polyartritidy (pJIA; s pozitivním nebo negativním revmatoidním faktorem a rozšířenou oligoartritidou) u pacientů od 12 let, kteří nedostatečně odpovídali na předchozí léčbu MTX (viz bod 4.2).</w:t>
      </w:r>
    </w:p>
    <w:p w14:paraId="6F21DF33" w14:textId="77777777" w:rsidR="008A64BF" w:rsidRPr="00EE3355" w:rsidRDefault="008A64BF" w:rsidP="00EA1CDF">
      <w:pPr>
        <w:pStyle w:val="a3"/>
        <w:widowControl/>
        <w:ind w:left="0"/>
      </w:pPr>
    </w:p>
    <w:p w14:paraId="017C9467" w14:textId="00F08D12" w:rsidR="00222DE0" w:rsidRPr="00EE3355" w:rsidRDefault="0098273B" w:rsidP="00EA1CDF">
      <w:pPr>
        <w:pStyle w:val="a3"/>
        <w:widowControl/>
        <w:ind w:left="0"/>
      </w:pPr>
      <w:r w:rsidRPr="00EE3355">
        <w:t xml:space="preserve">Přípravek </w:t>
      </w:r>
      <w:r w:rsidR="00DC44E2">
        <w:t>Avtozma</w:t>
      </w:r>
      <w:r w:rsidRPr="00EE3355">
        <w:t xml:space="preserve"> lze podávat jako monoterapii při intoleranci MTX nebo pokud není pokračování</w:t>
      </w:r>
      <w:r w:rsidR="008A64BF" w:rsidRPr="00EE3355">
        <w:t xml:space="preserve"> </w:t>
      </w:r>
      <w:r w:rsidRPr="00EE3355">
        <w:t>v léčbě MTX vhodné.</w:t>
      </w:r>
    </w:p>
    <w:p w14:paraId="2355E40C" w14:textId="77777777" w:rsidR="00222DE0" w:rsidRPr="00EE3355" w:rsidRDefault="00222DE0" w:rsidP="00EA1CDF">
      <w:pPr>
        <w:pStyle w:val="a3"/>
        <w:widowControl/>
        <w:ind w:left="0"/>
      </w:pPr>
    </w:p>
    <w:p w14:paraId="0E8E15FE" w14:textId="313F3DA2" w:rsidR="005A3016" w:rsidRPr="002F0CCA" w:rsidRDefault="005A3016" w:rsidP="00EA1CDF">
      <w:pPr>
        <w:pStyle w:val="a3"/>
        <w:widowControl/>
        <w:ind w:left="0"/>
        <w:rPr>
          <w:rFonts w:eastAsia="맑은 고딕"/>
          <w:u w:val="single"/>
          <w:lang w:eastAsia="ko-KR"/>
        </w:rPr>
      </w:pPr>
      <w:r w:rsidRPr="002F0CCA">
        <w:rPr>
          <w:rFonts w:eastAsia="맑은 고딕"/>
          <w:u w:val="single"/>
          <w:lang w:eastAsia="ko-KR"/>
        </w:rPr>
        <w:t>Obrovskobuněčná arteriitida (GCA)</w:t>
      </w:r>
    </w:p>
    <w:p w14:paraId="311A75C8" w14:textId="3878D4F2" w:rsidR="00222DE0" w:rsidRPr="00EE3355" w:rsidRDefault="0098273B" w:rsidP="00EA1CDF">
      <w:pPr>
        <w:pStyle w:val="a3"/>
        <w:widowControl/>
        <w:ind w:left="0"/>
      </w:pPr>
      <w:r w:rsidRPr="00EE3355">
        <w:t xml:space="preserve">Přípravek </w:t>
      </w:r>
      <w:r w:rsidR="00DC44E2">
        <w:t>Avtozma</w:t>
      </w:r>
      <w:r w:rsidRPr="00EE3355">
        <w:t xml:space="preserve"> je indikován k léčbě obrovskobuněčné arteritidy (GCA) u dospělých pacientů.</w:t>
      </w:r>
    </w:p>
    <w:p w14:paraId="5F253B54" w14:textId="77777777" w:rsidR="009C6009" w:rsidRPr="00EE3355" w:rsidRDefault="009C6009" w:rsidP="00EA1CDF">
      <w:pPr>
        <w:pStyle w:val="a3"/>
        <w:widowControl/>
        <w:ind w:left="0"/>
      </w:pPr>
    </w:p>
    <w:p w14:paraId="3261FA84" w14:textId="77777777" w:rsidR="00222DE0" w:rsidRPr="00EE3355" w:rsidRDefault="00B23DAE" w:rsidP="00EA1CDF">
      <w:pPr>
        <w:pStyle w:val="2"/>
        <w:keepNext/>
        <w:widowControl/>
        <w:tabs>
          <w:tab w:val="left" w:pos="804"/>
        </w:tabs>
        <w:ind w:left="567" w:hanging="567"/>
      </w:pPr>
      <w:r w:rsidRPr="00EE3355">
        <w:t>4.2</w:t>
      </w:r>
      <w:r w:rsidRPr="00EE3355">
        <w:tab/>
      </w:r>
      <w:r w:rsidR="0098273B" w:rsidRPr="00EE3355">
        <w:t>Dávkování a způsob podání</w:t>
      </w:r>
    </w:p>
    <w:p w14:paraId="73D478CF" w14:textId="77777777" w:rsidR="009C6009" w:rsidRPr="00EE3355" w:rsidRDefault="009C6009" w:rsidP="00404E47"/>
    <w:p w14:paraId="392B9BC1" w14:textId="77777777" w:rsidR="00222DE0" w:rsidRPr="00EE3355" w:rsidRDefault="0098273B" w:rsidP="00EA1CDF">
      <w:pPr>
        <w:pStyle w:val="a3"/>
        <w:widowControl/>
        <w:ind w:left="0"/>
      </w:pPr>
      <w:r w:rsidRPr="00EE3355">
        <w:t>Tocilizumab v subkutánní lékové formě se podává jednorázovým předplněným perem. Léčba má být zahájena lékařem, který má zkušenosti s diagnostikou a léčbou RA, sJIA, pJIA a/nebo GCA.</w:t>
      </w:r>
    </w:p>
    <w:p w14:paraId="59030D02" w14:textId="77777777" w:rsidR="00222DE0" w:rsidRPr="00EE3355" w:rsidRDefault="00222DE0" w:rsidP="00EA1CDF">
      <w:pPr>
        <w:pStyle w:val="a3"/>
        <w:widowControl/>
        <w:ind w:left="0"/>
      </w:pPr>
    </w:p>
    <w:p w14:paraId="6516F405" w14:textId="3F991B72" w:rsidR="00222DE0" w:rsidRPr="00EE3355" w:rsidRDefault="0098273B" w:rsidP="00EA1CDF">
      <w:pPr>
        <w:pStyle w:val="a3"/>
        <w:widowControl/>
        <w:ind w:left="0"/>
      </w:pPr>
      <w:r w:rsidRPr="00EE3355">
        <w:t>Předplněné pero nemá být použito k léčbě pediatrických pacientů ve věku &lt; 12 let, protože v důsledku tenčí vrstvy podkožní tkáně existuje potenciální riziko intramuskulárního podání injekce.</w:t>
      </w:r>
      <w:r w:rsidR="00656AD9" w:rsidRPr="00EE3355">
        <w:t xml:space="preserve"> </w:t>
      </w:r>
      <w:r w:rsidRPr="00EE3355">
        <w:t xml:space="preserve">První injekci je třeba podat pod dohledem kvalifikovaného zdravotnického pracovníka. Pacient nebo rodič/opatrovník si může sám injekčně podávat přípravek </w:t>
      </w:r>
      <w:r w:rsidR="00DC44E2">
        <w:t>Avtozma</w:t>
      </w:r>
      <w:r w:rsidRPr="00EE3355">
        <w:t xml:space="preserve"> pouze tehdy, pokud lékař rozhodne, že je to vhodné a pacient nebo rodič/opatrovník souhlasí s lékařskou kontrolou podle potřeby a je vyškolen ve správné technice podávání injekce.</w:t>
      </w:r>
    </w:p>
    <w:p w14:paraId="3C9C4C0B" w14:textId="77777777" w:rsidR="001241D4" w:rsidRPr="00EE3355" w:rsidRDefault="001241D4" w:rsidP="00EA1CDF">
      <w:pPr>
        <w:pStyle w:val="a3"/>
        <w:widowControl/>
        <w:ind w:left="0"/>
      </w:pPr>
    </w:p>
    <w:p w14:paraId="531E0EDF" w14:textId="77777777" w:rsidR="00222DE0" w:rsidRPr="00EE3355" w:rsidRDefault="0098273B" w:rsidP="00EA1CDF">
      <w:pPr>
        <w:pStyle w:val="a3"/>
        <w:widowControl/>
        <w:ind w:left="0"/>
      </w:pPr>
      <w:r w:rsidRPr="00EE3355">
        <w:t>Pacienti, kteří přecházejí z i.v. léčby tocilizumabem na s.c. podání, si musejí podat první s.c. dávku</w:t>
      </w:r>
      <w:r w:rsidR="001241D4" w:rsidRPr="00EE3355">
        <w:t xml:space="preserve"> </w:t>
      </w:r>
      <w:r w:rsidRPr="00EE3355">
        <w:t>v době další plánované i.v. dávky pod dohledem kvalifikovaného zdravotnického pracovníka.</w:t>
      </w:r>
    </w:p>
    <w:p w14:paraId="432D68CA" w14:textId="77777777" w:rsidR="00222DE0" w:rsidRPr="00EE3355" w:rsidRDefault="00222DE0" w:rsidP="00EA1CDF">
      <w:pPr>
        <w:pStyle w:val="a3"/>
        <w:widowControl/>
        <w:ind w:left="0"/>
      </w:pPr>
    </w:p>
    <w:p w14:paraId="4019D6D0" w14:textId="059C6DE9" w:rsidR="00222DE0" w:rsidRPr="00EE3355" w:rsidRDefault="0098273B" w:rsidP="00EA1CDF">
      <w:pPr>
        <w:pStyle w:val="a3"/>
        <w:widowControl/>
        <w:ind w:left="0"/>
      </w:pPr>
      <w:r w:rsidRPr="00EE3355">
        <w:t xml:space="preserve">Všichni pacienti léčení přípravkem </w:t>
      </w:r>
      <w:r w:rsidR="00DC44E2">
        <w:t>Avtozma</w:t>
      </w:r>
      <w:r w:rsidRPr="00EE3355">
        <w:t xml:space="preserve"> mají obdržet kartu pacienta léčeného přípravkem</w:t>
      </w:r>
      <w:r w:rsidR="001241D4" w:rsidRPr="00EE3355">
        <w:t xml:space="preserve"> </w:t>
      </w:r>
      <w:r w:rsidR="00DC44E2">
        <w:t>Avtozma</w:t>
      </w:r>
      <w:r w:rsidRPr="00EE3355">
        <w:t>.</w:t>
      </w:r>
    </w:p>
    <w:p w14:paraId="3A52C3B4" w14:textId="77777777" w:rsidR="00222DE0" w:rsidRPr="00EE3355" w:rsidRDefault="00222DE0" w:rsidP="00EA1CDF">
      <w:pPr>
        <w:pStyle w:val="a3"/>
        <w:widowControl/>
        <w:ind w:left="0"/>
      </w:pPr>
    </w:p>
    <w:p w14:paraId="142A9793" w14:textId="5D31243D" w:rsidR="00222DE0" w:rsidRPr="00EE3355" w:rsidRDefault="0098273B" w:rsidP="00EA1CDF">
      <w:pPr>
        <w:pStyle w:val="a3"/>
        <w:widowControl/>
        <w:ind w:left="0"/>
      </w:pPr>
      <w:r w:rsidRPr="00EE3355">
        <w:t xml:space="preserve">Má být posouzena vhodnost pacienta nebo rodiče/opatrovníka pro subkutánní použití přípravku </w:t>
      </w:r>
      <w:r w:rsidR="00DC44E2">
        <w:t>Avtozma</w:t>
      </w:r>
      <w:r w:rsidRPr="00EE3355">
        <w:t xml:space="preserve"> v domácím prostředí a pacienti nebo jejich rodič/opatrovník mají být před podáním další dávky poučeni o tom, že v případě výskytu příznaků alergické reakce mají informovat lékaře.</w:t>
      </w:r>
      <w:r w:rsidR="001241D4" w:rsidRPr="00EE3355">
        <w:t xml:space="preserve"> </w:t>
      </w:r>
      <w:r w:rsidRPr="00EE3355">
        <w:t>V případě výskytu příznaků těžké alergické reakce (viz bod 4.4) mají pacienti okamžitě vyhledat lékaře.</w:t>
      </w:r>
    </w:p>
    <w:p w14:paraId="4105AB4F" w14:textId="77777777" w:rsidR="00222DE0" w:rsidRPr="00EE3355" w:rsidRDefault="00222DE0" w:rsidP="00EA1CDF">
      <w:pPr>
        <w:pStyle w:val="a3"/>
        <w:widowControl/>
        <w:ind w:left="0"/>
      </w:pPr>
    </w:p>
    <w:p w14:paraId="1189C56D" w14:textId="77777777" w:rsidR="00222DE0" w:rsidRPr="00EE3355" w:rsidRDefault="0098273B" w:rsidP="00EA1CDF">
      <w:pPr>
        <w:pStyle w:val="a3"/>
        <w:widowControl/>
        <w:ind w:left="0"/>
      </w:pPr>
      <w:r w:rsidRPr="00EE3355">
        <w:rPr>
          <w:u w:val="single"/>
        </w:rPr>
        <w:t>Dávkování</w:t>
      </w:r>
    </w:p>
    <w:p w14:paraId="6D67A443" w14:textId="77777777" w:rsidR="00222DE0" w:rsidRPr="00EE3355" w:rsidRDefault="00222DE0" w:rsidP="00EA1CDF">
      <w:pPr>
        <w:pStyle w:val="a3"/>
        <w:widowControl/>
        <w:ind w:left="0"/>
      </w:pPr>
    </w:p>
    <w:p w14:paraId="3C158AFD" w14:textId="77777777" w:rsidR="00222DE0" w:rsidRPr="00EE3355" w:rsidRDefault="0098273B" w:rsidP="00EA1CDF">
      <w:pPr>
        <w:pStyle w:val="a3"/>
        <w:widowControl/>
        <w:ind w:left="0"/>
      </w:pPr>
      <w:r w:rsidRPr="00EE3355">
        <w:rPr>
          <w:u w:val="single"/>
        </w:rPr>
        <w:t>RA</w:t>
      </w:r>
    </w:p>
    <w:p w14:paraId="2181CE13" w14:textId="77777777" w:rsidR="00222DE0" w:rsidRPr="00EE3355" w:rsidRDefault="0098273B" w:rsidP="00EA1CDF">
      <w:pPr>
        <w:pStyle w:val="a3"/>
        <w:widowControl/>
        <w:ind w:left="0"/>
      </w:pPr>
      <w:r w:rsidRPr="00EE3355">
        <w:t>Doporučená dávka je 162 mg podaná subkutánně, jednou týdně.</w:t>
      </w:r>
    </w:p>
    <w:p w14:paraId="0BCB714B" w14:textId="77777777" w:rsidR="00222DE0" w:rsidRPr="00EE3355" w:rsidRDefault="00222DE0" w:rsidP="00EA1CDF">
      <w:pPr>
        <w:pStyle w:val="a3"/>
        <w:widowControl/>
        <w:ind w:left="0"/>
      </w:pPr>
    </w:p>
    <w:p w14:paraId="16C5FB2D" w14:textId="04FB7AC5" w:rsidR="00222DE0" w:rsidRPr="00EE3355" w:rsidRDefault="0098273B" w:rsidP="00EA1CDF">
      <w:pPr>
        <w:pStyle w:val="a3"/>
        <w:widowControl/>
        <w:ind w:left="0"/>
      </w:pPr>
      <w:r w:rsidRPr="00EE3355">
        <w:t xml:space="preserve">O převedení pacientů z intravenózní formy přípravku </w:t>
      </w:r>
      <w:r w:rsidR="00DC44E2">
        <w:t>Avtozma</w:t>
      </w:r>
      <w:r w:rsidRPr="00EE3355">
        <w:t xml:space="preserve"> na subkutánní formu přípravku </w:t>
      </w:r>
      <w:r w:rsidR="00DC44E2">
        <w:t>Avtozma</w:t>
      </w:r>
      <w:r w:rsidRPr="00EE3355">
        <w:t xml:space="preserve"> s pevnou dávkou je k dispozici pouze omezené množství informací. Má se dodržet interval dávkování jednou týdně.</w:t>
      </w:r>
    </w:p>
    <w:p w14:paraId="4441B847" w14:textId="77777777" w:rsidR="00656AD9" w:rsidRPr="00EE3355" w:rsidRDefault="00656AD9" w:rsidP="00EA1CDF">
      <w:pPr>
        <w:pStyle w:val="a3"/>
        <w:widowControl/>
        <w:ind w:left="0"/>
      </w:pPr>
    </w:p>
    <w:p w14:paraId="284747D9" w14:textId="77777777" w:rsidR="00222DE0" w:rsidRPr="00EE3355" w:rsidRDefault="0098273B" w:rsidP="00EA1CDF">
      <w:pPr>
        <w:pStyle w:val="a3"/>
        <w:widowControl/>
        <w:ind w:left="0"/>
      </w:pPr>
      <w:r w:rsidRPr="00EE3355">
        <w:t>Pacienti převádění z intravenózní formy na subkutánní formu si musí první subkutánní dávku místo</w:t>
      </w:r>
      <w:r w:rsidR="00656AD9" w:rsidRPr="00EE3355">
        <w:t xml:space="preserve"> </w:t>
      </w:r>
      <w:r w:rsidRPr="00EE3355">
        <w:t>další plánované intravenózní dávky podat pod dohledem kvalifikovaného lékaře.</w:t>
      </w:r>
    </w:p>
    <w:p w14:paraId="519C1152" w14:textId="77777777" w:rsidR="00222DE0" w:rsidRPr="00EE3355" w:rsidRDefault="00222DE0" w:rsidP="00EA1CDF">
      <w:pPr>
        <w:pStyle w:val="a3"/>
        <w:widowControl/>
        <w:ind w:left="0"/>
      </w:pPr>
    </w:p>
    <w:p w14:paraId="6B51472F" w14:textId="77777777" w:rsidR="00222DE0" w:rsidRPr="00EE3355" w:rsidRDefault="0098273B" w:rsidP="00EA1CDF">
      <w:pPr>
        <w:pStyle w:val="a3"/>
        <w:widowControl/>
        <w:ind w:left="0"/>
      </w:pPr>
      <w:r w:rsidRPr="00EE3355">
        <w:rPr>
          <w:u w:val="single"/>
        </w:rPr>
        <w:t>GCA</w:t>
      </w:r>
    </w:p>
    <w:p w14:paraId="2060BFC5" w14:textId="71187359" w:rsidR="006739C7" w:rsidRDefault="0098273B" w:rsidP="00EA1CDF">
      <w:pPr>
        <w:pStyle w:val="a3"/>
        <w:widowControl/>
        <w:ind w:left="0"/>
        <w:rPr>
          <w:rFonts w:eastAsia="맑은 고딕"/>
          <w:lang w:eastAsia="ko-KR"/>
        </w:rPr>
      </w:pPr>
      <w:r w:rsidRPr="00EE3355">
        <w:t xml:space="preserve">Doporučená dávka je 162 mg podaná subkutánně, jednou týdně v kombinaci s postupným vysazováním glukokortikoidů. Po vysazení glukokortikoidů lze přípravek </w:t>
      </w:r>
      <w:r w:rsidR="00DC44E2">
        <w:t>Avtozma</w:t>
      </w:r>
      <w:r w:rsidRPr="00EE3355">
        <w:t xml:space="preserve"> použít v monoterapii.</w:t>
      </w:r>
      <w:r w:rsidR="006739C7">
        <w:rPr>
          <w:rFonts w:eastAsia="맑은 고딕" w:hint="eastAsia"/>
          <w:lang w:eastAsia="ko-KR"/>
        </w:rPr>
        <w:t xml:space="preserve"> </w:t>
      </w:r>
      <w:r w:rsidRPr="00EE3355">
        <w:t xml:space="preserve">Přípravek </w:t>
      </w:r>
      <w:r w:rsidR="00DC44E2">
        <w:t>Avtozma</w:t>
      </w:r>
      <w:r w:rsidRPr="00EE3355">
        <w:t xml:space="preserve"> v monoterapii by neměl být používán k léčbě akutních relapsů (viz bod 4.4).</w:t>
      </w:r>
      <w:r w:rsidR="00656AD9" w:rsidRPr="00EE3355">
        <w:t xml:space="preserve"> </w:t>
      </w:r>
    </w:p>
    <w:p w14:paraId="1960D1D3" w14:textId="77777777" w:rsidR="006739C7" w:rsidRDefault="006739C7" w:rsidP="00EA1CDF">
      <w:pPr>
        <w:pStyle w:val="a3"/>
        <w:widowControl/>
        <w:ind w:left="0"/>
        <w:rPr>
          <w:rFonts w:eastAsia="맑은 고딕"/>
          <w:lang w:eastAsia="ko-KR"/>
        </w:rPr>
      </w:pPr>
    </w:p>
    <w:p w14:paraId="56E51D32" w14:textId="3AA9A662" w:rsidR="00222DE0" w:rsidRPr="00EE3355" w:rsidRDefault="0098273B" w:rsidP="00EA1CDF">
      <w:pPr>
        <w:pStyle w:val="a3"/>
        <w:widowControl/>
        <w:ind w:left="0"/>
      </w:pPr>
      <w:r w:rsidRPr="00EE3355">
        <w:t>Vzhledem k chronické povaze GCA se léčba delší než 52 týdnů musí řídit aktivitou onemocnění, lékařským úsudkem a rozhodnutím pacienta.</w:t>
      </w:r>
    </w:p>
    <w:p w14:paraId="2E9DE8A6" w14:textId="77777777" w:rsidR="00222DE0" w:rsidRPr="00EE3355" w:rsidRDefault="00222DE0" w:rsidP="00EA1CDF">
      <w:pPr>
        <w:widowControl/>
      </w:pPr>
    </w:p>
    <w:p w14:paraId="7AF2E7D7" w14:textId="77777777" w:rsidR="00222DE0" w:rsidRPr="00EE3355" w:rsidRDefault="0098273B" w:rsidP="00EA1CDF">
      <w:pPr>
        <w:pStyle w:val="a3"/>
        <w:widowControl/>
        <w:ind w:left="0"/>
      </w:pPr>
      <w:r w:rsidRPr="00EE3355">
        <w:rPr>
          <w:u w:val="single"/>
        </w:rPr>
        <w:t>RA a GCA</w:t>
      </w:r>
    </w:p>
    <w:p w14:paraId="53B52481" w14:textId="77777777" w:rsidR="00222DE0" w:rsidRPr="00EE3355" w:rsidRDefault="00222DE0" w:rsidP="00EA1CDF">
      <w:pPr>
        <w:pStyle w:val="a3"/>
        <w:widowControl/>
        <w:ind w:left="0"/>
      </w:pPr>
    </w:p>
    <w:p w14:paraId="67465D60" w14:textId="77777777" w:rsidR="00222DE0" w:rsidRPr="00EE3355" w:rsidRDefault="0098273B" w:rsidP="00EA1CDF">
      <w:pPr>
        <w:pStyle w:val="a3"/>
        <w:widowControl/>
        <w:ind w:left="0"/>
      </w:pPr>
      <w:r w:rsidRPr="00EE3355">
        <w:rPr>
          <w:u w:val="single"/>
        </w:rPr>
        <w:lastRenderedPageBreak/>
        <w:t>Úpravy dávky z důvodu laboratorních odchylek (viz bod 4.4)</w:t>
      </w:r>
    </w:p>
    <w:p w14:paraId="11791707" w14:textId="77777777" w:rsidR="00222DE0" w:rsidRPr="00EE3355" w:rsidRDefault="00222DE0" w:rsidP="00EA1CDF">
      <w:pPr>
        <w:pStyle w:val="a3"/>
        <w:widowControl/>
        <w:ind w:left="0"/>
      </w:pPr>
    </w:p>
    <w:p w14:paraId="6D751147" w14:textId="77777777" w:rsidR="00222DE0" w:rsidRPr="00EE3355" w:rsidRDefault="00B23DAE" w:rsidP="00EA1CDF">
      <w:pPr>
        <w:widowControl/>
        <w:tabs>
          <w:tab w:val="left" w:pos="951"/>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Abnormální hodnoty jaterních enzymů</w:t>
      </w:r>
    </w:p>
    <w:p w14:paraId="3F24B14D" w14:textId="77777777" w:rsidR="00222DE0" w:rsidRPr="00EE3355" w:rsidRDefault="00222DE0" w:rsidP="00EA1CDF">
      <w:pPr>
        <w:pStyle w:val="a3"/>
        <w:widowControl/>
        <w:ind w:left="0"/>
        <w:rPr>
          <w:sz w:val="20"/>
        </w:rPr>
      </w:pPr>
    </w:p>
    <w:tbl>
      <w:tblPr>
        <w:tblW w:w="9174"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27"/>
        <w:gridCol w:w="7147"/>
      </w:tblGrid>
      <w:tr w:rsidR="00222DE0" w:rsidRPr="00EE3355" w14:paraId="184102F7" w14:textId="77777777" w:rsidTr="00EE59DB">
        <w:trPr>
          <w:cantSplit/>
          <w:trHeight w:val="258"/>
          <w:tblHeader/>
        </w:trPr>
        <w:tc>
          <w:tcPr>
            <w:tcW w:w="2027" w:type="dxa"/>
          </w:tcPr>
          <w:p w14:paraId="7DB2AF03" w14:textId="77777777" w:rsidR="00222DE0" w:rsidRPr="00EE3355" w:rsidRDefault="0098273B" w:rsidP="00B93217">
            <w:pPr>
              <w:pStyle w:val="TableParagraph"/>
              <w:keepNext/>
              <w:widowControl/>
            </w:pPr>
            <w:r w:rsidRPr="00EE3355">
              <w:t>Laboratorní</w:t>
            </w:r>
            <w:r w:rsidR="00EE51E6" w:rsidRPr="00EE3355">
              <w:t xml:space="preserve"> </w:t>
            </w:r>
            <w:r w:rsidRPr="00EE3355">
              <w:t>hodnota</w:t>
            </w:r>
          </w:p>
        </w:tc>
        <w:tc>
          <w:tcPr>
            <w:tcW w:w="7147" w:type="dxa"/>
          </w:tcPr>
          <w:p w14:paraId="4AF0F056" w14:textId="77777777" w:rsidR="00222DE0" w:rsidRPr="00EE3355" w:rsidRDefault="0098273B" w:rsidP="00B93217">
            <w:pPr>
              <w:pStyle w:val="TableParagraph"/>
              <w:keepNext/>
              <w:widowControl/>
              <w:jc w:val="center"/>
            </w:pPr>
            <w:r w:rsidRPr="00EE3355">
              <w:t>Opatření</w:t>
            </w:r>
          </w:p>
        </w:tc>
      </w:tr>
      <w:tr w:rsidR="00222DE0" w:rsidRPr="00EE3355" w14:paraId="65CE58AC" w14:textId="77777777" w:rsidTr="00EE51E6">
        <w:trPr>
          <w:cantSplit/>
          <w:trHeight w:val="2277"/>
        </w:trPr>
        <w:tc>
          <w:tcPr>
            <w:tcW w:w="2027" w:type="dxa"/>
          </w:tcPr>
          <w:p w14:paraId="111B6A8A" w14:textId="77777777" w:rsidR="00222DE0" w:rsidRPr="00EE3355" w:rsidRDefault="00B23DAE" w:rsidP="00EA1CDF">
            <w:pPr>
              <w:pStyle w:val="TableParagraph"/>
              <w:widowControl/>
              <w:tabs>
                <w:tab w:val="left" w:pos="286"/>
              </w:tabs>
            </w:pPr>
            <w:r w:rsidRPr="00EE3355">
              <w:t>&gt;</w:t>
            </w:r>
            <w:r w:rsidRPr="00EE3355">
              <w:tab/>
            </w:r>
            <w:r w:rsidR="0098273B" w:rsidRPr="00EE3355">
              <w:t>1 až 3 x horní hranice normálních hodnot (ULN)</w:t>
            </w:r>
          </w:p>
        </w:tc>
        <w:tc>
          <w:tcPr>
            <w:tcW w:w="7147" w:type="dxa"/>
          </w:tcPr>
          <w:p w14:paraId="63D2FB6F" w14:textId="77777777" w:rsidR="00222DE0" w:rsidRPr="00EE3355" w:rsidRDefault="0098273B" w:rsidP="00EA1CDF">
            <w:pPr>
              <w:pStyle w:val="TableParagraph"/>
              <w:widowControl/>
              <w:jc w:val="both"/>
            </w:pPr>
            <w:r w:rsidRPr="00EE3355">
              <w:t>Upravte dávku souběžně podávaného DMARD (RA) nebo imunomodulačních přípravků (GCA), pokud je to vhodné.</w:t>
            </w:r>
          </w:p>
          <w:p w14:paraId="3004C038" w14:textId="77777777" w:rsidR="00EE51E6" w:rsidRPr="00EE3355" w:rsidRDefault="00EE51E6" w:rsidP="00EA1CDF">
            <w:pPr>
              <w:pStyle w:val="TableParagraph"/>
              <w:widowControl/>
              <w:jc w:val="both"/>
            </w:pPr>
          </w:p>
          <w:p w14:paraId="414EF797" w14:textId="7FD561DD" w:rsidR="00222DE0" w:rsidRPr="00EE3355" w:rsidRDefault="0098273B" w:rsidP="00B93217">
            <w:pPr>
              <w:pStyle w:val="TableParagraph"/>
              <w:widowControl/>
            </w:pPr>
            <w:r w:rsidRPr="00EE3355">
              <w:t xml:space="preserve">Při přetrvávajících vzestupech v tomto rozpětí snižte četnost podávání přípravku </w:t>
            </w:r>
            <w:r w:rsidR="00DC44E2">
              <w:t>Avtozma</w:t>
            </w:r>
            <w:r w:rsidRPr="00EE3355">
              <w:t xml:space="preserve"> na podání každý druhý týden nebo přerušte léčbu přípravkem </w:t>
            </w:r>
            <w:r w:rsidR="00DC44E2">
              <w:t>Avtozma</w:t>
            </w:r>
            <w:r w:rsidRPr="00EE3355">
              <w:t>, dokud nedojde k normalizaci hodnot alaninaminotransferázy (ALT) nebo aspartátaminotransferázy (AST).</w:t>
            </w:r>
          </w:p>
          <w:p w14:paraId="0D7D2E21" w14:textId="77777777" w:rsidR="00EE51E6" w:rsidRPr="00EE3355" w:rsidRDefault="00EE51E6" w:rsidP="00EA1CDF">
            <w:pPr>
              <w:pStyle w:val="TableParagraph"/>
              <w:widowControl/>
              <w:jc w:val="both"/>
            </w:pPr>
          </w:p>
          <w:p w14:paraId="165F6C67" w14:textId="77777777" w:rsidR="00222DE0" w:rsidRPr="00EE3355" w:rsidRDefault="0098273B" w:rsidP="00EA1CDF">
            <w:pPr>
              <w:pStyle w:val="TableParagraph"/>
              <w:widowControl/>
              <w:jc w:val="both"/>
            </w:pPr>
            <w:r w:rsidRPr="00EE3355">
              <w:t>Léčbu znovu zahajte podáním injekce jednou týdně nebo ob týden, pokud je to klinicky vhodné.</w:t>
            </w:r>
          </w:p>
        </w:tc>
      </w:tr>
      <w:tr w:rsidR="00222DE0" w:rsidRPr="00EE3355" w14:paraId="66F81707" w14:textId="77777777" w:rsidTr="00EE51E6">
        <w:trPr>
          <w:cantSplit/>
          <w:trHeight w:val="1264"/>
        </w:trPr>
        <w:tc>
          <w:tcPr>
            <w:tcW w:w="2027" w:type="dxa"/>
          </w:tcPr>
          <w:p w14:paraId="382CB399" w14:textId="77777777" w:rsidR="00222DE0" w:rsidRPr="00EE3355" w:rsidRDefault="00B23DAE" w:rsidP="00EA1CDF">
            <w:pPr>
              <w:pStyle w:val="TableParagraph"/>
              <w:widowControl/>
              <w:tabs>
                <w:tab w:val="left" w:pos="286"/>
              </w:tabs>
            </w:pPr>
            <w:r w:rsidRPr="00EE3355">
              <w:t>&gt;</w:t>
            </w:r>
            <w:r w:rsidRPr="00EE3355">
              <w:tab/>
            </w:r>
            <w:r w:rsidR="0098273B" w:rsidRPr="00EE3355">
              <w:t>3 až 5 x ULN</w:t>
            </w:r>
          </w:p>
        </w:tc>
        <w:tc>
          <w:tcPr>
            <w:tcW w:w="7147" w:type="dxa"/>
          </w:tcPr>
          <w:p w14:paraId="25F2CAC0" w14:textId="38185F03" w:rsidR="00222DE0" w:rsidRPr="00EE3355" w:rsidRDefault="0098273B" w:rsidP="00EA1CDF">
            <w:pPr>
              <w:pStyle w:val="TableParagraph"/>
              <w:widowControl/>
            </w:pPr>
            <w:r w:rsidRPr="00EE3355">
              <w:t xml:space="preserve">Přerušte léčbu přípravkem </w:t>
            </w:r>
            <w:r w:rsidR="00DC44E2">
              <w:t>Avtozma</w:t>
            </w:r>
            <w:r w:rsidRPr="00EE3355">
              <w:t>, dokud nebude hodnota &lt; 3 x ULN, a</w:t>
            </w:r>
            <w:r w:rsidR="0053045F">
              <w:t xml:space="preserve"> </w:t>
            </w:r>
            <w:r w:rsidRPr="00EE3355">
              <w:t>poté postupujte podle výše uvedených doporučení pro hodnoty v</w:t>
            </w:r>
            <w:r w:rsidR="0053045F">
              <w:t> </w:t>
            </w:r>
            <w:r w:rsidRPr="00EE3355">
              <w:t>rozmezí</w:t>
            </w:r>
            <w:r w:rsidR="0053045F">
              <w:t xml:space="preserve"> </w:t>
            </w:r>
            <w:r w:rsidR="00B23DAE" w:rsidRPr="00EE3355">
              <w:t>&gt;</w:t>
            </w:r>
            <w:r w:rsidR="00B23DAE" w:rsidRPr="00EE3355">
              <w:tab/>
            </w:r>
            <w:r w:rsidRPr="00EE3355">
              <w:t>1 až 3 x ULN.</w:t>
            </w:r>
          </w:p>
          <w:p w14:paraId="6E58FD3E" w14:textId="1A01B628" w:rsidR="00222DE0" w:rsidRPr="00EE3355" w:rsidRDefault="0098273B" w:rsidP="00EA1CDF">
            <w:pPr>
              <w:pStyle w:val="TableParagraph"/>
              <w:widowControl/>
            </w:pPr>
            <w:r w:rsidRPr="00EE3355">
              <w:t>Při přetrvávajících vzestupech na &gt; 3 x ULN (potvrzených opakovaným</w:t>
            </w:r>
            <w:r w:rsidR="0053045F">
              <w:t xml:space="preserve"> </w:t>
            </w:r>
            <w:r w:rsidRPr="00EE3355">
              <w:t xml:space="preserve">vyšetřením, viz bod 4.4) léčbu přípravkem </w:t>
            </w:r>
            <w:r w:rsidR="00DC44E2">
              <w:t>Avtozma</w:t>
            </w:r>
            <w:r w:rsidRPr="00EE3355">
              <w:t xml:space="preserve"> ukončete.</w:t>
            </w:r>
          </w:p>
        </w:tc>
      </w:tr>
      <w:tr w:rsidR="00222DE0" w:rsidRPr="00EE3355" w14:paraId="2C919093" w14:textId="77777777" w:rsidTr="00EE51E6">
        <w:trPr>
          <w:cantSplit/>
          <w:trHeight w:val="270"/>
        </w:trPr>
        <w:tc>
          <w:tcPr>
            <w:tcW w:w="2027" w:type="dxa"/>
          </w:tcPr>
          <w:p w14:paraId="569849C6" w14:textId="77777777" w:rsidR="00222DE0" w:rsidRPr="00EE3355" w:rsidRDefault="00B23DAE" w:rsidP="00EA1CDF">
            <w:pPr>
              <w:pStyle w:val="TableParagraph"/>
              <w:widowControl/>
              <w:tabs>
                <w:tab w:val="left" w:pos="286"/>
              </w:tabs>
            </w:pPr>
            <w:r w:rsidRPr="00EE3355">
              <w:t>&gt;</w:t>
            </w:r>
            <w:r w:rsidRPr="00EE3355">
              <w:tab/>
            </w:r>
            <w:r w:rsidR="0098273B" w:rsidRPr="00EE3355">
              <w:t>5 x ULN</w:t>
            </w:r>
          </w:p>
        </w:tc>
        <w:tc>
          <w:tcPr>
            <w:tcW w:w="7147" w:type="dxa"/>
          </w:tcPr>
          <w:p w14:paraId="2B530FCA" w14:textId="4EB5DB9F" w:rsidR="00222DE0" w:rsidRPr="00EE3355" w:rsidRDefault="0098273B" w:rsidP="00EA1CDF">
            <w:pPr>
              <w:pStyle w:val="TableParagraph"/>
              <w:widowControl/>
            </w:pPr>
            <w:r w:rsidRPr="00EE3355">
              <w:t xml:space="preserve">Ukončete léčbu přípravkem </w:t>
            </w:r>
            <w:r w:rsidR="00DC44E2">
              <w:t>Avtozma</w:t>
            </w:r>
            <w:r w:rsidRPr="00EE3355">
              <w:t>.</w:t>
            </w:r>
          </w:p>
        </w:tc>
      </w:tr>
    </w:tbl>
    <w:p w14:paraId="67642939" w14:textId="77777777" w:rsidR="00222DE0" w:rsidRPr="00EE3355" w:rsidRDefault="00222DE0" w:rsidP="00EA1CDF">
      <w:pPr>
        <w:pStyle w:val="a3"/>
        <w:widowControl/>
        <w:ind w:left="0"/>
      </w:pPr>
    </w:p>
    <w:p w14:paraId="088E5709" w14:textId="77777777" w:rsidR="00222DE0" w:rsidRPr="00EE3355" w:rsidRDefault="00B23DAE" w:rsidP="00EA1CDF">
      <w:pPr>
        <w:widowControl/>
        <w:tabs>
          <w:tab w:val="left" w:pos="951"/>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Nízký absolutní počet neutrofilů (ANC)</w:t>
      </w:r>
    </w:p>
    <w:p w14:paraId="57ADBA40" w14:textId="77777777" w:rsidR="00EE59DB" w:rsidRPr="00EE3355" w:rsidRDefault="00EE59DB" w:rsidP="00EA1CDF">
      <w:pPr>
        <w:widowControl/>
        <w:tabs>
          <w:tab w:val="left" w:pos="951"/>
        </w:tabs>
      </w:pPr>
    </w:p>
    <w:p w14:paraId="3ECF1C1E" w14:textId="31B73A5B" w:rsidR="00222DE0" w:rsidRPr="00EE3355" w:rsidRDefault="0098273B" w:rsidP="00EA1CDF">
      <w:pPr>
        <w:pStyle w:val="a3"/>
        <w:widowControl/>
        <w:ind w:left="0"/>
      </w:pPr>
      <w:r w:rsidRPr="00EE3355">
        <w:t xml:space="preserve">U pacientů, kteří nebyli dosud léčeni </w:t>
      </w:r>
      <w:r w:rsidR="00DC44E2" w:rsidRPr="00C61A9B">
        <w:rPr>
          <w:lang w:eastAsia="ko-KR"/>
        </w:rPr>
        <w:t>tocilizumab</w:t>
      </w:r>
      <w:r w:rsidR="00DC44E2">
        <w:rPr>
          <w:lang w:eastAsia="ko-KR"/>
        </w:rPr>
        <w:t xml:space="preserve">em </w:t>
      </w:r>
      <w:r w:rsidRPr="00EE3355">
        <w:t>a u nichž je absolutní počet neutrofilů</w:t>
      </w:r>
      <w:r w:rsidR="0053045F">
        <w:t xml:space="preserve"> </w:t>
      </w:r>
      <w:r w:rsidRPr="00EE3355">
        <w:t>(ANC) nižší než 2 x 10</w:t>
      </w:r>
      <w:r w:rsidRPr="00EE3355">
        <w:rPr>
          <w:vertAlign w:val="superscript"/>
        </w:rPr>
        <w:t>9</w:t>
      </w:r>
      <w:r w:rsidRPr="00EE3355">
        <w:t>/l, se zahájení léčby nedoporučuje.</w:t>
      </w:r>
    </w:p>
    <w:p w14:paraId="2A766FD6" w14:textId="77777777" w:rsidR="00222DE0" w:rsidRPr="00EE3355" w:rsidRDefault="00222DE0" w:rsidP="00EA1CDF">
      <w:pPr>
        <w:pStyle w:val="a3"/>
        <w:widowControl/>
        <w:ind w:left="0"/>
        <w:rPr>
          <w:sz w:val="20"/>
        </w:rPr>
      </w:pPr>
    </w:p>
    <w:tbl>
      <w:tblPr>
        <w:tblW w:w="9414"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13"/>
        <w:gridCol w:w="7301"/>
      </w:tblGrid>
      <w:tr w:rsidR="00222DE0" w:rsidRPr="00EE3355" w14:paraId="6DCD12B8" w14:textId="77777777" w:rsidTr="0053045F">
        <w:trPr>
          <w:cantSplit/>
          <w:trHeight w:val="20"/>
          <w:tblHeader/>
        </w:trPr>
        <w:tc>
          <w:tcPr>
            <w:tcW w:w="2113" w:type="dxa"/>
          </w:tcPr>
          <w:p w14:paraId="1CAD1C6B" w14:textId="77777777" w:rsidR="00222DE0" w:rsidRPr="00EE3355" w:rsidRDefault="0098273B" w:rsidP="00EA1CDF">
            <w:pPr>
              <w:pStyle w:val="TableParagraph"/>
              <w:widowControl/>
            </w:pPr>
            <w:r w:rsidRPr="00EE3355">
              <w:t>Laboratorní hodnota (buňky x 10</w:t>
            </w:r>
            <w:r w:rsidRPr="00EE3355">
              <w:rPr>
                <w:vertAlign w:val="superscript"/>
              </w:rPr>
              <w:t>9</w:t>
            </w:r>
            <w:r w:rsidRPr="00EE3355">
              <w:t>/l)</w:t>
            </w:r>
          </w:p>
        </w:tc>
        <w:tc>
          <w:tcPr>
            <w:tcW w:w="7301" w:type="dxa"/>
          </w:tcPr>
          <w:p w14:paraId="3827E6C6" w14:textId="77777777" w:rsidR="00222DE0" w:rsidRPr="00EE3355" w:rsidRDefault="0098273B" w:rsidP="00EA1CDF">
            <w:pPr>
              <w:pStyle w:val="TableParagraph"/>
              <w:widowControl/>
              <w:jc w:val="center"/>
            </w:pPr>
            <w:r w:rsidRPr="00EE3355">
              <w:t>Opatření</w:t>
            </w:r>
          </w:p>
        </w:tc>
      </w:tr>
      <w:tr w:rsidR="00222DE0" w:rsidRPr="00EE3355" w14:paraId="0BD323B0" w14:textId="77777777" w:rsidTr="0053045F">
        <w:trPr>
          <w:cantSplit/>
          <w:trHeight w:val="20"/>
        </w:trPr>
        <w:tc>
          <w:tcPr>
            <w:tcW w:w="2113" w:type="dxa"/>
          </w:tcPr>
          <w:p w14:paraId="6F54000C" w14:textId="77777777" w:rsidR="00222DE0" w:rsidRPr="00EE3355" w:rsidRDefault="0098273B" w:rsidP="00EA1CDF">
            <w:pPr>
              <w:pStyle w:val="TableParagraph"/>
              <w:widowControl/>
            </w:pPr>
            <w:r w:rsidRPr="00EE3355">
              <w:t>ANC &gt; 1</w:t>
            </w:r>
          </w:p>
        </w:tc>
        <w:tc>
          <w:tcPr>
            <w:tcW w:w="7301" w:type="dxa"/>
          </w:tcPr>
          <w:p w14:paraId="0492B916" w14:textId="77777777" w:rsidR="00222DE0" w:rsidRPr="00EE3355" w:rsidRDefault="0098273B" w:rsidP="00EA1CDF">
            <w:pPr>
              <w:pStyle w:val="TableParagraph"/>
              <w:widowControl/>
            </w:pPr>
            <w:r w:rsidRPr="00EE3355">
              <w:t>Udržujte dávku.</w:t>
            </w:r>
          </w:p>
        </w:tc>
      </w:tr>
      <w:tr w:rsidR="00222DE0" w:rsidRPr="00EE3355" w14:paraId="0021FA04" w14:textId="77777777" w:rsidTr="0053045F">
        <w:trPr>
          <w:cantSplit/>
          <w:trHeight w:val="20"/>
        </w:trPr>
        <w:tc>
          <w:tcPr>
            <w:tcW w:w="2113" w:type="dxa"/>
          </w:tcPr>
          <w:p w14:paraId="3E0CCE3C" w14:textId="77777777" w:rsidR="00222DE0" w:rsidRPr="00EE3355" w:rsidRDefault="0098273B" w:rsidP="00EA1CDF">
            <w:pPr>
              <w:pStyle w:val="TableParagraph"/>
              <w:widowControl/>
            </w:pPr>
            <w:r w:rsidRPr="00EE3355">
              <w:t>ANC 0,5 až 1</w:t>
            </w:r>
          </w:p>
        </w:tc>
        <w:tc>
          <w:tcPr>
            <w:tcW w:w="7301" w:type="dxa"/>
          </w:tcPr>
          <w:p w14:paraId="0C50AF96" w14:textId="5D46757F" w:rsidR="00222DE0" w:rsidRPr="00EE3355" w:rsidRDefault="0098273B" w:rsidP="00EA1CDF">
            <w:pPr>
              <w:pStyle w:val="TableParagraph"/>
              <w:widowControl/>
            </w:pPr>
            <w:r w:rsidRPr="00EE3355">
              <w:t xml:space="preserve">Přerušte podávání přípravku </w:t>
            </w:r>
            <w:r w:rsidR="00DC44E2">
              <w:t>Avtozma</w:t>
            </w:r>
            <w:r w:rsidRPr="00EE3355">
              <w:t>.</w:t>
            </w:r>
          </w:p>
          <w:p w14:paraId="0E6CD487" w14:textId="73166B11" w:rsidR="00222DE0" w:rsidRPr="00EE3355" w:rsidRDefault="0098273B" w:rsidP="00C959DC">
            <w:pPr>
              <w:pStyle w:val="TableParagraph"/>
              <w:widowControl/>
            </w:pPr>
            <w:r w:rsidRPr="00EE3355">
              <w:t>Jestliže se ANC zvýší na &gt; 1 x 10</w:t>
            </w:r>
            <w:r w:rsidRPr="00EE3355">
              <w:rPr>
                <w:vertAlign w:val="superscript"/>
              </w:rPr>
              <w:t>9</w:t>
            </w:r>
            <w:r w:rsidRPr="00EE3355">
              <w:t>/l, znovu začněte podávat přípravek</w:t>
            </w:r>
            <w:r w:rsidR="00C959DC">
              <w:t xml:space="preserve"> </w:t>
            </w:r>
            <w:r w:rsidR="00DC44E2">
              <w:t>Avtozma</w:t>
            </w:r>
            <w:r w:rsidRPr="00EE3355">
              <w:t xml:space="preserve"> každý druhý týden s následným zvýšením četnosti na podání injekce jednou týdně, pokud je to klinicky vhodné.</w:t>
            </w:r>
          </w:p>
        </w:tc>
      </w:tr>
      <w:tr w:rsidR="00222DE0" w:rsidRPr="00EE3355" w14:paraId="45BD42DC" w14:textId="77777777" w:rsidTr="0053045F">
        <w:trPr>
          <w:cantSplit/>
          <w:trHeight w:val="20"/>
        </w:trPr>
        <w:tc>
          <w:tcPr>
            <w:tcW w:w="2113" w:type="dxa"/>
          </w:tcPr>
          <w:p w14:paraId="32811D0F" w14:textId="77777777" w:rsidR="00222DE0" w:rsidRPr="00EE3355" w:rsidRDefault="0098273B" w:rsidP="00EA1CDF">
            <w:pPr>
              <w:pStyle w:val="TableParagraph"/>
              <w:widowControl/>
            </w:pPr>
            <w:r w:rsidRPr="00EE3355">
              <w:t>ANC &lt; 0,5</w:t>
            </w:r>
          </w:p>
        </w:tc>
        <w:tc>
          <w:tcPr>
            <w:tcW w:w="7301" w:type="dxa"/>
          </w:tcPr>
          <w:p w14:paraId="1E44855F" w14:textId="3E165487" w:rsidR="00222DE0" w:rsidRPr="00EE3355" w:rsidRDefault="0098273B" w:rsidP="00EA1CDF">
            <w:pPr>
              <w:pStyle w:val="TableParagraph"/>
              <w:widowControl/>
            </w:pPr>
            <w:r w:rsidRPr="00EE3355">
              <w:t xml:space="preserve">Ukončete léčbu přípravkem </w:t>
            </w:r>
            <w:r w:rsidR="00DC44E2">
              <w:t>Avtozma</w:t>
            </w:r>
            <w:r w:rsidRPr="00EE3355">
              <w:t>.</w:t>
            </w:r>
          </w:p>
        </w:tc>
      </w:tr>
    </w:tbl>
    <w:p w14:paraId="08BAD85A" w14:textId="77777777" w:rsidR="00222DE0" w:rsidRPr="00EE3355" w:rsidRDefault="00222DE0" w:rsidP="00EA1CDF">
      <w:pPr>
        <w:pStyle w:val="a3"/>
        <w:widowControl/>
        <w:ind w:left="0"/>
      </w:pPr>
    </w:p>
    <w:p w14:paraId="030AB3CA" w14:textId="77777777" w:rsidR="00222DE0" w:rsidRPr="00EE3355" w:rsidRDefault="00B23DAE" w:rsidP="00EA1CDF">
      <w:pPr>
        <w:widowControl/>
        <w:tabs>
          <w:tab w:val="left" w:pos="951"/>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Nízký počet trombocytů</w:t>
      </w:r>
    </w:p>
    <w:p w14:paraId="4C9FFD9C" w14:textId="77777777" w:rsidR="00222DE0" w:rsidRPr="00EE3355" w:rsidRDefault="00222DE0" w:rsidP="00EA1CDF">
      <w:pPr>
        <w:pStyle w:val="a3"/>
        <w:widowControl/>
        <w:ind w:left="0"/>
        <w:rPr>
          <w:sz w:val="20"/>
        </w:rPr>
      </w:pPr>
    </w:p>
    <w:tbl>
      <w:tblPr>
        <w:tblW w:w="94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37"/>
        <w:gridCol w:w="7291"/>
      </w:tblGrid>
      <w:tr w:rsidR="00222DE0" w:rsidRPr="00EE3355" w14:paraId="28062D1D" w14:textId="77777777" w:rsidTr="00BA0FC0">
        <w:trPr>
          <w:cantSplit/>
          <w:trHeight w:val="535"/>
          <w:tblHeader/>
        </w:trPr>
        <w:tc>
          <w:tcPr>
            <w:tcW w:w="2137" w:type="dxa"/>
          </w:tcPr>
          <w:p w14:paraId="30D1307A" w14:textId="77777777" w:rsidR="00222DE0" w:rsidRPr="00EE3355" w:rsidRDefault="0098273B" w:rsidP="00C959DC">
            <w:pPr>
              <w:pStyle w:val="TableParagraph"/>
              <w:widowControl/>
            </w:pPr>
            <w:r w:rsidRPr="00EE3355">
              <w:t>Laboratorní hodnota</w:t>
            </w:r>
            <w:r w:rsidR="00C959DC">
              <w:t xml:space="preserve"> </w:t>
            </w:r>
            <w:r w:rsidRPr="00EE3355">
              <w:t>(buňky x 10</w:t>
            </w:r>
            <w:r w:rsidRPr="00C959DC">
              <w:rPr>
                <w:vertAlign w:val="superscript"/>
              </w:rPr>
              <w:t>3</w:t>
            </w:r>
            <w:r w:rsidRPr="00EE3355">
              <w:t>/μl)</w:t>
            </w:r>
          </w:p>
        </w:tc>
        <w:tc>
          <w:tcPr>
            <w:tcW w:w="7291" w:type="dxa"/>
          </w:tcPr>
          <w:p w14:paraId="643D8AE4" w14:textId="77777777" w:rsidR="00222DE0" w:rsidRPr="00EE3355" w:rsidRDefault="0098273B" w:rsidP="00EA1CDF">
            <w:pPr>
              <w:pStyle w:val="TableParagraph"/>
              <w:widowControl/>
              <w:jc w:val="center"/>
            </w:pPr>
            <w:r w:rsidRPr="00EE3355">
              <w:t>Opatření</w:t>
            </w:r>
          </w:p>
        </w:tc>
      </w:tr>
      <w:tr w:rsidR="00222DE0" w:rsidRPr="00EE3355" w14:paraId="7507CF57" w14:textId="77777777" w:rsidTr="00BA0FC0">
        <w:trPr>
          <w:cantSplit/>
          <w:trHeight w:val="1079"/>
        </w:trPr>
        <w:tc>
          <w:tcPr>
            <w:tcW w:w="2137" w:type="dxa"/>
          </w:tcPr>
          <w:p w14:paraId="0FFD74AD" w14:textId="77777777" w:rsidR="00222DE0" w:rsidRPr="00EE3355" w:rsidRDefault="0098273B" w:rsidP="00EA1CDF">
            <w:pPr>
              <w:pStyle w:val="TableParagraph"/>
              <w:widowControl/>
            </w:pPr>
            <w:r w:rsidRPr="00EE3355">
              <w:t>50 až 100</w:t>
            </w:r>
          </w:p>
        </w:tc>
        <w:tc>
          <w:tcPr>
            <w:tcW w:w="7291" w:type="dxa"/>
          </w:tcPr>
          <w:p w14:paraId="0971BABC" w14:textId="79B58180" w:rsidR="00222DE0" w:rsidRPr="00EE3355" w:rsidRDefault="0098273B" w:rsidP="00EA1CDF">
            <w:pPr>
              <w:pStyle w:val="TableParagraph"/>
              <w:widowControl/>
            </w:pPr>
            <w:r w:rsidRPr="00EE3355">
              <w:t xml:space="preserve">Přerušte podávání přípravku </w:t>
            </w:r>
            <w:r w:rsidR="00DC44E2">
              <w:t>Avtozma</w:t>
            </w:r>
            <w:r w:rsidRPr="00EE3355">
              <w:t>.</w:t>
            </w:r>
          </w:p>
          <w:p w14:paraId="6B158660" w14:textId="77777777" w:rsidR="00222DE0" w:rsidRPr="00EE3355" w:rsidRDefault="0098273B" w:rsidP="00EA1CDF">
            <w:pPr>
              <w:pStyle w:val="TableParagraph"/>
              <w:widowControl/>
            </w:pPr>
            <w:r w:rsidRPr="00EE3355">
              <w:t>Bude-li počet trombocytů &gt; 100 x 10</w:t>
            </w:r>
            <w:r w:rsidRPr="00EE3355">
              <w:rPr>
                <w:vertAlign w:val="superscript"/>
              </w:rPr>
              <w:t>3</w:t>
            </w:r>
            <w:r w:rsidRPr="00EE3355">
              <w:t>/μl, znovu začněte podávat přípravek</w:t>
            </w:r>
          </w:p>
          <w:p w14:paraId="33D1070A" w14:textId="43361020" w:rsidR="00222DE0" w:rsidRPr="00EE3355" w:rsidRDefault="00DC44E2" w:rsidP="00EA1CDF">
            <w:pPr>
              <w:pStyle w:val="TableParagraph"/>
              <w:widowControl/>
            </w:pPr>
            <w:r>
              <w:t>Avtozma</w:t>
            </w:r>
            <w:r w:rsidR="0098273B" w:rsidRPr="00EE3355">
              <w:t xml:space="preserve"> každý druhý týden s následným zvýšením četnosti na podání injekce jednou týdně, pokud je to klinicky vhodné.</w:t>
            </w:r>
          </w:p>
        </w:tc>
      </w:tr>
      <w:tr w:rsidR="00222DE0" w:rsidRPr="00EE3355" w14:paraId="237DE0C9" w14:textId="77777777" w:rsidTr="00BA0FC0">
        <w:trPr>
          <w:cantSplit/>
          <w:trHeight w:val="270"/>
        </w:trPr>
        <w:tc>
          <w:tcPr>
            <w:tcW w:w="2137" w:type="dxa"/>
          </w:tcPr>
          <w:p w14:paraId="47AA2C19" w14:textId="77777777" w:rsidR="00222DE0" w:rsidRPr="00EE3355" w:rsidRDefault="0098273B" w:rsidP="00EA1CDF">
            <w:pPr>
              <w:pStyle w:val="TableParagraph"/>
              <w:widowControl/>
            </w:pPr>
            <w:r w:rsidRPr="00EE3355">
              <w:t>&lt; 50</w:t>
            </w:r>
          </w:p>
        </w:tc>
        <w:tc>
          <w:tcPr>
            <w:tcW w:w="7291" w:type="dxa"/>
          </w:tcPr>
          <w:p w14:paraId="666A9FB5" w14:textId="0C156296" w:rsidR="00222DE0" w:rsidRPr="00EE3355" w:rsidRDefault="0098273B" w:rsidP="00EA1CDF">
            <w:pPr>
              <w:pStyle w:val="TableParagraph"/>
              <w:widowControl/>
            </w:pPr>
            <w:r w:rsidRPr="00EE3355">
              <w:t xml:space="preserve">Ukončete léčbu přípravkem </w:t>
            </w:r>
            <w:r w:rsidR="00DC44E2">
              <w:t>Avtozma</w:t>
            </w:r>
            <w:r w:rsidRPr="00EE3355">
              <w:t>.</w:t>
            </w:r>
          </w:p>
        </w:tc>
      </w:tr>
    </w:tbl>
    <w:p w14:paraId="2F25466D" w14:textId="77777777" w:rsidR="00701CF4" w:rsidRPr="00EE3355" w:rsidRDefault="00701CF4" w:rsidP="00EA1CDF">
      <w:pPr>
        <w:pStyle w:val="a3"/>
        <w:widowControl/>
        <w:ind w:left="0"/>
        <w:rPr>
          <w:u w:val="single"/>
        </w:rPr>
      </w:pPr>
    </w:p>
    <w:p w14:paraId="440BA168" w14:textId="77777777" w:rsidR="00222DE0" w:rsidRPr="00C959DC" w:rsidRDefault="0098273B" w:rsidP="00EA1CDF">
      <w:pPr>
        <w:pStyle w:val="a3"/>
        <w:keepNext/>
        <w:widowControl/>
        <w:ind w:left="0"/>
        <w:rPr>
          <w:u w:val="single"/>
        </w:rPr>
      </w:pPr>
      <w:r w:rsidRPr="00C959DC">
        <w:rPr>
          <w:u w:val="single"/>
        </w:rPr>
        <w:t>RA a GCA</w:t>
      </w:r>
    </w:p>
    <w:p w14:paraId="0D3BFC82" w14:textId="77777777" w:rsidR="00222DE0" w:rsidRPr="00C959DC" w:rsidRDefault="0098273B" w:rsidP="00EA1CDF">
      <w:pPr>
        <w:pStyle w:val="a3"/>
        <w:keepNext/>
        <w:widowControl/>
        <w:ind w:left="0"/>
        <w:rPr>
          <w:u w:val="single"/>
        </w:rPr>
      </w:pPr>
      <w:r w:rsidRPr="00C959DC">
        <w:rPr>
          <w:u w:val="single"/>
        </w:rPr>
        <w:t>Vynechaná dávka</w:t>
      </w:r>
    </w:p>
    <w:p w14:paraId="5152C604" w14:textId="13DF65DD" w:rsidR="00222DE0" w:rsidRPr="00EE3355" w:rsidRDefault="0098273B" w:rsidP="00EA1CDF">
      <w:pPr>
        <w:pStyle w:val="a3"/>
        <w:widowControl/>
        <w:ind w:left="0"/>
      </w:pPr>
      <w:r w:rsidRPr="00EE3355">
        <w:t xml:space="preserve">Vynechá-li pacient subkutánní týdenní injekci přípravku </w:t>
      </w:r>
      <w:r w:rsidR="00DC44E2">
        <w:t>Avtozma</w:t>
      </w:r>
      <w:r w:rsidRPr="00EE3355">
        <w:t xml:space="preserve"> a neuplyne-li více než 7 dnů od</w:t>
      </w:r>
      <w:r w:rsidR="00AD75D2" w:rsidRPr="00EE3355">
        <w:t xml:space="preserve"> </w:t>
      </w:r>
      <w:r w:rsidRPr="00EE3355">
        <w:t>plánovaného termínu podání dávky, má být poučen, že si má vynechanou dávku aplikovat v</w:t>
      </w:r>
      <w:r w:rsidR="00AD75D2" w:rsidRPr="00EE3355">
        <w:t> </w:t>
      </w:r>
      <w:r w:rsidRPr="00EE3355">
        <w:t>dalším</w:t>
      </w:r>
      <w:r w:rsidR="00AD75D2" w:rsidRPr="00EE3355">
        <w:t xml:space="preserve"> </w:t>
      </w:r>
      <w:r w:rsidRPr="00EE3355">
        <w:t xml:space="preserve">plánovaném termínu. Vynechá-li pacient subkutánní dvoutýdenní injekci přípravku </w:t>
      </w:r>
      <w:r w:rsidR="00DC44E2">
        <w:t>Avtozma</w:t>
      </w:r>
      <w:r w:rsidRPr="00EE3355">
        <w:t xml:space="preserve"> a neuplyne-li vice než 7 dnů od plánovaného termínu dávky, má být poučen, že si má vynechanou dávku aplikovat okamžitě a další dávku v dalším plánovaném termínu.</w:t>
      </w:r>
    </w:p>
    <w:p w14:paraId="6F836988" w14:textId="77777777" w:rsidR="00222DE0" w:rsidRPr="00EE3355" w:rsidRDefault="00222DE0" w:rsidP="00EA1CDF">
      <w:pPr>
        <w:pStyle w:val="a3"/>
        <w:widowControl/>
        <w:ind w:left="0"/>
      </w:pPr>
    </w:p>
    <w:p w14:paraId="1F747DB2" w14:textId="77777777" w:rsidR="00222DE0" w:rsidRPr="00C959DC" w:rsidRDefault="0098273B" w:rsidP="00EA1CDF">
      <w:pPr>
        <w:pStyle w:val="a3"/>
        <w:keepNext/>
        <w:widowControl/>
        <w:ind w:left="0"/>
        <w:rPr>
          <w:u w:val="single"/>
        </w:rPr>
      </w:pPr>
      <w:r w:rsidRPr="00C959DC">
        <w:rPr>
          <w:u w:val="single"/>
        </w:rPr>
        <w:t>Zvláštní skupiny pacientů</w:t>
      </w:r>
    </w:p>
    <w:p w14:paraId="5306CFBC" w14:textId="77777777" w:rsidR="00222DE0" w:rsidRPr="00EE3355" w:rsidRDefault="00222DE0" w:rsidP="00EA1CDF">
      <w:pPr>
        <w:pStyle w:val="a3"/>
        <w:keepNext/>
        <w:widowControl/>
        <w:ind w:left="0"/>
      </w:pPr>
    </w:p>
    <w:p w14:paraId="475C305F" w14:textId="77777777" w:rsidR="00222DE0" w:rsidRPr="00EE3355" w:rsidRDefault="0098273B" w:rsidP="00EA1CDF">
      <w:pPr>
        <w:keepNext/>
        <w:widowControl/>
        <w:rPr>
          <w:i/>
        </w:rPr>
      </w:pPr>
      <w:r w:rsidRPr="00EE3355">
        <w:rPr>
          <w:i/>
        </w:rPr>
        <w:t>Starší pacienti</w:t>
      </w:r>
    </w:p>
    <w:p w14:paraId="36B87485" w14:textId="77777777" w:rsidR="00222DE0" w:rsidRPr="00EE3355" w:rsidRDefault="0098273B" w:rsidP="00EA1CDF">
      <w:pPr>
        <w:pStyle w:val="a3"/>
        <w:widowControl/>
        <w:ind w:left="0"/>
      </w:pPr>
      <w:r w:rsidRPr="00EE3355">
        <w:t>U starších pacientů ve věku &gt; 65 let není požadována úprava dávkování.</w:t>
      </w:r>
    </w:p>
    <w:p w14:paraId="5D5ADB25" w14:textId="77777777" w:rsidR="00222DE0" w:rsidRPr="00EE3355" w:rsidRDefault="00222DE0" w:rsidP="00EA1CDF">
      <w:pPr>
        <w:pStyle w:val="a3"/>
        <w:widowControl/>
        <w:ind w:left="0"/>
      </w:pPr>
    </w:p>
    <w:p w14:paraId="01960990" w14:textId="77777777" w:rsidR="00222DE0" w:rsidRPr="00EE3355" w:rsidRDefault="0098273B" w:rsidP="00EA1CDF">
      <w:pPr>
        <w:keepNext/>
        <w:widowControl/>
        <w:rPr>
          <w:i/>
        </w:rPr>
      </w:pPr>
      <w:r w:rsidRPr="00EE3355">
        <w:rPr>
          <w:i/>
        </w:rPr>
        <w:t>Porucha funkce ledvin</w:t>
      </w:r>
    </w:p>
    <w:p w14:paraId="73F99B19" w14:textId="7C538BD3" w:rsidR="00222DE0" w:rsidRPr="00EE3355" w:rsidRDefault="0098273B" w:rsidP="00EA1CDF">
      <w:pPr>
        <w:pStyle w:val="a3"/>
        <w:widowControl/>
        <w:ind w:left="0"/>
      </w:pPr>
      <w:r w:rsidRPr="00EE3355">
        <w:t xml:space="preserve">U pacientů s lehkou nebo středně těžkou poruchou funkce ledvin není požadována úprava dávkování. U pacientů s těžkou poruchou funkce ledvin nebylo podávání přípravku </w:t>
      </w:r>
      <w:r w:rsidR="00DC44E2">
        <w:t>Avtozma</w:t>
      </w:r>
      <w:r w:rsidRPr="00EE3355">
        <w:t xml:space="preserve"> studováno (viz bod 5.2). U těchto pacientů by měly být renální funkce pečlivě monitorovány.</w:t>
      </w:r>
    </w:p>
    <w:p w14:paraId="49BFFA5B" w14:textId="77777777" w:rsidR="009C3CA3" w:rsidRPr="00EE3355" w:rsidRDefault="009C3CA3" w:rsidP="00EA1CDF">
      <w:pPr>
        <w:pStyle w:val="a3"/>
        <w:widowControl/>
        <w:ind w:left="0"/>
      </w:pPr>
    </w:p>
    <w:p w14:paraId="64F44634" w14:textId="77777777" w:rsidR="00222DE0" w:rsidRPr="00EE3355" w:rsidRDefault="0098273B" w:rsidP="00EA1CDF">
      <w:pPr>
        <w:widowControl/>
        <w:rPr>
          <w:i/>
        </w:rPr>
      </w:pPr>
      <w:r w:rsidRPr="00EE3355">
        <w:rPr>
          <w:i/>
        </w:rPr>
        <w:t>Porucha funkce jater</w:t>
      </w:r>
    </w:p>
    <w:p w14:paraId="0A362E3B" w14:textId="2C2814DD" w:rsidR="00222DE0" w:rsidRPr="00EE3355" w:rsidRDefault="0098273B" w:rsidP="00EA1CDF">
      <w:pPr>
        <w:pStyle w:val="a3"/>
        <w:widowControl/>
        <w:ind w:left="0"/>
      </w:pPr>
      <w:r w:rsidRPr="00EE3355">
        <w:t xml:space="preserve">U pacientů s jaterním onemocněním nebylo podávání přípravku </w:t>
      </w:r>
      <w:r w:rsidR="00DC44E2">
        <w:t>Avtozma</w:t>
      </w:r>
      <w:r w:rsidRPr="00EE3355">
        <w:t xml:space="preserve"> studováno, proto nemůže být doporučena žádná úprava dávkování.</w:t>
      </w:r>
    </w:p>
    <w:p w14:paraId="5B985224" w14:textId="77777777" w:rsidR="009C3CA3" w:rsidRPr="00EE3355" w:rsidRDefault="009C3CA3" w:rsidP="00EA1CDF">
      <w:pPr>
        <w:pStyle w:val="a3"/>
        <w:widowControl/>
        <w:ind w:left="0"/>
      </w:pPr>
    </w:p>
    <w:p w14:paraId="7D941E91" w14:textId="77777777" w:rsidR="00222DE0" w:rsidRPr="00EE3355" w:rsidRDefault="0098273B" w:rsidP="00EA1CDF">
      <w:pPr>
        <w:widowControl/>
        <w:rPr>
          <w:i/>
        </w:rPr>
      </w:pPr>
      <w:r w:rsidRPr="00EE3355">
        <w:rPr>
          <w:i/>
        </w:rPr>
        <w:t>Pediatričtí pacienti</w:t>
      </w:r>
    </w:p>
    <w:p w14:paraId="3665ABAB" w14:textId="18B53BD4" w:rsidR="00222DE0" w:rsidRPr="00EE3355" w:rsidRDefault="0098273B" w:rsidP="00EA1CDF">
      <w:pPr>
        <w:pStyle w:val="a3"/>
        <w:widowControl/>
        <w:ind w:left="0"/>
      </w:pPr>
      <w:r w:rsidRPr="00EE3355">
        <w:t xml:space="preserve">Bezpečnost a účinnost přípravku </w:t>
      </w:r>
      <w:r w:rsidR="00DC44E2">
        <w:t>Avtozma</w:t>
      </w:r>
      <w:r w:rsidRPr="00EE3355">
        <w:t xml:space="preserve"> pro subkutánní podání u dětí mladších 1 roku nebyla stanovena. Nejsou dostupné žádné údaje.</w:t>
      </w:r>
    </w:p>
    <w:p w14:paraId="757796DC" w14:textId="77777777" w:rsidR="009C3CA3" w:rsidRPr="00EE3355" w:rsidRDefault="009C3CA3" w:rsidP="00EA1CDF">
      <w:pPr>
        <w:pStyle w:val="a3"/>
        <w:widowControl/>
        <w:ind w:left="0"/>
      </w:pPr>
    </w:p>
    <w:p w14:paraId="07E36AAA" w14:textId="7BC4E9D0" w:rsidR="00222DE0" w:rsidRPr="00EE3355" w:rsidRDefault="0098273B" w:rsidP="00EA1CDF">
      <w:pPr>
        <w:pStyle w:val="a3"/>
        <w:widowControl/>
        <w:ind w:left="0"/>
      </w:pPr>
      <w:r w:rsidRPr="00EE3355">
        <w:t xml:space="preserve">Změna dávky musí vycházet pouze z konzistentní změny pacientovy tělesné hmotnosti v průběhu času. Přípravek </w:t>
      </w:r>
      <w:r w:rsidR="00DC44E2">
        <w:t>Avtozma</w:t>
      </w:r>
      <w:r w:rsidRPr="00EE3355">
        <w:t xml:space="preserve"> lze podávat v monoterapii nebo v kombinaci s MTX.</w:t>
      </w:r>
    </w:p>
    <w:p w14:paraId="3A7FAF3C" w14:textId="77777777" w:rsidR="00222DE0" w:rsidRPr="00EE3355" w:rsidRDefault="00222DE0" w:rsidP="00EA1CDF">
      <w:pPr>
        <w:pStyle w:val="a3"/>
        <w:widowControl/>
        <w:ind w:left="0"/>
      </w:pPr>
    </w:p>
    <w:p w14:paraId="4F726278" w14:textId="77777777" w:rsidR="00222DE0" w:rsidRPr="00EE3355" w:rsidRDefault="0098273B" w:rsidP="00EA1CDF">
      <w:pPr>
        <w:widowControl/>
        <w:rPr>
          <w:i/>
        </w:rPr>
      </w:pPr>
      <w:r w:rsidRPr="00EE3355">
        <w:rPr>
          <w:i/>
        </w:rPr>
        <w:t>Pacienti se sJIA</w:t>
      </w:r>
    </w:p>
    <w:p w14:paraId="72386EFB" w14:textId="77777777" w:rsidR="00222DE0" w:rsidRPr="00EE3355" w:rsidRDefault="0098273B" w:rsidP="00EA1CDF">
      <w:pPr>
        <w:pStyle w:val="a3"/>
        <w:widowControl/>
        <w:ind w:left="0"/>
      </w:pPr>
      <w:r w:rsidRPr="00EE3355">
        <w:t>Doporučené dávkování u pacientů starších 12 let je 162 mg subkutánně jednou týdně u pacientů</w:t>
      </w:r>
      <w:r w:rsidR="009C3CA3" w:rsidRPr="00EE3355">
        <w:t xml:space="preserve"> </w:t>
      </w:r>
      <w:r w:rsidRPr="00EE3355">
        <w:t>s tělesnou hmotností vyšší nebo rovnou 30 kg nebo 162 mg subkutánně jednou za 2 týdny u pacientů</w:t>
      </w:r>
      <w:r w:rsidR="009C3CA3" w:rsidRPr="00EE3355">
        <w:t xml:space="preserve"> </w:t>
      </w:r>
      <w:r w:rsidRPr="00EE3355">
        <w:t>s tělesnou hmotností nižší než 30 kg.</w:t>
      </w:r>
    </w:p>
    <w:p w14:paraId="7A0687C5" w14:textId="77777777" w:rsidR="00222DE0" w:rsidRPr="00EE3355" w:rsidRDefault="00222DE0" w:rsidP="00EA1CDF">
      <w:pPr>
        <w:pStyle w:val="a3"/>
        <w:widowControl/>
        <w:ind w:left="0"/>
      </w:pPr>
    </w:p>
    <w:p w14:paraId="679382AE" w14:textId="77777777" w:rsidR="00222DE0" w:rsidRPr="00EE3355" w:rsidRDefault="0098273B" w:rsidP="00EA1CDF">
      <w:pPr>
        <w:pStyle w:val="a3"/>
        <w:widowControl/>
        <w:ind w:left="0"/>
      </w:pPr>
      <w:r w:rsidRPr="00EE3355">
        <w:t>Předplněné pero není určeno k léčbě pediatrických pacientů ve věku &lt; 12 let.</w:t>
      </w:r>
    </w:p>
    <w:p w14:paraId="21093FA1" w14:textId="77777777" w:rsidR="00222DE0" w:rsidRPr="00EE3355" w:rsidRDefault="00222DE0" w:rsidP="00EA1CDF">
      <w:pPr>
        <w:pStyle w:val="a3"/>
        <w:widowControl/>
        <w:ind w:left="0"/>
      </w:pPr>
    </w:p>
    <w:p w14:paraId="7ADAC4F9" w14:textId="4C4ABA70" w:rsidR="00222DE0" w:rsidRPr="00EE3355" w:rsidRDefault="0098273B" w:rsidP="00EA1CDF">
      <w:pPr>
        <w:pStyle w:val="a3"/>
        <w:widowControl/>
        <w:ind w:left="0"/>
      </w:pPr>
      <w:r w:rsidRPr="00EE3355">
        <w:t xml:space="preserve">Pro subkutánní podání přípravku </w:t>
      </w:r>
      <w:r w:rsidR="00DC44E2">
        <w:t>Avtozma</w:t>
      </w:r>
      <w:r w:rsidRPr="00EE3355">
        <w:t xml:space="preserve"> musí mít pacienti tělesnou hmotnost alespoň 10 kg.</w:t>
      </w:r>
    </w:p>
    <w:p w14:paraId="35C37B38" w14:textId="77777777" w:rsidR="009C3CA3" w:rsidRPr="00EE3355" w:rsidRDefault="009C3CA3" w:rsidP="00EA1CDF">
      <w:pPr>
        <w:pStyle w:val="a3"/>
        <w:widowControl/>
        <w:ind w:left="0"/>
      </w:pPr>
    </w:p>
    <w:p w14:paraId="275AE970" w14:textId="77777777" w:rsidR="00222DE0" w:rsidRPr="00EE3355" w:rsidRDefault="0098273B" w:rsidP="00EA1CDF">
      <w:pPr>
        <w:widowControl/>
        <w:rPr>
          <w:i/>
        </w:rPr>
      </w:pPr>
      <w:r w:rsidRPr="00EE3355">
        <w:rPr>
          <w:i/>
        </w:rPr>
        <w:t>Pacienti s pJIA</w:t>
      </w:r>
    </w:p>
    <w:p w14:paraId="65BA3C36" w14:textId="77777777" w:rsidR="00222DE0" w:rsidRPr="00EE3355" w:rsidRDefault="0098273B" w:rsidP="00EA1CDF">
      <w:pPr>
        <w:pStyle w:val="a3"/>
        <w:widowControl/>
        <w:ind w:left="0"/>
        <w:jc w:val="both"/>
      </w:pPr>
      <w:r w:rsidRPr="00EE3355">
        <w:t>Doporučené dávkování u pacientů starších 12 let je 162 mg subkutánně jednou za 2 týdny u pacientů s tělesnou hmotností vyšší nebo rovnou 30 kg nebo 162 mg subkutánně jednou za 3 týdny u pacientů s tělesnou hmotností nižší než 30 kg.</w:t>
      </w:r>
    </w:p>
    <w:p w14:paraId="34A4CB3E" w14:textId="77777777" w:rsidR="009C3CA3" w:rsidRPr="00EE3355" w:rsidRDefault="009C3CA3" w:rsidP="00EA1CDF">
      <w:pPr>
        <w:pStyle w:val="a3"/>
        <w:widowControl/>
        <w:ind w:left="0"/>
        <w:jc w:val="both"/>
      </w:pPr>
    </w:p>
    <w:p w14:paraId="3115EB62" w14:textId="77777777" w:rsidR="00222DE0" w:rsidRPr="00EE3355" w:rsidRDefault="0098273B" w:rsidP="00EA1CDF">
      <w:pPr>
        <w:pStyle w:val="a3"/>
        <w:widowControl/>
        <w:ind w:left="0"/>
      </w:pPr>
      <w:r w:rsidRPr="00EE3355">
        <w:t>Předplněné pero není určeno k léčbě pediatrických pacientů ve věku &lt; 12 let. Úpravy dávky z důvodu laboratorních odchylek (sJIA a pJIA)</w:t>
      </w:r>
    </w:p>
    <w:p w14:paraId="30F3CA9F" w14:textId="77777777" w:rsidR="009C3CA3" w:rsidRPr="00EE3355" w:rsidRDefault="009C3CA3" w:rsidP="00EA1CDF">
      <w:pPr>
        <w:pStyle w:val="a3"/>
        <w:widowControl/>
        <w:ind w:left="0"/>
      </w:pPr>
    </w:p>
    <w:p w14:paraId="13B0FC33" w14:textId="77777777" w:rsidR="00222DE0" w:rsidRPr="00EE3355" w:rsidRDefault="0098273B" w:rsidP="00EA1CDF">
      <w:pPr>
        <w:pStyle w:val="a3"/>
        <w:widowControl/>
        <w:ind w:left="0"/>
      </w:pPr>
      <w:r w:rsidRPr="00EE3355">
        <w:t>Pokud je to vhodné, je třeba dávky současně podávaného MTX a/nebo dalších přípravků upravit nebo jejich podávání ukončit a léčbu tocilizumabem přerušit, dokud nedojde k vyhodnocení klinického stavu. Vzhledem k tomu, že existuje mnoho dalších přidružených onemocnění, která mohou ovlivnit laboratorní hodnoty u pacientů s pJIA, mělo by být rozhodnutí, zda přerušit léčbu tocilizumabem z důvodu laboratorních odchylek, založeno na lékařském posouzení stavu jednotlivého pacienta.</w:t>
      </w:r>
    </w:p>
    <w:p w14:paraId="07C7DA1E" w14:textId="77777777" w:rsidR="009C3CA3" w:rsidRPr="00EE3355" w:rsidRDefault="009C3CA3" w:rsidP="00EA1CDF">
      <w:pPr>
        <w:widowControl/>
        <w:tabs>
          <w:tab w:val="left" w:pos="804"/>
        </w:tabs>
        <w:ind w:left="804" w:hanging="566"/>
        <w:rPr>
          <w:rFonts w:ascii="Symbol" w:eastAsia="Symbol" w:hAnsi="Symbol" w:cs="Symbol"/>
        </w:rPr>
      </w:pPr>
    </w:p>
    <w:p w14:paraId="19075D1C"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Odchylky hodnot jaterních enzymů</w:t>
      </w:r>
    </w:p>
    <w:p w14:paraId="4A8BB517" w14:textId="77777777" w:rsidR="00222DE0" w:rsidRPr="00EE3355" w:rsidRDefault="00222DE0" w:rsidP="00EA1CDF">
      <w:pPr>
        <w:pStyle w:val="a3"/>
        <w:widowControl/>
        <w:ind w:left="0"/>
        <w:rPr>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93"/>
        <w:gridCol w:w="7119"/>
      </w:tblGrid>
      <w:tr w:rsidR="00222DE0" w:rsidRPr="00C959DC" w14:paraId="41CE465B" w14:textId="77777777" w:rsidTr="00F93117">
        <w:trPr>
          <w:cantSplit/>
          <w:trHeight w:val="66"/>
          <w:tblHeader/>
        </w:trPr>
        <w:tc>
          <w:tcPr>
            <w:tcW w:w="2093" w:type="dxa"/>
          </w:tcPr>
          <w:p w14:paraId="6CAF1CDA" w14:textId="77777777" w:rsidR="00222DE0" w:rsidRPr="00C959DC" w:rsidRDefault="0098273B" w:rsidP="00EA1CDF">
            <w:pPr>
              <w:pStyle w:val="TableParagraph"/>
              <w:widowControl/>
              <w:rPr>
                <w:b/>
              </w:rPr>
            </w:pPr>
            <w:r w:rsidRPr="00C959DC">
              <w:rPr>
                <w:b/>
              </w:rPr>
              <w:t>Laboratorní hodnota</w:t>
            </w:r>
          </w:p>
        </w:tc>
        <w:tc>
          <w:tcPr>
            <w:tcW w:w="7119" w:type="dxa"/>
          </w:tcPr>
          <w:p w14:paraId="14F2CDCF" w14:textId="77777777" w:rsidR="00222DE0" w:rsidRPr="00C959DC" w:rsidRDefault="0098273B" w:rsidP="00EA1CDF">
            <w:pPr>
              <w:pStyle w:val="TableParagraph"/>
              <w:widowControl/>
              <w:jc w:val="center"/>
              <w:rPr>
                <w:b/>
              </w:rPr>
            </w:pPr>
            <w:r w:rsidRPr="00C959DC">
              <w:rPr>
                <w:b/>
              </w:rPr>
              <w:t>Opatření</w:t>
            </w:r>
          </w:p>
        </w:tc>
      </w:tr>
      <w:tr w:rsidR="00222DE0" w:rsidRPr="00EE3355" w14:paraId="74912057" w14:textId="77777777" w:rsidTr="00F93117">
        <w:trPr>
          <w:cantSplit/>
          <w:trHeight w:val="892"/>
        </w:trPr>
        <w:tc>
          <w:tcPr>
            <w:tcW w:w="2093" w:type="dxa"/>
          </w:tcPr>
          <w:p w14:paraId="216DE7D4" w14:textId="77777777" w:rsidR="00222DE0" w:rsidRPr="00EE3355" w:rsidRDefault="00F93117" w:rsidP="00EA1CDF">
            <w:pPr>
              <w:pStyle w:val="TableParagraph"/>
              <w:widowControl/>
              <w:tabs>
                <w:tab w:val="left" w:pos="286"/>
              </w:tabs>
            </w:pPr>
            <w:r w:rsidRPr="00EE3355">
              <w:t xml:space="preserve">&gt; </w:t>
            </w:r>
            <w:r w:rsidR="0098273B" w:rsidRPr="00EE3355">
              <w:t>1- až 3násobek ULN</w:t>
            </w:r>
          </w:p>
        </w:tc>
        <w:tc>
          <w:tcPr>
            <w:tcW w:w="7119" w:type="dxa"/>
          </w:tcPr>
          <w:p w14:paraId="10637088" w14:textId="77777777" w:rsidR="00222DE0" w:rsidRPr="00EE3355" w:rsidRDefault="0098273B" w:rsidP="00EA1CDF">
            <w:pPr>
              <w:pStyle w:val="TableParagraph"/>
              <w:widowControl/>
            </w:pPr>
            <w:r w:rsidRPr="00EE3355">
              <w:t>Upravte dávku souběžně podávaného MTX, pokud je to vhodné</w:t>
            </w:r>
          </w:p>
          <w:p w14:paraId="51E0D3F1" w14:textId="77777777" w:rsidR="00222DE0" w:rsidRPr="00EE3355" w:rsidRDefault="00222DE0" w:rsidP="00EA1CDF">
            <w:pPr>
              <w:pStyle w:val="TableParagraph"/>
              <w:widowControl/>
            </w:pPr>
          </w:p>
          <w:p w14:paraId="392FA9C8" w14:textId="69DF277D" w:rsidR="00222DE0" w:rsidRPr="00EE3355" w:rsidRDefault="0098273B" w:rsidP="00EA1CDF">
            <w:pPr>
              <w:pStyle w:val="TableParagraph"/>
              <w:widowControl/>
            </w:pPr>
            <w:r w:rsidRPr="00EE3355">
              <w:t xml:space="preserve">Při přetrvávajících vzestupech v tomto rozpětí přerušte podávání přípravku </w:t>
            </w:r>
            <w:r w:rsidR="00DC44E2">
              <w:t>Avtozma</w:t>
            </w:r>
            <w:r w:rsidRPr="00EE3355">
              <w:t>, dokud nedojde k normalizaci hodnot ALT/AST</w:t>
            </w:r>
          </w:p>
        </w:tc>
      </w:tr>
      <w:tr w:rsidR="00222DE0" w:rsidRPr="00EE3355" w14:paraId="72039194" w14:textId="77777777" w:rsidTr="00F93117">
        <w:trPr>
          <w:cantSplit/>
          <w:trHeight w:val="1078"/>
        </w:trPr>
        <w:tc>
          <w:tcPr>
            <w:tcW w:w="2093" w:type="dxa"/>
          </w:tcPr>
          <w:p w14:paraId="7E929CC4" w14:textId="77777777" w:rsidR="00222DE0" w:rsidRPr="00EE3355" w:rsidRDefault="00B23DAE" w:rsidP="00EA1CDF">
            <w:pPr>
              <w:pStyle w:val="TableParagraph"/>
              <w:widowControl/>
              <w:tabs>
                <w:tab w:val="left" w:pos="286"/>
              </w:tabs>
            </w:pPr>
            <w:r w:rsidRPr="00EE3355">
              <w:lastRenderedPageBreak/>
              <w:t>&gt;</w:t>
            </w:r>
            <w:r w:rsidR="00F93117" w:rsidRPr="00EE3355">
              <w:t xml:space="preserve"> </w:t>
            </w:r>
            <w:r w:rsidR="0098273B" w:rsidRPr="00EE3355">
              <w:t>3- až 5násobek ULN</w:t>
            </w:r>
          </w:p>
        </w:tc>
        <w:tc>
          <w:tcPr>
            <w:tcW w:w="7119" w:type="dxa"/>
          </w:tcPr>
          <w:p w14:paraId="59951273" w14:textId="77777777" w:rsidR="00222DE0" w:rsidRPr="00EE3355" w:rsidRDefault="0098273B" w:rsidP="00EA1CDF">
            <w:pPr>
              <w:pStyle w:val="TableParagraph"/>
              <w:widowControl/>
            </w:pPr>
            <w:r w:rsidRPr="00EE3355">
              <w:t>Upravte dávku souběžně podávaného MTX, pokud je to vhodné</w:t>
            </w:r>
          </w:p>
          <w:p w14:paraId="46F19A5F" w14:textId="77777777" w:rsidR="00222DE0" w:rsidRPr="00EE3355" w:rsidRDefault="00222DE0" w:rsidP="00EA1CDF">
            <w:pPr>
              <w:pStyle w:val="TableParagraph"/>
              <w:widowControl/>
            </w:pPr>
          </w:p>
          <w:p w14:paraId="3DBC0B20" w14:textId="30FAC738" w:rsidR="00222DE0" w:rsidRPr="00EE3355" w:rsidRDefault="0098273B" w:rsidP="00EA1CDF">
            <w:pPr>
              <w:pStyle w:val="TableParagraph"/>
              <w:widowControl/>
            </w:pPr>
            <w:r w:rsidRPr="00EE3355">
              <w:t xml:space="preserve">Přerušte podávání přípravku </w:t>
            </w:r>
            <w:r w:rsidR="00DC44E2">
              <w:t>Avtozma</w:t>
            </w:r>
            <w:r w:rsidRPr="00EE3355">
              <w:t>, dokud nebude hodnota &lt; 3násobek ULN a poté postupujte dle výše uvedeného doporučení pro hodnoty v</w:t>
            </w:r>
            <w:r w:rsidR="00F93117" w:rsidRPr="00EE3355">
              <w:t> </w:t>
            </w:r>
            <w:r w:rsidRPr="00EE3355">
              <w:t>rozmezí</w:t>
            </w:r>
            <w:r w:rsidR="00F93117" w:rsidRPr="00EE3355">
              <w:t xml:space="preserve"> </w:t>
            </w:r>
            <w:r w:rsidRPr="00EE3355">
              <w:t>&gt;1- až 3násobek ULN</w:t>
            </w:r>
          </w:p>
        </w:tc>
      </w:tr>
      <w:tr w:rsidR="00222DE0" w:rsidRPr="00EE3355" w14:paraId="59535F27" w14:textId="77777777" w:rsidTr="00F93117">
        <w:trPr>
          <w:cantSplit/>
          <w:trHeight w:val="915"/>
        </w:trPr>
        <w:tc>
          <w:tcPr>
            <w:tcW w:w="2093" w:type="dxa"/>
          </w:tcPr>
          <w:p w14:paraId="0DF4DB7F" w14:textId="77777777" w:rsidR="00222DE0" w:rsidRPr="00EE3355" w:rsidRDefault="00B23DAE" w:rsidP="00EA1CDF">
            <w:pPr>
              <w:pStyle w:val="TableParagraph"/>
              <w:widowControl/>
              <w:tabs>
                <w:tab w:val="left" w:pos="286"/>
              </w:tabs>
            </w:pPr>
            <w:r w:rsidRPr="00EE3355">
              <w:t>&gt;</w:t>
            </w:r>
            <w:r w:rsidR="00F93117" w:rsidRPr="00EE3355">
              <w:t xml:space="preserve"> </w:t>
            </w:r>
            <w:r w:rsidR="0098273B" w:rsidRPr="00EE3355">
              <w:t>5násobek ULN</w:t>
            </w:r>
          </w:p>
        </w:tc>
        <w:tc>
          <w:tcPr>
            <w:tcW w:w="7119" w:type="dxa"/>
          </w:tcPr>
          <w:p w14:paraId="05954D04" w14:textId="1FB97CE6" w:rsidR="00222DE0" w:rsidRPr="00EE3355" w:rsidRDefault="0098273B" w:rsidP="00EA1CDF">
            <w:pPr>
              <w:pStyle w:val="TableParagraph"/>
              <w:widowControl/>
            </w:pPr>
            <w:r w:rsidRPr="00EE3355">
              <w:t xml:space="preserve">Ukončete léčbu přípravkem </w:t>
            </w:r>
            <w:r w:rsidR="00DC44E2">
              <w:t>Avtozma</w:t>
            </w:r>
          </w:p>
          <w:p w14:paraId="4BB83691" w14:textId="77777777" w:rsidR="00F93117" w:rsidRPr="00EE3355" w:rsidRDefault="00F93117" w:rsidP="00EA1CDF">
            <w:pPr>
              <w:pStyle w:val="TableParagraph"/>
              <w:widowControl/>
            </w:pPr>
          </w:p>
          <w:p w14:paraId="751247A4" w14:textId="29F936F5" w:rsidR="00222DE0" w:rsidRPr="00EE3355" w:rsidRDefault="0098273B" w:rsidP="00EA1CDF">
            <w:pPr>
              <w:pStyle w:val="TableParagraph"/>
              <w:widowControl/>
            </w:pPr>
            <w:r w:rsidRPr="00EE3355">
              <w:t xml:space="preserve">Rozhodnutí, zda u pacientů s pJIA přerušit léčbu přípravkem </w:t>
            </w:r>
            <w:r w:rsidR="00DC44E2">
              <w:t>Avtozma</w:t>
            </w:r>
            <w:r w:rsidRPr="00EE3355">
              <w:t xml:space="preserve"> z důvodu laboratorních odchylek, by mělo být založeno na lékařském posouzení stavu jednotlivého pacienta</w:t>
            </w:r>
          </w:p>
        </w:tc>
      </w:tr>
    </w:tbl>
    <w:p w14:paraId="6E764FAE"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absolutní počet neutrofilů (ANC)</w:t>
      </w:r>
    </w:p>
    <w:p w14:paraId="4BDBB15C" w14:textId="77777777" w:rsidR="00222DE0" w:rsidRPr="00EE3355" w:rsidRDefault="00222DE0" w:rsidP="00EA1CDF">
      <w:pPr>
        <w:pStyle w:val="a3"/>
        <w:widowControl/>
        <w:ind w:left="0"/>
        <w:rPr>
          <w:sz w:val="20"/>
        </w:rPr>
      </w:pPr>
    </w:p>
    <w:tbl>
      <w:tblPr>
        <w:tblW w:w="9324"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05"/>
        <w:gridCol w:w="7119"/>
      </w:tblGrid>
      <w:tr w:rsidR="00222DE0" w:rsidRPr="00C959DC" w14:paraId="43A1B679" w14:textId="77777777" w:rsidTr="00F93117">
        <w:trPr>
          <w:cantSplit/>
          <w:trHeight w:val="322"/>
        </w:trPr>
        <w:tc>
          <w:tcPr>
            <w:tcW w:w="2205" w:type="dxa"/>
          </w:tcPr>
          <w:p w14:paraId="462FE6AC" w14:textId="77777777" w:rsidR="00222DE0" w:rsidRPr="00C959DC" w:rsidRDefault="0098273B" w:rsidP="00EA1CDF">
            <w:pPr>
              <w:pStyle w:val="TableParagraph"/>
              <w:widowControl/>
              <w:jc w:val="center"/>
              <w:rPr>
                <w:b/>
              </w:rPr>
            </w:pPr>
            <w:r w:rsidRPr="00C959DC">
              <w:rPr>
                <w:b/>
              </w:rPr>
              <w:t>Laboratorní hodnota (buňky x 10</w:t>
            </w:r>
            <w:r w:rsidRPr="00C959DC">
              <w:rPr>
                <w:b/>
                <w:vertAlign w:val="superscript"/>
              </w:rPr>
              <w:t>9</w:t>
            </w:r>
            <w:r w:rsidRPr="00C959DC">
              <w:rPr>
                <w:b/>
              </w:rPr>
              <w:t>/l)</w:t>
            </w:r>
          </w:p>
        </w:tc>
        <w:tc>
          <w:tcPr>
            <w:tcW w:w="7119" w:type="dxa"/>
          </w:tcPr>
          <w:p w14:paraId="36B11C91" w14:textId="77777777" w:rsidR="00222DE0" w:rsidRPr="00C959DC" w:rsidRDefault="0098273B" w:rsidP="00EA1CDF">
            <w:pPr>
              <w:pStyle w:val="TableParagraph"/>
              <w:widowControl/>
              <w:jc w:val="center"/>
              <w:rPr>
                <w:b/>
              </w:rPr>
            </w:pPr>
            <w:r w:rsidRPr="00C959DC">
              <w:rPr>
                <w:b/>
              </w:rPr>
              <w:t>Opatření</w:t>
            </w:r>
          </w:p>
        </w:tc>
      </w:tr>
      <w:tr w:rsidR="00222DE0" w:rsidRPr="00EE3355" w14:paraId="29972302" w14:textId="77777777" w:rsidTr="00F93117">
        <w:trPr>
          <w:cantSplit/>
          <w:trHeight w:val="174"/>
        </w:trPr>
        <w:tc>
          <w:tcPr>
            <w:tcW w:w="2205" w:type="dxa"/>
          </w:tcPr>
          <w:p w14:paraId="2DE22AF5" w14:textId="77777777" w:rsidR="00222DE0" w:rsidRPr="00EE3355" w:rsidRDefault="0098273B" w:rsidP="00EA1CDF">
            <w:pPr>
              <w:pStyle w:val="TableParagraph"/>
              <w:widowControl/>
            </w:pPr>
            <w:r w:rsidRPr="00EE3355">
              <w:t>ANC &gt; 1</w:t>
            </w:r>
          </w:p>
        </w:tc>
        <w:tc>
          <w:tcPr>
            <w:tcW w:w="7119" w:type="dxa"/>
          </w:tcPr>
          <w:p w14:paraId="5896BB2A" w14:textId="77777777" w:rsidR="00222DE0" w:rsidRPr="00EE3355" w:rsidRDefault="0098273B" w:rsidP="00EA1CDF">
            <w:pPr>
              <w:pStyle w:val="TableParagraph"/>
              <w:widowControl/>
            </w:pPr>
            <w:r w:rsidRPr="00EE3355">
              <w:t>Udržujte dávku</w:t>
            </w:r>
          </w:p>
        </w:tc>
      </w:tr>
      <w:tr w:rsidR="00222DE0" w:rsidRPr="00EE3355" w14:paraId="1A77EEAF" w14:textId="77777777" w:rsidTr="00F93117">
        <w:trPr>
          <w:cantSplit/>
          <w:trHeight w:val="561"/>
        </w:trPr>
        <w:tc>
          <w:tcPr>
            <w:tcW w:w="2205" w:type="dxa"/>
          </w:tcPr>
          <w:p w14:paraId="2626DB05" w14:textId="77777777" w:rsidR="00222DE0" w:rsidRPr="00EE3355" w:rsidRDefault="0098273B" w:rsidP="00EA1CDF">
            <w:pPr>
              <w:pStyle w:val="TableParagraph"/>
              <w:widowControl/>
            </w:pPr>
            <w:r w:rsidRPr="00EE3355">
              <w:t>ANC 0,5 až 1</w:t>
            </w:r>
          </w:p>
        </w:tc>
        <w:tc>
          <w:tcPr>
            <w:tcW w:w="7119" w:type="dxa"/>
          </w:tcPr>
          <w:p w14:paraId="3BAD19BF" w14:textId="58BE1FB5" w:rsidR="00222DE0" w:rsidRPr="00EE3355" w:rsidRDefault="0098273B" w:rsidP="00EA1CDF">
            <w:pPr>
              <w:pStyle w:val="TableParagraph"/>
              <w:widowControl/>
            </w:pPr>
            <w:r w:rsidRPr="00EE3355">
              <w:t xml:space="preserve">Přerušte podávání přípravku </w:t>
            </w:r>
            <w:r w:rsidR="00DC44E2">
              <w:t>Avtozma</w:t>
            </w:r>
          </w:p>
          <w:p w14:paraId="7AC18070" w14:textId="77777777" w:rsidR="00222DE0" w:rsidRPr="00EE3355" w:rsidRDefault="00222DE0" w:rsidP="00EA1CDF">
            <w:pPr>
              <w:pStyle w:val="TableParagraph"/>
              <w:widowControl/>
            </w:pPr>
          </w:p>
          <w:p w14:paraId="6C693089" w14:textId="10D34045" w:rsidR="00222DE0" w:rsidRPr="00EE3355" w:rsidRDefault="0098273B" w:rsidP="00EA1CDF">
            <w:pPr>
              <w:pStyle w:val="TableParagraph"/>
              <w:widowControl/>
            </w:pPr>
            <w:r w:rsidRPr="00EE3355">
              <w:t>Pokud se ANC zvýší na &gt; 1 x 10</w:t>
            </w:r>
            <w:r w:rsidRPr="00EE3355">
              <w:rPr>
                <w:vertAlign w:val="superscript"/>
              </w:rPr>
              <w:t>9</w:t>
            </w:r>
            <w:r w:rsidRPr="00EE3355">
              <w:t xml:space="preserve">/l, léčbu přípravkem </w:t>
            </w:r>
            <w:r w:rsidR="00DC44E2">
              <w:t>Avtozma</w:t>
            </w:r>
            <w:r w:rsidRPr="00EE3355">
              <w:t xml:space="preserve"> znovu zahajte</w:t>
            </w:r>
          </w:p>
        </w:tc>
      </w:tr>
      <w:tr w:rsidR="00222DE0" w:rsidRPr="00EE3355" w14:paraId="31DDD17F" w14:textId="77777777" w:rsidTr="00F93117">
        <w:trPr>
          <w:cantSplit/>
          <w:trHeight w:val="761"/>
        </w:trPr>
        <w:tc>
          <w:tcPr>
            <w:tcW w:w="2205" w:type="dxa"/>
          </w:tcPr>
          <w:p w14:paraId="060C6D3E" w14:textId="77777777" w:rsidR="00222DE0" w:rsidRPr="00EE3355" w:rsidRDefault="0098273B" w:rsidP="00EA1CDF">
            <w:pPr>
              <w:pStyle w:val="TableParagraph"/>
              <w:widowControl/>
            </w:pPr>
            <w:r w:rsidRPr="00EE3355">
              <w:t>ANC &lt; 0,5</w:t>
            </w:r>
          </w:p>
        </w:tc>
        <w:tc>
          <w:tcPr>
            <w:tcW w:w="7119" w:type="dxa"/>
          </w:tcPr>
          <w:p w14:paraId="25C7A9CF" w14:textId="13553E8F" w:rsidR="00222DE0" w:rsidRPr="00EE3355" w:rsidRDefault="0098273B" w:rsidP="00EA1CDF">
            <w:pPr>
              <w:pStyle w:val="TableParagraph"/>
              <w:widowControl/>
            </w:pPr>
            <w:r w:rsidRPr="00EE3355">
              <w:t xml:space="preserve">Ukončete léčbu přípravkem </w:t>
            </w:r>
            <w:r w:rsidR="00DC44E2">
              <w:t>Avtozma</w:t>
            </w:r>
          </w:p>
          <w:p w14:paraId="77CA2C35" w14:textId="77777777" w:rsidR="00222DE0" w:rsidRPr="00EE3355" w:rsidRDefault="00222DE0" w:rsidP="00EA1CDF">
            <w:pPr>
              <w:pStyle w:val="TableParagraph"/>
              <w:widowControl/>
            </w:pPr>
          </w:p>
          <w:p w14:paraId="220EEE6F" w14:textId="484D9CDC" w:rsidR="00222DE0" w:rsidRPr="00EE3355" w:rsidRDefault="0098273B" w:rsidP="00EA1CDF">
            <w:pPr>
              <w:pStyle w:val="TableParagraph"/>
              <w:widowControl/>
            </w:pPr>
            <w:r w:rsidRPr="00EE3355">
              <w:t xml:space="preserve">Rozhodnutí, zda u pacientů s pJIA přerušit léčbu přípravkem </w:t>
            </w:r>
            <w:r w:rsidR="00DC44E2">
              <w:t>Avtozma</w:t>
            </w:r>
            <w:r w:rsidRPr="00EE3355">
              <w:t xml:space="preserve"> z důvodu laboratorních odchylek, by mělo být založeno na lékařském posouzení stavu jednotlivého pacienta</w:t>
            </w:r>
          </w:p>
        </w:tc>
      </w:tr>
    </w:tbl>
    <w:p w14:paraId="25BABF51" w14:textId="77777777" w:rsidR="00F93117" w:rsidRPr="00EE3355" w:rsidRDefault="00F93117" w:rsidP="00EA1CDF">
      <w:pPr>
        <w:widowControl/>
        <w:tabs>
          <w:tab w:val="left" w:pos="804"/>
        </w:tabs>
        <w:rPr>
          <w:rFonts w:ascii="Symbol" w:eastAsia="Symbol" w:hAnsi="Symbol" w:cs="Symbol"/>
        </w:rPr>
      </w:pPr>
    </w:p>
    <w:p w14:paraId="084A5986"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trombocytů</w:t>
      </w:r>
    </w:p>
    <w:p w14:paraId="27592E04" w14:textId="77777777" w:rsidR="00222DE0" w:rsidRPr="00EE3355" w:rsidRDefault="00222DE0" w:rsidP="00EA1CDF">
      <w:pPr>
        <w:pStyle w:val="a3"/>
        <w:widowControl/>
        <w:ind w:left="0"/>
        <w:rPr>
          <w:sz w:val="20"/>
        </w:rPr>
      </w:pPr>
    </w:p>
    <w:tbl>
      <w:tblPr>
        <w:tblW w:w="9324"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05"/>
        <w:gridCol w:w="7119"/>
      </w:tblGrid>
      <w:tr w:rsidR="00222DE0" w:rsidRPr="00C959DC" w14:paraId="07BC8B02" w14:textId="77777777" w:rsidTr="003A7F14">
        <w:trPr>
          <w:cantSplit/>
          <w:trHeight w:val="210"/>
          <w:tblHeader/>
        </w:trPr>
        <w:tc>
          <w:tcPr>
            <w:tcW w:w="2205" w:type="dxa"/>
          </w:tcPr>
          <w:p w14:paraId="23471C1B" w14:textId="77777777" w:rsidR="00222DE0" w:rsidRPr="00C959DC" w:rsidRDefault="0098273B" w:rsidP="00EA1CDF">
            <w:pPr>
              <w:pStyle w:val="TableParagraph"/>
              <w:widowControl/>
              <w:jc w:val="center"/>
              <w:rPr>
                <w:b/>
              </w:rPr>
            </w:pPr>
            <w:r w:rsidRPr="00C959DC">
              <w:rPr>
                <w:b/>
              </w:rPr>
              <w:t>Laboratorní hodnota (buňky x 10</w:t>
            </w:r>
            <w:r w:rsidRPr="00C959DC">
              <w:rPr>
                <w:b/>
                <w:vertAlign w:val="superscript"/>
              </w:rPr>
              <w:t>3</w:t>
            </w:r>
            <w:r w:rsidRPr="00C959DC">
              <w:rPr>
                <w:b/>
              </w:rPr>
              <w:t>/µl)</w:t>
            </w:r>
          </w:p>
        </w:tc>
        <w:tc>
          <w:tcPr>
            <w:tcW w:w="7119" w:type="dxa"/>
          </w:tcPr>
          <w:p w14:paraId="7A0E0AAD" w14:textId="77777777" w:rsidR="00222DE0" w:rsidRPr="00C959DC" w:rsidRDefault="0098273B" w:rsidP="00EA1CDF">
            <w:pPr>
              <w:pStyle w:val="TableParagraph"/>
              <w:widowControl/>
              <w:jc w:val="center"/>
              <w:rPr>
                <w:b/>
              </w:rPr>
            </w:pPr>
            <w:r w:rsidRPr="00C959DC">
              <w:rPr>
                <w:b/>
              </w:rPr>
              <w:t>Opatření</w:t>
            </w:r>
          </w:p>
        </w:tc>
      </w:tr>
      <w:tr w:rsidR="00222DE0" w:rsidRPr="00EE3355" w14:paraId="213E4B15" w14:textId="77777777" w:rsidTr="003A7F14">
        <w:trPr>
          <w:cantSplit/>
          <w:trHeight w:val="757"/>
        </w:trPr>
        <w:tc>
          <w:tcPr>
            <w:tcW w:w="2205" w:type="dxa"/>
          </w:tcPr>
          <w:p w14:paraId="672D7E73" w14:textId="77777777" w:rsidR="00222DE0" w:rsidRPr="00EE3355" w:rsidRDefault="0098273B" w:rsidP="00EA1CDF">
            <w:pPr>
              <w:pStyle w:val="TableParagraph"/>
              <w:widowControl/>
            </w:pPr>
            <w:r w:rsidRPr="00EE3355">
              <w:t>50 až 100</w:t>
            </w:r>
          </w:p>
        </w:tc>
        <w:tc>
          <w:tcPr>
            <w:tcW w:w="7119" w:type="dxa"/>
          </w:tcPr>
          <w:p w14:paraId="575900DB" w14:textId="64878481" w:rsidR="00222DE0" w:rsidRPr="00EE3355" w:rsidRDefault="0098273B" w:rsidP="00EA1CDF">
            <w:pPr>
              <w:pStyle w:val="TableParagraph"/>
              <w:widowControl/>
            </w:pPr>
            <w:r w:rsidRPr="00EE3355">
              <w:t xml:space="preserve">Upravte dávku souběžně podávaného MTX, pokud je to vhodné Přerušte podávání přípravku </w:t>
            </w:r>
            <w:r w:rsidR="00DC44E2">
              <w:t>Avtozma</w:t>
            </w:r>
          </w:p>
          <w:p w14:paraId="0C82ADCC" w14:textId="77777777" w:rsidR="003A7F14" w:rsidRPr="00EE3355" w:rsidRDefault="003A7F14" w:rsidP="00EA1CDF">
            <w:pPr>
              <w:pStyle w:val="TableParagraph"/>
              <w:widowControl/>
            </w:pPr>
          </w:p>
          <w:p w14:paraId="0C523597" w14:textId="3DF327DF" w:rsidR="00222DE0" w:rsidRPr="00EE3355" w:rsidRDefault="0098273B" w:rsidP="00EA1CDF">
            <w:pPr>
              <w:pStyle w:val="TableParagraph"/>
              <w:widowControl/>
            </w:pPr>
            <w:r w:rsidRPr="00EE3355">
              <w:t>Pokud bude počet trombocytů &gt; 100 x 10</w:t>
            </w:r>
            <w:r w:rsidRPr="00EE3355">
              <w:rPr>
                <w:vertAlign w:val="superscript"/>
              </w:rPr>
              <w:t>3</w:t>
            </w:r>
            <w:r w:rsidRPr="00EE3355">
              <w:t xml:space="preserve">/µl, léčbu přípravkem </w:t>
            </w:r>
            <w:r w:rsidR="00DC44E2">
              <w:t>Avtozma</w:t>
            </w:r>
          </w:p>
          <w:p w14:paraId="48DEAA76" w14:textId="77777777" w:rsidR="00222DE0" w:rsidRPr="00EE3355" w:rsidRDefault="0098273B" w:rsidP="00EA1CDF">
            <w:pPr>
              <w:pStyle w:val="TableParagraph"/>
              <w:widowControl/>
            </w:pPr>
            <w:r w:rsidRPr="00EE3355">
              <w:t>znovu zahajte</w:t>
            </w:r>
          </w:p>
        </w:tc>
      </w:tr>
      <w:tr w:rsidR="00222DE0" w:rsidRPr="00EE3355" w14:paraId="65762CE2" w14:textId="77777777" w:rsidTr="003A7F14">
        <w:trPr>
          <w:cantSplit/>
          <w:trHeight w:val="814"/>
        </w:trPr>
        <w:tc>
          <w:tcPr>
            <w:tcW w:w="2205" w:type="dxa"/>
          </w:tcPr>
          <w:p w14:paraId="6DD332C7" w14:textId="77777777" w:rsidR="00222DE0" w:rsidRPr="00EE3355" w:rsidRDefault="0098273B" w:rsidP="00EA1CDF">
            <w:pPr>
              <w:pStyle w:val="TableParagraph"/>
              <w:widowControl/>
            </w:pPr>
            <w:r w:rsidRPr="00EE3355">
              <w:t>&lt; 50</w:t>
            </w:r>
          </w:p>
        </w:tc>
        <w:tc>
          <w:tcPr>
            <w:tcW w:w="7119" w:type="dxa"/>
          </w:tcPr>
          <w:p w14:paraId="5A4FE770" w14:textId="344D7C24" w:rsidR="00222DE0" w:rsidRPr="00EE3355" w:rsidRDefault="0098273B" w:rsidP="00EA1CDF">
            <w:pPr>
              <w:pStyle w:val="TableParagraph"/>
              <w:widowControl/>
            </w:pPr>
            <w:r w:rsidRPr="00EE3355">
              <w:t xml:space="preserve">Ukončete léčbu přípravkem </w:t>
            </w:r>
            <w:r w:rsidR="00DC44E2">
              <w:t>Avtozma</w:t>
            </w:r>
          </w:p>
          <w:p w14:paraId="466EAA4D" w14:textId="77777777" w:rsidR="00222DE0" w:rsidRPr="00EE3355" w:rsidRDefault="00222DE0" w:rsidP="00EA1CDF">
            <w:pPr>
              <w:pStyle w:val="TableParagraph"/>
              <w:widowControl/>
            </w:pPr>
          </w:p>
          <w:p w14:paraId="1E88140E" w14:textId="1BA03AA9" w:rsidR="00222DE0" w:rsidRPr="00EE3355" w:rsidRDefault="0098273B" w:rsidP="00EA1CDF">
            <w:pPr>
              <w:pStyle w:val="TableParagraph"/>
              <w:widowControl/>
            </w:pPr>
            <w:r w:rsidRPr="00EE3355">
              <w:t xml:space="preserve">Rozhodnutí, zda u pacientů s pJIA přerušit léčbu přípravkem </w:t>
            </w:r>
            <w:r w:rsidR="00DC44E2">
              <w:t>Avtozma</w:t>
            </w:r>
            <w:r w:rsidRPr="00EE3355">
              <w:t xml:space="preserve"> z důvodu laboratorních odchylek, by mělo být založeno na lékařském posouzení stavu jednotlivého pacienta</w:t>
            </w:r>
          </w:p>
        </w:tc>
      </w:tr>
    </w:tbl>
    <w:p w14:paraId="01A4C51A" w14:textId="77777777" w:rsidR="000E1C31" w:rsidRPr="00EE3355" w:rsidRDefault="000E1C31" w:rsidP="00EA1CDF">
      <w:pPr>
        <w:pStyle w:val="a3"/>
        <w:widowControl/>
        <w:ind w:left="0"/>
      </w:pPr>
    </w:p>
    <w:p w14:paraId="292A389C" w14:textId="77777777" w:rsidR="00222DE0" w:rsidRPr="00EE3355" w:rsidRDefault="0098273B" w:rsidP="00EA1CDF">
      <w:pPr>
        <w:pStyle w:val="a3"/>
        <w:widowControl/>
        <w:ind w:left="0"/>
      </w:pPr>
      <w:r w:rsidRPr="00EE3355">
        <w:t>Snížení dávky tocilizumabu z důvodu laboratorních odchylek nebylo u pacientů se sJIA nebo pJIA</w:t>
      </w:r>
      <w:r w:rsidR="003A7F14" w:rsidRPr="00EE3355">
        <w:t xml:space="preserve"> </w:t>
      </w:r>
      <w:r w:rsidRPr="00EE3355">
        <w:t>zkoumáno.</w:t>
      </w:r>
    </w:p>
    <w:p w14:paraId="53CA7B0F" w14:textId="77777777" w:rsidR="003A7F14" w:rsidRPr="00EE3355" w:rsidRDefault="003A7F14" w:rsidP="00EA1CDF">
      <w:pPr>
        <w:pStyle w:val="a3"/>
        <w:widowControl/>
        <w:ind w:left="0"/>
      </w:pPr>
    </w:p>
    <w:p w14:paraId="19DFD13F" w14:textId="6CF7271B" w:rsidR="00222DE0" w:rsidRPr="00EE3355" w:rsidRDefault="0098273B" w:rsidP="00C959DC">
      <w:pPr>
        <w:pStyle w:val="a3"/>
        <w:widowControl/>
        <w:ind w:left="0"/>
      </w:pPr>
      <w:r w:rsidRPr="00EE3355">
        <w:t xml:space="preserve">Bezpečnost a účinnost podkožně podávaného přípravku </w:t>
      </w:r>
      <w:r w:rsidR="00DC44E2">
        <w:t>Avtozma</w:t>
      </w:r>
      <w:r w:rsidRPr="00EE3355">
        <w:t xml:space="preserve"> u dětí s jiným onemocněním než</w:t>
      </w:r>
      <w:r w:rsidR="00C959DC">
        <w:t xml:space="preserve"> </w:t>
      </w:r>
      <w:r w:rsidRPr="00EE3355">
        <w:t>sJIA nebo pJIA nebyly stanoveny.</w:t>
      </w:r>
    </w:p>
    <w:p w14:paraId="3A6B1123" w14:textId="77777777" w:rsidR="00222DE0" w:rsidRPr="00EE3355" w:rsidRDefault="00222DE0" w:rsidP="00EA1CDF">
      <w:pPr>
        <w:pStyle w:val="a3"/>
        <w:widowControl/>
        <w:ind w:left="0"/>
      </w:pPr>
    </w:p>
    <w:p w14:paraId="387D4ED9" w14:textId="12D74E31" w:rsidR="00222DE0" w:rsidRPr="00EE3355" w:rsidRDefault="0098273B" w:rsidP="00EA1CDF">
      <w:pPr>
        <w:pStyle w:val="a3"/>
        <w:widowControl/>
        <w:ind w:left="0"/>
      </w:pPr>
      <w:r w:rsidRPr="00EE3355">
        <w:t xml:space="preserve">Dostupné údaje pro intravenózně podávaný </w:t>
      </w:r>
      <w:r w:rsidR="008C3359" w:rsidRPr="00C61A9B">
        <w:t>tocilizumab</w:t>
      </w:r>
      <w:r w:rsidR="008C3359">
        <w:t xml:space="preserve"> </w:t>
      </w:r>
      <w:r w:rsidRPr="00EE3355">
        <w:t xml:space="preserve">naznačují, že ke klinickému zlepšení dochází během 12 týdnů od zahájení léčby </w:t>
      </w:r>
      <w:r w:rsidR="008C3359" w:rsidRPr="00C61A9B">
        <w:t>tocilizumab</w:t>
      </w:r>
      <w:r w:rsidR="008C3359">
        <w:t>em</w:t>
      </w:r>
      <w:r w:rsidRPr="00EE3355">
        <w:t>. U pacientů, u kterých nedojde v tomto období ke zlepšení, je třeba pokračování v léčbě znovu pečlivě zvážit.</w:t>
      </w:r>
    </w:p>
    <w:p w14:paraId="3A469A39" w14:textId="77777777" w:rsidR="003A7F14" w:rsidRPr="00EE3355" w:rsidRDefault="003A7F14" w:rsidP="00EA1CDF">
      <w:pPr>
        <w:pStyle w:val="a3"/>
        <w:widowControl/>
        <w:ind w:left="0"/>
      </w:pPr>
    </w:p>
    <w:p w14:paraId="419749CF" w14:textId="77777777" w:rsidR="00222DE0" w:rsidRPr="00EE3355" w:rsidRDefault="0098273B" w:rsidP="00EA1CDF">
      <w:pPr>
        <w:pStyle w:val="a3"/>
        <w:keepNext/>
        <w:widowControl/>
        <w:ind w:left="0"/>
      </w:pPr>
      <w:r w:rsidRPr="00EE3355">
        <w:rPr>
          <w:u w:val="single"/>
        </w:rPr>
        <w:lastRenderedPageBreak/>
        <w:t>Vynechaná dávka</w:t>
      </w:r>
    </w:p>
    <w:p w14:paraId="63F76084" w14:textId="77777777" w:rsidR="00222DE0" w:rsidRPr="00EE3355" w:rsidRDefault="00222DE0" w:rsidP="00EA1CDF">
      <w:pPr>
        <w:pStyle w:val="a3"/>
        <w:keepNext/>
        <w:widowControl/>
        <w:ind w:left="0"/>
      </w:pPr>
    </w:p>
    <w:p w14:paraId="243E8B63" w14:textId="5FD12DDD" w:rsidR="00222DE0" w:rsidRPr="00EE3355" w:rsidRDefault="0098273B" w:rsidP="00EA1CDF">
      <w:pPr>
        <w:pStyle w:val="a3"/>
        <w:widowControl/>
        <w:ind w:left="0"/>
      </w:pPr>
      <w:r w:rsidRPr="00EE3355">
        <w:t xml:space="preserve">Vynechá-li pacient se sJIA subkutánní injekci přípravku </w:t>
      </w:r>
      <w:r w:rsidR="008C3359">
        <w:t>Avtozma</w:t>
      </w:r>
      <w:r w:rsidRPr="00EE3355">
        <w:t xml:space="preserve"> podávanou jednou týdně a uplyne</w:t>
      </w:r>
      <w:r w:rsidR="003A7F14" w:rsidRPr="00EE3355">
        <w:t xml:space="preserve"> </w:t>
      </w:r>
      <w:r w:rsidRPr="00EE3355">
        <w:t xml:space="preserve">již 7 dnů od plánovaného termínu dávky, má být poučen, že si má vynechanou dávku aplikovat v dalším plánovaném termínu. Vynechá-li pacient subkutánní injekci přípravku </w:t>
      </w:r>
      <w:r w:rsidR="008C3359">
        <w:t>Avtozma</w:t>
      </w:r>
      <w:r w:rsidRPr="00EE3355">
        <w:t xml:space="preserve"> podávanou ve dvoutýdenních intervalech a uplyne 7 dnů od plánovaného termínu dávky, má být</w:t>
      </w:r>
      <w:r w:rsidR="003A7F14" w:rsidRPr="00EE3355">
        <w:t xml:space="preserve"> </w:t>
      </w:r>
      <w:r w:rsidRPr="00EE3355">
        <w:t>poučen, že si má vynechanou dávku aplikovat okamžitě a další dávku v dalším plánovaném termínu.</w:t>
      </w:r>
    </w:p>
    <w:p w14:paraId="0E7609DE" w14:textId="77777777" w:rsidR="00222DE0" w:rsidRPr="00EE3355" w:rsidRDefault="00222DE0" w:rsidP="00EA1CDF">
      <w:pPr>
        <w:pStyle w:val="a3"/>
        <w:widowControl/>
        <w:ind w:left="0"/>
      </w:pPr>
    </w:p>
    <w:p w14:paraId="61654644" w14:textId="0D6B4360" w:rsidR="00222DE0" w:rsidRPr="00EE3355" w:rsidRDefault="0098273B" w:rsidP="00EA1CDF">
      <w:pPr>
        <w:pStyle w:val="a3"/>
        <w:widowControl/>
        <w:ind w:left="0"/>
      </w:pPr>
      <w:r w:rsidRPr="00EE3355">
        <w:t xml:space="preserve">Pokud pacient s pJIA vynechá podkožní injekci přípravku </w:t>
      </w:r>
      <w:r w:rsidR="008C3359">
        <w:t>Avtozma</w:t>
      </w:r>
      <w:r w:rsidRPr="00EE3355">
        <w:t xml:space="preserve"> a neuplyne více než 7 dnů od plánovaného termínu podání dávky, musí si vynechanou dávku aplikovat okamžitě, jakmile si vzpomene a příští dávku si aplikovat v pravidelném plánovaném čase. Pokud pacient vynechá podkožní injekci přípravku </w:t>
      </w:r>
      <w:r w:rsidR="008C3359">
        <w:t>Avtozma</w:t>
      </w:r>
      <w:r w:rsidRPr="00EE3355">
        <w:t xml:space="preserve"> a uplyne více než 7 dnů od plánovaného termínu podání dávky nebo si není jistý, kdy si injekci aplikovat, má zavolat lékaři nebo lékárníkovi.</w:t>
      </w:r>
    </w:p>
    <w:p w14:paraId="05457686" w14:textId="77777777" w:rsidR="00222DE0" w:rsidRPr="00EE3355" w:rsidRDefault="00222DE0" w:rsidP="00EA1CDF">
      <w:pPr>
        <w:pStyle w:val="a3"/>
        <w:widowControl/>
        <w:ind w:left="0"/>
      </w:pPr>
    </w:p>
    <w:p w14:paraId="54E0A1A9" w14:textId="77777777" w:rsidR="00222DE0" w:rsidRPr="00EE3355" w:rsidRDefault="0098273B" w:rsidP="00EA1CDF">
      <w:pPr>
        <w:pStyle w:val="a3"/>
        <w:keepNext/>
        <w:widowControl/>
        <w:ind w:left="0"/>
        <w:rPr>
          <w:u w:val="single"/>
        </w:rPr>
      </w:pPr>
      <w:r w:rsidRPr="00EE3355">
        <w:rPr>
          <w:u w:val="single"/>
        </w:rPr>
        <w:t>Způsob podání</w:t>
      </w:r>
    </w:p>
    <w:p w14:paraId="48A6A5F6" w14:textId="67046029" w:rsidR="00222DE0" w:rsidRPr="00EE3355" w:rsidRDefault="0098273B" w:rsidP="00EA1CDF">
      <w:pPr>
        <w:pStyle w:val="a3"/>
        <w:widowControl/>
        <w:ind w:left="0"/>
      </w:pPr>
      <w:r w:rsidRPr="00EE3355">
        <w:t xml:space="preserve">Přípravek </w:t>
      </w:r>
      <w:r w:rsidR="008C3359">
        <w:t>Avtozma</w:t>
      </w:r>
      <w:r w:rsidRPr="00EE3355">
        <w:t xml:space="preserve"> je určen k subkutánnímu podání.</w:t>
      </w:r>
    </w:p>
    <w:p w14:paraId="3C39B8D7" w14:textId="77777777" w:rsidR="00222DE0" w:rsidRPr="00EE3355" w:rsidRDefault="00222DE0" w:rsidP="00EA1CDF">
      <w:pPr>
        <w:pStyle w:val="a3"/>
        <w:widowControl/>
        <w:ind w:left="0"/>
      </w:pPr>
    </w:p>
    <w:p w14:paraId="0D74EE38" w14:textId="2DE9FE21" w:rsidR="00222DE0" w:rsidRDefault="0098273B" w:rsidP="00EA1CDF">
      <w:pPr>
        <w:pStyle w:val="a3"/>
        <w:widowControl/>
        <w:ind w:left="0"/>
      </w:pPr>
      <w:r w:rsidRPr="00EE3355">
        <w:t xml:space="preserve">Po důkladném zaškolení v aplikaci injekce si pacienti mohou přípravek </w:t>
      </w:r>
      <w:r w:rsidR="008C3359">
        <w:t>Avtozma</w:t>
      </w:r>
      <w:r w:rsidRPr="00EE3355">
        <w:t xml:space="preserve"> aplikovat sami, uzná-li to lékař za vhodné. Celý obsah (0,9 ml) předplněného pera má být podán formou subkutánní injekce. Doporučená místa aplikace (břicho, stehno a paže) se mají střídat a injekce nemají být nikdy aplikovány do mateřských znamínek, jizev, modřin nebo míst s citlivou, zhmožděnou, zarudlou, ztvrdlou nebo porušenou kůží.</w:t>
      </w:r>
    </w:p>
    <w:p w14:paraId="59E39337" w14:textId="77777777" w:rsidR="00C959DC" w:rsidRPr="00EE3355" w:rsidRDefault="00C959DC" w:rsidP="00EA1CDF">
      <w:pPr>
        <w:pStyle w:val="a3"/>
        <w:widowControl/>
        <w:ind w:left="0"/>
      </w:pPr>
    </w:p>
    <w:p w14:paraId="0A9379A7" w14:textId="77777777" w:rsidR="00222DE0" w:rsidRPr="00EE3355" w:rsidRDefault="0098273B" w:rsidP="00EA1CDF">
      <w:pPr>
        <w:pStyle w:val="a3"/>
        <w:widowControl/>
        <w:ind w:left="0"/>
      </w:pPr>
      <w:r w:rsidRPr="00EE3355">
        <w:t>S předplněným perem se nemá třepat.</w:t>
      </w:r>
    </w:p>
    <w:p w14:paraId="56AEB8E2" w14:textId="77777777" w:rsidR="00222DE0" w:rsidRPr="00EE3355" w:rsidRDefault="00222DE0" w:rsidP="00EA1CDF">
      <w:pPr>
        <w:pStyle w:val="a3"/>
        <w:widowControl/>
        <w:ind w:left="0"/>
      </w:pPr>
    </w:p>
    <w:p w14:paraId="07F79F4E" w14:textId="04C70DC9" w:rsidR="00222DE0" w:rsidRPr="00EE3355" w:rsidRDefault="0098273B" w:rsidP="00EA1CDF">
      <w:pPr>
        <w:pStyle w:val="a3"/>
        <w:widowControl/>
        <w:ind w:left="0"/>
      </w:pPr>
      <w:r w:rsidRPr="00EE3355">
        <w:t xml:space="preserve">Podrobné pokyny k aplikaci léčivého přípravku </w:t>
      </w:r>
      <w:r w:rsidR="008C3359">
        <w:t>Avtozma</w:t>
      </w:r>
      <w:r w:rsidRPr="00EE3355">
        <w:t xml:space="preserve"> v předplněném peru jsou uvedeny v příbalové informaci, viz bod 6.6.</w:t>
      </w:r>
    </w:p>
    <w:p w14:paraId="41A727B6" w14:textId="77777777" w:rsidR="00222DE0" w:rsidRPr="00EE3355" w:rsidRDefault="00222DE0" w:rsidP="00EA1CDF">
      <w:pPr>
        <w:widowControl/>
      </w:pPr>
    </w:p>
    <w:p w14:paraId="44AB49AF" w14:textId="77777777" w:rsidR="00222DE0" w:rsidRPr="00EE3355" w:rsidRDefault="00B23DAE" w:rsidP="00EA1CDF">
      <w:pPr>
        <w:pStyle w:val="2"/>
        <w:widowControl/>
        <w:tabs>
          <w:tab w:val="left" w:pos="804"/>
        </w:tabs>
        <w:ind w:left="567" w:hanging="567"/>
      </w:pPr>
      <w:r w:rsidRPr="00EE3355">
        <w:t>4.3</w:t>
      </w:r>
      <w:r w:rsidRPr="00EE3355">
        <w:tab/>
      </w:r>
      <w:r w:rsidR="0098273B" w:rsidRPr="00EE3355">
        <w:t>Kontraindikace</w:t>
      </w:r>
    </w:p>
    <w:p w14:paraId="7A368CDF" w14:textId="77777777" w:rsidR="003A7F14" w:rsidRPr="00EE3355" w:rsidRDefault="003A7F14" w:rsidP="00404E47"/>
    <w:p w14:paraId="19C74019" w14:textId="77777777" w:rsidR="00C959DC" w:rsidRDefault="0098273B" w:rsidP="00EA1CDF">
      <w:pPr>
        <w:pStyle w:val="a3"/>
        <w:widowControl/>
        <w:ind w:left="0"/>
      </w:pPr>
      <w:r w:rsidRPr="00EE3355">
        <w:t xml:space="preserve">Hypersenzitivita na léčivou látku nebo kteroukoliv pomocnou látku uvedenou v bodě 6.1. </w:t>
      </w:r>
    </w:p>
    <w:p w14:paraId="0BF2C6F1" w14:textId="77777777" w:rsidR="00C959DC" w:rsidRDefault="00C959DC" w:rsidP="00EA1CDF">
      <w:pPr>
        <w:pStyle w:val="a3"/>
        <w:widowControl/>
        <w:ind w:left="0"/>
      </w:pPr>
    </w:p>
    <w:p w14:paraId="7BC6C671" w14:textId="77777777" w:rsidR="00222DE0" w:rsidRPr="00EE3355" w:rsidRDefault="0098273B" w:rsidP="00EA1CDF">
      <w:pPr>
        <w:pStyle w:val="a3"/>
        <w:widowControl/>
        <w:ind w:left="0"/>
      </w:pPr>
      <w:r w:rsidRPr="00EE3355">
        <w:t>Aktivní, závažné infekce (viz bod 4.4).</w:t>
      </w:r>
    </w:p>
    <w:p w14:paraId="13B7D46A" w14:textId="77777777" w:rsidR="003A7F14" w:rsidRPr="00EE3355" w:rsidRDefault="003A7F14" w:rsidP="00EA1CDF">
      <w:pPr>
        <w:pStyle w:val="a3"/>
        <w:widowControl/>
        <w:ind w:left="0"/>
      </w:pPr>
    </w:p>
    <w:p w14:paraId="0E5CA7A0" w14:textId="77777777" w:rsidR="00222DE0" w:rsidRPr="00EE3355" w:rsidRDefault="00B23DAE" w:rsidP="00EA1CDF">
      <w:pPr>
        <w:pStyle w:val="2"/>
        <w:widowControl/>
        <w:tabs>
          <w:tab w:val="left" w:pos="804"/>
        </w:tabs>
        <w:ind w:left="567" w:hanging="567"/>
      </w:pPr>
      <w:r w:rsidRPr="00EE3355">
        <w:t>4.4</w:t>
      </w:r>
      <w:r w:rsidRPr="00EE3355">
        <w:tab/>
      </w:r>
      <w:r w:rsidR="0098273B" w:rsidRPr="00EE3355">
        <w:t>Zvláštní upozornění a opatření pro použití</w:t>
      </w:r>
    </w:p>
    <w:p w14:paraId="139752AF" w14:textId="77777777" w:rsidR="003A7F14" w:rsidRPr="00EE3355" w:rsidRDefault="003A7F14" w:rsidP="00404E47"/>
    <w:p w14:paraId="2F4BC7D6" w14:textId="63688AAB" w:rsidR="00222DE0" w:rsidRPr="00EE3355" w:rsidRDefault="0098273B" w:rsidP="00EA1CDF">
      <w:pPr>
        <w:pStyle w:val="a3"/>
        <w:widowControl/>
        <w:ind w:left="0"/>
      </w:pPr>
      <w:r w:rsidRPr="00EE3355">
        <w:t xml:space="preserve">Subkutánní forma přípravku </w:t>
      </w:r>
      <w:r w:rsidR="008C3359">
        <w:t>Avtozma</w:t>
      </w:r>
      <w:r w:rsidRPr="00EE3355">
        <w:t xml:space="preserve"> není určena k intravenóznímu podání.</w:t>
      </w:r>
    </w:p>
    <w:p w14:paraId="093E226E" w14:textId="77777777" w:rsidR="00222DE0" w:rsidRPr="00EE3355" w:rsidRDefault="00222DE0" w:rsidP="00EA1CDF">
      <w:pPr>
        <w:pStyle w:val="a3"/>
        <w:widowControl/>
        <w:ind w:left="0"/>
      </w:pPr>
    </w:p>
    <w:p w14:paraId="2FBB8697" w14:textId="77777777" w:rsidR="00222DE0" w:rsidRPr="00EE3355" w:rsidRDefault="0098273B" w:rsidP="00EA1CDF">
      <w:pPr>
        <w:widowControl/>
        <w:rPr>
          <w:i/>
        </w:rPr>
      </w:pPr>
      <w:r w:rsidRPr="00EE3355">
        <w:rPr>
          <w:i/>
        </w:rPr>
        <w:t>Zpětná zjistitelnost</w:t>
      </w:r>
    </w:p>
    <w:p w14:paraId="48272446" w14:textId="77777777" w:rsidR="00222DE0" w:rsidRPr="00EE3355" w:rsidRDefault="0098273B" w:rsidP="00EA1CDF">
      <w:pPr>
        <w:pStyle w:val="a3"/>
        <w:widowControl/>
        <w:ind w:left="0"/>
      </w:pPr>
      <w:r w:rsidRPr="00EE3355">
        <w:t>Za účelem lepší zpětné zjistitelnosti biologických léčivých přípravků mají být název a číslo šarže podávaného přípravku zřetelně zaznamenány.</w:t>
      </w:r>
    </w:p>
    <w:p w14:paraId="20A76DF8" w14:textId="77777777" w:rsidR="00222DE0" w:rsidRPr="00EE3355" w:rsidRDefault="00222DE0" w:rsidP="00EA1CDF">
      <w:pPr>
        <w:pStyle w:val="a3"/>
        <w:widowControl/>
        <w:ind w:left="0"/>
      </w:pPr>
    </w:p>
    <w:p w14:paraId="52328315" w14:textId="77777777" w:rsidR="00222DE0" w:rsidRPr="00EE3355" w:rsidRDefault="0098273B" w:rsidP="00EA1CDF">
      <w:pPr>
        <w:widowControl/>
        <w:rPr>
          <w:i/>
        </w:rPr>
      </w:pPr>
      <w:r w:rsidRPr="00EE3355">
        <w:rPr>
          <w:i/>
        </w:rPr>
        <w:t>Infekce</w:t>
      </w:r>
    </w:p>
    <w:p w14:paraId="76DB9B1C" w14:textId="27450953" w:rsidR="00222DE0" w:rsidRPr="00EE3355" w:rsidRDefault="0098273B" w:rsidP="00EA1CDF">
      <w:pPr>
        <w:pStyle w:val="a3"/>
        <w:widowControl/>
        <w:ind w:left="0"/>
      </w:pPr>
      <w:r w:rsidRPr="00EE3355">
        <w:t xml:space="preserve">U pacientů léčených imunosupresivy včetně </w:t>
      </w:r>
      <w:r w:rsidR="008C3359" w:rsidRPr="00C61A9B">
        <w:t>tocilizumab</w:t>
      </w:r>
      <w:r w:rsidR="008C3359">
        <w:t xml:space="preserve">u </w:t>
      </w:r>
      <w:r w:rsidRPr="00EE3355">
        <w:t xml:space="preserve">byly hlášeny závažné, někdy fatální infekce (viz bod 4.8 Nežádoucí účinky). Léčba přípravkem </w:t>
      </w:r>
      <w:r w:rsidR="008C3359">
        <w:t>Avtozma</w:t>
      </w:r>
      <w:r w:rsidRPr="00EE3355">
        <w:t xml:space="preserve"> nesmí být zahájena u pacientů s aktivní infekcí (viz bod 4.3). Pokud se u pacienta rozvine závažná infekce, podávání </w:t>
      </w:r>
      <w:r w:rsidR="008C3359" w:rsidRPr="00C61A9B">
        <w:t>tocilizumab</w:t>
      </w:r>
      <w:r w:rsidR="008C3359">
        <w:t xml:space="preserve">u </w:t>
      </w:r>
      <w:r w:rsidRPr="00EE3355">
        <w:t xml:space="preserve">má být přerušeno až do doby, než je infekce pod kontrolou (viz bod 4.8). Lékaři mají být opatrní, pokud zvažují užití přípravku </w:t>
      </w:r>
      <w:r w:rsidR="008C3359">
        <w:t>Avtozma</w:t>
      </w:r>
      <w:r w:rsidRPr="00EE3355">
        <w:t xml:space="preserve"> u pacientů s anamnézou rekurentních nebo chronických infekcí nebo se základními onemocněními (např. divertikulitidou, diabetem a intersticiálním plicním onemocněním), která mohou pacienty predisponovat k infekcím.</w:t>
      </w:r>
    </w:p>
    <w:p w14:paraId="61DA833F" w14:textId="77777777" w:rsidR="003A7F14" w:rsidRPr="00EE3355" w:rsidRDefault="003A7F14" w:rsidP="00EA1CDF">
      <w:pPr>
        <w:pStyle w:val="a3"/>
        <w:widowControl/>
        <w:ind w:left="0"/>
      </w:pPr>
    </w:p>
    <w:p w14:paraId="16E9EE51" w14:textId="1E837D9C" w:rsidR="00222DE0" w:rsidRPr="00EE3355" w:rsidRDefault="0098273B" w:rsidP="00EA1CDF">
      <w:pPr>
        <w:pStyle w:val="a3"/>
        <w:widowControl/>
        <w:ind w:left="0"/>
      </w:pPr>
      <w:r w:rsidRPr="00EE3355">
        <w:t xml:space="preserve">U pacientů užívajících imunosupresiva, jako je </w:t>
      </w:r>
      <w:r w:rsidR="008C3359">
        <w:t>Avtozma</w:t>
      </w:r>
      <w:r w:rsidRPr="00EE3355">
        <w:t xml:space="preserve"> je doporučena kvůli časné detekci závažných infekcí zvýšená pozornost, protože známky a příznaky akutního zánětu mohou být zastřeny a může být potlačena akutní fáze reakce. Při vyšetřování pacienta z důvodu možné infekce je třeba vzít v úvahu vliv tocilizumabu na C-reaktivní protein (CRP), neutrofily a na známky a příznaky infekce.</w:t>
      </w:r>
      <w:r w:rsidR="003A7F14" w:rsidRPr="00EE3355">
        <w:t xml:space="preserve"> </w:t>
      </w:r>
      <w:r w:rsidRPr="00EE3355">
        <w:t xml:space="preserve">Pacienti a rodiče/opatrovníci pacientů se sJIA nebo pJIA mají být poučeni, aby se neprodleně obrátili na lékaře, </w:t>
      </w:r>
      <w:r w:rsidRPr="00EE3355">
        <w:lastRenderedPageBreak/>
        <w:t>jakmile se objeví jakékoliv známky infekce, aby mohlo být zajištěno rychlé zhodnocení stavu a vhodná terapie.</w:t>
      </w:r>
    </w:p>
    <w:p w14:paraId="27685884" w14:textId="77777777" w:rsidR="00222DE0" w:rsidRPr="00EE3355" w:rsidRDefault="00222DE0" w:rsidP="00EA1CDF">
      <w:pPr>
        <w:pStyle w:val="a3"/>
        <w:widowControl/>
        <w:ind w:left="0"/>
      </w:pPr>
    </w:p>
    <w:p w14:paraId="6918978B" w14:textId="77777777" w:rsidR="00222DE0" w:rsidRPr="00EE3355" w:rsidRDefault="0098273B" w:rsidP="00EA1CDF">
      <w:pPr>
        <w:keepNext/>
        <w:widowControl/>
        <w:rPr>
          <w:i/>
        </w:rPr>
      </w:pPr>
      <w:r w:rsidRPr="00EE3355">
        <w:rPr>
          <w:i/>
        </w:rPr>
        <w:t>Tuberkulóza</w:t>
      </w:r>
    </w:p>
    <w:p w14:paraId="6F7A964C" w14:textId="216361AC" w:rsidR="00222DE0" w:rsidRPr="00EE3355" w:rsidRDefault="0098273B" w:rsidP="00EA1CDF">
      <w:pPr>
        <w:pStyle w:val="a3"/>
        <w:widowControl/>
        <w:ind w:left="0"/>
      </w:pPr>
      <w:r w:rsidRPr="00EE3355">
        <w:t xml:space="preserve">Stejně jako je doporučeno u jiné biologické léčby, všichni pacienti mají být před zahájením léčby přípravkem </w:t>
      </w:r>
      <w:r w:rsidR="008C3359">
        <w:t>Avtozma</w:t>
      </w:r>
      <w:r w:rsidRPr="00EE3355">
        <w:t xml:space="preserve"> vyšetřeni na přítomnost latentní tuberkulózy (TBC). Pacienti s latentní TBC mají být před zahájením léčby přípravkem </w:t>
      </w:r>
      <w:r w:rsidR="008C3359">
        <w:t>Avtozma</w:t>
      </w:r>
      <w:r w:rsidRPr="00EE3355">
        <w:t xml:space="preserve"> léčeni standardní antimykobakteriální terapií Lékaře je třeba upozornit na riziko falešně negativních výsledků kožních testů na tuberkulózu a interferon gama TBC krevních testů, a to zvláště u pacientů, kteří jsou vážně nemocní nebo mají oslabenou imunitu.</w:t>
      </w:r>
    </w:p>
    <w:p w14:paraId="4CE4C38A" w14:textId="77777777" w:rsidR="003A7F14" w:rsidRPr="00EE3355" w:rsidRDefault="003A7F14" w:rsidP="00EA1CDF">
      <w:pPr>
        <w:pStyle w:val="a3"/>
        <w:widowControl/>
        <w:ind w:left="0"/>
      </w:pPr>
    </w:p>
    <w:p w14:paraId="7F2E6E8E" w14:textId="7CA6C784" w:rsidR="00222DE0" w:rsidRPr="00EE3355" w:rsidRDefault="0098273B" w:rsidP="00EA1CDF">
      <w:pPr>
        <w:pStyle w:val="a3"/>
        <w:widowControl/>
        <w:ind w:left="0"/>
      </w:pPr>
      <w:r w:rsidRPr="00EE3355">
        <w:t xml:space="preserve">Pacienti a rodiče/opatrovníci pacientů se sJIA nebo pJIA mají být poučeni o nutnosti vyhledat lékařskou pomoc, pokud se u nich v průběhu nebo po ukončení léčby přípravkem </w:t>
      </w:r>
      <w:r w:rsidR="008C3359">
        <w:t>Avtozma</w:t>
      </w:r>
      <w:r w:rsidRPr="00EE3355">
        <w:t xml:space="preserve"> vyskytnou známky/příznaky naznačující infekci tuberkulózy (např. přetrvávající kašel, chřadnutí/úbytek hmotnosti, mírná horečka).</w:t>
      </w:r>
    </w:p>
    <w:p w14:paraId="33542D3B" w14:textId="77777777" w:rsidR="003A7F14" w:rsidRPr="00EE3355" w:rsidRDefault="003A7F14" w:rsidP="00EA1CDF">
      <w:pPr>
        <w:pStyle w:val="a3"/>
        <w:widowControl/>
        <w:ind w:left="0"/>
      </w:pPr>
    </w:p>
    <w:p w14:paraId="3F57FCC9" w14:textId="77777777" w:rsidR="00222DE0" w:rsidRPr="00EE3355" w:rsidRDefault="0098273B" w:rsidP="00EA1CDF">
      <w:pPr>
        <w:keepNext/>
        <w:widowControl/>
        <w:rPr>
          <w:i/>
        </w:rPr>
      </w:pPr>
      <w:r w:rsidRPr="00EE3355">
        <w:rPr>
          <w:i/>
        </w:rPr>
        <w:t>Reaktivace viru</w:t>
      </w:r>
    </w:p>
    <w:p w14:paraId="2D898862" w14:textId="4C213BEF" w:rsidR="00222DE0" w:rsidRPr="00EE3355" w:rsidRDefault="0098273B" w:rsidP="00EA1CDF">
      <w:pPr>
        <w:pStyle w:val="a3"/>
        <w:widowControl/>
        <w:ind w:left="0"/>
      </w:pPr>
      <w:r w:rsidRPr="00EE3355">
        <w:t>U biologické léčby RA byla zaznamenána reaktivace viru (např. viru hepatitidy B). Z klinických studií s</w:t>
      </w:r>
      <w:r w:rsidR="008C3359">
        <w:t> </w:t>
      </w:r>
      <w:r w:rsidR="008C3359" w:rsidRPr="00C61A9B">
        <w:t>tocilizumab</w:t>
      </w:r>
      <w:r w:rsidR="008C3359">
        <w:t xml:space="preserve">em </w:t>
      </w:r>
      <w:r w:rsidRPr="00EE3355">
        <w:t>byli pacienti, kteří měli pozitivní test na hepatitidu, vyloučeni.</w:t>
      </w:r>
    </w:p>
    <w:p w14:paraId="1041D785" w14:textId="77777777" w:rsidR="003A7F14" w:rsidRPr="00EE3355" w:rsidRDefault="003A7F14" w:rsidP="00EA1CDF">
      <w:pPr>
        <w:pStyle w:val="a3"/>
        <w:widowControl/>
        <w:ind w:left="0"/>
      </w:pPr>
    </w:p>
    <w:p w14:paraId="48F5BA78" w14:textId="77777777" w:rsidR="00222DE0" w:rsidRPr="00EE3355" w:rsidRDefault="0098273B" w:rsidP="00EA1CDF">
      <w:pPr>
        <w:widowControl/>
        <w:rPr>
          <w:i/>
        </w:rPr>
      </w:pPr>
      <w:r w:rsidRPr="00EE3355">
        <w:rPr>
          <w:i/>
        </w:rPr>
        <w:t>Komplikace divertikulitidy</w:t>
      </w:r>
    </w:p>
    <w:p w14:paraId="15FF6D6E" w14:textId="08ECFDFA" w:rsidR="00222DE0" w:rsidRPr="00EE3355" w:rsidRDefault="0098273B" w:rsidP="00EA1CDF">
      <w:pPr>
        <w:pStyle w:val="a3"/>
        <w:widowControl/>
        <w:ind w:left="0"/>
      </w:pPr>
      <w:r w:rsidRPr="00EE3355">
        <w:t xml:space="preserve">Případy divertikulární perforace jako komplikace divertikulitidy byly při léčbě přípravkem </w:t>
      </w:r>
      <w:r w:rsidR="008C3359">
        <w:t>Avtozma</w:t>
      </w:r>
      <w:r w:rsidR="003A7F14" w:rsidRPr="00EE3355">
        <w:t xml:space="preserve"> </w:t>
      </w:r>
      <w:r w:rsidRPr="00EE3355">
        <w:t xml:space="preserve">u pacientů s RA zaznamenány méně často (viz bod 4.8). Přípravek </w:t>
      </w:r>
      <w:r w:rsidR="008C3359">
        <w:t>Avtozma</w:t>
      </w:r>
      <w:r w:rsidRPr="00EE3355">
        <w:t xml:space="preserve"> má být používán</w:t>
      </w:r>
      <w:r w:rsidR="003A7F14" w:rsidRPr="00EE3355">
        <w:t xml:space="preserve"> </w:t>
      </w:r>
      <w:r w:rsidRPr="00EE3355">
        <w:t>s opatrností u pacientů s anamnézou intestinální ulcerace nebo divertikulitidy. Pacienti s příznaky, které by mohly naznačovat komplikace divertikulitidy, jako je bolest břicha, krvácení a/nebo nevysvětlitelné změny vyměšovacích stereotypů s horečkou, mají být okamžitě vyšetřeni pro možnost časné identifikace divertikulitidy, která může být spojena s perforací střeva.</w:t>
      </w:r>
    </w:p>
    <w:p w14:paraId="0315D4A7" w14:textId="77777777" w:rsidR="00222DE0" w:rsidRPr="00EE3355" w:rsidRDefault="00222DE0" w:rsidP="00EA1CDF">
      <w:pPr>
        <w:widowControl/>
      </w:pPr>
    </w:p>
    <w:p w14:paraId="778BCD47" w14:textId="77777777" w:rsidR="00222DE0" w:rsidRPr="00EE3355" w:rsidRDefault="0098273B" w:rsidP="00EA1CDF">
      <w:pPr>
        <w:widowControl/>
        <w:rPr>
          <w:i/>
        </w:rPr>
      </w:pPr>
      <w:r w:rsidRPr="00EE3355">
        <w:rPr>
          <w:i/>
        </w:rPr>
        <w:t>Hypersenzitivní reakce</w:t>
      </w:r>
    </w:p>
    <w:p w14:paraId="494F08FE" w14:textId="2308ECDC" w:rsidR="00222DE0" w:rsidRPr="00EE3355" w:rsidRDefault="0098273B" w:rsidP="00EA1CDF">
      <w:pPr>
        <w:pStyle w:val="a3"/>
        <w:widowControl/>
        <w:ind w:left="0"/>
      </w:pPr>
      <w:r w:rsidRPr="00EE3355">
        <w:t>V souvislosti s</w:t>
      </w:r>
      <w:r w:rsidR="008C3359">
        <w:t> </w:t>
      </w:r>
      <w:r w:rsidR="008C3359" w:rsidRPr="00C61A9B">
        <w:t>tocilizumab</w:t>
      </w:r>
      <w:r w:rsidR="008C3359">
        <w:t xml:space="preserve">em </w:t>
      </w:r>
      <w:r w:rsidRPr="00EE3355">
        <w:t xml:space="preserve">byly hlášeny závažné alergické reakce včetně anafylaxe (viz bod 4.8). Tyto reakce mohou být závažnější a potenciálně fatální u pacientů, u nichž se objevily reakce přecitlivělosti v průběhu předchozí léčby přípravkem </w:t>
      </w:r>
      <w:r w:rsidR="008C3359">
        <w:t>Avtozma</w:t>
      </w:r>
      <w:r w:rsidRPr="00EE3355">
        <w:t xml:space="preserve">, přestože byli premedikováni steroidy a antihistaminiky. Pokud se objeví anafylaktická reakce nebo jiná závažná reakce přecitlivělosti, musí se podávání přípravku </w:t>
      </w:r>
      <w:r w:rsidR="008C3359">
        <w:t>Avtozma</w:t>
      </w:r>
      <w:r w:rsidRPr="00EE3355">
        <w:t xml:space="preserve"> okamžitě přerušit, zahájit adekvátní léčba a trvale ukončit léčba přípravkem </w:t>
      </w:r>
      <w:r w:rsidR="008C3359">
        <w:t>Avtozma</w:t>
      </w:r>
      <w:r w:rsidRPr="00EE3355">
        <w:t>.</w:t>
      </w:r>
    </w:p>
    <w:p w14:paraId="7818CDEA" w14:textId="77777777" w:rsidR="00222DE0" w:rsidRPr="00EE3355" w:rsidRDefault="00222DE0" w:rsidP="00EA1CDF">
      <w:pPr>
        <w:pStyle w:val="a3"/>
        <w:widowControl/>
        <w:ind w:left="0"/>
      </w:pPr>
    </w:p>
    <w:p w14:paraId="6AA07B72" w14:textId="77777777" w:rsidR="00222DE0" w:rsidRPr="00EE3355" w:rsidRDefault="0098273B" w:rsidP="00EA1CDF">
      <w:pPr>
        <w:widowControl/>
        <w:jc w:val="both"/>
        <w:rPr>
          <w:i/>
        </w:rPr>
      </w:pPr>
      <w:r w:rsidRPr="00EE3355">
        <w:rPr>
          <w:i/>
        </w:rPr>
        <w:t>Aktivní jaterní onemocnění a porucha funkce jater</w:t>
      </w:r>
    </w:p>
    <w:p w14:paraId="29ACC4EB" w14:textId="287373C3" w:rsidR="00222DE0" w:rsidRPr="00EE3355" w:rsidRDefault="0098273B" w:rsidP="00EA1CDF">
      <w:pPr>
        <w:pStyle w:val="a3"/>
        <w:widowControl/>
        <w:ind w:left="0"/>
        <w:jc w:val="both"/>
      </w:pPr>
      <w:r w:rsidRPr="00EE3355">
        <w:t xml:space="preserve">Léčba přípravkem </w:t>
      </w:r>
      <w:r w:rsidR="008C3359">
        <w:t>Avtozma</w:t>
      </w:r>
      <w:r w:rsidRPr="00EE3355">
        <w:t>, zvláště pokud je podáván současně s MTX, může být spojena se zvýšením jaterních aminotransferáz, proto pacientům s aktivním jaterním onemocněním nebo s poruchou funkce jater má být věnována zvýšená pozornost (viz body 4.2 a 4.8).</w:t>
      </w:r>
    </w:p>
    <w:p w14:paraId="640B328D" w14:textId="77777777" w:rsidR="00222DE0" w:rsidRPr="00EE3355" w:rsidRDefault="00222DE0" w:rsidP="00EA1CDF">
      <w:pPr>
        <w:pStyle w:val="a3"/>
        <w:widowControl/>
        <w:ind w:left="0"/>
      </w:pPr>
    </w:p>
    <w:p w14:paraId="1C9F3A7E" w14:textId="77777777" w:rsidR="00222DE0" w:rsidRPr="00EE3355" w:rsidRDefault="0098273B" w:rsidP="00EA1CDF">
      <w:pPr>
        <w:widowControl/>
        <w:rPr>
          <w:i/>
        </w:rPr>
      </w:pPr>
      <w:r w:rsidRPr="00EE3355">
        <w:rPr>
          <w:i/>
        </w:rPr>
        <w:t>Hepatotoxicita</w:t>
      </w:r>
    </w:p>
    <w:p w14:paraId="2393C380" w14:textId="6A77A232" w:rsidR="00222DE0" w:rsidRPr="00EE3355" w:rsidRDefault="0098273B" w:rsidP="00EA1CDF">
      <w:pPr>
        <w:pStyle w:val="a3"/>
        <w:widowControl/>
        <w:ind w:left="0"/>
      </w:pPr>
      <w:r w:rsidRPr="00EE3355">
        <w:t xml:space="preserve">Při léčbě </w:t>
      </w:r>
      <w:r w:rsidR="008C3359" w:rsidRPr="00C61A9B">
        <w:t>tocilizumab</w:t>
      </w:r>
      <w:r w:rsidR="008C3359">
        <w:t xml:space="preserve">em </w:t>
      </w:r>
      <w:r w:rsidRPr="00EE3355">
        <w:t>bylo často hlášeno přechodné nebo intermitentní mírné až středně závažné zvýšení jaterních aminotransferáz (viz bod 4.8). Pokud byl v kombinaci s</w:t>
      </w:r>
      <w:r w:rsidR="008C3359">
        <w:t> </w:t>
      </w:r>
      <w:r w:rsidR="008C3359" w:rsidRPr="00C61A9B">
        <w:t>tocilizumab</w:t>
      </w:r>
      <w:r w:rsidR="008C3359">
        <w:t xml:space="preserve">em </w:t>
      </w:r>
      <w:r w:rsidRPr="00EE3355">
        <w:t>podáván potenciálně hepatotoxický lék (např. MTX), bylo pozorováno zvýšení frekvence těchto elevací. V případě, že je to klinicky odůvodněno, je třeba zvážit provedení dalších jaterních testů včetně testů na bilirubin.</w:t>
      </w:r>
    </w:p>
    <w:p w14:paraId="76BFC32A" w14:textId="77777777" w:rsidR="00222DE0" w:rsidRPr="00EE3355" w:rsidRDefault="00222DE0" w:rsidP="00EA1CDF">
      <w:pPr>
        <w:pStyle w:val="a3"/>
        <w:widowControl/>
        <w:ind w:left="0"/>
      </w:pPr>
    </w:p>
    <w:p w14:paraId="35AF0EE8" w14:textId="43EBA0C8" w:rsidR="00222DE0" w:rsidRPr="00EE3355" w:rsidRDefault="0098273B" w:rsidP="00EA1CDF">
      <w:pPr>
        <w:pStyle w:val="a3"/>
        <w:widowControl/>
        <w:ind w:left="0"/>
      </w:pPr>
      <w:r w:rsidRPr="00EE3355">
        <w:t xml:space="preserve">Při léčbě </w:t>
      </w:r>
      <w:r w:rsidR="008C3359" w:rsidRPr="00C61A9B">
        <w:t>tocilizumab</w:t>
      </w:r>
      <w:r w:rsidR="008C3359">
        <w:t xml:space="preserve">em </w:t>
      </w:r>
      <w:r w:rsidRPr="00EE3355">
        <w:t xml:space="preserve">bylo pozorováno závažné polékové poškození jater zahrnující akutní jaterní selhání, hepatitidu a ikterus (viz bod 4.8). Závažné poškození jater se vyskytlo od 2 týdnů do více než 5 let od zahájení léčby </w:t>
      </w:r>
      <w:r w:rsidR="008C3359" w:rsidRPr="00C61A9B">
        <w:t>tocilizumab</w:t>
      </w:r>
      <w:r w:rsidR="008C3359">
        <w:t>em</w:t>
      </w:r>
      <w:r w:rsidRPr="00EE3355">
        <w:t>. Byly hlášeny případy jaterního selhání vedoucí k transplantaci jater. Pacienti mají být poučeni o nutnosti vyhledat okamžitě lékařskou pomoc, pokud se u nich vyskytnou známky a příznaky poškození jater.</w:t>
      </w:r>
    </w:p>
    <w:p w14:paraId="17DB9C72" w14:textId="77777777" w:rsidR="00A50FF1" w:rsidRPr="00EE3355" w:rsidRDefault="00A50FF1" w:rsidP="00EA1CDF">
      <w:pPr>
        <w:pStyle w:val="a3"/>
        <w:widowControl/>
        <w:ind w:left="0"/>
      </w:pPr>
    </w:p>
    <w:p w14:paraId="5F0D83CD" w14:textId="4183F365" w:rsidR="00222DE0" w:rsidRPr="00EE3355" w:rsidRDefault="0098273B" w:rsidP="00EA1CDF">
      <w:pPr>
        <w:pStyle w:val="a3"/>
        <w:widowControl/>
        <w:ind w:left="0"/>
        <w:jc w:val="both"/>
      </w:pPr>
      <w:r w:rsidRPr="00EE3355">
        <w:t xml:space="preserve">Zahájení léčby přípravkem </w:t>
      </w:r>
      <w:r w:rsidR="008C3359">
        <w:t>Avtozma</w:t>
      </w:r>
      <w:r w:rsidRPr="00EE3355">
        <w:t xml:space="preserve"> u pacientů s elevací ALT (alaninaminotransferáza) nebo AST (aspartátaminotransferáza) &gt; 1,5 x ULN má být věnována zvýšená pozornost. U pacientů s výchozími hodnotami ALT nebo AST &gt; 5 x ULN není léčba doporučena.</w:t>
      </w:r>
    </w:p>
    <w:p w14:paraId="248626C4" w14:textId="77777777" w:rsidR="00222DE0" w:rsidRPr="00EE3355" w:rsidRDefault="00222DE0" w:rsidP="00EA1CDF">
      <w:pPr>
        <w:pStyle w:val="a3"/>
        <w:widowControl/>
        <w:ind w:left="0"/>
      </w:pPr>
    </w:p>
    <w:p w14:paraId="4989F822" w14:textId="4383AC47" w:rsidR="00222DE0" w:rsidRPr="00EE3355" w:rsidRDefault="0098273B" w:rsidP="00EA1CDF">
      <w:pPr>
        <w:pStyle w:val="a3"/>
        <w:widowControl/>
        <w:ind w:left="0"/>
      </w:pPr>
      <w:r w:rsidRPr="00EE3355">
        <w:lastRenderedPageBreak/>
        <w:t xml:space="preserve">U pacientů s RA, GCA, pJIA a sJIA je třeba ALT/AST monitorovat jednou za 4 až 8 týdnů po dobu prvních 6 měsíců léčby a následně jednou za 12 týdnů. Doporučené úpravy dávkování, včetně ukončení podávání přípravku </w:t>
      </w:r>
      <w:r w:rsidR="008C3359">
        <w:t>Avtozma</w:t>
      </w:r>
      <w:r w:rsidRPr="00EE3355">
        <w:t xml:space="preserve">, na základě hladin aminotransferáz jsou uvedeny v bodě 4.2. Při zvýšení ALT nebo AST &gt; 3 - x ULN musí být léčba přípravkem </w:t>
      </w:r>
      <w:r w:rsidR="008C3359">
        <w:t>Avtozma</w:t>
      </w:r>
      <w:r w:rsidRPr="00EE3355">
        <w:t xml:space="preserve"> přerušena.</w:t>
      </w:r>
    </w:p>
    <w:p w14:paraId="4D00FC67" w14:textId="77777777" w:rsidR="00A50FF1" w:rsidRPr="00EE3355" w:rsidRDefault="00A50FF1" w:rsidP="00EA1CDF">
      <w:pPr>
        <w:pStyle w:val="a3"/>
        <w:widowControl/>
        <w:ind w:left="0"/>
      </w:pPr>
    </w:p>
    <w:p w14:paraId="39DFE345" w14:textId="77777777" w:rsidR="00222DE0" w:rsidRPr="00EE3355" w:rsidRDefault="0098273B" w:rsidP="00EA1CDF">
      <w:pPr>
        <w:keepNext/>
        <w:widowControl/>
        <w:rPr>
          <w:i/>
        </w:rPr>
      </w:pPr>
      <w:r w:rsidRPr="00EE3355">
        <w:rPr>
          <w:i/>
        </w:rPr>
        <w:t>Hematologické odchylky</w:t>
      </w:r>
    </w:p>
    <w:p w14:paraId="5D1E9E77" w14:textId="2D74F297" w:rsidR="00222DE0" w:rsidRPr="00EE3355" w:rsidRDefault="0098273B" w:rsidP="00EA1CDF">
      <w:pPr>
        <w:pStyle w:val="a3"/>
        <w:widowControl/>
        <w:ind w:left="0"/>
      </w:pPr>
      <w:r w:rsidRPr="00EE3355">
        <w:t xml:space="preserve">Při léčbě </w:t>
      </w:r>
      <w:r w:rsidR="008C3359" w:rsidRPr="00C61A9B">
        <w:t>tocilizumab</w:t>
      </w:r>
      <w:r w:rsidR="008C3359">
        <w:t xml:space="preserve">em </w:t>
      </w:r>
      <w:r w:rsidRPr="00EE3355">
        <w:t>8 mg/kg k intravenóznímu podání v kombinaci s MTX byl pozorován pokles počtu neutrofilů a trombocytů (viz bod 4.8). U pacientů, kteří byli předtím léčeni antagonistou TNF, může existovat zvýšené riziko neutropenie.</w:t>
      </w:r>
    </w:p>
    <w:p w14:paraId="7AB2113F" w14:textId="77777777" w:rsidR="00222DE0" w:rsidRPr="00EE3355" w:rsidRDefault="00222DE0" w:rsidP="00EA1CDF">
      <w:pPr>
        <w:pStyle w:val="a3"/>
        <w:widowControl/>
        <w:ind w:left="0"/>
      </w:pPr>
    </w:p>
    <w:p w14:paraId="1C4C8BCF" w14:textId="4EFC4559" w:rsidR="00222DE0" w:rsidRPr="00EE3355" w:rsidRDefault="0098273B" w:rsidP="00EA1CDF">
      <w:pPr>
        <w:pStyle w:val="a3"/>
        <w:widowControl/>
        <w:ind w:left="0"/>
      </w:pPr>
      <w:r w:rsidRPr="00EE3355">
        <w:t xml:space="preserve">U pacientů, kteří nebyli dosud léčeni </w:t>
      </w:r>
      <w:r w:rsidR="008C3359" w:rsidRPr="00C61A9B">
        <w:t>tocilizumab</w:t>
      </w:r>
      <w:r w:rsidR="008C3359">
        <w:t xml:space="preserve">em </w:t>
      </w:r>
      <w:r w:rsidRPr="00EE3355">
        <w:t>a u nichž je absolutní počet neutrofilů (ANC) nižší než 2 x 10</w:t>
      </w:r>
      <w:r w:rsidRPr="00EE3355">
        <w:rPr>
          <w:vertAlign w:val="superscript"/>
        </w:rPr>
        <w:t>9</w:t>
      </w:r>
      <w:r w:rsidRPr="00EE3355">
        <w:t xml:space="preserve">/l, se zahájení léčby nedoporučuje. Pokud je zvažováno zahájení léčby </w:t>
      </w:r>
      <w:r w:rsidR="008C3359" w:rsidRPr="00C61A9B">
        <w:t>tocilizumab</w:t>
      </w:r>
      <w:r w:rsidR="008C3359">
        <w:t xml:space="preserve">em </w:t>
      </w:r>
      <w:r w:rsidRPr="00EE3355">
        <w:t>u pacientů s nízkým počtem trombocytů (tj. počet trombocytů nižší než 100 x 10</w:t>
      </w:r>
      <w:r w:rsidRPr="00EE3355">
        <w:rPr>
          <w:vertAlign w:val="superscript"/>
        </w:rPr>
        <w:t>3</w:t>
      </w:r>
      <w:r w:rsidRPr="00EE3355">
        <w:t>/μl), má jim být věnována zvláštní pozornost. U pacientů, u kterých je ANC &lt; 0,5 x 10</w:t>
      </w:r>
      <w:r w:rsidRPr="00EE3355">
        <w:rPr>
          <w:vertAlign w:val="superscript"/>
        </w:rPr>
        <w:t>9</w:t>
      </w:r>
      <w:r w:rsidRPr="00EE3355">
        <w:t>/l nebo počet trombocytů &lt; 50 x 10</w:t>
      </w:r>
      <w:r w:rsidRPr="00EE3355">
        <w:rPr>
          <w:vertAlign w:val="superscript"/>
        </w:rPr>
        <w:t>3</w:t>
      </w:r>
      <w:r w:rsidRPr="00EE3355">
        <w:t>/μl, se nedoporučuje pokračovat v léčbě.</w:t>
      </w:r>
    </w:p>
    <w:p w14:paraId="3F9C49A8" w14:textId="77777777" w:rsidR="00222DE0" w:rsidRPr="00EE3355" w:rsidRDefault="00222DE0" w:rsidP="00EA1CDF">
      <w:pPr>
        <w:pStyle w:val="a3"/>
        <w:widowControl/>
        <w:ind w:left="0"/>
      </w:pPr>
    </w:p>
    <w:p w14:paraId="69C29A7B" w14:textId="13781525" w:rsidR="00222DE0" w:rsidRPr="00EE3355" w:rsidRDefault="0098273B" w:rsidP="00EA1CDF">
      <w:pPr>
        <w:pStyle w:val="a3"/>
        <w:widowControl/>
        <w:ind w:left="0"/>
        <w:jc w:val="both"/>
      </w:pPr>
      <w:r w:rsidRPr="00EE3355">
        <w:t>Těžká neutropenie může být spojena se zvýšeným rizikem závažných infekcí, ačkoliv zřejmá spojitost mezi snížením počtu neutrofilů a výskytem závažných infekcí nebyla doposud v klinických studiích</w:t>
      </w:r>
      <w:r w:rsidR="00302305" w:rsidRPr="00EE3355">
        <w:t xml:space="preserve"> </w:t>
      </w:r>
      <w:r w:rsidRPr="00EE3355">
        <w:t>s</w:t>
      </w:r>
      <w:r w:rsidR="008C3359">
        <w:t> </w:t>
      </w:r>
      <w:r w:rsidR="008C3359" w:rsidRPr="00C61A9B">
        <w:t>tocilizumab</w:t>
      </w:r>
      <w:r w:rsidR="008C3359">
        <w:t xml:space="preserve">em </w:t>
      </w:r>
      <w:r w:rsidRPr="00EE3355">
        <w:t>zjištěna.</w:t>
      </w:r>
    </w:p>
    <w:p w14:paraId="69AD4276" w14:textId="77777777" w:rsidR="00222DE0" w:rsidRPr="00EE3355" w:rsidRDefault="00222DE0" w:rsidP="00EA1CDF">
      <w:pPr>
        <w:pStyle w:val="a3"/>
        <w:widowControl/>
        <w:ind w:left="0"/>
      </w:pPr>
    </w:p>
    <w:p w14:paraId="36DBAAA5" w14:textId="77777777" w:rsidR="00222DE0" w:rsidRPr="00EE3355" w:rsidRDefault="0098273B" w:rsidP="00EA1CDF">
      <w:pPr>
        <w:pStyle w:val="a3"/>
        <w:widowControl/>
        <w:ind w:left="0"/>
      </w:pPr>
      <w:r w:rsidRPr="00EE3355">
        <w:t>Počet neutrofilů a trombocytů u pacientů s RA a GCA má být monitorován 4 až 8 týdnů po zahájení léčby, a poté podle běžné klinické praxe. Doporučené úpravy dávkování na základě ANC a počtu trombocytů jsou uvedeny v bodě 4.2.</w:t>
      </w:r>
    </w:p>
    <w:p w14:paraId="242E467F" w14:textId="77777777" w:rsidR="00222DE0" w:rsidRPr="00EE3355" w:rsidRDefault="00222DE0" w:rsidP="00EA1CDF">
      <w:pPr>
        <w:pStyle w:val="a3"/>
        <w:widowControl/>
        <w:ind w:left="0"/>
      </w:pPr>
    </w:p>
    <w:p w14:paraId="1E5345B7" w14:textId="77777777" w:rsidR="00222DE0" w:rsidRPr="00EE3355" w:rsidRDefault="0098273B" w:rsidP="00EA1CDF">
      <w:pPr>
        <w:pStyle w:val="a3"/>
        <w:widowControl/>
        <w:ind w:left="0"/>
        <w:jc w:val="both"/>
      </w:pPr>
      <w:r w:rsidRPr="00EE3355">
        <w:t>U pacientů se sJIA a pJIA je třeba počet neutrofilů a trombocytů monitorovat v době druhého podání a následně podle správné klinické praxe (viz bod 4.2).</w:t>
      </w:r>
    </w:p>
    <w:p w14:paraId="7BA62D35" w14:textId="77777777" w:rsidR="00222DE0" w:rsidRPr="00EE3355" w:rsidRDefault="00222DE0" w:rsidP="00EA1CDF">
      <w:pPr>
        <w:widowControl/>
        <w:jc w:val="both"/>
      </w:pPr>
    </w:p>
    <w:p w14:paraId="31213F25" w14:textId="77777777" w:rsidR="00222DE0" w:rsidRPr="00EE3355" w:rsidRDefault="0098273B" w:rsidP="00EA1CDF">
      <w:pPr>
        <w:widowControl/>
        <w:rPr>
          <w:i/>
        </w:rPr>
      </w:pPr>
      <w:r w:rsidRPr="00EE3355">
        <w:rPr>
          <w:i/>
        </w:rPr>
        <w:t>Lipidové parametry</w:t>
      </w:r>
    </w:p>
    <w:p w14:paraId="45A1279C" w14:textId="00CFE0AC" w:rsidR="00D0484B" w:rsidRDefault="0098273B" w:rsidP="00EA1CDF">
      <w:pPr>
        <w:pStyle w:val="a3"/>
        <w:widowControl/>
        <w:ind w:left="0"/>
        <w:rPr>
          <w:rFonts w:eastAsia="맑은 고딕"/>
          <w:lang w:eastAsia="ko-KR"/>
        </w:rPr>
      </w:pPr>
      <w:r w:rsidRPr="00EE3355">
        <w:t xml:space="preserve">U pacientů léčených </w:t>
      </w:r>
      <w:r w:rsidR="008C3359" w:rsidRPr="00C61A9B">
        <w:t>tocilizumab</w:t>
      </w:r>
      <w:r w:rsidR="008C3359">
        <w:t xml:space="preserve">em </w:t>
      </w:r>
      <w:r w:rsidRPr="00EE3355">
        <w:t>bylo pozorováno zvýšení lipidových parametrů včetně hladiny celkového cholesterolu, lipoproteinů s nízkou hustotou (LDL), lipoproteinů s vysokou hustotou (HDL) a triglyceridů (viz bod 4.8). U většiny pacientů, kteří odpověděli na léčbu hypolipidemiky, nedošlo ke zvýšení aterogenního indexu ani zvýšení celkového cholesterolu.</w:t>
      </w:r>
      <w:r w:rsidR="00A50FF1" w:rsidRPr="00EE3355">
        <w:t xml:space="preserve"> </w:t>
      </w:r>
    </w:p>
    <w:p w14:paraId="1BE8BD33" w14:textId="77777777" w:rsidR="00D0484B" w:rsidRDefault="00D0484B" w:rsidP="00EA1CDF">
      <w:pPr>
        <w:pStyle w:val="a3"/>
        <w:widowControl/>
        <w:ind w:left="0"/>
        <w:rPr>
          <w:rFonts w:eastAsia="맑은 고딕"/>
          <w:lang w:eastAsia="ko-KR"/>
        </w:rPr>
      </w:pPr>
    </w:p>
    <w:p w14:paraId="63802FB4" w14:textId="41EACAC0" w:rsidR="00222DE0" w:rsidRPr="00EE3355" w:rsidRDefault="0098273B" w:rsidP="00EA1CDF">
      <w:pPr>
        <w:pStyle w:val="a3"/>
        <w:widowControl/>
        <w:ind w:left="0"/>
      </w:pPr>
      <w:r w:rsidRPr="00EE3355">
        <w:t xml:space="preserve">U pacientů s RA a GCA je třeba provést stanovení lipidových parametrů 4 až 8 týdnů po zahájení léčby </w:t>
      </w:r>
      <w:r w:rsidR="008C3359" w:rsidRPr="00C61A9B">
        <w:t>tocilizumab</w:t>
      </w:r>
      <w:r w:rsidR="008C3359">
        <w:t>em</w:t>
      </w:r>
      <w:r w:rsidRPr="00EE3355">
        <w:t>. Pacienti mají být léčeni podle místních klinických doporučení pro léčbu hyperlipidémie.</w:t>
      </w:r>
    </w:p>
    <w:p w14:paraId="47B2EE3F" w14:textId="77777777" w:rsidR="00222DE0" w:rsidRPr="00EE3355" w:rsidRDefault="00222DE0" w:rsidP="00EA1CDF">
      <w:pPr>
        <w:pStyle w:val="a3"/>
        <w:widowControl/>
        <w:ind w:left="0"/>
      </w:pPr>
    </w:p>
    <w:p w14:paraId="366AC945" w14:textId="77777777" w:rsidR="00222DE0" w:rsidRPr="00EE3355" w:rsidRDefault="0098273B" w:rsidP="00EA1CDF">
      <w:pPr>
        <w:widowControl/>
        <w:rPr>
          <w:i/>
        </w:rPr>
      </w:pPr>
      <w:r w:rsidRPr="00EE3355">
        <w:rPr>
          <w:i/>
        </w:rPr>
        <w:t>Neurologické poruchy</w:t>
      </w:r>
    </w:p>
    <w:p w14:paraId="39B82280" w14:textId="6770FE4B" w:rsidR="00222DE0" w:rsidRPr="00EE3355" w:rsidRDefault="0098273B" w:rsidP="00EA1CDF">
      <w:pPr>
        <w:pStyle w:val="a3"/>
        <w:widowControl/>
        <w:ind w:left="0"/>
      </w:pPr>
      <w:r w:rsidRPr="00EE3355">
        <w:t xml:space="preserve">Lékař má věnovat pozornost příznakům, které by mohly naznačovat nový nástup centrální demyelinizační poruchy. Potenciál </w:t>
      </w:r>
      <w:r w:rsidR="008C3359" w:rsidRPr="00C61A9B">
        <w:t>tocilizumab</w:t>
      </w:r>
      <w:r w:rsidR="008C3359">
        <w:t xml:space="preserve">u </w:t>
      </w:r>
      <w:r w:rsidRPr="00EE3355">
        <w:t>pro rozvoj centrální demyelinizace není dosud znám.</w:t>
      </w:r>
    </w:p>
    <w:p w14:paraId="68105872" w14:textId="77777777" w:rsidR="00222DE0" w:rsidRPr="00EE3355" w:rsidRDefault="00222DE0" w:rsidP="00EA1CDF">
      <w:pPr>
        <w:pStyle w:val="a3"/>
        <w:widowControl/>
        <w:ind w:left="0"/>
      </w:pPr>
    </w:p>
    <w:p w14:paraId="561E0659" w14:textId="77777777" w:rsidR="00222DE0" w:rsidRPr="00EE3355" w:rsidRDefault="0098273B" w:rsidP="00EA1CDF">
      <w:pPr>
        <w:widowControl/>
        <w:rPr>
          <w:i/>
        </w:rPr>
      </w:pPr>
      <w:r w:rsidRPr="00EE3355">
        <w:rPr>
          <w:i/>
        </w:rPr>
        <w:t>Malignity</w:t>
      </w:r>
    </w:p>
    <w:p w14:paraId="58E6649D" w14:textId="77777777" w:rsidR="00222DE0" w:rsidRPr="00EE3355" w:rsidRDefault="0098273B" w:rsidP="00EA1CDF">
      <w:pPr>
        <w:pStyle w:val="a3"/>
        <w:widowControl/>
        <w:ind w:left="0"/>
      </w:pPr>
      <w:r w:rsidRPr="00EE3355">
        <w:t>U pacientů s RA je riziko maligního onemocnění zvýšené. Riziko malignity mohou zvyšovat i</w:t>
      </w:r>
      <w:r w:rsidR="00A50FF1" w:rsidRPr="00EE3355">
        <w:t xml:space="preserve"> </w:t>
      </w:r>
      <w:r w:rsidRPr="00EE3355">
        <w:t>imunomodulační léčivé přípravky.</w:t>
      </w:r>
    </w:p>
    <w:p w14:paraId="19AEC489" w14:textId="77777777" w:rsidR="00222DE0" w:rsidRPr="00EE3355" w:rsidRDefault="00222DE0" w:rsidP="00EA1CDF">
      <w:pPr>
        <w:pStyle w:val="a3"/>
        <w:widowControl/>
        <w:ind w:left="0"/>
      </w:pPr>
    </w:p>
    <w:p w14:paraId="60B68C04" w14:textId="77777777" w:rsidR="00222DE0" w:rsidRPr="00EE3355" w:rsidRDefault="0098273B" w:rsidP="00EA1CDF">
      <w:pPr>
        <w:widowControl/>
        <w:rPr>
          <w:i/>
        </w:rPr>
      </w:pPr>
      <w:r w:rsidRPr="00EE3355">
        <w:rPr>
          <w:i/>
        </w:rPr>
        <w:t>Očkování</w:t>
      </w:r>
    </w:p>
    <w:p w14:paraId="562663E5" w14:textId="06970682" w:rsidR="00222DE0" w:rsidRPr="00EE3355" w:rsidRDefault="0098273B" w:rsidP="00EA1CDF">
      <w:pPr>
        <w:pStyle w:val="a3"/>
        <w:widowControl/>
        <w:ind w:left="0"/>
      </w:pPr>
      <w:r w:rsidRPr="00EE3355">
        <w:t xml:space="preserve">Vzhledem k tomu, že nebyla stanovena jejich bezpečnost, nesmí se při podávání </w:t>
      </w:r>
      <w:r w:rsidR="008C3359" w:rsidRPr="00C61A9B">
        <w:t>tocilizumab</w:t>
      </w:r>
      <w:r w:rsidR="008C3359">
        <w:t xml:space="preserve">u </w:t>
      </w:r>
      <w:r w:rsidRPr="00EE3355">
        <w:t xml:space="preserve">aplikovat živé nebo atenuované vakcíny. V randomizované otevřené studii byli dospělí pacienti s RA, kteří byli léčeni </w:t>
      </w:r>
      <w:r w:rsidR="008C3359" w:rsidRPr="00C61A9B">
        <w:t>tocilizumab</w:t>
      </w:r>
      <w:r w:rsidR="008C3359">
        <w:t xml:space="preserve">em </w:t>
      </w:r>
      <w:r w:rsidRPr="00EE3355">
        <w:t xml:space="preserve">a MTX, schopni účinné odpovědi na 23valentní pneumokokovou polysacharidovou vakcínu a vakcínu obsahující toxoid tetanu, srovnatelné s odpovědí u pacientů léčených pouze MTX. Doporučuje se, aby všichni pacienti, zvláště starší pacienti, měli aktuálně zajištěnou veškerou imunizaci v souladu se současnými imunizačními pokyny před zahájením léčby </w:t>
      </w:r>
      <w:r w:rsidR="008C3359" w:rsidRPr="00C61A9B">
        <w:t>tocilizumab</w:t>
      </w:r>
      <w:r w:rsidR="008C3359">
        <w:t>em</w:t>
      </w:r>
      <w:r w:rsidRPr="00EE3355">
        <w:t xml:space="preserve">. Interval mezi očkováním živou očkovací látkou a zahájením léčby </w:t>
      </w:r>
      <w:r w:rsidR="008C3359" w:rsidRPr="00C61A9B">
        <w:t>tocilizumab</w:t>
      </w:r>
      <w:r w:rsidR="008C3359">
        <w:t xml:space="preserve">em </w:t>
      </w:r>
      <w:r w:rsidRPr="00EE3355">
        <w:t>má být v souladu se současnými očkovacími pokyny s ohledem na imunosupresivní přípravky.</w:t>
      </w:r>
    </w:p>
    <w:p w14:paraId="19D33E5B" w14:textId="77777777" w:rsidR="00A50FF1" w:rsidRPr="00EE3355" w:rsidRDefault="00A50FF1" w:rsidP="00EA1CDF">
      <w:pPr>
        <w:pStyle w:val="a3"/>
        <w:widowControl/>
        <w:ind w:left="0"/>
      </w:pPr>
    </w:p>
    <w:p w14:paraId="580BEDB1" w14:textId="77777777" w:rsidR="00222DE0" w:rsidRPr="00EE3355" w:rsidRDefault="0098273B" w:rsidP="00EA1CDF">
      <w:pPr>
        <w:keepNext/>
        <w:widowControl/>
        <w:rPr>
          <w:i/>
        </w:rPr>
      </w:pPr>
      <w:r w:rsidRPr="00EE3355">
        <w:rPr>
          <w:i/>
        </w:rPr>
        <w:lastRenderedPageBreak/>
        <w:t>Kardiovaskulární riziko</w:t>
      </w:r>
    </w:p>
    <w:p w14:paraId="5CAA87D3" w14:textId="77777777" w:rsidR="00222DE0" w:rsidRPr="00EE3355" w:rsidRDefault="0098273B" w:rsidP="00EA1CDF">
      <w:pPr>
        <w:pStyle w:val="a3"/>
        <w:widowControl/>
        <w:ind w:left="0"/>
      </w:pPr>
      <w:r w:rsidRPr="00EE3355">
        <w:t>Pacienti s RA mají zvýšené riziko kardiovaskulárních onemocnění a mají být standardně vyšetřováni pro jejich rizikové faktory (např. hypertenze, hyperlipidémie).</w:t>
      </w:r>
    </w:p>
    <w:p w14:paraId="15299268" w14:textId="77777777" w:rsidR="00A50FF1" w:rsidRPr="00EE3355" w:rsidRDefault="00A50FF1" w:rsidP="00EA1CDF">
      <w:pPr>
        <w:pStyle w:val="a3"/>
        <w:widowControl/>
        <w:ind w:left="0"/>
      </w:pPr>
    </w:p>
    <w:p w14:paraId="76E250B5" w14:textId="77777777" w:rsidR="00222DE0" w:rsidRPr="00EE3355" w:rsidRDefault="0098273B" w:rsidP="00EA1CDF">
      <w:pPr>
        <w:widowControl/>
        <w:rPr>
          <w:i/>
        </w:rPr>
      </w:pPr>
      <w:r w:rsidRPr="00EE3355">
        <w:rPr>
          <w:i/>
        </w:rPr>
        <w:t>Kombinace s antagonisty TNF</w:t>
      </w:r>
    </w:p>
    <w:p w14:paraId="633F210B" w14:textId="62BF7649" w:rsidR="00222DE0" w:rsidRPr="00EE3355" w:rsidRDefault="0098273B" w:rsidP="00EA1CDF">
      <w:pPr>
        <w:pStyle w:val="a3"/>
        <w:widowControl/>
        <w:ind w:left="0"/>
      </w:pPr>
      <w:r w:rsidRPr="00EE3355">
        <w:t xml:space="preserve">S použitím přípravku </w:t>
      </w:r>
      <w:r w:rsidR="008C3359">
        <w:t>Avtozma</w:t>
      </w:r>
      <w:r w:rsidRPr="00EE3355">
        <w:t xml:space="preserve"> spolu s antagonisty TNF nebo jinou biologickou léčbou RA nejsou žádné zkušenosti. Používání přípravku </w:t>
      </w:r>
      <w:r w:rsidR="008C3359">
        <w:t>Avtozma</w:t>
      </w:r>
      <w:r w:rsidRPr="00EE3355">
        <w:t xml:space="preserve"> spolu s jinými biologickými přípravky se nedoporučuje.</w:t>
      </w:r>
    </w:p>
    <w:p w14:paraId="07E3956A" w14:textId="77777777" w:rsidR="00A50FF1" w:rsidRPr="00EE3355" w:rsidRDefault="00A50FF1" w:rsidP="00EA1CDF">
      <w:pPr>
        <w:pStyle w:val="a3"/>
        <w:widowControl/>
        <w:ind w:left="0"/>
      </w:pPr>
    </w:p>
    <w:p w14:paraId="40E7C4FF" w14:textId="77777777" w:rsidR="00222DE0" w:rsidRPr="00EE3355" w:rsidRDefault="0098273B" w:rsidP="00EA1CDF">
      <w:pPr>
        <w:keepNext/>
        <w:widowControl/>
        <w:rPr>
          <w:i/>
        </w:rPr>
      </w:pPr>
      <w:r w:rsidRPr="00EE3355">
        <w:rPr>
          <w:i/>
        </w:rPr>
        <w:t>GCA</w:t>
      </w:r>
    </w:p>
    <w:p w14:paraId="167D3B0A" w14:textId="6629B58B" w:rsidR="00222DE0" w:rsidRPr="00EE3355" w:rsidRDefault="0098273B" w:rsidP="00EA1CDF">
      <w:pPr>
        <w:pStyle w:val="a3"/>
        <w:widowControl/>
        <w:ind w:left="0"/>
        <w:jc w:val="both"/>
      </w:pPr>
      <w:r w:rsidRPr="00EE3355">
        <w:t xml:space="preserve">Přípravek </w:t>
      </w:r>
      <w:r w:rsidR="008C3359">
        <w:t>Avtozma</w:t>
      </w:r>
      <w:r w:rsidRPr="00EE3355">
        <w:t xml:space="preserve"> nemá být používán k monoterapii akutních relapsů, protože účinnost za těchto podmínek nebyla prokázána. Mají být podány glukokortikoidy podle úsudku lékaře a doporučení pro praxi.</w:t>
      </w:r>
    </w:p>
    <w:p w14:paraId="5D4E9E49" w14:textId="77777777" w:rsidR="00A50FF1" w:rsidRPr="00EE3355" w:rsidRDefault="00A50FF1" w:rsidP="00EA1CDF">
      <w:pPr>
        <w:pStyle w:val="a3"/>
        <w:widowControl/>
        <w:ind w:left="0"/>
        <w:jc w:val="both"/>
      </w:pPr>
    </w:p>
    <w:p w14:paraId="2C1B4471" w14:textId="77777777" w:rsidR="00222DE0" w:rsidRPr="00EE3355" w:rsidRDefault="0098273B" w:rsidP="00EA1CDF">
      <w:pPr>
        <w:keepNext/>
        <w:widowControl/>
        <w:rPr>
          <w:i/>
        </w:rPr>
      </w:pPr>
      <w:r w:rsidRPr="00EE3355">
        <w:rPr>
          <w:i/>
        </w:rPr>
        <w:t>sJIA</w:t>
      </w:r>
    </w:p>
    <w:p w14:paraId="2D1D6870" w14:textId="69268C55" w:rsidR="00222DE0" w:rsidRDefault="0098273B" w:rsidP="00EA1CDF">
      <w:pPr>
        <w:pStyle w:val="a3"/>
        <w:widowControl/>
        <w:ind w:left="0"/>
      </w:pPr>
      <w:r w:rsidRPr="00EE3355">
        <w:t xml:space="preserve">Syndrom aktivovaných makrofágů (MAS) je závažné život ohrožující onemocnění, které se může vyskytnout u pacientů se sJIA. V klinických studiích nebyl </w:t>
      </w:r>
      <w:r w:rsidR="008C3359" w:rsidRPr="00C61A9B">
        <w:t>tocilizumab</w:t>
      </w:r>
      <w:r w:rsidR="008C3359">
        <w:t xml:space="preserve"> </w:t>
      </w:r>
      <w:r w:rsidRPr="00EE3355">
        <w:t>hodnocen u pacientů s epizodou aktivního MAS.</w:t>
      </w:r>
    </w:p>
    <w:p w14:paraId="66751E7B" w14:textId="77777777" w:rsidR="008C3359" w:rsidRDefault="008C3359" w:rsidP="00EA1CDF">
      <w:pPr>
        <w:pStyle w:val="a3"/>
        <w:widowControl/>
        <w:ind w:left="0"/>
      </w:pPr>
    </w:p>
    <w:p w14:paraId="0A43ABB4" w14:textId="77777777" w:rsidR="008C3359" w:rsidRPr="00B93217" w:rsidRDefault="008C3359" w:rsidP="008C3359">
      <w:pPr>
        <w:pStyle w:val="a3"/>
        <w:widowControl/>
        <w:ind w:left="0"/>
        <w:rPr>
          <w:u w:val="single"/>
        </w:rPr>
      </w:pPr>
      <w:r w:rsidRPr="00B93217">
        <w:rPr>
          <w:u w:val="single"/>
        </w:rPr>
        <w:t>Pomocné látky se známým účinkem</w:t>
      </w:r>
    </w:p>
    <w:p w14:paraId="611EBE4D" w14:textId="77777777" w:rsidR="008C3359" w:rsidRPr="00793EA8" w:rsidRDefault="008C3359" w:rsidP="008C3359">
      <w:pPr>
        <w:pStyle w:val="a3"/>
        <w:widowControl/>
        <w:ind w:left="0"/>
        <w:rPr>
          <w:i/>
          <w:iCs/>
        </w:rPr>
      </w:pPr>
      <w:r w:rsidRPr="00793EA8">
        <w:rPr>
          <w:i/>
          <w:iCs/>
        </w:rPr>
        <w:t>Polysorbát</w:t>
      </w:r>
    </w:p>
    <w:p w14:paraId="73778CBA" w14:textId="4DCEF97C" w:rsidR="008C3359" w:rsidRDefault="008C3359" w:rsidP="008C3359">
      <w:pPr>
        <w:pStyle w:val="a3"/>
        <w:widowControl/>
        <w:ind w:left="0"/>
      </w:pPr>
      <w:r>
        <w:t>Každ</w:t>
      </w:r>
      <w:r w:rsidR="00FE3380">
        <w:t>é</w:t>
      </w:r>
      <w:r>
        <w:t xml:space="preserve"> 162mg předplněn</w:t>
      </w:r>
      <w:r w:rsidR="00FE3380">
        <w:t>é</w:t>
      </w:r>
      <w:r>
        <w:t xml:space="preserve"> injekční </w:t>
      </w:r>
      <w:r w:rsidR="00FE3380">
        <w:t>pero</w:t>
      </w:r>
      <w:r>
        <w:t xml:space="preserve"> obsahuje 0,2 mg polysorbátu</w:t>
      </w:r>
      <w:r w:rsidR="00395E0C">
        <w:rPr>
          <w:rFonts w:eastAsia="맑은 고딕" w:hint="eastAsia"/>
          <w:lang w:eastAsia="ko-KR"/>
        </w:rPr>
        <w:t xml:space="preserve"> 80</w:t>
      </w:r>
      <w:r>
        <w:t>.</w:t>
      </w:r>
    </w:p>
    <w:p w14:paraId="4C5EA5F8" w14:textId="21C1842F" w:rsidR="008C3359" w:rsidRPr="00EE3355" w:rsidRDefault="008C3359" w:rsidP="008C3359">
      <w:pPr>
        <w:pStyle w:val="a3"/>
        <w:widowControl/>
        <w:ind w:left="0"/>
      </w:pPr>
      <w:r>
        <w:t xml:space="preserve">Polysorbáty mohou způsobit alergické reakce. Pacienti s alergií na polysorbát </w:t>
      </w:r>
      <w:r w:rsidR="00CF0518">
        <w:t xml:space="preserve">nesmějí </w:t>
      </w:r>
      <w:r>
        <w:t>tento léčivý přípravek používat.</w:t>
      </w:r>
    </w:p>
    <w:p w14:paraId="5C3C4BCE" w14:textId="77777777" w:rsidR="00222DE0" w:rsidRPr="00EE3355" w:rsidRDefault="00222DE0" w:rsidP="00EA1CDF">
      <w:pPr>
        <w:pStyle w:val="a3"/>
        <w:widowControl/>
        <w:ind w:left="0"/>
      </w:pPr>
    </w:p>
    <w:p w14:paraId="103503BE" w14:textId="77777777" w:rsidR="00222DE0" w:rsidRPr="00EE3355" w:rsidRDefault="00B23DAE" w:rsidP="00EA1CDF">
      <w:pPr>
        <w:pStyle w:val="2"/>
        <w:widowControl/>
        <w:tabs>
          <w:tab w:val="left" w:pos="799"/>
        </w:tabs>
        <w:ind w:left="567" w:hanging="567"/>
      </w:pPr>
      <w:r w:rsidRPr="00EE3355">
        <w:t>4.5</w:t>
      </w:r>
      <w:r w:rsidRPr="00EE3355">
        <w:tab/>
      </w:r>
      <w:r w:rsidR="0098273B" w:rsidRPr="00EE3355">
        <w:t>Interakce s jinými léčivými přípravky a jiné formy interakce</w:t>
      </w:r>
    </w:p>
    <w:p w14:paraId="5CDD44B2" w14:textId="77777777" w:rsidR="00A50FF1" w:rsidRPr="00EE3355" w:rsidRDefault="00A50FF1" w:rsidP="00EA1CDF">
      <w:pPr>
        <w:pStyle w:val="a3"/>
        <w:widowControl/>
        <w:ind w:left="0"/>
        <w:jc w:val="both"/>
      </w:pPr>
    </w:p>
    <w:p w14:paraId="2FA1551B" w14:textId="77777777" w:rsidR="00222DE0" w:rsidRPr="00EE3355" w:rsidRDefault="0098273B" w:rsidP="00EA1CDF">
      <w:pPr>
        <w:pStyle w:val="a3"/>
        <w:widowControl/>
        <w:ind w:left="0"/>
        <w:jc w:val="both"/>
      </w:pPr>
      <w:r w:rsidRPr="00EE3355">
        <w:t>Studie interakcí byly provedeny pouze u dospělých.</w:t>
      </w:r>
    </w:p>
    <w:p w14:paraId="5B4AAAA0" w14:textId="77777777" w:rsidR="00222DE0" w:rsidRPr="00EE3355" w:rsidRDefault="00222DE0" w:rsidP="00EA1CDF">
      <w:pPr>
        <w:pStyle w:val="a3"/>
        <w:widowControl/>
        <w:ind w:left="0"/>
      </w:pPr>
    </w:p>
    <w:p w14:paraId="3B29A102" w14:textId="64BF546A" w:rsidR="00222DE0" w:rsidRPr="00EE3355" w:rsidRDefault="0098273B" w:rsidP="00EA1CDF">
      <w:pPr>
        <w:pStyle w:val="a3"/>
        <w:widowControl/>
        <w:ind w:left="0"/>
        <w:jc w:val="both"/>
      </w:pPr>
      <w:r w:rsidRPr="00EE3355">
        <w:t xml:space="preserve">Současné podání jednorázové dávky přípravku </w:t>
      </w:r>
      <w:r w:rsidR="008C3359">
        <w:t>Avtozma</w:t>
      </w:r>
      <w:r w:rsidRPr="00EE3355">
        <w:t xml:space="preserve"> 10 mg/kg s MTX v dávce 10 – 25 mg</w:t>
      </w:r>
      <w:r w:rsidR="00302305" w:rsidRPr="00EE3355">
        <w:t xml:space="preserve"> </w:t>
      </w:r>
      <w:r w:rsidRPr="00EE3355">
        <w:t>podávané jedenkrát týdně nemělo klinicky významný vliv na expozici MTX. Populační farmakokinetické analýzy neprokázaly žádný vliv MTX, nesteroidních</w:t>
      </w:r>
      <w:r w:rsidR="00D0484B">
        <w:rPr>
          <w:rFonts w:eastAsia="맑은 고딕" w:hint="eastAsia"/>
          <w:lang w:eastAsia="ko-KR"/>
        </w:rPr>
        <w:t xml:space="preserve"> </w:t>
      </w:r>
      <w:r w:rsidRPr="00EE3355">
        <w:t xml:space="preserve">protizánětlivých léků (NSAID) nebo kortikosteroidů na clearance </w:t>
      </w:r>
      <w:r w:rsidR="008C3359" w:rsidRPr="00C61A9B">
        <w:t>tocilizumab</w:t>
      </w:r>
      <w:r w:rsidR="008C3359">
        <w:t xml:space="preserve">u </w:t>
      </w:r>
      <w:r w:rsidRPr="00EE3355">
        <w:t xml:space="preserve">u pacientů s RA. U pacientů s GCA nebyl zjištěn žádný účinek kumulativní dávky kortikosteroidů na expozici </w:t>
      </w:r>
      <w:r w:rsidR="008C3359" w:rsidRPr="00C61A9B">
        <w:t>tocilizumab</w:t>
      </w:r>
      <w:r w:rsidR="008C3359">
        <w:t>u</w:t>
      </w:r>
      <w:r w:rsidRPr="00EE3355">
        <w:t>.</w:t>
      </w:r>
    </w:p>
    <w:p w14:paraId="4712A237" w14:textId="77777777" w:rsidR="00222DE0" w:rsidRPr="00EE3355" w:rsidRDefault="00222DE0" w:rsidP="00EA1CDF">
      <w:pPr>
        <w:pStyle w:val="a3"/>
        <w:widowControl/>
        <w:ind w:left="0"/>
      </w:pPr>
    </w:p>
    <w:p w14:paraId="30E605AD" w14:textId="1B16436C" w:rsidR="00222DE0" w:rsidRPr="00EE3355" w:rsidRDefault="0098273B" w:rsidP="00EA1CDF">
      <w:pPr>
        <w:pStyle w:val="a3"/>
        <w:widowControl/>
        <w:ind w:left="0"/>
      </w:pPr>
      <w:r w:rsidRPr="00EE3355">
        <w:t xml:space="preserve">Exprese jaterních enzymů CYP450 je potlačena cytokiny, jako je například IL-6, který stimuluje chronický zánět. Exprese CYP450 ale může být reverzibilní, pokud je k terapii přidán silný cytokinový inhibitor, jako je například přípravek </w:t>
      </w:r>
      <w:r w:rsidR="008C3359">
        <w:t>Avtozma</w:t>
      </w:r>
      <w:r w:rsidRPr="00EE3355">
        <w:t>.</w:t>
      </w:r>
    </w:p>
    <w:p w14:paraId="037494B2" w14:textId="77777777" w:rsidR="00222DE0" w:rsidRPr="00EE3355" w:rsidRDefault="00222DE0" w:rsidP="00EA1CDF">
      <w:pPr>
        <w:pStyle w:val="a3"/>
        <w:widowControl/>
        <w:ind w:left="0"/>
      </w:pPr>
    </w:p>
    <w:p w14:paraId="2A7911C9" w14:textId="402542B4" w:rsidR="00222DE0" w:rsidRPr="00EE3355" w:rsidRDefault="0098273B" w:rsidP="00EA1CDF">
      <w:pPr>
        <w:pStyle w:val="a3"/>
        <w:widowControl/>
        <w:ind w:left="0"/>
      </w:pPr>
      <w:r w:rsidRPr="00EE3355">
        <w:t xml:space="preserve">V </w:t>
      </w:r>
      <w:r w:rsidRPr="00EE3355">
        <w:rPr>
          <w:i/>
        </w:rPr>
        <w:t xml:space="preserve">in vitro </w:t>
      </w:r>
      <w:r w:rsidRPr="00EE3355">
        <w:t xml:space="preserve">studiích s kulturami lidských hepatocytů bylo prokázáno, že IL-6 způsobuje redukci exprese enzymů CYP1A2, CYP2C9, CYP2C19 a CYP3A4. </w:t>
      </w:r>
      <w:r w:rsidR="008C3359">
        <w:t>T</w:t>
      </w:r>
      <w:r w:rsidR="008C3359" w:rsidRPr="00C61A9B">
        <w:t>ocilizumab</w:t>
      </w:r>
      <w:r w:rsidR="008C3359">
        <w:t xml:space="preserve"> </w:t>
      </w:r>
      <w:r w:rsidRPr="00EE3355">
        <w:t>expresi těchto enzymů normalizuje.</w:t>
      </w:r>
    </w:p>
    <w:p w14:paraId="01AC0A70" w14:textId="77777777" w:rsidR="00A50FF1" w:rsidRPr="00EE3355" w:rsidRDefault="00A50FF1" w:rsidP="00EA1CDF">
      <w:pPr>
        <w:pStyle w:val="a3"/>
        <w:widowControl/>
        <w:ind w:left="0"/>
      </w:pPr>
    </w:p>
    <w:p w14:paraId="401929ED" w14:textId="707CBD44" w:rsidR="00222DE0" w:rsidRPr="00EE3355" w:rsidRDefault="0098273B" w:rsidP="00EA1CDF">
      <w:pPr>
        <w:pStyle w:val="a3"/>
        <w:widowControl/>
        <w:ind w:left="0"/>
      </w:pPr>
      <w:r w:rsidRPr="00EE3355">
        <w:t xml:space="preserve">Ve studii u pacientů s RA hladiny simvastatinu (CYP3A4) po jedné dávce </w:t>
      </w:r>
      <w:r w:rsidR="008C3359" w:rsidRPr="00C61A9B">
        <w:t>tocilizumab</w:t>
      </w:r>
      <w:r w:rsidR="008C3359">
        <w:t xml:space="preserve">u </w:t>
      </w:r>
      <w:r w:rsidRPr="00EE3355">
        <w:t>poklesly za týden o 57 % k hodnotám podobným nebo lehce vyšším, než je pozorováno u zdravých subjektů.</w:t>
      </w:r>
    </w:p>
    <w:p w14:paraId="206A4EA1" w14:textId="77777777" w:rsidR="00222DE0" w:rsidRPr="00EE3355" w:rsidRDefault="00222DE0" w:rsidP="00EA1CDF">
      <w:pPr>
        <w:pStyle w:val="a3"/>
        <w:widowControl/>
        <w:ind w:left="0"/>
      </w:pPr>
    </w:p>
    <w:p w14:paraId="295745B0" w14:textId="50C52490" w:rsidR="00222DE0" w:rsidRPr="00EE3355" w:rsidRDefault="0098273B" w:rsidP="00EA1CDF">
      <w:pPr>
        <w:pStyle w:val="a3"/>
        <w:widowControl/>
        <w:ind w:left="0"/>
      </w:pPr>
      <w:r w:rsidRPr="00EE3355">
        <w:t xml:space="preserve">Při zahájení nebo ukončení terapie </w:t>
      </w:r>
      <w:r w:rsidR="008C3359" w:rsidRPr="00C61A9B">
        <w:t>tocilizumab</w:t>
      </w:r>
      <w:r w:rsidR="008C3359">
        <w:t xml:space="preserve">em </w:t>
      </w:r>
      <w:r w:rsidRPr="00EE3355">
        <w:t>mají být pacienti užívající léčivé přípravky, které jsou upravovány individuálně a jsou metabolizovány cestou CYP450 3A4, 1A2 nebo 2C9 (např. methylprednisolon, dexamethason, (s možným abstinenčním syndromem po vysazení perorálních glukokortikoidů), atorvastatin, blokátory kalciových kanálů, teofylin, warfarin, fenprokumon, fenytoin, cyklosporin nebo benzodiazepiny), pečlivě sledováni, protože k udržení terapeutického účinku může být nutné zvýšení dávkování. Vzhledem k relativně dlouhému poločasu eliminace (t</w:t>
      </w:r>
      <w:r w:rsidRPr="00EE3355">
        <w:rPr>
          <w:sz w:val="14"/>
        </w:rPr>
        <w:t>1/2</w:t>
      </w:r>
      <w:r w:rsidRPr="00EE3355">
        <w:t xml:space="preserve">) mohou účinky </w:t>
      </w:r>
      <w:r w:rsidR="00A0461C" w:rsidRPr="00C61A9B">
        <w:t>tocilizumab</w:t>
      </w:r>
      <w:r w:rsidR="00A0461C">
        <w:t xml:space="preserve">u </w:t>
      </w:r>
      <w:r w:rsidRPr="00EE3355">
        <w:t>na aktivitu enzymů CYP450 přetrvávat i několik týdnů po ukončení terapie.</w:t>
      </w:r>
    </w:p>
    <w:p w14:paraId="14194A8E" w14:textId="77777777" w:rsidR="00222DE0" w:rsidRPr="00EE3355" w:rsidRDefault="00222DE0" w:rsidP="00EA1CDF">
      <w:pPr>
        <w:pStyle w:val="a3"/>
        <w:widowControl/>
        <w:ind w:left="0"/>
      </w:pPr>
    </w:p>
    <w:p w14:paraId="294DE65B" w14:textId="77777777" w:rsidR="00222DE0" w:rsidRPr="00EE3355" w:rsidRDefault="00B23DAE" w:rsidP="00EA1CDF">
      <w:pPr>
        <w:pStyle w:val="2"/>
        <w:keepNext/>
        <w:widowControl/>
        <w:tabs>
          <w:tab w:val="left" w:pos="804"/>
        </w:tabs>
        <w:ind w:left="567" w:hanging="567"/>
      </w:pPr>
      <w:r w:rsidRPr="00EE3355">
        <w:t>4.6</w:t>
      </w:r>
      <w:r w:rsidRPr="00EE3355">
        <w:tab/>
      </w:r>
      <w:r w:rsidR="0098273B" w:rsidRPr="00EE3355">
        <w:t>Fertilita, těhotenství a kojení</w:t>
      </w:r>
    </w:p>
    <w:p w14:paraId="2C8AF073" w14:textId="77777777" w:rsidR="00A50FF1" w:rsidRPr="00EE3355" w:rsidRDefault="00A50FF1" w:rsidP="00404E47"/>
    <w:p w14:paraId="693738E0" w14:textId="77777777" w:rsidR="00222DE0" w:rsidRPr="00EE3355" w:rsidRDefault="0098273B" w:rsidP="00EA1CDF">
      <w:pPr>
        <w:pStyle w:val="a3"/>
        <w:keepNext/>
        <w:widowControl/>
        <w:ind w:left="0"/>
        <w:rPr>
          <w:u w:val="single"/>
        </w:rPr>
      </w:pPr>
      <w:r w:rsidRPr="00EE3355">
        <w:rPr>
          <w:u w:val="single"/>
        </w:rPr>
        <w:lastRenderedPageBreak/>
        <w:t>Ženy ve fertilním věku</w:t>
      </w:r>
    </w:p>
    <w:p w14:paraId="068DE60F" w14:textId="77777777" w:rsidR="00A50FF1" w:rsidRPr="00EE3355" w:rsidRDefault="00A50FF1" w:rsidP="00EA1CDF">
      <w:pPr>
        <w:pStyle w:val="a3"/>
        <w:keepNext/>
        <w:widowControl/>
        <w:ind w:left="0"/>
      </w:pPr>
    </w:p>
    <w:p w14:paraId="0CBF8A85" w14:textId="77777777" w:rsidR="00222DE0" w:rsidRPr="00EE3355" w:rsidRDefault="0098273B" w:rsidP="00EA1CDF">
      <w:pPr>
        <w:pStyle w:val="a3"/>
        <w:widowControl/>
        <w:ind w:left="0"/>
      </w:pPr>
      <w:r w:rsidRPr="00EE3355">
        <w:t>Ženy ve fertilním věku musí během léčby a 3 měsíce po jejím ukončení používat účinnou</w:t>
      </w:r>
      <w:r w:rsidR="00302305" w:rsidRPr="00EE3355">
        <w:t xml:space="preserve"> </w:t>
      </w:r>
      <w:r w:rsidRPr="00EE3355">
        <w:t>antikoncepci.</w:t>
      </w:r>
    </w:p>
    <w:p w14:paraId="2B31C538" w14:textId="77777777" w:rsidR="00222DE0" w:rsidRPr="00EE3355" w:rsidRDefault="00222DE0" w:rsidP="00EA1CDF">
      <w:pPr>
        <w:pStyle w:val="a3"/>
        <w:widowControl/>
        <w:ind w:left="0"/>
      </w:pPr>
    </w:p>
    <w:p w14:paraId="2F67B1F6" w14:textId="77777777" w:rsidR="00222DE0" w:rsidRPr="00EE3355" w:rsidRDefault="0098273B" w:rsidP="00EA1CDF">
      <w:pPr>
        <w:pStyle w:val="a3"/>
        <w:widowControl/>
        <w:ind w:left="0"/>
      </w:pPr>
      <w:r w:rsidRPr="00EE3355">
        <w:rPr>
          <w:u w:val="single"/>
        </w:rPr>
        <w:t>Těhotenství</w:t>
      </w:r>
    </w:p>
    <w:p w14:paraId="3823022F" w14:textId="36187A83" w:rsidR="00222DE0" w:rsidRPr="00EE3355" w:rsidRDefault="0098273B" w:rsidP="00EA1CDF">
      <w:pPr>
        <w:pStyle w:val="a3"/>
        <w:widowControl/>
        <w:ind w:left="0"/>
      </w:pPr>
      <w:r w:rsidRPr="00EE3355">
        <w:t xml:space="preserve">Adekvátní údaje o podávání přípravku </w:t>
      </w:r>
      <w:r w:rsidR="00A0461C">
        <w:t>Avtozma</w:t>
      </w:r>
      <w:r w:rsidRPr="00EE3355">
        <w:t xml:space="preserve"> těhotným ženám nejsou k dispozici. Studie na zvířatech prokázaly zvýšené riziko spontánního potratu / embryo-fetálního úmrtí při vysokých dávkách (viz bod 5.3). Potenciální riziko pro člověka není známé.</w:t>
      </w:r>
    </w:p>
    <w:p w14:paraId="32179A6B" w14:textId="77777777" w:rsidR="00A50FF1" w:rsidRPr="00EE3355" w:rsidRDefault="00A50FF1" w:rsidP="00EA1CDF">
      <w:pPr>
        <w:pStyle w:val="a3"/>
        <w:widowControl/>
        <w:ind w:left="0"/>
      </w:pPr>
    </w:p>
    <w:p w14:paraId="4E8BD070" w14:textId="6420B107" w:rsidR="00222DE0" w:rsidRPr="00EE3355" w:rsidRDefault="0098273B" w:rsidP="00EA1CDF">
      <w:pPr>
        <w:pStyle w:val="a3"/>
        <w:widowControl/>
        <w:ind w:left="0"/>
      </w:pPr>
      <w:r w:rsidRPr="00EE3355">
        <w:t xml:space="preserve">Přípravek </w:t>
      </w:r>
      <w:r w:rsidR="00A0461C">
        <w:t>Avtozma</w:t>
      </w:r>
      <w:r w:rsidRPr="00EE3355">
        <w:t xml:space="preserve"> nemá být během těhotenství podáván, pokud to není nezbytně nutné.</w:t>
      </w:r>
    </w:p>
    <w:p w14:paraId="64C84329" w14:textId="77777777" w:rsidR="00222DE0" w:rsidRPr="00EE3355" w:rsidRDefault="00222DE0" w:rsidP="00EA1CDF">
      <w:pPr>
        <w:pStyle w:val="a3"/>
        <w:widowControl/>
        <w:ind w:left="0"/>
      </w:pPr>
    </w:p>
    <w:p w14:paraId="71C55A00" w14:textId="77777777" w:rsidR="00222DE0" w:rsidRPr="00EE3355" w:rsidRDefault="0098273B" w:rsidP="00EA1CDF">
      <w:pPr>
        <w:pStyle w:val="a3"/>
        <w:keepNext/>
        <w:widowControl/>
        <w:ind w:left="0"/>
      </w:pPr>
      <w:r w:rsidRPr="00EE3355">
        <w:rPr>
          <w:u w:val="single"/>
        </w:rPr>
        <w:t>Kojení</w:t>
      </w:r>
    </w:p>
    <w:p w14:paraId="3B1AB799" w14:textId="76646EA6" w:rsidR="00222DE0" w:rsidRPr="00EE3355" w:rsidRDefault="0098273B" w:rsidP="00EA1CDF">
      <w:pPr>
        <w:pStyle w:val="a3"/>
        <w:widowControl/>
        <w:ind w:left="0"/>
      </w:pPr>
      <w:r w:rsidRPr="00EE3355">
        <w:t xml:space="preserve">Není známo, zda je přípravek </w:t>
      </w:r>
      <w:r w:rsidR="00A0461C">
        <w:t>Avtozma</w:t>
      </w:r>
      <w:r w:rsidRPr="00EE3355">
        <w:t xml:space="preserve"> vylučován do lidského mateřského mléka. Vylučování přípravku </w:t>
      </w:r>
      <w:r w:rsidR="00A0461C">
        <w:t>Avtozma</w:t>
      </w:r>
      <w:r w:rsidRPr="00EE3355">
        <w:t xml:space="preserve"> do mléka u zvířat nebylo studováno. Při rozhodování, zda pokračovat v kojení / přerušit kojení nebo pokračovat v léčbě/ přerušit léčbu přípravkem </w:t>
      </w:r>
      <w:r w:rsidR="00A0461C">
        <w:t>Avtozma</w:t>
      </w:r>
      <w:r w:rsidRPr="00EE3355">
        <w:t xml:space="preserve">, je nutné vzít v úvahu prospěch z kojení pro dítě a prospěch léčby přípravkem </w:t>
      </w:r>
      <w:r w:rsidR="00A0461C">
        <w:t>Avtozma</w:t>
      </w:r>
      <w:r w:rsidRPr="00EE3355">
        <w:t xml:space="preserve"> pro matku.</w:t>
      </w:r>
    </w:p>
    <w:p w14:paraId="0B023D54" w14:textId="77777777" w:rsidR="00302305" w:rsidRPr="00EE3355" w:rsidRDefault="00302305" w:rsidP="00EA1CDF">
      <w:pPr>
        <w:pStyle w:val="a3"/>
        <w:keepNext/>
        <w:widowControl/>
        <w:ind w:left="0"/>
        <w:rPr>
          <w:u w:val="single"/>
        </w:rPr>
      </w:pPr>
    </w:p>
    <w:p w14:paraId="6FF783B3" w14:textId="77777777" w:rsidR="00222DE0" w:rsidRPr="00EE3355" w:rsidRDefault="0098273B" w:rsidP="00EA1CDF">
      <w:pPr>
        <w:pStyle w:val="a3"/>
        <w:keepNext/>
        <w:widowControl/>
        <w:ind w:left="0"/>
      </w:pPr>
      <w:r w:rsidRPr="00EE3355">
        <w:rPr>
          <w:u w:val="single"/>
        </w:rPr>
        <w:t>Fertilita</w:t>
      </w:r>
    </w:p>
    <w:p w14:paraId="05844F1C" w14:textId="05F5DE4E" w:rsidR="00222DE0" w:rsidRPr="00EE3355" w:rsidRDefault="0098273B" w:rsidP="00EA1CDF">
      <w:pPr>
        <w:pStyle w:val="a3"/>
        <w:widowControl/>
        <w:ind w:left="0"/>
      </w:pPr>
      <w:r w:rsidRPr="00EE3355">
        <w:t xml:space="preserve">Dostupné neklinické údaje nenaznačují vliv léčby přípravkem </w:t>
      </w:r>
      <w:r w:rsidR="00A0461C">
        <w:t>Avtozma</w:t>
      </w:r>
      <w:r w:rsidRPr="00EE3355">
        <w:t xml:space="preserve"> na fertilitu.</w:t>
      </w:r>
    </w:p>
    <w:p w14:paraId="3FDB99FF" w14:textId="77777777" w:rsidR="00222DE0" w:rsidRPr="00EE3355" w:rsidRDefault="00222DE0" w:rsidP="00EA1CDF">
      <w:pPr>
        <w:pStyle w:val="a3"/>
        <w:widowControl/>
        <w:ind w:left="0"/>
      </w:pPr>
    </w:p>
    <w:p w14:paraId="66AFA7A6" w14:textId="77777777" w:rsidR="00222DE0" w:rsidRPr="00EE3355" w:rsidRDefault="00B23DAE" w:rsidP="00EA1CDF">
      <w:pPr>
        <w:pStyle w:val="2"/>
        <w:widowControl/>
        <w:tabs>
          <w:tab w:val="left" w:pos="804"/>
        </w:tabs>
        <w:ind w:left="567" w:hanging="567"/>
      </w:pPr>
      <w:r w:rsidRPr="00EE3355">
        <w:t>4.7</w:t>
      </w:r>
      <w:r w:rsidRPr="00EE3355">
        <w:tab/>
      </w:r>
      <w:r w:rsidR="0098273B" w:rsidRPr="00EE3355">
        <w:t>Účinky na schopnost řídit a obsluhovat stroje</w:t>
      </w:r>
    </w:p>
    <w:p w14:paraId="7BBF673D" w14:textId="77777777" w:rsidR="003C28B1" w:rsidRPr="00EE3355" w:rsidRDefault="003C28B1" w:rsidP="00404E47"/>
    <w:p w14:paraId="78E88A7D" w14:textId="445E1474" w:rsidR="00222DE0" w:rsidRPr="00EE3355" w:rsidRDefault="00A0461C" w:rsidP="00EA1CDF">
      <w:pPr>
        <w:pStyle w:val="a3"/>
        <w:widowControl/>
        <w:ind w:left="0"/>
      </w:pPr>
      <w:r w:rsidRPr="00C61A9B">
        <w:t>Tocilizumab</w:t>
      </w:r>
      <w:r>
        <w:t xml:space="preserve"> </w:t>
      </w:r>
      <w:r w:rsidR="0098273B" w:rsidRPr="00EE3355">
        <w:t>má malý vliv na schopnost řídit nebo obsluhovat stroje (viz bod 4.8, závratě).</w:t>
      </w:r>
    </w:p>
    <w:p w14:paraId="0C15DD04" w14:textId="77777777" w:rsidR="003C28B1" w:rsidRPr="00EE3355" w:rsidRDefault="003C28B1" w:rsidP="00EA1CDF">
      <w:pPr>
        <w:pStyle w:val="a3"/>
        <w:widowControl/>
        <w:ind w:left="0"/>
      </w:pPr>
    </w:p>
    <w:p w14:paraId="3DCCA2D1" w14:textId="77777777" w:rsidR="00222DE0" w:rsidRPr="00EE3355" w:rsidRDefault="00B23DAE" w:rsidP="00EA1CDF">
      <w:pPr>
        <w:pStyle w:val="2"/>
        <w:widowControl/>
        <w:tabs>
          <w:tab w:val="left" w:pos="799"/>
        </w:tabs>
        <w:ind w:left="567" w:hanging="567"/>
      </w:pPr>
      <w:r w:rsidRPr="00EE3355">
        <w:t>4.8</w:t>
      </w:r>
      <w:r w:rsidRPr="00EE3355">
        <w:tab/>
      </w:r>
      <w:r w:rsidR="0098273B" w:rsidRPr="00EE3355">
        <w:t>Nežádoucí účinky</w:t>
      </w:r>
    </w:p>
    <w:p w14:paraId="6E8F06E3" w14:textId="77777777" w:rsidR="003C28B1" w:rsidRPr="00EE3355" w:rsidRDefault="003C28B1" w:rsidP="00404E47"/>
    <w:p w14:paraId="00081FF0" w14:textId="77777777" w:rsidR="00222DE0" w:rsidRPr="00EE3355" w:rsidRDefault="0098273B" w:rsidP="00EA1CDF">
      <w:pPr>
        <w:pStyle w:val="a3"/>
        <w:widowControl/>
        <w:ind w:left="0"/>
      </w:pPr>
      <w:r w:rsidRPr="00EE3355">
        <w:rPr>
          <w:u w:val="single"/>
        </w:rPr>
        <w:t>Shrnutí bezpečnostního profilu</w:t>
      </w:r>
    </w:p>
    <w:p w14:paraId="52BDFC33" w14:textId="7E278DA8" w:rsidR="00222DE0" w:rsidRPr="00EE3355" w:rsidRDefault="0098273B" w:rsidP="00EA1CDF">
      <w:pPr>
        <w:pStyle w:val="a3"/>
        <w:widowControl/>
        <w:ind w:left="0"/>
      </w:pPr>
      <w:r w:rsidRPr="00EE3355">
        <w:t xml:space="preserve">Bezpečnostní profil byl stanoven u 4 510 pacientů užívajících </w:t>
      </w:r>
      <w:r w:rsidR="00A0461C" w:rsidRPr="00C61A9B">
        <w:t>tocilizumab</w:t>
      </w:r>
      <w:r w:rsidR="00A0461C">
        <w:t xml:space="preserve"> </w:t>
      </w:r>
      <w:r w:rsidRPr="00EE3355">
        <w:t xml:space="preserve">v klinických hodnoceních; většina z nich se účastnila studií RA (n = 4 009) a zbývající údaje pocházejí ze studií GCA (n = 149), pJIA (n = 240) a sJIA (n = 112). Bezpečnostní profil </w:t>
      </w:r>
      <w:r w:rsidR="00A0461C" w:rsidRPr="00C61A9B">
        <w:t>tocilizumab</w:t>
      </w:r>
      <w:r w:rsidR="00A0461C">
        <w:t xml:space="preserve">u </w:t>
      </w:r>
      <w:r w:rsidRPr="00EE3355">
        <w:t>v těchto indikacích zůstává podobný a nediferencovaný.</w:t>
      </w:r>
    </w:p>
    <w:p w14:paraId="5D810B57" w14:textId="77777777" w:rsidR="00222DE0" w:rsidRPr="00EE3355" w:rsidRDefault="00222DE0" w:rsidP="00EA1CDF">
      <w:pPr>
        <w:pStyle w:val="a3"/>
        <w:widowControl/>
        <w:ind w:left="0"/>
      </w:pPr>
    </w:p>
    <w:p w14:paraId="3A9CF5C7" w14:textId="77777777" w:rsidR="00222DE0" w:rsidRPr="00EE3355" w:rsidRDefault="0098273B" w:rsidP="00EA1CDF">
      <w:pPr>
        <w:pStyle w:val="a3"/>
        <w:widowControl/>
        <w:ind w:left="0"/>
      </w:pPr>
      <w:r w:rsidRPr="00EE3355">
        <w:t>K nejčastějším nežádoucím účinkům patřily infekce horních cest dýchacích, zánět nosohltanu, bolest</w:t>
      </w:r>
      <w:r w:rsidR="00EB2E3E" w:rsidRPr="00EE3355">
        <w:t xml:space="preserve"> </w:t>
      </w:r>
      <w:r w:rsidRPr="00EE3355">
        <w:t>hlavy, hypertenze a zvýšená ALT.</w:t>
      </w:r>
    </w:p>
    <w:p w14:paraId="328D9FB9" w14:textId="77777777" w:rsidR="00222DE0" w:rsidRPr="00EE3355" w:rsidRDefault="00222DE0" w:rsidP="00EA1CDF">
      <w:pPr>
        <w:pStyle w:val="a3"/>
        <w:widowControl/>
        <w:ind w:left="0"/>
      </w:pPr>
    </w:p>
    <w:p w14:paraId="7E353A2B" w14:textId="77777777" w:rsidR="00222DE0" w:rsidRPr="00EE3355" w:rsidRDefault="0098273B" w:rsidP="00EA1CDF">
      <w:pPr>
        <w:pStyle w:val="a3"/>
        <w:widowControl/>
        <w:ind w:left="0"/>
      </w:pPr>
      <w:r w:rsidRPr="00EE3355">
        <w:t>K nejzávažnějším nežádoucím účinkům patřily závažné infekce, komplikace divertikulitidy a</w:t>
      </w:r>
      <w:r w:rsidR="00EB2E3E" w:rsidRPr="00EE3355">
        <w:t xml:space="preserve"> </w:t>
      </w:r>
      <w:r w:rsidRPr="00EE3355">
        <w:t>hypersenzitivní reakce.</w:t>
      </w:r>
    </w:p>
    <w:p w14:paraId="5B058C24" w14:textId="77777777" w:rsidR="00222DE0" w:rsidRPr="00EE3355" w:rsidRDefault="00222DE0" w:rsidP="00EA1CDF">
      <w:pPr>
        <w:pStyle w:val="a3"/>
        <w:widowControl/>
        <w:ind w:left="0"/>
      </w:pPr>
    </w:p>
    <w:p w14:paraId="7EDE191E" w14:textId="77777777" w:rsidR="00222DE0" w:rsidRPr="00EE3355" w:rsidRDefault="0098273B" w:rsidP="00EA1CDF">
      <w:pPr>
        <w:pStyle w:val="a3"/>
        <w:widowControl/>
        <w:ind w:left="0"/>
      </w:pPr>
      <w:r w:rsidRPr="00EE3355">
        <w:rPr>
          <w:u w:val="single"/>
        </w:rPr>
        <w:t>Přehled nežádoucích účinků v tabulce</w:t>
      </w:r>
    </w:p>
    <w:p w14:paraId="29767E26" w14:textId="1644780F" w:rsidR="00222DE0" w:rsidRPr="00EE3355" w:rsidRDefault="0098273B" w:rsidP="00EA1CDF">
      <w:pPr>
        <w:pStyle w:val="a3"/>
        <w:widowControl/>
        <w:ind w:left="0"/>
      </w:pPr>
      <w:r w:rsidRPr="00EE3355">
        <w:t>Nežádoucí účinky z klinických studií s</w:t>
      </w:r>
      <w:r w:rsidR="00A0461C">
        <w:t> </w:t>
      </w:r>
      <w:r w:rsidR="00A0461C" w:rsidRPr="00C61A9B">
        <w:t>tocilizumab</w:t>
      </w:r>
      <w:r w:rsidR="00A0461C">
        <w:t xml:space="preserve">em </w:t>
      </w:r>
      <w:r w:rsidRPr="00EE3355">
        <w:t>a/nebo v době po uvedení přípravku na trh jsou na základě spontánních hlášení, kazuistik a případů z neintervenčních studií uvedeny</w:t>
      </w:r>
      <w:r w:rsidR="00EB2E3E" w:rsidRPr="00EE3355">
        <w:t xml:space="preserve"> </w:t>
      </w:r>
      <w:r w:rsidRPr="00EE3355">
        <w:t>v tabulce 1 a jsou řazeny podle tříd orgánových systémů databáze MedDRA. Odpovídající kategorie frekvencí je založena na následující terminologii: velmi časté (≥ 1/10); časté (≥ 1/100 až &lt; 1/10), méně časté (≥ 1/1 000 až &lt; 1/100), vzácné (&gt; 1/10 000 až &lt; 1/1 000) nebo velmi vzácné (&lt; 1/10 000). V každé skupině četností jsou nežádoucí účinky řazeny podle klesající závažnosti.</w:t>
      </w:r>
    </w:p>
    <w:p w14:paraId="41D24129" w14:textId="77777777" w:rsidR="003C28B1" w:rsidRPr="00EE3355" w:rsidRDefault="003C28B1" w:rsidP="00EA1CDF">
      <w:pPr>
        <w:pStyle w:val="a3"/>
        <w:widowControl/>
        <w:ind w:left="0"/>
      </w:pPr>
    </w:p>
    <w:p w14:paraId="3A1A9511" w14:textId="5BBEA706" w:rsidR="00222DE0" w:rsidRPr="00EE3355" w:rsidRDefault="0098273B" w:rsidP="00EA1CDF">
      <w:pPr>
        <w:keepNext/>
        <w:widowControl/>
        <w:rPr>
          <w:i/>
        </w:rPr>
      </w:pPr>
      <w:r w:rsidRPr="00EE3355">
        <w:rPr>
          <w:i/>
        </w:rPr>
        <w:t xml:space="preserve">Tabulka 1. Přehled nežádoucích účinků objevujících se u pacientů léčených </w:t>
      </w:r>
      <w:r w:rsidR="00A0461C" w:rsidRPr="00B93217">
        <w:rPr>
          <w:i/>
          <w:iCs/>
        </w:rPr>
        <w:t>tocilizumabem</w:t>
      </w:r>
    </w:p>
    <w:p w14:paraId="28D5787B" w14:textId="77777777" w:rsidR="00222DE0" w:rsidRPr="00EE3355" w:rsidRDefault="00222DE0" w:rsidP="00EA1CDF">
      <w:pPr>
        <w:pStyle w:val="a3"/>
        <w:keepNext/>
        <w:widowControl/>
        <w:ind w:left="0"/>
        <w:rPr>
          <w:i/>
          <w:sz w:val="20"/>
        </w:rPr>
      </w:pPr>
    </w:p>
    <w:tbl>
      <w:tblPr>
        <w:tblW w:w="939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03"/>
        <w:gridCol w:w="1706"/>
        <w:gridCol w:w="2015"/>
        <w:gridCol w:w="1803"/>
        <w:gridCol w:w="1960"/>
        <w:gridCol w:w="11"/>
      </w:tblGrid>
      <w:tr w:rsidR="00222DE0" w:rsidRPr="00EE3355" w14:paraId="6C4B3757" w14:textId="77777777" w:rsidTr="001B021A">
        <w:trPr>
          <w:cantSplit/>
          <w:trHeight w:val="20"/>
          <w:tblHeader/>
        </w:trPr>
        <w:tc>
          <w:tcPr>
            <w:tcW w:w="1906" w:type="dxa"/>
            <w:vMerge w:val="restart"/>
          </w:tcPr>
          <w:p w14:paraId="207BCF37" w14:textId="77777777" w:rsidR="00222DE0" w:rsidRPr="00EE3355" w:rsidRDefault="0098273B" w:rsidP="00EA1CDF">
            <w:pPr>
              <w:pStyle w:val="TableParagraph"/>
              <w:keepNext/>
              <w:widowControl/>
              <w:ind w:right="-167"/>
              <w:jc w:val="center"/>
              <w:rPr>
                <w:b/>
              </w:rPr>
            </w:pPr>
            <w:r w:rsidRPr="00EE3355">
              <w:rPr>
                <w:b/>
              </w:rPr>
              <w:t xml:space="preserve">Třídy orgánových systémů </w:t>
            </w:r>
            <w:r w:rsidRPr="00EE3355">
              <w:rPr>
                <w:b/>
                <w:color w:val="131313"/>
              </w:rPr>
              <w:t>dle</w:t>
            </w:r>
            <w:r w:rsidR="002B01D3" w:rsidRPr="00EE3355">
              <w:rPr>
                <w:b/>
                <w:color w:val="131313"/>
              </w:rPr>
              <w:t xml:space="preserve"> </w:t>
            </w:r>
            <w:r w:rsidRPr="00EE3355">
              <w:rPr>
                <w:b/>
                <w:color w:val="131313"/>
              </w:rPr>
              <w:t>MedDRA</w:t>
            </w:r>
          </w:p>
        </w:tc>
        <w:tc>
          <w:tcPr>
            <w:tcW w:w="7488" w:type="dxa"/>
            <w:gridSpan w:val="5"/>
          </w:tcPr>
          <w:p w14:paraId="48C9443A" w14:textId="77777777" w:rsidR="00222DE0" w:rsidRPr="00EE3355" w:rsidRDefault="0098273B" w:rsidP="00EA1CDF">
            <w:pPr>
              <w:pStyle w:val="TableParagraph"/>
              <w:keepNext/>
              <w:widowControl/>
              <w:jc w:val="center"/>
              <w:rPr>
                <w:b/>
              </w:rPr>
            </w:pPr>
            <w:r w:rsidRPr="00EE3355">
              <w:rPr>
                <w:b/>
              </w:rPr>
              <w:t>Kategorie frekvencí s preferovanými termíny</w:t>
            </w:r>
          </w:p>
        </w:tc>
      </w:tr>
      <w:tr w:rsidR="00222DE0" w:rsidRPr="00EE3355" w14:paraId="34C784C5" w14:textId="77777777" w:rsidTr="001B021A">
        <w:trPr>
          <w:cantSplit/>
          <w:trHeight w:val="20"/>
          <w:tblHeader/>
        </w:trPr>
        <w:tc>
          <w:tcPr>
            <w:tcW w:w="1906" w:type="dxa"/>
            <w:vMerge/>
          </w:tcPr>
          <w:p w14:paraId="1C96EF61" w14:textId="77777777" w:rsidR="00222DE0" w:rsidRPr="00EE3355" w:rsidRDefault="00222DE0" w:rsidP="00EA1CDF">
            <w:pPr>
              <w:keepNext/>
              <w:widowControl/>
              <w:rPr>
                <w:sz w:val="2"/>
                <w:szCs w:val="2"/>
              </w:rPr>
            </w:pPr>
          </w:p>
        </w:tc>
        <w:tc>
          <w:tcPr>
            <w:tcW w:w="1708" w:type="dxa"/>
          </w:tcPr>
          <w:p w14:paraId="656A2FEE" w14:textId="77777777" w:rsidR="00222DE0" w:rsidRPr="00EE3355" w:rsidRDefault="0098273B" w:rsidP="00EA1CDF">
            <w:pPr>
              <w:pStyle w:val="TableParagraph"/>
              <w:keepNext/>
              <w:widowControl/>
              <w:jc w:val="center"/>
              <w:rPr>
                <w:b/>
              </w:rPr>
            </w:pPr>
            <w:r w:rsidRPr="00EE3355">
              <w:rPr>
                <w:b/>
                <w:color w:val="131313"/>
              </w:rPr>
              <w:t>Velmi časté</w:t>
            </w:r>
          </w:p>
        </w:tc>
        <w:tc>
          <w:tcPr>
            <w:tcW w:w="2017" w:type="dxa"/>
          </w:tcPr>
          <w:p w14:paraId="35BDB98B" w14:textId="77777777" w:rsidR="00222DE0" w:rsidRPr="00EE3355" w:rsidRDefault="0098273B" w:rsidP="00EA1CDF">
            <w:pPr>
              <w:pStyle w:val="TableParagraph"/>
              <w:keepNext/>
              <w:widowControl/>
              <w:jc w:val="center"/>
              <w:rPr>
                <w:b/>
              </w:rPr>
            </w:pPr>
            <w:r w:rsidRPr="00EE3355">
              <w:rPr>
                <w:b/>
                <w:color w:val="131313"/>
              </w:rPr>
              <w:t>Časté</w:t>
            </w:r>
          </w:p>
        </w:tc>
        <w:tc>
          <w:tcPr>
            <w:tcW w:w="1790" w:type="dxa"/>
          </w:tcPr>
          <w:p w14:paraId="4A83DB8B" w14:textId="77777777" w:rsidR="00222DE0" w:rsidRPr="00EE3355" w:rsidRDefault="0098273B" w:rsidP="00EA1CDF">
            <w:pPr>
              <w:pStyle w:val="TableParagraph"/>
              <w:keepNext/>
              <w:widowControl/>
              <w:rPr>
                <w:b/>
              </w:rPr>
            </w:pPr>
            <w:r w:rsidRPr="00EE3355">
              <w:rPr>
                <w:b/>
                <w:color w:val="131313"/>
              </w:rPr>
              <w:t>Méně časté</w:t>
            </w:r>
          </w:p>
        </w:tc>
        <w:tc>
          <w:tcPr>
            <w:tcW w:w="1973" w:type="dxa"/>
            <w:gridSpan w:val="2"/>
          </w:tcPr>
          <w:p w14:paraId="3F8A395D" w14:textId="77777777" w:rsidR="00222DE0" w:rsidRPr="00EE3355" w:rsidRDefault="0098273B" w:rsidP="00EA1CDF">
            <w:pPr>
              <w:pStyle w:val="TableParagraph"/>
              <w:keepNext/>
              <w:widowControl/>
              <w:jc w:val="center"/>
              <w:rPr>
                <w:b/>
              </w:rPr>
            </w:pPr>
            <w:r w:rsidRPr="00EE3355">
              <w:rPr>
                <w:b/>
                <w:color w:val="131313"/>
              </w:rPr>
              <w:t>Vzácné</w:t>
            </w:r>
          </w:p>
        </w:tc>
      </w:tr>
      <w:tr w:rsidR="00222DE0" w:rsidRPr="00EE3355" w14:paraId="7C82C650" w14:textId="77777777" w:rsidTr="001B021A">
        <w:trPr>
          <w:cantSplit/>
          <w:trHeight w:val="20"/>
        </w:trPr>
        <w:tc>
          <w:tcPr>
            <w:tcW w:w="1906" w:type="dxa"/>
          </w:tcPr>
          <w:p w14:paraId="653D4731" w14:textId="77777777" w:rsidR="00222DE0" w:rsidRPr="00EE3355" w:rsidRDefault="0098273B" w:rsidP="00EA1CDF">
            <w:pPr>
              <w:pStyle w:val="TableParagraph"/>
              <w:widowControl/>
            </w:pPr>
            <w:r w:rsidRPr="00EE3355">
              <w:rPr>
                <w:color w:val="131313"/>
              </w:rPr>
              <w:t>Infekce a infestace</w:t>
            </w:r>
          </w:p>
        </w:tc>
        <w:tc>
          <w:tcPr>
            <w:tcW w:w="1708" w:type="dxa"/>
          </w:tcPr>
          <w:p w14:paraId="7AE10388" w14:textId="77777777" w:rsidR="00222DE0" w:rsidRPr="00EE3355" w:rsidRDefault="0098273B" w:rsidP="00EA1CDF">
            <w:pPr>
              <w:pStyle w:val="TableParagraph"/>
              <w:widowControl/>
            </w:pPr>
            <w:r w:rsidRPr="00EE3355">
              <w:rPr>
                <w:color w:val="131313"/>
              </w:rPr>
              <w:t>Infekce horních cest dýchacích</w:t>
            </w:r>
          </w:p>
        </w:tc>
        <w:tc>
          <w:tcPr>
            <w:tcW w:w="2017" w:type="dxa"/>
          </w:tcPr>
          <w:p w14:paraId="2551655B" w14:textId="77777777" w:rsidR="00222DE0" w:rsidRPr="00EE3355" w:rsidRDefault="0098273B" w:rsidP="00EA1CDF">
            <w:pPr>
              <w:pStyle w:val="TableParagraph"/>
              <w:widowControl/>
            </w:pPr>
            <w:r w:rsidRPr="00EE3355">
              <w:rPr>
                <w:color w:val="131313"/>
              </w:rPr>
              <w:t>Celulitida, pneumonie, orální herpes simplex,</w:t>
            </w:r>
            <w:r w:rsidR="002B01D3" w:rsidRPr="00EE3355">
              <w:rPr>
                <w:color w:val="131313"/>
              </w:rPr>
              <w:t xml:space="preserve"> </w:t>
            </w:r>
            <w:r w:rsidRPr="00EE3355">
              <w:rPr>
                <w:color w:val="131313"/>
              </w:rPr>
              <w:t>herpes zoster</w:t>
            </w:r>
          </w:p>
        </w:tc>
        <w:tc>
          <w:tcPr>
            <w:tcW w:w="1790" w:type="dxa"/>
          </w:tcPr>
          <w:p w14:paraId="3EAA0BBB" w14:textId="77777777" w:rsidR="00222DE0" w:rsidRPr="00EE3355" w:rsidRDefault="0098273B" w:rsidP="00EA1CDF">
            <w:pPr>
              <w:pStyle w:val="TableParagraph"/>
              <w:widowControl/>
            </w:pPr>
            <w:r w:rsidRPr="00EE3355">
              <w:rPr>
                <w:color w:val="131313"/>
              </w:rPr>
              <w:t>Divertikulitida</w:t>
            </w:r>
          </w:p>
        </w:tc>
        <w:tc>
          <w:tcPr>
            <w:tcW w:w="1973" w:type="dxa"/>
            <w:gridSpan w:val="2"/>
          </w:tcPr>
          <w:p w14:paraId="1C90DD34" w14:textId="77777777" w:rsidR="00222DE0" w:rsidRPr="00EE3355" w:rsidRDefault="00222DE0" w:rsidP="00EA1CDF">
            <w:pPr>
              <w:pStyle w:val="TableParagraph"/>
              <w:widowControl/>
            </w:pPr>
          </w:p>
        </w:tc>
      </w:tr>
      <w:tr w:rsidR="00222DE0" w:rsidRPr="00EE3355" w14:paraId="574B3E35" w14:textId="77777777" w:rsidTr="001B021A">
        <w:trPr>
          <w:cantSplit/>
          <w:trHeight w:val="20"/>
        </w:trPr>
        <w:tc>
          <w:tcPr>
            <w:tcW w:w="1906" w:type="dxa"/>
          </w:tcPr>
          <w:p w14:paraId="3FFEF4A2" w14:textId="77777777" w:rsidR="00222DE0" w:rsidRPr="00EE3355" w:rsidRDefault="0098273B" w:rsidP="00EA1CDF">
            <w:pPr>
              <w:pStyle w:val="TableParagraph"/>
              <w:widowControl/>
            </w:pPr>
            <w:r w:rsidRPr="00EE3355">
              <w:rPr>
                <w:color w:val="131313"/>
              </w:rPr>
              <w:lastRenderedPageBreak/>
              <w:t>Poruchy krve a lymfatického</w:t>
            </w:r>
            <w:r w:rsidR="002B01D3" w:rsidRPr="00EE3355">
              <w:rPr>
                <w:color w:val="131313"/>
              </w:rPr>
              <w:t xml:space="preserve"> </w:t>
            </w:r>
            <w:r w:rsidRPr="00EE3355">
              <w:rPr>
                <w:color w:val="131313"/>
              </w:rPr>
              <w:t>systému</w:t>
            </w:r>
          </w:p>
        </w:tc>
        <w:tc>
          <w:tcPr>
            <w:tcW w:w="1708" w:type="dxa"/>
          </w:tcPr>
          <w:p w14:paraId="32FBB136" w14:textId="77777777" w:rsidR="00222DE0" w:rsidRPr="00EE3355" w:rsidRDefault="00222DE0" w:rsidP="00EA1CDF">
            <w:pPr>
              <w:pStyle w:val="TableParagraph"/>
              <w:widowControl/>
            </w:pPr>
          </w:p>
        </w:tc>
        <w:tc>
          <w:tcPr>
            <w:tcW w:w="2017" w:type="dxa"/>
          </w:tcPr>
          <w:p w14:paraId="7CCA2D98" w14:textId="77777777" w:rsidR="00222DE0" w:rsidRPr="00EE3355" w:rsidRDefault="0098273B" w:rsidP="00EA1CDF">
            <w:pPr>
              <w:pStyle w:val="TableParagraph"/>
              <w:widowControl/>
            </w:pPr>
            <w:r w:rsidRPr="00EE3355">
              <w:rPr>
                <w:color w:val="131313"/>
              </w:rPr>
              <w:t>Leukopenie neutropenie,</w:t>
            </w:r>
            <w:r w:rsidR="002B01D3" w:rsidRPr="00EE3355">
              <w:rPr>
                <w:color w:val="131313"/>
              </w:rPr>
              <w:t xml:space="preserve"> </w:t>
            </w:r>
            <w:r w:rsidRPr="00EE3355">
              <w:t>hypofibrinogenemie</w:t>
            </w:r>
          </w:p>
        </w:tc>
        <w:tc>
          <w:tcPr>
            <w:tcW w:w="1790" w:type="dxa"/>
          </w:tcPr>
          <w:p w14:paraId="73441D45" w14:textId="77777777" w:rsidR="00222DE0" w:rsidRPr="00EE3355" w:rsidRDefault="00222DE0" w:rsidP="00EA1CDF">
            <w:pPr>
              <w:pStyle w:val="TableParagraph"/>
              <w:widowControl/>
            </w:pPr>
          </w:p>
        </w:tc>
        <w:tc>
          <w:tcPr>
            <w:tcW w:w="1973" w:type="dxa"/>
            <w:gridSpan w:val="2"/>
          </w:tcPr>
          <w:p w14:paraId="1723E66A" w14:textId="77777777" w:rsidR="00222DE0" w:rsidRPr="00EE3355" w:rsidRDefault="00222DE0" w:rsidP="00EA1CDF">
            <w:pPr>
              <w:pStyle w:val="TableParagraph"/>
              <w:widowControl/>
            </w:pPr>
          </w:p>
        </w:tc>
      </w:tr>
      <w:tr w:rsidR="00222DE0" w:rsidRPr="00EE3355" w14:paraId="0AFD521F" w14:textId="77777777" w:rsidTr="001B021A">
        <w:trPr>
          <w:cantSplit/>
          <w:trHeight w:val="20"/>
        </w:trPr>
        <w:tc>
          <w:tcPr>
            <w:tcW w:w="1906" w:type="dxa"/>
          </w:tcPr>
          <w:p w14:paraId="7C9E5EF4" w14:textId="77777777" w:rsidR="00222DE0" w:rsidRPr="00EE3355" w:rsidRDefault="0098273B" w:rsidP="00EA1CDF">
            <w:pPr>
              <w:pStyle w:val="TableParagraph"/>
              <w:widowControl/>
              <w:ind w:right="-167"/>
            </w:pPr>
            <w:r w:rsidRPr="00EE3355">
              <w:t>Poruchy</w:t>
            </w:r>
            <w:r w:rsidR="002B01D3" w:rsidRPr="00EE3355">
              <w:t xml:space="preserve"> </w:t>
            </w:r>
            <w:r w:rsidRPr="00EE3355">
              <w:t>imunitního systému</w:t>
            </w:r>
          </w:p>
        </w:tc>
        <w:tc>
          <w:tcPr>
            <w:tcW w:w="1708" w:type="dxa"/>
          </w:tcPr>
          <w:p w14:paraId="62AD9F77" w14:textId="77777777" w:rsidR="00222DE0" w:rsidRPr="00EE3355" w:rsidRDefault="00222DE0" w:rsidP="00EA1CDF">
            <w:pPr>
              <w:pStyle w:val="TableParagraph"/>
              <w:widowControl/>
            </w:pPr>
          </w:p>
        </w:tc>
        <w:tc>
          <w:tcPr>
            <w:tcW w:w="2017" w:type="dxa"/>
          </w:tcPr>
          <w:p w14:paraId="39CB7691" w14:textId="77777777" w:rsidR="00222DE0" w:rsidRPr="00EE3355" w:rsidRDefault="00222DE0" w:rsidP="00EA1CDF">
            <w:pPr>
              <w:pStyle w:val="TableParagraph"/>
              <w:widowControl/>
            </w:pPr>
          </w:p>
        </w:tc>
        <w:tc>
          <w:tcPr>
            <w:tcW w:w="1790" w:type="dxa"/>
          </w:tcPr>
          <w:p w14:paraId="4D906673" w14:textId="77777777" w:rsidR="00222DE0" w:rsidRPr="00EE3355" w:rsidRDefault="00222DE0" w:rsidP="00EA1CDF">
            <w:pPr>
              <w:pStyle w:val="TableParagraph"/>
              <w:widowControl/>
            </w:pPr>
          </w:p>
        </w:tc>
        <w:tc>
          <w:tcPr>
            <w:tcW w:w="1973" w:type="dxa"/>
            <w:gridSpan w:val="2"/>
          </w:tcPr>
          <w:p w14:paraId="37B73872" w14:textId="77777777" w:rsidR="00222DE0" w:rsidRPr="00EE3355" w:rsidRDefault="0098273B" w:rsidP="00EA1CDF">
            <w:pPr>
              <w:pStyle w:val="TableParagraph"/>
              <w:widowControl/>
              <w:jc w:val="center"/>
            </w:pPr>
            <w:r w:rsidRPr="00EE3355">
              <w:t>Anafylaxe (fatální)</w:t>
            </w:r>
            <w:r w:rsidRPr="00EE3355">
              <w:rPr>
                <w:vertAlign w:val="superscript"/>
              </w:rPr>
              <w:t>1,</w:t>
            </w:r>
            <w:r w:rsidRPr="00EE3355">
              <w:t xml:space="preserve"> </w:t>
            </w:r>
            <w:r w:rsidRPr="00EE3355">
              <w:rPr>
                <w:vertAlign w:val="superscript"/>
              </w:rPr>
              <w:t>2,</w:t>
            </w:r>
            <w:r w:rsidRPr="00EE3355">
              <w:t xml:space="preserve"> </w:t>
            </w:r>
            <w:r w:rsidRPr="00EE3355">
              <w:rPr>
                <w:vertAlign w:val="superscript"/>
              </w:rPr>
              <w:t>3</w:t>
            </w:r>
          </w:p>
        </w:tc>
      </w:tr>
      <w:tr w:rsidR="00222DE0" w:rsidRPr="00EE3355" w14:paraId="0FF9A3FE" w14:textId="77777777" w:rsidTr="001B021A">
        <w:trPr>
          <w:cantSplit/>
          <w:trHeight w:val="20"/>
        </w:trPr>
        <w:tc>
          <w:tcPr>
            <w:tcW w:w="1906" w:type="dxa"/>
          </w:tcPr>
          <w:p w14:paraId="33442789" w14:textId="77777777" w:rsidR="00222DE0" w:rsidRPr="00EE3355" w:rsidRDefault="0098273B" w:rsidP="00EA1CDF">
            <w:pPr>
              <w:pStyle w:val="TableParagraph"/>
              <w:widowControl/>
            </w:pPr>
            <w:r w:rsidRPr="00EE3355">
              <w:rPr>
                <w:color w:val="131313"/>
              </w:rPr>
              <w:t>Endokrinní</w:t>
            </w:r>
            <w:r w:rsidR="002B01D3" w:rsidRPr="00EE3355">
              <w:rPr>
                <w:color w:val="131313"/>
              </w:rPr>
              <w:t xml:space="preserve"> </w:t>
            </w:r>
            <w:r w:rsidRPr="00EE3355">
              <w:rPr>
                <w:color w:val="131313"/>
              </w:rPr>
              <w:t>poruchy</w:t>
            </w:r>
          </w:p>
        </w:tc>
        <w:tc>
          <w:tcPr>
            <w:tcW w:w="1708" w:type="dxa"/>
          </w:tcPr>
          <w:p w14:paraId="58AD760E" w14:textId="77777777" w:rsidR="00222DE0" w:rsidRPr="00EE3355" w:rsidRDefault="00222DE0" w:rsidP="00EA1CDF">
            <w:pPr>
              <w:pStyle w:val="TableParagraph"/>
              <w:widowControl/>
            </w:pPr>
          </w:p>
        </w:tc>
        <w:tc>
          <w:tcPr>
            <w:tcW w:w="2017" w:type="dxa"/>
          </w:tcPr>
          <w:p w14:paraId="1196D546" w14:textId="77777777" w:rsidR="00222DE0" w:rsidRPr="00EE3355" w:rsidRDefault="00222DE0" w:rsidP="00EA1CDF">
            <w:pPr>
              <w:pStyle w:val="TableParagraph"/>
              <w:widowControl/>
            </w:pPr>
          </w:p>
        </w:tc>
        <w:tc>
          <w:tcPr>
            <w:tcW w:w="1790" w:type="dxa"/>
          </w:tcPr>
          <w:p w14:paraId="62809E44" w14:textId="77777777" w:rsidR="00222DE0" w:rsidRPr="00EE3355" w:rsidRDefault="0098273B" w:rsidP="00EA1CDF">
            <w:pPr>
              <w:pStyle w:val="TableParagraph"/>
              <w:widowControl/>
            </w:pPr>
            <w:r w:rsidRPr="00EE3355">
              <w:rPr>
                <w:color w:val="131313"/>
              </w:rPr>
              <w:t>Hypotyreóza</w:t>
            </w:r>
          </w:p>
        </w:tc>
        <w:tc>
          <w:tcPr>
            <w:tcW w:w="1973" w:type="dxa"/>
            <w:gridSpan w:val="2"/>
          </w:tcPr>
          <w:p w14:paraId="7B448D9C" w14:textId="77777777" w:rsidR="00222DE0" w:rsidRPr="00EE3355" w:rsidRDefault="00222DE0" w:rsidP="00EA1CDF">
            <w:pPr>
              <w:pStyle w:val="TableParagraph"/>
              <w:widowControl/>
            </w:pPr>
          </w:p>
        </w:tc>
      </w:tr>
      <w:tr w:rsidR="00222DE0" w:rsidRPr="00EE3355" w14:paraId="6735F414" w14:textId="77777777" w:rsidTr="001B021A">
        <w:trPr>
          <w:cantSplit/>
          <w:trHeight w:val="20"/>
        </w:trPr>
        <w:tc>
          <w:tcPr>
            <w:tcW w:w="1906" w:type="dxa"/>
          </w:tcPr>
          <w:p w14:paraId="771506BC" w14:textId="77777777" w:rsidR="00222DE0" w:rsidRPr="00EE3355" w:rsidRDefault="0098273B" w:rsidP="00EA1CDF">
            <w:pPr>
              <w:pStyle w:val="TableParagraph"/>
              <w:widowControl/>
            </w:pPr>
            <w:r w:rsidRPr="00EE3355">
              <w:rPr>
                <w:color w:val="131313"/>
              </w:rPr>
              <w:t>Poruchy</w:t>
            </w:r>
            <w:r w:rsidR="002B01D3" w:rsidRPr="00EE3355">
              <w:rPr>
                <w:color w:val="131313"/>
              </w:rPr>
              <w:t xml:space="preserve"> </w:t>
            </w:r>
            <w:r w:rsidRPr="00EE3355">
              <w:rPr>
                <w:color w:val="131313"/>
              </w:rPr>
              <w:t>metabolismu a výživy</w:t>
            </w:r>
          </w:p>
        </w:tc>
        <w:tc>
          <w:tcPr>
            <w:tcW w:w="1708" w:type="dxa"/>
          </w:tcPr>
          <w:p w14:paraId="7CB054BA" w14:textId="77777777" w:rsidR="00222DE0" w:rsidRPr="00EE3355" w:rsidRDefault="0098273B" w:rsidP="00EA1CDF">
            <w:pPr>
              <w:pStyle w:val="TableParagraph"/>
              <w:widowControl/>
            </w:pPr>
            <w:r w:rsidRPr="00EE3355">
              <w:rPr>
                <w:color w:val="131313"/>
              </w:rPr>
              <w:t>Hypercholesterolemie*</w:t>
            </w:r>
          </w:p>
        </w:tc>
        <w:tc>
          <w:tcPr>
            <w:tcW w:w="2017" w:type="dxa"/>
          </w:tcPr>
          <w:p w14:paraId="13AF5C48" w14:textId="77777777" w:rsidR="00222DE0" w:rsidRPr="00EE3355" w:rsidRDefault="00222DE0" w:rsidP="00EA1CDF">
            <w:pPr>
              <w:pStyle w:val="TableParagraph"/>
              <w:widowControl/>
            </w:pPr>
          </w:p>
        </w:tc>
        <w:tc>
          <w:tcPr>
            <w:tcW w:w="1790" w:type="dxa"/>
          </w:tcPr>
          <w:p w14:paraId="4974019C" w14:textId="77777777" w:rsidR="00222DE0" w:rsidRPr="00EE3355" w:rsidRDefault="0098273B" w:rsidP="00EA1CDF">
            <w:pPr>
              <w:pStyle w:val="TableParagraph"/>
              <w:widowControl/>
            </w:pPr>
            <w:r w:rsidRPr="00EE3355">
              <w:rPr>
                <w:color w:val="131313"/>
              </w:rPr>
              <w:t>Hypertriglyceridemie</w:t>
            </w:r>
          </w:p>
        </w:tc>
        <w:tc>
          <w:tcPr>
            <w:tcW w:w="1973" w:type="dxa"/>
            <w:gridSpan w:val="2"/>
          </w:tcPr>
          <w:p w14:paraId="026E9425" w14:textId="77777777" w:rsidR="00222DE0" w:rsidRPr="00EE3355" w:rsidRDefault="00222DE0" w:rsidP="00EA1CDF">
            <w:pPr>
              <w:pStyle w:val="TableParagraph"/>
              <w:widowControl/>
            </w:pPr>
          </w:p>
        </w:tc>
      </w:tr>
      <w:tr w:rsidR="00222DE0" w:rsidRPr="00EE3355" w14:paraId="2B64E8E5" w14:textId="77777777" w:rsidTr="001B021A">
        <w:trPr>
          <w:cantSplit/>
          <w:trHeight w:val="20"/>
        </w:trPr>
        <w:tc>
          <w:tcPr>
            <w:tcW w:w="1906" w:type="dxa"/>
          </w:tcPr>
          <w:p w14:paraId="1BE19CA8" w14:textId="77777777" w:rsidR="00222DE0" w:rsidRPr="00EE3355" w:rsidRDefault="0098273B" w:rsidP="00EA1CDF">
            <w:pPr>
              <w:pStyle w:val="TableParagraph"/>
              <w:widowControl/>
            </w:pPr>
            <w:r w:rsidRPr="00EE3355">
              <w:rPr>
                <w:color w:val="131313"/>
              </w:rPr>
              <w:t>Poruchy nervového</w:t>
            </w:r>
            <w:r w:rsidR="002B01D3" w:rsidRPr="00EE3355">
              <w:rPr>
                <w:color w:val="131313"/>
              </w:rPr>
              <w:t xml:space="preserve"> </w:t>
            </w:r>
            <w:r w:rsidRPr="00EE3355">
              <w:rPr>
                <w:color w:val="131313"/>
              </w:rPr>
              <w:t>systému</w:t>
            </w:r>
          </w:p>
        </w:tc>
        <w:tc>
          <w:tcPr>
            <w:tcW w:w="1708" w:type="dxa"/>
          </w:tcPr>
          <w:p w14:paraId="3943870A" w14:textId="77777777" w:rsidR="00222DE0" w:rsidRPr="00EE3355" w:rsidRDefault="00222DE0" w:rsidP="00EA1CDF">
            <w:pPr>
              <w:pStyle w:val="TableParagraph"/>
              <w:widowControl/>
            </w:pPr>
          </w:p>
        </w:tc>
        <w:tc>
          <w:tcPr>
            <w:tcW w:w="2017" w:type="dxa"/>
          </w:tcPr>
          <w:p w14:paraId="6EA05256" w14:textId="77777777" w:rsidR="00222DE0" w:rsidRPr="00EE3355" w:rsidRDefault="0098273B" w:rsidP="00EA1CDF">
            <w:pPr>
              <w:pStyle w:val="TableParagraph"/>
              <w:widowControl/>
            </w:pPr>
            <w:r w:rsidRPr="00EE3355">
              <w:rPr>
                <w:color w:val="131313"/>
              </w:rPr>
              <w:t>Bolest hlavy, závrať</w:t>
            </w:r>
          </w:p>
        </w:tc>
        <w:tc>
          <w:tcPr>
            <w:tcW w:w="1790" w:type="dxa"/>
          </w:tcPr>
          <w:p w14:paraId="1783A6EE" w14:textId="77777777" w:rsidR="00222DE0" w:rsidRPr="00EE3355" w:rsidRDefault="00222DE0" w:rsidP="00EA1CDF">
            <w:pPr>
              <w:pStyle w:val="TableParagraph"/>
              <w:widowControl/>
            </w:pPr>
          </w:p>
        </w:tc>
        <w:tc>
          <w:tcPr>
            <w:tcW w:w="1973" w:type="dxa"/>
            <w:gridSpan w:val="2"/>
          </w:tcPr>
          <w:p w14:paraId="30A7AB57" w14:textId="77777777" w:rsidR="00222DE0" w:rsidRPr="00EE3355" w:rsidRDefault="00222DE0" w:rsidP="00EA1CDF">
            <w:pPr>
              <w:pStyle w:val="TableParagraph"/>
              <w:widowControl/>
            </w:pPr>
          </w:p>
        </w:tc>
      </w:tr>
      <w:tr w:rsidR="00222DE0" w:rsidRPr="00EE3355" w14:paraId="2542F0B6" w14:textId="77777777" w:rsidTr="001B021A">
        <w:trPr>
          <w:cantSplit/>
          <w:trHeight w:val="20"/>
        </w:trPr>
        <w:tc>
          <w:tcPr>
            <w:tcW w:w="1906" w:type="dxa"/>
          </w:tcPr>
          <w:p w14:paraId="59476D2F" w14:textId="77777777" w:rsidR="00222DE0" w:rsidRPr="00EE3355" w:rsidRDefault="0098273B" w:rsidP="00EA1CDF">
            <w:pPr>
              <w:pStyle w:val="TableParagraph"/>
              <w:widowControl/>
            </w:pPr>
            <w:r w:rsidRPr="00EE3355">
              <w:rPr>
                <w:color w:val="131313"/>
              </w:rPr>
              <w:t>Poruchy oka</w:t>
            </w:r>
          </w:p>
        </w:tc>
        <w:tc>
          <w:tcPr>
            <w:tcW w:w="1708" w:type="dxa"/>
          </w:tcPr>
          <w:p w14:paraId="243495AB" w14:textId="77777777" w:rsidR="00222DE0" w:rsidRPr="00EE3355" w:rsidRDefault="00222DE0" w:rsidP="00EA1CDF">
            <w:pPr>
              <w:pStyle w:val="TableParagraph"/>
              <w:widowControl/>
              <w:rPr>
                <w:sz w:val="20"/>
              </w:rPr>
            </w:pPr>
          </w:p>
        </w:tc>
        <w:tc>
          <w:tcPr>
            <w:tcW w:w="2017" w:type="dxa"/>
          </w:tcPr>
          <w:p w14:paraId="105E82B0" w14:textId="77777777" w:rsidR="00222DE0" w:rsidRPr="00EE3355" w:rsidRDefault="0098273B" w:rsidP="00EA1CDF">
            <w:pPr>
              <w:pStyle w:val="TableParagraph"/>
              <w:widowControl/>
            </w:pPr>
            <w:r w:rsidRPr="00EE3355">
              <w:rPr>
                <w:color w:val="131313"/>
              </w:rPr>
              <w:t>Zánět spojivek</w:t>
            </w:r>
          </w:p>
        </w:tc>
        <w:tc>
          <w:tcPr>
            <w:tcW w:w="1790" w:type="dxa"/>
          </w:tcPr>
          <w:p w14:paraId="14C84AF2" w14:textId="77777777" w:rsidR="00222DE0" w:rsidRPr="00EE3355" w:rsidRDefault="00222DE0" w:rsidP="00EA1CDF">
            <w:pPr>
              <w:pStyle w:val="TableParagraph"/>
              <w:widowControl/>
              <w:rPr>
                <w:sz w:val="20"/>
              </w:rPr>
            </w:pPr>
          </w:p>
        </w:tc>
        <w:tc>
          <w:tcPr>
            <w:tcW w:w="1973" w:type="dxa"/>
            <w:gridSpan w:val="2"/>
          </w:tcPr>
          <w:p w14:paraId="62EFD172" w14:textId="77777777" w:rsidR="00222DE0" w:rsidRPr="00EE3355" w:rsidRDefault="00222DE0" w:rsidP="00EA1CDF">
            <w:pPr>
              <w:pStyle w:val="TableParagraph"/>
              <w:widowControl/>
              <w:rPr>
                <w:sz w:val="20"/>
              </w:rPr>
            </w:pPr>
          </w:p>
        </w:tc>
      </w:tr>
      <w:tr w:rsidR="00222DE0" w:rsidRPr="00EE3355" w14:paraId="1D3544C3" w14:textId="77777777" w:rsidTr="001B021A">
        <w:trPr>
          <w:cantSplit/>
          <w:trHeight w:val="20"/>
        </w:trPr>
        <w:tc>
          <w:tcPr>
            <w:tcW w:w="1906" w:type="dxa"/>
          </w:tcPr>
          <w:p w14:paraId="141937FB" w14:textId="77777777" w:rsidR="00222DE0" w:rsidRPr="00EE3355" w:rsidRDefault="0098273B" w:rsidP="00EA1CDF">
            <w:pPr>
              <w:pStyle w:val="TableParagraph"/>
              <w:widowControl/>
            </w:pPr>
            <w:r w:rsidRPr="00EE3355">
              <w:rPr>
                <w:color w:val="131313"/>
              </w:rPr>
              <w:t>Cévní poruchy</w:t>
            </w:r>
          </w:p>
        </w:tc>
        <w:tc>
          <w:tcPr>
            <w:tcW w:w="1708" w:type="dxa"/>
          </w:tcPr>
          <w:p w14:paraId="26856510" w14:textId="77777777" w:rsidR="00222DE0" w:rsidRPr="00EE3355" w:rsidRDefault="00222DE0" w:rsidP="00EA1CDF">
            <w:pPr>
              <w:pStyle w:val="TableParagraph"/>
              <w:widowControl/>
              <w:rPr>
                <w:sz w:val="20"/>
              </w:rPr>
            </w:pPr>
          </w:p>
        </w:tc>
        <w:tc>
          <w:tcPr>
            <w:tcW w:w="2017" w:type="dxa"/>
          </w:tcPr>
          <w:p w14:paraId="6682D839" w14:textId="77777777" w:rsidR="00222DE0" w:rsidRPr="00EE3355" w:rsidRDefault="0098273B" w:rsidP="00EA1CDF">
            <w:pPr>
              <w:pStyle w:val="TableParagraph"/>
              <w:widowControl/>
            </w:pPr>
            <w:r w:rsidRPr="00EE3355">
              <w:rPr>
                <w:color w:val="131313"/>
              </w:rPr>
              <w:t>Hypertenze</w:t>
            </w:r>
          </w:p>
        </w:tc>
        <w:tc>
          <w:tcPr>
            <w:tcW w:w="1790" w:type="dxa"/>
          </w:tcPr>
          <w:p w14:paraId="44ADF280" w14:textId="77777777" w:rsidR="00222DE0" w:rsidRPr="00EE3355" w:rsidRDefault="00222DE0" w:rsidP="00EA1CDF">
            <w:pPr>
              <w:pStyle w:val="TableParagraph"/>
              <w:widowControl/>
              <w:rPr>
                <w:sz w:val="20"/>
              </w:rPr>
            </w:pPr>
          </w:p>
        </w:tc>
        <w:tc>
          <w:tcPr>
            <w:tcW w:w="1973" w:type="dxa"/>
            <w:gridSpan w:val="2"/>
          </w:tcPr>
          <w:p w14:paraId="603CF2A3" w14:textId="77777777" w:rsidR="00222DE0" w:rsidRPr="00EE3355" w:rsidRDefault="00222DE0" w:rsidP="00EA1CDF">
            <w:pPr>
              <w:pStyle w:val="TableParagraph"/>
              <w:widowControl/>
              <w:rPr>
                <w:sz w:val="20"/>
              </w:rPr>
            </w:pPr>
          </w:p>
        </w:tc>
      </w:tr>
      <w:tr w:rsidR="00222DE0" w:rsidRPr="00EE3355" w14:paraId="547D5AFA" w14:textId="77777777" w:rsidTr="001B021A">
        <w:trPr>
          <w:cantSplit/>
          <w:trHeight w:val="20"/>
        </w:trPr>
        <w:tc>
          <w:tcPr>
            <w:tcW w:w="1906" w:type="dxa"/>
          </w:tcPr>
          <w:p w14:paraId="1F9BB5BF" w14:textId="77777777" w:rsidR="00222DE0" w:rsidRPr="00EE3355" w:rsidRDefault="0098273B" w:rsidP="00EA1CDF">
            <w:pPr>
              <w:pStyle w:val="TableParagraph"/>
              <w:widowControl/>
            </w:pPr>
            <w:r w:rsidRPr="00EE3355">
              <w:rPr>
                <w:color w:val="131313"/>
              </w:rPr>
              <w:t>Respirační, hrudní a mediastinální</w:t>
            </w:r>
            <w:r w:rsidR="002B01D3" w:rsidRPr="00EE3355">
              <w:rPr>
                <w:color w:val="131313"/>
              </w:rPr>
              <w:t xml:space="preserve"> </w:t>
            </w:r>
            <w:r w:rsidRPr="00EE3355">
              <w:rPr>
                <w:color w:val="131313"/>
              </w:rPr>
              <w:t>poruchy</w:t>
            </w:r>
          </w:p>
        </w:tc>
        <w:tc>
          <w:tcPr>
            <w:tcW w:w="1708" w:type="dxa"/>
          </w:tcPr>
          <w:p w14:paraId="3398301D" w14:textId="77777777" w:rsidR="00222DE0" w:rsidRPr="00EE3355" w:rsidRDefault="00222DE0" w:rsidP="00EA1CDF">
            <w:pPr>
              <w:pStyle w:val="TableParagraph"/>
              <w:widowControl/>
            </w:pPr>
          </w:p>
        </w:tc>
        <w:tc>
          <w:tcPr>
            <w:tcW w:w="2017" w:type="dxa"/>
          </w:tcPr>
          <w:p w14:paraId="707A8633" w14:textId="77777777" w:rsidR="00222DE0" w:rsidRPr="00EE3355" w:rsidRDefault="0098273B" w:rsidP="00EA1CDF">
            <w:pPr>
              <w:pStyle w:val="TableParagraph"/>
              <w:widowControl/>
            </w:pPr>
            <w:r w:rsidRPr="00EE3355">
              <w:rPr>
                <w:color w:val="131313"/>
              </w:rPr>
              <w:t>Kašel, dyspnoe</w:t>
            </w:r>
          </w:p>
        </w:tc>
        <w:tc>
          <w:tcPr>
            <w:tcW w:w="1790" w:type="dxa"/>
          </w:tcPr>
          <w:p w14:paraId="277B3F2D" w14:textId="77777777" w:rsidR="00222DE0" w:rsidRPr="00EE3355" w:rsidRDefault="00222DE0" w:rsidP="00EA1CDF">
            <w:pPr>
              <w:pStyle w:val="TableParagraph"/>
              <w:widowControl/>
            </w:pPr>
          </w:p>
        </w:tc>
        <w:tc>
          <w:tcPr>
            <w:tcW w:w="1973" w:type="dxa"/>
            <w:gridSpan w:val="2"/>
          </w:tcPr>
          <w:p w14:paraId="3E336383" w14:textId="77777777" w:rsidR="00222DE0" w:rsidRPr="00EE3355" w:rsidRDefault="00222DE0" w:rsidP="00EA1CDF">
            <w:pPr>
              <w:pStyle w:val="TableParagraph"/>
              <w:widowControl/>
            </w:pPr>
          </w:p>
        </w:tc>
      </w:tr>
      <w:tr w:rsidR="00222DE0" w:rsidRPr="00EE3355" w14:paraId="661CEE67" w14:textId="77777777" w:rsidTr="001B021A">
        <w:trPr>
          <w:gridAfter w:val="1"/>
          <w:wAfter w:w="11" w:type="dxa"/>
          <w:cantSplit/>
          <w:trHeight w:val="20"/>
        </w:trPr>
        <w:tc>
          <w:tcPr>
            <w:tcW w:w="1906" w:type="dxa"/>
          </w:tcPr>
          <w:p w14:paraId="6818001C" w14:textId="77777777" w:rsidR="00222DE0" w:rsidRPr="00EE3355" w:rsidRDefault="0098273B" w:rsidP="00EA1CDF">
            <w:pPr>
              <w:pStyle w:val="TableParagraph"/>
              <w:widowControl/>
            </w:pPr>
            <w:r w:rsidRPr="00EE3355">
              <w:rPr>
                <w:color w:val="131313"/>
              </w:rPr>
              <w:t>Gastrointestinální poruchy</w:t>
            </w:r>
          </w:p>
        </w:tc>
        <w:tc>
          <w:tcPr>
            <w:tcW w:w="1708" w:type="dxa"/>
          </w:tcPr>
          <w:p w14:paraId="7BC92376" w14:textId="77777777" w:rsidR="00222DE0" w:rsidRPr="00EE3355" w:rsidRDefault="00222DE0" w:rsidP="00EA1CDF">
            <w:pPr>
              <w:pStyle w:val="TableParagraph"/>
              <w:widowControl/>
              <w:rPr>
                <w:sz w:val="20"/>
              </w:rPr>
            </w:pPr>
          </w:p>
        </w:tc>
        <w:tc>
          <w:tcPr>
            <w:tcW w:w="2017" w:type="dxa"/>
          </w:tcPr>
          <w:p w14:paraId="6E625848" w14:textId="77777777" w:rsidR="00222DE0" w:rsidRPr="00EE3355" w:rsidRDefault="0098273B" w:rsidP="00EA1CDF">
            <w:pPr>
              <w:pStyle w:val="TableParagraph"/>
              <w:widowControl/>
            </w:pPr>
            <w:r w:rsidRPr="00EE3355">
              <w:rPr>
                <w:color w:val="131313"/>
              </w:rPr>
              <w:t>Bolest břicha, vředy</w:t>
            </w:r>
            <w:r w:rsidR="002B01D3" w:rsidRPr="00EE3355">
              <w:rPr>
                <w:color w:val="131313"/>
              </w:rPr>
              <w:t xml:space="preserve"> </w:t>
            </w:r>
            <w:r w:rsidRPr="00EE3355">
              <w:rPr>
                <w:color w:val="131313"/>
              </w:rPr>
              <w:t>v ústní dutině,</w:t>
            </w:r>
            <w:r w:rsidR="002B01D3" w:rsidRPr="00EE3355">
              <w:rPr>
                <w:color w:val="131313"/>
              </w:rPr>
              <w:t xml:space="preserve"> </w:t>
            </w:r>
            <w:r w:rsidRPr="00EE3355">
              <w:rPr>
                <w:color w:val="131313"/>
              </w:rPr>
              <w:t>gastritida</w:t>
            </w:r>
          </w:p>
        </w:tc>
        <w:tc>
          <w:tcPr>
            <w:tcW w:w="1805" w:type="dxa"/>
          </w:tcPr>
          <w:p w14:paraId="4DE1AA15" w14:textId="77777777" w:rsidR="00222DE0" w:rsidRPr="00EE3355" w:rsidRDefault="0098273B" w:rsidP="00EA1CDF">
            <w:pPr>
              <w:pStyle w:val="TableParagraph"/>
              <w:widowControl/>
            </w:pPr>
            <w:r w:rsidRPr="00EE3355">
              <w:rPr>
                <w:color w:val="131313"/>
              </w:rPr>
              <w:t>Stomatitida,</w:t>
            </w:r>
            <w:r w:rsidR="002B01D3" w:rsidRPr="00EE3355">
              <w:rPr>
                <w:color w:val="131313"/>
              </w:rPr>
              <w:t xml:space="preserve"> </w:t>
            </w:r>
            <w:r w:rsidRPr="00EE3355">
              <w:rPr>
                <w:color w:val="131313"/>
              </w:rPr>
              <w:t>žaludeční vřed</w:t>
            </w:r>
          </w:p>
        </w:tc>
        <w:tc>
          <w:tcPr>
            <w:tcW w:w="1962" w:type="dxa"/>
          </w:tcPr>
          <w:p w14:paraId="6546BF11" w14:textId="77777777" w:rsidR="00222DE0" w:rsidRPr="00EE3355" w:rsidRDefault="00222DE0" w:rsidP="00EA1CDF">
            <w:pPr>
              <w:pStyle w:val="TableParagraph"/>
              <w:widowControl/>
              <w:rPr>
                <w:sz w:val="20"/>
              </w:rPr>
            </w:pPr>
          </w:p>
        </w:tc>
      </w:tr>
      <w:tr w:rsidR="00222DE0" w:rsidRPr="00EE3355" w14:paraId="107C76B7" w14:textId="77777777" w:rsidTr="001B021A">
        <w:trPr>
          <w:gridAfter w:val="1"/>
          <w:wAfter w:w="11" w:type="dxa"/>
          <w:cantSplit/>
          <w:trHeight w:val="20"/>
        </w:trPr>
        <w:tc>
          <w:tcPr>
            <w:tcW w:w="1906" w:type="dxa"/>
          </w:tcPr>
          <w:p w14:paraId="7EF2CF96" w14:textId="77777777" w:rsidR="00222DE0" w:rsidRPr="00EE3355" w:rsidRDefault="0098273B" w:rsidP="00EA1CDF">
            <w:pPr>
              <w:pStyle w:val="TableParagraph"/>
              <w:widowControl/>
            </w:pPr>
            <w:r w:rsidRPr="00EE3355">
              <w:t>Poruchy jater a</w:t>
            </w:r>
            <w:r w:rsidR="002B01D3" w:rsidRPr="00EE3355">
              <w:t xml:space="preserve"> </w:t>
            </w:r>
            <w:r w:rsidRPr="00EE3355">
              <w:t>žlučových cest</w:t>
            </w:r>
          </w:p>
        </w:tc>
        <w:tc>
          <w:tcPr>
            <w:tcW w:w="1708" w:type="dxa"/>
          </w:tcPr>
          <w:p w14:paraId="4412BC75" w14:textId="77777777" w:rsidR="00222DE0" w:rsidRPr="00EE3355" w:rsidRDefault="00222DE0" w:rsidP="00EA1CDF">
            <w:pPr>
              <w:pStyle w:val="TableParagraph"/>
              <w:widowControl/>
              <w:rPr>
                <w:sz w:val="20"/>
              </w:rPr>
            </w:pPr>
          </w:p>
        </w:tc>
        <w:tc>
          <w:tcPr>
            <w:tcW w:w="2017" w:type="dxa"/>
          </w:tcPr>
          <w:p w14:paraId="1DD49DDC" w14:textId="77777777" w:rsidR="00222DE0" w:rsidRPr="00EE3355" w:rsidRDefault="00222DE0" w:rsidP="00EA1CDF">
            <w:pPr>
              <w:pStyle w:val="TableParagraph"/>
              <w:widowControl/>
              <w:rPr>
                <w:sz w:val="20"/>
              </w:rPr>
            </w:pPr>
          </w:p>
        </w:tc>
        <w:tc>
          <w:tcPr>
            <w:tcW w:w="1805" w:type="dxa"/>
          </w:tcPr>
          <w:p w14:paraId="00B8D419" w14:textId="77777777" w:rsidR="00222DE0" w:rsidRPr="00EE3355" w:rsidRDefault="00222DE0" w:rsidP="00EA1CDF">
            <w:pPr>
              <w:pStyle w:val="TableParagraph"/>
              <w:widowControl/>
              <w:rPr>
                <w:sz w:val="20"/>
              </w:rPr>
            </w:pPr>
          </w:p>
        </w:tc>
        <w:tc>
          <w:tcPr>
            <w:tcW w:w="1962" w:type="dxa"/>
          </w:tcPr>
          <w:p w14:paraId="4DAD6805" w14:textId="77777777" w:rsidR="00222DE0" w:rsidRPr="00EE3355" w:rsidRDefault="0098273B" w:rsidP="00EA1CDF">
            <w:pPr>
              <w:pStyle w:val="TableParagraph"/>
              <w:widowControl/>
            </w:pPr>
            <w:r w:rsidRPr="00EE3355">
              <w:t>Polékové poškození jater, hepatitida, ikterus,</w:t>
            </w:r>
            <w:r w:rsidR="002B01D3" w:rsidRPr="00EE3355">
              <w:t xml:space="preserve"> </w:t>
            </w:r>
            <w:r w:rsidRPr="00EE3355">
              <w:t>Velmi vzácné: jaterní</w:t>
            </w:r>
            <w:r w:rsidR="002B01D3" w:rsidRPr="00EE3355">
              <w:t xml:space="preserve"> </w:t>
            </w:r>
            <w:r w:rsidRPr="00EE3355">
              <w:t>selhání</w:t>
            </w:r>
          </w:p>
        </w:tc>
      </w:tr>
      <w:tr w:rsidR="00222DE0" w:rsidRPr="00EE3355" w14:paraId="527DF9BD" w14:textId="77777777" w:rsidTr="001B021A">
        <w:trPr>
          <w:gridAfter w:val="1"/>
          <w:wAfter w:w="11" w:type="dxa"/>
          <w:cantSplit/>
          <w:trHeight w:val="20"/>
        </w:trPr>
        <w:tc>
          <w:tcPr>
            <w:tcW w:w="1906" w:type="dxa"/>
          </w:tcPr>
          <w:p w14:paraId="11E302D4" w14:textId="77777777" w:rsidR="00222DE0" w:rsidRPr="00EE3355" w:rsidRDefault="0098273B" w:rsidP="00EA1CDF">
            <w:pPr>
              <w:pStyle w:val="TableParagraph"/>
              <w:widowControl/>
            </w:pPr>
            <w:r w:rsidRPr="00EE3355">
              <w:rPr>
                <w:color w:val="131313"/>
              </w:rPr>
              <w:t>Poruchy kůže a</w:t>
            </w:r>
            <w:r w:rsidR="002B01D3" w:rsidRPr="00EE3355">
              <w:rPr>
                <w:color w:val="131313"/>
              </w:rPr>
              <w:t xml:space="preserve"> </w:t>
            </w:r>
            <w:r w:rsidRPr="00EE3355">
              <w:rPr>
                <w:color w:val="131313"/>
              </w:rPr>
              <w:t>podkožní tkáně</w:t>
            </w:r>
          </w:p>
        </w:tc>
        <w:tc>
          <w:tcPr>
            <w:tcW w:w="1708" w:type="dxa"/>
          </w:tcPr>
          <w:p w14:paraId="4CF04945" w14:textId="77777777" w:rsidR="00222DE0" w:rsidRPr="00EE3355" w:rsidRDefault="00222DE0" w:rsidP="00EA1CDF">
            <w:pPr>
              <w:pStyle w:val="TableParagraph"/>
              <w:widowControl/>
              <w:rPr>
                <w:sz w:val="20"/>
              </w:rPr>
            </w:pPr>
          </w:p>
        </w:tc>
        <w:tc>
          <w:tcPr>
            <w:tcW w:w="2017" w:type="dxa"/>
          </w:tcPr>
          <w:p w14:paraId="3937B622" w14:textId="77777777" w:rsidR="00222DE0" w:rsidRPr="00EE3355" w:rsidRDefault="0098273B" w:rsidP="00EA1CDF">
            <w:pPr>
              <w:pStyle w:val="TableParagraph"/>
              <w:widowControl/>
            </w:pPr>
            <w:r w:rsidRPr="00EE3355">
              <w:rPr>
                <w:color w:val="131313"/>
              </w:rPr>
              <w:t>Vyrážka, pruritus,</w:t>
            </w:r>
            <w:r w:rsidR="002B01D3" w:rsidRPr="00EE3355">
              <w:rPr>
                <w:color w:val="131313"/>
              </w:rPr>
              <w:t xml:space="preserve"> </w:t>
            </w:r>
            <w:r w:rsidRPr="00EE3355">
              <w:rPr>
                <w:color w:val="131313"/>
              </w:rPr>
              <w:t>kopřivka</w:t>
            </w:r>
          </w:p>
        </w:tc>
        <w:tc>
          <w:tcPr>
            <w:tcW w:w="1805" w:type="dxa"/>
          </w:tcPr>
          <w:p w14:paraId="2952F691" w14:textId="77777777" w:rsidR="00222DE0" w:rsidRPr="00EE3355" w:rsidRDefault="00222DE0" w:rsidP="00EA1CDF">
            <w:pPr>
              <w:pStyle w:val="TableParagraph"/>
              <w:widowControl/>
              <w:rPr>
                <w:sz w:val="20"/>
              </w:rPr>
            </w:pPr>
          </w:p>
        </w:tc>
        <w:tc>
          <w:tcPr>
            <w:tcW w:w="1962" w:type="dxa"/>
          </w:tcPr>
          <w:p w14:paraId="6EC9E5B3" w14:textId="77777777" w:rsidR="00222DE0" w:rsidRPr="00EE3355" w:rsidRDefault="0098273B" w:rsidP="00EA1CDF">
            <w:pPr>
              <w:pStyle w:val="TableParagraph"/>
              <w:widowControl/>
            </w:pPr>
            <w:r w:rsidRPr="00EE3355">
              <w:rPr>
                <w:color w:val="131313"/>
              </w:rPr>
              <w:t>Stevensův-Johnsonův</w:t>
            </w:r>
            <w:r w:rsidR="002B01D3" w:rsidRPr="00EE3355">
              <w:rPr>
                <w:color w:val="131313"/>
              </w:rPr>
              <w:t xml:space="preserve"> </w:t>
            </w:r>
            <w:r w:rsidRPr="00EE3355">
              <w:rPr>
                <w:color w:val="131313"/>
              </w:rPr>
              <w:t>syndrom</w:t>
            </w:r>
            <w:r w:rsidRPr="00EE3355">
              <w:rPr>
                <w:color w:val="131313"/>
                <w:vertAlign w:val="superscript"/>
              </w:rPr>
              <w:t>3</w:t>
            </w:r>
          </w:p>
        </w:tc>
      </w:tr>
      <w:tr w:rsidR="00222DE0" w:rsidRPr="00EE3355" w14:paraId="4D458F4A" w14:textId="77777777" w:rsidTr="001B021A">
        <w:trPr>
          <w:gridAfter w:val="1"/>
          <w:wAfter w:w="11" w:type="dxa"/>
          <w:cantSplit/>
          <w:trHeight w:val="20"/>
        </w:trPr>
        <w:tc>
          <w:tcPr>
            <w:tcW w:w="1906" w:type="dxa"/>
          </w:tcPr>
          <w:p w14:paraId="45E2AF49" w14:textId="77777777" w:rsidR="00222DE0" w:rsidRPr="00EE3355" w:rsidRDefault="0098273B" w:rsidP="00EA1CDF">
            <w:pPr>
              <w:pStyle w:val="TableParagraph"/>
              <w:widowControl/>
            </w:pPr>
            <w:r w:rsidRPr="00EE3355">
              <w:rPr>
                <w:color w:val="131313"/>
              </w:rPr>
              <w:t>Poruchy ledvin a</w:t>
            </w:r>
            <w:r w:rsidR="002B01D3" w:rsidRPr="00EE3355">
              <w:rPr>
                <w:color w:val="131313"/>
              </w:rPr>
              <w:t xml:space="preserve"> </w:t>
            </w:r>
            <w:r w:rsidRPr="00EE3355">
              <w:rPr>
                <w:color w:val="131313"/>
              </w:rPr>
              <w:t>močových cest</w:t>
            </w:r>
          </w:p>
        </w:tc>
        <w:tc>
          <w:tcPr>
            <w:tcW w:w="1708" w:type="dxa"/>
          </w:tcPr>
          <w:p w14:paraId="246B6561" w14:textId="77777777" w:rsidR="00222DE0" w:rsidRPr="00EE3355" w:rsidRDefault="00222DE0" w:rsidP="00EA1CDF">
            <w:pPr>
              <w:pStyle w:val="TableParagraph"/>
              <w:widowControl/>
              <w:rPr>
                <w:sz w:val="20"/>
              </w:rPr>
            </w:pPr>
          </w:p>
        </w:tc>
        <w:tc>
          <w:tcPr>
            <w:tcW w:w="2017" w:type="dxa"/>
          </w:tcPr>
          <w:p w14:paraId="471CF641" w14:textId="77777777" w:rsidR="00222DE0" w:rsidRPr="00EE3355" w:rsidRDefault="00222DE0" w:rsidP="00EA1CDF">
            <w:pPr>
              <w:pStyle w:val="TableParagraph"/>
              <w:widowControl/>
              <w:rPr>
                <w:sz w:val="20"/>
              </w:rPr>
            </w:pPr>
          </w:p>
        </w:tc>
        <w:tc>
          <w:tcPr>
            <w:tcW w:w="1805" w:type="dxa"/>
          </w:tcPr>
          <w:p w14:paraId="3D200869" w14:textId="77777777" w:rsidR="00222DE0" w:rsidRPr="00EE3355" w:rsidRDefault="0098273B" w:rsidP="00EA1CDF">
            <w:pPr>
              <w:pStyle w:val="TableParagraph"/>
              <w:widowControl/>
            </w:pPr>
            <w:r w:rsidRPr="00EE3355">
              <w:rPr>
                <w:color w:val="131313"/>
              </w:rPr>
              <w:t>Nefrolitiáza</w:t>
            </w:r>
          </w:p>
        </w:tc>
        <w:tc>
          <w:tcPr>
            <w:tcW w:w="1962" w:type="dxa"/>
          </w:tcPr>
          <w:p w14:paraId="10EF7419" w14:textId="77777777" w:rsidR="00222DE0" w:rsidRPr="00EE3355" w:rsidRDefault="00222DE0" w:rsidP="00EA1CDF">
            <w:pPr>
              <w:pStyle w:val="TableParagraph"/>
              <w:widowControl/>
              <w:rPr>
                <w:sz w:val="20"/>
              </w:rPr>
            </w:pPr>
          </w:p>
        </w:tc>
      </w:tr>
      <w:tr w:rsidR="00222DE0" w:rsidRPr="00EE3355" w14:paraId="33766680" w14:textId="77777777" w:rsidTr="001B021A">
        <w:trPr>
          <w:gridAfter w:val="1"/>
          <w:wAfter w:w="11" w:type="dxa"/>
          <w:cantSplit/>
          <w:trHeight w:val="20"/>
        </w:trPr>
        <w:tc>
          <w:tcPr>
            <w:tcW w:w="1906" w:type="dxa"/>
          </w:tcPr>
          <w:p w14:paraId="0096EA2B" w14:textId="77777777" w:rsidR="00222DE0" w:rsidRPr="00EE3355" w:rsidRDefault="0098273B" w:rsidP="00EA1CDF">
            <w:pPr>
              <w:pStyle w:val="TableParagraph"/>
              <w:widowControl/>
            </w:pPr>
            <w:r w:rsidRPr="00EE3355">
              <w:rPr>
                <w:color w:val="131313"/>
              </w:rPr>
              <w:t>Celkové poruchy a reakce v místě aplikace</w:t>
            </w:r>
          </w:p>
        </w:tc>
        <w:tc>
          <w:tcPr>
            <w:tcW w:w="1708" w:type="dxa"/>
          </w:tcPr>
          <w:p w14:paraId="38A236C2" w14:textId="77777777" w:rsidR="00222DE0" w:rsidRPr="00EE3355" w:rsidRDefault="0098273B" w:rsidP="00EA1CDF">
            <w:pPr>
              <w:pStyle w:val="TableParagraph"/>
              <w:widowControl/>
              <w:jc w:val="center"/>
            </w:pPr>
            <w:r w:rsidRPr="00EE3355">
              <w:rPr>
                <w:color w:val="131313"/>
              </w:rPr>
              <w:t>Reakce v místě vpichu</w:t>
            </w:r>
          </w:p>
        </w:tc>
        <w:tc>
          <w:tcPr>
            <w:tcW w:w="2017" w:type="dxa"/>
          </w:tcPr>
          <w:p w14:paraId="421B80BA" w14:textId="77777777" w:rsidR="00222DE0" w:rsidRPr="00EE3355" w:rsidRDefault="0098273B" w:rsidP="00EA1CDF">
            <w:pPr>
              <w:pStyle w:val="TableParagraph"/>
              <w:widowControl/>
            </w:pPr>
            <w:r w:rsidRPr="00EE3355">
              <w:rPr>
                <w:color w:val="131313"/>
              </w:rPr>
              <w:t>Periferní otok, hypersenzitivní reakce</w:t>
            </w:r>
          </w:p>
        </w:tc>
        <w:tc>
          <w:tcPr>
            <w:tcW w:w="1805" w:type="dxa"/>
          </w:tcPr>
          <w:p w14:paraId="3426331E" w14:textId="77777777" w:rsidR="00222DE0" w:rsidRPr="00EE3355" w:rsidRDefault="00222DE0" w:rsidP="00EA1CDF">
            <w:pPr>
              <w:pStyle w:val="TableParagraph"/>
              <w:widowControl/>
              <w:rPr>
                <w:sz w:val="20"/>
              </w:rPr>
            </w:pPr>
          </w:p>
        </w:tc>
        <w:tc>
          <w:tcPr>
            <w:tcW w:w="1962" w:type="dxa"/>
          </w:tcPr>
          <w:p w14:paraId="3883CDAE" w14:textId="77777777" w:rsidR="00222DE0" w:rsidRPr="00EE3355" w:rsidRDefault="00222DE0" w:rsidP="00EA1CDF">
            <w:pPr>
              <w:pStyle w:val="TableParagraph"/>
              <w:widowControl/>
              <w:rPr>
                <w:sz w:val="20"/>
              </w:rPr>
            </w:pPr>
          </w:p>
        </w:tc>
      </w:tr>
      <w:tr w:rsidR="00222DE0" w:rsidRPr="00EE3355" w14:paraId="288B1072" w14:textId="77777777" w:rsidTr="001B021A">
        <w:trPr>
          <w:gridAfter w:val="1"/>
          <w:wAfter w:w="11" w:type="dxa"/>
          <w:cantSplit/>
          <w:trHeight w:val="20"/>
        </w:trPr>
        <w:tc>
          <w:tcPr>
            <w:tcW w:w="1906" w:type="dxa"/>
          </w:tcPr>
          <w:p w14:paraId="6047119E" w14:textId="77777777" w:rsidR="00222DE0" w:rsidRPr="00EE3355" w:rsidRDefault="0098273B" w:rsidP="00EA1CDF">
            <w:pPr>
              <w:pStyle w:val="TableParagraph"/>
              <w:widowControl/>
            </w:pPr>
            <w:r w:rsidRPr="00EE3355">
              <w:rPr>
                <w:color w:val="131313"/>
              </w:rPr>
              <w:t>Vyšetření</w:t>
            </w:r>
          </w:p>
        </w:tc>
        <w:tc>
          <w:tcPr>
            <w:tcW w:w="1708" w:type="dxa"/>
          </w:tcPr>
          <w:p w14:paraId="217BC16D" w14:textId="77777777" w:rsidR="00222DE0" w:rsidRPr="00EE3355" w:rsidRDefault="00222DE0" w:rsidP="00EA1CDF">
            <w:pPr>
              <w:pStyle w:val="TableParagraph"/>
              <w:widowControl/>
              <w:rPr>
                <w:sz w:val="20"/>
              </w:rPr>
            </w:pPr>
          </w:p>
        </w:tc>
        <w:tc>
          <w:tcPr>
            <w:tcW w:w="2017" w:type="dxa"/>
          </w:tcPr>
          <w:p w14:paraId="23B84313" w14:textId="77777777" w:rsidR="00222DE0" w:rsidRPr="00EE3355" w:rsidRDefault="0098273B" w:rsidP="00EA1CDF">
            <w:pPr>
              <w:pStyle w:val="TableParagraph"/>
              <w:widowControl/>
            </w:pPr>
            <w:r w:rsidRPr="00EE3355">
              <w:rPr>
                <w:color w:val="131313"/>
              </w:rPr>
              <w:t>Zvýšení jaterních aminotransferáz, zvýšení tělesné hmotnosti, zvýšení celkového</w:t>
            </w:r>
            <w:r w:rsidR="002B01D3" w:rsidRPr="00EE3355">
              <w:rPr>
                <w:color w:val="131313"/>
              </w:rPr>
              <w:t xml:space="preserve"> </w:t>
            </w:r>
            <w:r w:rsidRPr="00EE3355">
              <w:rPr>
                <w:color w:val="131313"/>
              </w:rPr>
              <w:t>bilirubinu*</w:t>
            </w:r>
          </w:p>
        </w:tc>
        <w:tc>
          <w:tcPr>
            <w:tcW w:w="1805" w:type="dxa"/>
          </w:tcPr>
          <w:p w14:paraId="6EF1E686" w14:textId="77777777" w:rsidR="00222DE0" w:rsidRPr="00EE3355" w:rsidRDefault="00222DE0" w:rsidP="00EA1CDF">
            <w:pPr>
              <w:pStyle w:val="TableParagraph"/>
              <w:widowControl/>
              <w:rPr>
                <w:sz w:val="20"/>
              </w:rPr>
            </w:pPr>
          </w:p>
        </w:tc>
        <w:tc>
          <w:tcPr>
            <w:tcW w:w="1962" w:type="dxa"/>
          </w:tcPr>
          <w:p w14:paraId="51258C7A" w14:textId="77777777" w:rsidR="00222DE0" w:rsidRPr="00EE3355" w:rsidRDefault="00222DE0" w:rsidP="00EA1CDF">
            <w:pPr>
              <w:pStyle w:val="TableParagraph"/>
              <w:widowControl/>
              <w:rPr>
                <w:sz w:val="20"/>
              </w:rPr>
            </w:pPr>
          </w:p>
        </w:tc>
      </w:tr>
    </w:tbl>
    <w:p w14:paraId="7A029D02" w14:textId="77777777" w:rsidR="00222DE0" w:rsidRPr="00EE3355" w:rsidRDefault="0098273B" w:rsidP="00EA1CDF">
      <w:pPr>
        <w:widowControl/>
        <w:rPr>
          <w:sz w:val="18"/>
        </w:rPr>
      </w:pPr>
      <w:r w:rsidRPr="00EE3355">
        <w:rPr>
          <w:sz w:val="18"/>
        </w:rPr>
        <w:t>* Včetně zvýšených hodnot zjištěných v rámci běžného laboratorního sledování (viz text níže)</w:t>
      </w:r>
    </w:p>
    <w:p w14:paraId="514E4D63" w14:textId="77777777" w:rsidR="00222DE0" w:rsidRPr="00EE3355" w:rsidRDefault="0098273B" w:rsidP="00EA1CDF">
      <w:pPr>
        <w:widowControl/>
        <w:ind w:left="284" w:hanging="284"/>
        <w:rPr>
          <w:sz w:val="18"/>
        </w:rPr>
      </w:pPr>
      <w:r w:rsidRPr="00EE3355">
        <w:rPr>
          <w:sz w:val="12"/>
        </w:rPr>
        <w:t>1</w:t>
      </w:r>
      <w:r w:rsidR="008167CC" w:rsidRPr="00EE3355">
        <w:rPr>
          <w:sz w:val="12"/>
        </w:rPr>
        <w:tab/>
      </w:r>
      <w:r w:rsidRPr="00EE3355">
        <w:rPr>
          <w:sz w:val="18"/>
        </w:rPr>
        <w:t>Viz bod 4.3</w:t>
      </w:r>
    </w:p>
    <w:p w14:paraId="43FBABF3" w14:textId="77777777" w:rsidR="00222DE0" w:rsidRPr="00EE3355" w:rsidRDefault="0098273B" w:rsidP="00EA1CDF">
      <w:pPr>
        <w:widowControl/>
        <w:ind w:left="284" w:hanging="284"/>
        <w:rPr>
          <w:sz w:val="18"/>
        </w:rPr>
      </w:pPr>
      <w:r w:rsidRPr="00EE3355">
        <w:rPr>
          <w:sz w:val="12"/>
        </w:rPr>
        <w:t>2</w:t>
      </w:r>
      <w:r w:rsidR="008167CC" w:rsidRPr="00EE3355">
        <w:rPr>
          <w:sz w:val="12"/>
        </w:rPr>
        <w:tab/>
      </w:r>
      <w:r w:rsidRPr="00EE3355">
        <w:rPr>
          <w:sz w:val="18"/>
        </w:rPr>
        <w:t>Viz bod 4.4</w:t>
      </w:r>
    </w:p>
    <w:p w14:paraId="29007314" w14:textId="77777777" w:rsidR="00222DE0" w:rsidRPr="00EE3355" w:rsidRDefault="0098273B" w:rsidP="00EA1CDF">
      <w:pPr>
        <w:widowControl/>
        <w:ind w:left="284" w:hanging="284"/>
        <w:rPr>
          <w:sz w:val="18"/>
        </w:rPr>
      </w:pPr>
      <w:r w:rsidRPr="00EE3355">
        <w:rPr>
          <w:sz w:val="12"/>
        </w:rPr>
        <w:t>3</w:t>
      </w:r>
      <w:r w:rsidR="008167CC" w:rsidRPr="00EE3355">
        <w:rPr>
          <w:sz w:val="12"/>
        </w:rPr>
        <w:tab/>
      </w:r>
      <w:r w:rsidRPr="00EE3355">
        <w:rPr>
          <w:sz w:val="18"/>
        </w:rPr>
        <w:t>Tento nežádoucí účinek byl identifikován v rámci sledování v době po uvedení na trh, nebyl ale pozorován</w:t>
      </w:r>
      <w:r w:rsidR="008167CC" w:rsidRPr="00EE3355">
        <w:rPr>
          <w:sz w:val="18"/>
        </w:rPr>
        <w:t xml:space="preserve"> </w:t>
      </w:r>
      <w:r w:rsidRPr="00EE3355">
        <w:rPr>
          <w:sz w:val="18"/>
        </w:rPr>
        <w:t>v kontrolovaných klinických hodnoceních. Kategorie frekvencí byla odhadnuta jako horní limit 95% intervalu spolehlivosti</w:t>
      </w:r>
      <w:r w:rsidR="008167CC" w:rsidRPr="00EE3355">
        <w:rPr>
          <w:sz w:val="18"/>
        </w:rPr>
        <w:t xml:space="preserve"> </w:t>
      </w:r>
      <w:r w:rsidRPr="00EE3355">
        <w:rPr>
          <w:sz w:val="18"/>
        </w:rPr>
        <w:t>vypočítaného na základě celkového počtu pacientů vystavených TCZ v klinických hodnoceních.</w:t>
      </w:r>
    </w:p>
    <w:p w14:paraId="114B8C07" w14:textId="77777777" w:rsidR="00222DE0" w:rsidRPr="00EE3355" w:rsidRDefault="00222DE0" w:rsidP="00EA1CDF">
      <w:pPr>
        <w:pStyle w:val="a3"/>
        <w:widowControl/>
        <w:ind w:left="0"/>
        <w:rPr>
          <w:sz w:val="18"/>
        </w:rPr>
      </w:pPr>
    </w:p>
    <w:p w14:paraId="1A47A024" w14:textId="77777777" w:rsidR="00222DE0" w:rsidRPr="00EE3355" w:rsidRDefault="0098273B" w:rsidP="00EA1CDF">
      <w:pPr>
        <w:pStyle w:val="a3"/>
        <w:widowControl/>
        <w:ind w:left="0"/>
      </w:pPr>
      <w:r w:rsidRPr="00EE3355">
        <w:rPr>
          <w:u w:val="single"/>
        </w:rPr>
        <w:t>Subkutánní podání</w:t>
      </w:r>
    </w:p>
    <w:p w14:paraId="48D75660" w14:textId="77777777" w:rsidR="00222DE0" w:rsidRPr="00EE3355" w:rsidRDefault="0098273B" w:rsidP="00EA1CDF">
      <w:pPr>
        <w:widowControl/>
        <w:rPr>
          <w:b/>
        </w:rPr>
      </w:pPr>
      <w:r w:rsidRPr="00EE3355">
        <w:rPr>
          <w:b/>
          <w:u w:val="single"/>
        </w:rPr>
        <w:t>RA</w:t>
      </w:r>
    </w:p>
    <w:p w14:paraId="08197DCA" w14:textId="7284908F" w:rsidR="00222DE0" w:rsidRPr="00EE3355" w:rsidRDefault="0098273B" w:rsidP="00EA1CDF">
      <w:pPr>
        <w:pStyle w:val="a3"/>
        <w:widowControl/>
        <w:ind w:left="0"/>
      </w:pPr>
      <w:r w:rsidRPr="00EE3355">
        <w:t xml:space="preserve">Bezpečnost </w:t>
      </w:r>
      <w:r w:rsidR="00A0461C" w:rsidRPr="00C61A9B">
        <w:t>tocilizumab</w:t>
      </w:r>
      <w:r w:rsidR="00A0461C">
        <w:t xml:space="preserve">u </w:t>
      </w:r>
      <w:r w:rsidRPr="00EE3355">
        <w:t xml:space="preserve">při subkutánním podání u RA zahrnuje dvojitě zaslepená, kontrolovaná, multicentrická studie, SC-I. SC-I byla non-inferioritní studie, která porovnávala účinnost a bezpečnost </w:t>
      </w:r>
      <w:r w:rsidR="00A0461C" w:rsidRPr="00C61A9B">
        <w:lastRenderedPageBreak/>
        <w:t>tocilizumab</w:t>
      </w:r>
      <w:r w:rsidR="00A0461C">
        <w:t xml:space="preserve">u </w:t>
      </w:r>
      <w:r w:rsidRPr="00EE3355">
        <w:t xml:space="preserve">v dávce 162 mg podaného jednou týdně versus 8 mg/kg intravenózně u 1 262 pacientů s RA. Všichni pacienti zároveň dostávali nebiologické DMARD. Bezpečnost a imunogenita pozorované u </w:t>
      </w:r>
      <w:r w:rsidR="00A0461C" w:rsidRPr="00C61A9B">
        <w:t>tocilizumab</w:t>
      </w:r>
      <w:r w:rsidR="00A0461C">
        <w:t xml:space="preserve">u </w:t>
      </w:r>
      <w:r w:rsidRPr="00EE3355">
        <w:t xml:space="preserve">podávaného subkutánně byly shodné se známým bezpečnostním profilem </w:t>
      </w:r>
      <w:r w:rsidR="00A0461C" w:rsidRPr="00C61A9B">
        <w:t>tocilizumab</w:t>
      </w:r>
      <w:r w:rsidR="00A0461C">
        <w:t xml:space="preserve">u </w:t>
      </w:r>
      <w:r w:rsidRPr="00EE3355">
        <w:t>podávaného intravenózně a nebyly pozorovány žádné nové ani neočekávané nežádoucí účinky (viz tabulka 1). Byla pozorována vyšší četnost reakcí v místě vpichu injekce u subkutánního ramene v porovnání se subkutánní injekcí</w:t>
      </w:r>
      <w:r w:rsidR="00302305" w:rsidRPr="00EE3355">
        <w:t xml:space="preserve"> </w:t>
      </w:r>
      <w:r w:rsidRPr="00EE3355">
        <w:t>s placebem v intravenózním rameni.</w:t>
      </w:r>
    </w:p>
    <w:p w14:paraId="54FB6AD9" w14:textId="77777777" w:rsidR="00222DE0" w:rsidRPr="00EE3355" w:rsidRDefault="00222DE0" w:rsidP="00EA1CDF">
      <w:pPr>
        <w:pStyle w:val="a3"/>
        <w:widowControl/>
        <w:ind w:left="0"/>
      </w:pPr>
    </w:p>
    <w:p w14:paraId="4C3EF713" w14:textId="77777777" w:rsidR="00222DE0" w:rsidRPr="00EE3355" w:rsidRDefault="0098273B" w:rsidP="00EA1CDF">
      <w:pPr>
        <w:keepNext/>
        <w:widowControl/>
        <w:rPr>
          <w:i/>
        </w:rPr>
      </w:pPr>
      <w:r w:rsidRPr="00EE3355">
        <w:rPr>
          <w:i/>
        </w:rPr>
        <w:t>Reakce v místě vpichu</w:t>
      </w:r>
    </w:p>
    <w:p w14:paraId="2699717D" w14:textId="62AAA07A" w:rsidR="00222DE0" w:rsidRPr="00EE3355" w:rsidRDefault="0098273B" w:rsidP="00EA1CDF">
      <w:pPr>
        <w:pStyle w:val="a3"/>
        <w:widowControl/>
        <w:ind w:left="0"/>
      </w:pPr>
      <w:r w:rsidRPr="00EE3355">
        <w:t xml:space="preserve">Během 6měsíční kontrolované části studie SC-I byla četnost reakcí v místě vpichu injekce 10,1 % (64/631) u týdenních subkutánních injekcí </w:t>
      </w:r>
      <w:r w:rsidR="00A0461C" w:rsidRPr="00C61A9B">
        <w:t>tocilizumab</w:t>
      </w:r>
      <w:r w:rsidR="00A0461C">
        <w:t xml:space="preserve">u </w:t>
      </w:r>
      <w:r w:rsidRPr="00EE3355">
        <w:t>a 2,4 % (15/631) u týdenních subkutánních injekcí placeba (intravenózní skupina). Reakce v místě vpichu injekce (zahrnující erytém, pruritus, bolest, hematom) byly lehké až středně těžké. Většina vymizela bez léčby a u nikoho nebylo třeba vysazení přípravku.</w:t>
      </w:r>
    </w:p>
    <w:p w14:paraId="67A39D3A" w14:textId="77777777" w:rsidR="00222DE0" w:rsidRPr="00EE3355" w:rsidRDefault="00222DE0" w:rsidP="00EA1CDF">
      <w:pPr>
        <w:widowControl/>
      </w:pPr>
    </w:p>
    <w:p w14:paraId="7B6A8196" w14:textId="77777777" w:rsidR="00222DE0" w:rsidRPr="00EE3355" w:rsidRDefault="0098273B" w:rsidP="00EA1CDF">
      <w:pPr>
        <w:widowControl/>
        <w:rPr>
          <w:i/>
        </w:rPr>
      </w:pPr>
      <w:r w:rsidRPr="00EE3355">
        <w:rPr>
          <w:i/>
        </w:rPr>
        <w:t>Hematologické odchylky:</w:t>
      </w:r>
    </w:p>
    <w:p w14:paraId="3FFA4CFB" w14:textId="77777777" w:rsidR="00222DE0" w:rsidRPr="00EE3355" w:rsidRDefault="0098273B" w:rsidP="00EA1CDF">
      <w:pPr>
        <w:widowControl/>
        <w:rPr>
          <w:i/>
        </w:rPr>
      </w:pPr>
      <w:r w:rsidRPr="00EE3355">
        <w:rPr>
          <w:i/>
        </w:rPr>
        <w:t>Neutrofily</w:t>
      </w:r>
    </w:p>
    <w:p w14:paraId="00680BD5" w14:textId="03FA333B" w:rsidR="00222DE0" w:rsidRPr="00EE3355" w:rsidRDefault="0098273B" w:rsidP="00EA1CDF">
      <w:pPr>
        <w:pStyle w:val="a3"/>
        <w:widowControl/>
        <w:ind w:left="0"/>
      </w:pPr>
      <w:r w:rsidRPr="00EE3355">
        <w:t xml:space="preserve">Během rutinních laboratorních kontrol v rámci 6měsíční kontrolované klinické studie </w:t>
      </w:r>
      <w:r w:rsidR="00A0461C" w:rsidRPr="00C61A9B">
        <w:t>tocilizumab</w:t>
      </w:r>
      <w:r w:rsidR="00A0461C">
        <w:t xml:space="preserve">u </w:t>
      </w:r>
      <w:r w:rsidRPr="00EE3355">
        <w:t>SC-I došlo u 2,9 % pacientů ve skupině s</w:t>
      </w:r>
      <w:r w:rsidR="003E54FF">
        <w:t> </w:t>
      </w:r>
      <w:r w:rsidR="003E54FF" w:rsidRPr="001879E9">
        <w:t>tocilizumab</w:t>
      </w:r>
      <w:r w:rsidR="003E54FF">
        <w:t xml:space="preserve">em </w:t>
      </w:r>
      <w:r w:rsidRPr="00EE3355">
        <w:t>podávaným subkutánně jednou týdně k poklesu počtu neutrofilů pod 10 x 10</w:t>
      </w:r>
      <w:r w:rsidRPr="00EE3355">
        <w:rPr>
          <w:vertAlign w:val="superscript"/>
        </w:rPr>
        <w:t>9</w:t>
      </w:r>
      <w:r w:rsidRPr="00EE3355">
        <w:t>/l.</w:t>
      </w:r>
    </w:p>
    <w:p w14:paraId="329AAB45" w14:textId="77777777" w:rsidR="00222DE0" w:rsidRPr="00EE3355" w:rsidRDefault="00222DE0" w:rsidP="00EA1CDF">
      <w:pPr>
        <w:pStyle w:val="a3"/>
        <w:widowControl/>
        <w:ind w:left="0"/>
      </w:pPr>
    </w:p>
    <w:p w14:paraId="72A93514" w14:textId="77777777" w:rsidR="00222DE0" w:rsidRPr="00EE3355" w:rsidRDefault="0098273B" w:rsidP="00EA1CDF">
      <w:pPr>
        <w:pStyle w:val="a3"/>
        <w:widowControl/>
        <w:ind w:left="0"/>
      </w:pPr>
      <w:r w:rsidRPr="00EE3355">
        <w:t>Neexistují žádné přímé důkazy o vztahu mezi snížením počtu neutrofilů pod 1 x 10</w:t>
      </w:r>
      <w:r w:rsidRPr="00EE3355">
        <w:rPr>
          <w:vertAlign w:val="superscript"/>
        </w:rPr>
        <w:t>9</w:t>
      </w:r>
      <w:r w:rsidRPr="00EE3355">
        <w:t>/l a výskytem závažných infekcí.</w:t>
      </w:r>
    </w:p>
    <w:p w14:paraId="606645A3" w14:textId="77777777" w:rsidR="00B425F2" w:rsidRPr="00EE3355" w:rsidRDefault="00B425F2" w:rsidP="00EA1CDF">
      <w:pPr>
        <w:pStyle w:val="a3"/>
        <w:widowControl/>
        <w:ind w:left="0"/>
      </w:pPr>
    </w:p>
    <w:p w14:paraId="4E8A6457" w14:textId="77777777" w:rsidR="00222DE0" w:rsidRPr="00EE3355" w:rsidRDefault="0098273B" w:rsidP="00EA1CDF">
      <w:pPr>
        <w:keepNext/>
        <w:widowControl/>
        <w:rPr>
          <w:i/>
        </w:rPr>
      </w:pPr>
      <w:r w:rsidRPr="00EE3355">
        <w:rPr>
          <w:i/>
        </w:rPr>
        <w:t>Trombocyty</w:t>
      </w:r>
    </w:p>
    <w:p w14:paraId="2E384D8D" w14:textId="308C0BC4" w:rsidR="00222DE0" w:rsidRPr="00EE3355" w:rsidRDefault="0098273B" w:rsidP="00EA1CDF">
      <w:pPr>
        <w:pStyle w:val="a3"/>
        <w:widowControl/>
        <w:ind w:left="0"/>
      </w:pPr>
      <w:r w:rsidRPr="00EE3355">
        <w:t xml:space="preserve">Během rutinních laboratorních kontrol v rámci 6měsíční klinické studie </w:t>
      </w:r>
      <w:r w:rsidR="00A0461C" w:rsidRPr="00C61A9B">
        <w:t>tocilizumab</w:t>
      </w:r>
      <w:r w:rsidR="00A0461C">
        <w:t xml:space="preserve">u </w:t>
      </w:r>
      <w:r w:rsidRPr="00EE3355">
        <w:t>SC-I nedošlo u žádného pacienta dostávajícího subkutánní dávku jednou týdně k poklesu počtu trombocytů</w:t>
      </w:r>
    </w:p>
    <w:p w14:paraId="4103DBEF" w14:textId="77777777" w:rsidR="00222DE0" w:rsidRPr="00EE3355" w:rsidRDefault="0098273B" w:rsidP="00EA1CDF">
      <w:pPr>
        <w:pStyle w:val="a3"/>
        <w:widowControl/>
        <w:ind w:left="0"/>
      </w:pPr>
      <w:r w:rsidRPr="00EE3355">
        <w:t>≤ 50 x 10</w:t>
      </w:r>
      <w:r w:rsidRPr="00EE3355">
        <w:rPr>
          <w:vertAlign w:val="superscript"/>
        </w:rPr>
        <w:t>3</w:t>
      </w:r>
      <w:r w:rsidRPr="00EE3355">
        <w:t>/μl.</w:t>
      </w:r>
    </w:p>
    <w:p w14:paraId="4C194520" w14:textId="77777777" w:rsidR="00222DE0" w:rsidRPr="00EE3355" w:rsidRDefault="00222DE0" w:rsidP="00EA1CDF">
      <w:pPr>
        <w:pStyle w:val="a3"/>
        <w:widowControl/>
        <w:ind w:left="0"/>
      </w:pPr>
    </w:p>
    <w:p w14:paraId="007DCCA6" w14:textId="77777777" w:rsidR="00222DE0" w:rsidRPr="00EE3355" w:rsidRDefault="0098273B" w:rsidP="00EA1CDF">
      <w:pPr>
        <w:widowControl/>
        <w:rPr>
          <w:i/>
        </w:rPr>
      </w:pPr>
      <w:r w:rsidRPr="00EE3355">
        <w:rPr>
          <w:i/>
        </w:rPr>
        <w:t>Zvýšení jaterních aminotransferáz</w:t>
      </w:r>
    </w:p>
    <w:p w14:paraId="75209E9E" w14:textId="07AC33ED" w:rsidR="00222DE0" w:rsidRPr="00EE3355" w:rsidRDefault="0098273B" w:rsidP="00EA1CDF">
      <w:pPr>
        <w:pStyle w:val="a3"/>
        <w:widowControl/>
        <w:ind w:left="0"/>
      </w:pPr>
      <w:r w:rsidRPr="00EE3355">
        <w:t xml:space="preserve">Během rutinních laboratorních kontrol v rámci 6měsíční kontrolované klinické studie </w:t>
      </w:r>
      <w:r w:rsidR="00A0461C" w:rsidRPr="00C61A9B">
        <w:t>tocilizumab</w:t>
      </w:r>
      <w:r w:rsidR="00A0461C">
        <w:t xml:space="preserve">u </w:t>
      </w:r>
      <w:r w:rsidRPr="00EE3355">
        <w:t>SC-I bylo zjištěno zvýšení ALT ≥3 x ULN u 6,5 % pacientů a zvýšení AST ≥3 x ULN u 1,4 % pacientů při subkutánních dávkách jednou týdně.</w:t>
      </w:r>
    </w:p>
    <w:p w14:paraId="7F721AF1" w14:textId="77777777" w:rsidR="00222DE0" w:rsidRPr="00EE3355" w:rsidRDefault="00222DE0" w:rsidP="00EA1CDF">
      <w:pPr>
        <w:pStyle w:val="a3"/>
        <w:widowControl/>
        <w:ind w:left="0"/>
      </w:pPr>
    </w:p>
    <w:p w14:paraId="57808B8E" w14:textId="77777777" w:rsidR="00222DE0" w:rsidRPr="00EE3355" w:rsidRDefault="0098273B" w:rsidP="00EA1CDF">
      <w:pPr>
        <w:widowControl/>
        <w:rPr>
          <w:i/>
        </w:rPr>
      </w:pPr>
      <w:r w:rsidRPr="00EE3355">
        <w:rPr>
          <w:i/>
        </w:rPr>
        <w:t>Lipidové parametry</w:t>
      </w:r>
    </w:p>
    <w:p w14:paraId="7976B819" w14:textId="7450B6C7" w:rsidR="00222DE0" w:rsidRPr="00EE3355" w:rsidRDefault="0098273B" w:rsidP="00EA1CDF">
      <w:pPr>
        <w:pStyle w:val="a3"/>
        <w:widowControl/>
        <w:ind w:left="0"/>
      </w:pPr>
      <w:r w:rsidRPr="00EE3355">
        <w:t xml:space="preserve">Během rutinních laboratorních kontrol v rámci 6měsíční kontrolované klinické studie </w:t>
      </w:r>
      <w:r w:rsidR="00A0461C" w:rsidRPr="00C61A9B">
        <w:t>tocilizumab</w:t>
      </w:r>
      <w:r w:rsidR="00A0461C">
        <w:t xml:space="preserve">u </w:t>
      </w:r>
      <w:r w:rsidRPr="00EE3355">
        <w:t xml:space="preserve">SC-I bylo u 19 % pacientů zjištěno trvalé zvýšení celkového cholesterolu &gt; 6,2 mmol/l (240 mg/dl), přičemž u 9 % pacientů došlo k trvalému zvýšení LDL na </w:t>
      </w:r>
      <w:r w:rsidRPr="00EE3355">
        <w:rPr>
          <w:rFonts w:ascii="Symbol" w:hAnsi="Symbol"/>
        </w:rPr>
        <w:t></w:t>
      </w:r>
      <w:r w:rsidRPr="00EE3355">
        <w:t xml:space="preserve"> 4,1 mmol/l (160 mg/dl) při subkutánních dávkách jednou týdně.</w:t>
      </w:r>
    </w:p>
    <w:p w14:paraId="5A819E67" w14:textId="77777777" w:rsidR="00222DE0" w:rsidRPr="00EE3355" w:rsidRDefault="00222DE0" w:rsidP="00EA1CDF">
      <w:pPr>
        <w:pStyle w:val="a3"/>
        <w:widowControl/>
        <w:ind w:left="0"/>
      </w:pPr>
    </w:p>
    <w:p w14:paraId="39A6B10E" w14:textId="77777777" w:rsidR="00222DE0" w:rsidRPr="00EE3355" w:rsidRDefault="0098273B" w:rsidP="00EA1CDF">
      <w:pPr>
        <w:pStyle w:val="a3"/>
        <w:widowControl/>
        <w:ind w:left="0"/>
      </w:pPr>
      <w:r w:rsidRPr="00EE3355">
        <w:rPr>
          <w:u w:val="single"/>
        </w:rPr>
        <w:t>Subkutánní podání</w:t>
      </w:r>
    </w:p>
    <w:p w14:paraId="4AE3458B" w14:textId="77777777" w:rsidR="00222DE0" w:rsidRPr="00EE3355" w:rsidRDefault="0098273B" w:rsidP="00EA1CDF">
      <w:pPr>
        <w:widowControl/>
        <w:rPr>
          <w:b/>
        </w:rPr>
      </w:pPr>
      <w:r w:rsidRPr="00EE3355">
        <w:rPr>
          <w:b/>
          <w:u w:val="single"/>
        </w:rPr>
        <w:t>sJIA</w:t>
      </w:r>
    </w:p>
    <w:p w14:paraId="0BEFCF13" w14:textId="5780EC86" w:rsidR="00222DE0" w:rsidRPr="00EE3355" w:rsidRDefault="0098273B" w:rsidP="00EA1CDF">
      <w:pPr>
        <w:pStyle w:val="a3"/>
        <w:widowControl/>
        <w:ind w:left="0"/>
      </w:pPr>
      <w:r w:rsidRPr="00EE3355">
        <w:t xml:space="preserve">Bezpečnostní profil subkutánně podávaného </w:t>
      </w:r>
      <w:r w:rsidR="00A0461C" w:rsidRPr="00C61A9B">
        <w:t>tocilizumab</w:t>
      </w:r>
      <w:r w:rsidR="00A0461C">
        <w:t xml:space="preserve">u </w:t>
      </w:r>
      <w:r w:rsidRPr="00EE3355">
        <w:t>byl hodnocen u 51 pediatrických pacientů (ve věku od 1 do 17 let) se sJIA. Typ nežádoucích účinků u pacientů se sJIA se obecně podobal typu nežádoucích účinků u pacientů s RA (viz výše uvedený bod Nežádoucí účinky).</w:t>
      </w:r>
    </w:p>
    <w:p w14:paraId="09E7BCC2" w14:textId="77777777" w:rsidR="00B425F2" w:rsidRPr="00EE3355" w:rsidRDefault="00B425F2" w:rsidP="00EA1CDF">
      <w:pPr>
        <w:pStyle w:val="a3"/>
        <w:widowControl/>
        <w:ind w:left="0"/>
      </w:pPr>
    </w:p>
    <w:p w14:paraId="1A412270" w14:textId="77777777" w:rsidR="00222DE0" w:rsidRPr="00EE3355" w:rsidRDefault="0098273B" w:rsidP="00EA1CDF">
      <w:pPr>
        <w:widowControl/>
        <w:rPr>
          <w:i/>
        </w:rPr>
      </w:pPr>
      <w:r w:rsidRPr="00EE3355">
        <w:rPr>
          <w:i/>
        </w:rPr>
        <w:t>Infekce</w:t>
      </w:r>
    </w:p>
    <w:p w14:paraId="4FD2F2DC" w14:textId="50D1F720" w:rsidR="00222DE0" w:rsidRPr="00EE3355" w:rsidRDefault="0098273B" w:rsidP="00EA1CDF">
      <w:pPr>
        <w:pStyle w:val="a3"/>
        <w:widowControl/>
        <w:ind w:left="0"/>
      </w:pPr>
      <w:r w:rsidRPr="00EE3355">
        <w:t xml:space="preserve">Výskyt infekcí u pacientů se sJIA léčených subkutánně podávaným </w:t>
      </w:r>
      <w:r w:rsidR="00A0461C" w:rsidRPr="00C61A9B">
        <w:t>tocilizumab</w:t>
      </w:r>
      <w:r w:rsidR="00A0461C">
        <w:t xml:space="preserve">em </w:t>
      </w:r>
      <w:r w:rsidRPr="00EE3355">
        <w:t xml:space="preserve">byl srovnatelný s výskytem infekcí u pacientů se sJIA léčených intravenózně podávaným </w:t>
      </w:r>
      <w:r w:rsidR="00A0461C" w:rsidRPr="00C61A9B">
        <w:t>tocilizumab</w:t>
      </w:r>
      <w:r w:rsidR="00A0461C">
        <w:t>em</w:t>
      </w:r>
      <w:r w:rsidRPr="00EE3355">
        <w:t>.</w:t>
      </w:r>
    </w:p>
    <w:p w14:paraId="6ABBC965" w14:textId="77777777" w:rsidR="00222DE0" w:rsidRPr="00EE3355" w:rsidRDefault="00222DE0" w:rsidP="00EA1CDF">
      <w:pPr>
        <w:pStyle w:val="a3"/>
        <w:widowControl/>
        <w:ind w:left="0"/>
      </w:pPr>
    </w:p>
    <w:p w14:paraId="412A21FA" w14:textId="77777777" w:rsidR="00222DE0" w:rsidRPr="00EE3355" w:rsidRDefault="0098273B" w:rsidP="00EA1CDF">
      <w:pPr>
        <w:keepNext/>
        <w:widowControl/>
        <w:rPr>
          <w:i/>
        </w:rPr>
      </w:pPr>
      <w:r w:rsidRPr="00EE3355">
        <w:rPr>
          <w:i/>
        </w:rPr>
        <w:t>Reakce v místě vpichu</w:t>
      </w:r>
    </w:p>
    <w:p w14:paraId="08663815" w14:textId="22025F1E" w:rsidR="00222DE0" w:rsidRPr="00EE3355" w:rsidRDefault="0098273B" w:rsidP="00EA1CDF">
      <w:pPr>
        <w:pStyle w:val="a3"/>
        <w:widowControl/>
        <w:ind w:left="0"/>
      </w:pPr>
      <w:r w:rsidRPr="00EE3355">
        <w:t xml:space="preserve">Ve studii subkutánně podávaného </w:t>
      </w:r>
      <w:r w:rsidR="00A0461C" w:rsidRPr="00C61A9B">
        <w:t>tocilizumab</w:t>
      </w:r>
      <w:r w:rsidR="00A0461C">
        <w:t xml:space="preserve">u </w:t>
      </w:r>
      <w:r w:rsidRPr="00EE3355">
        <w:t>(WA28118) se reakce v místě vpichu vyskytly celkem u 41,2 % (21/51) pacientů se sJIA. Nejčastěji hlášenými reakcemi v místě vpichu byly erytém, pruritus, bolest a otok. Většina hlášených reakcí v místě vpichu byla stupně 1 a všechny hlášené reakce v místě vpichu byly nezávažné a žádná si nevyžádala ukončení léčby ani její přerušení.</w:t>
      </w:r>
    </w:p>
    <w:p w14:paraId="54824350" w14:textId="77777777" w:rsidR="00B425F2" w:rsidRPr="00EE3355" w:rsidRDefault="00B425F2" w:rsidP="00EA1CDF">
      <w:pPr>
        <w:pStyle w:val="a3"/>
        <w:widowControl/>
        <w:ind w:left="0"/>
      </w:pPr>
    </w:p>
    <w:p w14:paraId="03ECB169" w14:textId="77777777" w:rsidR="00222DE0" w:rsidRPr="00EE3355" w:rsidRDefault="0098273B" w:rsidP="00EA1CDF">
      <w:pPr>
        <w:widowControl/>
        <w:rPr>
          <w:i/>
        </w:rPr>
      </w:pPr>
      <w:r w:rsidRPr="00EE3355">
        <w:rPr>
          <w:i/>
        </w:rPr>
        <w:t>Laboratorní odchylky</w:t>
      </w:r>
    </w:p>
    <w:p w14:paraId="2A5EC144" w14:textId="5425CC35" w:rsidR="00222DE0" w:rsidRPr="00EE3355" w:rsidRDefault="0098273B" w:rsidP="00EA1CDF">
      <w:pPr>
        <w:pStyle w:val="a3"/>
        <w:widowControl/>
        <w:ind w:left="0"/>
      </w:pPr>
      <w:r w:rsidRPr="00EE3355">
        <w:lastRenderedPageBreak/>
        <w:t xml:space="preserve">V 52týdenní otevřené studii se subkutánním podáním (WA28118) došlo u 23,5 % pacientů léčených subkutánně podávaným </w:t>
      </w:r>
      <w:r w:rsidR="00A0461C" w:rsidRPr="00C61A9B">
        <w:t>tocilizumab</w:t>
      </w:r>
      <w:r w:rsidR="00A0461C">
        <w:t xml:space="preserve">em </w:t>
      </w:r>
      <w:r w:rsidRPr="00EE3355">
        <w:t>k poklesu počtu neutrofilů pod 1 x 10</w:t>
      </w:r>
      <w:r w:rsidRPr="00EE3355">
        <w:rPr>
          <w:vertAlign w:val="superscript"/>
        </w:rPr>
        <w:t>9</w:t>
      </w:r>
      <w:r w:rsidRPr="00EE3355">
        <w:t>/l.</w:t>
      </w:r>
    </w:p>
    <w:p w14:paraId="1029296B" w14:textId="36CCA116" w:rsidR="00222DE0" w:rsidRPr="00EE3355" w:rsidRDefault="0098273B" w:rsidP="00EA1CDF">
      <w:pPr>
        <w:pStyle w:val="a3"/>
        <w:widowControl/>
        <w:ind w:left="0"/>
      </w:pPr>
      <w:r w:rsidRPr="00EE3355">
        <w:t xml:space="preserve">U 2 % pacientů léčených subkutánně podávaným </w:t>
      </w:r>
      <w:r w:rsidR="00A0461C" w:rsidRPr="00C61A9B">
        <w:t>tocilizumab</w:t>
      </w:r>
      <w:r w:rsidR="00A0461C">
        <w:t xml:space="preserve">em </w:t>
      </w:r>
      <w:r w:rsidRPr="00EE3355">
        <w:t>došlo k poklesu počtu trombocytů pod 100 x 10</w:t>
      </w:r>
      <w:r w:rsidRPr="00EE3355">
        <w:rPr>
          <w:vertAlign w:val="superscript"/>
        </w:rPr>
        <w:t>3</w:t>
      </w:r>
      <w:r w:rsidRPr="00EE3355">
        <w:t xml:space="preserve">/μl. U 9,8 % pacientů léčených subkutánně podávaným </w:t>
      </w:r>
      <w:r w:rsidR="00A0461C" w:rsidRPr="00C61A9B">
        <w:t>tocilizumab</w:t>
      </w:r>
      <w:r w:rsidR="00A0461C">
        <w:t xml:space="preserve">em </w:t>
      </w:r>
      <w:r w:rsidRPr="00EE3355">
        <w:t>došlo k elevaci ALT a u 4,0 % k elevaci AST ≥ 3 x ULN.</w:t>
      </w:r>
    </w:p>
    <w:p w14:paraId="1626ADF0" w14:textId="77777777" w:rsidR="00222DE0" w:rsidRPr="00EE3355" w:rsidRDefault="00222DE0" w:rsidP="00EA1CDF">
      <w:pPr>
        <w:pStyle w:val="a3"/>
        <w:widowControl/>
        <w:ind w:left="0"/>
      </w:pPr>
    </w:p>
    <w:p w14:paraId="64EB8F46" w14:textId="77777777" w:rsidR="00222DE0" w:rsidRPr="00EE3355" w:rsidRDefault="0098273B" w:rsidP="00EA1CDF">
      <w:pPr>
        <w:widowControl/>
        <w:rPr>
          <w:i/>
        </w:rPr>
      </w:pPr>
      <w:r w:rsidRPr="00EE3355">
        <w:rPr>
          <w:i/>
        </w:rPr>
        <w:t>Lipidové parametry</w:t>
      </w:r>
    </w:p>
    <w:p w14:paraId="3BE46E62" w14:textId="77777777" w:rsidR="00222DE0" w:rsidRPr="00EE3355" w:rsidRDefault="0098273B" w:rsidP="00EA1CDF">
      <w:pPr>
        <w:pStyle w:val="a3"/>
        <w:widowControl/>
        <w:ind w:left="0"/>
      </w:pPr>
      <w:r w:rsidRPr="00EE3355">
        <w:t>V 52týdenní otevřené studii se subkutánním podáním (WA28118) došlo kdykoliv během studijní léčby k elevaci LDL cholesterolu na ≥ 130 mg/dl u 23,4 % pacientů a celkového cholesterolu na</w:t>
      </w:r>
      <w:r w:rsidR="00DA5703" w:rsidRPr="00EE3355">
        <w:t xml:space="preserve"> </w:t>
      </w:r>
      <w:r w:rsidR="00DA5703" w:rsidRPr="00EE3355">
        <w:br/>
      </w:r>
      <w:r w:rsidRPr="00EE3355">
        <w:t>≥ 200 mg/dl u 35,4 % pacientů.</w:t>
      </w:r>
    </w:p>
    <w:p w14:paraId="456B8C67" w14:textId="77777777" w:rsidR="00222DE0" w:rsidRPr="00EE3355" w:rsidRDefault="00222DE0" w:rsidP="00EA1CDF">
      <w:pPr>
        <w:pStyle w:val="a3"/>
        <w:widowControl/>
        <w:ind w:left="0"/>
      </w:pPr>
    </w:p>
    <w:p w14:paraId="49F62D59" w14:textId="77777777" w:rsidR="00222DE0" w:rsidRPr="00EE3355" w:rsidRDefault="0098273B" w:rsidP="00EA1CDF">
      <w:pPr>
        <w:pStyle w:val="a3"/>
        <w:widowControl/>
        <w:ind w:left="0"/>
      </w:pPr>
      <w:r w:rsidRPr="00EE3355">
        <w:rPr>
          <w:u w:val="single"/>
        </w:rPr>
        <w:t>Subkutánní podání</w:t>
      </w:r>
    </w:p>
    <w:p w14:paraId="043698AF" w14:textId="77777777" w:rsidR="00222DE0" w:rsidRPr="00EE3355" w:rsidRDefault="0098273B" w:rsidP="00EA1CDF">
      <w:pPr>
        <w:widowControl/>
        <w:rPr>
          <w:b/>
        </w:rPr>
      </w:pPr>
      <w:r w:rsidRPr="00EE3355">
        <w:rPr>
          <w:b/>
          <w:u w:val="single"/>
        </w:rPr>
        <w:t>pJIA</w:t>
      </w:r>
    </w:p>
    <w:p w14:paraId="3D8C33E3" w14:textId="634CA78D" w:rsidR="00222DE0" w:rsidRPr="00EE3355" w:rsidRDefault="0098273B" w:rsidP="00EA1CDF">
      <w:pPr>
        <w:pStyle w:val="a3"/>
        <w:widowControl/>
        <w:ind w:left="0"/>
      </w:pPr>
      <w:r w:rsidRPr="00EE3355">
        <w:t xml:space="preserve">Bezpečnostní profil subkutánně podávaného </w:t>
      </w:r>
      <w:r w:rsidR="00A0461C" w:rsidRPr="00C61A9B">
        <w:t>tocilizumab</w:t>
      </w:r>
      <w:r w:rsidR="00A0461C">
        <w:t xml:space="preserve">u </w:t>
      </w:r>
      <w:r w:rsidRPr="00EE3355">
        <w:t>byl také hodnocen</w:t>
      </w:r>
    </w:p>
    <w:p w14:paraId="46AF5BCA" w14:textId="661DF1D6" w:rsidR="00222DE0" w:rsidRPr="00EE3355" w:rsidRDefault="0098273B" w:rsidP="00EA1CDF">
      <w:pPr>
        <w:pStyle w:val="a3"/>
        <w:widowControl/>
        <w:ind w:left="0"/>
      </w:pPr>
      <w:r w:rsidRPr="00EE3355">
        <w:t xml:space="preserve">u 52 pediatrických pacientů s pJIA. Celková expozice pacientů </w:t>
      </w:r>
      <w:r w:rsidR="00A0461C" w:rsidRPr="00C61A9B">
        <w:t>tocilizumab</w:t>
      </w:r>
      <w:r w:rsidR="00A0461C">
        <w:t xml:space="preserve">u </w:t>
      </w:r>
      <w:r w:rsidRPr="00EE3355">
        <w:t xml:space="preserve">v celkové populaci exponovaných pacientů s pJIA byla 184,4 pacientoroků v případě intravenózně podávaného tocilizumabu a 50,4 pacientoroků v případě subkutánně podávaného tocilizumabu. Bezpečnostní profil byl u pacientů s pJIA obecně konzistentní se známým bezpečnostním profilem </w:t>
      </w:r>
      <w:r w:rsidR="00A0461C" w:rsidRPr="00C61A9B">
        <w:t>tocilizumab</w:t>
      </w:r>
      <w:r w:rsidR="00A0461C">
        <w:t xml:space="preserve">u </w:t>
      </w:r>
      <w:r w:rsidRPr="00EE3355">
        <w:t>s výjimkou reakcí v místě vpichu (viz tabulka 1). U pacientů s pJIA se po subkutánních injekcích</w:t>
      </w:r>
      <w:r w:rsidR="00DA5703" w:rsidRPr="00EE3355">
        <w:t xml:space="preserve"> </w:t>
      </w:r>
      <w:r w:rsidR="00A0461C" w:rsidRPr="00C61A9B">
        <w:t>tocilizumab</w:t>
      </w:r>
      <w:r w:rsidR="00A0461C">
        <w:t xml:space="preserve">u </w:t>
      </w:r>
      <w:r w:rsidRPr="00EE3355">
        <w:t>vyskytly častěji reakce v místě vpichu ve srovnání s dospělými pacienty s RA.</w:t>
      </w:r>
    </w:p>
    <w:p w14:paraId="5061236E" w14:textId="77777777" w:rsidR="00222DE0" w:rsidRPr="00EE3355" w:rsidRDefault="00222DE0" w:rsidP="00EA1CDF">
      <w:pPr>
        <w:pStyle w:val="a3"/>
        <w:widowControl/>
        <w:ind w:left="0"/>
      </w:pPr>
    </w:p>
    <w:p w14:paraId="39992501" w14:textId="77777777" w:rsidR="00222DE0" w:rsidRPr="00EE3355" w:rsidRDefault="0098273B" w:rsidP="00EA1CDF">
      <w:pPr>
        <w:widowControl/>
        <w:rPr>
          <w:i/>
        </w:rPr>
      </w:pPr>
      <w:r w:rsidRPr="00EE3355">
        <w:rPr>
          <w:i/>
        </w:rPr>
        <w:t>Infekce</w:t>
      </w:r>
    </w:p>
    <w:p w14:paraId="432D5C5F" w14:textId="25D4D209" w:rsidR="00222DE0" w:rsidRPr="00EE3355" w:rsidRDefault="0098273B" w:rsidP="00EA1CDF">
      <w:pPr>
        <w:pStyle w:val="a3"/>
        <w:widowControl/>
        <w:ind w:left="0"/>
      </w:pPr>
      <w:r w:rsidRPr="00EE3355">
        <w:t xml:space="preserve">Ve studii subkutánně podávaného </w:t>
      </w:r>
      <w:r w:rsidR="00A0461C" w:rsidRPr="00C61A9B">
        <w:t>tocilizumab</w:t>
      </w:r>
      <w:r w:rsidR="00A0461C">
        <w:t xml:space="preserve">u </w:t>
      </w:r>
      <w:r w:rsidRPr="00EE3355">
        <w:t xml:space="preserve">byl výskyt infekcí u pacientů s pJIA léčených subkutánně podávaným </w:t>
      </w:r>
      <w:r w:rsidR="00A0461C" w:rsidRPr="00C61A9B">
        <w:t>tocilizumab</w:t>
      </w:r>
      <w:r w:rsidR="00A0461C">
        <w:t xml:space="preserve">em </w:t>
      </w:r>
      <w:r w:rsidRPr="00EE3355">
        <w:t xml:space="preserve">srovnatelný s výskytem infekcí u pacientů s pJIA léčených intravenózně podávaným </w:t>
      </w:r>
      <w:r w:rsidR="00A0461C" w:rsidRPr="00C61A9B">
        <w:t>tocilizumab</w:t>
      </w:r>
      <w:r w:rsidR="00A0461C">
        <w:t>em</w:t>
      </w:r>
      <w:r w:rsidRPr="00EE3355">
        <w:t>.</w:t>
      </w:r>
    </w:p>
    <w:p w14:paraId="3E3D8D84" w14:textId="77777777" w:rsidR="00222DE0" w:rsidRPr="00EE3355" w:rsidRDefault="00222DE0" w:rsidP="00EA1CDF">
      <w:pPr>
        <w:pStyle w:val="a3"/>
        <w:widowControl/>
        <w:ind w:left="0"/>
      </w:pPr>
    </w:p>
    <w:p w14:paraId="5A6AD519" w14:textId="77777777" w:rsidR="00222DE0" w:rsidRPr="00EE3355" w:rsidRDefault="0098273B" w:rsidP="00C959DC">
      <w:pPr>
        <w:keepNext/>
        <w:widowControl/>
        <w:rPr>
          <w:i/>
        </w:rPr>
      </w:pPr>
      <w:r w:rsidRPr="00EE3355">
        <w:rPr>
          <w:i/>
        </w:rPr>
        <w:t>Reakce v místě vpichu</w:t>
      </w:r>
    </w:p>
    <w:p w14:paraId="4F7DF93F" w14:textId="708A71A4" w:rsidR="00222DE0" w:rsidRPr="00EE3355" w:rsidRDefault="0098273B" w:rsidP="00EA1CDF">
      <w:pPr>
        <w:pStyle w:val="a3"/>
        <w:widowControl/>
        <w:ind w:left="0"/>
      </w:pPr>
      <w:r w:rsidRPr="00EE3355">
        <w:t xml:space="preserve">Reakce v místě vpichu po subkutánním podání </w:t>
      </w:r>
      <w:r w:rsidR="00A0461C" w:rsidRPr="00C61A9B">
        <w:t>tocilizumab</w:t>
      </w:r>
      <w:r w:rsidR="00A0461C">
        <w:t xml:space="preserve">u </w:t>
      </w:r>
      <w:r w:rsidRPr="00EE3355">
        <w:t xml:space="preserve">se vyskytly celkem u 28,8 % (15/52) pacientů s pJIA. Tyto reakce se vyskytly u 44 % pacientů s tělesnou hmotností </w:t>
      </w:r>
      <w:r w:rsidRPr="00EE3355">
        <w:rPr>
          <w:u w:val="single"/>
        </w:rPr>
        <w:t>≥</w:t>
      </w:r>
      <w:r w:rsidRPr="00EE3355">
        <w:t xml:space="preserve"> 30 kg ve srovnání se 14,8 % pacientů s tělesnou hmotností &lt; 30 kg. Nejčastějšími reakcemi v místě vpichu byly erytém, otok, hematom, bolest a pruritus. Všechny hlášené reakce v místě vpichu byly nezávažné příhody stupně 1 a žádná si nevyžádala ukončení léčby ani její přerušení.</w:t>
      </w:r>
    </w:p>
    <w:p w14:paraId="2ECFC592" w14:textId="77777777" w:rsidR="00222DE0" w:rsidRPr="00EE3355" w:rsidRDefault="00222DE0" w:rsidP="00EA1CDF">
      <w:pPr>
        <w:pStyle w:val="a3"/>
        <w:widowControl/>
        <w:ind w:left="0"/>
      </w:pPr>
    </w:p>
    <w:p w14:paraId="37582A34" w14:textId="77777777" w:rsidR="00222DE0" w:rsidRPr="00EE3355" w:rsidRDefault="0098273B" w:rsidP="00EA1CDF">
      <w:pPr>
        <w:keepNext/>
        <w:widowControl/>
        <w:rPr>
          <w:i/>
        </w:rPr>
      </w:pPr>
      <w:r w:rsidRPr="00EE3355">
        <w:rPr>
          <w:i/>
        </w:rPr>
        <w:t>Laboratorní odchylky</w:t>
      </w:r>
    </w:p>
    <w:p w14:paraId="4C57D8CB" w14:textId="47EFFE60" w:rsidR="00222DE0" w:rsidRPr="00EE3355" w:rsidRDefault="0098273B" w:rsidP="00EA1CDF">
      <w:pPr>
        <w:pStyle w:val="a3"/>
        <w:widowControl/>
        <w:ind w:left="0"/>
      </w:pPr>
      <w:r w:rsidRPr="00EE3355">
        <w:t xml:space="preserve">Při běžném laboratorním sledování celkové populace pacientů vystavených </w:t>
      </w:r>
      <w:r w:rsidR="00A0461C" w:rsidRPr="00C61A9B">
        <w:t>tocilizumab</w:t>
      </w:r>
      <w:r w:rsidR="00A0461C">
        <w:t xml:space="preserve">u </w:t>
      </w:r>
      <w:r w:rsidRPr="00EE3355">
        <w:t>došlo u 15,4 % pacientů ve skupině s</w:t>
      </w:r>
      <w:r w:rsidR="00A0461C">
        <w:t> </w:t>
      </w:r>
      <w:r w:rsidR="00A0461C" w:rsidRPr="00C61A9B">
        <w:t>tocilizumab</w:t>
      </w:r>
      <w:r w:rsidR="00A0461C">
        <w:t xml:space="preserve">em </w:t>
      </w:r>
      <w:r w:rsidRPr="00EE3355">
        <w:t>podávaným subkutánně k poklesu počtu neutrofilů pod 1 x 10</w:t>
      </w:r>
      <w:r w:rsidRPr="00EE3355">
        <w:rPr>
          <w:vertAlign w:val="superscript"/>
        </w:rPr>
        <w:t>9</w:t>
      </w:r>
      <w:r w:rsidRPr="00EE3355">
        <w:t xml:space="preserve">/l. U 9,6 % pacientů léčených subkutánně podávaným </w:t>
      </w:r>
      <w:r w:rsidR="00A0461C" w:rsidRPr="00C61A9B">
        <w:t>tocilizumab</w:t>
      </w:r>
      <w:r w:rsidR="00A0461C">
        <w:t xml:space="preserve">em </w:t>
      </w:r>
      <w:r w:rsidRPr="00EE3355">
        <w:t xml:space="preserve">došlo k elevaci ALT a u 3,8 % k elevaci AST ≥ 3 x ULN. U žádného pacienta léčeného subkutánně podávaným </w:t>
      </w:r>
      <w:r w:rsidR="00A0461C" w:rsidRPr="00C61A9B">
        <w:t>tocilizumab</w:t>
      </w:r>
      <w:r w:rsidR="00A0461C">
        <w:t>em</w:t>
      </w:r>
      <w:r w:rsidRPr="00EE3355">
        <w:t xml:space="preserve"> nedošlo k poklesu počtu trombocytů na </w:t>
      </w:r>
      <w:r w:rsidRPr="00EE3355">
        <w:rPr>
          <w:rFonts w:ascii="Symbol" w:hAnsi="Symbol"/>
        </w:rPr>
        <w:t></w:t>
      </w:r>
      <w:r w:rsidRPr="00EE3355">
        <w:t xml:space="preserve"> 50 x 10</w:t>
      </w:r>
      <w:r w:rsidRPr="00EE3355">
        <w:rPr>
          <w:vertAlign w:val="superscript"/>
        </w:rPr>
        <w:t>3</w:t>
      </w:r>
      <w:r w:rsidRPr="00EE3355">
        <w:t>/μl.</w:t>
      </w:r>
    </w:p>
    <w:p w14:paraId="6124BDA9" w14:textId="77777777" w:rsidR="009B6386" w:rsidRPr="00EE3355" w:rsidRDefault="009B6386" w:rsidP="00EA1CDF">
      <w:pPr>
        <w:widowControl/>
        <w:rPr>
          <w:i/>
        </w:rPr>
      </w:pPr>
    </w:p>
    <w:p w14:paraId="598CD509" w14:textId="77777777" w:rsidR="00222DE0" w:rsidRPr="00EE3355" w:rsidRDefault="0098273B" w:rsidP="00EA1CDF">
      <w:pPr>
        <w:keepNext/>
        <w:widowControl/>
        <w:rPr>
          <w:i/>
        </w:rPr>
      </w:pPr>
      <w:r w:rsidRPr="00EE3355">
        <w:rPr>
          <w:i/>
        </w:rPr>
        <w:t>Lipidové parametry</w:t>
      </w:r>
    </w:p>
    <w:p w14:paraId="0AD58F8B" w14:textId="77777777" w:rsidR="00222DE0" w:rsidRPr="00EE3355" w:rsidRDefault="0098273B" w:rsidP="00EA1CDF">
      <w:pPr>
        <w:pStyle w:val="a3"/>
        <w:widowControl/>
        <w:ind w:left="0"/>
      </w:pPr>
      <w:r w:rsidRPr="00EE3355">
        <w:t>Ve studii se subkutánním podáním došlo kdykoliv během studijní léčby k elevaci LDL cholesterolu na</w:t>
      </w:r>
    </w:p>
    <w:p w14:paraId="3DF06FBC" w14:textId="77777777" w:rsidR="00222DE0" w:rsidRPr="00EE3355" w:rsidRDefault="0098273B" w:rsidP="00EA1CDF">
      <w:pPr>
        <w:pStyle w:val="a3"/>
        <w:widowControl/>
        <w:ind w:left="0"/>
      </w:pPr>
      <w:r w:rsidRPr="00EE3355">
        <w:t>≥ 130 mg/dl u 14,3 % pacientů a celkového cholesterolu na ≥ 200 mg/dl u 12,8 % pacientů.</w:t>
      </w:r>
    </w:p>
    <w:p w14:paraId="4BFB4787" w14:textId="77777777" w:rsidR="00DA5703" w:rsidRPr="00EE3355" w:rsidRDefault="00DA5703" w:rsidP="00EA1CDF">
      <w:pPr>
        <w:pStyle w:val="a3"/>
        <w:widowControl/>
        <w:ind w:left="0"/>
      </w:pPr>
    </w:p>
    <w:p w14:paraId="01F3E3C8" w14:textId="77777777" w:rsidR="00222DE0" w:rsidRPr="00EE3355" w:rsidRDefault="0098273B" w:rsidP="00EA1CDF">
      <w:pPr>
        <w:pStyle w:val="a3"/>
        <w:keepNext/>
        <w:widowControl/>
        <w:ind w:left="0"/>
      </w:pPr>
      <w:r w:rsidRPr="00EE3355">
        <w:rPr>
          <w:u w:val="single"/>
        </w:rPr>
        <w:t>Subkutánní podání</w:t>
      </w:r>
    </w:p>
    <w:p w14:paraId="04762C0D" w14:textId="77777777" w:rsidR="00222DE0" w:rsidRPr="00EE3355" w:rsidRDefault="0098273B" w:rsidP="00EA1CDF">
      <w:pPr>
        <w:keepNext/>
        <w:widowControl/>
        <w:rPr>
          <w:b/>
        </w:rPr>
      </w:pPr>
      <w:r w:rsidRPr="00EE3355">
        <w:rPr>
          <w:b/>
          <w:u w:val="single"/>
        </w:rPr>
        <w:t>GCA</w:t>
      </w:r>
    </w:p>
    <w:p w14:paraId="4484B1A3" w14:textId="2BDE2F55" w:rsidR="00222DE0" w:rsidRPr="00EE3355" w:rsidRDefault="0098273B" w:rsidP="00EA1CDF">
      <w:pPr>
        <w:pStyle w:val="a3"/>
        <w:widowControl/>
        <w:ind w:left="0"/>
      </w:pPr>
      <w:r w:rsidRPr="00EE3355">
        <w:t xml:space="preserve">Bezpečnost </w:t>
      </w:r>
      <w:r w:rsidR="00A0461C" w:rsidRPr="00C61A9B">
        <w:t>tocilizumab</w:t>
      </w:r>
      <w:r w:rsidR="00A0461C">
        <w:t xml:space="preserve">u </w:t>
      </w:r>
      <w:r w:rsidRPr="00EE3355">
        <w:t xml:space="preserve">při subkutánním podání byla hodnocena v jedné studii fáze III (WA28119) s 251 pacienty s GCA. Během 12měsíční dvojitě zaslepené, placebem kontrolované fáze studie byla celková expozice </w:t>
      </w:r>
      <w:r w:rsidR="00A0461C" w:rsidRPr="00C61A9B">
        <w:t>tocilizumab</w:t>
      </w:r>
      <w:r w:rsidR="00A0461C">
        <w:t xml:space="preserve">u </w:t>
      </w:r>
      <w:r w:rsidRPr="00EE3355">
        <w:t xml:space="preserve">138,5 pacientoroků. Celkový bezpečnostní profil ve skupinách léčených </w:t>
      </w:r>
      <w:r w:rsidR="00A0461C" w:rsidRPr="00C61A9B">
        <w:t>tocilizumab</w:t>
      </w:r>
      <w:r w:rsidR="00A0461C">
        <w:t xml:space="preserve">em </w:t>
      </w:r>
      <w:r w:rsidRPr="00EE3355">
        <w:t xml:space="preserve">byl konzistentní se známým bezpečnostním profilem </w:t>
      </w:r>
      <w:r w:rsidR="00A0461C" w:rsidRPr="00C61A9B">
        <w:t>tocilizumab</w:t>
      </w:r>
      <w:r w:rsidR="00A0461C">
        <w:t xml:space="preserve">u </w:t>
      </w:r>
      <w:r w:rsidRPr="00EE3355">
        <w:t>(viz tabulka 1).</w:t>
      </w:r>
    </w:p>
    <w:p w14:paraId="319F8C8E" w14:textId="77777777" w:rsidR="009B6386" w:rsidRPr="00EE3355" w:rsidRDefault="009B6386" w:rsidP="00EA1CDF">
      <w:pPr>
        <w:pStyle w:val="a3"/>
        <w:widowControl/>
        <w:ind w:left="0"/>
      </w:pPr>
    </w:p>
    <w:p w14:paraId="50DFDFAD" w14:textId="77777777" w:rsidR="00222DE0" w:rsidRPr="00EE3355" w:rsidRDefault="0098273B" w:rsidP="00EA1CDF">
      <w:pPr>
        <w:widowControl/>
        <w:rPr>
          <w:i/>
        </w:rPr>
      </w:pPr>
      <w:r w:rsidRPr="00EE3355">
        <w:rPr>
          <w:i/>
        </w:rPr>
        <w:t>Infekce</w:t>
      </w:r>
    </w:p>
    <w:p w14:paraId="3794E39D" w14:textId="49345CA8" w:rsidR="00222DE0" w:rsidRPr="00EE3355" w:rsidRDefault="0098273B" w:rsidP="00EA1CDF">
      <w:pPr>
        <w:pStyle w:val="a3"/>
        <w:widowControl/>
        <w:ind w:left="0"/>
      </w:pPr>
      <w:r w:rsidRPr="00EE3355">
        <w:t>Výskyt infekcí / závažných infekcí byl vyvážen ve skupině s</w:t>
      </w:r>
      <w:r w:rsidR="00A0461C">
        <w:t> </w:t>
      </w:r>
      <w:r w:rsidR="00A0461C" w:rsidRPr="00C61A9B">
        <w:t>tocilizumab</w:t>
      </w:r>
      <w:r w:rsidR="00A0461C">
        <w:t xml:space="preserve">em </w:t>
      </w:r>
      <w:r w:rsidRPr="00EE3355">
        <w:t>jednou týdně (200,2/9,7 příhod na 100 pacientoroků) vs. placebo plus 26týdenní postupné vysazování prednisonu (156,0/4,2 příhod na 100 pacientoroků) a placebo plus 52týdenní postupné vysazování</w:t>
      </w:r>
    </w:p>
    <w:p w14:paraId="65ECC9DC" w14:textId="77777777" w:rsidR="00222DE0" w:rsidRPr="00EE3355" w:rsidRDefault="0098273B" w:rsidP="00EA1CDF">
      <w:pPr>
        <w:pStyle w:val="a3"/>
        <w:widowControl/>
        <w:ind w:left="0"/>
      </w:pPr>
      <w:r w:rsidRPr="00EE3355">
        <w:t>(210,2/12,5 příhod na 100 pacientoroků).</w:t>
      </w:r>
    </w:p>
    <w:p w14:paraId="4808F63B" w14:textId="77777777" w:rsidR="00222DE0" w:rsidRPr="00EE3355" w:rsidRDefault="00222DE0" w:rsidP="00EA1CDF">
      <w:pPr>
        <w:pStyle w:val="a3"/>
        <w:widowControl/>
        <w:ind w:left="0"/>
      </w:pPr>
    </w:p>
    <w:p w14:paraId="1ADB1233" w14:textId="77777777" w:rsidR="00222DE0" w:rsidRPr="00EE3355" w:rsidRDefault="0098273B" w:rsidP="00EA1CDF">
      <w:pPr>
        <w:widowControl/>
        <w:rPr>
          <w:i/>
        </w:rPr>
      </w:pPr>
      <w:r w:rsidRPr="00EE3355">
        <w:rPr>
          <w:i/>
        </w:rPr>
        <w:t>Reakce v místě vpichu</w:t>
      </w:r>
    </w:p>
    <w:p w14:paraId="6155DD0E" w14:textId="6243EE2F" w:rsidR="00222DE0" w:rsidRPr="00EE3355" w:rsidRDefault="0098273B" w:rsidP="00EA1CDF">
      <w:pPr>
        <w:pStyle w:val="a3"/>
        <w:widowControl/>
        <w:ind w:left="0"/>
      </w:pPr>
      <w:r w:rsidRPr="00EE3355">
        <w:t>Ve skupině s</w:t>
      </w:r>
      <w:r w:rsidR="00A0461C">
        <w:t> </w:t>
      </w:r>
      <w:r w:rsidR="00A0461C" w:rsidRPr="00C61A9B">
        <w:t>tocilizumab</w:t>
      </w:r>
      <w:r w:rsidR="00A0461C">
        <w:t xml:space="preserve">em </w:t>
      </w:r>
      <w:r w:rsidRPr="00EE3355">
        <w:t>podávaným subkutánně jednou týdně hlásilo celkem 6 % (6/100) pacientů nežádoucí účinek v místě vpichu subkutánní injekce. Žádná reakce v místě vpichu nebyla hlášena jako závažná nežádoucí příhoda ani nevyžadovala vysazení léčby.</w:t>
      </w:r>
    </w:p>
    <w:p w14:paraId="360E5A92" w14:textId="77777777" w:rsidR="00222DE0" w:rsidRPr="00EE3355" w:rsidRDefault="00222DE0" w:rsidP="00EA1CDF">
      <w:pPr>
        <w:pStyle w:val="a3"/>
        <w:widowControl/>
        <w:ind w:left="0"/>
      </w:pPr>
    </w:p>
    <w:p w14:paraId="3F27AC1B" w14:textId="77777777" w:rsidR="00222DE0" w:rsidRPr="00EE3355" w:rsidRDefault="0098273B" w:rsidP="00EA1CDF">
      <w:pPr>
        <w:widowControl/>
        <w:rPr>
          <w:i/>
        </w:rPr>
      </w:pPr>
      <w:r w:rsidRPr="00EE3355">
        <w:rPr>
          <w:i/>
        </w:rPr>
        <w:t>Hematologické odchylky:</w:t>
      </w:r>
    </w:p>
    <w:p w14:paraId="70026025" w14:textId="77777777" w:rsidR="00222DE0" w:rsidRPr="00EE3355" w:rsidRDefault="0098273B" w:rsidP="00EA1CDF">
      <w:pPr>
        <w:widowControl/>
        <w:rPr>
          <w:i/>
        </w:rPr>
      </w:pPr>
      <w:r w:rsidRPr="00EE3355">
        <w:rPr>
          <w:i/>
        </w:rPr>
        <w:t>Neutrofily</w:t>
      </w:r>
    </w:p>
    <w:p w14:paraId="262F7191" w14:textId="44F5E710" w:rsidR="00222DE0" w:rsidRPr="00EE3355" w:rsidRDefault="0098273B" w:rsidP="00EA1CDF">
      <w:pPr>
        <w:pStyle w:val="a3"/>
        <w:widowControl/>
        <w:ind w:left="0"/>
      </w:pPr>
      <w:r w:rsidRPr="00EE3355">
        <w:t xml:space="preserve">Během laboratorních měření v rámci 12měsíčního kontrolovaného klinického hodnocení </w:t>
      </w:r>
      <w:r w:rsidR="00A0461C" w:rsidRPr="00C61A9B">
        <w:t>tocilizumab</w:t>
      </w:r>
      <w:r w:rsidR="00A0461C">
        <w:t xml:space="preserve">u </w:t>
      </w:r>
      <w:r w:rsidRPr="00EE3355">
        <w:t>došlo u 4 % pacientů ve skupině s</w:t>
      </w:r>
      <w:r w:rsidR="00A0461C">
        <w:t> </w:t>
      </w:r>
      <w:r w:rsidR="00A0461C" w:rsidRPr="00C61A9B">
        <w:t>tocilizumab</w:t>
      </w:r>
      <w:r w:rsidR="00A0461C">
        <w:t xml:space="preserve">em </w:t>
      </w:r>
      <w:r w:rsidRPr="00EE3355">
        <w:t>podávaným subkutánně jednou týdně k poklesu počtu neutrofilů pod 1 x 10</w:t>
      </w:r>
      <w:r w:rsidRPr="00EE3355">
        <w:rPr>
          <w:vertAlign w:val="superscript"/>
        </w:rPr>
        <w:t>9</w:t>
      </w:r>
      <w:r w:rsidRPr="00EE3355">
        <w:t>/l. Ve skupinách s placebem plus postupně vysazovaným prednisonem k poklesu nedošlo.</w:t>
      </w:r>
    </w:p>
    <w:p w14:paraId="0524808D" w14:textId="77777777" w:rsidR="00222DE0" w:rsidRPr="00EE3355" w:rsidRDefault="00222DE0" w:rsidP="00EA1CDF">
      <w:pPr>
        <w:pStyle w:val="a3"/>
        <w:widowControl/>
        <w:ind w:left="0"/>
      </w:pPr>
    </w:p>
    <w:p w14:paraId="64644F87" w14:textId="77777777" w:rsidR="00222DE0" w:rsidRPr="00EE3355" w:rsidRDefault="0098273B" w:rsidP="00C959DC">
      <w:pPr>
        <w:keepNext/>
        <w:widowControl/>
        <w:rPr>
          <w:i/>
        </w:rPr>
      </w:pPr>
      <w:r w:rsidRPr="00EE3355">
        <w:rPr>
          <w:i/>
        </w:rPr>
        <w:t>Trombocyty</w:t>
      </w:r>
    </w:p>
    <w:p w14:paraId="774BD19F" w14:textId="579A7FFD" w:rsidR="00222DE0" w:rsidRPr="00EE3355" w:rsidRDefault="0098273B" w:rsidP="00C959DC">
      <w:pPr>
        <w:pStyle w:val="a3"/>
        <w:widowControl/>
        <w:ind w:left="0"/>
      </w:pPr>
      <w:r w:rsidRPr="00EE3355">
        <w:t xml:space="preserve">Během rutinního laboratorního měření v rámci 12měsíčního kontrolovaného klinického hodnocení </w:t>
      </w:r>
      <w:r w:rsidR="00A0461C" w:rsidRPr="00C61A9B">
        <w:t>tocilizumab</w:t>
      </w:r>
      <w:r w:rsidR="00A0461C">
        <w:t xml:space="preserve">u </w:t>
      </w:r>
      <w:r w:rsidRPr="00EE3355">
        <w:t>byl u jednoho pacienta (1 %, 1/100) ve skupině s</w:t>
      </w:r>
      <w:r w:rsidR="00A0461C">
        <w:t> </w:t>
      </w:r>
      <w:r w:rsidR="00A0461C" w:rsidRPr="00C61A9B">
        <w:t>tocilizumab</w:t>
      </w:r>
      <w:r w:rsidR="00A0461C">
        <w:t xml:space="preserve">em </w:t>
      </w:r>
      <w:r w:rsidRPr="00EE3355">
        <w:t>podávaným subkutánně jednou týdně zjištěn jednorázový přechodný pokles počtu trombocytů na</w:t>
      </w:r>
      <w:r w:rsidR="009B6386" w:rsidRPr="00EE3355">
        <w:t xml:space="preserve"> </w:t>
      </w:r>
      <w:r w:rsidRPr="00EE3355">
        <w:t>&lt; 100 x 10</w:t>
      </w:r>
      <w:r w:rsidRPr="00EE3355">
        <w:rPr>
          <w:vertAlign w:val="superscript"/>
        </w:rPr>
        <w:t>3</w:t>
      </w:r>
      <w:r w:rsidRPr="00EE3355">
        <w:t>/μl, který nebyl spojen s krvácením. Ve skupinách s placebem plus postupně vysazovaným</w:t>
      </w:r>
      <w:r w:rsidR="009B6386" w:rsidRPr="00EE3355">
        <w:t xml:space="preserve"> </w:t>
      </w:r>
      <w:r w:rsidRPr="00EE3355">
        <w:t>prednisonem k poklesu pod 100 x 10</w:t>
      </w:r>
      <w:r w:rsidRPr="00EE3355">
        <w:rPr>
          <w:vertAlign w:val="superscript"/>
        </w:rPr>
        <w:t>3</w:t>
      </w:r>
      <w:r w:rsidRPr="00EE3355">
        <w:t>/μl nedošlo.</w:t>
      </w:r>
    </w:p>
    <w:p w14:paraId="32B5A9F6" w14:textId="77777777" w:rsidR="00222DE0" w:rsidRPr="00EE3355" w:rsidRDefault="00222DE0" w:rsidP="00EA1CDF">
      <w:pPr>
        <w:pStyle w:val="a3"/>
        <w:widowControl/>
        <w:ind w:left="0"/>
      </w:pPr>
    </w:p>
    <w:p w14:paraId="7E461D1A" w14:textId="77777777" w:rsidR="00222DE0" w:rsidRPr="00EE3355" w:rsidRDefault="0098273B" w:rsidP="00EA1CDF">
      <w:pPr>
        <w:widowControl/>
        <w:rPr>
          <w:i/>
        </w:rPr>
      </w:pPr>
      <w:r w:rsidRPr="00EE3355">
        <w:rPr>
          <w:i/>
        </w:rPr>
        <w:t>Zvýšení jaterních aminotransferáz</w:t>
      </w:r>
    </w:p>
    <w:p w14:paraId="62D76D5F" w14:textId="6E030E1C" w:rsidR="00222DE0" w:rsidRPr="00EE3355" w:rsidRDefault="0098273B" w:rsidP="00EA1CDF">
      <w:pPr>
        <w:pStyle w:val="a3"/>
        <w:widowControl/>
        <w:ind w:left="0"/>
      </w:pPr>
      <w:r w:rsidRPr="00EE3355">
        <w:t xml:space="preserve">Během rutinního laboratorního měření v rámci 12měsíčního kontrolovaného klinického hodnocení </w:t>
      </w:r>
      <w:r w:rsidR="00A0461C" w:rsidRPr="00C61A9B">
        <w:t>tocilizumab</w:t>
      </w:r>
      <w:r w:rsidR="00A0461C">
        <w:t xml:space="preserve">u </w:t>
      </w:r>
      <w:r w:rsidRPr="00EE3355">
        <w:t>bylo u 3 % pacientů ve skupině s</w:t>
      </w:r>
      <w:r w:rsidR="00A0461C">
        <w:t> </w:t>
      </w:r>
      <w:r w:rsidR="00A0461C" w:rsidRPr="00C61A9B">
        <w:t>tocilizumab</w:t>
      </w:r>
      <w:r w:rsidR="00A0461C">
        <w:t xml:space="preserve">em </w:t>
      </w:r>
      <w:r w:rsidRPr="00EE3355">
        <w:t>podávaným subkutánně jednou týdně zjištěno zvýšení ALT ≥ 3 x ULN ve srovnání se 2 % pacientů ve skupině</w:t>
      </w:r>
      <w:r w:rsidR="009B6386" w:rsidRPr="00EE3355">
        <w:t xml:space="preserve"> </w:t>
      </w:r>
      <w:r w:rsidRPr="00EE3355">
        <w:t>s placebem plus 52týdenním postupným vysazováním prednisonu a se žádným pacientem ve skupině</w:t>
      </w:r>
      <w:r w:rsidR="009B6386" w:rsidRPr="00EE3355">
        <w:t xml:space="preserve"> </w:t>
      </w:r>
      <w:r w:rsidRPr="00EE3355">
        <w:t>s placebem plus 26týdenním postupným vysazováním prednisonu. Ke zvýšení AST &gt; 3 x ULN došlo u 1 % pacientů ve skupině s</w:t>
      </w:r>
      <w:r w:rsidR="00A0461C">
        <w:t> </w:t>
      </w:r>
      <w:r w:rsidR="00A0461C" w:rsidRPr="00C61A9B">
        <w:t>tocilizumab</w:t>
      </w:r>
      <w:r w:rsidR="00A0461C">
        <w:t xml:space="preserve">em </w:t>
      </w:r>
      <w:r w:rsidRPr="00EE3355">
        <w:t>podávaným subkutánně jednou týdně ve srovnání</w:t>
      </w:r>
      <w:r w:rsidR="009B6386" w:rsidRPr="00EE3355">
        <w:t xml:space="preserve"> </w:t>
      </w:r>
      <w:r w:rsidRPr="00EE3355">
        <w:t>s 0 % pacientů v obou skupinách s placebem plus postupným vysazováním prednisonu.</w:t>
      </w:r>
    </w:p>
    <w:p w14:paraId="7D8BCA52" w14:textId="77777777" w:rsidR="009B6386" w:rsidRPr="00EE3355" w:rsidRDefault="009B6386" w:rsidP="00EA1CDF">
      <w:pPr>
        <w:pStyle w:val="a3"/>
        <w:widowControl/>
        <w:ind w:left="0"/>
      </w:pPr>
    </w:p>
    <w:p w14:paraId="76DDB2CF" w14:textId="77777777" w:rsidR="00222DE0" w:rsidRPr="00EE3355" w:rsidRDefault="0098273B" w:rsidP="00EA1CDF">
      <w:pPr>
        <w:keepNext/>
        <w:widowControl/>
        <w:rPr>
          <w:i/>
        </w:rPr>
      </w:pPr>
      <w:r w:rsidRPr="00EE3355">
        <w:rPr>
          <w:i/>
        </w:rPr>
        <w:t>Lipidové parametry</w:t>
      </w:r>
    </w:p>
    <w:p w14:paraId="32219554" w14:textId="6547EE97" w:rsidR="00222DE0" w:rsidRPr="00EE3355" w:rsidRDefault="0098273B" w:rsidP="00EA1CDF">
      <w:pPr>
        <w:pStyle w:val="a3"/>
        <w:widowControl/>
        <w:ind w:left="0"/>
      </w:pPr>
      <w:r w:rsidRPr="00EE3355">
        <w:t xml:space="preserve">Během rutinního laboratorního měření v rámci 12měsíčního kontrolovaného klinického hodnocení </w:t>
      </w:r>
      <w:r w:rsidR="00A0461C" w:rsidRPr="00C61A9B">
        <w:t>tocilizumab</w:t>
      </w:r>
      <w:r w:rsidR="00A0461C">
        <w:t xml:space="preserve">u </w:t>
      </w:r>
      <w:r w:rsidRPr="00EE3355">
        <w:t>bylo u 34 % pacientů zjištěno trvalé zvýšení celkového cholesterolu</w:t>
      </w:r>
      <w:r w:rsidR="009B6386" w:rsidRPr="00EE3355">
        <w:t xml:space="preserve"> </w:t>
      </w:r>
      <w:r w:rsidR="00B23DAE" w:rsidRPr="00EE3355">
        <w:t>&gt;</w:t>
      </w:r>
      <w:r w:rsidR="009B6386" w:rsidRPr="00EE3355">
        <w:t xml:space="preserve"> </w:t>
      </w:r>
      <w:r w:rsidRPr="00EE3355">
        <w:t xml:space="preserve">6,2 mmol/l (240 mg/dl), z nichž 15 % s trvalým zvýšením LDL na </w:t>
      </w:r>
      <w:r w:rsidRPr="00EE3355">
        <w:rPr>
          <w:rFonts w:ascii="Symbol" w:hAnsi="Symbol"/>
        </w:rPr>
        <w:t></w:t>
      </w:r>
      <w:r w:rsidRPr="00EE3355">
        <w:t xml:space="preserve"> 4,1 mmol/l (160 mg/dl) patřilo</w:t>
      </w:r>
      <w:r w:rsidR="009B6386" w:rsidRPr="00EE3355">
        <w:t xml:space="preserve"> </w:t>
      </w:r>
      <w:r w:rsidRPr="00EE3355">
        <w:t>do skupiny s</w:t>
      </w:r>
      <w:r w:rsidR="00A0461C">
        <w:t> </w:t>
      </w:r>
      <w:r w:rsidR="00A0461C" w:rsidRPr="00C61A9B">
        <w:t>tocilizumab</w:t>
      </w:r>
      <w:r w:rsidR="00A0461C">
        <w:t xml:space="preserve">em </w:t>
      </w:r>
      <w:r w:rsidRPr="00EE3355">
        <w:t>podávaným subkutánně jednou týdně.</w:t>
      </w:r>
    </w:p>
    <w:p w14:paraId="4D6A812B" w14:textId="77777777" w:rsidR="00222DE0" w:rsidRPr="00EE3355" w:rsidRDefault="00222DE0" w:rsidP="00EA1CDF">
      <w:pPr>
        <w:widowControl/>
      </w:pPr>
    </w:p>
    <w:p w14:paraId="09EA3DAB" w14:textId="77777777" w:rsidR="00222DE0" w:rsidRPr="00EE3355" w:rsidRDefault="0098273B" w:rsidP="00EA1CDF">
      <w:pPr>
        <w:pStyle w:val="a3"/>
        <w:keepNext/>
        <w:widowControl/>
        <w:ind w:left="0"/>
      </w:pPr>
      <w:r w:rsidRPr="00EE3355">
        <w:rPr>
          <w:u w:val="single"/>
        </w:rPr>
        <w:t>Intravenózní podání</w:t>
      </w:r>
    </w:p>
    <w:p w14:paraId="7A4C83F0" w14:textId="77777777" w:rsidR="00222DE0" w:rsidRPr="00404E47" w:rsidRDefault="0098273B" w:rsidP="00404E47">
      <w:pPr>
        <w:rPr>
          <w:b/>
          <w:bCs/>
        </w:rPr>
      </w:pPr>
      <w:r w:rsidRPr="00404E47">
        <w:rPr>
          <w:b/>
          <w:bCs/>
        </w:rPr>
        <w:t>RA</w:t>
      </w:r>
    </w:p>
    <w:p w14:paraId="646E7E94" w14:textId="1398FBA3" w:rsidR="00222DE0" w:rsidRPr="00EE3355" w:rsidRDefault="0098273B" w:rsidP="00EA1CDF">
      <w:pPr>
        <w:pStyle w:val="a3"/>
        <w:keepNext/>
        <w:widowControl/>
        <w:ind w:left="0"/>
      </w:pPr>
      <w:r w:rsidRPr="00EE3355">
        <w:t xml:space="preserve">Bezpečnost </w:t>
      </w:r>
      <w:r w:rsidR="00A0461C" w:rsidRPr="00C61A9B">
        <w:t>tocilizumab</w:t>
      </w:r>
      <w:r w:rsidR="00A0461C">
        <w:t xml:space="preserve">u </w:t>
      </w:r>
      <w:r w:rsidRPr="00EE3355">
        <w:t>byla hodnocena ve 4 placebem kontrolovaných studiích (studie II,</w:t>
      </w:r>
      <w:r w:rsidR="001B021A">
        <w:t xml:space="preserve"> </w:t>
      </w:r>
      <w:r w:rsidRPr="00EE3355">
        <w:t>III, IV a V), 1 aktivní MTX kontrolované studii (studie I) a v jejich prodloužených fázích (viz bod 5.1).</w:t>
      </w:r>
    </w:p>
    <w:p w14:paraId="7DFADF49" w14:textId="77777777" w:rsidR="001B021A" w:rsidRDefault="001B021A" w:rsidP="00EA1CDF">
      <w:pPr>
        <w:pStyle w:val="a3"/>
        <w:widowControl/>
        <w:ind w:left="0"/>
      </w:pPr>
    </w:p>
    <w:p w14:paraId="1C54E676" w14:textId="5070BCC1" w:rsidR="00222DE0" w:rsidRPr="00EE3355" w:rsidRDefault="0098273B" w:rsidP="00EA1CDF">
      <w:pPr>
        <w:pStyle w:val="a3"/>
        <w:widowControl/>
        <w:ind w:left="0"/>
      </w:pPr>
      <w:r w:rsidRPr="00EE3355">
        <w:t xml:space="preserve">Ve 4 studiích trvalo dvojitě zaslepené, kontrolované období léčby 6 měsíců (studie I, III, IV a V) a v jedné studii trvalo až 2 roky (studie II). V těchto dvojitě zaslepených, kontrolovaných studiích dostávalo 774 pacientů </w:t>
      </w:r>
      <w:r w:rsidR="00A0461C" w:rsidRPr="00C61A9B">
        <w:t>tocilizumab</w:t>
      </w:r>
      <w:r w:rsidR="00A0461C">
        <w:t xml:space="preserve"> </w:t>
      </w:r>
      <w:r w:rsidRPr="00EE3355">
        <w:t xml:space="preserve">v dávce 4 mg/kg v kombinaci s MTX, 1 870 pacientů dostávalo </w:t>
      </w:r>
      <w:r w:rsidR="00A0461C" w:rsidRPr="00C61A9B">
        <w:t>tocilizumab</w:t>
      </w:r>
      <w:r w:rsidR="00A0461C">
        <w:t xml:space="preserve"> </w:t>
      </w:r>
      <w:r w:rsidRPr="00EE3355">
        <w:t>v dávce 8 mg/kg v kombinaci s MTX nebo jinými DMARD a</w:t>
      </w:r>
      <w:r w:rsidR="001B021A">
        <w:t xml:space="preserve"> </w:t>
      </w:r>
      <w:r w:rsidRPr="00EE3355">
        <w:t xml:space="preserve">288 pacientů dostávalo </w:t>
      </w:r>
      <w:r w:rsidR="00A0461C" w:rsidRPr="00C61A9B">
        <w:t>tocilizumab</w:t>
      </w:r>
      <w:r w:rsidR="00A0461C">
        <w:t xml:space="preserve"> </w:t>
      </w:r>
      <w:r w:rsidRPr="00EE3355">
        <w:t>v dávce 8 mg/kg v monoterapii.</w:t>
      </w:r>
    </w:p>
    <w:p w14:paraId="001A08EC" w14:textId="77777777" w:rsidR="001B021A" w:rsidRDefault="001B021A" w:rsidP="00EA1CDF">
      <w:pPr>
        <w:pStyle w:val="a3"/>
        <w:widowControl/>
        <w:ind w:left="0"/>
      </w:pPr>
    </w:p>
    <w:p w14:paraId="01D5073A" w14:textId="100621C4" w:rsidR="00222DE0" w:rsidRPr="00EE3355" w:rsidRDefault="0098273B" w:rsidP="00EA1CDF">
      <w:pPr>
        <w:pStyle w:val="a3"/>
        <w:widowControl/>
        <w:ind w:left="0"/>
      </w:pPr>
      <w:r w:rsidRPr="00EE3355">
        <w:t xml:space="preserve">Soubor dlouhodobé expozice zahrnuje všechny pacienty, kteří dostali alespoň jednu dávku </w:t>
      </w:r>
      <w:r w:rsidR="00A0461C" w:rsidRPr="00C61A9B">
        <w:t>tocilizumab</w:t>
      </w:r>
      <w:r w:rsidR="00A0461C">
        <w:t xml:space="preserve">u </w:t>
      </w:r>
      <w:r w:rsidRPr="00EE3355">
        <w:t>buď v období dvojitě zaslepené, kontrolované části, nebo v otevřené prodloužené fázi těchto studií. Z celkem 4 009 pacientů v tomto souboru dostávalo 3 577 pacientů léčbu po dobu alespoň 6 měsíců, 3 296 pacientů po dobu alespoň 1 roku, 2 806 pacientů po dobu alespoň 2 let a</w:t>
      </w:r>
      <w:r w:rsidR="001B021A">
        <w:t xml:space="preserve"> </w:t>
      </w:r>
      <w:r w:rsidRPr="00EE3355">
        <w:t>1 222 pacientů po dobu 3 let.</w:t>
      </w:r>
    </w:p>
    <w:p w14:paraId="6482E61B" w14:textId="77777777" w:rsidR="00222DE0" w:rsidRPr="00EE3355" w:rsidRDefault="00222DE0" w:rsidP="00EA1CDF">
      <w:pPr>
        <w:pStyle w:val="a3"/>
        <w:widowControl/>
        <w:ind w:left="0"/>
      </w:pPr>
    </w:p>
    <w:p w14:paraId="0CC27E34" w14:textId="77777777" w:rsidR="00222DE0" w:rsidRPr="00EE3355" w:rsidRDefault="0098273B" w:rsidP="00EA1CDF">
      <w:pPr>
        <w:pStyle w:val="a3"/>
        <w:widowControl/>
        <w:ind w:left="0"/>
      </w:pPr>
      <w:r w:rsidRPr="00EE3355">
        <w:rPr>
          <w:u w:val="single"/>
        </w:rPr>
        <w:t>Popis vybraných nežádoucích účinků</w:t>
      </w:r>
    </w:p>
    <w:p w14:paraId="1C7053BB" w14:textId="77777777" w:rsidR="00222DE0" w:rsidRPr="00EE3355" w:rsidRDefault="00222DE0" w:rsidP="00EA1CDF">
      <w:pPr>
        <w:pStyle w:val="a3"/>
        <w:widowControl/>
        <w:ind w:left="0"/>
      </w:pPr>
    </w:p>
    <w:p w14:paraId="1C48E150" w14:textId="77777777" w:rsidR="00222DE0" w:rsidRPr="00EE3355" w:rsidRDefault="0098273B" w:rsidP="00EA1CDF">
      <w:pPr>
        <w:widowControl/>
        <w:rPr>
          <w:i/>
        </w:rPr>
      </w:pPr>
      <w:r w:rsidRPr="00EE3355">
        <w:rPr>
          <w:i/>
        </w:rPr>
        <w:t>Infekce</w:t>
      </w:r>
    </w:p>
    <w:p w14:paraId="32F86C44" w14:textId="72EF1061" w:rsidR="00222DE0" w:rsidRPr="00EE3355" w:rsidRDefault="0098273B" w:rsidP="00EA1CDF">
      <w:pPr>
        <w:pStyle w:val="a3"/>
        <w:widowControl/>
        <w:ind w:left="0"/>
      </w:pPr>
      <w:r w:rsidRPr="00EE3355">
        <w:t xml:space="preserve">V 6měsíčních kontrolovaných studiích byl počet všech infekcí zaznamenaných při podávání </w:t>
      </w:r>
      <w:r w:rsidR="00A0461C" w:rsidRPr="00C61A9B">
        <w:t>tocilizumab</w:t>
      </w:r>
      <w:r w:rsidR="00A0461C">
        <w:t xml:space="preserve">u </w:t>
      </w:r>
      <w:r w:rsidRPr="00EE3355">
        <w:t xml:space="preserve">8 mg/kg spolu s DMARD 127 příhod na 100 pacientoroků v porovnání se 112 příhodami </w:t>
      </w:r>
      <w:r w:rsidRPr="00EE3355">
        <w:lastRenderedPageBreak/>
        <w:t xml:space="preserve">na 100 pacientoroků ve skupině s placebem spolu s DMARD. V souboru dlouhodobé expozice byl celkový počet infekcí při podávání </w:t>
      </w:r>
      <w:r w:rsidR="004177B0" w:rsidRPr="00C61A9B">
        <w:t>tocilizumab</w:t>
      </w:r>
      <w:r w:rsidR="004177B0">
        <w:t xml:space="preserve">u </w:t>
      </w:r>
      <w:r w:rsidRPr="00EE3355">
        <w:t>108 příhod na 100 pacientoroků.</w:t>
      </w:r>
    </w:p>
    <w:p w14:paraId="7F5E3B00" w14:textId="77777777" w:rsidR="009B6386" w:rsidRPr="00EE3355" w:rsidRDefault="009B6386" w:rsidP="00EA1CDF">
      <w:pPr>
        <w:pStyle w:val="a3"/>
        <w:widowControl/>
        <w:ind w:left="0"/>
      </w:pPr>
    </w:p>
    <w:p w14:paraId="5D0A6815" w14:textId="7C4DC906" w:rsidR="00222DE0" w:rsidRPr="00EE3355" w:rsidRDefault="0098273B" w:rsidP="00EA1CDF">
      <w:pPr>
        <w:pStyle w:val="a3"/>
        <w:widowControl/>
        <w:ind w:left="0"/>
      </w:pPr>
      <w:r w:rsidRPr="00EE3355">
        <w:t xml:space="preserve">V 6měsíčních kontrolovaných studiích byl počet závažných infekcí zaznamenaných při podávání </w:t>
      </w:r>
      <w:r w:rsidR="004177B0" w:rsidRPr="00C61A9B">
        <w:t>tocilizumab</w:t>
      </w:r>
      <w:r w:rsidR="004177B0">
        <w:t xml:space="preserve">u </w:t>
      </w:r>
      <w:r w:rsidRPr="00EE3355">
        <w:t>8 mg/kg spolu s DMARD 5,3 příhod na 100 pacientoroků v porovnání se</w:t>
      </w:r>
      <w:r w:rsidR="009B6386" w:rsidRPr="00EE3355">
        <w:t xml:space="preserve"> </w:t>
      </w:r>
      <w:r w:rsidRPr="00EE3355">
        <w:t>3,9 příhodami na 100 pacientoroků ve skupině s placebem spolu s DMARD. Ve studiích monoterapie byl počet závažných infekcí 3,6 příhod na 100 pacientoroků ve skupině s</w:t>
      </w:r>
      <w:r w:rsidR="004177B0">
        <w:t> </w:t>
      </w:r>
      <w:r w:rsidR="004177B0" w:rsidRPr="00C61A9B">
        <w:t>tocilizumab</w:t>
      </w:r>
      <w:r w:rsidR="004177B0">
        <w:t xml:space="preserve">em </w:t>
      </w:r>
      <w:r w:rsidRPr="00EE3355">
        <w:t>a 1,5 příhody na 100 pacientoroků ve skupině s MTX.</w:t>
      </w:r>
    </w:p>
    <w:p w14:paraId="7347DBD8" w14:textId="77777777" w:rsidR="00222DE0" w:rsidRPr="00EE3355" w:rsidRDefault="00222DE0" w:rsidP="00EA1CDF">
      <w:pPr>
        <w:pStyle w:val="a3"/>
        <w:widowControl/>
        <w:ind w:left="0"/>
      </w:pPr>
    </w:p>
    <w:p w14:paraId="736B0770" w14:textId="77777777" w:rsidR="00D0484B" w:rsidRDefault="0098273B" w:rsidP="00EA1CDF">
      <w:pPr>
        <w:pStyle w:val="a3"/>
        <w:widowControl/>
        <w:ind w:left="0"/>
        <w:rPr>
          <w:rFonts w:eastAsia="맑은 고딕"/>
          <w:lang w:eastAsia="ko-KR"/>
        </w:rPr>
      </w:pPr>
      <w:r w:rsidRPr="00EE3355">
        <w:t xml:space="preserve">V souboru dlouhodobé expozice byl celkový počet závažných infekcí (bakteriální, virové a mykotické) 4,7 příhod na 100 pacientoroků. Hlášené závažné infekce, některé fatální, zahrnovaly aktivní tuberkulózu, která se může projevit jako intrapulmonární nebo extrapulmonární onemocnění, invazivní plicní infekce včetně kandidózy, aspergilózy, kokcidioidomykózy a infekci pneumocystis jirovecii, pneumonii, celulitidu, herpes zoster, gastroenteritidu, divertikulitidu, sepsi a bakteriální artritidu. </w:t>
      </w:r>
    </w:p>
    <w:p w14:paraId="049648D1" w14:textId="77777777" w:rsidR="00D0484B" w:rsidRDefault="00D0484B" w:rsidP="00EA1CDF">
      <w:pPr>
        <w:pStyle w:val="a3"/>
        <w:widowControl/>
        <w:ind w:left="0"/>
        <w:rPr>
          <w:rFonts w:eastAsia="맑은 고딕"/>
          <w:lang w:eastAsia="ko-KR"/>
        </w:rPr>
      </w:pPr>
    </w:p>
    <w:p w14:paraId="26C9F517" w14:textId="5C856591" w:rsidR="00222DE0" w:rsidRPr="00EE3355" w:rsidRDefault="0098273B" w:rsidP="00EA1CDF">
      <w:pPr>
        <w:pStyle w:val="a3"/>
        <w:widowControl/>
        <w:ind w:left="0"/>
      </w:pPr>
      <w:r w:rsidRPr="00EE3355">
        <w:t>Byly hlášeny i případy oportunních infekcí.</w:t>
      </w:r>
    </w:p>
    <w:p w14:paraId="2CCC4481" w14:textId="77777777" w:rsidR="009B6386" w:rsidRPr="00EE3355" w:rsidRDefault="009B6386" w:rsidP="00EA1CDF">
      <w:pPr>
        <w:pStyle w:val="a3"/>
        <w:widowControl/>
        <w:ind w:left="0"/>
      </w:pPr>
    </w:p>
    <w:p w14:paraId="336CD7D7" w14:textId="77777777" w:rsidR="00222DE0" w:rsidRPr="00EE3355" w:rsidRDefault="0098273B" w:rsidP="00EA1CDF">
      <w:pPr>
        <w:widowControl/>
        <w:rPr>
          <w:i/>
        </w:rPr>
      </w:pPr>
      <w:r w:rsidRPr="00EE3355">
        <w:rPr>
          <w:i/>
        </w:rPr>
        <w:t>Intersticiální plicní onemocnění</w:t>
      </w:r>
    </w:p>
    <w:p w14:paraId="71A117D0" w14:textId="77777777" w:rsidR="00222DE0" w:rsidRPr="00EE3355" w:rsidRDefault="0098273B" w:rsidP="00EA1CDF">
      <w:pPr>
        <w:pStyle w:val="a3"/>
        <w:widowControl/>
        <w:ind w:left="0"/>
      </w:pPr>
      <w:r w:rsidRPr="00EE3355">
        <w:t>Porucha plicních funkcí může zvýšit riziko rozvoje infekcí. Po uvedení přípravku na trh byly hlášeny případy intersticiálního plicního onemocnění (včetně pneumonitidy a plicní fibrózy), některé z nich končily fatálně.</w:t>
      </w:r>
    </w:p>
    <w:p w14:paraId="4C1B760E" w14:textId="77777777" w:rsidR="009B6386" w:rsidRPr="00EE3355" w:rsidRDefault="009B6386" w:rsidP="00EA1CDF">
      <w:pPr>
        <w:pStyle w:val="a3"/>
        <w:widowControl/>
        <w:ind w:left="0"/>
      </w:pPr>
    </w:p>
    <w:p w14:paraId="548CDBB7" w14:textId="77777777" w:rsidR="00222DE0" w:rsidRPr="00EE3355" w:rsidRDefault="0098273B" w:rsidP="00EA1CDF">
      <w:pPr>
        <w:widowControl/>
        <w:rPr>
          <w:i/>
        </w:rPr>
      </w:pPr>
      <w:r w:rsidRPr="00EE3355">
        <w:rPr>
          <w:i/>
        </w:rPr>
        <w:t>Gastrointestinální perforace</w:t>
      </w:r>
    </w:p>
    <w:p w14:paraId="3AD5D326" w14:textId="7931C979" w:rsidR="00222DE0" w:rsidRPr="00EE3355" w:rsidRDefault="0098273B" w:rsidP="00EA1CDF">
      <w:pPr>
        <w:pStyle w:val="a3"/>
        <w:widowControl/>
        <w:ind w:left="0"/>
      </w:pPr>
      <w:r w:rsidRPr="00EE3355">
        <w:t xml:space="preserve">Při léčbě </w:t>
      </w:r>
      <w:r w:rsidR="004177B0" w:rsidRPr="00C61A9B">
        <w:t>tocilizumab</w:t>
      </w:r>
      <w:r w:rsidR="004177B0">
        <w:t xml:space="preserve">em </w:t>
      </w:r>
      <w:r w:rsidRPr="00EE3355">
        <w:t xml:space="preserve">byl v průběhu 6měsíčních kontrolovaných klinických studií celkový výskyt gastrointestinálních perforací 0,26 příhod na 100 pacientoroků. V souboru dlouhodobé expozice byl celkový výskyt gastrointestinálních perforací 0,28 příhod na 100 pacientoroků. Hlášené gastrointestinální perforace při léčbě </w:t>
      </w:r>
      <w:r w:rsidR="004177B0" w:rsidRPr="00C61A9B">
        <w:t>tocilizumab</w:t>
      </w:r>
      <w:r w:rsidR="004177B0">
        <w:t xml:space="preserve">em </w:t>
      </w:r>
      <w:r w:rsidRPr="00EE3355">
        <w:t>zahrnovaly především komplikace divertikulitidy včetně generalizované purulentní peritonitidy, perforace dolní části trávicího ústrojí, píštěle a abscesy.</w:t>
      </w:r>
    </w:p>
    <w:p w14:paraId="38122036" w14:textId="77777777" w:rsidR="00222DE0" w:rsidRPr="00EE3355" w:rsidRDefault="00222DE0" w:rsidP="00EA1CDF">
      <w:pPr>
        <w:pStyle w:val="a3"/>
        <w:widowControl/>
        <w:ind w:left="0"/>
      </w:pPr>
    </w:p>
    <w:p w14:paraId="2A6A956E" w14:textId="77777777" w:rsidR="00222DE0" w:rsidRPr="00EE3355" w:rsidRDefault="0098273B" w:rsidP="00EA1CDF">
      <w:pPr>
        <w:keepNext/>
        <w:widowControl/>
        <w:rPr>
          <w:i/>
        </w:rPr>
      </w:pPr>
      <w:r w:rsidRPr="00EE3355">
        <w:rPr>
          <w:i/>
        </w:rPr>
        <w:t>Reakce související s infuzí</w:t>
      </w:r>
    </w:p>
    <w:p w14:paraId="55F36052" w14:textId="060B0D76" w:rsidR="00222DE0" w:rsidRPr="00EE3355" w:rsidRDefault="0098273B" w:rsidP="00EA1CDF">
      <w:pPr>
        <w:pStyle w:val="a3"/>
        <w:widowControl/>
        <w:ind w:left="0"/>
      </w:pPr>
      <w:r w:rsidRPr="00EE3355">
        <w:t>V 6měsíčních kontrolovaných klinických studiích byly nežádoucí účinky v souvislosti s</w:t>
      </w:r>
      <w:r w:rsidR="009B6386" w:rsidRPr="00EE3355">
        <w:t> </w:t>
      </w:r>
      <w:r w:rsidRPr="00EE3355">
        <w:t>infuzí</w:t>
      </w:r>
      <w:r w:rsidR="009B6386" w:rsidRPr="00EE3355">
        <w:t xml:space="preserve"> </w:t>
      </w:r>
      <w:r w:rsidRPr="00EE3355">
        <w:t xml:space="preserve">(vybrané příhody se objevují v průběhu nebo do 24 hodin po aplikaci infuze) zaznamenány u 6,9 % pacientů dostávajících </w:t>
      </w:r>
      <w:r w:rsidR="004177B0" w:rsidRPr="00C61A9B">
        <w:t>tocilizumab</w:t>
      </w:r>
      <w:r w:rsidR="004177B0">
        <w:t xml:space="preserve"> </w:t>
      </w:r>
      <w:r w:rsidRPr="00EE3355">
        <w:t>v dávce 8 mg/kg spolu s DMARD a</w:t>
      </w:r>
      <w:r w:rsidR="009B6386" w:rsidRPr="00EE3355">
        <w:t xml:space="preserve"> </w:t>
      </w:r>
      <w:r w:rsidRPr="00EE3355">
        <w:t>u 5,1 % pacientů dostávajících placebo spolu s DMARD. Nežádoucí účinky zaznamenané během</w:t>
      </w:r>
    </w:p>
    <w:p w14:paraId="74C30EF0" w14:textId="77777777" w:rsidR="009B6386" w:rsidRPr="00EE3355" w:rsidRDefault="009B6386" w:rsidP="00EA1CDF">
      <w:pPr>
        <w:pStyle w:val="a3"/>
        <w:widowControl/>
        <w:ind w:left="0"/>
      </w:pPr>
    </w:p>
    <w:p w14:paraId="7A2115A1" w14:textId="77777777" w:rsidR="00222DE0" w:rsidRPr="00EE3355" w:rsidRDefault="0098273B" w:rsidP="00EA1CDF">
      <w:pPr>
        <w:pStyle w:val="a3"/>
        <w:widowControl/>
        <w:ind w:left="0"/>
      </w:pPr>
      <w:r w:rsidRPr="00EE3355">
        <w:t>infuze zahrnovaly primárně epizody hypertenze; příhody zaznamenané během 24 hodin po ukončení infuze byly bolest hlavy a kožní reakce (vyrážka, urtikarie). Tyto nežádoucí účinky nelimitovaly léčbu.</w:t>
      </w:r>
    </w:p>
    <w:p w14:paraId="6247B8D9" w14:textId="77777777" w:rsidR="00222DE0" w:rsidRPr="00EE3355" w:rsidRDefault="00222DE0" w:rsidP="00EA1CDF">
      <w:pPr>
        <w:pStyle w:val="a3"/>
        <w:widowControl/>
        <w:ind w:left="0"/>
      </w:pPr>
    </w:p>
    <w:p w14:paraId="748B444E" w14:textId="7C55F658" w:rsidR="00222DE0" w:rsidRPr="00EE3355" w:rsidRDefault="0098273B" w:rsidP="00EA1CDF">
      <w:pPr>
        <w:pStyle w:val="a3"/>
        <w:widowControl/>
        <w:ind w:left="0"/>
      </w:pPr>
      <w:r w:rsidRPr="00EE3355">
        <w:t xml:space="preserve">Počet anafylaktických reakcí (objevujících se celkem u 8 ze 4 009 pacientů, 0,2 %) byl několikanásobně vyšší u dávky 4 mg/kg v porovnání s 8 mg/kg. Klinicky významná reakce přecitlivělosti spojená s podáváním </w:t>
      </w:r>
      <w:r w:rsidR="004177B0" w:rsidRPr="00C61A9B">
        <w:t>tocilizumab</w:t>
      </w:r>
      <w:r w:rsidR="004177B0">
        <w:t xml:space="preserve">u </w:t>
      </w:r>
      <w:r w:rsidRPr="00EE3355">
        <w:t xml:space="preserve">a vyžadující přerušení léčby byla zaznamenána celkem u 56 ze 4 009 pacientů (1,4 %) léčených </w:t>
      </w:r>
      <w:r w:rsidR="004177B0" w:rsidRPr="00C61A9B">
        <w:t>tocilizumab</w:t>
      </w:r>
      <w:r w:rsidR="004177B0">
        <w:t xml:space="preserve">em </w:t>
      </w:r>
      <w:r w:rsidRPr="00EE3355">
        <w:t xml:space="preserve">během kontrolovaných a otevřených klinických studií. Tyto reakce byly obvykle pozorovány během druhé až páté infuze </w:t>
      </w:r>
      <w:r w:rsidR="004177B0" w:rsidRPr="00C61A9B">
        <w:t>tocilizumab</w:t>
      </w:r>
      <w:r w:rsidR="004177B0">
        <w:t xml:space="preserve">u </w:t>
      </w:r>
      <w:r w:rsidRPr="00EE3355">
        <w:t xml:space="preserve">(viz bod 4.4). Po udělení registrace byla během intravenózní léčby </w:t>
      </w:r>
      <w:r w:rsidR="004177B0" w:rsidRPr="00C61A9B">
        <w:t>tocilizumab</w:t>
      </w:r>
      <w:r w:rsidR="004177B0">
        <w:t>em</w:t>
      </w:r>
      <w:r w:rsidRPr="00EE3355">
        <w:t xml:space="preserve"> hlášena fatální anafylaktická reakce (viz bod 4.4).</w:t>
      </w:r>
    </w:p>
    <w:p w14:paraId="1DC85E9F" w14:textId="77777777" w:rsidR="009B6386" w:rsidRPr="00EE3355" w:rsidRDefault="009B6386" w:rsidP="00EA1CDF">
      <w:pPr>
        <w:pStyle w:val="a3"/>
        <w:widowControl/>
        <w:ind w:left="0"/>
      </w:pPr>
    </w:p>
    <w:p w14:paraId="4BFF7336" w14:textId="77777777" w:rsidR="00222DE0" w:rsidRPr="00EE3355" w:rsidRDefault="0098273B" w:rsidP="00B93217">
      <w:pPr>
        <w:keepNext/>
        <w:widowControl/>
        <w:rPr>
          <w:i/>
        </w:rPr>
      </w:pPr>
      <w:r w:rsidRPr="00EE3355">
        <w:rPr>
          <w:i/>
        </w:rPr>
        <w:t>Hematologické odchylky:</w:t>
      </w:r>
    </w:p>
    <w:p w14:paraId="21F3BB28" w14:textId="77777777" w:rsidR="00222DE0" w:rsidRPr="00EE3355" w:rsidRDefault="00222DE0" w:rsidP="00B93217">
      <w:pPr>
        <w:pStyle w:val="a3"/>
        <w:keepNext/>
        <w:widowControl/>
        <w:ind w:left="0"/>
        <w:rPr>
          <w:i/>
        </w:rPr>
      </w:pPr>
    </w:p>
    <w:p w14:paraId="1E5FAD86" w14:textId="77777777" w:rsidR="00222DE0" w:rsidRPr="00EE3355" w:rsidRDefault="0098273B" w:rsidP="00B93217">
      <w:pPr>
        <w:keepNext/>
        <w:widowControl/>
        <w:rPr>
          <w:i/>
        </w:rPr>
      </w:pPr>
      <w:r w:rsidRPr="00EE3355">
        <w:rPr>
          <w:i/>
        </w:rPr>
        <w:t>Neutrofily</w:t>
      </w:r>
    </w:p>
    <w:p w14:paraId="5790A5CD" w14:textId="6A92139E" w:rsidR="00222DE0" w:rsidRPr="00EE3355" w:rsidRDefault="0098273B" w:rsidP="00EA1CDF">
      <w:pPr>
        <w:pStyle w:val="a3"/>
        <w:widowControl/>
        <w:ind w:left="0"/>
      </w:pPr>
      <w:r w:rsidRPr="00EE3355">
        <w:t>V 6měsíčních kontrolovaných klinických studiích se pokles počtu neutrofilů pod 1 x 10</w:t>
      </w:r>
      <w:r w:rsidRPr="00EE3355">
        <w:rPr>
          <w:vertAlign w:val="superscript"/>
        </w:rPr>
        <w:t>9</w:t>
      </w:r>
      <w:r w:rsidRPr="00EE3355">
        <w:t xml:space="preserve">/l vyskytl u 3,4 % pacientů dostávajících </w:t>
      </w:r>
      <w:r w:rsidR="004177B0" w:rsidRPr="00C61A9B">
        <w:t>tocilizumab</w:t>
      </w:r>
      <w:r w:rsidR="004177B0">
        <w:t xml:space="preserve"> </w:t>
      </w:r>
      <w:r w:rsidRPr="00EE3355">
        <w:t>v dávce 8 mg/kg spolu s DMARD v porovnání s výskytem u &lt; 0,1 % pacientů dostávajících placebo v kombinaci s DMARD. Přibližně u poloviny pacientů, u kterých došlo k poklesu ANC &lt; 1 x 10</w:t>
      </w:r>
      <w:r w:rsidRPr="00EE3355">
        <w:rPr>
          <w:vertAlign w:val="superscript"/>
        </w:rPr>
        <w:t>9</w:t>
      </w:r>
      <w:r w:rsidRPr="00EE3355">
        <w:t>/l, se tak stalo v průběhu 8 týdnů po zahájení</w:t>
      </w:r>
      <w:r w:rsidR="009B6386" w:rsidRPr="00EE3355">
        <w:t xml:space="preserve"> </w:t>
      </w:r>
      <w:r w:rsidRPr="00EE3355">
        <w:t>terapie. Pokles pod 0,5 x 10</w:t>
      </w:r>
      <w:r w:rsidRPr="00EE3355">
        <w:rPr>
          <w:vertAlign w:val="superscript"/>
        </w:rPr>
        <w:t>9</w:t>
      </w:r>
      <w:r w:rsidRPr="00EE3355">
        <w:t xml:space="preserve">/l byl hlášen u 0,3 % pacientů dostávajících </w:t>
      </w:r>
      <w:r w:rsidR="004177B0" w:rsidRPr="00C61A9B">
        <w:t>tocilizumab</w:t>
      </w:r>
      <w:r w:rsidR="004177B0">
        <w:t xml:space="preserve"> </w:t>
      </w:r>
      <w:r w:rsidRPr="00EE3355">
        <w:t>v dávce 8 mg/kg spolu s DMARD. Byly hlášeny infekce s neutropenií.</w:t>
      </w:r>
    </w:p>
    <w:p w14:paraId="6335852F" w14:textId="77777777" w:rsidR="00222DE0" w:rsidRPr="00EE3355" w:rsidRDefault="00222DE0" w:rsidP="00EA1CDF">
      <w:pPr>
        <w:pStyle w:val="a3"/>
        <w:widowControl/>
        <w:ind w:left="0"/>
      </w:pPr>
    </w:p>
    <w:p w14:paraId="17434281" w14:textId="77777777" w:rsidR="00222DE0" w:rsidRPr="00EE3355" w:rsidRDefault="0098273B" w:rsidP="00EA1CDF">
      <w:pPr>
        <w:pStyle w:val="a3"/>
        <w:widowControl/>
        <w:ind w:left="0"/>
      </w:pPr>
      <w:r w:rsidRPr="00EE3355">
        <w:lastRenderedPageBreak/>
        <w:t>V průběhu dvojitě zaslepené kontrolované fáze a při dlouhodobé expozici zůstávaly vzorec a incidence poklesu počtu neutrofilů stejné jako během 6měsíčních kontrolovaných klinických studií.</w:t>
      </w:r>
    </w:p>
    <w:p w14:paraId="0A5B0DF5" w14:textId="77777777" w:rsidR="009B6386" w:rsidRPr="00EE3355" w:rsidRDefault="009B6386" w:rsidP="00EA1CDF">
      <w:pPr>
        <w:pStyle w:val="a3"/>
        <w:widowControl/>
        <w:ind w:left="0"/>
      </w:pPr>
    </w:p>
    <w:p w14:paraId="6233213B" w14:textId="77777777" w:rsidR="00222DE0" w:rsidRPr="00EE3355" w:rsidRDefault="0098273B" w:rsidP="00EA1CDF">
      <w:pPr>
        <w:widowControl/>
        <w:rPr>
          <w:i/>
        </w:rPr>
      </w:pPr>
      <w:r w:rsidRPr="00EE3355">
        <w:rPr>
          <w:i/>
        </w:rPr>
        <w:t>Trombocyty</w:t>
      </w:r>
    </w:p>
    <w:p w14:paraId="5E8EBB3C" w14:textId="01078F5C" w:rsidR="00222DE0" w:rsidRPr="00EE3355" w:rsidRDefault="0098273B" w:rsidP="00EA1CDF">
      <w:pPr>
        <w:pStyle w:val="a3"/>
        <w:widowControl/>
        <w:ind w:left="0"/>
      </w:pPr>
      <w:r w:rsidRPr="00EE3355">
        <w:t>V 6měsíčních kontrolovaných klinických studiích se pokles počtu trombocytů pod 100 x 10</w:t>
      </w:r>
      <w:r w:rsidRPr="00EE3355">
        <w:rPr>
          <w:vertAlign w:val="superscript"/>
        </w:rPr>
        <w:t>3</w:t>
      </w:r>
      <w:r w:rsidRPr="00EE3355">
        <w:t xml:space="preserve">/l vyskytl u 1,7 % pacientů dostávajících </w:t>
      </w:r>
      <w:r w:rsidR="004177B0" w:rsidRPr="00C61A9B">
        <w:t>tocilizumab</w:t>
      </w:r>
      <w:r w:rsidR="004177B0">
        <w:t xml:space="preserve"> </w:t>
      </w:r>
      <w:r w:rsidRPr="00EE3355">
        <w:t>v dávce 8 mg/kg spolu s DMARD v porovnání s výskytem u &lt; 1% pacientů dostávajících placebo v kombinaci s DMARD. Tento pokles se objevil bez spojitosti s krvácivými příhodami.</w:t>
      </w:r>
    </w:p>
    <w:p w14:paraId="24B1CEBB" w14:textId="77777777" w:rsidR="005B4E64" w:rsidRPr="00EE3355" w:rsidRDefault="005B4E64" w:rsidP="00EA1CDF">
      <w:pPr>
        <w:pStyle w:val="a3"/>
        <w:widowControl/>
        <w:ind w:left="0"/>
      </w:pPr>
    </w:p>
    <w:p w14:paraId="22B2E99E" w14:textId="77777777" w:rsidR="00673BB0" w:rsidRDefault="0098273B" w:rsidP="00EA1CDF">
      <w:pPr>
        <w:pStyle w:val="a3"/>
        <w:widowControl/>
        <w:ind w:left="0"/>
        <w:rPr>
          <w:rFonts w:eastAsia="맑은 고딕"/>
          <w:lang w:eastAsia="ko-KR"/>
        </w:rPr>
      </w:pPr>
      <w:r w:rsidRPr="00EE3355">
        <w:t>V průběhu dvojitě zaslepené kontrolované fáze a při dlouhodobé expozici zůstávaly vzorec a</w:t>
      </w:r>
      <w:r w:rsidR="005B4E64" w:rsidRPr="00EE3355">
        <w:t xml:space="preserve"> </w:t>
      </w:r>
      <w:r w:rsidRPr="00EE3355">
        <w:t xml:space="preserve">incidence poklesu počtu trombocytů stejné jako během 6měsíčních kontrolovaných klinických studií. </w:t>
      </w:r>
    </w:p>
    <w:p w14:paraId="7122191A" w14:textId="77777777" w:rsidR="00673BB0" w:rsidRDefault="00673BB0" w:rsidP="00EA1CDF">
      <w:pPr>
        <w:pStyle w:val="a3"/>
        <w:widowControl/>
        <w:ind w:left="0"/>
        <w:rPr>
          <w:rFonts w:eastAsia="맑은 고딕"/>
          <w:lang w:eastAsia="ko-KR"/>
        </w:rPr>
      </w:pPr>
    </w:p>
    <w:p w14:paraId="54549EEB" w14:textId="1BBE5DD3" w:rsidR="00222DE0" w:rsidRPr="00EE3355" w:rsidRDefault="0098273B" w:rsidP="00EA1CDF">
      <w:pPr>
        <w:pStyle w:val="a3"/>
        <w:widowControl/>
        <w:ind w:left="0"/>
      </w:pPr>
      <w:r w:rsidRPr="00EE3355">
        <w:t>Po uvedení přípravku na trh byla velmi vzácně hlášena pancytopenie.</w:t>
      </w:r>
    </w:p>
    <w:p w14:paraId="4D61860C" w14:textId="77777777" w:rsidR="005B4E64" w:rsidRPr="00EE3355" w:rsidRDefault="005B4E64" w:rsidP="00EA1CDF">
      <w:pPr>
        <w:pStyle w:val="a3"/>
        <w:widowControl/>
        <w:ind w:left="0"/>
      </w:pPr>
    </w:p>
    <w:p w14:paraId="31604AAF" w14:textId="77777777" w:rsidR="00222DE0" w:rsidRPr="00EE3355" w:rsidRDefault="0098273B" w:rsidP="00EA1CDF">
      <w:pPr>
        <w:widowControl/>
        <w:rPr>
          <w:i/>
        </w:rPr>
      </w:pPr>
      <w:r w:rsidRPr="00EE3355">
        <w:rPr>
          <w:i/>
        </w:rPr>
        <w:t>Zvýšení jaterních aminotransferáz</w:t>
      </w:r>
    </w:p>
    <w:p w14:paraId="561DEA9F" w14:textId="7722F771" w:rsidR="00222DE0" w:rsidRPr="00EE3355" w:rsidRDefault="0098273B" w:rsidP="00EA1CDF">
      <w:pPr>
        <w:pStyle w:val="a3"/>
        <w:widowControl/>
        <w:ind w:left="0"/>
      </w:pPr>
      <w:r w:rsidRPr="00EE3355">
        <w:t xml:space="preserve">V průběhu 6měsíčních kontrolovaných klinických studií bylo pozorováno přechodné zvýšení ALT/AST &gt; 3 x ULN u 2,1 % pacientů užívajících </w:t>
      </w:r>
      <w:r w:rsidR="004177B0" w:rsidRPr="00C61A9B">
        <w:t>tocilizumab</w:t>
      </w:r>
      <w:r w:rsidR="004177B0">
        <w:t xml:space="preserve"> </w:t>
      </w:r>
      <w:r w:rsidRPr="00EE3355">
        <w:t xml:space="preserve">v dávce 8 mg/kg v porovnání se 4,9 % pacientů užívajících MTX a 6,5 % pacientů užívajících </w:t>
      </w:r>
      <w:r w:rsidR="004177B0" w:rsidRPr="00C61A9B">
        <w:t>tocilizumab</w:t>
      </w:r>
      <w:r w:rsidR="004177B0">
        <w:t xml:space="preserve"> </w:t>
      </w:r>
      <w:r w:rsidRPr="00EE3355">
        <w:t>v</w:t>
      </w:r>
      <w:r w:rsidR="005B4E64" w:rsidRPr="00EE3355">
        <w:t> </w:t>
      </w:r>
      <w:r w:rsidRPr="00EE3355">
        <w:t>dávce</w:t>
      </w:r>
      <w:r w:rsidR="005B4E64" w:rsidRPr="00EE3355">
        <w:t xml:space="preserve"> </w:t>
      </w:r>
      <w:r w:rsidRPr="00EE3355">
        <w:t>8 mg/kg spolu s DMARD v porovnání s 1,5 % pacientů užívajících placebo s DMARD.</w:t>
      </w:r>
    </w:p>
    <w:p w14:paraId="54BEC7CD" w14:textId="77777777" w:rsidR="005B4E64" w:rsidRPr="00EE3355" w:rsidRDefault="005B4E64" w:rsidP="00EA1CDF">
      <w:pPr>
        <w:pStyle w:val="a3"/>
        <w:widowControl/>
        <w:ind w:left="0"/>
      </w:pPr>
    </w:p>
    <w:p w14:paraId="3603EED9" w14:textId="0BF5DD41" w:rsidR="00222DE0" w:rsidRPr="00EE3355" w:rsidRDefault="0098273B" w:rsidP="00EA1CDF">
      <w:pPr>
        <w:pStyle w:val="a3"/>
        <w:widowControl/>
        <w:ind w:left="0"/>
      </w:pPr>
      <w:r w:rsidRPr="00EE3355">
        <w:t>Přidání potenciálně hepatotoxických léků (např. MTX) k</w:t>
      </w:r>
      <w:r w:rsidR="004177B0">
        <w:t> </w:t>
      </w:r>
      <w:r w:rsidR="004177B0" w:rsidRPr="00C61A9B">
        <w:t>tocilizumab</w:t>
      </w:r>
      <w:r w:rsidR="004177B0">
        <w:t xml:space="preserve">u </w:t>
      </w:r>
      <w:r w:rsidRPr="00EE3355">
        <w:t>podávanému</w:t>
      </w:r>
      <w:r w:rsidR="005B4E64" w:rsidRPr="00EE3355">
        <w:t xml:space="preserve"> </w:t>
      </w:r>
      <w:r w:rsidRPr="00EE3355">
        <w:t xml:space="preserve">v monoterapii vedlo ke zvýšení frekvence těchto elevací. Elevace ALT/AST &gt; 5 x ULN byly pozorovány u 0,7 % pacientů užívajících </w:t>
      </w:r>
      <w:r w:rsidR="004177B0" w:rsidRPr="00C61A9B">
        <w:t>tocilizumab</w:t>
      </w:r>
      <w:r w:rsidR="004177B0">
        <w:t xml:space="preserve"> </w:t>
      </w:r>
      <w:r w:rsidRPr="00EE3355">
        <w:t xml:space="preserve">v monoterapii a u 1,4 % pacientů užívajících </w:t>
      </w:r>
      <w:r w:rsidR="004177B0" w:rsidRPr="00C61A9B">
        <w:t>tocilizumab</w:t>
      </w:r>
      <w:r w:rsidR="004177B0">
        <w:t xml:space="preserve"> </w:t>
      </w:r>
      <w:r w:rsidRPr="00EE3355">
        <w:t xml:space="preserve">v kombinaci s DMARD, u většiny z nich byla léčba </w:t>
      </w:r>
      <w:r w:rsidR="004177B0" w:rsidRPr="00C61A9B">
        <w:t>tocilizumab</w:t>
      </w:r>
      <w:r w:rsidR="004177B0">
        <w:t xml:space="preserve">em </w:t>
      </w:r>
      <w:r w:rsidRPr="00EE3355">
        <w:t xml:space="preserve">trvale ukončena. V průběhu dvojitě zaslepené kontrolní fáze byla v rámci rutinního laboratorního vyšetření zjištěna incidence nepřímého bilirubinu vyššího než ULN u 6,2 % pacientů léčených </w:t>
      </w:r>
      <w:r w:rsidR="004177B0" w:rsidRPr="00C61A9B">
        <w:t>tocilizumab</w:t>
      </w:r>
      <w:r w:rsidR="004177B0">
        <w:t xml:space="preserve">em </w:t>
      </w:r>
      <w:r w:rsidRPr="00EE3355">
        <w:t>v dávce 8 mg/kg + DMARD. Celkem u 5,8 % pacientů bylo zaznamenáno zvýšení nepřímého bilirubinu na &gt; 1 až 2 x ULN a 0,4 % pacientů mělo zvýšení na</w:t>
      </w:r>
      <w:r w:rsidR="005B4E64" w:rsidRPr="00EE3355">
        <w:t xml:space="preserve"> </w:t>
      </w:r>
      <w:r w:rsidR="00B23DAE" w:rsidRPr="00EE3355">
        <w:t>&gt;</w:t>
      </w:r>
      <w:r w:rsidR="005B4E64" w:rsidRPr="00EE3355">
        <w:t xml:space="preserve"> </w:t>
      </w:r>
      <w:r w:rsidRPr="00EE3355">
        <w:t>2 x ULN.</w:t>
      </w:r>
    </w:p>
    <w:p w14:paraId="4FEEB979" w14:textId="77777777" w:rsidR="00222DE0" w:rsidRPr="00EE3355" w:rsidRDefault="00222DE0" w:rsidP="00EA1CDF">
      <w:pPr>
        <w:widowControl/>
      </w:pPr>
    </w:p>
    <w:p w14:paraId="144E2B1B" w14:textId="77777777" w:rsidR="00222DE0" w:rsidRPr="00EE3355" w:rsidRDefault="0098273B" w:rsidP="00EA1CDF">
      <w:pPr>
        <w:pStyle w:val="a3"/>
        <w:widowControl/>
        <w:ind w:left="0"/>
      </w:pPr>
      <w:r w:rsidRPr="00EE3355">
        <w:t>V průběhu dvojitě zaslepené kontrolované fáze a při dlouhodobé expozici zůstávaly vzorec a incidence elevací ALT/AST stejné jako během 6měsíčních kontrolovaných klinických studií.</w:t>
      </w:r>
    </w:p>
    <w:p w14:paraId="15D85D9D" w14:textId="77777777" w:rsidR="00AE6A9D" w:rsidRPr="00EE3355" w:rsidRDefault="00AE6A9D" w:rsidP="00EA1CDF">
      <w:pPr>
        <w:pStyle w:val="a3"/>
        <w:widowControl/>
        <w:ind w:left="0"/>
      </w:pPr>
    </w:p>
    <w:p w14:paraId="288C095B" w14:textId="77777777" w:rsidR="00222DE0" w:rsidRPr="00EE3355" w:rsidRDefault="0098273B" w:rsidP="00EA1CDF">
      <w:pPr>
        <w:widowControl/>
        <w:rPr>
          <w:i/>
        </w:rPr>
      </w:pPr>
      <w:r w:rsidRPr="00EE3355">
        <w:rPr>
          <w:i/>
        </w:rPr>
        <w:t>Lipidové parametry</w:t>
      </w:r>
    </w:p>
    <w:p w14:paraId="1F4FC02D" w14:textId="7235C3D4" w:rsidR="00222DE0" w:rsidRPr="00EE3355" w:rsidRDefault="0098273B" w:rsidP="00EA1CDF">
      <w:pPr>
        <w:pStyle w:val="a3"/>
        <w:widowControl/>
        <w:ind w:left="0"/>
      </w:pPr>
      <w:r w:rsidRPr="00EE3355">
        <w:t xml:space="preserve">Zvýšení hodnot lipidových parametrů, jako je celkový cholesterol, triglyceridy, LDL cholesterol a/nebo HDL cholesterol, bylo v průběhu 6měsíčních kontrolovaných studií hlášeno často. V rámci běžných laboratorních kontrol bylo zjištěno, že přibližně u 24 % pacientů, kteří v klinických studiích dostávali </w:t>
      </w:r>
      <w:r w:rsidR="004177B0" w:rsidRPr="00C61A9B">
        <w:t>tocilizumab</w:t>
      </w:r>
      <w:r w:rsidRPr="00EE3355">
        <w:t>, došlo k trvalému zvýšení hodnot celkového cholesterolu na</w:t>
      </w:r>
      <w:r w:rsidR="008627DB" w:rsidRPr="00EE3355">
        <w:t xml:space="preserve"> </w:t>
      </w:r>
      <w:r w:rsidRPr="00EE3355">
        <w:t>≥ 6,2 mmol/l, přičemž u 15 % pacientů došlo k trvalému zvýšení hodnot LDL na ≥ 4,1 mmol/l.</w:t>
      </w:r>
      <w:r w:rsidR="008627DB" w:rsidRPr="00EE3355">
        <w:t xml:space="preserve"> </w:t>
      </w:r>
      <w:r w:rsidRPr="00EE3355">
        <w:t>Zvýšené lipidové parametry odpověděly na léčbu hypolipidemiky.</w:t>
      </w:r>
    </w:p>
    <w:p w14:paraId="518C4933" w14:textId="77777777" w:rsidR="008627DB" w:rsidRPr="00EE3355" w:rsidRDefault="008627DB" w:rsidP="00EA1CDF">
      <w:pPr>
        <w:pStyle w:val="a3"/>
        <w:widowControl/>
        <w:ind w:left="0"/>
      </w:pPr>
    </w:p>
    <w:p w14:paraId="0DE114FA" w14:textId="77777777" w:rsidR="00222DE0" w:rsidRPr="00EE3355" w:rsidRDefault="0098273B" w:rsidP="00EA1CDF">
      <w:pPr>
        <w:pStyle w:val="a3"/>
        <w:widowControl/>
        <w:ind w:left="0"/>
      </w:pPr>
      <w:r w:rsidRPr="00EE3355">
        <w:t>V průběhu dvojitě zaslepené kontrolované fáze a při dlouhodobé expozici zůstávaly vzorec a incidence elevací lipidových parametrů stejné jako během 6měsíčních kontrolovaných klinických studií.</w:t>
      </w:r>
    </w:p>
    <w:p w14:paraId="0EEE806F" w14:textId="77777777" w:rsidR="00222DE0" w:rsidRPr="00EE3355" w:rsidRDefault="00222DE0" w:rsidP="00EA1CDF">
      <w:pPr>
        <w:pStyle w:val="a3"/>
        <w:widowControl/>
        <w:ind w:left="0"/>
      </w:pPr>
    </w:p>
    <w:p w14:paraId="6EC1CBFB" w14:textId="77777777" w:rsidR="00222DE0" w:rsidRPr="00EE3355" w:rsidRDefault="0098273B" w:rsidP="00EA1CDF">
      <w:pPr>
        <w:widowControl/>
        <w:rPr>
          <w:i/>
        </w:rPr>
      </w:pPr>
      <w:r w:rsidRPr="00EE3355">
        <w:rPr>
          <w:i/>
        </w:rPr>
        <w:t>Malignity</w:t>
      </w:r>
    </w:p>
    <w:p w14:paraId="1BBB5C17" w14:textId="2C519069" w:rsidR="00222DE0" w:rsidRPr="00EE3355" w:rsidRDefault="0098273B" w:rsidP="00EA1CDF">
      <w:pPr>
        <w:pStyle w:val="a3"/>
        <w:widowControl/>
        <w:ind w:left="0"/>
      </w:pPr>
      <w:r w:rsidRPr="00EE3355">
        <w:t xml:space="preserve">Klinická data nejsou dostatečná k určení potenciální incidence malignit po expozici </w:t>
      </w:r>
      <w:r w:rsidR="004177B0" w:rsidRPr="00C61A9B">
        <w:t>tocilizumab</w:t>
      </w:r>
      <w:r w:rsidR="004177B0">
        <w:t>u</w:t>
      </w:r>
      <w:r w:rsidRPr="00EE3355">
        <w:t>. V současnosti probíhají dlouhodobá bezpečnostní hodnocení.</w:t>
      </w:r>
    </w:p>
    <w:p w14:paraId="7DC8943A" w14:textId="77777777" w:rsidR="00222DE0" w:rsidRPr="00EE3355" w:rsidRDefault="00222DE0" w:rsidP="00EA1CDF">
      <w:pPr>
        <w:pStyle w:val="a3"/>
        <w:widowControl/>
        <w:ind w:left="0"/>
      </w:pPr>
    </w:p>
    <w:p w14:paraId="12EB65EA" w14:textId="77777777" w:rsidR="00222DE0" w:rsidRPr="00EE3355" w:rsidRDefault="0098273B" w:rsidP="00B93217">
      <w:pPr>
        <w:keepNext/>
        <w:widowControl/>
        <w:rPr>
          <w:i/>
        </w:rPr>
      </w:pPr>
      <w:r w:rsidRPr="00EE3355">
        <w:rPr>
          <w:i/>
          <w:color w:val="1C1C1C"/>
        </w:rPr>
        <w:t>Kožní reakce</w:t>
      </w:r>
    </w:p>
    <w:p w14:paraId="6BB18AC3" w14:textId="77777777" w:rsidR="00222DE0" w:rsidRDefault="0098273B" w:rsidP="00EA1CDF">
      <w:pPr>
        <w:pStyle w:val="a3"/>
        <w:widowControl/>
        <w:ind w:left="0"/>
        <w:rPr>
          <w:color w:val="1C1C1C"/>
        </w:rPr>
      </w:pPr>
      <w:r w:rsidRPr="00EE3355">
        <w:rPr>
          <w:color w:val="1C1C1C"/>
        </w:rPr>
        <w:t>V postmarketingovém sledování byl vzácně hlášen výskyt Stevensova-Johnsonova syndromu.</w:t>
      </w:r>
    </w:p>
    <w:p w14:paraId="7AD2807C" w14:textId="77777777" w:rsidR="004177B0" w:rsidRDefault="004177B0" w:rsidP="00EA1CDF">
      <w:pPr>
        <w:pStyle w:val="a3"/>
        <w:widowControl/>
        <w:ind w:left="0"/>
        <w:rPr>
          <w:color w:val="1C1C1C"/>
        </w:rPr>
      </w:pPr>
    </w:p>
    <w:p w14:paraId="4C632349" w14:textId="77777777" w:rsidR="004177B0" w:rsidRPr="00B93217" w:rsidRDefault="004177B0" w:rsidP="004177B0">
      <w:pPr>
        <w:pStyle w:val="a3"/>
        <w:widowControl/>
        <w:ind w:left="0"/>
        <w:rPr>
          <w:u w:val="single"/>
        </w:rPr>
      </w:pPr>
      <w:r w:rsidRPr="00B93217">
        <w:rPr>
          <w:u w:val="single"/>
        </w:rPr>
        <w:t>Imunogenita</w:t>
      </w:r>
    </w:p>
    <w:p w14:paraId="124D7F30" w14:textId="77777777" w:rsidR="004177B0" w:rsidRPr="00EE3355" w:rsidRDefault="004177B0" w:rsidP="004177B0">
      <w:pPr>
        <w:pStyle w:val="a3"/>
        <w:widowControl/>
        <w:ind w:left="0"/>
      </w:pPr>
      <w:r>
        <w:t>Během léčby tocilizumabem se mohou vytvořit proti tocilizumabu protilátky. Může být</w:t>
      </w:r>
      <w:r w:rsidRPr="00EE3355">
        <w:t xml:space="preserve"> pozorována korelace mezi tvorbou protilátek a klinickou odpovědí nebo nežádoucími účinky</w:t>
      </w:r>
      <w:r>
        <w:t>.</w:t>
      </w:r>
    </w:p>
    <w:p w14:paraId="152542FE" w14:textId="77777777" w:rsidR="00222DE0" w:rsidRPr="00EE3355" w:rsidRDefault="00222DE0" w:rsidP="00EA1CDF">
      <w:pPr>
        <w:pStyle w:val="a3"/>
        <w:widowControl/>
        <w:ind w:left="0"/>
      </w:pPr>
    </w:p>
    <w:p w14:paraId="5187D055" w14:textId="77777777" w:rsidR="00222DE0" w:rsidRPr="00EE3355" w:rsidRDefault="0098273B" w:rsidP="00EA1CDF">
      <w:pPr>
        <w:pStyle w:val="a3"/>
        <w:widowControl/>
        <w:ind w:left="0"/>
      </w:pPr>
      <w:r w:rsidRPr="00EE3355">
        <w:rPr>
          <w:u w:val="single"/>
        </w:rPr>
        <w:t>Hlášení podezření na nežádoucí účinky</w:t>
      </w:r>
    </w:p>
    <w:p w14:paraId="62502059" w14:textId="77777777" w:rsidR="00222DE0" w:rsidRPr="00EE3355" w:rsidRDefault="0098273B" w:rsidP="00EA1CDF">
      <w:pPr>
        <w:pStyle w:val="a3"/>
        <w:widowControl/>
        <w:ind w:left="0"/>
      </w:pPr>
      <w:r w:rsidRPr="00EE3355">
        <w:t xml:space="preserve">Hlášení podezření na nežádoucí účinky po registraci léčivého přípravku je důležité. Umožňuje to pokračovat ve sledování poměru přínosů a rizik léčivého přípravku. Žádáme zdravotnické pracovníky, </w:t>
      </w:r>
      <w:r w:rsidRPr="00EE3355">
        <w:lastRenderedPageBreak/>
        <w:t xml:space="preserve">aby hlásili podezření na nežádoucí účinky prostřednictvím </w:t>
      </w:r>
      <w:r>
        <w:rPr>
          <w:color w:val="000000"/>
          <w:highlight w:val="lightGray"/>
          <w:shd w:val="clear" w:color="auto" w:fill="C1C1C1"/>
        </w:rPr>
        <w:t>národního systému hlášení nežádoucích</w:t>
      </w:r>
      <w:r>
        <w:rPr>
          <w:color w:val="000000"/>
          <w:highlight w:val="lightGray"/>
        </w:rPr>
        <w:t xml:space="preserve"> </w:t>
      </w:r>
      <w:r>
        <w:rPr>
          <w:color w:val="000000"/>
          <w:highlight w:val="lightGray"/>
          <w:shd w:val="clear" w:color="auto" w:fill="C1C1C1"/>
        </w:rPr>
        <w:t xml:space="preserve">účinků uvedeného v </w:t>
      </w:r>
      <w:r>
        <w:fldChar w:fldCharType="begin"/>
      </w:r>
      <w:r>
        <w:instrText>HYPERLINK "https://www.ema.europa.eu/documents/template-form/appendix-v-adverse-drug-reaction-reporting-details_en.doc" \h</w:instrText>
      </w:r>
      <w:r>
        <w:fldChar w:fldCharType="separate"/>
      </w:r>
      <w:r>
        <w:rPr>
          <w:color w:val="0000FF"/>
          <w:highlight w:val="lightGray"/>
          <w:u w:val="single" w:color="0000FF"/>
          <w:shd w:val="clear" w:color="auto" w:fill="C1C1C1"/>
        </w:rPr>
        <w:t>Dodatku V</w:t>
      </w:r>
      <w:r>
        <w:rPr>
          <w:color w:val="000000"/>
          <w:highlight w:val="lightGray"/>
        </w:rPr>
        <w:t>.</w:t>
      </w:r>
      <w:r>
        <w:fldChar w:fldCharType="end"/>
      </w:r>
    </w:p>
    <w:p w14:paraId="36F5DD82" w14:textId="77777777" w:rsidR="00222DE0" w:rsidRPr="00EE3355" w:rsidRDefault="00222DE0" w:rsidP="00EA1CDF">
      <w:pPr>
        <w:pStyle w:val="a3"/>
        <w:widowControl/>
        <w:ind w:left="0"/>
      </w:pPr>
    </w:p>
    <w:p w14:paraId="113FA2A4" w14:textId="77777777" w:rsidR="00222DE0" w:rsidRPr="00EE3355" w:rsidRDefault="00B23DAE" w:rsidP="00EA1CDF">
      <w:pPr>
        <w:pStyle w:val="2"/>
        <w:keepNext/>
        <w:widowControl/>
        <w:tabs>
          <w:tab w:val="left" w:pos="804"/>
        </w:tabs>
        <w:ind w:left="567" w:hanging="567"/>
      </w:pPr>
      <w:r w:rsidRPr="00EE3355">
        <w:t>4.9</w:t>
      </w:r>
      <w:r w:rsidRPr="00EE3355">
        <w:tab/>
      </w:r>
      <w:r w:rsidR="0098273B" w:rsidRPr="00EE3355">
        <w:t>Předávkování</w:t>
      </w:r>
    </w:p>
    <w:p w14:paraId="514F1BF5" w14:textId="77777777" w:rsidR="00EA41C0" w:rsidRPr="00EE3355" w:rsidRDefault="00EA41C0" w:rsidP="00404E47"/>
    <w:p w14:paraId="62F0708D" w14:textId="501DDA98" w:rsidR="00222DE0" w:rsidRPr="00EE3355" w:rsidRDefault="0098273B" w:rsidP="00EA1CDF">
      <w:pPr>
        <w:pStyle w:val="a3"/>
        <w:widowControl/>
        <w:ind w:left="0"/>
      </w:pPr>
      <w:r w:rsidRPr="00EE3355">
        <w:t xml:space="preserve">K dispozici jsou pouze omezené údaje o předávkování </w:t>
      </w:r>
      <w:r w:rsidR="004177B0" w:rsidRPr="00C61A9B">
        <w:t>tocilizumab</w:t>
      </w:r>
      <w:r w:rsidR="004177B0">
        <w:t>em</w:t>
      </w:r>
      <w:r w:rsidRPr="00EE3355">
        <w:t>. Jeden případ náhodného předávkování byl zaznamenán u pacienta s mnohočetným myelomem, který dostal jednorázovou dávku 40 mg/kg podanou intravenózně. Nebyly zjištěny žádné nežádoucí účinky.</w:t>
      </w:r>
    </w:p>
    <w:p w14:paraId="3D1AB64D" w14:textId="77777777" w:rsidR="00222DE0" w:rsidRPr="00EE3355" w:rsidRDefault="00222DE0" w:rsidP="00EA1CDF">
      <w:pPr>
        <w:pStyle w:val="a3"/>
        <w:widowControl/>
        <w:ind w:left="0"/>
      </w:pPr>
    </w:p>
    <w:p w14:paraId="44D08316" w14:textId="77777777" w:rsidR="00222DE0" w:rsidRPr="00EE3355" w:rsidRDefault="0098273B" w:rsidP="00EA1CDF">
      <w:pPr>
        <w:pStyle w:val="a3"/>
        <w:widowControl/>
        <w:ind w:left="0"/>
      </w:pPr>
      <w:r w:rsidRPr="00EE3355">
        <w:t>U zdravých dobrovolníků, kteří dostávali jednorázové dávky až do 28 mg/kg, nebyly zjištěny žádné závažné nežádoucí účinky; byla zjištěna pouze neutropenie limitující dávku.</w:t>
      </w:r>
    </w:p>
    <w:p w14:paraId="0E41B80A" w14:textId="77777777" w:rsidR="00222DE0" w:rsidRPr="00EE3355" w:rsidRDefault="00222DE0" w:rsidP="00EA1CDF">
      <w:pPr>
        <w:pStyle w:val="a3"/>
        <w:widowControl/>
        <w:ind w:left="0"/>
      </w:pPr>
    </w:p>
    <w:p w14:paraId="0A3E1155" w14:textId="77777777" w:rsidR="00222DE0" w:rsidRPr="00EE3355" w:rsidRDefault="00222DE0" w:rsidP="00EA1CDF">
      <w:pPr>
        <w:pStyle w:val="a3"/>
        <w:widowControl/>
        <w:ind w:left="0"/>
      </w:pPr>
    </w:p>
    <w:p w14:paraId="0A2B981D" w14:textId="77777777" w:rsidR="00222DE0" w:rsidRPr="00EE3355" w:rsidRDefault="00B23DAE" w:rsidP="00EA1CDF">
      <w:pPr>
        <w:pStyle w:val="1"/>
        <w:widowControl/>
        <w:tabs>
          <w:tab w:val="left" w:pos="804"/>
        </w:tabs>
        <w:ind w:left="567" w:hanging="567"/>
      </w:pPr>
      <w:r w:rsidRPr="00EE3355">
        <w:t>5.</w:t>
      </w:r>
      <w:r w:rsidRPr="00EE3355">
        <w:tab/>
      </w:r>
      <w:r w:rsidR="0098273B" w:rsidRPr="00EE3355">
        <w:t>FARMAKOLOGICKÉ VLASTNOSTI</w:t>
      </w:r>
    </w:p>
    <w:p w14:paraId="457746C9" w14:textId="77777777" w:rsidR="00222DE0" w:rsidRPr="00EE3355" w:rsidRDefault="00222DE0" w:rsidP="00EA1CDF">
      <w:pPr>
        <w:pStyle w:val="a3"/>
        <w:widowControl/>
        <w:ind w:left="0"/>
        <w:rPr>
          <w:b/>
        </w:rPr>
      </w:pPr>
    </w:p>
    <w:p w14:paraId="0BE353FB" w14:textId="77777777" w:rsidR="00222DE0" w:rsidRPr="00EE3355" w:rsidRDefault="00B23DAE" w:rsidP="00EA1CDF">
      <w:pPr>
        <w:pStyle w:val="2"/>
        <w:widowControl/>
        <w:tabs>
          <w:tab w:val="left" w:pos="804"/>
        </w:tabs>
        <w:ind w:left="567" w:hanging="567"/>
      </w:pPr>
      <w:r w:rsidRPr="00EE3355">
        <w:t>5.1</w:t>
      </w:r>
      <w:r w:rsidRPr="00EE3355">
        <w:tab/>
      </w:r>
      <w:r w:rsidR="0098273B" w:rsidRPr="00EE3355">
        <w:t>Farmakodynamické vlastnosti</w:t>
      </w:r>
    </w:p>
    <w:p w14:paraId="2B19782F" w14:textId="77777777" w:rsidR="00DD0FE8" w:rsidRPr="00EE3355" w:rsidRDefault="00DD0FE8" w:rsidP="001378C6"/>
    <w:p w14:paraId="0B247F2A" w14:textId="77777777" w:rsidR="00222DE0" w:rsidRDefault="0098273B" w:rsidP="00EA1CDF">
      <w:pPr>
        <w:pStyle w:val="a3"/>
        <w:widowControl/>
        <w:ind w:left="0"/>
      </w:pPr>
      <w:r w:rsidRPr="00EE3355">
        <w:t>Farmakoterapeutická skupina: Imunosupresiva, inhibitory interleukinu; ATC kód: L04AC07.</w:t>
      </w:r>
    </w:p>
    <w:p w14:paraId="3CD90619" w14:textId="77777777" w:rsidR="004177B0" w:rsidRDefault="004177B0" w:rsidP="00EA1CDF">
      <w:pPr>
        <w:pStyle w:val="a3"/>
        <w:widowControl/>
        <w:ind w:left="0"/>
      </w:pPr>
    </w:p>
    <w:p w14:paraId="41150F8D" w14:textId="77777777" w:rsidR="004177B0" w:rsidRPr="00EE3355" w:rsidRDefault="004177B0" w:rsidP="004177B0">
      <w:pPr>
        <w:pStyle w:val="a3"/>
        <w:widowControl/>
        <w:ind w:left="0"/>
      </w:pPr>
      <w:r>
        <w:t xml:space="preserve">Avtozma </w:t>
      </w:r>
      <w:r w:rsidRPr="00D57525">
        <w:t xml:space="preserve">je tzv. podobným biologickým léčivým přípravkem („biosimilar“). Podrobné informace jsou k dispozici na webových stránkách Evropské agentury pro léčivé přípravky </w:t>
      </w:r>
      <w:r>
        <w:fldChar w:fldCharType="begin"/>
      </w:r>
      <w:r>
        <w:instrText>HYPERLINK "https://www.ema.europa.eu"</w:instrText>
      </w:r>
      <w:r>
        <w:fldChar w:fldCharType="separate"/>
      </w:r>
      <w:r w:rsidRPr="00D57525">
        <w:rPr>
          <w:rStyle w:val="a9"/>
        </w:rPr>
        <w:t>https://www.ema.europa.eu</w:t>
      </w:r>
      <w:r>
        <w:fldChar w:fldCharType="end"/>
      </w:r>
      <w:r w:rsidRPr="00D57525">
        <w:t>.</w:t>
      </w:r>
    </w:p>
    <w:p w14:paraId="122F2ACE" w14:textId="77777777" w:rsidR="00222DE0" w:rsidRPr="00EE3355" w:rsidRDefault="00222DE0" w:rsidP="00EA1CDF">
      <w:pPr>
        <w:pStyle w:val="a3"/>
        <w:widowControl/>
        <w:ind w:left="0"/>
      </w:pPr>
    </w:p>
    <w:p w14:paraId="3689CB52" w14:textId="77777777" w:rsidR="00222DE0" w:rsidRPr="00EE3355" w:rsidRDefault="0098273B" w:rsidP="00EA1CDF">
      <w:pPr>
        <w:pStyle w:val="a3"/>
        <w:widowControl/>
        <w:ind w:left="0"/>
      </w:pPr>
      <w:r w:rsidRPr="00EE3355">
        <w:rPr>
          <w:u w:val="single"/>
        </w:rPr>
        <w:t>Mechanismus účinku</w:t>
      </w:r>
    </w:p>
    <w:p w14:paraId="5F49E240" w14:textId="594E4C5A" w:rsidR="00222DE0" w:rsidRPr="00EE3355" w:rsidRDefault="004177B0" w:rsidP="00EA1CDF">
      <w:pPr>
        <w:pStyle w:val="a3"/>
        <w:widowControl/>
        <w:ind w:left="0"/>
      </w:pPr>
      <w:r w:rsidRPr="00C61A9B">
        <w:t>Tocilizumab</w:t>
      </w:r>
      <w:r>
        <w:t xml:space="preserve"> </w:t>
      </w:r>
      <w:r w:rsidR="0098273B" w:rsidRPr="00EE3355">
        <w:t xml:space="preserve">se váže specificky jak na rozpustné, tak na membránové receptory IL-6 (sIL-6R a mIL-6R). </w:t>
      </w:r>
      <w:r>
        <w:t>T</w:t>
      </w:r>
      <w:r w:rsidRPr="00C61A9B">
        <w:t>ocilizumab</w:t>
      </w:r>
      <w:r>
        <w:t xml:space="preserve"> </w:t>
      </w:r>
      <w:r w:rsidR="0098273B" w:rsidRPr="00EE3355">
        <w:t>prokazatelně blokuje přenos signálů zprostředkovaných sIL-6R a mIL-6R. IL-6 je pleiotropní prozánětlivý cytokin produkovaný různými typy buněk včetně T a B- buněk, monocytů a fibroblastů. IL-6 se účastní rozličných fyziologických procesů, jako je aktivace</w:t>
      </w:r>
      <w:r w:rsidR="001B021A">
        <w:t xml:space="preserve"> </w:t>
      </w:r>
      <w:r w:rsidR="0098273B" w:rsidRPr="00EE3355">
        <w:t>T-buněk, indukce sekrece imunoglobulinů, indukce syntézy jaterních proteinů akutní fáze a stimulace krvetvorby. IL-6 se podílí na patogenezi onemocnění včetně zánětlivých onemocnění, osteoporózy a neoplazmat.</w:t>
      </w:r>
    </w:p>
    <w:p w14:paraId="3079ACCF" w14:textId="77777777" w:rsidR="001C20A6" w:rsidRPr="00EE3355" w:rsidRDefault="001C20A6" w:rsidP="00EA1CDF">
      <w:pPr>
        <w:pStyle w:val="a3"/>
        <w:widowControl/>
        <w:ind w:left="0"/>
        <w:rPr>
          <w:u w:val="single"/>
        </w:rPr>
      </w:pPr>
    </w:p>
    <w:p w14:paraId="46E748D5" w14:textId="77777777" w:rsidR="00222DE0" w:rsidRPr="00EE3355" w:rsidRDefault="0098273B" w:rsidP="00EA1CDF">
      <w:pPr>
        <w:pStyle w:val="a3"/>
        <w:keepNext/>
        <w:widowControl/>
        <w:ind w:left="0"/>
      </w:pPr>
      <w:r w:rsidRPr="00EE3355">
        <w:rPr>
          <w:u w:val="single"/>
        </w:rPr>
        <w:t>Farmakodynamické účinky</w:t>
      </w:r>
    </w:p>
    <w:p w14:paraId="31E1DFBB" w14:textId="6F13E281" w:rsidR="00222DE0" w:rsidRPr="00EE3355" w:rsidRDefault="0098273B" w:rsidP="00EA1CDF">
      <w:pPr>
        <w:pStyle w:val="a3"/>
        <w:widowControl/>
        <w:ind w:left="0"/>
      </w:pPr>
      <w:r w:rsidRPr="00EE3355">
        <w:t>V klinických studiích RA s</w:t>
      </w:r>
      <w:r w:rsidR="004177B0">
        <w:t> </w:t>
      </w:r>
      <w:r w:rsidR="004177B0" w:rsidRPr="00C61A9B">
        <w:t>tocilizumab</w:t>
      </w:r>
      <w:r w:rsidR="004177B0">
        <w:t xml:space="preserve">em </w:t>
      </w:r>
      <w:r w:rsidRPr="00EE3355">
        <w:t xml:space="preserve">byl pozorován rychlý pokles CRP, sedimentace erytrocytů (FW), sérového amyloidu A (SAA) a fibrinogenu. V souladu s účinky na reaktanty akutní fáze byla léčba </w:t>
      </w:r>
      <w:r w:rsidR="004177B0" w:rsidRPr="00C61A9B">
        <w:t>tocilizumab</w:t>
      </w:r>
      <w:r w:rsidR="004177B0">
        <w:t xml:space="preserve">em </w:t>
      </w:r>
      <w:r w:rsidRPr="00EE3355">
        <w:t xml:space="preserve">spojena s poklesem počtu trombocytů k normálním hodnotám. Bylo pozorováno zvýšení hladin hemoglobinu. </w:t>
      </w:r>
      <w:r w:rsidR="004177B0" w:rsidRPr="00C61A9B">
        <w:t>Tocilizumab</w:t>
      </w:r>
      <w:r w:rsidR="004177B0">
        <w:t xml:space="preserve"> </w:t>
      </w:r>
      <w:r w:rsidRPr="00EE3355">
        <w:t xml:space="preserve">snižuje posilující účinky IL-6 na produkci hepcidinu, což vede ke zvýšení dostupnosti železa. U pacientů léčených </w:t>
      </w:r>
      <w:r w:rsidR="004177B0" w:rsidRPr="00C61A9B">
        <w:t>tocilizumab</w:t>
      </w:r>
      <w:r w:rsidR="004177B0">
        <w:t xml:space="preserve">em </w:t>
      </w:r>
      <w:r w:rsidRPr="00EE3355">
        <w:t>byl pozorován pokles hladin CRP k normálním hodnotám již ve 2. týdnu a pokles přetrvával po celou dobu léčby.</w:t>
      </w:r>
    </w:p>
    <w:p w14:paraId="4150E64B" w14:textId="77777777" w:rsidR="00505E25" w:rsidRPr="00EE3355" w:rsidRDefault="00505E25" w:rsidP="00EA1CDF">
      <w:pPr>
        <w:pStyle w:val="a3"/>
        <w:widowControl/>
        <w:ind w:left="0"/>
      </w:pPr>
    </w:p>
    <w:p w14:paraId="579FB186" w14:textId="4430847B" w:rsidR="00222DE0" w:rsidRPr="00EE3355" w:rsidRDefault="0098273B" w:rsidP="00EA1CDF">
      <w:pPr>
        <w:pStyle w:val="a3"/>
        <w:widowControl/>
        <w:ind w:left="0"/>
      </w:pPr>
      <w:r w:rsidRPr="00EE3355">
        <w:t xml:space="preserve">V klinické studii WA28119 s GCA byly zjištěny podobné rychlé poklesy CRP a FW spolu s mírným zvýšením střední barevné koncentrace (MCHC). U zdravých dobrovolníků, kterým byl podáván </w:t>
      </w:r>
      <w:r w:rsidR="004177B0" w:rsidRPr="00C61A9B">
        <w:t>tocilizumab</w:t>
      </w:r>
      <w:r w:rsidR="004177B0">
        <w:t xml:space="preserve"> </w:t>
      </w:r>
      <w:r w:rsidRPr="00EE3355">
        <w:t xml:space="preserve">v dávkách od 2 do 28 mg/kg intravenózně v dávkách od 81 do 162 mg subkutánně, klesal absolutní počet neutrofilů k nejnižším hodnotám 2 až 5 dnů po podání. Poté se počet neutrofilů vrátil k výchozím hodnotám způsobem závislým na dávce. Pacienti s RA a GCA po podání </w:t>
      </w:r>
      <w:r w:rsidR="004177B0" w:rsidRPr="00C61A9B">
        <w:t>tocilizumab</w:t>
      </w:r>
      <w:r w:rsidR="004177B0">
        <w:t xml:space="preserve">u </w:t>
      </w:r>
      <w:r w:rsidRPr="00EE3355">
        <w:t>vykazují shodné (se zdravými jedinci) snížení absolutního počtu neutrofilů (viz bod 4.8).</w:t>
      </w:r>
    </w:p>
    <w:p w14:paraId="246A3933" w14:textId="77777777" w:rsidR="00505E25" w:rsidRPr="00EE3355" w:rsidRDefault="00505E25" w:rsidP="00EA1CDF">
      <w:pPr>
        <w:pStyle w:val="a3"/>
        <w:widowControl/>
        <w:ind w:left="0"/>
      </w:pPr>
    </w:p>
    <w:p w14:paraId="1A211300" w14:textId="77777777" w:rsidR="00222DE0" w:rsidRPr="00EE3355" w:rsidRDefault="0098273B" w:rsidP="00B93217">
      <w:pPr>
        <w:pStyle w:val="a3"/>
        <w:keepNext/>
        <w:widowControl/>
        <w:ind w:left="0"/>
      </w:pPr>
      <w:r w:rsidRPr="00EE3355">
        <w:rPr>
          <w:u w:val="single"/>
        </w:rPr>
        <w:t>Subkutánní podání</w:t>
      </w:r>
    </w:p>
    <w:p w14:paraId="01E2A6B1" w14:textId="77777777" w:rsidR="00222DE0" w:rsidRPr="00EE3355" w:rsidRDefault="0098273B" w:rsidP="00B93217">
      <w:pPr>
        <w:keepNext/>
        <w:widowControl/>
        <w:rPr>
          <w:b/>
        </w:rPr>
      </w:pPr>
      <w:r w:rsidRPr="00EE3355">
        <w:rPr>
          <w:b/>
          <w:u w:val="single"/>
        </w:rPr>
        <w:t>RA</w:t>
      </w:r>
    </w:p>
    <w:p w14:paraId="6F2196E9" w14:textId="77777777" w:rsidR="00222DE0" w:rsidRPr="00EE3355" w:rsidRDefault="0098273B" w:rsidP="00B93217">
      <w:pPr>
        <w:pStyle w:val="a3"/>
        <w:keepNext/>
        <w:widowControl/>
        <w:ind w:left="0"/>
      </w:pPr>
      <w:r w:rsidRPr="00EE3355">
        <w:rPr>
          <w:u w:val="single"/>
        </w:rPr>
        <w:t>Klinická účinnost</w:t>
      </w:r>
    </w:p>
    <w:p w14:paraId="76A754D7" w14:textId="145734F5" w:rsidR="00222DE0" w:rsidRPr="00EE3355" w:rsidRDefault="0098273B" w:rsidP="00EA1CDF">
      <w:pPr>
        <w:pStyle w:val="a3"/>
        <w:widowControl/>
        <w:ind w:left="0"/>
      </w:pPr>
      <w:r w:rsidRPr="00EE3355">
        <w:t xml:space="preserve">Účinnost subkutánně podávaného </w:t>
      </w:r>
      <w:r w:rsidR="004177B0" w:rsidRPr="00C61A9B">
        <w:t>tocilizumab</w:t>
      </w:r>
      <w:r w:rsidR="004177B0">
        <w:t xml:space="preserve">u </w:t>
      </w:r>
      <w:r w:rsidRPr="00EE3355">
        <w:t>na zmírnění známek a příznaků RA a radiografickou odpověď byla hodnocena v 5 randomizovaných, dvojitě zaslepených, kontrolovaných, multicentrických studiích. Pro studii I (SC-I) byli vhodní pacienti ve věku &gt; 18 let se středně těžkou až těžkou aktivní RA diagnostikovanou v souladu s kritérii ACR, kteří měli alespoň 4 bolestivé a 4 oteklé klouby na začátku léčby. Všichni pacienti zároveň dostávali nebiologické DMARD. Pro studii II</w:t>
      </w:r>
      <w:r w:rsidR="00505E25" w:rsidRPr="00EE3355">
        <w:t xml:space="preserve"> </w:t>
      </w:r>
      <w:r w:rsidRPr="00EE3355">
        <w:t>(SC-II) byli vhodní pacienti ve věku &gt; 18 let se středně těžkou až těžkou aktivní RA diagnostikovanou</w:t>
      </w:r>
      <w:r w:rsidR="00505E25" w:rsidRPr="00EE3355">
        <w:t xml:space="preserve"> </w:t>
      </w:r>
      <w:r w:rsidRPr="00EE3355">
        <w:t>v souladu s kritérii ACR, kteří měli alespoň 8 bolestivých a 6 oteklých kloubů na začátku léčby.</w:t>
      </w:r>
    </w:p>
    <w:p w14:paraId="0C6EB81E" w14:textId="77777777" w:rsidR="00222DE0" w:rsidRPr="00EE3355" w:rsidRDefault="00222DE0" w:rsidP="00EA1CDF">
      <w:pPr>
        <w:pStyle w:val="a3"/>
        <w:widowControl/>
        <w:ind w:left="0"/>
      </w:pPr>
    </w:p>
    <w:p w14:paraId="0E99FBB1" w14:textId="77777777" w:rsidR="00222DE0" w:rsidRPr="00EE3355" w:rsidRDefault="0098273B" w:rsidP="00EA1CDF">
      <w:pPr>
        <w:pStyle w:val="a3"/>
        <w:widowControl/>
        <w:ind w:left="0"/>
      </w:pPr>
      <w:r w:rsidRPr="00EE3355">
        <w:lastRenderedPageBreak/>
        <w:t>Převedením z intravenózní dávky 8 mg/kg jednou za 4 týdny na subkutánní dávku 162 mg jednou</w:t>
      </w:r>
      <w:r w:rsidR="00505E25" w:rsidRPr="00EE3355">
        <w:t xml:space="preserve"> </w:t>
      </w:r>
      <w:r w:rsidRPr="00EE3355">
        <w:t>týdně se změní expozice pacienta. Míra se liší podle tělesné hmotnosti pacienta (zvýšení u pacientů</w:t>
      </w:r>
      <w:r w:rsidR="00505E25" w:rsidRPr="00EE3355">
        <w:t xml:space="preserve"> </w:t>
      </w:r>
      <w:r w:rsidRPr="00EE3355">
        <w:t>s nižší hmotností a snížení u pacientů s vyšší hmotností), ale klinický výsledek je v souladu s</w:t>
      </w:r>
      <w:r w:rsidR="00505E25" w:rsidRPr="00EE3355">
        <w:t> </w:t>
      </w:r>
      <w:r w:rsidRPr="00EE3355">
        <w:t>výsledky</w:t>
      </w:r>
      <w:r w:rsidR="00505E25" w:rsidRPr="00EE3355">
        <w:t xml:space="preserve"> </w:t>
      </w:r>
      <w:r w:rsidRPr="00EE3355">
        <w:t>pozorovanými u pacientů léčených intravenózně.</w:t>
      </w:r>
    </w:p>
    <w:p w14:paraId="44596FE5" w14:textId="77777777" w:rsidR="00222DE0" w:rsidRPr="00EE3355" w:rsidRDefault="00222DE0" w:rsidP="00EA1CDF">
      <w:pPr>
        <w:pStyle w:val="a3"/>
        <w:widowControl/>
        <w:ind w:left="0"/>
      </w:pPr>
    </w:p>
    <w:p w14:paraId="36267FAE" w14:textId="77777777" w:rsidR="00222DE0" w:rsidRPr="00EE3355" w:rsidRDefault="0098273B" w:rsidP="00EA1CDF">
      <w:pPr>
        <w:pStyle w:val="a3"/>
        <w:widowControl/>
        <w:ind w:left="0"/>
      </w:pPr>
      <w:r w:rsidRPr="00EE3355">
        <w:rPr>
          <w:u w:val="single"/>
        </w:rPr>
        <w:t>Klinická odpověď</w:t>
      </w:r>
    </w:p>
    <w:p w14:paraId="7DFD07BB" w14:textId="1B31A9E8" w:rsidR="00222DE0" w:rsidRPr="00EE3355" w:rsidRDefault="0098273B" w:rsidP="00EA1CDF">
      <w:pPr>
        <w:pStyle w:val="a3"/>
        <w:widowControl/>
        <w:ind w:left="0"/>
      </w:pPr>
      <w:r w:rsidRPr="00EE3355">
        <w:t>Studie SC-I hodnotila pacienty se středně těžkou až těžkou aktivní RA, kteří neměli dostatečnou odpověď na stávající revmatologickou terapii včetně jednoho nebo více DMARD, přibližně</w:t>
      </w:r>
      <w:r w:rsidR="00505E25" w:rsidRPr="00EE3355">
        <w:t xml:space="preserve"> </w:t>
      </w:r>
      <w:r w:rsidRPr="00EE3355">
        <w:t>20 % mělo v minulosti nedostatečnou odpověď na alespoň jeden TNF inhibitor. Ve studii SC-I bylo 1 262 pacientů randomizováno v poměru 1 : 1 do skupiny s</w:t>
      </w:r>
      <w:r w:rsidR="004177B0">
        <w:t> </w:t>
      </w:r>
      <w:r w:rsidR="004177B0" w:rsidRPr="00C61A9B">
        <w:t>tocilizumab</w:t>
      </w:r>
      <w:r w:rsidR="004177B0">
        <w:t xml:space="preserve">em </w:t>
      </w:r>
      <w:r w:rsidRPr="00EE3355">
        <w:t>v dávce 162 mg podávané subkutánně každý týden nebo do skupiny s</w:t>
      </w:r>
      <w:r w:rsidR="004177B0">
        <w:t> </w:t>
      </w:r>
      <w:r w:rsidR="004177B0" w:rsidRPr="00C61A9B">
        <w:t>tocilizumab</w:t>
      </w:r>
      <w:r w:rsidR="004177B0">
        <w:t xml:space="preserve">em </w:t>
      </w:r>
      <w:r w:rsidRPr="00EE3355">
        <w:t>v dávce 8 mg/kg podávané intravenózně jednou za 4 týdny v kombinaci s nebiologickými DMARD. Primárním cílem</w:t>
      </w:r>
      <w:r w:rsidR="00505E25" w:rsidRPr="00EE3355">
        <w:t xml:space="preserve"> </w:t>
      </w:r>
      <w:r w:rsidRPr="00EE3355">
        <w:t>studie byl rozdíl v procentu pacientů, kteří dosáhli odpovědi dle kritérií ACR 20 v týdnu 24. Výsledky studie SC-I uvádí tabulka 2.</w:t>
      </w:r>
    </w:p>
    <w:p w14:paraId="6F1E82BF" w14:textId="77777777" w:rsidR="00222DE0" w:rsidRPr="00EE3355" w:rsidRDefault="00222DE0" w:rsidP="00EA1CDF">
      <w:pPr>
        <w:widowControl/>
      </w:pPr>
    </w:p>
    <w:p w14:paraId="008AD64C" w14:textId="77777777" w:rsidR="00222DE0" w:rsidRPr="00EE3355" w:rsidRDefault="0098273B" w:rsidP="00EA1CDF">
      <w:pPr>
        <w:widowControl/>
        <w:ind w:left="1418" w:hanging="1418"/>
        <w:rPr>
          <w:i/>
        </w:rPr>
      </w:pPr>
      <w:r w:rsidRPr="00EE3355">
        <w:rPr>
          <w:i/>
        </w:rPr>
        <w:t>Tabulka 2.</w:t>
      </w:r>
      <w:r w:rsidR="00505E25" w:rsidRPr="00EE3355">
        <w:rPr>
          <w:i/>
        </w:rPr>
        <w:tab/>
      </w:r>
      <w:r w:rsidRPr="00EE3355">
        <w:rPr>
          <w:i/>
        </w:rPr>
        <w:t>Odpovědi dle ACR ve studii SC-I (% pacientů) v týdnu 24</w:t>
      </w:r>
    </w:p>
    <w:p w14:paraId="694BCD4A" w14:textId="77777777" w:rsidR="00222DE0" w:rsidRPr="00EE3355" w:rsidRDefault="00222DE0" w:rsidP="00EA1CDF">
      <w:pPr>
        <w:pStyle w:val="a3"/>
        <w:widowControl/>
        <w:ind w:left="0"/>
        <w:rPr>
          <w:i/>
          <w:sz w:val="20"/>
        </w:rPr>
      </w:pPr>
    </w:p>
    <w:tbl>
      <w:tblPr>
        <w:tblW w:w="907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982"/>
        <w:gridCol w:w="2869"/>
        <w:gridCol w:w="507"/>
        <w:gridCol w:w="2713"/>
      </w:tblGrid>
      <w:tr w:rsidR="00222DE0" w:rsidRPr="00EE3355" w14:paraId="76FACC27" w14:textId="77777777" w:rsidTr="001B021A">
        <w:trPr>
          <w:cantSplit/>
          <w:trHeight w:val="285"/>
          <w:tblHeader/>
        </w:trPr>
        <w:tc>
          <w:tcPr>
            <w:tcW w:w="2982" w:type="dxa"/>
          </w:tcPr>
          <w:p w14:paraId="1C0F8C1E" w14:textId="77777777" w:rsidR="00222DE0" w:rsidRPr="00EE3355" w:rsidRDefault="00222DE0" w:rsidP="00EA1CDF">
            <w:pPr>
              <w:pStyle w:val="TableParagraph"/>
              <w:widowControl/>
              <w:rPr>
                <w:sz w:val="20"/>
              </w:rPr>
            </w:pPr>
          </w:p>
        </w:tc>
        <w:tc>
          <w:tcPr>
            <w:tcW w:w="6089" w:type="dxa"/>
            <w:gridSpan w:val="3"/>
          </w:tcPr>
          <w:p w14:paraId="1B7F1FFC" w14:textId="77777777" w:rsidR="00222DE0" w:rsidRPr="00EE3355" w:rsidRDefault="0098273B" w:rsidP="00EA1CDF">
            <w:pPr>
              <w:pStyle w:val="TableParagraph"/>
              <w:widowControl/>
              <w:ind w:left="10" w:right="5"/>
              <w:jc w:val="center"/>
            </w:pPr>
            <w:r w:rsidRPr="00EE3355">
              <w:t>SC-I</w:t>
            </w:r>
            <w:r w:rsidRPr="00EE3355">
              <w:rPr>
                <w:vertAlign w:val="superscript"/>
              </w:rPr>
              <w:t>a</w:t>
            </w:r>
          </w:p>
        </w:tc>
      </w:tr>
      <w:tr w:rsidR="00222DE0" w:rsidRPr="00EE3355" w14:paraId="282BBDB9" w14:textId="77777777" w:rsidTr="001B021A">
        <w:trPr>
          <w:cantSplit/>
          <w:trHeight w:val="705"/>
          <w:tblHeader/>
        </w:trPr>
        <w:tc>
          <w:tcPr>
            <w:tcW w:w="2982" w:type="dxa"/>
          </w:tcPr>
          <w:p w14:paraId="0E76EA8F" w14:textId="77777777" w:rsidR="00222DE0" w:rsidRPr="00EE3355" w:rsidRDefault="00222DE0" w:rsidP="00EA1CDF">
            <w:pPr>
              <w:pStyle w:val="TableParagraph"/>
              <w:widowControl/>
            </w:pPr>
          </w:p>
        </w:tc>
        <w:tc>
          <w:tcPr>
            <w:tcW w:w="2869" w:type="dxa"/>
          </w:tcPr>
          <w:p w14:paraId="03112321" w14:textId="77777777" w:rsidR="00222DE0" w:rsidRPr="00EE3355" w:rsidRDefault="0098273B" w:rsidP="00EA1CDF">
            <w:pPr>
              <w:pStyle w:val="TableParagraph"/>
              <w:widowControl/>
              <w:ind w:left="9" w:right="1"/>
              <w:jc w:val="center"/>
            </w:pPr>
            <w:r w:rsidRPr="00EE3355">
              <w:t>TCZ s.c. 162 mg každý týden</w:t>
            </w:r>
          </w:p>
          <w:p w14:paraId="437D5EC9" w14:textId="77777777" w:rsidR="00505E25" w:rsidRPr="00EE3355" w:rsidRDefault="0098273B" w:rsidP="00EA1CDF">
            <w:pPr>
              <w:pStyle w:val="TableParagraph"/>
              <w:widowControl/>
              <w:ind w:left="938" w:right="168"/>
              <w:jc w:val="center"/>
            </w:pPr>
            <w:r w:rsidRPr="00EE3355">
              <w:t>+ DMARD</w:t>
            </w:r>
          </w:p>
          <w:p w14:paraId="3BAA2EE5" w14:textId="77777777" w:rsidR="00222DE0" w:rsidRPr="00EE3355" w:rsidRDefault="0098273B" w:rsidP="00EA1CDF">
            <w:pPr>
              <w:pStyle w:val="TableParagraph"/>
              <w:widowControl/>
              <w:ind w:left="938" w:right="168"/>
              <w:jc w:val="center"/>
            </w:pPr>
            <w:r w:rsidRPr="00EE3355">
              <w:t>n = 558</w:t>
            </w:r>
          </w:p>
        </w:tc>
        <w:tc>
          <w:tcPr>
            <w:tcW w:w="3220" w:type="dxa"/>
            <w:gridSpan w:val="2"/>
          </w:tcPr>
          <w:p w14:paraId="0AD5EAED" w14:textId="77777777" w:rsidR="00222DE0" w:rsidRPr="00EE3355" w:rsidRDefault="0098273B" w:rsidP="00EA1CDF">
            <w:pPr>
              <w:pStyle w:val="TableParagraph"/>
              <w:widowControl/>
              <w:ind w:left="6"/>
              <w:jc w:val="center"/>
            </w:pPr>
            <w:r w:rsidRPr="00EE3355">
              <w:t>TCZ i.v. 8 mg/kg</w:t>
            </w:r>
          </w:p>
          <w:p w14:paraId="4BA23082" w14:textId="77777777" w:rsidR="00222DE0" w:rsidRPr="00EE3355" w:rsidRDefault="0098273B" w:rsidP="00EA1CDF">
            <w:pPr>
              <w:pStyle w:val="TableParagraph"/>
              <w:widowControl/>
              <w:ind w:left="984" w:right="785"/>
              <w:jc w:val="center"/>
            </w:pPr>
            <w:r w:rsidRPr="00EE3355">
              <w:t>+ DMARD n = 537</w:t>
            </w:r>
          </w:p>
        </w:tc>
      </w:tr>
      <w:tr w:rsidR="00222DE0" w:rsidRPr="00EE3355" w14:paraId="4167966A" w14:textId="77777777" w:rsidTr="001B021A">
        <w:trPr>
          <w:cantSplit/>
          <w:trHeight w:val="177"/>
        </w:trPr>
        <w:tc>
          <w:tcPr>
            <w:tcW w:w="2982" w:type="dxa"/>
          </w:tcPr>
          <w:p w14:paraId="311A3B86" w14:textId="77777777" w:rsidR="00222DE0" w:rsidRPr="00EE3355" w:rsidRDefault="0098273B" w:rsidP="00EA1CDF">
            <w:pPr>
              <w:pStyle w:val="TableParagraph"/>
              <w:widowControl/>
              <w:ind w:right="93"/>
              <w:jc w:val="right"/>
            </w:pPr>
            <w:r w:rsidRPr="00EE3355">
              <w:t>ACR 20 týden 24</w:t>
            </w:r>
          </w:p>
        </w:tc>
        <w:tc>
          <w:tcPr>
            <w:tcW w:w="2869" w:type="dxa"/>
          </w:tcPr>
          <w:p w14:paraId="566A4AEF" w14:textId="77777777" w:rsidR="00222DE0" w:rsidRPr="00EE3355" w:rsidRDefault="0098273B" w:rsidP="00EA1CDF">
            <w:pPr>
              <w:pStyle w:val="TableParagraph"/>
              <w:widowControl/>
              <w:ind w:left="9"/>
              <w:jc w:val="center"/>
            </w:pPr>
            <w:r w:rsidRPr="00EE3355">
              <w:t>69,4 %</w:t>
            </w:r>
          </w:p>
        </w:tc>
        <w:tc>
          <w:tcPr>
            <w:tcW w:w="3220" w:type="dxa"/>
            <w:gridSpan w:val="2"/>
          </w:tcPr>
          <w:p w14:paraId="46C9A910" w14:textId="77777777" w:rsidR="00222DE0" w:rsidRPr="00EE3355" w:rsidRDefault="0098273B" w:rsidP="00EA1CDF">
            <w:pPr>
              <w:pStyle w:val="TableParagraph"/>
              <w:widowControl/>
              <w:ind w:left="6" w:right="1"/>
              <w:jc w:val="center"/>
            </w:pPr>
            <w:r w:rsidRPr="00EE3355">
              <w:t>73,4 %</w:t>
            </w:r>
          </w:p>
        </w:tc>
      </w:tr>
      <w:tr w:rsidR="00222DE0" w:rsidRPr="00EE3355" w14:paraId="2CD76456" w14:textId="77777777" w:rsidTr="001B021A">
        <w:trPr>
          <w:cantSplit/>
          <w:trHeight w:val="282"/>
        </w:trPr>
        <w:tc>
          <w:tcPr>
            <w:tcW w:w="2982" w:type="dxa"/>
          </w:tcPr>
          <w:p w14:paraId="3E0244EA" w14:textId="77777777" w:rsidR="00222DE0" w:rsidRPr="00EE3355" w:rsidRDefault="0098273B" w:rsidP="00EA1CDF">
            <w:pPr>
              <w:pStyle w:val="TableParagraph"/>
              <w:widowControl/>
              <w:ind w:right="96"/>
              <w:jc w:val="right"/>
            </w:pPr>
            <w:r w:rsidRPr="00EE3355">
              <w:t>Vážený rozdíl (95% CI)</w:t>
            </w:r>
          </w:p>
        </w:tc>
        <w:tc>
          <w:tcPr>
            <w:tcW w:w="6089" w:type="dxa"/>
            <w:gridSpan w:val="3"/>
          </w:tcPr>
          <w:p w14:paraId="781A87C4" w14:textId="77777777" w:rsidR="00222DE0" w:rsidRPr="00EE3355" w:rsidRDefault="0098273B" w:rsidP="00EA1CDF">
            <w:pPr>
              <w:pStyle w:val="TableParagraph"/>
              <w:widowControl/>
              <w:ind w:left="10"/>
              <w:jc w:val="center"/>
            </w:pPr>
            <w:r w:rsidRPr="00EE3355">
              <w:t>-4,0 (-9,2; 1,2)</w:t>
            </w:r>
          </w:p>
        </w:tc>
      </w:tr>
      <w:tr w:rsidR="00222DE0" w:rsidRPr="00EE3355" w14:paraId="16B68120" w14:textId="77777777" w:rsidTr="001B021A">
        <w:trPr>
          <w:cantSplit/>
          <w:trHeight w:val="74"/>
        </w:trPr>
        <w:tc>
          <w:tcPr>
            <w:tcW w:w="2982" w:type="dxa"/>
          </w:tcPr>
          <w:p w14:paraId="5E311414" w14:textId="77777777" w:rsidR="00222DE0" w:rsidRPr="00EE3355" w:rsidRDefault="0098273B" w:rsidP="00EA1CDF">
            <w:pPr>
              <w:pStyle w:val="TableParagraph"/>
              <w:widowControl/>
              <w:ind w:right="93"/>
              <w:jc w:val="right"/>
            </w:pPr>
            <w:r w:rsidRPr="00EE3355">
              <w:t>ACR 50 týden 24</w:t>
            </w:r>
          </w:p>
        </w:tc>
        <w:tc>
          <w:tcPr>
            <w:tcW w:w="3376" w:type="dxa"/>
            <w:gridSpan w:val="2"/>
          </w:tcPr>
          <w:p w14:paraId="1BDC1F21" w14:textId="77777777" w:rsidR="00222DE0" w:rsidRPr="00EE3355" w:rsidRDefault="0098273B" w:rsidP="00EA1CDF">
            <w:pPr>
              <w:pStyle w:val="TableParagraph"/>
              <w:widowControl/>
              <w:ind w:left="9"/>
              <w:jc w:val="center"/>
            </w:pPr>
            <w:r w:rsidRPr="00EE3355">
              <w:t>47,0 %</w:t>
            </w:r>
          </w:p>
        </w:tc>
        <w:tc>
          <w:tcPr>
            <w:tcW w:w="2713" w:type="dxa"/>
          </w:tcPr>
          <w:p w14:paraId="66A302FD" w14:textId="77777777" w:rsidR="00222DE0" w:rsidRPr="00EE3355" w:rsidRDefault="0098273B" w:rsidP="00EA1CDF">
            <w:pPr>
              <w:pStyle w:val="TableParagraph"/>
              <w:widowControl/>
              <w:ind w:left="6" w:right="1"/>
              <w:jc w:val="center"/>
            </w:pPr>
            <w:r w:rsidRPr="00EE3355">
              <w:t>48,6 %</w:t>
            </w:r>
          </w:p>
        </w:tc>
      </w:tr>
      <w:tr w:rsidR="00222DE0" w:rsidRPr="00EE3355" w14:paraId="13A5C9A1" w14:textId="77777777" w:rsidTr="001B021A">
        <w:trPr>
          <w:cantSplit/>
          <w:trHeight w:val="178"/>
        </w:trPr>
        <w:tc>
          <w:tcPr>
            <w:tcW w:w="2982" w:type="dxa"/>
          </w:tcPr>
          <w:p w14:paraId="72845A99" w14:textId="77777777" w:rsidR="00222DE0" w:rsidRPr="00EE3355" w:rsidRDefault="0098273B" w:rsidP="00EA1CDF">
            <w:pPr>
              <w:pStyle w:val="TableParagraph"/>
              <w:widowControl/>
              <w:ind w:right="96"/>
              <w:jc w:val="right"/>
            </w:pPr>
            <w:r w:rsidRPr="00EE3355">
              <w:t>Vážený rozdíl (95% CI)</w:t>
            </w:r>
          </w:p>
        </w:tc>
        <w:tc>
          <w:tcPr>
            <w:tcW w:w="6089" w:type="dxa"/>
            <w:gridSpan w:val="3"/>
          </w:tcPr>
          <w:p w14:paraId="5A94A5B4" w14:textId="77777777" w:rsidR="00222DE0" w:rsidRPr="00EE3355" w:rsidRDefault="0098273B" w:rsidP="00EA1CDF">
            <w:pPr>
              <w:pStyle w:val="TableParagraph"/>
              <w:widowControl/>
              <w:ind w:left="10"/>
              <w:jc w:val="center"/>
            </w:pPr>
            <w:r w:rsidRPr="00EE3355">
              <w:t>-1,8 (-7,5; 4,0)</w:t>
            </w:r>
          </w:p>
        </w:tc>
      </w:tr>
      <w:tr w:rsidR="00222DE0" w:rsidRPr="00EE3355" w14:paraId="66B9D26E" w14:textId="77777777" w:rsidTr="001B021A">
        <w:trPr>
          <w:cantSplit/>
          <w:trHeight w:val="140"/>
        </w:trPr>
        <w:tc>
          <w:tcPr>
            <w:tcW w:w="2982" w:type="dxa"/>
          </w:tcPr>
          <w:p w14:paraId="5A34D3CB" w14:textId="77777777" w:rsidR="00222DE0" w:rsidRPr="00EE3355" w:rsidRDefault="0098273B" w:rsidP="00EA1CDF">
            <w:pPr>
              <w:pStyle w:val="TableParagraph"/>
              <w:keepNext/>
              <w:widowControl/>
              <w:ind w:right="93"/>
              <w:jc w:val="right"/>
            </w:pPr>
            <w:r w:rsidRPr="00EE3355">
              <w:t>ACR 70 týden 24</w:t>
            </w:r>
          </w:p>
        </w:tc>
        <w:tc>
          <w:tcPr>
            <w:tcW w:w="3376" w:type="dxa"/>
            <w:gridSpan w:val="2"/>
          </w:tcPr>
          <w:p w14:paraId="37ADF654" w14:textId="77777777" w:rsidR="00222DE0" w:rsidRPr="00EE3355" w:rsidRDefault="0098273B" w:rsidP="00EA1CDF">
            <w:pPr>
              <w:pStyle w:val="TableParagraph"/>
              <w:keepNext/>
              <w:widowControl/>
              <w:ind w:left="9"/>
              <w:jc w:val="center"/>
            </w:pPr>
            <w:r w:rsidRPr="00EE3355">
              <w:t>24,0 %</w:t>
            </w:r>
          </w:p>
        </w:tc>
        <w:tc>
          <w:tcPr>
            <w:tcW w:w="2713" w:type="dxa"/>
          </w:tcPr>
          <w:p w14:paraId="27CFB75A" w14:textId="77777777" w:rsidR="00222DE0" w:rsidRPr="00EE3355" w:rsidRDefault="0098273B" w:rsidP="00EA1CDF">
            <w:pPr>
              <w:pStyle w:val="TableParagraph"/>
              <w:keepNext/>
              <w:widowControl/>
              <w:ind w:left="6" w:right="1"/>
              <w:jc w:val="center"/>
            </w:pPr>
            <w:r w:rsidRPr="00EE3355">
              <w:t>27,9 %</w:t>
            </w:r>
          </w:p>
        </w:tc>
      </w:tr>
      <w:tr w:rsidR="00222DE0" w:rsidRPr="00EE3355" w14:paraId="4B001DB6" w14:textId="77777777" w:rsidTr="001B021A">
        <w:trPr>
          <w:cantSplit/>
          <w:trHeight w:val="243"/>
        </w:trPr>
        <w:tc>
          <w:tcPr>
            <w:tcW w:w="2982" w:type="dxa"/>
          </w:tcPr>
          <w:p w14:paraId="01CAC4E5" w14:textId="77777777" w:rsidR="00222DE0" w:rsidRPr="00EE3355" w:rsidRDefault="0098273B" w:rsidP="00EA1CDF">
            <w:pPr>
              <w:pStyle w:val="TableParagraph"/>
              <w:widowControl/>
              <w:ind w:right="96"/>
              <w:jc w:val="right"/>
            </w:pPr>
            <w:r w:rsidRPr="00EE3355">
              <w:t>Vážený rozdíl (95% CI)</w:t>
            </w:r>
          </w:p>
        </w:tc>
        <w:tc>
          <w:tcPr>
            <w:tcW w:w="6089" w:type="dxa"/>
            <w:gridSpan w:val="3"/>
          </w:tcPr>
          <w:p w14:paraId="5AF02D20" w14:textId="77777777" w:rsidR="00222DE0" w:rsidRPr="00EE3355" w:rsidRDefault="0098273B" w:rsidP="00EA1CDF">
            <w:pPr>
              <w:pStyle w:val="TableParagraph"/>
              <w:widowControl/>
              <w:ind w:left="10"/>
              <w:jc w:val="center"/>
            </w:pPr>
            <w:r w:rsidRPr="00EE3355">
              <w:t>-3,8 (-9,0; 1,3)</w:t>
            </w:r>
          </w:p>
        </w:tc>
      </w:tr>
    </w:tbl>
    <w:p w14:paraId="5E80ADFA" w14:textId="77777777" w:rsidR="00222DE0" w:rsidRPr="00EE3355" w:rsidRDefault="0098273B" w:rsidP="00EA1CDF">
      <w:pPr>
        <w:widowControl/>
        <w:rPr>
          <w:sz w:val="18"/>
        </w:rPr>
      </w:pPr>
      <w:r w:rsidRPr="00EE3355">
        <w:rPr>
          <w:sz w:val="18"/>
        </w:rPr>
        <w:t>TCZ - tocilizumab</w:t>
      </w:r>
    </w:p>
    <w:p w14:paraId="099F2804" w14:textId="77777777" w:rsidR="00222DE0" w:rsidRPr="00EE3355" w:rsidRDefault="0098273B" w:rsidP="00EA1CDF">
      <w:pPr>
        <w:widowControl/>
        <w:rPr>
          <w:sz w:val="18"/>
        </w:rPr>
      </w:pPr>
      <w:r w:rsidRPr="001B021A">
        <w:rPr>
          <w:sz w:val="18"/>
          <w:vertAlign w:val="superscript"/>
        </w:rPr>
        <w:t>a</w:t>
      </w:r>
      <w:r w:rsidRPr="00EE3355">
        <w:rPr>
          <w:sz w:val="18"/>
        </w:rPr>
        <w:t xml:space="preserve"> - nemocní léčení dle protokolu (PPP)</w:t>
      </w:r>
    </w:p>
    <w:p w14:paraId="39CECCEA" w14:textId="77777777" w:rsidR="00222DE0" w:rsidRPr="00EE3355" w:rsidRDefault="00222DE0" w:rsidP="00EA1CDF">
      <w:pPr>
        <w:pStyle w:val="a3"/>
        <w:widowControl/>
        <w:ind w:left="0"/>
        <w:rPr>
          <w:sz w:val="18"/>
        </w:rPr>
      </w:pPr>
    </w:p>
    <w:p w14:paraId="4D97EDF8" w14:textId="77777777" w:rsidR="00222DE0" w:rsidRPr="00EE3355" w:rsidRDefault="0098273B" w:rsidP="00EA1CDF">
      <w:pPr>
        <w:pStyle w:val="a3"/>
        <w:keepNext/>
        <w:widowControl/>
        <w:ind w:left="0"/>
      </w:pPr>
      <w:r w:rsidRPr="00EE3355">
        <w:t>Pacienti ve studii SC-I měli před začátkem léčby průměrné skóre aktivity onemocnění (DAS28)</w:t>
      </w:r>
      <w:r w:rsidR="00600B42" w:rsidRPr="00EE3355">
        <w:t xml:space="preserve"> </w:t>
      </w:r>
      <w:r w:rsidRPr="00EE3355">
        <w:t>6,6 v subkutánním rameni a 6,7 v intravenózním rameni. V týdnu 24 bylo u pacientů v obou ramenech zjištěno významné snížení (průměrné zlepšení) skóre DAS28 o 3,5 oproti skóre před začátkem léčby a srovnatelné zastoupení pacientů, kteří dosáhli klinické remise (DAS28 &lt; 2,6), v subkutánním rameni (38,4 %) a v intravenózním rameni (36,9 %).</w:t>
      </w:r>
    </w:p>
    <w:p w14:paraId="58912F70" w14:textId="77777777" w:rsidR="00222DE0" w:rsidRPr="00EE3355" w:rsidRDefault="00222DE0" w:rsidP="00EA1CDF">
      <w:pPr>
        <w:pStyle w:val="a3"/>
        <w:widowControl/>
        <w:ind w:left="0"/>
      </w:pPr>
    </w:p>
    <w:p w14:paraId="54D5CE8D" w14:textId="77777777" w:rsidR="00222DE0" w:rsidRPr="00EE3355" w:rsidRDefault="0098273B" w:rsidP="00EA1CDF">
      <w:pPr>
        <w:widowControl/>
        <w:rPr>
          <w:i/>
        </w:rPr>
      </w:pPr>
      <w:r w:rsidRPr="00EE3355">
        <w:rPr>
          <w:i/>
        </w:rPr>
        <w:t>Radiografická odpověď</w:t>
      </w:r>
    </w:p>
    <w:p w14:paraId="2961E286" w14:textId="0FE2955F" w:rsidR="00222DE0" w:rsidRPr="00EE3355" w:rsidRDefault="0098273B" w:rsidP="00EA1CDF">
      <w:pPr>
        <w:pStyle w:val="a3"/>
        <w:widowControl/>
        <w:ind w:left="0"/>
      </w:pPr>
      <w:r w:rsidRPr="00EE3355">
        <w:t xml:space="preserve">Radiografická odpověď na subkutánní podání </w:t>
      </w:r>
      <w:r w:rsidR="004177B0" w:rsidRPr="00C61A9B">
        <w:t>tocilizumab</w:t>
      </w:r>
      <w:r w:rsidR="004177B0">
        <w:t xml:space="preserve">u </w:t>
      </w:r>
      <w:r w:rsidRPr="00EE3355">
        <w:t>byla hodnocena ve dvojitě zaslepené, kontrolované, multicentrické studii u pacientů s aktivní RA (SC-II). Studie SC-II hodnotila pacienty se středně těžkou až těžkou aktivní RA, kteří neměli dostatečnou odpověď na stávající revmatologickou terapii včetně jednoho nebo více DMARD, přibližně 20 % mělo v minulosti nedostatečnou odpověď na alespoň jeden TNF inhibitor. Pro studii byli vhodní pacienti ve věku</w:t>
      </w:r>
      <w:r w:rsidR="00600B42" w:rsidRPr="00EE3355">
        <w:t xml:space="preserve"> </w:t>
      </w:r>
      <w:r w:rsidR="00B23DAE" w:rsidRPr="00EE3355">
        <w:t>&gt;</w:t>
      </w:r>
      <w:r w:rsidR="00B23DAE" w:rsidRPr="00EE3355">
        <w:tab/>
      </w:r>
      <w:r w:rsidRPr="00EE3355">
        <w:t>18 let s aktivní RA diagnostikovanou v souladu s kritérii ACR, kteří měli alespoň 8 bolestivých a</w:t>
      </w:r>
      <w:r w:rsidR="00600B42" w:rsidRPr="00EE3355">
        <w:t xml:space="preserve"> </w:t>
      </w:r>
      <w:r w:rsidRPr="00EE3355">
        <w:t>6 oteklých kloubů na začátku léčby. Ve studii SC-II bylo 656 pacientů randomizováno v poměru 2 : 1 do skupiny s</w:t>
      </w:r>
      <w:r w:rsidR="004177B0">
        <w:t> </w:t>
      </w:r>
      <w:r w:rsidR="004177B0" w:rsidRPr="00C61A9B">
        <w:t>tocilizumab</w:t>
      </w:r>
      <w:r w:rsidR="004177B0">
        <w:t xml:space="preserve">em </w:t>
      </w:r>
      <w:r w:rsidRPr="00EE3355">
        <w:t>v dávce 162 mg podávané subkutánně každý týden nebo do skupiny s placebem v kombinaci s nebiologickými DMARD.</w:t>
      </w:r>
    </w:p>
    <w:p w14:paraId="2B3BE65A" w14:textId="77777777" w:rsidR="00222DE0" w:rsidRPr="00EE3355" w:rsidRDefault="00222DE0" w:rsidP="00EA1CDF">
      <w:pPr>
        <w:pStyle w:val="a3"/>
        <w:widowControl/>
        <w:ind w:left="0"/>
      </w:pPr>
    </w:p>
    <w:p w14:paraId="3400E2F6" w14:textId="4040F256" w:rsidR="00222DE0" w:rsidRPr="00EE3355" w:rsidRDefault="0098273B" w:rsidP="00EA1CDF">
      <w:pPr>
        <w:pStyle w:val="a3"/>
        <w:widowControl/>
        <w:ind w:left="0"/>
      </w:pPr>
      <w:r w:rsidRPr="00EE3355">
        <w:t>Ve studii II u pacientů bez dostatečné odpovědi na léčbu MTX byla inhibice strukturálního poškození kloubů hodnocena radiograficky a vyjádřena změnou oproti výchozí hodnotě celkového Sharpova skóre modifikovaného podle van der Heijdeové (mTSS). V týdnu 24 byla prokázána významně nižší radiografická progrese strukturálního poškození kloubů u pacientů ve skupině s</w:t>
      </w:r>
      <w:r w:rsidR="004177B0">
        <w:t> </w:t>
      </w:r>
      <w:r w:rsidR="004177B0" w:rsidRPr="00C61A9B">
        <w:t>tocilizumab</w:t>
      </w:r>
      <w:r w:rsidR="004177B0">
        <w:t xml:space="preserve">em </w:t>
      </w:r>
      <w:r w:rsidRPr="00EE3355">
        <w:t>podávaným subkutánně v porovnání s placebem (průměrné mTSS 0,62 vs. 1,23;</w:t>
      </w:r>
      <w:r w:rsidR="00600B42" w:rsidRPr="00EE3355">
        <w:t xml:space="preserve"> </w:t>
      </w:r>
      <w:r w:rsidRPr="00EE3355">
        <w:t xml:space="preserve">p = 0,0149 (van Elteren)). Tyto výsledky odpovídají výsledkům pro pacienty léčené </w:t>
      </w:r>
      <w:r w:rsidR="004177B0" w:rsidRPr="00C61A9B">
        <w:t>tocilizumab</w:t>
      </w:r>
      <w:r w:rsidR="004177B0">
        <w:t xml:space="preserve">em </w:t>
      </w:r>
      <w:r w:rsidRPr="00EE3355">
        <w:t>podávaným intravenózně.</w:t>
      </w:r>
    </w:p>
    <w:p w14:paraId="210FD029" w14:textId="77777777" w:rsidR="00600B42" w:rsidRPr="00EE3355" w:rsidRDefault="00600B42" w:rsidP="00EA1CDF">
      <w:pPr>
        <w:pStyle w:val="a3"/>
        <w:widowControl/>
        <w:ind w:left="0"/>
      </w:pPr>
    </w:p>
    <w:p w14:paraId="76B171BC" w14:textId="169D939A" w:rsidR="00222DE0" w:rsidRPr="00EE3355" w:rsidRDefault="0098273B" w:rsidP="00EA1CDF">
      <w:pPr>
        <w:pStyle w:val="a3"/>
        <w:widowControl/>
        <w:ind w:left="0"/>
      </w:pPr>
      <w:r w:rsidRPr="00EE3355">
        <w:lastRenderedPageBreak/>
        <w:t xml:space="preserve">V týdnu 24 ve studii SC-II byly odpovědi pacientů léčených </w:t>
      </w:r>
      <w:r w:rsidR="004177B0" w:rsidRPr="00C61A9B">
        <w:t>tocilizumab</w:t>
      </w:r>
      <w:r w:rsidR="004177B0">
        <w:t xml:space="preserve">em </w:t>
      </w:r>
      <w:r w:rsidRPr="00EE3355">
        <w:t>podávaným subkutánně každý druhý týden ACR 20 60,9 %, ACR 50 39,8 % a ACR 70 19,7 % oproti ACR 20 31,5 %, ACR 50 12,3 % a ACR 70 5,0 % pro placebo. Průměrné hodnoty DAS28 na začátku léčby byly 6,7 v subkutánním rameni a 6,6 v rameni s placebem. V týdnu 24 bylo zjištěno výrazné snížení DAS28 oproti hodnotám na začátku léčby, a to o 3,1 v subkutánním rameni a o 1,7 v</w:t>
      </w:r>
      <w:r w:rsidR="00600B42" w:rsidRPr="00EE3355">
        <w:t> </w:t>
      </w:r>
      <w:r w:rsidRPr="00EE3355">
        <w:t>rameni</w:t>
      </w:r>
      <w:r w:rsidR="00600B42" w:rsidRPr="00EE3355">
        <w:t xml:space="preserve"> </w:t>
      </w:r>
      <w:r w:rsidRPr="00EE3355">
        <w:t>s placebem.</w:t>
      </w:r>
    </w:p>
    <w:p w14:paraId="10652605" w14:textId="77777777" w:rsidR="00222DE0" w:rsidRPr="00EE3355" w:rsidRDefault="00222DE0" w:rsidP="00EA1CDF">
      <w:pPr>
        <w:pStyle w:val="a3"/>
        <w:widowControl/>
        <w:ind w:left="0"/>
      </w:pPr>
    </w:p>
    <w:p w14:paraId="137056E0" w14:textId="77777777" w:rsidR="00222DE0" w:rsidRPr="00EE3355" w:rsidRDefault="0098273B" w:rsidP="00EA1CDF">
      <w:pPr>
        <w:widowControl/>
        <w:rPr>
          <w:i/>
        </w:rPr>
      </w:pPr>
      <w:r w:rsidRPr="00EE3355">
        <w:rPr>
          <w:i/>
        </w:rPr>
        <w:t>Výsledky ve vztahu ke zdraví a kvalitě života</w:t>
      </w:r>
    </w:p>
    <w:p w14:paraId="57C186AC" w14:textId="77777777" w:rsidR="00222DE0" w:rsidRPr="00EE3355" w:rsidRDefault="0098273B" w:rsidP="00EA1CDF">
      <w:pPr>
        <w:pStyle w:val="a3"/>
        <w:widowControl/>
        <w:ind w:left="0"/>
      </w:pPr>
      <w:r w:rsidRPr="00EE3355">
        <w:t>Ve studii SC-I bylo průměrné snížení HAQ-DI 0,6 od začátku léčby až do týdne 24 v obou ramenech,</w:t>
      </w:r>
      <w:r w:rsidR="00600B42" w:rsidRPr="00EE3355">
        <w:t xml:space="preserve"> </w:t>
      </w:r>
      <w:r w:rsidRPr="00EE3355">
        <w:t>subkutánním i intravenózním. Zastoupení pacientů, kteří dosáhli klinicky relevantního zlepšení</w:t>
      </w:r>
      <w:r w:rsidR="00600B42" w:rsidRPr="00EE3355">
        <w:t xml:space="preserve"> </w:t>
      </w:r>
      <w:r w:rsidRPr="00EE3355">
        <w:t>HAQ-DI v týdnu 24 (změna od začátku léčby o ≥ 0,3 jednotek), bylo také srovnatelné v subkutánním rameni (65,2 %) a intravenózním rameni (67,4 %) a vážený rozdíl v zastoupení byl -2,3 % (95% CI 8,1; 3,4). U SF-36 byla průměrná změna od začátku léčby do týdne 24 6,22 v subkutánním rameni a 6,54 v intravenózním rameni a fyzické složky skóre v subkutánním rameni (9,49) a intravenózním rameni (9,65) byly také podobné.</w:t>
      </w:r>
    </w:p>
    <w:p w14:paraId="36585046" w14:textId="77777777" w:rsidR="00222DE0" w:rsidRPr="00EE3355" w:rsidRDefault="00222DE0" w:rsidP="00EA1CDF">
      <w:pPr>
        <w:widowControl/>
      </w:pPr>
    </w:p>
    <w:p w14:paraId="750C5475" w14:textId="4A97724A" w:rsidR="00222DE0" w:rsidRPr="00EE3355" w:rsidRDefault="0098273B" w:rsidP="00EA1CDF">
      <w:pPr>
        <w:pStyle w:val="a3"/>
        <w:widowControl/>
        <w:ind w:left="0"/>
      </w:pPr>
      <w:r w:rsidRPr="00EE3355">
        <w:t xml:space="preserve">Ve studii SC-II bylo průměrné snížení HAQ-DI v týdnu 24 od začátku léčby výrazně vyšší u pacientů léčených </w:t>
      </w:r>
      <w:r w:rsidR="004177B0" w:rsidRPr="00C61A9B">
        <w:t>tocilizumab</w:t>
      </w:r>
      <w:r w:rsidR="004177B0">
        <w:t xml:space="preserve">em </w:t>
      </w:r>
      <w:r w:rsidRPr="00EE3355">
        <w:t>podávaným subkutánně každý druhý týden (0,4) v</w:t>
      </w:r>
      <w:r w:rsidR="00600B42" w:rsidRPr="00EE3355">
        <w:t> </w:t>
      </w:r>
      <w:r w:rsidRPr="00EE3355">
        <w:t>porovnání</w:t>
      </w:r>
      <w:r w:rsidR="00600B42" w:rsidRPr="00EE3355">
        <w:t xml:space="preserve"> </w:t>
      </w:r>
      <w:r w:rsidRPr="00EE3355">
        <w:t>s placebem (0,3). Zastoupení pacientů, kteří dosáhli klinicky relevantního zlepšení HAQ-DI</w:t>
      </w:r>
      <w:r w:rsidR="00600B42" w:rsidRPr="00EE3355">
        <w:t xml:space="preserve"> </w:t>
      </w:r>
      <w:r w:rsidRPr="00EE3355">
        <w:t xml:space="preserve">v týdnu 24 (změna od začátku léčby o ≥ 0,3 jednotek) bylo vyšší u </w:t>
      </w:r>
      <w:r w:rsidR="004177B0" w:rsidRPr="00C61A9B">
        <w:t>tocilizumab</w:t>
      </w:r>
      <w:r w:rsidR="004177B0">
        <w:t xml:space="preserve">u </w:t>
      </w:r>
      <w:r w:rsidRPr="00EE3355">
        <w:t xml:space="preserve">podávaným subkutánně každý druhý týden (58 %) v porovnání s placebem (46,8 %). SF-36 (průměrná změna psychických a fyzických složek skóre) bylo výrazně vyšší u skupiny se subkutánním </w:t>
      </w:r>
      <w:r w:rsidR="004177B0" w:rsidRPr="00C61A9B">
        <w:t>tocilizumab</w:t>
      </w:r>
      <w:r w:rsidR="004177B0">
        <w:t xml:space="preserve">em </w:t>
      </w:r>
      <w:r w:rsidRPr="00EE3355">
        <w:t>(6,5 a 5,3) než u skupiny s placebem (3,8 a 2,9).</w:t>
      </w:r>
    </w:p>
    <w:p w14:paraId="75111432" w14:textId="77777777" w:rsidR="00222DE0" w:rsidRPr="00EE3355" w:rsidRDefault="00222DE0" w:rsidP="00EA1CDF">
      <w:pPr>
        <w:pStyle w:val="a3"/>
        <w:widowControl/>
        <w:ind w:left="0"/>
      </w:pPr>
    </w:p>
    <w:p w14:paraId="2B40C092" w14:textId="77777777" w:rsidR="00222DE0" w:rsidRPr="00EE3355" w:rsidRDefault="0098273B" w:rsidP="00EA1CDF">
      <w:pPr>
        <w:pStyle w:val="a3"/>
        <w:widowControl/>
        <w:ind w:left="0"/>
      </w:pPr>
      <w:r w:rsidRPr="00EE3355">
        <w:rPr>
          <w:u w:val="single"/>
        </w:rPr>
        <w:t>Subkutánní podání</w:t>
      </w:r>
    </w:p>
    <w:p w14:paraId="6E2864FF" w14:textId="77777777" w:rsidR="00222DE0" w:rsidRPr="00EE3355" w:rsidRDefault="0098273B" w:rsidP="00EA1CDF">
      <w:pPr>
        <w:widowControl/>
        <w:rPr>
          <w:b/>
        </w:rPr>
      </w:pPr>
      <w:r w:rsidRPr="00EE3355">
        <w:rPr>
          <w:b/>
          <w:u w:val="single"/>
        </w:rPr>
        <w:t>sJIA</w:t>
      </w:r>
    </w:p>
    <w:p w14:paraId="1EB7812D" w14:textId="77777777" w:rsidR="00222DE0" w:rsidRPr="00EE3355" w:rsidRDefault="0098273B" w:rsidP="00EA1CDF">
      <w:pPr>
        <w:pStyle w:val="a3"/>
        <w:widowControl/>
        <w:ind w:left="0"/>
      </w:pPr>
      <w:r w:rsidRPr="00EE3355">
        <w:rPr>
          <w:u w:val="single"/>
        </w:rPr>
        <w:t>Klinická účinnost</w:t>
      </w:r>
    </w:p>
    <w:p w14:paraId="00E35C9D" w14:textId="2F086DE8" w:rsidR="00222DE0" w:rsidRPr="00EE3355" w:rsidRDefault="0098273B" w:rsidP="00EA1CDF">
      <w:pPr>
        <w:pStyle w:val="a3"/>
        <w:widowControl/>
        <w:ind w:left="0"/>
      </w:pPr>
      <w:r w:rsidRPr="00EE3355">
        <w:t xml:space="preserve">U pediatrických pacientů se sJIA ve věku od 1 do 17 let byla provedena 52týdenní otevřená, multicentrická studie farmakokinetiky, farmakodynamiky a bezpečnosti (WA28118) ke stanovení vhodné subkutánní dávky </w:t>
      </w:r>
      <w:r w:rsidR="004177B0" w:rsidRPr="00C61A9B">
        <w:t>tocilizumab</w:t>
      </w:r>
      <w:r w:rsidR="004177B0">
        <w:t>u</w:t>
      </w:r>
      <w:r w:rsidRPr="00EE3355">
        <w:t>, která by měla srovnatelný farmakokinetický, farmakodynamický a bezpečnostní profil jako intravenózní režim.</w:t>
      </w:r>
    </w:p>
    <w:p w14:paraId="2D64AE88" w14:textId="77777777" w:rsidR="00600B42" w:rsidRPr="00EE3355" w:rsidRDefault="00600B42" w:rsidP="00EA1CDF">
      <w:pPr>
        <w:pStyle w:val="a3"/>
        <w:widowControl/>
        <w:ind w:left="0"/>
      </w:pPr>
    </w:p>
    <w:p w14:paraId="0A88536E" w14:textId="01FF3736" w:rsidR="00222DE0" w:rsidRPr="00EE3355" w:rsidRDefault="0098273B" w:rsidP="00EA1CDF">
      <w:pPr>
        <w:pStyle w:val="a3"/>
        <w:widowControl/>
        <w:ind w:left="0"/>
      </w:pPr>
      <w:r w:rsidRPr="00EE3355">
        <w:t xml:space="preserve">Způsobilí pacienti dostávali po dobu 52 týdnů </w:t>
      </w:r>
      <w:r w:rsidR="004177B0" w:rsidRPr="00C61A9B">
        <w:t>tocilizumab</w:t>
      </w:r>
      <w:r w:rsidR="004177B0">
        <w:t xml:space="preserve"> </w:t>
      </w:r>
      <w:r w:rsidRPr="00EE3355">
        <w:t xml:space="preserve">v dávkách podle tělesné hmotnosti: pacienti s tělesnou hmotností ≥ 30 kg (n = 26) dostávali </w:t>
      </w:r>
      <w:r w:rsidR="004177B0" w:rsidRPr="00C61A9B">
        <w:t>tocilizumab</w:t>
      </w:r>
      <w:r w:rsidR="004177B0">
        <w:t xml:space="preserve"> </w:t>
      </w:r>
      <w:r w:rsidRPr="00EE3355">
        <w:t xml:space="preserve">v dávce </w:t>
      </w:r>
      <w:r w:rsidR="007578BD" w:rsidRPr="00EE3355">
        <w:br/>
      </w:r>
      <w:r w:rsidRPr="00EE3355">
        <w:t xml:space="preserve">162 mg každý týden a pacienti s tělesnou hmotností &lt; 30 kg (n = 25) dostávali </w:t>
      </w:r>
      <w:r w:rsidR="004177B0" w:rsidRPr="00C61A9B">
        <w:t>tocilizumab</w:t>
      </w:r>
      <w:r w:rsidR="004177B0">
        <w:t xml:space="preserve"> </w:t>
      </w:r>
      <w:r w:rsidRPr="00EE3355">
        <w:t>v dávce 162 mg každých 10 dnů (n = 8) nebo každé 2 týdny (n = 17). Celkem 26 (51 %) z</w:t>
      </w:r>
      <w:r w:rsidR="007578BD" w:rsidRPr="00EE3355">
        <w:t> </w:t>
      </w:r>
      <w:r w:rsidRPr="00EE3355">
        <w:t>těchto</w:t>
      </w:r>
      <w:r w:rsidR="007578BD" w:rsidRPr="00EE3355">
        <w:t xml:space="preserve"> </w:t>
      </w:r>
      <w:r w:rsidRPr="00EE3355">
        <w:t xml:space="preserve">51 pacientů dosud </w:t>
      </w:r>
      <w:r w:rsidR="004177B0" w:rsidRPr="00C61A9B">
        <w:t>tocilizumab</w:t>
      </w:r>
      <w:r w:rsidR="004177B0">
        <w:t xml:space="preserve"> </w:t>
      </w:r>
      <w:r w:rsidRPr="00EE3355">
        <w:t>nedostávalo a 25 (49 %) z těchto 51 pacientů dostávalo</w:t>
      </w:r>
      <w:r w:rsidR="007578BD" w:rsidRPr="00EE3355">
        <w:t xml:space="preserve"> </w:t>
      </w:r>
      <w:r w:rsidR="004177B0" w:rsidRPr="00C61A9B">
        <w:t>tocilizumab</w:t>
      </w:r>
      <w:r w:rsidR="004177B0">
        <w:t xml:space="preserve"> </w:t>
      </w:r>
      <w:r w:rsidRPr="00EE3355">
        <w:t>intravenózně a při zahájení studijní léčby bylo převedeno na subkutánní podání.</w:t>
      </w:r>
    </w:p>
    <w:p w14:paraId="2AF54E89" w14:textId="77777777" w:rsidR="00222DE0" w:rsidRPr="00EE3355" w:rsidRDefault="00222DE0" w:rsidP="00EA1CDF">
      <w:pPr>
        <w:pStyle w:val="a3"/>
        <w:widowControl/>
        <w:ind w:left="0"/>
      </w:pPr>
    </w:p>
    <w:p w14:paraId="1FD29601" w14:textId="0E150474" w:rsidR="00222DE0" w:rsidRPr="00EE3355" w:rsidRDefault="0098273B" w:rsidP="00EA1CDF">
      <w:pPr>
        <w:pStyle w:val="a3"/>
        <w:widowControl/>
        <w:ind w:left="0"/>
      </w:pPr>
      <w:r w:rsidRPr="00EE3355">
        <w:t xml:space="preserve">Výsledky průzkumu účinnosti prokázaly, že subkutánně podávaný </w:t>
      </w:r>
      <w:r w:rsidR="004177B0" w:rsidRPr="00C61A9B">
        <w:t>tocilizumab</w:t>
      </w:r>
      <w:r w:rsidR="004177B0">
        <w:t xml:space="preserve"> </w:t>
      </w:r>
      <w:r w:rsidRPr="00EE3355">
        <w:t xml:space="preserve">zlepšil všechny zkoumané parametry účinnosti včetně skóre „Juvenile Arthritis Disease Activity Score“ (JADAS)-71 u pacientů bez předchozí léčby tocilizumabem a zachoval všechny zkoumané parametry účinnosti u pacientů převedených z intravenózně na subkutánně podávaný </w:t>
      </w:r>
      <w:r w:rsidR="00C72D28" w:rsidRPr="00C61A9B">
        <w:t>tocilizumab</w:t>
      </w:r>
      <w:r w:rsidRPr="00EE3355">
        <w:t>, a to během celé studie u pacientů v obou skupinách tělesné hmotnosti (&lt; 30 kg a ≥ 30 kg).</w:t>
      </w:r>
    </w:p>
    <w:p w14:paraId="6CD17758" w14:textId="77777777" w:rsidR="00222DE0" w:rsidRPr="00EE3355" w:rsidRDefault="00222DE0" w:rsidP="00EA1CDF">
      <w:pPr>
        <w:pStyle w:val="a3"/>
        <w:widowControl/>
        <w:ind w:left="0"/>
      </w:pPr>
    </w:p>
    <w:p w14:paraId="3ADC5E65" w14:textId="77777777" w:rsidR="00222DE0" w:rsidRPr="00EE3355" w:rsidRDefault="0098273B" w:rsidP="00B93217">
      <w:pPr>
        <w:pStyle w:val="a3"/>
        <w:keepNext/>
        <w:widowControl/>
        <w:ind w:left="0"/>
      </w:pPr>
      <w:r w:rsidRPr="00EE3355">
        <w:rPr>
          <w:u w:val="single"/>
        </w:rPr>
        <w:t>Subkutánní podání</w:t>
      </w:r>
    </w:p>
    <w:p w14:paraId="331E2ED2" w14:textId="77777777" w:rsidR="00222DE0" w:rsidRPr="00EE3355" w:rsidRDefault="0098273B" w:rsidP="00B93217">
      <w:pPr>
        <w:keepNext/>
        <w:widowControl/>
        <w:rPr>
          <w:b/>
        </w:rPr>
      </w:pPr>
      <w:r w:rsidRPr="00EE3355">
        <w:rPr>
          <w:b/>
          <w:u w:val="single"/>
        </w:rPr>
        <w:t>pJIA</w:t>
      </w:r>
    </w:p>
    <w:p w14:paraId="27F6F7DF" w14:textId="77777777" w:rsidR="00222DE0" w:rsidRPr="00EE3355" w:rsidRDefault="0098273B" w:rsidP="00EA1CDF">
      <w:pPr>
        <w:pStyle w:val="a3"/>
        <w:widowControl/>
        <w:ind w:left="0"/>
      </w:pPr>
      <w:r w:rsidRPr="00EE3355">
        <w:rPr>
          <w:u w:val="single"/>
        </w:rPr>
        <w:t>Klinická účinnost</w:t>
      </w:r>
    </w:p>
    <w:p w14:paraId="488FE7B9" w14:textId="57588259" w:rsidR="00222DE0" w:rsidRPr="00EE3355" w:rsidRDefault="0098273B" w:rsidP="00EA1CDF">
      <w:pPr>
        <w:pStyle w:val="a3"/>
        <w:widowControl/>
        <w:ind w:left="0"/>
      </w:pPr>
      <w:r w:rsidRPr="00EE3355">
        <w:t xml:space="preserve">U pediatrických pacientů s pJIA ve věku od 1 do 17 let byla provedena 52týdenní otevřená, multicentrická studie farmakokinetiky, farmakodynamiky a bezpečnosti ke stanovení vhodné subkutánní dávky </w:t>
      </w:r>
      <w:r w:rsidR="00C72D28" w:rsidRPr="00C61A9B">
        <w:t>tocilizumab</w:t>
      </w:r>
      <w:r w:rsidR="00C72D28">
        <w:t>u</w:t>
      </w:r>
      <w:r w:rsidRPr="00EE3355">
        <w:t>, která měla srovnatelný farmakokinetický, farmakodynamický a bezpečnostní profil jako intravenózní režim.</w:t>
      </w:r>
    </w:p>
    <w:p w14:paraId="53B98982" w14:textId="77777777" w:rsidR="007578BD" w:rsidRPr="00EE3355" w:rsidRDefault="007578BD" w:rsidP="00EA1CDF">
      <w:pPr>
        <w:pStyle w:val="a3"/>
        <w:widowControl/>
        <w:ind w:left="0"/>
      </w:pPr>
    </w:p>
    <w:p w14:paraId="0FDD303F" w14:textId="5EC99FE5" w:rsidR="00222DE0" w:rsidRPr="00EE3355" w:rsidRDefault="0098273B" w:rsidP="00EA1CDF">
      <w:pPr>
        <w:pStyle w:val="a3"/>
        <w:widowControl/>
        <w:ind w:left="0"/>
      </w:pPr>
      <w:r w:rsidRPr="00EE3355">
        <w:t xml:space="preserve">Způsobilí pacienti dostávali po dobu 52 týdnů tocilizumab v dávkách podle tělesné hmotnosti: pacienti s tělesnou hmotností ≥ 30 kg (n = 25) dostávali </w:t>
      </w:r>
      <w:r w:rsidR="00C72D28" w:rsidRPr="00C61A9B">
        <w:t>tocilizumab</w:t>
      </w:r>
      <w:r w:rsidR="00C72D28">
        <w:t xml:space="preserve"> </w:t>
      </w:r>
      <w:r w:rsidRPr="00EE3355">
        <w:t xml:space="preserve">v dávce 162 mg každé 2 týdny a pacienti s tělesnou hmotností &lt; 30 kg (n = 27) dostávali </w:t>
      </w:r>
      <w:r w:rsidR="00C72D28" w:rsidRPr="00C61A9B">
        <w:t>tocilizumab</w:t>
      </w:r>
      <w:r w:rsidR="00C72D28">
        <w:t xml:space="preserve"> </w:t>
      </w:r>
      <w:r w:rsidRPr="00EE3355">
        <w:t xml:space="preserve">v dávce 162 mg každé 3 týdny. Z těchto 52 pacientů dosud </w:t>
      </w:r>
      <w:r w:rsidR="00C72D28" w:rsidRPr="00C61A9B">
        <w:t>tocilizumab</w:t>
      </w:r>
      <w:r w:rsidR="00C72D28">
        <w:t xml:space="preserve"> </w:t>
      </w:r>
      <w:r w:rsidRPr="00EE3355">
        <w:t xml:space="preserve">nedostávalo 37 (71 %) pacientů a 15 (29 %) pacientů dostávalo </w:t>
      </w:r>
      <w:r w:rsidR="00C72D28" w:rsidRPr="00C61A9B">
        <w:t>tocilizumab</w:t>
      </w:r>
      <w:r w:rsidR="00C72D28">
        <w:t xml:space="preserve"> </w:t>
      </w:r>
      <w:r w:rsidRPr="00EE3355">
        <w:t>intravenózně a při zahájení studijní léčby bylo převedeno na subkutánní podání.</w:t>
      </w:r>
    </w:p>
    <w:p w14:paraId="3390A991" w14:textId="77777777" w:rsidR="00222DE0" w:rsidRPr="00EE3355" w:rsidRDefault="00222DE0" w:rsidP="00EA1CDF">
      <w:pPr>
        <w:pStyle w:val="a3"/>
        <w:widowControl/>
        <w:ind w:left="0"/>
      </w:pPr>
    </w:p>
    <w:p w14:paraId="4FC600DB" w14:textId="678209B1" w:rsidR="00222DE0" w:rsidRPr="00EE3355" w:rsidRDefault="0098273B" w:rsidP="00EA1CDF">
      <w:pPr>
        <w:pStyle w:val="a3"/>
        <w:widowControl/>
        <w:ind w:left="0"/>
      </w:pPr>
      <w:r w:rsidRPr="00EE3355">
        <w:t xml:space="preserve">Režimy se subkutánním podáním </w:t>
      </w:r>
      <w:r w:rsidR="00C72D28" w:rsidRPr="00C61A9B">
        <w:t>tocilizumab</w:t>
      </w:r>
      <w:r w:rsidR="00C72D28">
        <w:t xml:space="preserve">u </w:t>
      </w:r>
      <w:r w:rsidRPr="00EE3355">
        <w:t>162 mg každé 3 týdny v případě pacientů</w:t>
      </w:r>
      <w:r w:rsidR="007578BD" w:rsidRPr="00EE3355">
        <w:t xml:space="preserve"> </w:t>
      </w:r>
      <w:r w:rsidRPr="00EE3355">
        <w:t xml:space="preserve">s tělesnou hmotností &lt; 30 kg a 162 mg každé 2 týdny v případě pacientů s tělesnou hmotností ≥ 30 kg zajišťují farmakokinetickou expozici a farmakodynamické odpovědi potvrzující výsledky účinnosti i bezpečnosti obdobné těm, kterých bylo dosaženo u režimů intravenózně podávaného </w:t>
      </w:r>
      <w:r w:rsidR="00C72D28" w:rsidRPr="00C61A9B">
        <w:t>tocilizumab</w:t>
      </w:r>
      <w:r w:rsidR="00C72D28">
        <w:t xml:space="preserve">u </w:t>
      </w:r>
      <w:r w:rsidRPr="00EE3355">
        <w:t>k léčbě pJIA.</w:t>
      </w:r>
    </w:p>
    <w:p w14:paraId="7A1BC1F3" w14:textId="77777777" w:rsidR="007578BD" w:rsidRPr="00EE3355" w:rsidRDefault="007578BD" w:rsidP="00EA1CDF">
      <w:pPr>
        <w:pStyle w:val="a3"/>
        <w:widowControl/>
        <w:ind w:left="0"/>
      </w:pPr>
    </w:p>
    <w:p w14:paraId="15EC72CD" w14:textId="1E10DCB7" w:rsidR="00222DE0" w:rsidRPr="00EE3355" w:rsidRDefault="0098273B" w:rsidP="00EA1CDF">
      <w:pPr>
        <w:pStyle w:val="a3"/>
        <w:widowControl/>
        <w:ind w:left="0"/>
      </w:pPr>
      <w:r w:rsidRPr="00EE3355">
        <w:t xml:space="preserve">Výsledky průzkumu účinnosti prokázaly, že subkutánně podávaný </w:t>
      </w:r>
      <w:r w:rsidR="00C72D28" w:rsidRPr="00C61A9B">
        <w:t>tocilizumab</w:t>
      </w:r>
      <w:r w:rsidR="00C72D28">
        <w:t xml:space="preserve"> </w:t>
      </w:r>
      <w:r w:rsidRPr="00EE3355">
        <w:t xml:space="preserve">zlepšil medián skóre „Juvenile Arthritis Disease Activity Score“ (JADAS)-71 u pacientů bez předchozí léčby </w:t>
      </w:r>
      <w:r w:rsidR="00C72D28" w:rsidRPr="00C61A9B">
        <w:t>tocilizumab</w:t>
      </w:r>
      <w:r w:rsidR="00C72D28">
        <w:t xml:space="preserve">em </w:t>
      </w:r>
      <w:r w:rsidRPr="00EE3355">
        <w:t xml:space="preserve">a zachoval medián JADAS-71 u pacientů převedených z intravenózně na subkutánně podávaný </w:t>
      </w:r>
      <w:r w:rsidR="00C72D28" w:rsidRPr="00C61A9B">
        <w:t>tocilizumab</w:t>
      </w:r>
      <w:r w:rsidRPr="00EE3355">
        <w:t>, a to během celé studie u pacientů v obou skupinách tělesné hmotnosti (&lt; 30 kg a ≥ 30 kg).</w:t>
      </w:r>
    </w:p>
    <w:p w14:paraId="2AFCEF20" w14:textId="77777777" w:rsidR="00222DE0" w:rsidRPr="00EE3355" w:rsidRDefault="00222DE0" w:rsidP="00EA1CDF">
      <w:pPr>
        <w:widowControl/>
      </w:pPr>
    </w:p>
    <w:p w14:paraId="446E717F" w14:textId="77777777" w:rsidR="00222DE0" w:rsidRPr="00EE3355" w:rsidRDefault="0098273B" w:rsidP="00EA1CDF">
      <w:pPr>
        <w:pStyle w:val="a3"/>
        <w:widowControl/>
        <w:ind w:left="0"/>
        <w:jc w:val="both"/>
      </w:pPr>
      <w:r w:rsidRPr="00EE3355">
        <w:rPr>
          <w:u w:val="single"/>
        </w:rPr>
        <w:t>Subkutánní podání</w:t>
      </w:r>
    </w:p>
    <w:p w14:paraId="5C04EAEE" w14:textId="77777777" w:rsidR="00222DE0" w:rsidRPr="00EE3355" w:rsidRDefault="0098273B" w:rsidP="00EA1CDF">
      <w:pPr>
        <w:widowControl/>
        <w:rPr>
          <w:b/>
        </w:rPr>
      </w:pPr>
      <w:r w:rsidRPr="00EE3355">
        <w:rPr>
          <w:b/>
          <w:u w:val="single"/>
        </w:rPr>
        <w:t>GCA</w:t>
      </w:r>
    </w:p>
    <w:p w14:paraId="43B5857A" w14:textId="77777777" w:rsidR="00222DE0" w:rsidRPr="00EE3355" w:rsidRDefault="0098273B" w:rsidP="00EA1CDF">
      <w:pPr>
        <w:pStyle w:val="a3"/>
        <w:widowControl/>
        <w:ind w:left="0"/>
        <w:jc w:val="both"/>
      </w:pPr>
      <w:r w:rsidRPr="00EE3355">
        <w:rPr>
          <w:u w:val="single"/>
        </w:rPr>
        <w:t>Klinická účinnost</w:t>
      </w:r>
    </w:p>
    <w:p w14:paraId="25CE6B12" w14:textId="07F0140D" w:rsidR="00222DE0" w:rsidRPr="00EE3355" w:rsidRDefault="0098273B" w:rsidP="00EA1CDF">
      <w:pPr>
        <w:pStyle w:val="a3"/>
        <w:widowControl/>
        <w:ind w:left="0"/>
        <w:jc w:val="both"/>
      </w:pPr>
      <w:r w:rsidRPr="00EE3355">
        <w:t xml:space="preserve">Studie WA28119 byla randomizovaná, multicentrická, dvojitě zaslepená, placebem kontrolovaná studie superiority fáze III, která hodnotila účinnost a bezpečnost </w:t>
      </w:r>
      <w:r w:rsidR="00C72D28" w:rsidRPr="00C61A9B">
        <w:t>tocilizumab</w:t>
      </w:r>
      <w:r w:rsidR="00C72D28">
        <w:t xml:space="preserve">u </w:t>
      </w:r>
      <w:r w:rsidRPr="00EE3355">
        <w:t>u pacientů s GCA.</w:t>
      </w:r>
    </w:p>
    <w:p w14:paraId="7AEE4B88" w14:textId="77777777" w:rsidR="007578BD" w:rsidRPr="00EE3355" w:rsidRDefault="007578BD" w:rsidP="00EA1CDF">
      <w:pPr>
        <w:pStyle w:val="a3"/>
        <w:widowControl/>
        <w:ind w:left="0"/>
        <w:jc w:val="both"/>
      </w:pPr>
    </w:p>
    <w:p w14:paraId="22D490E0" w14:textId="4255B549" w:rsidR="00222DE0" w:rsidRPr="00EE3355" w:rsidRDefault="0098273B" w:rsidP="00EA1CDF">
      <w:pPr>
        <w:pStyle w:val="a3"/>
        <w:widowControl/>
        <w:ind w:left="0"/>
      </w:pPr>
      <w:r w:rsidRPr="00EE3355">
        <w:t xml:space="preserve">Do studie bylo zařazeno 251 pacientů s novou nebo relabující GCA, kteří byli vždy zařazeni do jednoho ze čtyř léčebných ramen. Studie se skládala z 52týdenního zaslepeného období (část 1) a následujícího 104týdenního otevřeného prodlužovacího období (část 2). Část 2 měla za účel popsat dlouhodobou bezpečnost a udržení účinnosti po 52týdenní léčbě </w:t>
      </w:r>
      <w:r w:rsidR="00C72D28" w:rsidRPr="00C61A9B">
        <w:t>tocilizumab</w:t>
      </w:r>
      <w:r w:rsidR="00C72D28">
        <w:t>em</w:t>
      </w:r>
      <w:r w:rsidRPr="00EE3355">
        <w:t xml:space="preserve">, prozkoumat výskyt relapsu a potřebu </w:t>
      </w:r>
      <w:r w:rsidR="00C72D28" w:rsidRPr="00C61A9B">
        <w:t>tocilizumab</w:t>
      </w:r>
      <w:r w:rsidR="00C72D28">
        <w:t xml:space="preserve">u </w:t>
      </w:r>
      <w:r w:rsidRPr="00EE3355">
        <w:t xml:space="preserve">po 52 týdnech a získat informace o možném dlouhodobém steroidy šetřícím účinku </w:t>
      </w:r>
      <w:r w:rsidR="00C72D28" w:rsidRPr="00C61A9B">
        <w:t>tocilizumab</w:t>
      </w:r>
      <w:r w:rsidR="00C72D28">
        <w:t>u</w:t>
      </w:r>
      <w:r w:rsidRPr="00EE3355">
        <w:t>.</w:t>
      </w:r>
    </w:p>
    <w:p w14:paraId="4FC6AD94" w14:textId="77777777" w:rsidR="00222DE0" w:rsidRPr="00EE3355" w:rsidRDefault="00222DE0" w:rsidP="00EA1CDF">
      <w:pPr>
        <w:pStyle w:val="a3"/>
        <w:widowControl/>
        <w:ind w:left="0"/>
      </w:pPr>
    </w:p>
    <w:p w14:paraId="13FDD631" w14:textId="6D188091" w:rsidR="00222DE0" w:rsidRPr="00EE3355" w:rsidRDefault="0098273B" w:rsidP="00EA1CDF">
      <w:pPr>
        <w:pStyle w:val="a3"/>
        <w:widowControl/>
        <w:ind w:left="0" w:right="143"/>
      </w:pPr>
      <w:r w:rsidRPr="00EE3355">
        <w:t xml:space="preserve">Porovnávaly se dvě dávky </w:t>
      </w:r>
      <w:r w:rsidR="00C72D28" w:rsidRPr="00C61A9B">
        <w:t>tocilizumab</w:t>
      </w:r>
      <w:r w:rsidR="00C72D28">
        <w:t xml:space="preserve">u </w:t>
      </w:r>
      <w:r w:rsidRPr="00EE3355">
        <w:t>podávaného subkutánně (162 mg jednou týdně a</w:t>
      </w:r>
      <w:r w:rsidR="007578BD" w:rsidRPr="00EE3355">
        <w:t xml:space="preserve"> </w:t>
      </w:r>
      <w:r w:rsidRPr="00EE3355">
        <w:t>162 mg každé dva týdny) a dvě různé kontrolní skupiny s placebem randomizované v poměru</w:t>
      </w:r>
    </w:p>
    <w:p w14:paraId="0C0EDDF6" w14:textId="77777777" w:rsidR="00222DE0" w:rsidRPr="00EE3355" w:rsidRDefault="0098273B" w:rsidP="00EA1CDF">
      <w:pPr>
        <w:pStyle w:val="a3"/>
        <w:widowControl/>
        <w:ind w:left="0"/>
      </w:pPr>
      <w:r w:rsidRPr="00EE3355">
        <w:t>2 : 1 : 1 : 1.</w:t>
      </w:r>
    </w:p>
    <w:p w14:paraId="3165D6C6" w14:textId="77777777" w:rsidR="00222DE0" w:rsidRPr="00EE3355" w:rsidRDefault="00222DE0" w:rsidP="00EA1CDF">
      <w:pPr>
        <w:pStyle w:val="a3"/>
        <w:widowControl/>
        <w:ind w:left="0"/>
      </w:pPr>
    </w:p>
    <w:p w14:paraId="2AED2A72" w14:textId="5B055400" w:rsidR="00222DE0" w:rsidRPr="00EE3355" w:rsidRDefault="0098273B" w:rsidP="00EA1CDF">
      <w:pPr>
        <w:pStyle w:val="a3"/>
        <w:widowControl/>
        <w:ind w:left="0"/>
      </w:pPr>
      <w:r w:rsidRPr="00EE3355">
        <w:t>Všem pacientům byla poskytnuta základní léčba glukokortikoidem (prednisonem). Obě skupiny s</w:t>
      </w:r>
      <w:r w:rsidR="00C72D28">
        <w:t> </w:t>
      </w:r>
      <w:r w:rsidR="00C72D28" w:rsidRPr="00C61A9B">
        <w:t>tocilizumab</w:t>
      </w:r>
      <w:r w:rsidR="00C72D28">
        <w:t xml:space="preserve">em </w:t>
      </w:r>
      <w:r w:rsidRPr="00EE3355">
        <w:t>a jedna skupina s placebem absolvovaly předem stanovený režim postupného vysazení prednisonu během 26 týdnů, zatímco druhá skupina s placebem absolvovala předem stanovený režim postupného vysazení prednisonu během 52 týdnů, aby se více přiblížila standardní praxi.</w:t>
      </w:r>
    </w:p>
    <w:p w14:paraId="678219F3" w14:textId="77777777" w:rsidR="007578BD" w:rsidRPr="00EE3355" w:rsidRDefault="007578BD" w:rsidP="00EA1CDF">
      <w:pPr>
        <w:pStyle w:val="a3"/>
        <w:widowControl/>
        <w:ind w:left="0"/>
      </w:pPr>
    </w:p>
    <w:p w14:paraId="052A6482" w14:textId="45078721" w:rsidR="00222DE0" w:rsidRPr="00EE3355" w:rsidRDefault="0098273B" w:rsidP="00EA1CDF">
      <w:pPr>
        <w:pStyle w:val="a3"/>
        <w:widowControl/>
        <w:ind w:left="0"/>
      </w:pPr>
      <w:r w:rsidRPr="00EE3355">
        <w:t xml:space="preserve">Délka léčby glukokortikoidy během vstupních vyšetření a před zahájením léčby </w:t>
      </w:r>
      <w:r w:rsidR="00C72D28" w:rsidRPr="00C61A9B">
        <w:t>tocilizumab</w:t>
      </w:r>
      <w:r w:rsidR="00C72D28">
        <w:t xml:space="preserve">em </w:t>
      </w:r>
      <w:r w:rsidRPr="00EE3355">
        <w:t>(nebo podávání placeba) byla podobná ve všech 4 léčebných skupinách (viz tabulka 3).</w:t>
      </w:r>
    </w:p>
    <w:p w14:paraId="465E91EA" w14:textId="77777777" w:rsidR="00222DE0" w:rsidRPr="00EE3355" w:rsidRDefault="00222DE0" w:rsidP="00EA1CDF">
      <w:pPr>
        <w:pStyle w:val="a3"/>
        <w:widowControl/>
        <w:ind w:left="0"/>
      </w:pPr>
    </w:p>
    <w:p w14:paraId="35108ACF" w14:textId="77777777" w:rsidR="00222DE0" w:rsidRPr="00EE3355" w:rsidRDefault="0098273B" w:rsidP="00B93217">
      <w:pPr>
        <w:keepNext/>
        <w:widowControl/>
        <w:ind w:left="1418" w:hanging="1418"/>
        <w:rPr>
          <w:i/>
        </w:rPr>
      </w:pPr>
      <w:r w:rsidRPr="00EE3355">
        <w:rPr>
          <w:i/>
        </w:rPr>
        <w:t>Tabulka 3.</w:t>
      </w:r>
      <w:r w:rsidR="007578BD" w:rsidRPr="00EE3355">
        <w:rPr>
          <w:i/>
        </w:rPr>
        <w:tab/>
      </w:r>
      <w:r w:rsidRPr="00EE3355">
        <w:rPr>
          <w:i/>
        </w:rPr>
        <w:t>Délka léčby kortikosteroidy během vstupního období ve studii WA28119</w:t>
      </w:r>
    </w:p>
    <w:p w14:paraId="56AA0801" w14:textId="77777777" w:rsidR="00222DE0" w:rsidRPr="00EE3355" w:rsidRDefault="00222DE0" w:rsidP="00B93217">
      <w:pPr>
        <w:pStyle w:val="a3"/>
        <w:keepNext/>
        <w:widowControl/>
        <w:ind w:left="0"/>
        <w:rPr>
          <w:i/>
          <w:sz w:val="20"/>
        </w:rPr>
      </w:pPr>
    </w:p>
    <w:tbl>
      <w:tblPr>
        <w:tblW w:w="879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792"/>
        <w:gridCol w:w="1652"/>
        <w:gridCol w:w="1736"/>
        <w:gridCol w:w="1763"/>
        <w:gridCol w:w="1848"/>
      </w:tblGrid>
      <w:tr w:rsidR="00222DE0" w:rsidRPr="00EE3355" w14:paraId="47529BDE" w14:textId="77777777" w:rsidTr="001B021A">
        <w:trPr>
          <w:cantSplit/>
          <w:trHeight w:val="20"/>
          <w:tblHeader/>
        </w:trPr>
        <w:tc>
          <w:tcPr>
            <w:tcW w:w="1792" w:type="dxa"/>
          </w:tcPr>
          <w:p w14:paraId="54020247" w14:textId="77777777" w:rsidR="00222DE0" w:rsidRPr="00EE3355" w:rsidRDefault="00222DE0" w:rsidP="00EA1CDF">
            <w:pPr>
              <w:pStyle w:val="TableParagraph"/>
              <w:widowControl/>
            </w:pPr>
          </w:p>
        </w:tc>
        <w:tc>
          <w:tcPr>
            <w:tcW w:w="1652" w:type="dxa"/>
          </w:tcPr>
          <w:p w14:paraId="6C1E378E" w14:textId="77777777" w:rsidR="00222DE0" w:rsidRPr="00EE3355" w:rsidRDefault="0098273B" w:rsidP="00EA1CDF">
            <w:pPr>
              <w:pStyle w:val="TableParagraph"/>
              <w:widowControl/>
              <w:jc w:val="center"/>
              <w:rPr>
                <w:b/>
              </w:rPr>
            </w:pPr>
            <w:r w:rsidRPr="00EE3355">
              <w:rPr>
                <w:b/>
              </w:rPr>
              <w:t>Placebo + 26 týdnů postupně vysazovaný prednison</w:t>
            </w:r>
          </w:p>
          <w:p w14:paraId="5E4633A7" w14:textId="77777777" w:rsidR="00222DE0" w:rsidRPr="00EE3355" w:rsidRDefault="0098273B" w:rsidP="00EA1CDF">
            <w:pPr>
              <w:pStyle w:val="TableParagraph"/>
              <w:widowControl/>
              <w:jc w:val="center"/>
              <w:rPr>
                <w:b/>
              </w:rPr>
            </w:pPr>
            <w:r w:rsidRPr="00EE3355">
              <w:rPr>
                <w:b/>
              </w:rPr>
              <w:t>n = 50</w:t>
            </w:r>
          </w:p>
        </w:tc>
        <w:tc>
          <w:tcPr>
            <w:tcW w:w="1736" w:type="dxa"/>
          </w:tcPr>
          <w:p w14:paraId="46386B41" w14:textId="77777777" w:rsidR="00222DE0" w:rsidRPr="00EE3355" w:rsidRDefault="0098273B" w:rsidP="00EA1CDF">
            <w:pPr>
              <w:pStyle w:val="TableParagraph"/>
              <w:widowControl/>
              <w:jc w:val="center"/>
              <w:rPr>
                <w:i/>
              </w:rPr>
            </w:pPr>
            <w:r w:rsidRPr="00EE3355">
              <w:rPr>
                <w:b/>
              </w:rPr>
              <w:t>Placebo + 52 týdnů postupně vysazovaný prednison</w:t>
            </w:r>
          </w:p>
          <w:p w14:paraId="7D77716E" w14:textId="77777777" w:rsidR="00222DE0" w:rsidRPr="00EE3355" w:rsidRDefault="0098273B" w:rsidP="00EA1CDF">
            <w:pPr>
              <w:pStyle w:val="TableParagraph"/>
              <w:widowControl/>
              <w:jc w:val="center"/>
              <w:rPr>
                <w:b/>
              </w:rPr>
            </w:pPr>
            <w:r w:rsidRPr="00EE3355">
              <w:rPr>
                <w:b/>
              </w:rPr>
              <w:t>n = 51</w:t>
            </w:r>
          </w:p>
        </w:tc>
        <w:tc>
          <w:tcPr>
            <w:tcW w:w="1763" w:type="dxa"/>
          </w:tcPr>
          <w:p w14:paraId="6A477A7A" w14:textId="4CD7DCAC" w:rsidR="00222DE0" w:rsidRPr="00EE3355" w:rsidRDefault="00C72D28" w:rsidP="00EA1CDF">
            <w:pPr>
              <w:pStyle w:val="TableParagraph"/>
              <w:widowControl/>
              <w:jc w:val="center"/>
              <w:rPr>
                <w:i/>
              </w:rPr>
            </w:pPr>
            <w:r w:rsidRPr="00C61A9B">
              <w:rPr>
                <w:b/>
                <w:bCs/>
              </w:rPr>
              <w:t>Tocilizumab</w:t>
            </w:r>
            <w:r w:rsidR="0098273B" w:rsidRPr="00EE3355">
              <w:rPr>
                <w:b/>
              </w:rPr>
              <w:t xml:space="preserve"> 162 mg s.c. 1 x týdně + 26 týdnů postupně vysazovaný prednison</w:t>
            </w:r>
          </w:p>
          <w:p w14:paraId="53327B5A" w14:textId="77777777" w:rsidR="00222DE0" w:rsidRPr="00EE3355" w:rsidRDefault="0098273B" w:rsidP="00EA1CDF">
            <w:pPr>
              <w:pStyle w:val="TableParagraph"/>
              <w:widowControl/>
              <w:jc w:val="center"/>
              <w:rPr>
                <w:b/>
              </w:rPr>
            </w:pPr>
            <w:r w:rsidRPr="00EE3355">
              <w:rPr>
                <w:b/>
              </w:rPr>
              <w:t>n = 100</w:t>
            </w:r>
          </w:p>
        </w:tc>
        <w:tc>
          <w:tcPr>
            <w:tcW w:w="1848" w:type="dxa"/>
          </w:tcPr>
          <w:p w14:paraId="52B30E26" w14:textId="10398A9A" w:rsidR="002265A0" w:rsidRDefault="00C72D28" w:rsidP="002265A0">
            <w:pPr>
              <w:pStyle w:val="TableParagraph"/>
              <w:widowControl/>
              <w:jc w:val="center"/>
              <w:rPr>
                <w:b/>
              </w:rPr>
            </w:pPr>
            <w:r w:rsidRPr="00C61A9B">
              <w:rPr>
                <w:b/>
                <w:bCs/>
              </w:rPr>
              <w:t>Tocilizumab</w:t>
            </w:r>
            <w:r w:rsidR="0098273B" w:rsidRPr="00EE3355">
              <w:rPr>
                <w:b/>
              </w:rPr>
              <w:t xml:space="preserve"> 162 mg s.c. každé</w:t>
            </w:r>
            <w:r w:rsidR="009018A3" w:rsidRPr="00EE3355">
              <w:rPr>
                <w:b/>
              </w:rPr>
              <w:t xml:space="preserve"> </w:t>
            </w:r>
            <w:r w:rsidR="0098273B" w:rsidRPr="00EE3355">
              <w:rPr>
                <w:b/>
              </w:rPr>
              <w:t>2 týdny +</w:t>
            </w:r>
            <w:r w:rsidR="009018A3" w:rsidRPr="00EE3355">
              <w:rPr>
                <w:b/>
              </w:rPr>
              <w:t xml:space="preserve"> </w:t>
            </w:r>
            <w:r w:rsidR="0098273B" w:rsidRPr="00EE3355">
              <w:rPr>
                <w:b/>
              </w:rPr>
              <w:t>26 týdnů postupně vysazovaný prednisone</w:t>
            </w:r>
            <w:r w:rsidR="00D61EF2" w:rsidRPr="00EE3355">
              <w:rPr>
                <w:b/>
              </w:rPr>
              <w:t xml:space="preserve"> </w:t>
            </w:r>
          </w:p>
          <w:p w14:paraId="3A32BB92" w14:textId="77777777" w:rsidR="00222DE0" w:rsidRPr="00EE3355" w:rsidRDefault="0098273B" w:rsidP="002265A0">
            <w:pPr>
              <w:pStyle w:val="TableParagraph"/>
              <w:widowControl/>
              <w:jc w:val="center"/>
              <w:rPr>
                <w:b/>
              </w:rPr>
            </w:pPr>
            <w:r w:rsidRPr="00EE3355">
              <w:rPr>
                <w:b/>
              </w:rPr>
              <w:t>n = 49</w:t>
            </w:r>
          </w:p>
        </w:tc>
      </w:tr>
      <w:tr w:rsidR="00222DE0" w:rsidRPr="00EE3355" w14:paraId="7396B1FA" w14:textId="77777777" w:rsidTr="001B021A">
        <w:trPr>
          <w:cantSplit/>
          <w:trHeight w:val="20"/>
        </w:trPr>
        <w:tc>
          <w:tcPr>
            <w:tcW w:w="8791" w:type="dxa"/>
            <w:gridSpan w:val="5"/>
          </w:tcPr>
          <w:p w14:paraId="47326698" w14:textId="77777777" w:rsidR="00222DE0" w:rsidRPr="00EE3355" w:rsidRDefault="0098273B" w:rsidP="00EA1CDF">
            <w:pPr>
              <w:pStyle w:val="TableParagraph"/>
              <w:widowControl/>
              <w:rPr>
                <w:b/>
              </w:rPr>
            </w:pPr>
            <w:r w:rsidRPr="00EE3355">
              <w:rPr>
                <w:b/>
              </w:rPr>
              <w:t>Délka trvání (dny)</w:t>
            </w:r>
          </w:p>
        </w:tc>
      </w:tr>
      <w:tr w:rsidR="00222DE0" w:rsidRPr="00EE3355" w14:paraId="14A7BE4F" w14:textId="77777777" w:rsidTr="001B021A">
        <w:trPr>
          <w:cantSplit/>
          <w:trHeight w:val="20"/>
        </w:trPr>
        <w:tc>
          <w:tcPr>
            <w:tcW w:w="1792" w:type="dxa"/>
          </w:tcPr>
          <w:p w14:paraId="7736BF13" w14:textId="77777777" w:rsidR="00222DE0" w:rsidRPr="00EE3355" w:rsidRDefault="0098273B" w:rsidP="002265A0">
            <w:pPr>
              <w:pStyle w:val="TableParagraph"/>
              <w:widowControl/>
              <w:ind w:left="170"/>
            </w:pPr>
            <w:r w:rsidRPr="00EE3355">
              <w:t>Průměr (SD)</w:t>
            </w:r>
          </w:p>
        </w:tc>
        <w:tc>
          <w:tcPr>
            <w:tcW w:w="1652" w:type="dxa"/>
          </w:tcPr>
          <w:p w14:paraId="0A4D3477" w14:textId="77777777" w:rsidR="00222DE0" w:rsidRPr="00EE3355" w:rsidRDefault="0098273B" w:rsidP="00EA1CDF">
            <w:pPr>
              <w:pStyle w:val="TableParagraph"/>
              <w:widowControl/>
              <w:jc w:val="center"/>
            </w:pPr>
            <w:r w:rsidRPr="00EE3355">
              <w:t>35,7 (11,5)</w:t>
            </w:r>
          </w:p>
        </w:tc>
        <w:tc>
          <w:tcPr>
            <w:tcW w:w="1736" w:type="dxa"/>
          </w:tcPr>
          <w:p w14:paraId="4EE276BF" w14:textId="77777777" w:rsidR="00222DE0" w:rsidRPr="00EE3355" w:rsidRDefault="0098273B" w:rsidP="00EA1CDF">
            <w:pPr>
              <w:pStyle w:val="TableParagraph"/>
              <w:widowControl/>
              <w:jc w:val="center"/>
            </w:pPr>
            <w:r w:rsidRPr="00EE3355">
              <w:t>36,3 (12,5)</w:t>
            </w:r>
          </w:p>
        </w:tc>
        <w:tc>
          <w:tcPr>
            <w:tcW w:w="1763" w:type="dxa"/>
          </w:tcPr>
          <w:p w14:paraId="60F25C18" w14:textId="77777777" w:rsidR="00222DE0" w:rsidRPr="00EE3355" w:rsidRDefault="0098273B" w:rsidP="00EA1CDF">
            <w:pPr>
              <w:pStyle w:val="TableParagraph"/>
              <w:widowControl/>
              <w:jc w:val="center"/>
            </w:pPr>
            <w:r w:rsidRPr="00EE3355">
              <w:t>35,6 (13,2)</w:t>
            </w:r>
          </w:p>
        </w:tc>
        <w:tc>
          <w:tcPr>
            <w:tcW w:w="1848" w:type="dxa"/>
          </w:tcPr>
          <w:p w14:paraId="4CC3F556" w14:textId="77777777" w:rsidR="00222DE0" w:rsidRPr="00EE3355" w:rsidRDefault="0098273B" w:rsidP="00EA1CDF">
            <w:pPr>
              <w:pStyle w:val="TableParagraph"/>
              <w:widowControl/>
              <w:jc w:val="center"/>
            </w:pPr>
            <w:r w:rsidRPr="00EE3355">
              <w:t>37,4 (14,4)</w:t>
            </w:r>
          </w:p>
        </w:tc>
      </w:tr>
      <w:tr w:rsidR="00222DE0" w:rsidRPr="00EE3355" w14:paraId="2740C511" w14:textId="77777777" w:rsidTr="001B021A">
        <w:trPr>
          <w:cantSplit/>
          <w:trHeight w:val="20"/>
        </w:trPr>
        <w:tc>
          <w:tcPr>
            <w:tcW w:w="1792" w:type="dxa"/>
          </w:tcPr>
          <w:p w14:paraId="023C9CEB" w14:textId="77777777" w:rsidR="00222DE0" w:rsidRPr="00EE3355" w:rsidRDefault="0098273B" w:rsidP="002265A0">
            <w:pPr>
              <w:pStyle w:val="TableParagraph"/>
              <w:widowControl/>
              <w:ind w:left="170"/>
            </w:pPr>
            <w:r w:rsidRPr="00EE3355">
              <w:t>Medián</w:t>
            </w:r>
          </w:p>
        </w:tc>
        <w:tc>
          <w:tcPr>
            <w:tcW w:w="1652" w:type="dxa"/>
          </w:tcPr>
          <w:p w14:paraId="6A5C8A08" w14:textId="77777777" w:rsidR="00222DE0" w:rsidRPr="00EE3355" w:rsidRDefault="0098273B" w:rsidP="00EA1CDF">
            <w:pPr>
              <w:pStyle w:val="TableParagraph"/>
              <w:widowControl/>
              <w:jc w:val="center"/>
            </w:pPr>
            <w:r w:rsidRPr="00EE3355">
              <w:t>42,0</w:t>
            </w:r>
          </w:p>
        </w:tc>
        <w:tc>
          <w:tcPr>
            <w:tcW w:w="1736" w:type="dxa"/>
          </w:tcPr>
          <w:p w14:paraId="7B284A9E" w14:textId="77777777" w:rsidR="00222DE0" w:rsidRPr="00EE3355" w:rsidRDefault="0098273B" w:rsidP="00EA1CDF">
            <w:pPr>
              <w:pStyle w:val="TableParagraph"/>
              <w:widowControl/>
              <w:jc w:val="center"/>
            </w:pPr>
            <w:r w:rsidRPr="00EE3355">
              <w:t>41,0</w:t>
            </w:r>
          </w:p>
        </w:tc>
        <w:tc>
          <w:tcPr>
            <w:tcW w:w="1763" w:type="dxa"/>
          </w:tcPr>
          <w:p w14:paraId="53C38DF4" w14:textId="77777777" w:rsidR="00222DE0" w:rsidRPr="00EE3355" w:rsidRDefault="0098273B" w:rsidP="00EA1CDF">
            <w:pPr>
              <w:pStyle w:val="TableParagraph"/>
              <w:widowControl/>
              <w:jc w:val="center"/>
            </w:pPr>
            <w:r w:rsidRPr="00EE3355">
              <w:t>41,0</w:t>
            </w:r>
          </w:p>
        </w:tc>
        <w:tc>
          <w:tcPr>
            <w:tcW w:w="1848" w:type="dxa"/>
          </w:tcPr>
          <w:p w14:paraId="10299B8A" w14:textId="77777777" w:rsidR="00222DE0" w:rsidRPr="00EE3355" w:rsidRDefault="0098273B" w:rsidP="00EA1CDF">
            <w:pPr>
              <w:pStyle w:val="TableParagraph"/>
              <w:widowControl/>
              <w:jc w:val="center"/>
            </w:pPr>
            <w:r w:rsidRPr="00EE3355">
              <w:t>42,0</w:t>
            </w:r>
          </w:p>
        </w:tc>
      </w:tr>
      <w:tr w:rsidR="00222DE0" w:rsidRPr="00EE3355" w14:paraId="6968920D" w14:textId="77777777" w:rsidTr="001B021A">
        <w:trPr>
          <w:cantSplit/>
          <w:trHeight w:val="20"/>
        </w:trPr>
        <w:tc>
          <w:tcPr>
            <w:tcW w:w="1792" w:type="dxa"/>
          </w:tcPr>
          <w:p w14:paraId="7AD4DF09" w14:textId="77777777" w:rsidR="00222DE0" w:rsidRPr="00EE3355" w:rsidRDefault="0098273B" w:rsidP="002265A0">
            <w:pPr>
              <w:pStyle w:val="TableParagraph"/>
              <w:widowControl/>
              <w:ind w:left="170"/>
            </w:pPr>
            <w:r w:rsidRPr="00EE3355">
              <w:t>Min - max</w:t>
            </w:r>
          </w:p>
        </w:tc>
        <w:tc>
          <w:tcPr>
            <w:tcW w:w="1652" w:type="dxa"/>
          </w:tcPr>
          <w:p w14:paraId="537D4F82" w14:textId="77777777" w:rsidR="00222DE0" w:rsidRPr="00EE3355" w:rsidRDefault="0098273B" w:rsidP="00EA1CDF">
            <w:pPr>
              <w:pStyle w:val="TableParagraph"/>
              <w:widowControl/>
              <w:jc w:val="center"/>
            </w:pPr>
            <w:r w:rsidRPr="00EE3355">
              <w:t>6 - 63</w:t>
            </w:r>
          </w:p>
        </w:tc>
        <w:tc>
          <w:tcPr>
            <w:tcW w:w="1736" w:type="dxa"/>
          </w:tcPr>
          <w:p w14:paraId="09601628" w14:textId="77777777" w:rsidR="00222DE0" w:rsidRPr="00EE3355" w:rsidRDefault="0098273B" w:rsidP="00EA1CDF">
            <w:pPr>
              <w:pStyle w:val="TableParagraph"/>
              <w:widowControl/>
              <w:jc w:val="center"/>
            </w:pPr>
            <w:r w:rsidRPr="00EE3355">
              <w:t>12 - 82</w:t>
            </w:r>
          </w:p>
        </w:tc>
        <w:tc>
          <w:tcPr>
            <w:tcW w:w="1763" w:type="dxa"/>
          </w:tcPr>
          <w:p w14:paraId="463EAD89" w14:textId="77777777" w:rsidR="00222DE0" w:rsidRPr="00EE3355" w:rsidRDefault="0098273B" w:rsidP="00EA1CDF">
            <w:pPr>
              <w:pStyle w:val="TableParagraph"/>
              <w:widowControl/>
              <w:jc w:val="center"/>
            </w:pPr>
            <w:r w:rsidRPr="00EE3355">
              <w:t>1 - 87</w:t>
            </w:r>
          </w:p>
        </w:tc>
        <w:tc>
          <w:tcPr>
            <w:tcW w:w="1848" w:type="dxa"/>
          </w:tcPr>
          <w:p w14:paraId="6D9432AA" w14:textId="77777777" w:rsidR="00222DE0" w:rsidRPr="00EE3355" w:rsidRDefault="0098273B" w:rsidP="00EA1CDF">
            <w:pPr>
              <w:pStyle w:val="TableParagraph"/>
              <w:widowControl/>
              <w:jc w:val="center"/>
            </w:pPr>
            <w:r w:rsidRPr="00EE3355">
              <w:t>9 - 87</w:t>
            </w:r>
          </w:p>
        </w:tc>
      </w:tr>
    </w:tbl>
    <w:p w14:paraId="6BB7E4F2" w14:textId="77777777" w:rsidR="00D61EF2" w:rsidRPr="00EE3355" w:rsidRDefault="00D61EF2" w:rsidP="00EA1CDF">
      <w:pPr>
        <w:pStyle w:val="a3"/>
        <w:widowControl/>
        <w:ind w:left="0"/>
      </w:pPr>
    </w:p>
    <w:p w14:paraId="08D70B28" w14:textId="0A8700CD" w:rsidR="00222DE0" w:rsidRPr="00EE3355" w:rsidRDefault="0098273B" w:rsidP="00EA1CDF">
      <w:pPr>
        <w:pStyle w:val="a3"/>
        <w:widowControl/>
        <w:ind w:left="0"/>
      </w:pPr>
      <w:r w:rsidRPr="00EE3355">
        <w:t xml:space="preserve">Primární cílový parametr účinnosti hodnocený na základě zastoupení pacientů, u kterých bylo bez steroidů dosaženo trvalé remise v týdnu 52 na </w:t>
      </w:r>
      <w:r w:rsidR="00C72D28" w:rsidRPr="00C61A9B">
        <w:t>tocilizumab</w:t>
      </w:r>
      <w:r w:rsidR="00C72D28">
        <w:t xml:space="preserve">u </w:t>
      </w:r>
      <w:r w:rsidRPr="00EE3355">
        <w:t xml:space="preserve">plus 26 týdnů postupně vysazovaném </w:t>
      </w:r>
      <w:r w:rsidRPr="00EE3355">
        <w:lastRenderedPageBreak/>
        <w:t>prednisonu ve srovnání s placebem plus 26 týdnů postupně vysazovaném prednisonem, byl dosažen (tabulka 4).</w:t>
      </w:r>
    </w:p>
    <w:p w14:paraId="3CD3BF18" w14:textId="77777777" w:rsidR="00D61EF2" w:rsidRPr="00EE3355" w:rsidRDefault="00D61EF2" w:rsidP="00EA1CDF">
      <w:pPr>
        <w:pStyle w:val="a3"/>
        <w:widowControl/>
        <w:ind w:left="0"/>
      </w:pPr>
    </w:p>
    <w:p w14:paraId="2256D316" w14:textId="77777777" w:rsidR="00222DE0" w:rsidRPr="00EE3355" w:rsidRDefault="0098273B" w:rsidP="00EA1CDF">
      <w:pPr>
        <w:pStyle w:val="a3"/>
        <w:widowControl/>
        <w:ind w:left="0"/>
      </w:pPr>
      <w:r w:rsidRPr="00EE3355">
        <w:t>Hlavní sekundární cílový parametr účinnosti, který také vycházel ze zastoupení pacientů, u kterých bylo dosaženo trvalé remise v týdnu 52 na tocilizumabu plus 26 týdnů postupně vysazovaném prednisonu ve srovnání s placebem plus 52 týdnů postupně vysazovaném prednisonem, byl také dosažen (tabulka 4).</w:t>
      </w:r>
    </w:p>
    <w:p w14:paraId="77ECC4E3" w14:textId="77777777" w:rsidR="00222DE0" w:rsidRPr="00EE3355" w:rsidRDefault="00222DE0" w:rsidP="00EA1CDF">
      <w:pPr>
        <w:pStyle w:val="a3"/>
        <w:widowControl/>
        <w:ind w:left="0"/>
      </w:pPr>
    </w:p>
    <w:p w14:paraId="514A26C2" w14:textId="5D7B9C8E" w:rsidR="00222DE0" w:rsidRPr="00EE3355" w:rsidRDefault="0098273B" w:rsidP="00EA1CDF">
      <w:pPr>
        <w:pStyle w:val="a3"/>
        <w:widowControl/>
        <w:ind w:left="0"/>
      </w:pPr>
      <w:r w:rsidRPr="00EE3355">
        <w:t xml:space="preserve">Byl zjištěn statisticky významný superiorní účinek </w:t>
      </w:r>
      <w:r w:rsidR="00C72D28" w:rsidRPr="00C61A9B">
        <w:t>tocilizumab</w:t>
      </w:r>
      <w:r w:rsidR="00C72D28">
        <w:t xml:space="preserve">u </w:t>
      </w:r>
      <w:r w:rsidRPr="00EE3355">
        <w:t xml:space="preserve">ve srovnání s placebem z hlediska dosažení trvalé remise bez steroidů v týdnu 52 na </w:t>
      </w:r>
      <w:r w:rsidR="00C72D28" w:rsidRPr="00C61A9B">
        <w:t>tocilizumab</w:t>
      </w:r>
      <w:r w:rsidR="00C72D28">
        <w:t xml:space="preserve">u </w:t>
      </w:r>
      <w:r w:rsidRPr="00EE3355">
        <w:t>plus 26 týdnů</w:t>
      </w:r>
      <w:r w:rsidR="00D61EF2" w:rsidRPr="00EE3355">
        <w:t xml:space="preserve"> </w:t>
      </w:r>
      <w:r w:rsidRPr="00EE3355">
        <w:t>postupně vysazovaném prednisonu ve srovnání s placebem plus 26 týdnů postupně vysazovaném</w:t>
      </w:r>
      <w:r w:rsidR="00D61EF2" w:rsidRPr="00EE3355">
        <w:t xml:space="preserve"> </w:t>
      </w:r>
      <w:r w:rsidRPr="00EE3355">
        <w:t>prednisonem.</w:t>
      </w:r>
    </w:p>
    <w:p w14:paraId="24BDC8B4" w14:textId="77777777" w:rsidR="00222DE0" w:rsidRPr="00EE3355" w:rsidRDefault="00222DE0" w:rsidP="00EA1CDF">
      <w:pPr>
        <w:pStyle w:val="a3"/>
        <w:widowControl/>
        <w:ind w:left="0"/>
      </w:pPr>
    </w:p>
    <w:p w14:paraId="1FC96E45" w14:textId="77777777" w:rsidR="00222DE0" w:rsidRPr="00EE3355" w:rsidRDefault="0098273B" w:rsidP="00EA1CDF">
      <w:pPr>
        <w:pStyle w:val="a3"/>
        <w:widowControl/>
        <w:ind w:left="0"/>
      </w:pPr>
      <w:r w:rsidRPr="00EE3355">
        <w:t>Zastoupení pacientů, u kterých byla dosažena trvalá remise v týdnu 52, je uvedeno v tabulce 4.</w:t>
      </w:r>
    </w:p>
    <w:p w14:paraId="0D980E7B" w14:textId="77777777" w:rsidR="00222DE0" w:rsidRPr="00EE3355" w:rsidRDefault="00222DE0" w:rsidP="00EA1CDF">
      <w:pPr>
        <w:pStyle w:val="a3"/>
        <w:widowControl/>
        <w:ind w:left="0"/>
      </w:pPr>
    </w:p>
    <w:p w14:paraId="1D704E1E" w14:textId="77777777" w:rsidR="00222DE0" w:rsidRPr="00EE3355" w:rsidRDefault="0098273B" w:rsidP="00EA1CDF">
      <w:pPr>
        <w:keepNext/>
        <w:widowControl/>
        <w:rPr>
          <w:i/>
        </w:rPr>
      </w:pPr>
      <w:r w:rsidRPr="00EE3355">
        <w:rPr>
          <w:i/>
        </w:rPr>
        <w:t>Sekundární cílové parametry</w:t>
      </w:r>
    </w:p>
    <w:p w14:paraId="787188AC" w14:textId="5CC53ECA" w:rsidR="00222DE0" w:rsidRPr="00EE3355" w:rsidRDefault="0098273B" w:rsidP="00EA1CDF">
      <w:pPr>
        <w:pStyle w:val="a3"/>
        <w:widowControl/>
        <w:ind w:left="0"/>
      </w:pPr>
      <w:r w:rsidRPr="00EE3355">
        <w:t>Hodnocení doby do prvního relapsu GCA prokázalo významně nižší riziko relapsu ve skupině</w:t>
      </w:r>
      <w:r w:rsidR="00D41DB1" w:rsidRPr="00EE3355">
        <w:t xml:space="preserve"> </w:t>
      </w:r>
      <w:r w:rsidRPr="00EE3355">
        <w:t>s</w:t>
      </w:r>
      <w:r w:rsidR="00C72D28">
        <w:t> </w:t>
      </w:r>
      <w:r w:rsidR="00C72D28" w:rsidRPr="00C61A9B">
        <w:t>tocilizumab</w:t>
      </w:r>
      <w:r w:rsidR="00C72D28">
        <w:t xml:space="preserve">em </w:t>
      </w:r>
      <w:r w:rsidRPr="00EE3355">
        <w:t>podávaným subkutánně jednou týdně ve srovnání s placebem plus 26 týdnů s postupně vysazovaným prednisonem a placebem plus 52 týdnů s postupně vysazovaným prednisonem a ve skupině s</w:t>
      </w:r>
      <w:r w:rsidR="00C72D28">
        <w:t> </w:t>
      </w:r>
      <w:r w:rsidR="00C72D28" w:rsidRPr="00C61A9B">
        <w:t>tocilizumab</w:t>
      </w:r>
      <w:r w:rsidR="00C72D28">
        <w:t xml:space="preserve">em </w:t>
      </w:r>
      <w:r w:rsidRPr="00EE3355">
        <w:t>podávaným subkutánně každé dva týdny ve srovnání</w:t>
      </w:r>
      <w:r w:rsidR="00D41DB1" w:rsidRPr="00EE3355">
        <w:t xml:space="preserve"> </w:t>
      </w:r>
      <w:r w:rsidRPr="00EE3355">
        <w:t xml:space="preserve">s placebem plus 26 týdnů s postupně vysazovaným prednisonem (při srovnání s hladinou významnosti 0,01). </w:t>
      </w:r>
      <w:r w:rsidR="00C72D28">
        <w:t>T</w:t>
      </w:r>
      <w:r w:rsidR="00C72D28" w:rsidRPr="00C61A9B">
        <w:t>ocilizumab</w:t>
      </w:r>
      <w:r w:rsidR="00C72D28">
        <w:t xml:space="preserve"> </w:t>
      </w:r>
      <w:r w:rsidRPr="00EE3355">
        <w:t>podávaný subkutánně v dávce jednou týdně dále vedl ke klinicky smysluplnému snížení rizika relapsu ve srovnání s placebem plus 26 týdnů s postupně vysazovaným prednisonem u pacientů, kteří byli do studie zařazeni s relabující GCA, i u pacientů s novou GCA (tabulka 4).</w:t>
      </w:r>
    </w:p>
    <w:p w14:paraId="36951C08" w14:textId="77777777" w:rsidR="00222DE0" w:rsidRPr="00EE3355" w:rsidRDefault="00222DE0" w:rsidP="00EA1CDF">
      <w:pPr>
        <w:pStyle w:val="a3"/>
        <w:widowControl/>
        <w:ind w:left="0"/>
      </w:pPr>
    </w:p>
    <w:p w14:paraId="116127F7" w14:textId="77777777" w:rsidR="00222DE0" w:rsidRPr="00EE3355" w:rsidRDefault="0098273B" w:rsidP="00EA1CDF">
      <w:pPr>
        <w:keepNext/>
        <w:widowControl/>
        <w:rPr>
          <w:i/>
        </w:rPr>
      </w:pPr>
      <w:r w:rsidRPr="00EE3355">
        <w:rPr>
          <w:i/>
        </w:rPr>
        <w:t>Kumulativní dávka glukokortikoidu</w:t>
      </w:r>
    </w:p>
    <w:p w14:paraId="5746E607" w14:textId="21E75361" w:rsidR="00222DE0" w:rsidRPr="00EE3355" w:rsidRDefault="0098273B" w:rsidP="00EA1CDF">
      <w:pPr>
        <w:pStyle w:val="a3"/>
        <w:widowControl/>
        <w:ind w:left="0"/>
      </w:pPr>
      <w:r w:rsidRPr="00EE3355">
        <w:t xml:space="preserve">Kumulativní dávka prednisonu v týdnu 52 byla významně nižší v obou skupinách s </w:t>
      </w:r>
      <w:r w:rsidR="00C72D28" w:rsidRPr="00C61A9B">
        <w:t>tocilizumab</w:t>
      </w:r>
      <w:r w:rsidR="00C72D28">
        <w:t>em</w:t>
      </w:r>
      <w:r w:rsidRPr="00EE3355">
        <w:t xml:space="preserve"> než v obou skupinách s placebem (tabulka 4). V samostatné analýze pacientů, kteří dostali záchranný prednison k léčbě relapsu GCA během prvních 52 týdnů, se kumulativní dávka prednisonu výrazně lišila. Medián dávek pro pacienty se záchrannou léčbou ve skupině s</w:t>
      </w:r>
      <w:r w:rsidR="00C72D28">
        <w:t> </w:t>
      </w:r>
      <w:r w:rsidR="00C72D28" w:rsidRPr="00C61A9B">
        <w:t>tocilizumab</w:t>
      </w:r>
      <w:r w:rsidR="00C72D28">
        <w:t xml:space="preserve">em </w:t>
      </w:r>
      <w:r w:rsidRPr="00EE3355">
        <w:t>jednou týdně a každé dva týdny byl 3 129,75 mg, resp. 3 847 mg. Obě hodnoty byly značně nižší než ve skupině s placebem plus 26 týdnů s postupně vysazovaným prednisonem (4 023,5 mg) a</w:t>
      </w:r>
      <w:r w:rsidR="001B021A">
        <w:t xml:space="preserve"> </w:t>
      </w:r>
      <w:r w:rsidRPr="00EE3355">
        <w:t>s placebem plus 52 týdnů s postupně vysazovaným prednisonem (5 389,5 mg).</w:t>
      </w:r>
    </w:p>
    <w:p w14:paraId="55F37654" w14:textId="77777777" w:rsidR="00222DE0" w:rsidRPr="00EE3355" w:rsidRDefault="00222DE0" w:rsidP="00EA1CDF">
      <w:pPr>
        <w:widowControl/>
      </w:pPr>
    </w:p>
    <w:p w14:paraId="780F61E8" w14:textId="77777777" w:rsidR="00222DE0" w:rsidRPr="00EE3355" w:rsidRDefault="0098273B" w:rsidP="00B93217">
      <w:pPr>
        <w:keepNext/>
        <w:widowControl/>
        <w:ind w:left="567" w:hanging="567"/>
        <w:rPr>
          <w:i/>
        </w:rPr>
      </w:pPr>
      <w:r w:rsidRPr="00EE3355">
        <w:rPr>
          <w:i/>
        </w:rPr>
        <w:t>Tabulka 4. Výsledky účinnosti ze studie WA28119</w:t>
      </w:r>
    </w:p>
    <w:p w14:paraId="012C08FB" w14:textId="77777777" w:rsidR="00222DE0" w:rsidRPr="00EE3355" w:rsidRDefault="00222DE0" w:rsidP="00B93217">
      <w:pPr>
        <w:pStyle w:val="a3"/>
        <w:keepNext/>
        <w:widowControl/>
        <w:ind w:left="0"/>
        <w:rPr>
          <w:i/>
          <w:sz w:val="20"/>
        </w:rPr>
      </w:pPr>
    </w:p>
    <w:tbl>
      <w:tblPr>
        <w:tblW w:w="8777"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052"/>
        <w:gridCol w:w="1372"/>
        <w:gridCol w:w="1217"/>
        <w:gridCol w:w="1512"/>
        <w:gridCol w:w="1624"/>
      </w:tblGrid>
      <w:tr w:rsidR="00222DE0" w:rsidRPr="00EE3355" w14:paraId="794166DB" w14:textId="77777777" w:rsidTr="001B021A">
        <w:trPr>
          <w:cantSplit/>
          <w:trHeight w:val="20"/>
          <w:tblHeader/>
        </w:trPr>
        <w:tc>
          <w:tcPr>
            <w:tcW w:w="3052" w:type="dxa"/>
          </w:tcPr>
          <w:p w14:paraId="116136DD" w14:textId="77777777" w:rsidR="00222DE0" w:rsidRPr="00EE3355" w:rsidRDefault="00222DE0" w:rsidP="00EA1CDF">
            <w:pPr>
              <w:pStyle w:val="TableParagraph"/>
              <w:widowControl/>
              <w:rPr>
                <w:sz w:val="18"/>
              </w:rPr>
            </w:pPr>
          </w:p>
        </w:tc>
        <w:tc>
          <w:tcPr>
            <w:tcW w:w="1372" w:type="dxa"/>
          </w:tcPr>
          <w:p w14:paraId="5982802C" w14:textId="77777777" w:rsidR="00222DE0" w:rsidRPr="00EE3355" w:rsidRDefault="0098273B" w:rsidP="00EA1CDF">
            <w:pPr>
              <w:pStyle w:val="TableParagraph"/>
              <w:widowControl/>
              <w:jc w:val="center"/>
              <w:rPr>
                <w:b/>
                <w:sz w:val="18"/>
              </w:rPr>
            </w:pPr>
            <w:r w:rsidRPr="00EE3355">
              <w:rPr>
                <w:b/>
                <w:sz w:val="18"/>
              </w:rPr>
              <w:t>Placebo + 26 týdnů postupně vysazovaný prednison</w:t>
            </w:r>
          </w:p>
          <w:p w14:paraId="7E7BECB0" w14:textId="77777777" w:rsidR="00222DE0" w:rsidRPr="00EE3355" w:rsidRDefault="0098273B" w:rsidP="00EA1CDF">
            <w:pPr>
              <w:pStyle w:val="TableParagraph"/>
              <w:widowControl/>
              <w:jc w:val="center"/>
              <w:rPr>
                <w:b/>
                <w:sz w:val="18"/>
              </w:rPr>
            </w:pPr>
            <w:r w:rsidRPr="00EE3355">
              <w:rPr>
                <w:b/>
                <w:sz w:val="18"/>
              </w:rPr>
              <w:t>n = 50</w:t>
            </w:r>
          </w:p>
        </w:tc>
        <w:tc>
          <w:tcPr>
            <w:tcW w:w="1217" w:type="dxa"/>
          </w:tcPr>
          <w:p w14:paraId="73341638" w14:textId="77777777" w:rsidR="00222DE0" w:rsidRPr="00EE3355" w:rsidRDefault="0098273B" w:rsidP="00EA1CDF">
            <w:pPr>
              <w:pStyle w:val="TableParagraph"/>
              <w:widowControl/>
              <w:jc w:val="center"/>
              <w:rPr>
                <w:b/>
                <w:sz w:val="18"/>
              </w:rPr>
            </w:pPr>
            <w:r w:rsidRPr="00EE3355">
              <w:rPr>
                <w:b/>
                <w:sz w:val="18"/>
              </w:rPr>
              <w:t>Placebo + 52 týdnů postupně vysazovaný prednison</w:t>
            </w:r>
          </w:p>
          <w:p w14:paraId="30454CF8" w14:textId="77777777" w:rsidR="00222DE0" w:rsidRPr="00EE3355" w:rsidRDefault="0098273B" w:rsidP="00EA1CDF">
            <w:pPr>
              <w:pStyle w:val="TableParagraph"/>
              <w:widowControl/>
              <w:jc w:val="center"/>
              <w:rPr>
                <w:b/>
                <w:sz w:val="18"/>
              </w:rPr>
            </w:pPr>
            <w:r w:rsidRPr="00EE3355">
              <w:rPr>
                <w:b/>
                <w:sz w:val="18"/>
              </w:rPr>
              <w:t>n = 51</w:t>
            </w:r>
          </w:p>
        </w:tc>
        <w:tc>
          <w:tcPr>
            <w:tcW w:w="1512" w:type="dxa"/>
          </w:tcPr>
          <w:p w14:paraId="6DA68BD9" w14:textId="4276837C" w:rsidR="00222DE0" w:rsidRPr="00EE3355" w:rsidRDefault="00C72D28" w:rsidP="00EA1CDF">
            <w:pPr>
              <w:pStyle w:val="TableParagraph"/>
              <w:widowControl/>
              <w:jc w:val="center"/>
              <w:rPr>
                <w:b/>
                <w:sz w:val="18"/>
              </w:rPr>
            </w:pPr>
            <w:r w:rsidRPr="00C61A9B">
              <w:rPr>
                <w:b/>
                <w:bCs/>
                <w:sz w:val="20"/>
                <w:szCs w:val="20"/>
              </w:rPr>
              <w:t>Tocilizumab</w:t>
            </w:r>
            <w:r w:rsidR="0098273B" w:rsidRPr="00EE3355">
              <w:rPr>
                <w:b/>
                <w:sz w:val="18"/>
              </w:rPr>
              <w:t xml:space="preserve"> 162 mg s.c. 1 x týdně +</w:t>
            </w:r>
            <w:r w:rsidR="00D01496" w:rsidRPr="00EE3355">
              <w:rPr>
                <w:b/>
                <w:sz w:val="18"/>
              </w:rPr>
              <w:t xml:space="preserve"> </w:t>
            </w:r>
            <w:r w:rsidR="0098273B" w:rsidRPr="00EE3355">
              <w:rPr>
                <w:b/>
                <w:sz w:val="18"/>
              </w:rPr>
              <w:t>26 týdnů postupně vysazovaný prednison</w:t>
            </w:r>
          </w:p>
          <w:p w14:paraId="29500828" w14:textId="77777777" w:rsidR="00222DE0" w:rsidRPr="00EE3355" w:rsidRDefault="0098273B" w:rsidP="00EA1CDF">
            <w:pPr>
              <w:pStyle w:val="TableParagraph"/>
              <w:widowControl/>
              <w:jc w:val="center"/>
              <w:rPr>
                <w:b/>
                <w:sz w:val="18"/>
              </w:rPr>
            </w:pPr>
            <w:r w:rsidRPr="00EE3355">
              <w:rPr>
                <w:b/>
                <w:sz w:val="18"/>
              </w:rPr>
              <w:t>n = 100</w:t>
            </w:r>
          </w:p>
        </w:tc>
        <w:tc>
          <w:tcPr>
            <w:tcW w:w="1624" w:type="dxa"/>
          </w:tcPr>
          <w:p w14:paraId="7E55B7FA" w14:textId="579EFE51" w:rsidR="00222DE0" w:rsidRPr="00EE3355" w:rsidRDefault="00C72D28" w:rsidP="00EA1CDF">
            <w:pPr>
              <w:pStyle w:val="TableParagraph"/>
              <w:widowControl/>
              <w:jc w:val="center"/>
              <w:rPr>
                <w:b/>
                <w:sz w:val="18"/>
              </w:rPr>
            </w:pPr>
            <w:r w:rsidRPr="00C61A9B">
              <w:rPr>
                <w:b/>
                <w:bCs/>
                <w:sz w:val="20"/>
                <w:szCs w:val="20"/>
              </w:rPr>
              <w:t>Tocilizumab</w:t>
            </w:r>
            <w:r w:rsidR="0098273B" w:rsidRPr="00EE3355">
              <w:rPr>
                <w:b/>
                <w:sz w:val="18"/>
              </w:rPr>
              <w:t xml:space="preserve"> 162 mg s.c. každé</w:t>
            </w:r>
            <w:r w:rsidR="00D01496" w:rsidRPr="00EE3355">
              <w:rPr>
                <w:b/>
                <w:sz w:val="18"/>
              </w:rPr>
              <w:t xml:space="preserve"> </w:t>
            </w:r>
            <w:r w:rsidR="0098273B" w:rsidRPr="00EE3355">
              <w:rPr>
                <w:b/>
                <w:sz w:val="18"/>
              </w:rPr>
              <w:t>2 týdny +</w:t>
            </w:r>
            <w:r w:rsidR="00D01496" w:rsidRPr="00EE3355">
              <w:rPr>
                <w:b/>
                <w:sz w:val="18"/>
              </w:rPr>
              <w:t xml:space="preserve"> </w:t>
            </w:r>
            <w:r w:rsidR="0098273B" w:rsidRPr="00EE3355">
              <w:rPr>
                <w:b/>
                <w:sz w:val="18"/>
              </w:rPr>
              <w:t>26 týdnů postupně vysazovaný prednison</w:t>
            </w:r>
          </w:p>
          <w:p w14:paraId="397FDCAB" w14:textId="77777777" w:rsidR="00222DE0" w:rsidRPr="00EE3355" w:rsidRDefault="0098273B" w:rsidP="00EA1CDF">
            <w:pPr>
              <w:pStyle w:val="TableParagraph"/>
              <w:widowControl/>
              <w:jc w:val="center"/>
              <w:rPr>
                <w:b/>
                <w:sz w:val="18"/>
              </w:rPr>
            </w:pPr>
            <w:r w:rsidRPr="00EE3355">
              <w:rPr>
                <w:b/>
                <w:sz w:val="18"/>
              </w:rPr>
              <w:t>n = 49</w:t>
            </w:r>
          </w:p>
        </w:tc>
      </w:tr>
      <w:tr w:rsidR="00222DE0" w:rsidRPr="00EE3355" w14:paraId="5E4B2FDC" w14:textId="77777777" w:rsidTr="002265A0">
        <w:trPr>
          <w:cantSplit/>
          <w:trHeight w:val="20"/>
        </w:trPr>
        <w:tc>
          <w:tcPr>
            <w:tcW w:w="8777" w:type="dxa"/>
            <w:gridSpan w:val="5"/>
            <w:tcBorders>
              <w:bottom w:val="single" w:sz="4" w:space="0" w:color="000000"/>
            </w:tcBorders>
          </w:tcPr>
          <w:p w14:paraId="5D13DE7C" w14:textId="77777777" w:rsidR="00222DE0" w:rsidRPr="00EE3355" w:rsidRDefault="0098273B" w:rsidP="00EA1CDF">
            <w:pPr>
              <w:pStyle w:val="TableParagraph"/>
              <w:widowControl/>
              <w:ind w:left="66"/>
              <w:rPr>
                <w:b/>
                <w:sz w:val="18"/>
              </w:rPr>
            </w:pPr>
            <w:r w:rsidRPr="00EE3355">
              <w:rPr>
                <w:b/>
                <w:sz w:val="18"/>
              </w:rPr>
              <w:t>Primární cílový parametr</w:t>
            </w:r>
          </w:p>
        </w:tc>
      </w:tr>
      <w:tr w:rsidR="00222DE0" w:rsidRPr="00EE3355" w14:paraId="649572BE" w14:textId="77777777" w:rsidTr="002265A0">
        <w:trPr>
          <w:cantSplit/>
          <w:trHeight w:val="20"/>
        </w:trPr>
        <w:tc>
          <w:tcPr>
            <w:tcW w:w="8777" w:type="dxa"/>
            <w:gridSpan w:val="5"/>
            <w:tcBorders>
              <w:bottom w:val="nil"/>
            </w:tcBorders>
          </w:tcPr>
          <w:p w14:paraId="0577EB95" w14:textId="77777777" w:rsidR="00222DE0" w:rsidRPr="00EE3355" w:rsidRDefault="0098273B" w:rsidP="00EA1CDF">
            <w:pPr>
              <w:pStyle w:val="TableParagraph"/>
              <w:widowControl/>
              <w:ind w:left="119"/>
              <w:rPr>
                <w:sz w:val="18"/>
              </w:rPr>
            </w:pPr>
            <w:r w:rsidRPr="00EE3355">
              <w:rPr>
                <w:sz w:val="18"/>
              </w:rPr>
              <w:t>****Trvalá remise (skupiny s tocilizumabem vs. placebo + 26)</w:t>
            </w:r>
          </w:p>
        </w:tc>
      </w:tr>
      <w:tr w:rsidR="00222DE0" w:rsidRPr="00EE3355" w14:paraId="74004A0E" w14:textId="77777777" w:rsidTr="002265A0">
        <w:trPr>
          <w:cantSplit/>
          <w:trHeight w:val="20"/>
        </w:trPr>
        <w:tc>
          <w:tcPr>
            <w:tcW w:w="3052" w:type="dxa"/>
            <w:tcBorders>
              <w:top w:val="nil"/>
              <w:bottom w:val="nil"/>
              <w:right w:val="nil"/>
            </w:tcBorders>
          </w:tcPr>
          <w:p w14:paraId="545FC507" w14:textId="77777777" w:rsidR="00222DE0" w:rsidRPr="00EE3355" w:rsidRDefault="0098273B" w:rsidP="00EA1CDF">
            <w:pPr>
              <w:pStyle w:val="TableParagraph"/>
              <w:widowControl/>
              <w:ind w:left="496"/>
              <w:rPr>
                <w:sz w:val="18"/>
              </w:rPr>
            </w:pPr>
            <w:r w:rsidRPr="00EE3355">
              <w:rPr>
                <w:sz w:val="18"/>
              </w:rPr>
              <w:t>Pacienti s odpovědí v týdnu 52, n (%)</w:t>
            </w:r>
          </w:p>
        </w:tc>
        <w:tc>
          <w:tcPr>
            <w:tcW w:w="1372" w:type="dxa"/>
            <w:tcBorders>
              <w:top w:val="nil"/>
              <w:left w:val="nil"/>
              <w:bottom w:val="nil"/>
              <w:right w:val="nil"/>
            </w:tcBorders>
          </w:tcPr>
          <w:p w14:paraId="79168DDB" w14:textId="77777777" w:rsidR="00222DE0" w:rsidRPr="00EE3355" w:rsidRDefault="0098273B" w:rsidP="00EA1CDF">
            <w:pPr>
              <w:pStyle w:val="TableParagraph"/>
              <w:widowControl/>
              <w:ind w:left="140"/>
              <w:rPr>
                <w:sz w:val="18"/>
              </w:rPr>
            </w:pPr>
            <w:r w:rsidRPr="00EE3355">
              <w:rPr>
                <w:sz w:val="18"/>
              </w:rPr>
              <w:t>7 (14 %)</w:t>
            </w:r>
          </w:p>
        </w:tc>
        <w:tc>
          <w:tcPr>
            <w:tcW w:w="1217" w:type="dxa"/>
            <w:tcBorders>
              <w:top w:val="nil"/>
              <w:left w:val="nil"/>
              <w:bottom w:val="nil"/>
              <w:right w:val="nil"/>
            </w:tcBorders>
          </w:tcPr>
          <w:p w14:paraId="714D1579" w14:textId="77777777" w:rsidR="00222DE0" w:rsidRPr="00EE3355" w:rsidRDefault="0098273B" w:rsidP="00EA1CDF">
            <w:pPr>
              <w:pStyle w:val="TableParagraph"/>
              <w:widowControl/>
              <w:ind w:left="133" w:right="5"/>
              <w:jc w:val="center"/>
              <w:rPr>
                <w:sz w:val="18"/>
              </w:rPr>
            </w:pPr>
            <w:r w:rsidRPr="00EE3355">
              <w:rPr>
                <w:sz w:val="18"/>
              </w:rPr>
              <w:t>9 (17,6 %)</w:t>
            </w:r>
          </w:p>
        </w:tc>
        <w:tc>
          <w:tcPr>
            <w:tcW w:w="1512" w:type="dxa"/>
            <w:tcBorders>
              <w:top w:val="nil"/>
              <w:left w:val="nil"/>
              <w:bottom w:val="nil"/>
              <w:right w:val="nil"/>
            </w:tcBorders>
          </w:tcPr>
          <w:p w14:paraId="353DBA2B" w14:textId="77777777" w:rsidR="00222DE0" w:rsidRPr="00EE3355" w:rsidRDefault="0098273B" w:rsidP="00EA1CDF">
            <w:pPr>
              <w:pStyle w:val="TableParagraph"/>
              <w:widowControl/>
              <w:ind w:left="103" w:right="34"/>
              <w:jc w:val="center"/>
              <w:rPr>
                <w:sz w:val="18"/>
              </w:rPr>
            </w:pPr>
            <w:r w:rsidRPr="00EE3355">
              <w:rPr>
                <w:sz w:val="18"/>
              </w:rPr>
              <w:t>56 (56 %)</w:t>
            </w:r>
          </w:p>
        </w:tc>
        <w:tc>
          <w:tcPr>
            <w:tcW w:w="1624" w:type="dxa"/>
            <w:tcBorders>
              <w:top w:val="nil"/>
              <w:left w:val="nil"/>
              <w:bottom w:val="nil"/>
            </w:tcBorders>
          </w:tcPr>
          <w:p w14:paraId="1C1BDD2A" w14:textId="77777777" w:rsidR="00222DE0" w:rsidRPr="00EE3355" w:rsidRDefault="0098273B" w:rsidP="00EA1CDF">
            <w:pPr>
              <w:pStyle w:val="TableParagraph"/>
              <w:widowControl/>
              <w:ind w:left="45" w:right="58"/>
              <w:jc w:val="center"/>
              <w:rPr>
                <w:sz w:val="18"/>
              </w:rPr>
            </w:pPr>
            <w:r w:rsidRPr="00EE3355">
              <w:rPr>
                <w:sz w:val="18"/>
              </w:rPr>
              <w:t>26 (53, 1%)</w:t>
            </w:r>
          </w:p>
        </w:tc>
      </w:tr>
      <w:tr w:rsidR="00222DE0" w:rsidRPr="00EE3355" w14:paraId="3CF2E5C3" w14:textId="77777777" w:rsidTr="002265A0">
        <w:trPr>
          <w:cantSplit/>
          <w:trHeight w:val="20"/>
        </w:trPr>
        <w:tc>
          <w:tcPr>
            <w:tcW w:w="3052" w:type="dxa"/>
            <w:tcBorders>
              <w:top w:val="nil"/>
              <w:bottom w:val="nil"/>
              <w:right w:val="nil"/>
            </w:tcBorders>
          </w:tcPr>
          <w:p w14:paraId="4A25E4F6" w14:textId="77777777" w:rsidR="00222DE0" w:rsidRPr="00EE3355" w:rsidRDefault="0098273B" w:rsidP="00EA1CDF">
            <w:pPr>
              <w:pStyle w:val="TableParagraph"/>
              <w:widowControl/>
              <w:ind w:left="496"/>
              <w:rPr>
                <w:sz w:val="18"/>
              </w:rPr>
            </w:pPr>
            <w:r w:rsidRPr="00EE3355">
              <w:rPr>
                <w:sz w:val="18"/>
              </w:rPr>
              <w:t>Neupravený rozdíl v zastoupení</w:t>
            </w:r>
          </w:p>
        </w:tc>
        <w:tc>
          <w:tcPr>
            <w:tcW w:w="1372" w:type="dxa"/>
            <w:tcBorders>
              <w:top w:val="nil"/>
              <w:left w:val="nil"/>
              <w:bottom w:val="nil"/>
              <w:right w:val="nil"/>
            </w:tcBorders>
          </w:tcPr>
          <w:p w14:paraId="2ACD7E2C" w14:textId="77777777" w:rsidR="00222DE0" w:rsidRPr="00EE3355" w:rsidRDefault="0098273B" w:rsidP="00EA1CDF">
            <w:pPr>
              <w:pStyle w:val="TableParagraph"/>
              <w:widowControl/>
              <w:ind w:left="299"/>
              <w:rPr>
                <w:sz w:val="18"/>
              </w:rPr>
            </w:pPr>
            <w:r w:rsidRPr="00EE3355">
              <w:rPr>
                <w:sz w:val="18"/>
              </w:rPr>
              <w:t>N/A</w:t>
            </w:r>
          </w:p>
        </w:tc>
        <w:tc>
          <w:tcPr>
            <w:tcW w:w="1217" w:type="dxa"/>
            <w:tcBorders>
              <w:top w:val="nil"/>
              <w:left w:val="nil"/>
              <w:bottom w:val="nil"/>
              <w:right w:val="nil"/>
            </w:tcBorders>
          </w:tcPr>
          <w:p w14:paraId="286E186E" w14:textId="77777777" w:rsidR="00222DE0" w:rsidRPr="00EE3355" w:rsidRDefault="0098273B" w:rsidP="00EA1CDF">
            <w:pPr>
              <w:pStyle w:val="TableParagraph"/>
              <w:widowControl/>
              <w:ind w:left="133" w:right="3"/>
              <w:jc w:val="center"/>
              <w:rPr>
                <w:sz w:val="18"/>
              </w:rPr>
            </w:pPr>
            <w:r w:rsidRPr="00EE3355">
              <w:rPr>
                <w:sz w:val="18"/>
              </w:rPr>
              <w:t>N/A</w:t>
            </w:r>
          </w:p>
        </w:tc>
        <w:tc>
          <w:tcPr>
            <w:tcW w:w="1512" w:type="dxa"/>
            <w:tcBorders>
              <w:top w:val="nil"/>
              <w:left w:val="nil"/>
              <w:bottom w:val="nil"/>
              <w:right w:val="nil"/>
            </w:tcBorders>
          </w:tcPr>
          <w:p w14:paraId="22AC0184" w14:textId="77777777" w:rsidR="00222DE0" w:rsidRPr="00EE3355" w:rsidRDefault="0098273B" w:rsidP="00EA1CDF">
            <w:pPr>
              <w:pStyle w:val="TableParagraph"/>
              <w:widowControl/>
              <w:ind w:left="108" w:right="33"/>
              <w:jc w:val="center"/>
              <w:rPr>
                <w:sz w:val="18"/>
              </w:rPr>
            </w:pPr>
            <w:r w:rsidRPr="00EE3355">
              <w:rPr>
                <w:sz w:val="18"/>
              </w:rPr>
              <w:t>42 %*</w:t>
            </w:r>
          </w:p>
        </w:tc>
        <w:tc>
          <w:tcPr>
            <w:tcW w:w="1624" w:type="dxa"/>
            <w:tcBorders>
              <w:top w:val="nil"/>
              <w:left w:val="nil"/>
              <w:bottom w:val="nil"/>
            </w:tcBorders>
          </w:tcPr>
          <w:p w14:paraId="3BC2D85B" w14:textId="77777777" w:rsidR="00222DE0" w:rsidRPr="00EE3355" w:rsidRDefault="0098273B" w:rsidP="00EA1CDF">
            <w:pPr>
              <w:pStyle w:val="TableParagraph"/>
              <w:widowControl/>
              <w:ind w:left="44" w:right="58"/>
              <w:jc w:val="center"/>
              <w:rPr>
                <w:sz w:val="18"/>
              </w:rPr>
            </w:pPr>
            <w:r w:rsidRPr="00EE3355">
              <w:rPr>
                <w:sz w:val="18"/>
              </w:rPr>
              <w:t>39,06 %*</w:t>
            </w:r>
          </w:p>
        </w:tc>
      </w:tr>
      <w:tr w:rsidR="00222DE0" w:rsidRPr="00EE3355" w14:paraId="6BA63381" w14:textId="77777777" w:rsidTr="002265A0">
        <w:trPr>
          <w:cantSplit/>
          <w:trHeight w:val="20"/>
        </w:trPr>
        <w:tc>
          <w:tcPr>
            <w:tcW w:w="3052" w:type="dxa"/>
            <w:tcBorders>
              <w:top w:val="nil"/>
              <w:right w:val="nil"/>
            </w:tcBorders>
          </w:tcPr>
          <w:p w14:paraId="4D65475A" w14:textId="77777777" w:rsidR="00222DE0" w:rsidRPr="00EE3355" w:rsidRDefault="0098273B" w:rsidP="00EA1CDF">
            <w:pPr>
              <w:pStyle w:val="TableParagraph"/>
              <w:widowControl/>
              <w:ind w:left="496"/>
              <w:rPr>
                <w:sz w:val="18"/>
              </w:rPr>
            </w:pPr>
            <w:r w:rsidRPr="00EE3355">
              <w:rPr>
                <w:sz w:val="18"/>
              </w:rPr>
              <w:t>(99,5% CI)</w:t>
            </w:r>
          </w:p>
        </w:tc>
        <w:tc>
          <w:tcPr>
            <w:tcW w:w="1372" w:type="dxa"/>
            <w:tcBorders>
              <w:top w:val="nil"/>
              <w:left w:val="nil"/>
              <w:right w:val="nil"/>
            </w:tcBorders>
          </w:tcPr>
          <w:p w14:paraId="416F158C" w14:textId="77777777" w:rsidR="00222DE0" w:rsidRPr="00EE3355" w:rsidRDefault="00222DE0" w:rsidP="00EA1CDF">
            <w:pPr>
              <w:pStyle w:val="TableParagraph"/>
              <w:widowControl/>
              <w:rPr>
                <w:sz w:val="16"/>
              </w:rPr>
            </w:pPr>
          </w:p>
        </w:tc>
        <w:tc>
          <w:tcPr>
            <w:tcW w:w="1217" w:type="dxa"/>
            <w:tcBorders>
              <w:top w:val="nil"/>
              <w:left w:val="nil"/>
              <w:right w:val="nil"/>
            </w:tcBorders>
          </w:tcPr>
          <w:p w14:paraId="5D9A6B22" w14:textId="77777777" w:rsidR="00222DE0" w:rsidRPr="00EE3355" w:rsidRDefault="00222DE0" w:rsidP="00EA1CDF">
            <w:pPr>
              <w:pStyle w:val="TableParagraph"/>
              <w:widowControl/>
              <w:rPr>
                <w:sz w:val="16"/>
              </w:rPr>
            </w:pPr>
          </w:p>
        </w:tc>
        <w:tc>
          <w:tcPr>
            <w:tcW w:w="1512" w:type="dxa"/>
            <w:tcBorders>
              <w:top w:val="nil"/>
              <w:left w:val="nil"/>
              <w:right w:val="nil"/>
            </w:tcBorders>
          </w:tcPr>
          <w:p w14:paraId="080CD7F0" w14:textId="77777777" w:rsidR="00222DE0" w:rsidRPr="00EE3355" w:rsidRDefault="0098273B" w:rsidP="00EA1CDF">
            <w:pPr>
              <w:pStyle w:val="TableParagraph"/>
              <w:widowControl/>
              <w:ind w:left="104" w:right="33"/>
              <w:jc w:val="center"/>
              <w:rPr>
                <w:sz w:val="18"/>
              </w:rPr>
            </w:pPr>
            <w:r w:rsidRPr="00EE3355">
              <w:rPr>
                <w:sz w:val="18"/>
              </w:rPr>
              <w:t>(18,00; 66,00)</w:t>
            </w:r>
          </w:p>
        </w:tc>
        <w:tc>
          <w:tcPr>
            <w:tcW w:w="1624" w:type="dxa"/>
            <w:tcBorders>
              <w:top w:val="nil"/>
              <w:left w:val="nil"/>
            </w:tcBorders>
          </w:tcPr>
          <w:p w14:paraId="6FC4CAD5" w14:textId="77777777" w:rsidR="00222DE0" w:rsidRPr="00EE3355" w:rsidRDefault="0098273B" w:rsidP="00EA1CDF">
            <w:pPr>
              <w:pStyle w:val="TableParagraph"/>
              <w:widowControl/>
              <w:ind w:left="45" w:right="58"/>
              <w:jc w:val="center"/>
              <w:rPr>
                <w:sz w:val="18"/>
              </w:rPr>
            </w:pPr>
            <w:r w:rsidRPr="00EE3355">
              <w:rPr>
                <w:sz w:val="18"/>
              </w:rPr>
              <w:t>(12,46; 65,66)</w:t>
            </w:r>
          </w:p>
        </w:tc>
      </w:tr>
      <w:tr w:rsidR="00222DE0" w:rsidRPr="00EE3355" w14:paraId="062465DC" w14:textId="77777777" w:rsidTr="002265A0">
        <w:trPr>
          <w:cantSplit/>
          <w:trHeight w:val="20"/>
        </w:trPr>
        <w:tc>
          <w:tcPr>
            <w:tcW w:w="8777" w:type="dxa"/>
            <w:gridSpan w:val="5"/>
            <w:tcBorders>
              <w:bottom w:val="single" w:sz="4" w:space="0" w:color="000000"/>
            </w:tcBorders>
          </w:tcPr>
          <w:p w14:paraId="6212CBE1" w14:textId="77777777" w:rsidR="00222DE0" w:rsidRPr="00EE3355" w:rsidRDefault="0098273B" w:rsidP="00EA1CDF">
            <w:pPr>
              <w:pStyle w:val="TableParagraph"/>
              <w:widowControl/>
              <w:ind w:left="66"/>
              <w:rPr>
                <w:b/>
                <w:sz w:val="18"/>
              </w:rPr>
            </w:pPr>
            <w:r w:rsidRPr="00EE3355">
              <w:rPr>
                <w:b/>
                <w:sz w:val="18"/>
              </w:rPr>
              <w:t>Hlavní sekundární cílový parametr</w:t>
            </w:r>
          </w:p>
        </w:tc>
      </w:tr>
      <w:tr w:rsidR="00222DE0" w:rsidRPr="00EE3355" w14:paraId="505E8E06" w14:textId="77777777" w:rsidTr="002265A0">
        <w:trPr>
          <w:cantSplit/>
          <w:trHeight w:val="20"/>
        </w:trPr>
        <w:tc>
          <w:tcPr>
            <w:tcW w:w="8777" w:type="dxa"/>
            <w:gridSpan w:val="5"/>
            <w:tcBorders>
              <w:bottom w:val="nil"/>
            </w:tcBorders>
          </w:tcPr>
          <w:p w14:paraId="3D646AB6" w14:textId="77777777" w:rsidR="00222DE0" w:rsidRPr="00EE3355" w:rsidRDefault="0098273B" w:rsidP="00EA1CDF">
            <w:pPr>
              <w:pStyle w:val="TableParagraph"/>
              <w:widowControl/>
              <w:ind w:left="119"/>
              <w:rPr>
                <w:sz w:val="18"/>
              </w:rPr>
            </w:pPr>
            <w:r w:rsidRPr="00EE3355">
              <w:rPr>
                <w:sz w:val="18"/>
              </w:rPr>
              <w:t>Trvalá remise (skupiny s tocilizumabem vs. placebo + 52)</w:t>
            </w:r>
          </w:p>
        </w:tc>
      </w:tr>
      <w:tr w:rsidR="00222DE0" w:rsidRPr="00EE3355" w14:paraId="65614015" w14:textId="77777777" w:rsidTr="002265A0">
        <w:trPr>
          <w:cantSplit/>
          <w:trHeight w:val="20"/>
        </w:trPr>
        <w:tc>
          <w:tcPr>
            <w:tcW w:w="3052" w:type="dxa"/>
            <w:tcBorders>
              <w:top w:val="nil"/>
              <w:bottom w:val="nil"/>
              <w:right w:val="nil"/>
            </w:tcBorders>
          </w:tcPr>
          <w:p w14:paraId="567B6813" w14:textId="77777777" w:rsidR="00222DE0" w:rsidRPr="00EE3355" w:rsidRDefault="0098273B" w:rsidP="00EA1CDF">
            <w:pPr>
              <w:pStyle w:val="TableParagraph"/>
              <w:widowControl/>
              <w:ind w:left="496"/>
              <w:rPr>
                <w:sz w:val="18"/>
              </w:rPr>
            </w:pPr>
            <w:r w:rsidRPr="00EE3355">
              <w:rPr>
                <w:sz w:val="18"/>
              </w:rPr>
              <w:t>Pacienti s odpovědí v týdnu 52, n (%)</w:t>
            </w:r>
          </w:p>
        </w:tc>
        <w:tc>
          <w:tcPr>
            <w:tcW w:w="1372" w:type="dxa"/>
            <w:tcBorders>
              <w:top w:val="nil"/>
              <w:left w:val="nil"/>
              <w:bottom w:val="nil"/>
              <w:right w:val="nil"/>
            </w:tcBorders>
          </w:tcPr>
          <w:p w14:paraId="57549052" w14:textId="77777777" w:rsidR="00222DE0" w:rsidRPr="00EE3355" w:rsidRDefault="0098273B" w:rsidP="00EA1CDF">
            <w:pPr>
              <w:pStyle w:val="TableParagraph"/>
              <w:widowControl/>
              <w:ind w:left="313"/>
              <w:rPr>
                <w:sz w:val="18"/>
              </w:rPr>
            </w:pPr>
            <w:r w:rsidRPr="00EE3355">
              <w:rPr>
                <w:sz w:val="18"/>
              </w:rPr>
              <w:t>7 (14 %)</w:t>
            </w:r>
          </w:p>
        </w:tc>
        <w:tc>
          <w:tcPr>
            <w:tcW w:w="1217" w:type="dxa"/>
            <w:tcBorders>
              <w:top w:val="nil"/>
              <w:left w:val="nil"/>
              <w:bottom w:val="nil"/>
              <w:right w:val="nil"/>
            </w:tcBorders>
          </w:tcPr>
          <w:p w14:paraId="62317773" w14:textId="77777777" w:rsidR="00222DE0" w:rsidRPr="00EE3355" w:rsidRDefault="0098273B" w:rsidP="00EA1CDF">
            <w:pPr>
              <w:pStyle w:val="TableParagraph"/>
              <w:widowControl/>
              <w:ind w:left="133" w:right="5"/>
              <w:jc w:val="center"/>
              <w:rPr>
                <w:sz w:val="18"/>
              </w:rPr>
            </w:pPr>
            <w:r w:rsidRPr="00EE3355">
              <w:rPr>
                <w:sz w:val="18"/>
              </w:rPr>
              <w:t>9 (17,6 %)</w:t>
            </w:r>
          </w:p>
        </w:tc>
        <w:tc>
          <w:tcPr>
            <w:tcW w:w="1512" w:type="dxa"/>
            <w:tcBorders>
              <w:top w:val="nil"/>
              <w:left w:val="nil"/>
              <w:bottom w:val="nil"/>
              <w:right w:val="nil"/>
            </w:tcBorders>
          </w:tcPr>
          <w:p w14:paraId="1EC05291" w14:textId="77777777" w:rsidR="00222DE0" w:rsidRPr="00EE3355" w:rsidRDefault="0098273B" w:rsidP="00EA1CDF">
            <w:pPr>
              <w:pStyle w:val="TableParagraph"/>
              <w:widowControl/>
              <w:ind w:left="103" w:right="34"/>
              <w:jc w:val="center"/>
              <w:rPr>
                <w:sz w:val="18"/>
              </w:rPr>
            </w:pPr>
            <w:r w:rsidRPr="00EE3355">
              <w:rPr>
                <w:sz w:val="18"/>
              </w:rPr>
              <w:t>56 (56 %)</w:t>
            </w:r>
          </w:p>
        </w:tc>
        <w:tc>
          <w:tcPr>
            <w:tcW w:w="1624" w:type="dxa"/>
            <w:tcBorders>
              <w:top w:val="nil"/>
              <w:left w:val="nil"/>
              <w:bottom w:val="nil"/>
            </w:tcBorders>
          </w:tcPr>
          <w:p w14:paraId="532C4BB5" w14:textId="77777777" w:rsidR="00222DE0" w:rsidRPr="00EE3355" w:rsidRDefault="0098273B" w:rsidP="00EA1CDF">
            <w:pPr>
              <w:pStyle w:val="TableParagraph"/>
              <w:widowControl/>
              <w:ind w:left="5" w:right="23"/>
              <w:jc w:val="center"/>
              <w:rPr>
                <w:sz w:val="18"/>
              </w:rPr>
            </w:pPr>
            <w:r w:rsidRPr="00EE3355">
              <w:rPr>
                <w:sz w:val="18"/>
              </w:rPr>
              <w:t>26 (53,1 %)</w:t>
            </w:r>
          </w:p>
        </w:tc>
      </w:tr>
      <w:tr w:rsidR="00222DE0" w:rsidRPr="00EE3355" w14:paraId="2B601E89" w14:textId="77777777" w:rsidTr="002265A0">
        <w:trPr>
          <w:cantSplit/>
          <w:trHeight w:val="20"/>
        </w:trPr>
        <w:tc>
          <w:tcPr>
            <w:tcW w:w="3052" w:type="dxa"/>
            <w:tcBorders>
              <w:top w:val="nil"/>
              <w:bottom w:val="nil"/>
              <w:right w:val="nil"/>
            </w:tcBorders>
          </w:tcPr>
          <w:p w14:paraId="5EE463F5" w14:textId="77777777" w:rsidR="00222DE0" w:rsidRPr="00EE3355" w:rsidRDefault="0098273B" w:rsidP="00EA1CDF">
            <w:pPr>
              <w:pStyle w:val="TableParagraph"/>
              <w:widowControl/>
              <w:ind w:left="496"/>
              <w:rPr>
                <w:sz w:val="18"/>
              </w:rPr>
            </w:pPr>
            <w:r w:rsidRPr="00EE3355">
              <w:rPr>
                <w:sz w:val="18"/>
              </w:rPr>
              <w:t>Neupravený rozdíl v zastoupení</w:t>
            </w:r>
          </w:p>
        </w:tc>
        <w:tc>
          <w:tcPr>
            <w:tcW w:w="1372" w:type="dxa"/>
            <w:tcBorders>
              <w:top w:val="nil"/>
              <w:left w:val="nil"/>
              <w:bottom w:val="nil"/>
              <w:right w:val="nil"/>
            </w:tcBorders>
          </w:tcPr>
          <w:p w14:paraId="7ADB9148" w14:textId="77777777" w:rsidR="00222DE0" w:rsidRPr="00EE3355" w:rsidRDefault="0098273B" w:rsidP="00EA1CDF">
            <w:pPr>
              <w:pStyle w:val="TableParagraph"/>
              <w:widowControl/>
              <w:ind w:left="41"/>
              <w:jc w:val="center"/>
              <w:rPr>
                <w:sz w:val="18"/>
              </w:rPr>
            </w:pPr>
            <w:r w:rsidRPr="00EE3355">
              <w:rPr>
                <w:sz w:val="18"/>
              </w:rPr>
              <w:t>N/A</w:t>
            </w:r>
          </w:p>
        </w:tc>
        <w:tc>
          <w:tcPr>
            <w:tcW w:w="1217" w:type="dxa"/>
            <w:tcBorders>
              <w:top w:val="nil"/>
              <w:left w:val="nil"/>
              <w:bottom w:val="nil"/>
              <w:right w:val="nil"/>
            </w:tcBorders>
          </w:tcPr>
          <w:p w14:paraId="54616AD8" w14:textId="77777777" w:rsidR="00222DE0" w:rsidRPr="00EE3355" w:rsidRDefault="0098273B" w:rsidP="00EA1CDF">
            <w:pPr>
              <w:pStyle w:val="TableParagraph"/>
              <w:widowControl/>
              <w:ind w:left="133" w:right="3"/>
              <w:jc w:val="center"/>
              <w:rPr>
                <w:sz w:val="18"/>
              </w:rPr>
            </w:pPr>
            <w:r w:rsidRPr="00EE3355">
              <w:rPr>
                <w:sz w:val="18"/>
              </w:rPr>
              <w:t>N/A</w:t>
            </w:r>
          </w:p>
        </w:tc>
        <w:tc>
          <w:tcPr>
            <w:tcW w:w="1512" w:type="dxa"/>
            <w:tcBorders>
              <w:top w:val="nil"/>
              <w:left w:val="nil"/>
              <w:bottom w:val="nil"/>
              <w:right w:val="nil"/>
            </w:tcBorders>
          </w:tcPr>
          <w:p w14:paraId="384CCBB1" w14:textId="77777777" w:rsidR="00222DE0" w:rsidRPr="00EE3355" w:rsidRDefault="0098273B" w:rsidP="00EA1CDF">
            <w:pPr>
              <w:pStyle w:val="TableParagraph"/>
              <w:widowControl/>
              <w:ind w:left="103" w:right="33"/>
              <w:jc w:val="center"/>
              <w:rPr>
                <w:sz w:val="18"/>
              </w:rPr>
            </w:pPr>
            <w:r w:rsidRPr="00EE3355">
              <w:rPr>
                <w:sz w:val="18"/>
              </w:rPr>
              <w:t>38,35 %*</w:t>
            </w:r>
          </w:p>
        </w:tc>
        <w:tc>
          <w:tcPr>
            <w:tcW w:w="1624" w:type="dxa"/>
            <w:tcBorders>
              <w:top w:val="nil"/>
              <w:left w:val="nil"/>
              <w:bottom w:val="nil"/>
            </w:tcBorders>
          </w:tcPr>
          <w:p w14:paraId="752F1C5D" w14:textId="77777777" w:rsidR="00222DE0" w:rsidRPr="00EE3355" w:rsidRDefault="0098273B" w:rsidP="00EA1CDF">
            <w:pPr>
              <w:pStyle w:val="TableParagraph"/>
              <w:widowControl/>
              <w:ind w:left="4" w:right="23"/>
              <w:jc w:val="center"/>
              <w:rPr>
                <w:sz w:val="18"/>
              </w:rPr>
            </w:pPr>
            <w:r w:rsidRPr="00EE3355">
              <w:rPr>
                <w:sz w:val="18"/>
              </w:rPr>
              <w:t>35,41 %*</w:t>
            </w:r>
          </w:p>
        </w:tc>
      </w:tr>
      <w:tr w:rsidR="00222DE0" w:rsidRPr="00EE3355" w14:paraId="468C1C1C" w14:textId="77777777" w:rsidTr="002265A0">
        <w:trPr>
          <w:cantSplit/>
          <w:trHeight w:val="20"/>
        </w:trPr>
        <w:tc>
          <w:tcPr>
            <w:tcW w:w="3052" w:type="dxa"/>
            <w:tcBorders>
              <w:top w:val="nil"/>
              <w:right w:val="nil"/>
            </w:tcBorders>
          </w:tcPr>
          <w:p w14:paraId="21804643" w14:textId="77777777" w:rsidR="00222DE0" w:rsidRPr="00EE3355" w:rsidRDefault="0098273B" w:rsidP="00EA1CDF">
            <w:pPr>
              <w:pStyle w:val="TableParagraph"/>
              <w:widowControl/>
              <w:ind w:left="496"/>
              <w:rPr>
                <w:sz w:val="18"/>
              </w:rPr>
            </w:pPr>
            <w:r w:rsidRPr="00EE3355">
              <w:rPr>
                <w:sz w:val="18"/>
              </w:rPr>
              <w:t>(99,5% CI)</w:t>
            </w:r>
          </w:p>
        </w:tc>
        <w:tc>
          <w:tcPr>
            <w:tcW w:w="1372" w:type="dxa"/>
            <w:tcBorders>
              <w:top w:val="nil"/>
              <w:left w:val="nil"/>
              <w:right w:val="nil"/>
            </w:tcBorders>
          </w:tcPr>
          <w:p w14:paraId="51143FAC" w14:textId="77777777" w:rsidR="00222DE0" w:rsidRPr="00EE3355" w:rsidRDefault="00222DE0" w:rsidP="00EA1CDF">
            <w:pPr>
              <w:pStyle w:val="TableParagraph"/>
              <w:widowControl/>
              <w:rPr>
                <w:sz w:val="16"/>
              </w:rPr>
            </w:pPr>
          </w:p>
        </w:tc>
        <w:tc>
          <w:tcPr>
            <w:tcW w:w="1217" w:type="dxa"/>
            <w:tcBorders>
              <w:top w:val="nil"/>
              <w:left w:val="nil"/>
              <w:right w:val="nil"/>
            </w:tcBorders>
          </w:tcPr>
          <w:p w14:paraId="10DB8054" w14:textId="77777777" w:rsidR="00222DE0" w:rsidRPr="00EE3355" w:rsidRDefault="00222DE0" w:rsidP="00EA1CDF">
            <w:pPr>
              <w:pStyle w:val="TableParagraph"/>
              <w:widowControl/>
              <w:rPr>
                <w:sz w:val="16"/>
              </w:rPr>
            </w:pPr>
          </w:p>
        </w:tc>
        <w:tc>
          <w:tcPr>
            <w:tcW w:w="1512" w:type="dxa"/>
            <w:tcBorders>
              <w:top w:val="nil"/>
              <w:left w:val="nil"/>
              <w:right w:val="nil"/>
            </w:tcBorders>
          </w:tcPr>
          <w:p w14:paraId="4FD6DDFF" w14:textId="77777777" w:rsidR="00222DE0" w:rsidRPr="00EE3355" w:rsidRDefault="0098273B" w:rsidP="00EA1CDF">
            <w:pPr>
              <w:pStyle w:val="TableParagraph"/>
              <w:widowControl/>
              <w:ind w:left="104" w:right="33"/>
              <w:jc w:val="center"/>
              <w:rPr>
                <w:sz w:val="18"/>
              </w:rPr>
            </w:pPr>
            <w:r w:rsidRPr="00EE3355">
              <w:rPr>
                <w:sz w:val="18"/>
              </w:rPr>
              <w:t>(17,89; 58,81)</w:t>
            </w:r>
          </w:p>
        </w:tc>
        <w:tc>
          <w:tcPr>
            <w:tcW w:w="1624" w:type="dxa"/>
            <w:tcBorders>
              <w:top w:val="nil"/>
              <w:left w:val="nil"/>
            </w:tcBorders>
          </w:tcPr>
          <w:p w14:paraId="010F646B" w14:textId="77777777" w:rsidR="00222DE0" w:rsidRPr="00EE3355" w:rsidRDefault="0098273B" w:rsidP="00EA1CDF">
            <w:pPr>
              <w:pStyle w:val="TableParagraph"/>
              <w:widowControl/>
              <w:ind w:left="5" w:right="23"/>
              <w:jc w:val="center"/>
              <w:rPr>
                <w:sz w:val="18"/>
              </w:rPr>
            </w:pPr>
            <w:r w:rsidRPr="00EE3355">
              <w:rPr>
                <w:sz w:val="18"/>
              </w:rPr>
              <w:t>(10,41; 60,41)</w:t>
            </w:r>
          </w:p>
        </w:tc>
      </w:tr>
      <w:tr w:rsidR="00222DE0" w:rsidRPr="00EE3355" w14:paraId="3275140D" w14:textId="77777777" w:rsidTr="002265A0">
        <w:trPr>
          <w:cantSplit/>
          <w:trHeight w:val="20"/>
        </w:trPr>
        <w:tc>
          <w:tcPr>
            <w:tcW w:w="8777" w:type="dxa"/>
            <w:gridSpan w:val="5"/>
            <w:tcBorders>
              <w:bottom w:val="single" w:sz="4" w:space="0" w:color="000000"/>
            </w:tcBorders>
          </w:tcPr>
          <w:p w14:paraId="081F43B4" w14:textId="77777777" w:rsidR="00222DE0" w:rsidRPr="00EE3355" w:rsidRDefault="0098273B" w:rsidP="00EA1CDF">
            <w:pPr>
              <w:pStyle w:val="TableParagraph"/>
              <w:keepNext/>
              <w:widowControl/>
              <w:ind w:left="119"/>
              <w:rPr>
                <w:b/>
                <w:sz w:val="18"/>
              </w:rPr>
            </w:pPr>
            <w:r w:rsidRPr="00EE3355">
              <w:rPr>
                <w:b/>
                <w:sz w:val="18"/>
              </w:rPr>
              <w:lastRenderedPageBreak/>
              <w:t>Ostatní sekundární cílové parametry</w:t>
            </w:r>
          </w:p>
        </w:tc>
      </w:tr>
      <w:tr w:rsidR="00222DE0" w:rsidRPr="00EE3355" w14:paraId="703CEA49" w14:textId="77777777" w:rsidTr="002265A0">
        <w:trPr>
          <w:cantSplit/>
          <w:trHeight w:val="20"/>
        </w:trPr>
        <w:tc>
          <w:tcPr>
            <w:tcW w:w="3052" w:type="dxa"/>
            <w:tcBorders>
              <w:bottom w:val="nil"/>
              <w:right w:val="nil"/>
            </w:tcBorders>
          </w:tcPr>
          <w:p w14:paraId="508F1163" w14:textId="77777777" w:rsidR="00222DE0" w:rsidRPr="00EE3355" w:rsidRDefault="0098273B" w:rsidP="00EA1CDF">
            <w:pPr>
              <w:pStyle w:val="TableParagraph"/>
              <w:keepNext/>
              <w:widowControl/>
              <w:ind w:left="119"/>
              <w:rPr>
                <w:sz w:val="18"/>
              </w:rPr>
            </w:pPr>
            <w:r w:rsidRPr="00EE3355">
              <w:rPr>
                <w:sz w:val="18"/>
              </w:rPr>
              <w:t>Doba do prvního relapsu GCA¹ (skupiny</w:t>
            </w:r>
          </w:p>
        </w:tc>
        <w:tc>
          <w:tcPr>
            <w:tcW w:w="1372" w:type="dxa"/>
            <w:tcBorders>
              <w:left w:val="nil"/>
              <w:bottom w:val="nil"/>
              <w:right w:val="nil"/>
            </w:tcBorders>
          </w:tcPr>
          <w:p w14:paraId="1B9AD490" w14:textId="77777777" w:rsidR="00222DE0" w:rsidRPr="00EE3355" w:rsidRDefault="0098273B" w:rsidP="00EA1CDF">
            <w:pPr>
              <w:pStyle w:val="TableParagraph"/>
              <w:keepNext/>
              <w:widowControl/>
              <w:ind w:left="41"/>
              <w:jc w:val="center"/>
              <w:rPr>
                <w:sz w:val="18"/>
              </w:rPr>
            </w:pPr>
            <w:r w:rsidRPr="00EE3355">
              <w:rPr>
                <w:sz w:val="18"/>
              </w:rPr>
              <w:t>N/A</w:t>
            </w:r>
          </w:p>
        </w:tc>
        <w:tc>
          <w:tcPr>
            <w:tcW w:w="1217" w:type="dxa"/>
            <w:tcBorders>
              <w:left w:val="nil"/>
              <w:bottom w:val="nil"/>
              <w:right w:val="nil"/>
            </w:tcBorders>
          </w:tcPr>
          <w:p w14:paraId="1DD96ABC" w14:textId="77777777" w:rsidR="00222DE0" w:rsidRPr="00EE3355" w:rsidRDefault="0098273B" w:rsidP="00EA1CDF">
            <w:pPr>
              <w:pStyle w:val="TableParagraph"/>
              <w:keepNext/>
              <w:widowControl/>
              <w:ind w:left="133" w:right="3"/>
              <w:jc w:val="center"/>
              <w:rPr>
                <w:sz w:val="18"/>
              </w:rPr>
            </w:pPr>
            <w:r w:rsidRPr="00EE3355">
              <w:rPr>
                <w:sz w:val="18"/>
              </w:rPr>
              <w:t>N/A</w:t>
            </w:r>
          </w:p>
        </w:tc>
        <w:tc>
          <w:tcPr>
            <w:tcW w:w="1512" w:type="dxa"/>
            <w:tcBorders>
              <w:left w:val="nil"/>
              <w:bottom w:val="nil"/>
              <w:right w:val="nil"/>
            </w:tcBorders>
          </w:tcPr>
          <w:p w14:paraId="38E080A5" w14:textId="77777777" w:rsidR="00222DE0" w:rsidRPr="00EE3355" w:rsidRDefault="0098273B" w:rsidP="00EA1CDF">
            <w:pPr>
              <w:pStyle w:val="TableParagraph"/>
              <w:keepNext/>
              <w:widowControl/>
              <w:ind w:left="104" w:right="33"/>
              <w:jc w:val="center"/>
              <w:rPr>
                <w:sz w:val="18"/>
              </w:rPr>
            </w:pPr>
            <w:r w:rsidRPr="00EE3355">
              <w:rPr>
                <w:sz w:val="18"/>
              </w:rPr>
              <w:t>0,23*</w:t>
            </w:r>
          </w:p>
        </w:tc>
        <w:tc>
          <w:tcPr>
            <w:tcW w:w="1624" w:type="dxa"/>
            <w:tcBorders>
              <w:left w:val="nil"/>
              <w:bottom w:val="nil"/>
            </w:tcBorders>
          </w:tcPr>
          <w:p w14:paraId="17B40552" w14:textId="77777777" w:rsidR="00222DE0" w:rsidRPr="00EE3355" w:rsidRDefault="0098273B" w:rsidP="00EA1CDF">
            <w:pPr>
              <w:pStyle w:val="TableParagraph"/>
              <w:keepNext/>
              <w:widowControl/>
              <w:ind w:left="2" w:right="23"/>
              <w:jc w:val="center"/>
              <w:rPr>
                <w:sz w:val="18"/>
              </w:rPr>
            </w:pPr>
            <w:r w:rsidRPr="00EE3355">
              <w:rPr>
                <w:sz w:val="18"/>
              </w:rPr>
              <w:t>0,28**</w:t>
            </w:r>
          </w:p>
        </w:tc>
      </w:tr>
      <w:tr w:rsidR="00222DE0" w:rsidRPr="00EE3355" w14:paraId="364B76DB" w14:textId="77777777" w:rsidTr="002265A0">
        <w:trPr>
          <w:cantSplit/>
          <w:trHeight w:val="20"/>
        </w:trPr>
        <w:tc>
          <w:tcPr>
            <w:tcW w:w="3052" w:type="dxa"/>
            <w:tcBorders>
              <w:top w:val="nil"/>
              <w:bottom w:val="nil"/>
              <w:right w:val="nil"/>
            </w:tcBorders>
          </w:tcPr>
          <w:p w14:paraId="6BF4E801" w14:textId="77777777" w:rsidR="00222DE0" w:rsidRPr="00EE3355" w:rsidRDefault="0098273B" w:rsidP="00EA1CDF">
            <w:pPr>
              <w:pStyle w:val="TableParagraph"/>
              <w:keepNext/>
              <w:widowControl/>
              <w:ind w:left="119"/>
              <w:rPr>
                <w:sz w:val="18"/>
              </w:rPr>
            </w:pPr>
            <w:r w:rsidRPr="00EE3355">
              <w:rPr>
                <w:sz w:val="18"/>
              </w:rPr>
              <w:t>s tocilizumabem vs. placebo + 26) HR (99% CI)</w:t>
            </w:r>
          </w:p>
        </w:tc>
        <w:tc>
          <w:tcPr>
            <w:tcW w:w="1372" w:type="dxa"/>
            <w:tcBorders>
              <w:top w:val="nil"/>
              <w:left w:val="nil"/>
              <w:bottom w:val="nil"/>
              <w:right w:val="nil"/>
            </w:tcBorders>
          </w:tcPr>
          <w:p w14:paraId="2D756760" w14:textId="77777777" w:rsidR="00222DE0" w:rsidRPr="00EE3355" w:rsidRDefault="00222DE0" w:rsidP="00EA1CDF">
            <w:pPr>
              <w:pStyle w:val="TableParagraph"/>
              <w:keepNext/>
              <w:widowControl/>
              <w:rPr>
                <w:sz w:val="14"/>
              </w:rPr>
            </w:pPr>
          </w:p>
        </w:tc>
        <w:tc>
          <w:tcPr>
            <w:tcW w:w="1217" w:type="dxa"/>
            <w:tcBorders>
              <w:top w:val="nil"/>
              <w:left w:val="nil"/>
              <w:bottom w:val="nil"/>
              <w:right w:val="nil"/>
            </w:tcBorders>
          </w:tcPr>
          <w:p w14:paraId="0C0B8ED7" w14:textId="77777777" w:rsidR="00222DE0" w:rsidRPr="00EE3355" w:rsidRDefault="00222DE0" w:rsidP="00EA1CDF">
            <w:pPr>
              <w:pStyle w:val="TableParagraph"/>
              <w:keepNext/>
              <w:widowControl/>
              <w:rPr>
                <w:sz w:val="14"/>
              </w:rPr>
            </w:pPr>
          </w:p>
        </w:tc>
        <w:tc>
          <w:tcPr>
            <w:tcW w:w="1512" w:type="dxa"/>
            <w:tcBorders>
              <w:top w:val="nil"/>
              <w:left w:val="nil"/>
              <w:bottom w:val="nil"/>
              <w:right w:val="nil"/>
            </w:tcBorders>
          </w:tcPr>
          <w:p w14:paraId="32739417" w14:textId="77777777" w:rsidR="00222DE0" w:rsidRPr="00EE3355" w:rsidRDefault="0098273B" w:rsidP="00EA1CDF">
            <w:pPr>
              <w:pStyle w:val="TableParagraph"/>
              <w:keepNext/>
              <w:widowControl/>
              <w:ind w:left="107" w:right="33"/>
              <w:jc w:val="center"/>
              <w:rPr>
                <w:sz w:val="18"/>
              </w:rPr>
            </w:pPr>
            <w:r w:rsidRPr="00EE3355">
              <w:rPr>
                <w:sz w:val="18"/>
              </w:rPr>
              <w:t>(0,11; 0,46)</w:t>
            </w:r>
          </w:p>
        </w:tc>
        <w:tc>
          <w:tcPr>
            <w:tcW w:w="1624" w:type="dxa"/>
            <w:tcBorders>
              <w:top w:val="nil"/>
              <w:left w:val="nil"/>
              <w:bottom w:val="nil"/>
            </w:tcBorders>
          </w:tcPr>
          <w:p w14:paraId="170502DC" w14:textId="77777777" w:rsidR="00222DE0" w:rsidRPr="00EE3355" w:rsidRDefault="0098273B" w:rsidP="00EA1CDF">
            <w:pPr>
              <w:pStyle w:val="TableParagraph"/>
              <w:keepNext/>
              <w:widowControl/>
              <w:ind w:left="8" w:right="23"/>
              <w:jc w:val="center"/>
              <w:rPr>
                <w:sz w:val="18"/>
              </w:rPr>
            </w:pPr>
            <w:r w:rsidRPr="00EE3355">
              <w:rPr>
                <w:sz w:val="18"/>
              </w:rPr>
              <w:t>(0,12; 0,66)</w:t>
            </w:r>
          </w:p>
        </w:tc>
      </w:tr>
      <w:tr w:rsidR="00222DE0" w:rsidRPr="00EE3355" w14:paraId="3773B332" w14:textId="77777777" w:rsidTr="002265A0">
        <w:trPr>
          <w:cantSplit/>
          <w:trHeight w:val="20"/>
        </w:trPr>
        <w:tc>
          <w:tcPr>
            <w:tcW w:w="3052" w:type="dxa"/>
            <w:tcBorders>
              <w:top w:val="nil"/>
              <w:bottom w:val="nil"/>
              <w:right w:val="nil"/>
            </w:tcBorders>
          </w:tcPr>
          <w:p w14:paraId="081B8D99" w14:textId="77777777" w:rsidR="00222DE0" w:rsidRPr="00EE3355" w:rsidRDefault="0098273B" w:rsidP="00EA1CDF">
            <w:pPr>
              <w:pStyle w:val="TableParagraph"/>
              <w:widowControl/>
              <w:ind w:left="119"/>
              <w:rPr>
                <w:sz w:val="18"/>
              </w:rPr>
            </w:pPr>
            <w:r w:rsidRPr="00EE3355">
              <w:rPr>
                <w:sz w:val="18"/>
              </w:rPr>
              <w:t>Doba do prvního relapsu GCA¹ (skupiny</w:t>
            </w:r>
          </w:p>
        </w:tc>
        <w:tc>
          <w:tcPr>
            <w:tcW w:w="1372" w:type="dxa"/>
            <w:tcBorders>
              <w:top w:val="nil"/>
              <w:left w:val="nil"/>
              <w:bottom w:val="nil"/>
              <w:right w:val="nil"/>
            </w:tcBorders>
          </w:tcPr>
          <w:p w14:paraId="2413D87C" w14:textId="77777777" w:rsidR="00222DE0" w:rsidRPr="00EE3355" w:rsidRDefault="0098273B" w:rsidP="00EA1CDF">
            <w:pPr>
              <w:pStyle w:val="TableParagraph"/>
              <w:widowControl/>
              <w:ind w:left="41"/>
              <w:jc w:val="center"/>
              <w:rPr>
                <w:sz w:val="18"/>
              </w:rPr>
            </w:pPr>
            <w:r w:rsidRPr="00EE3355">
              <w:rPr>
                <w:sz w:val="18"/>
              </w:rPr>
              <w:t>N/A</w:t>
            </w:r>
          </w:p>
        </w:tc>
        <w:tc>
          <w:tcPr>
            <w:tcW w:w="1217" w:type="dxa"/>
            <w:tcBorders>
              <w:top w:val="nil"/>
              <w:left w:val="nil"/>
              <w:bottom w:val="nil"/>
              <w:right w:val="nil"/>
            </w:tcBorders>
          </w:tcPr>
          <w:p w14:paraId="2864E5D7" w14:textId="77777777" w:rsidR="00222DE0" w:rsidRPr="00EE3355" w:rsidRDefault="0098273B" w:rsidP="00EA1CDF">
            <w:pPr>
              <w:pStyle w:val="TableParagraph"/>
              <w:widowControl/>
              <w:ind w:left="133" w:right="3"/>
              <w:jc w:val="center"/>
              <w:rPr>
                <w:sz w:val="18"/>
              </w:rPr>
            </w:pPr>
            <w:r w:rsidRPr="00EE3355">
              <w:rPr>
                <w:sz w:val="18"/>
              </w:rPr>
              <w:t>N/A</w:t>
            </w:r>
          </w:p>
        </w:tc>
        <w:tc>
          <w:tcPr>
            <w:tcW w:w="1512" w:type="dxa"/>
            <w:tcBorders>
              <w:top w:val="nil"/>
              <w:left w:val="nil"/>
              <w:bottom w:val="nil"/>
              <w:right w:val="nil"/>
            </w:tcBorders>
          </w:tcPr>
          <w:p w14:paraId="41D225F3" w14:textId="77777777" w:rsidR="00222DE0" w:rsidRPr="00EE3355" w:rsidRDefault="0098273B" w:rsidP="00EA1CDF">
            <w:pPr>
              <w:pStyle w:val="TableParagraph"/>
              <w:widowControl/>
              <w:ind w:left="103" w:right="36"/>
              <w:jc w:val="center"/>
              <w:rPr>
                <w:sz w:val="18"/>
              </w:rPr>
            </w:pPr>
            <w:r w:rsidRPr="00EE3355">
              <w:rPr>
                <w:sz w:val="18"/>
              </w:rPr>
              <w:t>0,39**</w:t>
            </w:r>
          </w:p>
        </w:tc>
        <w:tc>
          <w:tcPr>
            <w:tcW w:w="1624" w:type="dxa"/>
            <w:tcBorders>
              <w:top w:val="nil"/>
              <w:left w:val="nil"/>
              <w:bottom w:val="nil"/>
            </w:tcBorders>
          </w:tcPr>
          <w:p w14:paraId="3606A1A3" w14:textId="77777777" w:rsidR="00222DE0" w:rsidRPr="00EE3355" w:rsidRDefault="0098273B" w:rsidP="00EA1CDF">
            <w:pPr>
              <w:pStyle w:val="TableParagraph"/>
              <w:widowControl/>
              <w:ind w:left="1" w:right="23"/>
              <w:jc w:val="center"/>
              <w:rPr>
                <w:sz w:val="18"/>
              </w:rPr>
            </w:pPr>
            <w:r w:rsidRPr="00EE3355">
              <w:rPr>
                <w:sz w:val="18"/>
              </w:rPr>
              <w:t>0,48</w:t>
            </w:r>
          </w:p>
        </w:tc>
      </w:tr>
      <w:tr w:rsidR="00222DE0" w:rsidRPr="00EE3355" w14:paraId="69BC14E6" w14:textId="77777777" w:rsidTr="002265A0">
        <w:trPr>
          <w:cantSplit/>
          <w:trHeight w:val="20"/>
        </w:trPr>
        <w:tc>
          <w:tcPr>
            <w:tcW w:w="3052" w:type="dxa"/>
            <w:tcBorders>
              <w:top w:val="nil"/>
              <w:bottom w:val="nil"/>
              <w:right w:val="nil"/>
            </w:tcBorders>
          </w:tcPr>
          <w:p w14:paraId="6CAE5BDB" w14:textId="77777777" w:rsidR="00222DE0" w:rsidRPr="00EE3355" w:rsidRDefault="0098273B" w:rsidP="00EA1CDF">
            <w:pPr>
              <w:pStyle w:val="TableParagraph"/>
              <w:widowControl/>
              <w:ind w:left="119"/>
              <w:rPr>
                <w:sz w:val="18"/>
              </w:rPr>
            </w:pPr>
            <w:r w:rsidRPr="00EE3355">
              <w:rPr>
                <w:sz w:val="18"/>
              </w:rPr>
              <w:t>s tocilizumabem vs. placebo + 52) HR (99% CI)</w:t>
            </w:r>
          </w:p>
        </w:tc>
        <w:tc>
          <w:tcPr>
            <w:tcW w:w="1372" w:type="dxa"/>
            <w:tcBorders>
              <w:top w:val="nil"/>
              <w:left w:val="nil"/>
              <w:bottom w:val="nil"/>
              <w:right w:val="nil"/>
            </w:tcBorders>
          </w:tcPr>
          <w:p w14:paraId="7806C077"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36128241"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7F1BB62D" w14:textId="77777777" w:rsidR="00222DE0" w:rsidRPr="00EE3355" w:rsidRDefault="0098273B" w:rsidP="00EA1CDF">
            <w:pPr>
              <w:pStyle w:val="TableParagraph"/>
              <w:widowControl/>
              <w:ind w:left="103" w:right="34"/>
              <w:jc w:val="center"/>
              <w:rPr>
                <w:sz w:val="18"/>
              </w:rPr>
            </w:pPr>
            <w:r w:rsidRPr="00EE3355">
              <w:rPr>
                <w:sz w:val="18"/>
              </w:rPr>
              <w:t>(0,18; 0,82)</w:t>
            </w:r>
          </w:p>
        </w:tc>
        <w:tc>
          <w:tcPr>
            <w:tcW w:w="1624" w:type="dxa"/>
            <w:tcBorders>
              <w:top w:val="nil"/>
              <w:left w:val="nil"/>
              <w:bottom w:val="nil"/>
            </w:tcBorders>
          </w:tcPr>
          <w:p w14:paraId="6528CFE3" w14:textId="77777777" w:rsidR="00222DE0" w:rsidRPr="00EE3355" w:rsidRDefault="0098273B" w:rsidP="00EA1CDF">
            <w:pPr>
              <w:pStyle w:val="TableParagraph"/>
              <w:widowControl/>
              <w:ind w:left="3" w:right="23"/>
              <w:jc w:val="center"/>
              <w:rPr>
                <w:sz w:val="18"/>
              </w:rPr>
            </w:pPr>
            <w:r w:rsidRPr="00EE3355">
              <w:rPr>
                <w:sz w:val="18"/>
              </w:rPr>
              <w:t>(0,20; 1,16)</w:t>
            </w:r>
          </w:p>
        </w:tc>
      </w:tr>
      <w:tr w:rsidR="00222DE0" w:rsidRPr="00EE3355" w14:paraId="09F6708F" w14:textId="77777777" w:rsidTr="002265A0">
        <w:trPr>
          <w:cantSplit/>
          <w:trHeight w:val="20"/>
        </w:trPr>
        <w:tc>
          <w:tcPr>
            <w:tcW w:w="3052" w:type="dxa"/>
            <w:tcBorders>
              <w:top w:val="nil"/>
              <w:bottom w:val="nil"/>
              <w:right w:val="nil"/>
            </w:tcBorders>
          </w:tcPr>
          <w:p w14:paraId="6F7AA8CC" w14:textId="77777777" w:rsidR="00222DE0" w:rsidRPr="00EE3355" w:rsidRDefault="0098273B" w:rsidP="00EA1CDF">
            <w:pPr>
              <w:pStyle w:val="TableParagraph"/>
              <w:widowControl/>
              <w:ind w:left="119"/>
              <w:rPr>
                <w:sz w:val="18"/>
              </w:rPr>
            </w:pPr>
            <w:r w:rsidRPr="00EE3355">
              <w:rPr>
                <w:sz w:val="18"/>
              </w:rPr>
              <w:t>Doba do prvního relapsu GCA¹ (relabující</w:t>
            </w:r>
          </w:p>
        </w:tc>
        <w:tc>
          <w:tcPr>
            <w:tcW w:w="1372" w:type="dxa"/>
            <w:tcBorders>
              <w:top w:val="nil"/>
              <w:left w:val="nil"/>
              <w:bottom w:val="nil"/>
              <w:right w:val="nil"/>
            </w:tcBorders>
          </w:tcPr>
          <w:p w14:paraId="4FAA93DE" w14:textId="77777777" w:rsidR="00222DE0" w:rsidRPr="00EE3355" w:rsidRDefault="0098273B" w:rsidP="00EA1CDF">
            <w:pPr>
              <w:pStyle w:val="TableParagraph"/>
              <w:widowControl/>
              <w:ind w:left="41"/>
              <w:jc w:val="center"/>
              <w:rPr>
                <w:sz w:val="18"/>
              </w:rPr>
            </w:pPr>
            <w:r w:rsidRPr="00EE3355">
              <w:rPr>
                <w:sz w:val="18"/>
              </w:rPr>
              <w:t>N/A</w:t>
            </w:r>
          </w:p>
        </w:tc>
        <w:tc>
          <w:tcPr>
            <w:tcW w:w="1217" w:type="dxa"/>
            <w:tcBorders>
              <w:top w:val="nil"/>
              <w:left w:val="nil"/>
              <w:bottom w:val="nil"/>
              <w:right w:val="nil"/>
            </w:tcBorders>
          </w:tcPr>
          <w:p w14:paraId="5DF78BEE" w14:textId="77777777" w:rsidR="00222DE0" w:rsidRPr="00EE3355" w:rsidRDefault="0098273B" w:rsidP="00EA1CDF">
            <w:pPr>
              <w:pStyle w:val="TableParagraph"/>
              <w:widowControl/>
              <w:ind w:left="133" w:right="3"/>
              <w:jc w:val="center"/>
              <w:rPr>
                <w:sz w:val="18"/>
              </w:rPr>
            </w:pPr>
            <w:r w:rsidRPr="00EE3355">
              <w:rPr>
                <w:sz w:val="18"/>
              </w:rPr>
              <w:t>N/A</w:t>
            </w:r>
          </w:p>
        </w:tc>
        <w:tc>
          <w:tcPr>
            <w:tcW w:w="1512" w:type="dxa"/>
            <w:tcBorders>
              <w:top w:val="nil"/>
              <w:left w:val="nil"/>
              <w:bottom w:val="nil"/>
              <w:right w:val="nil"/>
            </w:tcBorders>
          </w:tcPr>
          <w:p w14:paraId="7CC012F5" w14:textId="77777777" w:rsidR="00222DE0" w:rsidRPr="00EE3355" w:rsidRDefault="0098273B" w:rsidP="00EA1CDF">
            <w:pPr>
              <w:pStyle w:val="TableParagraph"/>
              <w:widowControl/>
              <w:ind w:left="103" w:right="36"/>
              <w:jc w:val="center"/>
              <w:rPr>
                <w:sz w:val="18"/>
              </w:rPr>
            </w:pPr>
            <w:r w:rsidRPr="00EE3355">
              <w:rPr>
                <w:sz w:val="18"/>
              </w:rPr>
              <w:t>0,23***</w:t>
            </w:r>
          </w:p>
        </w:tc>
        <w:tc>
          <w:tcPr>
            <w:tcW w:w="1624" w:type="dxa"/>
            <w:tcBorders>
              <w:top w:val="nil"/>
              <w:left w:val="nil"/>
              <w:bottom w:val="nil"/>
            </w:tcBorders>
          </w:tcPr>
          <w:p w14:paraId="6FA4379D" w14:textId="77777777" w:rsidR="00222DE0" w:rsidRPr="00EE3355" w:rsidRDefault="0098273B" w:rsidP="00EA1CDF">
            <w:pPr>
              <w:pStyle w:val="TableParagraph"/>
              <w:widowControl/>
              <w:ind w:left="1" w:right="23"/>
              <w:jc w:val="center"/>
              <w:rPr>
                <w:sz w:val="18"/>
              </w:rPr>
            </w:pPr>
            <w:r w:rsidRPr="00EE3355">
              <w:rPr>
                <w:sz w:val="18"/>
              </w:rPr>
              <w:t>0,42</w:t>
            </w:r>
          </w:p>
        </w:tc>
      </w:tr>
      <w:tr w:rsidR="00222DE0" w:rsidRPr="00EE3355" w14:paraId="05AD6EBC" w14:textId="77777777" w:rsidTr="002265A0">
        <w:trPr>
          <w:cantSplit/>
          <w:trHeight w:val="20"/>
        </w:trPr>
        <w:tc>
          <w:tcPr>
            <w:tcW w:w="3052" w:type="dxa"/>
            <w:tcBorders>
              <w:top w:val="nil"/>
              <w:bottom w:val="nil"/>
              <w:right w:val="nil"/>
            </w:tcBorders>
          </w:tcPr>
          <w:p w14:paraId="4E48CE6D" w14:textId="77777777" w:rsidR="00222DE0" w:rsidRPr="00EE3355" w:rsidRDefault="0098273B" w:rsidP="00EA1CDF">
            <w:pPr>
              <w:pStyle w:val="TableParagraph"/>
              <w:widowControl/>
              <w:ind w:left="119"/>
              <w:rPr>
                <w:sz w:val="18"/>
              </w:rPr>
            </w:pPr>
            <w:r w:rsidRPr="00EE3355">
              <w:rPr>
                <w:sz w:val="18"/>
              </w:rPr>
              <w:t>pacienti; skupiny s tocilizumabem</w:t>
            </w:r>
          </w:p>
        </w:tc>
        <w:tc>
          <w:tcPr>
            <w:tcW w:w="1372" w:type="dxa"/>
            <w:tcBorders>
              <w:top w:val="nil"/>
              <w:left w:val="nil"/>
              <w:bottom w:val="nil"/>
              <w:right w:val="nil"/>
            </w:tcBorders>
          </w:tcPr>
          <w:p w14:paraId="5A241971"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35F0E8D5"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7620F29E" w14:textId="77777777" w:rsidR="00222DE0" w:rsidRPr="00EE3355" w:rsidRDefault="0098273B" w:rsidP="00EA1CDF">
            <w:pPr>
              <w:pStyle w:val="TableParagraph"/>
              <w:widowControl/>
              <w:ind w:left="107" w:right="33"/>
              <w:jc w:val="center"/>
              <w:rPr>
                <w:sz w:val="18"/>
              </w:rPr>
            </w:pPr>
            <w:r w:rsidRPr="00EE3355">
              <w:rPr>
                <w:sz w:val="18"/>
              </w:rPr>
              <w:t>(0,09; 0,61)</w:t>
            </w:r>
          </w:p>
        </w:tc>
        <w:tc>
          <w:tcPr>
            <w:tcW w:w="1624" w:type="dxa"/>
            <w:tcBorders>
              <w:top w:val="nil"/>
              <w:left w:val="nil"/>
              <w:bottom w:val="nil"/>
            </w:tcBorders>
          </w:tcPr>
          <w:p w14:paraId="69087CED" w14:textId="77777777" w:rsidR="00222DE0" w:rsidRPr="00EE3355" w:rsidRDefault="0098273B" w:rsidP="00EA1CDF">
            <w:pPr>
              <w:pStyle w:val="TableParagraph"/>
              <w:widowControl/>
              <w:ind w:left="8" w:right="23"/>
              <w:jc w:val="center"/>
              <w:rPr>
                <w:sz w:val="18"/>
              </w:rPr>
            </w:pPr>
            <w:r w:rsidRPr="00EE3355">
              <w:rPr>
                <w:sz w:val="18"/>
              </w:rPr>
              <w:t>(0,14; 1,28)</w:t>
            </w:r>
          </w:p>
        </w:tc>
      </w:tr>
      <w:tr w:rsidR="00222DE0" w:rsidRPr="00EE3355" w14:paraId="2EB56A92" w14:textId="77777777" w:rsidTr="002265A0">
        <w:trPr>
          <w:cantSplit/>
          <w:trHeight w:val="20"/>
        </w:trPr>
        <w:tc>
          <w:tcPr>
            <w:tcW w:w="3052" w:type="dxa"/>
            <w:tcBorders>
              <w:top w:val="nil"/>
              <w:bottom w:val="nil"/>
              <w:right w:val="nil"/>
            </w:tcBorders>
          </w:tcPr>
          <w:p w14:paraId="697DE595" w14:textId="77777777" w:rsidR="00222DE0" w:rsidRPr="00EE3355" w:rsidRDefault="0098273B" w:rsidP="00EA1CDF">
            <w:pPr>
              <w:pStyle w:val="TableParagraph"/>
              <w:widowControl/>
              <w:ind w:left="119"/>
              <w:rPr>
                <w:sz w:val="18"/>
              </w:rPr>
            </w:pPr>
            <w:r w:rsidRPr="00EE3355">
              <w:rPr>
                <w:sz w:val="18"/>
              </w:rPr>
              <w:t>vs. placebo + 26) HR (99% CI)</w:t>
            </w:r>
          </w:p>
        </w:tc>
        <w:tc>
          <w:tcPr>
            <w:tcW w:w="1372" w:type="dxa"/>
            <w:tcBorders>
              <w:top w:val="nil"/>
              <w:left w:val="nil"/>
              <w:bottom w:val="nil"/>
              <w:right w:val="nil"/>
            </w:tcBorders>
          </w:tcPr>
          <w:p w14:paraId="1DDD6351"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5137DA44"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66BD3340" w14:textId="77777777" w:rsidR="00222DE0" w:rsidRPr="00EE3355" w:rsidRDefault="00222DE0" w:rsidP="00EA1CDF">
            <w:pPr>
              <w:pStyle w:val="TableParagraph"/>
              <w:widowControl/>
              <w:rPr>
                <w:sz w:val="14"/>
              </w:rPr>
            </w:pPr>
          </w:p>
        </w:tc>
        <w:tc>
          <w:tcPr>
            <w:tcW w:w="1624" w:type="dxa"/>
            <w:tcBorders>
              <w:top w:val="nil"/>
              <w:left w:val="nil"/>
              <w:bottom w:val="nil"/>
            </w:tcBorders>
          </w:tcPr>
          <w:p w14:paraId="03640235" w14:textId="77777777" w:rsidR="00222DE0" w:rsidRPr="00EE3355" w:rsidRDefault="00222DE0" w:rsidP="00EA1CDF">
            <w:pPr>
              <w:pStyle w:val="TableParagraph"/>
              <w:widowControl/>
              <w:rPr>
                <w:sz w:val="14"/>
              </w:rPr>
            </w:pPr>
          </w:p>
        </w:tc>
      </w:tr>
      <w:tr w:rsidR="00222DE0" w:rsidRPr="00EE3355" w14:paraId="328C1A2F" w14:textId="77777777" w:rsidTr="002265A0">
        <w:trPr>
          <w:cantSplit/>
          <w:trHeight w:val="20"/>
        </w:trPr>
        <w:tc>
          <w:tcPr>
            <w:tcW w:w="3052" w:type="dxa"/>
            <w:tcBorders>
              <w:top w:val="nil"/>
              <w:bottom w:val="nil"/>
              <w:right w:val="nil"/>
            </w:tcBorders>
          </w:tcPr>
          <w:p w14:paraId="00C6292D" w14:textId="77777777" w:rsidR="00222DE0" w:rsidRPr="00EE3355" w:rsidRDefault="0098273B" w:rsidP="00EA1CDF">
            <w:pPr>
              <w:pStyle w:val="TableParagraph"/>
              <w:widowControl/>
              <w:ind w:left="119"/>
              <w:rPr>
                <w:sz w:val="18"/>
              </w:rPr>
            </w:pPr>
            <w:r w:rsidRPr="00EE3355">
              <w:rPr>
                <w:sz w:val="18"/>
              </w:rPr>
              <w:t>Doba do prvního relapsu GCA¹ (relabující</w:t>
            </w:r>
          </w:p>
        </w:tc>
        <w:tc>
          <w:tcPr>
            <w:tcW w:w="1372" w:type="dxa"/>
            <w:tcBorders>
              <w:top w:val="nil"/>
              <w:left w:val="nil"/>
              <w:bottom w:val="nil"/>
              <w:right w:val="nil"/>
            </w:tcBorders>
          </w:tcPr>
          <w:p w14:paraId="4D26576C" w14:textId="77777777" w:rsidR="00222DE0" w:rsidRPr="00EE3355" w:rsidRDefault="0098273B" w:rsidP="00EA1CDF">
            <w:pPr>
              <w:pStyle w:val="TableParagraph"/>
              <w:widowControl/>
              <w:ind w:left="41"/>
              <w:jc w:val="center"/>
              <w:rPr>
                <w:sz w:val="18"/>
              </w:rPr>
            </w:pPr>
            <w:r w:rsidRPr="00EE3355">
              <w:rPr>
                <w:sz w:val="18"/>
              </w:rPr>
              <w:t>N/A</w:t>
            </w:r>
          </w:p>
        </w:tc>
        <w:tc>
          <w:tcPr>
            <w:tcW w:w="1217" w:type="dxa"/>
            <w:tcBorders>
              <w:top w:val="nil"/>
              <w:left w:val="nil"/>
              <w:bottom w:val="nil"/>
              <w:right w:val="nil"/>
            </w:tcBorders>
          </w:tcPr>
          <w:p w14:paraId="52F4AD4A" w14:textId="77777777" w:rsidR="00222DE0" w:rsidRPr="00EE3355" w:rsidRDefault="0098273B" w:rsidP="00EA1CDF">
            <w:pPr>
              <w:pStyle w:val="TableParagraph"/>
              <w:widowControl/>
              <w:ind w:left="133" w:right="3"/>
              <w:jc w:val="center"/>
              <w:rPr>
                <w:sz w:val="18"/>
              </w:rPr>
            </w:pPr>
            <w:r w:rsidRPr="00EE3355">
              <w:rPr>
                <w:sz w:val="18"/>
              </w:rPr>
              <w:t>N/A</w:t>
            </w:r>
          </w:p>
        </w:tc>
        <w:tc>
          <w:tcPr>
            <w:tcW w:w="1512" w:type="dxa"/>
            <w:tcBorders>
              <w:top w:val="nil"/>
              <w:left w:val="nil"/>
              <w:bottom w:val="nil"/>
              <w:right w:val="nil"/>
            </w:tcBorders>
          </w:tcPr>
          <w:p w14:paraId="0FA8DA22" w14:textId="77777777" w:rsidR="00222DE0" w:rsidRPr="00EE3355" w:rsidRDefault="0098273B" w:rsidP="00EA1CDF">
            <w:pPr>
              <w:pStyle w:val="TableParagraph"/>
              <w:widowControl/>
              <w:ind w:left="103" w:right="36"/>
              <w:jc w:val="center"/>
              <w:rPr>
                <w:sz w:val="18"/>
              </w:rPr>
            </w:pPr>
            <w:r w:rsidRPr="00EE3355">
              <w:rPr>
                <w:sz w:val="18"/>
              </w:rPr>
              <w:t>0,36</w:t>
            </w:r>
          </w:p>
        </w:tc>
        <w:tc>
          <w:tcPr>
            <w:tcW w:w="1624" w:type="dxa"/>
            <w:tcBorders>
              <w:top w:val="nil"/>
              <w:left w:val="nil"/>
              <w:bottom w:val="nil"/>
            </w:tcBorders>
          </w:tcPr>
          <w:p w14:paraId="5BC5138E" w14:textId="77777777" w:rsidR="00222DE0" w:rsidRPr="00EE3355" w:rsidRDefault="0098273B" w:rsidP="00EA1CDF">
            <w:pPr>
              <w:pStyle w:val="TableParagraph"/>
              <w:widowControl/>
              <w:ind w:left="1" w:right="23"/>
              <w:jc w:val="center"/>
              <w:rPr>
                <w:sz w:val="18"/>
              </w:rPr>
            </w:pPr>
            <w:r w:rsidRPr="00EE3355">
              <w:rPr>
                <w:sz w:val="18"/>
              </w:rPr>
              <w:t>0,67</w:t>
            </w:r>
          </w:p>
        </w:tc>
      </w:tr>
      <w:tr w:rsidR="00222DE0" w:rsidRPr="00EE3355" w14:paraId="112F4F80" w14:textId="77777777" w:rsidTr="002265A0">
        <w:trPr>
          <w:cantSplit/>
          <w:trHeight w:val="20"/>
        </w:trPr>
        <w:tc>
          <w:tcPr>
            <w:tcW w:w="3052" w:type="dxa"/>
            <w:tcBorders>
              <w:top w:val="nil"/>
              <w:bottom w:val="nil"/>
              <w:right w:val="nil"/>
            </w:tcBorders>
          </w:tcPr>
          <w:p w14:paraId="43D5509F" w14:textId="77777777" w:rsidR="00222DE0" w:rsidRPr="00EE3355" w:rsidRDefault="0098273B" w:rsidP="00EA1CDF">
            <w:pPr>
              <w:pStyle w:val="TableParagraph"/>
              <w:widowControl/>
              <w:ind w:left="119"/>
              <w:rPr>
                <w:sz w:val="18"/>
              </w:rPr>
            </w:pPr>
            <w:r w:rsidRPr="00EE3355">
              <w:rPr>
                <w:sz w:val="18"/>
              </w:rPr>
              <w:t>pacienti; skupiny s tocilizumabem</w:t>
            </w:r>
          </w:p>
        </w:tc>
        <w:tc>
          <w:tcPr>
            <w:tcW w:w="1372" w:type="dxa"/>
            <w:tcBorders>
              <w:top w:val="nil"/>
              <w:left w:val="nil"/>
              <w:bottom w:val="nil"/>
              <w:right w:val="nil"/>
            </w:tcBorders>
          </w:tcPr>
          <w:p w14:paraId="6982AB8A"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54FBCDC9"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5B126D23" w14:textId="77777777" w:rsidR="00222DE0" w:rsidRPr="00EE3355" w:rsidRDefault="0098273B" w:rsidP="00EA1CDF">
            <w:pPr>
              <w:pStyle w:val="TableParagraph"/>
              <w:widowControl/>
              <w:ind w:left="106" w:right="33"/>
              <w:jc w:val="center"/>
              <w:rPr>
                <w:sz w:val="18"/>
              </w:rPr>
            </w:pPr>
            <w:r w:rsidRPr="00EE3355">
              <w:rPr>
                <w:sz w:val="18"/>
              </w:rPr>
              <w:t>(0,13; 1,00)</w:t>
            </w:r>
          </w:p>
        </w:tc>
        <w:tc>
          <w:tcPr>
            <w:tcW w:w="1624" w:type="dxa"/>
            <w:tcBorders>
              <w:top w:val="nil"/>
              <w:left w:val="nil"/>
              <w:bottom w:val="nil"/>
            </w:tcBorders>
          </w:tcPr>
          <w:p w14:paraId="6CF1BEBD" w14:textId="77777777" w:rsidR="00222DE0" w:rsidRPr="00EE3355" w:rsidRDefault="0098273B" w:rsidP="00EA1CDF">
            <w:pPr>
              <w:pStyle w:val="TableParagraph"/>
              <w:widowControl/>
              <w:ind w:left="7" w:right="23"/>
              <w:jc w:val="center"/>
              <w:rPr>
                <w:sz w:val="18"/>
              </w:rPr>
            </w:pPr>
            <w:r w:rsidRPr="00EE3355">
              <w:rPr>
                <w:sz w:val="18"/>
              </w:rPr>
              <w:t>(0,21; 2,10)</w:t>
            </w:r>
          </w:p>
        </w:tc>
      </w:tr>
      <w:tr w:rsidR="00222DE0" w:rsidRPr="00EE3355" w14:paraId="1021F856" w14:textId="77777777" w:rsidTr="002265A0">
        <w:trPr>
          <w:cantSplit/>
          <w:trHeight w:val="20"/>
        </w:trPr>
        <w:tc>
          <w:tcPr>
            <w:tcW w:w="3052" w:type="dxa"/>
            <w:tcBorders>
              <w:top w:val="nil"/>
              <w:bottom w:val="nil"/>
              <w:right w:val="nil"/>
            </w:tcBorders>
          </w:tcPr>
          <w:p w14:paraId="5F099845" w14:textId="77777777" w:rsidR="00222DE0" w:rsidRPr="00EE3355" w:rsidRDefault="0098273B" w:rsidP="00EA1CDF">
            <w:pPr>
              <w:pStyle w:val="TableParagraph"/>
              <w:widowControl/>
              <w:ind w:left="119"/>
              <w:rPr>
                <w:sz w:val="18"/>
              </w:rPr>
            </w:pPr>
            <w:r w:rsidRPr="00EE3355">
              <w:rPr>
                <w:sz w:val="18"/>
              </w:rPr>
              <w:t>vs. placebo + 52) HR (99% CI)</w:t>
            </w:r>
          </w:p>
        </w:tc>
        <w:tc>
          <w:tcPr>
            <w:tcW w:w="1372" w:type="dxa"/>
            <w:tcBorders>
              <w:top w:val="nil"/>
              <w:left w:val="nil"/>
              <w:bottom w:val="nil"/>
              <w:right w:val="nil"/>
            </w:tcBorders>
          </w:tcPr>
          <w:p w14:paraId="0E2386CE"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03F74A5B"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40EC3D68" w14:textId="77777777" w:rsidR="00222DE0" w:rsidRPr="00EE3355" w:rsidRDefault="00222DE0" w:rsidP="00EA1CDF">
            <w:pPr>
              <w:pStyle w:val="TableParagraph"/>
              <w:widowControl/>
              <w:rPr>
                <w:sz w:val="14"/>
              </w:rPr>
            </w:pPr>
          </w:p>
        </w:tc>
        <w:tc>
          <w:tcPr>
            <w:tcW w:w="1624" w:type="dxa"/>
            <w:tcBorders>
              <w:top w:val="nil"/>
              <w:left w:val="nil"/>
              <w:bottom w:val="nil"/>
            </w:tcBorders>
          </w:tcPr>
          <w:p w14:paraId="41FC8909" w14:textId="77777777" w:rsidR="00222DE0" w:rsidRPr="00EE3355" w:rsidRDefault="00222DE0" w:rsidP="00EA1CDF">
            <w:pPr>
              <w:pStyle w:val="TableParagraph"/>
              <w:widowControl/>
              <w:rPr>
                <w:sz w:val="14"/>
              </w:rPr>
            </w:pPr>
          </w:p>
        </w:tc>
      </w:tr>
      <w:tr w:rsidR="00222DE0" w:rsidRPr="00EE3355" w14:paraId="312D72A7" w14:textId="77777777" w:rsidTr="002265A0">
        <w:trPr>
          <w:cantSplit/>
          <w:trHeight w:val="20"/>
        </w:trPr>
        <w:tc>
          <w:tcPr>
            <w:tcW w:w="3052" w:type="dxa"/>
            <w:tcBorders>
              <w:top w:val="nil"/>
              <w:bottom w:val="nil"/>
              <w:right w:val="nil"/>
            </w:tcBorders>
          </w:tcPr>
          <w:p w14:paraId="0240BB76" w14:textId="77777777" w:rsidR="00222DE0" w:rsidRPr="00EE3355" w:rsidRDefault="0098273B" w:rsidP="00EA1CDF">
            <w:pPr>
              <w:pStyle w:val="TableParagraph"/>
              <w:widowControl/>
              <w:ind w:left="118"/>
              <w:rPr>
                <w:sz w:val="18"/>
              </w:rPr>
            </w:pPr>
            <w:r w:rsidRPr="00EE3355">
              <w:rPr>
                <w:sz w:val="18"/>
              </w:rPr>
              <w:t>Doba do prvního relapsu GCA¹ (noví pacienti;</w:t>
            </w:r>
          </w:p>
        </w:tc>
        <w:tc>
          <w:tcPr>
            <w:tcW w:w="1372" w:type="dxa"/>
            <w:tcBorders>
              <w:top w:val="nil"/>
              <w:left w:val="nil"/>
              <w:bottom w:val="nil"/>
              <w:right w:val="nil"/>
            </w:tcBorders>
          </w:tcPr>
          <w:p w14:paraId="08644489" w14:textId="77777777" w:rsidR="00222DE0" w:rsidRPr="00EE3355" w:rsidRDefault="0098273B" w:rsidP="00EA1CDF">
            <w:pPr>
              <w:pStyle w:val="TableParagraph"/>
              <w:widowControl/>
              <w:ind w:left="41"/>
              <w:jc w:val="center"/>
              <w:rPr>
                <w:sz w:val="18"/>
              </w:rPr>
            </w:pPr>
            <w:r w:rsidRPr="00EE3355">
              <w:rPr>
                <w:sz w:val="18"/>
              </w:rPr>
              <w:t>N/A</w:t>
            </w:r>
          </w:p>
        </w:tc>
        <w:tc>
          <w:tcPr>
            <w:tcW w:w="1217" w:type="dxa"/>
            <w:tcBorders>
              <w:top w:val="nil"/>
              <w:left w:val="nil"/>
              <w:bottom w:val="nil"/>
              <w:right w:val="nil"/>
            </w:tcBorders>
          </w:tcPr>
          <w:p w14:paraId="09A5E4C3" w14:textId="77777777" w:rsidR="00222DE0" w:rsidRPr="00EE3355" w:rsidRDefault="0098273B" w:rsidP="00EA1CDF">
            <w:pPr>
              <w:pStyle w:val="TableParagraph"/>
              <w:widowControl/>
              <w:ind w:left="133" w:right="3"/>
              <w:jc w:val="center"/>
              <w:rPr>
                <w:sz w:val="18"/>
              </w:rPr>
            </w:pPr>
            <w:r w:rsidRPr="00EE3355">
              <w:rPr>
                <w:sz w:val="18"/>
              </w:rPr>
              <w:t>N/A</w:t>
            </w:r>
          </w:p>
        </w:tc>
        <w:tc>
          <w:tcPr>
            <w:tcW w:w="1512" w:type="dxa"/>
            <w:tcBorders>
              <w:top w:val="nil"/>
              <w:left w:val="nil"/>
              <w:bottom w:val="nil"/>
              <w:right w:val="nil"/>
            </w:tcBorders>
          </w:tcPr>
          <w:p w14:paraId="3C45BEA9" w14:textId="77777777" w:rsidR="00222DE0" w:rsidRPr="00EE3355" w:rsidRDefault="0098273B" w:rsidP="00EA1CDF">
            <w:pPr>
              <w:pStyle w:val="TableParagraph"/>
              <w:widowControl/>
              <w:ind w:left="103" w:right="36"/>
              <w:jc w:val="center"/>
              <w:rPr>
                <w:sz w:val="18"/>
              </w:rPr>
            </w:pPr>
            <w:r w:rsidRPr="00EE3355">
              <w:rPr>
                <w:sz w:val="18"/>
              </w:rPr>
              <w:t>0,25***</w:t>
            </w:r>
          </w:p>
        </w:tc>
        <w:tc>
          <w:tcPr>
            <w:tcW w:w="1624" w:type="dxa"/>
            <w:tcBorders>
              <w:top w:val="nil"/>
              <w:left w:val="nil"/>
              <w:bottom w:val="nil"/>
            </w:tcBorders>
          </w:tcPr>
          <w:p w14:paraId="5AB01BF5" w14:textId="77777777" w:rsidR="00222DE0" w:rsidRPr="00EE3355" w:rsidRDefault="0098273B" w:rsidP="00EA1CDF">
            <w:pPr>
              <w:pStyle w:val="TableParagraph"/>
              <w:widowControl/>
              <w:ind w:right="23"/>
              <w:jc w:val="center"/>
              <w:rPr>
                <w:sz w:val="18"/>
              </w:rPr>
            </w:pPr>
            <w:r w:rsidRPr="00EE3355">
              <w:rPr>
                <w:sz w:val="18"/>
              </w:rPr>
              <w:t>0,20***</w:t>
            </w:r>
          </w:p>
        </w:tc>
      </w:tr>
      <w:tr w:rsidR="00222DE0" w:rsidRPr="00EE3355" w14:paraId="6FB14B1B" w14:textId="77777777" w:rsidTr="002265A0">
        <w:trPr>
          <w:cantSplit/>
          <w:trHeight w:val="20"/>
        </w:trPr>
        <w:tc>
          <w:tcPr>
            <w:tcW w:w="3052" w:type="dxa"/>
            <w:tcBorders>
              <w:top w:val="nil"/>
              <w:bottom w:val="nil"/>
              <w:right w:val="nil"/>
            </w:tcBorders>
          </w:tcPr>
          <w:p w14:paraId="379432AE" w14:textId="77777777" w:rsidR="00222DE0" w:rsidRPr="00EE3355" w:rsidRDefault="0098273B" w:rsidP="00EA1CDF">
            <w:pPr>
              <w:pStyle w:val="TableParagraph"/>
              <w:widowControl/>
              <w:ind w:left="118"/>
              <w:rPr>
                <w:sz w:val="18"/>
              </w:rPr>
            </w:pPr>
            <w:r w:rsidRPr="00EE3355">
              <w:rPr>
                <w:sz w:val="18"/>
              </w:rPr>
              <w:t>skupiny s tocilizumabem vs. placebo + 26)</w:t>
            </w:r>
          </w:p>
        </w:tc>
        <w:tc>
          <w:tcPr>
            <w:tcW w:w="1372" w:type="dxa"/>
            <w:tcBorders>
              <w:top w:val="nil"/>
              <w:left w:val="nil"/>
              <w:bottom w:val="nil"/>
              <w:right w:val="nil"/>
            </w:tcBorders>
          </w:tcPr>
          <w:p w14:paraId="4B691806"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19CB7DB7"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2EA29FA9" w14:textId="77777777" w:rsidR="00222DE0" w:rsidRPr="00EE3355" w:rsidRDefault="0098273B" w:rsidP="00EA1CDF">
            <w:pPr>
              <w:pStyle w:val="TableParagraph"/>
              <w:widowControl/>
              <w:ind w:left="106" w:right="33"/>
              <w:jc w:val="center"/>
              <w:rPr>
                <w:sz w:val="18"/>
              </w:rPr>
            </w:pPr>
            <w:r w:rsidRPr="00EE3355">
              <w:rPr>
                <w:sz w:val="18"/>
              </w:rPr>
              <w:t>(0,09; 0,70)</w:t>
            </w:r>
          </w:p>
        </w:tc>
        <w:tc>
          <w:tcPr>
            <w:tcW w:w="1624" w:type="dxa"/>
            <w:tcBorders>
              <w:top w:val="nil"/>
              <w:left w:val="nil"/>
              <w:bottom w:val="nil"/>
            </w:tcBorders>
          </w:tcPr>
          <w:p w14:paraId="2FD3E97E" w14:textId="77777777" w:rsidR="00222DE0" w:rsidRPr="00EE3355" w:rsidRDefault="0098273B" w:rsidP="00EA1CDF">
            <w:pPr>
              <w:pStyle w:val="TableParagraph"/>
              <w:widowControl/>
              <w:ind w:left="7" w:right="23"/>
              <w:jc w:val="center"/>
              <w:rPr>
                <w:sz w:val="18"/>
              </w:rPr>
            </w:pPr>
            <w:r w:rsidRPr="00EE3355">
              <w:rPr>
                <w:sz w:val="18"/>
              </w:rPr>
              <w:t>(0,05; 0,76)</w:t>
            </w:r>
          </w:p>
        </w:tc>
      </w:tr>
      <w:tr w:rsidR="00222DE0" w:rsidRPr="00EE3355" w14:paraId="0F978F09" w14:textId="77777777" w:rsidTr="002265A0">
        <w:trPr>
          <w:cantSplit/>
          <w:trHeight w:val="20"/>
        </w:trPr>
        <w:tc>
          <w:tcPr>
            <w:tcW w:w="3052" w:type="dxa"/>
            <w:tcBorders>
              <w:top w:val="nil"/>
              <w:bottom w:val="nil"/>
              <w:right w:val="nil"/>
            </w:tcBorders>
          </w:tcPr>
          <w:p w14:paraId="7F9B3DD2" w14:textId="77777777" w:rsidR="00222DE0" w:rsidRPr="00EE3355" w:rsidRDefault="0098273B" w:rsidP="00EA1CDF">
            <w:pPr>
              <w:pStyle w:val="TableParagraph"/>
              <w:widowControl/>
              <w:ind w:left="118"/>
              <w:rPr>
                <w:sz w:val="18"/>
              </w:rPr>
            </w:pPr>
            <w:r w:rsidRPr="00EE3355">
              <w:rPr>
                <w:sz w:val="18"/>
              </w:rPr>
              <w:t>HR (99% CI)</w:t>
            </w:r>
          </w:p>
        </w:tc>
        <w:tc>
          <w:tcPr>
            <w:tcW w:w="1372" w:type="dxa"/>
            <w:tcBorders>
              <w:top w:val="nil"/>
              <w:left w:val="nil"/>
              <w:bottom w:val="nil"/>
              <w:right w:val="nil"/>
            </w:tcBorders>
          </w:tcPr>
          <w:p w14:paraId="019F9A9A"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62FABC6B"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481B30BC" w14:textId="77777777" w:rsidR="00222DE0" w:rsidRPr="00EE3355" w:rsidRDefault="00222DE0" w:rsidP="00EA1CDF">
            <w:pPr>
              <w:pStyle w:val="TableParagraph"/>
              <w:widowControl/>
              <w:rPr>
                <w:sz w:val="14"/>
              </w:rPr>
            </w:pPr>
          </w:p>
        </w:tc>
        <w:tc>
          <w:tcPr>
            <w:tcW w:w="1624" w:type="dxa"/>
            <w:tcBorders>
              <w:top w:val="nil"/>
              <w:left w:val="nil"/>
              <w:bottom w:val="nil"/>
            </w:tcBorders>
          </w:tcPr>
          <w:p w14:paraId="562975C3" w14:textId="77777777" w:rsidR="00222DE0" w:rsidRPr="00EE3355" w:rsidRDefault="00222DE0" w:rsidP="00EA1CDF">
            <w:pPr>
              <w:pStyle w:val="TableParagraph"/>
              <w:widowControl/>
              <w:rPr>
                <w:sz w:val="14"/>
              </w:rPr>
            </w:pPr>
          </w:p>
        </w:tc>
      </w:tr>
      <w:tr w:rsidR="00222DE0" w:rsidRPr="00EE3355" w14:paraId="6BFD4AA9" w14:textId="77777777" w:rsidTr="002265A0">
        <w:trPr>
          <w:cantSplit/>
          <w:trHeight w:val="20"/>
        </w:trPr>
        <w:tc>
          <w:tcPr>
            <w:tcW w:w="3052" w:type="dxa"/>
            <w:tcBorders>
              <w:top w:val="nil"/>
              <w:bottom w:val="nil"/>
              <w:right w:val="nil"/>
            </w:tcBorders>
          </w:tcPr>
          <w:p w14:paraId="445713E7" w14:textId="77777777" w:rsidR="00222DE0" w:rsidRPr="00EE3355" w:rsidRDefault="0098273B" w:rsidP="00EA1CDF">
            <w:pPr>
              <w:pStyle w:val="TableParagraph"/>
              <w:widowControl/>
              <w:ind w:left="118"/>
              <w:rPr>
                <w:sz w:val="18"/>
              </w:rPr>
            </w:pPr>
            <w:r w:rsidRPr="00EE3355">
              <w:rPr>
                <w:sz w:val="18"/>
              </w:rPr>
              <w:t>Doba do prvního relapsu GCA¹ (noví pacienti;</w:t>
            </w:r>
          </w:p>
        </w:tc>
        <w:tc>
          <w:tcPr>
            <w:tcW w:w="1372" w:type="dxa"/>
            <w:tcBorders>
              <w:top w:val="nil"/>
              <w:left w:val="nil"/>
              <w:bottom w:val="nil"/>
              <w:right w:val="nil"/>
            </w:tcBorders>
          </w:tcPr>
          <w:p w14:paraId="5BA35145" w14:textId="77777777" w:rsidR="00222DE0" w:rsidRPr="00EE3355" w:rsidRDefault="0098273B" w:rsidP="00EA1CDF">
            <w:pPr>
              <w:pStyle w:val="TableParagraph"/>
              <w:widowControl/>
              <w:ind w:left="41"/>
              <w:jc w:val="center"/>
              <w:rPr>
                <w:sz w:val="18"/>
              </w:rPr>
            </w:pPr>
            <w:r w:rsidRPr="00EE3355">
              <w:rPr>
                <w:sz w:val="18"/>
              </w:rPr>
              <w:t>N/A</w:t>
            </w:r>
          </w:p>
        </w:tc>
        <w:tc>
          <w:tcPr>
            <w:tcW w:w="1217" w:type="dxa"/>
            <w:tcBorders>
              <w:top w:val="nil"/>
              <w:left w:val="nil"/>
              <w:bottom w:val="nil"/>
              <w:right w:val="nil"/>
            </w:tcBorders>
          </w:tcPr>
          <w:p w14:paraId="2371A16E" w14:textId="77777777" w:rsidR="00222DE0" w:rsidRPr="00EE3355" w:rsidRDefault="0098273B" w:rsidP="00EA1CDF">
            <w:pPr>
              <w:pStyle w:val="TableParagraph"/>
              <w:widowControl/>
              <w:ind w:left="133" w:right="3"/>
              <w:jc w:val="center"/>
              <w:rPr>
                <w:sz w:val="18"/>
              </w:rPr>
            </w:pPr>
            <w:r w:rsidRPr="00EE3355">
              <w:rPr>
                <w:sz w:val="18"/>
              </w:rPr>
              <w:t>N/A</w:t>
            </w:r>
          </w:p>
        </w:tc>
        <w:tc>
          <w:tcPr>
            <w:tcW w:w="1512" w:type="dxa"/>
            <w:tcBorders>
              <w:top w:val="nil"/>
              <w:left w:val="nil"/>
              <w:bottom w:val="nil"/>
              <w:right w:val="nil"/>
            </w:tcBorders>
          </w:tcPr>
          <w:p w14:paraId="594AB8E0" w14:textId="77777777" w:rsidR="00222DE0" w:rsidRPr="00EE3355" w:rsidRDefault="0098273B" w:rsidP="00EA1CDF">
            <w:pPr>
              <w:pStyle w:val="TableParagraph"/>
              <w:widowControl/>
              <w:ind w:left="103" w:right="37"/>
              <w:jc w:val="center"/>
              <w:rPr>
                <w:sz w:val="18"/>
              </w:rPr>
            </w:pPr>
            <w:r w:rsidRPr="00EE3355">
              <w:rPr>
                <w:sz w:val="18"/>
              </w:rPr>
              <w:t>0,44</w:t>
            </w:r>
          </w:p>
        </w:tc>
        <w:tc>
          <w:tcPr>
            <w:tcW w:w="1624" w:type="dxa"/>
            <w:tcBorders>
              <w:top w:val="nil"/>
              <w:left w:val="nil"/>
              <w:bottom w:val="nil"/>
            </w:tcBorders>
          </w:tcPr>
          <w:p w14:paraId="22A340E5" w14:textId="77777777" w:rsidR="00222DE0" w:rsidRPr="00EE3355" w:rsidRDefault="0098273B" w:rsidP="00EA1CDF">
            <w:pPr>
              <w:pStyle w:val="TableParagraph"/>
              <w:widowControl/>
              <w:ind w:right="23"/>
              <w:jc w:val="center"/>
              <w:rPr>
                <w:sz w:val="18"/>
              </w:rPr>
            </w:pPr>
            <w:r w:rsidRPr="00EE3355">
              <w:rPr>
                <w:sz w:val="18"/>
              </w:rPr>
              <w:t>0,35</w:t>
            </w:r>
          </w:p>
        </w:tc>
      </w:tr>
      <w:tr w:rsidR="00222DE0" w:rsidRPr="00EE3355" w14:paraId="774077FB" w14:textId="77777777" w:rsidTr="002265A0">
        <w:trPr>
          <w:cantSplit/>
          <w:trHeight w:val="20"/>
        </w:trPr>
        <w:tc>
          <w:tcPr>
            <w:tcW w:w="3052" w:type="dxa"/>
            <w:tcBorders>
              <w:top w:val="nil"/>
              <w:bottom w:val="nil"/>
              <w:right w:val="nil"/>
            </w:tcBorders>
          </w:tcPr>
          <w:p w14:paraId="6F261B72" w14:textId="77777777" w:rsidR="00222DE0" w:rsidRPr="00EE3355" w:rsidRDefault="0098273B" w:rsidP="00EA1CDF">
            <w:pPr>
              <w:pStyle w:val="TableParagraph"/>
              <w:widowControl/>
              <w:ind w:left="118"/>
              <w:rPr>
                <w:sz w:val="18"/>
              </w:rPr>
            </w:pPr>
            <w:r w:rsidRPr="00EE3355">
              <w:rPr>
                <w:sz w:val="18"/>
              </w:rPr>
              <w:t>skupiny s tocilizumabem vs. placebo + 52)</w:t>
            </w:r>
          </w:p>
        </w:tc>
        <w:tc>
          <w:tcPr>
            <w:tcW w:w="1372" w:type="dxa"/>
            <w:tcBorders>
              <w:top w:val="nil"/>
              <w:left w:val="nil"/>
              <w:bottom w:val="nil"/>
              <w:right w:val="nil"/>
            </w:tcBorders>
          </w:tcPr>
          <w:p w14:paraId="23F7CD8A"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7494FAFA"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126D2C7A" w14:textId="77777777" w:rsidR="00222DE0" w:rsidRPr="00EE3355" w:rsidRDefault="0098273B" w:rsidP="00EA1CDF">
            <w:pPr>
              <w:pStyle w:val="TableParagraph"/>
              <w:widowControl/>
              <w:ind w:left="106" w:right="33"/>
              <w:jc w:val="center"/>
              <w:rPr>
                <w:sz w:val="18"/>
              </w:rPr>
            </w:pPr>
            <w:r w:rsidRPr="00EE3355">
              <w:rPr>
                <w:sz w:val="18"/>
              </w:rPr>
              <w:t>(0,14; 1,32)</w:t>
            </w:r>
          </w:p>
        </w:tc>
        <w:tc>
          <w:tcPr>
            <w:tcW w:w="1624" w:type="dxa"/>
            <w:tcBorders>
              <w:top w:val="nil"/>
              <w:left w:val="nil"/>
              <w:bottom w:val="nil"/>
            </w:tcBorders>
          </w:tcPr>
          <w:p w14:paraId="01500E47" w14:textId="77777777" w:rsidR="00222DE0" w:rsidRPr="00EE3355" w:rsidRDefault="0098273B" w:rsidP="00EA1CDF">
            <w:pPr>
              <w:pStyle w:val="TableParagraph"/>
              <w:widowControl/>
              <w:ind w:left="6" w:right="23"/>
              <w:jc w:val="center"/>
              <w:rPr>
                <w:sz w:val="18"/>
              </w:rPr>
            </w:pPr>
            <w:r w:rsidRPr="00EE3355">
              <w:rPr>
                <w:sz w:val="18"/>
              </w:rPr>
              <w:t>(0,09; 1,42)</w:t>
            </w:r>
          </w:p>
        </w:tc>
      </w:tr>
      <w:tr w:rsidR="00222DE0" w:rsidRPr="00EE3355" w14:paraId="33BE0C9E" w14:textId="77777777" w:rsidTr="002265A0">
        <w:trPr>
          <w:cantSplit/>
          <w:trHeight w:val="20"/>
        </w:trPr>
        <w:tc>
          <w:tcPr>
            <w:tcW w:w="3052" w:type="dxa"/>
            <w:tcBorders>
              <w:top w:val="nil"/>
              <w:bottom w:val="nil"/>
              <w:right w:val="nil"/>
            </w:tcBorders>
          </w:tcPr>
          <w:p w14:paraId="7F47CF3E" w14:textId="77777777" w:rsidR="00222DE0" w:rsidRPr="00EE3355" w:rsidRDefault="0098273B" w:rsidP="00EA1CDF">
            <w:pPr>
              <w:pStyle w:val="TableParagraph"/>
              <w:widowControl/>
              <w:ind w:left="119"/>
              <w:rPr>
                <w:sz w:val="18"/>
              </w:rPr>
            </w:pPr>
            <w:r w:rsidRPr="00EE3355">
              <w:rPr>
                <w:sz w:val="18"/>
              </w:rPr>
              <w:t>HR (99% CI)</w:t>
            </w:r>
          </w:p>
        </w:tc>
        <w:tc>
          <w:tcPr>
            <w:tcW w:w="1372" w:type="dxa"/>
            <w:tcBorders>
              <w:top w:val="nil"/>
              <w:left w:val="nil"/>
              <w:bottom w:val="nil"/>
              <w:right w:val="nil"/>
            </w:tcBorders>
          </w:tcPr>
          <w:p w14:paraId="00E67B08" w14:textId="77777777" w:rsidR="00222DE0" w:rsidRPr="00EE3355" w:rsidRDefault="00222DE0" w:rsidP="00EA1CDF">
            <w:pPr>
              <w:pStyle w:val="TableParagraph"/>
              <w:widowControl/>
              <w:rPr>
                <w:sz w:val="14"/>
              </w:rPr>
            </w:pPr>
          </w:p>
        </w:tc>
        <w:tc>
          <w:tcPr>
            <w:tcW w:w="1217" w:type="dxa"/>
            <w:tcBorders>
              <w:top w:val="nil"/>
              <w:left w:val="nil"/>
              <w:bottom w:val="nil"/>
              <w:right w:val="nil"/>
            </w:tcBorders>
          </w:tcPr>
          <w:p w14:paraId="250A9EFA" w14:textId="77777777" w:rsidR="00222DE0" w:rsidRPr="00EE3355" w:rsidRDefault="00222DE0" w:rsidP="00EA1CDF">
            <w:pPr>
              <w:pStyle w:val="TableParagraph"/>
              <w:widowControl/>
              <w:rPr>
                <w:sz w:val="14"/>
              </w:rPr>
            </w:pPr>
          </w:p>
        </w:tc>
        <w:tc>
          <w:tcPr>
            <w:tcW w:w="1512" w:type="dxa"/>
            <w:tcBorders>
              <w:top w:val="nil"/>
              <w:left w:val="nil"/>
              <w:bottom w:val="nil"/>
              <w:right w:val="nil"/>
            </w:tcBorders>
          </w:tcPr>
          <w:p w14:paraId="238191B9" w14:textId="77777777" w:rsidR="00222DE0" w:rsidRPr="00EE3355" w:rsidRDefault="00222DE0" w:rsidP="00EA1CDF">
            <w:pPr>
              <w:pStyle w:val="TableParagraph"/>
              <w:widowControl/>
              <w:rPr>
                <w:sz w:val="14"/>
              </w:rPr>
            </w:pPr>
          </w:p>
        </w:tc>
        <w:tc>
          <w:tcPr>
            <w:tcW w:w="1624" w:type="dxa"/>
            <w:tcBorders>
              <w:top w:val="nil"/>
              <w:left w:val="nil"/>
              <w:bottom w:val="nil"/>
            </w:tcBorders>
          </w:tcPr>
          <w:p w14:paraId="3CC02E53" w14:textId="77777777" w:rsidR="00222DE0" w:rsidRPr="00EE3355" w:rsidRDefault="00222DE0" w:rsidP="00EA1CDF">
            <w:pPr>
              <w:pStyle w:val="TableParagraph"/>
              <w:widowControl/>
              <w:rPr>
                <w:sz w:val="14"/>
              </w:rPr>
            </w:pPr>
          </w:p>
        </w:tc>
      </w:tr>
      <w:tr w:rsidR="00222DE0" w:rsidRPr="00EE3355" w14:paraId="78C370D3" w14:textId="77777777" w:rsidTr="002265A0">
        <w:trPr>
          <w:cantSplit/>
          <w:trHeight w:val="20"/>
        </w:trPr>
        <w:tc>
          <w:tcPr>
            <w:tcW w:w="3052" w:type="dxa"/>
            <w:tcBorders>
              <w:top w:val="nil"/>
              <w:right w:val="nil"/>
            </w:tcBorders>
          </w:tcPr>
          <w:p w14:paraId="1CF6DF1E" w14:textId="77777777" w:rsidR="00222DE0" w:rsidRPr="00EE3355" w:rsidRDefault="0098273B" w:rsidP="00EA1CDF">
            <w:pPr>
              <w:pStyle w:val="TableParagraph"/>
              <w:widowControl/>
              <w:ind w:left="354" w:right="671" w:hanging="236"/>
              <w:rPr>
                <w:i/>
                <w:sz w:val="18"/>
              </w:rPr>
            </w:pPr>
            <w:r w:rsidRPr="00EE3355">
              <w:rPr>
                <w:i/>
                <w:sz w:val="18"/>
              </w:rPr>
              <w:t>Kumulativní dávka glukokortikoidu (mg) medián v týdnu 52</w:t>
            </w:r>
          </w:p>
          <w:p w14:paraId="45DA53F2" w14:textId="77777777" w:rsidR="00222DE0" w:rsidRPr="00EE3355" w:rsidRDefault="0098273B" w:rsidP="00EA1CDF">
            <w:pPr>
              <w:pStyle w:val="TableParagraph"/>
              <w:widowControl/>
              <w:ind w:left="355" w:hanging="1"/>
              <w:rPr>
                <w:i/>
                <w:sz w:val="18"/>
              </w:rPr>
            </w:pPr>
            <w:r w:rsidRPr="00EE3355">
              <w:rPr>
                <w:i/>
                <w:sz w:val="18"/>
              </w:rPr>
              <w:t>(skupiny s tocilizumabem vs. placebo + 26</w:t>
            </w:r>
            <w:r w:rsidRPr="00EE3355">
              <w:rPr>
                <w:i/>
                <w:sz w:val="18"/>
                <w:vertAlign w:val="superscript"/>
              </w:rPr>
              <w:t>2</w:t>
            </w:r>
            <w:r w:rsidRPr="00EE3355">
              <w:rPr>
                <w:i/>
                <w:sz w:val="18"/>
              </w:rPr>
              <w:t>) medián v týdnu 52</w:t>
            </w:r>
          </w:p>
          <w:p w14:paraId="63D340C8" w14:textId="77777777" w:rsidR="00222DE0" w:rsidRPr="00EE3355" w:rsidRDefault="0098273B" w:rsidP="00EA1CDF">
            <w:pPr>
              <w:pStyle w:val="TableParagraph"/>
              <w:widowControl/>
              <w:ind w:left="354"/>
              <w:rPr>
                <w:i/>
                <w:sz w:val="18"/>
              </w:rPr>
            </w:pPr>
            <w:r w:rsidRPr="00EE3355">
              <w:rPr>
                <w:i/>
                <w:sz w:val="18"/>
              </w:rPr>
              <w:t>(skupiny s tocilizumabem vs. placebo + 52</w:t>
            </w:r>
            <w:r w:rsidRPr="00EE3355">
              <w:rPr>
                <w:i/>
                <w:sz w:val="18"/>
                <w:vertAlign w:val="superscript"/>
              </w:rPr>
              <w:t>2</w:t>
            </w:r>
            <w:r w:rsidRPr="00EE3355">
              <w:rPr>
                <w:i/>
                <w:sz w:val="18"/>
              </w:rPr>
              <w:t>)</w:t>
            </w:r>
          </w:p>
        </w:tc>
        <w:tc>
          <w:tcPr>
            <w:tcW w:w="1372" w:type="dxa"/>
            <w:tcBorders>
              <w:top w:val="nil"/>
              <w:left w:val="nil"/>
              <w:right w:val="nil"/>
            </w:tcBorders>
          </w:tcPr>
          <w:p w14:paraId="3A6918A4" w14:textId="77777777" w:rsidR="00222DE0" w:rsidRPr="00EE3355" w:rsidRDefault="00222DE0" w:rsidP="00EA1CDF">
            <w:pPr>
              <w:pStyle w:val="TableParagraph"/>
              <w:widowControl/>
              <w:rPr>
                <w:i/>
                <w:sz w:val="18"/>
              </w:rPr>
            </w:pPr>
          </w:p>
          <w:p w14:paraId="6CE31934" w14:textId="77777777" w:rsidR="00222DE0" w:rsidRPr="00EE3355" w:rsidRDefault="0098273B" w:rsidP="00EA1CDF">
            <w:pPr>
              <w:pStyle w:val="TableParagraph"/>
              <w:widowControl/>
              <w:ind w:left="43"/>
              <w:jc w:val="center"/>
              <w:rPr>
                <w:sz w:val="18"/>
              </w:rPr>
            </w:pPr>
            <w:r w:rsidRPr="00EE3355">
              <w:rPr>
                <w:sz w:val="18"/>
              </w:rPr>
              <w:t>3 296,00</w:t>
            </w:r>
          </w:p>
          <w:p w14:paraId="5F4AC09F" w14:textId="77777777" w:rsidR="00222DE0" w:rsidRPr="00EE3355" w:rsidRDefault="00222DE0" w:rsidP="00EA1CDF">
            <w:pPr>
              <w:pStyle w:val="TableParagraph"/>
              <w:widowControl/>
              <w:rPr>
                <w:i/>
                <w:sz w:val="18"/>
              </w:rPr>
            </w:pPr>
          </w:p>
          <w:p w14:paraId="51CC80C8" w14:textId="77777777" w:rsidR="00222DE0" w:rsidRPr="00EE3355" w:rsidRDefault="0098273B" w:rsidP="00EA1CDF">
            <w:pPr>
              <w:pStyle w:val="TableParagraph"/>
              <w:widowControl/>
              <w:ind w:left="41"/>
              <w:jc w:val="center"/>
              <w:rPr>
                <w:sz w:val="18"/>
              </w:rPr>
            </w:pPr>
            <w:r w:rsidRPr="00EE3355">
              <w:rPr>
                <w:sz w:val="18"/>
              </w:rPr>
              <w:t>N/A</w:t>
            </w:r>
          </w:p>
        </w:tc>
        <w:tc>
          <w:tcPr>
            <w:tcW w:w="1217" w:type="dxa"/>
            <w:tcBorders>
              <w:top w:val="nil"/>
              <w:left w:val="nil"/>
              <w:right w:val="nil"/>
            </w:tcBorders>
          </w:tcPr>
          <w:p w14:paraId="2D755D83" w14:textId="77777777" w:rsidR="00222DE0" w:rsidRPr="00EE3355" w:rsidRDefault="00222DE0" w:rsidP="00EA1CDF">
            <w:pPr>
              <w:pStyle w:val="TableParagraph"/>
              <w:widowControl/>
              <w:rPr>
                <w:i/>
                <w:sz w:val="18"/>
              </w:rPr>
            </w:pPr>
          </w:p>
          <w:p w14:paraId="0A9130CD" w14:textId="77777777" w:rsidR="00222DE0" w:rsidRPr="00EE3355" w:rsidRDefault="0098273B" w:rsidP="00EA1CDF">
            <w:pPr>
              <w:pStyle w:val="TableParagraph"/>
              <w:widowControl/>
              <w:ind w:left="133" w:right="3"/>
              <w:jc w:val="center"/>
              <w:rPr>
                <w:sz w:val="18"/>
              </w:rPr>
            </w:pPr>
            <w:r w:rsidRPr="00EE3355">
              <w:rPr>
                <w:sz w:val="18"/>
              </w:rPr>
              <w:t>N/A</w:t>
            </w:r>
          </w:p>
          <w:p w14:paraId="7F09E383" w14:textId="77777777" w:rsidR="00222DE0" w:rsidRPr="00EE3355" w:rsidRDefault="00222DE0" w:rsidP="00EA1CDF">
            <w:pPr>
              <w:pStyle w:val="TableParagraph"/>
              <w:widowControl/>
              <w:rPr>
                <w:i/>
                <w:sz w:val="18"/>
              </w:rPr>
            </w:pPr>
          </w:p>
          <w:p w14:paraId="396A1DE3" w14:textId="77777777" w:rsidR="00222DE0" w:rsidRPr="00EE3355" w:rsidRDefault="0098273B" w:rsidP="00EA1CDF">
            <w:pPr>
              <w:pStyle w:val="TableParagraph"/>
              <w:widowControl/>
              <w:ind w:left="133" w:right="1"/>
              <w:jc w:val="center"/>
              <w:rPr>
                <w:sz w:val="18"/>
              </w:rPr>
            </w:pPr>
            <w:r w:rsidRPr="00EE3355">
              <w:rPr>
                <w:sz w:val="18"/>
              </w:rPr>
              <w:t>3 817,50</w:t>
            </w:r>
          </w:p>
        </w:tc>
        <w:tc>
          <w:tcPr>
            <w:tcW w:w="1512" w:type="dxa"/>
            <w:tcBorders>
              <w:top w:val="nil"/>
              <w:left w:val="nil"/>
              <w:right w:val="nil"/>
            </w:tcBorders>
          </w:tcPr>
          <w:p w14:paraId="37096CB3" w14:textId="77777777" w:rsidR="00222DE0" w:rsidRPr="00EE3355" w:rsidRDefault="00222DE0" w:rsidP="00EA1CDF">
            <w:pPr>
              <w:pStyle w:val="TableParagraph"/>
              <w:widowControl/>
              <w:rPr>
                <w:i/>
                <w:sz w:val="18"/>
              </w:rPr>
            </w:pPr>
          </w:p>
          <w:p w14:paraId="7F9BE3B1" w14:textId="77777777" w:rsidR="00222DE0" w:rsidRPr="00EE3355" w:rsidRDefault="0098273B" w:rsidP="00EA1CDF">
            <w:pPr>
              <w:pStyle w:val="TableParagraph"/>
              <w:widowControl/>
              <w:ind w:left="530"/>
              <w:rPr>
                <w:sz w:val="18"/>
              </w:rPr>
            </w:pPr>
            <w:r w:rsidRPr="00EE3355">
              <w:rPr>
                <w:sz w:val="18"/>
              </w:rPr>
              <w:t>1 862,00*</w:t>
            </w:r>
          </w:p>
          <w:p w14:paraId="1A7B073F" w14:textId="77777777" w:rsidR="00222DE0" w:rsidRPr="00EE3355" w:rsidRDefault="00222DE0" w:rsidP="00EA1CDF">
            <w:pPr>
              <w:pStyle w:val="TableParagraph"/>
              <w:widowControl/>
              <w:rPr>
                <w:i/>
                <w:sz w:val="18"/>
              </w:rPr>
            </w:pPr>
          </w:p>
          <w:p w14:paraId="7CD1BECB" w14:textId="77777777" w:rsidR="00222DE0" w:rsidRPr="00EE3355" w:rsidRDefault="0098273B" w:rsidP="00EA1CDF">
            <w:pPr>
              <w:pStyle w:val="TableParagraph"/>
              <w:widowControl/>
              <w:ind w:left="530"/>
              <w:rPr>
                <w:sz w:val="18"/>
              </w:rPr>
            </w:pPr>
            <w:r w:rsidRPr="00EE3355">
              <w:rPr>
                <w:sz w:val="18"/>
              </w:rPr>
              <w:t>1 862,00*</w:t>
            </w:r>
          </w:p>
        </w:tc>
        <w:tc>
          <w:tcPr>
            <w:tcW w:w="1624" w:type="dxa"/>
            <w:tcBorders>
              <w:top w:val="nil"/>
              <w:left w:val="nil"/>
            </w:tcBorders>
          </w:tcPr>
          <w:p w14:paraId="159179D2" w14:textId="77777777" w:rsidR="00222DE0" w:rsidRPr="00EE3355" w:rsidRDefault="00222DE0" w:rsidP="00EA1CDF">
            <w:pPr>
              <w:pStyle w:val="TableParagraph"/>
              <w:widowControl/>
              <w:rPr>
                <w:i/>
                <w:sz w:val="18"/>
              </w:rPr>
            </w:pPr>
          </w:p>
          <w:p w14:paraId="08FB1B60" w14:textId="77777777" w:rsidR="00222DE0" w:rsidRPr="00EE3355" w:rsidRDefault="0098273B" w:rsidP="00EA1CDF">
            <w:pPr>
              <w:pStyle w:val="TableParagraph"/>
              <w:widowControl/>
              <w:ind w:left="377"/>
              <w:rPr>
                <w:sz w:val="18"/>
              </w:rPr>
            </w:pPr>
            <w:r w:rsidRPr="00EE3355">
              <w:rPr>
                <w:sz w:val="18"/>
              </w:rPr>
              <w:t>1 862,00*</w:t>
            </w:r>
          </w:p>
          <w:p w14:paraId="2455DA30" w14:textId="77777777" w:rsidR="00222DE0" w:rsidRPr="00EE3355" w:rsidRDefault="00222DE0" w:rsidP="00EA1CDF">
            <w:pPr>
              <w:pStyle w:val="TableParagraph"/>
              <w:widowControl/>
              <w:rPr>
                <w:i/>
                <w:sz w:val="18"/>
              </w:rPr>
            </w:pPr>
          </w:p>
          <w:p w14:paraId="0CA032A4" w14:textId="77777777" w:rsidR="00222DE0" w:rsidRPr="00EE3355" w:rsidRDefault="0098273B" w:rsidP="00EA1CDF">
            <w:pPr>
              <w:pStyle w:val="TableParagraph"/>
              <w:widowControl/>
              <w:ind w:left="377"/>
              <w:rPr>
                <w:sz w:val="18"/>
              </w:rPr>
            </w:pPr>
            <w:r w:rsidRPr="00EE3355">
              <w:rPr>
                <w:sz w:val="18"/>
              </w:rPr>
              <w:t>1 862,00*</w:t>
            </w:r>
          </w:p>
        </w:tc>
      </w:tr>
      <w:tr w:rsidR="00222DE0" w:rsidRPr="00EE3355" w14:paraId="465E6945" w14:textId="77777777" w:rsidTr="002265A0">
        <w:trPr>
          <w:cantSplit/>
          <w:trHeight w:val="20"/>
        </w:trPr>
        <w:tc>
          <w:tcPr>
            <w:tcW w:w="8777" w:type="dxa"/>
            <w:gridSpan w:val="5"/>
            <w:tcBorders>
              <w:bottom w:val="single" w:sz="4" w:space="0" w:color="000000"/>
            </w:tcBorders>
          </w:tcPr>
          <w:p w14:paraId="7CCC5824" w14:textId="77777777" w:rsidR="00222DE0" w:rsidRPr="00EE3355" w:rsidRDefault="0098273B" w:rsidP="00EA1CDF">
            <w:pPr>
              <w:pStyle w:val="TableParagraph"/>
              <w:widowControl/>
              <w:ind w:left="66"/>
              <w:rPr>
                <w:b/>
                <w:sz w:val="18"/>
              </w:rPr>
            </w:pPr>
            <w:r w:rsidRPr="00EE3355">
              <w:rPr>
                <w:b/>
                <w:sz w:val="18"/>
              </w:rPr>
              <w:t>Výzkumné cílové parametry</w:t>
            </w:r>
          </w:p>
        </w:tc>
      </w:tr>
      <w:tr w:rsidR="00222DE0" w:rsidRPr="00EE3355" w14:paraId="429AFFE6" w14:textId="77777777" w:rsidTr="002265A0">
        <w:trPr>
          <w:cantSplit/>
          <w:trHeight w:val="20"/>
        </w:trPr>
        <w:tc>
          <w:tcPr>
            <w:tcW w:w="3052" w:type="dxa"/>
            <w:tcBorders>
              <w:bottom w:val="nil"/>
              <w:right w:val="nil"/>
            </w:tcBorders>
          </w:tcPr>
          <w:p w14:paraId="2EF95036" w14:textId="77777777" w:rsidR="00222DE0" w:rsidRPr="00EE3355" w:rsidRDefault="0098273B" w:rsidP="00EA1CDF">
            <w:pPr>
              <w:pStyle w:val="TableParagraph"/>
              <w:widowControl/>
              <w:ind w:left="119"/>
              <w:rPr>
                <w:sz w:val="18"/>
              </w:rPr>
            </w:pPr>
            <w:r w:rsidRPr="00EE3355">
              <w:rPr>
                <w:sz w:val="18"/>
              </w:rPr>
              <w:t>Anualizovaný výskyt relapsů v týdnu 52</w:t>
            </w:r>
            <w:r w:rsidRPr="00EE3355">
              <w:rPr>
                <w:sz w:val="18"/>
                <w:vertAlign w:val="superscript"/>
              </w:rPr>
              <w:t>§</w:t>
            </w:r>
          </w:p>
        </w:tc>
        <w:tc>
          <w:tcPr>
            <w:tcW w:w="1372" w:type="dxa"/>
            <w:tcBorders>
              <w:left w:val="nil"/>
              <w:bottom w:val="nil"/>
              <w:right w:val="nil"/>
            </w:tcBorders>
          </w:tcPr>
          <w:p w14:paraId="2D8700C9" w14:textId="77777777" w:rsidR="00222DE0" w:rsidRPr="00EE3355" w:rsidRDefault="0098273B" w:rsidP="00EA1CDF">
            <w:pPr>
              <w:pStyle w:val="TableParagraph"/>
              <w:widowControl/>
              <w:ind w:left="37"/>
              <w:jc w:val="center"/>
              <w:rPr>
                <w:sz w:val="18"/>
              </w:rPr>
            </w:pPr>
            <w:r w:rsidRPr="00EE3355">
              <w:rPr>
                <w:sz w:val="18"/>
              </w:rPr>
              <w:t>1,74</w:t>
            </w:r>
          </w:p>
        </w:tc>
        <w:tc>
          <w:tcPr>
            <w:tcW w:w="1217" w:type="dxa"/>
            <w:tcBorders>
              <w:left w:val="nil"/>
              <w:bottom w:val="nil"/>
              <w:right w:val="nil"/>
            </w:tcBorders>
          </w:tcPr>
          <w:p w14:paraId="2F35D857" w14:textId="77777777" w:rsidR="00222DE0" w:rsidRPr="00EE3355" w:rsidRDefault="0098273B" w:rsidP="00EA1CDF">
            <w:pPr>
              <w:pStyle w:val="TableParagraph"/>
              <w:widowControl/>
              <w:ind w:left="133" w:right="2"/>
              <w:jc w:val="center"/>
              <w:rPr>
                <w:sz w:val="18"/>
              </w:rPr>
            </w:pPr>
            <w:r w:rsidRPr="00EE3355">
              <w:rPr>
                <w:sz w:val="18"/>
              </w:rPr>
              <w:t>1,30</w:t>
            </w:r>
          </w:p>
        </w:tc>
        <w:tc>
          <w:tcPr>
            <w:tcW w:w="1512" w:type="dxa"/>
            <w:tcBorders>
              <w:left w:val="nil"/>
              <w:bottom w:val="nil"/>
              <w:right w:val="nil"/>
            </w:tcBorders>
          </w:tcPr>
          <w:p w14:paraId="3FB959B9" w14:textId="77777777" w:rsidR="00222DE0" w:rsidRPr="00EE3355" w:rsidRDefault="0098273B" w:rsidP="00EA1CDF">
            <w:pPr>
              <w:pStyle w:val="TableParagraph"/>
              <w:widowControl/>
              <w:ind w:left="103" w:right="36"/>
              <w:jc w:val="center"/>
              <w:rPr>
                <w:sz w:val="18"/>
              </w:rPr>
            </w:pPr>
            <w:r w:rsidRPr="00EE3355">
              <w:rPr>
                <w:sz w:val="18"/>
              </w:rPr>
              <w:t>0,41</w:t>
            </w:r>
          </w:p>
        </w:tc>
        <w:tc>
          <w:tcPr>
            <w:tcW w:w="1624" w:type="dxa"/>
            <w:tcBorders>
              <w:left w:val="nil"/>
              <w:bottom w:val="nil"/>
            </w:tcBorders>
          </w:tcPr>
          <w:p w14:paraId="44B3D90F" w14:textId="77777777" w:rsidR="00222DE0" w:rsidRPr="00EE3355" w:rsidRDefault="0098273B" w:rsidP="00EA1CDF">
            <w:pPr>
              <w:pStyle w:val="TableParagraph"/>
              <w:widowControl/>
              <w:ind w:left="42" w:right="58"/>
              <w:jc w:val="center"/>
              <w:rPr>
                <w:sz w:val="18"/>
              </w:rPr>
            </w:pPr>
            <w:r w:rsidRPr="00EE3355">
              <w:rPr>
                <w:sz w:val="18"/>
              </w:rPr>
              <w:t>0,67</w:t>
            </w:r>
          </w:p>
        </w:tc>
      </w:tr>
      <w:tr w:rsidR="00222DE0" w:rsidRPr="00EE3355" w14:paraId="3D553BA9" w14:textId="77777777" w:rsidTr="002265A0">
        <w:trPr>
          <w:cantSplit/>
          <w:trHeight w:val="20"/>
        </w:trPr>
        <w:tc>
          <w:tcPr>
            <w:tcW w:w="3052" w:type="dxa"/>
            <w:tcBorders>
              <w:top w:val="nil"/>
              <w:right w:val="nil"/>
            </w:tcBorders>
          </w:tcPr>
          <w:p w14:paraId="4F57E02A" w14:textId="77777777" w:rsidR="00222DE0" w:rsidRPr="00EE3355" w:rsidRDefault="0098273B" w:rsidP="00EA1CDF">
            <w:pPr>
              <w:pStyle w:val="TableParagraph"/>
              <w:widowControl/>
              <w:ind w:left="119"/>
              <w:rPr>
                <w:sz w:val="18"/>
              </w:rPr>
            </w:pPr>
            <w:r w:rsidRPr="00EE3355">
              <w:rPr>
                <w:sz w:val="18"/>
              </w:rPr>
              <w:t>Průměr (SD)</w:t>
            </w:r>
          </w:p>
        </w:tc>
        <w:tc>
          <w:tcPr>
            <w:tcW w:w="1372" w:type="dxa"/>
            <w:tcBorders>
              <w:top w:val="nil"/>
              <w:left w:val="nil"/>
              <w:right w:val="nil"/>
            </w:tcBorders>
          </w:tcPr>
          <w:p w14:paraId="793F7B47" w14:textId="77777777" w:rsidR="00222DE0" w:rsidRPr="00EE3355" w:rsidRDefault="0098273B" w:rsidP="00EA1CDF">
            <w:pPr>
              <w:pStyle w:val="TableParagraph"/>
              <w:widowControl/>
              <w:ind w:left="412"/>
              <w:rPr>
                <w:sz w:val="18"/>
              </w:rPr>
            </w:pPr>
            <w:r w:rsidRPr="00EE3355">
              <w:rPr>
                <w:sz w:val="18"/>
              </w:rPr>
              <w:t>(2,18)</w:t>
            </w:r>
          </w:p>
        </w:tc>
        <w:tc>
          <w:tcPr>
            <w:tcW w:w="1217" w:type="dxa"/>
            <w:tcBorders>
              <w:top w:val="nil"/>
              <w:left w:val="nil"/>
              <w:right w:val="nil"/>
            </w:tcBorders>
          </w:tcPr>
          <w:p w14:paraId="136952B3" w14:textId="77777777" w:rsidR="00222DE0" w:rsidRPr="00EE3355" w:rsidRDefault="0098273B" w:rsidP="00EA1CDF">
            <w:pPr>
              <w:pStyle w:val="TableParagraph"/>
              <w:widowControl/>
              <w:ind w:left="133"/>
              <w:jc w:val="center"/>
              <w:rPr>
                <w:sz w:val="18"/>
              </w:rPr>
            </w:pPr>
            <w:r w:rsidRPr="00EE3355">
              <w:rPr>
                <w:sz w:val="18"/>
              </w:rPr>
              <w:t>(1,84)</w:t>
            </w:r>
          </w:p>
        </w:tc>
        <w:tc>
          <w:tcPr>
            <w:tcW w:w="1512" w:type="dxa"/>
            <w:tcBorders>
              <w:top w:val="nil"/>
              <w:left w:val="nil"/>
              <w:right w:val="nil"/>
            </w:tcBorders>
          </w:tcPr>
          <w:p w14:paraId="4A9652E7" w14:textId="77777777" w:rsidR="00222DE0" w:rsidRPr="00EE3355" w:rsidRDefault="0098273B" w:rsidP="00EA1CDF">
            <w:pPr>
              <w:pStyle w:val="TableParagraph"/>
              <w:widowControl/>
              <w:ind w:left="104" w:right="33"/>
              <w:jc w:val="center"/>
              <w:rPr>
                <w:sz w:val="18"/>
              </w:rPr>
            </w:pPr>
            <w:r w:rsidRPr="00EE3355">
              <w:rPr>
                <w:sz w:val="18"/>
              </w:rPr>
              <w:t>(0,78)</w:t>
            </w:r>
          </w:p>
        </w:tc>
        <w:tc>
          <w:tcPr>
            <w:tcW w:w="1624" w:type="dxa"/>
            <w:tcBorders>
              <w:top w:val="nil"/>
              <w:left w:val="nil"/>
            </w:tcBorders>
          </w:tcPr>
          <w:p w14:paraId="03F73267" w14:textId="77777777" w:rsidR="00222DE0" w:rsidRPr="00EE3355" w:rsidRDefault="0098273B" w:rsidP="00EA1CDF">
            <w:pPr>
              <w:pStyle w:val="TableParagraph"/>
              <w:widowControl/>
              <w:ind w:left="45" w:right="58"/>
              <w:jc w:val="center"/>
              <w:rPr>
                <w:sz w:val="18"/>
              </w:rPr>
            </w:pPr>
            <w:r w:rsidRPr="00EE3355">
              <w:rPr>
                <w:sz w:val="18"/>
              </w:rPr>
              <w:t>(1,10)</w:t>
            </w:r>
          </w:p>
        </w:tc>
      </w:tr>
    </w:tbl>
    <w:p w14:paraId="09DE9C9D" w14:textId="77777777" w:rsidR="00222DE0" w:rsidRPr="00EE3355" w:rsidRDefault="0098273B" w:rsidP="00EA1CDF">
      <w:pPr>
        <w:widowControl/>
        <w:ind w:left="57"/>
        <w:rPr>
          <w:sz w:val="18"/>
        </w:rPr>
      </w:pPr>
      <w:r w:rsidRPr="00EE3355">
        <w:rPr>
          <w:sz w:val="18"/>
        </w:rPr>
        <w:t>* p &lt; 0,0001</w:t>
      </w:r>
    </w:p>
    <w:p w14:paraId="3C2ADAD3" w14:textId="77777777" w:rsidR="00222DE0" w:rsidRPr="00EE3355" w:rsidRDefault="0098273B" w:rsidP="00EA1CDF">
      <w:pPr>
        <w:widowControl/>
        <w:ind w:left="57"/>
        <w:rPr>
          <w:sz w:val="18"/>
        </w:rPr>
      </w:pPr>
      <w:r w:rsidRPr="00EE3355">
        <w:rPr>
          <w:sz w:val="18"/>
        </w:rPr>
        <w:t>** p &lt; 0,005 (mez významnosti pro primární a hlavní sekundární testy superiority)</w:t>
      </w:r>
    </w:p>
    <w:p w14:paraId="53199570" w14:textId="77777777" w:rsidR="00222DE0" w:rsidRPr="00EE3355" w:rsidRDefault="0098273B" w:rsidP="00EA1CDF">
      <w:pPr>
        <w:widowControl/>
        <w:ind w:left="57"/>
        <w:rPr>
          <w:sz w:val="18"/>
        </w:rPr>
      </w:pPr>
      <w:r w:rsidRPr="00EE3355">
        <w:rPr>
          <w:sz w:val="18"/>
        </w:rPr>
        <w:t>*** Deskriptivní hodnota p &lt; 0,005</w:t>
      </w:r>
    </w:p>
    <w:p w14:paraId="1786B9CA" w14:textId="77777777" w:rsidR="00222DE0" w:rsidRPr="00EE3355" w:rsidRDefault="0098273B" w:rsidP="00EA1CDF">
      <w:pPr>
        <w:widowControl/>
        <w:ind w:left="57" w:right="-282"/>
        <w:rPr>
          <w:sz w:val="18"/>
        </w:rPr>
      </w:pPr>
      <w:r w:rsidRPr="00EE3355">
        <w:rPr>
          <w:sz w:val="18"/>
        </w:rPr>
        <w:t xml:space="preserve">**** </w:t>
      </w:r>
      <w:r w:rsidRPr="002265A0">
        <w:rPr>
          <w:b/>
          <w:bCs/>
          <w:sz w:val="18"/>
        </w:rPr>
        <w:t>Relaps: recidivující příznaky nebo symptomy GCA a/nebo FW ≥ 30 mm/h</w:t>
      </w:r>
      <w:r w:rsidRPr="00EE3355">
        <w:rPr>
          <w:sz w:val="18"/>
        </w:rPr>
        <w:t xml:space="preserve"> – nutné zvýšení požadované dávky prednisonu</w:t>
      </w:r>
    </w:p>
    <w:p w14:paraId="26923487" w14:textId="77777777" w:rsidR="00222DE0" w:rsidRPr="002265A0" w:rsidRDefault="0098273B" w:rsidP="00EA1CDF">
      <w:pPr>
        <w:widowControl/>
        <w:ind w:left="57"/>
        <w:rPr>
          <w:b/>
          <w:bCs/>
          <w:sz w:val="18"/>
        </w:rPr>
      </w:pPr>
      <w:r w:rsidRPr="002265A0">
        <w:rPr>
          <w:b/>
          <w:bCs/>
          <w:sz w:val="18"/>
        </w:rPr>
        <w:t>Remise: nepřítomnost relapsu a normalizace CRP</w:t>
      </w:r>
    </w:p>
    <w:p w14:paraId="51F5F715" w14:textId="77777777" w:rsidR="00222DE0" w:rsidRPr="00EE3355" w:rsidRDefault="0098273B" w:rsidP="00EA1CDF">
      <w:pPr>
        <w:widowControl/>
        <w:ind w:left="57"/>
        <w:rPr>
          <w:sz w:val="18"/>
        </w:rPr>
      </w:pPr>
      <w:r w:rsidRPr="002265A0">
        <w:rPr>
          <w:b/>
          <w:bCs/>
          <w:sz w:val="18"/>
        </w:rPr>
        <w:t>Trvalá remise: remise od týdne 12 do týdne 52</w:t>
      </w:r>
      <w:r w:rsidRPr="00EE3355">
        <w:rPr>
          <w:sz w:val="18"/>
        </w:rPr>
        <w:t xml:space="preserve"> – pacienti musí dodržovat protokolem definované postupné vysazování prednisonu</w:t>
      </w:r>
    </w:p>
    <w:p w14:paraId="6414CAE0" w14:textId="77777777" w:rsidR="00222DE0" w:rsidRPr="00EE3355" w:rsidRDefault="0098273B" w:rsidP="00EA1CDF">
      <w:pPr>
        <w:widowControl/>
        <w:ind w:left="57"/>
        <w:rPr>
          <w:sz w:val="18"/>
        </w:rPr>
      </w:pPr>
      <w:r w:rsidRPr="00EE3355">
        <w:rPr>
          <w:sz w:val="18"/>
        </w:rPr>
        <w:t>¹ Analýza doby (ve dnech) od klinické remise do prvního relapsu</w:t>
      </w:r>
    </w:p>
    <w:p w14:paraId="0CB7E2F2" w14:textId="77777777" w:rsidR="00222DE0" w:rsidRPr="00EE3355" w:rsidRDefault="0098273B" w:rsidP="00EA1CDF">
      <w:pPr>
        <w:widowControl/>
        <w:ind w:left="57"/>
        <w:rPr>
          <w:sz w:val="18"/>
        </w:rPr>
      </w:pPr>
      <w:r w:rsidRPr="00EE3355">
        <w:rPr>
          <w:sz w:val="12"/>
        </w:rPr>
        <w:t xml:space="preserve">2 </w:t>
      </w:r>
      <w:r w:rsidRPr="00EE3355">
        <w:rPr>
          <w:sz w:val="18"/>
        </w:rPr>
        <w:t>Ke stanovení hodnot p se použila van Elterenova analýza neparametrických dat</w:t>
      </w:r>
    </w:p>
    <w:p w14:paraId="058A2327" w14:textId="77777777" w:rsidR="00222DE0" w:rsidRPr="00EE3355" w:rsidRDefault="0098273B" w:rsidP="00EA1CDF">
      <w:pPr>
        <w:widowControl/>
        <w:ind w:left="57"/>
        <w:rPr>
          <w:sz w:val="18"/>
        </w:rPr>
      </w:pPr>
      <w:r w:rsidRPr="00EE3355">
        <w:rPr>
          <w:sz w:val="12"/>
        </w:rPr>
        <w:t xml:space="preserve">§ </w:t>
      </w:r>
      <w:r w:rsidRPr="00EE3355">
        <w:rPr>
          <w:sz w:val="18"/>
        </w:rPr>
        <w:t>Statistické analýzy nebyly prováděny</w:t>
      </w:r>
    </w:p>
    <w:p w14:paraId="1F733C5A" w14:textId="77777777" w:rsidR="00222DE0" w:rsidRPr="00EE3355" w:rsidRDefault="0098273B" w:rsidP="00EA1CDF">
      <w:pPr>
        <w:widowControl/>
        <w:ind w:left="57"/>
        <w:rPr>
          <w:sz w:val="18"/>
        </w:rPr>
      </w:pPr>
      <w:r w:rsidRPr="00EE3355">
        <w:rPr>
          <w:sz w:val="18"/>
        </w:rPr>
        <w:t>N/A - neuplatňuje se</w:t>
      </w:r>
    </w:p>
    <w:p w14:paraId="22DF107B" w14:textId="77777777" w:rsidR="00222DE0" w:rsidRPr="00EE3355" w:rsidRDefault="0098273B" w:rsidP="00EA1CDF">
      <w:pPr>
        <w:widowControl/>
        <w:ind w:left="57"/>
        <w:rPr>
          <w:sz w:val="18"/>
        </w:rPr>
      </w:pPr>
      <w:r w:rsidRPr="00EE3355">
        <w:rPr>
          <w:sz w:val="18"/>
        </w:rPr>
        <w:t>HR - poměr rizik</w:t>
      </w:r>
    </w:p>
    <w:p w14:paraId="6287F29B" w14:textId="77777777" w:rsidR="00222DE0" w:rsidRPr="00EE3355" w:rsidRDefault="0098273B" w:rsidP="00EA1CDF">
      <w:pPr>
        <w:widowControl/>
        <w:ind w:left="57"/>
        <w:rPr>
          <w:sz w:val="18"/>
        </w:rPr>
      </w:pPr>
      <w:r w:rsidRPr="00EE3355">
        <w:rPr>
          <w:sz w:val="18"/>
        </w:rPr>
        <w:t>CI - interval spolehlivosti</w:t>
      </w:r>
    </w:p>
    <w:p w14:paraId="14731FCB" w14:textId="77777777" w:rsidR="007D6926" w:rsidRPr="00EE3355" w:rsidRDefault="007D6926" w:rsidP="00EA1CDF">
      <w:pPr>
        <w:widowControl/>
        <w:rPr>
          <w:i/>
        </w:rPr>
      </w:pPr>
    </w:p>
    <w:p w14:paraId="1F976F69" w14:textId="77777777" w:rsidR="00222DE0" w:rsidRPr="00EE3355" w:rsidRDefault="0098273B" w:rsidP="00EA1CDF">
      <w:pPr>
        <w:widowControl/>
        <w:rPr>
          <w:i/>
        </w:rPr>
      </w:pPr>
      <w:r w:rsidRPr="00EE3355">
        <w:rPr>
          <w:i/>
        </w:rPr>
        <w:t>Výsledky ve vztahu ke kvalitě života</w:t>
      </w:r>
    </w:p>
    <w:p w14:paraId="0F99DF9F" w14:textId="52E7FBA1" w:rsidR="00222DE0" w:rsidRPr="00EE3355" w:rsidRDefault="0098273B" w:rsidP="00EA1CDF">
      <w:pPr>
        <w:pStyle w:val="a3"/>
        <w:widowControl/>
        <w:ind w:left="0"/>
      </w:pPr>
      <w:r w:rsidRPr="00EE3355">
        <w:t xml:space="preserve">Ve studii WA28119 byly výsledky SF-36 rozděleny na souhrnná skóre fyzické složky (physical component score, PCS) a duševní složky (mental component score, MCS). Průměrná změna PCS z </w:t>
      </w:r>
      <w:r w:rsidRPr="00EE3355">
        <w:lastRenderedPageBreak/>
        <w:t>výchozí hodnoty na hodnotu v týdnu 52 byla vyšší (odpovídající většímu zlepšení) ve skupinách</w:t>
      </w:r>
      <w:r w:rsidR="007D6926" w:rsidRPr="00EE3355">
        <w:t xml:space="preserve"> </w:t>
      </w:r>
      <w:r w:rsidRPr="00EE3355">
        <w:t>s</w:t>
      </w:r>
      <w:r w:rsidR="00C72D28">
        <w:t> </w:t>
      </w:r>
      <w:r w:rsidR="00C72D28" w:rsidRPr="00C61A9B">
        <w:t>tocilizumab</w:t>
      </w:r>
      <w:r w:rsidR="00C72D28">
        <w:t xml:space="preserve">em </w:t>
      </w:r>
      <w:r w:rsidRPr="00EE3355">
        <w:t>jednou týdně a každé dva týdny (4,10, resp. 2,76) než v obou skupinách</w:t>
      </w:r>
      <w:r w:rsidR="007D6926" w:rsidRPr="00EE3355">
        <w:t xml:space="preserve"> </w:t>
      </w:r>
      <w:r w:rsidRPr="00EE3355">
        <w:t>s placebem (placebo plus 26 týdnů -0,28, placebo plus 52 týdnů -1,49), ačkoliv statisticky významný rozdíl (p = 0,0024) byl prokázán pouze při srovnání skupiny s</w:t>
      </w:r>
      <w:r w:rsidR="00C72D28">
        <w:t> </w:t>
      </w:r>
      <w:r w:rsidR="00C72D28" w:rsidRPr="00C61A9B">
        <w:t>tocilizumab</w:t>
      </w:r>
      <w:r w:rsidR="00C72D28">
        <w:t xml:space="preserve">em </w:t>
      </w:r>
      <w:r w:rsidRPr="00EE3355">
        <w:t>jednou týdně plus 26 týdnů postupně vysazovaný prednison a placebo plus 52 týdnů postupně vysazovaný prednison (5,59; 99% CI: 8,6; 10,32). Průměrná změna MCS z výchozí hodnoty na hodnotu</w:t>
      </w:r>
      <w:r w:rsidR="007D6926" w:rsidRPr="00EE3355">
        <w:t xml:space="preserve"> </w:t>
      </w:r>
      <w:r w:rsidRPr="00EE3355">
        <w:t>v týdnu 52 byla u obou skupin s</w:t>
      </w:r>
      <w:r w:rsidR="00C72D28">
        <w:t> </w:t>
      </w:r>
      <w:r w:rsidR="00C72D28" w:rsidRPr="00C61A9B">
        <w:t>tocilizumab</w:t>
      </w:r>
      <w:r w:rsidR="00C72D28">
        <w:t xml:space="preserve">em </w:t>
      </w:r>
      <w:r w:rsidRPr="00EE3355">
        <w:t>jednou týdně a každé dva týdny (7,28, resp. 6,12) vyšší než u skupiny s placebem plus 52 týdnů postupně vysazovaný prednison (2,84), ačkoliv se nejednalo o statisticky významné rozdíly (p = 0,0252 pro dávku jednou týdně, p = 0,1468 pro dávku každé dva týdny), a podobná jako u skupiny s placebem plus 26 týdnů postupně vysazovaný prednison (6,67).</w:t>
      </w:r>
    </w:p>
    <w:p w14:paraId="1D248D63" w14:textId="77777777" w:rsidR="000A52CE" w:rsidRPr="00EE3355" w:rsidRDefault="000A52CE" w:rsidP="00EA1CDF">
      <w:pPr>
        <w:pStyle w:val="a3"/>
        <w:widowControl/>
        <w:ind w:left="0"/>
      </w:pPr>
    </w:p>
    <w:p w14:paraId="1E50D267" w14:textId="23666D81" w:rsidR="00222DE0" w:rsidRPr="00EE3355" w:rsidRDefault="0098273B" w:rsidP="00EA1CDF">
      <w:pPr>
        <w:pStyle w:val="a3"/>
        <w:widowControl/>
        <w:ind w:left="0"/>
      </w:pPr>
      <w:r w:rsidRPr="00EE3355">
        <w:t>Globální hodnocení pacienta (PGA) bylo provedeno pomocí vizuální analogové škály (VAS) 0 - 100 mm. Střední změna PGA VAS z výchozí hodnoty na hodnotu v týdnu 52 byla nižší</w:t>
      </w:r>
      <w:r w:rsidR="000A52CE" w:rsidRPr="00EE3355">
        <w:t xml:space="preserve"> </w:t>
      </w:r>
      <w:r w:rsidRPr="00EE3355">
        <w:t>(odpovídající většímu zlepšení) ve skupinách s</w:t>
      </w:r>
      <w:r w:rsidR="00C72D28">
        <w:t> </w:t>
      </w:r>
      <w:r w:rsidR="00C72D28" w:rsidRPr="00C61A9B">
        <w:t>tocilizumab</w:t>
      </w:r>
      <w:r w:rsidR="00C72D28">
        <w:t xml:space="preserve">em </w:t>
      </w:r>
      <w:r w:rsidRPr="00EE3355">
        <w:t>jednou týdně a každé dva týdny (-19,0, resp. -25,3) než v obou skupinách s placebem (placebo plus 26 týdnů -3,4, placebo plus 52 týdnů -7,2), ačkoliv statisticky významný rozdíl byl prokázán pouze při srovnání skupiny</w:t>
      </w:r>
      <w:r w:rsidR="000A52CE" w:rsidRPr="00EE3355">
        <w:t xml:space="preserve"> </w:t>
      </w:r>
      <w:r w:rsidRPr="00EE3355">
        <w:t>s</w:t>
      </w:r>
      <w:r w:rsidR="00C72D28">
        <w:t> </w:t>
      </w:r>
      <w:r w:rsidR="00C72D28" w:rsidRPr="00C61A9B">
        <w:t>tocilizumab</w:t>
      </w:r>
      <w:r w:rsidR="00C72D28">
        <w:t xml:space="preserve">em </w:t>
      </w:r>
      <w:r w:rsidRPr="00EE3355">
        <w:t>každé dva týdny plus 26 týdnů postupně vysazovaný prednison s placebem (placebo plus 26 týdnů postupně vysazovaný prednison p = 0,0059 a placebo plus 52 týdnů postupně vysazovaný prednison p = 0,0081).</w:t>
      </w:r>
    </w:p>
    <w:p w14:paraId="1DA47F2E" w14:textId="77777777" w:rsidR="00222DE0" w:rsidRPr="00EE3355" w:rsidRDefault="00222DE0" w:rsidP="00EA1CDF">
      <w:pPr>
        <w:pStyle w:val="a3"/>
        <w:widowControl/>
        <w:ind w:left="0"/>
      </w:pPr>
    </w:p>
    <w:p w14:paraId="4AAFBF4F" w14:textId="790FD2E2" w:rsidR="00222DE0" w:rsidRPr="00EE3355" w:rsidRDefault="0098273B" w:rsidP="00EA1CDF">
      <w:pPr>
        <w:pStyle w:val="a3"/>
        <w:widowControl/>
        <w:ind w:left="0"/>
      </w:pPr>
      <w:r w:rsidRPr="00EE3355">
        <w:t>Pro všechny skupiny byly stanoveny změny skóre FACIT-Fatigue z výchozí hodnoty na hodnotu</w:t>
      </w:r>
      <w:r w:rsidR="000A52CE" w:rsidRPr="00EE3355">
        <w:t xml:space="preserve"> </w:t>
      </w:r>
      <w:r w:rsidRPr="00EE3355">
        <w:t xml:space="preserve">v týdnu 52. Průměrné hodnoty (SD) změn skóre byly následující: </w:t>
      </w:r>
      <w:r w:rsidR="00C72D28" w:rsidRPr="00C61A9B">
        <w:t>tocilizumab</w:t>
      </w:r>
      <w:r w:rsidR="00C72D28">
        <w:t xml:space="preserve"> </w:t>
      </w:r>
      <w:r w:rsidRPr="00EE3355">
        <w:t>jednou týdně</w:t>
      </w:r>
      <w:r w:rsidR="000A52CE" w:rsidRPr="00EE3355">
        <w:t xml:space="preserve"> </w:t>
      </w:r>
      <w:r w:rsidRPr="00EE3355">
        <w:t xml:space="preserve">plus 26 týdnů 5,61 (10,115), </w:t>
      </w:r>
      <w:r w:rsidR="00C72D28" w:rsidRPr="00C61A9B">
        <w:t>tocilizumab</w:t>
      </w:r>
      <w:r w:rsidR="00C72D28">
        <w:t xml:space="preserve"> </w:t>
      </w:r>
      <w:r w:rsidRPr="00EE3355">
        <w:t>každé dva týdny plus 26 týdnů 1,81 (8,836),</w:t>
      </w:r>
      <w:r w:rsidR="000A52CE" w:rsidRPr="00EE3355">
        <w:t xml:space="preserve"> </w:t>
      </w:r>
      <w:r w:rsidRPr="00EE3355">
        <w:t>placebo plus 26 týdnů 0,26 (10,702) a placebo plus 52 týdnů -1,63 (6,753).</w:t>
      </w:r>
    </w:p>
    <w:p w14:paraId="534B0AFF" w14:textId="77777777" w:rsidR="00222DE0" w:rsidRPr="00EE3355" w:rsidRDefault="00222DE0" w:rsidP="00EA1CDF">
      <w:pPr>
        <w:pStyle w:val="a3"/>
        <w:widowControl/>
        <w:ind w:left="0"/>
      </w:pPr>
    </w:p>
    <w:p w14:paraId="00F1B58D" w14:textId="5727A580" w:rsidR="000A52CE" w:rsidRPr="00EE3355" w:rsidRDefault="0098273B" w:rsidP="00EA1CDF">
      <w:pPr>
        <w:pStyle w:val="a3"/>
        <w:widowControl/>
        <w:ind w:left="0"/>
      </w:pPr>
      <w:r w:rsidRPr="00EE3355">
        <w:t xml:space="preserve">Změna skóre EQ5D z výchozí hodnoty na hodnotu v týdnu 52 byla 0,10 (0,198) pro </w:t>
      </w:r>
      <w:r w:rsidR="00C72D28" w:rsidRPr="00C61A9B">
        <w:t>tocilizumab</w:t>
      </w:r>
      <w:r w:rsidRPr="00EE3355">
        <w:t xml:space="preserve"> jednou týdně plus 26 týdnů, 0,05 (0,215) pro </w:t>
      </w:r>
      <w:r w:rsidR="00C72D28" w:rsidRPr="00C61A9B">
        <w:t>tocilizumab</w:t>
      </w:r>
      <w:r w:rsidR="00C72D28">
        <w:t xml:space="preserve"> </w:t>
      </w:r>
      <w:r w:rsidRPr="00EE3355">
        <w:t>každé dva týdny plus 26 týdnů, 0,07 (0,293) pro placebo plus 26 týdnů a -0,02 (0,159) pro placebo plus 52 týdnů.</w:t>
      </w:r>
      <w:r w:rsidR="000A52CE" w:rsidRPr="00EE3355">
        <w:t xml:space="preserve"> </w:t>
      </w:r>
      <w:r w:rsidRPr="00EE3355">
        <w:t xml:space="preserve">Vyšší skóre odpovídají zlepšení skóre FACIT-Fatigue i EQ5D. </w:t>
      </w:r>
    </w:p>
    <w:p w14:paraId="53CE9EB0" w14:textId="77777777" w:rsidR="000A52CE" w:rsidRPr="00EE3355" w:rsidRDefault="000A52CE" w:rsidP="00EA1CDF">
      <w:pPr>
        <w:pStyle w:val="a3"/>
        <w:widowControl/>
        <w:ind w:left="0"/>
        <w:rPr>
          <w:u w:val="single"/>
        </w:rPr>
      </w:pPr>
    </w:p>
    <w:p w14:paraId="38AAB62F" w14:textId="77777777" w:rsidR="00222DE0" w:rsidRPr="00EE3355" w:rsidRDefault="0098273B" w:rsidP="00EA1CDF">
      <w:pPr>
        <w:pStyle w:val="a3"/>
        <w:widowControl/>
        <w:ind w:left="0"/>
      </w:pPr>
      <w:r w:rsidRPr="00EE3355">
        <w:rPr>
          <w:u w:val="single"/>
        </w:rPr>
        <w:t>Intravenózní podání</w:t>
      </w:r>
    </w:p>
    <w:p w14:paraId="081BEBC4" w14:textId="77777777" w:rsidR="00222DE0" w:rsidRPr="00EE3355" w:rsidRDefault="0098273B" w:rsidP="00EA1CDF">
      <w:pPr>
        <w:widowControl/>
        <w:rPr>
          <w:b/>
        </w:rPr>
      </w:pPr>
      <w:r w:rsidRPr="00EE3355">
        <w:rPr>
          <w:b/>
          <w:u w:val="single"/>
        </w:rPr>
        <w:t>RA</w:t>
      </w:r>
    </w:p>
    <w:p w14:paraId="323064A4" w14:textId="77777777" w:rsidR="00222DE0" w:rsidRPr="00EE3355" w:rsidRDefault="0098273B" w:rsidP="00EA1CDF">
      <w:pPr>
        <w:pStyle w:val="a3"/>
        <w:widowControl/>
        <w:ind w:left="0"/>
      </w:pPr>
      <w:r w:rsidRPr="00EE3355">
        <w:rPr>
          <w:u w:val="single"/>
        </w:rPr>
        <w:t>Klinická účinnost</w:t>
      </w:r>
    </w:p>
    <w:p w14:paraId="0591C864" w14:textId="2704F73E" w:rsidR="00222DE0" w:rsidRPr="00EE3355" w:rsidRDefault="0098273B" w:rsidP="00EA1CDF">
      <w:pPr>
        <w:pStyle w:val="a3"/>
        <w:widowControl/>
        <w:ind w:left="0"/>
      </w:pPr>
      <w:r w:rsidRPr="00EE3355">
        <w:t xml:space="preserve">Účinnost </w:t>
      </w:r>
      <w:r w:rsidR="00C72D28" w:rsidRPr="00C61A9B">
        <w:t>tocilizumab</w:t>
      </w:r>
      <w:r w:rsidR="00C72D28">
        <w:t xml:space="preserve">u </w:t>
      </w:r>
      <w:r w:rsidRPr="00EE3355">
        <w:t>na zmírnění známek a příznaků RA byla hodnocena</w:t>
      </w:r>
      <w:r w:rsidR="001D4054" w:rsidRPr="00EE3355">
        <w:t xml:space="preserve"> </w:t>
      </w:r>
      <w:r w:rsidRPr="00EE3355">
        <w:t xml:space="preserve">v 5 randomizovaných, dvojitě zaslepených, multicentrických studiích. Studie I-V zahrnovaly pacienty ve věku </w:t>
      </w:r>
      <w:r w:rsidRPr="00EE3355">
        <w:rPr>
          <w:rFonts w:ascii="Symbol" w:hAnsi="Symbol"/>
        </w:rPr>
        <w:t></w:t>
      </w:r>
      <w:r w:rsidRPr="00EE3355">
        <w:t xml:space="preserve"> 18 let s aktivní RA diagnostikovanou v souladu s kritérii American College of Rheumatology (ACR), kteří měli alespoň 8 bolestivých a 6 oteklých kloubů v úvodu léčby.</w:t>
      </w:r>
    </w:p>
    <w:p w14:paraId="44C14B84" w14:textId="77777777" w:rsidR="001D4054" w:rsidRPr="00EE3355" w:rsidRDefault="001D4054" w:rsidP="00EA1CDF">
      <w:pPr>
        <w:pStyle w:val="a3"/>
        <w:widowControl/>
        <w:ind w:left="0"/>
      </w:pPr>
    </w:p>
    <w:p w14:paraId="467AE0B8" w14:textId="366E4C9F" w:rsidR="00222DE0" w:rsidRPr="00EE3355" w:rsidRDefault="0098273B" w:rsidP="00EA1CDF">
      <w:pPr>
        <w:pStyle w:val="a3"/>
        <w:widowControl/>
        <w:ind w:left="0"/>
      </w:pPr>
      <w:r w:rsidRPr="00EE3355">
        <w:t xml:space="preserve">Ve studii I byl </w:t>
      </w:r>
      <w:r w:rsidR="00C72D28" w:rsidRPr="00C61A9B">
        <w:t>tocilizumab</w:t>
      </w:r>
      <w:r w:rsidR="00C72D28">
        <w:t xml:space="preserve"> </w:t>
      </w:r>
      <w:r w:rsidRPr="00EE3355">
        <w:t>podáván intravenózně každé čtyři týdny jako monoterapie. Ve</w:t>
      </w:r>
      <w:r w:rsidR="001D4054" w:rsidRPr="00EE3355">
        <w:t xml:space="preserve"> </w:t>
      </w:r>
      <w:r w:rsidRPr="00EE3355">
        <w:t xml:space="preserve">studiích II, III a V byl </w:t>
      </w:r>
      <w:r w:rsidR="00C72D28" w:rsidRPr="00C61A9B">
        <w:t>tocilizumab</w:t>
      </w:r>
      <w:r w:rsidR="00C72D28">
        <w:t xml:space="preserve"> </w:t>
      </w:r>
      <w:r w:rsidRPr="00EE3355">
        <w:t>podáván intravenózně každé čtyři týdny v</w:t>
      </w:r>
      <w:r w:rsidR="001D4054" w:rsidRPr="00EE3355">
        <w:t> </w:t>
      </w:r>
      <w:r w:rsidRPr="00EE3355">
        <w:t>kombinaci</w:t>
      </w:r>
      <w:r w:rsidR="001D4054" w:rsidRPr="00EE3355">
        <w:t xml:space="preserve"> </w:t>
      </w:r>
      <w:r w:rsidRPr="00EE3355">
        <w:t xml:space="preserve">s MTX proti placebu a MTX. Ve studii IV byl </w:t>
      </w:r>
      <w:r w:rsidR="00C72D28" w:rsidRPr="00C61A9B">
        <w:t>tocilizumab</w:t>
      </w:r>
      <w:r w:rsidR="00C72D28">
        <w:t xml:space="preserve"> </w:t>
      </w:r>
      <w:r w:rsidRPr="00EE3355">
        <w:t>podáván intravenózně každé čtyři týdny v dalšími DMARD proti placebu a dalším DMARD. Primárním cílem každé z pěti studií bylo procento pacientů, kteří dosáhli odpovědi dle kritérií ACR 20 v týdnu 24.</w:t>
      </w:r>
    </w:p>
    <w:p w14:paraId="730BBD8B" w14:textId="77777777" w:rsidR="00222DE0" w:rsidRPr="00EE3355" w:rsidRDefault="00222DE0" w:rsidP="00EA1CDF">
      <w:pPr>
        <w:pStyle w:val="a3"/>
        <w:widowControl/>
        <w:ind w:left="0"/>
      </w:pPr>
    </w:p>
    <w:p w14:paraId="2473815F" w14:textId="407E5165" w:rsidR="00222DE0" w:rsidRPr="00EE3355" w:rsidRDefault="0098273B" w:rsidP="00EA1CDF">
      <w:pPr>
        <w:pStyle w:val="a3"/>
        <w:widowControl/>
        <w:ind w:left="0"/>
      </w:pPr>
      <w:r w:rsidRPr="00EE3355">
        <w:t xml:space="preserve">Studie I hodnotila 673 pacientů, kteří nebyli v průběhu 6 týdnů před randomizací léčeni MTX a kteří nepřerušili předchozí léčbu MTX z důvodu klinicky závažných toxických nežádoucích účinků nebo nedostatečné klinické odpovědi. Většina pacientů (67 %) nebyla nikdy léčena MTX. Dávky 8 mg/kg </w:t>
      </w:r>
      <w:r w:rsidR="00C72D28" w:rsidRPr="00C61A9B">
        <w:t>tocilizumab</w:t>
      </w:r>
      <w:r w:rsidR="00C72D28">
        <w:t xml:space="preserve">u </w:t>
      </w:r>
      <w:r w:rsidRPr="00EE3355">
        <w:t>byly podávány každé čtyři týdny jako monoterapie. Ve srovnávací skupině byl podáván každý týden MTX (dávka titrovaná od 7,5 mg až k maximální dávce 20 mg týdně po dobu 8 týdnů).</w:t>
      </w:r>
    </w:p>
    <w:p w14:paraId="7E36E75C" w14:textId="77777777" w:rsidR="00222DE0" w:rsidRPr="00EE3355" w:rsidRDefault="00222DE0" w:rsidP="00EA1CDF">
      <w:pPr>
        <w:pStyle w:val="a3"/>
        <w:widowControl/>
        <w:ind w:left="0"/>
      </w:pPr>
    </w:p>
    <w:p w14:paraId="1B56AA10" w14:textId="7B1390B1" w:rsidR="00222DE0" w:rsidRPr="00EE3355" w:rsidRDefault="0098273B" w:rsidP="00EA1CDF">
      <w:pPr>
        <w:pStyle w:val="a3"/>
        <w:widowControl/>
        <w:ind w:left="0"/>
      </w:pPr>
      <w:r w:rsidRPr="00EE3355">
        <w:t xml:space="preserve">Studie II - dvouletá studie s plánovanými analýzami v týdnu 24, týdnu 52 a týdnu 104 </w:t>
      </w:r>
      <w:r w:rsidR="00027D29" w:rsidRPr="00EE3355">
        <w:t>–</w:t>
      </w:r>
      <w:r w:rsidRPr="00EE3355">
        <w:t xml:space="preserve"> hodnotila</w:t>
      </w:r>
      <w:r w:rsidR="00027D29" w:rsidRPr="00EE3355">
        <w:t xml:space="preserve"> </w:t>
      </w:r>
      <w:r w:rsidRPr="00EE3355">
        <w:t xml:space="preserve">1 196 pacientů, kteří neměli dostatečnou klinickou odpověď na léčbu MTX. Pacienti dostávali každé čtyři týdny </w:t>
      </w:r>
      <w:r w:rsidR="00C72D28" w:rsidRPr="00C61A9B">
        <w:t>tocilizumab</w:t>
      </w:r>
      <w:r w:rsidR="00C72D28">
        <w:t xml:space="preserve"> </w:t>
      </w:r>
      <w:r w:rsidRPr="00EE3355">
        <w:t xml:space="preserve">v dávce 4 nebo 8 mg/kg nebo placebo jako zaslepenou terapii po dobu 52 týdnů v kombinaci se stabilní dávkou MTX (10 mg až 25 mg týdně). Po týdnu 52 mohli všichni pacienti pokračovat v otevřené fázi léčby </w:t>
      </w:r>
      <w:r w:rsidR="00C72D28" w:rsidRPr="00C61A9B">
        <w:t>tocilizumab</w:t>
      </w:r>
      <w:r w:rsidR="00C72D28">
        <w:t xml:space="preserve">em </w:t>
      </w:r>
      <w:r w:rsidRPr="00EE3355">
        <w:t>v dávce 8 mg/kg. 86 %</w:t>
      </w:r>
      <w:r w:rsidR="00027D29" w:rsidRPr="00EE3355">
        <w:t xml:space="preserve"> </w:t>
      </w:r>
      <w:r w:rsidRPr="00EE3355">
        <w:t xml:space="preserve">pacientů, kteří dokončili studii a kteří byli původně randomizováni do skupiny s placebem + MTX, pokračovalo v </w:t>
      </w:r>
      <w:r w:rsidRPr="00EE3355">
        <w:lastRenderedPageBreak/>
        <w:t xml:space="preserve">otevřené fázi léčby </w:t>
      </w:r>
      <w:r w:rsidR="00C72D28" w:rsidRPr="00C61A9B">
        <w:t>tocilizumab</w:t>
      </w:r>
      <w:r w:rsidR="00C72D28">
        <w:t xml:space="preserve">em </w:t>
      </w:r>
      <w:r w:rsidRPr="00EE3355">
        <w:t>v dávce 8 mg/kg v roce 2. Primárním cílem každé z pěti studií bylo procento pacientů, kteří dosáhli odpovědi dle kritérií ACR 20 v týdnu 24.</w:t>
      </w:r>
    </w:p>
    <w:p w14:paraId="66C6E22E" w14:textId="77777777" w:rsidR="00F53044" w:rsidRPr="00EE3355" w:rsidRDefault="00F53044" w:rsidP="00EA1CDF">
      <w:pPr>
        <w:pStyle w:val="a3"/>
        <w:widowControl/>
        <w:ind w:left="0"/>
      </w:pPr>
    </w:p>
    <w:p w14:paraId="76DFEBA7" w14:textId="38A2D9CD" w:rsidR="00222DE0" w:rsidRPr="00EE3355" w:rsidRDefault="0098273B" w:rsidP="00EA1CDF">
      <w:pPr>
        <w:pStyle w:val="a3"/>
        <w:widowControl/>
        <w:ind w:left="0"/>
      </w:pPr>
      <w:r w:rsidRPr="00EE3355">
        <w:t>Koprimárními cíli byly prevence poškození kloubů a zlepšení fyzických funkcí v týdnu 52 a týdnu 104.</w:t>
      </w:r>
      <w:r w:rsidR="00F53044" w:rsidRPr="00EE3355">
        <w:t xml:space="preserve"> </w:t>
      </w:r>
      <w:r w:rsidRPr="00EE3355">
        <w:t xml:space="preserve">Studie III hodnotila 623 pacientů, kteří neměli dostatečnou odpověď na léčbu MTX. Pacienti dostávali každé čtyři týdny </w:t>
      </w:r>
      <w:r w:rsidR="00C72D28" w:rsidRPr="00C61A9B">
        <w:t>tocilizumab</w:t>
      </w:r>
      <w:r w:rsidR="00C72D28">
        <w:t xml:space="preserve"> </w:t>
      </w:r>
      <w:r w:rsidRPr="00EE3355">
        <w:t>v dávce 4 nebo 8 mg/kg nebo placebo v kombinaci se stabilní dávkou MTX (10 mg až 25 mg týdně).</w:t>
      </w:r>
    </w:p>
    <w:p w14:paraId="076069EC" w14:textId="77777777" w:rsidR="00222DE0" w:rsidRPr="00EE3355" w:rsidRDefault="00222DE0" w:rsidP="00EA1CDF">
      <w:pPr>
        <w:pStyle w:val="a3"/>
        <w:widowControl/>
        <w:ind w:left="0"/>
      </w:pPr>
    </w:p>
    <w:p w14:paraId="18CC26C7" w14:textId="5A8A5EEB" w:rsidR="00222DE0" w:rsidRPr="00EE3355" w:rsidRDefault="0098273B" w:rsidP="00EA1CDF">
      <w:pPr>
        <w:pStyle w:val="a3"/>
        <w:widowControl/>
        <w:ind w:left="0"/>
      </w:pPr>
      <w:r w:rsidRPr="00EE3355">
        <w:t xml:space="preserve">Studie IV hodnotila 1 220 pacientů, kteří neměli dostatečnou odpověď na stávající revmatologickou terapii včetně jednoho nebo více DMARD. Pacienti dostávali každé čtyři týdny </w:t>
      </w:r>
      <w:r w:rsidR="00C72D28" w:rsidRPr="00C61A9B">
        <w:t>tocilizumab</w:t>
      </w:r>
      <w:r w:rsidR="00C72D28">
        <w:t xml:space="preserve"> </w:t>
      </w:r>
      <w:r w:rsidRPr="00EE3355">
        <w:t>v dávce 8 mg/kg nebo placebo v kombinaci se stabilní dávkou DMARD.</w:t>
      </w:r>
    </w:p>
    <w:p w14:paraId="6AF861EE" w14:textId="77777777" w:rsidR="00F53044" w:rsidRPr="00EE3355" w:rsidRDefault="00F53044" w:rsidP="00EA1CDF">
      <w:pPr>
        <w:pStyle w:val="a3"/>
        <w:widowControl/>
        <w:ind w:left="0"/>
      </w:pPr>
    </w:p>
    <w:p w14:paraId="55D1C5CB" w14:textId="09684839" w:rsidR="00222DE0" w:rsidRPr="00EE3355" w:rsidRDefault="0098273B" w:rsidP="00EA1CDF">
      <w:pPr>
        <w:pStyle w:val="a3"/>
        <w:widowControl/>
        <w:ind w:left="0"/>
      </w:pPr>
      <w:r w:rsidRPr="00EE3355">
        <w:t xml:space="preserve">Studie V hodnotila 499 pacientů, kteří neměli dostatečnou klinickou odpověď na léčbu jedním nebo více antagonisty TNF nebo kteří takovou léčbu netolerovali. Léčba antagonisty TNF byla ukončena před randomizací. Pacienti dostávali každé čtyři týdny </w:t>
      </w:r>
      <w:r w:rsidR="00C72D28" w:rsidRPr="00C61A9B">
        <w:t>tocilizumab</w:t>
      </w:r>
      <w:r w:rsidR="00C72D28">
        <w:t xml:space="preserve"> </w:t>
      </w:r>
      <w:r w:rsidRPr="00EE3355">
        <w:t>v dávce 4 nebo 8 mg/kg nebo placebo v kombinaci se stabilní dávkou MTX (10 mg až 25 mg týdně).</w:t>
      </w:r>
    </w:p>
    <w:p w14:paraId="6B9DF0F5" w14:textId="77777777" w:rsidR="00222DE0" w:rsidRPr="00EE3355" w:rsidRDefault="00222DE0" w:rsidP="00EA1CDF">
      <w:pPr>
        <w:pStyle w:val="a3"/>
        <w:widowControl/>
        <w:ind w:left="0"/>
      </w:pPr>
    </w:p>
    <w:p w14:paraId="2531DCA5" w14:textId="77777777" w:rsidR="00222DE0" w:rsidRPr="00EE3355" w:rsidRDefault="0098273B" w:rsidP="00EA1CDF">
      <w:pPr>
        <w:pStyle w:val="a3"/>
        <w:keepNext/>
        <w:widowControl/>
        <w:ind w:left="0"/>
      </w:pPr>
      <w:r w:rsidRPr="00EE3355">
        <w:rPr>
          <w:u w:val="single"/>
        </w:rPr>
        <w:t>Klinická odpověď</w:t>
      </w:r>
    </w:p>
    <w:p w14:paraId="04EA6051" w14:textId="3124A974" w:rsidR="00222DE0" w:rsidRPr="00EE3355" w:rsidRDefault="0098273B" w:rsidP="00EA1CDF">
      <w:pPr>
        <w:pStyle w:val="a3"/>
        <w:widowControl/>
        <w:ind w:left="0"/>
      </w:pPr>
      <w:r w:rsidRPr="00EE3355">
        <w:t xml:space="preserve">Ve všech studiích měli pacienti léčení </w:t>
      </w:r>
      <w:r w:rsidR="00C72D28" w:rsidRPr="00C61A9B">
        <w:t>tocilizumab</w:t>
      </w:r>
      <w:r w:rsidR="00C72D28">
        <w:t xml:space="preserve">em </w:t>
      </w:r>
      <w:r w:rsidRPr="00EE3355">
        <w:t xml:space="preserve">v dávce 8 mg/kg statisticky významně vyšší míru odpovědi dle kritérií ACR 20, 50 a 70 v 6. měsíci v porovnání s kontrolní skupinou (tabulka 5). Ve studii I byla prokázána superiorita </w:t>
      </w:r>
      <w:r w:rsidR="00C72D28" w:rsidRPr="00C61A9B">
        <w:t>tocilizumab</w:t>
      </w:r>
      <w:r w:rsidR="00C72D28">
        <w:t xml:space="preserve">u </w:t>
      </w:r>
      <w:r w:rsidRPr="00EE3355">
        <w:t>v dávce 8 mg/kg proti aktivní kontrolní skupině s MTX.</w:t>
      </w:r>
    </w:p>
    <w:p w14:paraId="2E7DA3A5" w14:textId="77777777" w:rsidR="00222DE0" w:rsidRPr="00EE3355" w:rsidRDefault="00222DE0" w:rsidP="00EA1CDF">
      <w:pPr>
        <w:pStyle w:val="a3"/>
        <w:widowControl/>
        <w:ind w:left="0"/>
      </w:pPr>
    </w:p>
    <w:p w14:paraId="24FBCED4" w14:textId="77777777" w:rsidR="00222DE0" w:rsidRPr="00EE3355" w:rsidRDefault="0098273B" w:rsidP="00EA1CDF">
      <w:pPr>
        <w:pStyle w:val="a3"/>
        <w:widowControl/>
        <w:ind w:left="0"/>
        <w:jc w:val="both"/>
      </w:pPr>
      <w:r w:rsidRPr="00EE3355">
        <w:t>Léčebný účinek na pacienty byl podobný nezávisle na stavu revmatoidního faktoru, věku, pohlaví, rase, počtu předchozích terapií nebo stavu nemoci. Nástup účinku byl rychlý (již v týdnu 2) a míra odpovědi se během léčby zlepšovala. Trvající odpověď byla zjištěna ještě po 3 letech v otevřených prodloužených fázích studií I - V.</w:t>
      </w:r>
    </w:p>
    <w:p w14:paraId="6B3A6558" w14:textId="77777777" w:rsidR="00222DE0" w:rsidRPr="00EE3355" w:rsidRDefault="00222DE0" w:rsidP="00EA1CDF">
      <w:pPr>
        <w:pStyle w:val="a3"/>
        <w:widowControl/>
        <w:ind w:left="0"/>
      </w:pPr>
    </w:p>
    <w:p w14:paraId="3A4EC200" w14:textId="66859DAF" w:rsidR="00222DE0" w:rsidRPr="00EE3355" w:rsidRDefault="0098273B" w:rsidP="00EA1CDF">
      <w:pPr>
        <w:pStyle w:val="a3"/>
        <w:widowControl/>
        <w:ind w:left="0"/>
      </w:pPr>
      <w:r w:rsidRPr="00EE3355">
        <w:t xml:space="preserve">U pacientů léčených </w:t>
      </w:r>
      <w:r w:rsidR="00C72D28" w:rsidRPr="00C61A9B">
        <w:t>tocilizumab</w:t>
      </w:r>
      <w:r w:rsidR="00C72D28">
        <w:t xml:space="preserve">em </w:t>
      </w:r>
      <w:r w:rsidRPr="00EE3355">
        <w:t>v dávce 8 mg/kg bylo významné zlepšení zaznamenáno ve všech jednotlivých složkách odpovědí ACR včetně počtu bolestivých a oteklých kloubů, celkového hodnocení stavu pacientem i lékařem, skóre indexu disability, hodnocení bolesti a CRP v</w:t>
      </w:r>
      <w:r w:rsidR="006560F2" w:rsidRPr="00EE3355">
        <w:t> </w:t>
      </w:r>
      <w:r w:rsidRPr="00EE3355">
        <w:t>porovnání</w:t>
      </w:r>
      <w:r w:rsidR="006560F2" w:rsidRPr="00EE3355">
        <w:t xml:space="preserve"> </w:t>
      </w:r>
      <w:r w:rsidRPr="00EE3355">
        <w:t>s pacienty dostávajícími placebo spolu s MTX nebo dalšími DMARD ve všech studiích.</w:t>
      </w:r>
    </w:p>
    <w:p w14:paraId="7A755C87" w14:textId="77777777" w:rsidR="00222DE0" w:rsidRPr="00EE3355" w:rsidRDefault="00222DE0" w:rsidP="00EA1CDF">
      <w:pPr>
        <w:pStyle w:val="a3"/>
        <w:widowControl/>
        <w:ind w:left="0"/>
      </w:pPr>
    </w:p>
    <w:p w14:paraId="036BA1C8" w14:textId="0C7D49E0" w:rsidR="00222DE0" w:rsidRPr="00EE3355" w:rsidRDefault="0098273B" w:rsidP="00EA1CDF">
      <w:pPr>
        <w:pStyle w:val="a3"/>
        <w:widowControl/>
        <w:ind w:left="0"/>
        <w:jc w:val="both"/>
      </w:pPr>
      <w:r w:rsidRPr="00EE3355">
        <w:t xml:space="preserve">Pacienti ve studiích I - V měli před začátkem léčby průměrné skóre aktivity onemocnění (DAS28) 6,5 - 6,8. U pacientů léčených </w:t>
      </w:r>
      <w:r w:rsidR="00C72D28" w:rsidRPr="00C61A9B">
        <w:t>tocilizumab</w:t>
      </w:r>
      <w:r w:rsidR="00C72D28">
        <w:t xml:space="preserve">em </w:t>
      </w:r>
      <w:r w:rsidRPr="00EE3355">
        <w:t>bylo v porovnání s pacienty v kontrolované skupině (DAS28 1,3 - 2,1) pozorováno významné snížení (průměrné zlepšení) skóre DAS28</w:t>
      </w:r>
      <w:r w:rsidR="006560F2" w:rsidRPr="00EE3355">
        <w:t xml:space="preserve"> </w:t>
      </w:r>
      <w:r w:rsidRPr="00EE3355">
        <w:t xml:space="preserve">o 3,1 - 3,4 oproti skóre před začátkem léčby. Podíl pacientů, kteří v týdnu 24 dosáhli klinické remise onemocnění podle DAS28 (DAS28 &lt; 2,6), byl významně vyšší u pacientů léčených </w:t>
      </w:r>
      <w:r w:rsidR="00C72D28" w:rsidRPr="00C61A9B">
        <w:t>tocilizumab</w:t>
      </w:r>
      <w:r w:rsidR="00C72D28">
        <w:t xml:space="preserve">em </w:t>
      </w:r>
      <w:r w:rsidRPr="00EE3355">
        <w:t>(28 - 34 %) v porovnání s 1 - 12 % pacientů v kontrolní skupině. Ve studii II</w:t>
      </w:r>
      <w:r w:rsidR="006560F2" w:rsidRPr="00EE3355">
        <w:t xml:space="preserve"> </w:t>
      </w:r>
      <w:r w:rsidRPr="00EE3355">
        <w:t>65 % pacientů dosáhlo DAS28 &lt; 2,6 v týdnu 104 v porovnání se 48 % pacientů v týdnu 52 a 33 % pacientů v týdnu 24.</w:t>
      </w:r>
    </w:p>
    <w:p w14:paraId="532A1726" w14:textId="77777777" w:rsidR="006560F2" w:rsidRPr="00EE3355" w:rsidRDefault="006560F2" w:rsidP="00EA1CDF">
      <w:pPr>
        <w:pStyle w:val="a3"/>
        <w:widowControl/>
        <w:ind w:left="0"/>
        <w:jc w:val="both"/>
      </w:pPr>
    </w:p>
    <w:p w14:paraId="10C6EE11" w14:textId="3A97AE56" w:rsidR="00222DE0" w:rsidRPr="00EE3355" w:rsidRDefault="0098273B" w:rsidP="00EA1CDF">
      <w:pPr>
        <w:pStyle w:val="a3"/>
        <w:widowControl/>
        <w:ind w:left="0"/>
      </w:pPr>
      <w:r w:rsidRPr="00EE3355">
        <w:t>Ve společných analýzách studií II, III a IV bylo procento pacientů dosahujících odpovědi dle kritérií ACR 20, 50 a 70 významně vyšší (59 % vs. 50 %, 37 % vs. 27 %, 18 % vs. 11 %) ve prospěch skupiny s</w:t>
      </w:r>
      <w:r w:rsidR="00C72D28">
        <w:t> </w:t>
      </w:r>
      <w:r w:rsidR="00C72D28" w:rsidRPr="00C61A9B">
        <w:t>tocilizumab</w:t>
      </w:r>
      <w:r w:rsidR="00C72D28">
        <w:t xml:space="preserve">em </w:t>
      </w:r>
      <w:r w:rsidRPr="00EE3355">
        <w:t>8 mg/kg s DMARD v porovnání se skupinou s</w:t>
      </w:r>
      <w:r w:rsidR="00C72D28">
        <w:t> </w:t>
      </w:r>
      <w:r w:rsidR="00C72D28" w:rsidRPr="00C61A9B">
        <w:t>tocilizumab</w:t>
      </w:r>
      <w:r w:rsidR="00C72D28">
        <w:t xml:space="preserve">em </w:t>
      </w:r>
      <w:r w:rsidRPr="00EE3355">
        <w:t>4 mg/kg s DMARD (p &lt; 0,03). Podobně procento pacientů dosahujících remise onemocnění</w:t>
      </w:r>
      <w:r w:rsidR="006560F2" w:rsidRPr="00EE3355">
        <w:t xml:space="preserve"> </w:t>
      </w:r>
      <w:r w:rsidRPr="00EE3355">
        <w:t xml:space="preserve">(DAS28 &lt; 2,6) bylo významně vyšší (31 % vs. 16 %) u pacientů léčených </w:t>
      </w:r>
      <w:r w:rsidR="00C72D28" w:rsidRPr="00C61A9B">
        <w:t>tocilizumab</w:t>
      </w:r>
      <w:r w:rsidR="00C72D28">
        <w:t xml:space="preserve">em </w:t>
      </w:r>
      <w:r w:rsidRPr="00EE3355">
        <w:t xml:space="preserve">8 mg/kg s DMARD než u pacientů léčených </w:t>
      </w:r>
      <w:r w:rsidR="00C72D28" w:rsidRPr="00C61A9B">
        <w:t>tocilizumab</w:t>
      </w:r>
      <w:r w:rsidR="00C72D28">
        <w:t xml:space="preserve">em </w:t>
      </w:r>
      <w:r w:rsidRPr="00EE3355">
        <w:t>4 mg/kg s DMARD (p &lt; 0,0001).</w:t>
      </w:r>
    </w:p>
    <w:p w14:paraId="3AA7ACD0" w14:textId="77777777" w:rsidR="006560F2" w:rsidRPr="00EE3355" w:rsidRDefault="006560F2" w:rsidP="00EA1CDF">
      <w:pPr>
        <w:pStyle w:val="a3"/>
        <w:widowControl/>
        <w:ind w:left="0"/>
      </w:pPr>
    </w:p>
    <w:p w14:paraId="4D9D689A" w14:textId="77777777" w:rsidR="00222DE0" w:rsidRPr="00EE3355" w:rsidRDefault="0098273B" w:rsidP="00EA1CDF">
      <w:pPr>
        <w:widowControl/>
        <w:ind w:left="1418" w:hanging="1418"/>
        <w:rPr>
          <w:i/>
        </w:rPr>
      </w:pPr>
      <w:r w:rsidRPr="00EE3355">
        <w:rPr>
          <w:i/>
        </w:rPr>
        <w:t>Tabulka 5.</w:t>
      </w:r>
      <w:r w:rsidR="007A6C30" w:rsidRPr="00EE3355">
        <w:rPr>
          <w:i/>
        </w:rPr>
        <w:tab/>
      </w:r>
      <w:r w:rsidRPr="00EE3355">
        <w:rPr>
          <w:i/>
        </w:rPr>
        <w:t>Kontrolované studie, odpovědi dle ACR u placeba / MTX / DMARD (% pacientů)</w:t>
      </w:r>
    </w:p>
    <w:p w14:paraId="2AC2A8E6" w14:textId="77777777" w:rsidR="00222DE0" w:rsidRPr="00EE3355" w:rsidRDefault="00222DE0" w:rsidP="00EA1CDF">
      <w:pPr>
        <w:pStyle w:val="a3"/>
        <w:widowControl/>
        <w:ind w:left="0"/>
        <w:rPr>
          <w:i/>
          <w:sz w:val="20"/>
        </w:rPr>
      </w:pPr>
    </w:p>
    <w:tbl>
      <w:tblPr>
        <w:tblW w:w="8875"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85" w:type="dxa"/>
          <w:bottom w:w="28" w:type="dxa"/>
          <w:right w:w="85" w:type="dxa"/>
        </w:tblCellMar>
        <w:tblLook w:val="01E0" w:firstRow="1" w:lastRow="1" w:firstColumn="1" w:lastColumn="1" w:noHBand="0" w:noVBand="0"/>
      </w:tblPr>
      <w:tblGrid>
        <w:gridCol w:w="530"/>
        <w:gridCol w:w="27"/>
        <w:gridCol w:w="958"/>
        <w:gridCol w:w="702"/>
        <w:gridCol w:w="177"/>
        <w:gridCol w:w="647"/>
        <w:gridCol w:w="19"/>
        <w:gridCol w:w="740"/>
        <w:gridCol w:w="827"/>
        <w:gridCol w:w="9"/>
        <w:gridCol w:w="731"/>
        <w:gridCol w:w="9"/>
        <w:gridCol w:w="856"/>
        <w:gridCol w:w="11"/>
        <w:gridCol w:w="6"/>
        <w:gridCol w:w="812"/>
        <w:gridCol w:w="8"/>
        <w:gridCol w:w="904"/>
        <w:gridCol w:w="902"/>
      </w:tblGrid>
      <w:tr w:rsidR="00085130" w:rsidRPr="00EE3355" w14:paraId="18F9EF20" w14:textId="77777777" w:rsidTr="00486FC8">
        <w:trPr>
          <w:cantSplit/>
          <w:trHeight w:val="194"/>
        </w:trPr>
        <w:tc>
          <w:tcPr>
            <w:tcW w:w="530" w:type="dxa"/>
          </w:tcPr>
          <w:p w14:paraId="08D647F0" w14:textId="77777777" w:rsidR="00222DE0" w:rsidRPr="00EE3355" w:rsidRDefault="00222DE0" w:rsidP="00EA1CDF">
            <w:pPr>
              <w:pStyle w:val="TableParagraph"/>
              <w:widowControl/>
              <w:rPr>
                <w:sz w:val="20"/>
              </w:rPr>
            </w:pPr>
          </w:p>
        </w:tc>
        <w:tc>
          <w:tcPr>
            <w:tcW w:w="1687" w:type="dxa"/>
            <w:gridSpan w:val="3"/>
          </w:tcPr>
          <w:p w14:paraId="1F928780" w14:textId="77777777" w:rsidR="00222DE0" w:rsidRPr="00EE3355" w:rsidRDefault="0098273B" w:rsidP="00EA1CDF">
            <w:pPr>
              <w:pStyle w:val="TableParagraph"/>
              <w:widowControl/>
              <w:jc w:val="center"/>
              <w:rPr>
                <w:b/>
                <w:sz w:val="18"/>
              </w:rPr>
            </w:pPr>
            <w:r w:rsidRPr="00EE3355">
              <w:rPr>
                <w:b/>
                <w:sz w:val="18"/>
              </w:rPr>
              <w:t>Studie I AMBITION</w:t>
            </w:r>
          </w:p>
        </w:tc>
        <w:tc>
          <w:tcPr>
            <w:tcW w:w="1583" w:type="dxa"/>
            <w:gridSpan w:val="4"/>
          </w:tcPr>
          <w:p w14:paraId="5364EDA6" w14:textId="77777777" w:rsidR="00222DE0" w:rsidRPr="00EE3355" w:rsidRDefault="0098273B" w:rsidP="00EA1CDF">
            <w:pPr>
              <w:pStyle w:val="TableParagraph"/>
              <w:widowControl/>
              <w:jc w:val="center"/>
              <w:rPr>
                <w:b/>
                <w:sz w:val="18"/>
              </w:rPr>
            </w:pPr>
            <w:r w:rsidRPr="00EE3355">
              <w:rPr>
                <w:b/>
                <w:sz w:val="18"/>
              </w:rPr>
              <w:t>Studie II LITHE</w:t>
            </w:r>
          </w:p>
        </w:tc>
        <w:tc>
          <w:tcPr>
            <w:tcW w:w="1567" w:type="dxa"/>
            <w:gridSpan w:val="3"/>
          </w:tcPr>
          <w:p w14:paraId="61FDE354" w14:textId="77777777" w:rsidR="00222DE0" w:rsidRPr="00EE3355" w:rsidRDefault="0098273B" w:rsidP="00EA1CDF">
            <w:pPr>
              <w:pStyle w:val="TableParagraph"/>
              <w:widowControl/>
              <w:jc w:val="center"/>
              <w:rPr>
                <w:b/>
                <w:sz w:val="18"/>
              </w:rPr>
            </w:pPr>
            <w:r w:rsidRPr="00EE3355">
              <w:rPr>
                <w:b/>
                <w:sz w:val="18"/>
              </w:rPr>
              <w:t>Studie III OPTION</w:t>
            </w:r>
          </w:p>
        </w:tc>
        <w:tc>
          <w:tcPr>
            <w:tcW w:w="1694" w:type="dxa"/>
            <w:gridSpan w:val="5"/>
          </w:tcPr>
          <w:p w14:paraId="6406E82D" w14:textId="77777777" w:rsidR="00222DE0" w:rsidRPr="00EE3355" w:rsidRDefault="0098273B" w:rsidP="00EA1CDF">
            <w:pPr>
              <w:pStyle w:val="TableParagraph"/>
              <w:widowControl/>
              <w:jc w:val="center"/>
              <w:rPr>
                <w:b/>
                <w:sz w:val="18"/>
              </w:rPr>
            </w:pPr>
            <w:r w:rsidRPr="00EE3355">
              <w:rPr>
                <w:b/>
                <w:sz w:val="18"/>
              </w:rPr>
              <w:t>Studie IV TOWARD</w:t>
            </w:r>
          </w:p>
        </w:tc>
        <w:tc>
          <w:tcPr>
            <w:tcW w:w="1814" w:type="dxa"/>
            <w:gridSpan w:val="3"/>
          </w:tcPr>
          <w:p w14:paraId="7805FE4E" w14:textId="77777777" w:rsidR="00222DE0" w:rsidRPr="00EE3355" w:rsidRDefault="0098273B" w:rsidP="00EA1CDF">
            <w:pPr>
              <w:pStyle w:val="TableParagraph"/>
              <w:widowControl/>
              <w:ind w:right="171"/>
              <w:jc w:val="center"/>
              <w:rPr>
                <w:b/>
                <w:sz w:val="18"/>
              </w:rPr>
            </w:pPr>
            <w:r w:rsidRPr="00EE3355">
              <w:rPr>
                <w:b/>
                <w:sz w:val="18"/>
              </w:rPr>
              <w:t>Studie V RADIATE</w:t>
            </w:r>
          </w:p>
        </w:tc>
      </w:tr>
      <w:tr w:rsidR="00085130" w:rsidRPr="00EE3355" w14:paraId="3E4C9CFD" w14:textId="77777777" w:rsidTr="00486FC8">
        <w:trPr>
          <w:cantSplit/>
          <w:trHeight w:val="596"/>
        </w:trPr>
        <w:tc>
          <w:tcPr>
            <w:tcW w:w="530" w:type="dxa"/>
          </w:tcPr>
          <w:p w14:paraId="47574A9C" w14:textId="77777777" w:rsidR="00222DE0" w:rsidRPr="00EE3355" w:rsidRDefault="0098273B" w:rsidP="00EA1CDF">
            <w:pPr>
              <w:pStyle w:val="TableParagraph"/>
              <w:widowControl/>
              <w:ind w:left="-66" w:right="-80" w:firstLine="14"/>
              <w:jc w:val="center"/>
              <w:rPr>
                <w:sz w:val="18"/>
              </w:rPr>
            </w:pPr>
            <w:r w:rsidRPr="00EE3355">
              <w:rPr>
                <w:sz w:val="18"/>
              </w:rPr>
              <w:t>Týden</w:t>
            </w:r>
          </w:p>
        </w:tc>
        <w:tc>
          <w:tcPr>
            <w:tcW w:w="985" w:type="dxa"/>
            <w:gridSpan w:val="2"/>
          </w:tcPr>
          <w:p w14:paraId="7AD60E0C" w14:textId="77777777" w:rsidR="00222DE0" w:rsidRPr="00EE3355" w:rsidRDefault="0098273B" w:rsidP="00EA1CDF">
            <w:pPr>
              <w:pStyle w:val="TableParagraph"/>
              <w:widowControl/>
              <w:jc w:val="center"/>
              <w:rPr>
                <w:b/>
                <w:sz w:val="18"/>
              </w:rPr>
            </w:pPr>
            <w:r w:rsidRPr="00EE3355">
              <w:rPr>
                <w:b/>
                <w:sz w:val="18"/>
              </w:rPr>
              <w:t>TCZ</w:t>
            </w:r>
          </w:p>
          <w:p w14:paraId="00E5D83A" w14:textId="77777777" w:rsidR="00222DE0" w:rsidRPr="00EE3355" w:rsidRDefault="0098273B" w:rsidP="00EA1CDF">
            <w:pPr>
              <w:pStyle w:val="TableParagraph"/>
              <w:widowControl/>
              <w:jc w:val="center"/>
              <w:rPr>
                <w:b/>
                <w:sz w:val="18"/>
              </w:rPr>
            </w:pPr>
            <w:r w:rsidRPr="00EE3355">
              <w:rPr>
                <w:b/>
                <w:sz w:val="18"/>
              </w:rPr>
              <w:t>8 mg/kg</w:t>
            </w:r>
          </w:p>
        </w:tc>
        <w:tc>
          <w:tcPr>
            <w:tcW w:w="702" w:type="dxa"/>
          </w:tcPr>
          <w:p w14:paraId="0CA4D1E9" w14:textId="77777777" w:rsidR="00222DE0" w:rsidRPr="00EE3355" w:rsidRDefault="0098273B" w:rsidP="00EA1CDF">
            <w:pPr>
              <w:pStyle w:val="TableParagraph"/>
              <w:widowControl/>
              <w:jc w:val="center"/>
              <w:rPr>
                <w:b/>
                <w:sz w:val="18"/>
              </w:rPr>
            </w:pPr>
            <w:r w:rsidRPr="00EE3355">
              <w:rPr>
                <w:b/>
                <w:sz w:val="18"/>
              </w:rPr>
              <w:t>MTX</w:t>
            </w:r>
          </w:p>
        </w:tc>
        <w:tc>
          <w:tcPr>
            <w:tcW w:w="824" w:type="dxa"/>
            <w:gridSpan w:val="2"/>
          </w:tcPr>
          <w:p w14:paraId="2A158AE6" w14:textId="77777777" w:rsidR="00222DE0" w:rsidRPr="00EE3355" w:rsidRDefault="0098273B" w:rsidP="00EA1CDF">
            <w:pPr>
              <w:pStyle w:val="TableParagraph"/>
              <w:widowControl/>
              <w:jc w:val="center"/>
              <w:rPr>
                <w:b/>
                <w:sz w:val="18"/>
              </w:rPr>
            </w:pPr>
            <w:r w:rsidRPr="00EE3355">
              <w:rPr>
                <w:b/>
                <w:sz w:val="18"/>
              </w:rPr>
              <w:t>TCZ</w:t>
            </w:r>
          </w:p>
          <w:p w14:paraId="177E61D3" w14:textId="77777777" w:rsidR="00222DE0" w:rsidRPr="00EE3355" w:rsidRDefault="0098273B" w:rsidP="00EA1CDF">
            <w:pPr>
              <w:pStyle w:val="TableParagraph"/>
              <w:widowControl/>
              <w:jc w:val="center"/>
              <w:rPr>
                <w:b/>
                <w:sz w:val="18"/>
              </w:rPr>
            </w:pPr>
            <w:r w:rsidRPr="00EE3355">
              <w:rPr>
                <w:b/>
                <w:sz w:val="18"/>
              </w:rPr>
              <w:t>8 mg/kg</w:t>
            </w:r>
          </w:p>
          <w:p w14:paraId="667BA9B0" w14:textId="77777777" w:rsidR="00222DE0" w:rsidRPr="00EE3355" w:rsidRDefault="0098273B" w:rsidP="00EA1CDF">
            <w:pPr>
              <w:pStyle w:val="TableParagraph"/>
              <w:widowControl/>
              <w:jc w:val="center"/>
              <w:rPr>
                <w:b/>
                <w:sz w:val="18"/>
              </w:rPr>
            </w:pPr>
            <w:r w:rsidRPr="00EE3355">
              <w:rPr>
                <w:b/>
                <w:sz w:val="18"/>
              </w:rPr>
              <w:t>+ MTX</w:t>
            </w:r>
          </w:p>
        </w:tc>
        <w:tc>
          <w:tcPr>
            <w:tcW w:w="759" w:type="dxa"/>
            <w:gridSpan w:val="2"/>
          </w:tcPr>
          <w:p w14:paraId="3129B8D1" w14:textId="77777777" w:rsidR="00222DE0" w:rsidRPr="00EE3355" w:rsidRDefault="0098273B" w:rsidP="00EA1CDF">
            <w:pPr>
              <w:pStyle w:val="TableParagraph"/>
              <w:widowControl/>
              <w:jc w:val="center"/>
              <w:rPr>
                <w:b/>
                <w:sz w:val="18"/>
              </w:rPr>
            </w:pPr>
            <w:r w:rsidRPr="00EE3355">
              <w:rPr>
                <w:b/>
                <w:sz w:val="18"/>
              </w:rPr>
              <w:t>PBO</w:t>
            </w:r>
            <w:r w:rsidR="00862B72" w:rsidRPr="00EE3355">
              <w:rPr>
                <w:b/>
                <w:sz w:val="18"/>
              </w:rPr>
              <w:t xml:space="preserve"> </w:t>
            </w:r>
            <w:r w:rsidRPr="00EE3355">
              <w:rPr>
                <w:b/>
                <w:sz w:val="18"/>
              </w:rPr>
              <w:t>+ MTX</w:t>
            </w:r>
          </w:p>
        </w:tc>
        <w:tc>
          <w:tcPr>
            <w:tcW w:w="827" w:type="dxa"/>
          </w:tcPr>
          <w:p w14:paraId="28A3ED10" w14:textId="77777777" w:rsidR="00222DE0" w:rsidRPr="00EE3355" w:rsidRDefault="0098273B" w:rsidP="00EA1CDF">
            <w:pPr>
              <w:pStyle w:val="TableParagraph"/>
              <w:widowControl/>
              <w:jc w:val="center"/>
              <w:rPr>
                <w:b/>
                <w:sz w:val="18"/>
              </w:rPr>
            </w:pPr>
            <w:r w:rsidRPr="00EE3355">
              <w:rPr>
                <w:b/>
                <w:sz w:val="18"/>
              </w:rPr>
              <w:t>TCZ</w:t>
            </w:r>
            <w:r w:rsidR="00862B72" w:rsidRPr="00EE3355">
              <w:rPr>
                <w:b/>
                <w:sz w:val="18"/>
              </w:rPr>
              <w:t xml:space="preserve"> </w:t>
            </w:r>
            <w:r w:rsidRPr="00EE3355">
              <w:rPr>
                <w:b/>
                <w:sz w:val="18"/>
              </w:rPr>
              <w:t>8 mg/kg</w:t>
            </w:r>
          </w:p>
          <w:p w14:paraId="33CA4F10" w14:textId="77777777" w:rsidR="00222DE0" w:rsidRPr="00EE3355" w:rsidRDefault="0098273B" w:rsidP="00EA1CDF">
            <w:pPr>
              <w:pStyle w:val="TableParagraph"/>
              <w:widowControl/>
              <w:jc w:val="center"/>
              <w:rPr>
                <w:b/>
                <w:sz w:val="18"/>
              </w:rPr>
            </w:pPr>
            <w:r w:rsidRPr="00EE3355">
              <w:rPr>
                <w:b/>
                <w:sz w:val="18"/>
              </w:rPr>
              <w:t>+ MTX</w:t>
            </w:r>
          </w:p>
        </w:tc>
        <w:tc>
          <w:tcPr>
            <w:tcW w:w="740" w:type="dxa"/>
            <w:gridSpan w:val="2"/>
          </w:tcPr>
          <w:p w14:paraId="7347E0E4" w14:textId="77777777" w:rsidR="00222DE0" w:rsidRPr="00EE3355" w:rsidRDefault="0098273B" w:rsidP="00EA1CDF">
            <w:pPr>
              <w:pStyle w:val="TableParagraph"/>
              <w:widowControl/>
              <w:jc w:val="center"/>
              <w:rPr>
                <w:b/>
                <w:sz w:val="18"/>
              </w:rPr>
            </w:pPr>
            <w:r w:rsidRPr="00EE3355">
              <w:rPr>
                <w:b/>
                <w:sz w:val="18"/>
              </w:rPr>
              <w:t>PBO</w:t>
            </w:r>
            <w:r w:rsidR="00862B72" w:rsidRPr="00EE3355">
              <w:rPr>
                <w:b/>
                <w:sz w:val="18"/>
              </w:rPr>
              <w:t xml:space="preserve"> </w:t>
            </w:r>
            <w:r w:rsidRPr="00EE3355">
              <w:rPr>
                <w:b/>
                <w:sz w:val="18"/>
              </w:rPr>
              <w:t>+ MTX</w:t>
            </w:r>
          </w:p>
        </w:tc>
        <w:tc>
          <w:tcPr>
            <w:tcW w:w="865" w:type="dxa"/>
            <w:gridSpan w:val="2"/>
          </w:tcPr>
          <w:p w14:paraId="278B80FE" w14:textId="77777777" w:rsidR="00222DE0" w:rsidRPr="00EE3355" w:rsidRDefault="0098273B" w:rsidP="00EA1CDF">
            <w:pPr>
              <w:pStyle w:val="TableParagraph"/>
              <w:widowControl/>
              <w:jc w:val="center"/>
              <w:rPr>
                <w:b/>
                <w:sz w:val="18"/>
              </w:rPr>
            </w:pPr>
            <w:r w:rsidRPr="00EE3355">
              <w:rPr>
                <w:b/>
                <w:sz w:val="18"/>
              </w:rPr>
              <w:t>TCZ</w:t>
            </w:r>
            <w:r w:rsidR="00862B72" w:rsidRPr="00EE3355">
              <w:rPr>
                <w:b/>
                <w:sz w:val="18"/>
              </w:rPr>
              <w:t xml:space="preserve"> </w:t>
            </w:r>
            <w:r w:rsidRPr="00EE3355">
              <w:rPr>
                <w:b/>
                <w:sz w:val="18"/>
              </w:rPr>
              <w:t>8 mg/kg + DMARD</w:t>
            </w:r>
          </w:p>
        </w:tc>
        <w:tc>
          <w:tcPr>
            <w:tcW w:w="829" w:type="dxa"/>
            <w:gridSpan w:val="3"/>
          </w:tcPr>
          <w:p w14:paraId="2DE054FC" w14:textId="77777777" w:rsidR="00222DE0" w:rsidRPr="00EE3355" w:rsidRDefault="0098273B" w:rsidP="00EA1CDF">
            <w:pPr>
              <w:pStyle w:val="TableParagraph"/>
              <w:widowControl/>
              <w:ind w:left="-29" w:right="-62" w:hanging="28"/>
              <w:jc w:val="center"/>
              <w:rPr>
                <w:b/>
                <w:sz w:val="18"/>
              </w:rPr>
            </w:pPr>
            <w:r w:rsidRPr="00EE3355">
              <w:rPr>
                <w:b/>
                <w:sz w:val="18"/>
              </w:rPr>
              <w:t>PBO + DMARD</w:t>
            </w:r>
          </w:p>
        </w:tc>
        <w:tc>
          <w:tcPr>
            <w:tcW w:w="912" w:type="dxa"/>
            <w:gridSpan w:val="2"/>
          </w:tcPr>
          <w:p w14:paraId="122910AE" w14:textId="77777777" w:rsidR="00222DE0" w:rsidRPr="00EE3355" w:rsidRDefault="0098273B" w:rsidP="00EA1CDF">
            <w:pPr>
              <w:pStyle w:val="TableParagraph"/>
              <w:widowControl/>
              <w:jc w:val="center"/>
              <w:rPr>
                <w:b/>
                <w:sz w:val="18"/>
              </w:rPr>
            </w:pPr>
            <w:r w:rsidRPr="00EE3355">
              <w:rPr>
                <w:b/>
                <w:sz w:val="18"/>
              </w:rPr>
              <w:t>TCZ</w:t>
            </w:r>
            <w:r w:rsidR="00862B72" w:rsidRPr="00EE3355">
              <w:rPr>
                <w:b/>
                <w:sz w:val="18"/>
              </w:rPr>
              <w:t xml:space="preserve"> </w:t>
            </w:r>
            <w:r w:rsidRPr="00EE3355">
              <w:rPr>
                <w:b/>
                <w:sz w:val="18"/>
              </w:rPr>
              <w:t>8 mg/kg</w:t>
            </w:r>
            <w:r w:rsidR="00862B72" w:rsidRPr="00EE3355">
              <w:rPr>
                <w:b/>
                <w:sz w:val="18"/>
              </w:rPr>
              <w:t xml:space="preserve"> </w:t>
            </w:r>
            <w:r w:rsidRPr="00EE3355">
              <w:rPr>
                <w:b/>
                <w:sz w:val="18"/>
              </w:rPr>
              <w:t>+ MTX</w:t>
            </w:r>
          </w:p>
        </w:tc>
        <w:tc>
          <w:tcPr>
            <w:tcW w:w="902" w:type="dxa"/>
          </w:tcPr>
          <w:p w14:paraId="4C71A17A" w14:textId="77777777" w:rsidR="00222DE0" w:rsidRPr="00EE3355" w:rsidRDefault="0098273B" w:rsidP="00EA1CDF">
            <w:pPr>
              <w:pStyle w:val="TableParagraph"/>
              <w:widowControl/>
              <w:jc w:val="center"/>
              <w:rPr>
                <w:b/>
                <w:sz w:val="18"/>
              </w:rPr>
            </w:pPr>
            <w:r w:rsidRPr="00EE3355">
              <w:rPr>
                <w:b/>
                <w:sz w:val="18"/>
              </w:rPr>
              <w:t>PBO + MTX</w:t>
            </w:r>
          </w:p>
        </w:tc>
      </w:tr>
      <w:tr w:rsidR="00085130" w:rsidRPr="00EE3355" w14:paraId="1DDC6D6D" w14:textId="77777777" w:rsidTr="00486FC8">
        <w:trPr>
          <w:cantSplit/>
          <w:trHeight w:val="142"/>
        </w:trPr>
        <w:tc>
          <w:tcPr>
            <w:tcW w:w="530" w:type="dxa"/>
          </w:tcPr>
          <w:p w14:paraId="1C2F5D52" w14:textId="77777777" w:rsidR="00222DE0" w:rsidRPr="00EE3355" w:rsidRDefault="00222DE0" w:rsidP="00EA1CDF">
            <w:pPr>
              <w:pStyle w:val="TableParagraph"/>
              <w:widowControl/>
              <w:rPr>
                <w:sz w:val="20"/>
              </w:rPr>
            </w:pPr>
          </w:p>
        </w:tc>
        <w:tc>
          <w:tcPr>
            <w:tcW w:w="985" w:type="dxa"/>
            <w:gridSpan w:val="2"/>
          </w:tcPr>
          <w:p w14:paraId="601BCA3C" w14:textId="77777777" w:rsidR="00222DE0" w:rsidRPr="00EE3355" w:rsidRDefault="0098273B" w:rsidP="00EA1CDF">
            <w:pPr>
              <w:pStyle w:val="TableParagraph"/>
              <w:widowControl/>
              <w:jc w:val="center"/>
              <w:rPr>
                <w:b/>
                <w:sz w:val="18"/>
              </w:rPr>
            </w:pPr>
            <w:r w:rsidRPr="00EE3355">
              <w:rPr>
                <w:b/>
                <w:sz w:val="18"/>
              </w:rPr>
              <w:t>n = 286</w:t>
            </w:r>
          </w:p>
        </w:tc>
        <w:tc>
          <w:tcPr>
            <w:tcW w:w="702" w:type="dxa"/>
          </w:tcPr>
          <w:p w14:paraId="252A4986" w14:textId="77777777" w:rsidR="00222DE0" w:rsidRPr="00EE3355" w:rsidRDefault="0098273B" w:rsidP="00EA1CDF">
            <w:pPr>
              <w:pStyle w:val="TableParagraph"/>
              <w:widowControl/>
              <w:ind w:left="-78"/>
              <w:jc w:val="center"/>
              <w:rPr>
                <w:b/>
                <w:sz w:val="18"/>
              </w:rPr>
            </w:pPr>
            <w:r w:rsidRPr="00EE3355">
              <w:rPr>
                <w:b/>
                <w:sz w:val="18"/>
              </w:rPr>
              <w:t>n = 284</w:t>
            </w:r>
          </w:p>
        </w:tc>
        <w:tc>
          <w:tcPr>
            <w:tcW w:w="824" w:type="dxa"/>
            <w:gridSpan w:val="2"/>
          </w:tcPr>
          <w:p w14:paraId="62535878" w14:textId="77777777" w:rsidR="00222DE0" w:rsidRPr="00EE3355" w:rsidRDefault="0098273B" w:rsidP="00EA1CDF">
            <w:pPr>
              <w:pStyle w:val="TableParagraph"/>
              <w:widowControl/>
              <w:jc w:val="center"/>
              <w:rPr>
                <w:b/>
                <w:sz w:val="18"/>
              </w:rPr>
            </w:pPr>
            <w:r w:rsidRPr="00EE3355">
              <w:rPr>
                <w:b/>
                <w:sz w:val="18"/>
              </w:rPr>
              <w:t>n = 398</w:t>
            </w:r>
          </w:p>
        </w:tc>
        <w:tc>
          <w:tcPr>
            <w:tcW w:w="759" w:type="dxa"/>
            <w:gridSpan w:val="2"/>
          </w:tcPr>
          <w:p w14:paraId="3275D5AD" w14:textId="77777777" w:rsidR="00222DE0" w:rsidRPr="00EE3355" w:rsidRDefault="0098273B" w:rsidP="00EA1CDF">
            <w:pPr>
              <w:pStyle w:val="TableParagraph"/>
              <w:widowControl/>
              <w:jc w:val="center"/>
              <w:rPr>
                <w:b/>
                <w:sz w:val="18"/>
              </w:rPr>
            </w:pPr>
            <w:r w:rsidRPr="00EE3355">
              <w:rPr>
                <w:b/>
                <w:sz w:val="18"/>
              </w:rPr>
              <w:t>n = 393</w:t>
            </w:r>
          </w:p>
        </w:tc>
        <w:tc>
          <w:tcPr>
            <w:tcW w:w="827" w:type="dxa"/>
          </w:tcPr>
          <w:p w14:paraId="6D931EC5" w14:textId="77777777" w:rsidR="00222DE0" w:rsidRPr="00EE3355" w:rsidRDefault="0098273B" w:rsidP="00EA1CDF">
            <w:pPr>
              <w:pStyle w:val="TableParagraph"/>
              <w:widowControl/>
              <w:jc w:val="center"/>
              <w:rPr>
                <w:b/>
                <w:sz w:val="18"/>
              </w:rPr>
            </w:pPr>
            <w:r w:rsidRPr="00EE3355">
              <w:rPr>
                <w:b/>
                <w:sz w:val="18"/>
              </w:rPr>
              <w:t>n = 205</w:t>
            </w:r>
          </w:p>
        </w:tc>
        <w:tc>
          <w:tcPr>
            <w:tcW w:w="740" w:type="dxa"/>
            <w:gridSpan w:val="2"/>
          </w:tcPr>
          <w:p w14:paraId="40104C00" w14:textId="77777777" w:rsidR="00222DE0" w:rsidRPr="00EE3355" w:rsidRDefault="0098273B" w:rsidP="00EA1CDF">
            <w:pPr>
              <w:pStyle w:val="TableParagraph"/>
              <w:widowControl/>
              <w:jc w:val="center"/>
              <w:rPr>
                <w:b/>
                <w:sz w:val="18"/>
              </w:rPr>
            </w:pPr>
            <w:r w:rsidRPr="00EE3355">
              <w:rPr>
                <w:b/>
                <w:sz w:val="18"/>
              </w:rPr>
              <w:t>n = 204</w:t>
            </w:r>
          </w:p>
        </w:tc>
        <w:tc>
          <w:tcPr>
            <w:tcW w:w="865" w:type="dxa"/>
            <w:gridSpan w:val="2"/>
          </w:tcPr>
          <w:p w14:paraId="4C406D26" w14:textId="77777777" w:rsidR="00222DE0" w:rsidRPr="00EE3355" w:rsidRDefault="0098273B" w:rsidP="00EA1CDF">
            <w:pPr>
              <w:pStyle w:val="TableParagraph"/>
              <w:widowControl/>
              <w:jc w:val="center"/>
              <w:rPr>
                <w:b/>
                <w:sz w:val="18"/>
              </w:rPr>
            </w:pPr>
            <w:r w:rsidRPr="00EE3355">
              <w:rPr>
                <w:b/>
                <w:sz w:val="18"/>
              </w:rPr>
              <w:t>n = 803</w:t>
            </w:r>
          </w:p>
        </w:tc>
        <w:tc>
          <w:tcPr>
            <w:tcW w:w="829" w:type="dxa"/>
            <w:gridSpan w:val="3"/>
          </w:tcPr>
          <w:p w14:paraId="5EA819C7" w14:textId="77777777" w:rsidR="00222DE0" w:rsidRPr="00EE3355" w:rsidRDefault="0098273B" w:rsidP="00EA1CDF">
            <w:pPr>
              <w:pStyle w:val="TableParagraph"/>
              <w:widowControl/>
              <w:jc w:val="center"/>
              <w:rPr>
                <w:b/>
                <w:sz w:val="18"/>
              </w:rPr>
            </w:pPr>
            <w:r w:rsidRPr="00EE3355">
              <w:rPr>
                <w:b/>
                <w:sz w:val="18"/>
              </w:rPr>
              <w:t>n = 413</w:t>
            </w:r>
          </w:p>
        </w:tc>
        <w:tc>
          <w:tcPr>
            <w:tcW w:w="912" w:type="dxa"/>
            <w:gridSpan w:val="2"/>
          </w:tcPr>
          <w:p w14:paraId="71F1D25D" w14:textId="77777777" w:rsidR="00222DE0" w:rsidRPr="00EE3355" w:rsidRDefault="0098273B" w:rsidP="00EA1CDF">
            <w:pPr>
              <w:pStyle w:val="TableParagraph"/>
              <w:widowControl/>
              <w:jc w:val="center"/>
              <w:rPr>
                <w:b/>
                <w:sz w:val="18"/>
              </w:rPr>
            </w:pPr>
            <w:r w:rsidRPr="00EE3355">
              <w:rPr>
                <w:b/>
                <w:sz w:val="18"/>
              </w:rPr>
              <w:t>n = 170</w:t>
            </w:r>
          </w:p>
        </w:tc>
        <w:tc>
          <w:tcPr>
            <w:tcW w:w="902" w:type="dxa"/>
          </w:tcPr>
          <w:p w14:paraId="65202947" w14:textId="77777777" w:rsidR="00222DE0" w:rsidRPr="00EE3355" w:rsidRDefault="0098273B" w:rsidP="00EA1CDF">
            <w:pPr>
              <w:pStyle w:val="TableParagraph"/>
              <w:widowControl/>
              <w:jc w:val="center"/>
              <w:rPr>
                <w:b/>
                <w:sz w:val="18"/>
              </w:rPr>
            </w:pPr>
            <w:r w:rsidRPr="00EE3355">
              <w:rPr>
                <w:b/>
                <w:sz w:val="18"/>
              </w:rPr>
              <w:t>n = 158</w:t>
            </w:r>
          </w:p>
        </w:tc>
      </w:tr>
      <w:tr w:rsidR="00222DE0" w:rsidRPr="00EE3355" w14:paraId="45292853" w14:textId="77777777" w:rsidTr="00486FC8">
        <w:trPr>
          <w:cantSplit/>
          <w:trHeight w:val="131"/>
        </w:trPr>
        <w:tc>
          <w:tcPr>
            <w:tcW w:w="8875" w:type="dxa"/>
            <w:gridSpan w:val="19"/>
          </w:tcPr>
          <w:p w14:paraId="2C5E9FE7" w14:textId="77777777" w:rsidR="00222DE0" w:rsidRPr="00EE3355" w:rsidRDefault="0098273B" w:rsidP="00EA1CDF">
            <w:pPr>
              <w:pStyle w:val="TableParagraph"/>
              <w:keepNext/>
              <w:widowControl/>
              <w:jc w:val="center"/>
              <w:rPr>
                <w:b/>
                <w:sz w:val="18"/>
              </w:rPr>
            </w:pPr>
            <w:r w:rsidRPr="00EE3355">
              <w:rPr>
                <w:b/>
                <w:sz w:val="18"/>
              </w:rPr>
              <w:lastRenderedPageBreak/>
              <w:t>ACR 20</w:t>
            </w:r>
          </w:p>
        </w:tc>
      </w:tr>
      <w:tr w:rsidR="00085130" w:rsidRPr="00EE3355" w14:paraId="78F63CE0" w14:textId="77777777" w:rsidTr="00486FC8">
        <w:trPr>
          <w:cantSplit/>
          <w:trHeight w:val="220"/>
        </w:trPr>
        <w:tc>
          <w:tcPr>
            <w:tcW w:w="557" w:type="dxa"/>
            <w:gridSpan w:val="2"/>
          </w:tcPr>
          <w:p w14:paraId="56FCD5F6" w14:textId="77777777" w:rsidR="00222DE0" w:rsidRPr="00EE3355" w:rsidRDefault="0098273B" w:rsidP="00EA1CDF">
            <w:pPr>
              <w:pStyle w:val="TableParagraph"/>
              <w:widowControl/>
              <w:jc w:val="center"/>
              <w:rPr>
                <w:sz w:val="18"/>
              </w:rPr>
            </w:pPr>
            <w:r w:rsidRPr="00EE3355">
              <w:rPr>
                <w:sz w:val="18"/>
              </w:rPr>
              <w:t>24</w:t>
            </w:r>
          </w:p>
        </w:tc>
        <w:tc>
          <w:tcPr>
            <w:tcW w:w="958" w:type="dxa"/>
          </w:tcPr>
          <w:p w14:paraId="3CA92817" w14:textId="77777777" w:rsidR="00222DE0" w:rsidRPr="00EE3355" w:rsidRDefault="0098273B" w:rsidP="00EA1CDF">
            <w:pPr>
              <w:pStyle w:val="TableParagraph"/>
              <w:widowControl/>
              <w:jc w:val="center"/>
              <w:rPr>
                <w:sz w:val="18"/>
              </w:rPr>
            </w:pPr>
            <w:r w:rsidRPr="00EE3355">
              <w:rPr>
                <w:sz w:val="18"/>
              </w:rPr>
              <w:t>70 %***</w:t>
            </w:r>
          </w:p>
        </w:tc>
        <w:tc>
          <w:tcPr>
            <w:tcW w:w="702" w:type="dxa"/>
          </w:tcPr>
          <w:p w14:paraId="4073DF82" w14:textId="77777777" w:rsidR="00222DE0" w:rsidRPr="00EE3355" w:rsidRDefault="0098273B" w:rsidP="00EA1CDF">
            <w:pPr>
              <w:pStyle w:val="TableParagraph"/>
              <w:widowControl/>
              <w:jc w:val="center"/>
              <w:rPr>
                <w:sz w:val="18"/>
              </w:rPr>
            </w:pPr>
            <w:r w:rsidRPr="00EE3355">
              <w:rPr>
                <w:sz w:val="18"/>
              </w:rPr>
              <w:t>52 %</w:t>
            </w:r>
          </w:p>
        </w:tc>
        <w:tc>
          <w:tcPr>
            <w:tcW w:w="824" w:type="dxa"/>
            <w:gridSpan w:val="2"/>
          </w:tcPr>
          <w:p w14:paraId="3852604F" w14:textId="77777777" w:rsidR="00222DE0" w:rsidRPr="00EE3355" w:rsidRDefault="0098273B" w:rsidP="00EA1CDF">
            <w:pPr>
              <w:pStyle w:val="TableParagraph"/>
              <w:widowControl/>
              <w:jc w:val="center"/>
              <w:rPr>
                <w:sz w:val="18"/>
              </w:rPr>
            </w:pPr>
            <w:r w:rsidRPr="00EE3355">
              <w:rPr>
                <w:sz w:val="18"/>
              </w:rPr>
              <w:t>56 %***</w:t>
            </w:r>
          </w:p>
        </w:tc>
        <w:tc>
          <w:tcPr>
            <w:tcW w:w="759" w:type="dxa"/>
            <w:gridSpan w:val="2"/>
          </w:tcPr>
          <w:p w14:paraId="4B45879F" w14:textId="77777777" w:rsidR="00222DE0" w:rsidRPr="00EE3355" w:rsidRDefault="0098273B" w:rsidP="00EA1CDF">
            <w:pPr>
              <w:pStyle w:val="TableParagraph"/>
              <w:widowControl/>
              <w:jc w:val="center"/>
              <w:rPr>
                <w:sz w:val="18"/>
              </w:rPr>
            </w:pPr>
            <w:r w:rsidRPr="00EE3355">
              <w:rPr>
                <w:sz w:val="18"/>
              </w:rPr>
              <w:t>27 %</w:t>
            </w:r>
          </w:p>
        </w:tc>
        <w:tc>
          <w:tcPr>
            <w:tcW w:w="827" w:type="dxa"/>
          </w:tcPr>
          <w:p w14:paraId="4570BF32" w14:textId="77777777" w:rsidR="00222DE0" w:rsidRPr="00EE3355" w:rsidRDefault="0098273B" w:rsidP="00EA1CDF">
            <w:pPr>
              <w:pStyle w:val="TableParagraph"/>
              <w:widowControl/>
              <w:jc w:val="center"/>
              <w:rPr>
                <w:sz w:val="18"/>
              </w:rPr>
            </w:pPr>
            <w:r w:rsidRPr="00EE3355">
              <w:rPr>
                <w:sz w:val="18"/>
              </w:rPr>
              <w:t>59 %***</w:t>
            </w:r>
          </w:p>
        </w:tc>
        <w:tc>
          <w:tcPr>
            <w:tcW w:w="740" w:type="dxa"/>
            <w:gridSpan w:val="2"/>
          </w:tcPr>
          <w:p w14:paraId="1163B23D" w14:textId="77777777" w:rsidR="00222DE0" w:rsidRPr="00EE3355" w:rsidRDefault="0098273B" w:rsidP="00EA1CDF">
            <w:pPr>
              <w:pStyle w:val="TableParagraph"/>
              <w:widowControl/>
              <w:jc w:val="center"/>
              <w:rPr>
                <w:sz w:val="18"/>
              </w:rPr>
            </w:pPr>
            <w:r w:rsidRPr="00EE3355">
              <w:rPr>
                <w:sz w:val="18"/>
              </w:rPr>
              <w:t>26 %</w:t>
            </w:r>
          </w:p>
        </w:tc>
        <w:tc>
          <w:tcPr>
            <w:tcW w:w="865" w:type="dxa"/>
            <w:gridSpan w:val="2"/>
          </w:tcPr>
          <w:p w14:paraId="38B9962B" w14:textId="77777777" w:rsidR="00222DE0" w:rsidRPr="00EE3355" w:rsidRDefault="0098273B" w:rsidP="00EA1CDF">
            <w:pPr>
              <w:pStyle w:val="TableParagraph"/>
              <w:widowControl/>
              <w:jc w:val="center"/>
              <w:rPr>
                <w:sz w:val="18"/>
              </w:rPr>
            </w:pPr>
            <w:r w:rsidRPr="00EE3355">
              <w:rPr>
                <w:sz w:val="18"/>
              </w:rPr>
              <w:t>61 %***</w:t>
            </w:r>
          </w:p>
        </w:tc>
        <w:tc>
          <w:tcPr>
            <w:tcW w:w="829" w:type="dxa"/>
            <w:gridSpan w:val="3"/>
          </w:tcPr>
          <w:p w14:paraId="42C2B874" w14:textId="77777777" w:rsidR="00222DE0" w:rsidRPr="00EE3355" w:rsidRDefault="0098273B" w:rsidP="00EA1CDF">
            <w:pPr>
              <w:pStyle w:val="TableParagraph"/>
              <w:widowControl/>
              <w:jc w:val="center"/>
              <w:rPr>
                <w:sz w:val="18"/>
              </w:rPr>
            </w:pPr>
            <w:r w:rsidRPr="00EE3355">
              <w:rPr>
                <w:sz w:val="18"/>
              </w:rPr>
              <w:t>24 %</w:t>
            </w:r>
          </w:p>
        </w:tc>
        <w:tc>
          <w:tcPr>
            <w:tcW w:w="912" w:type="dxa"/>
            <w:gridSpan w:val="2"/>
          </w:tcPr>
          <w:p w14:paraId="432B02E5" w14:textId="77777777" w:rsidR="00222DE0" w:rsidRPr="00EE3355" w:rsidRDefault="0098273B" w:rsidP="00EA1CDF">
            <w:pPr>
              <w:pStyle w:val="TableParagraph"/>
              <w:widowControl/>
              <w:jc w:val="center"/>
              <w:rPr>
                <w:sz w:val="18"/>
              </w:rPr>
            </w:pPr>
            <w:r w:rsidRPr="00EE3355">
              <w:rPr>
                <w:sz w:val="18"/>
              </w:rPr>
              <w:t>50 %***</w:t>
            </w:r>
          </w:p>
        </w:tc>
        <w:tc>
          <w:tcPr>
            <w:tcW w:w="902" w:type="dxa"/>
          </w:tcPr>
          <w:p w14:paraId="641AF357" w14:textId="77777777" w:rsidR="00222DE0" w:rsidRPr="00EE3355" w:rsidRDefault="0098273B" w:rsidP="00EA1CDF">
            <w:pPr>
              <w:pStyle w:val="TableParagraph"/>
              <w:widowControl/>
              <w:jc w:val="center"/>
              <w:rPr>
                <w:sz w:val="18"/>
              </w:rPr>
            </w:pPr>
            <w:r w:rsidRPr="00EE3355">
              <w:rPr>
                <w:sz w:val="18"/>
              </w:rPr>
              <w:t>10 %</w:t>
            </w:r>
          </w:p>
        </w:tc>
      </w:tr>
      <w:tr w:rsidR="00085130" w:rsidRPr="00EE3355" w14:paraId="5C907D1D" w14:textId="77777777" w:rsidTr="00486FC8">
        <w:trPr>
          <w:cantSplit/>
          <w:trHeight w:val="220"/>
        </w:trPr>
        <w:tc>
          <w:tcPr>
            <w:tcW w:w="557" w:type="dxa"/>
            <w:gridSpan w:val="2"/>
          </w:tcPr>
          <w:p w14:paraId="198A4946" w14:textId="77777777" w:rsidR="00222DE0" w:rsidRPr="00EE3355" w:rsidRDefault="0098273B" w:rsidP="00EA1CDF">
            <w:pPr>
              <w:pStyle w:val="TableParagraph"/>
              <w:widowControl/>
              <w:jc w:val="center"/>
              <w:rPr>
                <w:sz w:val="18"/>
              </w:rPr>
            </w:pPr>
            <w:r w:rsidRPr="00EE3355">
              <w:rPr>
                <w:sz w:val="18"/>
              </w:rPr>
              <w:t>52</w:t>
            </w:r>
          </w:p>
        </w:tc>
        <w:tc>
          <w:tcPr>
            <w:tcW w:w="958" w:type="dxa"/>
          </w:tcPr>
          <w:p w14:paraId="6929CB7C" w14:textId="77777777" w:rsidR="00222DE0" w:rsidRPr="00EE3355" w:rsidRDefault="00222DE0" w:rsidP="00EA1CDF">
            <w:pPr>
              <w:pStyle w:val="TableParagraph"/>
              <w:widowControl/>
              <w:rPr>
                <w:sz w:val="14"/>
              </w:rPr>
            </w:pPr>
          </w:p>
        </w:tc>
        <w:tc>
          <w:tcPr>
            <w:tcW w:w="702" w:type="dxa"/>
          </w:tcPr>
          <w:p w14:paraId="037031B6" w14:textId="77777777" w:rsidR="00222DE0" w:rsidRPr="00EE3355" w:rsidRDefault="00222DE0" w:rsidP="00EA1CDF">
            <w:pPr>
              <w:pStyle w:val="TableParagraph"/>
              <w:widowControl/>
              <w:rPr>
                <w:sz w:val="14"/>
              </w:rPr>
            </w:pPr>
          </w:p>
        </w:tc>
        <w:tc>
          <w:tcPr>
            <w:tcW w:w="824" w:type="dxa"/>
            <w:gridSpan w:val="2"/>
          </w:tcPr>
          <w:p w14:paraId="022FC88C" w14:textId="77777777" w:rsidR="00222DE0" w:rsidRPr="00EE3355" w:rsidRDefault="0098273B" w:rsidP="00EA1CDF">
            <w:pPr>
              <w:pStyle w:val="TableParagraph"/>
              <w:widowControl/>
              <w:jc w:val="center"/>
              <w:rPr>
                <w:sz w:val="18"/>
              </w:rPr>
            </w:pPr>
            <w:r w:rsidRPr="00EE3355">
              <w:rPr>
                <w:sz w:val="18"/>
              </w:rPr>
              <w:t>56 %***</w:t>
            </w:r>
          </w:p>
        </w:tc>
        <w:tc>
          <w:tcPr>
            <w:tcW w:w="759" w:type="dxa"/>
            <w:gridSpan w:val="2"/>
          </w:tcPr>
          <w:p w14:paraId="7E2D4386" w14:textId="77777777" w:rsidR="00222DE0" w:rsidRPr="00EE3355" w:rsidRDefault="0098273B" w:rsidP="00EA1CDF">
            <w:pPr>
              <w:pStyle w:val="TableParagraph"/>
              <w:widowControl/>
              <w:jc w:val="center"/>
              <w:rPr>
                <w:sz w:val="18"/>
              </w:rPr>
            </w:pPr>
            <w:r w:rsidRPr="00EE3355">
              <w:rPr>
                <w:sz w:val="18"/>
              </w:rPr>
              <w:t>25 %</w:t>
            </w:r>
          </w:p>
        </w:tc>
        <w:tc>
          <w:tcPr>
            <w:tcW w:w="827" w:type="dxa"/>
          </w:tcPr>
          <w:p w14:paraId="29847361" w14:textId="77777777" w:rsidR="00222DE0" w:rsidRPr="00EE3355" w:rsidRDefault="00222DE0" w:rsidP="00EA1CDF">
            <w:pPr>
              <w:pStyle w:val="TableParagraph"/>
              <w:widowControl/>
              <w:rPr>
                <w:sz w:val="14"/>
              </w:rPr>
            </w:pPr>
          </w:p>
        </w:tc>
        <w:tc>
          <w:tcPr>
            <w:tcW w:w="740" w:type="dxa"/>
            <w:gridSpan w:val="2"/>
          </w:tcPr>
          <w:p w14:paraId="594B18D8" w14:textId="77777777" w:rsidR="00222DE0" w:rsidRPr="00EE3355" w:rsidRDefault="00222DE0" w:rsidP="00EA1CDF">
            <w:pPr>
              <w:pStyle w:val="TableParagraph"/>
              <w:widowControl/>
              <w:rPr>
                <w:sz w:val="14"/>
              </w:rPr>
            </w:pPr>
          </w:p>
        </w:tc>
        <w:tc>
          <w:tcPr>
            <w:tcW w:w="865" w:type="dxa"/>
            <w:gridSpan w:val="2"/>
          </w:tcPr>
          <w:p w14:paraId="3104F0AF" w14:textId="77777777" w:rsidR="00222DE0" w:rsidRPr="00EE3355" w:rsidRDefault="00222DE0" w:rsidP="00EA1CDF">
            <w:pPr>
              <w:pStyle w:val="TableParagraph"/>
              <w:widowControl/>
              <w:rPr>
                <w:sz w:val="14"/>
              </w:rPr>
            </w:pPr>
          </w:p>
        </w:tc>
        <w:tc>
          <w:tcPr>
            <w:tcW w:w="829" w:type="dxa"/>
            <w:gridSpan w:val="3"/>
          </w:tcPr>
          <w:p w14:paraId="259237BA" w14:textId="77777777" w:rsidR="00222DE0" w:rsidRPr="00EE3355" w:rsidRDefault="00222DE0" w:rsidP="00EA1CDF">
            <w:pPr>
              <w:pStyle w:val="TableParagraph"/>
              <w:widowControl/>
              <w:rPr>
                <w:sz w:val="14"/>
              </w:rPr>
            </w:pPr>
          </w:p>
        </w:tc>
        <w:tc>
          <w:tcPr>
            <w:tcW w:w="912" w:type="dxa"/>
            <w:gridSpan w:val="2"/>
          </w:tcPr>
          <w:p w14:paraId="75709F5A" w14:textId="77777777" w:rsidR="00222DE0" w:rsidRPr="00EE3355" w:rsidRDefault="00222DE0" w:rsidP="00EA1CDF">
            <w:pPr>
              <w:pStyle w:val="TableParagraph"/>
              <w:widowControl/>
              <w:rPr>
                <w:sz w:val="14"/>
              </w:rPr>
            </w:pPr>
          </w:p>
        </w:tc>
        <w:tc>
          <w:tcPr>
            <w:tcW w:w="902" w:type="dxa"/>
          </w:tcPr>
          <w:p w14:paraId="7C9E3627" w14:textId="77777777" w:rsidR="00222DE0" w:rsidRPr="00EE3355" w:rsidRDefault="00222DE0" w:rsidP="00EA1CDF">
            <w:pPr>
              <w:pStyle w:val="TableParagraph"/>
              <w:widowControl/>
              <w:rPr>
                <w:sz w:val="14"/>
              </w:rPr>
            </w:pPr>
          </w:p>
        </w:tc>
      </w:tr>
      <w:tr w:rsidR="00222DE0" w:rsidRPr="00EE3355" w14:paraId="1B4ABA7F" w14:textId="77777777" w:rsidTr="00486FC8">
        <w:trPr>
          <w:cantSplit/>
          <w:trHeight w:val="222"/>
        </w:trPr>
        <w:tc>
          <w:tcPr>
            <w:tcW w:w="8875" w:type="dxa"/>
            <w:gridSpan w:val="19"/>
          </w:tcPr>
          <w:p w14:paraId="2E1CA09F" w14:textId="77777777" w:rsidR="00222DE0" w:rsidRPr="00EE3355" w:rsidRDefault="0098273B" w:rsidP="00EA1CDF">
            <w:pPr>
              <w:pStyle w:val="TableParagraph"/>
              <w:widowControl/>
              <w:jc w:val="center"/>
              <w:rPr>
                <w:b/>
                <w:sz w:val="18"/>
              </w:rPr>
            </w:pPr>
            <w:r w:rsidRPr="00EE3355">
              <w:rPr>
                <w:b/>
                <w:sz w:val="18"/>
              </w:rPr>
              <w:t>ACR 50</w:t>
            </w:r>
          </w:p>
        </w:tc>
      </w:tr>
      <w:tr w:rsidR="00085130" w:rsidRPr="00EE3355" w14:paraId="64D61E2F" w14:textId="77777777" w:rsidTr="00486FC8">
        <w:trPr>
          <w:cantSplit/>
          <w:trHeight w:val="220"/>
        </w:trPr>
        <w:tc>
          <w:tcPr>
            <w:tcW w:w="557" w:type="dxa"/>
            <w:gridSpan w:val="2"/>
          </w:tcPr>
          <w:p w14:paraId="1CE15F99" w14:textId="77777777" w:rsidR="00222DE0" w:rsidRPr="00EE3355" w:rsidRDefault="0098273B" w:rsidP="00EA1CDF">
            <w:pPr>
              <w:pStyle w:val="TableParagraph"/>
              <w:widowControl/>
              <w:jc w:val="center"/>
              <w:rPr>
                <w:sz w:val="18"/>
              </w:rPr>
            </w:pPr>
            <w:r w:rsidRPr="00EE3355">
              <w:rPr>
                <w:sz w:val="18"/>
              </w:rPr>
              <w:t>24</w:t>
            </w:r>
          </w:p>
        </w:tc>
        <w:tc>
          <w:tcPr>
            <w:tcW w:w="958" w:type="dxa"/>
          </w:tcPr>
          <w:p w14:paraId="0D1D32AC" w14:textId="77777777" w:rsidR="00222DE0" w:rsidRPr="00EE3355" w:rsidRDefault="0098273B" w:rsidP="00EA1CDF">
            <w:pPr>
              <w:pStyle w:val="TableParagraph"/>
              <w:widowControl/>
              <w:jc w:val="center"/>
              <w:rPr>
                <w:sz w:val="18"/>
              </w:rPr>
            </w:pPr>
            <w:r w:rsidRPr="00EE3355">
              <w:rPr>
                <w:sz w:val="18"/>
              </w:rPr>
              <w:t>44 %*</w:t>
            </w:r>
          </w:p>
        </w:tc>
        <w:tc>
          <w:tcPr>
            <w:tcW w:w="702" w:type="dxa"/>
          </w:tcPr>
          <w:p w14:paraId="342DABE7" w14:textId="77777777" w:rsidR="00222DE0" w:rsidRPr="00EE3355" w:rsidRDefault="0098273B" w:rsidP="00EA1CDF">
            <w:pPr>
              <w:pStyle w:val="TableParagraph"/>
              <w:widowControl/>
              <w:jc w:val="center"/>
              <w:rPr>
                <w:sz w:val="18"/>
              </w:rPr>
            </w:pPr>
            <w:r w:rsidRPr="00EE3355">
              <w:rPr>
                <w:sz w:val="18"/>
              </w:rPr>
              <w:t>33 %</w:t>
            </w:r>
          </w:p>
        </w:tc>
        <w:tc>
          <w:tcPr>
            <w:tcW w:w="843" w:type="dxa"/>
            <w:gridSpan w:val="3"/>
          </w:tcPr>
          <w:p w14:paraId="57289854" w14:textId="77777777" w:rsidR="00222DE0" w:rsidRPr="00EE3355" w:rsidRDefault="0098273B" w:rsidP="00EA1CDF">
            <w:pPr>
              <w:pStyle w:val="TableParagraph"/>
              <w:widowControl/>
              <w:jc w:val="center"/>
              <w:rPr>
                <w:sz w:val="18"/>
              </w:rPr>
            </w:pPr>
            <w:r w:rsidRPr="00EE3355">
              <w:rPr>
                <w:sz w:val="18"/>
              </w:rPr>
              <w:t>32 %***</w:t>
            </w:r>
          </w:p>
        </w:tc>
        <w:tc>
          <w:tcPr>
            <w:tcW w:w="740" w:type="dxa"/>
          </w:tcPr>
          <w:p w14:paraId="4B68BF6F" w14:textId="77777777" w:rsidR="00222DE0" w:rsidRPr="00EE3355" w:rsidRDefault="0098273B" w:rsidP="00EA1CDF">
            <w:pPr>
              <w:pStyle w:val="TableParagraph"/>
              <w:widowControl/>
              <w:jc w:val="center"/>
              <w:rPr>
                <w:sz w:val="18"/>
              </w:rPr>
            </w:pPr>
            <w:r w:rsidRPr="00EE3355">
              <w:rPr>
                <w:sz w:val="18"/>
              </w:rPr>
              <w:t>10 %</w:t>
            </w:r>
          </w:p>
        </w:tc>
        <w:tc>
          <w:tcPr>
            <w:tcW w:w="836" w:type="dxa"/>
            <w:gridSpan w:val="2"/>
          </w:tcPr>
          <w:p w14:paraId="0C84D4E7" w14:textId="77777777" w:rsidR="00222DE0" w:rsidRPr="00EE3355" w:rsidRDefault="0098273B" w:rsidP="00EA1CDF">
            <w:pPr>
              <w:pStyle w:val="TableParagraph"/>
              <w:widowControl/>
              <w:jc w:val="center"/>
              <w:rPr>
                <w:sz w:val="18"/>
              </w:rPr>
            </w:pPr>
            <w:r w:rsidRPr="00EE3355">
              <w:rPr>
                <w:sz w:val="18"/>
              </w:rPr>
              <w:t>44 %***</w:t>
            </w:r>
          </w:p>
        </w:tc>
        <w:tc>
          <w:tcPr>
            <w:tcW w:w="740" w:type="dxa"/>
            <w:gridSpan w:val="2"/>
          </w:tcPr>
          <w:p w14:paraId="5EE851A5" w14:textId="77777777" w:rsidR="00222DE0" w:rsidRPr="00EE3355" w:rsidRDefault="0098273B" w:rsidP="00EA1CDF">
            <w:pPr>
              <w:pStyle w:val="TableParagraph"/>
              <w:widowControl/>
              <w:jc w:val="center"/>
              <w:rPr>
                <w:sz w:val="18"/>
              </w:rPr>
            </w:pPr>
            <w:r w:rsidRPr="00EE3355">
              <w:rPr>
                <w:sz w:val="18"/>
              </w:rPr>
              <w:t>11 %</w:t>
            </w:r>
          </w:p>
        </w:tc>
        <w:tc>
          <w:tcPr>
            <w:tcW w:w="873" w:type="dxa"/>
            <w:gridSpan w:val="3"/>
          </w:tcPr>
          <w:p w14:paraId="11911BD5" w14:textId="77777777" w:rsidR="00222DE0" w:rsidRPr="00EE3355" w:rsidRDefault="0098273B" w:rsidP="00EA1CDF">
            <w:pPr>
              <w:pStyle w:val="TableParagraph"/>
              <w:widowControl/>
              <w:jc w:val="center"/>
              <w:rPr>
                <w:sz w:val="18"/>
              </w:rPr>
            </w:pPr>
            <w:r w:rsidRPr="00EE3355">
              <w:rPr>
                <w:sz w:val="18"/>
              </w:rPr>
              <w:t>38 %***</w:t>
            </w:r>
          </w:p>
        </w:tc>
        <w:tc>
          <w:tcPr>
            <w:tcW w:w="812" w:type="dxa"/>
          </w:tcPr>
          <w:p w14:paraId="06E57BA5" w14:textId="77777777" w:rsidR="00222DE0" w:rsidRPr="00EE3355" w:rsidRDefault="0098273B" w:rsidP="00EA1CDF">
            <w:pPr>
              <w:pStyle w:val="TableParagraph"/>
              <w:widowControl/>
              <w:jc w:val="center"/>
              <w:rPr>
                <w:sz w:val="18"/>
              </w:rPr>
            </w:pPr>
            <w:r w:rsidRPr="00EE3355">
              <w:rPr>
                <w:sz w:val="18"/>
              </w:rPr>
              <w:t>9 %</w:t>
            </w:r>
          </w:p>
        </w:tc>
        <w:tc>
          <w:tcPr>
            <w:tcW w:w="912" w:type="dxa"/>
            <w:gridSpan w:val="2"/>
          </w:tcPr>
          <w:p w14:paraId="2CC52470" w14:textId="77777777" w:rsidR="00222DE0" w:rsidRPr="00EE3355" w:rsidRDefault="0098273B" w:rsidP="00EA1CDF">
            <w:pPr>
              <w:pStyle w:val="TableParagraph"/>
              <w:widowControl/>
              <w:jc w:val="center"/>
              <w:rPr>
                <w:sz w:val="18"/>
              </w:rPr>
            </w:pPr>
            <w:r w:rsidRPr="00EE3355">
              <w:rPr>
                <w:sz w:val="18"/>
              </w:rPr>
              <w:t>29 %***</w:t>
            </w:r>
          </w:p>
        </w:tc>
        <w:tc>
          <w:tcPr>
            <w:tcW w:w="902" w:type="dxa"/>
          </w:tcPr>
          <w:p w14:paraId="221398B5" w14:textId="77777777" w:rsidR="00222DE0" w:rsidRPr="00EE3355" w:rsidRDefault="0098273B" w:rsidP="00EA1CDF">
            <w:pPr>
              <w:pStyle w:val="TableParagraph"/>
              <w:widowControl/>
              <w:jc w:val="center"/>
              <w:rPr>
                <w:sz w:val="18"/>
              </w:rPr>
            </w:pPr>
            <w:r w:rsidRPr="00EE3355">
              <w:rPr>
                <w:sz w:val="18"/>
              </w:rPr>
              <w:t>4 %</w:t>
            </w:r>
          </w:p>
        </w:tc>
      </w:tr>
      <w:tr w:rsidR="00085130" w:rsidRPr="00EE3355" w14:paraId="6C0DC14D" w14:textId="77777777" w:rsidTr="00486FC8">
        <w:trPr>
          <w:cantSplit/>
          <w:trHeight w:val="220"/>
        </w:trPr>
        <w:tc>
          <w:tcPr>
            <w:tcW w:w="557" w:type="dxa"/>
            <w:gridSpan w:val="2"/>
          </w:tcPr>
          <w:p w14:paraId="0550E764" w14:textId="77777777" w:rsidR="00222DE0" w:rsidRPr="00EE3355" w:rsidRDefault="0098273B" w:rsidP="00EA1CDF">
            <w:pPr>
              <w:pStyle w:val="TableParagraph"/>
              <w:widowControl/>
              <w:jc w:val="center"/>
              <w:rPr>
                <w:sz w:val="18"/>
              </w:rPr>
            </w:pPr>
            <w:r w:rsidRPr="00EE3355">
              <w:rPr>
                <w:sz w:val="18"/>
              </w:rPr>
              <w:t>52</w:t>
            </w:r>
          </w:p>
        </w:tc>
        <w:tc>
          <w:tcPr>
            <w:tcW w:w="958" w:type="dxa"/>
          </w:tcPr>
          <w:p w14:paraId="0BC9938A" w14:textId="77777777" w:rsidR="00222DE0" w:rsidRPr="00EE3355" w:rsidRDefault="00222DE0" w:rsidP="00EA1CDF">
            <w:pPr>
              <w:pStyle w:val="TableParagraph"/>
              <w:widowControl/>
              <w:rPr>
                <w:sz w:val="14"/>
              </w:rPr>
            </w:pPr>
          </w:p>
        </w:tc>
        <w:tc>
          <w:tcPr>
            <w:tcW w:w="702" w:type="dxa"/>
          </w:tcPr>
          <w:p w14:paraId="4F2DCF0D" w14:textId="77777777" w:rsidR="00222DE0" w:rsidRPr="00EE3355" w:rsidRDefault="00222DE0" w:rsidP="00EA1CDF">
            <w:pPr>
              <w:pStyle w:val="TableParagraph"/>
              <w:widowControl/>
              <w:rPr>
                <w:sz w:val="14"/>
              </w:rPr>
            </w:pPr>
          </w:p>
        </w:tc>
        <w:tc>
          <w:tcPr>
            <w:tcW w:w="843" w:type="dxa"/>
            <w:gridSpan w:val="3"/>
          </w:tcPr>
          <w:p w14:paraId="2B6D0F39" w14:textId="77777777" w:rsidR="00222DE0" w:rsidRPr="00EE3355" w:rsidRDefault="0098273B" w:rsidP="00EA1CDF">
            <w:pPr>
              <w:pStyle w:val="TableParagraph"/>
              <w:widowControl/>
              <w:jc w:val="center"/>
              <w:rPr>
                <w:sz w:val="18"/>
              </w:rPr>
            </w:pPr>
            <w:r w:rsidRPr="00EE3355">
              <w:rPr>
                <w:sz w:val="18"/>
              </w:rPr>
              <w:t>36 %***</w:t>
            </w:r>
          </w:p>
        </w:tc>
        <w:tc>
          <w:tcPr>
            <w:tcW w:w="740" w:type="dxa"/>
          </w:tcPr>
          <w:p w14:paraId="11EDCDF5" w14:textId="77777777" w:rsidR="00222DE0" w:rsidRPr="00EE3355" w:rsidRDefault="0098273B" w:rsidP="00EA1CDF">
            <w:pPr>
              <w:pStyle w:val="TableParagraph"/>
              <w:widowControl/>
              <w:jc w:val="center"/>
              <w:rPr>
                <w:sz w:val="18"/>
              </w:rPr>
            </w:pPr>
            <w:r w:rsidRPr="00EE3355">
              <w:rPr>
                <w:sz w:val="18"/>
              </w:rPr>
              <w:t>10 %</w:t>
            </w:r>
          </w:p>
        </w:tc>
        <w:tc>
          <w:tcPr>
            <w:tcW w:w="836" w:type="dxa"/>
            <w:gridSpan w:val="2"/>
          </w:tcPr>
          <w:p w14:paraId="6B02F815" w14:textId="77777777" w:rsidR="00222DE0" w:rsidRPr="00EE3355" w:rsidRDefault="00222DE0" w:rsidP="00EA1CDF">
            <w:pPr>
              <w:pStyle w:val="TableParagraph"/>
              <w:widowControl/>
              <w:rPr>
                <w:sz w:val="14"/>
              </w:rPr>
            </w:pPr>
          </w:p>
        </w:tc>
        <w:tc>
          <w:tcPr>
            <w:tcW w:w="740" w:type="dxa"/>
            <w:gridSpan w:val="2"/>
          </w:tcPr>
          <w:p w14:paraId="6BF433CA" w14:textId="77777777" w:rsidR="00222DE0" w:rsidRPr="00EE3355" w:rsidRDefault="00222DE0" w:rsidP="00EA1CDF">
            <w:pPr>
              <w:pStyle w:val="TableParagraph"/>
              <w:widowControl/>
              <w:rPr>
                <w:sz w:val="14"/>
              </w:rPr>
            </w:pPr>
          </w:p>
        </w:tc>
        <w:tc>
          <w:tcPr>
            <w:tcW w:w="873" w:type="dxa"/>
            <w:gridSpan w:val="3"/>
          </w:tcPr>
          <w:p w14:paraId="1273B775" w14:textId="77777777" w:rsidR="00222DE0" w:rsidRPr="00EE3355" w:rsidRDefault="00222DE0" w:rsidP="00EA1CDF">
            <w:pPr>
              <w:pStyle w:val="TableParagraph"/>
              <w:widowControl/>
              <w:rPr>
                <w:sz w:val="14"/>
              </w:rPr>
            </w:pPr>
          </w:p>
        </w:tc>
        <w:tc>
          <w:tcPr>
            <w:tcW w:w="812" w:type="dxa"/>
          </w:tcPr>
          <w:p w14:paraId="7C51CCB5" w14:textId="77777777" w:rsidR="00222DE0" w:rsidRPr="00EE3355" w:rsidRDefault="00222DE0" w:rsidP="00EA1CDF">
            <w:pPr>
              <w:pStyle w:val="TableParagraph"/>
              <w:widowControl/>
              <w:rPr>
                <w:sz w:val="14"/>
              </w:rPr>
            </w:pPr>
          </w:p>
        </w:tc>
        <w:tc>
          <w:tcPr>
            <w:tcW w:w="912" w:type="dxa"/>
            <w:gridSpan w:val="2"/>
          </w:tcPr>
          <w:p w14:paraId="69272759" w14:textId="77777777" w:rsidR="00222DE0" w:rsidRPr="00EE3355" w:rsidRDefault="00222DE0" w:rsidP="00EA1CDF">
            <w:pPr>
              <w:pStyle w:val="TableParagraph"/>
              <w:widowControl/>
              <w:rPr>
                <w:sz w:val="14"/>
              </w:rPr>
            </w:pPr>
          </w:p>
        </w:tc>
        <w:tc>
          <w:tcPr>
            <w:tcW w:w="902" w:type="dxa"/>
          </w:tcPr>
          <w:p w14:paraId="1E1D7B3E" w14:textId="77777777" w:rsidR="00222DE0" w:rsidRPr="00EE3355" w:rsidRDefault="00222DE0" w:rsidP="00EA1CDF">
            <w:pPr>
              <w:pStyle w:val="TableParagraph"/>
              <w:widowControl/>
              <w:rPr>
                <w:sz w:val="14"/>
              </w:rPr>
            </w:pPr>
          </w:p>
        </w:tc>
      </w:tr>
      <w:tr w:rsidR="00222DE0" w:rsidRPr="00EE3355" w14:paraId="14D47A52" w14:textId="77777777" w:rsidTr="00486FC8">
        <w:trPr>
          <w:cantSplit/>
          <w:trHeight w:val="220"/>
        </w:trPr>
        <w:tc>
          <w:tcPr>
            <w:tcW w:w="8875" w:type="dxa"/>
            <w:gridSpan w:val="19"/>
          </w:tcPr>
          <w:p w14:paraId="66BDA79F" w14:textId="77777777" w:rsidR="00222DE0" w:rsidRPr="00EE3355" w:rsidRDefault="0098273B" w:rsidP="00EA1CDF">
            <w:pPr>
              <w:pStyle w:val="TableParagraph"/>
              <w:widowControl/>
              <w:jc w:val="center"/>
              <w:rPr>
                <w:b/>
                <w:sz w:val="18"/>
              </w:rPr>
            </w:pPr>
            <w:r w:rsidRPr="00EE3355">
              <w:rPr>
                <w:b/>
                <w:sz w:val="18"/>
              </w:rPr>
              <w:t>ACR 70</w:t>
            </w:r>
          </w:p>
        </w:tc>
      </w:tr>
      <w:tr w:rsidR="00085130" w:rsidRPr="00EE3355" w14:paraId="47B9979F" w14:textId="77777777" w:rsidTr="00486FC8">
        <w:trPr>
          <w:cantSplit/>
          <w:trHeight w:val="220"/>
        </w:trPr>
        <w:tc>
          <w:tcPr>
            <w:tcW w:w="557" w:type="dxa"/>
            <w:gridSpan w:val="2"/>
          </w:tcPr>
          <w:p w14:paraId="3665636C" w14:textId="77777777" w:rsidR="00222DE0" w:rsidRPr="00EE3355" w:rsidRDefault="0098273B" w:rsidP="00EA1CDF">
            <w:pPr>
              <w:pStyle w:val="TableParagraph"/>
              <w:widowControl/>
              <w:jc w:val="center"/>
              <w:rPr>
                <w:sz w:val="18"/>
              </w:rPr>
            </w:pPr>
            <w:r w:rsidRPr="00EE3355">
              <w:rPr>
                <w:sz w:val="18"/>
              </w:rPr>
              <w:t>24</w:t>
            </w:r>
          </w:p>
        </w:tc>
        <w:tc>
          <w:tcPr>
            <w:tcW w:w="958" w:type="dxa"/>
          </w:tcPr>
          <w:p w14:paraId="6AA3F296" w14:textId="77777777" w:rsidR="00222DE0" w:rsidRPr="00EE3355" w:rsidRDefault="0098273B" w:rsidP="00EA1CDF">
            <w:pPr>
              <w:pStyle w:val="TableParagraph"/>
              <w:widowControl/>
              <w:jc w:val="center"/>
              <w:rPr>
                <w:sz w:val="18"/>
              </w:rPr>
            </w:pPr>
            <w:r w:rsidRPr="00EE3355">
              <w:rPr>
                <w:sz w:val="18"/>
              </w:rPr>
              <w:t>28 %*</w:t>
            </w:r>
          </w:p>
        </w:tc>
        <w:tc>
          <w:tcPr>
            <w:tcW w:w="702" w:type="dxa"/>
          </w:tcPr>
          <w:p w14:paraId="2E9E41DB" w14:textId="77777777" w:rsidR="00222DE0" w:rsidRPr="00EE3355" w:rsidRDefault="0098273B" w:rsidP="00EA1CDF">
            <w:pPr>
              <w:pStyle w:val="TableParagraph"/>
              <w:widowControl/>
              <w:jc w:val="center"/>
              <w:rPr>
                <w:sz w:val="18"/>
              </w:rPr>
            </w:pPr>
            <w:r w:rsidRPr="00EE3355">
              <w:rPr>
                <w:sz w:val="18"/>
              </w:rPr>
              <w:t>15 %</w:t>
            </w:r>
          </w:p>
        </w:tc>
        <w:tc>
          <w:tcPr>
            <w:tcW w:w="843" w:type="dxa"/>
            <w:gridSpan w:val="3"/>
          </w:tcPr>
          <w:p w14:paraId="08512E7A" w14:textId="77777777" w:rsidR="00222DE0" w:rsidRPr="00EE3355" w:rsidRDefault="0098273B" w:rsidP="00EA1CDF">
            <w:pPr>
              <w:pStyle w:val="TableParagraph"/>
              <w:widowControl/>
              <w:jc w:val="center"/>
              <w:rPr>
                <w:sz w:val="18"/>
              </w:rPr>
            </w:pPr>
            <w:r w:rsidRPr="00EE3355">
              <w:rPr>
                <w:sz w:val="18"/>
              </w:rPr>
              <w:t>13 %***</w:t>
            </w:r>
          </w:p>
        </w:tc>
        <w:tc>
          <w:tcPr>
            <w:tcW w:w="740" w:type="dxa"/>
          </w:tcPr>
          <w:p w14:paraId="2D70AF7A" w14:textId="77777777" w:rsidR="00222DE0" w:rsidRPr="00EE3355" w:rsidRDefault="0098273B" w:rsidP="00EA1CDF">
            <w:pPr>
              <w:pStyle w:val="TableParagraph"/>
              <w:widowControl/>
              <w:jc w:val="center"/>
              <w:rPr>
                <w:sz w:val="18"/>
              </w:rPr>
            </w:pPr>
            <w:r w:rsidRPr="00EE3355">
              <w:rPr>
                <w:sz w:val="18"/>
              </w:rPr>
              <w:t>2 %</w:t>
            </w:r>
          </w:p>
        </w:tc>
        <w:tc>
          <w:tcPr>
            <w:tcW w:w="827" w:type="dxa"/>
          </w:tcPr>
          <w:p w14:paraId="570894CA" w14:textId="77777777" w:rsidR="00222DE0" w:rsidRPr="00EE3355" w:rsidRDefault="0098273B" w:rsidP="00EA1CDF">
            <w:pPr>
              <w:pStyle w:val="TableParagraph"/>
              <w:widowControl/>
              <w:jc w:val="center"/>
              <w:rPr>
                <w:sz w:val="18"/>
              </w:rPr>
            </w:pPr>
            <w:r w:rsidRPr="00EE3355">
              <w:rPr>
                <w:sz w:val="18"/>
              </w:rPr>
              <w:t>22 %***</w:t>
            </w:r>
          </w:p>
        </w:tc>
        <w:tc>
          <w:tcPr>
            <w:tcW w:w="740" w:type="dxa"/>
            <w:gridSpan w:val="2"/>
          </w:tcPr>
          <w:p w14:paraId="7F40EF6E" w14:textId="77777777" w:rsidR="00222DE0" w:rsidRPr="00EE3355" w:rsidRDefault="0098273B" w:rsidP="00EA1CDF">
            <w:pPr>
              <w:pStyle w:val="TableParagraph"/>
              <w:widowControl/>
              <w:jc w:val="center"/>
              <w:rPr>
                <w:sz w:val="18"/>
              </w:rPr>
            </w:pPr>
            <w:r w:rsidRPr="00EE3355">
              <w:rPr>
                <w:sz w:val="18"/>
              </w:rPr>
              <w:t>2 %</w:t>
            </w:r>
          </w:p>
        </w:tc>
        <w:tc>
          <w:tcPr>
            <w:tcW w:w="882" w:type="dxa"/>
            <w:gridSpan w:val="4"/>
          </w:tcPr>
          <w:p w14:paraId="792E5E4C" w14:textId="77777777" w:rsidR="00222DE0" w:rsidRPr="00EE3355" w:rsidRDefault="0098273B" w:rsidP="00EA1CDF">
            <w:pPr>
              <w:pStyle w:val="TableParagraph"/>
              <w:widowControl/>
              <w:jc w:val="center"/>
              <w:rPr>
                <w:sz w:val="18"/>
              </w:rPr>
            </w:pPr>
            <w:r w:rsidRPr="00EE3355">
              <w:rPr>
                <w:sz w:val="18"/>
              </w:rPr>
              <w:t>21 %***</w:t>
            </w:r>
          </w:p>
        </w:tc>
        <w:tc>
          <w:tcPr>
            <w:tcW w:w="812" w:type="dxa"/>
          </w:tcPr>
          <w:p w14:paraId="02E475E3" w14:textId="77777777" w:rsidR="00222DE0" w:rsidRPr="00EE3355" w:rsidRDefault="0098273B" w:rsidP="00EA1CDF">
            <w:pPr>
              <w:pStyle w:val="TableParagraph"/>
              <w:widowControl/>
              <w:jc w:val="center"/>
              <w:rPr>
                <w:sz w:val="18"/>
              </w:rPr>
            </w:pPr>
            <w:r w:rsidRPr="00EE3355">
              <w:rPr>
                <w:sz w:val="18"/>
              </w:rPr>
              <w:t>3 %</w:t>
            </w:r>
          </w:p>
        </w:tc>
        <w:tc>
          <w:tcPr>
            <w:tcW w:w="912" w:type="dxa"/>
            <w:gridSpan w:val="2"/>
          </w:tcPr>
          <w:p w14:paraId="118B24B7" w14:textId="77777777" w:rsidR="00222DE0" w:rsidRPr="00EE3355" w:rsidRDefault="0098273B" w:rsidP="00EA1CDF">
            <w:pPr>
              <w:pStyle w:val="TableParagraph"/>
              <w:widowControl/>
              <w:jc w:val="center"/>
              <w:rPr>
                <w:sz w:val="18"/>
              </w:rPr>
            </w:pPr>
            <w:r w:rsidRPr="00EE3355">
              <w:rPr>
                <w:sz w:val="18"/>
              </w:rPr>
              <w:t>12 %*</w:t>
            </w:r>
          </w:p>
        </w:tc>
        <w:tc>
          <w:tcPr>
            <w:tcW w:w="902" w:type="dxa"/>
          </w:tcPr>
          <w:p w14:paraId="220C2A25" w14:textId="77777777" w:rsidR="00222DE0" w:rsidRPr="00EE3355" w:rsidRDefault="0098273B" w:rsidP="00EA1CDF">
            <w:pPr>
              <w:pStyle w:val="TableParagraph"/>
              <w:widowControl/>
              <w:jc w:val="center"/>
              <w:rPr>
                <w:sz w:val="18"/>
              </w:rPr>
            </w:pPr>
            <w:r w:rsidRPr="00EE3355">
              <w:rPr>
                <w:sz w:val="18"/>
              </w:rPr>
              <w:t>1 %</w:t>
            </w:r>
          </w:p>
        </w:tc>
      </w:tr>
      <w:tr w:rsidR="00085130" w:rsidRPr="00EE3355" w14:paraId="4B6C54D3" w14:textId="77777777" w:rsidTr="00486FC8">
        <w:trPr>
          <w:cantSplit/>
          <w:trHeight w:val="220"/>
        </w:trPr>
        <w:tc>
          <w:tcPr>
            <w:tcW w:w="557" w:type="dxa"/>
            <w:gridSpan w:val="2"/>
          </w:tcPr>
          <w:p w14:paraId="35FA81DC" w14:textId="77777777" w:rsidR="00222DE0" w:rsidRPr="00EE3355" w:rsidRDefault="0098273B" w:rsidP="00EA1CDF">
            <w:pPr>
              <w:pStyle w:val="TableParagraph"/>
              <w:widowControl/>
              <w:jc w:val="center"/>
              <w:rPr>
                <w:sz w:val="18"/>
              </w:rPr>
            </w:pPr>
            <w:r w:rsidRPr="00EE3355">
              <w:rPr>
                <w:sz w:val="18"/>
              </w:rPr>
              <w:t>52</w:t>
            </w:r>
          </w:p>
        </w:tc>
        <w:tc>
          <w:tcPr>
            <w:tcW w:w="958" w:type="dxa"/>
          </w:tcPr>
          <w:p w14:paraId="66549941" w14:textId="77777777" w:rsidR="00222DE0" w:rsidRPr="00EE3355" w:rsidRDefault="00222DE0" w:rsidP="00EA1CDF">
            <w:pPr>
              <w:pStyle w:val="TableParagraph"/>
              <w:widowControl/>
              <w:rPr>
                <w:sz w:val="14"/>
              </w:rPr>
            </w:pPr>
          </w:p>
        </w:tc>
        <w:tc>
          <w:tcPr>
            <w:tcW w:w="879" w:type="dxa"/>
            <w:gridSpan w:val="2"/>
            <w:tcBorders>
              <w:right w:val="nil"/>
            </w:tcBorders>
          </w:tcPr>
          <w:p w14:paraId="568845A1" w14:textId="77777777" w:rsidR="00222DE0" w:rsidRPr="00EE3355" w:rsidRDefault="0098273B" w:rsidP="00EA1CDF">
            <w:pPr>
              <w:pStyle w:val="TableParagraph"/>
              <w:widowControl/>
              <w:jc w:val="center"/>
              <w:rPr>
                <w:sz w:val="18"/>
              </w:rPr>
            </w:pPr>
            <w:r w:rsidRPr="00EE3355">
              <w:rPr>
                <w:sz w:val="18"/>
              </w:rPr>
              <w:t>20 %***</w:t>
            </w:r>
          </w:p>
        </w:tc>
        <w:tc>
          <w:tcPr>
            <w:tcW w:w="666" w:type="dxa"/>
            <w:gridSpan w:val="2"/>
            <w:tcBorders>
              <w:left w:val="nil"/>
            </w:tcBorders>
          </w:tcPr>
          <w:p w14:paraId="44E4045C" w14:textId="77777777" w:rsidR="00222DE0" w:rsidRPr="00EE3355" w:rsidRDefault="0098273B" w:rsidP="00EA1CDF">
            <w:pPr>
              <w:pStyle w:val="TableParagraph"/>
              <w:widowControl/>
              <w:jc w:val="center"/>
              <w:rPr>
                <w:sz w:val="18"/>
              </w:rPr>
            </w:pPr>
            <w:r w:rsidRPr="00EE3355">
              <w:rPr>
                <w:sz w:val="18"/>
              </w:rPr>
              <w:t>4 %</w:t>
            </w:r>
          </w:p>
        </w:tc>
        <w:tc>
          <w:tcPr>
            <w:tcW w:w="1567" w:type="dxa"/>
            <w:gridSpan w:val="2"/>
          </w:tcPr>
          <w:p w14:paraId="7A881336" w14:textId="77777777" w:rsidR="00222DE0" w:rsidRPr="00EE3355" w:rsidRDefault="00222DE0" w:rsidP="00EA1CDF">
            <w:pPr>
              <w:pStyle w:val="TableParagraph"/>
              <w:widowControl/>
              <w:rPr>
                <w:sz w:val="14"/>
              </w:rPr>
            </w:pPr>
          </w:p>
        </w:tc>
        <w:tc>
          <w:tcPr>
            <w:tcW w:w="749" w:type="dxa"/>
            <w:gridSpan w:val="3"/>
          </w:tcPr>
          <w:p w14:paraId="5155FDFF" w14:textId="77777777" w:rsidR="00222DE0" w:rsidRPr="00EE3355" w:rsidRDefault="00222DE0" w:rsidP="00EA1CDF">
            <w:pPr>
              <w:pStyle w:val="TableParagraph"/>
              <w:widowControl/>
              <w:rPr>
                <w:sz w:val="14"/>
              </w:rPr>
            </w:pPr>
          </w:p>
        </w:tc>
        <w:tc>
          <w:tcPr>
            <w:tcW w:w="867" w:type="dxa"/>
            <w:gridSpan w:val="2"/>
          </w:tcPr>
          <w:p w14:paraId="6AFDF162" w14:textId="77777777" w:rsidR="00222DE0" w:rsidRPr="00EE3355" w:rsidRDefault="00222DE0" w:rsidP="00EA1CDF">
            <w:pPr>
              <w:pStyle w:val="TableParagraph"/>
              <w:widowControl/>
              <w:rPr>
                <w:sz w:val="14"/>
              </w:rPr>
            </w:pPr>
          </w:p>
        </w:tc>
        <w:tc>
          <w:tcPr>
            <w:tcW w:w="826" w:type="dxa"/>
            <w:gridSpan w:val="3"/>
          </w:tcPr>
          <w:p w14:paraId="2B221CF6" w14:textId="77777777" w:rsidR="00222DE0" w:rsidRPr="00EE3355" w:rsidRDefault="00222DE0" w:rsidP="00EA1CDF">
            <w:pPr>
              <w:pStyle w:val="TableParagraph"/>
              <w:widowControl/>
              <w:rPr>
                <w:sz w:val="14"/>
              </w:rPr>
            </w:pPr>
          </w:p>
        </w:tc>
        <w:tc>
          <w:tcPr>
            <w:tcW w:w="1806" w:type="dxa"/>
            <w:gridSpan w:val="2"/>
          </w:tcPr>
          <w:p w14:paraId="56BDD39F" w14:textId="77777777" w:rsidR="00222DE0" w:rsidRPr="00EE3355" w:rsidRDefault="00222DE0" w:rsidP="00EA1CDF">
            <w:pPr>
              <w:pStyle w:val="TableParagraph"/>
              <w:widowControl/>
              <w:rPr>
                <w:sz w:val="14"/>
              </w:rPr>
            </w:pPr>
          </w:p>
        </w:tc>
      </w:tr>
    </w:tbl>
    <w:p w14:paraId="15FF093B" w14:textId="77777777" w:rsidR="00732C56" w:rsidRPr="00EE3355" w:rsidRDefault="0098273B" w:rsidP="00EA1CDF">
      <w:pPr>
        <w:widowControl/>
        <w:tabs>
          <w:tab w:val="left" w:pos="993"/>
        </w:tabs>
        <w:rPr>
          <w:i/>
          <w:sz w:val="18"/>
        </w:rPr>
      </w:pPr>
      <w:r w:rsidRPr="00EE3355">
        <w:rPr>
          <w:i/>
          <w:sz w:val="18"/>
        </w:rPr>
        <w:t>TCZ</w:t>
      </w:r>
      <w:r w:rsidR="00732C56" w:rsidRPr="00EE3355">
        <w:rPr>
          <w:i/>
          <w:sz w:val="18"/>
        </w:rPr>
        <w:tab/>
      </w:r>
      <w:r w:rsidRPr="00EE3355">
        <w:rPr>
          <w:i/>
          <w:sz w:val="18"/>
        </w:rPr>
        <w:t xml:space="preserve">- tocilizumab </w:t>
      </w:r>
    </w:p>
    <w:p w14:paraId="7411E975" w14:textId="77777777" w:rsidR="00732C56" w:rsidRPr="00EE3355" w:rsidRDefault="0098273B" w:rsidP="00EA1CDF">
      <w:pPr>
        <w:widowControl/>
        <w:tabs>
          <w:tab w:val="left" w:pos="993"/>
        </w:tabs>
        <w:rPr>
          <w:i/>
          <w:sz w:val="18"/>
        </w:rPr>
      </w:pPr>
      <w:r w:rsidRPr="00EE3355">
        <w:rPr>
          <w:i/>
          <w:sz w:val="18"/>
        </w:rPr>
        <w:t>MTX</w:t>
      </w:r>
      <w:r w:rsidR="00732C56" w:rsidRPr="00EE3355">
        <w:rPr>
          <w:i/>
          <w:sz w:val="18"/>
        </w:rPr>
        <w:tab/>
      </w:r>
      <w:r w:rsidRPr="00EE3355">
        <w:rPr>
          <w:i/>
          <w:sz w:val="18"/>
        </w:rPr>
        <w:t xml:space="preserve">- methotrexát </w:t>
      </w:r>
    </w:p>
    <w:p w14:paraId="6E362337" w14:textId="77777777" w:rsidR="00222DE0" w:rsidRPr="00EE3355" w:rsidRDefault="0098273B" w:rsidP="00EA1CDF">
      <w:pPr>
        <w:widowControl/>
        <w:tabs>
          <w:tab w:val="left" w:pos="993"/>
        </w:tabs>
        <w:rPr>
          <w:i/>
          <w:sz w:val="18"/>
        </w:rPr>
      </w:pPr>
      <w:r w:rsidRPr="00EE3355">
        <w:rPr>
          <w:i/>
          <w:sz w:val="18"/>
        </w:rPr>
        <w:t>PBO</w:t>
      </w:r>
      <w:r w:rsidR="00732C56" w:rsidRPr="00EE3355">
        <w:rPr>
          <w:i/>
          <w:sz w:val="18"/>
        </w:rPr>
        <w:tab/>
      </w:r>
      <w:r w:rsidRPr="00EE3355">
        <w:rPr>
          <w:i/>
          <w:sz w:val="18"/>
        </w:rPr>
        <w:t>- placebo</w:t>
      </w:r>
    </w:p>
    <w:p w14:paraId="2DF1DC9C" w14:textId="77777777" w:rsidR="00222DE0" w:rsidRPr="00EE3355" w:rsidRDefault="0098273B" w:rsidP="00EA1CDF">
      <w:pPr>
        <w:widowControl/>
        <w:tabs>
          <w:tab w:val="left" w:pos="993"/>
        </w:tabs>
        <w:rPr>
          <w:i/>
          <w:sz w:val="18"/>
        </w:rPr>
      </w:pPr>
      <w:r w:rsidRPr="00EE3355">
        <w:rPr>
          <w:i/>
          <w:sz w:val="18"/>
        </w:rPr>
        <w:t>DMARD</w:t>
      </w:r>
      <w:r w:rsidR="00732C56" w:rsidRPr="00EE3355">
        <w:rPr>
          <w:i/>
          <w:sz w:val="18"/>
        </w:rPr>
        <w:tab/>
      </w:r>
      <w:r w:rsidRPr="00EE3355">
        <w:rPr>
          <w:i/>
          <w:sz w:val="18"/>
        </w:rPr>
        <w:t>- chorobu modifikující antirevmatikum</w:t>
      </w:r>
    </w:p>
    <w:p w14:paraId="32A9083E" w14:textId="77777777" w:rsidR="00222DE0" w:rsidRPr="00EE3355" w:rsidRDefault="0098273B" w:rsidP="00EA1CDF">
      <w:pPr>
        <w:widowControl/>
        <w:tabs>
          <w:tab w:val="left" w:pos="993"/>
        </w:tabs>
        <w:rPr>
          <w:i/>
          <w:sz w:val="18"/>
        </w:rPr>
      </w:pPr>
      <w:r w:rsidRPr="00EE3355">
        <w:rPr>
          <w:i/>
          <w:sz w:val="18"/>
        </w:rPr>
        <w:t>**</w:t>
      </w:r>
      <w:r w:rsidR="00732C56" w:rsidRPr="00EE3355">
        <w:rPr>
          <w:i/>
          <w:sz w:val="18"/>
        </w:rPr>
        <w:tab/>
      </w:r>
      <w:r w:rsidRPr="00EE3355">
        <w:rPr>
          <w:i/>
          <w:sz w:val="18"/>
        </w:rPr>
        <w:t>p &lt; 0,01, TCZ vs. PBO + MTX / DMARD</w:t>
      </w:r>
    </w:p>
    <w:p w14:paraId="19ADF583" w14:textId="77777777" w:rsidR="00222DE0" w:rsidRPr="00EE3355" w:rsidRDefault="0098273B" w:rsidP="00EA1CDF">
      <w:pPr>
        <w:widowControl/>
        <w:tabs>
          <w:tab w:val="left" w:pos="993"/>
        </w:tabs>
        <w:rPr>
          <w:i/>
          <w:sz w:val="18"/>
        </w:rPr>
      </w:pPr>
      <w:r w:rsidRPr="00EE3355">
        <w:rPr>
          <w:i/>
          <w:sz w:val="18"/>
        </w:rPr>
        <w:t>**</w:t>
      </w:r>
      <w:r w:rsidR="00732C56" w:rsidRPr="00EE3355">
        <w:rPr>
          <w:i/>
          <w:sz w:val="18"/>
        </w:rPr>
        <w:tab/>
      </w:r>
      <w:r w:rsidRPr="00EE3355">
        <w:rPr>
          <w:i/>
          <w:sz w:val="18"/>
        </w:rPr>
        <w:t>p &lt; 0,0001, TCZ vs. PBO + MTX / DMARD</w:t>
      </w:r>
    </w:p>
    <w:p w14:paraId="41B064E7" w14:textId="77777777" w:rsidR="00222DE0" w:rsidRPr="00EE3355" w:rsidRDefault="00222DE0" w:rsidP="00EA1CDF">
      <w:pPr>
        <w:pStyle w:val="a3"/>
        <w:widowControl/>
        <w:ind w:left="0"/>
        <w:rPr>
          <w:i/>
          <w:sz w:val="18"/>
        </w:rPr>
      </w:pPr>
    </w:p>
    <w:p w14:paraId="271BC23E" w14:textId="77777777" w:rsidR="00222DE0" w:rsidRPr="00EE3355" w:rsidRDefault="0098273B" w:rsidP="00EA1CDF">
      <w:pPr>
        <w:widowControl/>
        <w:rPr>
          <w:i/>
        </w:rPr>
      </w:pPr>
      <w:r w:rsidRPr="00EE3355">
        <w:rPr>
          <w:i/>
        </w:rPr>
        <w:t>Významná klinická odpověď</w:t>
      </w:r>
    </w:p>
    <w:p w14:paraId="6EF79392" w14:textId="6807DAA7" w:rsidR="00222DE0" w:rsidRPr="00EE3355" w:rsidRDefault="0098273B" w:rsidP="00EA1CDF">
      <w:pPr>
        <w:pStyle w:val="a3"/>
        <w:widowControl/>
        <w:ind w:left="0"/>
      </w:pPr>
      <w:r w:rsidRPr="00EE3355">
        <w:t xml:space="preserve">Po 2 letech léčby </w:t>
      </w:r>
      <w:r w:rsidR="00C72D28" w:rsidRPr="00C61A9B">
        <w:t>tocilizumab</w:t>
      </w:r>
      <w:r w:rsidR="00C72D28">
        <w:t xml:space="preserve">em </w:t>
      </w:r>
      <w:r w:rsidRPr="00EE3355">
        <w:t>s MTX dosáhlo14 % pacientů významné klinické odpovědi (udržení odpovědi podle ACR 70 po dobu 24 týdnů nebo déle).</w:t>
      </w:r>
    </w:p>
    <w:p w14:paraId="2AE53A15" w14:textId="77777777" w:rsidR="00F576B6" w:rsidRPr="00EE3355" w:rsidRDefault="00F576B6" w:rsidP="00EA1CDF">
      <w:pPr>
        <w:pStyle w:val="a3"/>
        <w:widowControl/>
        <w:ind w:left="0"/>
      </w:pPr>
    </w:p>
    <w:p w14:paraId="36F1FCCA" w14:textId="77777777" w:rsidR="00222DE0" w:rsidRPr="00EE3355" w:rsidRDefault="0098273B" w:rsidP="00EA1CDF">
      <w:pPr>
        <w:keepNext/>
        <w:widowControl/>
        <w:rPr>
          <w:i/>
        </w:rPr>
      </w:pPr>
      <w:r w:rsidRPr="00EE3355">
        <w:rPr>
          <w:i/>
        </w:rPr>
        <w:t>Radiografická odpověď</w:t>
      </w:r>
    </w:p>
    <w:p w14:paraId="7C7B9DF5" w14:textId="375E40E9" w:rsidR="00222DE0" w:rsidRPr="00EE3355" w:rsidRDefault="0098273B" w:rsidP="00EA1CDF">
      <w:pPr>
        <w:pStyle w:val="a3"/>
        <w:widowControl/>
        <w:ind w:left="0"/>
      </w:pPr>
      <w:r w:rsidRPr="00EE3355">
        <w:t>Ve studii II u pacientů bez dostatečné odpovědi na léčbu MTX byla inhibice strukturálního poškození kloubů hodnocena radiograficky a vyjádřena změnou modifikovaného Sharpova skóre a jeho složek (skóre eroze a skóre zúžení kloubní štěrbiny). U pacientů ve skupině s</w:t>
      </w:r>
      <w:r w:rsidR="00C72D28">
        <w:t> </w:t>
      </w:r>
      <w:r w:rsidR="00C72D28" w:rsidRPr="00C61A9B">
        <w:t>tocilizumab</w:t>
      </w:r>
      <w:r w:rsidR="00C72D28">
        <w:t xml:space="preserve">em </w:t>
      </w:r>
      <w:r w:rsidRPr="00EE3355">
        <w:t>v porovnání s kontrolní skupinou byla prokázána významně nižší radiografická progrese</w:t>
      </w:r>
    </w:p>
    <w:p w14:paraId="2D67B245" w14:textId="77777777" w:rsidR="00222DE0" w:rsidRPr="00EE3355" w:rsidRDefault="0098273B" w:rsidP="00EA1CDF">
      <w:pPr>
        <w:pStyle w:val="a3"/>
        <w:widowControl/>
        <w:ind w:left="0"/>
      </w:pPr>
      <w:r w:rsidRPr="00EE3355">
        <w:t>strukturálního poškození kloubů (tabulka 6).</w:t>
      </w:r>
    </w:p>
    <w:p w14:paraId="7E2EDB0D" w14:textId="77777777" w:rsidR="00222DE0" w:rsidRPr="00EE3355" w:rsidRDefault="00222DE0" w:rsidP="00EA1CDF">
      <w:pPr>
        <w:pStyle w:val="a3"/>
        <w:widowControl/>
        <w:ind w:left="0"/>
      </w:pPr>
    </w:p>
    <w:p w14:paraId="669687B1" w14:textId="28246433" w:rsidR="00222DE0" w:rsidRPr="00EE3355" w:rsidRDefault="0098273B" w:rsidP="00EA1CDF">
      <w:pPr>
        <w:pStyle w:val="a3"/>
        <w:widowControl/>
        <w:ind w:left="0"/>
      </w:pPr>
      <w:r w:rsidRPr="00EE3355">
        <w:t>V otevřené prodloužené fázi studie II byla inhibice progrese strukturálního poškození kloubu ve</w:t>
      </w:r>
      <w:r w:rsidR="00F576B6" w:rsidRPr="00EE3355">
        <w:t xml:space="preserve"> </w:t>
      </w:r>
      <w:r w:rsidRPr="00EE3355">
        <w:t>skupině s</w:t>
      </w:r>
      <w:r w:rsidR="00C72D28">
        <w:t> </w:t>
      </w:r>
      <w:r w:rsidR="00C72D28" w:rsidRPr="00C61A9B">
        <w:t>tocilizumab</w:t>
      </w:r>
      <w:r w:rsidR="00C72D28">
        <w:t xml:space="preserve">em </w:t>
      </w:r>
      <w:r w:rsidRPr="00EE3355">
        <w:t>a MTX udržena i v druhém roce léčby. Průměrná změna</w:t>
      </w:r>
      <w:r w:rsidR="00F576B6" w:rsidRPr="00EE3355">
        <w:t xml:space="preserve"> </w:t>
      </w:r>
      <w:r w:rsidRPr="00EE3355">
        <w:t>v týdnu 104 oproti výchozí hodnotě Genantovy modifikace celkového Sharpova skóre významně nižší u pacientů randomizovaných do skupiny s</w:t>
      </w:r>
      <w:r w:rsidR="00C72D28">
        <w:t> </w:t>
      </w:r>
      <w:r w:rsidR="00C72D28" w:rsidRPr="00C61A9B">
        <w:t>tocilizumab</w:t>
      </w:r>
      <w:r w:rsidR="00C72D28">
        <w:t xml:space="preserve">em </w:t>
      </w:r>
      <w:r w:rsidRPr="00EE3355">
        <w:t>v dávce 8 mg/kg a MTX</w:t>
      </w:r>
      <w:r w:rsidR="00F576B6" w:rsidRPr="00EE3355">
        <w:t xml:space="preserve"> </w:t>
      </w:r>
      <w:r w:rsidRPr="00EE3355">
        <w:t>(p &lt; 0,0001) v porovnání s pacienty, kteří byli randomizováni do skupiny s placebem a MTX.</w:t>
      </w:r>
    </w:p>
    <w:p w14:paraId="37E088D0" w14:textId="77777777" w:rsidR="00222DE0" w:rsidRPr="00EE3355" w:rsidRDefault="00222DE0" w:rsidP="00EA1CDF">
      <w:pPr>
        <w:pStyle w:val="a3"/>
        <w:widowControl/>
        <w:ind w:left="0"/>
      </w:pPr>
    </w:p>
    <w:p w14:paraId="3BED628A" w14:textId="77777777" w:rsidR="00222DE0" w:rsidRPr="00EE3355" w:rsidRDefault="0098273B" w:rsidP="00EA1CDF">
      <w:pPr>
        <w:widowControl/>
        <w:ind w:left="1418" w:hanging="1418"/>
        <w:rPr>
          <w:i/>
        </w:rPr>
      </w:pPr>
      <w:r w:rsidRPr="00EE3355">
        <w:rPr>
          <w:i/>
        </w:rPr>
        <w:t>Tabulka 6.</w:t>
      </w:r>
      <w:r w:rsidR="008535C4" w:rsidRPr="00EE3355">
        <w:rPr>
          <w:i/>
        </w:rPr>
        <w:tab/>
      </w:r>
      <w:r w:rsidRPr="00EE3355">
        <w:rPr>
          <w:i/>
        </w:rPr>
        <w:t>Průměrné radiografické změny po 52 týdnech ve studii II</w:t>
      </w:r>
    </w:p>
    <w:p w14:paraId="1CEA0CD8" w14:textId="77777777" w:rsidR="00222DE0" w:rsidRPr="00EE3355" w:rsidRDefault="00222DE0" w:rsidP="00EA1CDF">
      <w:pPr>
        <w:pStyle w:val="a3"/>
        <w:widowControl/>
        <w:ind w:left="0"/>
        <w:rPr>
          <w:i/>
          <w:sz w:val="20"/>
        </w:rPr>
      </w:pPr>
    </w:p>
    <w:tbl>
      <w:tblPr>
        <w:tblW w:w="906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182"/>
        <w:gridCol w:w="2871"/>
        <w:gridCol w:w="3010"/>
      </w:tblGrid>
      <w:tr w:rsidR="00222DE0" w:rsidRPr="00EE3355" w14:paraId="3597FBED" w14:textId="77777777" w:rsidTr="000434EA">
        <w:trPr>
          <w:cantSplit/>
          <w:trHeight w:val="235"/>
          <w:tblHeader/>
        </w:trPr>
        <w:tc>
          <w:tcPr>
            <w:tcW w:w="3182" w:type="dxa"/>
          </w:tcPr>
          <w:p w14:paraId="59FB8399" w14:textId="77777777" w:rsidR="00222DE0" w:rsidRPr="00EE3355" w:rsidRDefault="00222DE0" w:rsidP="00EA1CDF">
            <w:pPr>
              <w:pStyle w:val="TableParagraph"/>
              <w:widowControl/>
              <w:rPr>
                <w:sz w:val="20"/>
              </w:rPr>
            </w:pPr>
          </w:p>
        </w:tc>
        <w:tc>
          <w:tcPr>
            <w:tcW w:w="2871" w:type="dxa"/>
          </w:tcPr>
          <w:p w14:paraId="20F46937" w14:textId="77777777" w:rsidR="00222DE0" w:rsidRPr="00EE3355" w:rsidRDefault="0098273B" w:rsidP="00EA1CDF">
            <w:pPr>
              <w:pStyle w:val="TableParagraph"/>
              <w:widowControl/>
              <w:jc w:val="center"/>
              <w:rPr>
                <w:b/>
              </w:rPr>
            </w:pPr>
            <w:r w:rsidRPr="00EE3355">
              <w:rPr>
                <w:b/>
              </w:rPr>
              <w:t>PBO + MTX</w:t>
            </w:r>
            <w:r w:rsidR="000434EA" w:rsidRPr="00EE3355">
              <w:rPr>
                <w:b/>
              </w:rPr>
              <w:t xml:space="preserve"> </w:t>
            </w:r>
            <w:r w:rsidRPr="00EE3355">
              <w:rPr>
                <w:b/>
              </w:rPr>
              <w:t>(+ TCZ od týdne 24)</w:t>
            </w:r>
            <w:r w:rsidR="000434EA" w:rsidRPr="00EE3355">
              <w:rPr>
                <w:b/>
              </w:rPr>
              <w:t xml:space="preserve"> </w:t>
            </w:r>
            <w:r w:rsidRPr="00EE3355">
              <w:rPr>
                <w:b/>
              </w:rPr>
              <w:t>n = 393</w:t>
            </w:r>
          </w:p>
        </w:tc>
        <w:tc>
          <w:tcPr>
            <w:tcW w:w="3010" w:type="dxa"/>
          </w:tcPr>
          <w:p w14:paraId="5B751448" w14:textId="77777777" w:rsidR="00222DE0" w:rsidRPr="00EE3355" w:rsidRDefault="0098273B" w:rsidP="00EA1CDF">
            <w:pPr>
              <w:pStyle w:val="TableParagraph"/>
              <w:widowControl/>
              <w:jc w:val="center"/>
              <w:rPr>
                <w:b/>
              </w:rPr>
            </w:pPr>
            <w:r w:rsidRPr="00EE3355">
              <w:rPr>
                <w:b/>
              </w:rPr>
              <w:t>TCZ 8 mg/kg + MTX</w:t>
            </w:r>
            <w:r w:rsidR="000434EA" w:rsidRPr="00EE3355">
              <w:rPr>
                <w:b/>
              </w:rPr>
              <w:t xml:space="preserve"> </w:t>
            </w:r>
            <w:r w:rsidRPr="00EE3355">
              <w:rPr>
                <w:b/>
              </w:rPr>
              <w:t>n = 398</w:t>
            </w:r>
          </w:p>
        </w:tc>
      </w:tr>
      <w:tr w:rsidR="00222DE0" w:rsidRPr="00EE3355" w14:paraId="4A301709" w14:textId="77777777" w:rsidTr="007256EE">
        <w:trPr>
          <w:cantSplit/>
          <w:trHeight w:val="336"/>
        </w:trPr>
        <w:tc>
          <w:tcPr>
            <w:tcW w:w="3182" w:type="dxa"/>
          </w:tcPr>
          <w:p w14:paraId="22A890E9" w14:textId="77777777" w:rsidR="00222DE0" w:rsidRPr="00EE3355" w:rsidRDefault="0098273B" w:rsidP="002265A0">
            <w:pPr>
              <w:pStyle w:val="TableParagraph"/>
              <w:widowControl/>
            </w:pPr>
            <w:r w:rsidRPr="00EE3355">
              <w:t>Genantova modifikace</w:t>
            </w:r>
            <w:r w:rsidR="002265A0">
              <w:t xml:space="preserve"> </w:t>
            </w:r>
            <w:r w:rsidRPr="00EE3355">
              <w:t>celkového Sharpova skóre</w:t>
            </w:r>
          </w:p>
        </w:tc>
        <w:tc>
          <w:tcPr>
            <w:tcW w:w="2871" w:type="dxa"/>
          </w:tcPr>
          <w:p w14:paraId="37CBFE02" w14:textId="77777777" w:rsidR="00222DE0" w:rsidRPr="00EE3355" w:rsidRDefault="0098273B" w:rsidP="00EA1CDF">
            <w:pPr>
              <w:pStyle w:val="TableParagraph"/>
              <w:widowControl/>
              <w:jc w:val="center"/>
            </w:pPr>
            <w:r w:rsidRPr="00EE3355">
              <w:t>1,13</w:t>
            </w:r>
          </w:p>
        </w:tc>
        <w:tc>
          <w:tcPr>
            <w:tcW w:w="3010" w:type="dxa"/>
          </w:tcPr>
          <w:p w14:paraId="27DC5185" w14:textId="77777777" w:rsidR="00222DE0" w:rsidRPr="00EE3355" w:rsidRDefault="0098273B" w:rsidP="00EA1CDF">
            <w:pPr>
              <w:pStyle w:val="TableParagraph"/>
              <w:widowControl/>
              <w:jc w:val="center"/>
            </w:pPr>
            <w:r w:rsidRPr="00EE3355">
              <w:t>0,29*</w:t>
            </w:r>
          </w:p>
        </w:tc>
      </w:tr>
      <w:tr w:rsidR="00222DE0" w:rsidRPr="00EE3355" w14:paraId="27809A2B" w14:textId="77777777" w:rsidTr="007256EE">
        <w:trPr>
          <w:cantSplit/>
          <w:trHeight w:val="25"/>
        </w:trPr>
        <w:tc>
          <w:tcPr>
            <w:tcW w:w="3182" w:type="dxa"/>
          </w:tcPr>
          <w:p w14:paraId="31F08531" w14:textId="77777777" w:rsidR="00222DE0" w:rsidRPr="00EE3355" w:rsidRDefault="0098273B" w:rsidP="00EA1CDF">
            <w:pPr>
              <w:pStyle w:val="TableParagraph"/>
              <w:widowControl/>
            </w:pPr>
            <w:r w:rsidRPr="00EE3355">
              <w:t>Skóre eroze</w:t>
            </w:r>
          </w:p>
        </w:tc>
        <w:tc>
          <w:tcPr>
            <w:tcW w:w="2871" w:type="dxa"/>
          </w:tcPr>
          <w:p w14:paraId="7332893B" w14:textId="77777777" w:rsidR="00222DE0" w:rsidRPr="00EE3355" w:rsidRDefault="0098273B" w:rsidP="00EA1CDF">
            <w:pPr>
              <w:pStyle w:val="TableParagraph"/>
              <w:widowControl/>
              <w:jc w:val="center"/>
            </w:pPr>
            <w:r w:rsidRPr="00EE3355">
              <w:t>0,71</w:t>
            </w:r>
          </w:p>
        </w:tc>
        <w:tc>
          <w:tcPr>
            <w:tcW w:w="3010" w:type="dxa"/>
          </w:tcPr>
          <w:p w14:paraId="74C793DE" w14:textId="77777777" w:rsidR="00222DE0" w:rsidRPr="00EE3355" w:rsidRDefault="0098273B" w:rsidP="00EA1CDF">
            <w:pPr>
              <w:pStyle w:val="TableParagraph"/>
              <w:widowControl/>
              <w:jc w:val="center"/>
            </w:pPr>
            <w:r w:rsidRPr="00EE3355">
              <w:t>0,17*</w:t>
            </w:r>
          </w:p>
        </w:tc>
      </w:tr>
      <w:tr w:rsidR="00222DE0" w:rsidRPr="00EE3355" w14:paraId="64CB16CB" w14:textId="77777777" w:rsidTr="007256EE">
        <w:trPr>
          <w:cantSplit/>
          <w:trHeight w:val="25"/>
        </w:trPr>
        <w:tc>
          <w:tcPr>
            <w:tcW w:w="3182" w:type="dxa"/>
          </w:tcPr>
          <w:p w14:paraId="0BA73A77" w14:textId="77777777" w:rsidR="00222DE0" w:rsidRPr="00EE3355" w:rsidRDefault="0098273B" w:rsidP="00EA1CDF">
            <w:pPr>
              <w:pStyle w:val="TableParagraph"/>
              <w:widowControl/>
            </w:pPr>
            <w:r w:rsidRPr="00EE3355">
              <w:t>Skóre JSN</w:t>
            </w:r>
          </w:p>
        </w:tc>
        <w:tc>
          <w:tcPr>
            <w:tcW w:w="2871" w:type="dxa"/>
          </w:tcPr>
          <w:p w14:paraId="297AAEB7" w14:textId="77777777" w:rsidR="00222DE0" w:rsidRPr="00EE3355" w:rsidRDefault="0098273B" w:rsidP="00EA1CDF">
            <w:pPr>
              <w:pStyle w:val="TableParagraph"/>
              <w:widowControl/>
              <w:jc w:val="center"/>
            </w:pPr>
            <w:r w:rsidRPr="00EE3355">
              <w:t>0,42</w:t>
            </w:r>
          </w:p>
        </w:tc>
        <w:tc>
          <w:tcPr>
            <w:tcW w:w="3010" w:type="dxa"/>
          </w:tcPr>
          <w:p w14:paraId="628D60E5" w14:textId="77777777" w:rsidR="00222DE0" w:rsidRPr="00EE3355" w:rsidRDefault="0098273B" w:rsidP="00EA1CDF">
            <w:pPr>
              <w:pStyle w:val="TableParagraph"/>
              <w:widowControl/>
              <w:jc w:val="center"/>
            </w:pPr>
            <w:r w:rsidRPr="00EE3355">
              <w:t>0,12**</w:t>
            </w:r>
          </w:p>
        </w:tc>
      </w:tr>
    </w:tbl>
    <w:p w14:paraId="5E364F46" w14:textId="77777777" w:rsidR="007256EE" w:rsidRPr="00EE3355" w:rsidRDefault="0098273B" w:rsidP="00EA1CDF">
      <w:pPr>
        <w:widowControl/>
        <w:tabs>
          <w:tab w:val="left" w:pos="910"/>
        </w:tabs>
        <w:rPr>
          <w:i/>
          <w:sz w:val="18"/>
        </w:rPr>
      </w:pPr>
      <w:r w:rsidRPr="00EE3355">
        <w:rPr>
          <w:i/>
          <w:sz w:val="18"/>
        </w:rPr>
        <w:t>PBO</w:t>
      </w:r>
      <w:r w:rsidR="007256EE" w:rsidRPr="00EE3355">
        <w:rPr>
          <w:i/>
          <w:sz w:val="18"/>
        </w:rPr>
        <w:tab/>
        <w:t>-</w:t>
      </w:r>
      <w:r w:rsidRPr="00EE3355">
        <w:rPr>
          <w:i/>
          <w:sz w:val="18"/>
        </w:rPr>
        <w:t xml:space="preserve"> placebo</w:t>
      </w:r>
    </w:p>
    <w:p w14:paraId="648C0EFD" w14:textId="77777777" w:rsidR="007256EE" w:rsidRPr="00EE3355" w:rsidRDefault="0098273B" w:rsidP="00EA1CDF">
      <w:pPr>
        <w:widowControl/>
        <w:tabs>
          <w:tab w:val="left" w:pos="910"/>
        </w:tabs>
        <w:rPr>
          <w:i/>
          <w:sz w:val="18"/>
        </w:rPr>
      </w:pPr>
      <w:r w:rsidRPr="00EE3355">
        <w:rPr>
          <w:i/>
          <w:sz w:val="18"/>
        </w:rPr>
        <w:t>MTX</w:t>
      </w:r>
      <w:r w:rsidR="007256EE" w:rsidRPr="00EE3355">
        <w:rPr>
          <w:i/>
          <w:sz w:val="18"/>
        </w:rPr>
        <w:tab/>
        <w:t>-</w:t>
      </w:r>
      <w:r w:rsidRPr="00EE3355">
        <w:rPr>
          <w:i/>
          <w:sz w:val="18"/>
        </w:rPr>
        <w:t xml:space="preserve"> methotrexát</w:t>
      </w:r>
    </w:p>
    <w:p w14:paraId="6C27E297" w14:textId="77777777" w:rsidR="00222DE0" w:rsidRPr="00EE3355" w:rsidRDefault="0098273B" w:rsidP="00EA1CDF">
      <w:pPr>
        <w:widowControl/>
        <w:tabs>
          <w:tab w:val="left" w:pos="910"/>
        </w:tabs>
        <w:rPr>
          <w:i/>
          <w:sz w:val="18"/>
        </w:rPr>
      </w:pPr>
      <w:r w:rsidRPr="00EE3355">
        <w:rPr>
          <w:i/>
          <w:sz w:val="18"/>
        </w:rPr>
        <w:t>TCZ</w:t>
      </w:r>
      <w:r w:rsidR="007256EE" w:rsidRPr="00EE3355">
        <w:rPr>
          <w:i/>
          <w:sz w:val="18"/>
        </w:rPr>
        <w:tab/>
      </w:r>
      <w:r w:rsidRPr="00EE3355">
        <w:rPr>
          <w:i/>
          <w:sz w:val="18"/>
        </w:rPr>
        <w:t>- tocilizumab</w:t>
      </w:r>
    </w:p>
    <w:p w14:paraId="512C9D29" w14:textId="77777777" w:rsidR="00222DE0" w:rsidRPr="00EE3355" w:rsidRDefault="0098273B" w:rsidP="00EA1CDF">
      <w:pPr>
        <w:widowControl/>
        <w:tabs>
          <w:tab w:val="left" w:pos="910"/>
        </w:tabs>
        <w:rPr>
          <w:i/>
          <w:sz w:val="18"/>
        </w:rPr>
      </w:pPr>
      <w:r w:rsidRPr="00EE3355">
        <w:rPr>
          <w:i/>
          <w:sz w:val="18"/>
        </w:rPr>
        <w:t>JSN</w:t>
      </w:r>
      <w:r w:rsidR="007256EE" w:rsidRPr="00EE3355">
        <w:rPr>
          <w:i/>
          <w:sz w:val="18"/>
        </w:rPr>
        <w:tab/>
      </w:r>
      <w:r w:rsidRPr="00EE3355">
        <w:rPr>
          <w:i/>
          <w:sz w:val="18"/>
        </w:rPr>
        <w:t>- zúžení kloubní štěrbiny</w:t>
      </w:r>
    </w:p>
    <w:p w14:paraId="379613B9" w14:textId="77777777" w:rsidR="00222DE0" w:rsidRPr="00EE3355" w:rsidRDefault="00B23DAE" w:rsidP="00EA1CDF">
      <w:pPr>
        <w:widowControl/>
        <w:tabs>
          <w:tab w:val="left" w:pos="910"/>
        </w:tabs>
        <w:rPr>
          <w:i/>
          <w:sz w:val="18"/>
        </w:rPr>
      </w:pPr>
      <w:r w:rsidRPr="00EE3355">
        <w:rPr>
          <w:i/>
          <w:iCs/>
          <w:sz w:val="18"/>
          <w:szCs w:val="18"/>
        </w:rPr>
        <w:t>*</w:t>
      </w:r>
      <w:r w:rsidRPr="00EE3355">
        <w:rPr>
          <w:i/>
          <w:iCs/>
          <w:sz w:val="18"/>
          <w:szCs w:val="18"/>
        </w:rPr>
        <w:tab/>
      </w:r>
      <w:r w:rsidR="007256EE" w:rsidRPr="00EE3355">
        <w:rPr>
          <w:i/>
          <w:iCs/>
          <w:sz w:val="18"/>
          <w:szCs w:val="18"/>
        </w:rPr>
        <w:t xml:space="preserve">- </w:t>
      </w:r>
      <w:r w:rsidR="0098273B" w:rsidRPr="00EE3355">
        <w:rPr>
          <w:i/>
          <w:sz w:val="18"/>
        </w:rPr>
        <w:t>p ≤ 0,0001, TCZ vs. PBO + MTX</w:t>
      </w:r>
    </w:p>
    <w:p w14:paraId="137F7448" w14:textId="77777777" w:rsidR="00222DE0" w:rsidRPr="00EE3355" w:rsidRDefault="00B23DAE" w:rsidP="00EA1CDF">
      <w:pPr>
        <w:widowControl/>
        <w:tabs>
          <w:tab w:val="left" w:pos="910"/>
        </w:tabs>
        <w:rPr>
          <w:i/>
          <w:sz w:val="18"/>
        </w:rPr>
      </w:pPr>
      <w:r w:rsidRPr="00EE3355">
        <w:rPr>
          <w:i/>
          <w:iCs/>
          <w:sz w:val="18"/>
          <w:szCs w:val="18"/>
        </w:rPr>
        <w:t>*</w:t>
      </w:r>
      <w:r w:rsidRPr="00EE3355">
        <w:rPr>
          <w:i/>
          <w:iCs/>
          <w:sz w:val="18"/>
          <w:szCs w:val="18"/>
        </w:rPr>
        <w:tab/>
      </w:r>
      <w:r w:rsidR="007256EE" w:rsidRPr="00EE3355">
        <w:rPr>
          <w:i/>
          <w:iCs/>
          <w:sz w:val="18"/>
          <w:szCs w:val="18"/>
        </w:rPr>
        <w:t xml:space="preserve">- </w:t>
      </w:r>
      <w:r w:rsidR="0098273B" w:rsidRPr="00EE3355">
        <w:rPr>
          <w:i/>
          <w:sz w:val="18"/>
        </w:rPr>
        <w:t>p &lt; 0,005, TCZ vs. PBO + MTX</w:t>
      </w:r>
    </w:p>
    <w:p w14:paraId="1B9C99FE" w14:textId="77777777" w:rsidR="007256EE" w:rsidRPr="00EE3355" w:rsidRDefault="007256EE" w:rsidP="00EA1CDF">
      <w:pPr>
        <w:widowControl/>
        <w:tabs>
          <w:tab w:val="left" w:pos="374"/>
        </w:tabs>
        <w:rPr>
          <w:i/>
          <w:sz w:val="18"/>
        </w:rPr>
      </w:pPr>
    </w:p>
    <w:p w14:paraId="61CC62B7" w14:textId="1724BA8B" w:rsidR="00222DE0" w:rsidRPr="00EE3355" w:rsidRDefault="0098273B" w:rsidP="00EA1CDF">
      <w:pPr>
        <w:pStyle w:val="a3"/>
        <w:widowControl/>
        <w:ind w:left="0"/>
      </w:pPr>
      <w:r w:rsidRPr="00EE3355">
        <w:t xml:space="preserve">Po 1 roce léčby </w:t>
      </w:r>
      <w:r w:rsidR="00DC2C90" w:rsidRPr="00C61A9B">
        <w:t>tocilizumab</w:t>
      </w:r>
      <w:r w:rsidR="00DC2C90">
        <w:t xml:space="preserve">em </w:t>
      </w:r>
      <w:r w:rsidRPr="00EE3355">
        <w:t xml:space="preserve">a MTX nevykazovalo 85 % pacientů (n = 348) žádnou progresi strukturálního poškození kloubů, definovanou jako změna celkového Sharpova skóre rovná 0 nebo nižší, v porovnání se 67 % pacientů ve skupině s placebem a MTX (n = 290) (p </w:t>
      </w:r>
      <w:r w:rsidRPr="00EE3355">
        <w:rPr>
          <w:rFonts w:ascii="Symbol" w:hAnsi="Symbol"/>
        </w:rPr>
        <w:t></w:t>
      </w:r>
      <w:r w:rsidRPr="00EE3355">
        <w:t xml:space="preserve"> 0,001).</w:t>
      </w:r>
      <w:r w:rsidR="00DD6E0B" w:rsidRPr="00EE3355">
        <w:t xml:space="preserve"> </w:t>
      </w:r>
      <w:r w:rsidRPr="00EE3355">
        <w:t>Výsledky zůstaly konzistentní i po 2 letech léčby (83 %, n = 353). Devadesát tři procent (93 %; n = 271) pacientů nevykazovalo žádnou progresi mezi týdnem 52 a týdnem 104.</w:t>
      </w:r>
    </w:p>
    <w:p w14:paraId="78F3DE38" w14:textId="77777777" w:rsidR="00222DE0" w:rsidRPr="00EE3355" w:rsidRDefault="00222DE0" w:rsidP="00EA1CDF">
      <w:pPr>
        <w:pStyle w:val="a3"/>
        <w:widowControl/>
        <w:ind w:left="0"/>
      </w:pPr>
    </w:p>
    <w:p w14:paraId="3EA0FF15" w14:textId="77777777" w:rsidR="00222DE0" w:rsidRPr="00EE3355" w:rsidRDefault="0098273B" w:rsidP="00EA1CDF">
      <w:pPr>
        <w:widowControl/>
        <w:rPr>
          <w:i/>
        </w:rPr>
      </w:pPr>
      <w:r w:rsidRPr="00EE3355">
        <w:rPr>
          <w:i/>
        </w:rPr>
        <w:t>Výsledky ve vztahu ke zdraví a kvalitě života</w:t>
      </w:r>
    </w:p>
    <w:p w14:paraId="4166A278" w14:textId="19F9FC67" w:rsidR="00222DE0" w:rsidRPr="00EE3355" w:rsidRDefault="0098273B" w:rsidP="00EA1CDF">
      <w:pPr>
        <w:pStyle w:val="a3"/>
        <w:widowControl/>
        <w:ind w:left="0"/>
      </w:pPr>
      <w:r w:rsidRPr="00EE3355">
        <w:t xml:space="preserve">Pacienti léčení </w:t>
      </w:r>
      <w:r w:rsidR="00DC2C90" w:rsidRPr="00C61A9B">
        <w:t>tocilizumab</w:t>
      </w:r>
      <w:r w:rsidR="00DC2C90">
        <w:t xml:space="preserve">em </w:t>
      </w:r>
      <w:r w:rsidRPr="00EE3355">
        <w:t xml:space="preserve">zaznamenávali zlepšení ve všech výsledcích hlášených pacienty (dotazník hodnotící zdraví a index funkční neschopnosti - Health Assessment Questionnaire Disability </w:t>
      </w:r>
      <w:r w:rsidRPr="00EE3355">
        <w:lastRenderedPageBreak/>
        <w:t xml:space="preserve">Index, HAQ-DI; zkrácený formulář 36 a dotazník funkčního hodnocení léčby chronického onemocnění). Statisticky významná zlepšení skóre HAQ-DI byla pozorována u pacientů léčených </w:t>
      </w:r>
      <w:r w:rsidR="00DC2C90" w:rsidRPr="00C61A9B">
        <w:t>tocilizumab</w:t>
      </w:r>
      <w:r w:rsidR="00DC2C90">
        <w:t xml:space="preserve">em </w:t>
      </w:r>
      <w:r w:rsidRPr="00EE3355">
        <w:t>v porovnání s pacienty léčenými DMARD. V průběhu otevřené fáze studie II bylo zlepšení fyzických funkcí udržováno po dobu až 2 let. V týdnu 52 byla průměrná změna HAQ-DI</w:t>
      </w:r>
      <w:r w:rsidR="00DD6E0B" w:rsidRPr="00EE3355">
        <w:t xml:space="preserve"> </w:t>
      </w:r>
      <w:r w:rsidRPr="00EE3355">
        <w:t>-0,58 ve skupině s</w:t>
      </w:r>
      <w:r w:rsidR="00DC2C90">
        <w:t> </w:t>
      </w:r>
      <w:r w:rsidR="00DC2C90" w:rsidRPr="00C61A9B">
        <w:t>tocilizumab</w:t>
      </w:r>
      <w:r w:rsidR="00DC2C90">
        <w:t xml:space="preserve">em </w:t>
      </w:r>
      <w:r w:rsidRPr="00EE3355">
        <w:t>8 mg/kg a MTX ve srovnání s -0,39 ve skupině s placebem a MTX. Průměrná změna HAQ-DI byla ve skupině s</w:t>
      </w:r>
      <w:r w:rsidR="00DC2C90">
        <w:t> </w:t>
      </w:r>
      <w:r w:rsidR="00DC2C90" w:rsidRPr="00C61A9B">
        <w:t>tocilizumab</w:t>
      </w:r>
      <w:r w:rsidR="00DC2C90">
        <w:t xml:space="preserve">em </w:t>
      </w:r>
      <w:r w:rsidRPr="00EE3355">
        <w:t>8 mg/kg a MTX udržena i v týdnu 104 (-0,61).</w:t>
      </w:r>
    </w:p>
    <w:p w14:paraId="1973A745" w14:textId="77777777" w:rsidR="00DD6E0B" w:rsidRPr="00EE3355" w:rsidRDefault="00DD6E0B" w:rsidP="00EA1CDF">
      <w:pPr>
        <w:pStyle w:val="a3"/>
        <w:widowControl/>
        <w:ind w:left="0"/>
        <w:jc w:val="both"/>
      </w:pPr>
    </w:p>
    <w:p w14:paraId="04E4B519" w14:textId="77777777" w:rsidR="00222DE0" w:rsidRPr="00EE3355" w:rsidRDefault="0098273B" w:rsidP="00EA1CDF">
      <w:pPr>
        <w:keepNext/>
        <w:widowControl/>
        <w:rPr>
          <w:i/>
        </w:rPr>
      </w:pPr>
      <w:r w:rsidRPr="00EE3355">
        <w:rPr>
          <w:i/>
        </w:rPr>
        <w:t>Hladiny hemoglobinu</w:t>
      </w:r>
    </w:p>
    <w:p w14:paraId="550427F1" w14:textId="1E02081C" w:rsidR="00222DE0" w:rsidRPr="00EE3355" w:rsidRDefault="0098273B" w:rsidP="00EA1CDF">
      <w:pPr>
        <w:pStyle w:val="a3"/>
        <w:widowControl/>
        <w:ind w:left="0"/>
      </w:pPr>
      <w:r w:rsidRPr="00EE3355">
        <w:t xml:space="preserve">Statisticky významná zlepšení hladin hemoglobinu byla pozorována u </w:t>
      </w:r>
      <w:r w:rsidR="00DC2C90" w:rsidRPr="00C61A9B">
        <w:t>tocilizumab</w:t>
      </w:r>
      <w:r w:rsidR="00DC2C90">
        <w:t xml:space="preserve">u </w:t>
      </w:r>
      <w:r w:rsidRPr="00EE3355">
        <w:t>v porovnání s tradičními DMARD (p &lt; 0,0001) v týdnu 24. Průměrné hladiny hemoglobinu vzrůstaly</w:t>
      </w:r>
      <w:r w:rsidR="00DD6E0B" w:rsidRPr="00EE3355">
        <w:t xml:space="preserve"> </w:t>
      </w:r>
      <w:r w:rsidRPr="00EE3355">
        <w:t>v týdnu 2 a během následujících 24 týdnů zůstávaly na normálních hodnotách.</w:t>
      </w:r>
    </w:p>
    <w:p w14:paraId="1B7D3AAB" w14:textId="77777777" w:rsidR="00DD6E0B" w:rsidRPr="00EE3355" w:rsidRDefault="00DD6E0B" w:rsidP="00EA1CDF">
      <w:pPr>
        <w:pStyle w:val="a3"/>
        <w:widowControl/>
        <w:ind w:left="0"/>
      </w:pPr>
    </w:p>
    <w:p w14:paraId="2E407E1A" w14:textId="77777777" w:rsidR="00222DE0" w:rsidRPr="00EE3355" w:rsidRDefault="0098273B" w:rsidP="00EA1CDF">
      <w:pPr>
        <w:keepNext/>
        <w:widowControl/>
        <w:rPr>
          <w:i/>
        </w:rPr>
      </w:pPr>
      <w:r w:rsidRPr="00EE3355">
        <w:rPr>
          <w:i/>
        </w:rPr>
        <w:t>Tocilizumab versus adalimumab v monoterapii</w:t>
      </w:r>
    </w:p>
    <w:p w14:paraId="2C6431E5" w14:textId="66496439" w:rsidR="00222DE0" w:rsidRPr="00EE3355" w:rsidRDefault="0098273B" w:rsidP="00EA1CDF">
      <w:pPr>
        <w:pStyle w:val="a3"/>
        <w:widowControl/>
        <w:ind w:left="0"/>
      </w:pPr>
      <w:r w:rsidRPr="00EE3355">
        <w:t xml:space="preserve">Studie VI (WA19924), 24týdenní dvojitě zaslepená studie porovnávající monoterapii </w:t>
      </w:r>
      <w:r w:rsidR="00DC2C90" w:rsidRPr="00C61A9B">
        <w:t>tocilizumab</w:t>
      </w:r>
      <w:r w:rsidR="00DC2C90">
        <w:t xml:space="preserve">em </w:t>
      </w:r>
      <w:r w:rsidRPr="00EE3355">
        <w:t>s monoterapií adalimumabem, hodnotila 326 pacientů s RA, kteří netolerovali MTX nebo u kterých nebylo vhodné pokračovat v léčbě MTX (včetně pacientů, kteří na léčbu MTX reagovali nedostatečně). Pacienti v rameni s</w:t>
      </w:r>
      <w:r w:rsidR="00DC2C90">
        <w:t> </w:t>
      </w:r>
      <w:r w:rsidR="00DC2C90" w:rsidRPr="00C61A9B">
        <w:t>tocilizumab</w:t>
      </w:r>
      <w:r w:rsidR="00DC2C90">
        <w:t xml:space="preserve">em </w:t>
      </w:r>
      <w:r w:rsidRPr="00EE3355">
        <w:t xml:space="preserve">dostávali intravenózní (i.v.) infuzi </w:t>
      </w:r>
      <w:r w:rsidR="00DC2C90" w:rsidRPr="00C61A9B">
        <w:t>tocilizumab</w:t>
      </w:r>
      <w:r w:rsidR="00DC2C90">
        <w:t xml:space="preserve">u </w:t>
      </w:r>
      <w:r w:rsidRPr="00EE3355">
        <w:t>(8 mg/kg) každé 4 týdny a subkutánní (s.c.) injekci placeba každé 2 týdny.</w:t>
      </w:r>
      <w:r w:rsidR="00DD6E0B" w:rsidRPr="00EE3355">
        <w:t xml:space="preserve"> </w:t>
      </w:r>
      <w:r w:rsidRPr="00EE3355">
        <w:t>Pacienti v rameni s adalimumabem dostávali s.c. injekci adalimumabu (40 mg) každé dva týdny a</w:t>
      </w:r>
      <w:r w:rsidR="00DD6E0B" w:rsidRPr="00EE3355">
        <w:t xml:space="preserve"> </w:t>
      </w:r>
      <w:r w:rsidRPr="00EE3355">
        <w:t>i.v. infuzi placeba každé 4 týdny.</w:t>
      </w:r>
      <w:r w:rsidR="007D7503">
        <w:rPr>
          <w:rFonts w:eastAsia="맑은 고딕" w:hint="eastAsia"/>
          <w:lang w:eastAsia="ko-KR"/>
        </w:rPr>
        <w:t xml:space="preserve"> </w:t>
      </w:r>
      <w:r w:rsidRPr="00EE3355">
        <w:t xml:space="preserve">Byl zjištěn statisticky významný superiorní účinek léčby </w:t>
      </w:r>
      <w:r w:rsidR="00DC2C90" w:rsidRPr="00C61A9B">
        <w:t>tocilizumab</w:t>
      </w:r>
      <w:r w:rsidR="00DC2C90">
        <w:t xml:space="preserve">em </w:t>
      </w:r>
      <w:r w:rsidRPr="00EE3355">
        <w:t>oproti adalimumabu, pokud jde o kontrolu aktivity onemocnění od počátku léčby do týdne 24 léčby měřenou pomocí primárního cílového parametru změny DAS28 a všech sekundárních cílových parametrů (tabulka 7).</w:t>
      </w:r>
    </w:p>
    <w:p w14:paraId="1ADAE946" w14:textId="77777777" w:rsidR="00222DE0" w:rsidRPr="00EE3355" w:rsidRDefault="00222DE0" w:rsidP="00EA1CDF">
      <w:pPr>
        <w:widowControl/>
      </w:pPr>
    </w:p>
    <w:p w14:paraId="5B33D60E" w14:textId="77777777" w:rsidR="00222DE0" w:rsidRPr="00EE3355" w:rsidRDefault="0098273B" w:rsidP="00EA1CDF">
      <w:pPr>
        <w:widowControl/>
        <w:ind w:left="1418" w:hanging="1418"/>
        <w:rPr>
          <w:i/>
        </w:rPr>
      </w:pPr>
      <w:r w:rsidRPr="00EE3355">
        <w:rPr>
          <w:i/>
        </w:rPr>
        <w:t>Tabulka 7:</w:t>
      </w:r>
      <w:r w:rsidR="008535C4" w:rsidRPr="00EE3355">
        <w:rPr>
          <w:i/>
        </w:rPr>
        <w:tab/>
      </w:r>
      <w:r w:rsidRPr="00EE3355">
        <w:rPr>
          <w:i/>
        </w:rPr>
        <w:t>Výsledky účinnosti ze studie VI (WA19924)</w:t>
      </w:r>
    </w:p>
    <w:p w14:paraId="6EA7B6B1" w14:textId="77777777" w:rsidR="00222DE0" w:rsidRPr="00EE3355" w:rsidRDefault="00222DE0" w:rsidP="00EA1CDF">
      <w:pPr>
        <w:pStyle w:val="a3"/>
        <w:widowControl/>
        <w:ind w:left="0"/>
        <w:rPr>
          <w:i/>
          <w:sz w:val="20"/>
        </w:rPr>
      </w:pPr>
    </w:p>
    <w:tbl>
      <w:tblPr>
        <w:tblW w:w="915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997"/>
        <w:gridCol w:w="1807"/>
        <w:gridCol w:w="1913"/>
        <w:gridCol w:w="1433"/>
      </w:tblGrid>
      <w:tr w:rsidR="00222DE0" w:rsidRPr="00EE3355" w14:paraId="0CF66287" w14:textId="77777777" w:rsidTr="000434EA">
        <w:trPr>
          <w:cantSplit/>
          <w:trHeight w:val="439"/>
          <w:tblHeader/>
        </w:trPr>
        <w:tc>
          <w:tcPr>
            <w:tcW w:w="3997" w:type="dxa"/>
          </w:tcPr>
          <w:p w14:paraId="33189BD0" w14:textId="77777777" w:rsidR="00222DE0" w:rsidRPr="00EE3355" w:rsidRDefault="00222DE0" w:rsidP="00EA1CDF">
            <w:pPr>
              <w:pStyle w:val="TableParagraph"/>
              <w:widowControl/>
              <w:rPr>
                <w:sz w:val="20"/>
              </w:rPr>
            </w:pPr>
          </w:p>
        </w:tc>
        <w:tc>
          <w:tcPr>
            <w:tcW w:w="1807" w:type="dxa"/>
          </w:tcPr>
          <w:p w14:paraId="521E499C" w14:textId="77777777" w:rsidR="00222DE0" w:rsidRPr="00EE3355" w:rsidRDefault="0098273B" w:rsidP="00EA1CDF">
            <w:pPr>
              <w:pStyle w:val="TableParagraph"/>
              <w:widowControl/>
              <w:jc w:val="center"/>
              <w:rPr>
                <w:b/>
              </w:rPr>
            </w:pPr>
            <w:r w:rsidRPr="00EE3355">
              <w:rPr>
                <w:b/>
              </w:rPr>
              <w:t>ADA + placebo (i.v.)</w:t>
            </w:r>
            <w:r w:rsidR="000434EA" w:rsidRPr="00EE3355">
              <w:rPr>
                <w:b/>
              </w:rPr>
              <w:t xml:space="preserve"> </w:t>
            </w:r>
            <w:r w:rsidRPr="00EE3355">
              <w:rPr>
                <w:b/>
              </w:rPr>
              <w:t>n = 162</w:t>
            </w:r>
          </w:p>
        </w:tc>
        <w:tc>
          <w:tcPr>
            <w:tcW w:w="1913" w:type="dxa"/>
          </w:tcPr>
          <w:p w14:paraId="6EFAD7B6" w14:textId="77777777" w:rsidR="00222DE0" w:rsidRPr="00EE3355" w:rsidRDefault="0098273B" w:rsidP="00EA1CDF">
            <w:pPr>
              <w:pStyle w:val="TableParagraph"/>
              <w:widowControl/>
              <w:jc w:val="center"/>
              <w:rPr>
                <w:b/>
              </w:rPr>
            </w:pPr>
            <w:r w:rsidRPr="00EE3355">
              <w:rPr>
                <w:b/>
              </w:rPr>
              <w:t>ADA + placebo (s.c.)</w:t>
            </w:r>
            <w:r w:rsidR="000434EA" w:rsidRPr="00EE3355">
              <w:rPr>
                <w:b/>
              </w:rPr>
              <w:t xml:space="preserve"> </w:t>
            </w:r>
            <w:r w:rsidRPr="00EE3355">
              <w:rPr>
                <w:b/>
              </w:rPr>
              <w:t>n = 163</w:t>
            </w:r>
          </w:p>
        </w:tc>
        <w:tc>
          <w:tcPr>
            <w:tcW w:w="1433" w:type="dxa"/>
          </w:tcPr>
          <w:p w14:paraId="28324C7E" w14:textId="77777777" w:rsidR="00222DE0" w:rsidRPr="00EE3355" w:rsidRDefault="00222DE0" w:rsidP="00EA1CDF">
            <w:pPr>
              <w:pStyle w:val="TableParagraph"/>
              <w:widowControl/>
              <w:rPr>
                <w:i/>
              </w:rPr>
            </w:pPr>
          </w:p>
          <w:p w14:paraId="2CAD3C7D" w14:textId="77777777" w:rsidR="00222DE0" w:rsidRPr="00EE3355" w:rsidRDefault="0098273B" w:rsidP="00EA1CDF">
            <w:pPr>
              <w:pStyle w:val="TableParagraph"/>
              <w:widowControl/>
              <w:jc w:val="center"/>
              <w:rPr>
                <w:b/>
              </w:rPr>
            </w:pPr>
            <w:r w:rsidRPr="00EE3355">
              <w:t>Hodnota p</w:t>
            </w:r>
            <w:r w:rsidRPr="00EE3355">
              <w:rPr>
                <w:b/>
                <w:vertAlign w:val="superscript"/>
              </w:rPr>
              <w:t>(a)</w:t>
            </w:r>
          </w:p>
        </w:tc>
      </w:tr>
      <w:tr w:rsidR="00222DE0" w:rsidRPr="00EE3355" w14:paraId="0A803045" w14:textId="77777777" w:rsidTr="00272EED">
        <w:trPr>
          <w:cantSplit/>
          <w:trHeight w:val="212"/>
        </w:trPr>
        <w:tc>
          <w:tcPr>
            <w:tcW w:w="9150" w:type="dxa"/>
            <w:gridSpan w:val="4"/>
          </w:tcPr>
          <w:p w14:paraId="632E83B9" w14:textId="77777777" w:rsidR="00222DE0" w:rsidRPr="00EE3355" w:rsidRDefault="0098273B" w:rsidP="00EA1CDF">
            <w:pPr>
              <w:pStyle w:val="TableParagraph"/>
              <w:widowControl/>
              <w:rPr>
                <w:b/>
              </w:rPr>
            </w:pPr>
            <w:r w:rsidRPr="00EE3355">
              <w:rPr>
                <w:b/>
              </w:rPr>
              <w:t>Primární cílový parametr - průměrná změna oproti výchozí hodnotě v týdnu 24</w:t>
            </w:r>
          </w:p>
        </w:tc>
      </w:tr>
      <w:tr w:rsidR="00222DE0" w:rsidRPr="00EE3355" w14:paraId="4E33637F" w14:textId="77777777" w:rsidTr="00326FCF">
        <w:trPr>
          <w:cantSplit/>
          <w:trHeight w:val="173"/>
        </w:trPr>
        <w:tc>
          <w:tcPr>
            <w:tcW w:w="3997" w:type="dxa"/>
          </w:tcPr>
          <w:p w14:paraId="72C8754B" w14:textId="77777777" w:rsidR="00222DE0" w:rsidRPr="002265A0" w:rsidRDefault="0098273B" w:rsidP="00EA1CDF">
            <w:pPr>
              <w:pStyle w:val="TableParagraph"/>
              <w:widowControl/>
              <w:jc w:val="right"/>
              <w:rPr>
                <w:b/>
              </w:rPr>
            </w:pPr>
            <w:r w:rsidRPr="002265A0">
              <w:rPr>
                <w:b/>
              </w:rPr>
              <w:t>DAS28 (upravený průměr)</w:t>
            </w:r>
          </w:p>
        </w:tc>
        <w:tc>
          <w:tcPr>
            <w:tcW w:w="1807" w:type="dxa"/>
          </w:tcPr>
          <w:p w14:paraId="0F48C139" w14:textId="77777777" w:rsidR="00222DE0" w:rsidRPr="00EE3355" w:rsidRDefault="0098273B" w:rsidP="00EA1CDF">
            <w:pPr>
              <w:pStyle w:val="TableParagraph"/>
              <w:widowControl/>
              <w:jc w:val="center"/>
            </w:pPr>
            <w:r w:rsidRPr="00EE3355">
              <w:t>-1,8</w:t>
            </w:r>
          </w:p>
        </w:tc>
        <w:tc>
          <w:tcPr>
            <w:tcW w:w="1913" w:type="dxa"/>
          </w:tcPr>
          <w:p w14:paraId="75296EA9" w14:textId="77777777" w:rsidR="00222DE0" w:rsidRPr="00EE3355" w:rsidRDefault="0098273B" w:rsidP="00EA1CDF">
            <w:pPr>
              <w:pStyle w:val="TableParagraph"/>
              <w:widowControl/>
              <w:jc w:val="center"/>
            </w:pPr>
            <w:r w:rsidRPr="00EE3355">
              <w:t>-3,3</w:t>
            </w:r>
          </w:p>
        </w:tc>
        <w:tc>
          <w:tcPr>
            <w:tcW w:w="1433" w:type="dxa"/>
          </w:tcPr>
          <w:p w14:paraId="51874A1F" w14:textId="77777777" w:rsidR="00222DE0" w:rsidRPr="00EE3355" w:rsidRDefault="00222DE0" w:rsidP="00EA1CDF">
            <w:pPr>
              <w:pStyle w:val="TableParagraph"/>
              <w:widowControl/>
              <w:rPr>
                <w:sz w:val="20"/>
              </w:rPr>
            </w:pPr>
          </w:p>
        </w:tc>
      </w:tr>
      <w:tr w:rsidR="00222DE0" w:rsidRPr="00EE3355" w14:paraId="18B2F6BC" w14:textId="77777777" w:rsidTr="00326FCF">
        <w:trPr>
          <w:cantSplit/>
          <w:trHeight w:val="419"/>
        </w:trPr>
        <w:tc>
          <w:tcPr>
            <w:tcW w:w="3997" w:type="dxa"/>
          </w:tcPr>
          <w:p w14:paraId="247CEFFB" w14:textId="77777777" w:rsidR="00222DE0" w:rsidRPr="002265A0" w:rsidRDefault="0098273B" w:rsidP="00EA1CDF">
            <w:pPr>
              <w:pStyle w:val="TableParagraph"/>
              <w:widowControl/>
              <w:jc w:val="right"/>
              <w:rPr>
                <w:b/>
              </w:rPr>
            </w:pPr>
            <w:r w:rsidRPr="002265A0">
              <w:rPr>
                <w:b/>
              </w:rPr>
              <w:t>Rozdíl v upravených průměrech</w:t>
            </w:r>
            <w:r w:rsidR="00272EED" w:rsidRPr="002265A0">
              <w:rPr>
                <w:b/>
              </w:rPr>
              <w:t xml:space="preserve"> </w:t>
            </w:r>
            <w:r w:rsidR="00272EED" w:rsidRPr="002265A0">
              <w:rPr>
                <w:b/>
              </w:rPr>
              <w:br/>
            </w:r>
            <w:r w:rsidRPr="002265A0">
              <w:rPr>
                <w:b/>
              </w:rPr>
              <w:t>(95% CI)</w:t>
            </w:r>
          </w:p>
        </w:tc>
        <w:tc>
          <w:tcPr>
            <w:tcW w:w="3720" w:type="dxa"/>
            <w:gridSpan w:val="2"/>
          </w:tcPr>
          <w:p w14:paraId="680F38C9" w14:textId="77777777" w:rsidR="00222DE0" w:rsidRPr="00EE3355" w:rsidRDefault="0098273B" w:rsidP="00EA1CDF">
            <w:pPr>
              <w:pStyle w:val="TableParagraph"/>
              <w:widowControl/>
              <w:jc w:val="center"/>
            </w:pPr>
            <w:r w:rsidRPr="00EE3355">
              <w:t>-1,5 (-1,8; -1,1)</w:t>
            </w:r>
          </w:p>
        </w:tc>
        <w:tc>
          <w:tcPr>
            <w:tcW w:w="1433" w:type="dxa"/>
          </w:tcPr>
          <w:p w14:paraId="2B027799" w14:textId="77777777" w:rsidR="00222DE0" w:rsidRPr="00EE3355" w:rsidRDefault="0098273B" w:rsidP="00EA1CDF">
            <w:pPr>
              <w:pStyle w:val="TableParagraph"/>
              <w:widowControl/>
              <w:jc w:val="center"/>
            </w:pPr>
            <w:r w:rsidRPr="00EE3355">
              <w:t>&lt; 0,0001</w:t>
            </w:r>
          </w:p>
        </w:tc>
      </w:tr>
      <w:tr w:rsidR="00222DE0" w:rsidRPr="00EE3355" w14:paraId="1AD6A8BB" w14:textId="77777777" w:rsidTr="00326FCF">
        <w:trPr>
          <w:cantSplit/>
          <w:trHeight w:val="286"/>
        </w:trPr>
        <w:tc>
          <w:tcPr>
            <w:tcW w:w="9150" w:type="dxa"/>
            <w:gridSpan w:val="4"/>
          </w:tcPr>
          <w:p w14:paraId="24B04F15" w14:textId="77777777" w:rsidR="00222DE0" w:rsidRPr="00EE3355" w:rsidRDefault="0098273B" w:rsidP="00EA1CDF">
            <w:pPr>
              <w:pStyle w:val="TableParagraph"/>
              <w:widowControl/>
              <w:rPr>
                <w:b/>
              </w:rPr>
            </w:pPr>
            <w:r w:rsidRPr="00EE3355">
              <w:rPr>
                <w:b/>
              </w:rPr>
              <w:t>Sekundární cílové parametry - pacienti s odpovědí na léčbu v týdnu 24</w:t>
            </w:r>
            <w:r w:rsidRPr="00EE3355">
              <w:rPr>
                <w:b/>
                <w:vertAlign w:val="superscript"/>
              </w:rPr>
              <w:t>(b)</w:t>
            </w:r>
          </w:p>
        </w:tc>
      </w:tr>
      <w:tr w:rsidR="00222DE0" w:rsidRPr="00EE3355" w14:paraId="62D15442" w14:textId="77777777" w:rsidTr="00326FCF">
        <w:trPr>
          <w:cantSplit/>
          <w:trHeight w:val="205"/>
        </w:trPr>
        <w:tc>
          <w:tcPr>
            <w:tcW w:w="3997" w:type="dxa"/>
          </w:tcPr>
          <w:p w14:paraId="3813C814" w14:textId="77777777" w:rsidR="00222DE0" w:rsidRPr="00EE3355" w:rsidRDefault="0098273B" w:rsidP="00EA1CDF">
            <w:pPr>
              <w:pStyle w:val="TableParagraph"/>
              <w:widowControl/>
              <w:jc w:val="right"/>
            </w:pPr>
            <w:r w:rsidRPr="00EE3355">
              <w:t>DAS28 &lt; 2,6, n (%)</w:t>
            </w:r>
          </w:p>
        </w:tc>
        <w:tc>
          <w:tcPr>
            <w:tcW w:w="1807" w:type="dxa"/>
          </w:tcPr>
          <w:p w14:paraId="69EF7F4E" w14:textId="77777777" w:rsidR="00222DE0" w:rsidRPr="00EE3355" w:rsidRDefault="0098273B" w:rsidP="00EA1CDF">
            <w:pPr>
              <w:pStyle w:val="TableParagraph"/>
              <w:widowControl/>
              <w:jc w:val="center"/>
            </w:pPr>
            <w:r w:rsidRPr="00EE3355">
              <w:t>17 (10,5)</w:t>
            </w:r>
          </w:p>
        </w:tc>
        <w:tc>
          <w:tcPr>
            <w:tcW w:w="1913" w:type="dxa"/>
          </w:tcPr>
          <w:p w14:paraId="23F3BD96" w14:textId="77777777" w:rsidR="00222DE0" w:rsidRPr="00EE3355" w:rsidRDefault="0098273B" w:rsidP="00EA1CDF">
            <w:pPr>
              <w:pStyle w:val="TableParagraph"/>
              <w:widowControl/>
              <w:jc w:val="center"/>
            </w:pPr>
            <w:r w:rsidRPr="00EE3355">
              <w:t>65 (39,9)</w:t>
            </w:r>
          </w:p>
        </w:tc>
        <w:tc>
          <w:tcPr>
            <w:tcW w:w="1433" w:type="dxa"/>
          </w:tcPr>
          <w:p w14:paraId="58BCECB2" w14:textId="77777777" w:rsidR="00222DE0" w:rsidRPr="00EE3355" w:rsidRDefault="0098273B" w:rsidP="00EA1CDF">
            <w:pPr>
              <w:pStyle w:val="TableParagraph"/>
              <w:widowControl/>
              <w:jc w:val="center"/>
            </w:pPr>
            <w:r w:rsidRPr="00EE3355">
              <w:t>&lt; 0,0001</w:t>
            </w:r>
          </w:p>
        </w:tc>
      </w:tr>
      <w:tr w:rsidR="00222DE0" w:rsidRPr="00EE3355" w14:paraId="01473343" w14:textId="77777777" w:rsidTr="00326FCF">
        <w:trPr>
          <w:cantSplit/>
          <w:trHeight w:val="168"/>
        </w:trPr>
        <w:tc>
          <w:tcPr>
            <w:tcW w:w="3997" w:type="dxa"/>
          </w:tcPr>
          <w:p w14:paraId="139A61E3" w14:textId="77777777" w:rsidR="00222DE0" w:rsidRPr="00EE3355" w:rsidRDefault="0098273B" w:rsidP="00EA1CDF">
            <w:pPr>
              <w:pStyle w:val="TableParagraph"/>
              <w:widowControl/>
              <w:jc w:val="right"/>
            </w:pPr>
            <w:r w:rsidRPr="00EE3355">
              <w:t>DAS28 ≤ 3,2, n (%)</w:t>
            </w:r>
          </w:p>
        </w:tc>
        <w:tc>
          <w:tcPr>
            <w:tcW w:w="1807" w:type="dxa"/>
          </w:tcPr>
          <w:p w14:paraId="24AA0940" w14:textId="77777777" w:rsidR="00222DE0" w:rsidRPr="00EE3355" w:rsidRDefault="0098273B" w:rsidP="00EA1CDF">
            <w:pPr>
              <w:pStyle w:val="TableParagraph"/>
              <w:widowControl/>
              <w:jc w:val="center"/>
            </w:pPr>
            <w:r w:rsidRPr="00EE3355">
              <w:t>32 (19,8)</w:t>
            </w:r>
          </w:p>
        </w:tc>
        <w:tc>
          <w:tcPr>
            <w:tcW w:w="1913" w:type="dxa"/>
          </w:tcPr>
          <w:p w14:paraId="2A31902D" w14:textId="77777777" w:rsidR="00222DE0" w:rsidRPr="00EE3355" w:rsidRDefault="0098273B" w:rsidP="00EA1CDF">
            <w:pPr>
              <w:pStyle w:val="TableParagraph"/>
              <w:widowControl/>
              <w:jc w:val="center"/>
            </w:pPr>
            <w:r w:rsidRPr="00EE3355">
              <w:t>84 (51,5)</w:t>
            </w:r>
          </w:p>
        </w:tc>
        <w:tc>
          <w:tcPr>
            <w:tcW w:w="1433" w:type="dxa"/>
          </w:tcPr>
          <w:p w14:paraId="4A74E377" w14:textId="77777777" w:rsidR="00222DE0" w:rsidRPr="00EE3355" w:rsidRDefault="0098273B" w:rsidP="00EA1CDF">
            <w:pPr>
              <w:pStyle w:val="TableParagraph"/>
              <w:widowControl/>
              <w:jc w:val="center"/>
            </w:pPr>
            <w:r w:rsidRPr="00EE3355">
              <w:t>&lt; 0,0001</w:t>
            </w:r>
          </w:p>
        </w:tc>
      </w:tr>
      <w:tr w:rsidR="00222DE0" w:rsidRPr="00EE3355" w14:paraId="23F3596E" w14:textId="77777777" w:rsidTr="00326FCF">
        <w:trPr>
          <w:cantSplit/>
          <w:trHeight w:val="143"/>
        </w:trPr>
        <w:tc>
          <w:tcPr>
            <w:tcW w:w="3997" w:type="dxa"/>
          </w:tcPr>
          <w:p w14:paraId="23863B74" w14:textId="77777777" w:rsidR="00222DE0" w:rsidRPr="00EE3355" w:rsidRDefault="0098273B" w:rsidP="00EA1CDF">
            <w:pPr>
              <w:pStyle w:val="TableParagraph"/>
              <w:widowControl/>
              <w:jc w:val="right"/>
            </w:pPr>
            <w:r w:rsidRPr="00EE3355">
              <w:t>Odpověď dle ACR 20, n (%)</w:t>
            </w:r>
          </w:p>
        </w:tc>
        <w:tc>
          <w:tcPr>
            <w:tcW w:w="1807" w:type="dxa"/>
          </w:tcPr>
          <w:p w14:paraId="6FA387C3" w14:textId="77777777" w:rsidR="00222DE0" w:rsidRPr="00EE3355" w:rsidRDefault="0098273B" w:rsidP="00EA1CDF">
            <w:pPr>
              <w:pStyle w:val="TableParagraph"/>
              <w:widowControl/>
              <w:jc w:val="center"/>
            </w:pPr>
            <w:r w:rsidRPr="00EE3355">
              <w:t>80 (49,4)</w:t>
            </w:r>
          </w:p>
        </w:tc>
        <w:tc>
          <w:tcPr>
            <w:tcW w:w="1913" w:type="dxa"/>
          </w:tcPr>
          <w:p w14:paraId="6F9C3923" w14:textId="77777777" w:rsidR="00222DE0" w:rsidRPr="00EE3355" w:rsidRDefault="0098273B" w:rsidP="00EA1CDF">
            <w:pPr>
              <w:pStyle w:val="TableParagraph"/>
              <w:widowControl/>
              <w:jc w:val="center"/>
            </w:pPr>
            <w:r w:rsidRPr="00EE3355">
              <w:t>106 (65,0)</w:t>
            </w:r>
          </w:p>
        </w:tc>
        <w:tc>
          <w:tcPr>
            <w:tcW w:w="1433" w:type="dxa"/>
          </w:tcPr>
          <w:p w14:paraId="5748EE85" w14:textId="77777777" w:rsidR="00222DE0" w:rsidRPr="00EE3355" w:rsidRDefault="0098273B" w:rsidP="00EA1CDF">
            <w:pPr>
              <w:pStyle w:val="TableParagraph"/>
              <w:widowControl/>
              <w:jc w:val="center"/>
            </w:pPr>
            <w:r w:rsidRPr="00EE3355">
              <w:t>0,0038</w:t>
            </w:r>
          </w:p>
        </w:tc>
      </w:tr>
      <w:tr w:rsidR="00222DE0" w:rsidRPr="00EE3355" w14:paraId="1FC901FC" w14:textId="77777777" w:rsidTr="00326FCF">
        <w:trPr>
          <w:cantSplit/>
          <w:trHeight w:val="248"/>
        </w:trPr>
        <w:tc>
          <w:tcPr>
            <w:tcW w:w="3997" w:type="dxa"/>
          </w:tcPr>
          <w:p w14:paraId="49BAA721" w14:textId="77777777" w:rsidR="00222DE0" w:rsidRPr="00EE3355" w:rsidRDefault="0098273B" w:rsidP="00EA1CDF">
            <w:pPr>
              <w:pStyle w:val="TableParagraph"/>
              <w:widowControl/>
              <w:jc w:val="right"/>
            </w:pPr>
            <w:r w:rsidRPr="00EE3355">
              <w:t>Odpověď dle ACR 50, n (%)</w:t>
            </w:r>
          </w:p>
        </w:tc>
        <w:tc>
          <w:tcPr>
            <w:tcW w:w="1807" w:type="dxa"/>
          </w:tcPr>
          <w:p w14:paraId="18AA727C" w14:textId="77777777" w:rsidR="00222DE0" w:rsidRPr="00EE3355" w:rsidRDefault="0098273B" w:rsidP="00EA1CDF">
            <w:pPr>
              <w:pStyle w:val="TableParagraph"/>
              <w:widowControl/>
              <w:jc w:val="center"/>
            </w:pPr>
            <w:r w:rsidRPr="00EE3355">
              <w:t>45 (27,8)</w:t>
            </w:r>
          </w:p>
        </w:tc>
        <w:tc>
          <w:tcPr>
            <w:tcW w:w="1913" w:type="dxa"/>
          </w:tcPr>
          <w:p w14:paraId="5DF6BC30" w14:textId="77777777" w:rsidR="00222DE0" w:rsidRPr="00EE3355" w:rsidRDefault="0098273B" w:rsidP="00EA1CDF">
            <w:pPr>
              <w:pStyle w:val="TableParagraph"/>
              <w:widowControl/>
              <w:jc w:val="center"/>
            </w:pPr>
            <w:r w:rsidRPr="00EE3355">
              <w:t>77 (47,2)</w:t>
            </w:r>
          </w:p>
        </w:tc>
        <w:tc>
          <w:tcPr>
            <w:tcW w:w="1433" w:type="dxa"/>
          </w:tcPr>
          <w:p w14:paraId="5D9E5FAB" w14:textId="77777777" w:rsidR="00222DE0" w:rsidRPr="00EE3355" w:rsidRDefault="0098273B" w:rsidP="00EA1CDF">
            <w:pPr>
              <w:pStyle w:val="TableParagraph"/>
              <w:widowControl/>
              <w:jc w:val="center"/>
            </w:pPr>
            <w:r w:rsidRPr="00EE3355">
              <w:t>0,0002</w:t>
            </w:r>
          </w:p>
        </w:tc>
      </w:tr>
      <w:tr w:rsidR="00222DE0" w:rsidRPr="00EE3355" w14:paraId="3C2A4F7B" w14:textId="77777777" w:rsidTr="00326FCF">
        <w:trPr>
          <w:cantSplit/>
          <w:trHeight w:val="68"/>
        </w:trPr>
        <w:tc>
          <w:tcPr>
            <w:tcW w:w="3997" w:type="dxa"/>
          </w:tcPr>
          <w:p w14:paraId="7D5DD25F" w14:textId="77777777" w:rsidR="00222DE0" w:rsidRPr="00EE3355" w:rsidRDefault="0098273B" w:rsidP="00EA1CDF">
            <w:pPr>
              <w:pStyle w:val="TableParagraph"/>
              <w:widowControl/>
              <w:jc w:val="right"/>
            </w:pPr>
            <w:r w:rsidRPr="00EE3355">
              <w:t>Odpověď dle ACR 70, n (%)</w:t>
            </w:r>
          </w:p>
        </w:tc>
        <w:tc>
          <w:tcPr>
            <w:tcW w:w="1807" w:type="dxa"/>
          </w:tcPr>
          <w:p w14:paraId="135C7EB3" w14:textId="77777777" w:rsidR="00222DE0" w:rsidRPr="00EE3355" w:rsidRDefault="0098273B" w:rsidP="00EA1CDF">
            <w:pPr>
              <w:pStyle w:val="TableParagraph"/>
              <w:widowControl/>
              <w:jc w:val="center"/>
            </w:pPr>
            <w:r w:rsidRPr="00EE3355">
              <w:t>29 (17,9)</w:t>
            </w:r>
          </w:p>
        </w:tc>
        <w:tc>
          <w:tcPr>
            <w:tcW w:w="1913" w:type="dxa"/>
          </w:tcPr>
          <w:p w14:paraId="5E7559FD" w14:textId="77777777" w:rsidR="00222DE0" w:rsidRPr="00EE3355" w:rsidRDefault="0098273B" w:rsidP="00EA1CDF">
            <w:pPr>
              <w:pStyle w:val="TableParagraph"/>
              <w:widowControl/>
              <w:jc w:val="center"/>
            </w:pPr>
            <w:r w:rsidRPr="00EE3355">
              <w:t>53 (32,5)</w:t>
            </w:r>
          </w:p>
        </w:tc>
        <w:tc>
          <w:tcPr>
            <w:tcW w:w="1433" w:type="dxa"/>
          </w:tcPr>
          <w:p w14:paraId="570A2B41" w14:textId="77777777" w:rsidR="00222DE0" w:rsidRPr="00EE3355" w:rsidRDefault="0098273B" w:rsidP="00EA1CDF">
            <w:pPr>
              <w:pStyle w:val="TableParagraph"/>
              <w:widowControl/>
              <w:jc w:val="center"/>
            </w:pPr>
            <w:r w:rsidRPr="00EE3355">
              <w:t>0,0023</w:t>
            </w:r>
          </w:p>
        </w:tc>
      </w:tr>
    </w:tbl>
    <w:p w14:paraId="3E37E69E" w14:textId="77777777" w:rsidR="00222DE0" w:rsidRPr="00EE3355" w:rsidRDefault="0098273B" w:rsidP="00EA1CDF">
      <w:pPr>
        <w:widowControl/>
        <w:rPr>
          <w:i/>
          <w:sz w:val="18"/>
        </w:rPr>
      </w:pPr>
      <w:r w:rsidRPr="001B021A">
        <w:rPr>
          <w:i/>
          <w:sz w:val="18"/>
          <w:szCs w:val="18"/>
          <w:vertAlign w:val="superscript"/>
        </w:rPr>
        <w:t>a</w:t>
      </w:r>
      <w:r w:rsidRPr="00EE3355">
        <w:rPr>
          <w:i/>
          <w:sz w:val="12"/>
        </w:rPr>
        <w:t xml:space="preserve"> </w:t>
      </w:r>
      <w:r w:rsidRPr="00EE3355">
        <w:rPr>
          <w:i/>
          <w:sz w:val="18"/>
        </w:rPr>
        <w:t>Hodnota p je upravena podle oblasti a trvání RA u všech cílových parametrů a dále pro výchozí hodnoty u všech spojitých cílových parametrů.</w:t>
      </w:r>
    </w:p>
    <w:p w14:paraId="01971970" w14:textId="77777777" w:rsidR="00222DE0" w:rsidRPr="00EE3355" w:rsidRDefault="0098273B" w:rsidP="00EA1CDF">
      <w:pPr>
        <w:widowControl/>
        <w:rPr>
          <w:i/>
          <w:sz w:val="18"/>
        </w:rPr>
      </w:pPr>
      <w:r w:rsidRPr="001B021A">
        <w:rPr>
          <w:i/>
          <w:sz w:val="18"/>
          <w:szCs w:val="18"/>
          <w:vertAlign w:val="superscript"/>
        </w:rPr>
        <w:t>b</w:t>
      </w:r>
      <w:r w:rsidRPr="00EE3355">
        <w:rPr>
          <w:i/>
          <w:sz w:val="12"/>
        </w:rPr>
        <w:t xml:space="preserve"> </w:t>
      </w:r>
      <w:r w:rsidRPr="00EE3355">
        <w:rPr>
          <w:i/>
          <w:sz w:val="18"/>
        </w:rPr>
        <w:t>Chybějící data byla dopočtena na základě dat pacientů bez odpovědi. Ke kontrole multiplicit byla použita Holmova metoda s korekcí podle Bonferroniho.</w:t>
      </w:r>
    </w:p>
    <w:p w14:paraId="1CB78F98" w14:textId="77777777" w:rsidR="00222DE0" w:rsidRPr="00EE3355" w:rsidRDefault="00222DE0" w:rsidP="00EA1CDF">
      <w:pPr>
        <w:pStyle w:val="a3"/>
        <w:widowControl/>
        <w:ind w:left="0"/>
        <w:rPr>
          <w:i/>
          <w:sz w:val="18"/>
        </w:rPr>
      </w:pPr>
    </w:p>
    <w:p w14:paraId="490C6CA5" w14:textId="6EEC313F" w:rsidR="00222DE0" w:rsidRPr="00EE3355" w:rsidRDefault="0098273B" w:rsidP="00EA1CDF">
      <w:pPr>
        <w:pStyle w:val="a3"/>
        <w:widowControl/>
        <w:ind w:left="0"/>
      </w:pPr>
      <w:r w:rsidRPr="00EE3355">
        <w:t xml:space="preserve">Celkový klinický profil nežádoucích účinků </w:t>
      </w:r>
      <w:r w:rsidR="00DC2C90" w:rsidRPr="00C61A9B">
        <w:t>tocilizumab</w:t>
      </w:r>
      <w:r w:rsidR="00DC2C90">
        <w:t xml:space="preserve">u </w:t>
      </w:r>
      <w:r w:rsidRPr="00EE3355">
        <w:t>a adalimumabu byl podobný. Zastoupení pacientů se závažnými nežádoucími účinky byl u obou léčebných skupin vyvážený (</w:t>
      </w:r>
      <w:r w:rsidR="003E54FF" w:rsidRPr="001879E9">
        <w:t>tocilizumab</w:t>
      </w:r>
      <w:r w:rsidR="003E54FF">
        <w:t xml:space="preserve"> </w:t>
      </w:r>
      <w:r w:rsidRPr="00EE3355">
        <w:t>11,7 % vs. adalimumab 9,9 %). Typy nežádoucích účinků v</w:t>
      </w:r>
      <w:r w:rsidR="007C1B0A" w:rsidRPr="00EE3355">
        <w:t> </w:t>
      </w:r>
      <w:r w:rsidRPr="00EE3355">
        <w:t>rameni</w:t>
      </w:r>
      <w:r w:rsidR="007C1B0A" w:rsidRPr="00EE3355">
        <w:t xml:space="preserve"> </w:t>
      </w:r>
      <w:r w:rsidRPr="00EE3355">
        <w:t>s</w:t>
      </w:r>
      <w:r w:rsidR="00DC2C90">
        <w:t> </w:t>
      </w:r>
      <w:r w:rsidR="00DC2C90" w:rsidRPr="00C61A9B">
        <w:t>tocilizumab</w:t>
      </w:r>
      <w:r w:rsidR="00DC2C90">
        <w:t xml:space="preserve">em </w:t>
      </w:r>
      <w:r w:rsidRPr="00EE3355">
        <w:t xml:space="preserve">odpovídaly známému bezpečnostnímu profilu </w:t>
      </w:r>
      <w:r w:rsidR="00DC2C90" w:rsidRPr="00C61A9B">
        <w:t>tocilizumab</w:t>
      </w:r>
      <w:r w:rsidR="00DC2C90">
        <w:t xml:space="preserve">u </w:t>
      </w:r>
      <w:r w:rsidRPr="00EE3355">
        <w:t>a nežádoucí účinky byly hlášeny s podobnou četností jako v tabulce 1. V rameni s</w:t>
      </w:r>
      <w:r w:rsidR="00DC2C90">
        <w:t> </w:t>
      </w:r>
      <w:r w:rsidR="00DC2C90" w:rsidRPr="00C61A9B">
        <w:t>tocilizumab</w:t>
      </w:r>
      <w:r w:rsidR="00DC2C90">
        <w:t xml:space="preserve">em </w:t>
      </w:r>
      <w:r w:rsidRPr="00EE3355">
        <w:t>byla hlášena vyšší incidence infekcí a infestací (48 % vs. 42 %), ale bez rozdílu</w:t>
      </w:r>
      <w:r w:rsidR="007C1B0A" w:rsidRPr="00EE3355">
        <w:t xml:space="preserve"> </w:t>
      </w:r>
      <w:r w:rsidRPr="00EE3355">
        <w:t xml:space="preserve">v incidenci závažných infekcí (3,1 %). Obě studijní léčby vedly ke stejnému vzorci změn laboratorních bezpečnostních parametrů (snížení počtu neutrofilů a trombocytů, zvýšení ALT, AST a lipidů), rozsah těchto změn a četnost zaznamenaných abnormalit však byly vyšší u </w:t>
      </w:r>
      <w:r w:rsidR="00DC2C90" w:rsidRPr="00C61A9B">
        <w:t>tocilizumab</w:t>
      </w:r>
      <w:r w:rsidR="00DC2C90">
        <w:t xml:space="preserve">u </w:t>
      </w:r>
      <w:r w:rsidRPr="00EE3355">
        <w:t>ve srovnání s adalimumabem. U 4 (2,5 %) pacientů v rameni s</w:t>
      </w:r>
      <w:r w:rsidR="00DC2C90">
        <w:t> </w:t>
      </w:r>
      <w:r w:rsidR="00DC2C90" w:rsidRPr="00C61A9B">
        <w:t>tocilizumab</w:t>
      </w:r>
      <w:r w:rsidR="00DC2C90">
        <w:t xml:space="preserve">em </w:t>
      </w:r>
      <w:r w:rsidRPr="00EE3355">
        <w:t>a</w:t>
      </w:r>
      <w:r w:rsidR="007C1B0A" w:rsidRPr="00EE3355">
        <w:t xml:space="preserve"> </w:t>
      </w:r>
      <w:r w:rsidRPr="00EE3355">
        <w:t>u 2 (1,2 %) pacientů v rameni s adalimumabem došlo k poklesu počtu neutrofilů stupně 3 nebo 4 podle kritérií CTC-AE. U 11 (6,8%) pacientů v rameni s</w:t>
      </w:r>
      <w:r w:rsidR="00DC2C90">
        <w:t> </w:t>
      </w:r>
      <w:r w:rsidR="00DC2C90" w:rsidRPr="00C61A9B">
        <w:t>tocilizumab</w:t>
      </w:r>
      <w:r w:rsidR="00DC2C90">
        <w:t xml:space="preserve">em </w:t>
      </w:r>
      <w:r w:rsidRPr="00EE3355">
        <w:t>a u 5 (3,1%) pacientů</w:t>
      </w:r>
      <w:r w:rsidR="007C1B0A" w:rsidRPr="00EE3355">
        <w:t xml:space="preserve"> </w:t>
      </w:r>
      <w:r w:rsidRPr="00EE3355">
        <w:t>v rameni s adalimumabem došlo ke zvýšení ALT stupně 2 nebo vyššího stupně podle kritérií CTC-AE.</w:t>
      </w:r>
      <w:r w:rsidR="007C1B0A" w:rsidRPr="00EE3355">
        <w:t xml:space="preserve"> </w:t>
      </w:r>
      <w:r w:rsidRPr="00EE3355">
        <w:t xml:space="preserve">Průměrné </w:t>
      </w:r>
      <w:r w:rsidRPr="00EE3355">
        <w:lastRenderedPageBreak/>
        <w:t>zvýšení LDL oproti výchozí hodnotě bylo 0,64 mmol/l (25 mg/dl) u pacientů v</w:t>
      </w:r>
      <w:r w:rsidR="007C1B0A" w:rsidRPr="00EE3355">
        <w:t> </w:t>
      </w:r>
      <w:r w:rsidRPr="00EE3355">
        <w:t>rameni</w:t>
      </w:r>
      <w:r w:rsidR="007C1B0A" w:rsidRPr="00EE3355">
        <w:t xml:space="preserve"> </w:t>
      </w:r>
      <w:r w:rsidRPr="00EE3355">
        <w:t>s</w:t>
      </w:r>
      <w:r w:rsidR="00DC2C90">
        <w:t> </w:t>
      </w:r>
      <w:r w:rsidR="00DC2C90" w:rsidRPr="00C61A9B">
        <w:t>tocilizumab</w:t>
      </w:r>
      <w:r w:rsidR="00DC2C90">
        <w:t xml:space="preserve">em </w:t>
      </w:r>
      <w:r w:rsidRPr="00EE3355">
        <w:t>a 0,19 mmol/l (7 mg/dl) u pacientů v rameni s adalimumabem. Bezpečnost pozorovaná v rameni s</w:t>
      </w:r>
      <w:r w:rsidR="00DC2C90">
        <w:t> </w:t>
      </w:r>
      <w:r w:rsidR="00DC2C90" w:rsidRPr="00C61A9B">
        <w:t>tocilizumab</w:t>
      </w:r>
      <w:r w:rsidR="00DC2C90">
        <w:t xml:space="preserve">em </w:t>
      </w:r>
      <w:r w:rsidRPr="00EE3355">
        <w:t xml:space="preserve">byla shodná se známým bezpečnostním profilem </w:t>
      </w:r>
      <w:r w:rsidR="00DC2C90" w:rsidRPr="00C61A9B">
        <w:t>tocilizumab</w:t>
      </w:r>
      <w:r w:rsidR="00DC2C90">
        <w:t xml:space="preserve">u </w:t>
      </w:r>
      <w:r w:rsidRPr="00EE3355">
        <w:t>a nebyly pozorovány žádné nové ani neočekávané nežádoucí účinky (viz tabulka 1).</w:t>
      </w:r>
    </w:p>
    <w:p w14:paraId="7CB0E4A5" w14:textId="77777777" w:rsidR="00222DE0" w:rsidRPr="00EE3355" w:rsidRDefault="00222DE0" w:rsidP="00EA1CDF">
      <w:pPr>
        <w:pStyle w:val="a3"/>
        <w:widowControl/>
        <w:ind w:left="0"/>
      </w:pPr>
    </w:p>
    <w:p w14:paraId="29408946" w14:textId="77777777" w:rsidR="00222DE0" w:rsidRPr="00EE3355" w:rsidRDefault="00B23DAE" w:rsidP="00EA1CDF">
      <w:pPr>
        <w:pStyle w:val="2"/>
        <w:keepNext/>
        <w:widowControl/>
        <w:tabs>
          <w:tab w:val="left" w:pos="804"/>
        </w:tabs>
        <w:ind w:left="567" w:hanging="567"/>
      </w:pPr>
      <w:r w:rsidRPr="00EE3355">
        <w:t>5.2</w:t>
      </w:r>
      <w:r w:rsidRPr="00EE3355">
        <w:tab/>
      </w:r>
      <w:r w:rsidR="0098273B" w:rsidRPr="00EE3355">
        <w:t>Farmakokinetické vlastnosti</w:t>
      </w:r>
    </w:p>
    <w:p w14:paraId="2BDF1BAC" w14:textId="77777777" w:rsidR="00663C76" w:rsidRPr="00EE3355" w:rsidRDefault="00663C76" w:rsidP="001378C6"/>
    <w:p w14:paraId="293555C6" w14:textId="747B6605" w:rsidR="00222DE0" w:rsidRPr="00EE3355" w:rsidRDefault="0098273B" w:rsidP="00EA1CDF">
      <w:pPr>
        <w:pStyle w:val="a3"/>
        <w:widowControl/>
        <w:ind w:left="0"/>
      </w:pPr>
      <w:r w:rsidRPr="00EE3355">
        <w:t xml:space="preserve">Farmakokinetika </w:t>
      </w:r>
      <w:r w:rsidR="00DC2C90" w:rsidRPr="00C61A9B">
        <w:t>tocilizumab</w:t>
      </w:r>
      <w:r w:rsidR="00DC2C90">
        <w:t xml:space="preserve">u </w:t>
      </w:r>
      <w:r w:rsidRPr="00EE3355">
        <w:t xml:space="preserve">je charakterizována nelineární eliminací, která je kombinací lineární clearance a eliminace podle Michaelise a Mentenové. Nelineární část eliminace </w:t>
      </w:r>
      <w:r w:rsidR="00DC2C90" w:rsidRPr="00C61A9B">
        <w:t>tocilizumab</w:t>
      </w:r>
      <w:r w:rsidR="00DC2C90">
        <w:t xml:space="preserve">u </w:t>
      </w:r>
      <w:r w:rsidRPr="00EE3355">
        <w:t xml:space="preserve">vede ke zvýšení expozice, které je větší než úměrné dávce. Farmakokinetické parametry </w:t>
      </w:r>
      <w:r w:rsidR="00DC2C90" w:rsidRPr="00C61A9B">
        <w:t>tocilizumab</w:t>
      </w:r>
      <w:r w:rsidR="00DC2C90">
        <w:t xml:space="preserve">u </w:t>
      </w:r>
      <w:r w:rsidRPr="00EE3355">
        <w:t xml:space="preserve">se v čase nemění. Vzhledem k závislosti celkové clearance na sérových koncentracích je i poločas </w:t>
      </w:r>
      <w:r w:rsidR="00DC2C90" w:rsidRPr="00C61A9B">
        <w:t>tocilizumab</w:t>
      </w:r>
      <w:r w:rsidR="00DC2C90">
        <w:t xml:space="preserve">u </w:t>
      </w:r>
      <w:r w:rsidRPr="00EE3355">
        <w:t>závislý na koncentraci a kolísá podle sérové koncentrace. Dosavadní populační farmakokinetické analýzy jakékoliv populace pacientů neprokázaly žádný vztah mezi zdánlivou clearance a přítomností protilátek proti lékům.</w:t>
      </w:r>
    </w:p>
    <w:p w14:paraId="7E2860EC" w14:textId="77777777" w:rsidR="00222DE0" w:rsidRPr="00EE3355" w:rsidRDefault="00222DE0" w:rsidP="00EA1CDF">
      <w:pPr>
        <w:widowControl/>
      </w:pPr>
    </w:p>
    <w:p w14:paraId="6E1B2F53" w14:textId="77777777" w:rsidR="00222DE0" w:rsidRDefault="0098273B" w:rsidP="00EA1CDF">
      <w:pPr>
        <w:pStyle w:val="a3"/>
        <w:keepNext/>
        <w:widowControl/>
        <w:ind w:left="0"/>
        <w:rPr>
          <w:u w:val="single"/>
        </w:rPr>
      </w:pPr>
      <w:r w:rsidRPr="00EE3355">
        <w:rPr>
          <w:u w:val="single"/>
        </w:rPr>
        <w:t>RA</w:t>
      </w:r>
    </w:p>
    <w:p w14:paraId="23F36B14" w14:textId="77777777" w:rsidR="002265A0" w:rsidRPr="00EE3355" w:rsidRDefault="002265A0" w:rsidP="00EA1CDF">
      <w:pPr>
        <w:pStyle w:val="a3"/>
        <w:keepNext/>
        <w:widowControl/>
        <w:ind w:left="0"/>
      </w:pPr>
    </w:p>
    <w:p w14:paraId="4C5FB5B5" w14:textId="77777777" w:rsidR="00222DE0" w:rsidRPr="00EE3355" w:rsidRDefault="0098273B" w:rsidP="00EA1CDF">
      <w:pPr>
        <w:pStyle w:val="a3"/>
        <w:keepNext/>
        <w:widowControl/>
        <w:ind w:left="0"/>
      </w:pPr>
      <w:r w:rsidRPr="00EE3355">
        <w:rPr>
          <w:u w:val="single"/>
        </w:rPr>
        <w:t>Intravenózní použití</w:t>
      </w:r>
    </w:p>
    <w:p w14:paraId="0ECAB99F" w14:textId="3BDFB823" w:rsidR="00222DE0" w:rsidRPr="00EE3355" w:rsidRDefault="0098273B" w:rsidP="00EA1CDF">
      <w:pPr>
        <w:pStyle w:val="a3"/>
        <w:widowControl/>
        <w:ind w:left="0"/>
      </w:pPr>
      <w:r w:rsidRPr="00EE3355">
        <w:t xml:space="preserve">Ke stanovení farmakokinetiky </w:t>
      </w:r>
      <w:r w:rsidR="00DC2C90" w:rsidRPr="00C61A9B">
        <w:t>tocilizumab</w:t>
      </w:r>
      <w:r w:rsidR="00DC2C90">
        <w:t xml:space="preserve">u </w:t>
      </w:r>
      <w:r w:rsidRPr="00EE3355">
        <w:t xml:space="preserve">byla použita populační farmakokinetická analýza databáze složené ze 3 552 pacientů s RA léčených podáním hodinové infuze 4 nebo 8 mg/kg </w:t>
      </w:r>
      <w:r w:rsidR="00DC2C90" w:rsidRPr="00C61A9B">
        <w:t>tocilizumab</w:t>
      </w:r>
      <w:r w:rsidR="00DC2C90">
        <w:t xml:space="preserve">u </w:t>
      </w:r>
      <w:r w:rsidRPr="00EE3355">
        <w:t xml:space="preserve">každé 4 týdny po dobu 24 týdnů nebo podáním 162 mg </w:t>
      </w:r>
      <w:r w:rsidR="00DC2C90" w:rsidRPr="00C61A9B">
        <w:t>tocilizumab</w:t>
      </w:r>
      <w:r w:rsidR="00DC2C90">
        <w:t xml:space="preserve">u </w:t>
      </w:r>
      <w:r w:rsidRPr="00EE3355">
        <w:t>subkutánně buď jednou týdně, nebo každý druhý týden po dobu 24 týdnů.</w:t>
      </w:r>
    </w:p>
    <w:p w14:paraId="123FCC93" w14:textId="77777777" w:rsidR="00222DE0" w:rsidRPr="00EE3355" w:rsidRDefault="00222DE0" w:rsidP="00EA1CDF">
      <w:pPr>
        <w:pStyle w:val="a3"/>
        <w:widowControl/>
        <w:ind w:left="0"/>
      </w:pPr>
    </w:p>
    <w:p w14:paraId="3497E5A4" w14:textId="6CA36A9B" w:rsidR="00222DE0" w:rsidRPr="00EE3355" w:rsidRDefault="0098273B" w:rsidP="00EA1CDF">
      <w:pPr>
        <w:pStyle w:val="a3"/>
        <w:widowControl/>
        <w:ind w:left="0"/>
      </w:pPr>
      <w:r w:rsidRPr="00EE3355">
        <w:t xml:space="preserve">Následující parametry (předpokládaný průměr </w:t>
      </w:r>
      <w:r w:rsidRPr="00EE3355">
        <w:rPr>
          <w:rFonts w:ascii="Symbol" w:hAnsi="Symbol"/>
        </w:rPr>
        <w:t></w:t>
      </w:r>
      <w:r w:rsidRPr="00EE3355">
        <w:t xml:space="preserve"> standardní odchylka, SD) byly stanoveny odhadem pro dávku 8 mg/kg </w:t>
      </w:r>
      <w:r w:rsidR="00DC2C90" w:rsidRPr="00C61A9B">
        <w:t>tocilizumab</w:t>
      </w:r>
      <w:r w:rsidR="00DC2C90">
        <w:t xml:space="preserve">u </w:t>
      </w:r>
      <w:r w:rsidRPr="00EE3355">
        <w:t xml:space="preserve">podávanou jednou za 4 týdny: plochy pod křivkou plasmatických koncentrací (AUC) v ustáleném stavu = 38 000 </w:t>
      </w:r>
      <w:r w:rsidRPr="00EE3355">
        <w:rPr>
          <w:rFonts w:ascii="Symbol" w:hAnsi="Symbol"/>
        </w:rPr>
        <w:t></w:t>
      </w:r>
      <w:r w:rsidRPr="00EE3355">
        <w:t xml:space="preserve"> 3 000 h•µg/ml, minimální koncentrace (C</w:t>
      </w:r>
      <w:r w:rsidRPr="00EE3355">
        <w:rPr>
          <w:vertAlign w:val="subscript"/>
        </w:rPr>
        <w:t>min</w:t>
      </w:r>
      <w:r w:rsidRPr="00EE3355">
        <w:t xml:space="preserve">) = 15,9 </w:t>
      </w:r>
      <w:r w:rsidRPr="00EE3355">
        <w:rPr>
          <w:rFonts w:ascii="Symbol" w:hAnsi="Symbol"/>
        </w:rPr>
        <w:t></w:t>
      </w:r>
      <w:r w:rsidRPr="00EE3355">
        <w:t xml:space="preserve"> 13,1 </w:t>
      </w:r>
      <w:r w:rsidRPr="00EE3355">
        <w:rPr>
          <w:rFonts w:ascii="Symbol" w:hAnsi="Symbol"/>
        </w:rPr>
        <w:t></w:t>
      </w:r>
      <w:r w:rsidRPr="00EE3355">
        <w:t>g/ml a maximální koncentrace (C</w:t>
      </w:r>
      <w:r w:rsidRPr="00EE3355">
        <w:rPr>
          <w:vertAlign w:val="subscript"/>
        </w:rPr>
        <w:t>max</w:t>
      </w:r>
      <w:r w:rsidRPr="00EE3355">
        <w:t xml:space="preserve">) = 182 </w:t>
      </w:r>
      <w:r w:rsidRPr="00EE3355">
        <w:rPr>
          <w:rFonts w:ascii="Symbol" w:hAnsi="Symbol"/>
        </w:rPr>
        <w:t></w:t>
      </w:r>
      <w:r w:rsidRPr="00EE3355">
        <w:t xml:space="preserve"> 50,4 µg/ml a kumulační poměry pro AUC a C</w:t>
      </w:r>
      <w:r w:rsidR="00C5127F" w:rsidRPr="00EE3355">
        <w:rPr>
          <w:vertAlign w:val="subscript"/>
        </w:rPr>
        <w:t>max</w:t>
      </w:r>
      <w:r w:rsidRPr="00EE3355">
        <w:rPr>
          <w:sz w:val="14"/>
        </w:rPr>
        <w:t xml:space="preserve"> </w:t>
      </w:r>
      <w:r w:rsidRPr="00EE3355">
        <w:t>byly malé (1,32, resp. 1,09). Akumulační poměr byl vyšší</w:t>
      </w:r>
      <w:r w:rsidR="005A49EF" w:rsidRPr="00EE3355">
        <w:t xml:space="preserve"> </w:t>
      </w:r>
      <w:r w:rsidRPr="00EE3355">
        <w:t>u C</w:t>
      </w:r>
      <w:r w:rsidRPr="00EE3355">
        <w:rPr>
          <w:vertAlign w:val="subscript"/>
        </w:rPr>
        <w:t>min</w:t>
      </w:r>
      <w:r w:rsidRPr="00EE3355">
        <w:rPr>
          <w:sz w:val="14"/>
        </w:rPr>
        <w:t xml:space="preserve"> </w:t>
      </w:r>
      <w:r w:rsidRPr="00EE3355">
        <w:t>(2,49), což bylo očekáváno na základě přispění nelineární clearance při nižších koncentracích.</w:t>
      </w:r>
      <w:r w:rsidR="005A49EF" w:rsidRPr="00EE3355">
        <w:t xml:space="preserve"> </w:t>
      </w:r>
      <w:r w:rsidRPr="00EE3355">
        <w:t>Ustálený stav byl dosažen po prvním podání u C</w:t>
      </w:r>
      <w:r w:rsidRPr="00EE3355">
        <w:rPr>
          <w:vertAlign w:val="subscript"/>
        </w:rPr>
        <w:t>max</w:t>
      </w:r>
      <w:r w:rsidRPr="00EE3355">
        <w:t>, po 8 týdnech u AUC a po 20 týdnech u C</w:t>
      </w:r>
      <w:r w:rsidRPr="00EE3355">
        <w:rPr>
          <w:vertAlign w:val="subscript"/>
        </w:rPr>
        <w:t>min</w:t>
      </w:r>
      <w:r w:rsidRPr="00EE3355">
        <w:t>. AUC, C</w:t>
      </w:r>
      <w:r w:rsidRPr="00EE3355">
        <w:rPr>
          <w:vertAlign w:val="subscript"/>
        </w:rPr>
        <w:t>min</w:t>
      </w:r>
      <w:r w:rsidRPr="00EE3355">
        <w:rPr>
          <w:sz w:val="14"/>
        </w:rPr>
        <w:t xml:space="preserve"> </w:t>
      </w:r>
      <w:r w:rsidRPr="00EE3355">
        <w:t>a C</w:t>
      </w:r>
      <w:r w:rsidRPr="00EE3355">
        <w:rPr>
          <w:vertAlign w:val="subscript"/>
        </w:rPr>
        <w:t>max</w:t>
      </w:r>
      <w:r w:rsidRPr="00EE3355">
        <w:rPr>
          <w:sz w:val="14"/>
        </w:rPr>
        <w:t xml:space="preserve"> </w:t>
      </w:r>
      <w:r w:rsidR="00DC2C90" w:rsidRPr="00C61A9B">
        <w:t>tocilizumab</w:t>
      </w:r>
      <w:r w:rsidR="00DC2C90">
        <w:t xml:space="preserve">u </w:t>
      </w:r>
      <w:r w:rsidRPr="00EE3355">
        <w:t>rostly se stoupající tělesnou hmotností. Při tělesné hmotnosti</w:t>
      </w:r>
      <w:r w:rsidR="005A49EF" w:rsidRPr="00EE3355">
        <w:t xml:space="preserve"> </w:t>
      </w:r>
      <w:r w:rsidRPr="00EE3355">
        <w:t xml:space="preserve">≥ 100 kg byl předpovídaný průměr (± SD) AUC </w:t>
      </w:r>
      <w:r w:rsidR="00DC2C90" w:rsidRPr="00C61A9B">
        <w:t>tocilizumab</w:t>
      </w:r>
      <w:r w:rsidR="00DC2C90">
        <w:t xml:space="preserve">u </w:t>
      </w:r>
      <w:r w:rsidRPr="00EE3355">
        <w:t>v ustáleném stavu</w:t>
      </w:r>
      <w:r w:rsidR="005A49EF" w:rsidRPr="00EE3355">
        <w:t xml:space="preserve"> </w:t>
      </w:r>
      <w:r w:rsidRPr="00EE3355">
        <w:t>50 000 ± 16 800 μg•h/ml, C</w:t>
      </w:r>
      <w:r w:rsidRPr="00EE3355">
        <w:rPr>
          <w:vertAlign w:val="subscript"/>
        </w:rPr>
        <w:t>min</w:t>
      </w:r>
      <w:r w:rsidRPr="00EE3355">
        <w:rPr>
          <w:sz w:val="14"/>
        </w:rPr>
        <w:t xml:space="preserve"> </w:t>
      </w:r>
      <w:r w:rsidR="00DC2C90" w:rsidRPr="00C61A9B">
        <w:t>tocilizumab</w:t>
      </w:r>
      <w:r w:rsidR="00DC2C90">
        <w:t xml:space="preserve">u </w:t>
      </w:r>
      <w:r w:rsidRPr="00EE3355">
        <w:t>byla 24,4 ± 17,5 μg/ml a C</w:t>
      </w:r>
      <w:r w:rsidRPr="00EE3355">
        <w:rPr>
          <w:vertAlign w:val="subscript"/>
        </w:rPr>
        <w:t>max</w:t>
      </w:r>
      <w:r w:rsidRPr="00EE3355">
        <w:rPr>
          <w:sz w:val="14"/>
        </w:rPr>
        <w:t xml:space="preserve"> </w:t>
      </w:r>
      <w:r w:rsidR="00DC2C90" w:rsidRPr="00C61A9B">
        <w:t>tocilizumab</w:t>
      </w:r>
      <w:r w:rsidR="00DC2C90">
        <w:t xml:space="preserve">u </w:t>
      </w:r>
      <w:r w:rsidRPr="00EE3355">
        <w:t xml:space="preserve">byla 226 ± 50,3 μg/ml, což jsou vyšší hodnoty, než hodnoty při průměrné expozici u výše uvedeného souboru pacientů (tj. všechny tělesné hmotnosti). Křivka odpovědi na dávku se u </w:t>
      </w:r>
      <w:r w:rsidR="00DC2C90" w:rsidRPr="00C61A9B">
        <w:t>tocilizumab</w:t>
      </w:r>
      <w:r w:rsidR="00DC2C90">
        <w:t xml:space="preserve">u </w:t>
      </w:r>
      <w:r w:rsidRPr="00EE3355">
        <w:t xml:space="preserve">při vyšších expozicích zplošťuje, což vede k nižšímu nárůstu účinnosti pro každé další navýšení koncentrace </w:t>
      </w:r>
      <w:r w:rsidR="00DC2C90" w:rsidRPr="00C61A9B">
        <w:t>tocilizumab</w:t>
      </w:r>
      <w:r w:rsidR="00DC2C90">
        <w:t>u</w:t>
      </w:r>
      <w:r w:rsidRPr="00EE3355">
        <w:t xml:space="preserve">, takže u pacientů léčených </w:t>
      </w:r>
      <w:r w:rsidR="00DC2C90" w:rsidRPr="00C61A9B">
        <w:t>tocilizumab</w:t>
      </w:r>
      <w:r w:rsidR="00DC2C90">
        <w:t xml:space="preserve">em </w:t>
      </w:r>
      <w:r w:rsidRPr="00EE3355">
        <w:t xml:space="preserve">v dávce &gt; 800 mg již nedochází k dalšímu smysluplnému zvýšení účinnosti. Dávky </w:t>
      </w:r>
      <w:r w:rsidR="00DC2C90" w:rsidRPr="00C61A9B">
        <w:t>tocilizumab</w:t>
      </w:r>
      <w:r w:rsidR="00DC2C90">
        <w:t xml:space="preserve">u </w:t>
      </w:r>
      <w:r w:rsidRPr="00EE3355">
        <w:t>vyšší než 800 mg na infuzi proto nejsou doporučeny (viz bod 4.2).</w:t>
      </w:r>
    </w:p>
    <w:p w14:paraId="42518DEF" w14:textId="77777777" w:rsidR="005A49EF" w:rsidRPr="00EE3355" w:rsidRDefault="005A49EF" w:rsidP="00EA1CDF">
      <w:pPr>
        <w:pStyle w:val="a3"/>
        <w:widowControl/>
        <w:ind w:left="0"/>
      </w:pPr>
    </w:p>
    <w:p w14:paraId="4DBEDCFE" w14:textId="77777777" w:rsidR="00222DE0" w:rsidRPr="00EE3355" w:rsidRDefault="0098273B" w:rsidP="00B93217">
      <w:pPr>
        <w:pStyle w:val="a3"/>
        <w:keepNext/>
        <w:widowControl/>
        <w:ind w:left="0"/>
      </w:pPr>
      <w:r w:rsidRPr="00EE3355">
        <w:rPr>
          <w:u w:val="single"/>
        </w:rPr>
        <w:t>Distribuce</w:t>
      </w:r>
    </w:p>
    <w:p w14:paraId="2E30EDF1" w14:textId="77777777" w:rsidR="00222DE0" w:rsidRPr="00EE3355" w:rsidRDefault="0098273B" w:rsidP="00EA1CDF">
      <w:pPr>
        <w:pStyle w:val="a3"/>
        <w:widowControl/>
        <w:ind w:left="0"/>
      </w:pPr>
      <w:r w:rsidRPr="00EE3355">
        <w:t>Centrální distribuční objem u pacientů s GCA byl 3,72 l, periferní distribuční objem byl 3,35 l;</w:t>
      </w:r>
      <w:r w:rsidR="005A49EF" w:rsidRPr="00EE3355">
        <w:t xml:space="preserve"> </w:t>
      </w:r>
      <w:r w:rsidRPr="00EE3355">
        <w:t>distribuční objem v ustáleném stavu tak činil 7,07 l.</w:t>
      </w:r>
    </w:p>
    <w:p w14:paraId="2624FF15" w14:textId="77777777" w:rsidR="00222DE0" w:rsidRPr="00EE3355" w:rsidRDefault="00222DE0" w:rsidP="00EA1CDF">
      <w:pPr>
        <w:pStyle w:val="a3"/>
        <w:widowControl/>
        <w:ind w:left="0"/>
      </w:pPr>
    </w:p>
    <w:p w14:paraId="745A9BDF" w14:textId="77777777" w:rsidR="00222DE0" w:rsidRPr="00EE3355" w:rsidRDefault="0098273B" w:rsidP="00EA1CDF">
      <w:pPr>
        <w:pStyle w:val="a3"/>
        <w:keepNext/>
        <w:widowControl/>
        <w:ind w:left="0"/>
      </w:pPr>
      <w:r w:rsidRPr="00EE3355">
        <w:rPr>
          <w:u w:val="single"/>
        </w:rPr>
        <w:t>Eliminace</w:t>
      </w:r>
    </w:p>
    <w:p w14:paraId="531AB2A5" w14:textId="0AC3DAFC" w:rsidR="00222DE0" w:rsidRPr="00EE3355" w:rsidRDefault="003E54FF" w:rsidP="00EA1CDF">
      <w:pPr>
        <w:pStyle w:val="a3"/>
        <w:widowControl/>
        <w:ind w:left="0"/>
      </w:pPr>
      <w:r w:rsidRPr="001879E9">
        <w:t>Tocilizumab</w:t>
      </w:r>
      <w:r>
        <w:t xml:space="preserve"> </w:t>
      </w:r>
      <w:r w:rsidR="0098273B" w:rsidRPr="00EE3355">
        <w:t xml:space="preserve">prochází po intravenózním podání dvoufázovou eliminací z cirkulace. Celková clearance </w:t>
      </w:r>
      <w:r w:rsidR="00DC2C90" w:rsidRPr="00C61A9B">
        <w:t>tocilizumab</w:t>
      </w:r>
      <w:r w:rsidR="00DC2C90">
        <w:t xml:space="preserve">u </w:t>
      </w:r>
      <w:r w:rsidR="0098273B" w:rsidRPr="00EE3355">
        <w:t xml:space="preserve">byla závislá na koncentraci a je součtem lineární a nelineární clearance. Lineární clearance byla stanovena odhadem jako parametr v populační farmakokinetické analýze a byla 9,5 ml/h. Při nízkých koncentracích </w:t>
      </w:r>
      <w:r w:rsidR="00DC2C90" w:rsidRPr="00C61A9B">
        <w:t>tocilizumab</w:t>
      </w:r>
      <w:r w:rsidR="00DC2C90">
        <w:t xml:space="preserve">u </w:t>
      </w:r>
      <w:r w:rsidR="0098273B" w:rsidRPr="00EE3355">
        <w:t>hraje důležitou roli nelineární clearance závislá na koncentraci. Po saturování nelineárního eliminačního mechanismu při vyšších koncentracích je pro eliminaci rozhodující především lineární clearance.</w:t>
      </w:r>
      <w:r w:rsidR="005A49EF" w:rsidRPr="00EE3355">
        <w:t xml:space="preserve"> </w:t>
      </w:r>
      <w:r w:rsidR="0098273B" w:rsidRPr="00EE3355">
        <w:t>Poločas t</w:t>
      </w:r>
      <w:r w:rsidR="0098273B" w:rsidRPr="00EE3355">
        <w:rPr>
          <w:sz w:val="14"/>
        </w:rPr>
        <w:t xml:space="preserve">1/2 </w:t>
      </w:r>
      <w:r w:rsidR="00DC2C90" w:rsidRPr="00C61A9B">
        <w:t>tocilizumab</w:t>
      </w:r>
      <w:r w:rsidR="00DC2C90">
        <w:t xml:space="preserve">u </w:t>
      </w:r>
      <w:r w:rsidR="0098273B" w:rsidRPr="00EE3355">
        <w:t>závisí na koncentraci. V ustáleném stavu po podání dávky 8 mg/kg každé 4 týdny klesá efektivní t</w:t>
      </w:r>
      <w:r w:rsidR="0098273B" w:rsidRPr="00EE3355">
        <w:rPr>
          <w:sz w:val="14"/>
        </w:rPr>
        <w:t xml:space="preserve">1/2 </w:t>
      </w:r>
      <w:r w:rsidR="0098273B" w:rsidRPr="00EE3355">
        <w:t>s poklesem koncentrace během dávkovacího intervalu od 18 do 6 dní.</w:t>
      </w:r>
    </w:p>
    <w:p w14:paraId="42444EDD" w14:textId="77777777" w:rsidR="005A49EF" w:rsidRPr="00EE3355" w:rsidRDefault="005A49EF" w:rsidP="00EA1CDF">
      <w:pPr>
        <w:pStyle w:val="a3"/>
        <w:widowControl/>
        <w:ind w:left="0"/>
      </w:pPr>
    </w:p>
    <w:p w14:paraId="519255D7" w14:textId="77777777" w:rsidR="00222DE0" w:rsidRPr="00EE3355" w:rsidRDefault="0098273B" w:rsidP="00EA1CDF">
      <w:pPr>
        <w:pStyle w:val="a3"/>
        <w:widowControl/>
        <w:ind w:left="0"/>
      </w:pPr>
      <w:r w:rsidRPr="00EE3355">
        <w:rPr>
          <w:u w:val="single"/>
        </w:rPr>
        <w:t>Linearita</w:t>
      </w:r>
    </w:p>
    <w:p w14:paraId="75F405F9" w14:textId="16B4A38E" w:rsidR="00222DE0" w:rsidRPr="00EE3355" w:rsidRDefault="0098273B" w:rsidP="00EA1CDF">
      <w:pPr>
        <w:pStyle w:val="a3"/>
        <w:widowControl/>
        <w:ind w:left="0"/>
      </w:pPr>
      <w:r w:rsidRPr="00EE3355">
        <w:t xml:space="preserve">Farmakokinetické parametry </w:t>
      </w:r>
      <w:r w:rsidR="00DC2C90" w:rsidRPr="00C61A9B">
        <w:t>tocilizumab</w:t>
      </w:r>
      <w:r w:rsidR="00DC2C90">
        <w:t xml:space="preserve">u </w:t>
      </w:r>
      <w:r w:rsidRPr="00EE3355">
        <w:t>se v čase nemění. Při dávkách 4 a 8 mg/kg podávaných jednou za 4 týdny se AUC a C</w:t>
      </w:r>
      <w:r w:rsidR="00C5127F" w:rsidRPr="00EE3355">
        <w:rPr>
          <w:vertAlign w:val="subscript"/>
        </w:rPr>
        <w:t>min</w:t>
      </w:r>
      <w:r w:rsidRPr="00EE3355">
        <w:rPr>
          <w:sz w:val="14"/>
        </w:rPr>
        <w:t xml:space="preserve"> </w:t>
      </w:r>
      <w:r w:rsidRPr="00EE3355">
        <w:t>zvyšovaly více, než je úměrné dávce. C</w:t>
      </w:r>
      <w:r w:rsidR="00C5127F" w:rsidRPr="00EE3355">
        <w:rPr>
          <w:vertAlign w:val="subscript"/>
        </w:rPr>
        <w:t>max</w:t>
      </w:r>
      <w:r w:rsidRPr="00EE3355">
        <w:rPr>
          <w:sz w:val="14"/>
        </w:rPr>
        <w:t xml:space="preserve"> </w:t>
      </w:r>
      <w:r w:rsidRPr="00EE3355">
        <w:t xml:space="preserve">se zvyšovala úměrně </w:t>
      </w:r>
      <w:r w:rsidRPr="00EE3355">
        <w:lastRenderedPageBreak/>
        <w:t>dávce. V ustáleném stavu po podání dávky 8 mg/kg byla předpokládaná hodnota AUC 3,2 x a hodnota C</w:t>
      </w:r>
      <w:r w:rsidR="00C5127F" w:rsidRPr="00EE3355">
        <w:rPr>
          <w:vertAlign w:val="subscript"/>
        </w:rPr>
        <w:t>min</w:t>
      </w:r>
      <w:r w:rsidRPr="00EE3355">
        <w:rPr>
          <w:sz w:val="14"/>
        </w:rPr>
        <w:t xml:space="preserve"> </w:t>
      </w:r>
      <w:r w:rsidRPr="00EE3355">
        <w:t>30 x vyšší než po dávce 4 mg/kg.</w:t>
      </w:r>
    </w:p>
    <w:p w14:paraId="2D961EBD" w14:textId="77777777" w:rsidR="00222DE0" w:rsidRPr="00EE3355" w:rsidRDefault="00222DE0" w:rsidP="00EA1CDF">
      <w:pPr>
        <w:pStyle w:val="a3"/>
        <w:widowControl/>
        <w:ind w:left="0"/>
      </w:pPr>
    </w:p>
    <w:p w14:paraId="7326071B" w14:textId="77777777" w:rsidR="00222DE0" w:rsidRPr="00EE3355" w:rsidRDefault="0098273B" w:rsidP="002265A0">
      <w:pPr>
        <w:pStyle w:val="a3"/>
        <w:keepNext/>
        <w:widowControl/>
        <w:ind w:left="0"/>
        <w:jc w:val="both"/>
      </w:pPr>
      <w:r w:rsidRPr="00EE3355">
        <w:rPr>
          <w:u w:val="single"/>
        </w:rPr>
        <w:t>Subkutánní podání</w:t>
      </w:r>
    </w:p>
    <w:p w14:paraId="14EB9DD5" w14:textId="51DC7E91" w:rsidR="00222DE0" w:rsidRPr="00EE3355" w:rsidRDefault="0098273B" w:rsidP="00EA1CDF">
      <w:pPr>
        <w:pStyle w:val="a3"/>
        <w:widowControl/>
        <w:ind w:left="0"/>
        <w:jc w:val="both"/>
      </w:pPr>
      <w:r w:rsidRPr="00EE3355">
        <w:t xml:space="preserve">Ke stanovení farmakokinetiky </w:t>
      </w:r>
      <w:r w:rsidR="00DC2C90" w:rsidRPr="00C61A9B">
        <w:t>tocilizumab</w:t>
      </w:r>
      <w:r w:rsidR="00DC2C90">
        <w:t xml:space="preserve">u </w:t>
      </w:r>
      <w:r w:rsidRPr="00EE3355">
        <w:t xml:space="preserve">byla použita populační farmakokinetická analýza databáze složené ze 3 552 pacientů s RA léčených podáním 162 mg </w:t>
      </w:r>
      <w:r w:rsidR="00DC2C90" w:rsidRPr="00C61A9B">
        <w:t>tocilizumab</w:t>
      </w:r>
      <w:r w:rsidR="00DC2C90">
        <w:t xml:space="preserve">u </w:t>
      </w:r>
      <w:r w:rsidRPr="00EE3355">
        <w:t>subkutánně jednou týdně, 162 mg subkutánně dvakrát týdně a 4 nebo 8 mg/kg intravenózně každé 4 týdny po dobu 24 týdnů.</w:t>
      </w:r>
    </w:p>
    <w:p w14:paraId="2E12B425" w14:textId="77777777" w:rsidR="005A49EF" w:rsidRPr="00EE3355" w:rsidRDefault="005A49EF" w:rsidP="00EA1CDF">
      <w:pPr>
        <w:pStyle w:val="a3"/>
        <w:widowControl/>
        <w:ind w:left="0"/>
        <w:jc w:val="both"/>
      </w:pPr>
    </w:p>
    <w:p w14:paraId="1E95B906" w14:textId="29B64CA9" w:rsidR="00222DE0" w:rsidRPr="00EE3355" w:rsidRDefault="0098273B" w:rsidP="00EA1CDF">
      <w:pPr>
        <w:pStyle w:val="a3"/>
        <w:widowControl/>
        <w:ind w:left="0"/>
        <w:jc w:val="both"/>
      </w:pPr>
      <w:r w:rsidRPr="00EE3355">
        <w:t xml:space="preserve">Farmakokinetické parametry </w:t>
      </w:r>
      <w:r w:rsidR="00DC2C90" w:rsidRPr="00C61A9B">
        <w:t>tocilizumab</w:t>
      </w:r>
      <w:r w:rsidR="00DC2C90">
        <w:t xml:space="preserve">u </w:t>
      </w:r>
      <w:r w:rsidRPr="00EE3355">
        <w:t xml:space="preserve">se v čase nemění. U dávky 162 mg </w:t>
      </w:r>
      <w:r w:rsidR="00DC2C90" w:rsidRPr="00C61A9B">
        <w:t>tocilizumab</w:t>
      </w:r>
      <w:r w:rsidR="00DC2C90">
        <w:t xml:space="preserve">u </w:t>
      </w:r>
      <w:r w:rsidRPr="00EE3355">
        <w:t>podané jednou týdně byl předpokládaný průměr (± SD) AUC v ustáleném stavu po</w:t>
      </w:r>
      <w:r w:rsidR="005A49EF" w:rsidRPr="00EE3355">
        <w:t xml:space="preserve"> </w:t>
      </w:r>
      <w:r w:rsidR="00B23DAE" w:rsidRPr="00EE3355">
        <w:t>1</w:t>
      </w:r>
      <w:r w:rsidRPr="00EE3355">
        <w:t>týdnu 7 970 ± 3 432 h•µg/ml, C</w:t>
      </w:r>
      <w:r w:rsidR="00C5127F" w:rsidRPr="00EE3355">
        <w:rPr>
          <w:vertAlign w:val="subscript"/>
        </w:rPr>
        <w:t>min</w:t>
      </w:r>
      <w:r w:rsidRPr="00EE3355">
        <w:rPr>
          <w:sz w:val="14"/>
        </w:rPr>
        <w:t xml:space="preserve"> </w:t>
      </w:r>
      <w:r w:rsidRPr="00EE3355">
        <w:t>43,0 ± 19,8 µg/ml a C</w:t>
      </w:r>
      <w:r w:rsidR="00391AE8" w:rsidRPr="00EE3355">
        <w:rPr>
          <w:vertAlign w:val="subscript"/>
        </w:rPr>
        <w:t>max</w:t>
      </w:r>
      <w:r w:rsidRPr="00EE3355">
        <w:rPr>
          <w:sz w:val="14"/>
        </w:rPr>
        <w:t xml:space="preserve"> </w:t>
      </w:r>
      <w:r w:rsidRPr="00EE3355">
        <w:t>49,8 ± 21,0 µg/ml. Akumulační poměry byly 6,32 pro AUC, 6,30 pro C</w:t>
      </w:r>
      <w:r w:rsidR="00C5127F" w:rsidRPr="00EE3355">
        <w:rPr>
          <w:vertAlign w:val="subscript"/>
        </w:rPr>
        <w:t>min</w:t>
      </w:r>
      <w:r w:rsidRPr="00EE3355">
        <w:rPr>
          <w:sz w:val="14"/>
        </w:rPr>
        <w:t xml:space="preserve"> </w:t>
      </w:r>
      <w:r w:rsidRPr="00EE3355">
        <w:t>a 5,27 pro C</w:t>
      </w:r>
      <w:r w:rsidR="00391AE8" w:rsidRPr="00EE3355">
        <w:rPr>
          <w:vertAlign w:val="subscript"/>
        </w:rPr>
        <w:t>max</w:t>
      </w:r>
      <w:r w:rsidRPr="00EE3355">
        <w:t>. Ustálený stav pro AUC, C</w:t>
      </w:r>
      <w:r w:rsidR="00C5127F" w:rsidRPr="00EE3355">
        <w:rPr>
          <w:vertAlign w:val="subscript"/>
        </w:rPr>
        <w:t>min</w:t>
      </w:r>
      <w:r w:rsidRPr="00EE3355">
        <w:rPr>
          <w:sz w:val="14"/>
        </w:rPr>
        <w:t xml:space="preserve"> </w:t>
      </w:r>
      <w:r w:rsidRPr="00EE3355">
        <w:t>a C</w:t>
      </w:r>
      <w:r w:rsidR="00391AE8" w:rsidRPr="00EE3355">
        <w:rPr>
          <w:vertAlign w:val="subscript"/>
        </w:rPr>
        <w:t>max</w:t>
      </w:r>
      <w:r w:rsidRPr="00EE3355">
        <w:rPr>
          <w:sz w:val="14"/>
        </w:rPr>
        <w:t xml:space="preserve"> </w:t>
      </w:r>
      <w:r w:rsidRPr="00EE3355">
        <w:t>byl dosažen po 12 týdnech.</w:t>
      </w:r>
    </w:p>
    <w:p w14:paraId="70E7DCE4" w14:textId="77777777" w:rsidR="00222DE0" w:rsidRPr="00EE3355" w:rsidRDefault="00222DE0" w:rsidP="00EA1CDF">
      <w:pPr>
        <w:widowControl/>
        <w:jc w:val="both"/>
      </w:pPr>
    </w:p>
    <w:p w14:paraId="0A11FC23" w14:textId="51A7C363" w:rsidR="005A49EF" w:rsidRPr="00EE3355" w:rsidRDefault="0098273B" w:rsidP="00EA1CDF">
      <w:pPr>
        <w:pStyle w:val="a3"/>
        <w:widowControl/>
        <w:ind w:left="0"/>
      </w:pPr>
      <w:r w:rsidRPr="00EE3355">
        <w:t xml:space="preserve">U dávky 162 mg </w:t>
      </w:r>
      <w:r w:rsidR="00DC2C90" w:rsidRPr="00C61A9B">
        <w:t>tocilizumab</w:t>
      </w:r>
      <w:r w:rsidR="00DC2C90">
        <w:t xml:space="preserve">u </w:t>
      </w:r>
      <w:r w:rsidRPr="00EE3355">
        <w:t>podané každé dva týdny byl předpokládaný průměr (± SD) AUC v ustáleném stavu po 2 týdnech 3 430 ± 2 660 h•µg/ml, C</w:t>
      </w:r>
      <w:r w:rsidR="00C5127F" w:rsidRPr="00EE3355">
        <w:rPr>
          <w:vertAlign w:val="subscript"/>
        </w:rPr>
        <w:t>min</w:t>
      </w:r>
      <w:r w:rsidRPr="00EE3355">
        <w:rPr>
          <w:sz w:val="14"/>
        </w:rPr>
        <w:t xml:space="preserve"> </w:t>
      </w:r>
      <w:r w:rsidRPr="00EE3355">
        <w:t>5,7 ± 6,8 µg/ml a C</w:t>
      </w:r>
      <w:r w:rsidR="00391AE8" w:rsidRPr="00EE3355">
        <w:rPr>
          <w:vertAlign w:val="subscript"/>
        </w:rPr>
        <w:t>max</w:t>
      </w:r>
      <w:r w:rsidR="005A49EF" w:rsidRPr="00EE3355">
        <w:rPr>
          <w:sz w:val="14"/>
        </w:rPr>
        <w:t xml:space="preserve"> </w:t>
      </w:r>
      <w:r w:rsidRPr="00EE3355">
        <w:t>13,2 ± 8,8 µg/ml. Akumulační poměry byly 2,67 pro AUC, 6,02 pro C</w:t>
      </w:r>
      <w:r w:rsidR="00C5127F" w:rsidRPr="00EE3355">
        <w:rPr>
          <w:vertAlign w:val="subscript"/>
        </w:rPr>
        <w:t>min</w:t>
      </w:r>
      <w:r w:rsidRPr="00EE3355">
        <w:rPr>
          <w:sz w:val="14"/>
        </w:rPr>
        <w:t xml:space="preserve"> </w:t>
      </w:r>
      <w:r w:rsidRPr="00EE3355">
        <w:t>a 2,12 pro C</w:t>
      </w:r>
      <w:r w:rsidR="00391AE8" w:rsidRPr="00EE3355">
        <w:rPr>
          <w:vertAlign w:val="subscript"/>
        </w:rPr>
        <w:t>max</w:t>
      </w:r>
      <w:r w:rsidRPr="00EE3355">
        <w:t>. Ustálený stav pro AUC a C</w:t>
      </w:r>
      <w:r w:rsidR="00C5127F" w:rsidRPr="00EE3355">
        <w:rPr>
          <w:vertAlign w:val="subscript"/>
        </w:rPr>
        <w:t>min</w:t>
      </w:r>
      <w:r w:rsidRPr="00EE3355">
        <w:rPr>
          <w:sz w:val="14"/>
        </w:rPr>
        <w:t xml:space="preserve"> </w:t>
      </w:r>
      <w:r w:rsidRPr="00EE3355">
        <w:t>byl dosažen po 12 týdnech a pro C</w:t>
      </w:r>
      <w:r w:rsidR="00391AE8" w:rsidRPr="00EE3355">
        <w:rPr>
          <w:vertAlign w:val="subscript"/>
        </w:rPr>
        <w:t>max</w:t>
      </w:r>
      <w:r w:rsidRPr="00EE3355">
        <w:rPr>
          <w:sz w:val="14"/>
        </w:rPr>
        <w:t xml:space="preserve"> </w:t>
      </w:r>
      <w:r w:rsidRPr="00EE3355">
        <w:t>po 10 týdnech.</w:t>
      </w:r>
    </w:p>
    <w:p w14:paraId="6F026E01" w14:textId="77777777" w:rsidR="005A49EF" w:rsidRPr="00EE3355" w:rsidRDefault="005A49EF" w:rsidP="00EA1CDF">
      <w:pPr>
        <w:pStyle w:val="a3"/>
        <w:widowControl/>
        <w:ind w:left="0"/>
      </w:pPr>
    </w:p>
    <w:p w14:paraId="4B430B68" w14:textId="77777777" w:rsidR="00222DE0" w:rsidRPr="00EE3355" w:rsidRDefault="0098273B" w:rsidP="00EA1CDF">
      <w:pPr>
        <w:pStyle w:val="a3"/>
        <w:keepNext/>
        <w:widowControl/>
        <w:ind w:left="0"/>
      </w:pPr>
      <w:r w:rsidRPr="00EE3355">
        <w:rPr>
          <w:u w:val="single"/>
        </w:rPr>
        <w:t>Absorpce</w:t>
      </w:r>
    </w:p>
    <w:p w14:paraId="6619761C" w14:textId="2EDE99F5" w:rsidR="00222DE0" w:rsidRPr="00EE3355" w:rsidRDefault="0098273B" w:rsidP="00EA1CDF">
      <w:pPr>
        <w:pStyle w:val="a3"/>
        <w:widowControl/>
        <w:ind w:left="0"/>
      </w:pPr>
      <w:r w:rsidRPr="00EE3355">
        <w:t xml:space="preserve">Po subkutánním podání dávky pacientům s RA byla doba k dosažení vrcholové koncentrace </w:t>
      </w:r>
      <w:r w:rsidR="00DC2C90" w:rsidRPr="00C61A9B">
        <w:t>tocilizumab</w:t>
      </w:r>
      <w:r w:rsidR="00DC2C90">
        <w:t xml:space="preserve">u </w:t>
      </w:r>
      <w:r w:rsidRPr="00EE3355">
        <w:t>v séru t</w:t>
      </w:r>
      <w:r w:rsidR="00391AE8" w:rsidRPr="00EE3355">
        <w:rPr>
          <w:vertAlign w:val="subscript"/>
        </w:rPr>
        <w:t>max</w:t>
      </w:r>
      <w:r w:rsidRPr="00EE3355">
        <w:rPr>
          <w:sz w:val="14"/>
        </w:rPr>
        <w:t xml:space="preserve"> </w:t>
      </w:r>
      <w:r w:rsidRPr="00EE3355">
        <w:t>2,8 dne. Biologická dostupnost subkutánní formy byla 79 %.</w:t>
      </w:r>
    </w:p>
    <w:p w14:paraId="79D50E7F" w14:textId="77777777" w:rsidR="006F1FFE" w:rsidRPr="00EE3355" w:rsidRDefault="006F1FFE" w:rsidP="00EA1CDF">
      <w:pPr>
        <w:pStyle w:val="a3"/>
        <w:widowControl/>
        <w:ind w:left="0"/>
      </w:pPr>
    </w:p>
    <w:p w14:paraId="7D9A27C7" w14:textId="77777777" w:rsidR="00222DE0" w:rsidRPr="00EE3355" w:rsidRDefault="0098273B" w:rsidP="00EA1CDF">
      <w:pPr>
        <w:pStyle w:val="a3"/>
        <w:widowControl/>
        <w:ind w:left="0"/>
      </w:pPr>
      <w:r w:rsidRPr="00EE3355">
        <w:rPr>
          <w:u w:val="single"/>
        </w:rPr>
        <w:t>Eliminace</w:t>
      </w:r>
    </w:p>
    <w:p w14:paraId="1DF4F10F" w14:textId="77777777" w:rsidR="00222DE0" w:rsidRPr="00EE3355" w:rsidRDefault="0098273B" w:rsidP="00EA1CDF">
      <w:pPr>
        <w:pStyle w:val="a3"/>
        <w:widowControl/>
        <w:ind w:left="0"/>
      </w:pPr>
      <w:r w:rsidRPr="00EE3355">
        <w:t>U subkutánního podání pacientům s RA v ustáleném stavu je zdánlivý poločas závislý na koncentraci t</w:t>
      </w:r>
      <w:r w:rsidRPr="00EE3355">
        <w:rPr>
          <w:sz w:val="14"/>
        </w:rPr>
        <w:t xml:space="preserve">1/2 </w:t>
      </w:r>
      <w:r w:rsidRPr="00EE3355">
        <w:t>až 12 dnů při dávce 162 mg jednou týdně a až 5 dnů při dávce 162 mg každé dva týdny.</w:t>
      </w:r>
    </w:p>
    <w:p w14:paraId="58D0985A" w14:textId="77777777" w:rsidR="006F1FFE" w:rsidRPr="00EE3355" w:rsidRDefault="006F1FFE" w:rsidP="00EA1CDF">
      <w:pPr>
        <w:pStyle w:val="a3"/>
        <w:widowControl/>
        <w:ind w:left="0"/>
      </w:pPr>
    </w:p>
    <w:p w14:paraId="55718E9C" w14:textId="77777777" w:rsidR="00222DE0" w:rsidRPr="00EE3355" w:rsidRDefault="0098273B" w:rsidP="00EA1CDF">
      <w:pPr>
        <w:pStyle w:val="a3"/>
        <w:widowControl/>
        <w:ind w:left="0"/>
      </w:pPr>
      <w:r w:rsidRPr="00EE3355">
        <w:rPr>
          <w:u w:val="single"/>
        </w:rPr>
        <w:t>sJIA</w:t>
      </w:r>
    </w:p>
    <w:p w14:paraId="0078CF51" w14:textId="77777777" w:rsidR="00222DE0" w:rsidRPr="00EE3355" w:rsidRDefault="0098273B" w:rsidP="00EA1CDF">
      <w:pPr>
        <w:pStyle w:val="a3"/>
        <w:widowControl/>
        <w:ind w:left="0"/>
      </w:pPr>
      <w:r w:rsidRPr="00EE3355">
        <w:rPr>
          <w:u w:val="single"/>
        </w:rPr>
        <w:t>Subkutánní podání</w:t>
      </w:r>
    </w:p>
    <w:p w14:paraId="35B60555" w14:textId="2CC51DE7" w:rsidR="00222DE0" w:rsidRPr="00EE3355" w:rsidRDefault="0098273B" w:rsidP="00EA1CDF">
      <w:pPr>
        <w:pStyle w:val="a3"/>
        <w:widowControl/>
        <w:ind w:left="0"/>
      </w:pPr>
      <w:r w:rsidRPr="00EE3355">
        <w:t xml:space="preserve">Farmakokinetika </w:t>
      </w:r>
      <w:r w:rsidR="00DC2C90" w:rsidRPr="00C61A9B">
        <w:t>tocilizumab</w:t>
      </w:r>
      <w:r w:rsidR="00DC2C90">
        <w:t xml:space="preserve">u </w:t>
      </w:r>
      <w:r w:rsidRPr="00EE3355">
        <w:t>u pacientů se sJIA byla charakterizována populační farmakokinetickou analýzou, která zahrnovala 140 pacientů léčených dávkou 8 mg/kg podanou intravenózně každé 2 týdny (pacienti s tělesnou hmotností ≥ 30 kg), 12 mg/kg podanou intravenózně každé 2 týdny (pacienti s tělesnou hmotností &lt; 30 kg), 162 mg podanou subkutánně každý týden (pacienti s tělesnou hmotností ≥ 30 kg), 162 mg podanou subkutánně každých 10 dnů nebo každé</w:t>
      </w:r>
      <w:r w:rsidR="006F1FFE" w:rsidRPr="00EE3355">
        <w:t xml:space="preserve"> </w:t>
      </w:r>
      <w:r w:rsidR="00B23DAE" w:rsidRPr="00EE3355">
        <w:t>2</w:t>
      </w:r>
      <w:r w:rsidRPr="00EE3355">
        <w:t>týdny (pacienti s tělesnou hmotností &lt; 30 kg).</w:t>
      </w:r>
    </w:p>
    <w:p w14:paraId="22F75C7B" w14:textId="77777777" w:rsidR="00222DE0" w:rsidRPr="00EE3355" w:rsidRDefault="00222DE0" w:rsidP="00EA1CDF">
      <w:pPr>
        <w:pStyle w:val="a3"/>
        <w:widowControl/>
        <w:ind w:left="0"/>
      </w:pPr>
    </w:p>
    <w:p w14:paraId="06A3AE62" w14:textId="2118EEDA" w:rsidR="00222DE0" w:rsidRPr="00EE3355" w:rsidRDefault="0098273B" w:rsidP="00EA1CDF">
      <w:pPr>
        <w:pStyle w:val="a3"/>
        <w:widowControl/>
        <w:ind w:left="0"/>
      </w:pPr>
      <w:r w:rsidRPr="00EE3355">
        <w:t xml:space="preserve">Jsou k dispozici omezené údaje o expozicích po subkutánním podání </w:t>
      </w:r>
      <w:r w:rsidR="00DC2C90" w:rsidRPr="00C61A9B">
        <w:t>tocilizumab</w:t>
      </w:r>
      <w:r w:rsidR="00DC2C90">
        <w:t xml:space="preserve">u </w:t>
      </w:r>
      <w:r w:rsidRPr="00EE3355">
        <w:t>pacientům</w:t>
      </w:r>
      <w:r w:rsidR="006F1FFE" w:rsidRPr="00EE3355">
        <w:t xml:space="preserve"> </w:t>
      </w:r>
      <w:r w:rsidRPr="00EE3355">
        <w:t>se sJIA mladším než 2 roky s tělesnou hmotností &lt; 10 kg.</w:t>
      </w:r>
    </w:p>
    <w:p w14:paraId="506594F5" w14:textId="77777777" w:rsidR="00222DE0" w:rsidRPr="00EE3355" w:rsidRDefault="00222DE0" w:rsidP="00EA1CDF">
      <w:pPr>
        <w:pStyle w:val="a3"/>
        <w:widowControl/>
        <w:ind w:left="0"/>
      </w:pPr>
    </w:p>
    <w:p w14:paraId="64104D0C" w14:textId="548FE30E" w:rsidR="00222DE0" w:rsidRPr="00EE3355" w:rsidRDefault="0098273B" w:rsidP="00EA1CDF">
      <w:pPr>
        <w:pStyle w:val="a3"/>
        <w:widowControl/>
        <w:ind w:left="0"/>
      </w:pPr>
      <w:r w:rsidRPr="00EE3355">
        <w:t xml:space="preserve">Pro subkutánní podání </w:t>
      </w:r>
      <w:r w:rsidR="00DC2C90" w:rsidRPr="00C61A9B">
        <w:t>tocilizumab</w:t>
      </w:r>
      <w:r w:rsidR="00DC2C90">
        <w:t xml:space="preserve">u </w:t>
      </w:r>
      <w:r w:rsidRPr="00EE3355">
        <w:t>musí mít pacienti se sJIA tělesnou hmotnost alespoň 10</w:t>
      </w:r>
      <w:r w:rsidR="006F1FFE" w:rsidRPr="00EE3355">
        <w:t xml:space="preserve"> </w:t>
      </w:r>
      <w:r w:rsidRPr="00EE3355">
        <w:t>kg (viz bod 4.2).</w:t>
      </w:r>
    </w:p>
    <w:p w14:paraId="6068C197" w14:textId="77777777" w:rsidR="006F1FFE" w:rsidRPr="00EE3355" w:rsidRDefault="006F1FFE" w:rsidP="00EA1CDF">
      <w:pPr>
        <w:pStyle w:val="a3"/>
        <w:widowControl/>
        <w:ind w:left="0"/>
      </w:pPr>
    </w:p>
    <w:p w14:paraId="2DD79DD7" w14:textId="77777777" w:rsidR="00222DE0" w:rsidRPr="00EE3355" w:rsidRDefault="0098273B" w:rsidP="00EA1CDF">
      <w:pPr>
        <w:keepNext/>
        <w:widowControl/>
        <w:ind w:left="1418" w:hanging="1418"/>
        <w:rPr>
          <w:i/>
        </w:rPr>
      </w:pPr>
      <w:r w:rsidRPr="00EE3355">
        <w:rPr>
          <w:i/>
        </w:rPr>
        <w:t>Tabulka 8.</w:t>
      </w:r>
      <w:r w:rsidR="008535C4" w:rsidRPr="00EE3355">
        <w:rPr>
          <w:i/>
        </w:rPr>
        <w:tab/>
      </w:r>
      <w:r w:rsidRPr="00EE3355">
        <w:rPr>
          <w:i/>
        </w:rPr>
        <w:t>Predikované střední hodnoty ± SD pro farmakokinetické parametry v ustáleném stavu po subkutánním podání pacientům se sJIA</w:t>
      </w:r>
    </w:p>
    <w:p w14:paraId="43CF0EBB" w14:textId="77777777" w:rsidR="00222DE0" w:rsidRPr="00EE3355" w:rsidRDefault="00222DE0" w:rsidP="00EA1CDF">
      <w:pPr>
        <w:pStyle w:val="a3"/>
        <w:keepNext/>
        <w:widowControl/>
        <w:ind w:left="0"/>
        <w:rPr>
          <w:i/>
          <w:sz w:val="20"/>
        </w:rPr>
      </w:pP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696"/>
        <w:gridCol w:w="2477"/>
        <w:gridCol w:w="2650"/>
      </w:tblGrid>
      <w:tr w:rsidR="00222DE0" w:rsidRPr="002265A0" w14:paraId="1F1D4ADE" w14:textId="77777777" w:rsidTr="001B021A">
        <w:trPr>
          <w:cantSplit/>
          <w:trHeight w:val="20"/>
          <w:tblHeader/>
        </w:trPr>
        <w:tc>
          <w:tcPr>
            <w:tcW w:w="3696" w:type="dxa"/>
          </w:tcPr>
          <w:p w14:paraId="7974FCAA" w14:textId="2E22E9E4" w:rsidR="00222DE0" w:rsidRPr="002265A0" w:rsidRDefault="0098273B" w:rsidP="00EA1CDF">
            <w:pPr>
              <w:pStyle w:val="TableParagraph"/>
              <w:widowControl/>
              <w:rPr>
                <w:b/>
                <w:u w:val="single"/>
              </w:rPr>
            </w:pPr>
            <w:r w:rsidRPr="002265A0">
              <w:rPr>
                <w:b/>
                <w:u w:val="single"/>
              </w:rPr>
              <w:t>PK parametr</w:t>
            </w:r>
            <w:r w:rsidR="00B4037B" w:rsidRPr="002265A0">
              <w:rPr>
                <w:b/>
                <w:u w:val="single"/>
              </w:rPr>
              <w:t xml:space="preserve"> </w:t>
            </w:r>
            <w:r w:rsidR="00DC2C90" w:rsidRPr="00B93217">
              <w:rPr>
                <w:b/>
                <w:bCs/>
                <w:u w:val="single"/>
              </w:rPr>
              <w:t>tocilizumab</w:t>
            </w:r>
          </w:p>
        </w:tc>
        <w:tc>
          <w:tcPr>
            <w:tcW w:w="2477" w:type="dxa"/>
          </w:tcPr>
          <w:p w14:paraId="180DF2B5" w14:textId="77777777" w:rsidR="00222DE0" w:rsidRPr="002265A0" w:rsidRDefault="0098273B" w:rsidP="00EA1CDF">
            <w:pPr>
              <w:pStyle w:val="TableParagraph"/>
              <w:widowControl/>
              <w:ind w:left="-150" w:right="139" w:firstLine="42"/>
              <w:jc w:val="center"/>
              <w:rPr>
                <w:b/>
                <w:u w:val="single"/>
              </w:rPr>
            </w:pPr>
            <w:r w:rsidRPr="002265A0">
              <w:rPr>
                <w:b/>
                <w:u w:val="single"/>
              </w:rPr>
              <w:t>162 mg každý týden</w:t>
            </w:r>
            <w:r w:rsidR="00E03E29" w:rsidRPr="002265A0">
              <w:rPr>
                <w:b/>
                <w:u w:val="single"/>
              </w:rPr>
              <w:t xml:space="preserve"> </w:t>
            </w:r>
            <w:r w:rsidRPr="002265A0">
              <w:rPr>
                <w:b/>
                <w:u w:val="single"/>
              </w:rPr>
              <w:t>≥ 30 kg</w:t>
            </w:r>
          </w:p>
        </w:tc>
        <w:tc>
          <w:tcPr>
            <w:tcW w:w="2650" w:type="dxa"/>
          </w:tcPr>
          <w:p w14:paraId="6A24C16C" w14:textId="77777777" w:rsidR="00222DE0" w:rsidRPr="002265A0" w:rsidRDefault="0098273B" w:rsidP="00EA1CDF">
            <w:pPr>
              <w:pStyle w:val="TableParagraph"/>
              <w:widowControl/>
              <w:ind w:left="-122" w:right="96"/>
              <w:jc w:val="center"/>
              <w:rPr>
                <w:b/>
                <w:u w:val="single"/>
              </w:rPr>
            </w:pPr>
            <w:r w:rsidRPr="002265A0">
              <w:rPr>
                <w:b/>
                <w:u w:val="single"/>
              </w:rPr>
              <w:t>162 mg každé 2 týdny</w:t>
            </w:r>
            <w:r w:rsidR="00E03E29" w:rsidRPr="002265A0">
              <w:rPr>
                <w:b/>
                <w:u w:val="single"/>
              </w:rPr>
              <w:t xml:space="preserve"> </w:t>
            </w:r>
            <w:r w:rsidRPr="002265A0">
              <w:rPr>
                <w:b/>
                <w:u w:val="single"/>
              </w:rPr>
              <w:t>&lt; 30 kg</w:t>
            </w:r>
          </w:p>
        </w:tc>
      </w:tr>
      <w:tr w:rsidR="00222DE0" w:rsidRPr="00EE3355" w14:paraId="0BCF1B64" w14:textId="77777777" w:rsidTr="001B021A">
        <w:trPr>
          <w:cantSplit/>
          <w:trHeight w:val="20"/>
        </w:trPr>
        <w:tc>
          <w:tcPr>
            <w:tcW w:w="3696" w:type="dxa"/>
          </w:tcPr>
          <w:p w14:paraId="41CDD913" w14:textId="77777777" w:rsidR="00222DE0" w:rsidRPr="00EE3355" w:rsidRDefault="0098273B" w:rsidP="00EA1CDF">
            <w:pPr>
              <w:pStyle w:val="TableParagraph"/>
              <w:widowControl/>
            </w:pPr>
            <w:r w:rsidRPr="00EE3355">
              <w:t>C</w:t>
            </w:r>
            <w:r w:rsidR="00391AE8" w:rsidRPr="00EE3355">
              <w:rPr>
                <w:vertAlign w:val="subscript"/>
              </w:rPr>
              <w:t>max</w:t>
            </w:r>
            <w:r w:rsidRPr="00EE3355">
              <w:rPr>
                <w:sz w:val="14"/>
              </w:rPr>
              <w:t xml:space="preserve"> </w:t>
            </w:r>
            <w:r w:rsidRPr="00EE3355">
              <w:t>(µg/ml)</w:t>
            </w:r>
          </w:p>
        </w:tc>
        <w:tc>
          <w:tcPr>
            <w:tcW w:w="2477" w:type="dxa"/>
          </w:tcPr>
          <w:p w14:paraId="110D911C" w14:textId="77777777" w:rsidR="00222DE0" w:rsidRPr="00EE3355" w:rsidRDefault="0098273B" w:rsidP="00EA1CDF">
            <w:pPr>
              <w:pStyle w:val="TableParagraph"/>
              <w:widowControl/>
              <w:jc w:val="center"/>
            </w:pPr>
            <w:r w:rsidRPr="00EE3355">
              <w:t>99,8 ± 46,2</w:t>
            </w:r>
          </w:p>
        </w:tc>
        <w:tc>
          <w:tcPr>
            <w:tcW w:w="2650" w:type="dxa"/>
          </w:tcPr>
          <w:p w14:paraId="5084A587" w14:textId="77777777" w:rsidR="00222DE0" w:rsidRPr="00EE3355" w:rsidRDefault="0098273B" w:rsidP="00EA1CDF">
            <w:pPr>
              <w:pStyle w:val="TableParagraph"/>
              <w:widowControl/>
              <w:jc w:val="center"/>
            </w:pPr>
            <w:r w:rsidRPr="00EE3355">
              <w:t>134 ± 58,6</w:t>
            </w:r>
          </w:p>
        </w:tc>
      </w:tr>
      <w:tr w:rsidR="00222DE0" w:rsidRPr="00EE3355" w14:paraId="5B477D1B" w14:textId="77777777" w:rsidTr="001B021A">
        <w:trPr>
          <w:cantSplit/>
          <w:trHeight w:val="20"/>
        </w:trPr>
        <w:tc>
          <w:tcPr>
            <w:tcW w:w="3696" w:type="dxa"/>
          </w:tcPr>
          <w:p w14:paraId="235A7BA9" w14:textId="77777777" w:rsidR="00222DE0" w:rsidRPr="00EE3355" w:rsidRDefault="0098273B" w:rsidP="00EA1CDF">
            <w:pPr>
              <w:pStyle w:val="TableParagraph"/>
              <w:widowControl/>
            </w:pPr>
            <w:r w:rsidRPr="00EE3355">
              <w:t>C</w:t>
            </w:r>
            <w:r w:rsidRPr="00EE3355">
              <w:rPr>
                <w:vertAlign w:val="subscript"/>
              </w:rPr>
              <w:t>min</w:t>
            </w:r>
            <w:r w:rsidRPr="00EE3355">
              <w:rPr>
                <w:sz w:val="14"/>
              </w:rPr>
              <w:t xml:space="preserve"> </w:t>
            </w:r>
            <w:r w:rsidRPr="00EE3355">
              <w:t>(µg/ml)</w:t>
            </w:r>
          </w:p>
        </w:tc>
        <w:tc>
          <w:tcPr>
            <w:tcW w:w="2477" w:type="dxa"/>
          </w:tcPr>
          <w:p w14:paraId="6146BBF0" w14:textId="77777777" w:rsidR="00222DE0" w:rsidRPr="00EE3355" w:rsidRDefault="0098273B" w:rsidP="00EA1CDF">
            <w:pPr>
              <w:pStyle w:val="TableParagraph"/>
              <w:widowControl/>
              <w:jc w:val="center"/>
            </w:pPr>
            <w:r w:rsidRPr="00EE3355">
              <w:t>79,2 ± 35,6</w:t>
            </w:r>
          </w:p>
        </w:tc>
        <w:tc>
          <w:tcPr>
            <w:tcW w:w="2650" w:type="dxa"/>
          </w:tcPr>
          <w:p w14:paraId="71A4D335" w14:textId="77777777" w:rsidR="00222DE0" w:rsidRPr="00EE3355" w:rsidRDefault="0098273B" w:rsidP="00EA1CDF">
            <w:pPr>
              <w:pStyle w:val="TableParagraph"/>
              <w:widowControl/>
              <w:jc w:val="center"/>
            </w:pPr>
            <w:r w:rsidRPr="00EE3355">
              <w:t>65,9 ± 31,3</w:t>
            </w:r>
          </w:p>
        </w:tc>
      </w:tr>
      <w:tr w:rsidR="00222DE0" w:rsidRPr="00EE3355" w14:paraId="488467F0" w14:textId="77777777" w:rsidTr="001B021A">
        <w:trPr>
          <w:cantSplit/>
          <w:trHeight w:val="20"/>
        </w:trPr>
        <w:tc>
          <w:tcPr>
            <w:tcW w:w="3696" w:type="dxa"/>
          </w:tcPr>
          <w:p w14:paraId="60976187" w14:textId="77777777" w:rsidR="00222DE0" w:rsidRPr="00EE3355" w:rsidRDefault="0098273B" w:rsidP="00EA1CDF">
            <w:pPr>
              <w:pStyle w:val="TableParagraph"/>
              <w:widowControl/>
            </w:pPr>
            <w:r w:rsidRPr="00EE3355">
              <w:t>C</w:t>
            </w:r>
            <w:r w:rsidRPr="00EE3355">
              <w:rPr>
                <w:vertAlign w:val="subscript"/>
              </w:rPr>
              <w:t>střední</w:t>
            </w:r>
            <w:r w:rsidRPr="00EE3355">
              <w:rPr>
                <w:sz w:val="14"/>
              </w:rPr>
              <w:t xml:space="preserve"> </w:t>
            </w:r>
            <w:r w:rsidRPr="00EE3355">
              <w:t>(µg/ml)</w:t>
            </w:r>
          </w:p>
        </w:tc>
        <w:tc>
          <w:tcPr>
            <w:tcW w:w="2477" w:type="dxa"/>
          </w:tcPr>
          <w:p w14:paraId="2A856763" w14:textId="77777777" w:rsidR="00222DE0" w:rsidRPr="00EE3355" w:rsidRDefault="0098273B" w:rsidP="00EA1CDF">
            <w:pPr>
              <w:pStyle w:val="TableParagraph"/>
              <w:widowControl/>
              <w:jc w:val="center"/>
            </w:pPr>
            <w:r w:rsidRPr="00EE3355">
              <w:t>91,3 ± 40,4</w:t>
            </w:r>
          </w:p>
        </w:tc>
        <w:tc>
          <w:tcPr>
            <w:tcW w:w="2650" w:type="dxa"/>
          </w:tcPr>
          <w:p w14:paraId="5ADC17A8" w14:textId="77777777" w:rsidR="00222DE0" w:rsidRPr="00EE3355" w:rsidRDefault="0098273B" w:rsidP="00EA1CDF">
            <w:pPr>
              <w:pStyle w:val="TableParagraph"/>
              <w:widowControl/>
              <w:jc w:val="center"/>
            </w:pPr>
            <w:r w:rsidRPr="00EE3355">
              <w:t>101 ± 43,2</w:t>
            </w:r>
          </w:p>
        </w:tc>
      </w:tr>
      <w:tr w:rsidR="00222DE0" w:rsidRPr="00EE3355" w14:paraId="440D13A5" w14:textId="77777777" w:rsidTr="001B021A">
        <w:trPr>
          <w:cantSplit/>
          <w:trHeight w:val="20"/>
        </w:trPr>
        <w:tc>
          <w:tcPr>
            <w:tcW w:w="3696" w:type="dxa"/>
          </w:tcPr>
          <w:p w14:paraId="1A944F36" w14:textId="77777777" w:rsidR="00222DE0" w:rsidRPr="00EE3355" w:rsidRDefault="0098273B" w:rsidP="00EA1CDF">
            <w:pPr>
              <w:pStyle w:val="TableParagraph"/>
              <w:widowControl/>
              <w:rPr>
                <w:sz w:val="14"/>
              </w:rPr>
            </w:pPr>
            <w:r w:rsidRPr="00EE3355">
              <w:t>Koeficient kumulace pro C</w:t>
            </w:r>
            <w:r w:rsidR="00391AE8" w:rsidRPr="00EE3355">
              <w:rPr>
                <w:vertAlign w:val="subscript"/>
              </w:rPr>
              <w:t>max</w:t>
            </w:r>
          </w:p>
        </w:tc>
        <w:tc>
          <w:tcPr>
            <w:tcW w:w="2477" w:type="dxa"/>
          </w:tcPr>
          <w:p w14:paraId="46AF891B" w14:textId="77777777" w:rsidR="00222DE0" w:rsidRPr="00EE3355" w:rsidRDefault="0098273B" w:rsidP="00EA1CDF">
            <w:pPr>
              <w:pStyle w:val="TableParagraph"/>
              <w:widowControl/>
              <w:jc w:val="center"/>
            </w:pPr>
            <w:r w:rsidRPr="00EE3355">
              <w:t>3,66</w:t>
            </w:r>
          </w:p>
        </w:tc>
        <w:tc>
          <w:tcPr>
            <w:tcW w:w="2650" w:type="dxa"/>
          </w:tcPr>
          <w:p w14:paraId="572BBD61" w14:textId="77777777" w:rsidR="00222DE0" w:rsidRPr="00EE3355" w:rsidRDefault="0098273B" w:rsidP="00EA1CDF">
            <w:pPr>
              <w:pStyle w:val="TableParagraph"/>
              <w:widowControl/>
              <w:jc w:val="center"/>
            </w:pPr>
            <w:r w:rsidRPr="00EE3355">
              <w:t>1,88</w:t>
            </w:r>
          </w:p>
        </w:tc>
      </w:tr>
      <w:tr w:rsidR="00222DE0" w:rsidRPr="00EE3355" w14:paraId="78CC2F4B" w14:textId="77777777" w:rsidTr="001B021A">
        <w:trPr>
          <w:cantSplit/>
          <w:trHeight w:val="20"/>
        </w:trPr>
        <w:tc>
          <w:tcPr>
            <w:tcW w:w="3696" w:type="dxa"/>
          </w:tcPr>
          <w:p w14:paraId="44B77FE0" w14:textId="77777777" w:rsidR="00222DE0" w:rsidRPr="00EE3355" w:rsidRDefault="0098273B" w:rsidP="00EA1CDF">
            <w:pPr>
              <w:pStyle w:val="TableParagraph"/>
              <w:widowControl/>
              <w:rPr>
                <w:sz w:val="14"/>
              </w:rPr>
            </w:pPr>
            <w:r w:rsidRPr="00EE3355">
              <w:t>Koeficient kumulace pro C</w:t>
            </w:r>
            <w:r w:rsidRPr="00EE3355">
              <w:rPr>
                <w:vertAlign w:val="subscript"/>
              </w:rPr>
              <w:t>min</w:t>
            </w:r>
          </w:p>
        </w:tc>
        <w:tc>
          <w:tcPr>
            <w:tcW w:w="2477" w:type="dxa"/>
          </w:tcPr>
          <w:p w14:paraId="4EB19389" w14:textId="77777777" w:rsidR="00222DE0" w:rsidRPr="00EE3355" w:rsidRDefault="0098273B" w:rsidP="00EA1CDF">
            <w:pPr>
              <w:pStyle w:val="TableParagraph"/>
              <w:widowControl/>
              <w:jc w:val="center"/>
            </w:pPr>
            <w:r w:rsidRPr="00EE3355">
              <w:t>4,39</w:t>
            </w:r>
          </w:p>
        </w:tc>
        <w:tc>
          <w:tcPr>
            <w:tcW w:w="2650" w:type="dxa"/>
          </w:tcPr>
          <w:p w14:paraId="0D75BC79" w14:textId="77777777" w:rsidR="00222DE0" w:rsidRPr="00EE3355" w:rsidRDefault="0098273B" w:rsidP="00EA1CDF">
            <w:pPr>
              <w:pStyle w:val="TableParagraph"/>
              <w:widowControl/>
              <w:jc w:val="center"/>
            </w:pPr>
            <w:r w:rsidRPr="00EE3355">
              <w:t>3,21</w:t>
            </w:r>
          </w:p>
        </w:tc>
      </w:tr>
      <w:tr w:rsidR="00222DE0" w:rsidRPr="00EE3355" w14:paraId="66515079" w14:textId="77777777" w:rsidTr="001B021A">
        <w:trPr>
          <w:cantSplit/>
          <w:trHeight w:val="20"/>
        </w:trPr>
        <w:tc>
          <w:tcPr>
            <w:tcW w:w="3696" w:type="dxa"/>
          </w:tcPr>
          <w:p w14:paraId="4C3F3912" w14:textId="77777777" w:rsidR="00222DE0" w:rsidRPr="00EE3355" w:rsidRDefault="0098273B" w:rsidP="00EA1CDF">
            <w:pPr>
              <w:pStyle w:val="TableParagraph"/>
              <w:widowControl/>
            </w:pPr>
            <w:r w:rsidRPr="00EE3355">
              <w:t>Koeficient kumulace pro C</w:t>
            </w:r>
            <w:r w:rsidRPr="00EE3355">
              <w:rPr>
                <w:vertAlign w:val="subscript"/>
              </w:rPr>
              <w:t>střední</w:t>
            </w:r>
            <w:r w:rsidRPr="00EE3355">
              <w:rPr>
                <w:sz w:val="14"/>
              </w:rPr>
              <w:t xml:space="preserve"> </w:t>
            </w:r>
            <w:r w:rsidRPr="00EE3355">
              <w:t>nebo</w:t>
            </w:r>
            <w:r w:rsidR="001B021A">
              <w:t xml:space="preserve"> </w:t>
            </w:r>
            <w:r w:rsidRPr="00EE3355">
              <w:t>AUCτ*</w:t>
            </w:r>
          </w:p>
        </w:tc>
        <w:tc>
          <w:tcPr>
            <w:tcW w:w="2477" w:type="dxa"/>
          </w:tcPr>
          <w:p w14:paraId="307D45E0" w14:textId="77777777" w:rsidR="00222DE0" w:rsidRPr="00EE3355" w:rsidRDefault="0098273B" w:rsidP="00EA1CDF">
            <w:pPr>
              <w:pStyle w:val="TableParagraph"/>
              <w:widowControl/>
              <w:jc w:val="center"/>
            </w:pPr>
            <w:r w:rsidRPr="00EE3355">
              <w:t>4,28</w:t>
            </w:r>
          </w:p>
        </w:tc>
        <w:tc>
          <w:tcPr>
            <w:tcW w:w="2650" w:type="dxa"/>
          </w:tcPr>
          <w:p w14:paraId="50EE7026" w14:textId="77777777" w:rsidR="00222DE0" w:rsidRPr="00EE3355" w:rsidRDefault="0098273B" w:rsidP="00EA1CDF">
            <w:pPr>
              <w:pStyle w:val="TableParagraph"/>
              <w:widowControl/>
              <w:jc w:val="center"/>
            </w:pPr>
            <w:r w:rsidRPr="00EE3355">
              <w:t>2,27</w:t>
            </w:r>
          </w:p>
        </w:tc>
      </w:tr>
    </w:tbl>
    <w:p w14:paraId="588916A9" w14:textId="77777777" w:rsidR="00222DE0" w:rsidRPr="00EE3355" w:rsidRDefault="0098273B" w:rsidP="00EA1CDF">
      <w:pPr>
        <w:widowControl/>
        <w:rPr>
          <w:sz w:val="18"/>
        </w:rPr>
      </w:pPr>
      <w:r w:rsidRPr="00EE3355">
        <w:rPr>
          <w:sz w:val="18"/>
        </w:rPr>
        <w:t>*τ = 1 týden, resp. 2 týdny u dvou subkutánních režimů</w:t>
      </w:r>
    </w:p>
    <w:p w14:paraId="1E373008" w14:textId="77777777" w:rsidR="00222DE0" w:rsidRPr="00EE3355" w:rsidRDefault="00222DE0" w:rsidP="00EA1CDF">
      <w:pPr>
        <w:pStyle w:val="a3"/>
        <w:widowControl/>
        <w:ind w:left="0"/>
        <w:rPr>
          <w:sz w:val="18"/>
        </w:rPr>
      </w:pPr>
    </w:p>
    <w:p w14:paraId="463A6631" w14:textId="77777777" w:rsidR="00222DE0" w:rsidRPr="00EE3355" w:rsidRDefault="0098273B" w:rsidP="00EA1CDF">
      <w:pPr>
        <w:pStyle w:val="a3"/>
        <w:widowControl/>
        <w:ind w:left="0"/>
      </w:pPr>
      <w:r w:rsidRPr="00EE3355">
        <w:lastRenderedPageBreak/>
        <w:t>Po subkutánním podání bylo dosaženo přibližně 90 % ustáleného stavu do týdne 12 v režimu 162 mg každý týden i každé 2 týdny.</w:t>
      </w:r>
    </w:p>
    <w:p w14:paraId="496F43FC" w14:textId="77777777" w:rsidR="0041179F" w:rsidRPr="00EE3355" w:rsidRDefault="0041179F" w:rsidP="00EA1CDF">
      <w:pPr>
        <w:pStyle w:val="a3"/>
        <w:widowControl/>
        <w:ind w:left="0"/>
      </w:pPr>
    </w:p>
    <w:p w14:paraId="4C9000C0" w14:textId="77777777" w:rsidR="00222DE0" w:rsidRPr="00EE3355" w:rsidRDefault="0098273B" w:rsidP="00EA1CDF">
      <w:pPr>
        <w:pStyle w:val="a3"/>
        <w:keepNext/>
        <w:widowControl/>
        <w:ind w:left="0"/>
      </w:pPr>
      <w:r w:rsidRPr="00EE3355">
        <w:rPr>
          <w:u w:val="single"/>
        </w:rPr>
        <w:t>Absorpce</w:t>
      </w:r>
    </w:p>
    <w:p w14:paraId="4B79964C" w14:textId="77777777" w:rsidR="00222DE0" w:rsidRPr="00EE3355" w:rsidRDefault="0098273B" w:rsidP="00EA1CDF">
      <w:pPr>
        <w:pStyle w:val="a3"/>
        <w:widowControl/>
        <w:ind w:left="0"/>
      </w:pPr>
      <w:r w:rsidRPr="00EE3355">
        <w:t>Po subkutánním podání byl u pacientů se sJIA absorpční poločas přibližně 2 dny a biologická</w:t>
      </w:r>
      <w:r w:rsidR="00DE2CFB" w:rsidRPr="00EE3355">
        <w:t xml:space="preserve"> </w:t>
      </w:r>
      <w:r w:rsidRPr="00EE3355">
        <w:t>dostupnost subkutánní lékové formy byla u pacientů se sJIA 95 %.</w:t>
      </w:r>
    </w:p>
    <w:p w14:paraId="1287C591" w14:textId="77777777" w:rsidR="00DE2CFB" w:rsidRPr="00EE3355" w:rsidRDefault="00DE2CFB" w:rsidP="00EA1CDF">
      <w:pPr>
        <w:pStyle w:val="a3"/>
        <w:widowControl/>
        <w:ind w:left="0"/>
        <w:rPr>
          <w:u w:val="single"/>
        </w:rPr>
      </w:pPr>
    </w:p>
    <w:p w14:paraId="7DB30AFD" w14:textId="77777777" w:rsidR="00222DE0" w:rsidRPr="00EE3355" w:rsidRDefault="0098273B" w:rsidP="00EA1CDF">
      <w:pPr>
        <w:pStyle w:val="a3"/>
        <w:widowControl/>
        <w:ind w:left="0"/>
      </w:pPr>
      <w:r w:rsidRPr="00EE3355">
        <w:rPr>
          <w:u w:val="single"/>
        </w:rPr>
        <w:t>Distribuce</w:t>
      </w:r>
    </w:p>
    <w:p w14:paraId="58B97868" w14:textId="77777777" w:rsidR="00222DE0" w:rsidRPr="00EE3355" w:rsidRDefault="0098273B" w:rsidP="00EA1CDF">
      <w:pPr>
        <w:pStyle w:val="a3"/>
        <w:widowControl/>
        <w:ind w:left="0"/>
      </w:pPr>
      <w:r w:rsidRPr="00EE3355">
        <w:t>Centrální distribuční objem u pediatrických pacientů se sJIA byl 1,87 l, periferní distribuční objem byl</w:t>
      </w:r>
      <w:r w:rsidR="00DE2CFB" w:rsidRPr="00EE3355">
        <w:t xml:space="preserve"> </w:t>
      </w:r>
      <w:r w:rsidRPr="00EE3355">
        <w:t>2,14 l; distribuční objem v ustáleném stavu tak činil 4,01 l.</w:t>
      </w:r>
    </w:p>
    <w:p w14:paraId="5E4D0838" w14:textId="77777777" w:rsidR="00222DE0" w:rsidRPr="00EE3355" w:rsidRDefault="00222DE0" w:rsidP="00EA1CDF">
      <w:pPr>
        <w:widowControl/>
      </w:pPr>
    </w:p>
    <w:p w14:paraId="4C412F66" w14:textId="77777777" w:rsidR="00222DE0" w:rsidRPr="00EE3355" w:rsidRDefault="0098273B" w:rsidP="00EA1CDF">
      <w:pPr>
        <w:pStyle w:val="a3"/>
        <w:widowControl/>
        <w:ind w:left="0"/>
      </w:pPr>
      <w:r w:rsidRPr="00EE3355">
        <w:rPr>
          <w:u w:val="single"/>
        </w:rPr>
        <w:t>Eliminace</w:t>
      </w:r>
    </w:p>
    <w:p w14:paraId="7BC43AD6" w14:textId="0C73A9F8" w:rsidR="00222DE0" w:rsidRPr="00EE3355" w:rsidRDefault="0098273B" w:rsidP="00EA1CDF">
      <w:pPr>
        <w:pStyle w:val="a3"/>
        <w:widowControl/>
        <w:ind w:left="0"/>
      </w:pPr>
      <w:r w:rsidRPr="00EE3355">
        <w:t>Celková clearance tocilizumabu byla závislá na koncentraci a je součtem lineární a nelineární clearance. Lineární clearance byla stanovena odhadem jako parametr v populační farmakokinetické analýze jako 5,7 ml/hod u pediatrických pacientů se systémovou juvenilní idiopatickou artritidou. Účinný t</w:t>
      </w:r>
      <w:r w:rsidRPr="00EE3355">
        <w:rPr>
          <w:sz w:val="14"/>
        </w:rPr>
        <w:t xml:space="preserve">1/2 </w:t>
      </w:r>
      <w:r w:rsidRPr="00EE3355">
        <w:t xml:space="preserve">po subkutánním podání </w:t>
      </w:r>
      <w:r w:rsidR="00DC2C90" w:rsidRPr="00C61A9B">
        <w:t>tocilizumab</w:t>
      </w:r>
      <w:r w:rsidR="00DC2C90">
        <w:t xml:space="preserve">u </w:t>
      </w:r>
      <w:r w:rsidRPr="00EE3355">
        <w:t>pacientům se sJIA je do 14 dnů v režimu 162 mg každý týden i každé 2 týdny během intervalu podávání v ustáleném stavu.</w:t>
      </w:r>
    </w:p>
    <w:p w14:paraId="32121B54" w14:textId="77777777" w:rsidR="00DE2CFB" w:rsidRPr="00EE3355" w:rsidRDefault="00DE2CFB" w:rsidP="00EA1CDF">
      <w:pPr>
        <w:pStyle w:val="a3"/>
        <w:widowControl/>
        <w:ind w:left="0"/>
      </w:pPr>
    </w:p>
    <w:p w14:paraId="7BAF3B74" w14:textId="77777777" w:rsidR="00222DE0" w:rsidRPr="00EE3355" w:rsidRDefault="0098273B" w:rsidP="00EA1CDF">
      <w:pPr>
        <w:pStyle w:val="a3"/>
        <w:keepNext/>
        <w:widowControl/>
        <w:ind w:left="0"/>
      </w:pPr>
      <w:r w:rsidRPr="00EE3355">
        <w:rPr>
          <w:u w:val="single"/>
        </w:rPr>
        <w:t>pJIA</w:t>
      </w:r>
    </w:p>
    <w:p w14:paraId="0C88DE75" w14:textId="77777777" w:rsidR="00222DE0" w:rsidRPr="00EE3355" w:rsidRDefault="0098273B" w:rsidP="00EA1CDF">
      <w:pPr>
        <w:pStyle w:val="a3"/>
        <w:widowControl/>
        <w:ind w:left="0"/>
      </w:pPr>
      <w:r w:rsidRPr="00EE3355">
        <w:rPr>
          <w:u w:val="single"/>
        </w:rPr>
        <w:t>Subkutánní podání</w:t>
      </w:r>
    </w:p>
    <w:p w14:paraId="79CAF828" w14:textId="4C4C5646" w:rsidR="00222DE0" w:rsidRPr="00EE3355" w:rsidRDefault="0098273B" w:rsidP="00EA1CDF">
      <w:pPr>
        <w:pStyle w:val="a3"/>
        <w:widowControl/>
        <w:ind w:left="0"/>
      </w:pPr>
      <w:r w:rsidRPr="00EE3355">
        <w:t xml:space="preserve">Farmakokinetika </w:t>
      </w:r>
      <w:r w:rsidR="00DC2C90" w:rsidRPr="00C61A9B">
        <w:t>tocilizumab</w:t>
      </w:r>
      <w:r w:rsidR="00DC2C90">
        <w:t xml:space="preserve">u </w:t>
      </w:r>
      <w:r w:rsidRPr="00EE3355">
        <w:t>u pacientů s pJIA byla charakterizována populační farmakokinetickou analýzou, která zahrnovala 237 pacientů léčených dávkou 8 mg/kg podanou intravenózně každé 4 týdny (pacienti s tělesnou hmotností ≥ 30 kg), 10 mg/kg podanou intravenózně každé 4 týdny (pacienti s tělesnou hmotností &lt; 30 kg), 162 mg podanou subkutánně každé 2 týdny (pacienti s tělesnou hmotností ≥ 30 kg) nebo 162 mg podanou subkutánně každé 3 týdny (pacienti</w:t>
      </w:r>
    </w:p>
    <w:p w14:paraId="7A9F0592" w14:textId="77777777" w:rsidR="00222DE0" w:rsidRPr="00EE3355" w:rsidRDefault="0098273B" w:rsidP="00EA1CDF">
      <w:pPr>
        <w:pStyle w:val="a3"/>
        <w:widowControl/>
        <w:ind w:left="0"/>
      </w:pPr>
      <w:r w:rsidRPr="00EE3355">
        <w:t>s tělesnou hmotností &lt; 30 kg).</w:t>
      </w:r>
    </w:p>
    <w:p w14:paraId="41A5B9BC" w14:textId="77777777" w:rsidR="00DE2CFB" w:rsidRPr="00EE3355" w:rsidRDefault="00DE2CFB" w:rsidP="00EA1CDF">
      <w:pPr>
        <w:pStyle w:val="a3"/>
        <w:widowControl/>
        <w:ind w:left="0"/>
      </w:pPr>
    </w:p>
    <w:p w14:paraId="0DD33957" w14:textId="77777777" w:rsidR="00222DE0" w:rsidRPr="00EE3355" w:rsidRDefault="0098273B" w:rsidP="00EA1CDF">
      <w:pPr>
        <w:widowControl/>
        <w:rPr>
          <w:i/>
        </w:rPr>
      </w:pPr>
      <w:r w:rsidRPr="00EE3355">
        <w:rPr>
          <w:i/>
        </w:rPr>
        <w:t>Tabulka 9. Predikované střední hodnoty ± SD pro farmakokinetické parametry v ustáleném stavu po subkutánním podání pacientům s pJIA</w:t>
      </w:r>
    </w:p>
    <w:p w14:paraId="7B4B827D" w14:textId="77777777" w:rsidR="00222DE0" w:rsidRPr="00EE3355" w:rsidRDefault="00222DE0" w:rsidP="00EA1CDF">
      <w:pPr>
        <w:pStyle w:val="a3"/>
        <w:widowControl/>
        <w:ind w:left="0"/>
        <w:rPr>
          <w:i/>
          <w:sz w:val="20"/>
        </w:rPr>
      </w:pPr>
    </w:p>
    <w:tbl>
      <w:tblPr>
        <w:tblW w:w="9148"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884"/>
        <w:gridCol w:w="3219"/>
        <w:gridCol w:w="3045"/>
      </w:tblGrid>
      <w:tr w:rsidR="00222DE0" w:rsidRPr="00EE3355" w14:paraId="02D18C8C" w14:textId="77777777" w:rsidTr="00DE2CFB">
        <w:trPr>
          <w:cantSplit/>
          <w:trHeight w:val="479"/>
          <w:tblHeader/>
        </w:trPr>
        <w:tc>
          <w:tcPr>
            <w:tcW w:w="2884" w:type="dxa"/>
          </w:tcPr>
          <w:p w14:paraId="1AD9E4FB" w14:textId="5A1F64C0" w:rsidR="00222DE0" w:rsidRPr="00EE3355" w:rsidRDefault="0098273B" w:rsidP="00EA1CDF">
            <w:pPr>
              <w:pStyle w:val="TableParagraph"/>
              <w:widowControl/>
              <w:rPr>
                <w:b/>
              </w:rPr>
            </w:pPr>
            <w:r w:rsidRPr="00EE3355">
              <w:rPr>
                <w:b/>
              </w:rPr>
              <w:t>PK parametr</w:t>
            </w:r>
            <w:r w:rsidR="00DE2CFB" w:rsidRPr="00EE3355">
              <w:rPr>
                <w:b/>
              </w:rPr>
              <w:t xml:space="preserve"> </w:t>
            </w:r>
            <w:r w:rsidR="00DC2C90" w:rsidRPr="00B93217">
              <w:rPr>
                <w:b/>
                <w:bCs/>
              </w:rPr>
              <w:t>tocilizumab</w:t>
            </w:r>
          </w:p>
        </w:tc>
        <w:tc>
          <w:tcPr>
            <w:tcW w:w="3219" w:type="dxa"/>
          </w:tcPr>
          <w:p w14:paraId="3432367E" w14:textId="77777777" w:rsidR="00222DE0" w:rsidRPr="00EE3355" w:rsidRDefault="0098273B" w:rsidP="00EA1CDF">
            <w:pPr>
              <w:pStyle w:val="TableParagraph"/>
              <w:widowControl/>
              <w:rPr>
                <w:b/>
              </w:rPr>
            </w:pPr>
            <w:r w:rsidRPr="00EE3355">
              <w:rPr>
                <w:b/>
              </w:rPr>
              <w:t>162 mg</w:t>
            </w:r>
            <w:r w:rsidR="00DE2CFB" w:rsidRPr="00EE3355">
              <w:rPr>
                <w:b/>
              </w:rPr>
              <w:t xml:space="preserve"> </w:t>
            </w:r>
            <w:r w:rsidRPr="00EE3355">
              <w:rPr>
                <w:b/>
              </w:rPr>
              <w:t>každé 2 týdny</w:t>
            </w:r>
            <w:r w:rsidR="00DE2CFB" w:rsidRPr="00EE3355">
              <w:rPr>
                <w:b/>
              </w:rPr>
              <w:t xml:space="preserve"> </w:t>
            </w:r>
            <w:r w:rsidRPr="00EE3355">
              <w:rPr>
                <w:b/>
              </w:rPr>
              <w:t>≥ 30 kg</w:t>
            </w:r>
          </w:p>
        </w:tc>
        <w:tc>
          <w:tcPr>
            <w:tcW w:w="3045" w:type="dxa"/>
          </w:tcPr>
          <w:p w14:paraId="05615A4A" w14:textId="77777777" w:rsidR="00222DE0" w:rsidRPr="00EE3355" w:rsidRDefault="0098273B" w:rsidP="00EA1CDF">
            <w:pPr>
              <w:pStyle w:val="TableParagraph"/>
              <w:widowControl/>
              <w:rPr>
                <w:b/>
              </w:rPr>
            </w:pPr>
            <w:r w:rsidRPr="00EE3355">
              <w:rPr>
                <w:b/>
              </w:rPr>
              <w:t>162 mg</w:t>
            </w:r>
            <w:r w:rsidR="00DE2CFB" w:rsidRPr="00EE3355">
              <w:rPr>
                <w:b/>
              </w:rPr>
              <w:t xml:space="preserve"> </w:t>
            </w:r>
            <w:r w:rsidRPr="00EE3355">
              <w:rPr>
                <w:b/>
              </w:rPr>
              <w:t>každé 3 týdny</w:t>
            </w:r>
            <w:r w:rsidR="00DE2CFB" w:rsidRPr="00EE3355">
              <w:rPr>
                <w:b/>
              </w:rPr>
              <w:t xml:space="preserve"> </w:t>
            </w:r>
            <w:r w:rsidRPr="00EE3355">
              <w:rPr>
                <w:b/>
              </w:rPr>
              <w:t>&lt; 30 kg</w:t>
            </w:r>
          </w:p>
        </w:tc>
      </w:tr>
      <w:tr w:rsidR="00222DE0" w:rsidRPr="00EE3355" w14:paraId="2B0C09CF" w14:textId="77777777" w:rsidTr="00DE2CFB">
        <w:trPr>
          <w:cantSplit/>
          <w:trHeight w:val="190"/>
        </w:trPr>
        <w:tc>
          <w:tcPr>
            <w:tcW w:w="2884" w:type="dxa"/>
          </w:tcPr>
          <w:p w14:paraId="3C098B29" w14:textId="77777777" w:rsidR="00222DE0" w:rsidRPr="00EE3355" w:rsidRDefault="0098273B" w:rsidP="00EA1CDF">
            <w:pPr>
              <w:pStyle w:val="TableParagraph"/>
              <w:widowControl/>
            </w:pPr>
            <w:r w:rsidRPr="00EE3355">
              <w:t>C</w:t>
            </w:r>
            <w:r w:rsidR="00391AE8" w:rsidRPr="00EE3355">
              <w:rPr>
                <w:vertAlign w:val="subscript"/>
              </w:rPr>
              <w:t>max</w:t>
            </w:r>
            <w:r w:rsidRPr="00EE3355">
              <w:rPr>
                <w:sz w:val="14"/>
              </w:rPr>
              <w:t xml:space="preserve"> </w:t>
            </w:r>
            <w:r w:rsidRPr="00EE3355">
              <w:t>(µg/ml)</w:t>
            </w:r>
          </w:p>
        </w:tc>
        <w:tc>
          <w:tcPr>
            <w:tcW w:w="3219" w:type="dxa"/>
          </w:tcPr>
          <w:p w14:paraId="552C757E" w14:textId="77777777" w:rsidR="00222DE0" w:rsidRPr="00EE3355" w:rsidRDefault="0098273B" w:rsidP="00EA1CDF">
            <w:pPr>
              <w:pStyle w:val="TableParagraph"/>
              <w:widowControl/>
              <w:jc w:val="center"/>
            </w:pPr>
            <w:r w:rsidRPr="00EE3355">
              <w:t>29,4 ± 13,5</w:t>
            </w:r>
          </w:p>
        </w:tc>
        <w:tc>
          <w:tcPr>
            <w:tcW w:w="3045" w:type="dxa"/>
          </w:tcPr>
          <w:p w14:paraId="25A44C33" w14:textId="77777777" w:rsidR="00222DE0" w:rsidRPr="00EE3355" w:rsidRDefault="0098273B" w:rsidP="00EA1CDF">
            <w:pPr>
              <w:pStyle w:val="TableParagraph"/>
              <w:widowControl/>
              <w:jc w:val="center"/>
            </w:pPr>
            <w:r w:rsidRPr="00EE3355">
              <w:t>75,5 ± 24,1</w:t>
            </w:r>
          </w:p>
        </w:tc>
      </w:tr>
      <w:tr w:rsidR="00222DE0" w:rsidRPr="00EE3355" w14:paraId="35B7BAE5" w14:textId="77777777" w:rsidTr="00DE2CFB">
        <w:trPr>
          <w:cantSplit/>
          <w:trHeight w:val="254"/>
        </w:trPr>
        <w:tc>
          <w:tcPr>
            <w:tcW w:w="2884" w:type="dxa"/>
          </w:tcPr>
          <w:p w14:paraId="07E11668" w14:textId="77777777" w:rsidR="00222DE0" w:rsidRPr="00EE3355" w:rsidRDefault="0098273B" w:rsidP="00EA1CDF">
            <w:pPr>
              <w:pStyle w:val="TableParagraph"/>
              <w:widowControl/>
            </w:pPr>
            <w:r w:rsidRPr="00EE3355">
              <w:t>C</w:t>
            </w:r>
            <w:r w:rsidR="00C5127F" w:rsidRPr="00EE3355">
              <w:rPr>
                <w:vertAlign w:val="subscript"/>
              </w:rPr>
              <w:t>min</w:t>
            </w:r>
            <w:r w:rsidRPr="00EE3355">
              <w:rPr>
                <w:sz w:val="14"/>
              </w:rPr>
              <w:t xml:space="preserve"> </w:t>
            </w:r>
            <w:r w:rsidRPr="00EE3355">
              <w:t>(µg/ml)</w:t>
            </w:r>
          </w:p>
        </w:tc>
        <w:tc>
          <w:tcPr>
            <w:tcW w:w="3219" w:type="dxa"/>
          </w:tcPr>
          <w:p w14:paraId="61253CD7" w14:textId="77777777" w:rsidR="00222DE0" w:rsidRPr="00EE3355" w:rsidRDefault="0098273B" w:rsidP="00EA1CDF">
            <w:pPr>
              <w:pStyle w:val="TableParagraph"/>
              <w:widowControl/>
              <w:jc w:val="center"/>
            </w:pPr>
            <w:r w:rsidRPr="00EE3355">
              <w:t>11,8 ± 7,08</w:t>
            </w:r>
          </w:p>
        </w:tc>
        <w:tc>
          <w:tcPr>
            <w:tcW w:w="3045" w:type="dxa"/>
          </w:tcPr>
          <w:p w14:paraId="6C9BF29F" w14:textId="77777777" w:rsidR="00222DE0" w:rsidRPr="00EE3355" w:rsidRDefault="0098273B" w:rsidP="00EA1CDF">
            <w:pPr>
              <w:pStyle w:val="TableParagraph"/>
              <w:widowControl/>
              <w:jc w:val="center"/>
            </w:pPr>
            <w:r w:rsidRPr="00EE3355">
              <w:t>18,4 ± 12,9</w:t>
            </w:r>
          </w:p>
        </w:tc>
      </w:tr>
      <w:tr w:rsidR="00222DE0" w:rsidRPr="00EE3355" w14:paraId="41FAE8A1" w14:textId="77777777" w:rsidTr="00DE2CFB">
        <w:trPr>
          <w:cantSplit/>
          <w:trHeight w:val="114"/>
        </w:trPr>
        <w:tc>
          <w:tcPr>
            <w:tcW w:w="2884" w:type="dxa"/>
          </w:tcPr>
          <w:p w14:paraId="6489A3DA" w14:textId="77777777" w:rsidR="00222DE0" w:rsidRPr="00EE3355" w:rsidRDefault="0098273B" w:rsidP="00EA1CDF">
            <w:pPr>
              <w:pStyle w:val="TableParagraph"/>
              <w:widowControl/>
            </w:pPr>
            <w:r w:rsidRPr="00EE3355">
              <w:t>C</w:t>
            </w:r>
            <w:r w:rsidRPr="00EE3355">
              <w:rPr>
                <w:sz w:val="14"/>
              </w:rPr>
              <w:t xml:space="preserve">průměr </w:t>
            </w:r>
            <w:r w:rsidRPr="00EE3355">
              <w:t>(µg/ml)</w:t>
            </w:r>
          </w:p>
        </w:tc>
        <w:tc>
          <w:tcPr>
            <w:tcW w:w="3219" w:type="dxa"/>
          </w:tcPr>
          <w:p w14:paraId="0F5FD909" w14:textId="77777777" w:rsidR="00222DE0" w:rsidRPr="00EE3355" w:rsidRDefault="0098273B" w:rsidP="00EA1CDF">
            <w:pPr>
              <w:pStyle w:val="TableParagraph"/>
              <w:widowControl/>
              <w:jc w:val="center"/>
            </w:pPr>
            <w:r w:rsidRPr="00EE3355">
              <w:t>21,7 ± 10,4</w:t>
            </w:r>
          </w:p>
        </w:tc>
        <w:tc>
          <w:tcPr>
            <w:tcW w:w="3045" w:type="dxa"/>
          </w:tcPr>
          <w:p w14:paraId="6B15E4E4" w14:textId="77777777" w:rsidR="00222DE0" w:rsidRPr="00EE3355" w:rsidRDefault="0098273B" w:rsidP="00EA1CDF">
            <w:pPr>
              <w:pStyle w:val="TableParagraph"/>
              <w:widowControl/>
              <w:jc w:val="center"/>
            </w:pPr>
            <w:r w:rsidRPr="00EE3355">
              <w:t>45,5 ± 19,8</w:t>
            </w:r>
          </w:p>
        </w:tc>
      </w:tr>
      <w:tr w:rsidR="00222DE0" w:rsidRPr="00EE3355" w14:paraId="61FF30E6" w14:textId="77777777" w:rsidTr="00B3221B">
        <w:trPr>
          <w:cantSplit/>
          <w:trHeight w:val="218"/>
        </w:trPr>
        <w:tc>
          <w:tcPr>
            <w:tcW w:w="2884" w:type="dxa"/>
          </w:tcPr>
          <w:p w14:paraId="51BB2E3F" w14:textId="77777777" w:rsidR="00222DE0" w:rsidRPr="00EE3355" w:rsidRDefault="0098273B" w:rsidP="00EA1CDF">
            <w:pPr>
              <w:pStyle w:val="TableParagraph"/>
              <w:widowControl/>
              <w:rPr>
                <w:sz w:val="14"/>
              </w:rPr>
            </w:pPr>
            <w:r w:rsidRPr="00EE3355">
              <w:t>Koeficient kumulace</w:t>
            </w:r>
            <w:r w:rsidR="00DE2CFB" w:rsidRPr="00EE3355">
              <w:t xml:space="preserve"> </w:t>
            </w:r>
            <w:r w:rsidRPr="00EE3355">
              <w:t>pro C</w:t>
            </w:r>
            <w:r w:rsidR="00391AE8" w:rsidRPr="00EE3355">
              <w:rPr>
                <w:vertAlign w:val="subscript"/>
              </w:rPr>
              <w:t>max</w:t>
            </w:r>
          </w:p>
        </w:tc>
        <w:tc>
          <w:tcPr>
            <w:tcW w:w="3219" w:type="dxa"/>
          </w:tcPr>
          <w:p w14:paraId="14EA04DA" w14:textId="77777777" w:rsidR="00222DE0" w:rsidRPr="00EE3355" w:rsidRDefault="0098273B" w:rsidP="00EA1CDF">
            <w:pPr>
              <w:pStyle w:val="TableParagraph"/>
              <w:widowControl/>
              <w:jc w:val="center"/>
            </w:pPr>
            <w:r w:rsidRPr="00EE3355">
              <w:t>1,72</w:t>
            </w:r>
          </w:p>
        </w:tc>
        <w:tc>
          <w:tcPr>
            <w:tcW w:w="3045" w:type="dxa"/>
          </w:tcPr>
          <w:p w14:paraId="70C8CA20" w14:textId="77777777" w:rsidR="00222DE0" w:rsidRPr="00EE3355" w:rsidRDefault="0098273B" w:rsidP="00EA1CDF">
            <w:pPr>
              <w:pStyle w:val="TableParagraph"/>
              <w:widowControl/>
              <w:jc w:val="center"/>
            </w:pPr>
            <w:r w:rsidRPr="00EE3355">
              <w:t>1,32</w:t>
            </w:r>
          </w:p>
        </w:tc>
      </w:tr>
      <w:tr w:rsidR="00222DE0" w:rsidRPr="00EE3355" w14:paraId="615B82E7" w14:textId="77777777" w:rsidTr="00B3221B">
        <w:trPr>
          <w:cantSplit/>
          <w:trHeight w:val="179"/>
        </w:trPr>
        <w:tc>
          <w:tcPr>
            <w:tcW w:w="2884" w:type="dxa"/>
          </w:tcPr>
          <w:p w14:paraId="1603CA63" w14:textId="77777777" w:rsidR="00222DE0" w:rsidRPr="00EE3355" w:rsidRDefault="0098273B" w:rsidP="00EA1CDF">
            <w:pPr>
              <w:pStyle w:val="TableParagraph"/>
              <w:widowControl/>
              <w:rPr>
                <w:sz w:val="14"/>
              </w:rPr>
            </w:pPr>
            <w:r w:rsidRPr="00EE3355">
              <w:t>Koeficient kumulace</w:t>
            </w:r>
            <w:r w:rsidR="00DE2CFB" w:rsidRPr="00EE3355">
              <w:t xml:space="preserve"> </w:t>
            </w:r>
            <w:r w:rsidRPr="00EE3355">
              <w:t>pro C</w:t>
            </w:r>
            <w:r w:rsidR="00C5127F" w:rsidRPr="00EE3355">
              <w:rPr>
                <w:vertAlign w:val="subscript"/>
              </w:rPr>
              <w:t>min</w:t>
            </w:r>
          </w:p>
        </w:tc>
        <w:tc>
          <w:tcPr>
            <w:tcW w:w="3219" w:type="dxa"/>
          </w:tcPr>
          <w:p w14:paraId="2A7801D9" w14:textId="77777777" w:rsidR="00222DE0" w:rsidRPr="00EE3355" w:rsidRDefault="0098273B" w:rsidP="00EA1CDF">
            <w:pPr>
              <w:pStyle w:val="TableParagraph"/>
              <w:widowControl/>
              <w:jc w:val="center"/>
            </w:pPr>
            <w:r w:rsidRPr="00EE3355">
              <w:t>3,58</w:t>
            </w:r>
          </w:p>
        </w:tc>
        <w:tc>
          <w:tcPr>
            <w:tcW w:w="3045" w:type="dxa"/>
          </w:tcPr>
          <w:p w14:paraId="58EB990E" w14:textId="77777777" w:rsidR="00222DE0" w:rsidRPr="00EE3355" w:rsidRDefault="0098273B" w:rsidP="00EA1CDF">
            <w:pPr>
              <w:pStyle w:val="TableParagraph"/>
              <w:widowControl/>
              <w:jc w:val="center"/>
            </w:pPr>
            <w:r w:rsidRPr="00EE3355">
              <w:t>2,08</w:t>
            </w:r>
          </w:p>
        </w:tc>
      </w:tr>
      <w:tr w:rsidR="00222DE0" w:rsidRPr="00EE3355" w14:paraId="5FC64476" w14:textId="77777777" w:rsidTr="00B3221B">
        <w:trPr>
          <w:cantSplit/>
          <w:trHeight w:val="426"/>
        </w:trPr>
        <w:tc>
          <w:tcPr>
            <w:tcW w:w="2884" w:type="dxa"/>
          </w:tcPr>
          <w:p w14:paraId="0EB9C970" w14:textId="77777777" w:rsidR="00222DE0" w:rsidRPr="00EE3355" w:rsidRDefault="0098273B" w:rsidP="00EA1CDF">
            <w:pPr>
              <w:pStyle w:val="TableParagraph"/>
              <w:widowControl/>
            </w:pPr>
            <w:r w:rsidRPr="00EE3355">
              <w:t>Koeficient kumulace</w:t>
            </w:r>
            <w:r w:rsidR="00B3221B" w:rsidRPr="00EE3355">
              <w:t xml:space="preserve"> </w:t>
            </w:r>
            <w:r w:rsidRPr="00EE3355">
              <w:t>pro C</w:t>
            </w:r>
            <w:r w:rsidR="00C5127F" w:rsidRPr="00EE3355">
              <w:rPr>
                <w:vertAlign w:val="subscript"/>
              </w:rPr>
              <w:t>střední</w:t>
            </w:r>
            <w:r w:rsidRPr="00EE3355">
              <w:rPr>
                <w:sz w:val="14"/>
              </w:rPr>
              <w:t xml:space="preserve"> </w:t>
            </w:r>
            <w:r w:rsidRPr="00EE3355">
              <w:t>nebo AUCτ*</w:t>
            </w:r>
          </w:p>
        </w:tc>
        <w:tc>
          <w:tcPr>
            <w:tcW w:w="3219" w:type="dxa"/>
          </w:tcPr>
          <w:p w14:paraId="08718849" w14:textId="77777777" w:rsidR="00222DE0" w:rsidRPr="00EE3355" w:rsidRDefault="0098273B" w:rsidP="00EA1CDF">
            <w:pPr>
              <w:pStyle w:val="TableParagraph"/>
              <w:widowControl/>
              <w:jc w:val="center"/>
            </w:pPr>
            <w:r w:rsidRPr="00EE3355">
              <w:t>2,04</w:t>
            </w:r>
          </w:p>
        </w:tc>
        <w:tc>
          <w:tcPr>
            <w:tcW w:w="3045" w:type="dxa"/>
          </w:tcPr>
          <w:p w14:paraId="06860DA6" w14:textId="77777777" w:rsidR="00222DE0" w:rsidRPr="00EE3355" w:rsidRDefault="0098273B" w:rsidP="00EA1CDF">
            <w:pPr>
              <w:pStyle w:val="TableParagraph"/>
              <w:widowControl/>
              <w:jc w:val="center"/>
            </w:pPr>
            <w:r w:rsidRPr="00EE3355">
              <w:t>1,46</w:t>
            </w:r>
          </w:p>
        </w:tc>
      </w:tr>
    </w:tbl>
    <w:p w14:paraId="543D54AF" w14:textId="77777777" w:rsidR="00222DE0" w:rsidRPr="00EE3355" w:rsidRDefault="0098273B" w:rsidP="00EA1CDF">
      <w:pPr>
        <w:widowControl/>
        <w:rPr>
          <w:sz w:val="18"/>
        </w:rPr>
      </w:pPr>
      <w:r w:rsidRPr="00EE3355">
        <w:rPr>
          <w:sz w:val="18"/>
        </w:rPr>
        <w:t>*τ = 2 týdny, resp. 3 týdny u dvou subkutánních režimů</w:t>
      </w:r>
    </w:p>
    <w:p w14:paraId="4FE6940A" w14:textId="77777777" w:rsidR="00222DE0" w:rsidRPr="00EE3355" w:rsidRDefault="00222DE0" w:rsidP="00EA1CDF">
      <w:pPr>
        <w:pStyle w:val="a3"/>
        <w:widowControl/>
        <w:ind w:left="0"/>
        <w:rPr>
          <w:sz w:val="18"/>
        </w:rPr>
      </w:pPr>
    </w:p>
    <w:p w14:paraId="5BCA34FF" w14:textId="77777777" w:rsidR="00222DE0" w:rsidRPr="00EE3355" w:rsidRDefault="0098273B" w:rsidP="00EA1CDF">
      <w:pPr>
        <w:pStyle w:val="a3"/>
        <w:widowControl/>
        <w:ind w:left="0"/>
      </w:pPr>
      <w:r w:rsidRPr="00EE3355">
        <w:t>Po intravenózním podání bylo dosaženo přibližně 90 % ustáleného stavu do týdne 12 pro dávku</w:t>
      </w:r>
      <w:r w:rsidR="004450D0" w:rsidRPr="00EE3355">
        <w:t xml:space="preserve"> </w:t>
      </w:r>
      <w:r w:rsidRPr="00EE3355">
        <w:t>10 mg/kg (tělesná hmotnost &lt; 30 kg) a do týdne 16 pro dávku 8 mg/kg (tělesná hmotnost ≥ 30 kg). Po subkutánním podání bylo dosaženo přibližně 90 % ustáleného stavu do týdne 12 v režimu 162 mg každé 2 týdny i každé 3 týdny.</w:t>
      </w:r>
    </w:p>
    <w:p w14:paraId="77601404" w14:textId="77777777" w:rsidR="004450D0" w:rsidRPr="00EE3355" w:rsidRDefault="004450D0" w:rsidP="00EA1CDF">
      <w:pPr>
        <w:pStyle w:val="a3"/>
        <w:widowControl/>
        <w:ind w:left="0"/>
      </w:pPr>
    </w:p>
    <w:p w14:paraId="3BECE78C" w14:textId="77777777" w:rsidR="00222DE0" w:rsidRPr="00EE3355" w:rsidRDefault="0098273B" w:rsidP="00EA1CDF">
      <w:pPr>
        <w:pStyle w:val="a3"/>
        <w:widowControl/>
        <w:ind w:left="0"/>
      </w:pPr>
      <w:r w:rsidRPr="00EE3355">
        <w:rPr>
          <w:u w:val="single"/>
        </w:rPr>
        <w:t>Absorpce</w:t>
      </w:r>
    </w:p>
    <w:p w14:paraId="0A7BB6B6" w14:textId="77777777" w:rsidR="00222DE0" w:rsidRPr="00EE3355" w:rsidRDefault="0098273B" w:rsidP="00EA1CDF">
      <w:pPr>
        <w:pStyle w:val="a3"/>
        <w:widowControl/>
        <w:ind w:left="0"/>
      </w:pPr>
      <w:r w:rsidRPr="00EE3355">
        <w:t>Po subkutánním podání byl u pacientů s pJIA absorpční poločas přibližně 2 dny a biologická</w:t>
      </w:r>
      <w:r w:rsidR="004450D0" w:rsidRPr="00EE3355">
        <w:t xml:space="preserve"> </w:t>
      </w:r>
      <w:r w:rsidRPr="00EE3355">
        <w:t>dostupnost subkutánní lékové formy byla u pacientů s pJIA 96 %.</w:t>
      </w:r>
    </w:p>
    <w:p w14:paraId="471D1738" w14:textId="77777777" w:rsidR="00222DE0" w:rsidRPr="00EE3355" w:rsidRDefault="00222DE0" w:rsidP="00EA1CDF">
      <w:pPr>
        <w:pStyle w:val="a3"/>
        <w:widowControl/>
        <w:ind w:left="0"/>
      </w:pPr>
    </w:p>
    <w:p w14:paraId="4210948A" w14:textId="77777777" w:rsidR="00222DE0" w:rsidRPr="00EE3355" w:rsidRDefault="0098273B" w:rsidP="00EA1CDF">
      <w:pPr>
        <w:pStyle w:val="a3"/>
        <w:widowControl/>
        <w:ind w:left="0"/>
      </w:pPr>
      <w:r w:rsidRPr="00EE3355">
        <w:rPr>
          <w:u w:val="single"/>
        </w:rPr>
        <w:t>Distribuce</w:t>
      </w:r>
    </w:p>
    <w:p w14:paraId="111F39C4" w14:textId="77777777" w:rsidR="00222DE0" w:rsidRPr="00EE3355" w:rsidRDefault="0098273B" w:rsidP="00EA1CDF">
      <w:pPr>
        <w:pStyle w:val="a3"/>
        <w:widowControl/>
        <w:ind w:left="0"/>
      </w:pPr>
      <w:r w:rsidRPr="00EE3355">
        <w:t>Centrální distribuční objem u pediatrických pacientů s pJIA byl 1,97 l, periferní distribuční objem by</w:t>
      </w:r>
      <w:r w:rsidR="004450D0" w:rsidRPr="00EE3355">
        <w:t xml:space="preserve"> </w:t>
      </w:r>
      <w:r w:rsidRPr="00EE3355">
        <w:t>l2,03 l; distribuční objem v ustáleném stavu tak činil 4,0 l.</w:t>
      </w:r>
    </w:p>
    <w:p w14:paraId="75F7E08D" w14:textId="77777777" w:rsidR="00222DE0" w:rsidRPr="00EE3355" w:rsidRDefault="00222DE0" w:rsidP="00EA1CDF">
      <w:pPr>
        <w:pStyle w:val="a3"/>
        <w:widowControl/>
        <w:ind w:left="0"/>
      </w:pPr>
    </w:p>
    <w:p w14:paraId="416E84F2" w14:textId="77777777" w:rsidR="00222DE0" w:rsidRPr="00EE3355" w:rsidRDefault="0098273B" w:rsidP="00EA1CDF">
      <w:pPr>
        <w:pStyle w:val="a3"/>
        <w:widowControl/>
        <w:ind w:left="0"/>
      </w:pPr>
      <w:r w:rsidRPr="00EE3355">
        <w:rPr>
          <w:u w:val="single"/>
        </w:rPr>
        <w:t>Eliminace</w:t>
      </w:r>
    </w:p>
    <w:p w14:paraId="47EF1E57" w14:textId="77777777" w:rsidR="004450D0" w:rsidRPr="00EE3355" w:rsidRDefault="0098273B" w:rsidP="00EA1CDF">
      <w:pPr>
        <w:pStyle w:val="a3"/>
        <w:widowControl/>
        <w:ind w:left="0"/>
      </w:pPr>
      <w:r w:rsidRPr="00EE3355">
        <w:lastRenderedPageBreak/>
        <w:t>Populační farmakokinetická analýza pacientů s pJIA prokázala vliv tělesného rozměru na lineární clearance, a proto má být zváženo dávkování na základě tělesné hmotnosti (viz tabulka 9).</w:t>
      </w:r>
      <w:r w:rsidR="004450D0" w:rsidRPr="00EE3355">
        <w:t xml:space="preserve"> </w:t>
      </w:r>
    </w:p>
    <w:p w14:paraId="3B6BD50F" w14:textId="77777777" w:rsidR="004450D0" w:rsidRPr="00EE3355" w:rsidRDefault="004450D0" w:rsidP="00EA1CDF">
      <w:pPr>
        <w:pStyle w:val="a3"/>
        <w:widowControl/>
        <w:ind w:left="0"/>
      </w:pPr>
    </w:p>
    <w:p w14:paraId="32D9780B" w14:textId="0168FDC9" w:rsidR="00222DE0" w:rsidRPr="00EE3355" w:rsidRDefault="0098273B" w:rsidP="00EA1CDF">
      <w:pPr>
        <w:pStyle w:val="a3"/>
        <w:widowControl/>
        <w:ind w:left="0"/>
      </w:pPr>
      <w:r w:rsidRPr="00EE3355">
        <w:t>Účinný t</w:t>
      </w:r>
      <w:r w:rsidRPr="00EE3355">
        <w:rPr>
          <w:sz w:val="14"/>
        </w:rPr>
        <w:t xml:space="preserve">1/2 </w:t>
      </w:r>
      <w:r w:rsidRPr="00EE3355">
        <w:t xml:space="preserve">po subkutánním podání </w:t>
      </w:r>
      <w:r w:rsidR="00DC2C90" w:rsidRPr="00C61A9B">
        <w:t>tocilizumab</w:t>
      </w:r>
      <w:r w:rsidR="00F949F5">
        <w:t>u</w:t>
      </w:r>
      <w:r w:rsidR="00DC2C90">
        <w:t xml:space="preserve"> </w:t>
      </w:r>
      <w:r w:rsidRPr="00EE3355">
        <w:t>pacientům s pJIA je do 10 dnů u pacientů</w:t>
      </w:r>
      <w:r w:rsidR="004450D0" w:rsidRPr="00EE3355">
        <w:t xml:space="preserve"> </w:t>
      </w:r>
      <w:r w:rsidRPr="00EE3355">
        <w:t>&lt; 30 kg (162 mg subkutánně každé 3 týdny) a do 7 dnů u pacientů ≥ 30 kg (162 mg subkutánně každé 2 týdny) během intervalu podávání v ustáleném stavu. Tocilizumab prochází po intravenózním podání dvoufázovou eliminací z cirkulace. Celková clearance tocilizumabu byla závislá na koncentraci a je součtem lineární a nelineární clearance. Lineární clearance byla stanovena odhadem jako parametr</w:t>
      </w:r>
      <w:r w:rsidR="004450D0" w:rsidRPr="00EE3355">
        <w:t xml:space="preserve"> </w:t>
      </w:r>
      <w:r w:rsidRPr="00EE3355">
        <w:t>v populační farmakokinetické analýze a byla 6,25 ml/hod. Při nízkých koncentracích tocilizumabu</w:t>
      </w:r>
      <w:r w:rsidR="004450D0" w:rsidRPr="00EE3355">
        <w:t xml:space="preserve"> </w:t>
      </w:r>
      <w:r w:rsidRPr="00EE3355">
        <w:t>hraje důležitou roli nelineární clearance závislá na koncentraci. Po saturování nelineárního eliminačního mechanismu při vyšších koncentracích je pro eliminaci rozhodující především lineární clearance.</w:t>
      </w:r>
    </w:p>
    <w:p w14:paraId="5BDEFE6F" w14:textId="77777777" w:rsidR="00222DE0" w:rsidRPr="00EE3355" w:rsidRDefault="00222DE0" w:rsidP="00EA1CDF">
      <w:pPr>
        <w:pStyle w:val="a3"/>
        <w:widowControl/>
        <w:ind w:left="0"/>
      </w:pPr>
    </w:p>
    <w:p w14:paraId="14D3CA42" w14:textId="77777777" w:rsidR="00222DE0" w:rsidRPr="00EE3355" w:rsidRDefault="0098273B" w:rsidP="00EA1CDF">
      <w:pPr>
        <w:pStyle w:val="a3"/>
        <w:widowControl/>
        <w:ind w:left="0"/>
      </w:pPr>
      <w:r w:rsidRPr="00EE3355">
        <w:rPr>
          <w:u w:val="single"/>
        </w:rPr>
        <w:t>GCA</w:t>
      </w:r>
    </w:p>
    <w:p w14:paraId="1C0308F7" w14:textId="77777777" w:rsidR="00222DE0" w:rsidRPr="00EE3355" w:rsidRDefault="0098273B" w:rsidP="00EA1CDF">
      <w:pPr>
        <w:pStyle w:val="a3"/>
        <w:widowControl/>
        <w:ind w:left="0"/>
      </w:pPr>
      <w:r w:rsidRPr="00EE3355">
        <w:rPr>
          <w:u w:val="single"/>
        </w:rPr>
        <w:t>Subkutánní podání</w:t>
      </w:r>
    </w:p>
    <w:p w14:paraId="3B7BAE0B" w14:textId="33DCA7F1" w:rsidR="00222DE0" w:rsidRPr="00EE3355" w:rsidRDefault="0098273B" w:rsidP="00EA1CDF">
      <w:pPr>
        <w:pStyle w:val="a3"/>
        <w:widowControl/>
        <w:ind w:left="0"/>
      </w:pPr>
      <w:r w:rsidRPr="00EE3355">
        <w:t xml:space="preserve">PK </w:t>
      </w:r>
      <w:r w:rsidR="00DC2C90" w:rsidRPr="00C61A9B">
        <w:t>tocilizumab</w:t>
      </w:r>
      <w:r w:rsidR="00DC2C90">
        <w:t xml:space="preserve">u </w:t>
      </w:r>
      <w:r w:rsidRPr="00EE3355">
        <w:t>u pacientů s GCA byla stanovena pomocí populačního PK modelu na základě souboru dat pro analýzu od 149 pacientů s GCA léčených 162 mg podanými subkutánně jednou týdně nebo 162 mg podanými subkutánně každé dva týdny. Model měl stejnou strukturu jako předchozí populační PK model vycházející z dat pro pacienty s RA (viz tabulka 10).</w:t>
      </w:r>
    </w:p>
    <w:p w14:paraId="12D0AC53" w14:textId="77777777" w:rsidR="004450D0" w:rsidRPr="00EE3355" w:rsidRDefault="004450D0" w:rsidP="00EA1CDF">
      <w:pPr>
        <w:pStyle w:val="a3"/>
        <w:widowControl/>
        <w:ind w:left="0"/>
      </w:pPr>
    </w:p>
    <w:p w14:paraId="6A6F94D6" w14:textId="77777777" w:rsidR="00222DE0" w:rsidRPr="00EE3355" w:rsidRDefault="0098273B" w:rsidP="00EA1CDF">
      <w:pPr>
        <w:widowControl/>
        <w:rPr>
          <w:i/>
        </w:rPr>
      </w:pPr>
      <w:r w:rsidRPr="00EE3355">
        <w:rPr>
          <w:i/>
        </w:rPr>
        <w:t xml:space="preserve">Tabulka 10. Predikované střední hodnoty ± SD pro PK parametry v </w:t>
      </w:r>
      <w:r w:rsidRPr="00EE3355">
        <w:t xml:space="preserve">ustáleném </w:t>
      </w:r>
      <w:r w:rsidRPr="00EE3355">
        <w:rPr>
          <w:i/>
        </w:rPr>
        <w:t>stavu po subkutánním podání pacientům s GCA</w:t>
      </w:r>
    </w:p>
    <w:p w14:paraId="55ADC7C8" w14:textId="77777777" w:rsidR="00222DE0" w:rsidRPr="00EE3355" w:rsidRDefault="00222DE0" w:rsidP="00EA1CDF">
      <w:pPr>
        <w:pStyle w:val="a3"/>
        <w:widowControl/>
        <w:ind w:left="0"/>
        <w:rPr>
          <w:i/>
          <w:sz w:val="20"/>
        </w:rPr>
      </w:pPr>
    </w:p>
    <w:tbl>
      <w:tblPr>
        <w:tblW w:w="9239"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4189"/>
        <w:gridCol w:w="2448"/>
        <w:gridCol w:w="2602"/>
      </w:tblGrid>
      <w:tr w:rsidR="00222DE0" w:rsidRPr="00EE3355" w14:paraId="10D64302" w14:textId="77777777" w:rsidTr="004450D0">
        <w:trPr>
          <w:cantSplit/>
          <w:trHeight w:val="164"/>
          <w:tblHeader/>
        </w:trPr>
        <w:tc>
          <w:tcPr>
            <w:tcW w:w="4189" w:type="dxa"/>
          </w:tcPr>
          <w:p w14:paraId="06D62F08" w14:textId="77777777" w:rsidR="00222DE0" w:rsidRPr="00EE3355" w:rsidRDefault="00222DE0" w:rsidP="00EA1CDF">
            <w:pPr>
              <w:pStyle w:val="TableParagraph"/>
              <w:widowControl/>
              <w:rPr>
                <w:sz w:val="16"/>
              </w:rPr>
            </w:pPr>
          </w:p>
        </w:tc>
        <w:tc>
          <w:tcPr>
            <w:tcW w:w="5050" w:type="dxa"/>
            <w:gridSpan w:val="2"/>
          </w:tcPr>
          <w:p w14:paraId="61D7048B" w14:textId="77777777" w:rsidR="00222DE0" w:rsidRPr="00EE3355" w:rsidRDefault="0098273B" w:rsidP="00EA1CDF">
            <w:pPr>
              <w:pStyle w:val="TableParagraph"/>
              <w:widowControl/>
              <w:jc w:val="center"/>
              <w:rPr>
                <w:b/>
                <w:sz w:val="20"/>
              </w:rPr>
            </w:pPr>
            <w:r w:rsidRPr="00EE3355">
              <w:rPr>
                <w:b/>
                <w:sz w:val="20"/>
              </w:rPr>
              <w:t>Subkutánní</w:t>
            </w:r>
          </w:p>
        </w:tc>
      </w:tr>
      <w:tr w:rsidR="00222DE0" w:rsidRPr="00EE3355" w14:paraId="56A5BDCA" w14:textId="77777777" w:rsidTr="004450D0">
        <w:trPr>
          <w:cantSplit/>
          <w:trHeight w:val="153"/>
          <w:tblHeader/>
        </w:trPr>
        <w:tc>
          <w:tcPr>
            <w:tcW w:w="4189" w:type="dxa"/>
          </w:tcPr>
          <w:p w14:paraId="06D55688" w14:textId="33238A91" w:rsidR="00222DE0" w:rsidRPr="00EE3355" w:rsidRDefault="0098273B" w:rsidP="00EA1CDF">
            <w:pPr>
              <w:pStyle w:val="TableParagraph"/>
              <w:widowControl/>
              <w:rPr>
                <w:b/>
                <w:sz w:val="20"/>
              </w:rPr>
            </w:pPr>
            <w:r w:rsidRPr="00EE3355">
              <w:rPr>
                <w:b/>
                <w:sz w:val="20"/>
              </w:rPr>
              <w:t>PK parametr tocilizumab</w:t>
            </w:r>
          </w:p>
        </w:tc>
        <w:tc>
          <w:tcPr>
            <w:tcW w:w="2448" w:type="dxa"/>
          </w:tcPr>
          <w:p w14:paraId="416558BA" w14:textId="77777777" w:rsidR="00222DE0" w:rsidRPr="00EE3355" w:rsidRDefault="0098273B" w:rsidP="00EA1CDF">
            <w:pPr>
              <w:pStyle w:val="TableParagraph"/>
              <w:widowControl/>
              <w:jc w:val="center"/>
              <w:rPr>
                <w:b/>
                <w:sz w:val="20"/>
              </w:rPr>
            </w:pPr>
            <w:r w:rsidRPr="00EE3355">
              <w:rPr>
                <w:b/>
                <w:sz w:val="20"/>
              </w:rPr>
              <w:t>162 mg každé dva týdny</w:t>
            </w:r>
          </w:p>
        </w:tc>
        <w:tc>
          <w:tcPr>
            <w:tcW w:w="2602" w:type="dxa"/>
          </w:tcPr>
          <w:p w14:paraId="6809AFAF" w14:textId="77777777" w:rsidR="00222DE0" w:rsidRPr="00EE3355" w:rsidRDefault="0098273B" w:rsidP="00EA1CDF">
            <w:pPr>
              <w:pStyle w:val="TableParagraph"/>
              <w:widowControl/>
              <w:jc w:val="center"/>
              <w:rPr>
                <w:b/>
                <w:sz w:val="20"/>
              </w:rPr>
            </w:pPr>
            <w:r w:rsidRPr="00EE3355">
              <w:rPr>
                <w:b/>
                <w:sz w:val="20"/>
              </w:rPr>
              <w:t>162 mg jednou týdně</w:t>
            </w:r>
          </w:p>
        </w:tc>
      </w:tr>
      <w:tr w:rsidR="00222DE0" w:rsidRPr="00EE3355" w14:paraId="09CC4C5E" w14:textId="77777777" w:rsidTr="004450D0">
        <w:trPr>
          <w:cantSplit/>
          <w:trHeight w:val="144"/>
        </w:trPr>
        <w:tc>
          <w:tcPr>
            <w:tcW w:w="4189" w:type="dxa"/>
          </w:tcPr>
          <w:p w14:paraId="2F6ED9D5" w14:textId="77777777" w:rsidR="00222DE0" w:rsidRPr="00EE3355" w:rsidRDefault="0098273B" w:rsidP="00EA1CDF">
            <w:pPr>
              <w:pStyle w:val="TableParagraph"/>
              <w:widowControl/>
              <w:rPr>
                <w:sz w:val="20"/>
              </w:rPr>
            </w:pPr>
            <w:r w:rsidRPr="00EE3355">
              <w:rPr>
                <w:sz w:val="20"/>
              </w:rPr>
              <w:t>C</w:t>
            </w:r>
            <w:r w:rsidR="00391AE8" w:rsidRPr="00EE3355">
              <w:rPr>
                <w:vertAlign w:val="subscript"/>
              </w:rPr>
              <w:t>max</w:t>
            </w:r>
            <w:r w:rsidRPr="00EE3355">
              <w:rPr>
                <w:sz w:val="13"/>
              </w:rPr>
              <w:t xml:space="preserve"> </w:t>
            </w:r>
            <w:r w:rsidRPr="00EE3355">
              <w:rPr>
                <w:sz w:val="20"/>
              </w:rPr>
              <w:t>(µg/ml)</w:t>
            </w:r>
          </w:p>
        </w:tc>
        <w:tc>
          <w:tcPr>
            <w:tcW w:w="2448" w:type="dxa"/>
          </w:tcPr>
          <w:p w14:paraId="4AA785FD" w14:textId="77777777" w:rsidR="00222DE0" w:rsidRPr="00EE3355" w:rsidRDefault="0098273B" w:rsidP="00EA1CDF">
            <w:pPr>
              <w:pStyle w:val="TableParagraph"/>
              <w:widowControl/>
              <w:jc w:val="center"/>
              <w:rPr>
                <w:sz w:val="20"/>
              </w:rPr>
            </w:pPr>
            <w:r w:rsidRPr="00EE3355">
              <w:rPr>
                <w:sz w:val="20"/>
              </w:rPr>
              <w:t>19,3 ± 12,8</w:t>
            </w:r>
          </w:p>
        </w:tc>
        <w:tc>
          <w:tcPr>
            <w:tcW w:w="2602" w:type="dxa"/>
          </w:tcPr>
          <w:p w14:paraId="17CC0AF0" w14:textId="77777777" w:rsidR="00222DE0" w:rsidRPr="00EE3355" w:rsidRDefault="0098273B" w:rsidP="00EA1CDF">
            <w:pPr>
              <w:pStyle w:val="TableParagraph"/>
              <w:widowControl/>
              <w:jc w:val="center"/>
              <w:rPr>
                <w:sz w:val="20"/>
              </w:rPr>
            </w:pPr>
            <w:r w:rsidRPr="00EE3355">
              <w:rPr>
                <w:sz w:val="20"/>
              </w:rPr>
              <w:t>73 ± 30,4</w:t>
            </w:r>
          </w:p>
        </w:tc>
      </w:tr>
      <w:tr w:rsidR="00222DE0" w:rsidRPr="00EE3355" w14:paraId="12B6CDE2" w14:textId="77777777" w:rsidTr="004450D0">
        <w:trPr>
          <w:cantSplit/>
          <w:trHeight w:val="133"/>
        </w:trPr>
        <w:tc>
          <w:tcPr>
            <w:tcW w:w="4189" w:type="dxa"/>
          </w:tcPr>
          <w:p w14:paraId="7D9A67F2" w14:textId="77777777" w:rsidR="00222DE0" w:rsidRPr="00EE3355" w:rsidRDefault="0098273B" w:rsidP="00EA1CDF">
            <w:pPr>
              <w:pStyle w:val="TableParagraph"/>
              <w:widowControl/>
              <w:rPr>
                <w:sz w:val="20"/>
              </w:rPr>
            </w:pPr>
            <w:r w:rsidRPr="00EE3355">
              <w:rPr>
                <w:sz w:val="20"/>
              </w:rPr>
              <w:t>C</w:t>
            </w:r>
            <w:r w:rsidRPr="00EE3355">
              <w:rPr>
                <w:sz w:val="13"/>
              </w:rPr>
              <w:t xml:space="preserve">údolní </w:t>
            </w:r>
            <w:r w:rsidRPr="00EE3355">
              <w:rPr>
                <w:sz w:val="20"/>
              </w:rPr>
              <w:t>(µg/ml)</w:t>
            </w:r>
          </w:p>
        </w:tc>
        <w:tc>
          <w:tcPr>
            <w:tcW w:w="2448" w:type="dxa"/>
          </w:tcPr>
          <w:p w14:paraId="279298CA" w14:textId="77777777" w:rsidR="00222DE0" w:rsidRPr="00EE3355" w:rsidRDefault="0098273B" w:rsidP="00EA1CDF">
            <w:pPr>
              <w:pStyle w:val="TableParagraph"/>
              <w:widowControl/>
              <w:jc w:val="center"/>
              <w:rPr>
                <w:sz w:val="20"/>
              </w:rPr>
            </w:pPr>
            <w:r w:rsidRPr="00EE3355">
              <w:rPr>
                <w:sz w:val="20"/>
              </w:rPr>
              <w:t>11,1 ± 10,3</w:t>
            </w:r>
          </w:p>
        </w:tc>
        <w:tc>
          <w:tcPr>
            <w:tcW w:w="2602" w:type="dxa"/>
          </w:tcPr>
          <w:p w14:paraId="3DFC4A2F" w14:textId="77777777" w:rsidR="00222DE0" w:rsidRPr="00EE3355" w:rsidRDefault="0098273B" w:rsidP="00EA1CDF">
            <w:pPr>
              <w:pStyle w:val="TableParagraph"/>
              <w:widowControl/>
              <w:jc w:val="center"/>
              <w:rPr>
                <w:sz w:val="20"/>
              </w:rPr>
            </w:pPr>
            <w:r w:rsidRPr="00EE3355">
              <w:rPr>
                <w:sz w:val="20"/>
              </w:rPr>
              <w:t>68,1 ± 29,5</w:t>
            </w:r>
          </w:p>
        </w:tc>
      </w:tr>
      <w:tr w:rsidR="00222DE0" w:rsidRPr="00EE3355" w14:paraId="1C43170F" w14:textId="77777777" w:rsidTr="004450D0">
        <w:trPr>
          <w:cantSplit/>
          <w:trHeight w:val="124"/>
        </w:trPr>
        <w:tc>
          <w:tcPr>
            <w:tcW w:w="4189" w:type="dxa"/>
          </w:tcPr>
          <w:p w14:paraId="0A0524A8" w14:textId="77777777" w:rsidR="00222DE0" w:rsidRPr="00EE3355" w:rsidRDefault="0098273B" w:rsidP="00EA1CDF">
            <w:pPr>
              <w:pStyle w:val="TableParagraph"/>
              <w:widowControl/>
              <w:rPr>
                <w:sz w:val="20"/>
              </w:rPr>
            </w:pPr>
            <w:r w:rsidRPr="00EE3355">
              <w:rPr>
                <w:sz w:val="20"/>
              </w:rPr>
              <w:t>C</w:t>
            </w:r>
            <w:r w:rsidRPr="00EE3355">
              <w:rPr>
                <w:sz w:val="13"/>
              </w:rPr>
              <w:t xml:space="preserve">střední </w:t>
            </w:r>
            <w:r w:rsidRPr="00EE3355">
              <w:rPr>
                <w:sz w:val="20"/>
              </w:rPr>
              <w:t>(µg/ml)</w:t>
            </w:r>
          </w:p>
        </w:tc>
        <w:tc>
          <w:tcPr>
            <w:tcW w:w="2448" w:type="dxa"/>
          </w:tcPr>
          <w:p w14:paraId="025BF470" w14:textId="77777777" w:rsidR="00222DE0" w:rsidRPr="00EE3355" w:rsidRDefault="0098273B" w:rsidP="00EA1CDF">
            <w:pPr>
              <w:pStyle w:val="TableParagraph"/>
              <w:widowControl/>
              <w:jc w:val="center"/>
              <w:rPr>
                <w:sz w:val="20"/>
              </w:rPr>
            </w:pPr>
            <w:r w:rsidRPr="00EE3355">
              <w:rPr>
                <w:sz w:val="20"/>
              </w:rPr>
              <w:t>16,2 ± 11,8</w:t>
            </w:r>
          </w:p>
        </w:tc>
        <w:tc>
          <w:tcPr>
            <w:tcW w:w="2602" w:type="dxa"/>
          </w:tcPr>
          <w:p w14:paraId="1CBD1108" w14:textId="77777777" w:rsidR="00222DE0" w:rsidRPr="00EE3355" w:rsidRDefault="0098273B" w:rsidP="00EA1CDF">
            <w:pPr>
              <w:pStyle w:val="TableParagraph"/>
              <w:widowControl/>
              <w:jc w:val="center"/>
              <w:rPr>
                <w:sz w:val="20"/>
              </w:rPr>
            </w:pPr>
            <w:r w:rsidRPr="00EE3355">
              <w:rPr>
                <w:sz w:val="20"/>
              </w:rPr>
              <w:t>71,3 ± 30,1</w:t>
            </w:r>
          </w:p>
        </w:tc>
      </w:tr>
      <w:tr w:rsidR="00222DE0" w:rsidRPr="00EE3355" w14:paraId="3670F709" w14:textId="77777777" w:rsidTr="004450D0">
        <w:trPr>
          <w:cantSplit/>
          <w:trHeight w:val="100"/>
        </w:trPr>
        <w:tc>
          <w:tcPr>
            <w:tcW w:w="4189" w:type="dxa"/>
          </w:tcPr>
          <w:p w14:paraId="54D858F0" w14:textId="77777777" w:rsidR="00222DE0" w:rsidRPr="00EE3355" w:rsidRDefault="0098273B" w:rsidP="00EA1CDF">
            <w:pPr>
              <w:pStyle w:val="TableParagraph"/>
              <w:widowControl/>
              <w:rPr>
                <w:sz w:val="13"/>
              </w:rPr>
            </w:pPr>
            <w:r w:rsidRPr="00EE3355">
              <w:rPr>
                <w:sz w:val="20"/>
              </w:rPr>
              <w:t>kumulační C</w:t>
            </w:r>
            <w:r w:rsidR="00391AE8" w:rsidRPr="00EE3355">
              <w:rPr>
                <w:vertAlign w:val="subscript"/>
              </w:rPr>
              <w:t>max</w:t>
            </w:r>
          </w:p>
        </w:tc>
        <w:tc>
          <w:tcPr>
            <w:tcW w:w="2448" w:type="dxa"/>
          </w:tcPr>
          <w:p w14:paraId="0AD8DBC3" w14:textId="77777777" w:rsidR="00222DE0" w:rsidRPr="00EE3355" w:rsidRDefault="0098273B" w:rsidP="00EA1CDF">
            <w:pPr>
              <w:pStyle w:val="TableParagraph"/>
              <w:widowControl/>
              <w:jc w:val="center"/>
              <w:rPr>
                <w:sz w:val="20"/>
              </w:rPr>
            </w:pPr>
            <w:r w:rsidRPr="00EE3355">
              <w:rPr>
                <w:sz w:val="20"/>
              </w:rPr>
              <w:t>2,18</w:t>
            </w:r>
          </w:p>
        </w:tc>
        <w:tc>
          <w:tcPr>
            <w:tcW w:w="2602" w:type="dxa"/>
          </w:tcPr>
          <w:p w14:paraId="3C7382E2" w14:textId="77777777" w:rsidR="00222DE0" w:rsidRPr="00EE3355" w:rsidRDefault="0098273B" w:rsidP="00EA1CDF">
            <w:pPr>
              <w:pStyle w:val="TableParagraph"/>
              <w:widowControl/>
              <w:jc w:val="center"/>
              <w:rPr>
                <w:sz w:val="20"/>
              </w:rPr>
            </w:pPr>
            <w:r w:rsidRPr="00EE3355">
              <w:rPr>
                <w:sz w:val="20"/>
              </w:rPr>
              <w:t>8,88</w:t>
            </w:r>
          </w:p>
        </w:tc>
      </w:tr>
      <w:tr w:rsidR="00222DE0" w:rsidRPr="00EE3355" w14:paraId="153B008C" w14:textId="77777777" w:rsidTr="004450D0">
        <w:trPr>
          <w:cantSplit/>
          <w:trHeight w:val="246"/>
        </w:trPr>
        <w:tc>
          <w:tcPr>
            <w:tcW w:w="4189" w:type="dxa"/>
          </w:tcPr>
          <w:p w14:paraId="26C1F36E" w14:textId="77777777" w:rsidR="00222DE0" w:rsidRPr="00EE3355" w:rsidRDefault="0098273B" w:rsidP="00EA1CDF">
            <w:pPr>
              <w:pStyle w:val="TableParagraph"/>
              <w:widowControl/>
              <w:rPr>
                <w:sz w:val="13"/>
              </w:rPr>
            </w:pPr>
            <w:r w:rsidRPr="00EE3355">
              <w:rPr>
                <w:sz w:val="20"/>
              </w:rPr>
              <w:t>kumulační C</w:t>
            </w:r>
            <w:r w:rsidRPr="00EE3355">
              <w:rPr>
                <w:sz w:val="13"/>
              </w:rPr>
              <w:t>údolní</w:t>
            </w:r>
          </w:p>
        </w:tc>
        <w:tc>
          <w:tcPr>
            <w:tcW w:w="2448" w:type="dxa"/>
          </w:tcPr>
          <w:p w14:paraId="79A490A9" w14:textId="77777777" w:rsidR="00222DE0" w:rsidRPr="00EE3355" w:rsidRDefault="0098273B" w:rsidP="00EA1CDF">
            <w:pPr>
              <w:pStyle w:val="TableParagraph"/>
              <w:widowControl/>
              <w:jc w:val="center"/>
              <w:rPr>
                <w:sz w:val="20"/>
              </w:rPr>
            </w:pPr>
            <w:r w:rsidRPr="00EE3355">
              <w:rPr>
                <w:sz w:val="20"/>
              </w:rPr>
              <w:t>5,61</w:t>
            </w:r>
          </w:p>
        </w:tc>
        <w:tc>
          <w:tcPr>
            <w:tcW w:w="2602" w:type="dxa"/>
          </w:tcPr>
          <w:p w14:paraId="394E8B19" w14:textId="77777777" w:rsidR="00222DE0" w:rsidRPr="00EE3355" w:rsidRDefault="0098273B" w:rsidP="00EA1CDF">
            <w:pPr>
              <w:pStyle w:val="TableParagraph"/>
              <w:widowControl/>
              <w:jc w:val="center"/>
              <w:rPr>
                <w:sz w:val="20"/>
              </w:rPr>
            </w:pPr>
            <w:r w:rsidRPr="00EE3355">
              <w:rPr>
                <w:sz w:val="20"/>
              </w:rPr>
              <w:t>9,59</w:t>
            </w:r>
          </w:p>
        </w:tc>
      </w:tr>
      <w:tr w:rsidR="00222DE0" w:rsidRPr="00EE3355" w14:paraId="3BAC4F3E" w14:textId="77777777" w:rsidTr="004450D0">
        <w:trPr>
          <w:cantSplit/>
          <w:trHeight w:val="66"/>
        </w:trPr>
        <w:tc>
          <w:tcPr>
            <w:tcW w:w="4189" w:type="dxa"/>
          </w:tcPr>
          <w:p w14:paraId="1390B2C2" w14:textId="77777777" w:rsidR="00222DE0" w:rsidRPr="00EE3355" w:rsidRDefault="0098273B" w:rsidP="00EA1CDF">
            <w:pPr>
              <w:pStyle w:val="TableParagraph"/>
              <w:widowControl/>
              <w:rPr>
                <w:sz w:val="20"/>
              </w:rPr>
            </w:pPr>
            <w:r w:rsidRPr="00EE3355">
              <w:rPr>
                <w:sz w:val="20"/>
              </w:rPr>
              <w:t>kumulační C</w:t>
            </w:r>
            <w:r w:rsidRPr="00EE3355">
              <w:rPr>
                <w:sz w:val="13"/>
              </w:rPr>
              <w:t xml:space="preserve">střední </w:t>
            </w:r>
            <w:r w:rsidRPr="00EE3355">
              <w:rPr>
                <w:sz w:val="20"/>
              </w:rPr>
              <w:t>nebo AUC</w:t>
            </w:r>
            <w:r w:rsidRPr="00EE3355">
              <w:rPr>
                <w:sz w:val="13"/>
              </w:rPr>
              <w:t xml:space="preserve">τ </w:t>
            </w:r>
            <w:r w:rsidRPr="00EE3355">
              <w:rPr>
                <w:sz w:val="20"/>
              </w:rPr>
              <w:t>*</w:t>
            </w:r>
          </w:p>
        </w:tc>
        <w:tc>
          <w:tcPr>
            <w:tcW w:w="2448" w:type="dxa"/>
          </w:tcPr>
          <w:p w14:paraId="31268349" w14:textId="77777777" w:rsidR="00222DE0" w:rsidRPr="00EE3355" w:rsidRDefault="0098273B" w:rsidP="00EA1CDF">
            <w:pPr>
              <w:pStyle w:val="TableParagraph"/>
              <w:widowControl/>
              <w:jc w:val="center"/>
              <w:rPr>
                <w:sz w:val="20"/>
              </w:rPr>
            </w:pPr>
            <w:r w:rsidRPr="00EE3355">
              <w:rPr>
                <w:sz w:val="20"/>
              </w:rPr>
              <w:t>2,81</w:t>
            </w:r>
          </w:p>
        </w:tc>
        <w:tc>
          <w:tcPr>
            <w:tcW w:w="2602" w:type="dxa"/>
          </w:tcPr>
          <w:p w14:paraId="2D8753F3" w14:textId="77777777" w:rsidR="00222DE0" w:rsidRPr="00EE3355" w:rsidRDefault="0098273B" w:rsidP="00EA1CDF">
            <w:pPr>
              <w:pStyle w:val="TableParagraph"/>
              <w:widowControl/>
              <w:jc w:val="center"/>
              <w:rPr>
                <w:sz w:val="20"/>
              </w:rPr>
            </w:pPr>
            <w:r w:rsidRPr="00EE3355">
              <w:rPr>
                <w:sz w:val="20"/>
              </w:rPr>
              <w:t>10,91</w:t>
            </w:r>
          </w:p>
        </w:tc>
      </w:tr>
    </w:tbl>
    <w:p w14:paraId="5C68DFAE" w14:textId="77777777" w:rsidR="00222DE0" w:rsidRPr="00EE3355" w:rsidRDefault="0098273B" w:rsidP="00EA1CDF">
      <w:pPr>
        <w:widowControl/>
        <w:rPr>
          <w:sz w:val="18"/>
        </w:rPr>
      </w:pPr>
      <w:r w:rsidRPr="00EE3355">
        <w:rPr>
          <w:sz w:val="18"/>
        </w:rPr>
        <w:t>*τ = 1 týden, resp. 2 týdny u dvou subkutánních režimů</w:t>
      </w:r>
    </w:p>
    <w:p w14:paraId="3E59EE1A" w14:textId="77777777" w:rsidR="00222DE0" w:rsidRPr="00EE3355" w:rsidRDefault="00222DE0" w:rsidP="00EA1CDF">
      <w:pPr>
        <w:pStyle w:val="a3"/>
        <w:widowControl/>
        <w:ind w:left="0"/>
        <w:rPr>
          <w:sz w:val="18"/>
        </w:rPr>
      </w:pPr>
    </w:p>
    <w:p w14:paraId="1B1037C2" w14:textId="6E90944E" w:rsidR="00222DE0" w:rsidRPr="00EE3355" w:rsidRDefault="0098273B" w:rsidP="00EA1CDF">
      <w:pPr>
        <w:pStyle w:val="a3"/>
        <w:widowControl/>
        <w:ind w:left="0"/>
      </w:pPr>
      <w:r w:rsidRPr="00EE3355">
        <w:t xml:space="preserve">Profil v ustáleném stavu po podání </w:t>
      </w:r>
      <w:r w:rsidR="00DC2C90" w:rsidRPr="00C61A9B">
        <w:t>tocilizumab</w:t>
      </w:r>
      <w:r w:rsidR="00DC2C90">
        <w:t xml:space="preserve">u </w:t>
      </w:r>
      <w:r w:rsidRPr="00EE3355">
        <w:t xml:space="preserve">jednou týdně byl téměř plochý s minimálním kolísáním mezi údolními a vrcholovými hodnotami na rozdíl od značného kolísání po podání </w:t>
      </w:r>
      <w:r w:rsidR="00DC2C90" w:rsidRPr="00C61A9B">
        <w:t>tocilizumab</w:t>
      </w:r>
      <w:r w:rsidR="00DC2C90">
        <w:t xml:space="preserve">u </w:t>
      </w:r>
      <w:r w:rsidRPr="00EE3355">
        <w:t xml:space="preserve">každé dva týdny. K dosažení přibližně 90 % ustáleného stavu </w:t>
      </w:r>
      <w:r w:rsidRPr="00EE3355">
        <w:rPr>
          <w:sz w:val="20"/>
        </w:rPr>
        <w:t>(AUC</w:t>
      </w:r>
      <w:r w:rsidRPr="00EE3355">
        <w:rPr>
          <w:sz w:val="13"/>
        </w:rPr>
        <w:t>τ</w:t>
      </w:r>
      <w:r w:rsidRPr="00EE3355">
        <w:t>) došlo</w:t>
      </w:r>
      <w:r w:rsidR="005B63F1" w:rsidRPr="00EE3355">
        <w:t xml:space="preserve"> </w:t>
      </w:r>
      <w:r w:rsidRPr="00EE3355">
        <w:t>v týdnu 14 u dávky každé dva týdny a v týdnu 17 u dávky jednou týdně.</w:t>
      </w:r>
    </w:p>
    <w:p w14:paraId="5837DEEC" w14:textId="77777777" w:rsidR="005B63F1" w:rsidRPr="00EE3355" w:rsidRDefault="005B63F1" w:rsidP="00EA1CDF">
      <w:pPr>
        <w:pStyle w:val="a3"/>
        <w:widowControl/>
        <w:ind w:left="0"/>
      </w:pPr>
    </w:p>
    <w:p w14:paraId="726FEE94" w14:textId="3B966567" w:rsidR="00222DE0" w:rsidRPr="00EE3355" w:rsidRDefault="0098273B" w:rsidP="00EA1CDF">
      <w:pPr>
        <w:pStyle w:val="a3"/>
        <w:widowControl/>
        <w:ind w:left="0"/>
      </w:pPr>
      <w:r w:rsidRPr="00EE3355">
        <w:t xml:space="preserve">Na základě stávající charakterizace PK byly v této populaci zjištěny mírně vyšší (o 50 %) koncentrace </w:t>
      </w:r>
      <w:r w:rsidR="00DC2C90" w:rsidRPr="00C61A9B">
        <w:t>tocilizumab</w:t>
      </w:r>
      <w:r w:rsidR="00DC2C90">
        <w:t xml:space="preserve">u </w:t>
      </w:r>
      <w:r w:rsidRPr="00EE3355">
        <w:t>ve vztahu k průměrným koncentracím ve velkém souboru dat z populace s RA. Příčiny těchto rozdílů nejsou známy. PK rozdíly nejsou provázeny významnými rozdíly v PD parametrech, a klinická relevance tak není známa.</w:t>
      </w:r>
    </w:p>
    <w:p w14:paraId="4B20A4B8" w14:textId="77777777" w:rsidR="00133D75" w:rsidRPr="00EE3355" w:rsidRDefault="00133D75" w:rsidP="00EA1CDF">
      <w:pPr>
        <w:pStyle w:val="a3"/>
        <w:widowControl/>
        <w:ind w:left="0"/>
      </w:pPr>
    </w:p>
    <w:p w14:paraId="3E5BF18C" w14:textId="77777777" w:rsidR="00222DE0" w:rsidRPr="00EE3355" w:rsidRDefault="0098273B" w:rsidP="00EA1CDF">
      <w:pPr>
        <w:pStyle w:val="a3"/>
        <w:widowControl/>
        <w:ind w:left="0"/>
      </w:pPr>
      <w:r w:rsidRPr="00EE3355">
        <w:t>Vyšší expozice byla pozorována u pacientů s GCA s nižší tělesnou hmotností. V dávkovacím režimu 162 mg jednou týdně byl C</w:t>
      </w:r>
      <w:r w:rsidRPr="00EE3355">
        <w:rPr>
          <w:vertAlign w:val="subscript"/>
        </w:rPr>
        <w:t>průměr</w:t>
      </w:r>
      <w:r w:rsidRPr="00EE3355">
        <w:rPr>
          <w:sz w:val="14"/>
        </w:rPr>
        <w:t xml:space="preserve"> </w:t>
      </w:r>
      <w:r w:rsidRPr="00EE3355">
        <w:t>v ustáleném stavu o 51 % vyšší u pacientů s tělesnou hmotností nižší než 60 kg v porovnání s pacienty s tělesnou hmotností v rozmezí mezi 60 až 100 kg. V dávkovacím režimu 162 mg každé dva týdny byl C</w:t>
      </w:r>
      <w:r w:rsidRPr="00EE3355">
        <w:rPr>
          <w:vertAlign w:val="subscript"/>
        </w:rPr>
        <w:t>průměr</w:t>
      </w:r>
      <w:r w:rsidRPr="00EE3355">
        <w:rPr>
          <w:sz w:val="14"/>
        </w:rPr>
        <w:t xml:space="preserve"> </w:t>
      </w:r>
      <w:r w:rsidRPr="00EE3355">
        <w:t>v ustáleném stavu o 129 % vyšší u pacientů s tělesnou hmotností nižší než 60 kg v porovnání s pacienty s tělesnou hmotností v rozmezí mezi 60 až 100 kg. Údaje o pacientech s tělesnou hmotností vyšší než 100 kg jsou omezené (n = 7).</w:t>
      </w:r>
    </w:p>
    <w:p w14:paraId="684E655E" w14:textId="77777777" w:rsidR="005B63F1" w:rsidRPr="00EE3355" w:rsidRDefault="005B63F1" w:rsidP="00EA1CDF">
      <w:pPr>
        <w:pStyle w:val="a3"/>
        <w:widowControl/>
        <w:ind w:left="0"/>
        <w:rPr>
          <w:u w:val="single"/>
        </w:rPr>
      </w:pPr>
    </w:p>
    <w:p w14:paraId="2293BB5D" w14:textId="77777777" w:rsidR="00222DE0" w:rsidRPr="00EE3355" w:rsidRDefault="0098273B" w:rsidP="00EA1CDF">
      <w:pPr>
        <w:pStyle w:val="a3"/>
        <w:widowControl/>
        <w:ind w:left="0"/>
      </w:pPr>
      <w:r w:rsidRPr="00EE3355">
        <w:rPr>
          <w:u w:val="single"/>
        </w:rPr>
        <w:t>Absorpce</w:t>
      </w:r>
    </w:p>
    <w:p w14:paraId="1887AE10" w14:textId="13BCFE02" w:rsidR="00222DE0" w:rsidRPr="00EE3355" w:rsidRDefault="0098273B" w:rsidP="00EA1CDF">
      <w:pPr>
        <w:pStyle w:val="a3"/>
        <w:widowControl/>
        <w:ind w:left="0"/>
      </w:pPr>
      <w:r w:rsidRPr="00EE3355">
        <w:t>Poločas absorpce t</w:t>
      </w:r>
      <w:r w:rsidRPr="00EE3355">
        <w:rPr>
          <w:sz w:val="14"/>
        </w:rPr>
        <w:t xml:space="preserve">1/2 </w:t>
      </w:r>
      <w:r w:rsidRPr="00EE3355">
        <w:t>po subkutánním podání pacientům s GCA byl přibližně 4 dny. Biologická dostupnost subkutánní formy byla 0,8. Hodnoty mediánu T</w:t>
      </w:r>
      <w:r w:rsidR="00391AE8" w:rsidRPr="00EE3355">
        <w:rPr>
          <w:vertAlign w:val="subscript"/>
        </w:rPr>
        <w:t>max</w:t>
      </w:r>
      <w:r w:rsidRPr="00EE3355">
        <w:rPr>
          <w:sz w:val="14"/>
        </w:rPr>
        <w:t xml:space="preserve"> </w:t>
      </w:r>
      <w:r w:rsidRPr="00EE3355">
        <w:t xml:space="preserve">byly 3 dny po podání </w:t>
      </w:r>
      <w:r w:rsidR="00DC2C90" w:rsidRPr="00C61A9B">
        <w:t>tocilizumab</w:t>
      </w:r>
      <w:r w:rsidR="00DC2C90">
        <w:t xml:space="preserve">u </w:t>
      </w:r>
      <w:r w:rsidRPr="00EE3355">
        <w:t>jednou týdně a 4,5 dne po podání tocilizumabu každé dva týdny.</w:t>
      </w:r>
    </w:p>
    <w:p w14:paraId="282D5609" w14:textId="77777777" w:rsidR="005B63F1" w:rsidRPr="00EE3355" w:rsidRDefault="005B63F1" w:rsidP="00EA1CDF">
      <w:pPr>
        <w:pStyle w:val="a3"/>
        <w:widowControl/>
        <w:ind w:left="0"/>
        <w:rPr>
          <w:u w:val="single"/>
        </w:rPr>
      </w:pPr>
    </w:p>
    <w:p w14:paraId="6E4A4FEA" w14:textId="77777777" w:rsidR="00222DE0" w:rsidRPr="00EE3355" w:rsidRDefault="0098273B" w:rsidP="00EA1CDF">
      <w:pPr>
        <w:pStyle w:val="a3"/>
        <w:widowControl/>
        <w:ind w:left="0"/>
      </w:pPr>
      <w:r w:rsidRPr="00EE3355">
        <w:rPr>
          <w:u w:val="single"/>
        </w:rPr>
        <w:t>Distribuce</w:t>
      </w:r>
    </w:p>
    <w:p w14:paraId="33E8AA23" w14:textId="77777777" w:rsidR="00222DE0" w:rsidRPr="00EE3355" w:rsidRDefault="0098273B" w:rsidP="00EA1CDF">
      <w:pPr>
        <w:pStyle w:val="a3"/>
        <w:widowControl/>
        <w:ind w:left="0"/>
      </w:pPr>
      <w:r w:rsidRPr="00EE3355">
        <w:lastRenderedPageBreak/>
        <w:t>Centrální distribuční objem u pacientů s GCA byl 4,09 l, periferní distribuční objem byl 3,37 l;</w:t>
      </w:r>
      <w:r w:rsidR="005B63F1" w:rsidRPr="00EE3355">
        <w:t xml:space="preserve"> </w:t>
      </w:r>
      <w:r w:rsidRPr="00EE3355">
        <w:t>distribuční objem v ustáleném stavu tak činil 7,46 l.</w:t>
      </w:r>
    </w:p>
    <w:p w14:paraId="7FD3CA5E" w14:textId="77777777" w:rsidR="00222DE0" w:rsidRPr="00EE3355" w:rsidRDefault="00222DE0" w:rsidP="00EA1CDF">
      <w:pPr>
        <w:pStyle w:val="a3"/>
        <w:widowControl/>
        <w:ind w:left="0"/>
      </w:pPr>
    </w:p>
    <w:p w14:paraId="7B076730" w14:textId="77777777" w:rsidR="00222DE0" w:rsidRPr="00EE3355" w:rsidRDefault="0098273B" w:rsidP="00EA1CDF">
      <w:pPr>
        <w:pStyle w:val="a3"/>
        <w:keepNext/>
        <w:widowControl/>
        <w:ind w:left="0"/>
      </w:pPr>
      <w:r w:rsidRPr="00EE3355">
        <w:rPr>
          <w:u w:val="single"/>
        </w:rPr>
        <w:t>Eliminace</w:t>
      </w:r>
    </w:p>
    <w:p w14:paraId="660EA421" w14:textId="5469412E" w:rsidR="00222DE0" w:rsidRPr="00EE3355" w:rsidRDefault="0098273B" w:rsidP="00EA1CDF">
      <w:pPr>
        <w:pStyle w:val="a3"/>
        <w:widowControl/>
        <w:ind w:left="0"/>
      </w:pPr>
      <w:r w:rsidRPr="00EE3355">
        <w:t xml:space="preserve">Celková clearance </w:t>
      </w:r>
      <w:r w:rsidR="00DC2C90" w:rsidRPr="00C61A9B">
        <w:t>tocilizumab</w:t>
      </w:r>
      <w:r w:rsidR="00DC2C90">
        <w:t xml:space="preserve">u </w:t>
      </w:r>
      <w:r w:rsidRPr="00EE3355">
        <w:t>byla závislá na koncentraci a je součtem lineární a nelineární clearance. Lineární clearance byla stanovena odhadem jako parametr v populační farmakokinetické analýze jako 6,7 ml/h u pacientů s GCA.</w:t>
      </w:r>
    </w:p>
    <w:p w14:paraId="5ABB8464" w14:textId="77777777" w:rsidR="00E05AFC" w:rsidRPr="00EE3355" w:rsidRDefault="00E05AFC" w:rsidP="00EA1CDF">
      <w:pPr>
        <w:pStyle w:val="a3"/>
        <w:widowControl/>
        <w:ind w:left="0"/>
      </w:pPr>
    </w:p>
    <w:p w14:paraId="66D2DA93" w14:textId="5DAF5907" w:rsidR="00222DE0" w:rsidRPr="00EE3355" w:rsidRDefault="0098273B" w:rsidP="00EA1CDF">
      <w:pPr>
        <w:pStyle w:val="a3"/>
        <w:widowControl/>
        <w:ind w:left="0"/>
      </w:pPr>
      <w:r w:rsidRPr="00EE3355">
        <w:t>Efektivní poločas t</w:t>
      </w:r>
      <w:r w:rsidRPr="00EE3355">
        <w:rPr>
          <w:sz w:val="14"/>
        </w:rPr>
        <w:t xml:space="preserve">1/2 </w:t>
      </w:r>
      <w:r w:rsidR="00DC2C90" w:rsidRPr="00C61A9B">
        <w:t>tocilizumab</w:t>
      </w:r>
      <w:r w:rsidR="00DC2C90">
        <w:t xml:space="preserve">u </w:t>
      </w:r>
      <w:r w:rsidRPr="00EE3355">
        <w:t xml:space="preserve">u pacientů s GCA kolísal mezi 18,3 a 18,9 dne pro režim 162 mg jednou týdně a mezi 4,2 a 7,9 dne pro režim 162 mg každé dva týdny. Při vysokých sérových koncentracích, kdy celkové clearance </w:t>
      </w:r>
      <w:r w:rsidR="00DC2C90" w:rsidRPr="00C61A9B">
        <w:t>tocilizumab</w:t>
      </w:r>
      <w:r w:rsidR="00DC2C90">
        <w:t xml:space="preserve">u </w:t>
      </w:r>
      <w:r w:rsidRPr="00EE3355">
        <w:t>dominuje lineární clearance, činil efektivní t</w:t>
      </w:r>
      <w:r w:rsidRPr="00EE3355">
        <w:rPr>
          <w:sz w:val="14"/>
        </w:rPr>
        <w:t xml:space="preserve">1/2 </w:t>
      </w:r>
      <w:r w:rsidRPr="00EE3355">
        <w:t>odvozený od odhadovaných populačních parametrů přibližně 32 dny.</w:t>
      </w:r>
    </w:p>
    <w:p w14:paraId="421828F9" w14:textId="77777777" w:rsidR="004D3B65" w:rsidRPr="00EE3355" w:rsidRDefault="004D3B65" w:rsidP="00EA1CDF">
      <w:pPr>
        <w:pStyle w:val="a3"/>
        <w:widowControl/>
        <w:ind w:left="0"/>
      </w:pPr>
    </w:p>
    <w:p w14:paraId="33E89DB1" w14:textId="77777777" w:rsidR="00222DE0" w:rsidRPr="00EE3355" w:rsidRDefault="0098273B" w:rsidP="00EA1CDF">
      <w:pPr>
        <w:pStyle w:val="a3"/>
        <w:widowControl/>
        <w:ind w:left="0"/>
      </w:pPr>
      <w:r w:rsidRPr="00EE3355">
        <w:rPr>
          <w:u w:val="single"/>
        </w:rPr>
        <w:t>Zvláštní skupiny pacientů</w:t>
      </w:r>
    </w:p>
    <w:p w14:paraId="7DF662D8" w14:textId="77777777" w:rsidR="00222DE0" w:rsidRPr="00EE3355" w:rsidRDefault="0098273B" w:rsidP="00EA1CDF">
      <w:pPr>
        <w:widowControl/>
        <w:rPr>
          <w:i/>
        </w:rPr>
      </w:pPr>
      <w:r w:rsidRPr="00EE3355">
        <w:rPr>
          <w:i/>
        </w:rPr>
        <w:t>Porucha funkce ledvin</w:t>
      </w:r>
    </w:p>
    <w:p w14:paraId="703AE69C" w14:textId="69ED2D6D" w:rsidR="00222DE0" w:rsidRPr="00EE3355" w:rsidRDefault="0098273B" w:rsidP="00EA1CDF">
      <w:pPr>
        <w:pStyle w:val="a3"/>
        <w:widowControl/>
        <w:ind w:left="0"/>
      </w:pPr>
      <w:r w:rsidRPr="00EE3355">
        <w:t xml:space="preserve">Nebyly provedeny žádné formální studie vlivu poruchy funkce ledvin na farmakokinetiku </w:t>
      </w:r>
      <w:r w:rsidR="00A96255" w:rsidRPr="00C61A9B">
        <w:t>tocilizumab</w:t>
      </w:r>
      <w:r w:rsidR="00A96255">
        <w:t>u</w:t>
      </w:r>
      <w:r w:rsidRPr="00EE3355">
        <w:t xml:space="preserve">. Většina pacientů v populačních farmakokinetických analýzách v rámci studií RA a GCA měla normální funkci ledvin nebo lehkou poruchu funkce ledvin. Lehká porucha funkce ledvin (odhadovaná clearance kreatininu podle Cockrofta a Gaulta) farmakokinetiku </w:t>
      </w:r>
      <w:r w:rsidR="00A96255" w:rsidRPr="00C61A9B">
        <w:t>tocilizumab</w:t>
      </w:r>
      <w:r w:rsidR="00A96255">
        <w:t xml:space="preserve">u </w:t>
      </w:r>
      <w:r w:rsidRPr="00EE3355">
        <w:t>neovlivňovala.</w:t>
      </w:r>
    </w:p>
    <w:p w14:paraId="1EADEF7A" w14:textId="77777777" w:rsidR="00222DE0" w:rsidRPr="00EE3355" w:rsidRDefault="00222DE0" w:rsidP="00EA1CDF">
      <w:pPr>
        <w:pStyle w:val="a3"/>
        <w:widowControl/>
        <w:ind w:left="0"/>
      </w:pPr>
    </w:p>
    <w:p w14:paraId="11C8D817" w14:textId="4AF4A06A" w:rsidR="00222DE0" w:rsidRPr="00EE3355" w:rsidRDefault="0098273B" w:rsidP="00EA1CDF">
      <w:pPr>
        <w:pStyle w:val="a3"/>
        <w:widowControl/>
        <w:ind w:left="0"/>
      </w:pPr>
      <w:r w:rsidRPr="00EE3355">
        <w:t xml:space="preserve">Přibližně jedna třetina pacientů ve studii GCA měla středně těžkou poruchu funkce ledvin ve výchozím stavu (odhadovaná clearance kreatininu 30 - 59 ml/min). U těchto pacientů nebyl zjištěn žádný vliv na expozici </w:t>
      </w:r>
      <w:r w:rsidR="00A96255" w:rsidRPr="00C61A9B">
        <w:t>tocilizumab</w:t>
      </w:r>
      <w:r w:rsidR="00A96255">
        <w:t>u</w:t>
      </w:r>
      <w:r w:rsidRPr="00EE3355">
        <w:t>.</w:t>
      </w:r>
    </w:p>
    <w:p w14:paraId="6116A9BE" w14:textId="77777777" w:rsidR="00222DE0" w:rsidRPr="00EE3355" w:rsidRDefault="00222DE0" w:rsidP="00EA1CDF">
      <w:pPr>
        <w:pStyle w:val="a3"/>
        <w:widowControl/>
        <w:ind w:left="0"/>
      </w:pPr>
    </w:p>
    <w:p w14:paraId="3D7AD17D" w14:textId="77777777" w:rsidR="00222DE0" w:rsidRPr="00EE3355" w:rsidRDefault="0098273B" w:rsidP="00EA1CDF">
      <w:pPr>
        <w:pStyle w:val="a3"/>
        <w:widowControl/>
        <w:ind w:left="0"/>
      </w:pPr>
      <w:r w:rsidRPr="00EE3355">
        <w:t>U pacientů s lehkou nebo středně těžkou poruchou funkce ledvin není požadována úprava dávkování.</w:t>
      </w:r>
    </w:p>
    <w:p w14:paraId="2BC37EBB" w14:textId="77777777" w:rsidR="00222DE0" w:rsidRPr="00EE3355" w:rsidRDefault="00222DE0" w:rsidP="00EA1CDF">
      <w:pPr>
        <w:pStyle w:val="a3"/>
        <w:widowControl/>
        <w:ind w:left="0"/>
      </w:pPr>
    </w:p>
    <w:p w14:paraId="05E18901" w14:textId="77777777" w:rsidR="00222DE0" w:rsidRPr="00EE3355" w:rsidRDefault="0098273B" w:rsidP="00EA1CDF">
      <w:pPr>
        <w:widowControl/>
        <w:rPr>
          <w:i/>
        </w:rPr>
      </w:pPr>
      <w:r w:rsidRPr="00EE3355">
        <w:rPr>
          <w:i/>
        </w:rPr>
        <w:t>Porucha funkce jater</w:t>
      </w:r>
    </w:p>
    <w:p w14:paraId="3851A043" w14:textId="2B3FA6AD" w:rsidR="00222DE0" w:rsidRPr="00EE3355" w:rsidRDefault="0098273B" w:rsidP="002265A0">
      <w:pPr>
        <w:pStyle w:val="a3"/>
        <w:widowControl/>
        <w:ind w:left="0"/>
      </w:pPr>
      <w:r w:rsidRPr="00EE3355">
        <w:t xml:space="preserve">Nebyly provedeny žádné formální studie vlivu poruchy funkce jater na farmakokinetiku </w:t>
      </w:r>
      <w:r w:rsidR="00A96255" w:rsidRPr="00C61A9B">
        <w:t>tocilizumab</w:t>
      </w:r>
      <w:r w:rsidR="00A96255">
        <w:t>u</w:t>
      </w:r>
      <w:r w:rsidRPr="00EE3355">
        <w:t>.</w:t>
      </w:r>
    </w:p>
    <w:p w14:paraId="2E7E0D52" w14:textId="77777777" w:rsidR="00222DE0" w:rsidRPr="00EE3355" w:rsidRDefault="00222DE0" w:rsidP="00EA1CDF">
      <w:pPr>
        <w:pStyle w:val="a3"/>
        <w:widowControl/>
        <w:ind w:left="0"/>
      </w:pPr>
    </w:p>
    <w:p w14:paraId="34D1DA9B" w14:textId="77777777" w:rsidR="00222DE0" w:rsidRPr="00EE3355" w:rsidRDefault="0098273B" w:rsidP="00EA1CDF">
      <w:pPr>
        <w:widowControl/>
        <w:rPr>
          <w:i/>
        </w:rPr>
      </w:pPr>
      <w:r w:rsidRPr="00EE3355">
        <w:rPr>
          <w:i/>
        </w:rPr>
        <w:t>Věk, pohlaví a etnikum</w:t>
      </w:r>
    </w:p>
    <w:p w14:paraId="71BC41A6" w14:textId="01E426C2" w:rsidR="00222DE0" w:rsidRPr="00EE3355" w:rsidRDefault="0098273B" w:rsidP="00EA1CDF">
      <w:pPr>
        <w:pStyle w:val="a3"/>
        <w:widowControl/>
        <w:ind w:left="0"/>
      </w:pPr>
      <w:r w:rsidRPr="00EE3355">
        <w:t xml:space="preserve">Populační farmakokinetické analýzy u pacientů s RA a GCA prokázaly, že věk, pohlaví ani etnikum neovlivňují farmakokinetiku </w:t>
      </w:r>
      <w:r w:rsidR="00A96255" w:rsidRPr="00C61A9B">
        <w:t>tocilizumab</w:t>
      </w:r>
      <w:r w:rsidR="00A96255">
        <w:t>u</w:t>
      </w:r>
      <w:r w:rsidRPr="00EE3355">
        <w:t>.</w:t>
      </w:r>
      <w:r w:rsidR="004D3B65" w:rsidRPr="00EE3355">
        <w:t xml:space="preserve"> </w:t>
      </w:r>
      <w:r w:rsidRPr="00EE3355">
        <w:t xml:space="preserve">Výsledky PK populačních analýz u pacientů se sJIA a s pJIA potvrdily, že velikost těla je jedinou kovariancí, která má značný dopad na farmakokinetiku </w:t>
      </w:r>
      <w:r w:rsidR="00A96255" w:rsidRPr="00C61A9B">
        <w:t>tocilizumab</w:t>
      </w:r>
      <w:r w:rsidR="00A96255">
        <w:t xml:space="preserve">u </w:t>
      </w:r>
      <w:r w:rsidRPr="00EE3355">
        <w:t>včetně eliminace a absorpce, proto má být zváženo dávkování na základě tělesné hmotnosti (viz tabulky 8 a 9).</w:t>
      </w:r>
    </w:p>
    <w:p w14:paraId="5E2F793C" w14:textId="77777777" w:rsidR="00222DE0" w:rsidRPr="00EE3355" w:rsidRDefault="00222DE0" w:rsidP="00EA1CDF">
      <w:pPr>
        <w:pStyle w:val="a3"/>
        <w:widowControl/>
        <w:ind w:left="0"/>
      </w:pPr>
    </w:p>
    <w:p w14:paraId="5E4ADD6B" w14:textId="77777777" w:rsidR="00222DE0" w:rsidRPr="00EE3355" w:rsidRDefault="00B23DAE" w:rsidP="00B93217">
      <w:pPr>
        <w:pStyle w:val="2"/>
        <w:keepNext/>
        <w:widowControl/>
        <w:tabs>
          <w:tab w:val="left" w:pos="804"/>
        </w:tabs>
        <w:ind w:left="567" w:hanging="567"/>
      </w:pPr>
      <w:r w:rsidRPr="00EE3355">
        <w:t>5.3</w:t>
      </w:r>
      <w:r w:rsidRPr="00EE3355">
        <w:tab/>
      </w:r>
      <w:r w:rsidR="0098273B" w:rsidRPr="00EE3355">
        <w:t>Předklinické údaje vztahující se k bezpečnosti</w:t>
      </w:r>
    </w:p>
    <w:p w14:paraId="791D3DEA" w14:textId="77777777" w:rsidR="004D3B65" w:rsidRPr="00EE3355" w:rsidRDefault="004D3B65" w:rsidP="00B93217">
      <w:pPr>
        <w:pStyle w:val="a3"/>
        <w:keepNext/>
        <w:widowControl/>
        <w:ind w:left="0"/>
      </w:pPr>
    </w:p>
    <w:p w14:paraId="71DD375C" w14:textId="77777777" w:rsidR="00222DE0" w:rsidRPr="00EE3355" w:rsidRDefault="0098273B" w:rsidP="00EA1CDF">
      <w:pPr>
        <w:pStyle w:val="a3"/>
        <w:widowControl/>
        <w:ind w:left="0"/>
      </w:pPr>
      <w:r w:rsidRPr="00EE3355">
        <w:t>Neklinické údaje získané na základě konvenčních farmakologických studií bezpečnosti, toxicity po opakovaném podávání, genotoxicity a reprodukční a vývojové toxicity neodhalily žádné zvláštní riziko pro člověka.</w:t>
      </w:r>
    </w:p>
    <w:p w14:paraId="4EA1C047" w14:textId="77777777" w:rsidR="00222DE0" w:rsidRPr="00EE3355" w:rsidRDefault="00222DE0" w:rsidP="00EA1CDF">
      <w:pPr>
        <w:pStyle w:val="a3"/>
        <w:widowControl/>
        <w:ind w:left="0"/>
      </w:pPr>
    </w:p>
    <w:p w14:paraId="2E5A4760" w14:textId="77777777" w:rsidR="00222DE0" w:rsidRPr="00EE3355" w:rsidRDefault="0098273B" w:rsidP="002265A0">
      <w:pPr>
        <w:pStyle w:val="a3"/>
        <w:widowControl/>
        <w:ind w:left="0"/>
      </w:pPr>
      <w:r w:rsidRPr="00EE3355">
        <w:t>Studie kancerogenity nebyly provedeny, neboť se předpokládá, že monoklonální protilátky IgG1</w:t>
      </w:r>
      <w:r w:rsidR="002265A0">
        <w:t xml:space="preserve"> </w:t>
      </w:r>
      <w:r w:rsidRPr="00EE3355">
        <w:t>nemají vlastní kancerogenní potenciál.</w:t>
      </w:r>
    </w:p>
    <w:p w14:paraId="5870F0B6" w14:textId="77777777" w:rsidR="00222DE0" w:rsidRPr="00EE3355" w:rsidRDefault="00222DE0" w:rsidP="00EA1CDF">
      <w:pPr>
        <w:pStyle w:val="a3"/>
        <w:widowControl/>
        <w:ind w:left="0"/>
      </w:pPr>
    </w:p>
    <w:p w14:paraId="7FCF50DA" w14:textId="09978EEB" w:rsidR="00222DE0" w:rsidRPr="00EE3355" w:rsidRDefault="0098273B" w:rsidP="00EA1CDF">
      <w:pPr>
        <w:pStyle w:val="a3"/>
        <w:widowControl/>
        <w:ind w:left="0"/>
      </w:pPr>
      <w:r w:rsidRPr="00EE3355">
        <w:t xml:space="preserve">Dostupná preklinická data ukazují na přispění IL-6 k maligní progresi a rezistenci k apoptóze u různých typů nádorů. Tyto údaje nepoukazují na významné riziko vzniku a progrese nádorového onemocnění při léčbě </w:t>
      </w:r>
      <w:r w:rsidR="00A96255" w:rsidRPr="00C61A9B">
        <w:t>tocilizumab</w:t>
      </w:r>
      <w:r w:rsidR="00A96255">
        <w:t>em</w:t>
      </w:r>
      <w:r w:rsidRPr="00EE3355">
        <w:t>. Při chronické depleci IL-6 u 6měsíčních chronických studiích toxicity u opic Cynomolgus ani u myší s deficitem IL-6 nebyly pozorovány proliferační léze.</w:t>
      </w:r>
      <w:r w:rsidR="00F60FAA" w:rsidRPr="00EE3355">
        <w:t xml:space="preserve"> </w:t>
      </w:r>
      <w:r w:rsidRPr="00EE3355">
        <w:t xml:space="preserve">Dostupné neklinické údaje nenaznačují vliv léčby </w:t>
      </w:r>
      <w:r w:rsidR="00A96255" w:rsidRPr="00C61A9B">
        <w:t>tocilizumab</w:t>
      </w:r>
      <w:r w:rsidR="00A96255">
        <w:t xml:space="preserve">em </w:t>
      </w:r>
      <w:r w:rsidRPr="00EE3355">
        <w:t xml:space="preserve">na fertilitu. Účinky na endokrinní aktivitu a reprodukční orgány nebyly ve studiích chronické toxicity u opic Cynomolgus pozorovány a reprodukční schopnosti nebyly u IL-6 deficitních myší porušeny. Podávání </w:t>
      </w:r>
      <w:r w:rsidR="00A96255" w:rsidRPr="00C61A9B">
        <w:t>tocilizumab</w:t>
      </w:r>
      <w:r w:rsidR="00A96255">
        <w:t xml:space="preserve">u </w:t>
      </w:r>
      <w:r w:rsidRPr="00EE3355">
        <w:t>opicím Cynomolgus v časné gestaci nemělo přímý ani nepřímý škodlivý efekt na březost ani embryo-fetální vývoj. Při vysoké systémové expozici (&gt; 100násobek lidské expozice) ve skupině</w:t>
      </w:r>
      <w:r w:rsidR="00F60FAA" w:rsidRPr="00EE3355">
        <w:t xml:space="preserve"> </w:t>
      </w:r>
      <w:r w:rsidRPr="00EE3355">
        <w:t xml:space="preserve">s dávkami 50 mg/kg/den bylo pozorováno mírné zvýšení potratů / embryo-fetálních úmrtí v porovnání s placebem nebo skupinou s nízkými dávkami. Ačkoliv se nezdá, že by byl cytokin IL-6 kritický pro fetální růst </w:t>
      </w:r>
      <w:r w:rsidRPr="00EE3355">
        <w:lastRenderedPageBreak/>
        <w:t>nebo imunologickou kontrolu maternálního / fetálního vzájemného stavu, souvislost tohoto nálezu s</w:t>
      </w:r>
      <w:r w:rsidR="00A96255">
        <w:t> </w:t>
      </w:r>
      <w:r w:rsidR="00A96255" w:rsidRPr="00C61A9B">
        <w:t>tocilizumab</w:t>
      </w:r>
      <w:r w:rsidR="00A96255">
        <w:t xml:space="preserve">em </w:t>
      </w:r>
      <w:r w:rsidRPr="00EE3355">
        <w:t>nelze vyloučit.</w:t>
      </w:r>
    </w:p>
    <w:p w14:paraId="4F5DBA20" w14:textId="77777777" w:rsidR="00222DE0" w:rsidRPr="00EE3355" w:rsidRDefault="00222DE0" w:rsidP="00EA1CDF">
      <w:pPr>
        <w:widowControl/>
      </w:pPr>
    </w:p>
    <w:p w14:paraId="59BA2C13" w14:textId="77777777" w:rsidR="00222DE0" w:rsidRPr="00EE3355" w:rsidRDefault="0098273B" w:rsidP="00EA1CDF">
      <w:pPr>
        <w:pStyle w:val="a3"/>
        <w:widowControl/>
        <w:ind w:left="0"/>
      </w:pPr>
      <w:r w:rsidRPr="00EE3355">
        <w:t>Léčba myšími analogy nevyvolala toxicitu u mladých myší. Zejména nedošlo k žádné poruše</w:t>
      </w:r>
    </w:p>
    <w:p w14:paraId="5639B58F" w14:textId="77777777" w:rsidR="00222DE0" w:rsidRPr="00EE3355" w:rsidRDefault="0098273B" w:rsidP="00EA1CDF">
      <w:pPr>
        <w:pStyle w:val="a3"/>
        <w:widowControl/>
        <w:ind w:left="0"/>
      </w:pPr>
      <w:r w:rsidRPr="00EE3355">
        <w:t>skeletálního růstu, imunitních funkcí ani pohlavní zralosti.</w:t>
      </w:r>
    </w:p>
    <w:p w14:paraId="7EF714EC" w14:textId="77777777" w:rsidR="00222DE0" w:rsidRPr="00EE3355" w:rsidRDefault="00222DE0" w:rsidP="00EA1CDF">
      <w:pPr>
        <w:pStyle w:val="a3"/>
        <w:widowControl/>
        <w:ind w:left="0"/>
      </w:pPr>
    </w:p>
    <w:p w14:paraId="67EAAA1A" w14:textId="1652833F" w:rsidR="00222DE0" w:rsidRPr="00EE3355" w:rsidRDefault="0098273B" w:rsidP="00EA1CDF">
      <w:pPr>
        <w:pStyle w:val="a3"/>
        <w:widowControl/>
        <w:ind w:left="0"/>
      </w:pPr>
      <w:r w:rsidRPr="00EE3355">
        <w:t xml:space="preserve">Neklinický bezpečnostní profil </w:t>
      </w:r>
      <w:r w:rsidR="00A96255" w:rsidRPr="00C61A9B">
        <w:t>tocilizumab</w:t>
      </w:r>
      <w:r w:rsidR="00A96255">
        <w:t xml:space="preserve">u </w:t>
      </w:r>
      <w:r w:rsidRPr="00EE3355">
        <w:t>u opic Cynomolgus nenaznačuje rozdíl mezi</w:t>
      </w:r>
    </w:p>
    <w:p w14:paraId="308C97C4" w14:textId="77777777" w:rsidR="00222DE0" w:rsidRPr="00EE3355" w:rsidRDefault="0098273B" w:rsidP="00EA1CDF">
      <w:pPr>
        <w:pStyle w:val="a3"/>
        <w:widowControl/>
        <w:ind w:left="0"/>
      </w:pPr>
      <w:r w:rsidRPr="00EE3355">
        <w:t>intravenózní a subkutánní cestou podání.</w:t>
      </w:r>
    </w:p>
    <w:p w14:paraId="1CA6F865" w14:textId="77777777" w:rsidR="00222DE0" w:rsidRPr="00EE3355" w:rsidRDefault="00222DE0" w:rsidP="00EA1CDF">
      <w:pPr>
        <w:pStyle w:val="a3"/>
        <w:widowControl/>
        <w:ind w:left="0"/>
      </w:pPr>
    </w:p>
    <w:p w14:paraId="4C940B64" w14:textId="77777777" w:rsidR="00222DE0" w:rsidRPr="00EE3355" w:rsidRDefault="00222DE0" w:rsidP="00EA1CDF">
      <w:pPr>
        <w:pStyle w:val="a3"/>
        <w:widowControl/>
        <w:ind w:left="0"/>
      </w:pPr>
    </w:p>
    <w:p w14:paraId="6685C6DB" w14:textId="77777777" w:rsidR="00222DE0" w:rsidRPr="00EE3355" w:rsidRDefault="00B23DAE" w:rsidP="00EA1CDF">
      <w:pPr>
        <w:pStyle w:val="1"/>
        <w:keepNext/>
        <w:widowControl/>
        <w:tabs>
          <w:tab w:val="left" w:pos="804"/>
        </w:tabs>
        <w:ind w:left="567" w:hanging="567"/>
      </w:pPr>
      <w:r w:rsidRPr="00EE3355">
        <w:t>6.</w:t>
      </w:r>
      <w:r w:rsidRPr="00EE3355">
        <w:tab/>
      </w:r>
      <w:r w:rsidR="0098273B" w:rsidRPr="00EE3355">
        <w:t>FARMACEUTICKÉ ÚDAJE</w:t>
      </w:r>
    </w:p>
    <w:p w14:paraId="352A9CFF" w14:textId="77777777" w:rsidR="00222DE0" w:rsidRPr="00EE3355" w:rsidRDefault="00222DE0" w:rsidP="00EA1CDF">
      <w:pPr>
        <w:pStyle w:val="a3"/>
        <w:widowControl/>
        <w:ind w:left="0"/>
        <w:rPr>
          <w:b/>
        </w:rPr>
      </w:pPr>
    </w:p>
    <w:p w14:paraId="3ED5A985" w14:textId="77777777" w:rsidR="00222DE0" w:rsidRPr="00EE3355" w:rsidRDefault="00B23DAE" w:rsidP="00EA1CDF">
      <w:pPr>
        <w:pStyle w:val="2"/>
        <w:widowControl/>
        <w:tabs>
          <w:tab w:val="left" w:pos="804"/>
        </w:tabs>
        <w:ind w:left="567" w:hanging="567"/>
      </w:pPr>
      <w:r w:rsidRPr="00EE3355">
        <w:t>6.1</w:t>
      </w:r>
      <w:r w:rsidRPr="00EE3355">
        <w:tab/>
      </w:r>
      <w:r w:rsidR="0098273B" w:rsidRPr="00EE3355">
        <w:t>Seznam pomocných látek</w:t>
      </w:r>
    </w:p>
    <w:p w14:paraId="25D526B7" w14:textId="77777777" w:rsidR="00FD66FD" w:rsidRPr="00EE3355" w:rsidRDefault="00FD66FD" w:rsidP="00EA1CDF">
      <w:pPr>
        <w:pStyle w:val="a3"/>
        <w:widowControl/>
        <w:ind w:left="0"/>
      </w:pPr>
    </w:p>
    <w:p w14:paraId="7D3AF452" w14:textId="45DB101A" w:rsidR="00222DE0" w:rsidRDefault="00A96255" w:rsidP="00EA1CDF">
      <w:pPr>
        <w:pStyle w:val="a3"/>
        <w:widowControl/>
        <w:ind w:left="0"/>
        <w:rPr>
          <w:rFonts w:eastAsia="맑은 고딕"/>
          <w:lang w:eastAsia="ko-KR"/>
        </w:rPr>
      </w:pPr>
      <w:r>
        <w:t>L-</w:t>
      </w:r>
      <w:r w:rsidR="0098273B" w:rsidRPr="00EE3355">
        <w:t>Histidin</w:t>
      </w:r>
    </w:p>
    <w:p w14:paraId="37942081" w14:textId="38C332E8" w:rsidR="00AD6345" w:rsidRPr="002F0CCA" w:rsidRDefault="00AD6345" w:rsidP="00EA1CDF">
      <w:pPr>
        <w:pStyle w:val="a3"/>
        <w:widowControl/>
        <w:ind w:left="0"/>
        <w:rPr>
          <w:rFonts w:eastAsia="맑은 고딕"/>
          <w:lang w:eastAsia="ko-KR"/>
        </w:rPr>
      </w:pPr>
      <w:r w:rsidRPr="00AD6345">
        <w:rPr>
          <w:rFonts w:eastAsia="맑은 고딕" w:hint="eastAsia"/>
          <w:lang w:eastAsia="ko-KR"/>
        </w:rPr>
        <w:t>Monohydrát histidin-hydrochloridu</w:t>
      </w:r>
    </w:p>
    <w:p w14:paraId="7C7150BD" w14:textId="6D7028C0" w:rsidR="00A96255" w:rsidRDefault="00A96255" w:rsidP="00EA1CDF">
      <w:pPr>
        <w:pStyle w:val="a3"/>
        <w:widowControl/>
        <w:ind w:left="0"/>
      </w:pPr>
      <w:r>
        <w:t>L-Threonin</w:t>
      </w:r>
    </w:p>
    <w:p w14:paraId="0783CA7F" w14:textId="3F449A9D" w:rsidR="00222DE0" w:rsidRPr="00EE3355" w:rsidRDefault="00A96255" w:rsidP="00EA1CDF">
      <w:pPr>
        <w:pStyle w:val="a3"/>
        <w:widowControl/>
        <w:ind w:left="0"/>
      </w:pPr>
      <w:r>
        <w:t>L-</w:t>
      </w:r>
      <w:r w:rsidR="0098273B" w:rsidRPr="00EE3355">
        <w:t>Methionin</w:t>
      </w:r>
    </w:p>
    <w:p w14:paraId="65FC12F8" w14:textId="77777777" w:rsidR="00FD66FD" w:rsidRPr="00EE3355" w:rsidRDefault="0098273B" w:rsidP="00EA1CDF">
      <w:pPr>
        <w:pStyle w:val="a3"/>
        <w:keepNext/>
        <w:widowControl/>
        <w:ind w:left="0"/>
      </w:pPr>
      <w:r w:rsidRPr="00EE3355">
        <w:t>Polysorbát 80</w:t>
      </w:r>
    </w:p>
    <w:p w14:paraId="1270B413" w14:textId="77777777" w:rsidR="00222DE0" w:rsidRPr="00EE3355" w:rsidRDefault="0098273B" w:rsidP="00EA1CDF">
      <w:pPr>
        <w:pStyle w:val="a3"/>
        <w:widowControl/>
        <w:ind w:left="0"/>
      </w:pPr>
      <w:r w:rsidRPr="00EE3355">
        <w:t>Voda pro injekci</w:t>
      </w:r>
    </w:p>
    <w:p w14:paraId="08B8F9AC" w14:textId="77777777" w:rsidR="00222DE0" w:rsidRPr="00EE3355" w:rsidRDefault="00222DE0" w:rsidP="00EA1CDF">
      <w:pPr>
        <w:pStyle w:val="a3"/>
        <w:widowControl/>
        <w:ind w:left="0"/>
      </w:pPr>
    </w:p>
    <w:p w14:paraId="3B4EFAE0" w14:textId="77777777" w:rsidR="00222DE0" w:rsidRPr="00EE3355" w:rsidRDefault="00B23DAE" w:rsidP="00EA1CDF">
      <w:pPr>
        <w:pStyle w:val="2"/>
        <w:widowControl/>
        <w:tabs>
          <w:tab w:val="left" w:pos="804"/>
        </w:tabs>
        <w:ind w:left="567" w:hanging="567"/>
      </w:pPr>
      <w:r w:rsidRPr="00EE3355">
        <w:t>6.2</w:t>
      </w:r>
      <w:r w:rsidRPr="00EE3355">
        <w:tab/>
      </w:r>
      <w:r w:rsidR="0098273B" w:rsidRPr="00EE3355">
        <w:t>Inkompatibility</w:t>
      </w:r>
    </w:p>
    <w:p w14:paraId="5FFB3079" w14:textId="77777777" w:rsidR="00FD66FD" w:rsidRPr="00EE3355" w:rsidRDefault="00FD66FD" w:rsidP="00EA1CDF">
      <w:pPr>
        <w:pStyle w:val="a3"/>
        <w:widowControl/>
        <w:ind w:left="0"/>
      </w:pPr>
    </w:p>
    <w:p w14:paraId="427F8EA3" w14:textId="77777777" w:rsidR="00222DE0" w:rsidRPr="00EE3355" w:rsidRDefault="0098273B" w:rsidP="00EA1CDF">
      <w:pPr>
        <w:pStyle w:val="a3"/>
        <w:widowControl/>
        <w:ind w:left="0"/>
      </w:pPr>
      <w:r w:rsidRPr="00EE3355">
        <w:t>Studie kompatibility nejsou k dispozici, a proto nesmí být tento léčivý přípravek mísen s</w:t>
      </w:r>
      <w:r w:rsidR="00E70264">
        <w:t> </w:t>
      </w:r>
      <w:r w:rsidRPr="00EE3355">
        <w:t>jinými</w:t>
      </w:r>
      <w:r w:rsidR="00E70264">
        <w:t xml:space="preserve"> </w:t>
      </w:r>
      <w:r w:rsidRPr="00EE3355">
        <w:t>léčivými přípravky.</w:t>
      </w:r>
    </w:p>
    <w:p w14:paraId="328FE6A5" w14:textId="77777777" w:rsidR="00222DE0" w:rsidRPr="00EE3355" w:rsidRDefault="00222DE0" w:rsidP="00EA1CDF">
      <w:pPr>
        <w:pStyle w:val="a3"/>
        <w:widowControl/>
        <w:ind w:left="0"/>
      </w:pPr>
    </w:p>
    <w:p w14:paraId="55902334" w14:textId="77777777" w:rsidR="00222DE0" w:rsidRPr="00EE3355" w:rsidRDefault="00B23DAE" w:rsidP="00EA1CDF">
      <w:pPr>
        <w:pStyle w:val="2"/>
        <w:widowControl/>
        <w:tabs>
          <w:tab w:val="left" w:pos="804"/>
        </w:tabs>
        <w:ind w:left="567" w:hanging="567"/>
      </w:pPr>
      <w:r w:rsidRPr="00EE3355">
        <w:t>6.3</w:t>
      </w:r>
      <w:r w:rsidRPr="00EE3355">
        <w:tab/>
      </w:r>
      <w:r w:rsidR="0098273B" w:rsidRPr="00EE3355">
        <w:t>Doba použitelnosti</w:t>
      </w:r>
    </w:p>
    <w:p w14:paraId="15A364E0" w14:textId="77777777" w:rsidR="00FD66FD" w:rsidRPr="00EE3355" w:rsidRDefault="00FD66FD" w:rsidP="00943257"/>
    <w:p w14:paraId="386196D4" w14:textId="3384BDEE" w:rsidR="00222DE0" w:rsidRPr="00EE3355" w:rsidRDefault="003A17F7" w:rsidP="00EA1CDF">
      <w:pPr>
        <w:pStyle w:val="a3"/>
        <w:widowControl/>
        <w:ind w:left="0"/>
      </w:pPr>
      <w:r>
        <w:rPr>
          <w:rFonts w:eastAsia="맑은 고딕" w:hint="eastAsia"/>
          <w:lang w:eastAsia="ko-KR"/>
        </w:rPr>
        <w:t>42</w:t>
      </w:r>
      <w:r w:rsidRPr="00EE3355">
        <w:t xml:space="preserve"> </w:t>
      </w:r>
      <w:r w:rsidR="0098273B" w:rsidRPr="00EE3355">
        <w:t>měsíců.</w:t>
      </w:r>
    </w:p>
    <w:p w14:paraId="12E4185D" w14:textId="77777777" w:rsidR="00222DE0" w:rsidRPr="00EE3355" w:rsidRDefault="00222DE0" w:rsidP="00EA1CDF">
      <w:pPr>
        <w:pStyle w:val="a3"/>
        <w:widowControl/>
        <w:ind w:left="0"/>
      </w:pPr>
    </w:p>
    <w:p w14:paraId="538756FD" w14:textId="77777777" w:rsidR="00222DE0" w:rsidRPr="00EE3355" w:rsidRDefault="00B23DAE" w:rsidP="00EA1CDF">
      <w:pPr>
        <w:pStyle w:val="2"/>
        <w:widowControl/>
        <w:tabs>
          <w:tab w:val="left" w:pos="804"/>
        </w:tabs>
        <w:ind w:left="567" w:hanging="567"/>
      </w:pPr>
      <w:r w:rsidRPr="00EE3355">
        <w:t>6.4</w:t>
      </w:r>
      <w:r w:rsidRPr="00EE3355">
        <w:tab/>
      </w:r>
      <w:r w:rsidR="0098273B" w:rsidRPr="00EE3355">
        <w:t>Zvláštní opatření pro uchovávání</w:t>
      </w:r>
    </w:p>
    <w:p w14:paraId="0A211263" w14:textId="77777777" w:rsidR="00FD66FD" w:rsidRPr="00EE3355" w:rsidRDefault="00FD66FD" w:rsidP="00943257"/>
    <w:p w14:paraId="31CB17B6" w14:textId="45EC40AB" w:rsidR="00222DE0" w:rsidRPr="00EE3355" w:rsidRDefault="0098273B" w:rsidP="00EA1CDF">
      <w:pPr>
        <w:pStyle w:val="a3"/>
        <w:widowControl/>
        <w:ind w:left="0"/>
      </w:pPr>
      <w:r w:rsidRPr="00EE3355">
        <w:t>Uchovávejte v chladničce (2 °C – 8 °C). Chraňte před mrazem. Po vyjmutí z chladničky může být</w:t>
      </w:r>
      <w:r w:rsidR="00FD66FD" w:rsidRPr="00EE3355">
        <w:t xml:space="preserve"> </w:t>
      </w:r>
      <w:r w:rsidRPr="00EE3355">
        <w:t xml:space="preserve">předplněné pero uchováváno až po dobu </w:t>
      </w:r>
      <w:r w:rsidR="00A96255">
        <w:t>3</w:t>
      </w:r>
      <w:r w:rsidRPr="00EE3355">
        <w:t xml:space="preserve"> týdnů při teplotě do 30 °C.</w:t>
      </w:r>
    </w:p>
    <w:p w14:paraId="5759805A" w14:textId="77777777" w:rsidR="00222DE0" w:rsidRPr="00EE3355" w:rsidRDefault="00222DE0" w:rsidP="00EA1CDF">
      <w:pPr>
        <w:pStyle w:val="a3"/>
        <w:widowControl/>
        <w:ind w:left="0"/>
      </w:pPr>
    </w:p>
    <w:p w14:paraId="1F9DD15E" w14:textId="77777777" w:rsidR="00222DE0" w:rsidRPr="00EE3355" w:rsidRDefault="0098273B" w:rsidP="00EA1CDF">
      <w:pPr>
        <w:pStyle w:val="a3"/>
        <w:widowControl/>
        <w:ind w:left="0"/>
      </w:pPr>
      <w:r w:rsidRPr="00EE3355">
        <w:t>Uchovávejte předplněné pero v krabičce, aby byl přípravek chráněn před světlem a vlhkostí.</w:t>
      </w:r>
    </w:p>
    <w:p w14:paraId="0475C05E" w14:textId="77777777" w:rsidR="00222DE0" w:rsidRPr="00EE3355" w:rsidRDefault="00222DE0" w:rsidP="00EA1CDF">
      <w:pPr>
        <w:pStyle w:val="a3"/>
        <w:widowControl/>
        <w:ind w:left="0"/>
      </w:pPr>
    </w:p>
    <w:p w14:paraId="346198FC" w14:textId="77777777" w:rsidR="00222DE0" w:rsidRPr="00EE3355" w:rsidRDefault="00B23DAE" w:rsidP="00B93217">
      <w:pPr>
        <w:pStyle w:val="2"/>
        <w:keepNext/>
        <w:widowControl/>
        <w:tabs>
          <w:tab w:val="left" w:pos="804"/>
        </w:tabs>
        <w:ind w:left="567" w:hanging="567"/>
      </w:pPr>
      <w:r w:rsidRPr="00EE3355">
        <w:t>6.5</w:t>
      </w:r>
      <w:r w:rsidRPr="00EE3355">
        <w:tab/>
      </w:r>
      <w:r w:rsidR="0098273B" w:rsidRPr="00EE3355">
        <w:t>Druh obalu a obsah balení</w:t>
      </w:r>
    </w:p>
    <w:p w14:paraId="1F36D64A" w14:textId="77777777" w:rsidR="00FD66FD" w:rsidRPr="00EE3355" w:rsidRDefault="00FD66FD" w:rsidP="00943257">
      <w:pPr>
        <w:rPr>
          <w:b/>
        </w:rPr>
      </w:pPr>
    </w:p>
    <w:p w14:paraId="15C78716" w14:textId="4173D728" w:rsidR="00222DE0" w:rsidRDefault="0098273B" w:rsidP="00EA1CDF">
      <w:pPr>
        <w:pStyle w:val="a3"/>
        <w:widowControl/>
        <w:ind w:left="0"/>
        <w:rPr>
          <w:bCs/>
        </w:rPr>
      </w:pPr>
      <w:r w:rsidRPr="00EE3355">
        <w:rPr>
          <w:bCs/>
        </w:rPr>
        <w:t>0,9 ml roztoku v předplněné injekční stříkačce (sklo typ I) s nasazovací jehlou, roztok obsahuje</w:t>
      </w:r>
      <w:r w:rsidR="00FD66FD" w:rsidRPr="00EE3355">
        <w:rPr>
          <w:bCs/>
        </w:rPr>
        <w:t xml:space="preserve"> </w:t>
      </w:r>
      <w:r w:rsidRPr="00EE3355">
        <w:rPr>
          <w:bCs/>
        </w:rPr>
        <w:t xml:space="preserve">162 mg přípravku </w:t>
      </w:r>
      <w:r w:rsidR="00202E2F">
        <w:rPr>
          <w:bCs/>
        </w:rPr>
        <w:t>Avtozma</w:t>
      </w:r>
      <w:r w:rsidRPr="00EE3355">
        <w:rPr>
          <w:bCs/>
        </w:rPr>
        <w:t>. Přípravek je ve formě předplněného pera. Předplněné pero je uzavřeno pevným krytem jehly (</w:t>
      </w:r>
      <w:r w:rsidR="00202E2F">
        <w:t>p</w:t>
      </w:r>
      <w:r w:rsidR="00202E2F" w:rsidRPr="00793EA8">
        <w:t>olyisoprenový</w:t>
      </w:r>
      <w:r w:rsidR="00202E2F" w:rsidRPr="000A0D2D">
        <w:t> kaučuk</w:t>
      </w:r>
      <w:r w:rsidR="00202E2F">
        <w:t xml:space="preserve"> a polypropylen</w:t>
      </w:r>
      <w:r w:rsidRPr="00EE3355">
        <w:rPr>
          <w:bCs/>
        </w:rPr>
        <w:t xml:space="preserve">) a </w:t>
      </w:r>
      <w:r w:rsidR="00202E2F">
        <w:t xml:space="preserve">sterilní elastomerovou </w:t>
      </w:r>
      <w:r w:rsidRPr="00EE3355">
        <w:rPr>
          <w:bCs/>
        </w:rPr>
        <w:t xml:space="preserve">zarážkou pístu </w:t>
      </w:r>
      <w:r w:rsidR="00202E2F" w:rsidRPr="00B93217">
        <w:t>s povlakem</w:t>
      </w:r>
      <w:r w:rsidR="00202E2F">
        <w:t xml:space="preserve"> </w:t>
      </w:r>
      <w:r w:rsidR="00BA5074">
        <w:t xml:space="preserve">fluorotec </w:t>
      </w:r>
      <w:r w:rsidRPr="00EE3355">
        <w:rPr>
          <w:bCs/>
        </w:rPr>
        <w:t>(</w:t>
      </w:r>
      <w:r w:rsidR="00202E2F">
        <w:rPr>
          <w:bCs/>
        </w:rPr>
        <w:t>se silikonem</w:t>
      </w:r>
      <w:r w:rsidRPr="00EE3355">
        <w:rPr>
          <w:bCs/>
        </w:rPr>
        <w:t>).</w:t>
      </w:r>
    </w:p>
    <w:p w14:paraId="632F6CCA" w14:textId="77777777" w:rsidR="00202E2F" w:rsidRDefault="00202E2F" w:rsidP="00EA1CDF">
      <w:pPr>
        <w:pStyle w:val="a3"/>
        <w:widowControl/>
        <w:ind w:left="0"/>
        <w:rPr>
          <w:bCs/>
        </w:rPr>
      </w:pPr>
    </w:p>
    <w:p w14:paraId="64B5F061" w14:textId="7019F690" w:rsidR="00202E2F" w:rsidRDefault="00202E2F" w:rsidP="00202E2F">
      <w:pPr>
        <w:pStyle w:val="a3"/>
        <w:widowControl/>
        <w:ind w:left="0"/>
      </w:pPr>
      <w:r w:rsidRPr="00DC44E2">
        <w:t>Předplněn</w:t>
      </w:r>
      <w:r w:rsidR="00BA5074">
        <w:t>é pero</w:t>
      </w:r>
      <w:r w:rsidRPr="00DC44E2">
        <w:t xml:space="preserve"> Avtozma pro použití pacientem je k dispozici v baleních obsahujících:</w:t>
      </w:r>
    </w:p>
    <w:p w14:paraId="32D3AD14" w14:textId="74A6FEA2" w:rsidR="00202E2F" w:rsidRPr="005A5001" w:rsidRDefault="00202E2F" w:rsidP="00202E2F">
      <w:pPr>
        <w:pStyle w:val="a4"/>
        <w:widowControl/>
        <w:numPr>
          <w:ilvl w:val="0"/>
          <w:numId w:val="66"/>
        </w:numPr>
        <w:autoSpaceDE/>
        <w:autoSpaceDN/>
        <w:ind w:left="567" w:hanging="567"/>
        <w:contextualSpacing/>
        <w:rPr>
          <w:ins w:id="25" w:author="만든 이"/>
          <w:rPrChange w:id="26" w:author="만든 이">
            <w:rPr>
              <w:ins w:id="27" w:author="만든 이"/>
              <w:rFonts w:eastAsia="맑은 고딕"/>
              <w:lang w:eastAsia="ko-KR"/>
            </w:rPr>
          </w:rPrChange>
        </w:rPr>
      </w:pPr>
      <w:r w:rsidRPr="00C61A9B">
        <w:rPr>
          <w:rFonts w:hint="eastAsia"/>
        </w:rPr>
        <w:t>1</w:t>
      </w:r>
      <w:r w:rsidRPr="00C61A9B">
        <w:t xml:space="preserve"> </w:t>
      </w:r>
      <w:r>
        <w:t>předplněn</w:t>
      </w:r>
      <w:r w:rsidR="00BA5074">
        <w:t>é pero</w:t>
      </w:r>
    </w:p>
    <w:p w14:paraId="721AD105" w14:textId="1EF7129A" w:rsidR="005A5001" w:rsidRPr="00C61A9B" w:rsidRDefault="005A5001" w:rsidP="00202E2F">
      <w:pPr>
        <w:pStyle w:val="a4"/>
        <w:widowControl/>
        <w:numPr>
          <w:ilvl w:val="0"/>
          <w:numId w:val="66"/>
        </w:numPr>
        <w:autoSpaceDE/>
        <w:autoSpaceDN/>
        <w:ind w:left="567" w:hanging="567"/>
        <w:contextualSpacing/>
      </w:pPr>
      <w:ins w:id="28" w:author="만든 이">
        <w:r>
          <w:rPr>
            <w:rFonts w:eastAsia="맑은 고딕" w:hint="eastAsia"/>
            <w:lang w:eastAsia="ko-KR"/>
          </w:rPr>
          <w:t>2</w:t>
        </w:r>
        <w:r w:rsidRPr="00C61A9B">
          <w:t xml:space="preserve"> </w:t>
        </w:r>
        <w:r>
          <w:t>předplněná pera</w:t>
        </w:r>
      </w:ins>
    </w:p>
    <w:p w14:paraId="7DA3AB0F" w14:textId="2F20B671" w:rsidR="00202E2F" w:rsidRPr="00C61A9B" w:rsidRDefault="00202E2F" w:rsidP="00202E2F">
      <w:pPr>
        <w:pStyle w:val="a4"/>
        <w:widowControl/>
        <w:numPr>
          <w:ilvl w:val="0"/>
          <w:numId w:val="66"/>
        </w:numPr>
        <w:autoSpaceDE/>
        <w:autoSpaceDN/>
        <w:ind w:left="567" w:hanging="567"/>
        <w:contextualSpacing/>
      </w:pPr>
      <w:r w:rsidRPr="00C61A9B">
        <w:rPr>
          <w:rFonts w:hint="eastAsia"/>
        </w:rPr>
        <w:t>4</w:t>
      </w:r>
      <w:r w:rsidRPr="00C61A9B">
        <w:t xml:space="preserve"> </w:t>
      </w:r>
      <w:r>
        <w:t>předplněn</w:t>
      </w:r>
      <w:r w:rsidR="00BA5074">
        <w:t>á pera</w:t>
      </w:r>
    </w:p>
    <w:p w14:paraId="0AE653A4" w14:textId="2CADC8E2" w:rsidR="00202E2F" w:rsidRPr="00C61A9B" w:rsidRDefault="00202E2F" w:rsidP="00202E2F">
      <w:pPr>
        <w:pStyle w:val="a4"/>
        <w:widowControl/>
        <w:numPr>
          <w:ilvl w:val="0"/>
          <w:numId w:val="66"/>
        </w:numPr>
        <w:autoSpaceDE/>
        <w:autoSpaceDN/>
        <w:ind w:left="567" w:hanging="567"/>
        <w:contextualSpacing/>
      </w:pPr>
      <w:r w:rsidRPr="00C61A9B">
        <w:rPr>
          <w:rFonts w:hint="eastAsia"/>
        </w:rPr>
        <w:t>1</w:t>
      </w:r>
      <w:r w:rsidRPr="00C61A9B">
        <w:t xml:space="preserve">2 (3 </w:t>
      </w:r>
      <w:r>
        <w:t>balení po</w:t>
      </w:r>
      <w:r w:rsidRPr="00C61A9B">
        <w:t xml:space="preserve"> 4) </w:t>
      </w:r>
      <w:r>
        <w:t xml:space="preserve">předplněných </w:t>
      </w:r>
      <w:r w:rsidR="00BA5074">
        <w:t>per</w:t>
      </w:r>
      <w:r w:rsidRPr="00C61A9B">
        <w:t xml:space="preserve"> (</w:t>
      </w:r>
      <w:r w:rsidR="00BA5074">
        <w:t>vícnásobná balení</w:t>
      </w:r>
      <w:r w:rsidRPr="00C61A9B">
        <w:t>)</w:t>
      </w:r>
    </w:p>
    <w:p w14:paraId="2296254B" w14:textId="77777777" w:rsidR="002265A0" w:rsidRPr="00EE3355" w:rsidRDefault="002265A0" w:rsidP="00EA1CDF">
      <w:pPr>
        <w:pStyle w:val="a3"/>
        <w:widowControl/>
        <w:ind w:left="0"/>
        <w:rPr>
          <w:bCs/>
        </w:rPr>
      </w:pPr>
    </w:p>
    <w:p w14:paraId="752180F7" w14:textId="0F8CF6DE" w:rsidR="00222DE0" w:rsidRPr="00202E2F" w:rsidRDefault="0098273B" w:rsidP="00EA1CDF">
      <w:pPr>
        <w:widowControl/>
        <w:rPr>
          <w:bCs/>
        </w:rPr>
      </w:pPr>
      <w:r w:rsidRPr="00B93217">
        <w:rPr>
          <w:bCs/>
        </w:rPr>
        <w:t>Na trhu nemusí být všechny velikosti balení</w:t>
      </w:r>
      <w:r w:rsidRPr="00202E2F">
        <w:rPr>
          <w:bCs/>
        </w:rPr>
        <w:t>.</w:t>
      </w:r>
    </w:p>
    <w:p w14:paraId="215D71F4" w14:textId="77777777" w:rsidR="00530E88" w:rsidRPr="00EE3355" w:rsidRDefault="00530E88" w:rsidP="00EA1CDF">
      <w:pPr>
        <w:widowControl/>
        <w:rPr>
          <w:bCs/>
        </w:rPr>
      </w:pPr>
    </w:p>
    <w:p w14:paraId="18E9589D" w14:textId="77777777" w:rsidR="00222DE0" w:rsidRPr="00EE3355" w:rsidRDefault="00B23DAE" w:rsidP="00EA1CDF">
      <w:pPr>
        <w:pStyle w:val="2"/>
        <w:widowControl/>
        <w:tabs>
          <w:tab w:val="left" w:pos="804"/>
        </w:tabs>
        <w:ind w:left="567" w:hanging="567"/>
      </w:pPr>
      <w:r w:rsidRPr="00EE3355">
        <w:t>6.6</w:t>
      </w:r>
      <w:r w:rsidRPr="00EE3355">
        <w:tab/>
      </w:r>
      <w:r w:rsidR="0098273B" w:rsidRPr="00EE3355">
        <w:t>Zvláštní opatření pro likvidaci přípravku a pro zacházení s</w:t>
      </w:r>
      <w:r w:rsidR="00530E88" w:rsidRPr="00EE3355">
        <w:t> </w:t>
      </w:r>
      <w:r w:rsidR="0098273B" w:rsidRPr="00EE3355">
        <w:t>ním</w:t>
      </w:r>
    </w:p>
    <w:p w14:paraId="4AF930A3" w14:textId="77777777" w:rsidR="00530E88" w:rsidRPr="00EE3355" w:rsidRDefault="00530E88" w:rsidP="00943257"/>
    <w:p w14:paraId="54CBC07E" w14:textId="31488D5D" w:rsidR="00222DE0" w:rsidRPr="00EE3355" w:rsidRDefault="0098273B" w:rsidP="00EA1CDF">
      <w:pPr>
        <w:pStyle w:val="a3"/>
        <w:widowControl/>
        <w:ind w:left="0"/>
      </w:pPr>
      <w:r w:rsidRPr="00EE3355">
        <w:t xml:space="preserve">Přípravek </w:t>
      </w:r>
      <w:r w:rsidR="00202E2F">
        <w:t>Avtozma</w:t>
      </w:r>
      <w:r w:rsidRPr="00EE3355">
        <w:t xml:space="preserve"> je dodáván v předplněném peru k jednorázovému použití. Po vyjmutí z chladničky má být předplněné pero vytemperováno na pokojovou teplotu (</w:t>
      </w:r>
      <w:r w:rsidR="00F86246">
        <w:rPr>
          <w:rFonts w:eastAsia="맑은 고딕" w:hint="eastAsia"/>
          <w:lang w:eastAsia="ko-KR"/>
        </w:rPr>
        <w:t>18</w:t>
      </w:r>
      <w:r w:rsidR="00F86246" w:rsidRPr="00EE3355">
        <w:t xml:space="preserve"> </w:t>
      </w:r>
      <w:r w:rsidRPr="00EE3355">
        <w:t xml:space="preserve">°C až </w:t>
      </w:r>
      <w:r w:rsidR="00F86246" w:rsidRPr="00EE3355">
        <w:t>2</w:t>
      </w:r>
      <w:r w:rsidR="00F86246">
        <w:rPr>
          <w:rFonts w:eastAsia="맑은 고딕" w:hint="eastAsia"/>
          <w:lang w:eastAsia="ko-KR"/>
        </w:rPr>
        <w:t>8</w:t>
      </w:r>
      <w:r w:rsidR="00F86246" w:rsidRPr="00EE3355">
        <w:t xml:space="preserve"> </w:t>
      </w:r>
      <w:r w:rsidRPr="00EE3355">
        <w:t>°C),</w:t>
      </w:r>
      <w:r w:rsidR="004A75E1" w:rsidRPr="00EE3355">
        <w:t xml:space="preserve"> </w:t>
      </w:r>
      <w:r w:rsidRPr="00EE3355">
        <w:t xml:space="preserve">tzn. před aplikací injekce přípravku </w:t>
      </w:r>
      <w:r w:rsidR="00202E2F">
        <w:t>Avtozma</w:t>
      </w:r>
      <w:r w:rsidRPr="00EE3355">
        <w:t xml:space="preserve"> je nutno vyčkat 45 minut. S perem se nesmí třepat.</w:t>
      </w:r>
      <w:r w:rsidR="004A75E1" w:rsidRPr="00EE3355">
        <w:t xml:space="preserve"> </w:t>
      </w:r>
      <w:r w:rsidRPr="00EE3355">
        <w:t xml:space="preserve">Po odstranění krytu </w:t>
      </w:r>
      <w:r w:rsidRPr="00EE3355">
        <w:lastRenderedPageBreak/>
        <w:t>jehly musí být injekce aplikována během 3 minut, aby se zabránilo vysychání léku a ucpání jehly. Pokud předplněné pero není použito během 3 minut po sejmutí krytu, musíte je vyhodit do nádoby odolné proti propíchnutí a použít nové předplněné pero.</w:t>
      </w:r>
    </w:p>
    <w:p w14:paraId="27A49577" w14:textId="77777777" w:rsidR="00222DE0" w:rsidRPr="00EE3355" w:rsidRDefault="00222DE0" w:rsidP="00EA1CDF">
      <w:pPr>
        <w:pStyle w:val="a3"/>
        <w:widowControl/>
        <w:ind w:left="0"/>
      </w:pPr>
    </w:p>
    <w:p w14:paraId="7006BB16" w14:textId="2037AD33" w:rsidR="00222DE0" w:rsidRPr="00EE3355" w:rsidRDefault="0098273B" w:rsidP="00EA1CDF">
      <w:pPr>
        <w:pStyle w:val="a3"/>
        <w:widowControl/>
        <w:ind w:left="0"/>
      </w:pPr>
      <w:r w:rsidRPr="00EE3355">
        <w:t xml:space="preserve">Pokud se </w:t>
      </w:r>
      <w:r w:rsidR="00EA2232">
        <w:t>oranžový</w:t>
      </w:r>
      <w:r w:rsidR="00EA2232" w:rsidRPr="00EE3355">
        <w:t xml:space="preserve"> </w:t>
      </w:r>
      <w:r w:rsidRPr="00EE3355">
        <w:t xml:space="preserve">proužek po stisknutí </w:t>
      </w:r>
      <w:r w:rsidR="00EA2232">
        <w:t>krytu jehly</w:t>
      </w:r>
      <w:r w:rsidRPr="00EE3355">
        <w:t xml:space="preserve"> nezačne posouvat, musíte předplněné pero vyhodit do nádoby odolné proti propíchnutí. Předplněné pero </w:t>
      </w:r>
      <w:r w:rsidRPr="00EE3355">
        <w:rPr>
          <w:b/>
        </w:rPr>
        <w:t xml:space="preserve">nepoužívejte </w:t>
      </w:r>
      <w:r w:rsidRPr="00EE3355">
        <w:t xml:space="preserve">opakovaně. </w:t>
      </w:r>
      <w:r w:rsidR="00EA2232" w:rsidRPr="00EA2232">
        <w:t>Předplněné pero je uzamčeno a jehla je při pokusu o opakované použití zakryta krytem jehly.</w:t>
      </w:r>
      <w:r w:rsidR="00EA2232">
        <w:t xml:space="preserve"> </w:t>
      </w:r>
      <w:r w:rsidRPr="00EE3355">
        <w:t>Neopakujte injekci pomocí dalšího předplněného pera. Požádejte lékaře o pomoc.</w:t>
      </w:r>
    </w:p>
    <w:p w14:paraId="4D44386C" w14:textId="77777777" w:rsidR="00222DE0" w:rsidRPr="00EE3355" w:rsidRDefault="00222DE0" w:rsidP="00EA1CDF">
      <w:pPr>
        <w:widowControl/>
      </w:pPr>
    </w:p>
    <w:p w14:paraId="4D3563C5" w14:textId="12FC4FCD" w:rsidR="00222DE0" w:rsidRPr="00EE3355" w:rsidRDefault="0098273B" w:rsidP="00EA1CDF">
      <w:pPr>
        <w:pStyle w:val="a3"/>
        <w:widowControl/>
        <w:ind w:left="0"/>
      </w:pPr>
      <w:r w:rsidRPr="00EE3355">
        <w:t xml:space="preserve">Přípravek nepoužívejte, pokud je zakalený nebo obsahuje částice, není bezbarvý až </w:t>
      </w:r>
      <w:r w:rsidR="001C1ED3">
        <w:t>žlutý</w:t>
      </w:r>
      <w:r w:rsidRPr="00EE3355">
        <w:t xml:space="preserve"> nebo pokud je jakákoliv část předplněného pera poškozena.</w:t>
      </w:r>
    </w:p>
    <w:p w14:paraId="144162EC" w14:textId="77777777" w:rsidR="00222DE0" w:rsidRPr="00EE3355" w:rsidRDefault="00222DE0" w:rsidP="00EA1CDF">
      <w:pPr>
        <w:pStyle w:val="a3"/>
        <w:widowControl/>
        <w:ind w:left="0"/>
      </w:pPr>
    </w:p>
    <w:p w14:paraId="2B7CAFDB" w14:textId="748E2FE1" w:rsidR="00222DE0" w:rsidRPr="00EE3355" w:rsidRDefault="0098273B" w:rsidP="00EA1CDF">
      <w:pPr>
        <w:pStyle w:val="a3"/>
        <w:widowControl/>
        <w:ind w:left="0"/>
      </w:pPr>
      <w:r w:rsidRPr="00EE3355">
        <w:t xml:space="preserve">Podrobný návod k aplikaci léčivého přípravku </w:t>
      </w:r>
      <w:r w:rsidR="00202E2F">
        <w:t>Avtozma</w:t>
      </w:r>
      <w:r w:rsidRPr="00EE3355">
        <w:t xml:space="preserve"> předplněné pero je uveden v</w:t>
      </w:r>
      <w:r w:rsidR="004A75E1" w:rsidRPr="00EE3355">
        <w:t> </w:t>
      </w:r>
      <w:r w:rsidRPr="00EE3355">
        <w:t>příbalové</w:t>
      </w:r>
      <w:r w:rsidR="004A75E1" w:rsidRPr="00EE3355">
        <w:t xml:space="preserve"> </w:t>
      </w:r>
      <w:r w:rsidRPr="00EE3355">
        <w:t>informaci.</w:t>
      </w:r>
    </w:p>
    <w:p w14:paraId="69734045" w14:textId="77777777" w:rsidR="00222DE0" w:rsidRPr="00EE3355" w:rsidRDefault="00222DE0" w:rsidP="00EA1CDF">
      <w:pPr>
        <w:pStyle w:val="a3"/>
        <w:widowControl/>
        <w:ind w:left="0"/>
      </w:pPr>
    </w:p>
    <w:p w14:paraId="05757D7F" w14:textId="77777777" w:rsidR="00222DE0" w:rsidRPr="00EE3355" w:rsidRDefault="0098273B" w:rsidP="00EA1CDF">
      <w:pPr>
        <w:pStyle w:val="a3"/>
        <w:widowControl/>
        <w:ind w:left="0"/>
      </w:pPr>
      <w:r w:rsidRPr="00EE3355">
        <w:t>Veškerý nepoužitý léčivý přípravek nebo odpad musí být zlikvidován v souladu s místními požadavky.</w:t>
      </w:r>
    </w:p>
    <w:p w14:paraId="075C303B" w14:textId="77777777" w:rsidR="00222DE0" w:rsidRPr="00EE3355" w:rsidRDefault="00222DE0" w:rsidP="00EA1CDF">
      <w:pPr>
        <w:pStyle w:val="a3"/>
        <w:widowControl/>
        <w:ind w:left="0"/>
      </w:pPr>
    </w:p>
    <w:p w14:paraId="76B2F8A9" w14:textId="77777777" w:rsidR="00222DE0" w:rsidRPr="00EE3355" w:rsidRDefault="00222DE0" w:rsidP="00EA1CDF">
      <w:pPr>
        <w:pStyle w:val="a3"/>
        <w:widowControl/>
        <w:ind w:left="0"/>
      </w:pPr>
    </w:p>
    <w:p w14:paraId="4AFA5232" w14:textId="77777777" w:rsidR="00222DE0" w:rsidRPr="00EE3355" w:rsidRDefault="00B23DAE" w:rsidP="00EA1CDF">
      <w:pPr>
        <w:pStyle w:val="1"/>
        <w:keepNext/>
        <w:widowControl/>
        <w:tabs>
          <w:tab w:val="left" w:pos="804"/>
        </w:tabs>
        <w:ind w:left="567" w:hanging="567"/>
      </w:pPr>
      <w:r w:rsidRPr="00EE3355">
        <w:t>7.</w:t>
      </w:r>
      <w:r w:rsidRPr="00EE3355">
        <w:tab/>
      </w:r>
      <w:r w:rsidR="0098273B" w:rsidRPr="00EE3355">
        <w:t>DRŽITEL ROZHODNUTÍ O REGISTRACI</w:t>
      </w:r>
    </w:p>
    <w:p w14:paraId="00302A19" w14:textId="77777777" w:rsidR="000A39B7" w:rsidRPr="00EE3355" w:rsidRDefault="000A39B7" w:rsidP="00EA1CDF">
      <w:pPr>
        <w:pStyle w:val="a3"/>
        <w:keepNext/>
        <w:widowControl/>
        <w:ind w:left="0"/>
      </w:pPr>
    </w:p>
    <w:p w14:paraId="51E59F0C" w14:textId="77777777" w:rsidR="00EA2232" w:rsidRPr="00C61A9B" w:rsidRDefault="00EA2232" w:rsidP="00EA2232">
      <w:pPr>
        <w:keepNext/>
      </w:pPr>
      <w:r w:rsidRPr="00C61A9B">
        <w:t xml:space="preserve">Celltrion Healthcare Hungary Kft. </w:t>
      </w:r>
    </w:p>
    <w:p w14:paraId="711369B8" w14:textId="77777777" w:rsidR="00EA2232" w:rsidRPr="00C61A9B" w:rsidRDefault="00EA2232" w:rsidP="00EA2232">
      <w:pPr>
        <w:keepNext/>
      </w:pPr>
      <w:r w:rsidRPr="00C61A9B">
        <w:t>1062 Budapest</w:t>
      </w:r>
    </w:p>
    <w:p w14:paraId="10CBBA4C" w14:textId="77777777" w:rsidR="00EA2232" w:rsidRPr="00C61A9B" w:rsidRDefault="00EA2232" w:rsidP="00EA2232">
      <w:pPr>
        <w:keepNext/>
      </w:pPr>
      <w:r w:rsidRPr="00C61A9B">
        <w:t>Váci út 1-3. WestEnd Office Building B torony</w:t>
      </w:r>
    </w:p>
    <w:p w14:paraId="4BF13B89" w14:textId="625E4720" w:rsidR="00222DE0" w:rsidRPr="00EE3355" w:rsidRDefault="00EA2232" w:rsidP="00EA1CDF">
      <w:pPr>
        <w:pStyle w:val="a3"/>
        <w:widowControl/>
        <w:ind w:left="0"/>
      </w:pPr>
      <w:r>
        <w:t>Maďarsko</w:t>
      </w:r>
    </w:p>
    <w:p w14:paraId="0085D0D6" w14:textId="77777777" w:rsidR="00222DE0" w:rsidRPr="00EE3355" w:rsidRDefault="00222DE0" w:rsidP="00EA1CDF">
      <w:pPr>
        <w:pStyle w:val="a3"/>
        <w:widowControl/>
        <w:ind w:left="0"/>
      </w:pPr>
    </w:p>
    <w:p w14:paraId="28A961F5" w14:textId="77777777" w:rsidR="00222DE0" w:rsidRPr="00EE3355" w:rsidRDefault="00222DE0" w:rsidP="00EA1CDF">
      <w:pPr>
        <w:pStyle w:val="a3"/>
        <w:widowControl/>
        <w:ind w:left="0"/>
      </w:pPr>
    </w:p>
    <w:p w14:paraId="051FC109" w14:textId="77777777" w:rsidR="00222DE0" w:rsidRPr="00EE3355" w:rsidRDefault="00B23DAE" w:rsidP="00EA1CDF">
      <w:pPr>
        <w:pStyle w:val="1"/>
        <w:widowControl/>
        <w:tabs>
          <w:tab w:val="left" w:pos="804"/>
        </w:tabs>
        <w:ind w:left="567" w:hanging="567"/>
      </w:pPr>
      <w:r w:rsidRPr="00EE3355">
        <w:t>8.</w:t>
      </w:r>
      <w:r w:rsidRPr="00EE3355">
        <w:tab/>
      </w:r>
      <w:r w:rsidR="0098273B" w:rsidRPr="00EE3355">
        <w:t>REGISTRAČNÍ ČÍSLO/REGISTRAČNÍ ČÍSLA</w:t>
      </w:r>
    </w:p>
    <w:p w14:paraId="2E3D2AC2" w14:textId="77777777" w:rsidR="00AE1BB0" w:rsidRPr="00EE3355" w:rsidRDefault="00AE1BB0" w:rsidP="00EA1CDF">
      <w:pPr>
        <w:pStyle w:val="a3"/>
        <w:widowControl/>
        <w:ind w:left="0"/>
      </w:pPr>
    </w:p>
    <w:p w14:paraId="7B9E244F" w14:textId="31BA8A62" w:rsidR="00AE1BB0" w:rsidRPr="00EE3355" w:rsidRDefault="0098273B" w:rsidP="00EA1CDF">
      <w:pPr>
        <w:pStyle w:val="a3"/>
        <w:widowControl/>
        <w:ind w:left="0"/>
      </w:pPr>
      <w:r w:rsidRPr="00EE3355">
        <w:t>EU</w:t>
      </w:r>
      <w:r w:rsidR="00EA2232" w:rsidRPr="00B93217">
        <w:rPr>
          <w:lang w:val="es-ES"/>
        </w:rPr>
        <w:t>/</w:t>
      </w:r>
      <w:r w:rsidR="00C47BA8" w:rsidRPr="00F458BB">
        <w:rPr>
          <w:spacing w:val="-1"/>
          <w:lang w:val="pt-BR"/>
        </w:rPr>
        <w:t>1/24/1896/010</w:t>
      </w:r>
    </w:p>
    <w:p w14:paraId="7CE3EC5C" w14:textId="5C5B9FE6" w:rsidR="00222DE0" w:rsidRPr="00B93217" w:rsidRDefault="0098273B" w:rsidP="00EA1CDF">
      <w:pPr>
        <w:pStyle w:val="a3"/>
        <w:widowControl/>
        <w:ind w:left="0"/>
        <w:rPr>
          <w:lang w:val="es-ES"/>
        </w:rPr>
      </w:pPr>
      <w:r w:rsidRPr="00EE3355">
        <w:t>EU</w:t>
      </w:r>
      <w:r w:rsidR="00EA2232" w:rsidRPr="00B93217">
        <w:rPr>
          <w:lang w:val="es-ES"/>
        </w:rPr>
        <w:t>/</w:t>
      </w:r>
      <w:r w:rsidR="00C47BA8" w:rsidRPr="00F458BB">
        <w:rPr>
          <w:spacing w:val="-1"/>
          <w:lang w:val="pt-BR"/>
        </w:rPr>
        <w:t>1/24/1896/01</w:t>
      </w:r>
      <w:r w:rsidR="00C47BA8">
        <w:rPr>
          <w:rFonts w:eastAsia="맑은 고딕" w:hint="eastAsia"/>
          <w:spacing w:val="-1"/>
          <w:lang w:val="pt-BR" w:eastAsia="ko-KR"/>
        </w:rPr>
        <w:t>1</w:t>
      </w:r>
    </w:p>
    <w:p w14:paraId="305F9DD0" w14:textId="421233A4" w:rsidR="00EA2232" w:rsidRPr="00EE3355" w:rsidRDefault="00EA2232" w:rsidP="00B93217">
      <w:r w:rsidRPr="00C61A9B">
        <w:t>EU/</w:t>
      </w:r>
      <w:r w:rsidR="00C47BA8" w:rsidRPr="00F458BB">
        <w:rPr>
          <w:spacing w:val="-1"/>
          <w:lang w:val="pt-BR"/>
        </w:rPr>
        <w:t>1/24/1896/01</w:t>
      </w:r>
      <w:r w:rsidR="00C47BA8">
        <w:rPr>
          <w:spacing w:val="-1"/>
          <w:lang w:val="pt-BR"/>
        </w:rPr>
        <w:t>2</w:t>
      </w:r>
    </w:p>
    <w:p w14:paraId="4EEF7F2E" w14:textId="74C26A13" w:rsidR="00222DE0" w:rsidRPr="005A5001" w:rsidRDefault="005A5001" w:rsidP="00EA1CDF">
      <w:pPr>
        <w:pStyle w:val="a3"/>
        <w:widowControl/>
        <w:ind w:left="0"/>
        <w:rPr>
          <w:rFonts w:eastAsia="맑은 고딕"/>
          <w:lang w:eastAsia="ko-KR"/>
          <w:rPrChange w:id="29" w:author="만든 이">
            <w:rPr/>
          </w:rPrChange>
        </w:rPr>
      </w:pPr>
      <w:ins w:id="30" w:author="만든 이">
        <w:r>
          <w:rPr>
            <w:rFonts w:eastAsia="맑은 고딕" w:hint="eastAsia"/>
            <w:lang w:eastAsia="ko-KR"/>
          </w:rPr>
          <w:t>EU/1/24/1896/</w:t>
        </w:r>
        <w:r w:rsidR="00755DCB">
          <w:rPr>
            <w:rFonts w:eastAsia="맑은 고딕" w:hint="eastAsia"/>
            <w:lang w:eastAsia="ko-KR"/>
          </w:rPr>
          <w:t>013</w:t>
        </w:r>
      </w:ins>
    </w:p>
    <w:p w14:paraId="54EEE7FE" w14:textId="77777777" w:rsidR="00222DE0" w:rsidRPr="00EE3355" w:rsidRDefault="00222DE0" w:rsidP="00EA1CDF">
      <w:pPr>
        <w:pStyle w:val="a3"/>
        <w:widowControl/>
        <w:ind w:left="0"/>
      </w:pPr>
    </w:p>
    <w:p w14:paraId="6C46E4C5" w14:textId="77777777" w:rsidR="00222DE0" w:rsidRPr="00EE3355" w:rsidRDefault="00B23DAE" w:rsidP="00EA1CDF">
      <w:pPr>
        <w:pStyle w:val="1"/>
        <w:widowControl/>
        <w:tabs>
          <w:tab w:val="left" w:pos="804"/>
        </w:tabs>
        <w:ind w:left="567" w:hanging="567"/>
      </w:pPr>
      <w:r w:rsidRPr="00EE3355">
        <w:t>9.</w:t>
      </w:r>
      <w:r w:rsidRPr="00EE3355">
        <w:tab/>
      </w:r>
      <w:r w:rsidR="0098273B" w:rsidRPr="00EE3355">
        <w:t>DATUM PRVNÍ REGISTRACE / PRODLOUŽENÍ REGISTRACE</w:t>
      </w:r>
    </w:p>
    <w:p w14:paraId="76C3502D" w14:textId="77777777" w:rsidR="00AE1BB0" w:rsidRPr="00EE3355" w:rsidRDefault="00AE1BB0" w:rsidP="00EA1CDF">
      <w:pPr>
        <w:pStyle w:val="a3"/>
        <w:widowControl/>
        <w:ind w:left="0"/>
        <w:rPr>
          <w:color w:val="1C1C1C"/>
        </w:rPr>
      </w:pPr>
    </w:p>
    <w:p w14:paraId="3DE7BCDE" w14:textId="3D0FFF9C" w:rsidR="00222DE0" w:rsidRPr="00500D7D" w:rsidRDefault="0098273B" w:rsidP="00EA1CDF">
      <w:pPr>
        <w:pStyle w:val="a3"/>
        <w:widowControl/>
        <w:ind w:left="0"/>
        <w:rPr>
          <w:b/>
        </w:rPr>
      </w:pPr>
      <w:r w:rsidRPr="00EE3355">
        <w:rPr>
          <w:color w:val="1C1C1C"/>
        </w:rPr>
        <w:t xml:space="preserve">Datum první registrace: </w:t>
      </w:r>
      <w:r w:rsidR="00F77327">
        <w:rPr>
          <w:rFonts w:eastAsia="맑은 고딕" w:hint="eastAsia"/>
          <w:color w:val="1C1C1C"/>
          <w:lang w:eastAsia="ko-KR"/>
        </w:rPr>
        <w:t xml:space="preserve">14 </w:t>
      </w:r>
      <w:r w:rsidR="00500D7D" w:rsidRPr="004C41FF">
        <w:t>únor</w:t>
      </w:r>
      <w:r w:rsidR="00500D7D">
        <w:rPr>
          <w:rFonts w:eastAsia="맑은 고딕" w:hint="eastAsia"/>
          <w:lang w:eastAsia="ko-KR"/>
        </w:rPr>
        <w:t xml:space="preserve"> 2025</w:t>
      </w:r>
    </w:p>
    <w:p w14:paraId="47A01441" w14:textId="77777777" w:rsidR="00222DE0" w:rsidRPr="00EE3355" w:rsidRDefault="00222DE0" w:rsidP="00EA1CDF">
      <w:pPr>
        <w:pStyle w:val="a3"/>
        <w:widowControl/>
        <w:ind w:left="0"/>
      </w:pPr>
    </w:p>
    <w:p w14:paraId="6335E68A" w14:textId="77777777" w:rsidR="00222DE0" w:rsidRPr="00EE3355" w:rsidRDefault="00222DE0" w:rsidP="00EA1CDF">
      <w:pPr>
        <w:pStyle w:val="a3"/>
        <w:widowControl/>
        <w:ind w:left="0"/>
      </w:pPr>
    </w:p>
    <w:p w14:paraId="25DA2FAD" w14:textId="77777777" w:rsidR="00222DE0" w:rsidRPr="00EE3355" w:rsidRDefault="00B23DAE" w:rsidP="00EA1CDF">
      <w:pPr>
        <w:pStyle w:val="1"/>
        <w:widowControl/>
        <w:tabs>
          <w:tab w:val="left" w:pos="804"/>
        </w:tabs>
        <w:ind w:left="567" w:hanging="567"/>
      </w:pPr>
      <w:r w:rsidRPr="00EE3355">
        <w:t>10.</w:t>
      </w:r>
      <w:r w:rsidRPr="00EE3355">
        <w:tab/>
      </w:r>
      <w:r w:rsidR="0098273B" w:rsidRPr="00EE3355">
        <w:t>DATUM REVIZE TEXTU</w:t>
      </w:r>
    </w:p>
    <w:p w14:paraId="3E63B6C5" w14:textId="77777777" w:rsidR="001053F3" w:rsidRPr="00EE3355" w:rsidRDefault="001053F3" w:rsidP="00EA1CDF">
      <w:pPr>
        <w:pStyle w:val="a3"/>
        <w:widowControl/>
        <w:ind w:left="0"/>
      </w:pPr>
    </w:p>
    <w:p w14:paraId="126782E1" w14:textId="77777777" w:rsidR="00222DE0" w:rsidRPr="00EE3355" w:rsidRDefault="0098273B" w:rsidP="00EA1CDF">
      <w:pPr>
        <w:pStyle w:val="a3"/>
        <w:widowControl/>
        <w:ind w:left="0"/>
      </w:pPr>
      <w:r w:rsidRPr="00EE3355">
        <w:t>Podrobné informace o tomto léčivém přípravku jsou k dispozici na webových stránkách Evropské</w:t>
      </w:r>
    </w:p>
    <w:p w14:paraId="2814A704" w14:textId="0BB13ADC" w:rsidR="00222DE0" w:rsidRPr="00EE3355" w:rsidRDefault="0098273B" w:rsidP="00EA1CDF">
      <w:pPr>
        <w:pStyle w:val="a3"/>
        <w:widowControl/>
        <w:ind w:left="0"/>
      </w:pPr>
      <w:r w:rsidRPr="00EE3355">
        <w:t xml:space="preserve">agentury pro léčivé přípravky na adrese </w:t>
      </w:r>
      <w:r w:rsidR="00392C24">
        <w:fldChar w:fldCharType="begin"/>
      </w:r>
      <w:r w:rsidR="00392C24">
        <w:instrText>HYPERLINK "http://www.ema.europa.eu/" \h</w:instrText>
      </w:r>
      <w:r w:rsidR="00392C24">
        <w:fldChar w:fldCharType="separate"/>
      </w:r>
      <w:r w:rsidR="00392C24">
        <w:rPr>
          <w:rStyle w:val="a9"/>
          <w:rFonts w:eastAsia="SimSun"/>
          <w:lang w:eastAsia="zh-CN"/>
        </w:rPr>
        <w:t>https:</w:t>
      </w:r>
      <w:r w:rsidRPr="00B93217">
        <w:rPr>
          <w:rStyle w:val="a9"/>
          <w:rFonts w:eastAsia="SimSun"/>
          <w:lang w:eastAsia="zh-CN"/>
        </w:rPr>
        <w:t>//www.ema.europa.eu</w:t>
      </w:r>
      <w:r w:rsidRPr="00EE3355">
        <w:t>.</w:t>
      </w:r>
      <w:r w:rsidR="00392C24">
        <w:fldChar w:fldCharType="end"/>
      </w:r>
    </w:p>
    <w:p w14:paraId="3B57FD8D" w14:textId="77777777" w:rsidR="00222DE0" w:rsidRPr="00EE3355" w:rsidRDefault="00222DE0" w:rsidP="00EA1CDF">
      <w:pPr>
        <w:widowControl/>
      </w:pPr>
    </w:p>
    <w:p w14:paraId="39A6CD6F" w14:textId="77777777" w:rsidR="001053F3" w:rsidRPr="00EE3355" w:rsidRDefault="001053F3" w:rsidP="00EA1CDF">
      <w:pPr>
        <w:widowControl/>
      </w:pPr>
      <w:r w:rsidRPr="00EE3355">
        <w:br w:type="page"/>
      </w:r>
    </w:p>
    <w:p w14:paraId="4F23F28A" w14:textId="77777777" w:rsidR="00222DE0" w:rsidRPr="00EE3355" w:rsidRDefault="00222DE0" w:rsidP="00EA1CDF">
      <w:pPr>
        <w:pStyle w:val="a3"/>
        <w:widowControl/>
        <w:ind w:left="0"/>
      </w:pPr>
    </w:p>
    <w:p w14:paraId="311C8275" w14:textId="77777777" w:rsidR="00222DE0" w:rsidRPr="00EE3355" w:rsidRDefault="00222DE0" w:rsidP="00EA1CDF">
      <w:pPr>
        <w:pStyle w:val="a3"/>
        <w:widowControl/>
        <w:ind w:left="0"/>
      </w:pPr>
    </w:p>
    <w:p w14:paraId="2DC592AE" w14:textId="77777777" w:rsidR="00222DE0" w:rsidRPr="00EE3355" w:rsidRDefault="00222DE0" w:rsidP="00EA1CDF">
      <w:pPr>
        <w:pStyle w:val="a3"/>
        <w:widowControl/>
        <w:ind w:left="0"/>
      </w:pPr>
    </w:p>
    <w:p w14:paraId="0F98DE54" w14:textId="77777777" w:rsidR="00222DE0" w:rsidRPr="00EE3355" w:rsidRDefault="00222DE0" w:rsidP="00EA1CDF">
      <w:pPr>
        <w:pStyle w:val="a3"/>
        <w:widowControl/>
        <w:ind w:left="0"/>
      </w:pPr>
    </w:p>
    <w:p w14:paraId="70419F29" w14:textId="77777777" w:rsidR="00222DE0" w:rsidRPr="00EE3355" w:rsidRDefault="00222DE0" w:rsidP="00EA1CDF">
      <w:pPr>
        <w:pStyle w:val="a3"/>
        <w:widowControl/>
        <w:ind w:left="0"/>
      </w:pPr>
    </w:p>
    <w:p w14:paraId="2083D405" w14:textId="77777777" w:rsidR="00222DE0" w:rsidRPr="00EE3355" w:rsidRDefault="00222DE0" w:rsidP="00EA1CDF">
      <w:pPr>
        <w:pStyle w:val="a3"/>
        <w:widowControl/>
        <w:ind w:left="0"/>
      </w:pPr>
    </w:p>
    <w:p w14:paraId="7C697B7C" w14:textId="77777777" w:rsidR="00222DE0" w:rsidRPr="00EE3355" w:rsidRDefault="00222DE0" w:rsidP="00EA1CDF">
      <w:pPr>
        <w:pStyle w:val="a3"/>
        <w:widowControl/>
        <w:ind w:left="0"/>
      </w:pPr>
    </w:p>
    <w:p w14:paraId="75B342AC" w14:textId="77777777" w:rsidR="00222DE0" w:rsidRPr="00EE3355" w:rsidRDefault="00222DE0" w:rsidP="00EA1CDF">
      <w:pPr>
        <w:pStyle w:val="a3"/>
        <w:widowControl/>
        <w:ind w:left="0"/>
      </w:pPr>
    </w:p>
    <w:p w14:paraId="7911BFC9" w14:textId="77777777" w:rsidR="00222DE0" w:rsidRPr="00EE3355" w:rsidRDefault="00222DE0" w:rsidP="00EA1CDF">
      <w:pPr>
        <w:pStyle w:val="a3"/>
        <w:widowControl/>
        <w:ind w:left="0"/>
      </w:pPr>
    </w:p>
    <w:p w14:paraId="38F7733D" w14:textId="77777777" w:rsidR="00222DE0" w:rsidRPr="00EE3355" w:rsidRDefault="00222DE0" w:rsidP="00EA1CDF">
      <w:pPr>
        <w:pStyle w:val="a3"/>
        <w:widowControl/>
        <w:ind w:left="0"/>
      </w:pPr>
    </w:p>
    <w:p w14:paraId="080CB053" w14:textId="77777777" w:rsidR="00222DE0" w:rsidRPr="00EE3355" w:rsidRDefault="00222DE0" w:rsidP="00EA1CDF">
      <w:pPr>
        <w:pStyle w:val="a3"/>
        <w:widowControl/>
        <w:ind w:left="0"/>
      </w:pPr>
    </w:p>
    <w:p w14:paraId="69D5065D" w14:textId="77777777" w:rsidR="00222DE0" w:rsidRPr="00EE3355" w:rsidRDefault="00222DE0" w:rsidP="00EA1CDF">
      <w:pPr>
        <w:pStyle w:val="a3"/>
        <w:widowControl/>
        <w:ind w:left="0"/>
      </w:pPr>
    </w:p>
    <w:p w14:paraId="2C62100D" w14:textId="77777777" w:rsidR="00222DE0" w:rsidRPr="00EE3355" w:rsidRDefault="00222DE0" w:rsidP="00EA1CDF">
      <w:pPr>
        <w:pStyle w:val="a3"/>
        <w:widowControl/>
        <w:ind w:left="0"/>
      </w:pPr>
    </w:p>
    <w:p w14:paraId="490E9CA3" w14:textId="77777777" w:rsidR="00222DE0" w:rsidRPr="00EE3355" w:rsidRDefault="00222DE0" w:rsidP="00EA1CDF">
      <w:pPr>
        <w:pStyle w:val="a3"/>
        <w:widowControl/>
        <w:ind w:left="0"/>
      </w:pPr>
    </w:p>
    <w:p w14:paraId="509BF1DB" w14:textId="77777777" w:rsidR="00222DE0" w:rsidRPr="00EE3355" w:rsidRDefault="00222DE0" w:rsidP="00EA1CDF">
      <w:pPr>
        <w:pStyle w:val="a3"/>
        <w:widowControl/>
        <w:ind w:left="0"/>
      </w:pPr>
    </w:p>
    <w:p w14:paraId="099A33D5" w14:textId="77777777" w:rsidR="00222DE0" w:rsidRPr="00EE3355" w:rsidRDefault="00222DE0" w:rsidP="00EA1CDF">
      <w:pPr>
        <w:pStyle w:val="a3"/>
        <w:widowControl/>
        <w:ind w:left="0"/>
      </w:pPr>
    </w:p>
    <w:p w14:paraId="7BC31A9D" w14:textId="77777777" w:rsidR="00222DE0" w:rsidRPr="00EE3355" w:rsidRDefault="00222DE0" w:rsidP="00EA1CDF">
      <w:pPr>
        <w:pStyle w:val="a3"/>
        <w:widowControl/>
        <w:ind w:left="0"/>
      </w:pPr>
    </w:p>
    <w:p w14:paraId="06E0E7A2" w14:textId="77777777" w:rsidR="00222DE0" w:rsidRPr="00EE3355" w:rsidRDefault="00222DE0" w:rsidP="00EA1CDF">
      <w:pPr>
        <w:pStyle w:val="a3"/>
        <w:widowControl/>
        <w:ind w:left="0"/>
      </w:pPr>
    </w:p>
    <w:p w14:paraId="7D22E938" w14:textId="77777777" w:rsidR="00222DE0" w:rsidRPr="00EE3355" w:rsidRDefault="00222DE0" w:rsidP="00EA1CDF">
      <w:pPr>
        <w:pStyle w:val="a3"/>
        <w:widowControl/>
        <w:ind w:left="0"/>
      </w:pPr>
    </w:p>
    <w:p w14:paraId="3F5A1277" w14:textId="77777777" w:rsidR="009C7391" w:rsidRPr="00EE3355" w:rsidRDefault="009C7391" w:rsidP="00EA1CDF">
      <w:pPr>
        <w:pStyle w:val="a3"/>
        <w:widowControl/>
        <w:ind w:left="0"/>
      </w:pPr>
    </w:p>
    <w:p w14:paraId="7D83224A" w14:textId="77777777" w:rsidR="009C7391" w:rsidRPr="00EE3355" w:rsidRDefault="009C7391" w:rsidP="00EA1CDF">
      <w:pPr>
        <w:pStyle w:val="a3"/>
        <w:widowControl/>
        <w:ind w:left="0"/>
      </w:pPr>
    </w:p>
    <w:p w14:paraId="2AC76087" w14:textId="77777777" w:rsidR="00063924" w:rsidRPr="00EE3355" w:rsidRDefault="00063924" w:rsidP="00EA1CDF">
      <w:pPr>
        <w:pStyle w:val="a3"/>
        <w:widowControl/>
        <w:ind w:left="0"/>
      </w:pPr>
    </w:p>
    <w:p w14:paraId="3DCEE765" w14:textId="77777777" w:rsidR="00222DE0" w:rsidRPr="00EE3355" w:rsidRDefault="0098273B" w:rsidP="00EA1CDF">
      <w:pPr>
        <w:widowControl/>
        <w:jc w:val="center"/>
        <w:rPr>
          <w:b/>
        </w:rPr>
      </w:pPr>
      <w:r w:rsidRPr="00EE3355">
        <w:rPr>
          <w:b/>
        </w:rPr>
        <w:t>PŘÍLOHA II</w:t>
      </w:r>
    </w:p>
    <w:p w14:paraId="458FEB0D" w14:textId="77777777" w:rsidR="009C7391" w:rsidRPr="00EE3355" w:rsidRDefault="009C7391" w:rsidP="00EA1CDF">
      <w:pPr>
        <w:widowControl/>
        <w:jc w:val="center"/>
        <w:rPr>
          <w:b/>
        </w:rPr>
      </w:pPr>
    </w:p>
    <w:p w14:paraId="3D393800" w14:textId="77777777" w:rsidR="00222DE0" w:rsidRPr="00EE3355" w:rsidRDefault="00B23DAE" w:rsidP="00EA1CDF">
      <w:pPr>
        <w:widowControl/>
        <w:tabs>
          <w:tab w:val="left" w:pos="2523"/>
        </w:tabs>
        <w:ind w:left="2523" w:hanging="567"/>
        <w:rPr>
          <w:b/>
        </w:rPr>
      </w:pPr>
      <w:r w:rsidRPr="00EE3355">
        <w:rPr>
          <w:b/>
          <w:bCs/>
        </w:rPr>
        <w:t>A.</w:t>
      </w:r>
      <w:r w:rsidRPr="00EE3355">
        <w:rPr>
          <w:b/>
          <w:bCs/>
        </w:rPr>
        <w:tab/>
      </w:r>
      <w:r w:rsidR="0098273B" w:rsidRPr="00EE3355">
        <w:rPr>
          <w:b/>
        </w:rPr>
        <w:t>VÝROBCE/VÝROBCI BIOLOGICKÉ LÉČIVÉ LÁTKY/ BIOLOGICKÝCH LÉČIVÝCH LÁTEK A VÝROBCE ODPOVĚDNÝ/VÝROBCI ODPOVĚDNÍ ZA PROPOUŠTĚNÍ ŠARŽÍ</w:t>
      </w:r>
    </w:p>
    <w:p w14:paraId="57262F84" w14:textId="77777777" w:rsidR="00222DE0" w:rsidRPr="00EE3355" w:rsidRDefault="00222DE0" w:rsidP="00EA1CDF">
      <w:pPr>
        <w:pStyle w:val="a3"/>
        <w:widowControl/>
        <w:ind w:left="0"/>
        <w:rPr>
          <w:b/>
        </w:rPr>
      </w:pPr>
    </w:p>
    <w:p w14:paraId="6EF9BAC9" w14:textId="77777777" w:rsidR="00222DE0" w:rsidRPr="00EE3355" w:rsidRDefault="00B23DAE" w:rsidP="00EA1CDF">
      <w:pPr>
        <w:widowControl/>
        <w:tabs>
          <w:tab w:val="left" w:pos="2506"/>
        </w:tabs>
        <w:ind w:left="2506" w:hanging="567"/>
        <w:rPr>
          <w:b/>
        </w:rPr>
      </w:pPr>
      <w:r w:rsidRPr="00EE3355">
        <w:rPr>
          <w:b/>
          <w:bCs/>
        </w:rPr>
        <w:t>B.</w:t>
      </w:r>
      <w:r w:rsidRPr="00EE3355">
        <w:rPr>
          <w:b/>
          <w:bCs/>
        </w:rPr>
        <w:tab/>
      </w:r>
      <w:r w:rsidR="0098273B" w:rsidRPr="00EE3355">
        <w:rPr>
          <w:b/>
        </w:rPr>
        <w:t>PODMÍNKY NEBO OMEZENÍ VÝDEJE A POUŽITÍ</w:t>
      </w:r>
    </w:p>
    <w:p w14:paraId="7D7F9712" w14:textId="77777777" w:rsidR="00222DE0" w:rsidRPr="00EE3355" w:rsidRDefault="00222DE0" w:rsidP="00EA1CDF">
      <w:pPr>
        <w:pStyle w:val="a3"/>
        <w:widowControl/>
        <w:ind w:left="0"/>
        <w:rPr>
          <w:b/>
        </w:rPr>
      </w:pPr>
    </w:p>
    <w:p w14:paraId="22D376AA" w14:textId="77777777" w:rsidR="00222DE0" w:rsidRPr="00EE3355" w:rsidRDefault="00B23DAE" w:rsidP="00EA1CDF">
      <w:pPr>
        <w:widowControl/>
        <w:tabs>
          <w:tab w:val="left" w:pos="2506"/>
        </w:tabs>
        <w:ind w:left="2506" w:hanging="567"/>
        <w:rPr>
          <w:b/>
        </w:rPr>
      </w:pPr>
      <w:r w:rsidRPr="00EE3355">
        <w:rPr>
          <w:b/>
          <w:bCs/>
        </w:rPr>
        <w:t>C.</w:t>
      </w:r>
      <w:r w:rsidRPr="00EE3355">
        <w:rPr>
          <w:b/>
          <w:bCs/>
        </w:rPr>
        <w:tab/>
      </w:r>
      <w:r w:rsidR="0098273B" w:rsidRPr="00EE3355">
        <w:rPr>
          <w:b/>
        </w:rPr>
        <w:t>DALŠÍ PODMÍNKY A POŽADAVKY REGISTRACE</w:t>
      </w:r>
    </w:p>
    <w:p w14:paraId="257C2B9B" w14:textId="77777777" w:rsidR="00222DE0" w:rsidRPr="00EE3355" w:rsidRDefault="00222DE0" w:rsidP="00EA1CDF">
      <w:pPr>
        <w:pStyle w:val="a3"/>
        <w:widowControl/>
        <w:ind w:left="0"/>
        <w:rPr>
          <w:b/>
        </w:rPr>
      </w:pPr>
    </w:p>
    <w:p w14:paraId="27A1969A" w14:textId="77777777" w:rsidR="00222DE0" w:rsidRPr="00EE3355" w:rsidRDefault="00B23DAE" w:rsidP="00EA1CDF">
      <w:pPr>
        <w:widowControl/>
        <w:tabs>
          <w:tab w:val="left" w:pos="2506"/>
        </w:tabs>
        <w:ind w:left="2506" w:hanging="567"/>
        <w:rPr>
          <w:b/>
        </w:rPr>
      </w:pPr>
      <w:r w:rsidRPr="00EE3355">
        <w:rPr>
          <w:b/>
          <w:bCs/>
        </w:rPr>
        <w:t>D.</w:t>
      </w:r>
      <w:r w:rsidRPr="00EE3355">
        <w:rPr>
          <w:b/>
          <w:bCs/>
        </w:rPr>
        <w:tab/>
      </w:r>
      <w:r w:rsidR="0098273B" w:rsidRPr="00EE3355">
        <w:rPr>
          <w:b/>
        </w:rPr>
        <w:t>PODMÍNKY NEBO OMEZENÍ S OHLEDEM NA BEZPEČNÉ A ÚČINNÉ POUŽÍVÁNÍ LÉČIVÉHO PŘÍPRAVKU</w:t>
      </w:r>
    </w:p>
    <w:p w14:paraId="7D1B5BBF" w14:textId="77777777" w:rsidR="00063924" w:rsidRPr="00EE3355" w:rsidRDefault="00063924" w:rsidP="00EA1CDF">
      <w:pPr>
        <w:widowControl/>
        <w:tabs>
          <w:tab w:val="left" w:pos="2506"/>
        </w:tabs>
        <w:ind w:left="2506" w:right="3200" w:hanging="567"/>
        <w:rPr>
          <w:b/>
        </w:rPr>
      </w:pPr>
    </w:p>
    <w:p w14:paraId="1D9BAB5F" w14:textId="77777777" w:rsidR="00063924" w:rsidRPr="00EE3355" w:rsidRDefault="00063924" w:rsidP="00EA1CDF">
      <w:pPr>
        <w:widowControl/>
      </w:pPr>
      <w:r w:rsidRPr="00EE3355">
        <w:br w:type="page"/>
      </w:r>
    </w:p>
    <w:p w14:paraId="780A0E16" w14:textId="77777777" w:rsidR="00222DE0" w:rsidRPr="00EE3355" w:rsidRDefault="00B23DAE" w:rsidP="0089484E">
      <w:pPr>
        <w:pStyle w:val="1"/>
        <w:widowControl/>
        <w:tabs>
          <w:tab w:val="left" w:pos="804"/>
        </w:tabs>
        <w:ind w:left="567" w:hanging="567"/>
        <w:rPr>
          <w:b w:val="0"/>
        </w:rPr>
      </w:pPr>
      <w:bookmarkStart w:id="31" w:name="A._VÝROBCE/VÝROBCI_BIOLOGICKÉ_LÉČIVÉ_LÁT"/>
      <w:bookmarkEnd w:id="31"/>
      <w:r w:rsidRPr="00EE3355">
        <w:lastRenderedPageBreak/>
        <w:t>A.</w:t>
      </w:r>
      <w:r w:rsidRPr="00EE3355">
        <w:tab/>
      </w:r>
      <w:r w:rsidR="0098273B" w:rsidRPr="00EE3355">
        <w:t>VÝROBCE/VÝROBCI BIOLOGICKÉ LÉČIVÉ LÁTKY/BIOLOGICKÝCH LÉČIVÝCH LÁTEK A VÝROBCE ODPOVĚDNÝ/VÝROBCI ODPOVĚDNÍ ZA PROPOUŠTĚNÍ ŠARŽÍ</w:t>
      </w:r>
    </w:p>
    <w:p w14:paraId="34CB5323" w14:textId="77777777" w:rsidR="00063924" w:rsidRPr="00EE3355" w:rsidRDefault="00063924" w:rsidP="00EA1CDF">
      <w:pPr>
        <w:pStyle w:val="a3"/>
        <w:widowControl/>
        <w:ind w:left="0"/>
        <w:rPr>
          <w:u w:val="single"/>
        </w:rPr>
      </w:pPr>
    </w:p>
    <w:p w14:paraId="774123FA" w14:textId="77777777" w:rsidR="00222DE0" w:rsidRPr="00EE3355" w:rsidRDefault="0098273B" w:rsidP="00EA1CDF">
      <w:pPr>
        <w:pStyle w:val="a3"/>
        <w:widowControl/>
        <w:ind w:left="0"/>
      </w:pPr>
      <w:r w:rsidRPr="00EE3355">
        <w:rPr>
          <w:u w:val="single"/>
        </w:rPr>
        <w:t>Název a adresa výrobce biologické léčivé látky</w:t>
      </w:r>
    </w:p>
    <w:p w14:paraId="190E2BDA" w14:textId="77777777" w:rsidR="00222DE0" w:rsidRPr="00EE3355" w:rsidRDefault="00222DE0" w:rsidP="00EA1CDF">
      <w:pPr>
        <w:pStyle w:val="a3"/>
        <w:widowControl/>
        <w:ind w:left="0"/>
      </w:pPr>
    </w:p>
    <w:p w14:paraId="32C640BD" w14:textId="77777777" w:rsidR="00EA2232" w:rsidRPr="00C61A9B" w:rsidRDefault="00EA2232" w:rsidP="00EA2232">
      <w:pPr>
        <w:keepNext/>
      </w:pPr>
      <w:r w:rsidRPr="00C61A9B">
        <w:t>Binex, Ltd,</w:t>
      </w:r>
    </w:p>
    <w:p w14:paraId="7AAE5C63" w14:textId="77777777" w:rsidR="00EA2232" w:rsidRPr="00C61A9B" w:rsidRDefault="00EA2232" w:rsidP="00EA2232">
      <w:pPr>
        <w:keepNext/>
      </w:pPr>
      <w:r w:rsidRPr="00C61A9B">
        <w:t>3, Gaetbeol-ro, Yeonsu-gu,</w:t>
      </w:r>
    </w:p>
    <w:p w14:paraId="40607C4B" w14:textId="77777777" w:rsidR="00EA2232" w:rsidRDefault="00EA2232" w:rsidP="00EA2232">
      <w:r w:rsidRPr="00C61A9B">
        <w:t>Incheon</w:t>
      </w:r>
    </w:p>
    <w:p w14:paraId="0E1B37FB" w14:textId="247EBF14" w:rsidR="00EA2232" w:rsidRPr="00C61A9B" w:rsidRDefault="00EA2232" w:rsidP="00EA2232">
      <w:r>
        <w:t>Korejská republika</w:t>
      </w:r>
    </w:p>
    <w:p w14:paraId="2A570A5D" w14:textId="77777777" w:rsidR="00063924" w:rsidRPr="00EE3355" w:rsidRDefault="00063924" w:rsidP="0091188E">
      <w:pPr>
        <w:pStyle w:val="a3"/>
        <w:widowControl/>
        <w:ind w:left="0"/>
        <w:jc w:val="both"/>
      </w:pPr>
    </w:p>
    <w:p w14:paraId="6835542B" w14:textId="77777777" w:rsidR="00222DE0" w:rsidRPr="00EE3355" w:rsidRDefault="0098273B" w:rsidP="00EA1CDF">
      <w:pPr>
        <w:pStyle w:val="a3"/>
        <w:widowControl/>
        <w:ind w:left="0"/>
        <w:jc w:val="both"/>
      </w:pPr>
      <w:r w:rsidRPr="00EE3355">
        <w:rPr>
          <w:u w:val="single"/>
        </w:rPr>
        <w:t>Název a adresa výrobce odpovědného za propouštění šarží</w:t>
      </w:r>
    </w:p>
    <w:p w14:paraId="60EAF346" w14:textId="77777777" w:rsidR="00222DE0" w:rsidRPr="00EE3355" w:rsidRDefault="00222DE0" w:rsidP="00EA1CDF">
      <w:pPr>
        <w:pStyle w:val="a3"/>
        <w:widowControl/>
        <w:ind w:left="0"/>
      </w:pPr>
    </w:p>
    <w:p w14:paraId="1E7B0687" w14:textId="77777777" w:rsidR="00EA2232" w:rsidRPr="0071714A" w:rsidRDefault="00EA2232" w:rsidP="00EA2232">
      <w:pPr>
        <w:keepNext/>
        <w:rPr>
          <w:lang w:val="fr-FR"/>
        </w:rPr>
      </w:pPr>
      <w:r w:rsidRPr="0071714A">
        <w:rPr>
          <w:lang w:val="fr-FR"/>
        </w:rPr>
        <w:t>Nuvisan France SARL</w:t>
      </w:r>
    </w:p>
    <w:p w14:paraId="70B639E3" w14:textId="79B42F3B" w:rsidR="00EA2232" w:rsidRPr="0071714A" w:rsidRDefault="00EA2232" w:rsidP="00EA2232">
      <w:pPr>
        <w:keepNext/>
        <w:rPr>
          <w:lang w:val="fr-FR"/>
        </w:rPr>
      </w:pPr>
      <w:r w:rsidRPr="0071714A">
        <w:rPr>
          <w:lang w:val="fr-FR"/>
        </w:rPr>
        <w:t>2400</w:t>
      </w:r>
      <w:del w:id="32" w:author="만든 이">
        <w:r w:rsidRPr="0071714A" w:rsidDel="001643DA">
          <w:rPr>
            <w:lang w:val="fr-FR"/>
          </w:rPr>
          <w:delText>,</w:delText>
        </w:r>
      </w:del>
      <w:r w:rsidRPr="0071714A">
        <w:rPr>
          <w:lang w:val="fr-FR"/>
        </w:rPr>
        <w:t xml:space="preserve"> Route des Colles, </w:t>
      </w:r>
    </w:p>
    <w:p w14:paraId="19D7B94C" w14:textId="77777777" w:rsidR="00EA2232" w:rsidRPr="00C61A9B" w:rsidRDefault="00EA2232" w:rsidP="00EA2232">
      <w:pPr>
        <w:keepNext/>
      </w:pPr>
      <w:r w:rsidRPr="00C61A9B">
        <w:t>06410</w:t>
      </w:r>
      <w:del w:id="33" w:author="만든 이">
        <w:r w:rsidRPr="00C61A9B" w:rsidDel="001643DA">
          <w:delText>,</w:delText>
        </w:r>
      </w:del>
      <w:r w:rsidRPr="00C61A9B">
        <w:t xml:space="preserve"> Biot, </w:t>
      </w:r>
    </w:p>
    <w:p w14:paraId="03EC4798" w14:textId="684A5872" w:rsidR="00EA2232" w:rsidRPr="00C61A9B" w:rsidRDefault="00EA2232" w:rsidP="00EA2232">
      <w:r w:rsidRPr="00C61A9B">
        <w:t>Franc</w:t>
      </w:r>
      <w:r>
        <w:t>i</w:t>
      </w:r>
      <w:r w:rsidRPr="00C61A9B">
        <w:t>e</w:t>
      </w:r>
    </w:p>
    <w:p w14:paraId="1A83416D" w14:textId="77777777" w:rsidR="00EA2232" w:rsidRPr="00C61A9B" w:rsidRDefault="00EA2232" w:rsidP="00EA2232"/>
    <w:p w14:paraId="3871B6B5" w14:textId="77777777" w:rsidR="00EA2232" w:rsidRPr="00C61A9B" w:rsidRDefault="00EA2232" w:rsidP="00EA2232">
      <w:pPr>
        <w:keepNext/>
      </w:pPr>
      <w:r w:rsidRPr="00C61A9B">
        <w:t>Midas Pharma GmbH</w:t>
      </w:r>
    </w:p>
    <w:p w14:paraId="7D7B1BDC" w14:textId="77777777" w:rsidR="00EA2232" w:rsidRPr="00C61A9B" w:rsidRDefault="00EA2232" w:rsidP="00EA2232">
      <w:pPr>
        <w:keepNext/>
      </w:pPr>
      <w:r w:rsidRPr="00C61A9B">
        <w:t xml:space="preserve">Rheinstr. 49, </w:t>
      </w:r>
    </w:p>
    <w:p w14:paraId="76E8CC84" w14:textId="77777777" w:rsidR="00EA2232" w:rsidRPr="00C61A9B" w:rsidRDefault="00EA2232" w:rsidP="00EA2232">
      <w:pPr>
        <w:keepNext/>
      </w:pPr>
      <w:r w:rsidRPr="00C61A9B">
        <w:t>55218 Ingelheim,</w:t>
      </w:r>
    </w:p>
    <w:p w14:paraId="5BFADF0F" w14:textId="36B8E425" w:rsidR="00EA2232" w:rsidRPr="00C61A9B" w:rsidRDefault="00EA2232" w:rsidP="00EA2232">
      <w:r>
        <w:t>Německo</w:t>
      </w:r>
    </w:p>
    <w:p w14:paraId="424C2D13" w14:textId="77777777" w:rsidR="00EA2232" w:rsidRPr="00C61A9B" w:rsidRDefault="00EA2232" w:rsidP="00EA2232"/>
    <w:p w14:paraId="7F69F795" w14:textId="77777777" w:rsidR="00EA2232" w:rsidRPr="00C61A9B" w:rsidRDefault="00EA2232" w:rsidP="00EA2232">
      <w:pPr>
        <w:keepNext/>
      </w:pPr>
      <w:r w:rsidRPr="00C61A9B">
        <w:t xml:space="preserve">KYMOS S.L. </w:t>
      </w:r>
    </w:p>
    <w:p w14:paraId="1F4C0C7C" w14:textId="77777777" w:rsidR="00EA2232" w:rsidRPr="00C61A9B" w:rsidRDefault="00EA2232" w:rsidP="00EA2232">
      <w:pPr>
        <w:keepNext/>
      </w:pPr>
      <w:r w:rsidRPr="00C61A9B">
        <w:t xml:space="preserve">Ronda Can Fatjó, 7B. </w:t>
      </w:r>
    </w:p>
    <w:p w14:paraId="4387C68A" w14:textId="77777777" w:rsidR="00EA2232" w:rsidRPr="00C61A9B" w:rsidRDefault="00EA2232" w:rsidP="00EA2232">
      <w:pPr>
        <w:keepNext/>
      </w:pPr>
      <w:r w:rsidRPr="00C61A9B">
        <w:t xml:space="preserve">08290 Cerdanyola del Vallès, </w:t>
      </w:r>
    </w:p>
    <w:p w14:paraId="4AD87FA3" w14:textId="77777777" w:rsidR="00EA2232" w:rsidRPr="00C61A9B" w:rsidRDefault="00EA2232" w:rsidP="00EA2232">
      <w:pPr>
        <w:keepNext/>
      </w:pPr>
      <w:r w:rsidRPr="00C61A9B">
        <w:t xml:space="preserve">Barcelona, </w:t>
      </w:r>
    </w:p>
    <w:p w14:paraId="6EA57271" w14:textId="7A6DC063" w:rsidR="00EA2232" w:rsidRPr="00C61A9B" w:rsidRDefault="00EA2232" w:rsidP="00EA2232">
      <w:r>
        <w:t>Španělsko</w:t>
      </w:r>
    </w:p>
    <w:p w14:paraId="2E3D9A87" w14:textId="77777777" w:rsidR="00222DE0" w:rsidRPr="00EE3355" w:rsidRDefault="00222DE0" w:rsidP="00EA1CDF">
      <w:pPr>
        <w:pStyle w:val="a3"/>
        <w:widowControl/>
        <w:ind w:left="0"/>
      </w:pPr>
    </w:p>
    <w:p w14:paraId="0C5DF49A" w14:textId="77777777" w:rsidR="00222DE0" w:rsidRPr="00EE3355" w:rsidRDefault="00222DE0" w:rsidP="00EA1CDF">
      <w:pPr>
        <w:pStyle w:val="a3"/>
        <w:widowControl/>
        <w:ind w:left="0"/>
      </w:pPr>
    </w:p>
    <w:p w14:paraId="0B7D7D55" w14:textId="77777777" w:rsidR="00222DE0" w:rsidRPr="00EE3355" w:rsidRDefault="00B23DAE" w:rsidP="00EA1CDF">
      <w:pPr>
        <w:pStyle w:val="1"/>
        <w:widowControl/>
        <w:tabs>
          <w:tab w:val="left" w:pos="804"/>
        </w:tabs>
        <w:ind w:left="567" w:hanging="567"/>
      </w:pPr>
      <w:bookmarkStart w:id="34" w:name="B._PODMÍNKY_NEBO_OMEZENÍ_VÝDEJE_A_POUŽIT"/>
      <w:bookmarkEnd w:id="34"/>
      <w:r w:rsidRPr="00EE3355">
        <w:t>B.</w:t>
      </w:r>
      <w:r w:rsidRPr="00EE3355">
        <w:tab/>
      </w:r>
      <w:r w:rsidR="0098273B" w:rsidRPr="00EE3355">
        <w:t>PODMÍNKY NEBO OMEZENÍ VÝDEJE A POUŽITÍ</w:t>
      </w:r>
    </w:p>
    <w:p w14:paraId="683DE0FF" w14:textId="77777777" w:rsidR="008048B7" w:rsidRPr="00EE3355" w:rsidRDefault="008048B7" w:rsidP="00EA1CDF">
      <w:pPr>
        <w:pStyle w:val="a3"/>
        <w:widowControl/>
        <w:ind w:left="0"/>
      </w:pPr>
    </w:p>
    <w:p w14:paraId="28ED7C8A" w14:textId="77777777" w:rsidR="00222DE0" w:rsidRPr="00EE3355" w:rsidRDefault="0098273B" w:rsidP="00EA1CDF">
      <w:pPr>
        <w:pStyle w:val="a3"/>
        <w:widowControl/>
        <w:ind w:left="0"/>
      </w:pPr>
      <w:r w:rsidRPr="00EE3355">
        <w:t>Výdej léčivého přípravku je vázán na lékařský předpis s omezením (viz příloha I: Souhrn údajů o přípravku, bod 4.2).</w:t>
      </w:r>
    </w:p>
    <w:p w14:paraId="39CF952C" w14:textId="77777777" w:rsidR="00222DE0" w:rsidRPr="00EE3355" w:rsidRDefault="00222DE0" w:rsidP="00EA1CDF">
      <w:pPr>
        <w:pStyle w:val="a3"/>
        <w:widowControl/>
        <w:ind w:left="0"/>
      </w:pPr>
    </w:p>
    <w:p w14:paraId="6B9A870F" w14:textId="77777777" w:rsidR="00222DE0" w:rsidRPr="00EE3355" w:rsidRDefault="00222DE0" w:rsidP="00EA1CDF">
      <w:pPr>
        <w:pStyle w:val="a3"/>
        <w:widowControl/>
        <w:ind w:left="0"/>
      </w:pPr>
    </w:p>
    <w:p w14:paraId="223C2EA1" w14:textId="77777777" w:rsidR="00222DE0" w:rsidRPr="00EE3355" w:rsidRDefault="00B23DAE" w:rsidP="00EA1CDF">
      <w:pPr>
        <w:pStyle w:val="1"/>
        <w:widowControl/>
        <w:tabs>
          <w:tab w:val="left" w:pos="804"/>
        </w:tabs>
        <w:ind w:left="567" w:hanging="567"/>
      </w:pPr>
      <w:bookmarkStart w:id="35" w:name="C._DALŠÍ_PODMÍNKY_A_POŽADAVKY_REGISTRACE"/>
      <w:bookmarkEnd w:id="35"/>
      <w:r w:rsidRPr="00EE3355">
        <w:t>C.</w:t>
      </w:r>
      <w:r w:rsidRPr="00EE3355">
        <w:tab/>
      </w:r>
      <w:r w:rsidR="0098273B" w:rsidRPr="00EE3355">
        <w:t>DALŠÍ PODMÍNKY A POŽADAVKY REGISTRACE</w:t>
      </w:r>
    </w:p>
    <w:p w14:paraId="79D5AAC8" w14:textId="77777777" w:rsidR="008048B7" w:rsidRPr="00EE3355" w:rsidRDefault="008048B7" w:rsidP="00943257">
      <w:pPr>
        <w:rPr>
          <w:rFonts w:ascii="Symbol" w:eastAsia="Symbol" w:hAnsi="Symbol" w:cs="Symbol"/>
          <w:b/>
          <w:bCs/>
        </w:rPr>
      </w:pPr>
    </w:p>
    <w:p w14:paraId="1505A1C3" w14:textId="77777777" w:rsidR="00222DE0" w:rsidRPr="00EE3355" w:rsidRDefault="00B23DAE" w:rsidP="00943257">
      <w:r w:rsidRPr="00EE3355">
        <w:rPr>
          <w:rFonts w:ascii="Symbol" w:eastAsia="Symbol" w:hAnsi="Symbol" w:cs="Symbol"/>
        </w:rPr>
        <w:t></w:t>
      </w:r>
      <w:r w:rsidRPr="00EE3355">
        <w:rPr>
          <w:rFonts w:ascii="Symbol" w:eastAsia="Symbol" w:hAnsi="Symbol" w:cs="Symbol"/>
        </w:rPr>
        <w:tab/>
      </w:r>
      <w:r w:rsidR="0098273B" w:rsidRPr="00943257">
        <w:rPr>
          <w:b/>
          <w:bCs/>
        </w:rPr>
        <w:t>Pravidelně aktualizované zprávy o bezpečnosti (PSUR)</w:t>
      </w:r>
    </w:p>
    <w:p w14:paraId="141B66EC" w14:textId="77777777" w:rsidR="002265A0" w:rsidRDefault="002265A0" w:rsidP="00EA1CDF">
      <w:pPr>
        <w:pStyle w:val="a3"/>
        <w:widowControl/>
        <w:ind w:left="0"/>
      </w:pPr>
    </w:p>
    <w:p w14:paraId="7A481E3C" w14:textId="77777777" w:rsidR="00222DE0" w:rsidRPr="00EE3355" w:rsidRDefault="0098273B" w:rsidP="00EA1CDF">
      <w:pPr>
        <w:pStyle w:val="a3"/>
        <w:widowControl/>
        <w:ind w:left="0"/>
      </w:pPr>
      <w:r w:rsidRPr="00EE3355">
        <w:t>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w:t>
      </w:r>
    </w:p>
    <w:p w14:paraId="3BBCCDF9" w14:textId="77777777" w:rsidR="00222DE0" w:rsidRPr="00EE3355" w:rsidRDefault="00222DE0" w:rsidP="00EA1CDF">
      <w:pPr>
        <w:widowControl/>
      </w:pPr>
    </w:p>
    <w:p w14:paraId="55368BC5" w14:textId="77777777" w:rsidR="00222DE0" w:rsidRPr="00EE3355" w:rsidRDefault="00B23DAE" w:rsidP="00EA1CDF">
      <w:pPr>
        <w:pStyle w:val="1"/>
        <w:keepNext/>
        <w:widowControl/>
        <w:tabs>
          <w:tab w:val="left" w:pos="804"/>
        </w:tabs>
        <w:ind w:left="567" w:hanging="567"/>
      </w:pPr>
      <w:bookmarkStart w:id="36" w:name="D._PODMÍNKY_NEBO_OMEZENÍ_S_OHLEDEM_NA_BE"/>
      <w:bookmarkEnd w:id="36"/>
      <w:r w:rsidRPr="00EE3355">
        <w:t>D.</w:t>
      </w:r>
      <w:r w:rsidRPr="00EE3355">
        <w:tab/>
      </w:r>
      <w:r w:rsidR="0098273B" w:rsidRPr="00EE3355">
        <w:t>PODMÍNKY NEBO OMEZENÍ S OHLEDEM NA BEZPEČNÉ A ÚČINNÉ POUŽÍVÁNÍ LÉČIVÉHO PŘÍPRAVKU</w:t>
      </w:r>
    </w:p>
    <w:p w14:paraId="289CD4E4" w14:textId="77777777" w:rsidR="00980B08" w:rsidRPr="00EE3355" w:rsidRDefault="00980B08" w:rsidP="00943257"/>
    <w:p w14:paraId="239FFDE1" w14:textId="77777777" w:rsidR="00222DE0" w:rsidRPr="00EE3355" w:rsidRDefault="00B23DAE" w:rsidP="00943257">
      <w:r w:rsidRPr="00EE3355">
        <w:rPr>
          <w:rFonts w:ascii="Symbol" w:eastAsia="Symbol" w:hAnsi="Symbol" w:cs="Symbol"/>
        </w:rPr>
        <w:t></w:t>
      </w:r>
      <w:r w:rsidRPr="00EE3355">
        <w:rPr>
          <w:rFonts w:ascii="Symbol" w:eastAsia="Symbol" w:hAnsi="Symbol" w:cs="Symbol"/>
        </w:rPr>
        <w:tab/>
      </w:r>
      <w:r w:rsidR="0098273B" w:rsidRPr="00943257">
        <w:rPr>
          <w:b/>
          <w:bCs/>
        </w:rPr>
        <w:t>Plán řízení rizik (RMP)</w:t>
      </w:r>
    </w:p>
    <w:p w14:paraId="4BDB6C6A" w14:textId="77777777" w:rsidR="00980B08" w:rsidRPr="00EE3355" w:rsidRDefault="00980B08" w:rsidP="00943257"/>
    <w:p w14:paraId="3BDB09E1" w14:textId="77777777" w:rsidR="00222DE0" w:rsidRPr="00EE3355" w:rsidRDefault="0098273B" w:rsidP="00EA1CDF">
      <w:pPr>
        <w:pStyle w:val="a3"/>
        <w:widowControl/>
        <w:ind w:left="0"/>
      </w:pPr>
      <w:r w:rsidRPr="00EE3355">
        <w:t>Držitel rozhodnutí o registraci (MAH) uskuteční požadované činnosti a intervence v oblasti farmakovigilance podrobně popsané ve schváleném RMP uvedeném v modulu 1.8.2 registrace a ve veškerých schválených následných aktualizacích RMP.</w:t>
      </w:r>
    </w:p>
    <w:p w14:paraId="5D16E1BD" w14:textId="77777777" w:rsidR="00222DE0" w:rsidRPr="00EE3355" w:rsidRDefault="00222DE0" w:rsidP="00EA1CDF">
      <w:pPr>
        <w:pStyle w:val="a3"/>
        <w:widowControl/>
        <w:ind w:left="0"/>
      </w:pPr>
    </w:p>
    <w:p w14:paraId="51DF0A2B" w14:textId="77777777" w:rsidR="00222DE0" w:rsidRPr="00EE3355" w:rsidRDefault="0098273B" w:rsidP="00EA1CDF">
      <w:pPr>
        <w:pStyle w:val="a3"/>
        <w:widowControl/>
        <w:ind w:left="0"/>
      </w:pPr>
      <w:r w:rsidRPr="00EE3355">
        <w:t>Aktualizovaný RMP je třeba předložit:</w:t>
      </w:r>
    </w:p>
    <w:p w14:paraId="7495ECC8" w14:textId="77777777" w:rsidR="00222DE0" w:rsidRPr="00EE3355" w:rsidRDefault="00B23DAE" w:rsidP="00943257">
      <w:r w:rsidRPr="00EE3355">
        <w:rPr>
          <w:rFonts w:ascii="Symbol" w:eastAsia="Symbol" w:hAnsi="Symbol" w:cs="Symbol"/>
        </w:rPr>
        <w:t></w:t>
      </w:r>
      <w:r w:rsidRPr="00EE3355">
        <w:rPr>
          <w:rFonts w:ascii="Symbol" w:eastAsia="Symbol" w:hAnsi="Symbol" w:cs="Symbol"/>
        </w:rPr>
        <w:tab/>
      </w:r>
      <w:r w:rsidR="0098273B" w:rsidRPr="00EE3355">
        <w:t>na žádost Evropské agentury pro léčivé přípravky,</w:t>
      </w:r>
    </w:p>
    <w:p w14:paraId="36A9BAB4" w14:textId="77777777" w:rsidR="00222DE0" w:rsidRPr="00EE3355" w:rsidRDefault="00B23DAE" w:rsidP="00EA1CDF">
      <w:pPr>
        <w:widowControl/>
        <w:tabs>
          <w:tab w:val="left" w:pos="776"/>
          <w:tab w:val="left" w:pos="778"/>
        </w:tabs>
        <w:ind w:left="567" w:hanging="567"/>
      </w:pPr>
      <w:r w:rsidRPr="00EE3355">
        <w:rPr>
          <w:rFonts w:ascii="Symbol" w:eastAsia="Symbol" w:hAnsi="Symbol" w:cs="Symbol"/>
        </w:rPr>
        <w:lastRenderedPageBreak/>
        <w:t></w:t>
      </w:r>
      <w:r w:rsidRPr="00EE3355">
        <w:rPr>
          <w:rFonts w:ascii="Symbol" w:eastAsia="Symbol" w:hAnsi="Symbol" w:cs="Symbol"/>
        </w:rPr>
        <w:tab/>
      </w:r>
      <w:r w:rsidR="0098273B" w:rsidRPr="00EE3355">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286C6395" w14:textId="77777777" w:rsidR="00FF59F2" w:rsidRPr="00EE3355" w:rsidRDefault="00FF59F2" w:rsidP="00EA1CDF">
      <w:pPr>
        <w:widowControl/>
        <w:tabs>
          <w:tab w:val="left" w:pos="776"/>
          <w:tab w:val="left" w:pos="778"/>
        </w:tabs>
      </w:pPr>
    </w:p>
    <w:p w14:paraId="61351CF3" w14:textId="77777777" w:rsidR="00222DE0" w:rsidRPr="00EE3355" w:rsidRDefault="0098273B" w:rsidP="00EA1CDF">
      <w:pPr>
        <w:pStyle w:val="a3"/>
        <w:widowControl/>
        <w:ind w:left="0"/>
      </w:pPr>
      <w:r w:rsidRPr="00EE3355">
        <w:t>Pokud se shodují data předložení aktualizované zprávy o bezpečnosti (PSUR) a aktualizovaného RMP, je možné je předložit současně.</w:t>
      </w:r>
    </w:p>
    <w:p w14:paraId="4DA47D9A" w14:textId="77777777" w:rsidR="00222DE0" w:rsidRPr="00EE3355" w:rsidRDefault="00222DE0" w:rsidP="00EA1CDF">
      <w:pPr>
        <w:pStyle w:val="a3"/>
        <w:widowControl/>
        <w:ind w:left="0"/>
      </w:pPr>
    </w:p>
    <w:p w14:paraId="3A73694B" w14:textId="77777777" w:rsidR="00222DE0" w:rsidRPr="00EE3355" w:rsidRDefault="00B23DAE" w:rsidP="00943257">
      <w:r w:rsidRPr="00EE3355">
        <w:rPr>
          <w:rFonts w:ascii="Symbol" w:eastAsia="Symbol" w:hAnsi="Symbol" w:cs="Symbol"/>
        </w:rPr>
        <w:t></w:t>
      </w:r>
      <w:r w:rsidRPr="00943257">
        <w:rPr>
          <w:rFonts w:ascii="Symbol" w:eastAsia="Symbol" w:hAnsi="Symbol" w:cs="Symbol"/>
          <w:b/>
          <w:bCs/>
        </w:rPr>
        <w:tab/>
      </w:r>
      <w:r w:rsidR="0098273B" w:rsidRPr="00943257">
        <w:rPr>
          <w:b/>
          <w:bCs/>
        </w:rPr>
        <w:t>Další opatření k minimalizaci rizik</w:t>
      </w:r>
    </w:p>
    <w:p w14:paraId="789B2EBF" w14:textId="77777777" w:rsidR="00CC5BF5" w:rsidRPr="00EE3355" w:rsidRDefault="00CC5BF5" w:rsidP="00943257"/>
    <w:p w14:paraId="745D40AE" w14:textId="12C8E268" w:rsidR="00222DE0" w:rsidRPr="00EE3355" w:rsidRDefault="0098273B" w:rsidP="00EA1CDF">
      <w:pPr>
        <w:pStyle w:val="a3"/>
        <w:widowControl/>
        <w:ind w:left="0"/>
      </w:pPr>
      <w:r w:rsidRPr="00EE3355">
        <w:t xml:space="preserve">Držitel rozhodnutí o registraci poskytne vzdělávací materiál zahrnující terapeutické indikace RA, sJIA, pJIA a GCA všem lékařům, u nichž se předpokládá předepisování/podávání přípravku </w:t>
      </w:r>
      <w:r w:rsidR="00EA2232">
        <w:t>Avtozma</w:t>
      </w:r>
      <w:r w:rsidRPr="00EE3355">
        <w:t>, materiál bude obsahovat následující informace:</w:t>
      </w:r>
    </w:p>
    <w:p w14:paraId="3887579C" w14:textId="77777777" w:rsidR="00222DE0" w:rsidRPr="00EE3355" w:rsidRDefault="00222DE0" w:rsidP="00EA1CDF">
      <w:pPr>
        <w:pStyle w:val="a3"/>
        <w:widowControl/>
        <w:ind w:left="0"/>
      </w:pPr>
    </w:p>
    <w:p w14:paraId="3B38D403"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Informační balíček pro lékaře</w:t>
      </w:r>
    </w:p>
    <w:p w14:paraId="0E2A56DA"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Informační balíček pro zdravotnické pracovníky</w:t>
      </w:r>
    </w:p>
    <w:p w14:paraId="0952A1EB"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Informační balíček pro pacienta</w:t>
      </w:r>
    </w:p>
    <w:p w14:paraId="421A7B1B" w14:textId="77777777" w:rsidR="000E0D35" w:rsidRPr="00EE3355" w:rsidRDefault="000E0D35" w:rsidP="00EA1CDF">
      <w:pPr>
        <w:widowControl/>
        <w:tabs>
          <w:tab w:val="left" w:pos="805"/>
        </w:tabs>
        <w:ind w:left="567" w:hanging="567"/>
      </w:pPr>
    </w:p>
    <w:p w14:paraId="0CF18045" w14:textId="77777777" w:rsidR="00222DE0" w:rsidRPr="00EE3355" w:rsidRDefault="0098273B" w:rsidP="00EA1CDF">
      <w:pPr>
        <w:pStyle w:val="a3"/>
        <w:widowControl/>
        <w:ind w:left="0"/>
      </w:pPr>
      <w:r w:rsidRPr="00EE3355">
        <w:t>Držitel rozhodnutí o registraci musí odsouhlasit obsah a formát vzdělávacího materiálu, včetně komunikačního plánu (zahrnující prostředek distribuce), ve spolupráci s národní autoritou ještě před jeho distribucí.</w:t>
      </w:r>
    </w:p>
    <w:p w14:paraId="27D29928" w14:textId="77777777" w:rsidR="00222DE0" w:rsidRPr="00EE3355" w:rsidRDefault="00222DE0" w:rsidP="00EA1CDF">
      <w:pPr>
        <w:pStyle w:val="a3"/>
        <w:widowControl/>
        <w:ind w:left="0"/>
      </w:pPr>
    </w:p>
    <w:p w14:paraId="554A4EF3" w14:textId="77777777" w:rsidR="00222DE0" w:rsidRPr="00EE3355" w:rsidRDefault="0098273B" w:rsidP="00EA1CDF">
      <w:pPr>
        <w:pStyle w:val="a3"/>
        <w:widowControl/>
        <w:ind w:left="0"/>
      </w:pPr>
      <w:r w:rsidRPr="00EE3355">
        <w:t>Informační balíček pro lékaře by měl obsahovat následující základní součásti:</w:t>
      </w:r>
    </w:p>
    <w:p w14:paraId="1EC39BB1"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Odkaz na Souhrn údajů o přípravku (např. odkaz na webové stránky EMA)</w:t>
      </w:r>
    </w:p>
    <w:p w14:paraId="51389FDB"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Výpočet dávky (pacienti s RA, sJIA a pJIA), přípravu infuze a rychlost podávání infuze</w:t>
      </w:r>
    </w:p>
    <w:p w14:paraId="04596423"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Riziko závažných infekcí</w:t>
      </w:r>
    </w:p>
    <w:p w14:paraId="74634271" w14:textId="77777777" w:rsidR="00222DE0" w:rsidRPr="00EE3355" w:rsidRDefault="00B23DAE" w:rsidP="00EA1CDF">
      <w:pPr>
        <w:widowControl/>
        <w:tabs>
          <w:tab w:val="left" w:pos="1526"/>
        </w:tabs>
        <w:ind w:left="1134" w:hanging="567"/>
      </w:pPr>
      <w:r w:rsidRPr="00EE3355">
        <w:rPr>
          <w:rFonts w:ascii="Symbol" w:eastAsia="Symbol" w:hAnsi="Symbol" w:cs="Symbol"/>
        </w:rPr>
        <w:t></w:t>
      </w:r>
      <w:r w:rsidRPr="00EE3355">
        <w:rPr>
          <w:rFonts w:ascii="Symbol" w:eastAsia="Symbol" w:hAnsi="Symbol" w:cs="Symbol"/>
        </w:rPr>
        <w:tab/>
      </w:r>
      <w:r w:rsidR="0098273B" w:rsidRPr="00EE3355">
        <w:t>Přípravek nesmí být podáván pacientům s aktivní nebo suspektní infekcí</w:t>
      </w:r>
    </w:p>
    <w:p w14:paraId="1EF8DDF1" w14:textId="77777777" w:rsidR="00222DE0" w:rsidRPr="00EE3355" w:rsidRDefault="00B23DAE" w:rsidP="00EA1CDF">
      <w:pPr>
        <w:widowControl/>
        <w:tabs>
          <w:tab w:val="left" w:pos="1526"/>
        </w:tabs>
        <w:ind w:left="1134" w:hanging="567"/>
      </w:pPr>
      <w:r w:rsidRPr="00EE3355">
        <w:rPr>
          <w:rFonts w:ascii="Symbol" w:eastAsia="Symbol" w:hAnsi="Symbol" w:cs="Symbol"/>
        </w:rPr>
        <w:t></w:t>
      </w:r>
      <w:r w:rsidRPr="00EE3355">
        <w:rPr>
          <w:rFonts w:ascii="Symbol" w:eastAsia="Symbol" w:hAnsi="Symbol" w:cs="Symbol"/>
        </w:rPr>
        <w:tab/>
      </w:r>
      <w:r w:rsidR="0098273B" w:rsidRPr="00EE3355">
        <w:t>Přípravek může zmírňovat příznaky a symptomy akutní infekce, což může vést</w:t>
      </w:r>
      <w:r w:rsidR="00D7646F" w:rsidRPr="00EE3355">
        <w:t xml:space="preserve"> </w:t>
      </w:r>
      <w:r w:rsidR="0098273B" w:rsidRPr="00EE3355">
        <w:t>k opožděné diagnóze</w:t>
      </w:r>
    </w:p>
    <w:p w14:paraId="4C6727D0"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Riziko hepatotoxicity</w:t>
      </w:r>
    </w:p>
    <w:p w14:paraId="2C6F386C" w14:textId="77777777" w:rsidR="00222DE0" w:rsidRPr="00EE3355" w:rsidRDefault="00B23DAE" w:rsidP="00EA1CDF">
      <w:pPr>
        <w:widowControl/>
        <w:tabs>
          <w:tab w:val="left" w:pos="1526"/>
        </w:tabs>
        <w:ind w:left="1134" w:hanging="567"/>
      </w:pPr>
      <w:r w:rsidRPr="00EE3355">
        <w:rPr>
          <w:rFonts w:ascii="Symbol" w:eastAsia="Symbol" w:hAnsi="Symbol" w:cs="Symbol"/>
        </w:rPr>
        <w:t></w:t>
      </w:r>
      <w:r w:rsidRPr="00EE3355">
        <w:rPr>
          <w:rFonts w:ascii="Symbol" w:eastAsia="Symbol" w:hAnsi="Symbol" w:cs="Symbol"/>
        </w:rPr>
        <w:tab/>
      </w:r>
      <w:r w:rsidR="0098273B" w:rsidRPr="00EE3355">
        <w:t>Při zvažování zahájení léčby tocilizumabem má být postupováno se zvýšenou opatrností u pacientů se zvýšenými hladinami aminotransferáz ALT nebo AST nad 1,5x ULN. Pacientům se zvýšenými hladinami ALT nebo AST nad 5x ULN se léčba nedoporučuje.</w:t>
      </w:r>
    </w:p>
    <w:p w14:paraId="41D44341" w14:textId="77777777" w:rsidR="00222DE0" w:rsidRPr="00EE3355" w:rsidRDefault="00B23DAE" w:rsidP="00EA1CDF">
      <w:pPr>
        <w:widowControl/>
        <w:tabs>
          <w:tab w:val="left" w:pos="1526"/>
        </w:tabs>
        <w:ind w:left="1134" w:hanging="567"/>
      </w:pPr>
      <w:r w:rsidRPr="00EE3355">
        <w:rPr>
          <w:rFonts w:ascii="Symbol" w:eastAsia="Symbol" w:hAnsi="Symbol" w:cs="Symbol"/>
        </w:rPr>
        <w:t></w:t>
      </w:r>
      <w:r w:rsidRPr="00EE3355">
        <w:rPr>
          <w:rFonts w:ascii="Symbol" w:eastAsia="Symbol" w:hAnsi="Symbol" w:cs="Symbol"/>
        </w:rPr>
        <w:tab/>
      </w:r>
      <w:r w:rsidR="0098273B" w:rsidRPr="00EE3355">
        <w:t>U pacientů s RA, GCA, pJIA a sJIA je třeba ALT/AST monitorovat jednou za 4 až 8 týdnů po dobu prvních 6 měsíců léčby a následně jednou za 12 týdnů. Doporučené úpravy dávkování, včetně ukončení podávání tocilizumabu, na základě hodnot aminotransferáz jsou uvedeny v SmPC v bodě 4.2.</w:t>
      </w:r>
    </w:p>
    <w:p w14:paraId="0724DB0D"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Riziko gastrointestinálních perforací především u pacientů s anamnézou divertikulitidy nebo</w:t>
      </w:r>
    </w:p>
    <w:p w14:paraId="2BF42B4F" w14:textId="77777777" w:rsidR="00222DE0" w:rsidRPr="00EE3355" w:rsidRDefault="0098273B" w:rsidP="00EA1CDF">
      <w:pPr>
        <w:pStyle w:val="a3"/>
        <w:widowControl/>
        <w:ind w:left="567" w:hanging="567"/>
      </w:pPr>
      <w:r w:rsidRPr="00EE3355">
        <w:t>střevních ulcerací</w:t>
      </w:r>
    </w:p>
    <w:p w14:paraId="512E4845"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Podrobnosti o tom, jak hlásit závažné nežádoucí účinky léku</w:t>
      </w:r>
    </w:p>
    <w:p w14:paraId="77975F59"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Informační balíček pro pacienta (předávaný pacientům zdravotnickými pracovníky)</w:t>
      </w:r>
    </w:p>
    <w:p w14:paraId="0531C2D6"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Pokyny pro diagnostiku syndromu aktivace makrofágů u pacientů se sJIA</w:t>
      </w:r>
    </w:p>
    <w:p w14:paraId="610C35A0"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Doporučení pro přerušení dávkování u pacientů se sJIA a pJIA</w:t>
      </w:r>
    </w:p>
    <w:p w14:paraId="2C722992" w14:textId="77777777" w:rsidR="00222DE0" w:rsidRPr="00EE3355" w:rsidRDefault="00222DE0" w:rsidP="00EA1CDF">
      <w:pPr>
        <w:widowControl/>
      </w:pPr>
    </w:p>
    <w:p w14:paraId="32B195D7" w14:textId="77777777" w:rsidR="00222DE0" w:rsidRPr="00EE3355" w:rsidRDefault="0098273B" w:rsidP="00EA1CDF">
      <w:pPr>
        <w:pStyle w:val="a3"/>
        <w:keepNext/>
        <w:widowControl/>
        <w:ind w:left="0"/>
      </w:pPr>
      <w:r w:rsidRPr="00EE3355">
        <w:t>Informační balíček pro zdravotnické pracovníky by měl obsahovat následující základní součásti:</w:t>
      </w:r>
    </w:p>
    <w:p w14:paraId="61CE1DBD" w14:textId="77777777" w:rsidR="00222DE0" w:rsidRPr="00EE3355" w:rsidRDefault="00B23DAE" w:rsidP="00EA1CDF">
      <w:pPr>
        <w:keepNext/>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Prevence léčebných chyb a reakcí souvisejících s injekcí/infuzí</w:t>
      </w:r>
    </w:p>
    <w:p w14:paraId="3B57C430" w14:textId="77777777" w:rsidR="00222DE0" w:rsidRPr="00EE3355" w:rsidRDefault="00B23DAE" w:rsidP="00EA1CDF">
      <w:pPr>
        <w:widowControl/>
        <w:tabs>
          <w:tab w:val="left" w:pos="1525"/>
        </w:tabs>
        <w:ind w:left="1134" w:hanging="567"/>
      </w:pPr>
      <w:r w:rsidRPr="00EE3355">
        <w:rPr>
          <w:rFonts w:ascii="Symbol" w:eastAsia="Symbol" w:hAnsi="Symbol" w:cs="Symbol"/>
        </w:rPr>
        <w:t></w:t>
      </w:r>
      <w:r w:rsidRPr="00EE3355">
        <w:rPr>
          <w:rFonts w:ascii="Symbol" w:eastAsia="Symbol" w:hAnsi="Symbol" w:cs="Symbol"/>
        </w:rPr>
        <w:tab/>
      </w:r>
      <w:r w:rsidR="0098273B" w:rsidRPr="00EE3355">
        <w:t>Příprava injekce/infuze</w:t>
      </w:r>
    </w:p>
    <w:p w14:paraId="310E27D3" w14:textId="77777777" w:rsidR="00222DE0" w:rsidRPr="00EE3355" w:rsidRDefault="00B23DAE" w:rsidP="00EA1CDF">
      <w:pPr>
        <w:widowControl/>
        <w:tabs>
          <w:tab w:val="left" w:pos="1525"/>
        </w:tabs>
        <w:ind w:left="1134" w:hanging="567"/>
      </w:pPr>
      <w:r w:rsidRPr="00EE3355">
        <w:rPr>
          <w:rFonts w:ascii="Symbol" w:eastAsia="Symbol" w:hAnsi="Symbol" w:cs="Symbol"/>
        </w:rPr>
        <w:t></w:t>
      </w:r>
      <w:r w:rsidRPr="00EE3355">
        <w:rPr>
          <w:rFonts w:ascii="Symbol" w:eastAsia="Symbol" w:hAnsi="Symbol" w:cs="Symbol"/>
        </w:rPr>
        <w:tab/>
      </w:r>
      <w:r w:rsidR="0098273B" w:rsidRPr="00EE3355">
        <w:t>Rychlost podávání infuze</w:t>
      </w:r>
    </w:p>
    <w:p w14:paraId="071AA0F3"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Sledování pacienta z důvodu možných reakcí souvisejících s injekcí/infuzí</w:t>
      </w:r>
    </w:p>
    <w:p w14:paraId="239D2ED8"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Podrobnosti o tom, jak hlásit závažné nežádoucí účinky</w:t>
      </w:r>
    </w:p>
    <w:p w14:paraId="601AE085" w14:textId="77777777" w:rsidR="003458C2" w:rsidRPr="00EE3355" w:rsidRDefault="003458C2" w:rsidP="00EA1CDF">
      <w:pPr>
        <w:widowControl/>
        <w:tabs>
          <w:tab w:val="left" w:pos="805"/>
        </w:tabs>
        <w:ind w:left="567" w:hanging="567"/>
      </w:pPr>
    </w:p>
    <w:p w14:paraId="0224362C" w14:textId="77777777" w:rsidR="00222DE0" w:rsidRPr="00EE3355" w:rsidRDefault="0098273B" w:rsidP="00EA1CDF">
      <w:pPr>
        <w:pStyle w:val="a3"/>
        <w:widowControl/>
        <w:ind w:left="0"/>
      </w:pPr>
      <w:r w:rsidRPr="00EE3355">
        <w:t>Informační balíček pro pacienta by měl obsahovat následující základní součásti:</w:t>
      </w:r>
    </w:p>
    <w:p w14:paraId="423EE005"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Příbalovou informaci pro pacienta (s návodem pro s.c. podání) (např. odkaz na webové stránky</w:t>
      </w:r>
      <w:r w:rsidR="003458C2" w:rsidRPr="00EE3355">
        <w:t xml:space="preserve"> </w:t>
      </w:r>
      <w:r w:rsidR="0098273B" w:rsidRPr="00EE3355">
        <w:t>EMA)</w:t>
      </w:r>
    </w:p>
    <w:p w14:paraId="0124F5D7"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Kartu pacienta</w:t>
      </w:r>
    </w:p>
    <w:p w14:paraId="01F7F14E" w14:textId="77777777" w:rsidR="00222DE0" w:rsidRPr="00EE3355" w:rsidRDefault="00B23DAE" w:rsidP="00EA1CDF">
      <w:pPr>
        <w:widowControl/>
        <w:tabs>
          <w:tab w:val="left" w:pos="1106"/>
        </w:tabs>
        <w:ind w:left="1134" w:hanging="567"/>
      </w:pPr>
      <w:r w:rsidRPr="00EE3355">
        <w:t>-</w:t>
      </w:r>
      <w:r w:rsidRPr="00EE3355">
        <w:tab/>
      </w:r>
      <w:r w:rsidR="0098273B" w:rsidRPr="00EE3355">
        <w:t>upozorňující na riziko vzniku infekcí, které, pokud se neléčí, mohou být závažné.</w:t>
      </w:r>
      <w:r w:rsidR="003458C2" w:rsidRPr="00EE3355">
        <w:t xml:space="preserve"> </w:t>
      </w:r>
      <w:r w:rsidR="0098273B" w:rsidRPr="00EE3355">
        <w:t>Navíc se některé dříve prodělané infekce mohou objevit znovu.</w:t>
      </w:r>
    </w:p>
    <w:p w14:paraId="1FF0F9A8" w14:textId="3FA27A2F" w:rsidR="00222DE0" w:rsidRPr="00EE3355" w:rsidRDefault="00B23DAE" w:rsidP="00EA1CDF">
      <w:pPr>
        <w:widowControl/>
        <w:tabs>
          <w:tab w:val="left" w:pos="1106"/>
        </w:tabs>
        <w:ind w:left="1134" w:hanging="567"/>
      </w:pPr>
      <w:r w:rsidRPr="00EE3355">
        <w:lastRenderedPageBreak/>
        <w:t>-</w:t>
      </w:r>
      <w:r w:rsidRPr="00EE3355">
        <w:tab/>
      </w:r>
      <w:r w:rsidR="0098273B" w:rsidRPr="00EE3355">
        <w:t xml:space="preserve">upozorňující na riziko, že u pacientů používajících přípravek </w:t>
      </w:r>
      <w:r w:rsidR="00EA2232">
        <w:t>Avtozma</w:t>
      </w:r>
      <w:r w:rsidR="0098273B" w:rsidRPr="00EE3355">
        <w:t xml:space="preserve"> se mohou rozvinout komplikace divertikulitidy, které, pokud se neléčí, mohou být závažné.</w:t>
      </w:r>
    </w:p>
    <w:p w14:paraId="7AA66978" w14:textId="57364513" w:rsidR="00222DE0" w:rsidRPr="00EE3355" w:rsidRDefault="00B23DAE" w:rsidP="00EA1CDF">
      <w:pPr>
        <w:widowControl/>
        <w:tabs>
          <w:tab w:val="left" w:pos="1106"/>
        </w:tabs>
        <w:ind w:left="1134" w:hanging="567"/>
      </w:pPr>
      <w:r w:rsidRPr="00EE3355">
        <w:t>-</w:t>
      </w:r>
      <w:r w:rsidRPr="00EE3355">
        <w:tab/>
      </w:r>
      <w:r w:rsidR="0098273B" w:rsidRPr="00EE3355">
        <w:t xml:space="preserve">upozorňující na riziko, že u pacientů používajících přípravek </w:t>
      </w:r>
      <w:r w:rsidR="00EA2232">
        <w:t>Avtozma</w:t>
      </w:r>
      <w:r w:rsidR="0098273B" w:rsidRPr="00EE3355">
        <w:t xml:space="preserve"> se může vyvinout závažné poškození jater. Pacienti budou monitorováni pomocí funkčních jaterních testů.</w:t>
      </w:r>
      <w:r w:rsidR="003458C2" w:rsidRPr="00EE3355">
        <w:t xml:space="preserve"> </w:t>
      </w:r>
      <w:r w:rsidR="0098273B" w:rsidRPr="00EE3355">
        <w:t>Pacienti mají ihned informovat svého lékaře, pokud se u nich vyskytnou známky a příznaky</w:t>
      </w:r>
      <w:r w:rsidR="003458C2" w:rsidRPr="00EE3355">
        <w:t xml:space="preserve"> </w:t>
      </w:r>
      <w:r w:rsidR="0098273B" w:rsidRPr="00EE3355">
        <w:t>jaterní toxicity zahrnující utahanost, bolest břicha a ikterus.</w:t>
      </w:r>
    </w:p>
    <w:p w14:paraId="5D29246E" w14:textId="77777777" w:rsidR="003458C2" w:rsidRPr="00EE3355" w:rsidRDefault="003458C2" w:rsidP="00EA1CDF">
      <w:pPr>
        <w:pStyle w:val="a3"/>
        <w:widowControl/>
        <w:ind w:left="1134" w:hanging="567"/>
      </w:pPr>
    </w:p>
    <w:p w14:paraId="0E676D8D" w14:textId="77777777" w:rsidR="003458C2" w:rsidRPr="00EE3355" w:rsidRDefault="003458C2" w:rsidP="00EA1CDF">
      <w:pPr>
        <w:widowControl/>
      </w:pPr>
      <w:r w:rsidRPr="00EE3355">
        <w:br w:type="page"/>
      </w:r>
    </w:p>
    <w:p w14:paraId="30E268AE" w14:textId="77777777" w:rsidR="00222DE0" w:rsidRPr="00EE3355" w:rsidRDefault="00222DE0" w:rsidP="00EA1CDF">
      <w:pPr>
        <w:pStyle w:val="a3"/>
        <w:widowControl/>
        <w:ind w:left="0"/>
      </w:pPr>
    </w:p>
    <w:p w14:paraId="78D6A65C" w14:textId="77777777" w:rsidR="00222DE0" w:rsidRPr="00EE3355" w:rsidRDefault="00222DE0" w:rsidP="00EA1CDF">
      <w:pPr>
        <w:pStyle w:val="a3"/>
        <w:widowControl/>
        <w:ind w:left="0"/>
      </w:pPr>
    </w:p>
    <w:p w14:paraId="5DB91EBE" w14:textId="77777777" w:rsidR="00222DE0" w:rsidRPr="00EE3355" w:rsidRDefault="00222DE0" w:rsidP="00EA1CDF">
      <w:pPr>
        <w:pStyle w:val="a3"/>
        <w:widowControl/>
        <w:ind w:left="0"/>
      </w:pPr>
    </w:p>
    <w:p w14:paraId="21DD3AAA" w14:textId="77777777" w:rsidR="00222DE0" w:rsidRPr="00EE3355" w:rsidRDefault="00222DE0" w:rsidP="00EA1CDF">
      <w:pPr>
        <w:pStyle w:val="a3"/>
        <w:widowControl/>
        <w:ind w:left="0"/>
      </w:pPr>
    </w:p>
    <w:p w14:paraId="3F2044DB" w14:textId="77777777" w:rsidR="00222DE0" w:rsidRPr="00EE3355" w:rsidRDefault="00222DE0" w:rsidP="00EA1CDF">
      <w:pPr>
        <w:pStyle w:val="a3"/>
        <w:widowControl/>
        <w:ind w:left="0"/>
      </w:pPr>
    </w:p>
    <w:p w14:paraId="53FE48C5" w14:textId="77777777" w:rsidR="00222DE0" w:rsidRPr="00EE3355" w:rsidRDefault="00222DE0" w:rsidP="00EA1CDF">
      <w:pPr>
        <w:pStyle w:val="a3"/>
        <w:widowControl/>
        <w:ind w:left="0"/>
      </w:pPr>
    </w:p>
    <w:p w14:paraId="5D3A84C8" w14:textId="77777777" w:rsidR="00222DE0" w:rsidRPr="00EE3355" w:rsidRDefault="00222DE0" w:rsidP="00EA1CDF">
      <w:pPr>
        <w:pStyle w:val="a3"/>
        <w:widowControl/>
        <w:ind w:left="0"/>
      </w:pPr>
    </w:p>
    <w:p w14:paraId="2904D6FB" w14:textId="77777777" w:rsidR="00222DE0" w:rsidRPr="00EE3355" w:rsidRDefault="00222DE0" w:rsidP="00EA1CDF">
      <w:pPr>
        <w:pStyle w:val="a3"/>
        <w:widowControl/>
        <w:ind w:left="0"/>
      </w:pPr>
    </w:p>
    <w:p w14:paraId="39B82B5C" w14:textId="77777777" w:rsidR="00222DE0" w:rsidRPr="00EE3355" w:rsidRDefault="00222DE0" w:rsidP="00EA1CDF">
      <w:pPr>
        <w:pStyle w:val="a3"/>
        <w:widowControl/>
        <w:ind w:left="0"/>
      </w:pPr>
    </w:p>
    <w:p w14:paraId="69642988" w14:textId="77777777" w:rsidR="00222DE0" w:rsidRPr="00EE3355" w:rsidRDefault="00222DE0" w:rsidP="00EA1CDF">
      <w:pPr>
        <w:pStyle w:val="a3"/>
        <w:widowControl/>
        <w:ind w:left="0"/>
      </w:pPr>
    </w:p>
    <w:p w14:paraId="32B08A90" w14:textId="77777777" w:rsidR="00222DE0" w:rsidRPr="00EE3355" w:rsidRDefault="00222DE0" w:rsidP="00EA1CDF">
      <w:pPr>
        <w:pStyle w:val="a3"/>
        <w:widowControl/>
        <w:ind w:left="0"/>
      </w:pPr>
    </w:p>
    <w:p w14:paraId="39C07BFF" w14:textId="77777777" w:rsidR="00222DE0" w:rsidRPr="00EE3355" w:rsidRDefault="00222DE0" w:rsidP="00EA1CDF">
      <w:pPr>
        <w:pStyle w:val="a3"/>
        <w:widowControl/>
        <w:ind w:left="0"/>
      </w:pPr>
    </w:p>
    <w:p w14:paraId="2861BCA1" w14:textId="77777777" w:rsidR="00222DE0" w:rsidRPr="00EE3355" w:rsidRDefault="00222DE0" w:rsidP="00EA1CDF">
      <w:pPr>
        <w:pStyle w:val="a3"/>
        <w:widowControl/>
        <w:ind w:left="0"/>
      </w:pPr>
    </w:p>
    <w:p w14:paraId="488E41E8" w14:textId="77777777" w:rsidR="00222DE0" w:rsidRPr="00EE3355" w:rsidRDefault="00222DE0" w:rsidP="00EA1CDF">
      <w:pPr>
        <w:pStyle w:val="a3"/>
        <w:widowControl/>
        <w:ind w:left="0"/>
      </w:pPr>
    </w:p>
    <w:p w14:paraId="14833DD2" w14:textId="77777777" w:rsidR="00222DE0" w:rsidRPr="00EE3355" w:rsidRDefault="00222DE0" w:rsidP="00EA1CDF">
      <w:pPr>
        <w:pStyle w:val="a3"/>
        <w:widowControl/>
        <w:ind w:left="0"/>
      </w:pPr>
    </w:p>
    <w:p w14:paraId="09E76148" w14:textId="77777777" w:rsidR="00222DE0" w:rsidRPr="00EE3355" w:rsidRDefault="00222DE0" w:rsidP="00EA1CDF">
      <w:pPr>
        <w:pStyle w:val="a3"/>
        <w:widowControl/>
        <w:ind w:left="0"/>
      </w:pPr>
    </w:p>
    <w:p w14:paraId="0C8BBF48" w14:textId="77777777" w:rsidR="00222DE0" w:rsidRPr="00EE3355" w:rsidRDefault="00222DE0" w:rsidP="00EA1CDF">
      <w:pPr>
        <w:pStyle w:val="a3"/>
        <w:widowControl/>
        <w:ind w:left="0"/>
      </w:pPr>
    </w:p>
    <w:p w14:paraId="6835E281" w14:textId="77777777" w:rsidR="00222DE0" w:rsidRPr="00EE3355" w:rsidRDefault="00222DE0" w:rsidP="00EA1CDF">
      <w:pPr>
        <w:pStyle w:val="a3"/>
        <w:widowControl/>
        <w:ind w:left="0"/>
      </w:pPr>
    </w:p>
    <w:p w14:paraId="763F554A" w14:textId="77777777" w:rsidR="0017375E" w:rsidRPr="00EE3355" w:rsidRDefault="0017375E" w:rsidP="00EA1CDF">
      <w:pPr>
        <w:pStyle w:val="a3"/>
        <w:widowControl/>
        <w:ind w:left="0"/>
      </w:pPr>
    </w:p>
    <w:p w14:paraId="76B7DD55" w14:textId="77777777" w:rsidR="0017375E" w:rsidRPr="00EE3355" w:rsidRDefault="0017375E" w:rsidP="00EA1CDF">
      <w:pPr>
        <w:pStyle w:val="a3"/>
        <w:widowControl/>
        <w:ind w:left="0"/>
      </w:pPr>
    </w:p>
    <w:p w14:paraId="06B303FD" w14:textId="77777777" w:rsidR="0017375E" w:rsidRPr="00EE3355" w:rsidRDefault="0017375E" w:rsidP="00EA1CDF">
      <w:pPr>
        <w:pStyle w:val="a3"/>
        <w:widowControl/>
        <w:ind w:left="0"/>
      </w:pPr>
    </w:p>
    <w:p w14:paraId="1CACA900" w14:textId="77777777" w:rsidR="0017375E" w:rsidRPr="00EE3355" w:rsidRDefault="0017375E" w:rsidP="00EA1CDF">
      <w:pPr>
        <w:pStyle w:val="a3"/>
        <w:widowControl/>
        <w:ind w:left="0"/>
      </w:pPr>
    </w:p>
    <w:p w14:paraId="26DC1F4C" w14:textId="77777777" w:rsidR="00222DE0" w:rsidRPr="00EE3355" w:rsidRDefault="0098273B" w:rsidP="00EA1CDF">
      <w:pPr>
        <w:widowControl/>
        <w:jc w:val="center"/>
        <w:rPr>
          <w:b/>
        </w:rPr>
      </w:pPr>
      <w:r w:rsidRPr="00EE3355">
        <w:rPr>
          <w:b/>
        </w:rPr>
        <w:t>PŘÍLOHA III</w:t>
      </w:r>
    </w:p>
    <w:p w14:paraId="65A96639" w14:textId="77777777" w:rsidR="00222DE0" w:rsidRPr="00EE3355" w:rsidRDefault="00222DE0" w:rsidP="00EA1CDF">
      <w:pPr>
        <w:pStyle w:val="a3"/>
        <w:widowControl/>
        <w:ind w:left="0"/>
        <w:rPr>
          <w:b/>
        </w:rPr>
      </w:pPr>
    </w:p>
    <w:p w14:paraId="2EC37AB7" w14:textId="77777777" w:rsidR="00222DE0" w:rsidRPr="00EE3355" w:rsidRDefault="0098273B" w:rsidP="00EA1CDF">
      <w:pPr>
        <w:widowControl/>
        <w:jc w:val="center"/>
        <w:rPr>
          <w:b/>
        </w:rPr>
      </w:pPr>
      <w:r w:rsidRPr="00EE3355">
        <w:rPr>
          <w:b/>
        </w:rPr>
        <w:t>OZNAČENÍ NA OBALU A PŘÍBALOVÁ INFORMACE</w:t>
      </w:r>
    </w:p>
    <w:p w14:paraId="1C478870" w14:textId="77777777" w:rsidR="00222DE0" w:rsidRPr="00EE3355" w:rsidRDefault="00222DE0" w:rsidP="00EA1CDF">
      <w:pPr>
        <w:widowControl/>
        <w:jc w:val="center"/>
      </w:pPr>
    </w:p>
    <w:p w14:paraId="7F49EEE0" w14:textId="77777777" w:rsidR="0017375E" w:rsidRPr="00EE3355" w:rsidRDefault="0017375E" w:rsidP="00EA1CDF">
      <w:pPr>
        <w:widowControl/>
        <w:jc w:val="center"/>
      </w:pPr>
      <w:r w:rsidRPr="00EE3355">
        <w:br w:type="page"/>
      </w:r>
    </w:p>
    <w:p w14:paraId="525DFE6F" w14:textId="77777777" w:rsidR="00222DE0" w:rsidRPr="00EE3355" w:rsidRDefault="00222DE0" w:rsidP="00EA1CDF">
      <w:pPr>
        <w:pStyle w:val="a3"/>
        <w:widowControl/>
        <w:ind w:left="0"/>
        <w:rPr>
          <w:b/>
        </w:rPr>
      </w:pPr>
    </w:p>
    <w:p w14:paraId="7AF6DA49" w14:textId="77777777" w:rsidR="00222DE0" w:rsidRPr="00EE3355" w:rsidRDefault="00222DE0" w:rsidP="00EA1CDF">
      <w:pPr>
        <w:pStyle w:val="a3"/>
        <w:widowControl/>
        <w:ind w:left="0"/>
        <w:rPr>
          <w:b/>
        </w:rPr>
      </w:pPr>
    </w:p>
    <w:p w14:paraId="6B212D49" w14:textId="77777777" w:rsidR="00222DE0" w:rsidRPr="00EE3355" w:rsidRDefault="00222DE0" w:rsidP="00EA1CDF">
      <w:pPr>
        <w:pStyle w:val="a3"/>
        <w:widowControl/>
        <w:ind w:left="0"/>
        <w:rPr>
          <w:b/>
        </w:rPr>
      </w:pPr>
    </w:p>
    <w:p w14:paraId="72D332A4" w14:textId="77777777" w:rsidR="00222DE0" w:rsidRPr="00EE3355" w:rsidRDefault="00222DE0" w:rsidP="00EA1CDF">
      <w:pPr>
        <w:pStyle w:val="a3"/>
        <w:widowControl/>
        <w:ind w:left="0"/>
        <w:rPr>
          <w:b/>
        </w:rPr>
      </w:pPr>
    </w:p>
    <w:p w14:paraId="2B4AB7CA" w14:textId="77777777" w:rsidR="00222DE0" w:rsidRPr="00EE3355" w:rsidRDefault="00222DE0" w:rsidP="00EA1CDF">
      <w:pPr>
        <w:pStyle w:val="a3"/>
        <w:widowControl/>
        <w:ind w:left="0"/>
        <w:rPr>
          <w:b/>
        </w:rPr>
      </w:pPr>
    </w:p>
    <w:p w14:paraId="6C797DBF" w14:textId="77777777" w:rsidR="00222DE0" w:rsidRPr="00EE3355" w:rsidRDefault="00222DE0" w:rsidP="00EA1CDF">
      <w:pPr>
        <w:pStyle w:val="a3"/>
        <w:widowControl/>
        <w:ind w:left="0"/>
        <w:rPr>
          <w:b/>
        </w:rPr>
      </w:pPr>
    </w:p>
    <w:p w14:paraId="0BD9FF87" w14:textId="77777777" w:rsidR="00222DE0" w:rsidRPr="00EE3355" w:rsidRDefault="00222DE0" w:rsidP="00EA1CDF">
      <w:pPr>
        <w:pStyle w:val="a3"/>
        <w:widowControl/>
        <w:ind w:left="0"/>
        <w:rPr>
          <w:b/>
        </w:rPr>
      </w:pPr>
    </w:p>
    <w:p w14:paraId="452C8A53" w14:textId="77777777" w:rsidR="00222DE0" w:rsidRPr="00EE3355" w:rsidRDefault="00222DE0" w:rsidP="00EA1CDF">
      <w:pPr>
        <w:pStyle w:val="a3"/>
        <w:widowControl/>
        <w:ind w:left="0"/>
        <w:rPr>
          <w:b/>
        </w:rPr>
      </w:pPr>
    </w:p>
    <w:p w14:paraId="58C37967" w14:textId="77777777" w:rsidR="00222DE0" w:rsidRPr="00EE3355" w:rsidRDefault="00222DE0" w:rsidP="00EA1CDF">
      <w:pPr>
        <w:pStyle w:val="a3"/>
        <w:widowControl/>
        <w:ind w:left="0"/>
        <w:rPr>
          <w:b/>
        </w:rPr>
      </w:pPr>
    </w:p>
    <w:p w14:paraId="5E1549CB" w14:textId="77777777" w:rsidR="00222DE0" w:rsidRPr="00EE3355" w:rsidRDefault="00222DE0" w:rsidP="00EA1CDF">
      <w:pPr>
        <w:pStyle w:val="a3"/>
        <w:widowControl/>
        <w:ind w:left="0"/>
        <w:rPr>
          <w:b/>
        </w:rPr>
      </w:pPr>
    </w:p>
    <w:p w14:paraId="71BCE7BB" w14:textId="77777777" w:rsidR="00222DE0" w:rsidRPr="00EE3355" w:rsidRDefault="00222DE0" w:rsidP="00EA1CDF">
      <w:pPr>
        <w:pStyle w:val="a3"/>
        <w:widowControl/>
        <w:ind w:left="0"/>
        <w:rPr>
          <w:b/>
        </w:rPr>
      </w:pPr>
    </w:p>
    <w:p w14:paraId="7712DBDA" w14:textId="77777777" w:rsidR="00222DE0" w:rsidRPr="00EE3355" w:rsidRDefault="00222DE0" w:rsidP="00EA1CDF">
      <w:pPr>
        <w:pStyle w:val="a3"/>
        <w:widowControl/>
        <w:ind w:left="0"/>
        <w:rPr>
          <w:b/>
        </w:rPr>
      </w:pPr>
    </w:p>
    <w:p w14:paraId="29894231" w14:textId="77777777" w:rsidR="00222DE0" w:rsidRPr="00EE3355" w:rsidRDefault="00222DE0" w:rsidP="00EA1CDF">
      <w:pPr>
        <w:pStyle w:val="a3"/>
        <w:widowControl/>
        <w:ind w:left="0"/>
        <w:rPr>
          <w:b/>
        </w:rPr>
      </w:pPr>
    </w:p>
    <w:p w14:paraId="1F689976" w14:textId="77777777" w:rsidR="00222DE0" w:rsidRPr="00EE3355" w:rsidRDefault="00222DE0" w:rsidP="00EA1CDF">
      <w:pPr>
        <w:pStyle w:val="a3"/>
        <w:widowControl/>
        <w:ind w:left="0"/>
        <w:rPr>
          <w:b/>
        </w:rPr>
      </w:pPr>
    </w:p>
    <w:p w14:paraId="0AD40E93" w14:textId="77777777" w:rsidR="00222DE0" w:rsidRPr="00EE3355" w:rsidRDefault="00222DE0" w:rsidP="00EA1CDF">
      <w:pPr>
        <w:pStyle w:val="a3"/>
        <w:widowControl/>
        <w:ind w:left="0"/>
        <w:rPr>
          <w:b/>
        </w:rPr>
      </w:pPr>
    </w:p>
    <w:p w14:paraId="043FD48E" w14:textId="77777777" w:rsidR="00222DE0" w:rsidRPr="00EE3355" w:rsidRDefault="00222DE0" w:rsidP="00EA1CDF">
      <w:pPr>
        <w:pStyle w:val="a3"/>
        <w:widowControl/>
        <w:ind w:left="0"/>
        <w:rPr>
          <w:b/>
        </w:rPr>
      </w:pPr>
    </w:p>
    <w:p w14:paraId="1FC9F313" w14:textId="77777777" w:rsidR="00222DE0" w:rsidRPr="00EE3355" w:rsidRDefault="00222DE0" w:rsidP="00EA1CDF">
      <w:pPr>
        <w:pStyle w:val="a3"/>
        <w:widowControl/>
        <w:ind w:left="0"/>
        <w:rPr>
          <w:b/>
        </w:rPr>
      </w:pPr>
    </w:p>
    <w:p w14:paraId="217EEF2E" w14:textId="77777777" w:rsidR="00222DE0" w:rsidRPr="00EE3355" w:rsidRDefault="00222DE0" w:rsidP="00EA1CDF">
      <w:pPr>
        <w:pStyle w:val="a3"/>
        <w:widowControl/>
        <w:ind w:left="0"/>
        <w:rPr>
          <w:b/>
        </w:rPr>
      </w:pPr>
    </w:p>
    <w:p w14:paraId="1DAA71EF" w14:textId="77777777" w:rsidR="005B2A14" w:rsidRPr="00EE3355" w:rsidRDefault="005B2A14" w:rsidP="00EA1CDF">
      <w:pPr>
        <w:pStyle w:val="a3"/>
        <w:widowControl/>
        <w:ind w:left="0"/>
        <w:rPr>
          <w:b/>
        </w:rPr>
      </w:pPr>
    </w:p>
    <w:p w14:paraId="2EE19679" w14:textId="77777777" w:rsidR="005B2A14" w:rsidRPr="00EE3355" w:rsidRDefault="005B2A14" w:rsidP="00EA1CDF">
      <w:pPr>
        <w:pStyle w:val="a3"/>
        <w:widowControl/>
        <w:ind w:left="0"/>
        <w:rPr>
          <w:b/>
        </w:rPr>
      </w:pPr>
    </w:p>
    <w:p w14:paraId="1F565FB9" w14:textId="77777777" w:rsidR="005B2A14" w:rsidRPr="00EE3355" w:rsidRDefault="005B2A14" w:rsidP="00EA1CDF">
      <w:pPr>
        <w:pStyle w:val="a3"/>
        <w:widowControl/>
        <w:ind w:left="0"/>
        <w:rPr>
          <w:b/>
        </w:rPr>
      </w:pPr>
    </w:p>
    <w:p w14:paraId="4FA305C9" w14:textId="77777777" w:rsidR="005B2A14" w:rsidRPr="00EE3355" w:rsidRDefault="005B2A14" w:rsidP="00EA1CDF">
      <w:pPr>
        <w:pStyle w:val="a3"/>
        <w:widowControl/>
        <w:ind w:left="0"/>
        <w:rPr>
          <w:b/>
        </w:rPr>
      </w:pPr>
    </w:p>
    <w:p w14:paraId="3C21D818" w14:textId="77777777" w:rsidR="00222DE0" w:rsidRPr="00EE3355" w:rsidRDefault="00B23DAE" w:rsidP="0089484E">
      <w:pPr>
        <w:pStyle w:val="1"/>
        <w:widowControl/>
        <w:tabs>
          <w:tab w:val="left" w:pos="3522"/>
        </w:tabs>
        <w:ind w:left="567" w:hanging="567"/>
        <w:jc w:val="center"/>
        <w:rPr>
          <w:b w:val="0"/>
        </w:rPr>
      </w:pPr>
      <w:bookmarkStart w:id="37" w:name="A._OZNAČENÍ_NA_OBALU"/>
      <w:bookmarkEnd w:id="37"/>
      <w:r w:rsidRPr="00EE3355">
        <w:t>A.</w:t>
      </w:r>
      <w:r w:rsidRPr="00EE3355">
        <w:tab/>
      </w:r>
      <w:r w:rsidR="0098273B" w:rsidRPr="00EE3355">
        <w:t>OZNAČENÍ NA OBALU</w:t>
      </w:r>
    </w:p>
    <w:p w14:paraId="796BF605" w14:textId="77777777" w:rsidR="005B2A14" w:rsidRPr="00EE3355" w:rsidRDefault="005B2A14" w:rsidP="00EA1CDF">
      <w:pPr>
        <w:widowControl/>
      </w:pPr>
      <w:r w:rsidRPr="00EE3355">
        <w:br w:type="page"/>
      </w:r>
    </w:p>
    <w:p w14:paraId="3DCA0DD6" w14:textId="77777777" w:rsidR="002E0D5A" w:rsidRPr="009420EF" w:rsidRDefault="00091F59" w:rsidP="009420EF">
      <w:pPr>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0B819380" w14:textId="77777777" w:rsidR="00091F59" w:rsidRPr="009420EF" w:rsidRDefault="00091F59" w:rsidP="009420EF">
      <w:pPr>
        <w:pBdr>
          <w:top w:val="single" w:sz="4" w:space="1" w:color="auto"/>
          <w:left w:val="single" w:sz="4" w:space="4" w:color="auto"/>
          <w:bottom w:val="single" w:sz="4" w:space="1" w:color="auto"/>
          <w:right w:val="single" w:sz="4" w:space="4" w:color="auto"/>
        </w:pBdr>
        <w:rPr>
          <w:b/>
          <w:bCs/>
        </w:rPr>
      </w:pPr>
    </w:p>
    <w:p w14:paraId="0504574A" w14:textId="77777777" w:rsidR="002E0D5A" w:rsidRPr="009420EF" w:rsidRDefault="00091F59" w:rsidP="009420EF">
      <w:pPr>
        <w:pBdr>
          <w:top w:val="single" w:sz="4" w:space="1" w:color="auto"/>
          <w:left w:val="single" w:sz="4" w:space="4" w:color="auto"/>
          <w:bottom w:val="single" w:sz="4" w:space="1" w:color="auto"/>
          <w:right w:val="single" w:sz="4" w:space="4" w:color="auto"/>
        </w:pBdr>
        <w:rPr>
          <w:b/>
          <w:bCs/>
        </w:rPr>
      </w:pPr>
      <w:r w:rsidRPr="009420EF">
        <w:rPr>
          <w:b/>
        </w:rPr>
        <w:t>KRABIČKA</w:t>
      </w:r>
    </w:p>
    <w:p w14:paraId="129577CB" w14:textId="77777777" w:rsidR="00222DE0" w:rsidRPr="009420EF" w:rsidRDefault="00222DE0" w:rsidP="009420EF">
      <w:pPr>
        <w:pStyle w:val="a3"/>
        <w:widowControl/>
        <w:ind w:left="0"/>
        <w:rPr>
          <w:b/>
        </w:rPr>
      </w:pPr>
    </w:p>
    <w:p w14:paraId="0B216C48" w14:textId="77777777" w:rsidR="00091F59" w:rsidRPr="009420EF" w:rsidRDefault="00091F59" w:rsidP="009420EF">
      <w:pPr>
        <w:pStyle w:val="a3"/>
        <w:widowControl/>
        <w:ind w:left="0"/>
        <w:rPr>
          <w:b/>
        </w:rPr>
      </w:pPr>
    </w:p>
    <w:p w14:paraId="1C43CF37" w14:textId="77777777" w:rsidR="00091F59" w:rsidRPr="009420EF" w:rsidRDefault="00091F59" w:rsidP="009420EF">
      <w:pPr>
        <w:pStyle w:val="BoxedHeading"/>
        <w:rPr>
          <w:bCs w:val="0"/>
        </w:rPr>
      </w:pPr>
      <w:r w:rsidRPr="009420EF">
        <w:t>1.</w:t>
      </w:r>
      <w:r w:rsidRPr="009420EF">
        <w:tab/>
      </w:r>
      <w:r w:rsidRPr="009420EF">
        <w:rPr>
          <w:bCs w:val="0"/>
        </w:rPr>
        <w:t>NÁZEV LÉČIVÉHO PŘÍPRAVKU</w:t>
      </w:r>
    </w:p>
    <w:p w14:paraId="70712846" w14:textId="77777777" w:rsidR="002D79E9" w:rsidRPr="009420EF" w:rsidRDefault="002D79E9" w:rsidP="009420EF">
      <w:pPr>
        <w:pStyle w:val="a3"/>
        <w:widowControl/>
        <w:ind w:left="0"/>
      </w:pPr>
    </w:p>
    <w:p w14:paraId="7A101220" w14:textId="77777777" w:rsidR="00662776" w:rsidRDefault="00EA2232" w:rsidP="009420EF">
      <w:pPr>
        <w:pStyle w:val="a3"/>
        <w:widowControl/>
        <w:ind w:left="0"/>
      </w:pPr>
      <w:r>
        <w:t>Avtozma</w:t>
      </w:r>
      <w:r w:rsidR="0098273B" w:rsidRPr="009420EF">
        <w:t xml:space="preserve"> 20 mg/ml koncentrát pro infuzní roztok </w:t>
      </w:r>
    </w:p>
    <w:p w14:paraId="40230795" w14:textId="292BBCBA" w:rsidR="00222DE0" w:rsidRPr="009420EF" w:rsidRDefault="0098273B" w:rsidP="009420EF">
      <w:pPr>
        <w:pStyle w:val="a3"/>
        <w:widowControl/>
        <w:ind w:left="0"/>
      </w:pPr>
      <w:r w:rsidRPr="009420EF">
        <w:t>tocilizumab</w:t>
      </w:r>
    </w:p>
    <w:p w14:paraId="1AE6A63D" w14:textId="77777777" w:rsidR="00222DE0" w:rsidRPr="009420EF" w:rsidRDefault="00222DE0" w:rsidP="009420EF">
      <w:pPr>
        <w:pStyle w:val="a3"/>
        <w:widowControl/>
        <w:ind w:left="0"/>
      </w:pPr>
    </w:p>
    <w:p w14:paraId="1D843419" w14:textId="77777777" w:rsidR="00CA387A" w:rsidRPr="009420EF" w:rsidRDefault="00CA387A" w:rsidP="009420EF">
      <w:pPr>
        <w:pStyle w:val="a3"/>
        <w:widowControl/>
        <w:ind w:left="0"/>
      </w:pPr>
    </w:p>
    <w:p w14:paraId="73CF76ED" w14:textId="77777777" w:rsidR="00CA387A" w:rsidRPr="009420EF" w:rsidRDefault="00CA387A" w:rsidP="009420EF">
      <w:pPr>
        <w:pStyle w:val="BoxedHeading"/>
        <w:rPr>
          <w:bCs w:val="0"/>
        </w:rPr>
      </w:pPr>
      <w:r w:rsidRPr="009420EF">
        <w:t>2.</w:t>
      </w:r>
      <w:r w:rsidRPr="009420EF">
        <w:tab/>
      </w:r>
      <w:r w:rsidRPr="009420EF">
        <w:rPr>
          <w:bCs w:val="0"/>
        </w:rPr>
        <w:t>OBSAH LÉČIVÉ LÁTKY/LÉČIVÝCH LÁTEK</w:t>
      </w:r>
    </w:p>
    <w:p w14:paraId="791245C0" w14:textId="77777777" w:rsidR="002D79E9" w:rsidRPr="009420EF" w:rsidRDefault="002D79E9" w:rsidP="009420EF">
      <w:pPr>
        <w:pStyle w:val="a3"/>
        <w:widowControl/>
        <w:ind w:left="0"/>
      </w:pPr>
    </w:p>
    <w:p w14:paraId="4D0AC711" w14:textId="0DF3FBE3" w:rsidR="00222DE0" w:rsidRPr="009420EF" w:rsidRDefault="0098273B" w:rsidP="009420EF">
      <w:pPr>
        <w:pStyle w:val="a3"/>
        <w:widowControl/>
        <w:ind w:left="0"/>
      </w:pPr>
      <w:r w:rsidRPr="009420EF">
        <w:t xml:space="preserve">Jedna injekční lahvička obsahuje </w:t>
      </w:r>
      <w:r w:rsidR="00662776" w:rsidRPr="009420EF">
        <w:t xml:space="preserve">80 mg </w:t>
      </w:r>
      <w:r w:rsidRPr="009420EF">
        <w:t>tocilizumabu.</w:t>
      </w:r>
    </w:p>
    <w:p w14:paraId="3183BBCE" w14:textId="77777777" w:rsidR="00222DE0" w:rsidRDefault="00222DE0" w:rsidP="009420EF">
      <w:pPr>
        <w:pStyle w:val="a3"/>
        <w:widowControl/>
        <w:ind w:left="0"/>
      </w:pPr>
    </w:p>
    <w:p w14:paraId="25C8A581" w14:textId="77777777" w:rsidR="000724C3" w:rsidRPr="009420EF" w:rsidRDefault="000724C3" w:rsidP="009420EF">
      <w:pPr>
        <w:pStyle w:val="a3"/>
        <w:widowControl/>
        <w:ind w:left="0"/>
      </w:pPr>
    </w:p>
    <w:p w14:paraId="1D820D46" w14:textId="77777777" w:rsidR="006940F3" w:rsidRPr="009420EF" w:rsidRDefault="006940F3" w:rsidP="009420EF">
      <w:pPr>
        <w:pStyle w:val="BoxedHeading"/>
        <w:rPr>
          <w:bCs w:val="0"/>
        </w:rPr>
      </w:pPr>
      <w:r w:rsidRPr="009420EF">
        <w:t>3.</w:t>
      </w:r>
      <w:r w:rsidRPr="009420EF">
        <w:tab/>
      </w:r>
      <w:r w:rsidRPr="009420EF">
        <w:rPr>
          <w:bCs w:val="0"/>
        </w:rPr>
        <w:t>SEZNAM POMOCNÝCH LÁTEK</w:t>
      </w:r>
    </w:p>
    <w:p w14:paraId="2143EDE1" w14:textId="77777777" w:rsidR="006940F3" w:rsidRPr="009420EF" w:rsidRDefault="006940F3" w:rsidP="009420EF">
      <w:pPr>
        <w:pStyle w:val="a3"/>
        <w:widowControl/>
        <w:ind w:left="0"/>
      </w:pPr>
    </w:p>
    <w:p w14:paraId="46099419" w14:textId="258D4F16" w:rsidR="00222DE0" w:rsidRPr="009420EF" w:rsidRDefault="00EA2232" w:rsidP="009420EF">
      <w:pPr>
        <w:pStyle w:val="a3"/>
        <w:widowControl/>
        <w:ind w:left="0"/>
      </w:pPr>
      <w:r>
        <w:t>Pomocné látky: L-Histidin,</w:t>
      </w:r>
      <w:r w:rsidR="00395E0C" w:rsidRPr="00395E0C">
        <w:t xml:space="preserve"> </w:t>
      </w:r>
      <w:r w:rsidR="00AD6345" w:rsidRPr="00AD6345">
        <w:rPr>
          <w:rFonts w:hint="eastAsia"/>
        </w:rPr>
        <w:t>Monohydrát histidin-hydrochloridu</w:t>
      </w:r>
      <w:r w:rsidR="00395E0C">
        <w:rPr>
          <w:rFonts w:eastAsia="맑은 고딕" w:hint="eastAsia"/>
          <w:lang w:eastAsia="ko-KR"/>
        </w:rPr>
        <w:t>,</w:t>
      </w:r>
      <w:r>
        <w:t xml:space="preserve"> L-Threonin, L-Methionin, p</w:t>
      </w:r>
      <w:r w:rsidR="0098273B" w:rsidRPr="009420EF">
        <w:t>olysorbát 80, voda pro injekci. Další údaje naleznete v příbalové informaci.</w:t>
      </w:r>
    </w:p>
    <w:p w14:paraId="7883683B" w14:textId="77777777" w:rsidR="00222DE0" w:rsidRDefault="00222DE0" w:rsidP="009420EF">
      <w:pPr>
        <w:pStyle w:val="a3"/>
        <w:widowControl/>
        <w:ind w:left="0"/>
      </w:pPr>
    </w:p>
    <w:p w14:paraId="6442A7E0" w14:textId="77777777" w:rsidR="000724C3" w:rsidRPr="009420EF" w:rsidRDefault="000724C3" w:rsidP="009420EF">
      <w:pPr>
        <w:pStyle w:val="a3"/>
        <w:widowControl/>
        <w:ind w:left="0"/>
      </w:pPr>
    </w:p>
    <w:p w14:paraId="6C2F33BC" w14:textId="77777777" w:rsidR="005B566C" w:rsidRPr="009420EF" w:rsidRDefault="005B566C" w:rsidP="009420EF">
      <w:pPr>
        <w:pStyle w:val="BoxedHeading"/>
        <w:rPr>
          <w:bCs w:val="0"/>
        </w:rPr>
      </w:pPr>
      <w:r w:rsidRPr="009420EF">
        <w:t>4.</w:t>
      </w:r>
      <w:r w:rsidRPr="009420EF">
        <w:tab/>
      </w:r>
      <w:r w:rsidRPr="009420EF">
        <w:rPr>
          <w:bCs w:val="0"/>
        </w:rPr>
        <w:t>LÉKOVÁ FORMA A OBSAH BALENÍ</w:t>
      </w:r>
    </w:p>
    <w:p w14:paraId="69E09AB2" w14:textId="77777777" w:rsidR="005B566C" w:rsidRPr="009420EF" w:rsidRDefault="005B566C" w:rsidP="009420EF">
      <w:pPr>
        <w:pStyle w:val="a3"/>
        <w:widowControl/>
        <w:ind w:left="0"/>
      </w:pPr>
    </w:p>
    <w:p w14:paraId="689B91FA" w14:textId="77777777" w:rsidR="002D79E9" w:rsidRPr="009420EF" w:rsidRDefault="0098273B" w:rsidP="009420EF">
      <w:pPr>
        <w:pStyle w:val="a3"/>
        <w:widowControl/>
        <w:ind w:left="0"/>
      </w:pPr>
      <w:r w:rsidRPr="009420EF">
        <w:t>Koncentrát pro infuzní roztok</w:t>
      </w:r>
    </w:p>
    <w:p w14:paraId="333C1291" w14:textId="77777777" w:rsidR="00222DE0" w:rsidRPr="009420EF" w:rsidRDefault="0098273B" w:rsidP="009420EF">
      <w:pPr>
        <w:pStyle w:val="a3"/>
        <w:widowControl/>
        <w:ind w:left="0"/>
      </w:pPr>
      <w:r w:rsidRPr="009420EF">
        <w:t>80 mg/4 ml</w:t>
      </w:r>
    </w:p>
    <w:p w14:paraId="22A109FD" w14:textId="77777777" w:rsidR="00222DE0" w:rsidRPr="009420EF" w:rsidRDefault="0098273B" w:rsidP="009420EF">
      <w:pPr>
        <w:pStyle w:val="a3"/>
        <w:widowControl/>
        <w:ind w:left="0"/>
      </w:pPr>
      <w:r w:rsidRPr="009420EF">
        <w:t>Jedna injekční lahvička o objemu 4 ml</w:t>
      </w:r>
    </w:p>
    <w:p w14:paraId="1708E310" w14:textId="77777777" w:rsidR="00222DE0" w:rsidRPr="009420EF" w:rsidRDefault="0098273B" w:rsidP="009420EF">
      <w:pPr>
        <w:pStyle w:val="a3"/>
        <w:widowControl/>
        <w:ind w:left="0"/>
      </w:pPr>
      <w:r w:rsidRPr="009420EF">
        <w:t>Čtyři injekční lahvičky o objemu 4 ml</w:t>
      </w:r>
    </w:p>
    <w:p w14:paraId="4AFBA079" w14:textId="77777777" w:rsidR="00222DE0" w:rsidRDefault="00222DE0" w:rsidP="009420EF">
      <w:pPr>
        <w:pStyle w:val="a3"/>
        <w:widowControl/>
        <w:ind w:left="0"/>
      </w:pPr>
    </w:p>
    <w:p w14:paraId="32481C9F" w14:textId="77777777" w:rsidR="000724C3" w:rsidRPr="009420EF" w:rsidRDefault="000724C3" w:rsidP="009420EF">
      <w:pPr>
        <w:pStyle w:val="a3"/>
        <w:widowControl/>
        <w:ind w:left="0"/>
      </w:pPr>
    </w:p>
    <w:p w14:paraId="137ED15D" w14:textId="77777777" w:rsidR="00F66EEB" w:rsidRPr="009420EF" w:rsidRDefault="00F66EEB" w:rsidP="009420EF">
      <w:pPr>
        <w:pStyle w:val="BoxedHeading"/>
        <w:rPr>
          <w:bCs w:val="0"/>
        </w:rPr>
      </w:pPr>
      <w:r w:rsidRPr="009420EF">
        <w:t>5.</w:t>
      </w:r>
      <w:r w:rsidRPr="009420EF">
        <w:tab/>
      </w:r>
      <w:r w:rsidRPr="009420EF">
        <w:rPr>
          <w:bCs w:val="0"/>
        </w:rPr>
        <w:t>ZPŮSOB A CESTA/CESTY PODÁNÍ</w:t>
      </w:r>
    </w:p>
    <w:p w14:paraId="033288D9" w14:textId="77777777" w:rsidR="002D79E9" w:rsidRPr="009420EF" w:rsidRDefault="002D79E9" w:rsidP="009420EF">
      <w:pPr>
        <w:pStyle w:val="a3"/>
        <w:widowControl/>
        <w:ind w:left="0"/>
      </w:pPr>
    </w:p>
    <w:p w14:paraId="44B898D1" w14:textId="77777777" w:rsidR="00222DE0" w:rsidRPr="009420EF" w:rsidRDefault="0098273B" w:rsidP="009420EF">
      <w:pPr>
        <w:pStyle w:val="a3"/>
        <w:widowControl/>
        <w:ind w:left="0"/>
      </w:pPr>
      <w:r w:rsidRPr="009420EF">
        <w:t>K intravenózní infuzi po naředění</w:t>
      </w:r>
    </w:p>
    <w:p w14:paraId="78CB554E" w14:textId="77777777" w:rsidR="002D79E9" w:rsidRPr="009420EF" w:rsidRDefault="0098273B" w:rsidP="009420EF">
      <w:pPr>
        <w:pStyle w:val="a3"/>
        <w:widowControl/>
        <w:ind w:left="0"/>
      </w:pPr>
      <w:r w:rsidRPr="009420EF">
        <w:t>Naředěný přípravek se musí použít okamžitě</w:t>
      </w:r>
    </w:p>
    <w:p w14:paraId="2B9477D7" w14:textId="77777777" w:rsidR="00222DE0" w:rsidRPr="009420EF" w:rsidRDefault="0098273B" w:rsidP="009420EF">
      <w:pPr>
        <w:pStyle w:val="a3"/>
        <w:widowControl/>
        <w:ind w:left="0"/>
      </w:pPr>
      <w:r w:rsidRPr="009420EF">
        <w:t>Před použitím si přečtěte příbalovou informaci</w:t>
      </w:r>
    </w:p>
    <w:p w14:paraId="79C63929" w14:textId="77777777" w:rsidR="00222DE0" w:rsidRPr="009420EF" w:rsidRDefault="00222DE0" w:rsidP="009420EF">
      <w:pPr>
        <w:pStyle w:val="a3"/>
        <w:widowControl/>
        <w:ind w:left="0"/>
      </w:pPr>
    </w:p>
    <w:p w14:paraId="448BD3BA" w14:textId="77777777" w:rsidR="00180A6A" w:rsidRPr="009420EF" w:rsidRDefault="00180A6A" w:rsidP="009420EF">
      <w:pPr>
        <w:pStyle w:val="a3"/>
        <w:widowControl/>
        <w:ind w:left="0"/>
      </w:pPr>
    </w:p>
    <w:p w14:paraId="43466DE6" w14:textId="77777777" w:rsidR="00180A6A" w:rsidRPr="009420EF" w:rsidRDefault="00180A6A" w:rsidP="009420EF">
      <w:pPr>
        <w:pStyle w:val="BoxedHeading"/>
        <w:rPr>
          <w:bCs w:val="0"/>
        </w:rPr>
      </w:pPr>
      <w:r w:rsidRPr="009420EF">
        <w:t>6.</w:t>
      </w:r>
      <w:r w:rsidRPr="009420EF">
        <w:tab/>
      </w:r>
      <w:r w:rsidRPr="009420EF">
        <w:rPr>
          <w:bCs w:val="0"/>
        </w:rPr>
        <w:t>ZVLÁŠTNÍ UPOZORNĚNÍ, ŽE LÉČIVÝ PŘÍPRAVEK MUSÍ BÝT UCHOVÁVÁN MIMO DOHLED A DOSAH DĚTÍ</w:t>
      </w:r>
    </w:p>
    <w:p w14:paraId="7FF2D689" w14:textId="77777777" w:rsidR="00222DE0" w:rsidRPr="009420EF" w:rsidRDefault="00222DE0" w:rsidP="009420EF">
      <w:pPr>
        <w:pStyle w:val="a3"/>
        <w:widowControl/>
        <w:ind w:left="0"/>
      </w:pPr>
    </w:p>
    <w:p w14:paraId="221D38A3" w14:textId="77777777" w:rsidR="00222DE0" w:rsidRPr="009420EF" w:rsidRDefault="0098273B" w:rsidP="009420EF">
      <w:pPr>
        <w:pStyle w:val="a3"/>
        <w:widowControl/>
        <w:ind w:left="567" w:hanging="567"/>
      </w:pPr>
      <w:r w:rsidRPr="009420EF">
        <w:t>Uchovávejte mimo dohled a dosah dětí</w:t>
      </w:r>
    </w:p>
    <w:p w14:paraId="56128A39" w14:textId="77777777" w:rsidR="00222DE0" w:rsidRPr="009420EF" w:rsidRDefault="00222DE0" w:rsidP="009420EF">
      <w:pPr>
        <w:pStyle w:val="a3"/>
        <w:widowControl/>
        <w:ind w:left="567" w:hanging="567"/>
      </w:pPr>
    </w:p>
    <w:p w14:paraId="204D91B6" w14:textId="77777777" w:rsidR="00180A6A" w:rsidRPr="009420EF" w:rsidRDefault="00180A6A" w:rsidP="009420EF">
      <w:pPr>
        <w:pStyle w:val="a3"/>
        <w:widowControl/>
        <w:ind w:left="0"/>
      </w:pPr>
    </w:p>
    <w:p w14:paraId="5ADBC743" w14:textId="77777777" w:rsidR="00180A6A" w:rsidRPr="009420EF" w:rsidRDefault="00180A6A" w:rsidP="009420EF">
      <w:pPr>
        <w:pStyle w:val="BoxedHeading"/>
        <w:rPr>
          <w:bCs w:val="0"/>
        </w:rPr>
      </w:pPr>
      <w:r w:rsidRPr="009420EF">
        <w:t>7.</w:t>
      </w:r>
      <w:r w:rsidRPr="009420EF">
        <w:tab/>
      </w:r>
      <w:r w:rsidRPr="009420EF">
        <w:rPr>
          <w:bCs w:val="0"/>
        </w:rPr>
        <w:t>DALŠÍ ZVLÁŠTNÍ UPOZORNĚNÍ, POKUD JE POTŘEBNÉ</w:t>
      </w:r>
    </w:p>
    <w:p w14:paraId="3C782E81" w14:textId="77777777" w:rsidR="00180A6A" w:rsidRPr="009420EF" w:rsidRDefault="00180A6A" w:rsidP="009420EF">
      <w:pPr>
        <w:pStyle w:val="a3"/>
        <w:widowControl/>
        <w:ind w:left="0"/>
      </w:pPr>
    </w:p>
    <w:p w14:paraId="699CEA8B" w14:textId="77777777" w:rsidR="00180A6A" w:rsidRPr="009420EF" w:rsidRDefault="00180A6A" w:rsidP="009420EF">
      <w:pPr>
        <w:pStyle w:val="a3"/>
        <w:widowControl/>
        <w:ind w:left="0"/>
      </w:pPr>
    </w:p>
    <w:p w14:paraId="43DED4FA" w14:textId="77777777" w:rsidR="00180A6A" w:rsidRPr="009420EF" w:rsidRDefault="00180A6A" w:rsidP="009420EF">
      <w:pPr>
        <w:pStyle w:val="BoxedHeading"/>
        <w:rPr>
          <w:bCs w:val="0"/>
        </w:rPr>
      </w:pPr>
      <w:r w:rsidRPr="009420EF">
        <w:t>8.</w:t>
      </w:r>
      <w:r w:rsidRPr="009420EF">
        <w:tab/>
      </w:r>
      <w:r w:rsidRPr="009420EF">
        <w:rPr>
          <w:bCs w:val="0"/>
        </w:rPr>
        <w:t>POUŽITELNOST</w:t>
      </w:r>
    </w:p>
    <w:p w14:paraId="569D45AC" w14:textId="77777777" w:rsidR="00180A6A" w:rsidRPr="009420EF" w:rsidRDefault="00180A6A" w:rsidP="009420EF">
      <w:pPr>
        <w:pStyle w:val="a3"/>
        <w:widowControl/>
        <w:ind w:left="567" w:hanging="567"/>
      </w:pPr>
    </w:p>
    <w:p w14:paraId="6A86C2EE" w14:textId="77777777" w:rsidR="00222DE0" w:rsidRPr="009420EF" w:rsidRDefault="0098273B" w:rsidP="009420EF">
      <w:pPr>
        <w:pStyle w:val="a3"/>
        <w:widowControl/>
        <w:ind w:left="567" w:hanging="567"/>
      </w:pPr>
      <w:r w:rsidRPr="009420EF">
        <w:t>Použitelné do:</w:t>
      </w:r>
    </w:p>
    <w:p w14:paraId="4EF1106F" w14:textId="77777777" w:rsidR="00180A6A" w:rsidRPr="009420EF" w:rsidRDefault="00180A6A" w:rsidP="009420EF">
      <w:pPr>
        <w:widowControl/>
        <w:ind w:left="567" w:hanging="567"/>
      </w:pPr>
    </w:p>
    <w:p w14:paraId="1110425A" w14:textId="77777777" w:rsidR="00180A6A" w:rsidRPr="009420EF" w:rsidRDefault="00180A6A" w:rsidP="009420EF">
      <w:pPr>
        <w:pStyle w:val="a3"/>
        <w:widowControl/>
        <w:ind w:left="0"/>
      </w:pPr>
    </w:p>
    <w:p w14:paraId="37CE29DF" w14:textId="77777777" w:rsidR="00180A6A" w:rsidRPr="009420EF" w:rsidRDefault="00180A6A" w:rsidP="009420EF">
      <w:pPr>
        <w:pStyle w:val="BoxedHeading"/>
        <w:rPr>
          <w:bCs w:val="0"/>
        </w:rPr>
      </w:pPr>
      <w:r w:rsidRPr="009420EF">
        <w:lastRenderedPageBreak/>
        <w:t>9.</w:t>
      </w:r>
      <w:r w:rsidRPr="009420EF">
        <w:tab/>
      </w:r>
      <w:r w:rsidRPr="009420EF">
        <w:rPr>
          <w:bCs w:val="0"/>
        </w:rPr>
        <w:t>ZVLÁŠTNÍ PODMÍNKY PRO UCHOVÁVÁNÍ</w:t>
      </w:r>
    </w:p>
    <w:p w14:paraId="7B292C2C" w14:textId="77777777" w:rsidR="00DE4934" w:rsidRPr="009420EF" w:rsidRDefault="00DE4934" w:rsidP="009420EF">
      <w:pPr>
        <w:pStyle w:val="a3"/>
        <w:keepNext/>
        <w:widowControl/>
        <w:ind w:left="0"/>
      </w:pPr>
    </w:p>
    <w:p w14:paraId="75907DDB" w14:textId="77777777" w:rsidR="00DE4934" w:rsidRPr="009420EF" w:rsidRDefault="0098273B" w:rsidP="009420EF">
      <w:pPr>
        <w:pStyle w:val="a3"/>
        <w:keepNext/>
        <w:widowControl/>
        <w:ind w:left="0"/>
      </w:pPr>
      <w:r w:rsidRPr="009420EF">
        <w:t>Uchovávejte v</w:t>
      </w:r>
      <w:r w:rsidR="00DE4934" w:rsidRPr="009420EF">
        <w:t> </w:t>
      </w:r>
      <w:r w:rsidRPr="009420EF">
        <w:t>chladničce</w:t>
      </w:r>
    </w:p>
    <w:p w14:paraId="43392DB9" w14:textId="77777777" w:rsidR="00222DE0" w:rsidRPr="009420EF" w:rsidRDefault="0098273B" w:rsidP="009420EF">
      <w:pPr>
        <w:pStyle w:val="a3"/>
        <w:keepNext/>
        <w:widowControl/>
        <w:ind w:left="0"/>
      </w:pPr>
      <w:r w:rsidRPr="009420EF">
        <w:t>Chraňte před mrazem</w:t>
      </w:r>
    </w:p>
    <w:p w14:paraId="039BF318" w14:textId="77777777" w:rsidR="00222DE0" w:rsidRPr="009420EF" w:rsidRDefault="0098273B" w:rsidP="009420EF">
      <w:pPr>
        <w:pStyle w:val="a3"/>
        <w:keepNext/>
        <w:widowControl/>
        <w:ind w:left="0"/>
      </w:pPr>
      <w:r w:rsidRPr="009420EF">
        <w:t>Uchovávejte injekční lahvičku v krabičce, aby byl přípravek chráněn před světlem</w:t>
      </w:r>
    </w:p>
    <w:p w14:paraId="10C98DE1" w14:textId="77777777" w:rsidR="00222DE0" w:rsidRPr="009420EF" w:rsidRDefault="00222DE0" w:rsidP="009420EF">
      <w:pPr>
        <w:pStyle w:val="a3"/>
        <w:widowControl/>
        <w:ind w:left="0"/>
      </w:pPr>
    </w:p>
    <w:p w14:paraId="1F54A005" w14:textId="77777777" w:rsidR="00757FC9" w:rsidRPr="009420EF" w:rsidRDefault="00757FC9" w:rsidP="009420EF">
      <w:pPr>
        <w:pStyle w:val="a3"/>
        <w:widowControl/>
        <w:ind w:left="0"/>
      </w:pPr>
    </w:p>
    <w:p w14:paraId="0C8BAAE6" w14:textId="77777777" w:rsidR="00757FC9" w:rsidRPr="009420EF" w:rsidRDefault="00757FC9" w:rsidP="009420EF">
      <w:pPr>
        <w:pStyle w:val="BoxedHeading"/>
        <w:rPr>
          <w:bCs w:val="0"/>
        </w:rPr>
      </w:pPr>
      <w:r w:rsidRPr="009420EF">
        <w:rPr>
          <w:bCs w:val="0"/>
        </w:rPr>
        <w:t>10.</w:t>
      </w:r>
      <w:r w:rsidRPr="009420EF">
        <w:rPr>
          <w:bCs w:val="0"/>
        </w:rPr>
        <w:tab/>
        <w:t>NEBO ODPADU Z NICH, POKUD JE TO VHODNÉ ZVLÁŠTNÍ PODMÍNKY PRO UCHOVÁVÁNÍ</w:t>
      </w:r>
    </w:p>
    <w:p w14:paraId="6527ED2E" w14:textId="77777777" w:rsidR="00757FC9" w:rsidRPr="009420EF" w:rsidRDefault="00757FC9" w:rsidP="009420EF">
      <w:pPr>
        <w:pStyle w:val="a3"/>
        <w:widowControl/>
        <w:ind w:left="0"/>
      </w:pPr>
    </w:p>
    <w:p w14:paraId="47C2DD52" w14:textId="77777777" w:rsidR="00757FC9" w:rsidRPr="009420EF" w:rsidRDefault="00757FC9" w:rsidP="009420EF">
      <w:pPr>
        <w:pStyle w:val="a3"/>
        <w:widowControl/>
        <w:ind w:left="0"/>
      </w:pPr>
    </w:p>
    <w:p w14:paraId="19B163F0" w14:textId="77777777" w:rsidR="00757FC9" w:rsidRPr="009420EF" w:rsidRDefault="00757FC9" w:rsidP="009420EF">
      <w:pPr>
        <w:pStyle w:val="BoxedHeading"/>
        <w:rPr>
          <w:bCs w:val="0"/>
        </w:rPr>
      </w:pPr>
      <w:r w:rsidRPr="009420EF">
        <w:t>11.</w:t>
      </w:r>
      <w:r w:rsidRPr="009420EF">
        <w:tab/>
      </w:r>
      <w:r w:rsidRPr="009420EF">
        <w:rPr>
          <w:bCs w:val="0"/>
        </w:rPr>
        <w:t>NÁZEV A ADRESA DRŽITELE ROZHODNUTÍ O REGISTRACI</w:t>
      </w:r>
    </w:p>
    <w:p w14:paraId="4553BD29" w14:textId="77777777" w:rsidR="00EF52F9" w:rsidRPr="009420EF" w:rsidRDefault="00EF52F9" w:rsidP="009420EF">
      <w:pPr>
        <w:pStyle w:val="a3"/>
        <w:widowControl/>
        <w:ind w:left="0"/>
      </w:pPr>
    </w:p>
    <w:p w14:paraId="6168E59C" w14:textId="77777777" w:rsidR="00EA2232" w:rsidRPr="00020C6B" w:rsidRDefault="00EA2232" w:rsidP="00EA2232">
      <w:pPr>
        <w:keepNext/>
      </w:pPr>
      <w:r w:rsidRPr="00020C6B">
        <w:t xml:space="preserve">Celltrion Healthcare Hungary Kft. </w:t>
      </w:r>
    </w:p>
    <w:p w14:paraId="103D7C5F" w14:textId="77777777" w:rsidR="00EA2232" w:rsidRPr="00020C6B" w:rsidRDefault="00EA2232" w:rsidP="00EA2232">
      <w:pPr>
        <w:keepNext/>
      </w:pPr>
      <w:r w:rsidRPr="00020C6B">
        <w:t>1062 Budapest</w:t>
      </w:r>
    </w:p>
    <w:p w14:paraId="21D9152A" w14:textId="77777777" w:rsidR="00EA2232" w:rsidRPr="00020C6B" w:rsidRDefault="00EA2232" w:rsidP="00EA2232">
      <w:pPr>
        <w:keepNext/>
      </w:pPr>
      <w:r w:rsidRPr="00020C6B">
        <w:t>Váci út 1-3. WestEnd Office Building B torony</w:t>
      </w:r>
    </w:p>
    <w:p w14:paraId="5A7B70E8" w14:textId="3740AA02" w:rsidR="00222DE0" w:rsidRPr="009420EF" w:rsidRDefault="00EA2232" w:rsidP="00B93217">
      <w:r>
        <w:t>Maďarsko</w:t>
      </w:r>
    </w:p>
    <w:p w14:paraId="4CA76233" w14:textId="77777777" w:rsidR="00222DE0" w:rsidRPr="009420EF" w:rsidRDefault="00222DE0" w:rsidP="009420EF">
      <w:pPr>
        <w:pStyle w:val="a3"/>
        <w:widowControl/>
        <w:ind w:left="0"/>
      </w:pPr>
    </w:p>
    <w:p w14:paraId="4C6F2A46" w14:textId="77777777" w:rsidR="00B23F37" w:rsidRPr="009420EF" w:rsidRDefault="00B23F37" w:rsidP="009420EF">
      <w:pPr>
        <w:pStyle w:val="a3"/>
        <w:widowControl/>
        <w:ind w:left="0"/>
      </w:pPr>
    </w:p>
    <w:p w14:paraId="5FB5A0E9" w14:textId="77777777" w:rsidR="00B23F37" w:rsidRPr="009420EF" w:rsidRDefault="00B23F37" w:rsidP="009420EF">
      <w:pPr>
        <w:pStyle w:val="BoxedHeading"/>
      </w:pPr>
      <w:r w:rsidRPr="009420EF">
        <w:t>12.</w:t>
      </w:r>
      <w:r w:rsidRPr="009420EF">
        <w:tab/>
        <w:t>REGISTRAČNÍ ČÍSLO/ČÍSLA</w:t>
      </w:r>
    </w:p>
    <w:p w14:paraId="55EAF08C" w14:textId="77777777" w:rsidR="00B23F37" w:rsidRPr="009420EF" w:rsidRDefault="00B23F37" w:rsidP="009420EF">
      <w:pPr>
        <w:pStyle w:val="a3"/>
        <w:widowControl/>
        <w:ind w:left="0"/>
      </w:pPr>
    </w:p>
    <w:p w14:paraId="311B05E6" w14:textId="4F53E26F" w:rsidR="00EF52F9" w:rsidRPr="009420EF" w:rsidRDefault="0098273B" w:rsidP="009420EF">
      <w:pPr>
        <w:pStyle w:val="a3"/>
        <w:widowControl/>
        <w:ind w:left="0"/>
      </w:pPr>
      <w:r w:rsidRPr="009420EF">
        <w:t>EU</w:t>
      </w:r>
      <w:r w:rsidR="00EA2232" w:rsidRPr="00020C6B">
        <w:t>/</w:t>
      </w:r>
      <w:r w:rsidR="00F92232" w:rsidRPr="00F458BB">
        <w:rPr>
          <w:spacing w:val="-1"/>
          <w:lang w:val="pt-BR"/>
        </w:rPr>
        <w:t>1/24/1896/00</w:t>
      </w:r>
      <w:r w:rsidR="00F92232">
        <w:rPr>
          <w:rFonts w:eastAsia="맑은 고딕" w:hint="eastAsia"/>
          <w:spacing w:val="-1"/>
          <w:lang w:val="pt-BR" w:eastAsia="ko-KR"/>
        </w:rPr>
        <w:t>1</w:t>
      </w:r>
      <w:r w:rsidR="00F92232">
        <w:rPr>
          <w:rFonts w:eastAsia="맑은 고딕"/>
          <w:spacing w:val="-1"/>
          <w:lang w:val="pt-BR" w:eastAsia="ko-KR"/>
        </w:rPr>
        <w:t xml:space="preserve"> 1 injekční lahvička</w:t>
      </w:r>
    </w:p>
    <w:p w14:paraId="74BE16A1" w14:textId="60229D94" w:rsidR="00222DE0" w:rsidRPr="009420EF" w:rsidRDefault="0098273B" w:rsidP="009420EF">
      <w:pPr>
        <w:pStyle w:val="a3"/>
        <w:widowControl/>
        <w:ind w:left="0"/>
      </w:pPr>
      <w:r w:rsidRPr="009420EF">
        <w:t>EU</w:t>
      </w:r>
      <w:r w:rsidR="00EA2232" w:rsidRPr="00020C6B">
        <w:t>/</w:t>
      </w:r>
      <w:r w:rsidR="00F92232" w:rsidRPr="00F458BB">
        <w:rPr>
          <w:spacing w:val="-1"/>
          <w:lang w:val="pt-BR"/>
        </w:rPr>
        <w:t>1/24/1896/00</w:t>
      </w:r>
      <w:r w:rsidR="00F92232">
        <w:rPr>
          <w:rFonts w:eastAsia="맑은 고딕" w:hint="eastAsia"/>
          <w:spacing w:val="-1"/>
          <w:lang w:val="pt-BR" w:eastAsia="ko-KR"/>
        </w:rPr>
        <w:t>2</w:t>
      </w:r>
      <w:r w:rsidR="00F92232">
        <w:rPr>
          <w:rFonts w:eastAsia="맑은 고딕"/>
          <w:spacing w:val="-1"/>
          <w:lang w:val="pt-BR" w:eastAsia="ko-KR"/>
        </w:rPr>
        <w:t xml:space="preserve"> 4 injekční lahvičky</w:t>
      </w:r>
    </w:p>
    <w:p w14:paraId="3B7702AB" w14:textId="77777777" w:rsidR="00222DE0" w:rsidRPr="009420EF" w:rsidRDefault="00222DE0" w:rsidP="009420EF">
      <w:pPr>
        <w:pStyle w:val="a3"/>
        <w:widowControl/>
        <w:ind w:left="0"/>
      </w:pPr>
    </w:p>
    <w:p w14:paraId="5FAE2E6A" w14:textId="77777777" w:rsidR="00B23F37" w:rsidRPr="009420EF" w:rsidRDefault="00B23F37" w:rsidP="009420EF">
      <w:pPr>
        <w:pStyle w:val="a3"/>
        <w:widowControl/>
        <w:ind w:left="0"/>
      </w:pPr>
    </w:p>
    <w:p w14:paraId="38377F9C" w14:textId="77777777" w:rsidR="00B23F37" w:rsidRPr="009420EF" w:rsidRDefault="00B23F37" w:rsidP="009420EF">
      <w:pPr>
        <w:pStyle w:val="BoxedHeading"/>
      </w:pPr>
      <w:r w:rsidRPr="009420EF">
        <w:t>13.</w:t>
      </w:r>
      <w:r w:rsidRPr="009420EF">
        <w:tab/>
        <w:t>ČÍSLO ŠARŽE</w:t>
      </w:r>
    </w:p>
    <w:p w14:paraId="44275B1D" w14:textId="77777777" w:rsidR="00EF52F9" w:rsidRPr="009420EF" w:rsidRDefault="00EF52F9" w:rsidP="009420EF">
      <w:pPr>
        <w:pStyle w:val="a3"/>
        <w:widowControl/>
        <w:ind w:left="0"/>
      </w:pPr>
    </w:p>
    <w:p w14:paraId="34DF4067" w14:textId="77777777" w:rsidR="00222DE0" w:rsidRPr="009420EF" w:rsidRDefault="0098273B" w:rsidP="009420EF">
      <w:pPr>
        <w:pStyle w:val="a3"/>
        <w:widowControl/>
        <w:ind w:left="0"/>
      </w:pPr>
      <w:r w:rsidRPr="009420EF">
        <w:t>č.š.:</w:t>
      </w:r>
    </w:p>
    <w:p w14:paraId="73B6733A" w14:textId="77777777" w:rsidR="00222DE0" w:rsidRPr="009420EF" w:rsidRDefault="00222DE0" w:rsidP="009420EF">
      <w:pPr>
        <w:pStyle w:val="a3"/>
        <w:widowControl/>
        <w:ind w:left="0"/>
      </w:pPr>
    </w:p>
    <w:p w14:paraId="396F60AC" w14:textId="77777777" w:rsidR="00B23F37" w:rsidRPr="009420EF" w:rsidRDefault="00B23F37" w:rsidP="009420EF">
      <w:pPr>
        <w:pStyle w:val="a3"/>
        <w:widowControl/>
        <w:ind w:left="0"/>
      </w:pPr>
    </w:p>
    <w:p w14:paraId="00DC6FD8" w14:textId="77777777" w:rsidR="00B23F37" w:rsidRPr="009420EF" w:rsidRDefault="00B23F37" w:rsidP="009420EF">
      <w:pPr>
        <w:pStyle w:val="BoxedHeading"/>
      </w:pPr>
      <w:r w:rsidRPr="009420EF">
        <w:t>14.</w:t>
      </w:r>
      <w:r w:rsidRPr="009420EF">
        <w:tab/>
        <w:t>KLASIFIKACE PRO VÝDEJ</w:t>
      </w:r>
    </w:p>
    <w:p w14:paraId="23BB5E47" w14:textId="77777777" w:rsidR="00EF52F9" w:rsidRPr="009420EF" w:rsidRDefault="00EF52F9" w:rsidP="009420EF">
      <w:pPr>
        <w:pStyle w:val="a3"/>
        <w:widowControl/>
        <w:ind w:left="0"/>
      </w:pPr>
    </w:p>
    <w:p w14:paraId="661C9518" w14:textId="77777777" w:rsidR="00222DE0" w:rsidRDefault="0098273B" w:rsidP="00B93217">
      <w:pPr>
        <w:rPr>
          <w:highlight w:val="lightGray"/>
        </w:rPr>
      </w:pPr>
      <w:r>
        <w:rPr>
          <w:highlight w:val="lightGray"/>
        </w:rPr>
        <w:t>Výdej léčivého přípravku vázán na lékařský předpis</w:t>
      </w:r>
    </w:p>
    <w:p w14:paraId="7190B41D" w14:textId="77777777" w:rsidR="00222DE0" w:rsidRPr="009420EF" w:rsidRDefault="00222DE0" w:rsidP="009420EF">
      <w:pPr>
        <w:pStyle w:val="a3"/>
        <w:widowControl/>
        <w:ind w:left="0"/>
      </w:pPr>
    </w:p>
    <w:p w14:paraId="575A9E64" w14:textId="77777777" w:rsidR="00DC2996" w:rsidRPr="009420EF" w:rsidRDefault="00DC2996" w:rsidP="009420EF">
      <w:pPr>
        <w:pStyle w:val="a3"/>
        <w:widowControl/>
        <w:ind w:left="0"/>
      </w:pPr>
    </w:p>
    <w:p w14:paraId="4A7B44DC" w14:textId="77777777" w:rsidR="00DC2996" w:rsidRPr="009420EF" w:rsidRDefault="00DC2996" w:rsidP="009420EF">
      <w:pPr>
        <w:pStyle w:val="BoxedHeading"/>
      </w:pPr>
      <w:r w:rsidRPr="009420EF">
        <w:t>15.</w:t>
      </w:r>
      <w:r w:rsidRPr="009420EF">
        <w:tab/>
        <w:t>NÁVOD K POUŽITÍ</w:t>
      </w:r>
    </w:p>
    <w:p w14:paraId="760D804A" w14:textId="77777777" w:rsidR="00DC2996" w:rsidRPr="009420EF" w:rsidRDefault="00DC2996" w:rsidP="009420EF">
      <w:pPr>
        <w:pStyle w:val="a3"/>
        <w:widowControl/>
        <w:ind w:left="0"/>
      </w:pPr>
    </w:p>
    <w:p w14:paraId="7EFF84F3" w14:textId="77777777" w:rsidR="00DC2996" w:rsidRPr="009420EF" w:rsidRDefault="00DC2996" w:rsidP="009420EF">
      <w:pPr>
        <w:pStyle w:val="a3"/>
        <w:widowControl/>
        <w:ind w:left="0"/>
      </w:pPr>
    </w:p>
    <w:p w14:paraId="2B9C580A" w14:textId="77777777" w:rsidR="00DC2996" w:rsidRPr="009420EF" w:rsidRDefault="00DC2996" w:rsidP="009420EF">
      <w:pPr>
        <w:pStyle w:val="BoxedHeading"/>
      </w:pPr>
      <w:r w:rsidRPr="009420EF">
        <w:t>16.</w:t>
      </w:r>
      <w:r w:rsidRPr="009420EF">
        <w:tab/>
        <w:t>INFORMACE V BRAILLOVĚ PÍSMU</w:t>
      </w:r>
    </w:p>
    <w:p w14:paraId="27EA318E" w14:textId="77777777" w:rsidR="006A69AC" w:rsidRPr="009420EF" w:rsidRDefault="006A69AC" w:rsidP="009420EF">
      <w:pPr>
        <w:pStyle w:val="a3"/>
        <w:widowControl/>
        <w:ind w:left="0"/>
        <w:rPr>
          <w:color w:val="000000"/>
          <w:shd w:val="clear" w:color="auto" w:fill="C1C1C1"/>
        </w:rPr>
      </w:pPr>
    </w:p>
    <w:p w14:paraId="5E7BD7B8" w14:textId="77777777" w:rsidR="00222DE0" w:rsidRPr="009420EF" w:rsidRDefault="0098273B" w:rsidP="009420EF">
      <w:r>
        <w:rPr>
          <w:highlight w:val="lightGray"/>
        </w:rPr>
        <w:t>Nevyžaduje se - odůvodnění přijato</w:t>
      </w:r>
    </w:p>
    <w:p w14:paraId="500FA474" w14:textId="77777777" w:rsidR="00222DE0" w:rsidRPr="009420EF" w:rsidRDefault="00222DE0" w:rsidP="009420EF">
      <w:pPr>
        <w:pStyle w:val="a3"/>
        <w:widowControl/>
        <w:ind w:left="0"/>
      </w:pPr>
    </w:p>
    <w:p w14:paraId="0324E497" w14:textId="77777777" w:rsidR="00DC2996" w:rsidRPr="009420EF" w:rsidRDefault="00DC2996" w:rsidP="009420EF">
      <w:pPr>
        <w:pStyle w:val="a3"/>
        <w:widowControl/>
        <w:ind w:left="0"/>
      </w:pPr>
    </w:p>
    <w:p w14:paraId="39621E4B" w14:textId="77777777" w:rsidR="00DC2996" w:rsidRPr="009420EF" w:rsidRDefault="00DC2996" w:rsidP="009420EF">
      <w:pPr>
        <w:pStyle w:val="BoxedHeading"/>
      </w:pPr>
      <w:r w:rsidRPr="009420EF">
        <w:t>17.</w:t>
      </w:r>
      <w:r w:rsidRPr="009420EF">
        <w:tab/>
        <w:t>JEDINEČNÝ IDENTIFIKÁTOR – 2D ČÁROVÝ KÓD</w:t>
      </w:r>
    </w:p>
    <w:p w14:paraId="0430E7E3" w14:textId="77777777" w:rsidR="00126FF8" w:rsidRPr="009420EF" w:rsidRDefault="00126FF8" w:rsidP="009420EF">
      <w:pPr>
        <w:pStyle w:val="a3"/>
        <w:widowControl/>
        <w:ind w:left="0"/>
        <w:rPr>
          <w:color w:val="000000"/>
          <w:shd w:val="clear" w:color="auto" w:fill="C1C1C1"/>
        </w:rPr>
      </w:pPr>
    </w:p>
    <w:p w14:paraId="633CA244" w14:textId="460B57F3" w:rsidR="00222DE0" w:rsidRDefault="0098273B" w:rsidP="009420EF">
      <w:pPr>
        <w:rPr>
          <w:rFonts w:eastAsia="맑은 고딕"/>
          <w:highlight w:val="lightGray"/>
          <w:lang w:eastAsia="ko-KR"/>
        </w:rPr>
      </w:pPr>
      <w:r>
        <w:rPr>
          <w:highlight w:val="lightGray"/>
        </w:rPr>
        <w:t>2D čárový kód s jedinečným identifikátorem.</w:t>
      </w:r>
    </w:p>
    <w:p w14:paraId="2829EA63" w14:textId="77777777" w:rsidR="00222DE0" w:rsidRPr="009420EF" w:rsidRDefault="00222DE0" w:rsidP="009420EF">
      <w:pPr>
        <w:pStyle w:val="a3"/>
        <w:widowControl/>
        <w:ind w:left="0"/>
      </w:pPr>
    </w:p>
    <w:p w14:paraId="6B11B014" w14:textId="77777777" w:rsidR="00126FF8" w:rsidRPr="009420EF" w:rsidRDefault="00126FF8" w:rsidP="009420EF">
      <w:pPr>
        <w:pStyle w:val="a3"/>
        <w:widowControl/>
        <w:ind w:left="0"/>
      </w:pPr>
    </w:p>
    <w:p w14:paraId="209CE07C" w14:textId="77777777" w:rsidR="00126FF8" w:rsidRPr="009420EF" w:rsidRDefault="00126FF8" w:rsidP="009420EF">
      <w:pPr>
        <w:pStyle w:val="BoxedHeading"/>
      </w:pPr>
      <w:r w:rsidRPr="009420EF">
        <w:t>18.</w:t>
      </w:r>
      <w:r w:rsidRPr="009420EF">
        <w:tab/>
        <w:t>JEDINEČNÝ IDENTIFIKÁTOR – DATA ČITELNÁ OKEM</w:t>
      </w:r>
    </w:p>
    <w:p w14:paraId="3D5CBA35" w14:textId="77777777" w:rsidR="00770CFA" w:rsidRPr="009420EF" w:rsidRDefault="00770CFA" w:rsidP="009420EF">
      <w:pPr>
        <w:pStyle w:val="a3"/>
        <w:widowControl/>
        <w:ind w:left="0"/>
        <w:jc w:val="both"/>
      </w:pPr>
    </w:p>
    <w:p w14:paraId="29604FD5" w14:textId="77777777" w:rsidR="00770CFA" w:rsidRPr="009420EF" w:rsidRDefault="0098273B" w:rsidP="009420EF">
      <w:pPr>
        <w:pStyle w:val="a3"/>
        <w:widowControl/>
        <w:ind w:left="0"/>
        <w:jc w:val="both"/>
      </w:pPr>
      <w:r w:rsidRPr="009420EF">
        <w:t>PC</w:t>
      </w:r>
    </w:p>
    <w:p w14:paraId="6EE36A47" w14:textId="77777777" w:rsidR="00770CFA" w:rsidRPr="009420EF" w:rsidRDefault="0098273B" w:rsidP="009420EF">
      <w:pPr>
        <w:pStyle w:val="a3"/>
        <w:widowControl/>
        <w:ind w:left="0"/>
        <w:jc w:val="both"/>
      </w:pPr>
      <w:r w:rsidRPr="009420EF">
        <w:t>SN</w:t>
      </w:r>
    </w:p>
    <w:p w14:paraId="25712612" w14:textId="77777777" w:rsidR="00222DE0" w:rsidRPr="00B93217" w:rsidRDefault="0098273B" w:rsidP="00B93217">
      <w:pPr>
        <w:pStyle w:val="a3"/>
        <w:widowControl/>
        <w:ind w:left="0"/>
        <w:jc w:val="both"/>
      </w:pPr>
      <w:r w:rsidRPr="008A10A6">
        <w:rPr>
          <w:highlight w:val="lightGray"/>
        </w:rPr>
        <w:t>NN</w:t>
      </w:r>
    </w:p>
    <w:p w14:paraId="00CE592F" w14:textId="77777777" w:rsidR="00770CFA" w:rsidRPr="009420EF" w:rsidRDefault="00770CFA" w:rsidP="009420EF">
      <w:pPr>
        <w:widowControl/>
        <w:jc w:val="both"/>
      </w:pPr>
      <w:r w:rsidRPr="009420EF">
        <w:br w:type="page"/>
      </w:r>
    </w:p>
    <w:p w14:paraId="07400EFC" w14:textId="77777777" w:rsidR="00546D32" w:rsidRPr="009420EF" w:rsidRDefault="00546D32" w:rsidP="009420EF">
      <w:pPr>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3F8B81C9" w14:textId="77777777" w:rsidR="00546D32" w:rsidRPr="009420EF" w:rsidRDefault="00546D32" w:rsidP="009420EF">
      <w:pPr>
        <w:pBdr>
          <w:top w:val="single" w:sz="4" w:space="1" w:color="auto"/>
          <w:left w:val="single" w:sz="4" w:space="4" w:color="auto"/>
          <w:bottom w:val="single" w:sz="4" w:space="1" w:color="auto"/>
          <w:right w:val="single" w:sz="4" w:space="4" w:color="auto"/>
        </w:pBdr>
        <w:rPr>
          <w:b/>
          <w:bCs/>
        </w:rPr>
      </w:pPr>
    </w:p>
    <w:p w14:paraId="65FECFC0" w14:textId="77777777" w:rsidR="00546D32" w:rsidRPr="009420EF" w:rsidRDefault="00546D32" w:rsidP="009420EF">
      <w:pPr>
        <w:pBdr>
          <w:top w:val="single" w:sz="4" w:space="1" w:color="auto"/>
          <w:left w:val="single" w:sz="4" w:space="4" w:color="auto"/>
          <w:bottom w:val="single" w:sz="4" w:space="1" w:color="auto"/>
          <w:right w:val="single" w:sz="4" w:space="4" w:color="auto"/>
        </w:pBdr>
        <w:rPr>
          <w:b/>
          <w:bCs/>
        </w:rPr>
      </w:pPr>
      <w:r w:rsidRPr="009420EF">
        <w:rPr>
          <w:b/>
        </w:rPr>
        <w:t>KRABIČKA</w:t>
      </w:r>
    </w:p>
    <w:p w14:paraId="7B74E518" w14:textId="77777777" w:rsidR="005B57D5" w:rsidRPr="009420EF" w:rsidRDefault="005B57D5" w:rsidP="009420EF">
      <w:pPr>
        <w:pStyle w:val="a3"/>
        <w:widowControl/>
        <w:ind w:left="0"/>
      </w:pPr>
    </w:p>
    <w:p w14:paraId="4E85BC95" w14:textId="77777777" w:rsidR="00546D32" w:rsidRPr="009420EF" w:rsidRDefault="00546D32" w:rsidP="009420EF">
      <w:pPr>
        <w:pStyle w:val="a3"/>
        <w:widowControl/>
        <w:ind w:left="0"/>
      </w:pPr>
    </w:p>
    <w:p w14:paraId="7BA08B7F" w14:textId="77777777" w:rsidR="00546D32" w:rsidRPr="009420EF" w:rsidRDefault="00546D32" w:rsidP="009420EF">
      <w:pPr>
        <w:pStyle w:val="BoxedHeading"/>
      </w:pPr>
      <w:r w:rsidRPr="009420EF">
        <w:t>1.</w:t>
      </w:r>
      <w:r w:rsidRPr="009420EF">
        <w:tab/>
        <w:t>NÁZEV LÉČIVÉHO PŘÍPRAVKU</w:t>
      </w:r>
    </w:p>
    <w:p w14:paraId="59149281" w14:textId="77777777" w:rsidR="00546D32" w:rsidRPr="009420EF" w:rsidRDefault="00546D32" w:rsidP="009420EF">
      <w:pPr>
        <w:pStyle w:val="a3"/>
        <w:widowControl/>
        <w:ind w:left="0"/>
      </w:pPr>
    </w:p>
    <w:p w14:paraId="05453303" w14:textId="1F6BAA7E" w:rsidR="00AC3817" w:rsidRPr="009420EF" w:rsidRDefault="00EA2232" w:rsidP="009420EF">
      <w:pPr>
        <w:pStyle w:val="a3"/>
        <w:widowControl/>
        <w:ind w:left="0"/>
      </w:pPr>
      <w:r>
        <w:t>Avtozma</w:t>
      </w:r>
      <w:r w:rsidR="0098273B" w:rsidRPr="009420EF">
        <w:t xml:space="preserve"> 20 mg/ml koncentrát pro infuzní roztok</w:t>
      </w:r>
    </w:p>
    <w:p w14:paraId="4AC2ACE4" w14:textId="3C39D826" w:rsidR="00222DE0" w:rsidRPr="009420EF" w:rsidRDefault="0098273B" w:rsidP="009420EF">
      <w:pPr>
        <w:pStyle w:val="a3"/>
        <w:widowControl/>
        <w:ind w:left="0"/>
      </w:pPr>
      <w:r w:rsidRPr="009420EF">
        <w:t>tocilizumab</w:t>
      </w:r>
    </w:p>
    <w:p w14:paraId="296F8683" w14:textId="77777777" w:rsidR="00222DE0" w:rsidRPr="009420EF" w:rsidRDefault="00222DE0" w:rsidP="009420EF">
      <w:pPr>
        <w:pStyle w:val="a3"/>
        <w:widowControl/>
        <w:ind w:left="0"/>
      </w:pPr>
    </w:p>
    <w:p w14:paraId="368827B5" w14:textId="77777777" w:rsidR="00032573" w:rsidRPr="009420EF" w:rsidRDefault="00032573" w:rsidP="009420EF">
      <w:pPr>
        <w:pStyle w:val="a3"/>
        <w:widowControl/>
        <w:ind w:left="0"/>
      </w:pPr>
    </w:p>
    <w:p w14:paraId="2068159C" w14:textId="77777777" w:rsidR="00032573" w:rsidRPr="009420EF" w:rsidRDefault="00032573" w:rsidP="009420EF">
      <w:pPr>
        <w:pStyle w:val="BoxedHeading"/>
      </w:pPr>
      <w:r w:rsidRPr="009420EF">
        <w:t>2.</w:t>
      </w:r>
      <w:r w:rsidRPr="009420EF">
        <w:tab/>
        <w:t>OBSAH LÉČIVÉ LÁTKY/LÉČIVÝCH LÁTEK</w:t>
      </w:r>
    </w:p>
    <w:p w14:paraId="5411C6C1" w14:textId="77777777" w:rsidR="00032573" w:rsidRPr="009420EF" w:rsidRDefault="00032573" w:rsidP="009420EF">
      <w:pPr>
        <w:pStyle w:val="a3"/>
        <w:widowControl/>
        <w:ind w:left="0"/>
      </w:pPr>
    </w:p>
    <w:p w14:paraId="4902C616" w14:textId="1225FF9A" w:rsidR="00222DE0" w:rsidRPr="009420EF" w:rsidRDefault="0098273B" w:rsidP="009420EF">
      <w:pPr>
        <w:pStyle w:val="a3"/>
        <w:widowControl/>
        <w:ind w:left="0"/>
      </w:pPr>
      <w:r w:rsidRPr="009420EF">
        <w:t xml:space="preserve">Jedna injekční lahvička obsahuje </w:t>
      </w:r>
      <w:r w:rsidR="00662776" w:rsidRPr="009420EF">
        <w:t xml:space="preserve">200 mg </w:t>
      </w:r>
      <w:r w:rsidRPr="009420EF">
        <w:t>tocilizumabu.</w:t>
      </w:r>
    </w:p>
    <w:p w14:paraId="0A760A05" w14:textId="77777777" w:rsidR="00222DE0" w:rsidRPr="009420EF" w:rsidRDefault="00222DE0" w:rsidP="009420EF">
      <w:pPr>
        <w:pStyle w:val="a3"/>
        <w:widowControl/>
        <w:ind w:left="0"/>
      </w:pPr>
    </w:p>
    <w:p w14:paraId="6D6B14FD" w14:textId="77777777" w:rsidR="00032573" w:rsidRPr="009420EF" w:rsidRDefault="00032573" w:rsidP="009420EF">
      <w:pPr>
        <w:pStyle w:val="a3"/>
        <w:widowControl/>
        <w:ind w:left="0"/>
      </w:pPr>
    </w:p>
    <w:p w14:paraId="40113070" w14:textId="77777777" w:rsidR="00032573" w:rsidRPr="009420EF" w:rsidRDefault="00032573" w:rsidP="009420EF">
      <w:pPr>
        <w:pStyle w:val="BoxedHeading"/>
      </w:pPr>
      <w:r w:rsidRPr="009420EF">
        <w:t>3.</w:t>
      </w:r>
      <w:r w:rsidRPr="009420EF">
        <w:tab/>
        <w:t>SEZNAM POMOCNÝCH LÁTEK</w:t>
      </w:r>
    </w:p>
    <w:p w14:paraId="6E7BFC58" w14:textId="77777777" w:rsidR="001A41D2" w:rsidRPr="009420EF" w:rsidRDefault="001A41D2" w:rsidP="009420EF">
      <w:pPr>
        <w:pStyle w:val="a3"/>
        <w:widowControl/>
        <w:ind w:left="0"/>
      </w:pPr>
    </w:p>
    <w:p w14:paraId="258CBCFF" w14:textId="7FFE726D" w:rsidR="00222DE0" w:rsidRPr="009420EF" w:rsidRDefault="00EA2232" w:rsidP="009420EF">
      <w:pPr>
        <w:pStyle w:val="a3"/>
        <w:widowControl/>
        <w:ind w:left="0"/>
      </w:pPr>
      <w:r>
        <w:t>Pomocné látky: L-Histidin,</w:t>
      </w:r>
      <w:r w:rsidR="00395E0C">
        <w:rPr>
          <w:rFonts w:eastAsia="맑은 고딕" w:hint="eastAsia"/>
          <w:lang w:eastAsia="ko-KR"/>
        </w:rPr>
        <w:t xml:space="preserve"> </w:t>
      </w:r>
      <w:r w:rsidR="00AD6345" w:rsidRPr="00AD6345">
        <w:rPr>
          <w:rFonts w:eastAsia="맑은 고딕" w:hint="eastAsia"/>
          <w:lang w:eastAsia="ko-KR"/>
        </w:rPr>
        <w:t>Monohydrát histidin-hydrochloridu</w:t>
      </w:r>
      <w:r w:rsidR="00395E0C">
        <w:rPr>
          <w:rFonts w:eastAsia="맑은 고딕" w:hint="eastAsia"/>
          <w:lang w:eastAsia="ko-KR"/>
        </w:rPr>
        <w:t xml:space="preserve">, </w:t>
      </w:r>
      <w:r>
        <w:t>L-Threonin, L-Methionin, p</w:t>
      </w:r>
      <w:r w:rsidR="0098273B" w:rsidRPr="009420EF">
        <w:t>olysorbát 80, voda pro injekci. Další údaje naleznete v příbalové informaci.</w:t>
      </w:r>
    </w:p>
    <w:p w14:paraId="233B5463" w14:textId="77777777" w:rsidR="00222DE0" w:rsidRPr="009420EF" w:rsidRDefault="00222DE0" w:rsidP="009420EF">
      <w:pPr>
        <w:pStyle w:val="a3"/>
        <w:widowControl/>
        <w:ind w:left="0"/>
      </w:pPr>
    </w:p>
    <w:p w14:paraId="362113F6" w14:textId="77777777" w:rsidR="00032573" w:rsidRPr="009420EF" w:rsidRDefault="00032573" w:rsidP="009420EF">
      <w:pPr>
        <w:pStyle w:val="a3"/>
        <w:widowControl/>
        <w:ind w:left="0"/>
      </w:pPr>
    </w:p>
    <w:p w14:paraId="2E078E79" w14:textId="77777777" w:rsidR="00032573" w:rsidRPr="009420EF" w:rsidRDefault="00032573" w:rsidP="009420EF">
      <w:pPr>
        <w:pStyle w:val="BoxedHeading"/>
      </w:pPr>
      <w:r w:rsidRPr="009420EF">
        <w:t>4.</w:t>
      </w:r>
      <w:r w:rsidRPr="009420EF">
        <w:tab/>
        <w:t>LÉKOVÁ FORMA A OBSAH BALENÍ</w:t>
      </w:r>
    </w:p>
    <w:p w14:paraId="72F18415" w14:textId="77777777" w:rsidR="001A41D2" w:rsidRPr="009420EF" w:rsidRDefault="001A41D2" w:rsidP="009420EF">
      <w:pPr>
        <w:pStyle w:val="a3"/>
        <w:widowControl/>
        <w:ind w:left="0"/>
      </w:pPr>
    </w:p>
    <w:p w14:paraId="36650873" w14:textId="77777777" w:rsidR="00937136" w:rsidRPr="009420EF" w:rsidRDefault="0098273B" w:rsidP="009420EF">
      <w:pPr>
        <w:pStyle w:val="a3"/>
        <w:widowControl/>
        <w:ind w:left="0"/>
      </w:pPr>
      <w:r w:rsidRPr="009420EF">
        <w:t>Koncentrát pro infuzní roztok</w:t>
      </w:r>
    </w:p>
    <w:p w14:paraId="5D01F021" w14:textId="77777777" w:rsidR="00222DE0" w:rsidRPr="009420EF" w:rsidRDefault="0098273B" w:rsidP="009420EF">
      <w:pPr>
        <w:pStyle w:val="a3"/>
        <w:widowControl/>
        <w:ind w:left="0"/>
      </w:pPr>
      <w:r w:rsidRPr="009420EF">
        <w:t>200 mg/10 ml</w:t>
      </w:r>
    </w:p>
    <w:p w14:paraId="2E65FF5A" w14:textId="77777777" w:rsidR="00222DE0" w:rsidRPr="009420EF" w:rsidRDefault="0098273B" w:rsidP="009420EF">
      <w:pPr>
        <w:pStyle w:val="a3"/>
        <w:widowControl/>
        <w:ind w:left="0"/>
      </w:pPr>
      <w:r w:rsidRPr="009420EF">
        <w:t>Jedna injekční lahvička o objemu 10 ml</w:t>
      </w:r>
    </w:p>
    <w:p w14:paraId="1A01DF9D" w14:textId="77777777" w:rsidR="00222DE0" w:rsidRPr="009420EF" w:rsidRDefault="0098273B" w:rsidP="009420EF">
      <w:pPr>
        <w:pStyle w:val="a3"/>
        <w:widowControl/>
        <w:ind w:left="0"/>
      </w:pPr>
      <w:r w:rsidRPr="009420EF">
        <w:t>Čtyři injekční lahvičky o objemu 10 ml</w:t>
      </w:r>
    </w:p>
    <w:p w14:paraId="54EC3B30" w14:textId="77777777" w:rsidR="00222DE0" w:rsidRPr="009420EF" w:rsidRDefault="00222DE0" w:rsidP="009420EF">
      <w:pPr>
        <w:pStyle w:val="a3"/>
        <w:widowControl/>
        <w:ind w:left="0"/>
      </w:pPr>
    </w:p>
    <w:p w14:paraId="05A78046" w14:textId="77777777" w:rsidR="00032573" w:rsidRPr="009420EF" w:rsidRDefault="00032573" w:rsidP="009420EF">
      <w:pPr>
        <w:pStyle w:val="a3"/>
        <w:widowControl/>
        <w:ind w:left="0"/>
      </w:pPr>
    </w:p>
    <w:p w14:paraId="05F0BD1F" w14:textId="77777777" w:rsidR="00032573" w:rsidRPr="009420EF" w:rsidRDefault="00032573" w:rsidP="009420EF">
      <w:pPr>
        <w:pStyle w:val="BoxedHeading"/>
      </w:pPr>
      <w:r w:rsidRPr="009420EF">
        <w:t>5.</w:t>
      </w:r>
      <w:r w:rsidRPr="009420EF">
        <w:tab/>
        <w:t>ZPŮSOB A CESTA/CESTY PODÁNÍ</w:t>
      </w:r>
    </w:p>
    <w:p w14:paraId="7F9410DF" w14:textId="77777777" w:rsidR="00032573" w:rsidRPr="009420EF" w:rsidRDefault="00032573" w:rsidP="009420EF">
      <w:pPr>
        <w:pStyle w:val="a3"/>
        <w:widowControl/>
        <w:ind w:left="0"/>
      </w:pPr>
    </w:p>
    <w:p w14:paraId="6E582735" w14:textId="77777777" w:rsidR="00222DE0" w:rsidRPr="009420EF" w:rsidRDefault="0098273B" w:rsidP="009420EF">
      <w:pPr>
        <w:pStyle w:val="a3"/>
        <w:widowControl/>
        <w:ind w:left="0"/>
      </w:pPr>
      <w:r w:rsidRPr="009420EF">
        <w:t>K intravenózní infuzi po naředění</w:t>
      </w:r>
    </w:p>
    <w:p w14:paraId="46E5012F" w14:textId="77777777" w:rsidR="00937136" w:rsidRPr="009420EF" w:rsidRDefault="0098273B" w:rsidP="009420EF">
      <w:pPr>
        <w:pStyle w:val="a3"/>
        <w:widowControl/>
        <w:ind w:left="0"/>
      </w:pPr>
      <w:r w:rsidRPr="009420EF">
        <w:t>Naředěný přípravek se musí použít okamžitě</w:t>
      </w:r>
    </w:p>
    <w:p w14:paraId="5A6B3553" w14:textId="77777777" w:rsidR="00222DE0" w:rsidRPr="009420EF" w:rsidRDefault="0098273B" w:rsidP="009420EF">
      <w:pPr>
        <w:pStyle w:val="a3"/>
        <w:widowControl/>
        <w:ind w:left="0"/>
      </w:pPr>
      <w:r w:rsidRPr="009420EF">
        <w:t>Před použitím si přečtěte příbalovou informaci</w:t>
      </w:r>
    </w:p>
    <w:p w14:paraId="5DE99568" w14:textId="77777777" w:rsidR="00AC3817" w:rsidRPr="009420EF" w:rsidRDefault="00AC3817" w:rsidP="009420EF">
      <w:pPr>
        <w:pStyle w:val="a3"/>
        <w:widowControl/>
        <w:ind w:left="0"/>
      </w:pPr>
    </w:p>
    <w:p w14:paraId="651591F8" w14:textId="77777777" w:rsidR="00032573" w:rsidRPr="009420EF" w:rsidRDefault="00032573" w:rsidP="009420EF">
      <w:pPr>
        <w:pStyle w:val="a3"/>
        <w:widowControl/>
        <w:ind w:left="0"/>
      </w:pPr>
    </w:p>
    <w:p w14:paraId="078DB31C" w14:textId="77777777" w:rsidR="00032573" w:rsidRPr="009420EF" w:rsidRDefault="00032573" w:rsidP="009420EF">
      <w:pPr>
        <w:pStyle w:val="BoxedHeading"/>
        <w:rPr>
          <w:bCs w:val="0"/>
        </w:rPr>
      </w:pPr>
      <w:r w:rsidRPr="009420EF">
        <w:t>6.</w:t>
      </w:r>
      <w:r w:rsidRPr="009420EF">
        <w:tab/>
      </w:r>
      <w:r w:rsidRPr="009420EF">
        <w:rPr>
          <w:bCs w:val="0"/>
        </w:rPr>
        <w:t xml:space="preserve">ZVLÁŠTNÍ UPOZORNĚNÍ, ŽE LÉČIVÝ PŘÍPRAVEK MUSÍ BÝT UCHOVÁVÁN MIMO DOHLED A DOSAH DĚTÍ </w:t>
      </w:r>
    </w:p>
    <w:p w14:paraId="621CEEBE" w14:textId="77777777" w:rsidR="00032573" w:rsidRPr="009420EF" w:rsidRDefault="00032573" w:rsidP="009420EF">
      <w:pPr>
        <w:pStyle w:val="a3"/>
        <w:widowControl/>
        <w:ind w:left="0"/>
      </w:pPr>
    </w:p>
    <w:p w14:paraId="0AFFEA5C" w14:textId="77777777" w:rsidR="00222DE0" w:rsidRPr="009420EF" w:rsidRDefault="0098273B" w:rsidP="009420EF">
      <w:pPr>
        <w:pStyle w:val="a3"/>
        <w:widowControl/>
        <w:ind w:left="0"/>
      </w:pPr>
      <w:r w:rsidRPr="009420EF">
        <w:t>Uchovávejte mimo dohled a dosah dětí</w:t>
      </w:r>
    </w:p>
    <w:p w14:paraId="16CE7E27" w14:textId="77777777" w:rsidR="00222DE0" w:rsidRPr="009420EF" w:rsidRDefault="00222DE0" w:rsidP="009420EF">
      <w:pPr>
        <w:pStyle w:val="a3"/>
        <w:widowControl/>
        <w:ind w:left="0"/>
      </w:pPr>
    </w:p>
    <w:p w14:paraId="0ACA5086" w14:textId="77777777" w:rsidR="00814CD4" w:rsidRPr="009420EF" w:rsidRDefault="00814CD4" w:rsidP="009420EF">
      <w:pPr>
        <w:pStyle w:val="a3"/>
        <w:widowControl/>
        <w:ind w:left="0"/>
      </w:pPr>
    </w:p>
    <w:p w14:paraId="0E7FDA8E" w14:textId="77777777" w:rsidR="00814CD4" w:rsidRPr="009420EF" w:rsidRDefault="00814CD4" w:rsidP="009420EF">
      <w:pPr>
        <w:pStyle w:val="BoxedHeading"/>
      </w:pPr>
      <w:r w:rsidRPr="009420EF">
        <w:t>7.</w:t>
      </w:r>
      <w:r w:rsidRPr="009420EF">
        <w:tab/>
        <w:t>DALŠÍ ZVLÁŠTNÍ UPOZORNĚNÍ, POKUD JE POTŘEBNÉ</w:t>
      </w:r>
    </w:p>
    <w:p w14:paraId="59F04410" w14:textId="77777777" w:rsidR="00222DE0" w:rsidRPr="009420EF" w:rsidRDefault="00222DE0" w:rsidP="009420EF">
      <w:pPr>
        <w:pStyle w:val="a3"/>
        <w:widowControl/>
        <w:ind w:left="0"/>
      </w:pPr>
    </w:p>
    <w:p w14:paraId="717008C7" w14:textId="77777777" w:rsidR="00814CD4" w:rsidRPr="009420EF" w:rsidRDefault="00814CD4" w:rsidP="009420EF">
      <w:pPr>
        <w:pStyle w:val="a3"/>
        <w:widowControl/>
        <w:ind w:left="0"/>
      </w:pPr>
    </w:p>
    <w:p w14:paraId="720DBADE" w14:textId="77777777" w:rsidR="00814CD4" w:rsidRPr="009420EF" w:rsidRDefault="00814CD4" w:rsidP="009420EF">
      <w:pPr>
        <w:pStyle w:val="BoxedHeading"/>
      </w:pPr>
      <w:r w:rsidRPr="009420EF">
        <w:t>8.</w:t>
      </w:r>
      <w:r w:rsidRPr="009420EF">
        <w:tab/>
        <w:t>POUŽITELNOST</w:t>
      </w:r>
    </w:p>
    <w:p w14:paraId="13C6CB2A" w14:textId="77777777" w:rsidR="00B5184E" w:rsidRPr="009420EF" w:rsidRDefault="00B5184E" w:rsidP="009420EF">
      <w:pPr>
        <w:pStyle w:val="a3"/>
        <w:widowControl/>
        <w:ind w:left="0"/>
      </w:pPr>
    </w:p>
    <w:p w14:paraId="4C6CCF1E" w14:textId="77777777" w:rsidR="00222DE0" w:rsidRPr="009420EF" w:rsidRDefault="0098273B" w:rsidP="009420EF">
      <w:pPr>
        <w:pStyle w:val="a3"/>
        <w:widowControl/>
        <w:ind w:left="0"/>
      </w:pPr>
      <w:r w:rsidRPr="009420EF">
        <w:t>Použitelné do:</w:t>
      </w:r>
    </w:p>
    <w:p w14:paraId="055288F8" w14:textId="77777777" w:rsidR="00222DE0" w:rsidRPr="009420EF" w:rsidRDefault="00222DE0" w:rsidP="009420EF">
      <w:pPr>
        <w:widowControl/>
      </w:pPr>
    </w:p>
    <w:p w14:paraId="4A5D481E" w14:textId="77777777" w:rsidR="00814CD4" w:rsidRPr="009420EF" w:rsidRDefault="00814CD4" w:rsidP="009420EF">
      <w:pPr>
        <w:pStyle w:val="a3"/>
        <w:widowControl/>
        <w:ind w:left="0"/>
      </w:pPr>
    </w:p>
    <w:p w14:paraId="77A47F50" w14:textId="77777777" w:rsidR="00814CD4" w:rsidRPr="009420EF" w:rsidRDefault="00814CD4" w:rsidP="009420EF">
      <w:pPr>
        <w:pStyle w:val="BoxedHeading"/>
      </w:pPr>
      <w:r w:rsidRPr="009420EF">
        <w:t>9.</w:t>
      </w:r>
      <w:r w:rsidRPr="009420EF">
        <w:tab/>
        <w:t>ZVLÁŠTNÍ PODMÍNKY PRO UCHOVÁVÁNÍ</w:t>
      </w:r>
    </w:p>
    <w:p w14:paraId="7CB506C9" w14:textId="77777777" w:rsidR="00BF5654" w:rsidRPr="009420EF" w:rsidRDefault="00BF5654" w:rsidP="009420EF">
      <w:pPr>
        <w:pStyle w:val="a3"/>
        <w:widowControl/>
        <w:ind w:left="0"/>
      </w:pPr>
    </w:p>
    <w:p w14:paraId="47D24E6C" w14:textId="77777777" w:rsidR="00BF5654" w:rsidRPr="009420EF" w:rsidRDefault="0098273B" w:rsidP="009420EF">
      <w:pPr>
        <w:pStyle w:val="a3"/>
        <w:widowControl/>
        <w:ind w:left="0"/>
      </w:pPr>
      <w:r w:rsidRPr="009420EF">
        <w:t>Uchovávejte v</w:t>
      </w:r>
      <w:r w:rsidR="00BF5654" w:rsidRPr="009420EF">
        <w:t> </w:t>
      </w:r>
      <w:r w:rsidRPr="009420EF">
        <w:t>chladničce</w:t>
      </w:r>
    </w:p>
    <w:p w14:paraId="6A175362" w14:textId="77777777" w:rsidR="00222DE0" w:rsidRPr="009420EF" w:rsidRDefault="0098273B" w:rsidP="009420EF">
      <w:pPr>
        <w:pStyle w:val="a3"/>
        <w:widowControl/>
        <w:ind w:left="0"/>
      </w:pPr>
      <w:r w:rsidRPr="009420EF">
        <w:t>Chraňte před mrazem</w:t>
      </w:r>
    </w:p>
    <w:p w14:paraId="1BE6C1C0" w14:textId="77777777" w:rsidR="00222DE0" w:rsidRPr="009420EF" w:rsidRDefault="0098273B" w:rsidP="009420EF">
      <w:pPr>
        <w:pStyle w:val="a3"/>
        <w:widowControl/>
        <w:ind w:left="0"/>
      </w:pPr>
      <w:r w:rsidRPr="009420EF">
        <w:lastRenderedPageBreak/>
        <w:t>Uchovávejte injekční lahvičku v krabičce, aby byl přípravek chráněn před světlem</w:t>
      </w:r>
    </w:p>
    <w:p w14:paraId="7EA3B2D8" w14:textId="77777777" w:rsidR="00222DE0" w:rsidRDefault="00222DE0" w:rsidP="009420EF">
      <w:pPr>
        <w:pStyle w:val="a3"/>
        <w:widowControl/>
        <w:ind w:left="0"/>
      </w:pPr>
    </w:p>
    <w:p w14:paraId="69110F56" w14:textId="77777777" w:rsidR="000724C3" w:rsidRPr="009420EF" w:rsidRDefault="000724C3" w:rsidP="009420EF">
      <w:pPr>
        <w:pStyle w:val="a3"/>
        <w:widowControl/>
        <w:ind w:left="0"/>
      </w:pPr>
    </w:p>
    <w:p w14:paraId="4E8654A5" w14:textId="77777777" w:rsidR="00C04C10" w:rsidRPr="009420EF" w:rsidRDefault="00C04C10" w:rsidP="009420EF">
      <w:pPr>
        <w:pStyle w:val="BoxedHeading"/>
      </w:pPr>
      <w:r w:rsidRPr="009420EF">
        <w:t>10.</w:t>
      </w:r>
      <w:r w:rsidRPr="009420EF">
        <w:tab/>
        <w:t>NEBO ODPADU Z NICH, POKUD JE TO VHODNÉ ZVLÁŠTNÍ PODMÍNKY PRO UCHOVÁVÁNÍ</w:t>
      </w:r>
    </w:p>
    <w:p w14:paraId="126A2831" w14:textId="77777777" w:rsidR="00222DE0" w:rsidRPr="009420EF" w:rsidRDefault="00222DE0" w:rsidP="009420EF">
      <w:pPr>
        <w:pStyle w:val="a3"/>
        <w:widowControl/>
        <w:ind w:left="0"/>
      </w:pPr>
    </w:p>
    <w:p w14:paraId="0D94A902" w14:textId="77777777" w:rsidR="00C04C10" w:rsidRPr="009420EF" w:rsidRDefault="00C04C10" w:rsidP="009420EF">
      <w:pPr>
        <w:pStyle w:val="a3"/>
        <w:widowControl/>
        <w:ind w:left="0"/>
      </w:pPr>
    </w:p>
    <w:p w14:paraId="1B2476F6" w14:textId="77777777" w:rsidR="00C04C10" w:rsidRPr="009420EF" w:rsidRDefault="00C04C10" w:rsidP="009420EF">
      <w:pPr>
        <w:pStyle w:val="BoxedHeading"/>
      </w:pPr>
      <w:r w:rsidRPr="009420EF">
        <w:t>11.</w:t>
      </w:r>
      <w:r w:rsidRPr="009420EF">
        <w:tab/>
        <w:t>NÁZEV A ADRESA DRŽITELE ROZHODNUTÍ O REGISTRACI</w:t>
      </w:r>
    </w:p>
    <w:p w14:paraId="60F48EE9" w14:textId="77777777" w:rsidR="00820EBA" w:rsidRPr="009420EF" w:rsidRDefault="00820EBA" w:rsidP="009420EF">
      <w:pPr>
        <w:pStyle w:val="a3"/>
        <w:widowControl/>
        <w:ind w:left="0"/>
      </w:pPr>
    </w:p>
    <w:p w14:paraId="380E025E" w14:textId="77777777" w:rsidR="00EA2232" w:rsidRPr="00020C6B" w:rsidRDefault="00EA2232" w:rsidP="00EA2232">
      <w:pPr>
        <w:keepNext/>
      </w:pPr>
      <w:r w:rsidRPr="00020C6B">
        <w:t xml:space="preserve">Celltrion Healthcare Hungary Kft. </w:t>
      </w:r>
    </w:p>
    <w:p w14:paraId="0C7D8EDE" w14:textId="77777777" w:rsidR="00EA2232" w:rsidRPr="00020C6B" w:rsidRDefault="00EA2232" w:rsidP="00EA2232">
      <w:pPr>
        <w:keepNext/>
      </w:pPr>
      <w:r w:rsidRPr="00020C6B">
        <w:t>1062 Budapest</w:t>
      </w:r>
    </w:p>
    <w:p w14:paraId="47DE8F66" w14:textId="77777777" w:rsidR="00EA2232" w:rsidRPr="00020C6B" w:rsidRDefault="00EA2232" w:rsidP="00EA2232">
      <w:pPr>
        <w:keepNext/>
      </w:pPr>
      <w:r w:rsidRPr="00020C6B">
        <w:t>Váci út 1-3. WestEnd Office Building B torony</w:t>
      </w:r>
    </w:p>
    <w:p w14:paraId="3C63C6F9" w14:textId="21CE019C" w:rsidR="00222DE0" w:rsidRPr="009420EF" w:rsidRDefault="00EA2232" w:rsidP="00B93217">
      <w:r>
        <w:t>Maďarsko</w:t>
      </w:r>
    </w:p>
    <w:p w14:paraId="5AD50EEE" w14:textId="77777777" w:rsidR="00222DE0" w:rsidRPr="009420EF" w:rsidRDefault="00222DE0" w:rsidP="009420EF">
      <w:pPr>
        <w:pStyle w:val="a3"/>
        <w:widowControl/>
        <w:ind w:left="0"/>
      </w:pPr>
    </w:p>
    <w:p w14:paraId="3AAA9D73" w14:textId="77777777" w:rsidR="00C04C10" w:rsidRPr="009420EF" w:rsidRDefault="00C04C10" w:rsidP="009420EF">
      <w:pPr>
        <w:pStyle w:val="a3"/>
        <w:widowControl/>
        <w:ind w:left="0"/>
      </w:pPr>
    </w:p>
    <w:p w14:paraId="3E670837" w14:textId="77777777" w:rsidR="00C04C10" w:rsidRPr="009420EF" w:rsidRDefault="00C04C10" w:rsidP="009420EF">
      <w:pPr>
        <w:pStyle w:val="BoxedHeading"/>
      </w:pPr>
      <w:r w:rsidRPr="009420EF">
        <w:t>12.</w:t>
      </w:r>
      <w:r w:rsidRPr="009420EF">
        <w:tab/>
        <w:t>REGISTRAČNÍ ČÍSLO/ČÍSLA</w:t>
      </w:r>
    </w:p>
    <w:p w14:paraId="11B2EBBE" w14:textId="77777777" w:rsidR="00C04C10" w:rsidRPr="009420EF" w:rsidRDefault="00C04C10" w:rsidP="009420EF">
      <w:pPr>
        <w:pStyle w:val="a3"/>
        <w:widowControl/>
        <w:ind w:left="0"/>
      </w:pPr>
    </w:p>
    <w:p w14:paraId="180A8F9F" w14:textId="2B042E21" w:rsidR="00820EBA" w:rsidRPr="009420EF" w:rsidRDefault="0098273B" w:rsidP="009420EF">
      <w:pPr>
        <w:pStyle w:val="a3"/>
        <w:widowControl/>
        <w:ind w:left="0"/>
      </w:pPr>
      <w:r w:rsidRPr="009420EF">
        <w:t>EU</w:t>
      </w:r>
      <w:r w:rsidR="00EA2232" w:rsidRPr="00020C6B">
        <w:t>/</w:t>
      </w:r>
      <w:r w:rsidR="00F92232" w:rsidRPr="003672E9">
        <w:rPr>
          <w:spacing w:val="-1"/>
          <w:lang w:val="pt-BR"/>
        </w:rPr>
        <w:t>1/24/1896/00</w:t>
      </w:r>
      <w:r w:rsidR="00F92232">
        <w:rPr>
          <w:rFonts w:eastAsia="맑은 고딕" w:hint="eastAsia"/>
          <w:spacing w:val="-1"/>
          <w:lang w:val="pt-BR" w:eastAsia="ko-KR"/>
        </w:rPr>
        <w:t>3</w:t>
      </w:r>
      <w:r w:rsidR="00F92232">
        <w:rPr>
          <w:rFonts w:eastAsia="맑은 고딕"/>
          <w:spacing w:val="-1"/>
          <w:lang w:val="pt-BR" w:eastAsia="ko-KR"/>
        </w:rPr>
        <w:t xml:space="preserve"> 1 injekční lahvička</w:t>
      </w:r>
    </w:p>
    <w:p w14:paraId="6834980F" w14:textId="5A6A6906" w:rsidR="00222DE0" w:rsidRPr="009420EF" w:rsidRDefault="0098273B" w:rsidP="009420EF">
      <w:pPr>
        <w:pStyle w:val="a3"/>
        <w:widowControl/>
        <w:ind w:left="0"/>
      </w:pPr>
      <w:r w:rsidRPr="009420EF">
        <w:t>EU</w:t>
      </w:r>
      <w:r w:rsidR="00EA2232" w:rsidRPr="00020C6B">
        <w:t>/</w:t>
      </w:r>
      <w:r w:rsidR="00F92232" w:rsidRPr="003672E9">
        <w:rPr>
          <w:spacing w:val="-1"/>
          <w:lang w:val="pt-BR"/>
        </w:rPr>
        <w:t>1/24/1896/00</w:t>
      </w:r>
      <w:r w:rsidR="00F92232">
        <w:rPr>
          <w:rFonts w:eastAsia="맑은 고딕" w:hint="eastAsia"/>
          <w:spacing w:val="-1"/>
          <w:lang w:val="pt-BR" w:eastAsia="ko-KR"/>
        </w:rPr>
        <w:t>4</w:t>
      </w:r>
      <w:r w:rsidR="00F92232">
        <w:rPr>
          <w:rFonts w:eastAsia="맑은 고딕"/>
          <w:spacing w:val="-1"/>
          <w:lang w:val="pt-BR" w:eastAsia="ko-KR"/>
        </w:rPr>
        <w:t xml:space="preserve"> 4 injekční lahvičky</w:t>
      </w:r>
    </w:p>
    <w:p w14:paraId="44BA545C" w14:textId="77777777" w:rsidR="00222DE0" w:rsidRPr="009420EF" w:rsidRDefault="00222DE0" w:rsidP="009420EF">
      <w:pPr>
        <w:pStyle w:val="a3"/>
        <w:widowControl/>
        <w:ind w:left="0"/>
      </w:pPr>
    </w:p>
    <w:p w14:paraId="3B433041" w14:textId="77777777" w:rsidR="00C04C10" w:rsidRPr="009420EF" w:rsidRDefault="00C04C10" w:rsidP="009420EF">
      <w:pPr>
        <w:pStyle w:val="a3"/>
        <w:widowControl/>
        <w:ind w:left="0"/>
      </w:pPr>
    </w:p>
    <w:p w14:paraId="1B9EF77F" w14:textId="77777777" w:rsidR="00C04C10" w:rsidRPr="009420EF" w:rsidRDefault="00C04C10" w:rsidP="009420EF">
      <w:pPr>
        <w:pStyle w:val="BoxedHeading"/>
      </w:pPr>
      <w:r w:rsidRPr="009420EF">
        <w:t>13.</w:t>
      </w:r>
      <w:r w:rsidRPr="009420EF">
        <w:tab/>
        <w:t>ČÍSLO ŠARŽE</w:t>
      </w:r>
    </w:p>
    <w:p w14:paraId="3C897A5C" w14:textId="77777777" w:rsidR="00EF61B8" w:rsidRPr="009420EF" w:rsidRDefault="00EF61B8" w:rsidP="009420EF">
      <w:pPr>
        <w:pStyle w:val="a3"/>
        <w:widowControl/>
        <w:ind w:left="0"/>
      </w:pPr>
    </w:p>
    <w:p w14:paraId="0127F03F" w14:textId="77777777" w:rsidR="00222DE0" w:rsidRPr="009420EF" w:rsidRDefault="0098273B" w:rsidP="009420EF">
      <w:pPr>
        <w:pStyle w:val="a3"/>
        <w:widowControl/>
        <w:ind w:left="0"/>
      </w:pPr>
      <w:r w:rsidRPr="009420EF">
        <w:t>č.š.:</w:t>
      </w:r>
    </w:p>
    <w:p w14:paraId="743845AC" w14:textId="77777777" w:rsidR="00222DE0" w:rsidRPr="009420EF" w:rsidRDefault="00222DE0" w:rsidP="009420EF">
      <w:pPr>
        <w:pStyle w:val="a3"/>
        <w:widowControl/>
        <w:ind w:left="0"/>
      </w:pPr>
    </w:p>
    <w:p w14:paraId="2DD5DECF" w14:textId="77777777" w:rsidR="007648D3" w:rsidRPr="009420EF" w:rsidRDefault="007648D3" w:rsidP="009420EF">
      <w:pPr>
        <w:pStyle w:val="a3"/>
        <w:widowControl/>
        <w:ind w:left="0"/>
      </w:pPr>
    </w:p>
    <w:p w14:paraId="00D16BDE" w14:textId="77777777" w:rsidR="007648D3" w:rsidRPr="009420EF" w:rsidRDefault="007648D3" w:rsidP="009420EF">
      <w:pPr>
        <w:pStyle w:val="BoxedHeading"/>
      </w:pPr>
      <w:r w:rsidRPr="009420EF">
        <w:t>14.</w:t>
      </w:r>
      <w:r w:rsidRPr="009420EF">
        <w:tab/>
        <w:t>KLASIFIKACE PRO VÝDEJ</w:t>
      </w:r>
    </w:p>
    <w:p w14:paraId="7D23CDC1" w14:textId="77777777" w:rsidR="00EF61B8" w:rsidRPr="009420EF" w:rsidRDefault="00EF61B8" w:rsidP="009420EF">
      <w:pPr>
        <w:pStyle w:val="a3"/>
        <w:widowControl/>
        <w:ind w:left="0"/>
      </w:pPr>
    </w:p>
    <w:p w14:paraId="61996876" w14:textId="77777777" w:rsidR="00222DE0" w:rsidRDefault="0098273B" w:rsidP="00B93217">
      <w:pPr>
        <w:rPr>
          <w:highlight w:val="lightGray"/>
        </w:rPr>
      </w:pPr>
      <w:r>
        <w:rPr>
          <w:highlight w:val="lightGray"/>
        </w:rPr>
        <w:t>Výdej léčivého přípravku vázán na lékařský předpis</w:t>
      </w:r>
    </w:p>
    <w:p w14:paraId="55496C47" w14:textId="77777777" w:rsidR="00222DE0" w:rsidRPr="009420EF" w:rsidRDefault="00222DE0" w:rsidP="009420EF">
      <w:pPr>
        <w:pStyle w:val="a3"/>
        <w:widowControl/>
        <w:ind w:left="0"/>
      </w:pPr>
    </w:p>
    <w:p w14:paraId="7CCBD1D5" w14:textId="77777777" w:rsidR="007648D3" w:rsidRPr="009420EF" w:rsidRDefault="007648D3" w:rsidP="009420EF">
      <w:pPr>
        <w:pStyle w:val="a3"/>
        <w:widowControl/>
        <w:ind w:left="0"/>
      </w:pPr>
    </w:p>
    <w:p w14:paraId="323DC3C1" w14:textId="77777777" w:rsidR="007648D3" w:rsidRPr="009420EF" w:rsidRDefault="007648D3" w:rsidP="009420EF">
      <w:pPr>
        <w:pStyle w:val="BoxedHeading"/>
      </w:pPr>
      <w:r w:rsidRPr="009420EF">
        <w:t>15.</w:t>
      </w:r>
      <w:r w:rsidRPr="009420EF">
        <w:tab/>
        <w:t>NÁVOD K POUŽITÍ</w:t>
      </w:r>
    </w:p>
    <w:p w14:paraId="068B81D5" w14:textId="77777777" w:rsidR="00222DE0" w:rsidRPr="009420EF" w:rsidRDefault="00222DE0" w:rsidP="009420EF">
      <w:pPr>
        <w:pStyle w:val="a3"/>
        <w:widowControl/>
        <w:ind w:left="0"/>
      </w:pPr>
    </w:p>
    <w:p w14:paraId="31007D21" w14:textId="77777777" w:rsidR="007648D3" w:rsidRPr="009420EF" w:rsidRDefault="007648D3" w:rsidP="009420EF">
      <w:pPr>
        <w:pStyle w:val="a3"/>
        <w:widowControl/>
        <w:ind w:left="0"/>
      </w:pPr>
    </w:p>
    <w:p w14:paraId="7ACD3007" w14:textId="77777777" w:rsidR="007648D3" w:rsidRPr="009420EF" w:rsidRDefault="007648D3" w:rsidP="009420EF">
      <w:pPr>
        <w:pStyle w:val="BoxedHeading"/>
      </w:pPr>
      <w:r w:rsidRPr="009420EF">
        <w:t>16.</w:t>
      </w:r>
      <w:r w:rsidRPr="009420EF">
        <w:tab/>
        <w:t>INFORMACE V BRAILLOVĚ PÍSMU</w:t>
      </w:r>
    </w:p>
    <w:p w14:paraId="2CB882F7" w14:textId="77777777" w:rsidR="00627751" w:rsidRPr="009420EF" w:rsidRDefault="00627751" w:rsidP="009420EF">
      <w:pPr>
        <w:pStyle w:val="a3"/>
        <w:widowControl/>
        <w:ind w:left="0"/>
        <w:rPr>
          <w:color w:val="000000"/>
          <w:shd w:val="clear" w:color="auto" w:fill="C1C1C1"/>
        </w:rPr>
      </w:pPr>
    </w:p>
    <w:p w14:paraId="3D85127A" w14:textId="77777777" w:rsidR="00222DE0" w:rsidRDefault="0098273B" w:rsidP="009420EF">
      <w:pPr>
        <w:rPr>
          <w:highlight w:val="lightGray"/>
        </w:rPr>
      </w:pPr>
      <w:r>
        <w:rPr>
          <w:highlight w:val="lightGray"/>
        </w:rPr>
        <w:t>Nevyžaduje se - odůvodnění přijato</w:t>
      </w:r>
    </w:p>
    <w:p w14:paraId="35229682" w14:textId="77777777" w:rsidR="00222DE0" w:rsidRPr="009420EF" w:rsidRDefault="00222DE0" w:rsidP="009420EF">
      <w:pPr>
        <w:pStyle w:val="a3"/>
        <w:widowControl/>
        <w:ind w:left="0"/>
      </w:pPr>
    </w:p>
    <w:p w14:paraId="0AF4B7F2" w14:textId="77777777" w:rsidR="00CE3F94" w:rsidRPr="009420EF" w:rsidRDefault="00CE3F94" w:rsidP="009420EF">
      <w:pPr>
        <w:pStyle w:val="a3"/>
        <w:widowControl/>
        <w:ind w:left="0"/>
      </w:pPr>
    </w:p>
    <w:p w14:paraId="694173A9" w14:textId="77777777" w:rsidR="00CE3F94" w:rsidRPr="009420EF" w:rsidRDefault="00CE3F94" w:rsidP="009420EF">
      <w:pPr>
        <w:pStyle w:val="BoxedHeading"/>
      </w:pPr>
      <w:r w:rsidRPr="009420EF">
        <w:t>17.</w:t>
      </w:r>
      <w:r w:rsidRPr="009420EF">
        <w:tab/>
        <w:t>JEDINEČNÝ IDENTIFIKÁTOR – 2D ČÁROVÝ KÓD</w:t>
      </w:r>
    </w:p>
    <w:p w14:paraId="0EFF15CE" w14:textId="77777777" w:rsidR="00222DE0" w:rsidRPr="009420EF" w:rsidRDefault="00222DE0" w:rsidP="009420EF">
      <w:pPr>
        <w:pStyle w:val="a3"/>
        <w:widowControl/>
        <w:ind w:left="0"/>
      </w:pPr>
    </w:p>
    <w:p w14:paraId="6AF43987" w14:textId="549EE454" w:rsidR="00222DE0" w:rsidRDefault="0098273B" w:rsidP="009420EF">
      <w:pPr>
        <w:rPr>
          <w:rFonts w:eastAsia="맑은 고딕"/>
          <w:highlight w:val="lightGray"/>
          <w:lang w:eastAsia="ko-KR"/>
        </w:rPr>
      </w:pPr>
      <w:r>
        <w:rPr>
          <w:highlight w:val="lightGray"/>
        </w:rPr>
        <w:t>2D čárový kód s jedinečným identifikátorem.</w:t>
      </w:r>
    </w:p>
    <w:p w14:paraId="364FEB00" w14:textId="77777777" w:rsidR="00222DE0" w:rsidRPr="00B0338A" w:rsidRDefault="00222DE0" w:rsidP="009420EF">
      <w:pPr>
        <w:pStyle w:val="a3"/>
        <w:widowControl/>
        <w:ind w:left="0"/>
      </w:pPr>
    </w:p>
    <w:p w14:paraId="32F73BB0" w14:textId="77777777" w:rsidR="00104954" w:rsidRPr="009420EF" w:rsidRDefault="00104954" w:rsidP="009420EF">
      <w:pPr>
        <w:pStyle w:val="a3"/>
        <w:widowControl/>
        <w:ind w:left="0"/>
      </w:pPr>
    </w:p>
    <w:p w14:paraId="51B99CDD" w14:textId="77777777" w:rsidR="00104954" w:rsidRPr="009420EF" w:rsidRDefault="00104954" w:rsidP="009420EF">
      <w:pPr>
        <w:pStyle w:val="BoxedHeading"/>
      </w:pPr>
      <w:r w:rsidRPr="009420EF">
        <w:t>18.</w:t>
      </w:r>
      <w:r w:rsidRPr="009420EF">
        <w:tab/>
        <w:t>JEDINEČNÝ IDENTIFIKÁTOR – DATA ČITELNÁ OKEM</w:t>
      </w:r>
    </w:p>
    <w:p w14:paraId="58C3A087" w14:textId="77777777" w:rsidR="00104954" w:rsidRPr="009420EF" w:rsidRDefault="00104954" w:rsidP="009420EF">
      <w:pPr>
        <w:pStyle w:val="a3"/>
        <w:widowControl/>
        <w:ind w:left="0"/>
      </w:pPr>
    </w:p>
    <w:p w14:paraId="63F23781" w14:textId="77777777" w:rsidR="00236D63" w:rsidRPr="009420EF" w:rsidRDefault="0098273B" w:rsidP="009420EF">
      <w:pPr>
        <w:pStyle w:val="a3"/>
        <w:widowControl/>
        <w:ind w:left="0"/>
        <w:jc w:val="both"/>
      </w:pPr>
      <w:r w:rsidRPr="009420EF">
        <w:t>PC</w:t>
      </w:r>
    </w:p>
    <w:p w14:paraId="5E482F3F" w14:textId="77777777" w:rsidR="00236D63" w:rsidRPr="009420EF" w:rsidRDefault="0098273B" w:rsidP="009420EF">
      <w:pPr>
        <w:pStyle w:val="a3"/>
        <w:widowControl/>
        <w:ind w:left="0"/>
        <w:jc w:val="both"/>
      </w:pPr>
      <w:r w:rsidRPr="009420EF">
        <w:t>SN</w:t>
      </w:r>
    </w:p>
    <w:p w14:paraId="3386214D" w14:textId="77777777" w:rsidR="00B0338A" w:rsidRPr="00E17918" w:rsidRDefault="00B0338A" w:rsidP="00B0338A">
      <w:pPr>
        <w:pStyle w:val="a3"/>
        <w:widowControl/>
        <w:ind w:left="0"/>
        <w:jc w:val="both"/>
      </w:pPr>
      <w:r w:rsidRPr="008A10A6">
        <w:rPr>
          <w:highlight w:val="lightGray"/>
        </w:rPr>
        <w:t>NN</w:t>
      </w:r>
    </w:p>
    <w:p w14:paraId="24EDCB1D" w14:textId="77777777" w:rsidR="00222DE0" w:rsidRPr="009420EF" w:rsidRDefault="00222DE0" w:rsidP="009420EF">
      <w:pPr>
        <w:widowControl/>
        <w:jc w:val="both"/>
      </w:pPr>
    </w:p>
    <w:p w14:paraId="5195DB1F" w14:textId="77777777" w:rsidR="00236D63" w:rsidRPr="009420EF" w:rsidRDefault="00236D63" w:rsidP="009420EF">
      <w:pPr>
        <w:widowControl/>
        <w:jc w:val="both"/>
      </w:pPr>
      <w:r w:rsidRPr="009420EF">
        <w:br w:type="page"/>
      </w:r>
    </w:p>
    <w:p w14:paraId="7D0407F4" w14:textId="77777777" w:rsidR="00104954" w:rsidRPr="009420EF" w:rsidRDefault="00104954" w:rsidP="009420EF">
      <w:pPr>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1EB217B9" w14:textId="77777777" w:rsidR="00104954" w:rsidRPr="009420EF" w:rsidRDefault="00104954" w:rsidP="009420EF">
      <w:pPr>
        <w:pBdr>
          <w:top w:val="single" w:sz="4" w:space="1" w:color="auto"/>
          <w:left w:val="single" w:sz="4" w:space="4" w:color="auto"/>
          <w:bottom w:val="single" w:sz="4" w:space="1" w:color="auto"/>
          <w:right w:val="single" w:sz="4" w:space="4" w:color="auto"/>
        </w:pBdr>
        <w:rPr>
          <w:b/>
          <w:bCs/>
        </w:rPr>
      </w:pPr>
    </w:p>
    <w:p w14:paraId="3144E641" w14:textId="77777777" w:rsidR="00104954" w:rsidRPr="009420EF" w:rsidRDefault="00104954" w:rsidP="009420EF">
      <w:pPr>
        <w:pBdr>
          <w:top w:val="single" w:sz="4" w:space="1" w:color="auto"/>
          <w:left w:val="single" w:sz="4" w:space="4" w:color="auto"/>
          <w:bottom w:val="single" w:sz="4" w:space="1" w:color="auto"/>
          <w:right w:val="single" w:sz="4" w:space="4" w:color="auto"/>
        </w:pBdr>
        <w:rPr>
          <w:b/>
          <w:bCs/>
        </w:rPr>
      </w:pPr>
      <w:r w:rsidRPr="009420EF">
        <w:rPr>
          <w:b/>
        </w:rPr>
        <w:t>KRABIČKA</w:t>
      </w:r>
    </w:p>
    <w:p w14:paraId="3B42217B" w14:textId="77777777" w:rsidR="000724C3" w:rsidRDefault="000724C3" w:rsidP="009420EF">
      <w:pPr>
        <w:pStyle w:val="a3"/>
        <w:widowControl/>
        <w:ind w:left="0"/>
      </w:pPr>
    </w:p>
    <w:p w14:paraId="730B4BAA" w14:textId="77777777" w:rsidR="00465AA2" w:rsidRPr="009420EF" w:rsidRDefault="000724C3" w:rsidP="000724C3">
      <w:pPr>
        <w:pStyle w:val="BoxedHeading"/>
      </w:pPr>
      <w:r w:rsidRPr="000724C3">
        <w:t>1.</w:t>
      </w:r>
      <w:r w:rsidRPr="000724C3">
        <w:tab/>
        <w:t xml:space="preserve">JEDINEČNÝ IDENTIFIKÁTOR – DATA ČITELNÁ OKEM </w:t>
      </w:r>
    </w:p>
    <w:p w14:paraId="1362ACC0" w14:textId="77777777" w:rsidR="00465AA2" w:rsidRPr="009420EF" w:rsidRDefault="00465AA2" w:rsidP="009420EF">
      <w:pPr>
        <w:pStyle w:val="a3"/>
        <w:widowControl/>
        <w:ind w:left="0"/>
      </w:pPr>
    </w:p>
    <w:p w14:paraId="49AF2FD2" w14:textId="6EAA4ADF" w:rsidR="00662776" w:rsidRDefault="00EA2232" w:rsidP="009420EF">
      <w:pPr>
        <w:pStyle w:val="a3"/>
        <w:widowControl/>
        <w:ind w:left="0"/>
      </w:pPr>
      <w:r>
        <w:t>Avtozma</w:t>
      </w:r>
      <w:r w:rsidR="0098273B" w:rsidRPr="009420EF">
        <w:t xml:space="preserve"> 20 mg/ml</w:t>
      </w:r>
      <w:r w:rsidR="00662776">
        <w:t xml:space="preserve"> </w:t>
      </w:r>
      <w:r w:rsidR="0098273B" w:rsidRPr="009420EF">
        <w:t xml:space="preserve">koncentrát pro infuzní roztok </w:t>
      </w:r>
    </w:p>
    <w:p w14:paraId="0799F7D9" w14:textId="16073D7B" w:rsidR="00222DE0" w:rsidRPr="009420EF" w:rsidRDefault="0098273B" w:rsidP="009420EF">
      <w:pPr>
        <w:pStyle w:val="a3"/>
        <w:widowControl/>
        <w:ind w:left="0"/>
      </w:pPr>
      <w:r w:rsidRPr="009420EF">
        <w:t>tocilizumab</w:t>
      </w:r>
    </w:p>
    <w:p w14:paraId="38C5F75B" w14:textId="77777777" w:rsidR="00222DE0" w:rsidRPr="009420EF" w:rsidRDefault="00222DE0" w:rsidP="009420EF">
      <w:pPr>
        <w:pStyle w:val="a3"/>
        <w:widowControl/>
        <w:ind w:left="0"/>
      </w:pPr>
    </w:p>
    <w:p w14:paraId="1DAF2864" w14:textId="77777777" w:rsidR="00EA758B" w:rsidRPr="009420EF" w:rsidRDefault="00EA758B" w:rsidP="009420EF">
      <w:pPr>
        <w:pStyle w:val="a3"/>
        <w:widowControl/>
        <w:ind w:left="0"/>
      </w:pPr>
    </w:p>
    <w:p w14:paraId="63AD3EFF" w14:textId="77777777" w:rsidR="00EA758B" w:rsidRPr="009420EF" w:rsidRDefault="00EA758B" w:rsidP="009420EF">
      <w:pPr>
        <w:pStyle w:val="BoxedHeading"/>
      </w:pPr>
      <w:r w:rsidRPr="009420EF">
        <w:t>2.</w:t>
      </w:r>
      <w:r w:rsidRPr="009420EF">
        <w:tab/>
        <w:t>OBSAH LÉČIVÉ LÁTKY/LÉČIVÝCH LÁTEK</w:t>
      </w:r>
    </w:p>
    <w:p w14:paraId="08569F19" w14:textId="77777777" w:rsidR="00EA758B" w:rsidRPr="009420EF" w:rsidRDefault="00EA758B" w:rsidP="009420EF">
      <w:pPr>
        <w:pStyle w:val="a3"/>
        <w:widowControl/>
        <w:ind w:left="0"/>
      </w:pPr>
    </w:p>
    <w:p w14:paraId="7E22291E" w14:textId="2ECE63E3" w:rsidR="00222DE0" w:rsidRPr="009420EF" w:rsidRDefault="0098273B" w:rsidP="009420EF">
      <w:pPr>
        <w:pStyle w:val="a3"/>
        <w:widowControl/>
        <w:ind w:left="0"/>
      </w:pPr>
      <w:r w:rsidRPr="009420EF">
        <w:t xml:space="preserve">Jedna injekční lahvička obsahuje </w:t>
      </w:r>
      <w:r w:rsidR="00662776" w:rsidRPr="009420EF">
        <w:t xml:space="preserve">400 mg </w:t>
      </w:r>
      <w:r w:rsidRPr="009420EF">
        <w:t>tocilizumabu.</w:t>
      </w:r>
    </w:p>
    <w:p w14:paraId="7F905616" w14:textId="77777777" w:rsidR="00EA758B" w:rsidRPr="009420EF" w:rsidRDefault="00EA758B" w:rsidP="009420EF">
      <w:pPr>
        <w:pStyle w:val="a3"/>
        <w:widowControl/>
        <w:ind w:left="0"/>
      </w:pPr>
    </w:p>
    <w:p w14:paraId="5F43834D" w14:textId="77777777" w:rsidR="00EA758B" w:rsidRPr="009420EF" w:rsidRDefault="00EA758B" w:rsidP="009420EF">
      <w:pPr>
        <w:pStyle w:val="a3"/>
        <w:widowControl/>
        <w:ind w:left="0"/>
      </w:pPr>
    </w:p>
    <w:p w14:paraId="3C10FDCF" w14:textId="77777777" w:rsidR="00EA758B" w:rsidRPr="009420EF" w:rsidRDefault="00EA758B" w:rsidP="009420EF">
      <w:pPr>
        <w:pStyle w:val="BoxedHeading"/>
      </w:pPr>
      <w:r w:rsidRPr="009420EF">
        <w:t>3.</w:t>
      </w:r>
      <w:r w:rsidRPr="009420EF">
        <w:tab/>
        <w:t>SEZNAM POMOCNÝCH LÁTEK</w:t>
      </w:r>
    </w:p>
    <w:p w14:paraId="72E5CA0F" w14:textId="77777777" w:rsidR="00465AA2" w:rsidRPr="009420EF" w:rsidRDefault="00465AA2" w:rsidP="009420EF">
      <w:pPr>
        <w:pStyle w:val="a3"/>
        <w:widowControl/>
        <w:ind w:left="0"/>
      </w:pPr>
    </w:p>
    <w:p w14:paraId="748595CF" w14:textId="33C24B7C" w:rsidR="00222DE0" w:rsidRPr="009420EF" w:rsidRDefault="00266CA2" w:rsidP="009420EF">
      <w:pPr>
        <w:pStyle w:val="a3"/>
        <w:widowControl/>
        <w:ind w:left="0"/>
      </w:pPr>
      <w:r>
        <w:t xml:space="preserve">Pomocné látky: L-Histidin, </w:t>
      </w:r>
      <w:r w:rsidR="00AD6345" w:rsidRPr="00AD6345">
        <w:rPr>
          <w:rFonts w:eastAsia="맑은 고딕" w:hint="eastAsia"/>
          <w:lang w:eastAsia="ko-KR"/>
        </w:rPr>
        <w:t>Monohydrát histidin-hydrochloridu</w:t>
      </w:r>
      <w:r w:rsidR="00395E0C">
        <w:rPr>
          <w:rFonts w:eastAsia="맑은 고딕" w:hint="eastAsia"/>
          <w:lang w:eastAsia="ko-KR"/>
        </w:rPr>
        <w:t xml:space="preserve">, </w:t>
      </w:r>
      <w:r>
        <w:t>L-Threonin, L-Methionin, p</w:t>
      </w:r>
      <w:r w:rsidRPr="009420EF">
        <w:t>olysorbát 80, voda pro injekci</w:t>
      </w:r>
      <w:r w:rsidR="0098273B" w:rsidRPr="009420EF">
        <w:t>. Další údaje naleznete v příbalové informaci.</w:t>
      </w:r>
    </w:p>
    <w:p w14:paraId="43D129D9" w14:textId="77777777" w:rsidR="00222DE0" w:rsidRPr="009420EF" w:rsidRDefault="00222DE0" w:rsidP="009420EF">
      <w:pPr>
        <w:pStyle w:val="a3"/>
        <w:widowControl/>
        <w:ind w:left="0"/>
      </w:pPr>
    </w:p>
    <w:p w14:paraId="4A3F4937" w14:textId="77777777" w:rsidR="00EA758B" w:rsidRPr="009420EF" w:rsidRDefault="00EA758B" w:rsidP="009420EF">
      <w:pPr>
        <w:pStyle w:val="a3"/>
        <w:widowControl/>
        <w:ind w:left="0"/>
      </w:pPr>
    </w:p>
    <w:p w14:paraId="78E8A595" w14:textId="77777777" w:rsidR="00EA758B" w:rsidRPr="009420EF" w:rsidRDefault="00EA758B" w:rsidP="009420EF">
      <w:pPr>
        <w:pStyle w:val="BoxedHeading"/>
      </w:pPr>
      <w:r w:rsidRPr="009420EF">
        <w:t>4.</w:t>
      </w:r>
      <w:r w:rsidRPr="009420EF">
        <w:tab/>
        <w:t>LÉKOVÁ FORMA A OBSAH BALENÍ</w:t>
      </w:r>
    </w:p>
    <w:p w14:paraId="102546D5" w14:textId="77777777" w:rsidR="00EA758B" w:rsidRPr="009420EF" w:rsidRDefault="00EA758B" w:rsidP="009420EF">
      <w:pPr>
        <w:pStyle w:val="a3"/>
        <w:widowControl/>
        <w:ind w:left="0"/>
      </w:pPr>
    </w:p>
    <w:p w14:paraId="011B1D0B" w14:textId="77777777" w:rsidR="00E34415" w:rsidRPr="009420EF" w:rsidRDefault="0098273B" w:rsidP="009420EF">
      <w:pPr>
        <w:pStyle w:val="a3"/>
        <w:widowControl/>
        <w:ind w:left="0"/>
      </w:pPr>
      <w:r w:rsidRPr="009420EF">
        <w:t>Koncentrát pro infuzní roztok</w:t>
      </w:r>
    </w:p>
    <w:p w14:paraId="0835E34D" w14:textId="77777777" w:rsidR="00222DE0" w:rsidRPr="009420EF" w:rsidRDefault="0098273B" w:rsidP="009420EF">
      <w:pPr>
        <w:pStyle w:val="a3"/>
        <w:widowControl/>
        <w:ind w:left="0"/>
      </w:pPr>
      <w:r w:rsidRPr="009420EF">
        <w:t>400 mg/20 ml</w:t>
      </w:r>
    </w:p>
    <w:p w14:paraId="165DAC36" w14:textId="77777777" w:rsidR="00222DE0" w:rsidRPr="009420EF" w:rsidRDefault="0098273B" w:rsidP="009420EF">
      <w:pPr>
        <w:pStyle w:val="a3"/>
        <w:widowControl/>
        <w:ind w:left="0"/>
      </w:pPr>
      <w:r w:rsidRPr="009420EF">
        <w:t>Jedna injekční lahvička o objemu 20 ml</w:t>
      </w:r>
    </w:p>
    <w:p w14:paraId="22A44B2E" w14:textId="77777777" w:rsidR="00222DE0" w:rsidRPr="009420EF" w:rsidRDefault="0098273B" w:rsidP="009420EF">
      <w:pPr>
        <w:pStyle w:val="a3"/>
        <w:widowControl/>
        <w:ind w:left="0"/>
      </w:pPr>
      <w:r w:rsidRPr="009420EF">
        <w:t>Čtyři injekční lahvičky o objemu 20 ml</w:t>
      </w:r>
    </w:p>
    <w:p w14:paraId="13E4DE58" w14:textId="77777777" w:rsidR="00222DE0" w:rsidRPr="009420EF" w:rsidRDefault="00222DE0" w:rsidP="009420EF">
      <w:pPr>
        <w:pStyle w:val="a3"/>
        <w:widowControl/>
        <w:ind w:left="0"/>
      </w:pPr>
    </w:p>
    <w:p w14:paraId="4E32A1C2" w14:textId="77777777" w:rsidR="00E2059A" w:rsidRPr="009420EF" w:rsidRDefault="00E2059A" w:rsidP="009420EF">
      <w:pPr>
        <w:pStyle w:val="a3"/>
        <w:widowControl/>
        <w:ind w:left="0"/>
      </w:pPr>
    </w:p>
    <w:p w14:paraId="07747220" w14:textId="77777777" w:rsidR="00E2059A" w:rsidRPr="009420EF" w:rsidRDefault="00E2059A" w:rsidP="009420EF">
      <w:pPr>
        <w:pStyle w:val="BoxedHeading"/>
      </w:pPr>
      <w:r w:rsidRPr="009420EF">
        <w:t>5.</w:t>
      </w:r>
      <w:r w:rsidRPr="009420EF">
        <w:tab/>
        <w:t>ZPŮSOB A CESTA/CESTY PODÁNÍ</w:t>
      </w:r>
    </w:p>
    <w:p w14:paraId="194ADAF1" w14:textId="77777777" w:rsidR="00126170" w:rsidRPr="009420EF" w:rsidRDefault="00126170" w:rsidP="009420EF">
      <w:pPr>
        <w:pStyle w:val="a3"/>
        <w:widowControl/>
        <w:ind w:left="0"/>
      </w:pPr>
    </w:p>
    <w:p w14:paraId="67BE148F" w14:textId="77777777" w:rsidR="00222DE0" w:rsidRPr="009420EF" w:rsidRDefault="0098273B" w:rsidP="009420EF">
      <w:pPr>
        <w:pStyle w:val="a3"/>
        <w:widowControl/>
        <w:ind w:left="0"/>
      </w:pPr>
      <w:r w:rsidRPr="009420EF">
        <w:t>K intravenózní infuzi po naředění</w:t>
      </w:r>
    </w:p>
    <w:p w14:paraId="022796F5" w14:textId="77777777" w:rsidR="00162C8D" w:rsidRPr="009420EF" w:rsidRDefault="0098273B" w:rsidP="009420EF">
      <w:pPr>
        <w:pStyle w:val="a3"/>
        <w:widowControl/>
        <w:ind w:left="0"/>
      </w:pPr>
      <w:r w:rsidRPr="009420EF">
        <w:t>Naředěný přípravek se musí použít okamžitě</w:t>
      </w:r>
    </w:p>
    <w:p w14:paraId="43D6E2C9" w14:textId="77777777" w:rsidR="00222DE0" w:rsidRPr="009420EF" w:rsidRDefault="0098273B" w:rsidP="009420EF">
      <w:pPr>
        <w:pStyle w:val="a3"/>
        <w:widowControl/>
        <w:ind w:left="0"/>
      </w:pPr>
      <w:r w:rsidRPr="009420EF">
        <w:t>Před použitím si přečtěte příbalovou informaci</w:t>
      </w:r>
    </w:p>
    <w:p w14:paraId="25C71230" w14:textId="77777777" w:rsidR="00E2059A" w:rsidRPr="009420EF" w:rsidRDefault="00E2059A" w:rsidP="009420EF">
      <w:pPr>
        <w:pStyle w:val="a3"/>
        <w:widowControl/>
        <w:ind w:left="0"/>
      </w:pPr>
    </w:p>
    <w:p w14:paraId="61118BC2" w14:textId="77777777" w:rsidR="00E2059A" w:rsidRPr="009420EF" w:rsidRDefault="00E2059A" w:rsidP="009420EF">
      <w:pPr>
        <w:pStyle w:val="a3"/>
        <w:widowControl/>
        <w:ind w:left="0"/>
      </w:pPr>
    </w:p>
    <w:p w14:paraId="792B86E3" w14:textId="77777777" w:rsidR="00E2059A" w:rsidRPr="009420EF" w:rsidRDefault="00E2059A" w:rsidP="009420EF">
      <w:pPr>
        <w:pStyle w:val="BoxedHeading"/>
      </w:pPr>
      <w:r w:rsidRPr="009420EF">
        <w:t>6.</w:t>
      </w:r>
      <w:r w:rsidRPr="009420EF">
        <w:tab/>
        <w:t>ZVLÁŠTNÍ UPOZORNĚNÍ, ŽE LÉČIVÝ PŘÍPRAVEK MUSÍ BÝT UCHOVÁVÁN MIMO DOHLED A DOSAH DĚTÍ</w:t>
      </w:r>
    </w:p>
    <w:p w14:paraId="15E2A482" w14:textId="77777777" w:rsidR="00222DE0" w:rsidRPr="009420EF" w:rsidRDefault="00222DE0" w:rsidP="009420EF">
      <w:pPr>
        <w:pStyle w:val="a3"/>
        <w:widowControl/>
        <w:ind w:left="0"/>
      </w:pPr>
    </w:p>
    <w:p w14:paraId="32CDD463" w14:textId="77777777" w:rsidR="00222DE0" w:rsidRPr="009420EF" w:rsidRDefault="0098273B" w:rsidP="009420EF">
      <w:pPr>
        <w:pStyle w:val="a3"/>
        <w:widowControl/>
        <w:ind w:left="0"/>
      </w:pPr>
      <w:r w:rsidRPr="009420EF">
        <w:t>Uchovávejte mimo dohled a dosah dětí</w:t>
      </w:r>
    </w:p>
    <w:p w14:paraId="1D59A68B" w14:textId="77777777" w:rsidR="00222DE0" w:rsidRPr="009420EF" w:rsidRDefault="00222DE0" w:rsidP="009420EF">
      <w:pPr>
        <w:pStyle w:val="a3"/>
        <w:widowControl/>
        <w:ind w:left="0"/>
      </w:pPr>
    </w:p>
    <w:p w14:paraId="1356EE67" w14:textId="77777777" w:rsidR="00E2059A" w:rsidRPr="009420EF" w:rsidRDefault="00E2059A" w:rsidP="009420EF">
      <w:pPr>
        <w:pStyle w:val="a3"/>
        <w:widowControl/>
        <w:ind w:left="0"/>
      </w:pPr>
    </w:p>
    <w:p w14:paraId="090498F9" w14:textId="77777777" w:rsidR="00E2059A" w:rsidRPr="009420EF" w:rsidRDefault="00E2059A" w:rsidP="009420EF">
      <w:pPr>
        <w:pStyle w:val="BoxedHeading"/>
      </w:pPr>
      <w:r w:rsidRPr="009420EF">
        <w:t>7.</w:t>
      </w:r>
      <w:r w:rsidRPr="009420EF">
        <w:tab/>
        <w:t>DALŠÍ ZVLÁŠTNÍ UPOZORNĚNÍ, POKUD JE POTŘEBNÉ</w:t>
      </w:r>
    </w:p>
    <w:p w14:paraId="106D3ABD" w14:textId="77777777" w:rsidR="00222DE0" w:rsidRPr="009420EF" w:rsidRDefault="00222DE0" w:rsidP="009420EF">
      <w:pPr>
        <w:pStyle w:val="a3"/>
        <w:widowControl/>
        <w:ind w:left="0"/>
      </w:pPr>
    </w:p>
    <w:p w14:paraId="49731391" w14:textId="77777777" w:rsidR="00277621" w:rsidRPr="009420EF" w:rsidRDefault="00277621" w:rsidP="009420EF">
      <w:pPr>
        <w:pStyle w:val="a3"/>
        <w:widowControl/>
        <w:ind w:left="0"/>
      </w:pPr>
    </w:p>
    <w:p w14:paraId="5EC27046" w14:textId="77777777" w:rsidR="00277621" w:rsidRPr="009420EF" w:rsidRDefault="00277621" w:rsidP="009420EF">
      <w:pPr>
        <w:pStyle w:val="BoxedHeading"/>
      </w:pPr>
      <w:r w:rsidRPr="009420EF">
        <w:t>8.</w:t>
      </w:r>
      <w:r w:rsidRPr="009420EF">
        <w:tab/>
        <w:t>POUŽITELNOST</w:t>
      </w:r>
    </w:p>
    <w:p w14:paraId="645A1C06" w14:textId="77777777" w:rsidR="00E95EB9" w:rsidRPr="009420EF" w:rsidRDefault="00E95EB9" w:rsidP="009420EF">
      <w:pPr>
        <w:pStyle w:val="a3"/>
        <w:widowControl/>
        <w:ind w:left="0"/>
      </w:pPr>
    </w:p>
    <w:p w14:paraId="6FF1EFEA" w14:textId="77777777" w:rsidR="00222DE0" w:rsidRPr="009420EF" w:rsidRDefault="0098273B" w:rsidP="009420EF">
      <w:pPr>
        <w:pStyle w:val="a3"/>
        <w:widowControl/>
        <w:ind w:left="0"/>
      </w:pPr>
      <w:r w:rsidRPr="009420EF">
        <w:t>Použitelné do:</w:t>
      </w:r>
    </w:p>
    <w:p w14:paraId="2F8DC6C4" w14:textId="77777777" w:rsidR="00222DE0" w:rsidRPr="009420EF" w:rsidRDefault="00222DE0" w:rsidP="009420EF">
      <w:pPr>
        <w:widowControl/>
      </w:pPr>
    </w:p>
    <w:p w14:paraId="6D0F1043" w14:textId="77777777" w:rsidR="00277621" w:rsidRPr="009420EF" w:rsidRDefault="00277621" w:rsidP="009420EF">
      <w:pPr>
        <w:pStyle w:val="a3"/>
        <w:widowControl/>
        <w:ind w:left="0"/>
      </w:pPr>
    </w:p>
    <w:p w14:paraId="75EFC9FB" w14:textId="77777777" w:rsidR="00277621" w:rsidRPr="009420EF" w:rsidRDefault="00277621" w:rsidP="009420EF">
      <w:pPr>
        <w:pStyle w:val="BoxedHeading"/>
      </w:pPr>
      <w:r w:rsidRPr="009420EF">
        <w:t>9.</w:t>
      </w:r>
      <w:r w:rsidRPr="009420EF">
        <w:tab/>
        <w:t>ZVLÁŠTNÍ PODMÍNKY PRO UCHOVÁVÁNÍ</w:t>
      </w:r>
    </w:p>
    <w:p w14:paraId="0B2494E7" w14:textId="77777777" w:rsidR="001F7008" w:rsidRPr="009420EF" w:rsidRDefault="001F7008" w:rsidP="009420EF">
      <w:pPr>
        <w:pStyle w:val="a3"/>
        <w:widowControl/>
        <w:ind w:left="0"/>
      </w:pPr>
    </w:p>
    <w:p w14:paraId="2483F47C" w14:textId="77777777" w:rsidR="00B0338A" w:rsidRDefault="0098273B" w:rsidP="009420EF">
      <w:pPr>
        <w:pStyle w:val="a3"/>
        <w:widowControl/>
        <w:ind w:left="0"/>
        <w:rPr>
          <w:rFonts w:eastAsia="맑은 고딕"/>
          <w:lang w:eastAsia="ko-KR"/>
        </w:rPr>
      </w:pPr>
      <w:r w:rsidRPr="009420EF">
        <w:t xml:space="preserve">Uchovávejte v chladničce </w:t>
      </w:r>
    </w:p>
    <w:p w14:paraId="157118FE" w14:textId="564EB509" w:rsidR="00222DE0" w:rsidRPr="009420EF" w:rsidRDefault="0098273B" w:rsidP="009420EF">
      <w:pPr>
        <w:pStyle w:val="a3"/>
        <w:widowControl/>
        <w:ind w:left="0"/>
      </w:pPr>
      <w:r w:rsidRPr="009420EF">
        <w:t>Chraňte před mrazem</w:t>
      </w:r>
    </w:p>
    <w:p w14:paraId="2ED88F28" w14:textId="77777777" w:rsidR="00222DE0" w:rsidRPr="009420EF" w:rsidRDefault="0098273B" w:rsidP="009420EF">
      <w:pPr>
        <w:pStyle w:val="a3"/>
        <w:widowControl/>
        <w:ind w:left="0"/>
      </w:pPr>
      <w:r w:rsidRPr="009420EF">
        <w:t>Uchovávejte injekční lahvičku v krabičce, aby byl přípravek chráněn před světlem</w:t>
      </w:r>
    </w:p>
    <w:p w14:paraId="44F8C4ED" w14:textId="77777777" w:rsidR="00222DE0" w:rsidRPr="009420EF" w:rsidRDefault="00222DE0" w:rsidP="009420EF">
      <w:pPr>
        <w:pStyle w:val="a3"/>
        <w:widowControl/>
        <w:ind w:left="0"/>
      </w:pPr>
    </w:p>
    <w:p w14:paraId="16A7984F" w14:textId="77777777" w:rsidR="00277621" w:rsidRPr="009420EF" w:rsidRDefault="00277621" w:rsidP="009420EF">
      <w:pPr>
        <w:pStyle w:val="a3"/>
        <w:widowControl/>
        <w:ind w:left="0"/>
      </w:pPr>
    </w:p>
    <w:p w14:paraId="368ACADE" w14:textId="77777777" w:rsidR="00277621" w:rsidRPr="009420EF" w:rsidRDefault="00277621" w:rsidP="009420EF">
      <w:pPr>
        <w:pStyle w:val="BoxedHeading"/>
      </w:pPr>
      <w:r w:rsidRPr="009420EF">
        <w:t>10.</w:t>
      </w:r>
      <w:r w:rsidRPr="009420EF">
        <w:tab/>
        <w:t>NEBO ODPADU Z NICH, POKUD JE TO VHODNÉ ZVLÁŠTNÍ PODMÍNKY PRO UCHOVÁVÁNÍ</w:t>
      </w:r>
    </w:p>
    <w:p w14:paraId="05957B06" w14:textId="77777777" w:rsidR="00301593" w:rsidRPr="009420EF" w:rsidRDefault="00301593" w:rsidP="009420EF">
      <w:pPr>
        <w:pStyle w:val="a3"/>
        <w:widowControl/>
        <w:ind w:left="0"/>
      </w:pPr>
    </w:p>
    <w:p w14:paraId="529D3686" w14:textId="77777777" w:rsidR="00301593" w:rsidRPr="009420EF" w:rsidRDefault="00301593" w:rsidP="009420EF">
      <w:pPr>
        <w:pStyle w:val="a3"/>
        <w:widowControl/>
        <w:ind w:left="0"/>
      </w:pPr>
    </w:p>
    <w:p w14:paraId="744185FF" w14:textId="77777777" w:rsidR="00301593" w:rsidRPr="009420EF" w:rsidRDefault="00301593" w:rsidP="009420EF">
      <w:pPr>
        <w:pStyle w:val="BoxedHeading"/>
      </w:pPr>
      <w:r w:rsidRPr="009420EF">
        <w:t>11.</w:t>
      </w:r>
      <w:r w:rsidRPr="009420EF">
        <w:tab/>
        <w:t>NÁZEV A ADRESA DRŽITELE ROZHODNUTÍ O REGISTRACI</w:t>
      </w:r>
    </w:p>
    <w:p w14:paraId="10BE873E" w14:textId="77777777" w:rsidR="00301593" w:rsidRPr="009420EF" w:rsidRDefault="00301593" w:rsidP="009420EF">
      <w:pPr>
        <w:pStyle w:val="a3"/>
        <w:widowControl/>
        <w:ind w:left="0"/>
      </w:pPr>
    </w:p>
    <w:p w14:paraId="13A21E63" w14:textId="77777777" w:rsidR="00266CA2" w:rsidRPr="00020C6B" w:rsidRDefault="00266CA2" w:rsidP="00266CA2">
      <w:pPr>
        <w:keepNext/>
      </w:pPr>
      <w:r w:rsidRPr="00020C6B">
        <w:t xml:space="preserve">Celltrion Healthcare Hungary Kft. </w:t>
      </w:r>
    </w:p>
    <w:p w14:paraId="4D746DA4" w14:textId="77777777" w:rsidR="00266CA2" w:rsidRPr="00020C6B" w:rsidRDefault="00266CA2" w:rsidP="00266CA2">
      <w:pPr>
        <w:keepNext/>
      </w:pPr>
      <w:r w:rsidRPr="00020C6B">
        <w:t>1062 Budapest</w:t>
      </w:r>
    </w:p>
    <w:p w14:paraId="069F16D5" w14:textId="77777777" w:rsidR="00266CA2" w:rsidRPr="00020C6B" w:rsidRDefault="00266CA2" w:rsidP="00266CA2">
      <w:pPr>
        <w:keepNext/>
      </w:pPr>
      <w:r w:rsidRPr="00020C6B">
        <w:t>Váci út 1-3. WestEnd Office Building B torony</w:t>
      </w:r>
    </w:p>
    <w:p w14:paraId="51340B37" w14:textId="732C89B2" w:rsidR="00222DE0" w:rsidRPr="009420EF" w:rsidRDefault="00266CA2" w:rsidP="00B93217">
      <w:r>
        <w:t>Maďarsko</w:t>
      </w:r>
    </w:p>
    <w:p w14:paraId="549F2EF2" w14:textId="77777777" w:rsidR="00222DE0" w:rsidRPr="009420EF" w:rsidRDefault="00222DE0" w:rsidP="009420EF">
      <w:pPr>
        <w:pStyle w:val="a3"/>
        <w:widowControl/>
        <w:ind w:left="0"/>
      </w:pPr>
    </w:p>
    <w:p w14:paraId="79D8DE51" w14:textId="77777777" w:rsidR="00301593" w:rsidRPr="009420EF" w:rsidRDefault="00301593" w:rsidP="009420EF">
      <w:pPr>
        <w:pStyle w:val="a3"/>
        <w:widowControl/>
        <w:ind w:left="0"/>
      </w:pPr>
    </w:p>
    <w:p w14:paraId="0FD5B28E" w14:textId="77777777" w:rsidR="00301593" w:rsidRPr="009420EF" w:rsidRDefault="00301593" w:rsidP="009420EF">
      <w:pPr>
        <w:pStyle w:val="BoxedHeading"/>
      </w:pPr>
      <w:r w:rsidRPr="009420EF">
        <w:t>12.</w:t>
      </w:r>
      <w:r w:rsidRPr="009420EF">
        <w:tab/>
        <w:t>REGISTRAČNÍ ČÍSLO/ČÍSLA</w:t>
      </w:r>
    </w:p>
    <w:p w14:paraId="142F9F12" w14:textId="77777777" w:rsidR="001F7008" w:rsidRPr="009420EF" w:rsidRDefault="001F7008" w:rsidP="009420EF">
      <w:pPr>
        <w:pStyle w:val="a3"/>
        <w:widowControl/>
        <w:ind w:left="0"/>
      </w:pPr>
    </w:p>
    <w:p w14:paraId="01F632D6" w14:textId="3F4BFE7F" w:rsidR="001F7008" w:rsidRPr="009420EF" w:rsidRDefault="0098273B" w:rsidP="009420EF">
      <w:pPr>
        <w:pStyle w:val="a3"/>
        <w:widowControl/>
        <w:ind w:left="0"/>
      </w:pPr>
      <w:r w:rsidRPr="009420EF">
        <w:t>EU</w:t>
      </w:r>
      <w:r w:rsidR="00266CA2" w:rsidRPr="00020C6B">
        <w:t>/</w:t>
      </w:r>
      <w:r w:rsidR="00F92232" w:rsidRPr="003672E9">
        <w:rPr>
          <w:spacing w:val="-1"/>
          <w:lang w:val="pt-BR"/>
        </w:rPr>
        <w:t>1/24/1896/00</w:t>
      </w:r>
      <w:r w:rsidR="00F92232">
        <w:rPr>
          <w:rFonts w:eastAsia="맑은 고딕" w:hint="eastAsia"/>
          <w:spacing w:val="-1"/>
          <w:lang w:val="pt-BR" w:eastAsia="ko-KR"/>
        </w:rPr>
        <w:t>5</w:t>
      </w:r>
      <w:r w:rsidR="00F92232">
        <w:rPr>
          <w:rFonts w:eastAsia="맑은 고딕"/>
          <w:spacing w:val="-1"/>
          <w:lang w:val="pt-BR" w:eastAsia="ko-KR"/>
        </w:rPr>
        <w:t xml:space="preserve"> 1 injekční lahvička</w:t>
      </w:r>
    </w:p>
    <w:p w14:paraId="5D08DF2F" w14:textId="616F1684" w:rsidR="00222DE0" w:rsidRPr="009420EF" w:rsidRDefault="0098273B" w:rsidP="009420EF">
      <w:pPr>
        <w:pStyle w:val="a3"/>
        <w:widowControl/>
        <w:ind w:left="0"/>
      </w:pPr>
      <w:r w:rsidRPr="009420EF">
        <w:t>EU</w:t>
      </w:r>
      <w:r w:rsidR="00266CA2" w:rsidRPr="00020C6B">
        <w:t>/</w:t>
      </w:r>
      <w:r w:rsidR="00F92232" w:rsidRPr="003672E9">
        <w:rPr>
          <w:spacing w:val="-1"/>
          <w:lang w:val="pt-BR"/>
        </w:rPr>
        <w:t>1/24/1896/00</w:t>
      </w:r>
      <w:r w:rsidR="00F92232">
        <w:rPr>
          <w:rFonts w:eastAsia="맑은 고딕" w:hint="eastAsia"/>
          <w:spacing w:val="-1"/>
          <w:lang w:val="pt-BR" w:eastAsia="ko-KR"/>
        </w:rPr>
        <w:t>6</w:t>
      </w:r>
      <w:r w:rsidR="00F92232">
        <w:rPr>
          <w:rFonts w:eastAsia="맑은 고딕"/>
          <w:spacing w:val="-1"/>
          <w:lang w:val="pt-BR" w:eastAsia="ko-KR"/>
        </w:rPr>
        <w:t xml:space="preserve"> 4 injekční lahvičky</w:t>
      </w:r>
    </w:p>
    <w:p w14:paraId="3866E4B2" w14:textId="77777777" w:rsidR="00222DE0" w:rsidRPr="009420EF" w:rsidRDefault="00222DE0" w:rsidP="009420EF">
      <w:pPr>
        <w:pStyle w:val="a3"/>
        <w:widowControl/>
        <w:ind w:left="0"/>
      </w:pPr>
    </w:p>
    <w:p w14:paraId="5E604A3E" w14:textId="77777777" w:rsidR="00F418FB" w:rsidRPr="009420EF" w:rsidRDefault="00F418FB" w:rsidP="009420EF">
      <w:pPr>
        <w:pStyle w:val="a3"/>
        <w:widowControl/>
        <w:ind w:left="0"/>
      </w:pPr>
    </w:p>
    <w:p w14:paraId="2F0D149A" w14:textId="77777777" w:rsidR="00F418FB" w:rsidRPr="009420EF" w:rsidRDefault="00F418FB" w:rsidP="009420EF">
      <w:pPr>
        <w:pStyle w:val="BoxedHeading"/>
      </w:pPr>
      <w:r w:rsidRPr="009420EF">
        <w:t>13.</w:t>
      </w:r>
      <w:r w:rsidRPr="009420EF">
        <w:tab/>
        <w:t>ČÍSLO ŠARŽE</w:t>
      </w:r>
    </w:p>
    <w:p w14:paraId="23DC16E3" w14:textId="77777777" w:rsidR="00F418FB" w:rsidRPr="009420EF" w:rsidRDefault="00F418FB" w:rsidP="009420EF">
      <w:pPr>
        <w:pStyle w:val="a3"/>
        <w:widowControl/>
        <w:ind w:left="0"/>
      </w:pPr>
    </w:p>
    <w:p w14:paraId="4D66CC1E" w14:textId="77777777" w:rsidR="00222DE0" w:rsidRPr="009420EF" w:rsidRDefault="0098273B" w:rsidP="009420EF">
      <w:pPr>
        <w:pStyle w:val="a3"/>
        <w:widowControl/>
        <w:ind w:left="0"/>
      </w:pPr>
      <w:r w:rsidRPr="009420EF">
        <w:t>č.š.:</w:t>
      </w:r>
    </w:p>
    <w:p w14:paraId="7BB189F0" w14:textId="77777777" w:rsidR="00222DE0" w:rsidRPr="009420EF" w:rsidRDefault="00222DE0" w:rsidP="009420EF">
      <w:pPr>
        <w:pStyle w:val="a3"/>
        <w:widowControl/>
        <w:ind w:left="0"/>
      </w:pPr>
    </w:p>
    <w:p w14:paraId="6505C3BB" w14:textId="77777777" w:rsidR="00F418FB" w:rsidRPr="009420EF" w:rsidRDefault="00F418FB" w:rsidP="009420EF">
      <w:pPr>
        <w:pStyle w:val="a3"/>
        <w:widowControl/>
        <w:ind w:left="0"/>
      </w:pPr>
    </w:p>
    <w:p w14:paraId="2932CD67" w14:textId="77777777" w:rsidR="00F418FB" w:rsidRPr="009420EF" w:rsidRDefault="00F418FB" w:rsidP="009420EF">
      <w:pPr>
        <w:pStyle w:val="BoxedHeading"/>
      </w:pPr>
      <w:r w:rsidRPr="009420EF">
        <w:t>14.</w:t>
      </w:r>
      <w:r w:rsidRPr="009420EF">
        <w:tab/>
        <w:t>KLASIFIKACE PRO VÝDEJ</w:t>
      </w:r>
    </w:p>
    <w:p w14:paraId="1CFEB48C" w14:textId="77777777" w:rsidR="001F7008" w:rsidRPr="009420EF" w:rsidRDefault="001F7008" w:rsidP="009420EF">
      <w:pPr>
        <w:pStyle w:val="a3"/>
        <w:widowControl/>
        <w:ind w:left="0"/>
      </w:pPr>
    </w:p>
    <w:p w14:paraId="72612750" w14:textId="77777777" w:rsidR="00222DE0" w:rsidRDefault="0098273B" w:rsidP="00B93217">
      <w:pPr>
        <w:rPr>
          <w:highlight w:val="lightGray"/>
        </w:rPr>
      </w:pPr>
      <w:r>
        <w:rPr>
          <w:highlight w:val="lightGray"/>
        </w:rPr>
        <w:t>Výdej léčivého přípravku vázán na lékařský předpis</w:t>
      </w:r>
    </w:p>
    <w:p w14:paraId="142E1AB5" w14:textId="77777777" w:rsidR="00222DE0" w:rsidRPr="009420EF" w:rsidRDefault="00222DE0" w:rsidP="009420EF">
      <w:pPr>
        <w:pStyle w:val="a3"/>
        <w:widowControl/>
        <w:ind w:left="0"/>
      </w:pPr>
    </w:p>
    <w:p w14:paraId="47C341EF" w14:textId="77777777" w:rsidR="00F418FB" w:rsidRPr="009420EF" w:rsidRDefault="00F418FB" w:rsidP="009420EF">
      <w:pPr>
        <w:pStyle w:val="a3"/>
        <w:widowControl/>
        <w:ind w:left="0"/>
      </w:pPr>
    </w:p>
    <w:p w14:paraId="28C53FCC" w14:textId="77777777" w:rsidR="00F418FB" w:rsidRPr="009420EF" w:rsidRDefault="00F418FB" w:rsidP="009420EF">
      <w:pPr>
        <w:pStyle w:val="BoxedHeading"/>
        <w:rPr>
          <w:bCs w:val="0"/>
        </w:rPr>
      </w:pPr>
      <w:r w:rsidRPr="009420EF">
        <w:t>15.</w:t>
      </w:r>
      <w:r w:rsidRPr="009420EF">
        <w:tab/>
      </w:r>
      <w:r w:rsidRPr="009420EF">
        <w:rPr>
          <w:bCs w:val="0"/>
        </w:rPr>
        <w:t>NÁVOD K POUŽITÍ</w:t>
      </w:r>
    </w:p>
    <w:p w14:paraId="322D4403" w14:textId="77777777" w:rsidR="00F418FB" w:rsidRPr="009420EF" w:rsidRDefault="00F418FB" w:rsidP="009420EF">
      <w:pPr>
        <w:pStyle w:val="a3"/>
        <w:widowControl/>
        <w:ind w:left="0"/>
      </w:pPr>
    </w:p>
    <w:p w14:paraId="0D96E4D6" w14:textId="77777777" w:rsidR="00F418FB" w:rsidRPr="009420EF" w:rsidRDefault="00F418FB" w:rsidP="009420EF">
      <w:pPr>
        <w:pStyle w:val="a3"/>
        <w:widowControl/>
        <w:ind w:left="0"/>
      </w:pPr>
    </w:p>
    <w:p w14:paraId="70D58CA1" w14:textId="77777777" w:rsidR="00F418FB" w:rsidRPr="009420EF" w:rsidRDefault="00F418FB" w:rsidP="009420EF">
      <w:pPr>
        <w:pStyle w:val="BoxedHeading"/>
        <w:rPr>
          <w:bCs w:val="0"/>
        </w:rPr>
      </w:pPr>
      <w:r w:rsidRPr="009420EF">
        <w:t>16.</w:t>
      </w:r>
      <w:r w:rsidRPr="009420EF">
        <w:rPr>
          <w:bCs w:val="0"/>
        </w:rPr>
        <w:tab/>
        <w:t>INFORMACE V BRAILLOVĚ PÍSMU</w:t>
      </w:r>
    </w:p>
    <w:p w14:paraId="4B80E0BE" w14:textId="77777777" w:rsidR="00F418FB" w:rsidRPr="009420EF" w:rsidRDefault="00F418FB" w:rsidP="009420EF">
      <w:pPr>
        <w:pStyle w:val="a3"/>
        <w:widowControl/>
        <w:ind w:left="0"/>
        <w:rPr>
          <w:color w:val="000000"/>
          <w:shd w:val="clear" w:color="auto" w:fill="C1C1C1"/>
        </w:rPr>
      </w:pPr>
    </w:p>
    <w:p w14:paraId="2A3AB45D" w14:textId="77777777" w:rsidR="00222DE0" w:rsidRDefault="0098273B" w:rsidP="009420EF">
      <w:pPr>
        <w:rPr>
          <w:highlight w:val="lightGray"/>
        </w:rPr>
      </w:pPr>
      <w:r>
        <w:rPr>
          <w:highlight w:val="lightGray"/>
        </w:rPr>
        <w:t>Nevyžaduje se - odůvodnění přijato</w:t>
      </w:r>
    </w:p>
    <w:p w14:paraId="2926175F" w14:textId="77777777" w:rsidR="00222DE0" w:rsidRPr="009420EF" w:rsidRDefault="00222DE0" w:rsidP="009420EF">
      <w:pPr>
        <w:pStyle w:val="a3"/>
        <w:widowControl/>
        <w:ind w:left="0"/>
      </w:pPr>
    </w:p>
    <w:p w14:paraId="355B6B35" w14:textId="77777777" w:rsidR="00F418FB" w:rsidRPr="009420EF" w:rsidRDefault="00F418FB" w:rsidP="009420EF">
      <w:pPr>
        <w:pStyle w:val="a3"/>
        <w:widowControl/>
        <w:ind w:left="0"/>
      </w:pPr>
    </w:p>
    <w:p w14:paraId="0F2CA5FA" w14:textId="77777777" w:rsidR="00F418FB" w:rsidRPr="009420EF" w:rsidRDefault="00F418FB" w:rsidP="009420EF">
      <w:pPr>
        <w:pStyle w:val="BoxedHeading"/>
      </w:pPr>
      <w:r w:rsidRPr="009420EF">
        <w:t>17.</w:t>
      </w:r>
      <w:r w:rsidRPr="009420EF">
        <w:tab/>
        <w:t>JEDINEČNÝ IDENTIFIKÁTOR – 2D ČÁROVÝ KÓD</w:t>
      </w:r>
    </w:p>
    <w:p w14:paraId="3EE81381" w14:textId="77777777" w:rsidR="00222DE0" w:rsidRPr="009420EF" w:rsidRDefault="00222DE0" w:rsidP="009420EF">
      <w:pPr>
        <w:pStyle w:val="a3"/>
        <w:widowControl/>
        <w:ind w:left="0"/>
      </w:pPr>
    </w:p>
    <w:p w14:paraId="684111BB" w14:textId="6AA654FB" w:rsidR="00222DE0" w:rsidRDefault="0098273B" w:rsidP="009420EF">
      <w:pPr>
        <w:rPr>
          <w:rFonts w:eastAsia="맑은 고딕"/>
          <w:highlight w:val="lightGray"/>
          <w:lang w:eastAsia="ko-KR"/>
        </w:rPr>
      </w:pPr>
      <w:r>
        <w:rPr>
          <w:highlight w:val="lightGray"/>
        </w:rPr>
        <w:t>2D čárový kód s jedinečným identifikátorem.</w:t>
      </w:r>
    </w:p>
    <w:p w14:paraId="235212EB" w14:textId="77777777" w:rsidR="00222DE0" w:rsidRPr="009420EF" w:rsidRDefault="00222DE0" w:rsidP="009420EF">
      <w:pPr>
        <w:pStyle w:val="a3"/>
        <w:widowControl/>
        <w:ind w:left="0"/>
      </w:pPr>
    </w:p>
    <w:p w14:paraId="1EAC8F00" w14:textId="77777777" w:rsidR="00F418FB" w:rsidRPr="009420EF" w:rsidRDefault="00F418FB" w:rsidP="009420EF">
      <w:pPr>
        <w:pStyle w:val="a3"/>
        <w:widowControl/>
        <w:ind w:left="0"/>
      </w:pPr>
    </w:p>
    <w:p w14:paraId="5CF6AD5E" w14:textId="77777777" w:rsidR="00F418FB" w:rsidRPr="009420EF" w:rsidRDefault="00F418FB" w:rsidP="009420EF">
      <w:pPr>
        <w:pStyle w:val="BoxedHeading"/>
      </w:pPr>
      <w:r w:rsidRPr="009420EF">
        <w:t>18.</w:t>
      </w:r>
      <w:r w:rsidRPr="009420EF">
        <w:tab/>
        <w:t>JEDINEČNÝ IDENTIFIKÁTOR – DATA ČITELNÁ OKEM</w:t>
      </w:r>
    </w:p>
    <w:p w14:paraId="7E65DC17" w14:textId="77777777" w:rsidR="001F7008" w:rsidRPr="009420EF" w:rsidRDefault="001F7008" w:rsidP="009420EF">
      <w:pPr>
        <w:pStyle w:val="a3"/>
        <w:widowControl/>
        <w:ind w:left="0"/>
        <w:jc w:val="both"/>
      </w:pPr>
    </w:p>
    <w:p w14:paraId="24B9629B" w14:textId="77777777" w:rsidR="001F7008" w:rsidRPr="009420EF" w:rsidRDefault="0098273B" w:rsidP="009420EF">
      <w:pPr>
        <w:pStyle w:val="a3"/>
        <w:widowControl/>
        <w:ind w:left="0"/>
        <w:jc w:val="both"/>
      </w:pPr>
      <w:r w:rsidRPr="009420EF">
        <w:t>PC</w:t>
      </w:r>
    </w:p>
    <w:p w14:paraId="77089EB6" w14:textId="77777777" w:rsidR="001F7008" w:rsidRPr="009420EF" w:rsidRDefault="0098273B" w:rsidP="009420EF">
      <w:pPr>
        <w:pStyle w:val="a3"/>
        <w:widowControl/>
        <w:ind w:left="0"/>
        <w:jc w:val="both"/>
      </w:pPr>
      <w:r w:rsidRPr="009420EF">
        <w:t>SN</w:t>
      </w:r>
    </w:p>
    <w:p w14:paraId="20BD941F" w14:textId="77777777" w:rsidR="00222DE0" w:rsidRPr="009420EF" w:rsidRDefault="0098273B" w:rsidP="009420EF">
      <w:pPr>
        <w:pStyle w:val="a3"/>
        <w:widowControl/>
        <w:ind w:left="0"/>
        <w:jc w:val="both"/>
      </w:pPr>
      <w:r w:rsidRPr="008A10A6">
        <w:rPr>
          <w:highlight w:val="lightGray"/>
        </w:rPr>
        <w:t>NN</w:t>
      </w:r>
    </w:p>
    <w:p w14:paraId="23E8213C" w14:textId="77777777" w:rsidR="001F7008" w:rsidRPr="009420EF" w:rsidRDefault="001F7008" w:rsidP="009420EF">
      <w:pPr>
        <w:widowControl/>
        <w:jc w:val="both"/>
      </w:pPr>
      <w:r w:rsidRPr="009420EF">
        <w:br w:type="page"/>
      </w:r>
    </w:p>
    <w:p w14:paraId="1B4FC893" w14:textId="77777777" w:rsidR="008B6A13" w:rsidRPr="009420EF" w:rsidRDefault="008B6A13" w:rsidP="009420EF">
      <w:pPr>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5ECE77B5" w14:textId="77777777" w:rsidR="008B6A13" w:rsidRPr="009420EF" w:rsidRDefault="008B6A13" w:rsidP="009420EF">
      <w:pPr>
        <w:pBdr>
          <w:top w:val="single" w:sz="4" w:space="1" w:color="auto"/>
          <w:left w:val="single" w:sz="4" w:space="4" w:color="auto"/>
          <w:bottom w:val="single" w:sz="4" w:space="1" w:color="auto"/>
          <w:right w:val="single" w:sz="4" w:space="4" w:color="auto"/>
        </w:pBdr>
        <w:rPr>
          <w:b/>
          <w:bCs/>
        </w:rPr>
      </w:pPr>
    </w:p>
    <w:p w14:paraId="31D33F75" w14:textId="77777777" w:rsidR="008B6A13" w:rsidRPr="009420EF" w:rsidRDefault="008B6A13" w:rsidP="009420EF">
      <w:pPr>
        <w:pBdr>
          <w:top w:val="single" w:sz="4" w:space="1" w:color="auto"/>
          <w:left w:val="single" w:sz="4" w:space="4" w:color="auto"/>
          <w:bottom w:val="single" w:sz="4" w:space="1" w:color="auto"/>
          <w:right w:val="single" w:sz="4" w:space="4" w:color="auto"/>
        </w:pBdr>
        <w:rPr>
          <w:b/>
          <w:bCs/>
        </w:rPr>
      </w:pPr>
      <w:r w:rsidRPr="009420EF">
        <w:rPr>
          <w:b/>
        </w:rPr>
        <w:t>KRABIČKA PŘEDPLNĚNÉ INJEKČNÍ STŘÍKAČKY</w:t>
      </w:r>
    </w:p>
    <w:p w14:paraId="10364A24" w14:textId="77777777" w:rsidR="008B6A13" w:rsidRPr="009420EF" w:rsidRDefault="008B6A13" w:rsidP="009420EF">
      <w:pPr>
        <w:pStyle w:val="a3"/>
        <w:widowControl/>
        <w:ind w:left="0"/>
      </w:pPr>
    </w:p>
    <w:p w14:paraId="0DC70A5E" w14:textId="77777777" w:rsidR="008B6A13" w:rsidRPr="009420EF" w:rsidRDefault="008B6A13" w:rsidP="009420EF">
      <w:pPr>
        <w:pStyle w:val="a3"/>
        <w:widowControl/>
        <w:ind w:left="0"/>
      </w:pPr>
    </w:p>
    <w:p w14:paraId="27E56FF9" w14:textId="77777777" w:rsidR="008B6A13" w:rsidRPr="009420EF" w:rsidRDefault="008B6A13" w:rsidP="009420EF">
      <w:pPr>
        <w:pStyle w:val="BoxedHeading"/>
      </w:pPr>
      <w:r w:rsidRPr="009420EF">
        <w:t>1.</w:t>
      </w:r>
      <w:r w:rsidRPr="009420EF">
        <w:tab/>
        <w:t>NÁZEV LÉČIVÉHO PŘÍPRAVKU</w:t>
      </w:r>
    </w:p>
    <w:p w14:paraId="2805634C" w14:textId="77777777" w:rsidR="00F17EAA" w:rsidRPr="009420EF" w:rsidRDefault="00F17EAA" w:rsidP="009420EF">
      <w:pPr>
        <w:pStyle w:val="a3"/>
        <w:widowControl/>
        <w:ind w:left="0"/>
      </w:pPr>
    </w:p>
    <w:p w14:paraId="71BF2B28" w14:textId="189D9332" w:rsidR="00222DE0" w:rsidRPr="009420EF" w:rsidRDefault="00266CA2" w:rsidP="009420EF">
      <w:pPr>
        <w:pStyle w:val="a3"/>
        <w:widowControl/>
        <w:ind w:left="0"/>
      </w:pPr>
      <w:r>
        <w:t>Avtozma</w:t>
      </w:r>
      <w:r w:rsidR="0098273B" w:rsidRPr="009420EF">
        <w:t xml:space="preserve"> 162 mg injekční roztok v předplněné injekční stříkačce</w:t>
      </w:r>
    </w:p>
    <w:p w14:paraId="4DE7817C" w14:textId="0A171E51" w:rsidR="00222DE0" w:rsidRPr="009420EF" w:rsidRDefault="0098273B" w:rsidP="009420EF">
      <w:pPr>
        <w:pStyle w:val="a3"/>
        <w:widowControl/>
        <w:ind w:left="0"/>
      </w:pPr>
      <w:r w:rsidRPr="009420EF">
        <w:t>tocilizumab</w:t>
      </w:r>
    </w:p>
    <w:p w14:paraId="455F57E0" w14:textId="77777777" w:rsidR="00222DE0" w:rsidRPr="009420EF" w:rsidRDefault="00222DE0" w:rsidP="009420EF">
      <w:pPr>
        <w:pStyle w:val="a3"/>
        <w:widowControl/>
        <w:ind w:left="0"/>
      </w:pPr>
    </w:p>
    <w:p w14:paraId="75BB0071" w14:textId="77777777" w:rsidR="00685F48" w:rsidRPr="009420EF" w:rsidRDefault="00685F48" w:rsidP="009420EF">
      <w:pPr>
        <w:pStyle w:val="a3"/>
        <w:widowControl/>
        <w:ind w:left="0"/>
      </w:pPr>
    </w:p>
    <w:p w14:paraId="220CE79D" w14:textId="77777777" w:rsidR="00685F48" w:rsidRPr="009420EF" w:rsidRDefault="00685F48" w:rsidP="009420EF">
      <w:pPr>
        <w:pStyle w:val="BoxedHeading"/>
      </w:pPr>
      <w:r w:rsidRPr="009420EF">
        <w:t>2.</w:t>
      </w:r>
      <w:r w:rsidRPr="009420EF">
        <w:tab/>
        <w:t>OBSAH LÉČIVÉ LÁTKY/LÉČIVÝCH LÁTEK</w:t>
      </w:r>
    </w:p>
    <w:p w14:paraId="641E2F8D" w14:textId="77777777" w:rsidR="00222DE0" w:rsidRPr="009420EF" w:rsidRDefault="00222DE0" w:rsidP="009420EF">
      <w:pPr>
        <w:pStyle w:val="a3"/>
        <w:widowControl/>
        <w:ind w:left="0"/>
      </w:pPr>
    </w:p>
    <w:p w14:paraId="751312EE" w14:textId="33F2C9F1" w:rsidR="00222DE0" w:rsidRPr="009420EF" w:rsidRDefault="0098273B" w:rsidP="009420EF">
      <w:pPr>
        <w:pStyle w:val="a3"/>
        <w:widowControl/>
        <w:ind w:left="0"/>
      </w:pPr>
      <w:r w:rsidRPr="009420EF">
        <w:t xml:space="preserve">Jedna předplněná injekční stříkačka obsahuje </w:t>
      </w:r>
      <w:r w:rsidR="00FD2E4D" w:rsidRPr="009420EF">
        <w:t xml:space="preserve">162 mg </w:t>
      </w:r>
      <w:r w:rsidRPr="009420EF">
        <w:t>tocilizumabu.</w:t>
      </w:r>
    </w:p>
    <w:p w14:paraId="77CA2513" w14:textId="77777777" w:rsidR="00222DE0" w:rsidRPr="009420EF" w:rsidRDefault="00222DE0" w:rsidP="009420EF">
      <w:pPr>
        <w:pStyle w:val="a3"/>
        <w:widowControl/>
        <w:ind w:left="0"/>
      </w:pPr>
    </w:p>
    <w:p w14:paraId="20FD4A68" w14:textId="77777777" w:rsidR="00685F48" w:rsidRPr="009420EF" w:rsidRDefault="00685F48" w:rsidP="009420EF">
      <w:pPr>
        <w:pStyle w:val="a3"/>
        <w:widowControl/>
        <w:ind w:left="0"/>
      </w:pPr>
    </w:p>
    <w:p w14:paraId="301C3F0A" w14:textId="77777777" w:rsidR="00685F48" w:rsidRPr="009420EF" w:rsidRDefault="00685F48" w:rsidP="009420EF">
      <w:pPr>
        <w:pStyle w:val="BoxedHeading"/>
        <w:keepNext w:val="0"/>
      </w:pPr>
      <w:r w:rsidRPr="009420EF">
        <w:t>3.</w:t>
      </w:r>
      <w:r w:rsidRPr="009420EF">
        <w:tab/>
        <w:t>SEZNAM POMOCNÝCH LÁTEK</w:t>
      </w:r>
    </w:p>
    <w:p w14:paraId="46AB3282" w14:textId="77777777" w:rsidR="00F17EAA" w:rsidRPr="009420EF" w:rsidRDefault="00F17EAA" w:rsidP="009420EF">
      <w:pPr>
        <w:pStyle w:val="a3"/>
        <w:widowControl/>
        <w:ind w:left="0"/>
      </w:pPr>
    </w:p>
    <w:p w14:paraId="4728867D" w14:textId="25DD3D0D" w:rsidR="00266CA2" w:rsidRPr="009420EF" w:rsidRDefault="00266CA2" w:rsidP="00266CA2">
      <w:pPr>
        <w:pStyle w:val="a3"/>
        <w:widowControl/>
        <w:ind w:left="0"/>
      </w:pPr>
      <w:r>
        <w:t>Pomocné látky: L-Histidin,</w:t>
      </w:r>
      <w:r w:rsidR="00395E0C">
        <w:rPr>
          <w:rFonts w:eastAsia="맑은 고딕" w:hint="eastAsia"/>
          <w:lang w:eastAsia="ko-KR"/>
        </w:rPr>
        <w:t xml:space="preserve"> </w:t>
      </w:r>
      <w:r w:rsidR="00AD6345" w:rsidRPr="00AD6345">
        <w:rPr>
          <w:rFonts w:eastAsia="맑은 고딕" w:hint="eastAsia"/>
          <w:lang w:eastAsia="ko-KR"/>
        </w:rPr>
        <w:t>Monohydrát histidin-hydrochloridu</w:t>
      </w:r>
      <w:r w:rsidR="00395E0C">
        <w:rPr>
          <w:rFonts w:eastAsia="맑은 고딕" w:hint="eastAsia"/>
          <w:lang w:eastAsia="ko-KR"/>
        </w:rPr>
        <w:t>,</w:t>
      </w:r>
      <w:r>
        <w:t xml:space="preserve"> L-Threonin, L-Methionin, p</w:t>
      </w:r>
      <w:r w:rsidRPr="009420EF">
        <w:t>olysorbát 80, voda pro injekci</w:t>
      </w:r>
      <w:r w:rsidR="0098273B" w:rsidRPr="009420EF">
        <w:rPr>
          <w:color w:val="000000"/>
        </w:rPr>
        <w:t>.</w:t>
      </w:r>
      <w:r>
        <w:rPr>
          <w:color w:val="000000"/>
        </w:rPr>
        <w:t xml:space="preserve"> </w:t>
      </w:r>
      <w:r w:rsidRPr="009420EF">
        <w:t>Další údaje naleznete v příbalové informaci.</w:t>
      </w:r>
    </w:p>
    <w:p w14:paraId="6E9E596B" w14:textId="77777777" w:rsidR="00222DE0" w:rsidRPr="009420EF" w:rsidRDefault="00222DE0" w:rsidP="009420EF">
      <w:pPr>
        <w:pStyle w:val="a3"/>
        <w:widowControl/>
        <w:ind w:left="0"/>
      </w:pPr>
    </w:p>
    <w:p w14:paraId="4BD946FF" w14:textId="77777777" w:rsidR="007F3F1C" w:rsidRPr="009420EF" w:rsidRDefault="007F3F1C" w:rsidP="009420EF">
      <w:pPr>
        <w:pStyle w:val="a3"/>
        <w:widowControl/>
        <w:ind w:left="0"/>
      </w:pPr>
    </w:p>
    <w:p w14:paraId="6985787B" w14:textId="77777777" w:rsidR="007F3F1C" w:rsidRPr="009420EF" w:rsidRDefault="007F3F1C" w:rsidP="009420EF">
      <w:pPr>
        <w:pStyle w:val="BoxedHeading"/>
        <w:keepNext w:val="0"/>
      </w:pPr>
      <w:r w:rsidRPr="009420EF">
        <w:t>4.</w:t>
      </w:r>
      <w:r w:rsidRPr="009420EF">
        <w:tab/>
        <w:t>LÉKOVÁ FORMA A OBSAH BALENÍ</w:t>
      </w:r>
    </w:p>
    <w:p w14:paraId="406BEA57" w14:textId="77777777" w:rsidR="007F3F1C" w:rsidRPr="009420EF" w:rsidRDefault="007F3F1C" w:rsidP="009420EF">
      <w:pPr>
        <w:pStyle w:val="a3"/>
        <w:widowControl/>
        <w:ind w:left="0"/>
      </w:pPr>
    </w:p>
    <w:p w14:paraId="0709D56A" w14:textId="77777777" w:rsidR="00222DE0" w:rsidRDefault="0098273B" w:rsidP="009420EF">
      <w:pPr>
        <w:pStyle w:val="a3"/>
        <w:widowControl/>
        <w:ind w:left="0"/>
      </w:pPr>
      <w:r w:rsidRPr="009420EF">
        <w:t>Injekční roztok v předplněné injekční stříkačce</w:t>
      </w:r>
    </w:p>
    <w:p w14:paraId="7DFAC038" w14:textId="0D1D1CBE" w:rsidR="00266CA2" w:rsidRDefault="00266CA2" w:rsidP="009420EF">
      <w:pPr>
        <w:pStyle w:val="a3"/>
        <w:widowControl/>
        <w:ind w:left="0"/>
        <w:rPr>
          <w:ins w:id="38" w:author="만든 이"/>
          <w:rFonts w:eastAsia="맑은 고딕"/>
          <w:lang w:eastAsia="ko-KR"/>
        </w:rPr>
      </w:pPr>
      <w:r>
        <w:t>1 předplněná injekční stříkačka</w:t>
      </w:r>
    </w:p>
    <w:p w14:paraId="39CB7AFE" w14:textId="2F712D48" w:rsidR="005A5001" w:rsidRPr="005A5001" w:rsidRDefault="005A5001" w:rsidP="009420EF">
      <w:pPr>
        <w:pStyle w:val="a3"/>
        <w:widowControl/>
        <w:ind w:left="0"/>
        <w:rPr>
          <w:rFonts w:eastAsia="맑은 고딕"/>
          <w:lang w:eastAsia="ko-KR"/>
          <w:rPrChange w:id="39" w:author="만든 이">
            <w:rPr/>
          </w:rPrChange>
        </w:rPr>
      </w:pPr>
      <w:ins w:id="40" w:author="만든 이">
        <w:r>
          <w:rPr>
            <w:rFonts w:eastAsia="맑은 고딕" w:hint="eastAsia"/>
            <w:lang w:eastAsia="ko-KR"/>
          </w:rPr>
          <w:t>2</w:t>
        </w:r>
        <w:r w:rsidRPr="009420EF">
          <w:t xml:space="preserve"> předplněné injekční stříkačky</w:t>
        </w:r>
      </w:ins>
    </w:p>
    <w:p w14:paraId="1F4CF3C4" w14:textId="77777777" w:rsidR="00222DE0" w:rsidRPr="009420EF" w:rsidRDefault="0098273B" w:rsidP="009420EF">
      <w:pPr>
        <w:pStyle w:val="a3"/>
        <w:widowControl/>
        <w:ind w:left="0"/>
      </w:pPr>
      <w:r w:rsidRPr="009420EF">
        <w:t>4 předplněné injekční stříkačky</w:t>
      </w:r>
    </w:p>
    <w:p w14:paraId="663058C7" w14:textId="77777777" w:rsidR="00222DE0" w:rsidRPr="009420EF" w:rsidRDefault="0098273B" w:rsidP="009420EF">
      <w:pPr>
        <w:pStyle w:val="a3"/>
        <w:widowControl/>
        <w:ind w:left="0"/>
      </w:pPr>
      <w:r w:rsidRPr="009420EF">
        <w:t>162 mg/0,9 ml</w:t>
      </w:r>
    </w:p>
    <w:p w14:paraId="67CABB6F" w14:textId="77777777" w:rsidR="00222DE0" w:rsidRPr="009420EF" w:rsidRDefault="00222DE0" w:rsidP="009420EF">
      <w:pPr>
        <w:pStyle w:val="a3"/>
        <w:widowControl/>
        <w:ind w:left="0"/>
      </w:pPr>
    </w:p>
    <w:p w14:paraId="678575CD" w14:textId="77777777" w:rsidR="007F3F1C" w:rsidRPr="009420EF" w:rsidRDefault="007F3F1C" w:rsidP="009420EF">
      <w:pPr>
        <w:pStyle w:val="a3"/>
        <w:widowControl/>
        <w:ind w:left="0"/>
      </w:pPr>
    </w:p>
    <w:p w14:paraId="06052992" w14:textId="77777777" w:rsidR="007F3F1C" w:rsidRPr="009420EF" w:rsidRDefault="007F3F1C" w:rsidP="009420EF">
      <w:pPr>
        <w:pStyle w:val="BoxedHeading"/>
        <w:keepNext w:val="0"/>
      </w:pPr>
      <w:r w:rsidRPr="009420EF">
        <w:t>5.</w:t>
      </w:r>
      <w:r w:rsidRPr="009420EF">
        <w:tab/>
        <w:t>ZPŮSOB A CESTA/CESTY PODÁNÍ</w:t>
      </w:r>
    </w:p>
    <w:p w14:paraId="0F186F54" w14:textId="77777777" w:rsidR="00D814B0" w:rsidRPr="009420EF" w:rsidRDefault="00D814B0" w:rsidP="009420EF">
      <w:pPr>
        <w:pStyle w:val="a3"/>
        <w:widowControl/>
        <w:ind w:left="0"/>
      </w:pPr>
    </w:p>
    <w:p w14:paraId="3773A037" w14:textId="77777777" w:rsidR="00222DE0" w:rsidRPr="009420EF" w:rsidRDefault="0098273B" w:rsidP="009420EF">
      <w:pPr>
        <w:pStyle w:val="a3"/>
        <w:widowControl/>
        <w:ind w:left="0"/>
      </w:pPr>
      <w:r w:rsidRPr="009420EF">
        <w:t>Subkutánní podání</w:t>
      </w:r>
    </w:p>
    <w:p w14:paraId="69D62862" w14:textId="77777777" w:rsidR="00222DE0" w:rsidRPr="009420EF" w:rsidRDefault="0098273B" w:rsidP="009420EF">
      <w:pPr>
        <w:pStyle w:val="a3"/>
        <w:widowControl/>
        <w:ind w:left="0"/>
      </w:pPr>
      <w:r w:rsidRPr="009420EF">
        <w:t>Před použitím si přečtěte příbalovou informaci</w:t>
      </w:r>
    </w:p>
    <w:p w14:paraId="57D81F9A" w14:textId="77777777" w:rsidR="00222DE0" w:rsidRPr="009420EF" w:rsidRDefault="00222DE0" w:rsidP="009420EF">
      <w:pPr>
        <w:pStyle w:val="a3"/>
        <w:widowControl/>
        <w:ind w:left="0"/>
      </w:pPr>
    </w:p>
    <w:p w14:paraId="19413548" w14:textId="77777777" w:rsidR="007F3F1C" w:rsidRPr="009420EF" w:rsidRDefault="007F3F1C" w:rsidP="009420EF">
      <w:pPr>
        <w:pStyle w:val="a3"/>
        <w:widowControl/>
        <w:ind w:left="0"/>
      </w:pPr>
    </w:p>
    <w:p w14:paraId="75A5D8EE" w14:textId="77777777" w:rsidR="007F3F1C" w:rsidRPr="009420EF" w:rsidRDefault="007F3F1C" w:rsidP="009420EF">
      <w:pPr>
        <w:pStyle w:val="BoxedHeading"/>
        <w:keepNext w:val="0"/>
        <w:rPr>
          <w:bCs w:val="0"/>
        </w:rPr>
      </w:pPr>
      <w:r w:rsidRPr="009420EF">
        <w:t>6.</w:t>
      </w:r>
      <w:r w:rsidRPr="009420EF">
        <w:tab/>
      </w:r>
      <w:r w:rsidRPr="009420EF">
        <w:rPr>
          <w:bCs w:val="0"/>
        </w:rPr>
        <w:t>ZVLÁŠTNÍ UPOZORNĚNÍ, ŽE LÉČIVÝ PŘÍPRAVEK MUSÍ BÝT UCHOVÁVÁN MIMO DOHLED A DOSAH DĚTÍ</w:t>
      </w:r>
    </w:p>
    <w:p w14:paraId="76801121" w14:textId="77777777" w:rsidR="00241B28" w:rsidRPr="009420EF" w:rsidRDefault="00241B28" w:rsidP="009420EF">
      <w:pPr>
        <w:pStyle w:val="a3"/>
        <w:widowControl/>
        <w:ind w:left="0"/>
      </w:pPr>
    </w:p>
    <w:p w14:paraId="2A1E03C5" w14:textId="77777777" w:rsidR="00222DE0" w:rsidRPr="009420EF" w:rsidRDefault="0098273B" w:rsidP="009420EF">
      <w:pPr>
        <w:pStyle w:val="a3"/>
        <w:widowControl/>
        <w:ind w:left="0"/>
      </w:pPr>
      <w:r w:rsidRPr="009420EF">
        <w:t>Uchovávejte mimo dohled a dosah dětí</w:t>
      </w:r>
    </w:p>
    <w:p w14:paraId="5C835BE1" w14:textId="77777777" w:rsidR="00222DE0" w:rsidRPr="009420EF" w:rsidRDefault="00222DE0" w:rsidP="009420EF">
      <w:pPr>
        <w:pStyle w:val="a3"/>
        <w:widowControl/>
        <w:ind w:left="0"/>
      </w:pPr>
    </w:p>
    <w:p w14:paraId="3668B33C" w14:textId="77777777" w:rsidR="00BB7A3E" w:rsidRPr="009420EF" w:rsidRDefault="00BB7A3E" w:rsidP="009420EF">
      <w:pPr>
        <w:pStyle w:val="a3"/>
        <w:widowControl/>
        <w:ind w:left="0"/>
      </w:pPr>
    </w:p>
    <w:p w14:paraId="69B0DF3C" w14:textId="77777777" w:rsidR="00BB7A3E" w:rsidRPr="009420EF" w:rsidRDefault="00BB7A3E" w:rsidP="009420EF">
      <w:pPr>
        <w:pStyle w:val="BoxedHeading"/>
        <w:keepNext w:val="0"/>
      </w:pPr>
      <w:r w:rsidRPr="009420EF">
        <w:t>7.</w:t>
      </w:r>
      <w:r w:rsidRPr="009420EF">
        <w:tab/>
        <w:t>DALŠÍ ZVLÁŠTNÍ UPOZORNĚNÍ, POKUD JE POTŘEBNÉ</w:t>
      </w:r>
    </w:p>
    <w:p w14:paraId="4170E3DA" w14:textId="77777777" w:rsidR="00222DE0" w:rsidRPr="009420EF" w:rsidRDefault="00222DE0" w:rsidP="009420EF">
      <w:pPr>
        <w:pStyle w:val="a3"/>
        <w:widowControl/>
        <w:ind w:left="0"/>
      </w:pPr>
    </w:p>
    <w:p w14:paraId="22E200FB" w14:textId="4B264851" w:rsidR="00222DE0" w:rsidRPr="009420EF" w:rsidRDefault="0098273B" w:rsidP="002F2E09">
      <w:pPr>
        <w:pStyle w:val="a3"/>
        <w:widowControl/>
        <w:ind w:left="0"/>
      </w:pPr>
      <w:r w:rsidRPr="009420EF">
        <w:t>Před podáním vyjměte injekční stříkačku z krabičky a ponechejte 30 minut mimo chladničku, až</w:t>
      </w:r>
      <w:r w:rsidR="002F2E09">
        <w:t xml:space="preserve"> </w:t>
      </w:r>
      <w:r w:rsidRPr="009420EF">
        <w:t>dosáhne pokojové teploty</w:t>
      </w:r>
    </w:p>
    <w:p w14:paraId="534C6E68" w14:textId="77777777" w:rsidR="00222DE0" w:rsidRPr="009420EF" w:rsidRDefault="00222DE0" w:rsidP="009420EF">
      <w:pPr>
        <w:pStyle w:val="a3"/>
        <w:widowControl/>
        <w:ind w:left="0"/>
      </w:pPr>
    </w:p>
    <w:p w14:paraId="363461BA" w14:textId="77777777" w:rsidR="008F5261" w:rsidRPr="009420EF" w:rsidRDefault="008F5261" w:rsidP="009420EF">
      <w:pPr>
        <w:pStyle w:val="a3"/>
        <w:widowControl/>
        <w:ind w:left="0"/>
      </w:pPr>
    </w:p>
    <w:p w14:paraId="1295DD29" w14:textId="77777777" w:rsidR="008F5261" w:rsidRPr="009420EF" w:rsidRDefault="008F5261" w:rsidP="009420EF">
      <w:pPr>
        <w:pStyle w:val="BoxedHeading"/>
        <w:keepNext w:val="0"/>
      </w:pPr>
      <w:r w:rsidRPr="009420EF">
        <w:t>8.</w:t>
      </w:r>
      <w:r w:rsidRPr="009420EF">
        <w:tab/>
        <w:t>POUŽITELNOST</w:t>
      </w:r>
    </w:p>
    <w:p w14:paraId="1A523767" w14:textId="77777777" w:rsidR="000845EC" w:rsidRPr="009420EF" w:rsidRDefault="000845EC" w:rsidP="009420EF">
      <w:pPr>
        <w:pStyle w:val="a3"/>
        <w:widowControl/>
        <w:ind w:left="0"/>
      </w:pPr>
    </w:p>
    <w:p w14:paraId="5F242529" w14:textId="77777777" w:rsidR="00222DE0" w:rsidRPr="009420EF" w:rsidRDefault="0098273B" w:rsidP="009420EF">
      <w:pPr>
        <w:pStyle w:val="a3"/>
        <w:widowControl/>
        <w:ind w:left="0"/>
      </w:pPr>
      <w:r w:rsidRPr="009420EF">
        <w:t>Použitelné do:</w:t>
      </w:r>
    </w:p>
    <w:p w14:paraId="08B27F53" w14:textId="77777777" w:rsidR="000845EC" w:rsidRPr="009420EF" w:rsidRDefault="000845EC" w:rsidP="009420EF">
      <w:pPr>
        <w:pStyle w:val="a3"/>
        <w:widowControl/>
        <w:ind w:left="0"/>
      </w:pPr>
    </w:p>
    <w:p w14:paraId="42CB3612" w14:textId="77777777" w:rsidR="00222DE0" w:rsidRPr="009420EF" w:rsidRDefault="00222DE0" w:rsidP="009420EF">
      <w:pPr>
        <w:widowControl/>
      </w:pPr>
    </w:p>
    <w:p w14:paraId="08E61CBF" w14:textId="77777777" w:rsidR="00D817EB" w:rsidRPr="009420EF" w:rsidRDefault="00D817EB" w:rsidP="009420EF">
      <w:pPr>
        <w:pStyle w:val="BoxedHeading"/>
      </w:pPr>
      <w:r w:rsidRPr="009420EF">
        <w:lastRenderedPageBreak/>
        <w:t>9.</w:t>
      </w:r>
      <w:r w:rsidRPr="009420EF">
        <w:tab/>
        <w:t>ZVLÁŠTNÍ PODMÍNKY PRO UCHOVÁVÁNÍ</w:t>
      </w:r>
    </w:p>
    <w:p w14:paraId="7EE97472" w14:textId="77777777" w:rsidR="00317549" w:rsidRPr="009420EF" w:rsidRDefault="00317549" w:rsidP="009420EF">
      <w:pPr>
        <w:pStyle w:val="a3"/>
        <w:keepNext/>
        <w:widowControl/>
        <w:ind w:left="0"/>
      </w:pPr>
    </w:p>
    <w:p w14:paraId="5D2527EF" w14:textId="77777777" w:rsidR="00317549" w:rsidRPr="009420EF" w:rsidRDefault="0098273B" w:rsidP="009420EF">
      <w:pPr>
        <w:pStyle w:val="a3"/>
        <w:keepNext/>
        <w:widowControl/>
        <w:ind w:left="0"/>
      </w:pPr>
      <w:r w:rsidRPr="009420EF">
        <w:t>Uchovávejte v</w:t>
      </w:r>
      <w:r w:rsidR="00317549" w:rsidRPr="009420EF">
        <w:t> </w:t>
      </w:r>
      <w:r w:rsidRPr="009420EF">
        <w:t>chladničce</w:t>
      </w:r>
    </w:p>
    <w:p w14:paraId="7579D2AA" w14:textId="77777777" w:rsidR="00222DE0" w:rsidRPr="009420EF" w:rsidRDefault="0098273B" w:rsidP="009420EF">
      <w:pPr>
        <w:pStyle w:val="a3"/>
        <w:keepNext/>
        <w:widowControl/>
        <w:ind w:left="0"/>
      </w:pPr>
      <w:r w:rsidRPr="009420EF">
        <w:t>Chraňte před mrazem</w:t>
      </w:r>
    </w:p>
    <w:p w14:paraId="5D93B19A" w14:textId="16B11AED" w:rsidR="00222DE0" w:rsidRPr="009420EF" w:rsidRDefault="0098273B" w:rsidP="009420EF">
      <w:pPr>
        <w:pStyle w:val="a3"/>
        <w:widowControl/>
        <w:ind w:left="0"/>
      </w:pPr>
      <w:r w:rsidRPr="009420EF">
        <w:t xml:space="preserve">Po vyjmutí z chladničky může být předplněná injekční stříkačka uchovávána až po dobu </w:t>
      </w:r>
      <w:r w:rsidR="00266CA2">
        <w:t>3</w:t>
      </w:r>
      <w:r w:rsidRPr="009420EF">
        <w:t xml:space="preserve"> týdnů při teplotě do 30 °C</w:t>
      </w:r>
    </w:p>
    <w:p w14:paraId="061145E1" w14:textId="77777777" w:rsidR="00222DE0" w:rsidRPr="009420EF" w:rsidRDefault="0098273B" w:rsidP="002F2E09">
      <w:pPr>
        <w:pStyle w:val="a3"/>
        <w:widowControl/>
        <w:ind w:left="0"/>
      </w:pPr>
      <w:r w:rsidRPr="009420EF">
        <w:t>Uchovávejte předplněnou injekční stříkačku v krabičce, aby byl přípravek chráněn před světlem a</w:t>
      </w:r>
      <w:r w:rsidR="002F2E09">
        <w:t xml:space="preserve"> </w:t>
      </w:r>
      <w:r w:rsidRPr="009420EF">
        <w:t>vlhkostí</w:t>
      </w:r>
    </w:p>
    <w:p w14:paraId="5FB26F8D" w14:textId="77777777" w:rsidR="00222DE0" w:rsidRPr="009420EF" w:rsidRDefault="00222DE0" w:rsidP="009420EF">
      <w:pPr>
        <w:pStyle w:val="a3"/>
        <w:widowControl/>
        <w:ind w:left="0"/>
      </w:pPr>
    </w:p>
    <w:p w14:paraId="5B6E5182" w14:textId="77777777" w:rsidR="002265A0" w:rsidRPr="009420EF" w:rsidRDefault="002265A0" w:rsidP="009420EF">
      <w:pPr>
        <w:pStyle w:val="a3"/>
        <w:widowControl/>
        <w:ind w:left="0"/>
      </w:pPr>
    </w:p>
    <w:p w14:paraId="3239C789" w14:textId="77777777" w:rsidR="00222DE0" w:rsidRPr="009420EF" w:rsidRDefault="002265A0" w:rsidP="009420EF">
      <w:pPr>
        <w:pStyle w:val="BoxedHeading"/>
      </w:pPr>
      <w:r w:rsidRPr="009420EF">
        <w:t>10.</w:t>
      </w:r>
      <w:r w:rsidRPr="009420EF">
        <w:tab/>
        <w:t>ZVLÁŠTNÍ OPATŘENÍ PRO LIKVIDACI NEPOUŽITÝCH LÉČIVÝCH PŘÍPRAVKŮ NEBO ODPADU Z NICH, POKUD JE TO VHODNÉ</w:t>
      </w:r>
    </w:p>
    <w:p w14:paraId="6DA8AE68" w14:textId="77777777" w:rsidR="00222DE0" w:rsidRPr="009420EF" w:rsidRDefault="00222DE0" w:rsidP="009420EF">
      <w:pPr>
        <w:pStyle w:val="a3"/>
        <w:widowControl/>
        <w:ind w:left="0"/>
      </w:pPr>
    </w:p>
    <w:p w14:paraId="7B37AB3D" w14:textId="77777777" w:rsidR="000663CB" w:rsidRPr="009420EF" w:rsidRDefault="000663CB" w:rsidP="009420EF">
      <w:pPr>
        <w:pStyle w:val="a3"/>
        <w:widowControl/>
        <w:ind w:left="0"/>
      </w:pPr>
    </w:p>
    <w:p w14:paraId="21B12CE3" w14:textId="77777777" w:rsidR="003D36A2" w:rsidRPr="009420EF" w:rsidRDefault="003D36A2" w:rsidP="009420EF">
      <w:pPr>
        <w:pStyle w:val="BoxedHeading"/>
      </w:pPr>
      <w:r w:rsidRPr="009420EF">
        <w:t>11.</w:t>
      </w:r>
      <w:r w:rsidRPr="009420EF">
        <w:tab/>
        <w:t>NÁZEV A ADRESA DRŽITELE ROZHODNUTÍ O REGISTRACI</w:t>
      </w:r>
    </w:p>
    <w:p w14:paraId="2513BF55" w14:textId="77777777" w:rsidR="003D36A2" w:rsidRPr="009420EF" w:rsidRDefault="003D36A2" w:rsidP="009420EF">
      <w:pPr>
        <w:pStyle w:val="a3"/>
        <w:keepNext/>
        <w:widowControl/>
        <w:ind w:left="0"/>
      </w:pPr>
    </w:p>
    <w:p w14:paraId="5AFA1343" w14:textId="77777777" w:rsidR="00266CA2" w:rsidRPr="00020C6B" w:rsidRDefault="00266CA2" w:rsidP="00266CA2">
      <w:pPr>
        <w:keepNext/>
      </w:pPr>
      <w:r w:rsidRPr="00020C6B">
        <w:t xml:space="preserve">Celltrion Healthcare Hungary Kft. </w:t>
      </w:r>
    </w:p>
    <w:p w14:paraId="46C1D49F" w14:textId="77777777" w:rsidR="00266CA2" w:rsidRPr="00020C6B" w:rsidRDefault="00266CA2" w:rsidP="00266CA2">
      <w:pPr>
        <w:keepNext/>
      </w:pPr>
      <w:r w:rsidRPr="00020C6B">
        <w:t>1062 Budapest</w:t>
      </w:r>
    </w:p>
    <w:p w14:paraId="1506A517" w14:textId="77777777" w:rsidR="00266CA2" w:rsidRPr="00020C6B" w:rsidRDefault="00266CA2" w:rsidP="00266CA2">
      <w:pPr>
        <w:keepNext/>
      </w:pPr>
      <w:r w:rsidRPr="00020C6B">
        <w:t>Váci út 1-3. WestEnd Office Building B torony</w:t>
      </w:r>
    </w:p>
    <w:p w14:paraId="50F01914" w14:textId="70850098" w:rsidR="00222DE0" w:rsidRPr="009420EF" w:rsidRDefault="00266CA2" w:rsidP="009420EF">
      <w:pPr>
        <w:pStyle w:val="a3"/>
        <w:widowControl/>
        <w:ind w:left="0"/>
      </w:pPr>
      <w:r>
        <w:t>Maďarsko</w:t>
      </w:r>
    </w:p>
    <w:p w14:paraId="25FEECFC" w14:textId="77777777" w:rsidR="00222DE0" w:rsidRPr="009420EF" w:rsidRDefault="00222DE0" w:rsidP="009420EF">
      <w:pPr>
        <w:pStyle w:val="a3"/>
        <w:widowControl/>
        <w:ind w:left="0"/>
      </w:pPr>
    </w:p>
    <w:p w14:paraId="3FD6356C" w14:textId="77777777" w:rsidR="000663CB" w:rsidRPr="009420EF" w:rsidRDefault="000663CB" w:rsidP="009420EF">
      <w:pPr>
        <w:pStyle w:val="a3"/>
        <w:widowControl/>
        <w:ind w:left="0"/>
      </w:pPr>
    </w:p>
    <w:p w14:paraId="17CC3AB7" w14:textId="77777777" w:rsidR="000663CB" w:rsidRPr="009420EF" w:rsidRDefault="000663CB" w:rsidP="009420EF">
      <w:pPr>
        <w:pStyle w:val="BoxedHeading"/>
      </w:pPr>
      <w:r w:rsidRPr="009420EF">
        <w:t>12.</w:t>
      </w:r>
      <w:r w:rsidRPr="009420EF">
        <w:tab/>
        <w:t>REGISTRAČNÍ ČÍSLO/ČÍSLA</w:t>
      </w:r>
    </w:p>
    <w:p w14:paraId="10F54717" w14:textId="77777777" w:rsidR="00222DE0" w:rsidRPr="009420EF" w:rsidRDefault="00222DE0" w:rsidP="009420EF">
      <w:pPr>
        <w:pStyle w:val="a3"/>
        <w:widowControl/>
        <w:ind w:left="0"/>
      </w:pPr>
    </w:p>
    <w:p w14:paraId="60C4FD94" w14:textId="7DBFB19F" w:rsidR="00266CA2" w:rsidRPr="00020C6B" w:rsidRDefault="0098273B" w:rsidP="00266CA2">
      <w:pPr>
        <w:keepNext/>
      </w:pPr>
      <w:r w:rsidRPr="009420EF">
        <w:t>EU</w:t>
      </w:r>
      <w:r w:rsidR="00266CA2" w:rsidRPr="00020C6B">
        <w:t>/</w:t>
      </w:r>
      <w:r w:rsidR="00F92232" w:rsidRPr="003672E9">
        <w:rPr>
          <w:spacing w:val="-1"/>
          <w:lang w:val="pt-BR"/>
        </w:rPr>
        <w:t>1/24/1896/00</w:t>
      </w:r>
      <w:r w:rsidR="00F92232">
        <w:rPr>
          <w:rFonts w:eastAsia="맑은 고딕" w:hint="eastAsia"/>
          <w:spacing w:val="-1"/>
          <w:lang w:val="pt-BR" w:eastAsia="ko-KR"/>
        </w:rPr>
        <w:t>7</w:t>
      </w:r>
      <w:r w:rsidR="00F92232">
        <w:rPr>
          <w:rFonts w:eastAsia="맑은 고딕"/>
          <w:spacing w:val="-1"/>
          <w:lang w:val="pt-BR" w:eastAsia="ko-KR"/>
        </w:rPr>
        <w:t xml:space="preserve"> 1 předplněná injekční stříkačka</w:t>
      </w:r>
    </w:p>
    <w:p w14:paraId="2CB4F135" w14:textId="3E0E21A4" w:rsidR="00222DE0" w:rsidRPr="009420EF" w:rsidRDefault="00266CA2" w:rsidP="00B93217">
      <w:r w:rsidRPr="00020C6B">
        <w:t>EU/</w:t>
      </w:r>
      <w:r w:rsidR="00F92232" w:rsidRPr="003672E9">
        <w:rPr>
          <w:spacing w:val="-1"/>
          <w:lang w:val="pt-BR"/>
        </w:rPr>
        <w:t>1/24/1896/00</w:t>
      </w:r>
      <w:r w:rsidR="00F92232">
        <w:rPr>
          <w:rFonts w:eastAsia="맑은 고딕" w:hint="eastAsia"/>
          <w:spacing w:val="-1"/>
          <w:lang w:val="pt-BR" w:eastAsia="ko-KR"/>
        </w:rPr>
        <w:t>8</w:t>
      </w:r>
      <w:r w:rsidR="00F92232">
        <w:rPr>
          <w:rFonts w:eastAsia="맑은 고딕"/>
          <w:spacing w:val="-1"/>
          <w:lang w:val="pt-BR" w:eastAsia="ko-KR"/>
        </w:rPr>
        <w:t xml:space="preserve"> 4 předplněné injekční stříkačky</w:t>
      </w:r>
    </w:p>
    <w:p w14:paraId="1549F2A5" w14:textId="17E0DA21" w:rsidR="005A5001" w:rsidRPr="009420EF" w:rsidRDefault="005A5001" w:rsidP="005A5001">
      <w:pPr>
        <w:rPr>
          <w:ins w:id="41" w:author="만든 이"/>
        </w:rPr>
      </w:pPr>
      <w:ins w:id="42" w:author="만든 이">
        <w:r w:rsidRPr="00020C6B">
          <w:t>EU/</w:t>
        </w:r>
        <w:r w:rsidRPr="003672E9">
          <w:rPr>
            <w:spacing w:val="-1"/>
            <w:lang w:val="pt-BR"/>
          </w:rPr>
          <w:t>1/24/1896/</w:t>
        </w:r>
        <w:r w:rsidR="002A72C1">
          <w:rPr>
            <w:rFonts w:eastAsia="맑은 고딕" w:hint="eastAsia"/>
            <w:spacing w:val="-1"/>
            <w:lang w:val="pt-BR" w:eastAsia="ko-KR"/>
          </w:rPr>
          <w:t>013</w:t>
        </w:r>
        <w:r>
          <w:rPr>
            <w:rFonts w:eastAsia="맑은 고딕" w:hint="eastAsia"/>
            <w:spacing w:val="-1"/>
            <w:lang w:val="pt-BR" w:eastAsia="ko-KR"/>
          </w:rPr>
          <w:t xml:space="preserve"> 2</w:t>
        </w:r>
        <w:r>
          <w:rPr>
            <w:rFonts w:eastAsia="맑은 고딕"/>
            <w:spacing w:val="-1"/>
            <w:lang w:val="pt-BR" w:eastAsia="ko-KR"/>
          </w:rPr>
          <w:t xml:space="preserve"> předplněné injekční stříkačky</w:t>
        </w:r>
      </w:ins>
    </w:p>
    <w:p w14:paraId="34964C68" w14:textId="77777777" w:rsidR="00222DE0" w:rsidRPr="005A5001" w:rsidRDefault="00222DE0" w:rsidP="009420EF">
      <w:pPr>
        <w:pStyle w:val="a3"/>
        <w:widowControl/>
        <w:ind w:left="0"/>
      </w:pPr>
    </w:p>
    <w:p w14:paraId="04FDF692" w14:textId="77777777" w:rsidR="00947CC2" w:rsidRPr="009420EF" w:rsidRDefault="00947CC2" w:rsidP="009420EF">
      <w:pPr>
        <w:pStyle w:val="a3"/>
        <w:widowControl/>
        <w:ind w:left="0"/>
      </w:pPr>
    </w:p>
    <w:p w14:paraId="1DE8E8C7" w14:textId="77777777" w:rsidR="00947CC2" w:rsidRPr="009420EF" w:rsidRDefault="00947CC2" w:rsidP="009420EF">
      <w:pPr>
        <w:pStyle w:val="BoxedHeading"/>
      </w:pPr>
      <w:r w:rsidRPr="009420EF">
        <w:t>13.</w:t>
      </w:r>
      <w:r w:rsidRPr="009420EF">
        <w:tab/>
        <w:t>ČÍSLO ŠARŽE</w:t>
      </w:r>
    </w:p>
    <w:p w14:paraId="0B36D471" w14:textId="77777777" w:rsidR="005B12D9" w:rsidRPr="009420EF" w:rsidRDefault="005B12D9" w:rsidP="009420EF">
      <w:pPr>
        <w:pStyle w:val="a3"/>
        <w:widowControl/>
        <w:ind w:left="0"/>
      </w:pPr>
    </w:p>
    <w:p w14:paraId="5180A4BA" w14:textId="77777777" w:rsidR="00222DE0" w:rsidRPr="009420EF" w:rsidRDefault="0098273B" w:rsidP="009420EF">
      <w:pPr>
        <w:pStyle w:val="a3"/>
        <w:widowControl/>
        <w:ind w:left="0"/>
      </w:pPr>
      <w:r w:rsidRPr="009420EF">
        <w:t>č.š.:</w:t>
      </w:r>
    </w:p>
    <w:p w14:paraId="4F3C5DD1" w14:textId="77777777" w:rsidR="00222DE0" w:rsidRPr="009420EF" w:rsidRDefault="00222DE0" w:rsidP="009420EF">
      <w:pPr>
        <w:pStyle w:val="a3"/>
        <w:widowControl/>
        <w:ind w:left="0"/>
      </w:pPr>
    </w:p>
    <w:p w14:paraId="59E80A7E" w14:textId="77777777" w:rsidR="005B12D9" w:rsidRPr="009420EF" w:rsidRDefault="005B12D9" w:rsidP="009420EF">
      <w:pPr>
        <w:pStyle w:val="a3"/>
        <w:widowControl/>
        <w:ind w:left="0"/>
      </w:pPr>
    </w:p>
    <w:p w14:paraId="35E76F5F" w14:textId="77777777" w:rsidR="005B12D9" w:rsidRPr="009420EF" w:rsidRDefault="005B12D9" w:rsidP="009420EF">
      <w:pPr>
        <w:pStyle w:val="BoxedHeading"/>
      </w:pPr>
      <w:r w:rsidRPr="009420EF">
        <w:t>14.</w:t>
      </w:r>
      <w:r w:rsidRPr="009420EF">
        <w:tab/>
        <w:t>KLASIFIKACE PRO VÝDEJ</w:t>
      </w:r>
    </w:p>
    <w:p w14:paraId="0AA8630F" w14:textId="77777777" w:rsidR="00222DE0" w:rsidRPr="009420EF" w:rsidRDefault="00222DE0" w:rsidP="009420EF">
      <w:pPr>
        <w:pStyle w:val="a3"/>
        <w:widowControl/>
        <w:ind w:left="0"/>
      </w:pPr>
    </w:p>
    <w:p w14:paraId="78ECFE3A" w14:textId="77777777" w:rsidR="008F2952" w:rsidRPr="009420EF" w:rsidRDefault="008F2952" w:rsidP="009420EF">
      <w:pPr>
        <w:pStyle w:val="a3"/>
        <w:widowControl/>
        <w:ind w:left="0"/>
      </w:pPr>
    </w:p>
    <w:p w14:paraId="36E1F7B9" w14:textId="77777777" w:rsidR="008F2952" w:rsidRPr="009420EF" w:rsidRDefault="008F2952" w:rsidP="009420EF">
      <w:pPr>
        <w:pStyle w:val="BoxedHeading"/>
      </w:pPr>
      <w:r w:rsidRPr="009420EF">
        <w:t>15.</w:t>
      </w:r>
      <w:r w:rsidRPr="009420EF">
        <w:tab/>
        <w:t>NÁVOD K POUŽITÍ</w:t>
      </w:r>
    </w:p>
    <w:p w14:paraId="15E94967" w14:textId="77777777" w:rsidR="00222DE0" w:rsidRPr="009420EF" w:rsidRDefault="00222DE0" w:rsidP="009420EF">
      <w:pPr>
        <w:pStyle w:val="a3"/>
        <w:widowControl/>
        <w:ind w:left="0"/>
      </w:pPr>
    </w:p>
    <w:p w14:paraId="31B1BC0D" w14:textId="77777777" w:rsidR="008F2952" w:rsidRPr="009420EF" w:rsidRDefault="008F2952" w:rsidP="009420EF">
      <w:pPr>
        <w:pStyle w:val="a3"/>
        <w:widowControl/>
        <w:ind w:left="0"/>
      </w:pPr>
    </w:p>
    <w:p w14:paraId="0A880B14" w14:textId="77777777" w:rsidR="008F2952" w:rsidRPr="009420EF" w:rsidRDefault="008F2952" w:rsidP="009420EF">
      <w:pPr>
        <w:pStyle w:val="BoxedHeading"/>
      </w:pPr>
      <w:r w:rsidRPr="009420EF">
        <w:t>16.</w:t>
      </w:r>
      <w:r w:rsidRPr="009420EF">
        <w:tab/>
        <w:t>INFORMACE V BRAILLOVĚ PÍSMU</w:t>
      </w:r>
    </w:p>
    <w:p w14:paraId="201DB544" w14:textId="77777777" w:rsidR="007B7375" w:rsidRPr="009420EF" w:rsidRDefault="007B7375" w:rsidP="009420EF">
      <w:pPr>
        <w:pStyle w:val="a3"/>
        <w:widowControl/>
        <w:ind w:left="0"/>
      </w:pPr>
    </w:p>
    <w:p w14:paraId="2EBFB19E" w14:textId="6C6004BF" w:rsidR="00222DE0" w:rsidRPr="009420EF" w:rsidRDefault="00266CA2" w:rsidP="009420EF">
      <w:pPr>
        <w:pStyle w:val="a3"/>
        <w:widowControl/>
        <w:ind w:left="0"/>
      </w:pPr>
      <w:r>
        <w:t>avtozma</w:t>
      </w:r>
      <w:r w:rsidR="0098273B" w:rsidRPr="009420EF">
        <w:t xml:space="preserve"> 162 mg</w:t>
      </w:r>
    </w:p>
    <w:p w14:paraId="0B0DD1EB" w14:textId="77777777" w:rsidR="00222DE0" w:rsidRPr="009420EF" w:rsidRDefault="00222DE0" w:rsidP="009420EF">
      <w:pPr>
        <w:pStyle w:val="a3"/>
        <w:widowControl/>
        <w:ind w:left="0"/>
      </w:pPr>
    </w:p>
    <w:p w14:paraId="2C3ADDD8" w14:textId="77777777" w:rsidR="009A199A" w:rsidRPr="009420EF" w:rsidRDefault="009A199A" w:rsidP="009420EF">
      <w:pPr>
        <w:pStyle w:val="a3"/>
        <w:widowControl/>
        <w:ind w:left="0"/>
      </w:pPr>
    </w:p>
    <w:p w14:paraId="695D6728" w14:textId="77777777" w:rsidR="009A199A" w:rsidRPr="009420EF" w:rsidRDefault="009A199A" w:rsidP="009420EF">
      <w:pPr>
        <w:pStyle w:val="BoxedHeading"/>
      </w:pPr>
      <w:r w:rsidRPr="009420EF">
        <w:t>17.</w:t>
      </w:r>
      <w:r w:rsidRPr="009420EF">
        <w:tab/>
        <w:t>JEDINEČNÝ IDENTIFIKÁTOR – 2D ČÁROVÝ KÓD</w:t>
      </w:r>
    </w:p>
    <w:p w14:paraId="3F4B5282" w14:textId="77777777" w:rsidR="00222DE0" w:rsidRPr="009420EF" w:rsidRDefault="00222DE0" w:rsidP="009420EF">
      <w:pPr>
        <w:pStyle w:val="a3"/>
        <w:widowControl/>
        <w:ind w:left="0"/>
      </w:pPr>
    </w:p>
    <w:p w14:paraId="47A90B0F" w14:textId="3C166239" w:rsidR="00222DE0" w:rsidRDefault="0098273B" w:rsidP="009420EF">
      <w:pPr>
        <w:rPr>
          <w:rFonts w:eastAsia="맑은 고딕"/>
          <w:highlight w:val="lightGray"/>
          <w:lang w:eastAsia="ko-KR"/>
        </w:rPr>
      </w:pPr>
      <w:r>
        <w:rPr>
          <w:highlight w:val="lightGray"/>
        </w:rPr>
        <w:t>2D čárový kód s jedinečným identifikátorem.</w:t>
      </w:r>
    </w:p>
    <w:p w14:paraId="3B1A2361" w14:textId="77777777" w:rsidR="00222DE0" w:rsidRPr="00B0338A" w:rsidRDefault="00222DE0" w:rsidP="009420EF">
      <w:pPr>
        <w:pStyle w:val="a3"/>
        <w:widowControl/>
        <w:ind w:left="0"/>
      </w:pPr>
    </w:p>
    <w:p w14:paraId="74CC0D69" w14:textId="77777777" w:rsidR="009A199A" w:rsidRPr="009420EF" w:rsidRDefault="009A199A" w:rsidP="009420EF">
      <w:pPr>
        <w:pStyle w:val="a3"/>
        <w:widowControl/>
        <w:ind w:left="0"/>
      </w:pPr>
    </w:p>
    <w:p w14:paraId="532B78CB" w14:textId="77777777" w:rsidR="009A199A" w:rsidRPr="009420EF" w:rsidRDefault="009A199A" w:rsidP="009420EF">
      <w:pPr>
        <w:pStyle w:val="BoxedHeading"/>
        <w:rPr>
          <w:bCs w:val="0"/>
        </w:rPr>
      </w:pPr>
      <w:r w:rsidRPr="009420EF">
        <w:t>18.</w:t>
      </w:r>
      <w:r w:rsidRPr="009420EF">
        <w:tab/>
      </w:r>
      <w:r w:rsidRPr="009420EF">
        <w:rPr>
          <w:bCs w:val="0"/>
        </w:rPr>
        <w:t>JEDINEČNÝ IDENTIFIKÁTOR – DATA ČITELNÁ OKEM</w:t>
      </w:r>
    </w:p>
    <w:p w14:paraId="45C5E321" w14:textId="77777777" w:rsidR="00C8011E" w:rsidRPr="009420EF" w:rsidRDefault="00C8011E" w:rsidP="009420EF">
      <w:pPr>
        <w:pStyle w:val="a3"/>
        <w:widowControl/>
        <w:ind w:left="0"/>
        <w:jc w:val="both"/>
      </w:pPr>
    </w:p>
    <w:p w14:paraId="53A74B98" w14:textId="77777777" w:rsidR="00C8011E" w:rsidRPr="009420EF" w:rsidRDefault="0098273B" w:rsidP="009420EF">
      <w:pPr>
        <w:pStyle w:val="a3"/>
        <w:widowControl/>
        <w:ind w:left="0"/>
        <w:jc w:val="both"/>
      </w:pPr>
      <w:r w:rsidRPr="009420EF">
        <w:t>PC</w:t>
      </w:r>
    </w:p>
    <w:p w14:paraId="540BE18E" w14:textId="77777777" w:rsidR="00C8011E" w:rsidRPr="009420EF" w:rsidRDefault="0098273B" w:rsidP="009420EF">
      <w:pPr>
        <w:pStyle w:val="a3"/>
        <w:widowControl/>
        <w:ind w:left="0"/>
        <w:jc w:val="both"/>
      </w:pPr>
      <w:r w:rsidRPr="009420EF">
        <w:t>SN</w:t>
      </w:r>
    </w:p>
    <w:p w14:paraId="66D8EE88" w14:textId="77777777" w:rsidR="00222DE0" w:rsidRPr="00B93217" w:rsidRDefault="0098273B" w:rsidP="009420EF">
      <w:r w:rsidRPr="008A10A6">
        <w:rPr>
          <w:highlight w:val="lightGray"/>
        </w:rPr>
        <w:t>NN</w:t>
      </w:r>
    </w:p>
    <w:p w14:paraId="2B43D177" w14:textId="77777777" w:rsidR="00C8011E" w:rsidRPr="009420EF" w:rsidRDefault="00C8011E" w:rsidP="009420EF">
      <w:pPr>
        <w:widowControl/>
        <w:jc w:val="both"/>
      </w:pPr>
      <w:r w:rsidRPr="009420EF">
        <w:lastRenderedPageBreak/>
        <w:br w:type="page"/>
      </w:r>
    </w:p>
    <w:p w14:paraId="63C797F2" w14:textId="77777777" w:rsidR="004D25EC" w:rsidRPr="009420EF" w:rsidRDefault="004D25EC" w:rsidP="009420EF">
      <w:pPr>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7B1D1752" w14:textId="77777777" w:rsidR="004D25EC" w:rsidRPr="009420EF" w:rsidRDefault="004D25EC" w:rsidP="009420EF">
      <w:pPr>
        <w:pBdr>
          <w:top w:val="single" w:sz="4" w:space="1" w:color="auto"/>
          <w:left w:val="single" w:sz="4" w:space="4" w:color="auto"/>
          <w:bottom w:val="single" w:sz="4" w:space="1" w:color="auto"/>
          <w:right w:val="single" w:sz="4" w:space="4" w:color="auto"/>
        </w:pBdr>
        <w:rPr>
          <w:b/>
          <w:bCs/>
        </w:rPr>
      </w:pPr>
    </w:p>
    <w:p w14:paraId="2614A106" w14:textId="41C2E765" w:rsidR="004D25EC" w:rsidRPr="009420EF" w:rsidRDefault="004D25EC" w:rsidP="009420EF">
      <w:pPr>
        <w:pBdr>
          <w:top w:val="single" w:sz="4" w:space="1" w:color="auto"/>
          <w:left w:val="single" w:sz="4" w:space="4" w:color="auto"/>
          <w:bottom w:val="single" w:sz="4" w:space="1" w:color="auto"/>
          <w:right w:val="single" w:sz="4" w:space="4" w:color="auto"/>
        </w:pBdr>
        <w:rPr>
          <w:b/>
          <w:bCs/>
        </w:rPr>
      </w:pPr>
      <w:r w:rsidRPr="009420EF">
        <w:rPr>
          <w:b/>
        </w:rPr>
        <w:t>KRABIČKA PŘEDPLNĚNÉ INJEKČNÍ STŘÍKAČKY (S BLUEBOXEM) – Více</w:t>
      </w:r>
      <w:r w:rsidR="00FD2E4D">
        <w:rPr>
          <w:b/>
        </w:rPr>
        <w:t>četné</w:t>
      </w:r>
      <w:r w:rsidRPr="009420EF">
        <w:rPr>
          <w:b/>
        </w:rPr>
        <w:t xml:space="preserve"> balení</w:t>
      </w:r>
    </w:p>
    <w:p w14:paraId="00721CF4" w14:textId="77777777" w:rsidR="00EE107F" w:rsidRPr="009420EF" w:rsidRDefault="00EE107F" w:rsidP="009420EF">
      <w:pPr>
        <w:pStyle w:val="a3"/>
        <w:widowControl/>
        <w:ind w:left="0"/>
      </w:pPr>
    </w:p>
    <w:p w14:paraId="34CD71D7" w14:textId="77777777" w:rsidR="00A50DDD" w:rsidRPr="009420EF" w:rsidRDefault="00A50DDD" w:rsidP="009420EF">
      <w:pPr>
        <w:pStyle w:val="a3"/>
        <w:widowControl/>
        <w:ind w:left="0"/>
      </w:pPr>
    </w:p>
    <w:p w14:paraId="48951D99" w14:textId="77777777" w:rsidR="00A50DDD" w:rsidRPr="009420EF" w:rsidRDefault="00A50DDD" w:rsidP="009420EF">
      <w:pPr>
        <w:pStyle w:val="BoxedHeading"/>
        <w:rPr>
          <w:bCs w:val="0"/>
        </w:rPr>
      </w:pPr>
      <w:r w:rsidRPr="009420EF">
        <w:t>1.</w:t>
      </w:r>
      <w:r w:rsidRPr="009420EF">
        <w:tab/>
      </w:r>
      <w:r w:rsidRPr="009420EF">
        <w:rPr>
          <w:bCs w:val="0"/>
        </w:rPr>
        <w:t>NÁZEV LÉČIVÉHO PŘÍPRAVKU</w:t>
      </w:r>
    </w:p>
    <w:p w14:paraId="1B9D496B" w14:textId="77777777" w:rsidR="00A50DDD" w:rsidRPr="009420EF" w:rsidRDefault="00A50DDD" w:rsidP="009420EF">
      <w:pPr>
        <w:pStyle w:val="a3"/>
        <w:keepNext/>
        <w:widowControl/>
        <w:ind w:left="0"/>
      </w:pPr>
    </w:p>
    <w:p w14:paraId="7C164CF5" w14:textId="3AA31649" w:rsidR="00222DE0" w:rsidRPr="009420EF" w:rsidRDefault="00266CA2" w:rsidP="009420EF">
      <w:pPr>
        <w:pStyle w:val="a3"/>
        <w:widowControl/>
        <w:ind w:left="0"/>
      </w:pPr>
      <w:r>
        <w:t>Avtozma</w:t>
      </w:r>
      <w:r w:rsidR="0098273B" w:rsidRPr="009420EF">
        <w:t xml:space="preserve"> 162 mg injekční roztok v předplněné injekční stříkačce</w:t>
      </w:r>
    </w:p>
    <w:p w14:paraId="7E9350F4" w14:textId="6D33DA7E" w:rsidR="00222DE0" w:rsidRPr="009420EF" w:rsidRDefault="0098273B" w:rsidP="009420EF">
      <w:pPr>
        <w:pStyle w:val="a3"/>
        <w:widowControl/>
        <w:ind w:left="0"/>
      </w:pPr>
      <w:r w:rsidRPr="009420EF">
        <w:t>tocilizumab</w:t>
      </w:r>
    </w:p>
    <w:p w14:paraId="7495ADE1" w14:textId="77777777" w:rsidR="00222DE0" w:rsidRDefault="00222DE0" w:rsidP="009420EF">
      <w:pPr>
        <w:pStyle w:val="a3"/>
        <w:widowControl/>
        <w:ind w:left="0"/>
      </w:pPr>
    </w:p>
    <w:p w14:paraId="2D3C79B7" w14:textId="77777777" w:rsidR="002D70D4" w:rsidRPr="009420EF" w:rsidRDefault="002D70D4" w:rsidP="009420EF">
      <w:pPr>
        <w:pStyle w:val="a3"/>
        <w:widowControl/>
        <w:ind w:left="0"/>
      </w:pPr>
    </w:p>
    <w:p w14:paraId="04162764" w14:textId="77777777" w:rsidR="00A50DDD" w:rsidRPr="009420EF" w:rsidRDefault="00A50DDD" w:rsidP="009420EF">
      <w:pPr>
        <w:pStyle w:val="BoxedHeading"/>
        <w:rPr>
          <w:bCs w:val="0"/>
        </w:rPr>
      </w:pPr>
      <w:r w:rsidRPr="009420EF">
        <w:t>2.</w:t>
      </w:r>
      <w:r w:rsidRPr="009420EF">
        <w:tab/>
      </w:r>
      <w:r w:rsidRPr="009420EF">
        <w:rPr>
          <w:bCs w:val="0"/>
        </w:rPr>
        <w:t>OBSAH LÉČIVÉ LÁTKY/LÉČIVÝCH LÁTEK</w:t>
      </w:r>
    </w:p>
    <w:p w14:paraId="60F1ECDC" w14:textId="77777777" w:rsidR="00B05EBE" w:rsidRPr="009420EF" w:rsidRDefault="00B05EBE" w:rsidP="009420EF">
      <w:pPr>
        <w:pStyle w:val="a3"/>
        <w:widowControl/>
        <w:ind w:left="0"/>
      </w:pPr>
    </w:p>
    <w:p w14:paraId="3C18A357" w14:textId="7951F494" w:rsidR="00222DE0" w:rsidRPr="009420EF" w:rsidRDefault="0098273B" w:rsidP="009420EF">
      <w:pPr>
        <w:pStyle w:val="a3"/>
        <w:widowControl/>
        <w:ind w:left="0"/>
      </w:pPr>
      <w:r w:rsidRPr="009420EF">
        <w:t xml:space="preserve">Jedna předplněná injekční stříkačka obsahuje </w:t>
      </w:r>
      <w:r w:rsidR="008E598F" w:rsidRPr="009420EF">
        <w:t xml:space="preserve">162 mg </w:t>
      </w:r>
      <w:r w:rsidRPr="009420EF">
        <w:t>tocilizumabu.</w:t>
      </w:r>
    </w:p>
    <w:p w14:paraId="183F1E45" w14:textId="77777777" w:rsidR="00222DE0" w:rsidRDefault="00222DE0" w:rsidP="009420EF">
      <w:pPr>
        <w:pStyle w:val="a3"/>
        <w:widowControl/>
        <w:ind w:left="0"/>
      </w:pPr>
    </w:p>
    <w:p w14:paraId="4878F27D" w14:textId="77777777" w:rsidR="002D70D4" w:rsidRPr="009420EF" w:rsidRDefault="002D70D4" w:rsidP="009420EF">
      <w:pPr>
        <w:pStyle w:val="a3"/>
        <w:widowControl/>
        <w:ind w:left="0"/>
      </w:pPr>
    </w:p>
    <w:p w14:paraId="62FB92CE" w14:textId="77777777" w:rsidR="00E8026E" w:rsidRPr="009420EF" w:rsidRDefault="00E8026E" w:rsidP="009420EF">
      <w:pPr>
        <w:pStyle w:val="BoxedHeading"/>
        <w:rPr>
          <w:bCs w:val="0"/>
        </w:rPr>
      </w:pPr>
      <w:r w:rsidRPr="009420EF">
        <w:t>3.</w:t>
      </w:r>
      <w:r w:rsidRPr="009420EF">
        <w:tab/>
      </w:r>
      <w:r w:rsidRPr="009420EF">
        <w:rPr>
          <w:bCs w:val="0"/>
        </w:rPr>
        <w:t>SEZNAM POMOCNÝCH LÁTEK</w:t>
      </w:r>
    </w:p>
    <w:p w14:paraId="683BCA2A" w14:textId="77777777" w:rsidR="00D94037" w:rsidRPr="009420EF" w:rsidRDefault="00D94037" w:rsidP="009420EF">
      <w:pPr>
        <w:pStyle w:val="a3"/>
        <w:widowControl/>
        <w:ind w:left="0"/>
      </w:pPr>
    </w:p>
    <w:p w14:paraId="55A52654" w14:textId="307DC10E" w:rsidR="00266CA2" w:rsidRPr="009420EF" w:rsidRDefault="00266CA2" w:rsidP="00266CA2">
      <w:pPr>
        <w:pStyle w:val="a3"/>
        <w:widowControl/>
        <w:ind w:left="0"/>
      </w:pPr>
      <w:r>
        <w:t>Pomocné látky: L-Histidin,</w:t>
      </w:r>
      <w:r w:rsidR="00395E0C">
        <w:rPr>
          <w:rFonts w:eastAsia="맑은 고딕" w:hint="eastAsia"/>
          <w:lang w:eastAsia="ko-KR"/>
        </w:rPr>
        <w:t xml:space="preserve"> </w:t>
      </w:r>
      <w:r w:rsidR="00AD6345" w:rsidRPr="00AD6345">
        <w:rPr>
          <w:rFonts w:eastAsia="맑은 고딕" w:hint="eastAsia"/>
          <w:lang w:eastAsia="ko-KR"/>
        </w:rPr>
        <w:t>Monohydrát histidin-hydrochloridu</w:t>
      </w:r>
      <w:r w:rsidR="00395E0C">
        <w:rPr>
          <w:rFonts w:eastAsia="맑은 고딕" w:hint="eastAsia"/>
          <w:lang w:eastAsia="ko-KR"/>
        </w:rPr>
        <w:t>,</w:t>
      </w:r>
      <w:r>
        <w:t xml:space="preserve"> L-Threonin, L-Methionin, p</w:t>
      </w:r>
      <w:r w:rsidRPr="009420EF">
        <w:t>olysorbát 80, voda pro injekci</w:t>
      </w:r>
      <w:r w:rsidRPr="009420EF">
        <w:rPr>
          <w:color w:val="000000"/>
        </w:rPr>
        <w:t>.</w:t>
      </w:r>
      <w:r>
        <w:rPr>
          <w:color w:val="000000"/>
        </w:rPr>
        <w:t xml:space="preserve"> </w:t>
      </w:r>
      <w:r w:rsidRPr="009420EF">
        <w:t>Další údaje naleznete v příbalové informaci.</w:t>
      </w:r>
    </w:p>
    <w:p w14:paraId="7F0E7CC5" w14:textId="77777777" w:rsidR="00222DE0" w:rsidRDefault="00222DE0" w:rsidP="009420EF">
      <w:pPr>
        <w:pStyle w:val="a3"/>
        <w:widowControl/>
        <w:ind w:left="0"/>
      </w:pPr>
    </w:p>
    <w:p w14:paraId="69D58541" w14:textId="77777777" w:rsidR="002D70D4" w:rsidRPr="009420EF" w:rsidRDefault="002D70D4" w:rsidP="009420EF">
      <w:pPr>
        <w:pStyle w:val="a3"/>
        <w:widowControl/>
        <w:ind w:left="0"/>
      </w:pPr>
    </w:p>
    <w:p w14:paraId="3F65F9D6" w14:textId="77777777" w:rsidR="00E8026E" w:rsidRPr="009420EF" w:rsidRDefault="00E8026E" w:rsidP="009420EF">
      <w:pPr>
        <w:pStyle w:val="BoxedHeading"/>
      </w:pPr>
      <w:r w:rsidRPr="009420EF">
        <w:t>4.</w:t>
      </w:r>
      <w:r w:rsidRPr="009420EF">
        <w:tab/>
        <w:t>LÉKOVÁ FORMA A OBSAH BALENÍ</w:t>
      </w:r>
    </w:p>
    <w:p w14:paraId="462E5DCF" w14:textId="77777777" w:rsidR="00D94037" w:rsidRPr="009420EF" w:rsidRDefault="00D94037" w:rsidP="009420EF">
      <w:pPr>
        <w:pStyle w:val="a3"/>
        <w:widowControl/>
        <w:ind w:left="0"/>
      </w:pPr>
    </w:p>
    <w:p w14:paraId="7BD1AA95" w14:textId="77777777" w:rsidR="00222DE0" w:rsidRPr="009420EF" w:rsidRDefault="0098273B" w:rsidP="009420EF">
      <w:pPr>
        <w:pStyle w:val="a3"/>
        <w:widowControl/>
        <w:ind w:left="0"/>
      </w:pPr>
      <w:r w:rsidRPr="009420EF">
        <w:t>Injekční roztok v předplněné injekční stříkačce</w:t>
      </w:r>
    </w:p>
    <w:p w14:paraId="358A14E9" w14:textId="77777777" w:rsidR="00222DE0" w:rsidRPr="009420EF" w:rsidRDefault="0098273B" w:rsidP="009420EF">
      <w:pPr>
        <w:pStyle w:val="a3"/>
        <w:widowControl/>
        <w:ind w:left="0"/>
      </w:pPr>
      <w:r w:rsidRPr="009420EF">
        <w:t>Vícenásobné balení: 12 (3 balení po 4) předplněných injekčních stříkaček</w:t>
      </w:r>
    </w:p>
    <w:p w14:paraId="0D50EF03" w14:textId="77777777" w:rsidR="00222DE0" w:rsidRPr="009420EF" w:rsidRDefault="0098273B" w:rsidP="009420EF">
      <w:pPr>
        <w:pStyle w:val="a3"/>
        <w:widowControl/>
        <w:ind w:left="0"/>
      </w:pPr>
      <w:r w:rsidRPr="009420EF">
        <w:t>162 mg/0,9 ml</w:t>
      </w:r>
    </w:p>
    <w:p w14:paraId="74EDFAB0" w14:textId="77777777" w:rsidR="00222DE0" w:rsidRDefault="00222DE0" w:rsidP="009420EF">
      <w:pPr>
        <w:pStyle w:val="a3"/>
        <w:widowControl/>
        <w:ind w:left="0"/>
      </w:pPr>
    </w:p>
    <w:p w14:paraId="68B71F68" w14:textId="77777777" w:rsidR="002D70D4" w:rsidRPr="009420EF" w:rsidRDefault="002D70D4" w:rsidP="009420EF">
      <w:pPr>
        <w:pStyle w:val="a3"/>
        <w:widowControl/>
        <w:ind w:left="0"/>
      </w:pPr>
    </w:p>
    <w:p w14:paraId="543CC128" w14:textId="77777777" w:rsidR="00E8026E" w:rsidRPr="009420EF" w:rsidRDefault="00E8026E" w:rsidP="009420EF">
      <w:pPr>
        <w:pStyle w:val="BoxedHeading"/>
        <w:rPr>
          <w:bCs w:val="0"/>
        </w:rPr>
      </w:pPr>
      <w:r w:rsidRPr="009420EF">
        <w:t>5.</w:t>
      </w:r>
      <w:r w:rsidRPr="009420EF">
        <w:tab/>
      </w:r>
      <w:r w:rsidRPr="009420EF">
        <w:rPr>
          <w:bCs w:val="0"/>
        </w:rPr>
        <w:t>ZPŮSOB A CESTA/CESTY PODÁNÍ</w:t>
      </w:r>
    </w:p>
    <w:p w14:paraId="39CAF658" w14:textId="77777777" w:rsidR="00D94037" w:rsidRPr="009420EF" w:rsidRDefault="00D94037" w:rsidP="009420EF">
      <w:pPr>
        <w:pStyle w:val="a3"/>
        <w:widowControl/>
        <w:ind w:left="0"/>
      </w:pPr>
    </w:p>
    <w:p w14:paraId="3A596D81" w14:textId="77777777" w:rsidR="00222DE0" w:rsidRPr="009420EF" w:rsidRDefault="0098273B" w:rsidP="009420EF">
      <w:pPr>
        <w:pStyle w:val="a3"/>
        <w:widowControl/>
        <w:ind w:left="0"/>
      </w:pPr>
      <w:r w:rsidRPr="009420EF">
        <w:t>Subkutánní podání</w:t>
      </w:r>
    </w:p>
    <w:p w14:paraId="13CAB80C" w14:textId="77777777" w:rsidR="00222DE0" w:rsidRPr="009420EF" w:rsidRDefault="0098273B" w:rsidP="009420EF">
      <w:pPr>
        <w:pStyle w:val="a3"/>
        <w:widowControl/>
        <w:ind w:left="0"/>
      </w:pPr>
      <w:r w:rsidRPr="009420EF">
        <w:t>Před použitím si přečtěte příbalovou informaci</w:t>
      </w:r>
    </w:p>
    <w:p w14:paraId="63035117" w14:textId="77777777" w:rsidR="00222DE0" w:rsidRPr="009420EF" w:rsidRDefault="00222DE0" w:rsidP="009420EF">
      <w:pPr>
        <w:pStyle w:val="a3"/>
        <w:widowControl/>
        <w:ind w:left="0"/>
      </w:pPr>
    </w:p>
    <w:p w14:paraId="114ACA0E" w14:textId="77777777" w:rsidR="00E8026E" w:rsidRPr="009420EF" w:rsidRDefault="00E8026E" w:rsidP="009420EF">
      <w:pPr>
        <w:pStyle w:val="a3"/>
        <w:widowControl/>
        <w:ind w:left="0"/>
      </w:pPr>
    </w:p>
    <w:p w14:paraId="7D3647BC" w14:textId="77777777" w:rsidR="00E8026E" w:rsidRPr="009420EF" w:rsidRDefault="00E8026E" w:rsidP="009420EF">
      <w:pPr>
        <w:pStyle w:val="BoxedHeading"/>
        <w:rPr>
          <w:bCs w:val="0"/>
        </w:rPr>
      </w:pPr>
      <w:r w:rsidRPr="009420EF">
        <w:t>6.</w:t>
      </w:r>
      <w:r w:rsidRPr="009420EF">
        <w:tab/>
      </w:r>
      <w:r w:rsidRPr="009420EF">
        <w:rPr>
          <w:bCs w:val="0"/>
        </w:rPr>
        <w:t>ZVLÁŠTNÍ UPOZORNĚNÍ, ŽE LÉČIVÝ PŘÍPRAVEK MUSÍ BÝT UCHOVÁVÁN MIMO DOHLED A DOSAH DĚTÍ</w:t>
      </w:r>
    </w:p>
    <w:p w14:paraId="266AF088" w14:textId="77777777" w:rsidR="00D94037" w:rsidRPr="009420EF" w:rsidRDefault="00D94037" w:rsidP="009420EF">
      <w:pPr>
        <w:pStyle w:val="a3"/>
        <w:widowControl/>
        <w:ind w:left="0"/>
      </w:pPr>
    </w:p>
    <w:p w14:paraId="6F9A6759" w14:textId="77777777" w:rsidR="00222DE0" w:rsidRPr="009420EF" w:rsidRDefault="0098273B" w:rsidP="009420EF">
      <w:pPr>
        <w:pStyle w:val="a3"/>
        <w:widowControl/>
        <w:ind w:left="0"/>
      </w:pPr>
      <w:r w:rsidRPr="009420EF">
        <w:t>Uchovávejte mimo dohled a dosah dětí</w:t>
      </w:r>
    </w:p>
    <w:p w14:paraId="117BA849" w14:textId="77777777" w:rsidR="00222DE0" w:rsidRDefault="00222DE0" w:rsidP="009420EF">
      <w:pPr>
        <w:pStyle w:val="a3"/>
        <w:widowControl/>
        <w:ind w:left="0"/>
      </w:pPr>
    </w:p>
    <w:p w14:paraId="4FF3C22C" w14:textId="77777777" w:rsidR="002D70D4" w:rsidRPr="009420EF" w:rsidRDefault="002D70D4" w:rsidP="009420EF">
      <w:pPr>
        <w:pStyle w:val="a3"/>
        <w:widowControl/>
        <w:ind w:left="0"/>
      </w:pPr>
    </w:p>
    <w:p w14:paraId="556D0107" w14:textId="77777777" w:rsidR="00BB6117" w:rsidRPr="009420EF" w:rsidRDefault="00BB6117" w:rsidP="009420EF">
      <w:pPr>
        <w:pStyle w:val="BoxedHeading"/>
      </w:pPr>
      <w:r w:rsidRPr="009420EF">
        <w:t>7.</w:t>
      </w:r>
      <w:r w:rsidRPr="009420EF">
        <w:tab/>
        <w:t>DALŠÍ ZVLÁŠTNÍ UPOZORNĚNÍ, POKUD JE POTŘEBNÉ</w:t>
      </w:r>
    </w:p>
    <w:p w14:paraId="51CD4AB9" w14:textId="77777777" w:rsidR="00BB6117" w:rsidRPr="009420EF" w:rsidRDefault="00BB6117" w:rsidP="009420EF">
      <w:pPr>
        <w:pStyle w:val="a3"/>
        <w:widowControl/>
        <w:ind w:left="0"/>
      </w:pPr>
    </w:p>
    <w:p w14:paraId="4BB88B99" w14:textId="74A3A775" w:rsidR="00222DE0" w:rsidRPr="009420EF" w:rsidRDefault="0098273B" w:rsidP="009420EF">
      <w:pPr>
        <w:pStyle w:val="a3"/>
        <w:widowControl/>
        <w:ind w:left="0"/>
      </w:pPr>
      <w:r w:rsidRPr="009420EF">
        <w:t>Před podáním vyjměte injekční stříkačku z krabičky a ponechejte 30 minut mimo chladničku, až</w:t>
      </w:r>
      <w:r w:rsidR="00A93172" w:rsidRPr="009420EF">
        <w:t xml:space="preserve"> </w:t>
      </w:r>
      <w:r w:rsidRPr="009420EF">
        <w:t>dosáhne pokojové teploty</w:t>
      </w:r>
    </w:p>
    <w:p w14:paraId="01D0581C" w14:textId="77777777" w:rsidR="00222DE0" w:rsidRDefault="00222DE0" w:rsidP="009420EF">
      <w:pPr>
        <w:pStyle w:val="a3"/>
        <w:widowControl/>
        <w:ind w:left="0"/>
      </w:pPr>
    </w:p>
    <w:p w14:paraId="30D0D063" w14:textId="77777777" w:rsidR="002D70D4" w:rsidRPr="009420EF" w:rsidRDefault="002D70D4" w:rsidP="009420EF">
      <w:pPr>
        <w:pStyle w:val="a3"/>
        <w:widowControl/>
        <w:ind w:left="0"/>
      </w:pPr>
    </w:p>
    <w:p w14:paraId="55D731DE" w14:textId="77777777" w:rsidR="00C67C2B" w:rsidRPr="009420EF" w:rsidRDefault="00C67C2B" w:rsidP="009420EF">
      <w:pPr>
        <w:pStyle w:val="BoxedHeading"/>
        <w:rPr>
          <w:bCs w:val="0"/>
        </w:rPr>
      </w:pPr>
      <w:r w:rsidRPr="009420EF">
        <w:t>8.</w:t>
      </w:r>
      <w:r w:rsidRPr="009420EF">
        <w:tab/>
      </w:r>
      <w:r w:rsidRPr="009420EF">
        <w:rPr>
          <w:bCs w:val="0"/>
        </w:rPr>
        <w:t>POUŽITELNOST</w:t>
      </w:r>
    </w:p>
    <w:p w14:paraId="3BA10291" w14:textId="77777777" w:rsidR="00A93172" w:rsidRPr="009420EF" w:rsidRDefault="00A93172" w:rsidP="009420EF">
      <w:pPr>
        <w:pStyle w:val="a3"/>
        <w:widowControl/>
        <w:ind w:left="0"/>
      </w:pPr>
    </w:p>
    <w:p w14:paraId="2AEC4440" w14:textId="77777777" w:rsidR="00222DE0" w:rsidRPr="009420EF" w:rsidRDefault="0098273B" w:rsidP="009420EF">
      <w:pPr>
        <w:pStyle w:val="a3"/>
        <w:widowControl/>
        <w:ind w:left="0"/>
      </w:pPr>
      <w:r w:rsidRPr="009420EF">
        <w:t>Použitelné do:</w:t>
      </w:r>
    </w:p>
    <w:p w14:paraId="45032158" w14:textId="77777777" w:rsidR="007B0E07" w:rsidRPr="009420EF" w:rsidRDefault="007B0E07" w:rsidP="009420EF">
      <w:pPr>
        <w:pStyle w:val="a3"/>
        <w:widowControl/>
        <w:ind w:left="0"/>
      </w:pPr>
    </w:p>
    <w:p w14:paraId="2422FB7F" w14:textId="77777777" w:rsidR="007B0E07" w:rsidRPr="009420EF" w:rsidRDefault="007B0E07" w:rsidP="009420EF">
      <w:pPr>
        <w:pStyle w:val="a3"/>
        <w:widowControl/>
        <w:ind w:left="0"/>
      </w:pPr>
    </w:p>
    <w:p w14:paraId="6D16F866" w14:textId="77777777" w:rsidR="008C5F31" w:rsidRPr="009420EF" w:rsidRDefault="008C5F31" w:rsidP="009420EF">
      <w:pPr>
        <w:pStyle w:val="BoxedHeading"/>
        <w:rPr>
          <w:bCs w:val="0"/>
        </w:rPr>
      </w:pPr>
      <w:r w:rsidRPr="009420EF">
        <w:t>9.</w:t>
      </w:r>
      <w:r w:rsidRPr="009420EF">
        <w:tab/>
      </w:r>
      <w:r w:rsidRPr="009420EF">
        <w:rPr>
          <w:bCs w:val="0"/>
        </w:rPr>
        <w:t>ZVLÁŠTNÍ PODMÍNKY PRO UCHOVÁVÁNÍ</w:t>
      </w:r>
    </w:p>
    <w:p w14:paraId="254442EA" w14:textId="77777777" w:rsidR="0091095B" w:rsidRPr="009420EF" w:rsidRDefault="0091095B" w:rsidP="009420EF">
      <w:pPr>
        <w:pStyle w:val="a3"/>
        <w:keepNext/>
        <w:widowControl/>
        <w:ind w:left="0"/>
      </w:pPr>
    </w:p>
    <w:p w14:paraId="46C7C72D" w14:textId="77777777" w:rsidR="00222DE0" w:rsidRPr="009420EF" w:rsidRDefault="0098273B" w:rsidP="009420EF">
      <w:pPr>
        <w:pStyle w:val="a3"/>
        <w:widowControl/>
        <w:ind w:left="0"/>
      </w:pPr>
      <w:r w:rsidRPr="009420EF">
        <w:t>Uchovávejte v chladničce Chraňte před mrazem</w:t>
      </w:r>
    </w:p>
    <w:p w14:paraId="7930DDB7" w14:textId="455C3BCD" w:rsidR="00222DE0" w:rsidRPr="009420EF" w:rsidRDefault="0098273B" w:rsidP="009420EF">
      <w:pPr>
        <w:pStyle w:val="a3"/>
        <w:widowControl/>
        <w:ind w:left="0"/>
      </w:pPr>
      <w:r w:rsidRPr="009420EF">
        <w:lastRenderedPageBreak/>
        <w:t xml:space="preserve">Po vyjmutí z chladničky může být předplněná injekční stříkačka uchovávána až po dobu </w:t>
      </w:r>
      <w:r w:rsidR="00266CA2">
        <w:t>3</w:t>
      </w:r>
      <w:r w:rsidRPr="009420EF">
        <w:t xml:space="preserve"> týdnů při teplotě do 30 °C</w:t>
      </w:r>
    </w:p>
    <w:p w14:paraId="62B6A38C" w14:textId="77777777" w:rsidR="00222DE0" w:rsidRPr="009420EF" w:rsidRDefault="0098273B" w:rsidP="002D70D4">
      <w:pPr>
        <w:pStyle w:val="a3"/>
        <w:widowControl/>
        <w:ind w:left="0"/>
      </w:pPr>
      <w:r w:rsidRPr="009420EF">
        <w:t>Uchovávejte předplněnou injekční stříkačku v krabičce, aby byl přípravek chráněn před světlem a</w:t>
      </w:r>
      <w:r w:rsidR="002D70D4">
        <w:t xml:space="preserve"> </w:t>
      </w:r>
      <w:r w:rsidRPr="009420EF">
        <w:t>vlhkostí</w:t>
      </w:r>
    </w:p>
    <w:p w14:paraId="13AD2B9F" w14:textId="77777777" w:rsidR="00222DE0" w:rsidRPr="009420EF" w:rsidRDefault="00222DE0" w:rsidP="009420EF">
      <w:pPr>
        <w:pStyle w:val="a3"/>
        <w:widowControl/>
        <w:ind w:left="0"/>
      </w:pPr>
    </w:p>
    <w:p w14:paraId="756F2C9A" w14:textId="77777777" w:rsidR="00582D19" w:rsidRPr="009420EF" w:rsidRDefault="00582D19" w:rsidP="009420EF">
      <w:pPr>
        <w:pStyle w:val="a3"/>
        <w:widowControl/>
        <w:ind w:left="0"/>
      </w:pPr>
    </w:p>
    <w:p w14:paraId="450F18D7" w14:textId="77777777" w:rsidR="00582D19" w:rsidRPr="009420EF" w:rsidRDefault="00582D19" w:rsidP="009420EF">
      <w:pPr>
        <w:pStyle w:val="BoxedHeading"/>
        <w:rPr>
          <w:bCs w:val="0"/>
        </w:rPr>
      </w:pPr>
      <w:r w:rsidRPr="009420EF">
        <w:t>10.</w:t>
      </w:r>
      <w:r w:rsidRPr="009420EF">
        <w:tab/>
      </w:r>
      <w:r w:rsidRPr="009420EF">
        <w:rPr>
          <w:bCs w:val="0"/>
        </w:rPr>
        <w:t>ZVLÁŠTNÍ OPATŘENÍ PRO LIKVIDACI NEPOUŽITÝCH LÉČIVÝCH PŘÍPRAVKŮ NEBO ODPADU Z NICH, POKUD JE TO VHODNÉ</w:t>
      </w:r>
    </w:p>
    <w:p w14:paraId="6F38C48C" w14:textId="77777777" w:rsidR="00222DE0" w:rsidRPr="009420EF" w:rsidRDefault="00222DE0" w:rsidP="009420EF">
      <w:pPr>
        <w:pStyle w:val="a3"/>
        <w:widowControl/>
        <w:ind w:left="0"/>
      </w:pPr>
    </w:p>
    <w:p w14:paraId="6FD923E5" w14:textId="77777777" w:rsidR="00026E97" w:rsidRPr="009420EF" w:rsidRDefault="00026E97" w:rsidP="009420EF">
      <w:pPr>
        <w:pStyle w:val="a3"/>
        <w:widowControl/>
        <w:ind w:left="0"/>
      </w:pPr>
    </w:p>
    <w:p w14:paraId="7842FDE7" w14:textId="77777777" w:rsidR="00026E97" w:rsidRPr="009420EF" w:rsidRDefault="00026E97" w:rsidP="009420EF">
      <w:pPr>
        <w:pStyle w:val="BoxedHeading"/>
      </w:pPr>
      <w:r w:rsidRPr="009420EF">
        <w:t>11.</w:t>
      </w:r>
      <w:r w:rsidRPr="009420EF">
        <w:tab/>
        <w:t>NÁZEV A ADRESA DRŽITELE ROZHODNUTÍ O REGISTRACI</w:t>
      </w:r>
    </w:p>
    <w:p w14:paraId="3D136E8B" w14:textId="77777777" w:rsidR="003F3575" w:rsidRPr="009420EF" w:rsidRDefault="003F3575" w:rsidP="009420EF">
      <w:pPr>
        <w:pStyle w:val="a3"/>
        <w:widowControl/>
        <w:ind w:left="0"/>
      </w:pPr>
    </w:p>
    <w:p w14:paraId="60D97DAA" w14:textId="77777777" w:rsidR="00266CA2" w:rsidRPr="00020C6B" w:rsidRDefault="00266CA2" w:rsidP="00266CA2">
      <w:pPr>
        <w:keepNext/>
      </w:pPr>
      <w:r w:rsidRPr="00020C6B">
        <w:t xml:space="preserve">Celltrion Healthcare Hungary Kft. </w:t>
      </w:r>
    </w:p>
    <w:p w14:paraId="12B6D21B" w14:textId="77777777" w:rsidR="00266CA2" w:rsidRPr="00020C6B" w:rsidRDefault="00266CA2" w:rsidP="00266CA2">
      <w:pPr>
        <w:keepNext/>
      </w:pPr>
      <w:r w:rsidRPr="00020C6B">
        <w:t>1062 Budapest</w:t>
      </w:r>
    </w:p>
    <w:p w14:paraId="0AA70624" w14:textId="77777777" w:rsidR="00266CA2" w:rsidRPr="00020C6B" w:rsidRDefault="00266CA2" w:rsidP="00266CA2">
      <w:pPr>
        <w:keepNext/>
      </w:pPr>
      <w:r w:rsidRPr="00020C6B">
        <w:t>Váci út 1-3. WestEnd Office Building B torony</w:t>
      </w:r>
    </w:p>
    <w:p w14:paraId="393B772E" w14:textId="32DCD829" w:rsidR="00222DE0" w:rsidRPr="009420EF" w:rsidRDefault="00266CA2" w:rsidP="009420EF">
      <w:pPr>
        <w:pStyle w:val="a3"/>
        <w:widowControl/>
        <w:ind w:left="0"/>
      </w:pPr>
      <w:r>
        <w:t>Maďarsko</w:t>
      </w:r>
    </w:p>
    <w:p w14:paraId="3957EEC3" w14:textId="77777777" w:rsidR="00222DE0" w:rsidRPr="009420EF" w:rsidRDefault="00222DE0" w:rsidP="009420EF">
      <w:pPr>
        <w:pStyle w:val="a3"/>
        <w:widowControl/>
        <w:ind w:left="0"/>
      </w:pPr>
    </w:p>
    <w:p w14:paraId="7D6F7A84" w14:textId="77777777" w:rsidR="00026E97" w:rsidRPr="009420EF" w:rsidRDefault="00026E97" w:rsidP="009420EF">
      <w:pPr>
        <w:pStyle w:val="a3"/>
        <w:widowControl/>
        <w:ind w:left="0"/>
      </w:pPr>
    </w:p>
    <w:p w14:paraId="38BC0553" w14:textId="77777777" w:rsidR="00026E97" w:rsidRPr="009420EF" w:rsidRDefault="00026E97" w:rsidP="009420EF">
      <w:pPr>
        <w:pStyle w:val="BoxedHeading"/>
      </w:pPr>
      <w:r w:rsidRPr="009420EF">
        <w:t>12.</w:t>
      </w:r>
      <w:r w:rsidRPr="009420EF">
        <w:tab/>
        <w:t>REGISTRAČNÍ ČÍSLO/ČÍSLA</w:t>
      </w:r>
    </w:p>
    <w:p w14:paraId="2025263C" w14:textId="77777777" w:rsidR="00A12FF7" w:rsidRPr="009420EF" w:rsidRDefault="00A12FF7" w:rsidP="009420EF">
      <w:pPr>
        <w:pStyle w:val="a3"/>
        <w:widowControl/>
        <w:ind w:left="0"/>
      </w:pPr>
    </w:p>
    <w:p w14:paraId="4C38808C" w14:textId="3F2D543D" w:rsidR="00222DE0" w:rsidRPr="009420EF" w:rsidRDefault="0098273B" w:rsidP="00B93217">
      <w:r w:rsidRPr="009420EF">
        <w:t>EU/</w:t>
      </w:r>
      <w:r w:rsidR="00F92232" w:rsidRPr="003672E9">
        <w:rPr>
          <w:spacing w:val="-1"/>
          <w:lang w:val="pt-BR"/>
        </w:rPr>
        <w:t>1/24/1896/00</w:t>
      </w:r>
      <w:r w:rsidR="00F92232">
        <w:rPr>
          <w:rFonts w:eastAsia="맑은 고딕" w:hint="eastAsia"/>
          <w:spacing w:val="-1"/>
          <w:lang w:val="pt-BR" w:eastAsia="ko-KR"/>
        </w:rPr>
        <w:t>9</w:t>
      </w:r>
      <w:r w:rsidR="00F92232">
        <w:rPr>
          <w:rFonts w:eastAsia="맑은 고딕"/>
          <w:spacing w:val="-1"/>
          <w:lang w:val="pt-BR" w:eastAsia="ko-KR"/>
        </w:rPr>
        <w:t xml:space="preserve"> 12 (3 x 4) předplněné injekční stříkačky (vícenásobné balení)</w:t>
      </w:r>
    </w:p>
    <w:p w14:paraId="2EA84FE8" w14:textId="77777777" w:rsidR="00222DE0" w:rsidRPr="009420EF" w:rsidRDefault="00222DE0" w:rsidP="009420EF">
      <w:pPr>
        <w:pStyle w:val="a3"/>
        <w:widowControl/>
        <w:ind w:left="0"/>
      </w:pPr>
    </w:p>
    <w:p w14:paraId="0A0E30FB" w14:textId="77777777" w:rsidR="00A12FF7" w:rsidRPr="009420EF" w:rsidRDefault="00A12FF7" w:rsidP="009420EF">
      <w:pPr>
        <w:pStyle w:val="a3"/>
        <w:widowControl/>
        <w:ind w:left="0"/>
      </w:pPr>
    </w:p>
    <w:p w14:paraId="5D79BB6A" w14:textId="77777777" w:rsidR="00A12FF7" w:rsidRPr="009420EF" w:rsidRDefault="00A12FF7" w:rsidP="009420EF">
      <w:pPr>
        <w:pStyle w:val="BoxedHeading"/>
      </w:pPr>
      <w:r w:rsidRPr="009420EF">
        <w:t>13.</w:t>
      </w:r>
      <w:r w:rsidRPr="009420EF">
        <w:tab/>
        <w:t>ČÍSLO ŠARŽE</w:t>
      </w:r>
    </w:p>
    <w:p w14:paraId="2217AE1F" w14:textId="77777777" w:rsidR="00642864" w:rsidRPr="009420EF" w:rsidRDefault="00642864" w:rsidP="009420EF">
      <w:pPr>
        <w:pStyle w:val="a3"/>
        <w:widowControl/>
        <w:ind w:left="0"/>
      </w:pPr>
    </w:p>
    <w:p w14:paraId="017FA239" w14:textId="77777777" w:rsidR="00222DE0" w:rsidRPr="009420EF" w:rsidRDefault="0098273B" w:rsidP="009420EF">
      <w:pPr>
        <w:pStyle w:val="a3"/>
        <w:widowControl/>
        <w:ind w:left="0"/>
      </w:pPr>
      <w:r w:rsidRPr="009420EF">
        <w:t>č.š.:</w:t>
      </w:r>
    </w:p>
    <w:p w14:paraId="187F18B6" w14:textId="77777777" w:rsidR="00222DE0" w:rsidRPr="009420EF" w:rsidRDefault="00222DE0" w:rsidP="009420EF">
      <w:pPr>
        <w:pStyle w:val="a3"/>
        <w:widowControl/>
        <w:ind w:left="0"/>
      </w:pPr>
    </w:p>
    <w:p w14:paraId="5EE3B3D7" w14:textId="77777777" w:rsidR="00A12FF7" w:rsidRPr="009420EF" w:rsidRDefault="00A12FF7" w:rsidP="009420EF">
      <w:pPr>
        <w:pStyle w:val="a3"/>
        <w:widowControl/>
        <w:ind w:left="0"/>
      </w:pPr>
    </w:p>
    <w:p w14:paraId="60772D83" w14:textId="77777777" w:rsidR="00A12FF7" w:rsidRPr="009420EF" w:rsidRDefault="00A12FF7" w:rsidP="009420EF">
      <w:pPr>
        <w:pStyle w:val="BoxedHeading"/>
        <w:rPr>
          <w:bCs w:val="0"/>
        </w:rPr>
      </w:pPr>
      <w:r w:rsidRPr="009420EF">
        <w:t>14.</w:t>
      </w:r>
      <w:r w:rsidRPr="009420EF">
        <w:tab/>
      </w:r>
      <w:r w:rsidRPr="009420EF">
        <w:rPr>
          <w:bCs w:val="0"/>
        </w:rPr>
        <w:t>KLASIFIKACE PRO VÝDEJ</w:t>
      </w:r>
    </w:p>
    <w:p w14:paraId="5719DA0C" w14:textId="77777777" w:rsidR="00A12FF7" w:rsidRPr="009420EF" w:rsidRDefault="00A12FF7" w:rsidP="009420EF">
      <w:pPr>
        <w:pStyle w:val="a3"/>
        <w:widowControl/>
        <w:ind w:left="0"/>
      </w:pPr>
    </w:p>
    <w:p w14:paraId="15CEE7F0" w14:textId="77777777" w:rsidR="00A12FF7" w:rsidRPr="009420EF" w:rsidRDefault="00A12FF7" w:rsidP="009420EF">
      <w:pPr>
        <w:pStyle w:val="a3"/>
        <w:widowControl/>
        <w:ind w:left="0"/>
      </w:pPr>
    </w:p>
    <w:p w14:paraId="3DA4930B" w14:textId="77777777" w:rsidR="00A12FF7" w:rsidRPr="009420EF" w:rsidRDefault="00A12FF7" w:rsidP="009420EF">
      <w:pPr>
        <w:pStyle w:val="BoxedHeading"/>
        <w:rPr>
          <w:bCs w:val="0"/>
        </w:rPr>
      </w:pPr>
      <w:r w:rsidRPr="009420EF">
        <w:t>15.</w:t>
      </w:r>
      <w:r w:rsidRPr="009420EF">
        <w:tab/>
      </w:r>
      <w:r w:rsidRPr="009420EF">
        <w:rPr>
          <w:bCs w:val="0"/>
        </w:rPr>
        <w:t>NÁVOD K POUŽITÍ</w:t>
      </w:r>
    </w:p>
    <w:p w14:paraId="6DA9D0F4" w14:textId="77777777" w:rsidR="00222DE0" w:rsidRPr="009420EF" w:rsidRDefault="00222DE0" w:rsidP="009420EF">
      <w:pPr>
        <w:pStyle w:val="a3"/>
        <w:widowControl/>
        <w:ind w:left="0"/>
      </w:pPr>
    </w:p>
    <w:p w14:paraId="26C2172E" w14:textId="77777777" w:rsidR="00A12FF7" w:rsidRPr="009420EF" w:rsidRDefault="00A12FF7" w:rsidP="009420EF">
      <w:pPr>
        <w:pStyle w:val="a3"/>
        <w:widowControl/>
        <w:ind w:left="0"/>
      </w:pPr>
    </w:p>
    <w:p w14:paraId="7F0000F8" w14:textId="77777777" w:rsidR="00A12FF7" w:rsidRPr="009420EF" w:rsidRDefault="00A12FF7" w:rsidP="009420EF">
      <w:pPr>
        <w:pStyle w:val="BoxedHeading"/>
        <w:rPr>
          <w:bCs w:val="0"/>
        </w:rPr>
      </w:pPr>
      <w:r w:rsidRPr="009420EF">
        <w:t>16.</w:t>
      </w:r>
      <w:r w:rsidRPr="009420EF">
        <w:tab/>
      </w:r>
      <w:r w:rsidRPr="009420EF">
        <w:rPr>
          <w:bCs w:val="0"/>
        </w:rPr>
        <w:t>INFORMACE V BRAILLOVĚ PÍSMU</w:t>
      </w:r>
    </w:p>
    <w:p w14:paraId="3E323250" w14:textId="77777777" w:rsidR="009842F2" w:rsidRPr="009420EF" w:rsidRDefault="009842F2" w:rsidP="009420EF">
      <w:pPr>
        <w:pStyle w:val="a3"/>
        <w:widowControl/>
        <w:ind w:left="0"/>
        <w:rPr>
          <w:b/>
        </w:rPr>
      </w:pPr>
    </w:p>
    <w:p w14:paraId="26C10998" w14:textId="646D49CE" w:rsidR="00222DE0" w:rsidRPr="009420EF" w:rsidRDefault="00266CA2" w:rsidP="009420EF">
      <w:pPr>
        <w:pStyle w:val="a3"/>
        <w:widowControl/>
        <w:ind w:left="0"/>
      </w:pPr>
      <w:r>
        <w:t>avtozma</w:t>
      </w:r>
      <w:r w:rsidR="0098273B" w:rsidRPr="009420EF">
        <w:t xml:space="preserve"> 162 mg</w:t>
      </w:r>
    </w:p>
    <w:p w14:paraId="5699E096" w14:textId="77777777" w:rsidR="00222DE0" w:rsidRDefault="00222DE0" w:rsidP="009420EF">
      <w:pPr>
        <w:pStyle w:val="a3"/>
        <w:widowControl/>
        <w:ind w:left="0"/>
      </w:pPr>
    </w:p>
    <w:p w14:paraId="6849C88F" w14:textId="77777777" w:rsidR="002D70D4" w:rsidRPr="009420EF" w:rsidRDefault="002D70D4" w:rsidP="009420EF">
      <w:pPr>
        <w:pStyle w:val="a3"/>
        <w:widowControl/>
        <w:ind w:left="0"/>
      </w:pPr>
    </w:p>
    <w:p w14:paraId="71A00FA1" w14:textId="77777777" w:rsidR="00464867" w:rsidRPr="009420EF" w:rsidRDefault="00464867" w:rsidP="009420EF">
      <w:pPr>
        <w:pStyle w:val="BoxedHeading"/>
      </w:pPr>
      <w:r w:rsidRPr="009420EF">
        <w:t>17.</w:t>
      </w:r>
      <w:r w:rsidRPr="009420EF">
        <w:tab/>
        <w:t>JEDINEČNÝ IDENTIFIKÁTOR – 2D ČÁROVÝ KÓD</w:t>
      </w:r>
    </w:p>
    <w:p w14:paraId="24849318" w14:textId="77777777" w:rsidR="00464867" w:rsidRPr="002F2E09" w:rsidRDefault="00464867" w:rsidP="009420EF">
      <w:pPr>
        <w:pStyle w:val="a3"/>
        <w:widowControl/>
        <w:ind w:left="0"/>
        <w:rPr>
          <w:bCs/>
        </w:rPr>
      </w:pPr>
    </w:p>
    <w:p w14:paraId="0D0BC016" w14:textId="7C4C7E0C" w:rsidR="00222DE0" w:rsidRDefault="0098273B" w:rsidP="009420EF">
      <w:pPr>
        <w:rPr>
          <w:rFonts w:eastAsia="맑은 고딕"/>
          <w:highlight w:val="lightGray"/>
          <w:lang w:eastAsia="ko-KR"/>
        </w:rPr>
      </w:pPr>
      <w:r>
        <w:rPr>
          <w:highlight w:val="lightGray"/>
        </w:rPr>
        <w:t>2D čárový kód s jedinečným identifikátorem.</w:t>
      </w:r>
    </w:p>
    <w:p w14:paraId="16D4C098" w14:textId="77777777" w:rsidR="00222DE0" w:rsidRDefault="00222DE0" w:rsidP="009420EF">
      <w:pPr>
        <w:pStyle w:val="a3"/>
        <w:widowControl/>
        <w:ind w:left="0"/>
      </w:pPr>
    </w:p>
    <w:p w14:paraId="7AED4E53" w14:textId="77777777" w:rsidR="002D70D4" w:rsidRPr="009420EF" w:rsidRDefault="002D70D4" w:rsidP="009420EF">
      <w:pPr>
        <w:pStyle w:val="a3"/>
        <w:widowControl/>
        <w:ind w:left="0"/>
      </w:pPr>
    </w:p>
    <w:p w14:paraId="7CE2AE73" w14:textId="77777777" w:rsidR="00464867" w:rsidRPr="009420EF" w:rsidRDefault="00464867" w:rsidP="009420EF">
      <w:pPr>
        <w:pStyle w:val="BoxedHeading"/>
      </w:pPr>
      <w:r w:rsidRPr="009420EF">
        <w:t>18.</w:t>
      </w:r>
      <w:r w:rsidRPr="009420EF">
        <w:tab/>
        <w:t>JEDINEČNÝ IDENTIFIKÁTOR – DATA ČITELNÁ OKEM</w:t>
      </w:r>
    </w:p>
    <w:p w14:paraId="1F4B6BFD" w14:textId="77777777" w:rsidR="005B728E" w:rsidRPr="009420EF" w:rsidRDefault="005B728E" w:rsidP="009420EF">
      <w:pPr>
        <w:pStyle w:val="a3"/>
        <w:widowControl/>
        <w:ind w:left="0"/>
        <w:jc w:val="both"/>
      </w:pPr>
    </w:p>
    <w:p w14:paraId="2B7A8647" w14:textId="77777777" w:rsidR="005B728E" w:rsidRPr="009420EF" w:rsidRDefault="0098273B" w:rsidP="009420EF">
      <w:pPr>
        <w:pStyle w:val="a3"/>
        <w:widowControl/>
        <w:ind w:left="0"/>
        <w:jc w:val="both"/>
      </w:pPr>
      <w:r w:rsidRPr="009420EF">
        <w:t>PC</w:t>
      </w:r>
    </w:p>
    <w:p w14:paraId="167E2292" w14:textId="77777777" w:rsidR="005B728E" w:rsidRPr="009420EF" w:rsidRDefault="0098273B" w:rsidP="009420EF">
      <w:pPr>
        <w:pStyle w:val="a3"/>
        <w:widowControl/>
        <w:ind w:left="0"/>
        <w:jc w:val="both"/>
      </w:pPr>
      <w:r w:rsidRPr="009420EF">
        <w:t>SN</w:t>
      </w:r>
    </w:p>
    <w:p w14:paraId="0000E72D" w14:textId="77777777" w:rsidR="00222DE0" w:rsidRPr="009420EF" w:rsidRDefault="0098273B" w:rsidP="009420EF">
      <w:pPr>
        <w:pStyle w:val="a3"/>
        <w:widowControl/>
        <w:ind w:left="0"/>
        <w:jc w:val="both"/>
      </w:pPr>
      <w:r w:rsidRPr="008A10A6">
        <w:rPr>
          <w:highlight w:val="lightGray"/>
        </w:rPr>
        <w:t>NN</w:t>
      </w:r>
    </w:p>
    <w:p w14:paraId="3DB15C4D" w14:textId="77777777" w:rsidR="005B728E" w:rsidRPr="009420EF" w:rsidRDefault="005B728E" w:rsidP="009420EF">
      <w:pPr>
        <w:pStyle w:val="a3"/>
        <w:widowControl/>
        <w:ind w:left="0"/>
        <w:jc w:val="both"/>
      </w:pPr>
      <w:r w:rsidRPr="009420EF">
        <w:br w:type="page"/>
      </w:r>
    </w:p>
    <w:p w14:paraId="582EBD3B" w14:textId="77777777" w:rsidR="005D36F0" w:rsidRPr="009420EF" w:rsidRDefault="005D36F0"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141E5E19" w14:textId="77777777" w:rsidR="005D36F0" w:rsidRPr="009420EF" w:rsidRDefault="005D36F0" w:rsidP="009420EF">
      <w:pPr>
        <w:widowControl/>
        <w:pBdr>
          <w:top w:val="single" w:sz="4" w:space="1" w:color="auto"/>
          <w:left w:val="single" w:sz="4" w:space="4" w:color="auto"/>
          <w:bottom w:val="single" w:sz="4" w:space="1" w:color="auto"/>
          <w:right w:val="single" w:sz="4" w:space="4" w:color="auto"/>
        </w:pBdr>
        <w:rPr>
          <w:b/>
          <w:bCs/>
        </w:rPr>
      </w:pPr>
    </w:p>
    <w:p w14:paraId="6C0C9A81" w14:textId="77777777" w:rsidR="005D36F0" w:rsidRPr="009420EF" w:rsidRDefault="005D36F0" w:rsidP="009420EF">
      <w:pPr>
        <w:widowControl/>
        <w:pBdr>
          <w:top w:val="single" w:sz="4" w:space="1" w:color="auto"/>
          <w:left w:val="single" w:sz="4" w:space="4" w:color="auto"/>
          <w:bottom w:val="single" w:sz="4" w:space="1" w:color="auto"/>
          <w:right w:val="single" w:sz="4" w:space="4" w:color="auto"/>
        </w:pBdr>
        <w:rPr>
          <w:b/>
          <w:bCs/>
        </w:rPr>
      </w:pPr>
      <w:r w:rsidRPr="009420EF">
        <w:rPr>
          <w:b/>
        </w:rPr>
        <w:t>KRABIČKA PŘEDPLNĚNÉ INJEKČNÍ STŘÍKAČKY (BEZ BLUEBOXU) – Vícenásobné balení</w:t>
      </w:r>
    </w:p>
    <w:p w14:paraId="3A903442" w14:textId="77777777" w:rsidR="005B728E" w:rsidRPr="009420EF" w:rsidRDefault="005B728E" w:rsidP="009420EF">
      <w:pPr>
        <w:pStyle w:val="a3"/>
        <w:widowControl/>
        <w:ind w:left="0"/>
        <w:jc w:val="both"/>
      </w:pPr>
    </w:p>
    <w:p w14:paraId="4931A94F" w14:textId="77777777" w:rsidR="00CF675C" w:rsidRPr="009420EF" w:rsidRDefault="00CF675C" w:rsidP="009420EF">
      <w:pPr>
        <w:pStyle w:val="a3"/>
        <w:widowControl/>
        <w:ind w:left="0"/>
      </w:pPr>
    </w:p>
    <w:p w14:paraId="113913AB" w14:textId="77777777" w:rsidR="00CF675C" w:rsidRPr="009420EF" w:rsidRDefault="00CF675C" w:rsidP="009420EF">
      <w:pPr>
        <w:pStyle w:val="BoxedHeading"/>
        <w:rPr>
          <w:bCs w:val="0"/>
        </w:rPr>
      </w:pPr>
      <w:r w:rsidRPr="009420EF">
        <w:t>1.</w:t>
      </w:r>
      <w:r w:rsidRPr="009420EF">
        <w:tab/>
      </w:r>
      <w:r w:rsidRPr="009420EF">
        <w:rPr>
          <w:bCs w:val="0"/>
        </w:rPr>
        <w:t>NÁZEV LÉČIVÉHO PŘÍPRAVKU</w:t>
      </w:r>
    </w:p>
    <w:p w14:paraId="55B44409" w14:textId="77777777" w:rsidR="000B2440" w:rsidRPr="009420EF" w:rsidRDefault="000B2440" w:rsidP="009420EF">
      <w:pPr>
        <w:pStyle w:val="a3"/>
        <w:widowControl/>
        <w:ind w:left="0"/>
      </w:pPr>
    </w:p>
    <w:p w14:paraId="7FA300F5" w14:textId="4FB5502E" w:rsidR="00222DE0" w:rsidRPr="009420EF" w:rsidRDefault="00266CA2" w:rsidP="009420EF">
      <w:pPr>
        <w:pStyle w:val="a3"/>
        <w:widowControl/>
        <w:ind w:left="0"/>
      </w:pPr>
      <w:r>
        <w:t>Avtozma</w:t>
      </w:r>
      <w:r w:rsidR="0098273B" w:rsidRPr="009420EF">
        <w:t xml:space="preserve"> 162 mg injekční roztok v předplněné injekční stříkačce</w:t>
      </w:r>
    </w:p>
    <w:p w14:paraId="2B68A23A" w14:textId="1D8C8A66" w:rsidR="00222DE0" w:rsidRPr="009420EF" w:rsidRDefault="0098273B" w:rsidP="009420EF">
      <w:pPr>
        <w:pStyle w:val="a3"/>
        <w:widowControl/>
        <w:ind w:left="0"/>
      </w:pPr>
      <w:r w:rsidRPr="009420EF">
        <w:t>tocilizumab</w:t>
      </w:r>
    </w:p>
    <w:p w14:paraId="68246236" w14:textId="77777777" w:rsidR="00222DE0" w:rsidRPr="009420EF" w:rsidRDefault="00222DE0" w:rsidP="009420EF">
      <w:pPr>
        <w:pStyle w:val="a3"/>
        <w:widowControl/>
        <w:ind w:left="0"/>
      </w:pPr>
    </w:p>
    <w:p w14:paraId="56D894F9" w14:textId="77777777" w:rsidR="008513EF" w:rsidRPr="009420EF" w:rsidRDefault="008513EF" w:rsidP="009420EF">
      <w:pPr>
        <w:pStyle w:val="a3"/>
        <w:widowControl/>
        <w:ind w:left="0"/>
      </w:pPr>
    </w:p>
    <w:p w14:paraId="4DD7E8C0" w14:textId="77777777" w:rsidR="008513EF" w:rsidRPr="009420EF" w:rsidRDefault="008513EF" w:rsidP="009420EF">
      <w:pPr>
        <w:pStyle w:val="BoxedHeading"/>
        <w:rPr>
          <w:bCs w:val="0"/>
        </w:rPr>
      </w:pPr>
      <w:r w:rsidRPr="009420EF">
        <w:t>2.</w:t>
      </w:r>
      <w:r w:rsidRPr="009420EF">
        <w:tab/>
      </w:r>
      <w:r w:rsidRPr="009420EF">
        <w:rPr>
          <w:bCs w:val="0"/>
        </w:rPr>
        <w:t>OBSAH LÉČIVÉ LÁTKY/LÉČIVÝCH LÁTEK</w:t>
      </w:r>
    </w:p>
    <w:p w14:paraId="6F08F4D9" w14:textId="77777777" w:rsidR="000B2440" w:rsidRPr="009420EF" w:rsidRDefault="000B2440" w:rsidP="009420EF">
      <w:pPr>
        <w:pStyle w:val="a3"/>
        <w:widowControl/>
        <w:ind w:left="0"/>
      </w:pPr>
    </w:p>
    <w:p w14:paraId="45A626A3" w14:textId="77777777" w:rsidR="00222DE0" w:rsidRPr="009420EF" w:rsidRDefault="0098273B" w:rsidP="009420EF">
      <w:pPr>
        <w:pStyle w:val="a3"/>
        <w:widowControl/>
        <w:ind w:left="0"/>
      </w:pPr>
      <w:r w:rsidRPr="009420EF">
        <w:t>Jedna předplněná injekční stříkačka obsahuje tocilizumabum 162 mg.</w:t>
      </w:r>
    </w:p>
    <w:p w14:paraId="12251428" w14:textId="77777777" w:rsidR="00222DE0" w:rsidRPr="009420EF" w:rsidRDefault="00222DE0" w:rsidP="009420EF">
      <w:pPr>
        <w:pStyle w:val="a3"/>
        <w:widowControl/>
        <w:ind w:left="0"/>
      </w:pPr>
    </w:p>
    <w:p w14:paraId="33830D50" w14:textId="77777777" w:rsidR="00731062" w:rsidRPr="009420EF" w:rsidRDefault="00731062" w:rsidP="009420EF">
      <w:pPr>
        <w:pStyle w:val="a3"/>
        <w:widowControl/>
        <w:ind w:left="0"/>
      </w:pPr>
    </w:p>
    <w:p w14:paraId="45A2742E" w14:textId="77777777" w:rsidR="00731062" w:rsidRPr="009420EF" w:rsidRDefault="00731062" w:rsidP="009420EF">
      <w:pPr>
        <w:pStyle w:val="BoxedHeading"/>
        <w:rPr>
          <w:bCs w:val="0"/>
        </w:rPr>
      </w:pPr>
      <w:r w:rsidRPr="009420EF">
        <w:t>3.</w:t>
      </w:r>
      <w:r w:rsidRPr="009420EF">
        <w:tab/>
      </w:r>
      <w:r w:rsidRPr="009420EF">
        <w:rPr>
          <w:bCs w:val="0"/>
        </w:rPr>
        <w:t>SEZNAM POMOCNÝCH LÁTEK</w:t>
      </w:r>
    </w:p>
    <w:p w14:paraId="044FD272" w14:textId="77777777" w:rsidR="000B2440" w:rsidRPr="009420EF" w:rsidRDefault="000B2440" w:rsidP="009420EF">
      <w:pPr>
        <w:pStyle w:val="a3"/>
        <w:widowControl/>
        <w:ind w:left="0"/>
      </w:pPr>
    </w:p>
    <w:p w14:paraId="581EF7CC" w14:textId="0C48DC60" w:rsidR="00266CA2" w:rsidRPr="00B93217" w:rsidRDefault="00266CA2" w:rsidP="009420EF">
      <w:pPr>
        <w:pStyle w:val="a3"/>
        <w:widowControl/>
        <w:ind w:left="0"/>
        <w:rPr>
          <w:color w:val="000000"/>
        </w:rPr>
      </w:pPr>
      <w:r>
        <w:t>Pomocné látky: L-Histidin,</w:t>
      </w:r>
      <w:r w:rsidR="00395E0C">
        <w:rPr>
          <w:rFonts w:eastAsia="맑은 고딕" w:hint="eastAsia"/>
          <w:lang w:eastAsia="ko-KR"/>
        </w:rPr>
        <w:t xml:space="preserve"> </w:t>
      </w:r>
      <w:r w:rsidR="00AD6345" w:rsidRPr="00AD6345">
        <w:rPr>
          <w:rFonts w:eastAsia="맑은 고딕" w:hint="eastAsia"/>
          <w:lang w:eastAsia="ko-KR"/>
        </w:rPr>
        <w:t>Monohydrát histidin-hydrochloridu</w:t>
      </w:r>
      <w:r w:rsidR="00395E0C">
        <w:rPr>
          <w:rFonts w:eastAsia="맑은 고딕" w:hint="eastAsia"/>
          <w:lang w:eastAsia="ko-KR"/>
        </w:rPr>
        <w:t>,</w:t>
      </w:r>
      <w:r>
        <w:t xml:space="preserve"> L-Threonin, L-Methionin, p</w:t>
      </w:r>
      <w:r w:rsidRPr="009420EF">
        <w:t>olysorbát 80, voda pro injekci</w:t>
      </w:r>
      <w:r w:rsidRPr="009420EF">
        <w:rPr>
          <w:color w:val="000000"/>
        </w:rPr>
        <w:t>.</w:t>
      </w:r>
      <w:r>
        <w:rPr>
          <w:color w:val="000000"/>
        </w:rPr>
        <w:t xml:space="preserve"> </w:t>
      </w:r>
      <w:r w:rsidRPr="009420EF">
        <w:t>Další údaje naleznete v příbalové informaci.</w:t>
      </w:r>
    </w:p>
    <w:p w14:paraId="5DDF9816" w14:textId="77777777" w:rsidR="00222DE0" w:rsidRPr="009420EF" w:rsidRDefault="00222DE0" w:rsidP="009420EF">
      <w:pPr>
        <w:pStyle w:val="a3"/>
        <w:widowControl/>
        <w:ind w:left="0"/>
      </w:pPr>
    </w:p>
    <w:p w14:paraId="65DA74C2" w14:textId="77777777" w:rsidR="00CA4F11" w:rsidRPr="009420EF" w:rsidRDefault="00CA4F11" w:rsidP="009420EF">
      <w:pPr>
        <w:pStyle w:val="a3"/>
        <w:widowControl/>
        <w:ind w:left="0"/>
      </w:pPr>
    </w:p>
    <w:p w14:paraId="08BE1E7B" w14:textId="77777777" w:rsidR="00CA4F11" w:rsidRPr="009420EF" w:rsidRDefault="00CA4F11" w:rsidP="009420EF">
      <w:pPr>
        <w:pStyle w:val="BoxedHeading"/>
        <w:rPr>
          <w:bCs w:val="0"/>
        </w:rPr>
      </w:pPr>
      <w:r w:rsidRPr="009420EF">
        <w:t>4.</w:t>
      </w:r>
      <w:r w:rsidRPr="009420EF">
        <w:tab/>
      </w:r>
      <w:r w:rsidRPr="009420EF">
        <w:rPr>
          <w:bCs w:val="0"/>
        </w:rPr>
        <w:t>LÉKOVÁ FORMA A OBSAH BALENÍ</w:t>
      </w:r>
    </w:p>
    <w:p w14:paraId="00A40CA9" w14:textId="77777777" w:rsidR="00CA4F11" w:rsidRPr="009420EF" w:rsidRDefault="00CA4F11" w:rsidP="009420EF">
      <w:pPr>
        <w:pStyle w:val="a3"/>
        <w:widowControl/>
        <w:ind w:left="0"/>
      </w:pPr>
    </w:p>
    <w:p w14:paraId="308656CF" w14:textId="77777777" w:rsidR="00222DE0" w:rsidRPr="009420EF" w:rsidRDefault="0098273B" w:rsidP="009420EF">
      <w:pPr>
        <w:pStyle w:val="a3"/>
        <w:widowControl/>
        <w:ind w:left="0"/>
      </w:pPr>
      <w:r w:rsidRPr="009420EF">
        <w:t>Injekční roztok v předplněné injekční stříkačce</w:t>
      </w:r>
    </w:p>
    <w:p w14:paraId="2CBD0B82" w14:textId="77777777" w:rsidR="00222DE0" w:rsidRPr="009420EF" w:rsidRDefault="0098273B" w:rsidP="009420EF">
      <w:pPr>
        <w:pStyle w:val="a3"/>
        <w:widowControl/>
        <w:ind w:left="0"/>
      </w:pPr>
      <w:r w:rsidRPr="009420EF">
        <w:t>4 předplněné injekční stříkačky. Součást vícenásobného balení, nemůže být prodávána odděleně.</w:t>
      </w:r>
    </w:p>
    <w:p w14:paraId="6B6F4411" w14:textId="77777777" w:rsidR="00222DE0" w:rsidRPr="009420EF" w:rsidRDefault="0098273B" w:rsidP="009420EF">
      <w:pPr>
        <w:pStyle w:val="a3"/>
        <w:widowControl/>
        <w:ind w:left="0"/>
      </w:pPr>
      <w:r w:rsidRPr="009420EF">
        <w:t>162 mg/0,9 ml</w:t>
      </w:r>
    </w:p>
    <w:p w14:paraId="26932D76" w14:textId="77777777" w:rsidR="00222DE0" w:rsidRPr="009420EF" w:rsidRDefault="00222DE0" w:rsidP="009420EF">
      <w:pPr>
        <w:pStyle w:val="a3"/>
        <w:widowControl/>
        <w:ind w:left="0"/>
      </w:pPr>
    </w:p>
    <w:p w14:paraId="7743CBAD" w14:textId="77777777" w:rsidR="003559CA" w:rsidRPr="009420EF" w:rsidRDefault="003559CA" w:rsidP="009420EF">
      <w:pPr>
        <w:pStyle w:val="a3"/>
        <w:widowControl/>
        <w:ind w:left="0"/>
      </w:pPr>
    </w:p>
    <w:p w14:paraId="7EE99472" w14:textId="77777777" w:rsidR="003559CA" w:rsidRPr="009420EF" w:rsidRDefault="008E66D7" w:rsidP="009420EF">
      <w:pPr>
        <w:pStyle w:val="BoxedHeading"/>
        <w:rPr>
          <w:bCs w:val="0"/>
        </w:rPr>
      </w:pPr>
      <w:r w:rsidRPr="009420EF">
        <w:t>5</w:t>
      </w:r>
      <w:r w:rsidR="003559CA" w:rsidRPr="009420EF">
        <w:t>.</w:t>
      </w:r>
      <w:r w:rsidR="003559CA" w:rsidRPr="009420EF">
        <w:tab/>
      </w:r>
      <w:r w:rsidRPr="009420EF">
        <w:rPr>
          <w:bCs w:val="0"/>
        </w:rPr>
        <w:t>ZPŮSOB A CESTA/CESTY PODÁNÍ</w:t>
      </w:r>
    </w:p>
    <w:p w14:paraId="61F0C921" w14:textId="77777777" w:rsidR="00222DE0" w:rsidRPr="009420EF" w:rsidRDefault="00222DE0" w:rsidP="009420EF">
      <w:pPr>
        <w:pStyle w:val="a3"/>
        <w:widowControl/>
        <w:ind w:left="0"/>
      </w:pPr>
    </w:p>
    <w:p w14:paraId="6D60F098" w14:textId="77777777" w:rsidR="00222DE0" w:rsidRPr="009420EF" w:rsidRDefault="0098273B" w:rsidP="009420EF">
      <w:pPr>
        <w:pStyle w:val="a3"/>
        <w:widowControl/>
        <w:ind w:left="0"/>
      </w:pPr>
      <w:r w:rsidRPr="009420EF">
        <w:t>Subkutánní podání</w:t>
      </w:r>
    </w:p>
    <w:p w14:paraId="3AFAEFDB" w14:textId="77777777" w:rsidR="00222DE0" w:rsidRPr="009420EF" w:rsidRDefault="0098273B" w:rsidP="009420EF">
      <w:pPr>
        <w:pStyle w:val="a3"/>
        <w:widowControl/>
        <w:ind w:left="0"/>
      </w:pPr>
      <w:r w:rsidRPr="009420EF">
        <w:t>Před použitím si přečtěte příbalovou informaci</w:t>
      </w:r>
    </w:p>
    <w:p w14:paraId="47D0691E" w14:textId="77777777" w:rsidR="00222DE0" w:rsidRPr="009420EF" w:rsidRDefault="00222DE0" w:rsidP="009420EF">
      <w:pPr>
        <w:pStyle w:val="a3"/>
        <w:widowControl/>
        <w:ind w:left="0"/>
      </w:pPr>
    </w:p>
    <w:p w14:paraId="215D8575" w14:textId="77777777" w:rsidR="00093CFA" w:rsidRPr="009420EF" w:rsidRDefault="00093CFA" w:rsidP="009420EF">
      <w:pPr>
        <w:pStyle w:val="a3"/>
        <w:widowControl/>
        <w:ind w:left="0"/>
      </w:pPr>
    </w:p>
    <w:p w14:paraId="1BD5A004" w14:textId="77777777" w:rsidR="00093CFA" w:rsidRPr="009420EF" w:rsidRDefault="00093CFA" w:rsidP="009420EF">
      <w:pPr>
        <w:pStyle w:val="BoxedHeading"/>
        <w:rPr>
          <w:bCs w:val="0"/>
        </w:rPr>
      </w:pPr>
      <w:r w:rsidRPr="009420EF">
        <w:t>6.</w:t>
      </w:r>
      <w:r w:rsidRPr="009420EF">
        <w:tab/>
      </w:r>
      <w:r w:rsidRPr="009420EF">
        <w:rPr>
          <w:bCs w:val="0"/>
        </w:rPr>
        <w:t>ZVLÁŠTNÍ UPOZORNĚNÍ, ŽE LÉČIVÝ PŘÍPRAVEK MUSÍ BÝT UCHOVÁVÁN MIMO DOHLED A DOSAH DĚTÍ</w:t>
      </w:r>
    </w:p>
    <w:p w14:paraId="6D686A01" w14:textId="77777777" w:rsidR="00222DE0" w:rsidRPr="009420EF" w:rsidRDefault="00222DE0" w:rsidP="009420EF">
      <w:pPr>
        <w:pStyle w:val="a3"/>
        <w:widowControl/>
        <w:ind w:left="0"/>
      </w:pPr>
    </w:p>
    <w:p w14:paraId="59B79D2D" w14:textId="77777777" w:rsidR="00222DE0" w:rsidRPr="009420EF" w:rsidRDefault="0098273B" w:rsidP="009420EF">
      <w:pPr>
        <w:pStyle w:val="a3"/>
        <w:widowControl/>
        <w:ind w:left="0"/>
      </w:pPr>
      <w:r w:rsidRPr="009420EF">
        <w:t>Uchovávejte mimo dohled a dosah dětí</w:t>
      </w:r>
    </w:p>
    <w:p w14:paraId="7415A814" w14:textId="77777777" w:rsidR="00222DE0" w:rsidRPr="009420EF" w:rsidRDefault="00222DE0" w:rsidP="009420EF">
      <w:pPr>
        <w:pStyle w:val="a3"/>
        <w:widowControl/>
        <w:ind w:left="0"/>
      </w:pPr>
    </w:p>
    <w:p w14:paraId="7DDDF435" w14:textId="77777777" w:rsidR="00093CFA" w:rsidRPr="009420EF" w:rsidRDefault="00093CFA" w:rsidP="009420EF">
      <w:pPr>
        <w:pStyle w:val="a3"/>
        <w:widowControl/>
        <w:ind w:left="0"/>
      </w:pPr>
    </w:p>
    <w:p w14:paraId="46EE99A7" w14:textId="77777777" w:rsidR="00093CFA" w:rsidRPr="009420EF" w:rsidRDefault="004B34B3" w:rsidP="009420EF">
      <w:pPr>
        <w:pStyle w:val="BoxedHeading"/>
        <w:rPr>
          <w:bCs w:val="0"/>
        </w:rPr>
      </w:pPr>
      <w:r w:rsidRPr="009420EF">
        <w:t>7</w:t>
      </w:r>
      <w:r w:rsidR="00093CFA" w:rsidRPr="009420EF">
        <w:t>.</w:t>
      </w:r>
      <w:r w:rsidR="00093CFA" w:rsidRPr="009420EF">
        <w:tab/>
      </w:r>
      <w:r w:rsidR="00093CFA" w:rsidRPr="009420EF">
        <w:rPr>
          <w:bCs w:val="0"/>
        </w:rPr>
        <w:t>DALŠÍ ZVLÁŠTNÍ UPOZORNĚNÍ, POKUD JE POTŘEBNÉ</w:t>
      </w:r>
    </w:p>
    <w:p w14:paraId="4A897402" w14:textId="77777777" w:rsidR="00222DE0" w:rsidRPr="009420EF" w:rsidRDefault="00222DE0" w:rsidP="009420EF">
      <w:pPr>
        <w:pStyle w:val="a3"/>
        <w:widowControl/>
        <w:ind w:left="0"/>
      </w:pPr>
    </w:p>
    <w:p w14:paraId="1634507D" w14:textId="486C1014" w:rsidR="00222DE0" w:rsidRPr="009420EF" w:rsidRDefault="0098273B" w:rsidP="002F2E09">
      <w:pPr>
        <w:pStyle w:val="a3"/>
        <w:widowControl/>
        <w:ind w:left="0"/>
      </w:pPr>
      <w:r w:rsidRPr="009420EF">
        <w:t>Před podáním vyjměte injekční stříkačku z krabičky a ponechejte 30 minut mimo chladničku, až</w:t>
      </w:r>
      <w:r w:rsidR="002F2E09">
        <w:t xml:space="preserve"> </w:t>
      </w:r>
      <w:r w:rsidRPr="009420EF">
        <w:t>dosáhne pokojové teploty</w:t>
      </w:r>
    </w:p>
    <w:p w14:paraId="70008421" w14:textId="77777777" w:rsidR="004B34B3" w:rsidRPr="009420EF" w:rsidRDefault="004B34B3" w:rsidP="009420EF">
      <w:pPr>
        <w:pStyle w:val="a3"/>
        <w:widowControl/>
        <w:ind w:left="0"/>
      </w:pPr>
    </w:p>
    <w:p w14:paraId="5ED9D315" w14:textId="77777777" w:rsidR="00270119" w:rsidRPr="009420EF" w:rsidRDefault="00270119" w:rsidP="009420EF">
      <w:pPr>
        <w:pStyle w:val="a3"/>
        <w:widowControl/>
        <w:ind w:left="0"/>
      </w:pPr>
    </w:p>
    <w:p w14:paraId="6583B873" w14:textId="77777777" w:rsidR="004B34B3" w:rsidRPr="009420EF" w:rsidRDefault="004B34B3" w:rsidP="009420EF">
      <w:pPr>
        <w:pStyle w:val="BoxedHeading"/>
        <w:rPr>
          <w:bCs w:val="0"/>
        </w:rPr>
      </w:pPr>
      <w:r w:rsidRPr="009420EF">
        <w:t>8.</w:t>
      </w:r>
      <w:r w:rsidRPr="009420EF">
        <w:tab/>
      </w:r>
      <w:r w:rsidRPr="009420EF">
        <w:rPr>
          <w:bCs w:val="0"/>
        </w:rPr>
        <w:t>POUŽITELNOST</w:t>
      </w:r>
    </w:p>
    <w:p w14:paraId="0947FC3B" w14:textId="77777777" w:rsidR="00503C90" w:rsidRPr="009420EF" w:rsidRDefault="00503C90" w:rsidP="009420EF">
      <w:pPr>
        <w:pStyle w:val="a3"/>
        <w:widowControl/>
        <w:ind w:left="0"/>
      </w:pPr>
    </w:p>
    <w:p w14:paraId="29A41EDA" w14:textId="77777777" w:rsidR="00222DE0" w:rsidRPr="009420EF" w:rsidRDefault="0098273B" w:rsidP="009420EF">
      <w:pPr>
        <w:pStyle w:val="a3"/>
        <w:widowControl/>
        <w:ind w:left="0"/>
      </w:pPr>
      <w:r w:rsidRPr="009420EF">
        <w:t>Použitelné do:</w:t>
      </w:r>
    </w:p>
    <w:p w14:paraId="18406C9C" w14:textId="77777777" w:rsidR="00B84C4C" w:rsidRPr="009420EF" w:rsidRDefault="00B84C4C" w:rsidP="009420EF">
      <w:pPr>
        <w:pStyle w:val="a3"/>
        <w:widowControl/>
        <w:ind w:left="0"/>
      </w:pPr>
    </w:p>
    <w:p w14:paraId="7A936739" w14:textId="77777777" w:rsidR="00270119" w:rsidRPr="009420EF" w:rsidRDefault="00270119" w:rsidP="009420EF">
      <w:pPr>
        <w:pStyle w:val="a3"/>
        <w:widowControl/>
        <w:ind w:left="0"/>
      </w:pPr>
    </w:p>
    <w:p w14:paraId="03EBEBA6" w14:textId="77777777" w:rsidR="00270119" w:rsidRPr="009420EF" w:rsidRDefault="00270119" w:rsidP="009420EF">
      <w:pPr>
        <w:pStyle w:val="BoxedHeading"/>
        <w:rPr>
          <w:bCs w:val="0"/>
        </w:rPr>
      </w:pPr>
      <w:r w:rsidRPr="009420EF">
        <w:lastRenderedPageBreak/>
        <w:t>9.</w:t>
      </w:r>
      <w:r w:rsidRPr="009420EF">
        <w:tab/>
      </w:r>
      <w:r w:rsidRPr="009420EF">
        <w:rPr>
          <w:bCs w:val="0"/>
        </w:rPr>
        <w:t>ZVLÁŠTNÍ PODMÍNKY PRO UCHOVÁVÁNÍ</w:t>
      </w:r>
    </w:p>
    <w:p w14:paraId="0CBBEF30" w14:textId="77777777" w:rsidR="001511FF" w:rsidRPr="009420EF" w:rsidRDefault="001511FF" w:rsidP="009420EF">
      <w:pPr>
        <w:pStyle w:val="a3"/>
        <w:keepNext/>
        <w:widowControl/>
        <w:ind w:left="0"/>
      </w:pPr>
    </w:p>
    <w:p w14:paraId="20D3BA8A" w14:textId="77777777" w:rsidR="00222DE0" w:rsidRPr="009420EF" w:rsidRDefault="0098273B" w:rsidP="009420EF">
      <w:pPr>
        <w:pStyle w:val="a3"/>
        <w:keepNext/>
        <w:widowControl/>
        <w:ind w:left="0"/>
      </w:pPr>
      <w:r w:rsidRPr="009420EF">
        <w:t>Uchovávejte v chladničce Chraňte před mrazem</w:t>
      </w:r>
    </w:p>
    <w:p w14:paraId="75A7F926" w14:textId="74B1A80E" w:rsidR="00222DE0" w:rsidRPr="009420EF" w:rsidRDefault="0098273B" w:rsidP="009420EF">
      <w:pPr>
        <w:pStyle w:val="a3"/>
        <w:widowControl/>
        <w:ind w:left="0"/>
      </w:pPr>
      <w:r w:rsidRPr="009420EF">
        <w:t xml:space="preserve">Po vyjmutí z chladničky může být předplněná injekční stříkačka uchovávána až po dobu </w:t>
      </w:r>
      <w:r w:rsidR="00266CA2">
        <w:t>3</w:t>
      </w:r>
      <w:r w:rsidRPr="009420EF">
        <w:t xml:space="preserve"> týdnů při teplotě do 30 °C</w:t>
      </w:r>
    </w:p>
    <w:p w14:paraId="480E2FC6" w14:textId="77777777" w:rsidR="00222DE0" w:rsidRPr="009420EF" w:rsidRDefault="0098273B" w:rsidP="002F2E09">
      <w:pPr>
        <w:pStyle w:val="a3"/>
        <w:widowControl/>
        <w:ind w:left="0"/>
      </w:pPr>
      <w:r w:rsidRPr="009420EF">
        <w:t>Uchovávejte předplněnou injekční stříkačku v krabičce, aby byl přípravek chráněn před světlem a</w:t>
      </w:r>
      <w:r w:rsidR="002F2E09">
        <w:t xml:space="preserve"> </w:t>
      </w:r>
      <w:r w:rsidRPr="009420EF">
        <w:t>vlhkostí</w:t>
      </w:r>
    </w:p>
    <w:p w14:paraId="634B9A44" w14:textId="77777777" w:rsidR="00222DE0" w:rsidRPr="009420EF" w:rsidRDefault="00222DE0" w:rsidP="009420EF">
      <w:pPr>
        <w:pStyle w:val="a3"/>
        <w:widowControl/>
        <w:ind w:left="0"/>
      </w:pPr>
    </w:p>
    <w:p w14:paraId="666A0CA6" w14:textId="77777777" w:rsidR="00E70264" w:rsidRPr="009420EF" w:rsidRDefault="00E70264" w:rsidP="009420EF">
      <w:pPr>
        <w:pStyle w:val="a3"/>
        <w:widowControl/>
        <w:ind w:left="0"/>
      </w:pPr>
    </w:p>
    <w:p w14:paraId="0D74365E" w14:textId="77777777" w:rsidR="00270119" w:rsidRPr="009420EF" w:rsidRDefault="00270119" w:rsidP="009420EF">
      <w:pPr>
        <w:pStyle w:val="BoxedHeading"/>
        <w:rPr>
          <w:bCs w:val="0"/>
        </w:rPr>
      </w:pPr>
      <w:r w:rsidRPr="009420EF">
        <w:t>10.</w:t>
      </w:r>
      <w:r w:rsidRPr="009420EF">
        <w:tab/>
      </w:r>
      <w:r w:rsidRPr="009420EF">
        <w:rPr>
          <w:bCs w:val="0"/>
        </w:rPr>
        <w:t>ZVLÁŠTNÍ OPATŘENÍ PRO LIKVIDACI NEPOUŽITÝCH LÉČIVÝCH PŘÍPRAVKŮ NEBO ODPADU Z NICH, POKUD JE TO VHODNÉ</w:t>
      </w:r>
    </w:p>
    <w:p w14:paraId="3E566381" w14:textId="77777777" w:rsidR="00222DE0" w:rsidRPr="009420EF" w:rsidRDefault="00222DE0" w:rsidP="009420EF">
      <w:pPr>
        <w:pStyle w:val="a3"/>
        <w:widowControl/>
        <w:ind w:left="0"/>
      </w:pPr>
    </w:p>
    <w:p w14:paraId="13341DEA" w14:textId="77777777" w:rsidR="00603E20" w:rsidRPr="009420EF" w:rsidRDefault="00603E20" w:rsidP="009420EF">
      <w:pPr>
        <w:pStyle w:val="a3"/>
        <w:widowControl/>
        <w:ind w:left="0"/>
      </w:pPr>
    </w:p>
    <w:p w14:paraId="516C4983" w14:textId="77777777" w:rsidR="003E4A91" w:rsidRPr="009420EF" w:rsidRDefault="003E4A91" w:rsidP="009420EF">
      <w:pPr>
        <w:pStyle w:val="BoxedHeading"/>
        <w:rPr>
          <w:bCs w:val="0"/>
        </w:rPr>
      </w:pPr>
      <w:r w:rsidRPr="009420EF">
        <w:t>11.</w:t>
      </w:r>
      <w:r w:rsidRPr="009420EF">
        <w:tab/>
      </w:r>
      <w:r w:rsidRPr="009420EF">
        <w:rPr>
          <w:bCs w:val="0"/>
        </w:rPr>
        <w:t>NÁZEV A ADRESA DRŽITELE ROZHODNUTÍ O REGISTRACI</w:t>
      </w:r>
    </w:p>
    <w:p w14:paraId="424D0693" w14:textId="77777777" w:rsidR="001511FF" w:rsidRPr="009420EF" w:rsidRDefault="001511FF" w:rsidP="009420EF">
      <w:pPr>
        <w:pStyle w:val="a3"/>
        <w:widowControl/>
        <w:ind w:left="0"/>
      </w:pPr>
    </w:p>
    <w:p w14:paraId="3D818F86" w14:textId="77777777" w:rsidR="00266CA2" w:rsidRPr="00840707" w:rsidRDefault="00266CA2" w:rsidP="00266CA2">
      <w:pPr>
        <w:keepNext/>
      </w:pPr>
      <w:r w:rsidRPr="00840707">
        <w:t xml:space="preserve">Celltrion Healthcare Hungary Kft. </w:t>
      </w:r>
    </w:p>
    <w:p w14:paraId="2E6BCF03" w14:textId="77777777" w:rsidR="00266CA2" w:rsidRPr="00840707" w:rsidRDefault="00266CA2" w:rsidP="00266CA2">
      <w:pPr>
        <w:keepNext/>
      </w:pPr>
      <w:r w:rsidRPr="00840707">
        <w:t>1062 Budapest</w:t>
      </w:r>
    </w:p>
    <w:p w14:paraId="78F17CEE" w14:textId="77777777" w:rsidR="00266CA2" w:rsidRPr="00840707" w:rsidRDefault="00266CA2" w:rsidP="00266CA2">
      <w:pPr>
        <w:keepNext/>
      </w:pPr>
      <w:r w:rsidRPr="00840707">
        <w:t>Váci út 1-3. WestEnd Office Building B torony</w:t>
      </w:r>
    </w:p>
    <w:p w14:paraId="5B1FDE60" w14:textId="33C7AE50" w:rsidR="00222DE0" w:rsidRPr="009420EF" w:rsidRDefault="00266CA2" w:rsidP="009420EF">
      <w:pPr>
        <w:pStyle w:val="a3"/>
        <w:widowControl/>
        <w:ind w:left="0"/>
      </w:pPr>
      <w:r>
        <w:t>Maďarsko</w:t>
      </w:r>
    </w:p>
    <w:p w14:paraId="70A2E6C2" w14:textId="77777777" w:rsidR="00222DE0" w:rsidRPr="009420EF" w:rsidRDefault="00222DE0" w:rsidP="009420EF">
      <w:pPr>
        <w:pStyle w:val="a3"/>
        <w:widowControl/>
        <w:ind w:left="0"/>
      </w:pPr>
    </w:p>
    <w:p w14:paraId="347B912B" w14:textId="77777777" w:rsidR="00603E20" w:rsidRPr="009420EF" w:rsidRDefault="00603E20" w:rsidP="009420EF">
      <w:pPr>
        <w:pStyle w:val="a3"/>
        <w:widowControl/>
        <w:ind w:left="0"/>
      </w:pPr>
    </w:p>
    <w:p w14:paraId="037CFFA8" w14:textId="77777777" w:rsidR="00603E20" w:rsidRPr="009420EF" w:rsidRDefault="00603E20" w:rsidP="009420EF">
      <w:pPr>
        <w:pStyle w:val="BoxedHeading"/>
        <w:rPr>
          <w:bCs w:val="0"/>
        </w:rPr>
      </w:pPr>
      <w:r w:rsidRPr="009420EF">
        <w:t>12.</w:t>
      </w:r>
      <w:r w:rsidRPr="009420EF">
        <w:tab/>
      </w:r>
      <w:r w:rsidRPr="009420EF">
        <w:rPr>
          <w:bCs w:val="0"/>
        </w:rPr>
        <w:t>REGISTRAČNÍ ČÍSLO/ČÍSLA</w:t>
      </w:r>
    </w:p>
    <w:p w14:paraId="6D688C1F" w14:textId="77777777" w:rsidR="00603E20" w:rsidRPr="009420EF" w:rsidRDefault="00603E20" w:rsidP="009420EF">
      <w:pPr>
        <w:pStyle w:val="a3"/>
        <w:widowControl/>
        <w:ind w:left="0"/>
      </w:pPr>
    </w:p>
    <w:p w14:paraId="5ED47506" w14:textId="490582D3" w:rsidR="00222DE0" w:rsidRPr="009420EF" w:rsidRDefault="0098273B" w:rsidP="009420EF">
      <w:pPr>
        <w:pStyle w:val="a3"/>
        <w:widowControl/>
        <w:ind w:left="0"/>
      </w:pPr>
      <w:r w:rsidRPr="009420EF">
        <w:t>EU</w:t>
      </w:r>
      <w:r w:rsidR="000F498F" w:rsidRPr="00840707">
        <w:t>/</w:t>
      </w:r>
      <w:r w:rsidR="00F92232" w:rsidRPr="003672E9">
        <w:rPr>
          <w:spacing w:val="-1"/>
          <w:lang w:val="pt-BR"/>
        </w:rPr>
        <w:t>1/24/1896/00</w:t>
      </w:r>
      <w:r w:rsidR="00F92232">
        <w:rPr>
          <w:rFonts w:eastAsia="맑은 고딕" w:hint="eastAsia"/>
          <w:spacing w:val="-1"/>
          <w:lang w:val="pt-BR" w:eastAsia="ko-KR"/>
        </w:rPr>
        <w:t>9</w:t>
      </w:r>
      <w:r w:rsidR="00F92232">
        <w:rPr>
          <w:rFonts w:eastAsia="맑은 고딕"/>
          <w:spacing w:val="-1"/>
          <w:lang w:val="pt-BR" w:eastAsia="ko-KR"/>
        </w:rPr>
        <w:t xml:space="preserve"> 12 (3 x 4) předplněné injekční stříkačky (vícenásobné balení)</w:t>
      </w:r>
    </w:p>
    <w:p w14:paraId="179A5973" w14:textId="77777777" w:rsidR="00222DE0" w:rsidRPr="009420EF" w:rsidRDefault="00222DE0" w:rsidP="009420EF">
      <w:pPr>
        <w:pStyle w:val="a3"/>
        <w:widowControl/>
        <w:ind w:left="0"/>
      </w:pPr>
    </w:p>
    <w:p w14:paraId="17664455" w14:textId="77777777" w:rsidR="00E70264" w:rsidRPr="009420EF" w:rsidRDefault="00E70264" w:rsidP="009420EF">
      <w:pPr>
        <w:pStyle w:val="a3"/>
        <w:widowControl/>
        <w:ind w:left="0"/>
      </w:pPr>
    </w:p>
    <w:p w14:paraId="49582328" w14:textId="77777777" w:rsidR="00251380" w:rsidRPr="009420EF" w:rsidRDefault="00251380" w:rsidP="009420EF">
      <w:pPr>
        <w:pStyle w:val="BoxedHeading"/>
        <w:rPr>
          <w:bCs w:val="0"/>
        </w:rPr>
      </w:pPr>
      <w:r w:rsidRPr="009420EF">
        <w:t>13.</w:t>
      </w:r>
      <w:r w:rsidRPr="009420EF">
        <w:rPr>
          <w:bCs w:val="0"/>
        </w:rPr>
        <w:tab/>
        <w:t>ČÍSLO ŠARŽE</w:t>
      </w:r>
    </w:p>
    <w:p w14:paraId="55498ACC" w14:textId="77777777" w:rsidR="00222DE0" w:rsidRPr="009420EF" w:rsidRDefault="00222DE0" w:rsidP="009420EF">
      <w:pPr>
        <w:pStyle w:val="a3"/>
        <w:widowControl/>
        <w:ind w:left="0"/>
      </w:pPr>
    </w:p>
    <w:p w14:paraId="015EA914" w14:textId="77777777" w:rsidR="00222DE0" w:rsidRPr="009420EF" w:rsidRDefault="0098273B" w:rsidP="009420EF">
      <w:pPr>
        <w:pStyle w:val="a3"/>
        <w:widowControl/>
        <w:ind w:left="0"/>
      </w:pPr>
      <w:r w:rsidRPr="009420EF">
        <w:t>č.š.:</w:t>
      </w:r>
    </w:p>
    <w:p w14:paraId="27890623" w14:textId="77777777" w:rsidR="00222DE0" w:rsidRPr="009420EF" w:rsidRDefault="00222DE0" w:rsidP="009420EF">
      <w:pPr>
        <w:pStyle w:val="a3"/>
        <w:widowControl/>
        <w:ind w:left="0"/>
      </w:pPr>
    </w:p>
    <w:p w14:paraId="4EBD2416" w14:textId="77777777" w:rsidR="00E70264" w:rsidRPr="009420EF" w:rsidRDefault="00E70264" w:rsidP="009420EF">
      <w:pPr>
        <w:pStyle w:val="a3"/>
        <w:widowControl/>
        <w:ind w:left="0"/>
      </w:pPr>
    </w:p>
    <w:p w14:paraId="491E4E40" w14:textId="77777777" w:rsidR="00251380" w:rsidRPr="009420EF" w:rsidRDefault="00251380" w:rsidP="009420EF">
      <w:pPr>
        <w:pStyle w:val="BoxedHeading"/>
        <w:rPr>
          <w:bCs w:val="0"/>
        </w:rPr>
      </w:pPr>
      <w:r w:rsidRPr="009420EF">
        <w:t>14.</w:t>
      </w:r>
      <w:r w:rsidRPr="009420EF">
        <w:rPr>
          <w:bCs w:val="0"/>
        </w:rPr>
        <w:tab/>
        <w:t>KLASIFIKACE PRO VÝDEJ</w:t>
      </w:r>
    </w:p>
    <w:p w14:paraId="2AACBEC6" w14:textId="77777777" w:rsidR="00D24306" w:rsidRPr="009420EF" w:rsidRDefault="00D24306" w:rsidP="009420EF">
      <w:pPr>
        <w:pStyle w:val="a3"/>
        <w:widowControl/>
        <w:ind w:left="0"/>
      </w:pPr>
    </w:p>
    <w:p w14:paraId="401F7D62" w14:textId="77777777" w:rsidR="00D24306" w:rsidRPr="009420EF" w:rsidRDefault="00D24306" w:rsidP="009420EF">
      <w:pPr>
        <w:pStyle w:val="a3"/>
        <w:widowControl/>
        <w:ind w:left="0"/>
      </w:pPr>
    </w:p>
    <w:p w14:paraId="1319EF12" w14:textId="77777777" w:rsidR="00D24306" w:rsidRPr="009420EF" w:rsidRDefault="00D24306" w:rsidP="009420EF">
      <w:pPr>
        <w:pStyle w:val="BoxedHeading"/>
        <w:rPr>
          <w:bCs w:val="0"/>
        </w:rPr>
      </w:pPr>
      <w:r w:rsidRPr="009420EF">
        <w:t>15.</w:t>
      </w:r>
      <w:r w:rsidRPr="009420EF">
        <w:rPr>
          <w:bCs w:val="0"/>
        </w:rPr>
        <w:tab/>
        <w:t>NÁVOD K POUŽITÍ</w:t>
      </w:r>
    </w:p>
    <w:p w14:paraId="64F5508A" w14:textId="77777777" w:rsidR="00222DE0" w:rsidRPr="009420EF" w:rsidRDefault="00222DE0" w:rsidP="009420EF">
      <w:pPr>
        <w:pStyle w:val="a3"/>
        <w:widowControl/>
        <w:ind w:left="0"/>
      </w:pPr>
    </w:p>
    <w:p w14:paraId="321FB785" w14:textId="77777777" w:rsidR="00D24306" w:rsidRPr="009420EF" w:rsidRDefault="00D24306" w:rsidP="009420EF">
      <w:pPr>
        <w:pStyle w:val="a3"/>
        <w:widowControl/>
        <w:ind w:left="0"/>
      </w:pPr>
    </w:p>
    <w:p w14:paraId="05D026B0" w14:textId="77777777" w:rsidR="00D24306" w:rsidRPr="009420EF" w:rsidRDefault="00D24306" w:rsidP="009420EF">
      <w:pPr>
        <w:pStyle w:val="BoxedHeading"/>
        <w:rPr>
          <w:bCs w:val="0"/>
        </w:rPr>
      </w:pPr>
      <w:r w:rsidRPr="009420EF">
        <w:t>16.</w:t>
      </w:r>
      <w:r w:rsidRPr="009420EF">
        <w:rPr>
          <w:bCs w:val="0"/>
        </w:rPr>
        <w:tab/>
        <w:t>INFORMACE V BRAILLOVĚ PÍSMU</w:t>
      </w:r>
    </w:p>
    <w:p w14:paraId="1D68D859" w14:textId="77777777" w:rsidR="00D24306" w:rsidRPr="009420EF" w:rsidRDefault="00D24306" w:rsidP="009420EF">
      <w:pPr>
        <w:pStyle w:val="a3"/>
        <w:widowControl/>
        <w:ind w:left="0"/>
      </w:pPr>
    </w:p>
    <w:p w14:paraId="5A40A0D4" w14:textId="72C3553B" w:rsidR="00222DE0" w:rsidRPr="009420EF" w:rsidRDefault="000F498F" w:rsidP="009420EF">
      <w:pPr>
        <w:pStyle w:val="a3"/>
        <w:widowControl/>
        <w:ind w:left="0"/>
      </w:pPr>
      <w:r>
        <w:t>a</w:t>
      </w:r>
      <w:r w:rsidR="00266CA2">
        <w:t>vtozma</w:t>
      </w:r>
      <w:r w:rsidR="0098273B" w:rsidRPr="009420EF">
        <w:t xml:space="preserve"> 162 mg</w:t>
      </w:r>
    </w:p>
    <w:p w14:paraId="7C66BE54" w14:textId="77777777" w:rsidR="00222DE0" w:rsidRPr="009420EF" w:rsidRDefault="00222DE0" w:rsidP="009420EF">
      <w:pPr>
        <w:pStyle w:val="a3"/>
        <w:widowControl/>
        <w:ind w:left="0"/>
      </w:pPr>
    </w:p>
    <w:p w14:paraId="0CA08A24" w14:textId="77777777" w:rsidR="00E70264" w:rsidRPr="009420EF" w:rsidRDefault="00E70264" w:rsidP="009420EF">
      <w:pPr>
        <w:pStyle w:val="a3"/>
        <w:widowControl/>
        <w:ind w:left="0"/>
      </w:pPr>
    </w:p>
    <w:p w14:paraId="05E030AB" w14:textId="77777777" w:rsidR="00BF7E0C" w:rsidRPr="009420EF" w:rsidRDefault="00BF7E0C" w:rsidP="009420EF">
      <w:pPr>
        <w:pStyle w:val="BoxedHeading"/>
        <w:rPr>
          <w:bCs w:val="0"/>
        </w:rPr>
      </w:pPr>
      <w:r w:rsidRPr="009420EF">
        <w:t>17.</w:t>
      </w:r>
      <w:r w:rsidRPr="009420EF">
        <w:rPr>
          <w:bCs w:val="0"/>
        </w:rPr>
        <w:tab/>
        <w:t>JEDINEČNÝ IDENTIFIKÁTOR – 2D ČÁROVÝ KÓD</w:t>
      </w:r>
    </w:p>
    <w:p w14:paraId="04B7BC55" w14:textId="77777777" w:rsidR="00222DE0" w:rsidRPr="009420EF" w:rsidRDefault="00222DE0" w:rsidP="009420EF">
      <w:pPr>
        <w:pStyle w:val="a3"/>
        <w:widowControl/>
        <w:ind w:left="0"/>
      </w:pPr>
    </w:p>
    <w:p w14:paraId="17C0C2CD" w14:textId="06E29999" w:rsidR="00222DE0" w:rsidRDefault="0098273B" w:rsidP="009420EF">
      <w:pPr>
        <w:rPr>
          <w:rFonts w:eastAsia="맑은 고딕"/>
          <w:highlight w:val="lightGray"/>
          <w:lang w:eastAsia="ko-KR"/>
        </w:rPr>
      </w:pPr>
      <w:r>
        <w:rPr>
          <w:highlight w:val="lightGray"/>
        </w:rPr>
        <w:t>2D čárový kód s jedinečným identifikátorem.</w:t>
      </w:r>
    </w:p>
    <w:p w14:paraId="58FDF59B" w14:textId="77777777" w:rsidR="00222DE0" w:rsidRPr="009420EF" w:rsidRDefault="00222DE0" w:rsidP="009420EF">
      <w:pPr>
        <w:pStyle w:val="a3"/>
        <w:widowControl/>
        <w:ind w:left="0"/>
      </w:pPr>
    </w:p>
    <w:p w14:paraId="21C431EC" w14:textId="77777777" w:rsidR="00E70264" w:rsidRPr="009420EF" w:rsidRDefault="00E70264" w:rsidP="009420EF">
      <w:pPr>
        <w:pStyle w:val="a3"/>
        <w:widowControl/>
        <w:ind w:left="0"/>
      </w:pPr>
    </w:p>
    <w:p w14:paraId="7EBBF2D0" w14:textId="77777777" w:rsidR="00BF7E0C" w:rsidRPr="009420EF" w:rsidRDefault="00BF7E0C" w:rsidP="009420EF">
      <w:pPr>
        <w:pStyle w:val="BoxedHeading"/>
        <w:rPr>
          <w:bCs w:val="0"/>
        </w:rPr>
      </w:pPr>
      <w:r w:rsidRPr="009420EF">
        <w:t>18.</w:t>
      </w:r>
      <w:r w:rsidRPr="009420EF">
        <w:rPr>
          <w:bCs w:val="0"/>
        </w:rPr>
        <w:tab/>
        <w:t>JEDINEČNÝ IDENTIFIKÁTOR – DATA ČITELNÁ OKEM</w:t>
      </w:r>
    </w:p>
    <w:p w14:paraId="0B5F0BBA" w14:textId="77777777" w:rsidR="00BF7E0C" w:rsidRPr="009420EF" w:rsidRDefault="00BF7E0C" w:rsidP="009420EF">
      <w:pPr>
        <w:pStyle w:val="a3"/>
        <w:widowControl/>
        <w:ind w:left="0"/>
      </w:pPr>
    </w:p>
    <w:p w14:paraId="30528479" w14:textId="77777777" w:rsidR="00354D99" w:rsidRPr="009420EF" w:rsidRDefault="00354D99" w:rsidP="009420EF">
      <w:pPr>
        <w:pStyle w:val="a3"/>
        <w:widowControl/>
        <w:ind w:left="0"/>
        <w:jc w:val="both"/>
      </w:pPr>
      <w:r w:rsidRPr="009420EF">
        <w:br w:type="page"/>
      </w:r>
    </w:p>
    <w:p w14:paraId="68B0DD5D" w14:textId="77777777" w:rsidR="003434C8" w:rsidRPr="009420EF" w:rsidRDefault="003434C8"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64291698" w14:textId="77777777" w:rsidR="003434C8" w:rsidRPr="009420EF" w:rsidRDefault="003434C8" w:rsidP="009420EF">
      <w:pPr>
        <w:widowControl/>
        <w:pBdr>
          <w:top w:val="single" w:sz="4" w:space="1" w:color="auto"/>
          <w:left w:val="single" w:sz="4" w:space="4" w:color="auto"/>
          <w:bottom w:val="single" w:sz="4" w:space="1" w:color="auto"/>
          <w:right w:val="single" w:sz="4" w:space="4" w:color="auto"/>
        </w:pBdr>
        <w:rPr>
          <w:b/>
          <w:bCs/>
        </w:rPr>
      </w:pPr>
    </w:p>
    <w:p w14:paraId="1754AEF2" w14:textId="77777777" w:rsidR="003434C8" w:rsidRPr="009420EF" w:rsidRDefault="003434C8" w:rsidP="009420EF">
      <w:pPr>
        <w:widowControl/>
        <w:pBdr>
          <w:top w:val="single" w:sz="4" w:space="1" w:color="auto"/>
          <w:left w:val="single" w:sz="4" w:space="4" w:color="auto"/>
          <w:bottom w:val="single" w:sz="4" w:space="1" w:color="auto"/>
          <w:right w:val="single" w:sz="4" w:space="4" w:color="auto"/>
        </w:pBdr>
        <w:rPr>
          <w:b/>
          <w:bCs/>
        </w:rPr>
      </w:pPr>
      <w:r w:rsidRPr="009420EF">
        <w:rPr>
          <w:b/>
        </w:rPr>
        <w:t>KRABIČKA PŘEDPLNĚNÉ PERO</w:t>
      </w:r>
    </w:p>
    <w:p w14:paraId="26C838B5" w14:textId="77777777" w:rsidR="00222DE0" w:rsidRPr="009420EF" w:rsidRDefault="00222DE0" w:rsidP="009420EF">
      <w:pPr>
        <w:widowControl/>
        <w:jc w:val="both"/>
      </w:pPr>
    </w:p>
    <w:p w14:paraId="6A343378" w14:textId="77777777" w:rsidR="003434C8" w:rsidRPr="009420EF" w:rsidRDefault="003434C8" w:rsidP="009420EF">
      <w:pPr>
        <w:pStyle w:val="a3"/>
        <w:widowControl/>
        <w:ind w:left="0"/>
      </w:pPr>
    </w:p>
    <w:p w14:paraId="6FA779E1" w14:textId="77777777" w:rsidR="003434C8" w:rsidRPr="009420EF" w:rsidRDefault="003434C8" w:rsidP="009420EF">
      <w:pPr>
        <w:pStyle w:val="BoxedHeading"/>
        <w:rPr>
          <w:bCs w:val="0"/>
        </w:rPr>
      </w:pPr>
      <w:r w:rsidRPr="009420EF">
        <w:t>1.</w:t>
      </w:r>
      <w:r w:rsidRPr="009420EF">
        <w:rPr>
          <w:bCs w:val="0"/>
        </w:rPr>
        <w:tab/>
        <w:t>NÁZEV LÉČIVÉHO PŘÍPRAVKU</w:t>
      </w:r>
    </w:p>
    <w:p w14:paraId="06FB8D2D" w14:textId="77777777" w:rsidR="00354D99" w:rsidRPr="009420EF" w:rsidRDefault="00354D99" w:rsidP="009420EF">
      <w:pPr>
        <w:pStyle w:val="a3"/>
        <w:widowControl/>
        <w:ind w:left="0"/>
      </w:pPr>
    </w:p>
    <w:p w14:paraId="384FC154" w14:textId="6597DFA8" w:rsidR="00222DE0" w:rsidRPr="009D6AC8" w:rsidRDefault="00266CA2" w:rsidP="009420EF">
      <w:pPr>
        <w:pStyle w:val="a3"/>
        <w:widowControl/>
        <w:ind w:left="0"/>
        <w:rPr>
          <w:rFonts w:eastAsia="맑은 고딕"/>
          <w:lang w:eastAsia="ko-KR"/>
        </w:rPr>
      </w:pPr>
      <w:r>
        <w:t>Avtozma</w:t>
      </w:r>
      <w:r w:rsidR="0098273B" w:rsidRPr="009420EF">
        <w:t xml:space="preserve"> 162 mg injekční roztok v předplněném peru</w:t>
      </w:r>
    </w:p>
    <w:p w14:paraId="66B8785F" w14:textId="3E2B4618" w:rsidR="00222DE0" w:rsidRPr="009420EF" w:rsidRDefault="0098273B" w:rsidP="009420EF">
      <w:pPr>
        <w:pStyle w:val="a3"/>
        <w:widowControl/>
        <w:ind w:left="0"/>
      </w:pPr>
      <w:r w:rsidRPr="009420EF">
        <w:t>tocilizumab</w:t>
      </w:r>
    </w:p>
    <w:p w14:paraId="4DEED1F1" w14:textId="77777777" w:rsidR="00222DE0" w:rsidRPr="009420EF" w:rsidRDefault="00222DE0" w:rsidP="009420EF">
      <w:pPr>
        <w:pStyle w:val="a3"/>
        <w:widowControl/>
        <w:ind w:left="0"/>
      </w:pPr>
    </w:p>
    <w:p w14:paraId="5DF8E6F0" w14:textId="77777777" w:rsidR="003A3116" w:rsidRPr="009420EF" w:rsidRDefault="003A3116" w:rsidP="009420EF">
      <w:pPr>
        <w:pStyle w:val="a3"/>
        <w:widowControl/>
        <w:ind w:left="0"/>
      </w:pPr>
    </w:p>
    <w:p w14:paraId="30C05D9B" w14:textId="77777777" w:rsidR="003A3116" w:rsidRPr="009420EF" w:rsidRDefault="003A3116" w:rsidP="009420EF">
      <w:pPr>
        <w:pStyle w:val="BoxedHeading"/>
        <w:rPr>
          <w:bCs w:val="0"/>
        </w:rPr>
      </w:pPr>
      <w:r w:rsidRPr="009420EF">
        <w:t>2.</w:t>
      </w:r>
      <w:r w:rsidRPr="009420EF">
        <w:rPr>
          <w:bCs w:val="0"/>
        </w:rPr>
        <w:tab/>
        <w:t>OBSAH LÉČIVÉ LÁTKY / LÉČIVÝCH LÁTEK</w:t>
      </w:r>
    </w:p>
    <w:p w14:paraId="5ED3C3AC" w14:textId="77777777" w:rsidR="00354D99" w:rsidRPr="009420EF" w:rsidRDefault="00354D99" w:rsidP="009420EF">
      <w:pPr>
        <w:pStyle w:val="a3"/>
        <w:widowControl/>
        <w:ind w:left="0"/>
      </w:pPr>
    </w:p>
    <w:p w14:paraId="7D067872" w14:textId="1D2CD373" w:rsidR="00222DE0" w:rsidRPr="009420EF" w:rsidRDefault="0098273B" w:rsidP="009420EF">
      <w:pPr>
        <w:pStyle w:val="a3"/>
        <w:widowControl/>
        <w:ind w:left="0"/>
      </w:pPr>
      <w:r w:rsidRPr="009420EF">
        <w:t xml:space="preserve">Jedno předplněné pero obsahuje </w:t>
      </w:r>
      <w:r w:rsidR="008E598F" w:rsidRPr="009420EF">
        <w:t xml:space="preserve">162 mg </w:t>
      </w:r>
      <w:r w:rsidRPr="009420EF">
        <w:t>tocilizumabu.</w:t>
      </w:r>
    </w:p>
    <w:p w14:paraId="7C479AE2" w14:textId="77777777" w:rsidR="00222DE0" w:rsidRPr="009420EF" w:rsidRDefault="00222DE0" w:rsidP="009420EF">
      <w:pPr>
        <w:pStyle w:val="a3"/>
        <w:widowControl/>
        <w:ind w:left="0"/>
      </w:pPr>
    </w:p>
    <w:p w14:paraId="620DB87A" w14:textId="77777777" w:rsidR="00E70264" w:rsidRPr="009420EF" w:rsidRDefault="00E70264" w:rsidP="009420EF">
      <w:pPr>
        <w:pStyle w:val="a3"/>
        <w:widowControl/>
        <w:ind w:left="0"/>
      </w:pPr>
    </w:p>
    <w:p w14:paraId="436AFB35" w14:textId="77777777" w:rsidR="003A3116" w:rsidRPr="009420EF" w:rsidRDefault="003A3116" w:rsidP="009420EF">
      <w:pPr>
        <w:pStyle w:val="BoxedHeading"/>
        <w:rPr>
          <w:bCs w:val="0"/>
        </w:rPr>
      </w:pPr>
      <w:r w:rsidRPr="009420EF">
        <w:t>3.</w:t>
      </w:r>
      <w:r w:rsidRPr="009420EF">
        <w:rPr>
          <w:bCs w:val="0"/>
        </w:rPr>
        <w:tab/>
        <w:t>SEZNAM POMOCNÝCH LÁTEK</w:t>
      </w:r>
    </w:p>
    <w:p w14:paraId="7A3406C1" w14:textId="77777777" w:rsidR="00354D99" w:rsidRPr="009420EF" w:rsidRDefault="00354D99" w:rsidP="009420EF">
      <w:pPr>
        <w:pStyle w:val="a3"/>
        <w:widowControl/>
        <w:ind w:left="0"/>
      </w:pPr>
    </w:p>
    <w:p w14:paraId="58431EAB" w14:textId="0BF8B254" w:rsidR="000F498F" w:rsidRPr="009420EF" w:rsidRDefault="000F498F" w:rsidP="000F498F">
      <w:pPr>
        <w:pStyle w:val="a3"/>
        <w:widowControl/>
        <w:ind w:left="0"/>
      </w:pPr>
      <w:r>
        <w:t xml:space="preserve">Pomocné látky: L-Histidin, </w:t>
      </w:r>
      <w:r w:rsidR="00AD6345" w:rsidRPr="00AD6345">
        <w:rPr>
          <w:rFonts w:eastAsia="맑은 고딕" w:hint="eastAsia"/>
          <w:lang w:eastAsia="ko-KR"/>
        </w:rPr>
        <w:t>Monohydrát histidin-hydrochloridu</w:t>
      </w:r>
      <w:r w:rsidR="00395E0C">
        <w:rPr>
          <w:rFonts w:eastAsia="맑은 고딕" w:hint="eastAsia"/>
          <w:lang w:eastAsia="ko-KR"/>
        </w:rPr>
        <w:t xml:space="preserve">, </w:t>
      </w:r>
      <w:r>
        <w:t>L-Threonin, L-Methionin, p</w:t>
      </w:r>
      <w:r w:rsidRPr="009420EF">
        <w:t>olysorbát 80, voda pro injekci</w:t>
      </w:r>
      <w:r w:rsidRPr="009420EF">
        <w:rPr>
          <w:color w:val="000000"/>
        </w:rPr>
        <w:t>.</w:t>
      </w:r>
      <w:r>
        <w:rPr>
          <w:color w:val="000000"/>
        </w:rPr>
        <w:t xml:space="preserve"> </w:t>
      </w:r>
      <w:r w:rsidRPr="009420EF">
        <w:t>Další údaje naleznete v příbalové informaci.</w:t>
      </w:r>
    </w:p>
    <w:p w14:paraId="04AB8952" w14:textId="77777777" w:rsidR="00222DE0" w:rsidRPr="009420EF" w:rsidRDefault="00222DE0" w:rsidP="009420EF">
      <w:pPr>
        <w:pStyle w:val="a3"/>
        <w:widowControl/>
        <w:ind w:left="0"/>
      </w:pPr>
    </w:p>
    <w:p w14:paraId="43BFB035" w14:textId="77777777" w:rsidR="00E70264" w:rsidRPr="009420EF" w:rsidRDefault="00E70264" w:rsidP="009420EF">
      <w:pPr>
        <w:pStyle w:val="a3"/>
        <w:widowControl/>
        <w:ind w:left="0"/>
      </w:pPr>
    </w:p>
    <w:p w14:paraId="2BD7BB8B" w14:textId="77777777" w:rsidR="00090255" w:rsidRPr="009420EF" w:rsidRDefault="00090255" w:rsidP="009420EF">
      <w:pPr>
        <w:pStyle w:val="BoxedHeading"/>
      </w:pPr>
      <w:r w:rsidRPr="009420EF">
        <w:t>4.</w:t>
      </w:r>
      <w:r w:rsidRPr="009420EF">
        <w:tab/>
        <w:t>LÉKOVÁ FORMA A OBSAH BALENÍ</w:t>
      </w:r>
    </w:p>
    <w:p w14:paraId="0E42989E" w14:textId="77777777" w:rsidR="00354D99" w:rsidRPr="009420EF" w:rsidRDefault="00354D99" w:rsidP="009420EF">
      <w:pPr>
        <w:pStyle w:val="a3"/>
        <w:widowControl/>
        <w:ind w:left="0"/>
      </w:pPr>
    </w:p>
    <w:p w14:paraId="2BE5A610" w14:textId="743A001E" w:rsidR="00222DE0" w:rsidRPr="009420EF" w:rsidRDefault="0098273B" w:rsidP="009420EF">
      <w:pPr>
        <w:pStyle w:val="a3"/>
        <w:widowControl/>
        <w:ind w:left="0"/>
      </w:pPr>
      <w:r w:rsidRPr="009420EF">
        <w:t>Injekční roztok v předplněném peru</w:t>
      </w:r>
    </w:p>
    <w:p w14:paraId="10945C5D" w14:textId="7CD66EE5" w:rsidR="000F498F" w:rsidRDefault="000F498F" w:rsidP="009420EF">
      <w:pPr>
        <w:pStyle w:val="a3"/>
        <w:widowControl/>
        <w:ind w:left="0"/>
        <w:rPr>
          <w:ins w:id="43" w:author="만든 이"/>
          <w:rFonts w:eastAsia="맑은 고딕"/>
          <w:lang w:eastAsia="ko-KR"/>
        </w:rPr>
      </w:pPr>
      <w:r>
        <w:t>1 předplněné pero</w:t>
      </w:r>
    </w:p>
    <w:p w14:paraId="7A91CA13" w14:textId="25F93BD6" w:rsidR="005A5001" w:rsidRPr="005A5001" w:rsidRDefault="005A5001" w:rsidP="009420EF">
      <w:pPr>
        <w:pStyle w:val="a3"/>
        <w:widowControl/>
        <w:ind w:left="0"/>
        <w:rPr>
          <w:rFonts w:eastAsia="맑은 고딕"/>
          <w:lang w:eastAsia="ko-KR"/>
          <w:rPrChange w:id="44" w:author="만든 이">
            <w:rPr/>
          </w:rPrChange>
        </w:rPr>
      </w:pPr>
      <w:ins w:id="45" w:author="만든 이">
        <w:r>
          <w:rPr>
            <w:rFonts w:eastAsia="맑은 고딕" w:hint="eastAsia"/>
            <w:lang w:eastAsia="ko-KR"/>
          </w:rPr>
          <w:t>2</w:t>
        </w:r>
        <w:r w:rsidRPr="009420EF">
          <w:t xml:space="preserve"> předplněná pera</w:t>
        </w:r>
      </w:ins>
    </w:p>
    <w:p w14:paraId="2420844A" w14:textId="0196C872" w:rsidR="00222DE0" w:rsidRPr="009420EF" w:rsidRDefault="0098273B" w:rsidP="009420EF">
      <w:pPr>
        <w:pStyle w:val="a3"/>
        <w:widowControl/>
        <w:ind w:left="0"/>
      </w:pPr>
      <w:r w:rsidRPr="009420EF">
        <w:t>4 předplněná pera</w:t>
      </w:r>
    </w:p>
    <w:p w14:paraId="0E7FC182" w14:textId="77777777" w:rsidR="00222DE0" w:rsidRPr="009420EF" w:rsidRDefault="0098273B" w:rsidP="009420EF">
      <w:pPr>
        <w:pStyle w:val="a3"/>
        <w:widowControl/>
        <w:ind w:left="0"/>
      </w:pPr>
      <w:r w:rsidRPr="009420EF">
        <w:t>162 mg/0,9 ml</w:t>
      </w:r>
    </w:p>
    <w:p w14:paraId="562F5BA9" w14:textId="77777777" w:rsidR="00E70264" w:rsidRPr="009420EF" w:rsidRDefault="00E70264" w:rsidP="009420EF">
      <w:pPr>
        <w:pStyle w:val="a3"/>
        <w:widowControl/>
        <w:ind w:left="0"/>
      </w:pPr>
    </w:p>
    <w:p w14:paraId="71DC4E83" w14:textId="77777777" w:rsidR="00222DE0" w:rsidRPr="009420EF" w:rsidRDefault="00222DE0" w:rsidP="009420EF">
      <w:pPr>
        <w:pStyle w:val="a3"/>
        <w:widowControl/>
        <w:ind w:left="0"/>
      </w:pPr>
    </w:p>
    <w:p w14:paraId="2BBCFBEA" w14:textId="77777777" w:rsidR="006308C2" w:rsidRPr="009420EF" w:rsidRDefault="006308C2" w:rsidP="009420EF">
      <w:pPr>
        <w:pStyle w:val="BoxedHeading"/>
        <w:rPr>
          <w:bCs w:val="0"/>
        </w:rPr>
      </w:pPr>
      <w:r w:rsidRPr="009420EF">
        <w:t>5.</w:t>
      </w:r>
      <w:r w:rsidRPr="009420EF">
        <w:tab/>
      </w:r>
      <w:r w:rsidRPr="009420EF">
        <w:rPr>
          <w:bCs w:val="0"/>
        </w:rPr>
        <w:t>ZPŮSOB A CESTA / CESTY PODÁNÍ</w:t>
      </w:r>
    </w:p>
    <w:p w14:paraId="0C191175" w14:textId="77777777" w:rsidR="006308C2" w:rsidRPr="009420EF" w:rsidRDefault="006308C2" w:rsidP="009420EF">
      <w:pPr>
        <w:pStyle w:val="a3"/>
        <w:widowControl/>
        <w:ind w:left="0"/>
      </w:pPr>
    </w:p>
    <w:p w14:paraId="38BF79FD" w14:textId="77777777" w:rsidR="00222DE0" w:rsidRPr="009420EF" w:rsidRDefault="0098273B" w:rsidP="009420EF">
      <w:pPr>
        <w:pStyle w:val="a3"/>
        <w:widowControl/>
        <w:ind w:left="0"/>
      </w:pPr>
      <w:r w:rsidRPr="009420EF">
        <w:t>Subkutánní podání</w:t>
      </w:r>
    </w:p>
    <w:p w14:paraId="24B7B980" w14:textId="77777777" w:rsidR="00222DE0" w:rsidRPr="009420EF" w:rsidRDefault="0098273B" w:rsidP="009420EF">
      <w:pPr>
        <w:pStyle w:val="a3"/>
        <w:widowControl/>
        <w:ind w:left="0"/>
      </w:pPr>
      <w:r w:rsidRPr="009420EF">
        <w:t>Před použitím si přečtěte příbalovou informaci</w:t>
      </w:r>
    </w:p>
    <w:p w14:paraId="37542E21" w14:textId="77777777" w:rsidR="00222DE0" w:rsidRPr="009420EF" w:rsidRDefault="00222DE0" w:rsidP="009420EF">
      <w:pPr>
        <w:pStyle w:val="a3"/>
        <w:widowControl/>
        <w:ind w:left="0"/>
      </w:pPr>
    </w:p>
    <w:p w14:paraId="337A7E88" w14:textId="77777777" w:rsidR="00E70264" w:rsidRPr="009420EF" w:rsidRDefault="00E70264" w:rsidP="009420EF">
      <w:pPr>
        <w:pStyle w:val="a3"/>
        <w:widowControl/>
        <w:ind w:left="0"/>
      </w:pPr>
    </w:p>
    <w:p w14:paraId="7D54F960" w14:textId="77777777" w:rsidR="006308C2" w:rsidRPr="009420EF" w:rsidRDefault="006308C2" w:rsidP="009420EF">
      <w:pPr>
        <w:pStyle w:val="BoxedHeading"/>
        <w:rPr>
          <w:bCs w:val="0"/>
        </w:rPr>
      </w:pPr>
      <w:r w:rsidRPr="009420EF">
        <w:t>6.</w:t>
      </w:r>
      <w:r w:rsidRPr="009420EF">
        <w:tab/>
      </w:r>
      <w:r w:rsidRPr="009420EF">
        <w:rPr>
          <w:bCs w:val="0"/>
        </w:rPr>
        <w:t>ZVLÁŠTNÍ UPOZORNĚNÍ, ŽE LÉČIVÝ PŘÍPRAVEK MUSÍ BÝT UCHOVÁVÁN MIMO DOHLED A DOSAH DĚTÍ</w:t>
      </w:r>
    </w:p>
    <w:p w14:paraId="3FEFCD23" w14:textId="77777777" w:rsidR="0062341C" w:rsidRPr="009420EF" w:rsidRDefault="0062341C" w:rsidP="009420EF">
      <w:pPr>
        <w:pStyle w:val="a3"/>
        <w:widowControl/>
        <w:ind w:left="0"/>
      </w:pPr>
    </w:p>
    <w:p w14:paraId="6D9D9BE4" w14:textId="77777777" w:rsidR="00222DE0" w:rsidRPr="009420EF" w:rsidRDefault="0098273B" w:rsidP="009420EF">
      <w:pPr>
        <w:pStyle w:val="a3"/>
        <w:widowControl/>
        <w:ind w:left="0"/>
      </w:pPr>
      <w:r w:rsidRPr="009420EF">
        <w:t>Uchovávejte mimo dohled a dosah dětí</w:t>
      </w:r>
    </w:p>
    <w:p w14:paraId="52727469" w14:textId="77777777" w:rsidR="00222DE0" w:rsidRPr="009420EF" w:rsidRDefault="00222DE0" w:rsidP="009420EF">
      <w:pPr>
        <w:pStyle w:val="a3"/>
        <w:widowControl/>
        <w:ind w:left="0"/>
      </w:pPr>
    </w:p>
    <w:p w14:paraId="0BE8C048" w14:textId="77777777" w:rsidR="00EB7386" w:rsidRPr="009420EF" w:rsidRDefault="00EB7386" w:rsidP="009420EF">
      <w:pPr>
        <w:pStyle w:val="a3"/>
        <w:widowControl/>
        <w:ind w:left="0"/>
      </w:pPr>
    </w:p>
    <w:p w14:paraId="7B253F5A" w14:textId="77777777" w:rsidR="00EB7386" w:rsidRPr="009420EF" w:rsidRDefault="00EB7386" w:rsidP="009420EF">
      <w:pPr>
        <w:pStyle w:val="BoxedHeading"/>
        <w:rPr>
          <w:bCs w:val="0"/>
        </w:rPr>
      </w:pPr>
      <w:r w:rsidRPr="009420EF">
        <w:t>7.</w:t>
      </w:r>
      <w:r w:rsidRPr="009420EF">
        <w:tab/>
      </w:r>
      <w:r w:rsidRPr="009420EF">
        <w:rPr>
          <w:bCs w:val="0"/>
        </w:rPr>
        <w:t>DALŠÍ ZVLÁŠTNÍ UPOZORNĚNÍ, POKUD JE POTŘEBNÉ</w:t>
      </w:r>
    </w:p>
    <w:p w14:paraId="5EFC5E8C" w14:textId="77777777" w:rsidR="0062341C" w:rsidRPr="009420EF" w:rsidRDefault="0062341C" w:rsidP="009420EF">
      <w:pPr>
        <w:pStyle w:val="a3"/>
        <w:widowControl/>
        <w:ind w:left="0"/>
      </w:pPr>
    </w:p>
    <w:p w14:paraId="12C40EA2" w14:textId="77777777" w:rsidR="00222DE0" w:rsidRPr="009420EF" w:rsidRDefault="0098273B" w:rsidP="009420EF">
      <w:pPr>
        <w:pStyle w:val="a3"/>
        <w:widowControl/>
        <w:ind w:left="0"/>
      </w:pPr>
      <w:r w:rsidRPr="009420EF">
        <w:t>Předplněné pero vyjměte z krabičky a ponechte je 45 minut před aplikací při pokojové teplotě</w:t>
      </w:r>
    </w:p>
    <w:p w14:paraId="0672144D" w14:textId="77777777" w:rsidR="00222DE0" w:rsidRPr="009420EF" w:rsidRDefault="00222DE0" w:rsidP="009420EF">
      <w:pPr>
        <w:pStyle w:val="a3"/>
        <w:widowControl/>
        <w:ind w:left="0"/>
      </w:pPr>
    </w:p>
    <w:p w14:paraId="61819155" w14:textId="77777777" w:rsidR="00915B63" w:rsidRPr="009420EF" w:rsidRDefault="00915B63" w:rsidP="009420EF">
      <w:pPr>
        <w:pStyle w:val="a3"/>
        <w:widowControl/>
        <w:ind w:left="0"/>
      </w:pPr>
    </w:p>
    <w:p w14:paraId="42B14F08" w14:textId="77777777" w:rsidR="00EB7386" w:rsidRPr="009420EF" w:rsidRDefault="00EB7386" w:rsidP="009420EF">
      <w:pPr>
        <w:pStyle w:val="BoxedHeading"/>
        <w:rPr>
          <w:bCs w:val="0"/>
        </w:rPr>
      </w:pPr>
      <w:r w:rsidRPr="009420EF">
        <w:t>8.</w:t>
      </w:r>
      <w:r w:rsidRPr="009420EF">
        <w:tab/>
      </w:r>
      <w:r w:rsidRPr="009420EF">
        <w:rPr>
          <w:bCs w:val="0"/>
        </w:rPr>
        <w:t>POUŽITELNOST</w:t>
      </w:r>
    </w:p>
    <w:p w14:paraId="2731C7FD" w14:textId="77777777" w:rsidR="0062341C" w:rsidRPr="009420EF" w:rsidRDefault="0062341C" w:rsidP="009420EF">
      <w:pPr>
        <w:pStyle w:val="a3"/>
        <w:widowControl/>
        <w:ind w:left="0"/>
      </w:pPr>
    </w:p>
    <w:p w14:paraId="3BD205D5" w14:textId="77777777" w:rsidR="00222DE0" w:rsidRPr="009420EF" w:rsidRDefault="0098273B" w:rsidP="009420EF">
      <w:pPr>
        <w:pStyle w:val="a3"/>
        <w:widowControl/>
        <w:ind w:left="0"/>
      </w:pPr>
      <w:r w:rsidRPr="009420EF">
        <w:t>Použitelné do:</w:t>
      </w:r>
    </w:p>
    <w:p w14:paraId="03369CD1" w14:textId="77777777" w:rsidR="00915B63" w:rsidRPr="009420EF" w:rsidRDefault="00915B63" w:rsidP="009420EF">
      <w:pPr>
        <w:pStyle w:val="a3"/>
        <w:widowControl/>
        <w:ind w:left="0"/>
      </w:pPr>
    </w:p>
    <w:p w14:paraId="612AA8A2" w14:textId="77777777" w:rsidR="00915B63" w:rsidRPr="009420EF" w:rsidRDefault="00915B63" w:rsidP="009420EF">
      <w:pPr>
        <w:pStyle w:val="a3"/>
        <w:widowControl/>
        <w:ind w:left="0"/>
      </w:pPr>
    </w:p>
    <w:p w14:paraId="3C943D39" w14:textId="77777777" w:rsidR="00915B63" w:rsidRPr="009420EF" w:rsidRDefault="00915B63" w:rsidP="009420EF">
      <w:pPr>
        <w:pStyle w:val="BoxedHeading"/>
        <w:rPr>
          <w:bCs w:val="0"/>
        </w:rPr>
      </w:pPr>
      <w:r w:rsidRPr="009420EF">
        <w:lastRenderedPageBreak/>
        <w:t>9.</w:t>
      </w:r>
      <w:r w:rsidRPr="009420EF">
        <w:tab/>
      </w:r>
      <w:r w:rsidRPr="009420EF">
        <w:rPr>
          <w:bCs w:val="0"/>
        </w:rPr>
        <w:t>ZVLÁŠTNÍ PODMÍNKY PRO UCHOVÁVÁNÍ</w:t>
      </w:r>
    </w:p>
    <w:p w14:paraId="1DFD938B" w14:textId="77777777" w:rsidR="00930F89" w:rsidRPr="009420EF" w:rsidRDefault="00930F89" w:rsidP="009420EF">
      <w:pPr>
        <w:pStyle w:val="a3"/>
        <w:keepNext/>
        <w:widowControl/>
        <w:ind w:left="0"/>
      </w:pPr>
    </w:p>
    <w:p w14:paraId="2411FB30" w14:textId="77777777" w:rsidR="00222DE0" w:rsidRPr="009420EF" w:rsidRDefault="0098273B" w:rsidP="009420EF">
      <w:pPr>
        <w:pStyle w:val="a3"/>
        <w:widowControl/>
        <w:ind w:left="0"/>
      </w:pPr>
      <w:r w:rsidRPr="009420EF">
        <w:t>Uchovávejte v chladničce Chraňte před mrazem</w:t>
      </w:r>
    </w:p>
    <w:p w14:paraId="60DE230C" w14:textId="702376A2" w:rsidR="00222DE0" w:rsidRPr="009420EF" w:rsidRDefault="0098273B" w:rsidP="002F2E09">
      <w:pPr>
        <w:pStyle w:val="a3"/>
        <w:widowControl/>
        <w:ind w:left="0"/>
      </w:pPr>
      <w:r w:rsidRPr="009420EF">
        <w:t xml:space="preserve">Po vyjmutí z chladničky může být předplněné pero uchováváno až po dobu </w:t>
      </w:r>
      <w:r w:rsidR="000F498F">
        <w:t>3</w:t>
      </w:r>
      <w:r w:rsidRPr="009420EF">
        <w:t xml:space="preserve"> týdnů při teplotě do 30</w:t>
      </w:r>
      <w:r w:rsidR="0031326B" w:rsidRPr="009420EF">
        <w:t xml:space="preserve"> </w:t>
      </w:r>
      <w:r w:rsidRPr="009420EF">
        <w:t>°C</w:t>
      </w:r>
    </w:p>
    <w:p w14:paraId="44F36F8E" w14:textId="77777777" w:rsidR="00222DE0" w:rsidRPr="009420EF" w:rsidRDefault="0098273B" w:rsidP="009420EF">
      <w:pPr>
        <w:pStyle w:val="a3"/>
        <w:widowControl/>
        <w:ind w:left="0"/>
      </w:pPr>
      <w:r w:rsidRPr="009420EF">
        <w:t>Uchovávejte předplněné pero v krabičce, aby byl přípravek chráněn před světlem a vlhkostí</w:t>
      </w:r>
    </w:p>
    <w:p w14:paraId="4A0B7F84" w14:textId="77777777" w:rsidR="00222DE0" w:rsidRPr="009420EF" w:rsidRDefault="00222DE0" w:rsidP="009420EF">
      <w:pPr>
        <w:pStyle w:val="a3"/>
        <w:widowControl/>
        <w:ind w:left="0"/>
      </w:pPr>
    </w:p>
    <w:p w14:paraId="3627B821" w14:textId="77777777" w:rsidR="00E70264" w:rsidRPr="009420EF" w:rsidRDefault="00E70264" w:rsidP="009420EF">
      <w:pPr>
        <w:pStyle w:val="a3"/>
        <w:widowControl/>
        <w:ind w:left="0"/>
      </w:pPr>
    </w:p>
    <w:p w14:paraId="2CCFA747" w14:textId="77777777" w:rsidR="0031326B" w:rsidRPr="009420EF" w:rsidRDefault="0031326B" w:rsidP="009420EF">
      <w:pPr>
        <w:pStyle w:val="BoxedHeading"/>
        <w:rPr>
          <w:bCs w:val="0"/>
        </w:rPr>
      </w:pPr>
      <w:r w:rsidRPr="009420EF">
        <w:t>10.</w:t>
      </w:r>
      <w:r w:rsidRPr="009420EF">
        <w:tab/>
      </w:r>
      <w:r w:rsidRPr="009420EF">
        <w:rPr>
          <w:bCs w:val="0"/>
        </w:rPr>
        <w:t>ZVLÁŠTNÍ OPATŘENÍ PRO LIKVIDACI NEPOUŽITÝCH LÉČIVÝCH PŘÍPRAVKŮ NEBO ODPADU Z NICH, POKUD JE TO VHODNÉ</w:t>
      </w:r>
    </w:p>
    <w:p w14:paraId="355107BD" w14:textId="77777777" w:rsidR="00222DE0" w:rsidRPr="009420EF" w:rsidRDefault="00222DE0" w:rsidP="009420EF">
      <w:pPr>
        <w:pStyle w:val="a3"/>
        <w:widowControl/>
        <w:ind w:left="0"/>
      </w:pPr>
    </w:p>
    <w:p w14:paraId="00A2B94D" w14:textId="77777777" w:rsidR="0031326B" w:rsidRPr="009420EF" w:rsidRDefault="0031326B" w:rsidP="009420EF">
      <w:pPr>
        <w:pStyle w:val="a3"/>
        <w:widowControl/>
        <w:ind w:left="0"/>
      </w:pPr>
    </w:p>
    <w:p w14:paraId="7DAB7811" w14:textId="77777777" w:rsidR="0031326B" w:rsidRPr="009420EF" w:rsidRDefault="0031326B" w:rsidP="009420EF">
      <w:pPr>
        <w:pStyle w:val="BoxedHeading"/>
        <w:rPr>
          <w:bCs w:val="0"/>
        </w:rPr>
      </w:pPr>
      <w:r w:rsidRPr="009420EF">
        <w:t>11.</w:t>
      </w:r>
      <w:r w:rsidRPr="009420EF">
        <w:tab/>
      </w:r>
      <w:r w:rsidRPr="009420EF">
        <w:rPr>
          <w:bCs w:val="0"/>
        </w:rPr>
        <w:t>NÁZEV A ADRESA DRŽITELE ROZHODNUTÍ O REGISTRACI</w:t>
      </w:r>
    </w:p>
    <w:p w14:paraId="362A0DC0" w14:textId="77777777" w:rsidR="008743D4" w:rsidRPr="009420EF" w:rsidRDefault="008743D4" w:rsidP="009420EF">
      <w:pPr>
        <w:pStyle w:val="a3"/>
        <w:widowControl/>
        <w:ind w:left="0"/>
      </w:pPr>
    </w:p>
    <w:p w14:paraId="10D8C3D4" w14:textId="77777777" w:rsidR="000F498F" w:rsidRPr="00840707" w:rsidRDefault="000F498F" w:rsidP="000F498F">
      <w:pPr>
        <w:keepNext/>
      </w:pPr>
      <w:r w:rsidRPr="00840707">
        <w:t xml:space="preserve">Celltrion Healthcare Hungary Kft. </w:t>
      </w:r>
    </w:p>
    <w:p w14:paraId="66DD50B0" w14:textId="77777777" w:rsidR="000F498F" w:rsidRPr="00840707" w:rsidRDefault="000F498F" w:rsidP="000F498F">
      <w:pPr>
        <w:keepNext/>
      </w:pPr>
      <w:r w:rsidRPr="00840707">
        <w:t>1062 Budapest</w:t>
      </w:r>
    </w:p>
    <w:p w14:paraId="536D6460" w14:textId="77777777" w:rsidR="000F498F" w:rsidRPr="00840707" w:rsidRDefault="000F498F" w:rsidP="000F498F">
      <w:pPr>
        <w:keepNext/>
      </w:pPr>
      <w:r w:rsidRPr="00840707">
        <w:t>Váci út 1-3. WestEnd Office Building B torony</w:t>
      </w:r>
    </w:p>
    <w:p w14:paraId="39FA3950" w14:textId="58A62E96" w:rsidR="00222DE0" w:rsidRPr="009420EF" w:rsidRDefault="000F498F" w:rsidP="009420EF">
      <w:pPr>
        <w:pStyle w:val="a3"/>
        <w:widowControl/>
        <w:ind w:left="0"/>
      </w:pPr>
      <w:r>
        <w:t>Maďarsko</w:t>
      </w:r>
    </w:p>
    <w:p w14:paraId="4F7586F5" w14:textId="77777777" w:rsidR="00222DE0" w:rsidRPr="009420EF" w:rsidRDefault="00222DE0" w:rsidP="009420EF">
      <w:pPr>
        <w:pStyle w:val="a3"/>
        <w:widowControl/>
        <w:ind w:left="0"/>
      </w:pPr>
    </w:p>
    <w:p w14:paraId="6AC7371F" w14:textId="77777777" w:rsidR="00E44EDD" w:rsidRPr="009420EF" w:rsidRDefault="00E44EDD" w:rsidP="009420EF">
      <w:pPr>
        <w:pStyle w:val="a3"/>
        <w:widowControl/>
        <w:ind w:left="0"/>
      </w:pPr>
    </w:p>
    <w:p w14:paraId="779AA375" w14:textId="77777777" w:rsidR="008E2F72" w:rsidRPr="009420EF" w:rsidRDefault="008E2F72" w:rsidP="009420EF">
      <w:pPr>
        <w:pStyle w:val="BoxedHeading"/>
        <w:rPr>
          <w:bCs w:val="0"/>
        </w:rPr>
      </w:pPr>
      <w:r w:rsidRPr="009420EF">
        <w:t>12.</w:t>
      </w:r>
      <w:r w:rsidRPr="009420EF">
        <w:tab/>
      </w:r>
      <w:r w:rsidRPr="009420EF">
        <w:rPr>
          <w:bCs w:val="0"/>
        </w:rPr>
        <w:t>REGISTRAČNÍ ČÍSLO/ČÍSLA</w:t>
      </w:r>
    </w:p>
    <w:p w14:paraId="027DC1CF" w14:textId="77777777" w:rsidR="00222DE0" w:rsidRPr="009420EF" w:rsidRDefault="00222DE0" w:rsidP="009420EF">
      <w:pPr>
        <w:pStyle w:val="a3"/>
        <w:widowControl/>
        <w:ind w:left="0"/>
      </w:pPr>
    </w:p>
    <w:p w14:paraId="072A8335" w14:textId="7378AA3F" w:rsidR="000F498F" w:rsidRPr="00840707" w:rsidRDefault="0098273B" w:rsidP="000F498F">
      <w:r w:rsidRPr="009420EF">
        <w:t>EU</w:t>
      </w:r>
      <w:r w:rsidR="000F498F" w:rsidRPr="00840707">
        <w:t>/</w:t>
      </w:r>
      <w:r w:rsidR="00F92232" w:rsidRPr="00231CE5">
        <w:rPr>
          <w:spacing w:val="-1"/>
          <w:lang w:val="es-ES"/>
        </w:rPr>
        <w:t>1/24/1896/01</w:t>
      </w:r>
      <w:r w:rsidR="00F92232">
        <w:rPr>
          <w:rFonts w:eastAsia="맑은 고딕" w:hint="eastAsia"/>
          <w:spacing w:val="-1"/>
          <w:lang w:val="es-ES" w:eastAsia="ko-KR"/>
        </w:rPr>
        <w:t>0</w:t>
      </w:r>
      <w:r w:rsidR="00F92232">
        <w:rPr>
          <w:rFonts w:eastAsia="맑은 고딕"/>
          <w:spacing w:val="-1"/>
          <w:lang w:val="es-ES" w:eastAsia="ko-KR"/>
        </w:rPr>
        <w:t xml:space="preserve"> 1 předplněné pero</w:t>
      </w:r>
    </w:p>
    <w:p w14:paraId="2D80D0E2" w14:textId="77282BAB" w:rsidR="00222DE0" w:rsidRPr="009420EF" w:rsidRDefault="000F498F" w:rsidP="00B93217">
      <w:r w:rsidRPr="00840707">
        <w:t>EU/</w:t>
      </w:r>
      <w:r w:rsidR="00F92232" w:rsidRPr="00231CE5">
        <w:rPr>
          <w:spacing w:val="-1"/>
          <w:lang w:val="es-ES"/>
        </w:rPr>
        <w:t>1/24/1896/011</w:t>
      </w:r>
      <w:r w:rsidR="00F92232">
        <w:rPr>
          <w:spacing w:val="-1"/>
          <w:lang w:val="es-ES"/>
        </w:rPr>
        <w:t xml:space="preserve"> 4 předplněná pera</w:t>
      </w:r>
    </w:p>
    <w:p w14:paraId="41DA27CD" w14:textId="40FCC1C2" w:rsidR="00222DE0" w:rsidRPr="005A5001" w:rsidRDefault="005A5001">
      <w:pPr>
        <w:rPr>
          <w:rFonts w:eastAsia="맑은 고딕"/>
          <w:lang w:eastAsia="ko-KR"/>
          <w:rPrChange w:id="46" w:author="만든 이">
            <w:rPr/>
          </w:rPrChange>
        </w:rPr>
        <w:pPrChange w:id="47" w:author="만든 이">
          <w:pPr>
            <w:pStyle w:val="a3"/>
            <w:widowControl/>
            <w:ind w:left="0"/>
          </w:pPr>
        </w:pPrChange>
      </w:pPr>
      <w:ins w:id="48" w:author="만든 이">
        <w:r w:rsidRPr="00840707">
          <w:t>EU/</w:t>
        </w:r>
        <w:r w:rsidRPr="00231CE5">
          <w:rPr>
            <w:spacing w:val="-1"/>
            <w:lang w:val="es-ES"/>
          </w:rPr>
          <w:t>1/24/1896/</w:t>
        </w:r>
        <w:r w:rsidR="002A72C1">
          <w:rPr>
            <w:rFonts w:eastAsia="맑은 고딕" w:hint="eastAsia"/>
            <w:spacing w:val="-1"/>
            <w:lang w:val="es-ES" w:eastAsia="ko-KR"/>
          </w:rPr>
          <w:t>014</w:t>
        </w:r>
        <w:r>
          <w:rPr>
            <w:spacing w:val="-1"/>
            <w:lang w:val="es-ES"/>
          </w:rPr>
          <w:t xml:space="preserve"> </w:t>
        </w:r>
        <w:r>
          <w:rPr>
            <w:rFonts w:eastAsia="맑은 고딕" w:hint="eastAsia"/>
            <w:spacing w:val="-1"/>
            <w:lang w:val="es-ES" w:eastAsia="ko-KR"/>
          </w:rPr>
          <w:t>2</w:t>
        </w:r>
        <w:r>
          <w:rPr>
            <w:spacing w:val="-1"/>
            <w:lang w:val="es-ES"/>
          </w:rPr>
          <w:t xml:space="preserve"> předplněná pera</w:t>
        </w:r>
      </w:ins>
    </w:p>
    <w:p w14:paraId="6935A8B4" w14:textId="77777777" w:rsidR="00E70264" w:rsidRPr="009420EF" w:rsidRDefault="00E70264" w:rsidP="009420EF">
      <w:pPr>
        <w:pStyle w:val="a3"/>
        <w:widowControl/>
        <w:ind w:left="0"/>
      </w:pPr>
    </w:p>
    <w:p w14:paraId="4A95FB4C" w14:textId="77777777" w:rsidR="00627C25" w:rsidRPr="009420EF" w:rsidRDefault="00627C25" w:rsidP="009420EF">
      <w:pPr>
        <w:pStyle w:val="BoxedHeading"/>
        <w:rPr>
          <w:bCs w:val="0"/>
        </w:rPr>
      </w:pPr>
      <w:r w:rsidRPr="009420EF">
        <w:t>13.</w:t>
      </w:r>
      <w:r w:rsidRPr="009420EF">
        <w:tab/>
      </w:r>
      <w:r w:rsidRPr="009420EF">
        <w:rPr>
          <w:bCs w:val="0"/>
        </w:rPr>
        <w:t>ČÍSLO ŠARŽE</w:t>
      </w:r>
    </w:p>
    <w:p w14:paraId="76D680C0" w14:textId="77777777" w:rsidR="00F44CAB" w:rsidRPr="009420EF" w:rsidRDefault="00F44CAB" w:rsidP="009420EF">
      <w:pPr>
        <w:pStyle w:val="a3"/>
        <w:widowControl/>
        <w:ind w:left="0"/>
      </w:pPr>
    </w:p>
    <w:p w14:paraId="1E164667" w14:textId="77777777" w:rsidR="00222DE0" w:rsidRPr="009420EF" w:rsidRDefault="0098273B" w:rsidP="009420EF">
      <w:pPr>
        <w:pStyle w:val="a3"/>
        <w:widowControl/>
        <w:ind w:left="0"/>
      </w:pPr>
      <w:r w:rsidRPr="009420EF">
        <w:t>č.š.:</w:t>
      </w:r>
    </w:p>
    <w:p w14:paraId="5797B29C" w14:textId="77777777" w:rsidR="00222DE0" w:rsidRPr="009420EF" w:rsidRDefault="00222DE0" w:rsidP="009420EF">
      <w:pPr>
        <w:pStyle w:val="a3"/>
        <w:widowControl/>
        <w:ind w:left="0"/>
      </w:pPr>
    </w:p>
    <w:p w14:paraId="71ABF8AA" w14:textId="77777777" w:rsidR="00E70264" w:rsidRPr="009420EF" w:rsidRDefault="00E70264" w:rsidP="009420EF">
      <w:pPr>
        <w:pStyle w:val="a3"/>
        <w:widowControl/>
        <w:ind w:left="0"/>
      </w:pPr>
    </w:p>
    <w:p w14:paraId="6D6F8478" w14:textId="77777777" w:rsidR="00356E2A" w:rsidRPr="009420EF" w:rsidRDefault="00356E2A" w:rsidP="009420EF">
      <w:pPr>
        <w:pStyle w:val="BoxedHeading"/>
        <w:rPr>
          <w:bCs w:val="0"/>
        </w:rPr>
      </w:pPr>
      <w:r w:rsidRPr="009420EF">
        <w:t>14.</w:t>
      </w:r>
      <w:r w:rsidRPr="009420EF">
        <w:tab/>
      </w:r>
      <w:r w:rsidRPr="009420EF">
        <w:rPr>
          <w:bCs w:val="0"/>
        </w:rPr>
        <w:t>KLASIFIKACE PRO VÝDEJ</w:t>
      </w:r>
    </w:p>
    <w:p w14:paraId="6A39F364" w14:textId="77777777" w:rsidR="00222DE0" w:rsidRPr="009420EF" w:rsidRDefault="00222DE0" w:rsidP="009420EF">
      <w:pPr>
        <w:pStyle w:val="a3"/>
        <w:widowControl/>
        <w:ind w:left="0"/>
      </w:pPr>
    </w:p>
    <w:p w14:paraId="4C3B30A6" w14:textId="77777777" w:rsidR="003B5262" w:rsidRPr="009420EF" w:rsidRDefault="003B5262" w:rsidP="009420EF">
      <w:pPr>
        <w:pStyle w:val="a3"/>
        <w:widowControl/>
        <w:ind w:left="0"/>
      </w:pPr>
    </w:p>
    <w:p w14:paraId="15C62AAC" w14:textId="77777777" w:rsidR="003B5262" w:rsidRPr="009420EF" w:rsidRDefault="003B5262" w:rsidP="009420EF">
      <w:pPr>
        <w:pStyle w:val="BoxedHeading"/>
        <w:rPr>
          <w:bCs w:val="0"/>
        </w:rPr>
      </w:pPr>
      <w:r w:rsidRPr="009420EF">
        <w:t>15.</w:t>
      </w:r>
      <w:r w:rsidRPr="009420EF">
        <w:tab/>
      </w:r>
      <w:r w:rsidRPr="009420EF">
        <w:rPr>
          <w:bCs w:val="0"/>
        </w:rPr>
        <w:t>NÁVOD K POUŽITÍ</w:t>
      </w:r>
    </w:p>
    <w:p w14:paraId="6E5FBE35" w14:textId="77777777" w:rsidR="00222DE0" w:rsidRPr="009420EF" w:rsidRDefault="00222DE0" w:rsidP="009420EF">
      <w:pPr>
        <w:pStyle w:val="a3"/>
        <w:widowControl/>
        <w:ind w:left="0"/>
      </w:pPr>
    </w:p>
    <w:p w14:paraId="6A10DA28" w14:textId="77777777" w:rsidR="003B5262" w:rsidRPr="009420EF" w:rsidRDefault="003B5262" w:rsidP="009420EF">
      <w:pPr>
        <w:pStyle w:val="a3"/>
        <w:widowControl/>
        <w:ind w:left="0"/>
      </w:pPr>
    </w:p>
    <w:p w14:paraId="238E27BF" w14:textId="77777777" w:rsidR="003B5262" w:rsidRPr="009420EF" w:rsidRDefault="003B5262" w:rsidP="009420EF">
      <w:pPr>
        <w:pStyle w:val="BoxedHeading"/>
        <w:rPr>
          <w:bCs w:val="0"/>
        </w:rPr>
      </w:pPr>
      <w:r w:rsidRPr="009420EF">
        <w:t>16.</w:t>
      </w:r>
      <w:r w:rsidRPr="009420EF">
        <w:tab/>
      </w:r>
      <w:r w:rsidRPr="009420EF">
        <w:rPr>
          <w:bCs w:val="0"/>
        </w:rPr>
        <w:t>INFORMACE V BRAILLOVĚ PÍSMU</w:t>
      </w:r>
    </w:p>
    <w:p w14:paraId="1F977D7D" w14:textId="77777777" w:rsidR="00F44CAB" w:rsidRPr="009420EF" w:rsidRDefault="00F44CAB" w:rsidP="009420EF">
      <w:pPr>
        <w:pStyle w:val="a3"/>
        <w:widowControl/>
        <w:ind w:left="0"/>
      </w:pPr>
    </w:p>
    <w:p w14:paraId="11B5F99B" w14:textId="5B2037D4" w:rsidR="00222DE0" w:rsidRPr="009420EF" w:rsidRDefault="000F498F" w:rsidP="009420EF">
      <w:pPr>
        <w:pStyle w:val="a3"/>
        <w:widowControl/>
        <w:ind w:left="0"/>
      </w:pPr>
      <w:r>
        <w:t>a</w:t>
      </w:r>
      <w:r w:rsidR="00266CA2">
        <w:t>vtozma</w:t>
      </w:r>
      <w:r w:rsidR="0098273B" w:rsidRPr="009420EF">
        <w:t xml:space="preserve"> 162 mg</w:t>
      </w:r>
    </w:p>
    <w:p w14:paraId="0D3576F2" w14:textId="77777777" w:rsidR="00222DE0" w:rsidRPr="009420EF" w:rsidRDefault="00222DE0" w:rsidP="009420EF">
      <w:pPr>
        <w:pStyle w:val="a3"/>
        <w:widowControl/>
        <w:ind w:left="0"/>
      </w:pPr>
    </w:p>
    <w:p w14:paraId="5720C7E7" w14:textId="77777777" w:rsidR="00D70D70" w:rsidRPr="009420EF" w:rsidRDefault="00D70D70" w:rsidP="009420EF">
      <w:pPr>
        <w:pStyle w:val="a3"/>
        <w:widowControl/>
        <w:ind w:left="0"/>
      </w:pPr>
    </w:p>
    <w:p w14:paraId="1FA1C648" w14:textId="77777777" w:rsidR="00514CF1" w:rsidRPr="009420EF" w:rsidRDefault="00514CF1" w:rsidP="009420EF">
      <w:pPr>
        <w:pStyle w:val="BoxedHeading"/>
        <w:rPr>
          <w:bCs w:val="0"/>
        </w:rPr>
      </w:pPr>
      <w:r w:rsidRPr="009420EF">
        <w:t>17.</w:t>
      </w:r>
      <w:r w:rsidRPr="009420EF">
        <w:tab/>
      </w:r>
      <w:r w:rsidRPr="009420EF">
        <w:rPr>
          <w:bCs w:val="0"/>
        </w:rPr>
        <w:t>JEDINEČNÝ IDENTIFIKÁTOR – 2D ČÁROVÝ KÓD</w:t>
      </w:r>
    </w:p>
    <w:p w14:paraId="1C407813" w14:textId="77777777" w:rsidR="00222DE0" w:rsidRPr="009420EF" w:rsidRDefault="00222DE0" w:rsidP="009420EF">
      <w:pPr>
        <w:pStyle w:val="a3"/>
        <w:widowControl/>
        <w:ind w:left="0"/>
      </w:pPr>
    </w:p>
    <w:p w14:paraId="704B220D" w14:textId="77777777" w:rsidR="00222DE0" w:rsidRDefault="0098273B" w:rsidP="009420EF">
      <w:pPr>
        <w:rPr>
          <w:highlight w:val="lightGray"/>
        </w:rPr>
      </w:pPr>
      <w:r>
        <w:rPr>
          <w:highlight w:val="lightGray"/>
        </w:rPr>
        <w:t>2D čárový kód s jedinečným identifikátorem.</w:t>
      </w:r>
    </w:p>
    <w:p w14:paraId="0D6652EC" w14:textId="77777777" w:rsidR="00222DE0" w:rsidRPr="009420EF" w:rsidRDefault="00222DE0" w:rsidP="009420EF">
      <w:pPr>
        <w:pStyle w:val="a3"/>
        <w:widowControl/>
        <w:ind w:left="0"/>
      </w:pPr>
    </w:p>
    <w:p w14:paraId="2987E780" w14:textId="77777777" w:rsidR="00D70D70" w:rsidRPr="009420EF" w:rsidRDefault="00D70D70" w:rsidP="009420EF">
      <w:pPr>
        <w:pStyle w:val="a3"/>
        <w:widowControl/>
        <w:ind w:left="0"/>
      </w:pPr>
    </w:p>
    <w:p w14:paraId="5DC8E314" w14:textId="77777777" w:rsidR="00D70D70" w:rsidRPr="009420EF" w:rsidRDefault="00D70D70" w:rsidP="009420EF">
      <w:pPr>
        <w:pStyle w:val="BoxedHeading"/>
        <w:rPr>
          <w:bCs w:val="0"/>
        </w:rPr>
      </w:pPr>
      <w:r w:rsidRPr="009420EF">
        <w:t>18.</w:t>
      </w:r>
      <w:r w:rsidRPr="009420EF">
        <w:tab/>
      </w:r>
      <w:r w:rsidRPr="009420EF">
        <w:rPr>
          <w:bCs w:val="0"/>
        </w:rPr>
        <w:t>JEDINEČNÝ IDENTIFIKÁTOR – DATA ČITELNÁ OKEM</w:t>
      </w:r>
    </w:p>
    <w:p w14:paraId="7EBC5E56" w14:textId="77777777" w:rsidR="00F44CAB" w:rsidRPr="009420EF" w:rsidRDefault="00F44CAB" w:rsidP="009420EF">
      <w:pPr>
        <w:pStyle w:val="a3"/>
        <w:widowControl/>
        <w:ind w:left="0"/>
        <w:jc w:val="both"/>
      </w:pPr>
    </w:p>
    <w:p w14:paraId="1B7C14E9" w14:textId="77777777" w:rsidR="00F44CAB" w:rsidRPr="009420EF" w:rsidRDefault="0098273B" w:rsidP="009420EF">
      <w:pPr>
        <w:pStyle w:val="a3"/>
        <w:widowControl/>
        <w:ind w:left="0"/>
        <w:jc w:val="both"/>
      </w:pPr>
      <w:r w:rsidRPr="009420EF">
        <w:t>PC</w:t>
      </w:r>
    </w:p>
    <w:p w14:paraId="023AF84E" w14:textId="77777777" w:rsidR="00F44CAB" w:rsidRPr="009420EF" w:rsidRDefault="0098273B" w:rsidP="009420EF">
      <w:pPr>
        <w:pStyle w:val="a3"/>
        <w:widowControl/>
        <w:ind w:left="0"/>
        <w:jc w:val="both"/>
      </w:pPr>
      <w:r w:rsidRPr="009420EF">
        <w:t>SN</w:t>
      </w:r>
    </w:p>
    <w:p w14:paraId="2B546AA8" w14:textId="356B4238" w:rsidR="00222DE0" w:rsidRPr="009420EF" w:rsidRDefault="008E598F" w:rsidP="009420EF">
      <w:r w:rsidRPr="008A10A6">
        <w:rPr>
          <w:highlight w:val="lightGray"/>
        </w:rPr>
        <w:t>NN</w:t>
      </w:r>
    </w:p>
    <w:p w14:paraId="608C69DA" w14:textId="77777777" w:rsidR="00E70264" w:rsidRPr="009420EF" w:rsidRDefault="00E70264" w:rsidP="009420EF">
      <w:pPr>
        <w:pStyle w:val="a3"/>
        <w:widowControl/>
        <w:ind w:left="0"/>
        <w:jc w:val="both"/>
        <w:rPr>
          <w:color w:val="000000"/>
          <w:shd w:val="clear" w:color="auto" w:fill="C1C1C1"/>
        </w:rPr>
      </w:pPr>
    </w:p>
    <w:p w14:paraId="05C5B13B" w14:textId="77777777" w:rsidR="00E70264" w:rsidRPr="009420EF" w:rsidRDefault="00E70264" w:rsidP="009420EF">
      <w:pPr>
        <w:pStyle w:val="a3"/>
        <w:widowControl/>
        <w:ind w:left="0"/>
        <w:jc w:val="both"/>
        <w:rPr>
          <w:color w:val="000000"/>
          <w:shd w:val="clear" w:color="auto" w:fill="C1C1C1"/>
        </w:rPr>
      </w:pPr>
    </w:p>
    <w:p w14:paraId="0C2CE088" w14:textId="77777777" w:rsidR="00F44CAB" w:rsidRPr="009420EF" w:rsidRDefault="00F44CAB" w:rsidP="009420EF">
      <w:pPr>
        <w:pStyle w:val="a3"/>
        <w:widowControl/>
        <w:ind w:left="0"/>
        <w:jc w:val="both"/>
      </w:pPr>
      <w:r w:rsidRPr="009420EF">
        <w:br w:type="page"/>
      </w:r>
    </w:p>
    <w:p w14:paraId="30AE6872" w14:textId="77777777" w:rsidR="00E20967" w:rsidRPr="009420EF" w:rsidRDefault="00E20967"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2DE9A93E" w14:textId="77777777" w:rsidR="00E20967" w:rsidRPr="009420EF" w:rsidRDefault="00E20967" w:rsidP="009420EF">
      <w:pPr>
        <w:widowControl/>
        <w:pBdr>
          <w:top w:val="single" w:sz="4" w:space="1" w:color="auto"/>
          <w:left w:val="single" w:sz="4" w:space="4" w:color="auto"/>
          <w:bottom w:val="single" w:sz="4" w:space="1" w:color="auto"/>
          <w:right w:val="single" w:sz="4" w:space="4" w:color="auto"/>
        </w:pBdr>
        <w:rPr>
          <w:b/>
          <w:bCs/>
        </w:rPr>
      </w:pPr>
    </w:p>
    <w:p w14:paraId="780E8277" w14:textId="5BB89640" w:rsidR="00E20967" w:rsidRPr="009420EF" w:rsidRDefault="00E20967" w:rsidP="009420EF">
      <w:pPr>
        <w:widowControl/>
        <w:pBdr>
          <w:top w:val="single" w:sz="4" w:space="1" w:color="auto"/>
          <w:left w:val="single" w:sz="4" w:space="4" w:color="auto"/>
          <w:bottom w:val="single" w:sz="4" w:space="1" w:color="auto"/>
          <w:right w:val="single" w:sz="4" w:space="4" w:color="auto"/>
        </w:pBdr>
        <w:rPr>
          <w:b/>
          <w:bCs/>
        </w:rPr>
      </w:pPr>
      <w:r w:rsidRPr="009420EF">
        <w:rPr>
          <w:b/>
        </w:rPr>
        <w:t>KRABIČKA PŘEDPLNĚNÉ PERO (S BLUEBOXEM) - více</w:t>
      </w:r>
      <w:r w:rsidR="008E598F">
        <w:rPr>
          <w:b/>
        </w:rPr>
        <w:t>četné</w:t>
      </w:r>
      <w:r w:rsidRPr="009420EF">
        <w:rPr>
          <w:b/>
        </w:rPr>
        <w:t xml:space="preserve"> balení</w:t>
      </w:r>
    </w:p>
    <w:p w14:paraId="5FB0125A" w14:textId="77777777" w:rsidR="00E20967" w:rsidRPr="009420EF" w:rsidRDefault="00E20967" w:rsidP="009420EF">
      <w:pPr>
        <w:pStyle w:val="a3"/>
        <w:widowControl/>
        <w:ind w:left="0"/>
      </w:pPr>
    </w:p>
    <w:p w14:paraId="00BD021B" w14:textId="77777777" w:rsidR="00E20967" w:rsidRPr="009420EF" w:rsidRDefault="00E20967" w:rsidP="009420EF">
      <w:pPr>
        <w:pStyle w:val="a3"/>
        <w:widowControl/>
        <w:ind w:left="0"/>
      </w:pPr>
    </w:p>
    <w:p w14:paraId="6E067F80" w14:textId="77777777" w:rsidR="00E20967" w:rsidRPr="009420EF" w:rsidRDefault="00E20967" w:rsidP="009420EF">
      <w:pPr>
        <w:pStyle w:val="BoxedHeading"/>
      </w:pPr>
      <w:r w:rsidRPr="009420EF">
        <w:t>1.</w:t>
      </w:r>
      <w:r w:rsidRPr="009420EF">
        <w:tab/>
        <w:t>NÁZEV PŘÍPRAVKU</w:t>
      </w:r>
    </w:p>
    <w:p w14:paraId="0A564C76" w14:textId="77777777" w:rsidR="00D82A40" w:rsidRPr="009420EF" w:rsidRDefault="00D82A40" w:rsidP="009420EF">
      <w:pPr>
        <w:pStyle w:val="a3"/>
        <w:widowControl/>
        <w:ind w:left="0"/>
      </w:pPr>
    </w:p>
    <w:p w14:paraId="2BC00CBB" w14:textId="093F2357" w:rsidR="00222DE0" w:rsidRPr="009420EF" w:rsidRDefault="00266CA2" w:rsidP="009420EF">
      <w:pPr>
        <w:pStyle w:val="a3"/>
        <w:widowControl/>
        <w:ind w:left="0"/>
      </w:pPr>
      <w:r>
        <w:t>Avtozma</w:t>
      </w:r>
      <w:r w:rsidR="0098273B" w:rsidRPr="009420EF">
        <w:t xml:space="preserve"> 162 mg injekční roztok v předplněném peru</w:t>
      </w:r>
    </w:p>
    <w:p w14:paraId="1ED1A2FA" w14:textId="53690D49" w:rsidR="00222DE0" w:rsidRPr="009420EF" w:rsidRDefault="0098273B" w:rsidP="009420EF">
      <w:pPr>
        <w:pStyle w:val="a3"/>
        <w:widowControl/>
        <w:ind w:left="0"/>
      </w:pPr>
      <w:r w:rsidRPr="009420EF">
        <w:t>tocilizumab</w:t>
      </w:r>
    </w:p>
    <w:p w14:paraId="6B661A40" w14:textId="77777777" w:rsidR="00222DE0" w:rsidRPr="009420EF" w:rsidRDefault="00222DE0" w:rsidP="009420EF">
      <w:pPr>
        <w:pStyle w:val="a3"/>
        <w:widowControl/>
        <w:ind w:left="0"/>
      </w:pPr>
    </w:p>
    <w:p w14:paraId="4709FA64" w14:textId="77777777" w:rsidR="00626489" w:rsidRPr="009420EF" w:rsidRDefault="00626489" w:rsidP="009420EF">
      <w:pPr>
        <w:pStyle w:val="a3"/>
        <w:widowControl/>
        <w:ind w:left="0"/>
      </w:pPr>
    </w:p>
    <w:p w14:paraId="64D7B2F4" w14:textId="77777777" w:rsidR="00626489" w:rsidRPr="009420EF" w:rsidRDefault="00626489" w:rsidP="009420EF">
      <w:pPr>
        <w:pStyle w:val="BoxedHeading"/>
        <w:rPr>
          <w:bCs w:val="0"/>
        </w:rPr>
      </w:pPr>
      <w:r w:rsidRPr="009420EF">
        <w:t>2.</w:t>
      </w:r>
      <w:r w:rsidRPr="009420EF">
        <w:tab/>
      </w:r>
      <w:r w:rsidRPr="009420EF">
        <w:rPr>
          <w:bCs w:val="0"/>
        </w:rPr>
        <w:t>OBSAH LÉČIVÉ LÁTKY / LÉČIVÝCH LÁTEK</w:t>
      </w:r>
    </w:p>
    <w:p w14:paraId="41F938AC" w14:textId="77777777" w:rsidR="00626489" w:rsidRPr="009420EF" w:rsidRDefault="00626489" w:rsidP="009420EF">
      <w:pPr>
        <w:pStyle w:val="a3"/>
        <w:widowControl/>
        <w:ind w:left="0"/>
      </w:pPr>
    </w:p>
    <w:p w14:paraId="10FFE5E5" w14:textId="002F82EA" w:rsidR="00222DE0" w:rsidRPr="009420EF" w:rsidRDefault="0098273B" w:rsidP="009420EF">
      <w:pPr>
        <w:pStyle w:val="a3"/>
        <w:widowControl/>
        <w:ind w:left="0"/>
      </w:pPr>
      <w:r w:rsidRPr="009420EF">
        <w:t xml:space="preserve">Jedno předplněné pero obsahuje </w:t>
      </w:r>
      <w:r w:rsidR="008E598F" w:rsidRPr="009420EF">
        <w:t xml:space="preserve">162 mg </w:t>
      </w:r>
      <w:r w:rsidRPr="009420EF">
        <w:t>tocilizumabu.</w:t>
      </w:r>
    </w:p>
    <w:p w14:paraId="442339A3" w14:textId="77777777" w:rsidR="00222DE0" w:rsidRPr="009420EF" w:rsidRDefault="00222DE0" w:rsidP="009420EF">
      <w:pPr>
        <w:pStyle w:val="a3"/>
        <w:widowControl/>
        <w:ind w:left="0"/>
      </w:pPr>
    </w:p>
    <w:p w14:paraId="16670BF1" w14:textId="77777777" w:rsidR="00626489" w:rsidRPr="009420EF" w:rsidRDefault="00626489" w:rsidP="009420EF">
      <w:pPr>
        <w:pStyle w:val="a3"/>
        <w:widowControl/>
        <w:ind w:left="0"/>
      </w:pPr>
    </w:p>
    <w:p w14:paraId="0A41DB58" w14:textId="77777777" w:rsidR="00626489" w:rsidRPr="009420EF" w:rsidRDefault="00626489" w:rsidP="009420EF">
      <w:pPr>
        <w:pStyle w:val="BoxedHeading"/>
        <w:rPr>
          <w:bCs w:val="0"/>
        </w:rPr>
      </w:pPr>
      <w:r w:rsidRPr="009420EF">
        <w:t>3.</w:t>
      </w:r>
      <w:r w:rsidRPr="009420EF">
        <w:tab/>
      </w:r>
      <w:r w:rsidRPr="009420EF">
        <w:rPr>
          <w:bCs w:val="0"/>
        </w:rPr>
        <w:t>SEZNAM POMOCNÝCH LÁTEK</w:t>
      </w:r>
    </w:p>
    <w:p w14:paraId="1B887AB0" w14:textId="77777777" w:rsidR="00222DE0" w:rsidRPr="009420EF" w:rsidRDefault="00222DE0" w:rsidP="009420EF">
      <w:pPr>
        <w:pStyle w:val="a3"/>
        <w:widowControl/>
        <w:ind w:left="0"/>
      </w:pPr>
    </w:p>
    <w:p w14:paraId="73A9C168" w14:textId="056477C0" w:rsidR="000F498F" w:rsidRPr="009420EF" w:rsidRDefault="000F498F" w:rsidP="000F498F">
      <w:pPr>
        <w:pStyle w:val="a3"/>
        <w:widowControl/>
        <w:ind w:left="0"/>
      </w:pPr>
      <w:r>
        <w:t>Pomocné látky: L-Histidin,</w:t>
      </w:r>
      <w:r w:rsidR="00395E0C">
        <w:rPr>
          <w:rFonts w:eastAsia="맑은 고딕" w:hint="eastAsia"/>
          <w:lang w:eastAsia="ko-KR"/>
        </w:rPr>
        <w:t xml:space="preserve"> </w:t>
      </w:r>
      <w:r w:rsidR="00AD6345" w:rsidRPr="00AD6345">
        <w:rPr>
          <w:rFonts w:eastAsia="맑은 고딕" w:hint="eastAsia"/>
          <w:lang w:eastAsia="ko-KR"/>
        </w:rPr>
        <w:t>Monohydrát histidin-hydrochloridu</w:t>
      </w:r>
      <w:r w:rsidR="00395E0C">
        <w:rPr>
          <w:rFonts w:eastAsia="맑은 고딕" w:hint="eastAsia"/>
          <w:lang w:eastAsia="ko-KR"/>
        </w:rPr>
        <w:t>,</w:t>
      </w:r>
      <w:r>
        <w:t xml:space="preserve"> L-Threonin, L-Methionin, p</w:t>
      </w:r>
      <w:r w:rsidRPr="009420EF">
        <w:t>olysorbát 80, voda pro injekci</w:t>
      </w:r>
      <w:r w:rsidRPr="009420EF">
        <w:rPr>
          <w:color w:val="000000"/>
        </w:rPr>
        <w:t>.</w:t>
      </w:r>
      <w:r>
        <w:rPr>
          <w:color w:val="000000"/>
        </w:rPr>
        <w:t xml:space="preserve"> </w:t>
      </w:r>
      <w:r w:rsidRPr="009420EF">
        <w:t>Další údaje naleznete v příbalové informaci.</w:t>
      </w:r>
    </w:p>
    <w:p w14:paraId="2FC4125B" w14:textId="77777777" w:rsidR="00222DE0" w:rsidRPr="009420EF" w:rsidRDefault="00222DE0" w:rsidP="009420EF">
      <w:pPr>
        <w:pStyle w:val="a3"/>
        <w:widowControl/>
        <w:ind w:left="0"/>
      </w:pPr>
    </w:p>
    <w:p w14:paraId="1000FE22" w14:textId="77777777" w:rsidR="00994218" w:rsidRPr="009420EF" w:rsidRDefault="00994218" w:rsidP="009420EF">
      <w:pPr>
        <w:pStyle w:val="a3"/>
        <w:widowControl/>
        <w:ind w:left="0"/>
      </w:pPr>
    </w:p>
    <w:p w14:paraId="1122265C" w14:textId="77777777" w:rsidR="00994218" w:rsidRPr="009420EF" w:rsidRDefault="00994218" w:rsidP="009420EF">
      <w:pPr>
        <w:pStyle w:val="BoxedHeading"/>
        <w:rPr>
          <w:bCs w:val="0"/>
        </w:rPr>
      </w:pPr>
      <w:r w:rsidRPr="009420EF">
        <w:t>4.</w:t>
      </w:r>
      <w:r w:rsidRPr="009420EF">
        <w:tab/>
      </w:r>
      <w:r w:rsidRPr="009420EF">
        <w:rPr>
          <w:bCs w:val="0"/>
        </w:rPr>
        <w:t>LÉKOVÁ FORMA A OBSAH BALENÍ</w:t>
      </w:r>
    </w:p>
    <w:p w14:paraId="66266040" w14:textId="77777777" w:rsidR="00D82A40" w:rsidRPr="009420EF" w:rsidRDefault="00D82A40" w:rsidP="009420EF">
      <w:pPr>
        <w:pStyle w:val="a3"/>
        <w:widowControl/>
        <w:ind w:left="0"/>
      </w:pPr>
    </w:p>
    <w:p w14:paraId="6947665E" w14:textId="1096ABBC" w:rsidR="00222DE0" w:rsidRPr="009420EF" w:rsidRDefault="0098273B" w:rsidP="009420EF">
      <w:pPr>
        <w:pStyle w:val="a3"/>
        <w:widowControl/>
        <w:ind w:left="0"/>
      </w:pPr>
      <w:r w:rsidRPr="009420EF">
        <w:t xml:space="preserve">Injekční roztok v předplněném peru, </w:t>
      </w:r>
    </w:p>
    <w:p w14:paraId="732F0C4C" w14:textId="77777777" w:rsidR="00222DE0" w:rsidRPr="009420EF" w:rsidRDefault="0098273B" w:rsidP="009420EF">
      <w:pPr>
        <w:pStyle w:val="a3"/>
        <w:widowControl/>
        <w:ind w:left="0"/>
      </w:pPr>
      <w:r w:rsidRPr="009420EF">
        <w:t>Vícenásobné balení: 12 (3 balení po 4) předplněných per</w:t>
      </w:r>
    </w:p>
    <w:p w14:paraId="6EF7ABE1" w14:textId="77777777" w:rsidR="00222DE0" w:rsidRPr="009420EF" w:rsidRDefault="0098273B" w:rsidP="009420EF">
      <w:pPr>
        <w:pStyle w:val="a3"/>
        <w:widowControl/>
        <w:ind w:left="0"/>
      </w:pPr>
      <w:r w:rsidRPr="009420EF">
        <w:t>162 mg/0,9 ml</w:t>
      </w:r>
    </w:p>
    <w:p w14:paraId="2E89C2B6" w14:textId="77777777" w:rsidR="00222DE0" w:rsidRPr="009420EF" w:rsidRDefault="00222DE0" w:rsidP="009420EF">
      <w:pPr>
        <w:pStyle w:val="a3"/>
        <w:widowControl/>
        <w:ind w:left="0"/>
      </w:pPr>
    </w:p>
    <w:p w14:paraId="75FF9036" w14:textId="77777777" w:rsidR="00427B54" w:rsidRPr="009420EF" w:rsidRDefault="00427B54" w:rsidP="009420EF">
      <w:pPr>
        <w:pStyle w:val="a3"/>
        <w:widowControl/>
        <w:ind w:left="0"/>
      </w:pPr>
    </w:p>
    <w:p w14:paraId="684C6E7C" w14:textId="77777777" w:rsidR="00F41682" w:rsidRPr="009420EF" w:rsidRDefault="00F41682" w:rsidP="009420EF">
      <w:pPr>
        <w:pStyle w:val="BoxedHeading"/>
        <w:rPr>
          <w:bCs w:val="0"/>
        </w:rPr>
      </w:pPr>
      <w:r w:rsidRPr="009420EF">
        <w:t>5.</w:t>
      </w:r>
      <w:r w:rsidRPr="009420EF">
        <w:tab/>
      </w:r>
      <w:r w:rsidRPr="009420EF">
        <w:rPr>
          <w:bCs w:val="0"/>
        </w:rPr>
        <w:t>ZPŮSOB A CESTA / CESTY PODÁNÍ</w:t>
      </w:r>
    </w:p>
    <w:p w14:paraId="57378973" w14:textId="77777777" w:rsidR="0063570A" w:rsidRPr="009420EF" w:rsidRDefault="0063570A" w:rsidP="009420EF">
      <w:pPr>
        <w:pStyle w:val="a3"/>
        <w:widowControl/>
        <w:ind w:left="0"/>
      </w:pPr>
    </w:p>
    <w:p w14:paraId="08A0EB08" w14:textId="77777777" w:rsidR="00222DE0" w:rsidRPr="009420EF" w:rsidRDefault="0098273B" w:rsidP="009420EF">
      <w:pPr>
        <w:pStyle w:val="a3"/>
        <w:widowControl/>
        <w:ind w:left="0"/>
      </w:pPr>
      <w:r w:rsidRPr="009420EF">
        <w:t>Subkutánní podání</w:t>
      </w:r>
    </w:p>
    <w:p w14:paraId="206534C0" w14:textId="77777777" w:rsidR="00222DE0" w:rsidRPr="009420EF" w:rsidRDefault="0098273B" w:rsidP="009420EF">
      <w:pPr>
        <w:pStyle w:val="a3"/>
        <w:widowControl/>
        <w:ind w:left="0"/>
      </w:pPr>
      <w:r w:rsidRPr="009420EF">
        <w:t>Před použitím si přečtěte příbalovou informaci</w:t>
      </w:r>
    </w:p>
    <w:p w14:paraId="65A56EFB" w14:textId="77777777" w:rsidR="00222DE0" w:rsidRPr="009420EF" w:rsidRDefault="00222DE0" w:rsidP="009420EF">
      <w:pPr>
        <w:pStyle w:val="a3"/>
        <w:widowControl/>
        <w:ind w:left="0"/>
      </w:pPr>
    </w:p>
    <w:p w14:paraId="169F8D18" w14:textId="77777777" w:rsidR="00427B54" w:rsidRPr="009420EF" w:rsidRDefault="00427B54" w:rsidP="009420EF">
      <w:pPr>
        <w:pStyle w:val="a3"/>
        <w:widowControl/>
        <w:ind w:left="0"/>
      </w:pPr>
    </w:p>
    <w:p w14:paraId="01F49981" w14:textId="77777777" w:rsidR="0063570A" w:rsidRPr="009420EF" w:rsidRDefault="0063570A" w:rsidP="009420EF">
      <w:pPr>
        <w:pStyle w:val="BoxedHeading"/>
        <w:rPr>
          <w:bCs w:val="0"/>
        </w:rPr>
      </w:pPr>
      <w:r w:rsidRPr="009420EF">
        <w:t>6.</w:t>
      </w:r>
      <w:r w:rsidRPr="009420EF">
        <w:tab/>
      </w:r>
      <w:r w:rsidRPr="009420EF">
        <w:rPr>
          <w:bCs w:val="0"/>
        </w:rPr>
        <w:t>ZVLÁŠTNÍ UPOZORNĚNÍ, ŽE LÉČIVÝ PŘÍPRAVEK MUSÍ BÝT UCHOVÁVÁN MIMO DOHLED A DOSAH DĚTÍ</w:t>
      </w:r>
    </w:p>
    <w:p w14:paraId="1FB19DCA" w14:textId="77777777" w:rsidR="00222DE0" w:rsidRPr="009420EF" w:rsidRDefault="00222DE0" w:rsidP="009420EF">
      <w:pPr>
        <w:pStyle w:val="a3"/>
        <w:widowControl/>
        <w:ind w:left="0"/>
      </w:pPr>
    </w:p>
    <w:p w14:paraId="7BFF2380" w14:textId="77777777" w:rsidR="00222DE0" w:rsidRPr="009420EF" w:rsidRDefault="0098273B" w:rsidP="009420EF">
      <w:pPr>
        <w:pStyle w:val="a3"/>
        <w:widowControl/>
        <w:ind w:left="0"/>
      </w:pPr>
      <w:r w:rsidRPr="009420EF">
        <w:t>Uchovávejte mimo dohled a dosah dětí</w:t>
      </w:r>
    </w:p>
    <w:p w14:paraId="0601E389" w14:textId="77777777" w:rsidR="00222DE0" w:rsidRPr="009420EF" w:rsidRDefault="00222DE0" w:rsidP="009420EF">
      <w:pPr>
        <w:pStyle w:val="a3"/>
        <w:widowControl/>
        <w:ind w:left="0"/>
      </w:pPr>
    </w:p>
    <w:p w14:paraId="11829FF7" w14:textId="77777777" w:rsidR="00427B54" w:rsidRPr="009420EF" w:rsidRDefault="00427B54" w:rsidP="009420EF">
      <w:pPr>
        <w:pStyle w:val="a3"/>
        <w:widowControl/>
        <w:ind w:left="0"/>
      </w:pPr>
    </w:p>
    <w:p w14:paraId="5B3F8C1D" w14:textId="77777777" w:rsidR="00427B54" w:rsidRPr="009420EF" w:rsidRDefault="00427B54" w:rsidP="009420EF">
      <w:pPr>
        <w:pStyle w:val="BoxedHeading"/>
        <w:rPr>
          <w:bCs w:val="0"/>
        </w:rPr>
      </w:pPr>
      <w:r w:rsidRPr="009420EF">
        <w:t>7.</w:t>
      </w:r>
      <w:r w:rsidRPr="009420EF">
        <w:tab/>
      </w:r>
      <w:r w:rsidRPr="009420EF">
        <w:rPr>
          <w:bCs w:val="0"/>
        </w:rPr>
        <w:t>DALŠÍ ZVLÁŠTNÍ UPOZORNĚNÍ, POKUD JE POTŘEBNÉ</w:t>
      </w:r>
    </w:p>
    <w:p w14:paraId="2FEF1605" w14:textId="77777777" w:rsidR="00222DE0" w:rsidRPr="009420EF" w:rsidRDefault="00222DE0" w:rsidP="009420EF">
      <w:pPr>
        <w:pStyle w:val="a3"/>
        <w:widowControl/>
        <w:ind w:left="0"/>
      </w:pPr>
    </w:p>
    <w:p w14:paraId="022C7D5C" w14:textId="77777777" w:rsidR="00222DE0" w:rsidRPr="009420EF" w:rsidRDefault="0098273B" w:rsidP="009420EF">
      <w:pPr>
        <w:pStyle w:val="a3"/>
        <w:widowControl/>
        <w:ind w:left="0"/>
      </w:pPr>
      <w:r w:rsidRPr="009420EF">
        <w:t>Předplněné pero vyjměte z krabičky a ponechte je 45 minut před aplikací při pokojové teplotě</w:t>
      </w:r>
    </w:p>
    <w:p w14:paraId="7FD1E718" w14:textId="77777777" w:rsidR="00222DE0" w:rsidRPr="009420EF" w:rsidRDefault="00222DE0" w:rsidP="009420EF">
      <w:pPr>
        <w:pStyle w:val="a3"/>
        <w:widowControl/>
        <w:ind w:left="0"/>
      </w:pPr>
    </w:p>
    <w:p w14:paraId="329B7829" w14:textId="77777777" w:rsidR="001A324E" w:rsidRPr="009420EF" w:rsidRDefault="001A324E" w:rsidP="009420EF">
      <w:pPr>
        <w:pStyle w:val="a3"/>
        <w:widowControl/>
        <w:ind w:left="0"/>
      </w:pPr>
    </w:p>
    <w:p w14:paraId="115D91CB" w14:textId="77777777" w:rsidR="00427B54" w:rsidRPr="009420EF" w:rsidRDefault="00427B54" w:rsidP="009420EF">
      <w:pPr>
        <w:pStyle w:val="BoxedHeading"/>
        <w:rPr>
          <w:bCs w:val="0"/>
        </w:rPr>
      </w:pPr>
      <w:r w:rsidRPr="009420EF">
        <w:t>8.</w:t>
      </w:r>
      <w:r w:rsidRPr="009420EF">
        <w:tab/>
      </w:r>
      <w:r w:rsidRPr="009420EF">
        <w:rPr>
          <w:bCs w:val="0"/>
        </w:rPr>
        <w:t>POUŽITELNOST</w:t>
      </w:r>
    </w:p>
    <w:p w14:paraId="4DAEC481" w14:textId="77777777" w:rsidR="001A324E" w:rsidRPr="009420EF" w:rsidRDefault="001A324E" w:rsidP="009420EF">
      <w:pPr>
        <w:pStyle w:val="a3"/>
        <w:widowControl/>
        <w:ind w:left="0"/>
      </w:pPr>
    </w:p>
    <w:p w14:paraId="44B565B3" w14:textId="77777777" w:rsidR="00222DE0" w:rsidRPr="009420EF" w:rsidRDefault="0098273B" w:rsidP="009420EF">
      <w:pPr>
        <w:pStyle w:val="a3"/>
        <w:widowControl/>
        <w:ind w:left="0"/>
      </w:pPr>
      <w:r w:rsidRPr="009420EF">
        <w:t>Použitelné do:</w:t>
      </w:r>
    </w:p>
    <w:p w14:paraId="7E0B5FE3" w14:textId="77777777" w:rsidR="00A87988" w:rsidRPr="009420EF" w:rsidRDefault="00A87988" w:rsidP="009420EF">
      <w:pPr>
        <w:pStyle w:val="a3"/>
        <w:widowControl/>
        <w:ind w:left="0"/>
      </w:pPr>
    </w:p>
    <w:p w14:paraId="156A7BD5" w14:textId="77777777" w:rsidR="00A87988" w:rsidRPr="009420EF" w:rsidRDefault="00A87988" w:rsidP="009420EF">
      <w:pPr>
        <w:pStyle w:val="a3"/>
        <w:widowControl/>
        <w:ind w:left="0"/>
      </w:pPr>
    </w:p>
    <w:p w14:paraId="311D514D" w14:textId="77777777" w:rsidR="00A87988" w:rsidRPr="009420EF" w:rsidRDefault="00A87988" w:rsidP="009420EF">
      <w:pPr>
        <w:pStyle w:val="BoxedHeading"/>
        <w:rPr>
          <w:bCs w:val="0"/>
        </w:rPr>
      </w:pPr>
      <w:r w:rsidRPr="009420EF">
        <w:lastRenderedPageBreak/>
        <w:t>9.</w:t>
      </w:r>
      <w:r w:rsidRPr="009420EF">
        <w:tab/>
      </w:r>
      <w:r w:rsidRPr="009420EF">
        <w:rPr>
          <w:bCs w:val="0"/>
        </w:rPr>
        <w:t>ZVLÁŠTNÍ PODMÍNKY PRO UCHOVÁVÁNÍ</w:t>
      </w:r>
    </w:p>
    <w:p w14:paraId="4CC4D648" w14:textId="77777777" w:rsidR="00222DE0" w:rsidRPr="009420EF" w:rsidRDefault="00222DE0" w:rsidP="002F2E09">
      <w:pPr>
        <w:pStyle w:val="a3"/>
        <w:keepNext/>
        <w:widowControl/>
        <w:ind w:left="0"/>
      </w:pPr>
    </w:p>
    <w:p w14:paraId="365D63CB" w14:textId="77777777" w:rsidR="00222DE0" w:rsidRPr="009420EF" w:rsidRDefault="0098273B" w:rsidP="002F2E09">
      <w:pPr>
        <w:pStyle w:val="a3"/>
        <w:keepNext/>
        <w:widowControl/>
        <w:ind w:left="0"/>
      </w:pPr>
      <w:r w:rsidRPr="009420EF">
        <w:t>Uchovávejte v chladničce Chraňte před mrazem</w:t>
      </w:r>
    </w:p>
    <w:p w14:paraId="37CA4235" w14:textId="7F4703DD" w:rsidR="00222DE0" w:rsidRPr="009420EF" w:rsidRDefault="0098273B" w:rsidP="009420EF">
      <w:pPr>
        <w:pStyle w:val="a3"/>
        <w:keepNext/>
        <w:widowControl/>
        <w:ind w:left="0"/>
      </w:pPr>
      <w:r w:rsidRPr="009420EF">
        <w:t xml:space="preserve">Po vyjmutí z chladničky může být předplněné pero uchováváno až po dobu </w:t>
      </w:r>
      <w:r w:rsidR="000F498F">
        <w:t>3</w:t>
      </w:r>
      <w:r w:rsidRPr="009420EF">
        <w:t xml:space="preserve"> týdnů při teplotě do </w:t>
      </w:r>
      <w:r w:rsidR="000D6C55" w:rsidRPr="009420EF">
        <w:br/>
      </w:r>
      <w:r w:rsidRPr="009420EF">
        <w:t>30</w:t>
      </w:r>
      <w:r w:rsidR="000D6C55" w:rsidRPr="009420EF">
        <w:t xml:space="preserve"> </w:t>
      </w:r>
      <w:r w:rsidRPr="009420EF">
        <w:t>°C</w:t>
      </w:r>
    </w:p>
    <w:p w14:paraId="655AAE76" w14:textId="77777777" w:rsidR="00222DE0" w:rsidRPr="009420EF" w:rsidRDefault="0098273B" w:rsidP="009420EF">
      <w:pPr>
        <w:pStyle w:val="a3"/>
        <w:widowControl/>
        <w:ind w:left="0"/>
      </w:pPr>
      <w:r w:rsidRPr="009420EF">
        <w:t>Uchovávejte předplněné pero v krabičce, aby byl přípravek chráněn před světlem a vlhkostí</w:t>
      </w:r>
    </w:p>
    <w:p w14:paraId="62E3E272" w14:textId="77777777" w:rsidR="00222DE0" w:rsidRPr="009420EF" w:rsidRDefault="00222DE0" w:rsidP="009420EF">
      <w:pPr>
        <w:pStyle w:val="a3"/>
        <w:widowControl/>
        <w:ind w:left="0"/>
      </w:pPr>
    </w:p>
    <w:p w14:paraId="5B7319BC" w14:textId="77777777" w:rsidR="00E70264" w:rsidRPr="009420EF" w:rsidRDefault="00E70264" w:rsidP="009420EF">
      <w:pPr>
        <w:pStyle w:val="a3"/>
        <w:widowControl/>
        <w:ind w:left="0"/>
      </w:pPr>
    </w:p>
    <w:p w14:paraId="69AF37D5" w14:textId="77777777" w:rsidR="00A87988" w:rsidRPr="009420EF" w:rsidRDefault="00A87988" w:rsidP="009420EF">
      <w:pPr>
        <w:pStyle w:val="BoxedHeading"/>
        <w:rPr>
          <w:bCs w:val="0"/>
        </w:rPr>
      </w:pPr>
      <w:r w:rsidRPr="009420EF">
        <w:t>10.</w:t>
      </w:r>
      <w:r w:rsidRPr="009420EF">
        <w:tab/>
      </w:r>
      <w:r w:rsidRPr="009420EF">
        <w:rPr>
          <w:bCs w:val="0"/>
        </w:rPr>
        <w:t>ZVLÁŠTNÍ OPATŘENÍ PRO LIKVIDACI NEPOUŽITÝCH LÉČIVÝCH PŘÍPRAVKŮ NEBO ODPADU Z NICH, POKUD JE TO VHODNÉ</w:t>
      </w:r>
    </w:p>
    <w:p w14:paraId="01FDCDDC" w14:textId="77777777" w:rsidR="00A87988" w:rsidRPr="009420EF" w:rsidRDefault="00A87988" w:rsidP="009420EF">
      <w:pPr>
        <w:widowControl/>
      </w:pPr>
    </w:p>
    <w:p w14:paraId="00CF1E7C" w14:textId="77777777" w:rsidR="00E10349" w:rsidRPr="009420EF" w:rsidRDefault="00E10349" w:rsidP="009420EF">
      <w:pPr>
        <w:widowControl/>
      </w:pPr>
    </w:p>
    <w:p w14:paraId="24D118F3" w14:textId="77777777" w:rsidR="00E10349" w:rsidRPr="009420EF" w:rsidRDefault="00E10349" w:rsidP="009420EF">
      <w:pPr>
        <w:pStyle w:val="BoxedHeading"/>
        <w:rPr>
          <w:bCs w:val="0"/>
        </w:rPr>
      </w:pPr>
      <w:r w:rsidRPr="009420EF">
        <w:rPr>
          <w:bCs w:val="0"/>
        </w:rPr>
        <w:t>11.</w:t>
      </w:r>
      <w:r w:rsidRPr="009420EF">
        <w:rPr>
          <w:bCs w:val="0"/>
        </w:rPr>
        <w:tab/>
        <w:t>NÁZEV A ADRESA DRŽITELE ROZHODNUTÍ O REGISTRACI</w:t>
      </w:r>
    </w:p>
    <w:p w14:paraId="04B6D899" w14:textId="77777777" w:rsidR="00E10349" w:rsidRPr="009420EF" w:rsidRDefault="00E10349" w:rsidP="009420EF">
      <w:pPr>
        <w:pStyle w:val="a3"/>
        <w:widowControl/>
        <w:ind w:left="0"/>
      </w:pPr>
    </w:p>
    <w:p w14:paraId="72770B58" w14:textId="77777777" w:rsidR="000F498F" w:rsidRPr="00840707" w:rsidRDefault="000F498F" w:rsidP="000F498F">
      <w:pPr>
        <w:keepNext/>
      </w:pPr>
      <w:r w:rsidRPr="00840707">
        <w:t xml:space="preserve">Celltrion Healthcare Hungary Kft. </w:t>
      </w:r>
    </w:p>
    <w:p w14:paraId="5BFB19BD" w14:textId="77777777" w:rsidR="000F498F" w:rsidRPr="00840707" w:rsidRDefault="000F498F" w:rsidP="000F498F">
      <w:pPr>
        <w:keepNext/>
      </w:pPr>
      <w:r w:rsidRPr="00840707">
        <w:t>1062 Budapest</w:t>
      </w:r>
    </w:p>
    <w:p w14:paraId="4B1761B8" w14:textId="77777777" w:rsidR="000F498F" w:rsidRPr="00840707" w:rsidRDefault="000F498F" w:rsidP="000F498F">
      <w:pPr>
        <w:keepNext/>
      </w:pPr>
      <w:r w:rsidRPr="00840707">
        <w:t>Váci út 1-3. WestEnd Office Building B torony</w:t>
      </w:r>
    </w:p>
    <w:p w14:paraId="5AA468E0" w14:textId="6D18E50C" w:rsidR="000F498F" w:rsidRPr="009420EF" w:rsidRDefault="000F498F" w:rsidP="000F498F">
      <w:pPr>
        <w:pStyle w:val="a3"/>
        <w:widowControl/>
        <w:ind w:left="0"/>
      </w:pPr>
      <w:r>
        <w:t>Maďarsko</w:t>
      </w:r>
    </w:p>
    <w:p w14:paraId="60E3085D" w14:textId="77777777" w:rsidR="00222DE0" w:rsidRPr="009420EF" w:rsidRDefault="00222DE0" w:rsidP="009420EF">
      <w:pPr>
        <w:pStyle w:val="a3"/>
        <w:widowControl/>
        <w:ind w:left="0"/>
      </w:pPr>
    </w:p>
    <w:p w14:paraId="00C4CF60" w14:textId="77777777" w:rsidR="00442BB9" w:rsidRPr="009420EF" w:rsidRDefault="00442BB9" w:rsidP="009420EF">
      <w:pPr>
        <w:pStyle w:val="a3"/>
        <w:widowControl/>
        <w:ind w:left="0"/>
      </w:pPr>
    </w:p>
    <w:p w14:paraId="19544575" w14:textId="77777777" w:rsidR="00E10349" w:rsidRPr="009420EF" w:rsidRDefault="00E10349" w:rsidP="009420EF">
      <w:pPr>
        <w:pStyle w:val="BoxedHeading"/>
        <w:rPr>
          <w:bCs w:val="0"/>
        </w:rPr>
      </w:pPr>
      <w:r w:rsidRPr="009420EF">
        <w:rPr>
          <w:bCs w:val="0"/>
        </w:rPr>
        <w:t>12.</w:t>
      </w:r>
      <w:r w:rsidRPr="009420EF">
        <w:rPr>
          <w:bCs w:val="0"/>
        </w:rPr>
        <w:tab/>
        <w:t>REGISTRAČNÍ ČÍSLO/ČÍSLA</w:t>
      </w:r>
    </w:p>
    <w:p w14:paraId="50F95A18" w14:textId="77777777" w:rsidR="00442BB9" w:rsidRPr="009420EF" w:rsidRDefault="00442BB9" w:rsidP="009420EF">
      <w:pPr>
        <w:pStyle w:val="a3"/>
        <w:widowControl/>
        <w:ind w:left="0"/>
      </w:pPr>
    </w:p>
    <w:p w14:paraId="09021FBB" w14:textId="7E0AB1D4" w:rsidR="00222DE0" w:rsidRPr="009420EF" w:rsidRDefault="0098273B" w:rsidP="009420EF">
      <w:pPr>
        <w:pStyle w:val="a3"/>
        <w:widowControl/>
        <w:ind w:left="0"/>
      </w:pPr>
      <w:r w:rsidRPr="009420EF">
        <w:t>EU</w:t>
      </w:r>
      <w:r w:rsidR="000F498F" w:rsidRPr="00840707">
        <w:t>/</w:t>
      </w:r>
      <w:r w:rsidR="00F92232" w:rsidRPr="00DA3B0A">
        <w:t>1/24/1896/012</w:t>
      </w:r>
      <w:r w:rsidR="00F92232">
        <w:t xml:space="preserve"> 12 (3 x 4) předplněných per (vícenásobné balení)</w:t>
      </w:r>
    </w:p>
    <w:p w14:paraId="3187EC00" w14:textId="77777777" w:rsidR="00222DE0" w:rsidRPr="009420EF" w:rsidRDefault="00222DE0" w:rsidP="009420EF">
      <w:pPr>
        <w:pStyle w:val="a3"/>
        <w:widowControl/>
        <w:ind w:left="0"/>
      </w:pPr>
    </w:p>
    <w:p w14:paraId="46759623" w14:textId="77777777" w:rsidR="00442BB9" w:rsidRPr="009420EF" w:rsidRDefault="00442BB9" w:rsidP="009420EF">
      <w:pPr>
        <w:pStyle w:val="a3"/>
        <w:widowControl/>
        <w:ind w:left="0"/>
      </w:pPr>
    </w:p>
    <w:p w14:paraId="280DAA43" w14:textId="77777777" w:rsidR="00442BB9" w:rsidRPr="009420EF" w:rsidRDefault="00442BB9" w:rsidP="009420EF">
      <w:pPr>
        <w:pStyle w:val="BoxedHeading"/>
        <w:rPr>
          <w:bCs w:val="0"/>
        </w:rPr>
      </w:pPr>
      <w:r w:rsidRPr="009420EF">
        <w:rPr>
          <w:bCs w:val="0"/>
        </w:rPr>
        <w:t>13.</w:t>
      </w:r>
      <w:r w:rsidRPr="009420EF">
        <w:rPr>
          <w:bCs w:val="0"/>
        </w:rPr>
        <w:tab/>
        <w:t>ČÍSLO ŠARŽE</w:t>
      </w:r>
    </w:p>
    <w:p w14:paraId="2F49953F" w14:textId="77777777" w:rsidR="00442BB9" w:rsidRPr="009420EF" w:rsidRDefault="00442BB9" w:rsidP="009420EF">
      <w:pPr>
        <w:pStyle w:val="a3"/>
        <w:widowControl/>
        <w:ind w:left="0"/>
      </w:pPr>
    </w:p>
    <w:p w14:paraId="34EF619D" w14:textId="77777777" w:rsidR="00222DE0" w:rsidRPr="009420EF" w:rsidRDefault="0098273B" w:rsidP="009420EF">
      <w:pPr>
        <w:pStyle w:val="a3"/>
        <w:widowControl/>
        <w:ind w:left="0"/>
      </w:pPr>
      <w:r w:rsidRPr="009420EF">
        <w:t>č.š.:</w:t>
      </w:r>
    </w:p>
    <w:p w14:paraId="5E8081B3" w14:textId="77777777" w:rsidR="00222DE0" w:rsidRPr="009420EF" w:rsidRDefault="00222DE0" w:rsidP="009420EF">
      <w:pPr>
        <w:pStyle w:val="a3"/>
        <w:widowControl/>
        <w:ind w:left="0"/>
      </w:pPr>
    </w:p>
    <w:p w14:paraId="02FC9CAD" w14:textId="77777777" w:rsidR="004B2BBB" w:rsidRPr="009420EF" w:rsidRDefault="004B2BBB" w:rsidP="009420EF">
      <w:pPr>
        <w:pStyle w:val="a3"/>
        <w:widowControl/>
        <w:ind w:left="0"/>
      </w:pPr>
    </w:p>
    <w:p w14:paraId="30135ADC" w14:textId="77777777" w:rsidR="00442BB9" w:rsidRPr="009420EF" w:rsidRDefault="00442BB9" w:rsidP="009420EF">
      <w:pPr>
        <w:pStyle w:val="BoxedHeading"/>
        <w:rPr>
          <w:bCs w:val="0"/>
        </w:rPr>
      </w:pPr>
      <w:r w:rsidRPr="009420EF">
        <w:rPr>
          <w:bCs w:val="0"/>
        </w:rPr>
        <w:t>14.</w:t>
      </w:r>
      <w:r w:rsidRPr="009420EF">
        <w:rPr>
          <w:bCs w:val="0"/>
        </w:rPr>
        <w:tab/>
        <w:t>KLASIFIKACE PRO VÝDEJ</w:t>
      </w:r>
    </w:p>
    <w:p w14:paraId="719184BC" w14:textId="77777777" w:rsidR="004B2BBB" w:rsidRPr="009420EF" w:rsidRDefault="004B2BBB" w:rsidP="009420EF">
      <w:pPr>
        <w:pStyle w:val="a3"/>
        <w:widowControl/>
        <w:ind w:left="0"/>
      </w:pPr>
    </w:p>
    <w:p w14:paraId="769E16D5" w14:textId="77777777" w:rsidR="004B2BBB" w:rsidRPr="009420EF" w:rsidRDefault="004B2BBB" w:rsidP="009420EF">
      <w:pPr>
        <w:pStyle w:val="a3"/>
        <w:widowControl/>
        <w:ind w:left="0"/>
      </w:pPr>
    </w:p>
    <w:p w14:paraId="29DED102" w14:textId="77777777" w:rsidR="004B2BBB" w:rsidRPr="009420EF" w:rsidRDefault="004B2BBB" w:rsidP="009420EF">
      <w:pPr>
        <w:pStyle w:val="BoxedHeading"/>
        <w:rPr>
          <w:bCs w:val="0"/>
        </w:rPr>
      </w:pPr>
      <w:r w:rsidRPr="009420EF">
        <w:rPr>
          <w:bCs w:val="0"/>
        </w:rPr>
        <w:t>15.</w:t>
      </w:r>
      <w:r w:rsidRPr="009420EF">
        <w:rPr>
          <w:bCs w:val="0"/>
        </w:rPr>
        <w:tab/>
        <w:t>NÁVOD K POUŽITÍ</w:t>
      </w:r>
    </w:p>
    <w:p w14:paraId="6404F54B" w14:textId="77777777" w:rsidR="004B2BBB" w:rsidRPr="009420EF" w:rsidRDefault="004B2BBB" w:rsidP="009420EF">
      <w:pPr>
        <w:pStyle w:val="a3"/>
        <w:widowControl/>
        <w:ind w:left="0"/>
      </w:pPr>
    </w:p>
    <w:p w14:paraId="2D432799" w14:textId="77777777" w:rsidR="004B2BBB" w:rsidRPr="009420EF" w:rsidRDefault="004B2BBB" w:rsidP="009420EF">
      <w:pPr>
        <w:pStyle w:val="a3"/>
        <w:widowControl/>
        <w:ind w:left="0"/>
      </w:pPr>
    </w:p>
    <w:p w14:paraId="0452DAE6" w14:textId="77777777" w:rsidR="004B2BBB" w:rsidRPr="009420EF" w:rsidRDefault="004B2BBB" w:rsidP="009420EF">
      <w:pPr>
        <w:pStyle w:val="BoxedHeading"/>
        <w:rPr>
          <w:bCs w:val="0"/>
        </w:rPr>
      </w:pPr>
      <w:r w:rsidRPr="009420EF">
        <w:rPr>
          <w:bCs w:val="0"/>
        </w:rPr>
        <w:t>16.</w:t>
      </w:r>
      <w:r w:rsidRPr="009420EF">
        <w:rPr>
          <w:bCs w:val="0"/>
        </w:rPr>
        <w:tab/>
        <w:t>INFORMACE V BRAILLOVĚ PÍSMU</w:t>
      </w:r>
    </w:p>
    <w:p w14:paraId="79A45383" w14:textId="77777777" w:rsidR="004B2BBB" w:rsidRPr="009420EF" w:rsidRDefault="004B2BBB" w:rsidP="009420EF">
      <w:pPr>
        <w:pStyle w:val="a3"/>
        <w:widowControl/>
        <w:ind w:left="0"/>
      </w:pPr>
    </w:p>
    <w:p w14:paraId="3024BE01" w14:textId="7B550ED8" w:rsidR="00222DE0" w:rsidRPr="009420EF" w:rsidRDefault="000F498F" w:rsidP="009420EF">
      <w:pPr>
        <w:pStyle w:val="a3"/>
        <w:widowControl/>
        <w:ind w:left="0"/>
      </w:pPr>
      <w:r>
        <w:t>a</w:t>
      </w:r>
      <w:r w:rsidR="00266CA2">
        <w:t>vtozma</w:t>
      </w:r>
      <w:r w:rsidR="0098273B" w:rsidRPr="009420EF">
        <w:t xml:space="preserve"> 162 mg</w:t>
      </w:r>
    </w:p>
    <w:p w14:paraId="0C99F81F" w14:textId="77777777" w:rsidR="00222DE0" w:rsidRPr="009420EF" w:rsidRDefault="00222DE0" w:rsidP="009420EF">
      <w:pPr>
        <w:pStyle w:val="a3"/>
        <w:widowControl/>
        <w:ind w:left="0"/>
      </w:pPr>
    </w:p>
    <w:p w14:paraId="09D062E1" w14:textId="77777777" w:rsidR="008C5167" w:rsidRPr="009420EF" w:rsidRDefault="008C5167" w:rsidP="009420EF">
      <w:pPr>
        <w:pStyle w:val="a3"/>
        <w:widowControl/>
        <w:ind w:left="0"/>
      </w:pPr>
    </w:p>
    <w:p w14:paraId="1A6E0C43" w14:textId="77777777" w:rsidR="004B2BBB" w:rsidRPr="009420EF" w:rsidRDefault="004B2BBB" w:rsidP="009420EF">
      <w:pPr>
        <w:pStyle w:val="BoxedHeading"/>
        <w:rPr>
          <w:bCs w:val="0"/>
        </w:rPr>
      </w:pPr>
      <w:r w:rsidRPr="009420EF">
        <w:rPr>
          <w:bCs w:val="0"/>
        </w:rPr>
        <w:t>17.</w:t>
      </w:r>
      <w:r w:rsidRPr="009420EF">
        <w:rPr>
          <w:bCs w:val="0"/>
        </w:rPr>
        <w:tab/>
      </w:r>
      <w:r w:rsidR="008C5167" w:rsidRPr="009420EF">
        <w:rPr>
          <w:bCs w:val="0"/>
        </w:rPr>
        <w:t>JEDINEČNÝ IDENTIFIKÁTOR – 2D ČÁROVÝ KÓD</w:t>
      </w:r>
    </w:p>
    <w:p w14:paraId="0AD91480" w14:textId="77777777" w:rsidR="00222DE0" w:rsidRPr="009420EF" w:rsidRDefault="00222DE0" w:rsidP="009420EF">
      <w:pPr>
        <w:pStyle w:val="a3"/>
        <w:widowControl/>
        <w:ind w:left="0"/>
      </w:pPr>
    </w:p>
    <w:p w14:paraId="44F421C8" w14:textId="471B20C4" w:rsidR="00222DE0" w:rsidRDefault="0098273B" w:rsidP="00B93217">
      <w:pPr>
        <w:rPr>
          <w:rFonts w:eastAsia="맑은 고딕"/>
          <w:highlight w:val="lightGray"/>
          <w:lang w:eastAsia="ko-KR"/>
        </w:rPr>
      </w:pPr>
      <w:r>
        <w:rPr>
          <w:highlight w:val="lightGray"/>
        </w:rPr>
        <w:t>2D čárový kód s jedinečným identifikátorem.</w:t>
      </w:r>
    </w:p>
    <w:p w14:paraId="64C0C0BC" w14:textId="77777777" w:rsidR="00222DE0" w:rsidRPr="00270B33" w:rsidRDefault="00222DE0" w:rsidP="009420EF">
      <w:pPr>
        <w:pStyle w:val="a3"/>
        <w:widowControl/>
        <w:ind w:left="0"/>
      </w:pPr>
    </w:p>
    <w:p w14:paraId="51AEC649" w14:textId="77777777" w:rsidR="008C5167" w:rsidRPr="009420EF" w:rsidRDefault="008C5167" w:rsidP="009420EF">
      <w:pPr>
        <w:pStyle w:val="a3"/>
        <w:widowControl/>
        <w:ind w:left="0"/>
      </w:pPr>
    </w:p>
    <w:p w14:paraId="38F9BE21" w14:textId="77777777" w:rsidR="008C5167" w:rsidRPr="009420EF" w:rsidRDefault="008C5167" w:rsidP="009420EF">
      <w:pPr>
        <w:pStyle w:val="BoxedHeading"/>
        <w:rPr>
          <w:bCs w:val="0"/>
        </w:rPr>
      </w:pPr>
      <w:r w:rsidRPr="009420EF">
        <w:rPr>
          <w:bCs w:val="0"/>
        </w:rPr>
        <w:t>18.</w:t>
      </w:r>
      <w:r w:rsidRPr="009420EF">
        <w:rPr>
          <w:bCs w:val="0"/>
        </w:rPr>
        <w:tab/>
        <w:t>JEDINEČNÝ IDENTIFIKÁTOR – DATA ČITELNÁ OKEM</w:t>
      </w:r>
    </w:p>
    <w:p w14:paraId="5FFFC922" w14:textId="77777777" w:rsidR="008C5167" w:rsidRPr="009420EF" w:rsidRDefault="008C5167" w:rsidP="009420EF">
      <w:pPr>
        <w:pStyle w:val="a3"/>
        <w:widowControl/>
        <w:ind w:left="0"/>
        <w:jc w:val="both"/>
      </w:pPr>
    </w:p>
    <w:p w14:paraId="72D412B0" w14:textId="77777777" w:rsidR="008C5167" w:rsidRPr="009420EF" w:rsidRDefault="0098273B" w:rsidP="009420EF">
      <w:pPr>
        <w:pStyle w:val="a3"/>
        <w:widowControl/>
        <w:ind w:left="0"/>
        <w:jc w:val="both"/>
      </w:pPr>
      <w:r w:rsidRPr="009420EF">
        <w:t>PC</w:t>
      </w:r>
    </w:p>
    <w:p w14:paraId="4CDDD502" w14:textId="77777777" w:rsidR="008C5167" w:rsidRPr="009420EF" w:rsidRDefault="0098273B" w:rsidP="009420EF">
      <w:pPr>
        <w:pStyle w:val="a3"/>
        <w:widowControl/>
        <w:ind w:left="0"/>
        <w:jc w:val="both"/>
      </w:pPr>
      <w:r w:rsidRPr="009420EF">
        <w:t>SN</w:t>
      </w:r>
    </w:p>
    <w:p w14:paraId="75419D4B" w14:textId="39A33A17" w:rsidR="00222DE0" w:rsidRPr="009420EF" w:rsidRDefault="008E598F" w:rsidP="009420EF">
      <w:r w:rsidRPr="008A10A6">
        <w:rPr>
          <w:highlight w:val="lightGray"/>
        </w:rPr>
        <w:t>NN</w:t>
      </w:r>
    </w:p>
    <w:p w14:paraId="713C31D7" w14:textId="77777777" w:rsidR="00E70264" w:rsidRPr="009420EF" w:rsidRDefault="00E70264" w:rsidP="009420EF">
      <w:pPr>
        <w:pStyle w:val="a3"/>
        <w:widowControl/>
        <w:ind w:left="0"/>
        <w:jc w:val="both"/>
        <w:rPr>
          <w:color w:val="000000"/>
          <w:shd w:val="clear" w:color="auto" w:fill="C1C1C1"/>
        </w:rPr>
      </w:pPr>
    </w:p>
    <w:p w14:paraId="2D50FF04" w14:textId="77777777" w:rsidR="00E70264" w:rsidRPr="009420EF" w:rsidRDefault="00E70264" w:rsidP="009420EF">
      <w:pPr>
        <w:pStyle w:val="a3"/>
        <w:widowControl/>
        <w:ind w:left="0"/>
        <w:jc w:val="both"/>
        <w:rPr>
          <w:color w:val="000000"/>
          <w:shd w:val="clear" w:color="auto" w:fill="C1C1C1"/>
        </w:rPr>
      </w:pPr>
    </w:p>
    <w:p w14:paraId="17540450" w14:textId="77777777" w:rsidR="008C5167" w:rsidRPr="009420EF" w:rsidRDefault="008C5167" w:rsidP="009420EF">
      <w:pPr>
        <w:pStyle w:val="a3"/>
        <w:widowControl/>
        <w:ind w:left="0"/>
        <w:jc w:val="both"/>
      </w:pPr>
      <w:r w:rsidRPr="009420EF">
        <w:br w:type="page"/>
      </w:r>
    </w:p>
    <w:p w14:paraId="0D362BF6" w14:textId="77777777" w:rsidR="000921B3" w:rsidRPr="009420EF" w:rsidRDefault="000921B3"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ÚDAJE UVÁDĚNÉ NA VNĚJŠÍM OBALU</w:t>
      </w:r>
    </w:p>
    <w:p w14:paraId="72412700" w14:textId="77777777" w:rsidR="000921B3" w:rsidRPr="009420EF" w:rsidRDefault="000921B3" w:rsidP="009420EF">
      <w:pPr>
        <w:widowControl/>
        <w:pBdr>
          <w:top w:val="single" w:sz="4" w:space="1" w:color="auto"/>
          <w:left w:val="single" w:sz="4" w:space="4" w:color="auto"/>
          <w:bottom w:val="single" w:sz="4" w:space="1" w:color="auto"/>
          <w:right w:val="single" w:sz="4" w:space="4" w:color="auto"/>
        </w:pBdr>
        <w:rPr>
          <w:b/>
          <w:bCs/>
        </w:rPr>
      </w:pPr>
    </w:p>
    <w:p w14:paraId="48821267" w14:textId="76C4D990" w:rsidR="000921B3" w:rsidRPr="009420EF" w:rsidRDefault="000921B3" w:rsidP="009420EF">
      <w:pPr>
        <w:widowControl/>
        <w:pBdr>
          <w:top w:val="single" w:sz="4" w:space="1" w:color="auto"/>
          <w:left w:val="single" w:sz="4" w:space="4" w:color="auto"/>
          <w:bottom w:val="single" w:sz="4" w:space="1" w:color="auto"/>
          <w:right w:val="single" w:sz="4" w:space="4" w:color="auto"/>
        </w:pBdr>
        <w:rPr>
          <w:b/>
          <w:bCs/>
        </w:rPr>
      </w:pPr>
      <w:r w:rsidRPr="009420EF">
        <w:rPr>
          <w:b/>
        </w:rPr>
        <w:t>KRABIČKA PŘEDPLNĚNÉ PERO (BEZ BLUEBOXU) - více</w:t>
      </w:r>
      <w:r w:rsidR="00AA1554">
        <w:rPr>
          <w:b/>
        </w:rPr>
        <w:t>četné</w:t>
      </w:r>
      <w:r w:rsidRPr="009420EF">
        <w:rPr>
          <w:b/>
        </w:rPr>
        <w:t xml:space="preserve"> balení</w:t>
      </w:r>
    </w:p>
    <w:p w14:paraId="4108C65F" w14:textId="77777777" w:rsidR="00222DE0" w:rsidRPr="009420EF" w:rsidRDefault="00222DE0" w:rsidP="009420EF">
      <w:pPr>
        <w:widowControl/>
        <w:jc w:val="both"/>
      </w:pPr>
    </w:p>
    <w:p w14:paraId="08AEF2E5" w14:textId="77777777" w:rsidR="00222DE0" w:rsidRPr="009420EF" w:rsidRDefault="00222DE0" w:rsidP="009420EF">
      <w:pPr>
        <w:pStyle w:val="a3"/>
        <w:widowControl/>
        <w:ind w:left="0"/>
      </w:pPr>
    </w:p>
    <w:p w14:paraId="3AA90080" w14:textId="77777777" w:rsidR="00486F3A" w:rsidRPr="009420EF" w:rsidRDefault="00486F3A" w:rsidP="009420EF">
      <w:pPr>
        <w:pStyle w:val="BoxedHeading"/>
        <w:rPr>
          <w:bCs w:val="0"/>
        </w:rPr>
      </w:pPr>
      <w:r w:rsidRPr="009420EF">
        <w:rPr>
          <w:bCs w:val="0"/>
        </w:rPr>
        <w:t>1.</w:t>
      </w:r>
      <w:r w:rsidRPr="009420EF">
        <w:rPr>
          <w:bCs w:val="0"/>
        </w:rPr>
        <w:tab/>
        <w:t>NÁZEV PŘÍPRAVKU</w:t>
      </w:r>
    </w:p>
    <w:p w14:paraId="00850904" w14:textId="77777777" w:rsidR="009D010A" w:rsidRPr="009420EF" w:rsidRDefault="009D010A" w:rsidP="009420EF">
      <w:pPr>
        <w:pStyle w:val="a3"/>
        <w:widowControl/>
        <w:ind w:left="0"/>
      </w:pPr>
    </w:p>
    <w:p w14:paraId="41D30D33" w14:textId="01324A2E" w:rsidR="00222DE0" w:rsidRPr="00C86B86" w:rsidRDefault="00266CA2" w:rsidP="009420EF">
      <w:pPr>
        <w:pStyle w:val="a3"/>
        <w:widowControl/>
        <w:ind w:left="0"/>
        <w:rPr>
          <w:rFonts w:eastAsia="맑은 고딕"/>
          <w:lang w:eastAsia="ko-KR"/>
        </w:rPr>
      </w:pPr>
      <w:r>
        <w:t>Avtozma</w:t>
      </w:r>
      <w:r w:rsidR="0098273B" w:rsidRPr="009420EF">
        <w:t xml:space="preserve"> 162 mg injekční roztok v předplněném peru</w:t>
      </w:r>
    </w:p>
    <w:p w14:paraId="58AE3AA0" w14:textId="78DB6BC2" w:rsidR="00222DE0" w:rsidRPr="009420EF" w:rsidRDefault="0098273B" w:rsidP="009420EF">
      <w:pPr>
        <w:pStyle w:val="a3"/>
        <w:widowControl/>
        <w:ind w:left="0"/>
      </w:pPr>
      <w:r w:rsidRPr="009420EF">
        <w:t>tocilizumab</w:t>
      </w:r>
    </w:p>
    <w:p w14:paraId="2F0BED3C" w14:textId="77777777" w:rsidR="00222DE0" w:rsidRPr="009420EF" w:rsidRDefault="00222DE0" w:rsidP="009420EF">
      <w:pPr>
        <w:pStyle w:val="a3"/>
        <w:widowControl/>
        <w:ind w:left="0"/>
      </w:pPr>
    </w:p>
    <w:p w14:paraId="7798D9DB" w14:textId="77777777" w:rsidR="00E70264" w:rsidRPr="009420EF" w:rsidRDefault="00E70264" w:rsidP="009420EF">
      <w:pPr>
        <w:pStyle w:val="a3"/>
        <w:widowControl/>
        <w:ind w:left="0"/>
      </w:pPr>
    </w:p>
    <w:p w14:paraId="3DEA9634" w14:textId="77777777" w:rsidR="009D010A" w:rsidRPr="009420EF" w:rsidRDefault="009D010A" w:rsidP="009420EF">
      <w:pPr>
        <w:pStyle w:val="BoxedHeading"/>
        <w:rPr>
          <w:bCs w:val="0"/>
        </w:rPr>
      </w:pPr>
      <w:r w:rsidRPr="009420EF">
        <w:rPr>
          <w:bCs w:val="0"/>
        </w:rPr>
        <w:t>2.</w:t>
      </w:r>
      <w:r w:rsidRPr="009420EF">
        <w:rPr>
          <w:bCs w:val="0"/>
        </w:rPr>
        <w:tab/>
        <w:t>OBSAH LÉČIVÉ LÁTKY / LÉČIVÝCH LÁTEK</w:t>
      </w:r>
    </w:p>
    <w:p w14:paraId="6B91153D" w14:textId="77777777" w:rsidR="009D010A" w:rsidRPr="009420EF" w:rsidRDefault="009D010A" w:rsidP="009420EF">
      <w:pPr>
        <w:pStyle w:val="a3"/>
        <w:widowControl/>
        <w:ind w:left="0"/>
      </w:pPr>
    </w:p>
    <w:p w14:paraId="37E8C8E3" w14:textId="14C1FAD3" w:rsidR="00222DE0" w:rsidRPr="009420EF" w:rsidRDefault="0098273B" w:rsidP="009420EF">
      <w:pPr>
        <w:pStyle w:val="a3"/>
        <w:widowControl/>
        <w:ind w:left="0"/>
      </w:pPr>
      <w:r w:rsidRPr="009420EF">
        <w:t xml:space="preserve">Jedno předplněné pero obsahuje </w:t>
      </w:r>
      <w:r w:rsidR="00AA1554" w:rsidRPr="009420EF">
        <w:t xml:space="preserve">162 mg </w:t>
      </w:r>
      <w:r w:rsidRPr="009420EF">
        <w:t>tocilizumabu.</w:t>
      </w:r>
    </w:p>
    <w:p w14:paraId="786F6C87" w14:textId="77777777" w:rsidR="00222DE0" w:rsidRPr="009420EF" w:rsidRDefault="00222DE0" w:rsidP="009420EF">
      <w:pPr>
        <w:pStyle w:val="a3"/>
        <w:widowControl/>
        <w:ind w:left="0"/>
      </w:pPr>
    </w:p>
    <w:p w14:paraId="65A35C7E" w14:textId="77777777" w:rsidR="009D010A" w:rsidRPr="009420EF" w:rsidRDefault="009D010A" w:rsidP="009420EF">
      <w:pPr>
        <w:pStyle w:val="a3"/>
        <w:widowControl/>
        <w:ind w:left="0"/>
      </w:pPr>
    </w:p>
    <w:p w14:paraId="47204BE1" w14:textId="77777777" w:rsidR="009D010A" w:rsidRPr="009420EF" w:rsidRDefault="009D010A" w:rsidP="009420EF">
      <w:pPr>
        <w:pStyle w:val="BoxedHeading"/>
        <w:rPr>
          <w:bCs w:val="0"/>
        </w:rPr>
      </w:pPr>
      <w:r w:rsidRPr="009420EF">
        <w:rPr>
          <w:bCs w:val="0"/>
        </w:rPr>
        <w:t>3.</w:t>
      </w:r>
      <w:r w:rsidRPr="009420EF">
        <w:rPr>
          <w:bCs w:val="0"/>
        </w:rPr>
        <w:tab/>
        <w:t>SEZNAM POMOCNÝCH LÁTEK</w:t>
      </w:r>
    </w:p>
    <w:p w14:paraId="3D0BC51D" w14:textId="77777777" w:rsidR="009D010A" w:rsidRPr="009420EF" w:rsidRDefault="009D010A" w:rsidP="009420EF">
      <w:pPr>
        <w:pStyle w:val="a3"/>
        <w:widowControl/>
        <w:ind w:left="0"/>
      </w:pPr>
    </w:p>
    <w:p w14:paraId="3C7C72D4" w14:textId="50211A87" w:rsidR="000F498F" w:rsidRPr="009420EF" w:rsidRDefault="000F498F" w:rsidP="000F498F">
      <w:pPr>
        <w:pStyle w:val="a3"/>
        <w:widowControl/>
        <w:ind w:left="0"/>
      </w:pPr>
      <w:r>
        <w:t>Pomocné látky: L-Histidin,</w:t>
      </w:r>
      <w:r w:rsidR="00395E0C">
        <w:rPr>
          <w:rFonts w:eastAsia="맑은 고딕" w:hint="eastAsia"/>
          <w:lang w:eastAsia="ko-KR"/>
        </w:rPr>
        <w:t xml:space="preserve"> </w:t>
      </w:r>
      <w:r w:rsidR="00AD6345" w:rsidRPr="00AD6345">
        <w:rPr>
          <w:rFonts w:eastAsia="맑은 고딕" w:hint="eastAsia"/>
          <w:lang w:eastAsia="ko-KR"/>
        </w:rPr>
        <w:t>Monohydrát histidin-hydrochloridu</w:t>
      </w:r>
      <w:r w:rsidR="00395E0C">
        <w:rPr>
          <w:rFonts w:eastAsia="맑은 고딕" w:hint="eastAsia"/>
          <w:lang w:eastAsia="ko-KR"/>
        </w:rPr>
        <w:t>,</w:t>
      </w:r>
      <w:r>
        <w:t xml:space="preserve"> L-Threonin, L-Methionin, p</w:t>
      </w:r>
      <w:r w:rsidRPr="009420EF">
        <w:t>olysorbát 80, voda pro injekci</w:t>
      </w:r>
      <w:r w:rsidRPr="009420EF">
        <w:rPr>
          <w:color w:val="000000"/>
        </w:rPr>
        <w:t>.</w:t>
      </w:r>
      <w:r>
        <w:rPr>
          <w:color w:val="000000"/>
        </w:rPr>
        <w:t xml:space="preserve"> </w:t>
      </w:r>
      <w:r w:rsidRPr="009420EF">
        <w:t>Další údaje naleznete v příbalové informaci.</w:t>
      </w:r>
    </w:p>
    <w:p w14:paraId="176F4BCF" w14:textId="77777777" w:rsidR="00222DE0" w:rsidRPr="009420EF" w:rsidRDefault="00222DE0" w:rsidP="009420EF">
      <w:pPr>
        <w:pStyle w:val="a3"/>
        <w:widowControl/>
        <w:ind w:left="0"/>
      </w:pPr>
    </w:p>
    <w:p w14:paraId="23BBFF78" w14:textId="77777777" w:rsidR="00AD7953" w:rsidRPr="009420EF" w:rsidRDefault="00AD7953" w:rsidP="009420EF">
      <w:pPr>
        <w:pStyle w:val="a3"/>
        <w:widowControl/>
        <w:ind w:left="0"/>
      </w:pPr>
    </w:p>
    <w:p w14:paraId="7E446C11" w14:textId="77777777" w:rsidR="00AD7953" w:rsidRPr="009420EF" w:rsidRDefault="00AD7953" w:rsidP="009420EF">
      <w:pPr>
        <w:pStyle w:val="BoxedHeading"/>
        <w:rPr>
          <w:bCs w:val="0"/>
        </w:rPr>
      </w:pPr>
      <w:r w:rsidRPr="009420EF">
        <w:rPr>
          <w:bCs w:val="0"/>
        </w:rPr>
        <w:t>4.</w:t>
      </w:r>
      <w:r w:rsidRPr="009420EF">
        <w:rPr>
          <w:bCs w:val="0"/>
        </w:rPr>
        <w:tab/>
        <w:t>LÉKOVÁ FORMA A OBSAH BALENÍ</w:t>
      </w:r>
    </w:p>
    <w:p w14:paraId="21F2C156" w14:textId="77777777" w:rsidR="00222DE0" w:rsidRPr="009420EF" w:rsidRDefault="00222DE0" w:rsidP="009420EF">
      <w:pPr>
        <w:pStyle w:val="a3"/>
        <w:widowControl/>
        <w:ind w:left="0"/>
      </w:pPr>
    </w:p>
    <w:p w14:paraId="78EFCF23" w14:textId="7CC2C3FB" w:rsidR="00222DE0" w:rsidRPr="009420EF" w:rsidRDefault="0098273B" w:rsidP="009420EF">
      <w:pPr>
        <w:pStyle w:val="a3"/>
        <w:widowControl/>
        <w:ind w:left="0"/>
      </w:pPr>
      <w:r w:rsidRPr="009420EF">
        <w:t>Injekční roztok v předplněném peru</w:t>
      </w:r>
    </w:p>
    <w:p w14:paraId="22EA7C2F" w14:textId="77777777" w:rsidR="00222DE0" w:rsidRPr="009420EF" w:rsidRDefault="0098273B" w:rsidP="009420EF">
      <w:pPr>
        <w:pStyle w:val="a3"/>
        <w:widowControl/>
        <w:ind w:left="0"/>
      </w:pPr>
      <w:r w:rsidRPr="009420EF">
        <w:t>4 předplněná pera. Součást vícenásobného balení, nelze prodávat samostatně.</w:t>
      </w:r>
    </w:p>
    <w:p w14:paraId="18AAE454" w14:textId="77777777" w:rsidR="00222DE0" w:rsidRPr="009420EF" w:rsidRDefault="0098273B" w:rsidP="009420EF">
      <w:pPr>
        <w:pStyle w:val="a3"/>
        <w:widowControl/>
        <w:ind w:left="0"/>
      </w:pPr>
      <w:r w:rsidRPr="009420EF">
        <w:t>162 mg/0,9 ml</w:t>
      </w:r>
    </w:p>
    <w:p w14:paraId="6F062867" w14:textId="77777777" w:rsidR="00222DE0" w:rsidRPr="009420EF" w:rsidRDefault="00222DE0" w:rsidP="009420EF">
      <w:pPr>
        <w:pStyle w:val="a3"/>
        <w:widowControl/>
        <w:ind w:left="0"/>
      </w:pPr>
    </w:p>
    <w:p w14:paraId="5A48F8F8" w14:textId="77777777" w:rsidR="00E70264" w:rsidRPr="009420EF" w:rsidRDefault="00E70264" w:rsidP="009420EF">
      <w:pPr>
        <w:pStyle w:val="a3"/>
        <w:widowControl/>
        <w:ind w:left="0"/>
      </w:pPr>
    </w:p>
    <w:p w14:paraId="3C841E2E" w14:textId="77777777" w:rsidR="00AD7953" w:rsidRPr="009420EF" w:rsidRDefault="00AD7953" w:rsidP="009420EF">
      <w:pPr>
        <w:pStyle w:val="BoxedHeading"/>
        <w:rPr>
          <w:bCs w:val="0"/>
        </w:rPr>
      </w:pPr>
      <w:r w:rsidRPr="009420EF">
        <w:rPr>
          <w:bCs w:val="0"/>
        </w:rPr>
        <w:t>5.</w:t>
      </w:r>
      <w:r w:rsidRPr="009420EF">
        <w:rPr>
          <w:bCs w:val="0"/>
        </w:rPr>
        <w:tab/>
        <w:t>ZPŮSOB A CESTA / CESTY PODÁNÍ</w:t>
      </w:r>
    </w:p>
    <w:p w14:paraId="3386AD9E" w14:textId="77777777" w:rsidR="00AD7953" w:rsidRPr="009420EF" w:rsidRDefault="00AD7953" w:rsidP="009420EF">
      <w:pPr>
        <w:pStyle w:val="a3"/>
        <w:widowControl/>
        <w:ind w:left="0"/>
      </w:pPr>
    </w:p>
    <w:p w14:paraId="50BF573F" w14:textId="77777777" w:rsidR="00222DE0" w:rsidRPr="009420EF" w:rsidRDefault="0098273B" w:rsidP="009420EF">
      <w:pPr>
        <w:pStyle w:val="a3"/>
        <w:widowControl/>
        <w:ind w:left="0"/>
      </w:pPr>
      <w:r w:rsidRPr="009420EF">
        <w:t>Subkutánní podání</w:t>
      </w:r>
    </w:p>
    <w:p w14:paraId="5782E55A" w14:textId="77777777" w:rsidR="00222DE0" w:rsidRPr="009420EF" w:rsidRDefault="0098273B" w:rsidP="009420EF">
      <w:pPr>
        <w:pStyle w:val="a3"/>
        <w:widowControl/>
        <w:ind w:left="0"/>
      </w:pPr>
      <w:r w:rsidRPr="009420EF">
        <w:t>Před použitím si přečtěte příbalovou informaci</w:t>
      </w:r>
    </w:p>
    <w:p w14:paraId="53A582E3" w14:textId="77777777" w:rsidR="00222DE0" w:rsidRPr="009420EF" w:rsidRDefault="00222DE0" w:rsidP="009420EF">
      <w:pPr>
        <w:pStyle w:val="a3"/>
        <w:widowControl/>
        <w:ind w:left="0"/>
      </w:pPr>
    </w:p>
    <w:p w14:paraId="0F9B2C76" w14:textId="77777777" w:rsidR="00AD7953" w:rsidRPr="009420EF" w:rsidRDefault="00AD7953" w:rsidP="009420EF">
      <w:pPr>
        <w:pStyle w:val="a3"/>
        <w:widowControl/>
        <w:ind w:left="0"/>
      </w:pPr>
    </w:p>
    <w:p w14:paraId="4F057738" w14:textId="77777777" w:rsidR="00AD7953" w:rsidRPr="009420EF" w:rsidRDefault="00AD7953" w:rsidP="009420EF">
      <w:pPr>
        <w:pStyle w:val="BoxedHeading"/>
        <w:rPr>
          <w:bCs w:val="0"/>
        </w:rPr>
      </w:pPr>
      <w:r w:rsidRPr="009420EF">
        <w:rPr>
          <w:bCs w:val="0"/>
        </w:rPr>
        <w:t>6.</w:t>
      </w:r>
      <w:r w:rsidRPr="009420EF">
        <w:rPr>
          <w:bCs w:val="0"/>
        </w:rPr>
        <w:tab/>
        <w:t>ZVLÁŠTNÍ UPOZORNĚNÍ, ŽE LÉČIVÝ PŘÍPRAVEK MUSÍ BÝT UCHOVÁVÁN MIMO DOHLED A DOSAH DĚTÍ</w:t>
      </w:r>
    </w:p>
    <w:p w14:paraId="1FBB7CB5" w14:textId="77777777" w:rsidR="00222DE0" w:rsidRPr="009420EF" w:rsidRDefault="00222DE0" w:rsidP="009420EF">
      <w:pPr>
        <w:pStyle w:val="a3"/>
        <w:widowControl/>
        <w:ind w:left="0"/>
      </w:pPr>
    </w:p>
    <w:p w14:paraId="76ABEBAA" w14:textId="77777777" w:rsidR="00222DE0" w:rsidRPr="009420EF" w:rsidRDefault="0098273B" w:rsidP="009420EF">
      <w:pPr>
        <w:pStyle w:val="a3"/>
        <w:widowControl/>
        <w:ind w:left="0"/>
      </w:pPr>
      <w:r w:rsidRPr="009420EF">
        <w:t>Uchovávejte mimo dohled a dosah dětí</w:t>
      </w:r>
    </w:p>
    <w:p w14:paraId="3C7CD6A3" w14:textId="77777777" w:rsidR="00222DE0" w:rsidRPr="009420EF" w:rsidRDefault="00222DE0" w:rsidP="009420EF">
      <w:pPr>
        <w:pStyle w:val="a3"/>
        <w:widowControl/>
        <w:ind w:left="0"/>
      </w:pPr>
    </w:p>
    <w:p w14:paraId="1C430B0D" w14:textId="77777777" w:rsidR="00A31D49" w:rsidRPr="009420EF" w:rsidRDefault="00A31D49" w:rsidP="009420EF">
      <w:pPr>
        <w:pStyle w:val="a3"/>
        <w:widowControl/>
        <w:ind w:left="0"/>
      </w:pPr>
    </w:p>
    <w:p w14:paraId="530BB169" w14:textId="77777777" w:rsidR="00A31D49" w:rsidRPr="009420EF" w:rsidRDefault="00A31D49" w:rsidP="009420EF">
      <w:pPr>
        <w:pStyle w:val="BoxedHeading"/>
        <w:rPr>
          <w:bCs w:val="0"/>
        </w:rPr>
      </w:pPr>
      <w:r w:rsidRPr="009420EF">
        <w:rPr>
          <w:bCs w:val="0"/>
        </w:rPr>
        <w:t>7.</w:t>
      </w:r>
      <w:r w:rsidRPr="009420EF">
        <w:rPr>
          <w:bCs w:val="0"/>
        </w:rPr>
        <w:tab/>
        <w:t>DALŠÍ ZVLÁŠTNÍ UPOZORNĚNÍ, POKUD JE POTŘEBNÉ</w:t>
      </w:r>
    </w:p>
    <w:p w14:paraId="02A1F220" w14:textId="77777777" w:rsidR="00A31D49" w:rsidRPr="009420EF" w:rsidRDefault="00A31D49" w:rsidP="009420EF">
      <w:pPr>
        <w:pStyle w:val="a3"/>
        <w:widowControl/>
        <w:ind w:left="0"/>
      </w:pPr>
    </w:p>
    <w:p w14:paraId="19D25519" w14:textId="77777777" w:rsidR="00222DE0" w:rsidRPr="009420EF" w:rsidRDefault="0098273B" w:rsidP="009420EF">
      <w:pPr>
        <w:pStyle w:val="a3"/>
        <w:widowControl/>
        <w:ind w:left="0"/>
      </w:pPr>
      <w:r w:rsidRPr="009420EF">
        <w:t>Předplněné pero vyjměte z krabičky a ponechte je 45 minut před aplikací při pokojové teplotě</w:t>
      </w:r>
    </w:p>
    <w:p w14:paraId="35175EA7" w14:textId="77777777" w:rsidR="00222DE0" w:rsidRPr="009420EF" w:rsidRDefault="00222DE0" w:rsidP="009420EF">
      <w:pPr>
        <w:pStyle w:val="a3"/>
        <w:widowControl/>
        <w:ind w:left="0"/>
      </w:pPr>
    </w:p>
    <w:p w14:paraId="5C96EA7B" w14:textId="77777777" w:rsidR="00A31D49" w:rsidRPr="009420EF" w:rsidRDefault="00A31D49" w:rsidP="009420EF">
      <w:pPr>
        <w:pStyle w:val="a3"/>
        <w:widowControl/>
        <w:ind w:left="0"/>
      </w:pPr>
    </w:p>
    <w:p w14:paraId="24AE6B45" w14:textId="77777777" w:rsidR="00A31D49" w:rsidRPr="009420EF" w:rsidRDefault="00A31D49" w:rsidP="009420EF">
      <w:pPr>
        <w:pStyle w:val="BoxedHeading"/>
        <w:rPr>
          <w:bCs w:val="0"/>
        </w:rPr>
      </w:pPr>
      <w:r w:rsidRPr="009420EF">
        <w:rPr>
          <w:bCs w:val="0"/>
        </w:rPr>
        <w:t>8.</w:t>
      </w:r>
      <w:r w:rsidRPr="009420EF">
        <w:rPr>
          <w:bCs w:val="0"/>
        </w:rPr>
        <w:tab/>
        <w:t>POUŽITELNOST</w:t>
      </w:r>
    </w:p>
    <w:p w14:paraId="5255EFD6" w14:textId="77777777" w:rsidR="00A31D49" w:rsidRPr="009420EF" w:rsidRDefault="00A31D49" w:rsidP="009420EF">
      <w:pPr>
        <w:pStyle w:val="a3"/>
        <w:widowControl/>
        <w:ind w:left="0"/>
      </w:pPr>
    </w:p>
    <w:p w14:paraId="45DEC04E" w14:textId="77777777" w:rsidR="00222DE0" w:rsidRPr="009420EF" w:rsidRDefault="0098273B" w:rsidP="009420EF">
      <w:pPr>
        <w:pStyle w:val="a3"/>
        <w:widowControl/>
        <w:ind w:left="0"/>
      </w:pPr>
      <w:r w:rsidRPr="009420EF">
        <w:t>Použitelné do:</w:t>
      </w:r>
    </w:p>
    <w:p w14:paraId="0D8448D4" w14:textId="77777777" w:rsidR="00222DE0" w:rsidRPr="009420EF" w:rsidRDefault="00222DE0" w:rsidP="009420EF">
      <w:pPr>
        <w:pStyle w:val="a3"/>
        <w:widowControl/>
        <w:ind w:left="0"/>
      </w:pPr>
    </w:p>
    <w:p w14:paraId="26EAB459" w14:textId="77777777" w:rsidR="00A31D49" w:rsidRPr="009420EF" w:rsidRDefault="00A31D49" w:rsidP="009420EF">
      <w:pPr>
        <w:pStyle w:val="a3"/>
        <w:widowControl/>
        <w:ind w:left="0"/>
      </w:pPr>
    </w:p>
    <w:p w14:paraId="1515912D" w14:textId="77777777" w:rsidR="00A31D49" w:rsidRPr="009420EF" w:rsidRDefault="00A31D49" w:rsidP="009420EF">
      <w:pPr>
        <w:pStyle w:val="BoxedHeading"/>
        <w:rPr>
          <w:bCs w:val="0"/>
        </w:rPr>
      </w:pPr>
      <w:r w:rsidRPr="009420EF">
        <w:rPr>
          <w:bCs w:val="0"/>
        </w:rPr>
        <w:lastRenderedPageBreak/>
        <w:t>9.</w:t>
      </w:r>
      <w:r w:rsidRPr="009420EF">
        <w:rPr>
          <w:bCs w:val="0"/>
        </w:rPr>
        <w:tab/>
        <w:t>ZVLÁŠTNÍ PODMÍNKY PRO UCHOVÁVÁNÍ</w:t>
      </w:r>
    </w:p>
    <w:p w14:paraId="776F32D4" w14:textId="77777777" w:rsidR="00A31D49" w:rsidRPr="009420EF" w:rsidRDefault="00A31D49" w:rsidP="002F2E09">
      <w:pPr>
        <w:pStyle w:val="a3"/>
        <w:keepNext/>
        <w:widowControl/>
        <w:ind w:left="0"/>
      </w:pPr>
    </w:p>
    <w:p w14:paraId="7FFDD3CA" w14:textId="77777777" w:rsidR="00222DE0" w:rsidRPr="009420EF" w:rsidRDefault="0098273B" w:rsidP="002F2E09">
      <w:pPr>
        <w:pStyle w:val="a3"/>
        <w:keepNext/>
        <w:widowControl/>
        <w:ind w:left="0"/>
      </w:pPr>
      <w:r w:rsidRPr="009420EF">
        <w:t>Uchovávejte v chladničce Chraňte před mrazem</w:t>
      </w:r>
    </w:p>
    <w:p w14:paraId="47B2F86C" w14:textId="3BD14A29" w:rsidR="00222DE0" w:rsidRPr="009420EF" w:rsidRDefault="0098273B" w:rsidP="002F2E09">
      <w:pPr>
        <w:pStyle w:val="a3"/>
        <w:widowControl/>
        <w:ind w:left="0"/>
      </w:pPr>
      <w:r w:rsidRPr="009420EF">
        <w:t xml:space="preserve">Po vyjmutí z chladničky může být předplněné pero uchováváno až po dobu </w:t>
      </w:r>
      <w:r w:rsidR="000F498F">
        <w:t>3</w:t>
      </w:r>
      <w:r w:rsidRPr="009420EF">
        <w:t xml:space="preserve"> týdnů při teplotě do 30</w:t>
      </w:r>
      <w:r w:rsidR="00F85DE6">
        <w:t> </w:t>
      </w:r>
      <w:r w:rsidRPr="009420EF">
        <w:t>°C</w:t>
      </w:r>
      <w:r w:rsidR="00053EB6">
        <w:t>.</w:t>
      </w:r>
    </w:p>
    <w:p w14:paraId="37F133CE" w14:textId="77777777" w:rsidR="00222DE0" w:rsidRPr="009420EF" w:rsidRDefault="0098273B" w:rsidP="009420EF">
      <w:pPr>
        <w:pStyle w:val="a3"/>
        <w:widowControl/>
        <w:ind w:left="0"/>
      </w:pPr>
      <w:r w:rsidRPr="009420EF">
        <w:t>Uchovávejte předplněné pero v krabičce, aby byl přípravek chráněn před světlem a vlhkostí</w:t>
      </w:r>
    </w:p>
    <w:p w14:paraId="3B5D473E" w14:textId="77777777" w:rsidR="00222DE0" w:rsidRPr="009420EF" w:rsidRDefault="00222DE0" w:rsidP="009420EF">
      <w:pPr>
        <w:pStyle w:val="a3"/>
        <w:widowControl/>
        <w:ind w:left="0"/>
      </w:pPr>
    </w:p>
    <w:p w14:paraId="0482F476" w14:textId="77777777" w:rsidR="00816F3A" w:rsidRPr="009420EF" w:rsidRDefault="00816F3A" w:rsidP="009420EF">
      <w:pPr>
        <w:pStyle w:val="a3"/>
        <w:widowControl/>
        <w:ind w:left="0"/>
      </w:pPr>
    </w:p>
    <w:p w14:paraId="2EE90BAA" w14:textId="77777777" w:rsidR="00816F3A" w:rsidRPr="009420EF" w:rsidRDefault="00816F3A" w:rsidP="009420EF">
      <w:pPr>
        <w:pStyle w:val="BoxedHeading"/>
        <w:rPr>
          <w:bCs w:val="0"/>
        </w:rPr>
      </w:pPr>
      <w:r w:rsidRPr="009420EF">
        <w:rPr>
          <w:bCs w:val="0"/>
        </w:rPr>
        <w:t>10.</w:t>
      </w:r>
      <w:r w:rsidRPr="009420EF">
        <w:rPr>
          <w:bCs w:val="0"/>
        </w:rPr>
        <w:tab/>
        <w:t>ZVLÁŠTNÍ OPATŘENÍ PRO LIKVIDACI NEPOUŽITÝCH LÉČIVÝCH PŘÍPRAVKŮ NEBO ODPADU Z NICH, POKUD JE TO VHODNÉ</w:t>
      </w:r>
    </w:p>
    <w:p w14:paraId="3D714675" w14:textId="77777777" w:rsidR="00A10B51" w:rsidRPr="009420EF" w:rsidRDefault="00A10B51" w:rsidP="009420EF">
      <w:pPr>
        <w:pStyle w:val="a3"/>
        <w:widowControl/>
        <w:ind w:left="0"/>
      </w:pPr>
    </w:p>
    <w:p w14:paraId="3DA8DE35" w14:textId="77777777" w:rsidR="00A10B51" w:rsidRPr="009420EF" w:rsidRDefault="00A10B51" w:rsidP="009420EF">
      <w:pPr>
        <w:pStyle w:val="a3"/>
        <w:widowControl/>
        <w:ind w:left="0"/>
      </w:pPr>
    </w:p>
    <w:p w14:paraId="126159B8" w14:textId="77777777" w:rsidR="00565083" w:rsidRPr="009420EF" w:rsidRDefault="00565083" w:rsidP="009420EF">
      <w:pPr>
        <w:pStyle w:val="BoxedHeading"/>
        <w:rPr>
          <w:bCs w:val="0"/>
        </w:rPr>
      </w:pPr>
      <w:r w:rsidRPr="009420EF">
        <w:rPr>
          <w:bCs w:val="0"/>
        </w:rPr>
        <w:t>11.</w:t>
      </w:r>
      <w:r w:rsidRPr="009420EF">
        <w:rPr>
          <w:bCs w:val="0"/>
        </w:rPr>
        <w:tab/>
        <w:t>NÁZEV A ADRESA DRŽITELE ROZHODNUTÍ O REGISTRACI</w:t>
      </w:r>
    </w:p>
    <w:p w14:paraId="3BBB9FBE" w14:textId="77777777" w:rsidR="00565083" w:rsidRPr="009420EF" w:rsidRDefault="00565083" w:rsidP="009420EF">
      <w:pPr>
        <w:pStyle w:val="a3"/>
        <w:widowControl/>
        <w:ind w:left="0"/>
        <w:rPr>
          <w:b/>
        </w:rPr>
      </w:pPr>
    </w:p>
    <w:p w14:paraId="56B065C5" w14:textId="77777777" w:rsidR="000F498F" w:rsidRPr="00840707" w:rsidRDefault="000F498F" w:rsidP="000F498F">
      <w:pPr>
        <w:keepNext/>
      </w:pPr>
      <w:r w:rsidRPr="00840707">
        <w:t xml:space="preserve">Celltrion Healthcare Hungary Kft. </w:t>
      </w:r>
    </w:p>
    <w:p w14:paraId="483D180C" w14:textId="77777777" w:rsidR="000F498F" w:rsidRPr="00840707" w:rsidRDefault="000F498F" w:rsidP="000F498F">
      <w:pPr>
        <w:keepNext/>
      </w:pPr>
      <w:r w:rsidRPr="00840707">
        <w:t>1062 Budapest</w:t>
      </w:r>
    </w:p>
    <w:p w14:paraId="6AD06A42" w14:textId="77777777" w:rsidR="000F498F" w:rsidRPr="00840707" w:rsidRDefault="000F498F" w:rsidP="000F498F">
      <w:pPr>
        <w:keepNext/>
      </w:pPr>
      <w:r w:rsidRPr="00840707">
        <w:t>Váci út 1-3. WestEnd Office Building B torony</w:t>
      </w:r>
    </w:p>
    <w:p w14:paraId="2A4DBD6A" w14:textId="51FE202B" w:rsidR="00222DE0" w:rsidRPr="009420EF" w:rsidRDefault="000F498F" w:rsidP="009420EF">
      <w:pPr>
        <w:pStyle w:val="a3"/>
        <w:widowControl/>
        <w:ind w:left="0"/>
      </w:pPr>
      <w:r>
        <w:t>Maďarsko</w:t>
      </w:r>
    </w:p>
    <w:p w14:paraId="03686367" w14:textId="77777777" w:rsidR="00222DE0" w:rsidRPr="009420EF" w:rsidRDefault="00222DE0" w:rsidP="009420EF">
      <w:pPr>
        <w:pStyle w:val="a3"/>
        <w:widowControl/>
        <w:ind w:left="0"/>
      </w:pPr>
    </w:p>
    <w:p w14:paraId="56BA1C5E" w14:textId="77777777" w:rsidR="00E96243" w:rsidRPr="009420EF" w:rsidRDefault="00E96243" w:rsidP="009420EF">
      <w:pPr>
        <w:pStyle w:val="a3"/>
        <w:widowControl/>
        <w:ind w:left="0"/>
      </w:pPr>
    </w:p>
    <w:p w14:paraId="3CDF1399" w14:textId="77777777" w:rsidR="00565083" w:rsidRPr="009420EF" w:rsidRDefault="00565083" w:rsidP="009420EF">
      <w:pPr>
        <w:pStyle w:val="BoxedHeading"/>
        <w:rPr>
          <w:bCs w:val="0"/>
        </w:rPr>
      </w:pPr>
      <w:r w:rsidRPr="009420EF">
        <w:rPr>
          <w:bCs w:val="0"/>
        </w:rPr>
        <w:t>12.</w:t>
      </w:r>
      <w:r w:rsidRPr="009420EF">
        <w:rPr>
          <w:bCs w:val="0"/>
        </w:rPr>
        <w:tab/>
        <w:t>REGISTRAČNÍ ČÍSLO/ČÍSLA</w:t>
      </w:r>
    </w:p>
    <w:p w14:paraId="54FF9911" w14:textId="77777777" w:rsidR="00222DE0" w:rsidRPr="009420EF" w:rsidRDefault="00222DE0" w:rsidP="009420EF">
      <w:pPr>
        <w:pStyle w:val="a3"/>
        <w:widowControl/>
        <w:ind w:left="0"/>
        <w:rPr>
          <w:bCs/>
        </w:rPr>
      </w:pPr>
    </w:p>
    <w:p w14:paraId="2BA4867B" w14:textId="092765FD" w:rsidR="00F85DE6" w:rsidRPr="009420EF" w:rsidRDefault="0098273B" w:rsidP="009420EF">
      <w:pPr>
        <w:pStyle w:val="a3"/>
        <w:widowControl/>
        <w:ind w:left="0"/>
        <w:rPr>
          <w:bCs/>
        </w:rPr>
      </w:pPr>
      <w:r w:rsidRPr="009420EF">
        <w:rPr>
          <w:bCs/>
        </w:rPr>
        <w:t>EU</w:t>
      </w:r>
      <w:r w:rsidR="000F498F" w:rsidRPr="00840707">
        <w:t>/</w:t>
      </w:r>
      <w:r w:rsidR="005C7BB5" w:rsidRPr="00DA3B0A">
        <w:t>1/24/1896/012</w:t>
      </w:r>
      <w:r w:rsidR="005C7BB5">
        <w:t xml:space="preserve"> 12 (3 x 4) předplněných per (vícenásobné balení)</w:t>
      </w:r>
    </w:p>
    <w:p w14:paraId="508A58D5" w14:textId="77777777" w:rsidR="00222DE0" w:rsidRPr="009420EF" w:rsidRDefault="00222DE0" w:rsidP="009420EF">
      <w:pPr>
        <w:pStyle w:val="a3"/>
        <w:widowControl/>
        <w:ind w:left="0"/>
        <w:rPr>
          <w:bCs/>
        </w:rPr>
      </w:pPr>
    </w:p>
    <w:p w14:paraId="667EB9EB" w14:textId="77777777" w:rsidR="00E96243" w:rsidRPr="009420EF" w:rsidRDefault="00E96243" w:rsidP="009420EF">
      <w:pPr>
        <w:pStyle w:val="a3"/>
        <w:widowControl/>
        <w:ind w:left="0"/>
        <w:rPr>
          <w:bCs/>
        </w:rPr>
      </w:pPr>
    </w:p>
    <w:p w14:paraId="26AF64B5" w14:textId="77777777" w:rsidR="00E96243" w:rsidRPr="009420EF" w:rsidRDefault="00E96243" w:rsidP="009420EF">
      <w:pPr>
        <w:pStyle w:val="BoxedHeading"/>
        <w:rPr>
          <w:bCs w:val="0"/>
        </w:rPr>
      </w:pPr>
      <w:r w:rsidRPr="009420EF">
        <w:rPr>
          <w:bCs w:val="0"/>
        </w:rPr>
        <w:t>13.</w:t>
      </w:r>
      <w:r w:rsidRPr="009420EF">
        <w:rPr>
          <w:bCs w:val="0"/>
        </w:rPr>
        <w:tab/>
        <w:t>ČÍSLO ŠARŽE</w:t>
      </w:r>
    </w:p>
    <w:p w14:paraId="31B742A8" w14:textId="77777777" w:rsidR="00222DE0" w:rsidRPr="009420EF" w:rsidRDefault="00222DE0" w:rsidP="009420EF">
      <w:pPr>
        <w:pStyle w:val="a3"/>
        <w:widowControl/>
        <w:ind w:left="0"/>
      </w:pPr>
    </w:p>
    <w:p w14:paraId="5E84E4C5" w14:textId="77777777" w:rsidR="00222DE0" w:rsidRPr="009420EF" w:rsidRDefault="0098273B" w:rsidP="009420EF">
      <w:pPr>
        <w:pStyle w:val="a3"/>
        <w:widowControl/>
        <w:ind w:left="0"/>
      </w:pPr>
      <w:r w:rsidRPr="009420EF">
        <w:t>č.š.:</w:t>
      </w:r>
    </w:p>
    <w:p w14:paraId="2B494D2F" w14:textId="77777777" w:rsidR="00222DE0" w:rsidRPr="009420EF" w:rsidRDefault="00222DE0" w:rsidP="009420EF">
      <w:pPr>
        <w:pStyle w:val="a3"/>
        <w:widowControl/>
        <w:ind w:left="0"/>
      </w:pPr>
    </w:p>
    <w:p w14:paraId="3622C1F7" w14:textId="77777777" w:rsidR="00B6634D" w:rsidRPr="009420EF" w:rsidRDefault="00B6634D" w:rsidP="009420EF">
      <w:pPr>
        <w:pStyle w:val="a3"/>
        <w:widowControl/>
        <w:ind w:left="0"/>
      </w:pPr>
    </w:p>
    <w:p w14:paraId="6E77FBEA" w14:textId="77777777" w:rsidR="00B6634D" w:rsidRPr="009420EF" w:rsidRDefault="00B6634D" w:rsidP="009420EF">
      <w:pPr>
        <w:pStyle w:val="BoxedHeading"/>
        <w:rPr>
          <w:bCs w:val="0"/>
        </w:rPr>
      </w:pPr>
      <w:r w:rsidRPr="009420EF">
        <w:rPr>
          <w:bCs w:val="0"/>
        </w:rPr>
        <w:t>14.</w:t>
      </w:r>
      <w:r w:rsidRPr="009420EF">
        <w:rPr>
          <w:bCs w:val="0"/>
        </w:rPr>
        <w:tab/>
        <w:t>KLASIFIKACE PRO VÝDEJ</w:t>
      </w:r>
    </w:p>
    <w:p w14:paraId="0C084263" w14:textId="77777777" w:rsidR="00222DE0" w:rsidRPr="009420EF" w:rsidRDefault="00222DE0" w:rsidP="009420EF">
      <w:pPr>
        <w:pStyle w:val="a3"/>
        <w:widowControl/>
        <w:ind w:left="0"/>
      </w:pPr>
    </w:p>
    <w:p w14:paraId="33E7858A" w14:textId="77777777" w:rsidR="002D7888" w:rsidRPr="009420EF" w:rsidRDefault="002D7888" w:rsidP="009420EF">
      <w:pPr>
        <w:pStyle w:val="a3"/>
        <w:widowControl/>
        <w:ind w:left="0"/>
      </w:pPr>
    </w:p>
    <w:p w14:paraId="53FAD41A" w14:textId="77777777" w:rsidR="002D7888" w:rsidRPr="009420EF" w:rsidRDefault="002D7888" w:rsidP="009420EF">
      <w:pPr>
        <w:pStyle w:val="BoxedHeading"/>
        <w:rPr>
          <w:bCs w:val="0"/>
        </w:rPr>
      </w:pPr>
      <w:r w:rsidRPr="009420EF">
        <w:rPr>
          <w:bCs w:val="0"/>
        </w:rPr>
        <w:t>15.</w:t>
      </w:r>
      <w:r w:rsidRPr="009420EF">
        <w:rPr>
          <w:bCs w:val="0"/>
        </w:rPr>
        <w:tab/>
        <w:t>NÁVOD K POUŽITÍ</w:t>
      </w:r>
    </w:p>
    <w:p w14:paraId="58A7C289" w14:textId="77777777" w:rsidR="00222DE0" w:rsidRPr="009420EF" w:rsidRDefault="00222DE0" w:rsidP="009420EF">
      <w:pPr>
        <w:pStyle w:val="a3"/>
        <w:widowControl/>
        <w:ind w:left="0"/>
      </w:pPr>
    </w:p>
    <w:p w14:paraId="36DEDA7C" w14:textId="77777777" w:rsidR="0023383C" w:rsidRPr="009420EF" w:rsidRDefault="0023383C" w:rsidP="009420EF">
      <w:pPr>
        <w:pStyle w:val="a3"/>
        <w:widowControl/>
        <w:ind w:left="0"/>
      </w:pPr>
    </w:p>
    <w:p w14:paraId="1E70A349" w14:textId="77777777" w:rsidR="0023383C" w:rsidRPr="009420EF" w:rsidRDefault="0023383C" w:rsidP="009420EF">
      <w:pPr>
        <w:pStyle w:val="BoxedHeading"/>
        <w:rPr>
          <w:bCs w:val="0"/>
        </w:rPr>
      </w:pPr>
      <w:r w:rsidRPr="009420EF">
        <w:rPr>
          <w:bCs w:val="0"/>
        </w:rPr>
        <w:t>16.</w:t>
      </w:r>
      <w:r w:rsidRPr="009420EF">
        <w:rPr>
          <w:bCs w:val="0"/>
        </w:rPr>
        <w:tab/>
        <w:t>INFORMACE V BRAILLOVĚ PÍSMU</w:t>
      </w:r>
    </w:p>
    <w:p w14:paraId="6234F1FF" w14:textId="77777777" w:rsidR="00222DE0" w:rsidRPr="009420EF" w:rsidRDefault="00222DE0" w:rsidP="009420EF">
      <w:pPr>
        <w:pStyle w:val="a3"/>
        <w:widowControl/>
        <w:ind w:left="0"/>
      </w:pPr>
    </w:p>
    <w:p w14:paraId="2434B29C" w14:textId="47805594" w:rsidR="00222DE0" w:rsidRPr="009420EF" w:rsidRDefault="000F498F" w:rsidP="009420EF">
      <w:pPr>
        <w:pStyle w:val="a3"/>
        <w:widowControl/>
        <w:ind w:left="0"/>
      </w:pPr>
      <w:r>
        <w:t>a</w:t>
      </w:r>
      <w:r w:rsidR="00266CA2">
        <w:t>vtozma</w:t>
      </w:r>
      <w:r w:rsidR="0098273B" w:rsidRPr="009420EF">
        <w:t xml:space="preserve"> 162 mg</w:t>
      </w:r>
    </w:p>
    <w:p w14:paraId="14B4BE86" w14:textId="77777777" w:rsidR="00222DE0" w:rsidRPr="009420EF" w:rsidRDefault="00222DE0" w:rsidP="009420EF">
      <w:pPr>
        <w:pStyle w:val="a3"/>
        <w:widowControl/>
        <w:ind w:left="0"/>
      </w:pPr>
    </w:p>
    <w:p w14:paraId="74FDE8D4" w14:textId="77777777" w:rsidR="0023383C" w:rsidRPr="009420EF" w:rsidRDefault="0023383C" w:rsidP="009420EF">
      <w:pPr>
        <w:pStyle w:val="a3"/>
        <w:widowControl/>
        <w:ind w:left="0"/>
      </w:pPr>
    </w:p>
    <w:p w14:paraId="4BD9F82A" w14:textId="77777777" w:rsidR="0023383C" w:rsidRPr="009420EF" w:rsidRDefault="0023383C" w:rsidP="009420EF">
      <w:pPr>
        <w:pStyle w:val="BoxedHeading"/>
        <w:rPr>
          <w:bCs w:val="0"/>
        </w:rPr>
      </w:pPr>
      <w:r w:rsidRPr="009420EF">
        <w:rPr>
          <w:bCs w:val="0"/>
        </w:rPr>
        <w:t>17.</w:t>
      </w:r>
      <w:r w:rsidRPr="009420EF">
        <w:rPr>
          <w:bCs w:val="0"/>
        </w:rPr>
        <w:tab/>
        <w:t>JEDINEČNÝ IDENTIFIKÁTOR – 2D ČÁROVÝ KÓD</w:t>
      </w:r>
    </w:p>
    <w:p w14:paraId="04123383" w14:textId="77777777" w:rsidR="00222DE0" w:rsidRPr="009420EF" w:rsidRDefault="00222DE0" w:rsidP="009420EF">
      <w:pPr>
        <w:pStyle w:val="a3"/>
        <w:widowControl/>
        <w:ind w:left="0"/>
      </w:pPr>
    </w:p>
    <w:p w14:paraId="494ECA4F" w14:textId="15EC1B07" w:rsidR="00222DE0" w:rsidRPr="00B93217" w:rsidRDefault="0098273B" w:rsidP="009420EF">
      <w:pPr>
        <w:rPr>
          <w:rFonts w:eastAsia="맑은 고딕"/>
          <w:lang w:eastAsia="ko-KR"/>
        </w:rPr>
      </w:pPr>
      <w:r>
        <w:rPr>
          <w:highlight w:val="lightGray"/>
        </w:rPr>
        <w:t>2D čárový kód s jedinečným identifikátorem.</w:t>
      </w:r>
    </w:p>
    <w:p w14:paraId="6EB4087F" w14:textId="77777777" w:rsidR="00222DE0" w:rsidRPr="009420EF" w:rsidRDefault="00222DE0" w:rsidP="009420EF">
      <w:pPr>
        <w:pStyle w:val="a3"/>
        <w:widowControl/>
        <w:ind w:left="0"/>
      </w:pPr>
    </w:p>
    <w:p w14:paraId="0BB6DB23" w14:textId="77777777" w:rsidR="00AF7D2C" w:rsidRPr="009420EF" w:rsidRDefault="00AF7D2C" w:rsidP="009420EF">
      <w:pPr>
        <w:pStyle w:val="a3"/>
        <w:widowControl/>
        <w:ind w:left="0"/>
      </w:pPr>
    </w:p>
    <w:p w14:paraId="01018FE1" w14:textId="77777777" w:rsidR="004C4B8E" w:rsidRPr="009420EF" w:rsidRDefault="004C4B8E" w:rsidP="009420EF">
      <w:pPr>
        <w:pStyle w:val="BoxedHeading"/>
        <w:rPr>
          <w:bCs w:val="0"/>
        </w:rPr>
      </w:pPr>
      <w:r w:rsidRPr="009420EF">
        <w:rPr>
          <w:bCs w:val="0"/>
        </w:rPr>
        <w:t>18.</w:t>
      </w:r>
      <w:r w:rsidRPr="009420EF">
        <w:rPr>
          <w:bCs w:val="0"/>
        </w:rPr>
        <w:tab/>
        <w:t>JEDINEČNÝ IDENTIFIKÁTOR – DATA ČITELNÁ OKEM</w:t>
      </w:r>
    </w:p>
    <w:p w14:paraId="33F96D20" w14:textId="77777777" w:rsidR="00AF7D2C" w:rsidRPr="009420EF" w:rsidRDefault="00AF7D2C" w:rsidP="009420EF">
      <w:pPr>
        <w:pStyle w:val="a3"/>
        <w:widowControl/>
        <w:ind w:left="0"/>
        <w:jc w:val="both"/>
      </w:pPr>
    </w:p>
    <w:p w14:paraId="34725A37" w14:textId="77777777" w:rsidR="00E70264" w:rsidRPr="009420EF" w:rsidRDefault="00E70264" w:rsidP="009420EF">
      <w:pPr>
        <w:pStyle w:val="a3"/>
        <w:widowControl/>
        <w:ind w:left="0"/>
        <w:jc w:val="both"/>
        <w:rPr>
          <w:color w:val="000000"/>
          <w:shd w:val="clear" w:color="auto" w:fill="C1C1C1"/>
        </w:rPr>
      </w:pPr>
    </w:p>
    <w:p w14:paraId="21FBB3F1" w14:textId="77777777" w:rsidR="00E70264" w:rsidRPr="009420EF" w:rsidRDefault="00E70264" w:rsidP="009420EF">
      <w:pPr>
        <w:pStyle w:val="a3"/>
        <w:widowControl/>
        <w:ind w:left="0"/>
        <w:jc w:val="both"/>
      </w:pPr>
    </w:p>
    <w:p w14:paraId="5032F4B9" w14:textId="77777777" w:rsidR="00AF7D2C" w:rsidRPr="009420EF" w:rsidRDefault="00AF7D2C" w:rsidP="009420EF">
      <w:pPr>
        <w:widowControl/>
        <w:jc w:val="both"/>
      </w:pPr>
      <w:r w:rsidRPr="009420EF">
        <w:br w:type="page"/>
      </w:r>
    </w:p>
    <w:p w14:paraId="4DE344AF" w14:textId="77777777" w:rsidR="003A068B" w:rsidRPr="009420EF" w:rsidRDefault="003A068B"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MINIMÁLNÍ ÚDAJE UVÁDĚNÉ NA MALÉM VNITŘNÍM OBALU</w:t>
      </w:r>
    </w:p>
    <w:p w14:paraId="22CEC17F" w14:textId="77777777" w:rsidR="003A068B" w:rsidRPr="009420EF" w:rsidRDefault="003A068B" w:rsidP="009420EF">
      <w:pPr>
        <w:widowControl/>
        <w:pBdr>
          <w:top w:val="single" w:sz="4" w:space="1" w:color="auto"/>
          <w:left w:val="single" w:sz="4" w:space="4" w:color="auto"/>
          <w:bottom w:val="single" w:sz="4" w:space="1" w:color="auto"/>
          <w:right w:val="single" w:sz="4" w:space="4" w:color="auto"/>
        </w:pBdr>
        <w:rPr>
          <w:b/>
          <w:bCs/>
        </w:rPr>
      </w:pPr>
    </w:p>
    <w:p w14:paraId="70E1E965" w14:textId="77777777" w:rsidR="003A068B" w:rsidRPr="009420EF" w:rsidRDefault="003A068B" w:rsidP="009420EF">
      <w:pPr>
        <w:widowControl/>
        <w:pBdr>
          <w:top w:val="single" w:sz="4" w:space="1" w:color="auto"/>
          <w:left w:val="single" w:sz="4" w:space="4" w:color="auto"/>
          <w:bottom w:val="single" w:sz="4" w:space="1" w:color="auto"/>
          <w:right w:val="single" w:sz="4" w:space="4" w:color="auto"/>
        </w:pBdr>
        <w:rPr>
          <w:b/>
          <w:bCs/>
        </w:rPr>
      </w:pPr>
      <w:r w:rsidRPr="009420EF">
        <w:rPr>
          <w:b/>
        </w:rPr>
        <w:t>INJEKČNÍ LAHVIČKA</w:t>
      </w:r>
    </w:p>
    <w:p w14:paraId="25C3B3BD" w14:textId="77777777" w:rsidR="00AF7D2C" w:rsidRPr="009420EF" w:rsidRDefault="00AF7D2C" w:rsidP="009420EF">
      <w:pPr>
        <w:widowControl/>
        <w:jc w:val="both"/>
      </w:pPr>
    </w:p>
    <w:p w14:paraId="5FD330CD" w14:textId="77777777" w:rsidR="003A068B" w:rsidRPr="009420EF" w:rsidRDefault="003A068B" w:rsidP="009420EF">
      <w:pPr>
        <w:widowControl/>
        <w:jc w:val="both"/>
      </w:pPr>
    </w:p>
    <w:p w14:paraId="44040BD4" w14:textId="77777777" w:rsidR="003A068B" w:rsidRPr="009420EF" w:rsidRDefault="003A068B" w:rsidP="009420EF">
      <w:pPr>
        <w:pStyle w:val="BoxedHeading"/>
        <w:rPr>
          <w:bCs w:val="0"/>
        </w:rPr>
      </w:pPr>
      <w:r w:rsidRPr="009420EF">
        <w:rPr>
          <w:bCs w:val="0"/>
        </w:rPr>
        <w:t>1.</w:t>
      </w:r>
      <w:r w:rsidRPr="009420EF">
        <w:rPr>
          <w:bCs w:val="0"/>
        </w:rPr>
        <w:tab/>
        <w:t>NÁZEV LÉČIVÉHO PŘÍPRAVKU A CESTA/CESTY PODÁNÍ</w:t>
      </w:r>
    </w:p>
    <w:p w14:paraId="6A46984F" w14:textId="77777777" w:rsidR="00222DE0" w:rsidRPr="009420EF" w:rsidRDefault="00222DE0" w:rsidP="009420EF">
      <w:pPr>
        <w:pStyle w:val="a3"/>
        <w:widowControl/>
        <w:ind w:left="0"/>
      </w:pPr>
    </w:p>
    <w:p w14:paraId="2B29C09A" w14:textId="77777777" w:rsidR="00AA1554" w:rsidRDefault="00266CA2" w:rsidP="009420EF">
      <w:pPr>
        <w:pStyle w:val="a3"/>
        <w:widowControl/>
        <w:ind w:left="0"/>
      </w:pPr>
      <w:r>
        <w:t>Avtozma</w:t>
      </w:r>
      <w:r w:rsidR="0098273B" w:rsidRPr="009420EF">
        <w:t xml:space="preserve"> 20 mg/ml sterilní koncentrát </w:t>
      </w:r>
    </w:p>
    <w:p w14:paraId="314DF5CD" w14:textId="1DD586A1" w:rsidR="00222DE0" w:rsidRPr="009420EF" w:rsidRDefault="0098273B" w:rsidP="009420EF">
      <w:pPr>
        <w:pStyle w:val="a3"/>
        <w:widowControl/>
        <w:ind w:left="0"/>
      </w:pPr>
      <w:r w:rsidRPr="009420EF">
        <w:t>tocilizumab</w:t>
      </w:r>
    </w:p>
    <w:p w14:paraId="16DB90EB" w14:textId="77777777" w:rsidR="00222DE0" w:rsidRPr="009420EF" w:rsidRDefault="0098273B" w:rsidP="009420EF">
      <w:pPr>
        <w:pStyle w:val="a3"/>
        <w:widowControl/>
        <w:ind w:left="0"/>
      </w:pPr>
      <w:r w:rsidRPr="009420EF">
        <w:t>i.v.</w:t>
      </w:r>
    </w:p>
    <w:p w14:paraId="005339E1" w14:textId="77777777" w:rsidR="00222DE0" w:rsidRPr="009420EF" w:rsidRDefault="00222DE0" w:rsidP="009420EF">
      <w:pPr>
        <w:pStyle w:val="a3"/>
        <w:widowControl/>
        <w:ind w:left="0"/>
      </w:pPr>
    </w:p>
    <w:p w14:paraId="13E00A30" w14:textId="77777777" w:rsidR="00E70264" w:rsidRPr="009420EF" w:rsidRDefault="00E70264" w:rsidP="009420EF">
      <w:pPr>
        <w:pStyle w:val="a3"/>
        <w:widowControl/>
        <w:ind w:left="0"/>
      </w:pPr>
    </w:p>
    <w:p w14:paraId="14F395AE" w14:textId="77777777" w:rsidR="003A068B" w:rsidRPr="009420EF" w:rsidRDefault="003A068B" w:rsidP="009420EF">
      <w:pPr>
        <w:pStyle w:val="BoxedHeading"/>
        <w:rPr>
          <w:bCs w:val="0"/>
        </w:rPr>
      </w:pPr>
      <w:r w:rsidRPr="009420EF">
        <w:rPr>
          <w:bCs w:val="0"/>
        </w:rPr>
        <w:t>2.</w:t>
      </w:r>
      <w:r w:rsidRPr="009420EF">
        <w:rPr>
          <w:bCs w:val="0"/>
        </w:rPr>
        <w:tab/>
        <w:t>ZPŮSOB PODÁNÍ</w:t>
      </w:r>
    </w:p>
    <w:p w14:paraId="5FC1E591" w14:textId="77777777" w:rsidR="00222DE0" w:rsidRPr="009420EF" w:rsidRDefault="00222DE0" w:rsidP="009420EF">
      <w:pPr>
        <w:pStyle w:val="a3"/>
        <w:widowControl/>
        <w:ind w:left="0"/>
      </w:pPr>
    </w:p>
    <w:p w14:paraId="2C90E844" w14:textId="64B5754F" w:rsidR="00222DE0" w:rsidRPr="009420EF" w:rsidRDefault="0098273B" w:rsidP="009420EF">
      <w:pPr>
        <w:pStyle w:val="a3"/>
        <w:widowControl/>
        <w:ind w:left="0"/>
      </w:pPr>
      <w:r w:rsidRPr="009420EF">
        <w:t xml:space="preserve">i.v. </w:t>
      </w:r>
      <w:r w:rsidR="000F498F">
        <w:t>podání</w:t>
      </w:r>
    </w:p>
    <w:p w14:paraId="4E2B36AB" w14:textId="77777777" w:rsidR="00222DE0" w:rsidRPr="009420EF" w:rsidRDefault="00222DE0" w:rsidP="009420EF">
      <w:pPr>
        <w:pStyle w:val="a3"/>
        <w:widowControl/>
        <w:ind w:left="0"/>
      </w:pPr>
    </w:p>
    <w:p w14:paraId="6ADD2046" w14:textId="77777777" w:rsidR="00415E87" w:rsidRPr="009420EF" w:rsidRDefault="00415E87" w:rsidP="009420EF">
      <w:pPr>
        <w:pStyle w:val="a3"/>
        <w:widowControl/>
        <w:ind w:left="0"/>
      </w:pPr>
    </w:p>
    <w:p w14:paraId="402C1BAF" w14:textId="77777777" w:rsidR="00415E87" w:rsidRPr="009420EF" w:rsidRDefault="00415E87" w:rsidP="009420EF">
      <w:pPr>
        <w:pStyle w:val="BoxedHeading"/>
        <w:rPr>
          <w:bCs w:val="0"/>
        </w:rPr>
      </w:pPr>
      <w:r w:rsidRPr="009420EF">
        <w:rPr>
          <w:bCs w:val="0"/>
        </w:rPr>
        <w:t>3.</w:t>
      </w:r>
      <w:r w:rsidRPr="009420EF">
        <w:rPr>
          <w:bCs w:val="0"/>
        </w:rPr>
        <w:tab/>
        <w:t>POUŽITELNOST</w:t>
      </w:r>
    </w:p>
    <w:p w14:paraId="772EE4F5" w14:textId="77777777" w:rsidR="00222DE0" w:rsidRPr="009420EF" w:rsidRDefault="00222DE0" w:rsidP="009420EF">
      <w:pPr>
        <w:pStyle w:val="a3"/>
        <w:widowControl/>
        <w:ind w:left="0"/>
      </w:pPr>
    </w:p>
    <w:p w14:paraId="5D1289C8" w14:textId="77777777" w:rsidR="00222DE0" w:rsidRPr="009420EF" w:rsidRDefault="0098273B" w:rsidP="009420EF">
      <w:pPr>
        <w:pStyle w:val="a3"/>
        <w:widowControl/>
        <w:ind w:left="0"/>
      </w:pPr>
      <w:r w:rsidRPr="009420EF">
        <w:t>EXP</w:t>
      </w:r>
    </w:p>
    <w:p w14:paraId="2B3CA462" w14:textId="77777777" w:rsidR="00222DE0" w:rsidRPr="009420EF" w:rsidRDefault="00222DE0" w:rsidP="009420EF">
      <w:pPr>
        <w:pStyle w:val="a3"/>
        <w:widowControl/>
        <w:ind w:left="0"/>
      </w:pPr>
    </w:p>
    <w:p w14:paraId="507B1E90" w14:textId="77777777" w:rsidR="00415E87" w:rsidRPr="009420EF" w:rsidRDefault="00415E87" w:rsidP="009420EF">
      <w:pPr>
        <w:pStyle w:val="a3"/>
        <w:widowControl/>
        <w:ind w:left="0"/>
      </w:pPr>
    </w:p>
    <w:p w14:paraId="1E5067C9" w14:textId="77777777" w:rsidR="00415E87" w:rsidRPr="009420EF" w:rsidRDefault="00415E87" w:rsidP="009420EF">
      <w:pPr>
        <w:pStyle w:val="BoxedHeading"/>
        <w:rPr>
          <w:bCs w:val="0"/>
        </w:rPr>
      </w:pPr>
      <w:r w:rsidRPr="009420EF">
        <w:rPr>
          <w:bCs w:val="0"/>
        </w:rPr>
        <w:t>4.</w:t>
      </w:r>
      <w:r w:rsidRPr="009420EF">
        <w:rPr>
          <w:bCs w:val="0"/>
        </w:rPr>
        <w:tab/>
        <w:t>ČÍSLO ŠARŽE</w:t>
      </w:r>
    </w:p>
    <w:p w14:paraId="0DAA4BF6" w14:textId="77777777" w:rsidR="00222DE0" w:rsidRPr="009420EF" w:rsidRDefault="00222DE0" w:rsidP="009420EF">
      <w:pPr>
        <w:pStyle w:val="a3"/>
        <w:widowControl/>
        <w:ind w:left="0"/>
      </w:pPr>
    </w:p>
    <w:p w14:paraId="5930C9D9" w14:textId="77777777" w:rsidR="00222DE0" w:rsidRPr="009420EF" w:rsidRDefault="0098273B" w:rsidP="009420EF">
      <w:pPr>
        <w:pStyle w:val="a3"/>
        <w:widowControl/>
        <w:ind w:left="0"/>
      </w:pPr>
      <w:r w:rsidRPr="009420EF">
        <w:t>Lot</w:t>
      </w:r>
    </w:p>
    <w:p w14:paraId="3FBC6D7D" w14:textId="77777777" w:rsidR="00222DE0" w:rsidRPr="009420EF" w:rsidRDefault="00222DE0" w:rsidP="009420EF">
      <w:pPr>
        <w:pStyle w:val="a3"/>
        <w:widowControl/>
        <w:ind w:left="0"/>
      </w:pPr>
    </w:p>
    <w:p w14:paraId="3AC11E37" w14:textId="77777777" w:rsidR="00415E87" w:rsidRPr="009420EF" w:rsidRDefault="00415E87" w:rsidP="009420EF">
      <w:pPr>
        <w:pStyle w:val="a3"/>
        <w:widowControl/>
        <w:ind w:left="0"/>
      </w:pPr>
    </w:p>
    <w:p w14:paraId="1DB0FA9A" w14:textId="77777777" w:rsidR="00415E87" w:rsidRPr="009420EF" w:rsidRDefault="00415E87" w:rsidP="009420EF">
      <w:pPr>
        <w:pStyle w:val="BoxedHeading"/>
        <w:rPr>
          <w:bCs w:val="0"/>
        </w:rPr>
      </w:pPr>
      <w:r w:rsidRPr="009420EF">
        <w:rPr>
          <w:bCs w:val="0"/>
        </w:rPr>
        <w:t>5.</w:t>
      </w:r>
      <w:r w:rsidRPr="009420EF">
        <w:rPr>
          <w:bCs w:val="0"/>
        </w:rPr>
        <w:tab/>
        <w:t>OBSAH UDANÝ JAKO HMOTNOST, OBJEM NEBO POČET</w:t>
      </w:r>
    </w:p>
    <w:p w14:paraId="298A9886" w14:textId="77777777" w:rsidR="00222DE0" w:rsidRPr="009420EF" w:rsidRDefault="00222DE0" w:rsidP="009420EF">
      <w:pPr>
        <w:pStyle w:val="a3"/>
        <w:widowControl/>
        <w:ind w:left="0"/>
      </w:pPr>
    </w:p>
    <w:p w14:paraId="450A1775" w14:textId="77777777" w:rsidR="00222DE0" w:rsidRPr="009420EF" w:rsidRDefault="0098273B" w:rsidP="009420EF">
      <w:pPr>
        <w:pStyle w:val="a3"/>
        <w:widowControl/>
        <w:ind w:left="0"/>
      </w:pPr>
      <w:r w:rsidRPr="009420EF">
        <w:t>80 mg/4 ml</w:t>
      </w:r>
    </w:p>
    <w:p w14:paraId="2F32C7FC" w14:textId="77777777" w:rsidR="00222DE0" w:rsidRPr="009420EF" w:rsidRDefault="00222DE0" w:rsidP="009420EF">
      <w:pPr>
        <w:pStyle w:val="a3"/>
        <w:widowControl/>
        <w:ind w:left="0"/>
      </w:pPr>
    </w:p>
    <w:p w14:paraId="4A2ED847" w14:textId="77777777" w:rsidR="002D6813" w:rsidRPr="009420EF" w:rsidRDefault="002D6813" w:rsidP="009420EF">
      <w:pPr>
        <w:pStyle w:val="a3"/>
        <w:widowControl/>
        <w:ind w:left="0"/>
      </w:pPr>
    </w:p>
    <w:p w14:paraId="022BEB72" w14:textId="77777777" w:rsidR="00756907" w:rsidRPr="009420EF" w:rsidRDefault="00756907" w:rsidP="009420EF">
      <w:pPr>
        <w:pStyle w:val="BoxedHeading"/>
        <w:rPr>
          <w:bCs w:val="0"/>
        </w:rPr>
      </w:pPr>
      <w:r w:rsidRPr="009420EF">
        <w:rPr>
          <w:bCs w:val="0"/>
        </w:rPr>
        <w:t>6.</w:t>
      </w:r>
      <w:r w:rsidRPr="009420EF">
        <w:rPr>
          <w:bCs w:val="0"/>
        </w:rPr>
        <w:tab/>
        <w:t>JINÉ</w:t>
      </w:r>
    </w:p>
    <w:p w14:paraId="69F42B1C" w14:textId="77777777" w:rsidR="00222DE0" w:rsidRPr="009420EF" w:rsidRDefault="00222DE0" w:rsidP="009420EF">
      <w:pPr>
        <w:pStyle w:val="a3"/>
        <w:widowControl/>
        <w:ind w:left="0"/>
      </w:pPr>
    </w:p>
    <w:p w14:paraId="5726C1F1" w14:textId="77777777" w:rsidR="00222DE0" w:rsidRPr="009420EF" w:rsidRDefault="00222DE0" w:rsidP="009420EF">
      <w:pPr>
        <w:widowControl/>
      </w:pPr>
    </w:p>
    <w:p w14:paraId="04EB1332" w14:textId="77777777" w:rsidR="00FA4ECB" w:rsidRPr="009420EF" w:rsidRDefault="00FA4ECB" w:rsidP="009420EF">
      <w:pPr>
        <w:widowControl/>
      </w:pPr>
      <w:r w:rsidRPr="009420EF">
        <w:br w:type="page"/>
      </w:r>
    </w:p>
    <w:p w14:paraId="494C1412" w14:textId="77777777" w:rsidR="00CA2A5F" w:rsidRPr="009420EF" w:rsidRDefault="00CA2A5F"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MINIMÁLNÍ ÚDAJE UVÁDĚNÉ NA MALÉM VNITŘNÍM OBALU</w:t>
      </w:r>
    </w:p>
    <w:p w14:paraId="06AAC525" w14:textId="77777777" w:rsidR="00CA2A5F" w:rsidRPr="009420EF" w:rsidRDefault="00CA2A5F" w:rsidP="009420EF">
      <w:pPr>
        <w:widowControl/>
        <w:pBdr>
          <w:top w:val="single" w:sz="4" w:space="1" w:color="auto"/>
          <w:left w:val="single" w:sz="4" w:space="4" w:color="auto"/>
          <w:bottom w:val="single" w:sz="4" w:space="1" w:color="auto"/>
          <w:right w:val="single" w:sz="4" w:space="4" w:color="auto"/>
        </w:pBdr>
        <w:rPr>
          <w:b/>
          <w:bCs/>
        </w:rPr>
      </w:pPr>
    </w:p>
    <w:p w14:paraId="6059BE4F" w14:textId="77777777" w:rsidR="00CA2A5F" w:rsidRPr="009420EF" w:rsidRDefault="00CA2A5F" w:rsidP="009420EF">
      <w:pPr>
        <w:widowControl/>
        <w:pBdr>
          <w:top w:val="single" w:sz="4" w:space="1" w:color="auto"/>
          <w:left w:val="single" w:sz="4" w:space="4" w:color="auto"/>
          <w:bottom w:val="single" w:sz="4" w:space="1" w:color="auto"/>
          <w:right w:val="single" w:sz="4" w:space="4" w:color="auto"/>
        </w:pBdr>
        <w:rPr>
          <w:b/>
          <w:bCs/>
        </w:rPr>
      </w:pPr>
      <w:r w:rsidRPr="009420EF">
        <w:rPr>
          <w:b/>
        </w:rPr>
        <w:t>INJEKČNÍ LAHVIČKA</w:t>
      </w:r>
    </w:p>
    <w:p w14:paraId="6DE6BA6F" w14:textId="77777777" w:rsidR="00756907" w:rsidRPr="009420EF" w:rsidRDefault="00756907" w:rsidP="009420EF">
      <w:pPr>
        <w:widowControl/>
      </w:pPr>
    </w:p>
    <w:p w14:paraId="478B1714" w14:textId="77777777" w:rsidR="00222DE0" w:rsidRPr="009420EF" w:rsidRDefault="00222DE0" w:rsidP="009420EF">
      <w:pPr>
        <w:pStyle w:val="a3"/>
        <w:widowControl/>
        <w:ind w:left="0"/>
      </w:pPr>
    </w:p>
    <w:p w14:paraId="3E0143B1" w14:textId="77777777" w:rsidR="00CA2A5F" w:rsidRPr="009420EF" w:rsidRDefault="00CA2A5F" w:rsidP="009420EF">
      <w:pPr>
        <w:pStyle w:val="BoxedHeading"/>
        <w:rPr>
          <w:bCs w:val="0"/>
        </w:rPr>
      </w:pPr>
      <w:r w:rsidRPr="009420EF">
        <w:rPr>
          <w:bCs w:val="0"/>
        </w:rPr>
        <w:t>1.</w:t>
      </w:r>
      <w:r w:rsidRPr="009420EF">
        <w:rPr>
          <w:bCs w:val="0"/>
        </w:rPr>
        <w:tab/>
        <w:t>NÁZEV LÉČIVÉHO PŘÍPRAVKU A CESTA/CESTY PODÁNÍ</w:t>
      </w:r>
    </w:p>
    <w:p w14:paraId="518EA694" w14:textId="77777777" w:rsidR="00222DE0" w:rsidRPr="009420EF" w:rsidRDefault="00222DE0" w:rsidP="009420EF">
      <w:pPr>
        <w:pStyle w:val="a3"/>
        <w:widowControl/>
        <w:ind w:left="0"/>
      </w:pPr>
    </w:p>
    <w:p w14:paraId="3F1039E6" w14:textId="77777777" w:rsidR="00AA1554" w:rsidRDefault="00266CA2" w:rsidP="009420EF">
      <w:pPr>
        <w:pStyle w:val="a3"/>
        <w:widowControl/>
        <w:ind w:left="0"/>
      </w:pPr>
      <w:r>
        <w:t>Avtozma</w:t>
      </w:r>
      <w:r w:rsidR="0098273B" w:rsidRPr="009420EF">
        <w:t xml:space="preserve"> 20 mg/ml sterilní koncentrát </w:t>
      </w:r>
    </w:p>
    <w:p w14:paraId="68996E54" w14:textId="239A92FA" w:rsidR="00222DE0" w:rsidRPr="009420EF" w:rsidRDefault="0098273B" w:rsidP="009420EF">
      <w:pPr>
        <w:pStyle w:val="a3"/>
        <w:widowControl/>
        <w:ind w:left="0"/>
      </w:pPr>
      <w:r w:rsidRPr="009420EF">
        <w:t>tocilizumab</w:t>
      </w:r>
    </w:p>
    <w:p w14:paraId="612A824D" w14:textId="77777777" w:rsidR="00222DE0" w:rsidRPr="009420EF" w:rsidRDefault="0098273B" w:rsidP="009420EF">
      <w:pPr>
        <w:pStyle w:val="a3"/>
        <w:widowControl/>
        <w:ind w:left="0"/>
      </w:pPr>
      <w:r w:rsidRPr="009420EF">
        <w:t>i.v.</w:t>
      </w:r>
    </w:p>
    <w:p w14:paraId="36D5B27E" w14:textId="77777777" w:rsidR="00222DE0" w:rsidRPr="009420EF" w:rsidRDefault="00222DE0" w:rsidP="009420EF">
      <w:pPr>
        <w:pStyle w:val="a3"/>
        <w:widowControl/>
        <w:ind w:left="0"/>
      </w:pPr>
    </w:p>
    <w:p w14:paraId="3F2D628A" w14:textId="77777777" w:rsidR="001C4431" w:rsidRPr="009420EF" w:rsidRDefault="001C4431" w:rsidP="009420EF">
      <w:pPr>
        <w:pStyle w:val="a3"/>
        <w:widowControl/>
        <w:ind w:left="0"/>
      </w:pPr>
    </w:p>
    <w:p w14:paraId="4B2A2F02" w14:textId="77777777" w:rsidR="001C4431" w:rsidRPr="009420EF" w:rsidRDefault="001C4431" w:rsidP="009420EF">
      <w:pPr>
        <w:pStyle w:val="BoxedHeading"/>
        <w:rPr>
          <w:bCs w:val="0"/>
        </w:rPr>
      </w:pPr>
      <w:r w:rsidRPr="009420EF">
        <w:rPr>
          <w:bCs w:val="0"/>
        </w:rPr>
        <w:t>2.</w:t>
      </w:r>
      <w:r w:rsidRPr="009420EF">
        <w:rPr>
          <w:bCs w:val="0"/>
        </w:rPr>
        <w:tab/>
        <w:t>ZPŮSOB PODÁNÍ</w:t>
      </w:r>
    </w:p>
    <w:p w14:paraId="2C5A48A1" w14:textId="77777777" w:rsidR="00222DE0" w:rsidRPr="009420EF" w:rsidRDefault="00222DE0" w:rsidP="009420EF">
      <w:pPr>
        <w:pStyle w:val="a3"/>
        <w:widowControl/>
        <w:ind w:left="0"/>
      </w:pPr>
    </w:p>
    <w:p w14:paraId="1EA1075B" w14:textId="75F8BFED" w:rsidR="00222DE0" w:rsidRPr="009420EF" w:rsidRDefault="0098273B" w:rsidP="009420EF">
      <w:pPr>
        <w:pStyle w:val="a3"/>
        <w:widowControl/>
        <w:ind w:left="0"/>
      </w:pPr>
      <w:r w:rsidRPr="009420EF">
        <w:t xml:space="preserve">i.v. </w:t>
      </w:r>
      <w:r w:rsidR="000F498F">
        <w:t>podání</w:t>
      </w:r>
    </w:p>
    <w:p w14:paraId="22A3F0BF" w14:textId="77777777" w:rsidR="00222DE0" w:rsidRPr="009420EF" w:rsidRDefault="00222DE0" w:rsidP="009420EF">
      <w:pPr>
        <w:pStyle w:val="a3"/>
        <w:widowControl/>
        <w:ind w:left="0"/>
      </w:pPr>
    </w:p>
    <w:p w14:paraId="06579C31" w14:textId="77777777" w:rsidR="00306DA5" w:rsidRPr="009420EF" w:rsidRDefault="00306DA5" w:rsidP="009420EF">
      <w:pPr>
        <w:pStyle w:val="a3"/>
        <w:widowControl/>
        <w:ind w:left="0"/>
      </w:pPr>
    </w:p>
    <w:p w14:paraId="6A0FBE3E" w14:textId="77777777" w:rsidR="00306DA5" w:rsidRPr="009420EF" w:rsidRDefault="00306DA5" w:rsidP="009420EF">
      <w:pPr>
        <w:pStyle w:val="BoxedHeading"/>
        <w:rPr>
          <w:bCs w:val="0"/>
        </w:rPr>
      </w:pPr>
      <w:r w:rsidRPr="009420EF">
        <w:rPr>
          <w:bCs w:val="0"/>
        </w:rPr>
        <w:t>3.</w:t>
      </w:r>
      <w:r w:rsidRPr="009420EF">
        <w:rPr>
          <w:bCs w:val="0"/>
        </w:rPr>
        <w:tab/>
        <w:t>POUŽITELNOST</w:t>
      </w:r>
    </w:p>
    <w:p w14:paraId="7902446F" w14:textId="77777777" w:rsidR="00222DE0" w:rsidRPr="009420EF" w:rsidRDefault="00222DE0" w:rsidP="009420EF">
      <w:pPr>
        <w:pStyle w:val="a3"/>
        <w:widowControl/>
        <w:ind w:left="0"/>
      </w:pPr>
    </w:p>
    <w:p w14:paraId="67085673" w14:textId="77777777" w:rsidR="00222DE0" w:rsidRPr="009420EF" w:rsidRDefault="0098273B" w:rsidP="009420EF">
      <w:pPr>
        <w:pStyle w:val="a3"/>
        <w:widowControl/>
        <w:ind w:left="0"/>
      </w:pPr>
      <w:r w:rsidRPr="009420EF">
        <w:t>EXP</w:t>
      </w:r>
    </w:p>
    <w:p w14:paraId="45E96AFE" w14:textId="77777777" w:rsidR="00222DE0" w:rsidRPr="009420EF" w:rsidRDefault="00222DE0" w:rsidP="009420EF">
      <w:pPr>
        <w:pStyle w:val="a3"/>
        <w:widowControl/>
        <w:ind w:left="0"/>
      </w:pPr>
    </w:p>
    <w:p w14:paraId="26BA7DB9" w14:textId="77777777" w:rsidR="004C225B" w:rsidRPr="009420EF" w:rsidRDefault="004C225B" w:rsidP="009420EF">
      <w:pPr>
        <w:pStyle w:val="a3"/>
        <w:widowControl/>
        <w:ind w:left="0"/>
      </w:pPr>
    </w:p>
    <w:p w14:paraId="5B75E7D0" w14:textId="77777777" w:rsidR="00306DA5" w:rsidRPr="009420EF" w:rsidRDefault="00306DA5" w:rsidP="009420EF">
      <w:pPr>
        <w:pStyle w:val="BoxedHeading"/>
        <w:rPr>
          <w:bCs w:val="0"/>
        </w:rPr>
      </w:pPr>
      <w:r w:rsidRPr="009420EF">
        <w:rPr>
          <w:bCs w:val="0"/>
        </w:rPr>
        <w:t>4.</w:t>
      </w:r>
      <w:r w:rsidRPr="009420EF">
        <w:rPr>
          <w:bCs w:val="0"/>
        </w:rPr>
        <w:tab/>
        <w:t>ČÍSLO ŠARŽE</w:t>
      </w:r>
    </w:p>
    <w:p w14:paraId="554B0CF3" w14:textId="77777777" w:rsidR="00222DE0" w:rsidRPr="009420EF" w:rsidRDefault="00222DE0" w:rsidP="009420EF">
      <w:pPr>
        <w:pStyle w:val="a3"/>
        <w:widowControl/>
        <w:ind w:left="0"/>
      </w:pPr>
    </w:p>
    <w:p w14:paraId="3B3C9FD1" w14:textId="77777777" w:rsidR="00222DE0" w:rsidRPr="009420EF" w:rsidRDefault="0098273B" w:rsidP="009420EF">
      <w:pPr>
        <w:pStyle w:val="a3"/>
        <w:widowControl/>
        <w:ind w:left="0"/>
      </w:pPr>
      <w:r w:rsidRPr="009420EF">
        <w:t>Lot</w:t>
      </w:r>
    </w:p>
    <w:p w14:paraId="1FCBF117" w14:textId="77777777" w:rsidR="00222DE0" w:rsidRPr="009420EF" w:rsidRDefault="00222DE0" w:rsidP="009420EF">
      <w:pPr>
        <w:pStyle w:val="a3"/>
        <w:widowControl/>
        <w:ind w:left="0"/>
      </w:pPr>
    </w:p>
    <w:p w14:paraId="6DECC2DD" w14:textId="77777777" w:rsidR="005800DA" w:rsidRPr="009420EF" w:rsidRDefault="005800DA" w:rsidP="009420EF">
      <w:pPr>
        <w:pStyle w:val="a3"/>
        <w:widowControl/>
        <w:ind w:left="0"/>
      </w:pPr>
    </w:p>
    <w:p w14:paraId="2EFC8B60" w14:textId="77777777" w:rsidR="005800DA" w:rsidRPr="009420EF" w:rsidRDefault="005800DA" w:rsidP="009420EF">
      <w:pPr>
        <w:pStyle w:val="BoxedHeading"/>
        <w:rPr>
          <w:bCs w:val="0"/>
        </w:rPr>
      </w:pPr>
      <w:r w:rsidRPr="009420EF">
        <w:rPr>
          <w:bCs w:val="0"/>
        </w:rPr>
        <w:t>5.</w:t>
      </w:r>
      <w:r w:rsidRPr="009420EF">
        <w:rPr>
          <w:bCs w:val="0"/>
        </w:rPr>
        <w:tab/>
        <w:t>OBSAH UDANÝ JAKO HMOTNOST, OBJEM NEBO POČET</w:t>
      </w:r>
    </w:p>
    <w:p w14:paraId="297BBBB7" w14:textId="77777777" w:rsidR="00222DE0" w:rsidRPr="009420EF" w:rsidRDefault="00222DE0" w:rsidP="009420EF">
      <w:pPr>
        <w:pStyle w:val="a3"/>
        <w:widowControl/>
        <w:ind w:left="0"/>
      </w:pPr>
    </w:p>
    <w:p w14:paraId="0ADD2D28" w14:textId="77777777" w:rsidR="00222DE0" w:rsidRPr="009420EF" w:rsidRDefault="0098273B" w:rsidP="009420EF">
      <w:pPr>
        <w:pStyle w:val="a3"/>
        <w:widowControl/>
        <w:ind w:left="0"/>
      </w:pPr>
      <w:r w:rsidRPr="009420EF">
        <w:t>200 mg/10 ml</w:t>
      </w:r>
    </w:p>
    <w:p w14:paraId="621A0A8E" w14:textId="77777777" w:rsidR="00222DE0" w:rsidRPr="009420EF" w:rsidRDefault="00222DE0" w:rsidP="009420EF">
      <w:pPr>
        <w:pStyle w:val="a3"/>
        <w:widowControl/>
        <w:ind w:left="0"/>
      </w:pPr>
    </w:p>
    <w:p w14:paraId="1C13DE2D" w14:textId="77777777" w:rsidR="00D407DE" w:rsidRPr="009420EF" w:rsidRDefault="00D407DE" w:rsidP="009420EF">
      <w:pPr>
        <w:pStyle w:val="a3"/>
        <w:widowControl/>
        <w:ind w:left="0"/>
      </w:pPr>
    </w:p>
    <w:p w14:paraId="413F301A" w14:textId="77777777" w:rsidR="00D407DE" w:rsidRPr="009420EF" w:rsidRDefault="00D407DE" w:rsidP="009420EF">
      <w:pPr>
        <w:pStyle w:val="BoxedHeading"/>
        <w:rPr>
          <w:bCs w:val="0"/>
        </w:rPr>
      </w:pPr>
      <w:r w:rsidRPr="009420EF">
        <w:rPr>
          <w:bCs w:val="0"/>
        </w:rPr>
        <w:t>6.</w:t>
      </w:r>
      <w:r w:rsidRPr="009420EF">
        <w:rPr>
          <w:bCs w:val="0"/>
        </w:rPr>
        <w:tab/>
        <w:t>JINÉ</w:t>
      </w:r>
    </w:p>
    <w:p w14:paraId="3025216D" w14:textId="77777777" w:rsidR="00344DCD" w:rsidRPr="009420EF" w:rsidRDefault="00344DCD" w:rsidP="009420EF">
      <w:pPr>
        <w:pStyle w:val="a3"/>
        <w:widowControl/>
        <w:ind w:left="0"/>
      </w:pPr>
    </w:p>
    <w:p w14:paraId="1B800D1F" w14:textId="77777777" w:rsidR="00344DCD" w:rsidRPr="009420EF" w:rsidRDefault="00344DCD" w:rsidP="009420EF">
      <w:pPr>
        <w:pStyle w:val="a3"/>
        <w:widowControl/>
        <w:ind w:left="0"/>
      </w:pPr>
    </w:p>
    <w:p w14:paraId="1A840C6C" w14:textId="77777777" w:rsidR="004C0B73" w:rsidRPr="009420EF" w:rsidRDefault="004C0B73" w:rsidP="009420EF">
      <w:pPr>
        <w:pStyle w:val="a3"/>
        <w:widowControl/>
        <w:ind w:left="0"/>
      </w:pPr>
      <w:r w:rsidRPr="009420EF">
        <w:br w:type="page"/>
      </w:r>
    </w:p>
    <w:p w14:paraId="56DD3A83" w14:textId="77777777" w:rsidR="00BE4E98" w:rsidRPr="009420EF" w:rsidRDefault="00BE4E98"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MINIMÁLNÍ ÚDAJE UVÁDĚNÉ NA MALÉM VNITŘNÍM OBALU</w:t>
      </w:r>
    </w:p>
    <w:p w14:paraId="001AA509" w14:textId="77777777" w:rsidR="00BE4E98" w:rsidRPr="009420EF" w:rsidRDefault="00BE4E98" w:rsidP="009420EF">
      <w:pPr>
        <w:widowControl/>
        <w:pBdr>
          <w:top w:val="single" w:sz="4" w:space="1" w:color="auto"/>
          <w:left w:val="single" w:sz="4" w:space="4" w:color="auto"/>
          <w:bottom w:val="single" w:sz="4" w:space="1" w:color="auto"/>
          <w:right w:val="single" w:sz="4" w:space="4" w:color="auto"/>
        </w:pBdr>
        <w:rPr>
          <w:b/>
          <w:bCs/>
        </w:rPr>
      </w:pPr>
    </w:p>
    <w:p w14:paraId="1939FDE6" w14:textId="77777777" w:rsidR="00BE4E98" w:rsidRPr="009420EF" w:rsidRDefault="00BE4E98" w:rsidP="009420EF">
      <w:pPr>
        <w:widowControl/>
        <w:pBdr>
          <w:top w:val="single" w:sz="4" w:space="1" w:color="auto"/>
          <w:left w:val="single" w:sz="4" w:space="4" w:color="auto"/>
          <w:bottom w:val="single" w:sz="4" w:space="1" w:color="auto"/>
          <w:right w:val="single" w:sz="4" w:space="4" w:color="auto"/>
        </w:pBdr>
        <w:rPr>
          <w:b/>
          <w:bCs/>
        </w:rPr>
      </w:pPr>
      <w:r w:rsidRPr="009420EF">
        <w:rPr>
          <w:b/>
        </w:rPr>
        <w:t>INJEKČNÍ LAHVIČKA</w:t>
      </w:r>
    </w:p>
    <w:p w14:paraId="60CE19CD" w14:textId="77777777" w:rsidR="00222DE0" w:rsidRPr="009420EF" w:rsidRDefault="00222DE0" w:rsidP="009420EF">
      <w:pPr>
        <w:pStyle w:val="a3"/>
        <w:widowControl/>
        <w:ind w:left="0"/>
      </w:pPr>
    </w:p>
    <w:p w14:paraId="5DC0ACFC" w14:textId="77777777" w:rsidR="00222DE0" w:rsidRPr="009420EF" w:rsidRDefault="00222DE0" w:rsidP="009420EF">
      <w:pPr>
        <w:pStyle w:val="a3"/>
        <w:widowControl/>
        <w:ind w:left="0"/>
      </w:pPr>
    </w:p>
    <w:p w14:paraId="43B937F5" w14:textId="77777777" w:rsidR="00AC57BB" w:rsidRPr="009420EF" w:rsidRDefault="00AC57BB" w:rsidP="009420EF">
      <w:pPr>
        <w:pStyle w:val="BoxedHeading"/>
        <w:rPr>
          <w:bCs w:val="0"/>
        </w:rPr>
      </w:pPr>
      <w:r w:rsidRPr="009420EF">
        <w:rPr>
          <w:bCs w:val="0"/>
        </w:rPr>
        <w:t>1.</w:t>
      </w:r>
      <w:r w:rsidRPr="009420EF">
        <w:rPr>
          <w:bCs w:val="0"/>
        </w:rPr>
        <w:tab/>
        <w:t>NÁZEV LÉČIVÉHO PŘÍPRAVKU A CESTA/CESTY PODÁNÍ</w:t>
      </w:r>
    </w:p>
    <w:p w14:paraId="33A487DF" w14:textId="77777777" w:rsidR="00222DE0" w:rsidRPr="009420EF" w:rsidRDefault="00222DE0" w:rsidP="009420EF">
      <w:pPr>
        <w:pStyle w:val="a3"/>
        <w:widowControl/>
        <w:ind w:left="0"/>
      </w:pPr>
    </w:p>
    <w:p w14:paraId="0E1F0BD0" w14:textId="77777777" w:rsidR="00AA1554" w:rsidRDefault="00266CA2" w:rsidP="009420EF">
      <w:pPr>
        <w:pStyle w:val="a3"/>
        <w:widowControl/>
        <w:ind w:left="0"/>
      </w:pPr>
      <w:r>
        <w:t>Avtozma</w:t>
      </w:r>
      <w:r w:rsidR="0098273B" w:rsidRPr="009420EF">
        <w:t xml:space="preserve"> 20 mg/ml sterilní koncentrát </w:t>
      </w:r>
    </w:p>
    <w:p w14:paraId="49FD55FF" w14:textId="7C05350B" w:rsidR="00222DE0" w:rsidRPr="009420EF" w:rsidRDefault="0098273B" w:rsidP="009420EF">
      <w:pPr>
        <w:pStyle w:val="a3"/>
        <w:widowControl/>
        <w:ind w:left="0"/>
      </w:pPr>
      <w:r w:rsidRPr="009420EF">
        <w:t>tocilizumab</w:t>
      </w:r>
    </w:p>
    <w:p w14:paraId="16D8E544" w14:textId="77777777" w:rsidR="00222DE0" w:rsidRPr="009420EF" w:rsidRDefault="0098273B" w:rsidP="009420EF">
      <w:pPr>
        <w:pStyle w:val="a3"/>
        <w:widowControl/>
        <w:ind w:left="0"/>
      </w:pPr>
      <w:r w:rsidRPr="009420EF">
        <w:t>i.v.</w:t>
      </w:r>
    </w:p>
    <w:p w14:paraId="19E01C13" w14:textId="77777777" w:rsidR="00222DE0" w:rsidRPr="009420EF" w:rsidRDefault="00222DE0" w:rsidP="009420EF">
      <w:pPr>
        <w:pStyle w:val="a3"/>
        <w:widowControl/>
        <w:ind w:left="0"/>
      </w:pPr>
    </w:p>
    <w:p w14:paraId="45A1CB7C" w14:textId="77777777" w:rsidR="00BD7AE8" w:rsidRPr="009420EF" w:rsidRDefault="00BD7AE8" w:rsidP="009420EF">
      <w:pPr>
        <w:pStyle w:val="a3"/>
        <w:widowControl/>
        <w:ind w:left="0"/>
      </w:pPr>
    </w:p>
    <w:p w14:paraId="6B0831EE" w14:textId="77777777" w:rsidR="00BD7AE8" w:rsidRPr="009420EF" w:rsidRDefault="00BD7AE8" w:rsidP="009420EF">
      <w:pPr>
        <w:pStyle w:val="BoxedHeading"/>
        <w:rPr>
          <w:bCs w:val="0"/>
        </w:rPr>
      </w:pPr>
      <w:r w:rsidRPr="009420EF">
        <w:rPr>
          <w:bCs w:val="0"/>
        </w:rPr>
        <w:t>2.</w:t>
      </w:r>
      <w:r w:rsidRPr="009420EF">
        <w:rPr>
          <w:bCs w:val="0"/>
        </w:rPr>
        <w:tab/>
        <w:t>ZPŮSOB PODÁNÍ</w:t>
      </w:r>
    </w:p>
    <w:p w14:paraId="34706827" w14:textId="77777777" w:rsidR="00222DE0" w:rsidRPr="009420EF" w:rsidRDefault="00222DE0" w:rsidP="009420EF">
      <w:pPr>
        <w:pStyle w:val="a3"/>
        <w:widowControl/>
        <w:ind w:left="0"/>
      </w:pPr>
    </w:p>
    <w:p w14:paraId="57588133" w14:textId="215FF139" w:rsidR="00222DE0" w:rsidRPr="009420EF" w:rsidRDefault="0098273B" w:rsidP="009420EF">
      <w:pPr>
        <w:pStyle w:val="a3"/>
        <w:widowControl/>
        <w:ind w:left="0"/>
      </w:pPr>
      <w:r w:rsidRPr="009420EF">
        <w:t xml:space="preserve">i.v. </w:t>
      </w:r>
      <w:r w:rsidR="005C7BB5">
        <w:t>podání</w:t>
      </w:r>
    </w:p>
    <w:p w14:paraId="796163FB" w14:textId="77777777" w:rsidR="00222DE0" w:rsidRPr="009420EF" w:rsidRDefault="00222DE0" w:rsidP="009420EF">
      <w:pPr>
        <w:pStyle w:val="a3"/>
        <w:widowControl/>
        <w:ind w:left="0"/>
      </w:pPr>
    </w:p>
    <w:p w14:paraId="284587F3" w14:textId="77777777" w:rsidR="00BD7AE8" w:rsidRPr="009420EF" w:rsidRDefault="00BD7AE8" w:rsidP="009420EF">
      <w:pPr>
        <w:pStyle w:val="a3"/>
        <w:widowControl/>
        <w:ind w:left="0"/>
      </w:pPr>
    </w:p>
    <w:p w14:paraId="0E7D412F" w14:textId="77777777" w:rsidR="00BD7AE8" w:rsidRPr="009420EF" w:rsidRDefault="00BD7AE8" w:rsidP="009420EF">
      <w:pPr>
        <w:pStyle w:val="BoxedHeading"/>
        <w:rPr>
          <w:bCs w:val="0"/>
        </w:rPr>
      </w:pPr>
      <w:r w:rsidRPr="009420EF">
        <w:rPr>
          <w:bCs w:val="0"/>
        </w:rPr>
        <w:t>3.</w:t>
      </w:r>
      <w:r w:rsidRPr="009420EF">
        <w:rPr>
          <w:bCs w:val="0"/>
        </w:rPr>
        <w:tab/>
        <w:t>POUŽITELNOST</w:t>
      </w:r>
    </w:p>
    <w:p w14:paraId="763A5B9F" w14:textId="77777777" w:rsidR="00222DE0" w:rsidRPr="009420EF" w:rsidRDefault="00222DE0" w:rsidP="009420EF">
      <w:pPr>
        <w:pStyle w:val="a3"/>
        <w:widowControl/>
        <w:ind w:left="0"/>
      </w:pPr>
    </w:p>
    <w:p w14:paraId="37D9E1C4" w14:textId="77777777" w:rsidR="00222DE0" w:rsidRPr="009420EF" w:rsidRDefault="0098273B" w:rsidP="009420EF">
      <w:pPr>
        <w:pStyle w:val="a3"/>
        <w:widowControl/>
        <w:ind w:left="0"/>
      </w:pPr>
      <w:r w:rsidRPr="009420EF">
        <w:t>EXP</w:t>
      </w:r>
    </w:p>
    <w:p w14:paraId="3CB6F18C" w14:textId="77777777" w:rsidR="00222DE0" w:rsidRPr="009420EF" w:rsidRDefault="00222DE0" w:rsidP="009420EF">
      <w:pPr>
        <w:pStyle w:val="a3"/>
        <w:widowControl/>
        <w:ind w:left="0"/>
      </w:pPr>
    </w:p>
    <w:p w14:paraId="515D5D6D" w14:textId="77777777" w:rsidR="00BD7AE8" w:rsidRPr="009420EF" w:rsidRDefault="00BD7AE8" w:rsidP="009420EF">
      <w:pPr>
        <w:pStyle w:val="a3"/>
        <w:widowControl/>
        <w:ind w:left="0"/>
      </w:pPr>
    </w:p>
    <w:p w14:paraId="05D60913" w14:textId="77777777" w:rsidR="00BD7AE8" w:rsidRPr="009420EF" w:rsidRDefault="00BD7AE8" w:rsidP="009420EF">
      <w:pPr>
        <w:pStyle w:val="BoxedHeading"/>
        <w:rPr>
          <w:bCs w:val="0"/>
        </w:rPr>
      </w:pPr>
      <w:r w:rsidRPr="009420EF">
        <w:rPr>
          <w:bCs w:val="0"/>
        </w:rPr>
        <w:t>4.</w:t>
      </w:r>
      <w:r w:rsidRPr="009420EF">
        <w:rPr>
          <w:bCs w:val="0"/>
        </w:rPr>
        <w:tab/>
        <w:t>ČÍSLO ŠARŽE</w:t>
      </w:r>
    </w:p>
    <w:p w14:paraId="7F26D5A5" w14:textId="77777777" w:rsidR="00222DE0" w:rsidRPr="009420EF" w:rsidRDefault="00222DE0" w:rsidP="009420EF">
      <w:pPr>
        <w:pStyle w:val="a3"/>
        <w:widowControl/>
        <w:ind w:left="0"/>
      </w:pPr>
    </w:p>
    <w:p w14:paraId="0FDF208B" w14:textId="77777777" w:rsidR="00222DE0" w:rsidRPr="009420EF" w:rsidRDefault="0098273B" w:rsidP="009420EF">
      <w:pPr>
        <w:pStyle w:val="a3"/>
        <w:widowControl/>
        <w:ind w:left="0"/>
      </w:pPr>
      <w:r w:rsidRPr="009420EF">
        <w:t>Lot</w:t>
      </w:r>
    </w:p>
    <w:p w14:paraId="7DF022E0" w14:textId="77777777" w:rsidR="00222DE0" w:rsidRPr="009420EF" w:rsidRDefault="00222DE0" w:rsidP="009420EF">
      <w:pPr>
        <w:pStyle w:val="a3"/>
        <w:widowControl/>
        <w:ind w:left="0"/>
      </w:pPr>
    </w:p>
    <w:p w14:paraId="0076D5ED" w14:textId="77777777" w:rsidR="00BD7AE8" w:rsidRPr="009420EF" w:rsidRDefault="00BD7AE8" w:rsidP="009420EF">
      <w:pPr>
        <w:pStyle w:val="a3"/>
        <w:widowControl/>
        <w:ind w:left="0"/>
      </w:pPr>
    </w:p>
    <w:p w14:paraId="69F9A3F6" w14:textId="77777777" w:rsidR="00BD7AE8" w:rsidRPr="009420EF" w:rsidRDefault="00BD7AE8" w:rsidP="009420EF">
      <w:pPr>
        <w:pStyle w:val="BoxedHeading"/>
        <w:rPr>
          <w:bCs w:val="0"/>
        </w:rPr>
      </w:pPr>
      <w:r w:rsidRPr="009420EF">
        <w:rPr>
          <w:bCs w:val="0"/>
        </w:rPr>
        <w:t>5.</w:t>
      </w:r>
      <w:r w:rsidRPr="009420EF">
        <w:rPr>
          <w:bCs w:val="0"/>
        </w:rPr>
        <w:tab/>
        <w:t>OBSAH UDANÝ JAKO HMOTNOST, OBJEM NEBO POČET</w:t>
      </w:r>
    </w:p>
    <w:p w14:paraId="2913FD6B" w14:textId="77777777" w:rsidR="00BD7AE8" w:rsidRPr="009420EF" w:rsidRDefault="00BD7AE8" w:rsidP="009420EF">
      <w:pPr>
        <w:pStyle w:val="a3"/>
        <w:widowControl/>
        <w:ind w:left="0"/>
      </w:pPr>
    </w:p>
    <w:p w14:paraId="7EEDCA22" w14:textId="77777777" w:rsidR="00222DE0" w:rsidRPr="009420EF" w:rsidRDefault="0098273B" w:rsidP="009420EF">
      <w:pPr>
        <w:pStyle w:val="a3"/>
        <w:widowControl/>
        <w:ind w:left="0"/>
      </w:pPr>
      <w:r w:rsidRPr="009420EF">
        <w:t>400 mg/20 ml</w:t>
      </w:r>
    </w:p>
    <w:p w14:paraId="03707982" w14:textId="77777777" w:rsidR="00222DE0" w:rsidRPr="009420EF" w:rsidRDefault="00222DE0" w:rsidP="009420EF">
      <w:pPr>
        <w:pStyle w:val="a3"/>
        <w:widowControl/>
        <w:ind w:left="0"/>
      </w:pPr>
    </w:p>
    <w:p w14:paraId="0CF22D26" w14:textId="77777777" w:rsidR="00BD7AE8" w:rsidRPr="009420EF" w:rsidRDefault="00BD7AE8" w:rsidP="009420EF">
      <w:pPr>
        <w:pStyle w:val="a3"/>
        <w:widowControl/>
        <w:ind w:left="0"/>
      </w:pPr>
    </w:p>
    <w:p w14:paraId="41BAB1C5" w14:textId="77777777" w:rsidR="00BD7AE8" w:rsidRPr="009420EF" w:rsidRDefault="00BD7AE8" w:rsidP="009420EF">
      <w:pPr>
        <w:pStyle w:val="BoxedHeading"/>
        <w:rPr>
          <w:bCs w:val="0"/>
        </w:rPr>
      </w:pPr>
      <w:r w:rsidRPr="009420EF">
        <w:rPr>
          <w:bCs w:val="0"/>
        </w:rPr>
        <w:t>6.</w:t>
      </w:r>
      <w:r w:rsidRPr="009420EF">
        <w:rPr>
          <w:bCs w:val="0"/>
        </w:rPr>
        <w:tab/>
        <w:t>JINÉ</w:t>
      </w:r>
    </w:p>
    <w:p w14:paraId="3242976D" w14:textId="77777777" w:rsidR="00222DE0" w:rsidRPr="009420EF" w:rsidRDefault="00222DE0" w:rsidP="009420EF">
      <w:pPr>
        <w:pStyle w:val="a3"/>
        <w:widowControl/>
        <w:ind w:left="0"/>
      </w:pPr>
    </w:p>
    <w:p w14:paraId="3FB807AA" w14:textId="77777777" w:rsidR="00222DE0" w:rsidRPr="009420EF" w:rsidRDefault="00222DE0" w:rsidP="009420EF">
      <w:pPr>
        <w:widowControl/>
      </w:pPr>
    </w:p>
    <w:p w14:paraId="120AE126" w14:textId="77777777" w:rsidR="00BD7AE8" w:rsidRPr="009420EF" w:rsidRDefault="00BD7AE8" w:rsidP="009420EF">
      <w:pPr>
        <w:widowControl/>
      </w:pPr>
      <w:r w:rsidRPr="009420EF">
        <w:br w:type="page"/>
      </w:r>
    </w:p>
    <w:p w14:paraId="466C20DB" w14:textId="77777777" w:rsidR="00FB6DF2" w:rsidRPr="009420EF" w:rsidRDefault="00FB6DF2"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MINIMÁLNÍ ÚDAJE UVÁDĚNÉ NA MALÉM VNITŘNÍM OBALU</w:t>
      </w:r>
    </w:p>
    <w:p w14:paraId="3D355849" w14:textId="77777777" w:rsidR="00FB6DF2" w:rsidRPr="009420EF" w:rsidRDefault="00FB6DF2" w:rsidP="009420EF">
      <w:pPr>
        <w:widowControl/>
        <w:pBdr>
          <w:top w:val="single" w:sz="4" w:space="1" w:color="auto"/>
          <w:left w:val="single" w:sz="4" w:space="4" w:color="auto"/>
          <w:bottom w:val="single" w:sz="4" w:space="1" w:color="auto"/>
          <w:right w:val="single" w:sz="4" w:space="4" w:color="auto"/>
        </w:pBdr>
        <w:rPr>
          <w:b/>
          <w:bCs/>
        </w:rPr>
      </w:pPr>
    </w:p>
    <w:p w14:paraId="4288C37C" w14:textId="77777777" w:rsidR="00FB6DF2" w:rsidRPr="009420EF" w:rsidRDefault="00FB6DF2" w:rsidP="009420EF">
      <w:pPr>
        <w:widowControl/>
        <w:pBdr>
          <w:top w:val="single" w:sz="4" w:space="1" w:color="auto"/>
          <w:left w:val="single" w:sz="4" w:space="4" w:color="auto"/>
          <w:bottom w:val="single" w:sz="4" w:space="1" w:color="auto"/>
          <w:right w:val="single" w:sz="4" w:space="4" w:color="auto"/>
        </w:pBdr>
        <w:rPr>
          <w:b/>
          <w:bCs/>
        </w:rPr>
      </w:pPr>
      <w:r w:rsidRPr="009420EF">
        <w:rPr>
          <w:b/>
        </w:rPr>
        <w:t>ŠTÍTEK PŘEDPLNĚNÉ INJEKČNÍ STŘÍKAČKY</w:t>
      </w:r>
    </w:p>
    <w:p w14:paraId="13C03328" w14:textId="77777777" w:rsidR="00FB6DF2" w:rsidRPr="009420EF" w:rsidRDefault="00FB6DF2" w:rsidP="009420EF">
      <w:pPr>
        <w:widowControl/>
      </w:pPr>
    </w:p>
    <w:p w14:paraId="4F774778" w14:textId="77777777" w:rsidR="00502D17" w:rsidRPr="009420EF" w:rsidRDefault="00502D17" w:rsidP="009420EF">
      <w:pPr>
        <w:pStyle w:val="a3"/>
        <w:widowControl/>
        <w:ind w:left="0"/>
      </w:pPr>
    </w:p>
    <w:p w14:paraId="2DFD9A71" w14:textId="77777777" w:rsidR="00502D17" w:rsidRPr="009420EF" w:rsidRDefault="00502D17" w:rsidP="009420EF">
      <w:pPr>
        <w:pStyle w:val="BoxedHeading"/>
        <w:rPr>
          <w:bCs w:val="0"/>
        </w:rPr>
      </w:pPr>
      <w:r w:rsidRPr="009420EF">
        <w:rPr>
          <w:bCs w:val="0"/>
        </w:rPr>
        <w:t>1.</w:t>
      </w:r>
      <w:r w:rsidRPr="009420EF">
        <w:rPr>
          <w:bCs w:val="0"/>
        </w:rPr>
        <w:tab/>
        <w:t>NÁZEV LÉČIVÉHO PŘÍPRAVKU A CESTA/CESTY PODÁNÍ</w:t>
      </w:r>
    </w:p>
    <w:p w14:paraId="751A9E57" w14:textId="77777777" w:rsidR="00222DE0" w:rsidRPr="009420EF" w:rsidRDefault="00222DE0" w:rsidP="009420EF">
      <w:pPr>
        <w:pStyle w:val="a3"/>
        <w:widowControl/>
        <w:ind w:left="0"/>
      </w:pPr>
    </w:p>
    <w:p w14:paraId="19395FC7" w14:textId="73FAB9A7" w:rsidR="001D71D3" w:rsidRPr="009420EF" w:rsidRDefault="00266CA2" w:rsidP="009420EF">
      <w:pPr>
        <w:pStyle w:val="a3"/>
        <w:widowControl/>
        <w:ind w:left="0"/>
      </w:pPr>
      <w:r>
        <w:t>Avtozma</w:t>
      </w:r>
      <w:r w:rsidR="0098273B" w:rsidRPr="009420EF">
        <w:t xml:space="preserve"> 162 mg injekce</w:t>
      </w:r>
    </w:p>
    <w:p w14:paraId="491C059F" w14:textId="6ED0D7FC" w:rsidR="00222DE0" w:rsidRPr="009420EF" w:rsidRDefault="0098273B" w:rsidP="009420EF">
      <w:pPr>
        <w:pStyle w:val="a3"/>
        <w:widowControl/>
        <w:ind w:left="0"/>
      </w:pPr>
      <w:r w:rsidRPr="009420EF">
        <w:t>tocilizumab</w:t>
      </w:r>
    </w:p>
    <w:p w14:paraId="531084AB" w14:textId="77777777" w:rsidR="00222DE0" w:rsidRPr="009420EF" w:rsidRDefault="0098273B" w:rsidP="009420EF">
      <w:pPr>
        <w:pStyle w:val="a3"/>
        <w:widowControl/>
        <w:ind w:left="0"/>
      </w:pPr>
      <w:r w:rsidRPr="009420EF">
        <w:t>s.c.</w:t>
      </w:r>
    </w:p>
    <w:p w14:paraId="3BBE8124" w14:textId="77777777" w:rsidR="00222DE0" w:rsidRPr="009420EF" w:rsidRDefault="00222DE0" w:rsidP="009420EF">
      <w:pPr>
        <w:pStyle w:val="a3"/>
        <w:widowControl/>
        <w:ind w:left="0"/>
      </w:pPr>
    </w:p>
    <w:p w14:paraId="166D26EF" w14:textId="77777777" w:rsidR="001D71D3" w:rsidRPr="009420EF" w:rsidRDefault="001D71D3" w:rsidP="009420EF">
      <w:pPr>
        <w:pStyle w:val="a3"/>
        <w:widowControl/>
        <w:ind w:left="0"/>
      </w:pPr>
    </w:p>
    <w:p w14:paraId="747B6507" w14:textId="77777777" w:rsidR="001D71D3" w:rsidRPr="009420EF" w:rsidRDefault="001D71D3" w:rsidP="009420EF">
      <w:pPr>
        <w:pStyle w:val="BoxedHeading"/>
        <w:rPr>
          <w:bCs w:val="0"/>
        </w:rPr>
      </w:pPr>
      <w:r w:rsidRPr="009420EF">
        <w:rPr>
          <w:bCs w:val="0"/>
        </w:rPr>
        <w:t>2.</w:t>
      </w:r>
      <w:r w:rsidRPr="009420EF">
        <w:rPr>
          <w:bCs w:val="0"/>
        </w:rPr>
        <w:tab/>
        <w:t>ZPŮSOB PODÁNÍ</w:t>
      </w:r>
    </w:p>
    <w:p w14:paraId="3CDFC550" w14:textId="77777777" w:rsidR="001D71D3" w:rsidRPr="009420EF" w:rsidRDefault="001D71D3" w:rsidP="009420EF">
      <w:pPr>
        <w:pStyle w:val="a3"/>
        <w:widowControl/>
        <w:ind w:left="0"/>
      </w:pPr>
    </w:p>
    <w:p w14:paraId="6FA16CFE" w14:textId="77777777" w:rsidR="001D71D3" w:rsidRPr="009420EF" w:rsidRDefault="001D71D3" w:rsidP="009420EF">
      <w:pPr>
        <w:pStyle w:val="a3"/>
        <w:widowControl/>
        <w:ind w:left="0"/>
      </w:pPr>
    </w:p>
    <w:p w14:paraId="1EDF51CC" w14:textId="77777777" w:rsidR="001D71D3" w:rsidRPr="009420EF" w:rsidRDefault="001D71D3" w:rsidP="009420EF">
      <w:pPr>
        <w:pStyle w:val="BoxedHeading"/>
        <w:rPr>
          <w:bCs w:val="0"/>
        </w:rPr>
      </w:pPr>
      <w:r w:rsidRPr="009420EF">
        <w:rPr>
          <w:bCs w:val="0"/>
        </w:rPr>
        <w:t>3.</w:t>
      </w:r>
      <w:r w:rsidRPr="009420EF">
        <w:rPr>
          <w:bCs w:val="0"/>
        </w:rPr>
        <w:tab/>
        <w:t>POUŽITELNOST</w:t>
      </w:r>
    </w:p>
    <w:p w14:paraId="7851CCF5" w14:textId="77777777" w:rsidR="001D71D3" w:rsidRPr="009420EF" w:rsidRDefault="001D71D3" w:rsidP="009420EF">
      <w:pPr>
        <w:pStyle w:val="a3"/>
        <w:widowControl/>
        <w:ind w:left="0"/>
      </w:pPr>
    </w:p>
    <w:p w14:paraId="7530C8A3" w14:textId="77777777" w:rsidR="00222DE0" w:rsidRPr="009420EF" w:rsidRDefault="0098273B" w:rsidP="009420EF">
      <w:pPr>
        <w:pStyle w:val="a3"/>
        <w:widowControl/>
        <w:ind w:left="0"/>
      </w:pPr>
      <w:r w:rsidRPr="009420EF">
        <w:t>EXP</w:t>
      </w:r>
    </w:p>
    <w:p w14:paraId="6B8E1C4F" w14:textId="77777777" w:rsidR="00222DE0" w:rsidRPr="009420EF" w:rsidRDefault="00222DE0" w:rsidP="009420EF">
      <w:pPr>
        <w:pStyle w:val="a3"/>
        <w:widowControl/>
        <w:ind w:left="0"/>
      </w:pPr>
    </w:p>
    <w:p w14:paraId="45E0EFB8" w14:textId="77777777" w:rsidR="001D71D3" w:rsidRPr="009420EF" w:rsidRDefault="001D71D3" w:rsidP="009420EF">
      <w:pPr>
        <w:pStyle w:val="a3"/>
        <w:widowControl/>
        <w:ind w:left="0"/>
      </w:pPr>
    </w:p>
    <w:p w14:paraId="61594AC5" w14:textId="77777777" w:rsidR="001D71D3" w:rsidRPr="009420EF" w:rsidRDefault="001D71D3" w:rsidP="009420EF">
      <w:pPr>
        <w:pStyle w:val="BoxedHeading"/>
        <w:rPr>
          <w:bCs w:val="0"/>
        </w:rPr>
      </w:pPr>
      <w:r w:rsidRPr="009420EF">
        <w:rPr>
          <w:bCs w:val="0"/>
        </w:rPr>
        <w:t>4.</w:t>
      </w:r>
      <w:r w:rsidRPr="009420EF">
        <w:rPr>
          <w:bCs w:val="0"/>
        </w:rPr>
        <w:tab/>
        <w:t>ČÍSLO ŠARŽE</w:t>
      </w:r>
    </w:p>
    <w:p w14:paraId="39965B1B" w14:textId="77777777" w:rsidR="00222DE0" w:rsidRPr="009420EF" w:rsidRDefault="00222DE0" w:rsidP="009420EF">
      <w:pPr>
        <w:pStyle w:val="a3"/>
        <w:widowControl/>
        <w:ind w:left="0"/>
      </w:pPr>
    </w:p>
    <w:p w14:paraId="5831F818" w14:textId="77777777" w:rsidR="00222DE0" w:rsidRPr="009420EF" w:rsidRDefault="0098273B" w:rsidP="009420EF">
      <w:pPr>
        <w:pStyle w:val="a3"/>
        <w:widowControl/>
        <w:ind w:left="0"/>
      </w:pPr>
      <w:r w:rsidRPr="009420EF">
        <w:t>Lot</w:t>
      </w:r>
    </w:p>
    <w:p w14:paraId="10079008" w14:textId="77777777" w:rsidR="00222DE0" w:rsidRPr="009420EF" w:rsidRDefault="00222DE0" w:rsidP="009420EF">
      <w:pPr>
        <w:pStyle w:val="a3"/>
        <w:widowControl/>
        <w:ind w:left="0"/>
      </w:pPr>
    </w:p>
    <w:p w14:paraId="0D2D382F" w14:textId="77777777" w:rsidR="009E7DDE" w:rsidRPr="009420EF" w:rsidRDefault="009E7DDE" w:rsidP="009420EF">
      <w:pPr>
        <w:pStyle w:val="a3"/>
        <w:widowControl/>
        <w:ind w:left="0"/>
      </w:pPr>
    </w:p>
    <w:p w14:paraId="1AD11C2C" w14:textId="77777777" w:rsidR="009E7DDE" w:rsidRPr="009420EF" w:rsidRDefault="009E7DDE" w:rsidP="009420EF">
      <w:pPr>
        <w:pStyle w:val="BoxedHeading"/>
        <w:rPr>
          <w:bCs w:val="0"/>
        </w:rPr>
      </w:pPr>
      <w:r w:rsidRPr="009420EF">
        <w:rPr>
          <w:bCs w:val="0"/>
        </w:rPr>
        <w:t>5.</w:t>
      </w:r>
      <w:r w:rsidRPr="009420EF">
        <w:rPr>
          <w:bCs w:val="0"/>
        </w:rPr>
        <w:tab/>
        <w:t>OBSAH UDANÝ JAKO HMOTNOST, OBJEM NEBO POČET</w:t>
      </w:r>
    </w:p>
    <w:p w14:paraId="63328731" w14:textId="77777777" w:rsidR="00DF399B" w:rsidRPr="009420EF" w:rsidRDefault="00DF399B" w:rsidP="009420EF">
      <w:pPr>
        <w:pStyle w:val="a3"/>
        <w:widowControl/>
        <w:ind w:left="0"/>
      </w:pPr>
    </w:p>
    <w:p w14:paraId="24796062" w14:textId="77777777" w:rsidR="00222DE0" w:rsidRPr="009420EF" w:rsidRDefault="0098273B" w:rsidP="009420EF">
      <w:pPr>
        <w:pStyle w:val="a3"/>
        <w:widowControl/>
        <w:ind w:left="0"/>
      </w:pPr>
      <w:r w:rsidRPr="009420EF">
        <w:t>162 mg/0,9 ml</w:t>
      </w:r>
    </w:p>
    <w:p w14:paraId="5F73538F" w14:textId="77777777" w:rsidR="00222DE0" w:rsidRPr="009420EF" w:rsidRDefault="00222DE0" w:rsidP="009420EF">
      <w:pPr>
        <w:pStyle w:val="a3"/>
        <w:widowControl/>
        <w:ind w:left="0"/>
      </w:pPr>
    </w:p>
    <w:p w14:paraId="66598B7C" w14:textId="77777777" w:rsidR="002D6813" w:rsidRPr="009420EF" w:rsidRDefault="002D6813" w:rsidP="009420EF">
      <w:pPr>
        <w:pStyle w:val="a3"/>
        <w:widowControl/>
        <w:ind w:left="0"/>
      </w:pPr>
    </w:p>
    <w:p w14:paraId="1448FB87" w14:textId="77777777" w:rsidR="00DF399B" w:rsidRPr="009420EF" w:rsidRDefault="00DF399B" w:rsidP="009420EF">
      <w:pPr>
        <w:pStyle w:val="BoxedHeading"/>
        <w:rPr>
          <w:bCs w:val="0"/>
        </w:rPr>
      </w:pPr>
      <w:r w:rsidRPr="009420EF">
        <w:rPr>
          <w:bCs w:val="0"/>
        </w:rPr>
        <w:t>6.</w:t>
      </w:r>
      <w:r w:rsidRPr="009420EF">
        <w:rPr>
          <w:bCs w:val="0"/>
        </w:rPr>
        <w:tab/>
        <w:t>JINÉ</w:t>
      </w:r>
    </w:p>
    <w:p w14:paraId="4EE61799" w14:textId="77777777" w:rsidR="00DF399B" w:rsidRPr="009420EF" w:rsidRDefault="00DF399B" w:rsidP="009420EF">
      <w:pPr>
        <w:pStyle w:val="a3"/>
        <w:widowControl/>
        <w:ind w:left="0"/>
      </w:pPr>
    </w:p>
    <w:p w14:paraId="6C243334" w14:textId="77777777" w:rsidR="00DF399B" w:rsidRPr="009420EF" w:rsidRDefault="00DF399B" w:rsidP="009420EF">
      <w:pPr>
        <w:pStyle w:val="a3"/>
        <w:widowControl/>
        <w:ind w:left="0"/>
      </w:pPr>
      <w:r w:rsidRPr="009420EF">
        <w:br w:type="page"/>
      </w:r>
    </w:p>
    <w:p w14:paraId="43CD3DF0" w14:textId="77777777" w:rsidR="00AE2EC4" w:rsidRPr="009420EF" w:rsidRDefault="00AE2EC4" w:rsidP="009420EF">
      <w:pPr>
        <w:widowControl/>
        <w:pBdr>
          <w:top w:val="single" w:sz="4" w:space="1" w:color="auto"/>
          <w:left w:val="single" w:sz="4" w:space="4" w:color="auto"/>
          <w:bottom w:val="single" w:sz="4" w:space="1" w:color="auto"/>
          <w:right w:val="single" w:sz="4" w:space="4" w:color="auto"/>
        </w:pBdr>
        <w:rPr>
          <w:b/>
        </w:rPr>
      </w:pPr>
      <w:r w:rsidRPr="009420EF">
        <w:rPr>
          <w:b/>
        </w:rPr>
        <w:lastRenderedPageBreak/>
        <w:t>MINIMÁLNÍ ÚDAJE UVÁDĚNÉ NA MALÉM VNITŘNÍM OBALU</w:t>
      </w:r>
    </w:p>
    <w:p w14:paraId="33CDF755" w14:textId="77777777" w:rsidR="00AE2EC4" w:rsidRPr="009420EF" w:rsidRDefault="00AE2EC4" w:rsidP="009420EF">
      <w:pPr>
        <w:widowControl/>
        <w:pBdr>
          <w:top w:val="single" w:sz="4" w:space="1" w:color="auto"/>
          <w:left w:val="single" w:sz="4" w:space="4" w:color="auto"/>
          <w:bottom w:val="single" w:sz="4" w:space="1" w:color="auto"/>
          <w:right w:val="single" w:sz="4" w:space="4" w:color="auto"/>
        </w:pBdr>
        <w:rPr>
          <w:b/>
          <w:bCs/>
        </w:rPr>
      </w:pPr>
    </w:p>
    <w:p w14:paraId="7F9634DE" w14:textId="77777777" w:rsidR="00AE2EC4" w:rsidRPr="009420EF" w:rsidRDefault="00AE2EC4" w:rsidP="009420EF">
      <w:pPr>
        <w:widowControl/>
        <w:pBdr>
          <w:top w:val="single" w:sz="4" w:space="1" w:color="auto"/>
          <w:left w:val="single" w:sz="4" w:space="4" w:color="auto"/>
          <w:bottom w:val="single" w:sz="4" w:space="1" w:color="auto"/>
          <w:right w:val="single" w:sz="4" w:space="4" w:color="auto"/>
        </w:pBdr>
        <w:rPr>
          <w:b/>
          <w:bCs/>
        </w:rPr>
      </w:pPr>
      <w:r w:rsidRPr="009420EF">
        <w:rPr>
          <w:b/>
        </w:rPr>
        <w:t>ŠTÍTEK PŘEDPLNĚNÉHO PERA</w:t>
      </w:r>
    </w:p>
    <w:p w14:paraId="4077234E" w14:textId="77777777" w:rsidR="00222DE0" w:rsidRPr="009420EF" w:rsidRDefault="00222DE0" w:rsidP="009420EF">
      <w:pPr>
        <w:pStyle w:val="a3"/>
        <w:widowControl/>
        <w:ind w:left="0"/>
      </w:pPr>
    </w:p>
    <w:p w14:paraId="35924E83" w14:textId="77777777" w:rsidR="00AE2EC4" w:rsidRPr="009420EF" w:rsidRDefault="00AE2EC4" w:rsidP="009420EF">
      <w:pPr>
        <w:pStyle w:val="a3"/>
        <w:widowControl/>
        <w:ind w:left="0"/>
      </w:pPr>
    </w:p>
    <w:p w14:paraId="48DAD600" w14:textId="77777777" w:rsidR="00AE2EC4" w:rsidRPr="009420EF" w:rsidRDefault="00AE2EC4" w:rsidP="009420EF">
      <w:pPr>
        <w:pStyle w:val="BoxedHeading"/>
        <w:rPr>
          <w:bCs w:val="0"/>
        </w:rPr>
      </w:pPr>
      <w:r w:rsidRPr="009420EF">
        <w:rPr>
          <w:bCs w:val="0"/>
        </w:rPr>
        <w:t>1.</w:t>
      </w:r>
      <w:r w:rsidRPr="009420EF">
        <w:rPr>
          <w:bCs w:val="0"/>
        </w:rPr>
        <w:tab/>
        <w:t>NÁZEV LÉČIVÉHO PŘÍPRAVKU A CESTA / CESTY PODÁNÍ</w:t>
      </w:r>
    </w:p>
    <w:p w14:paraId="0E5092BF" w14:textId="77777777" w:rsidR="00222DE0" w:rsidRPr="009420EF" w:rsidRDefault="00222DE0" w:rsidP="009420EF">
      <w:pPr>
        <w:pStyle w:val="a3"/>
        <w:widowControl/>
        <w:ind w:left="0"/>
      </w:pPr>
    </w:p>
    <w:p w14:paraId="441A6D92" w14:textId="74B13367" w:rsidR="00AE2EC4" w:rsidRPr="009420EF" w:rsidRDefault="00266CA2" w:rsidP="009420EF">
      <w:pPr>
        <w:pStyle w:val="a3"/>
        <w:widowControl/>
        <w:ind w:left="0"/>
      </w:pPr>
      <w:r>
        <w:t>Avtozma</w:t>
      </w:r>
      <w:r w:rsidR="0098273B" w:rsidRPr="009420EF">
        <w:t xml:space="preserve"> 162 mg injekce</w:t>
      </w:r>
    </w:p>
    <w:p w14:paraId="44EA5F1E" w14:textId="5CFADB73" w:rsidR="00222DE0" w:rsidRPr="009420EF" w:rsidRDefault="0098273B" w:rsidP="009420EF">
      <w:pPr>
        <w:pStyle w:val="a3"/>
        <w:widowControl/>
        <w:ind w:left="0"/>
      </w:pPr>
      <w:r w:rsidRPr="009420EF">
        <w:t>tocilizumab</w:t>
      </w:r>
    </w:p>
    <w:p w14:paraId="6E4FDD02" w14:textId="77777777" w:rsidR="00222DE0" w:rsidRPr="009420EF" w:rsidRDefault="0098273B" w:rsidP="009420EF">
      <w:pPr>
        <w:pStyle w:val="a3"/>
        <w:widowControl/>
        <w:ind w:left="0"/>
      </w:pPr>
      <w:r w:rsidRPr="009420EF">
        <w:t>s.c.</w:t>
      </w:r>
    </w:p>
    <w:p w14:paraId="08DE9123" w14:textId="77777777" w:rsidR="00222DE0" w:rsidRPr="009420EF" w:rsidRDefault="00222DE0" w:rsidP="009420EF">
      <w:pPr>
        <w:pStyle w:val="a3"/>
        <w:widowControl/>
        <w:ind w:left="0"/>
      </w:pPr>
    </w:p>
    <w:p w14:paraId="5D72A57C" w14:textId="77777777" w:rsidR="002D6813" w:rsidRPr="009420EF" w:rsidRDefault="002D6813" w:rsidP="009420EF">
      <w:pPr>
        <w:pStyle w:val="a3"/>
        <w:widowControl/>
        <w:ind w:left="0"/>
      </w:pPr>
    </w:p>
    <w:p w14:paraId="1243619D" w14:textId="77777777" w:rsidR="00AE2EC4" w:rsidRPr="009420EF" w:rsidRDefault="00AE2EC4" w:rsidP="009420EF">
      <w:pPr>
        <w:pStyle w:val="BoxedHeading"/>
        <w:rPr>
          <w:bCs w:val="0"/>
        </w:rPr>
      </w:pPr>
      <w:r w:rsidRPr="009420EF">
        <w:rPr>
          <w:bCs w:val="0"/>
        </w:rPr>
        <w:t>2.</w:t>
      </w:r>
      <w:r w:rsidRPr="009420EF">
        <w:rPr>
          <w:bCs w:val="0"/>
        </w:rPr>
        <w:tab/>
        <w:t>ZPŮSOB PODÁNÍ</w:t>
      </w:r>
    </w:p>
    <w:p w14:paraId="3E04762A" w14:textId="77777777" w:rsidR="00AE2EC4" w:rsidRPr="009420EF" w:rsidRDefault="00AE2EC4" w:rsidP="009420EF">
      <w:pPr>
        <w:pStyle w:val="a3"/>
        <w:widowControl/>
        <w:ind w:left="0"/>
      </w:pPr>
    </w:p>
    <w:p w14:paraId="4C35F097" w14:textId="77777777" w:rsidR="00720BA0" w:rsidRPr="009420EF" w:rsidRDefault="00720BA0" w:rsidP="009420EF">
      <w:pPr>
        <w:pStyle w:val="a3"/>
        <w:widowControl/>
        <w:ind w:left="0"/>
      </w:pPr>
    </w:p>
    <w:p w14:paraId="4C5BA7B2" w14:textId="77777777" w:rsidR="00AE2EC4" w:rsidRPr="009420EF" w:rsidRDefault="00720BA0" w:rsidP="009420EF">
      <w:pPr>
        <w:pStyle w:val="BoxedHeading"/>
        <w:rPr>
          <w:bCs w:val="0"/>
        </w:rPr>
      </w:pPr>
      <w:r w:rsidRPr="009420EF">
        <w:rPr>
          <w:bCs w:val="0"/>
        </w:rPr>
        <w:t>3</w:t>
      </w:r>
      <w:r w:rsidR="00AE2EC4" w:rsidRPr="009420EF">
        <w:rPr>
          <w:bCs w:val="0"/>
        </w:rPr>
        <w:t>.</w:t>
      </w:r>
      <w:r w:rsidR="00AE2EC4" w:rsidRPr="009420EF">
        <w:rPr>
          <w:bCs w:val="0"/>
        </w:rPr>
        <w:tab/>
      </w:r>
      <w:r w:rsidRPr="009420EF">
        <w:rPr>
          <w:bCs w:val="0"/>
        </w:rPr>
        <w:t>POUŽITELNOST</w:t>
      </w:r>
    </w:p>
    <w:p w14:paraId="733D4582" w14:textId="77777777" w:rsidR="00970039" w:rsidRPr="009420EF" w:rsidRDefault="00970039" w:rsidP="009420EF">
      <w:pPr>
        <w:pStyle w:val="a3"/>
        <w:widowControl/>
        <w:ind w:left="0"/>
      </w:pPr>
    </w:p>
    <w:p w14:paraId="10A07102" w14:textId="77777777" w:rsidR="00222DE0" w:rsidRPr="009420EF" w:rsidRDefault="0098273B" w:rsidP="009420EF">
      <w:pPr>
        <w:pStyle w:val="a3"/>
        <w:widowControl/>
        <w:ind w:left="0"/>
      </w:pPr>
      <w:r w:rsidRPr="009420EF">
        <w:t>EXP</w:t>
      </w:r>
    </w:p>
    <w:p w14:paraId="761C190A" w14:textId="77777777" w:rsidR="00222DE0" w:rsidRPr="009420EF" w:rsidRDefault="00222DE0" w:rsidP="009420EF">
      <w:pPr>
        <w:pStyle w:val="a3"/>
        <w:widowControl/>
        <w:ind w:left="0"/>
      </w:pPr>
    </w:p>
    <w:p w14:paraId="2EF98121" w14:textId="77777777" w:rsidR="00970039" w:rsidRPr="009420EF" w:rsidRDefault="00970039" w:rsidP="009420EF">
      <w:pPr>
        <w:pStyle w:val="a3"/>
        <w:widowControl/>
        <w:ind w:left="0"/>
      </w:pPr>
    </w:p>
    <w:p w14:paraId="34DBA96E" w14:textId="77777777" w:rsidR="00970039" w:rsidRPr="009420EF" w:rsidRDefault="00970039" w:rsidP="009420EF">
      <w:pPr>
        <w:pStyle w:val="BoxedHeading"/>
        <w:rPr>
          <w:bCs w:val="0"/>
        </w:rPr>
      </w:pPr>
      <w:r w:rsidRPr="009420EF">
        <w:rPr>
          <w:bCs w:val="0"/>
        </w:rPr>
        <w:t>4.</w:t>
      </w:r>
      <w:r w:rsidRPr="009420EF">
        <w:rPr>
          <w:bCs w:val="0"/>
        </w:rPr>
        <w:tab/>
        <w:t>ČÍSLO ŠARŽE</w:t>
      </w:r>
    </w:p>
    <w:p w14:paraId="69FF9DA7" w14:textId="77777777" w:rsidR="00222DE0" w:rsidRPr="009420EF" w:rsidRDefault="00222DE0" w:rsidP="009420EF">
      <w:pPr>
        <w:pStyle w:val="a3"/>
        <w:widowControl/>
        <w:ind w:left="0"/>
      </w:pPr>
    </w:p>
    <w:p w14:paraId="0E4FEE75" w14:textId="77777777" w:rsidR="00222DE0" w:rsidRPr="009420EF" w:rsidRDefault="0098273B" w:rsidP="009420EF">
      <w:pPr>
        <w:pStyle w:val="a3"/>
        <w:widowControl/>
        <w:ind w:left="0"/>
      </w:pPr>
      <w:r w:rsidRPr="009420EF">
        <w:t>Lot</w:t>
      </w:r>
    </w:p>
    <w:p w14:paraId="2B7BA95D" w14:textId="77777777" w:rsidR="00222DE0" w:rsidRPr="009420EF" w:rsidRDefault="00222DE0" w:rsidP="009420EF">
      <w:pPr>
        <w:pStyle w:val="a3"/>
        <w:widowControl/>
        <w:ind w:left="0"/>
      </w:pPr>
    </w:p>
    <w:p w14:paraId="421D2ABA" w14:textId="77777777" w:rsidR="00970039" w:rsidRPr="009420EF" w:rsidRDefault="00970039" w:rsidP="009420EF">
      <w:pPr>
        <w:pStyle w:val="a3"/>
        <w:widowControl/>
        <w:ind w:left="0"/>
      </w:pPr>
    </w:p>
    <w:p w14:paraId="73FD0885" w14:textId="77777777" w:rsidR="00970039" w:rsidRPr="009420EF" w:rsidRDefault="00970039" w:rsidP="009420EF">
      <w:pPr>
        <w:pStyle w:val="BoxedHeading"/>
        <w:rPr>
          <w:bCs w:val="0"/>
        </w:rPr>
      </w:pPr>
      <w:r w:rsidRPr="009420EF">
        <w:rPr>
          <w:bCs w:val="0"/>
        </w:rPr>
        <w:t>5.</w:t>
      </w:r>
      <w:r w:rsidRPr="009420EF">
        <w:rPr>
          <w:bCs w:val="0"/>
        </w:rPr>
        <w:tab/>
        <w:t>OBSAH UDANÝ JAKO HMOTNOST, OBJEM NEBO POČET</w:t>
      </w:r>
    </w:p>
    <w:p w14:paraId="4D3CC62F" w14:textId="77777777" w:rsidR="00222DE0" w:rsidRPr="009420EF" w:rsidRDefault="00222DE0" w:rsidP="009420EF">
      <w:pPr>
        <w:pStyle w:val="a3"/>
        <w:widowControl/>
        <w:ind w:left="0"/>
      </w:pPr>
    </w:p>
    <w:p w14:paraId="2F8BDA42" w14:textId="77777777" w:rsidR="00222DE0" w:rsidRPr="009420EF" w:rsidRDefault="0098273B" w:rsidP="009420EF">
      <w:pPr>
        <w:pStyle w:val="a3"/>
        <w:widowControl/>
        <w:ind w:left="0"/>
      </w:pPr>
      <w:r w:rsidRPr="009420EF">
        <w:t>162 mg/0,9 ml</w:t>
      </w:r>
    </w:p>
    <w:p w14:paraId="2340E002" w14:textId="77777777" w:rsidR="00222DE0" w:rsidRPr="009420EF" w:rsidRDefault="00222DE0" w:rsidP="009420EF">
      <w:pPr>
        <w:pStyle w:val="a3"/>
        <w:widowControl/>
        <w:ind w:left="0"/>
      </w:pPr>
    </w:p>
    <w:p w14:paraId="0ADE71E4" w14:textId="77777777" w:rsidR="00A47659" w:rsidRPr="009420EF" w:rsidRDefault="00A47659" w:rsidP="009420EF">
      <w:pPr>
        <w:pStyle w:val="a3"/>
        <w:widowControl/>
        <w:ind w:left="0"/>
      </w:pPr>
    </w:p>
    <w:p w14:paraId="12C3DE0B" w14:textId="77777777" w:rsidR="00A47659" w:rsidRPr="009420EF" w:rsidRDefault="00A47659" w:rsidP="009420EF">
      <w:pPr>
        <w:pStyle w:val="BoxedHeading"/>
        <w:rPr>
          <w:bCs w:val="0"/>
        </w:rPr>
      </w:pPr>
      <w:r w:rsidRPr="009420EF">
        <w:rPr>
          <w:bCs w:val="0"/>
        </w:rPr>
        <w:t>6.</w:t>
      </w:r>
      <w:r w:rsidRPr="009420EF">
        <w:rPr>
          <w:bCs w:val="0"/>
        </w:rPr>
        <w:tab/>
        <w:t>JINÉ</w:t>
      </w:r>
    </w:p>
    <w:p w14:paraId="7F2A17E5" w14:textId="77777777" w:rsidR="00222DE0" w:rsidRPr="009420EF" w:rsidRDefault="00222DE0" w:rsidP="009420EF">
      <w:pPr>
        <w:pStyle w:val="a3"/>
        <w:widowControl/>
        <w:ind w:left="0"/>
      </w:pPr>
    </w:p>
    <w:p w14:paraId="0CE3AC79" w14:textId="77777777" w:rsidR="00222DE0" w:rsidRPr="009420EF" w:rsidRDefault="00222DE0" w:rsidP="009420EF">
      <w:pPr>
        <w:pStyle w:val="a3"/>
        <w:widowControl/>
        <w:ind w:left="0"/>
      </w:pPr>
    </w:p>
    <w:p w14:paraId="155C503D" w14:textId="77777777" w:rsidR="00A47659" w:rsidRPr="009420EF" w:rsidRDefault="00A47659" w:rsidP="009420EF">
      <w:pPr>
        <w:pStyle w:val="a3"/>
        <w:widowControl/>
        <w:ind w:left="0"/>
      </w:pPr>
      <w:r w:rsidRPr="009420EF">
        <w:br w:type="page"/>
      </w:r>
    </w:p>
    <w:p w14:paraId="117EE312" w14:textId="77777777" w:rsidR="00222DE0" w:rsidRPr="00EE3355" w:rsidRDefault="00222DE0" w:rsidP="00EA1CDF">
      <w:pPr>
        <w:pStyle w:val="a3"/>
        <w:widowControl/>
        <w:ind w:left="0"/>
      </w:pPr>
    </w:p>
    <w:p w14:paraId="4BD9D1C6" w14:textId="77777777" w:rsidR="00222DE0" w:rsidRPr="00EE3355" w:rsidRDefault="00222DE0" w:rsidP="00EA1CDF">
      <w:pPr>
        <w:pStyle w:val="a3"/>
        <w:widowControl/>
        <w:ind w:left="0"/>
      </w:pPr>
    </w:p>
    <w:p w14:paraId="7E518785" w14:textId="77777777" w:rsidR="00222DE0" w:rsidRPr="00EE3355" w:rsidRDefault="00222DE0" w:rsidP="00EA1CDF">
      <w:pPr>
        <w:pStyle w:val="a3"/>
        <w:widowControl/>
        <w:ind w:left="0"/>
      </w:pPr>
    </w:p>
    <w:p w14:paraId="18C8FD6B" w14:textId="77777777" w:rsidR="00222DE0" w:rsidRPr="00EE3355" w:rsidRDefault="00222DE0" w:rsidP="00EA1CDF">
      <w:pPr>
        <w:pStyle w:val="a3"/>
        <w:widowControl/>
        <w:ind w:left="0"/>
      </w:pPr>
    </w:p>
    <w:p w14:paraId="71AEAE56" w14:textId="77777777" w:rsidR="00222DE0" w:rsidRPr="00EE3355" w:rsidRDefault="00222DE0" w:rsidP="00EA1CDF">
      <w:pPr>
        <w:pStyle w:val="a3"/>
        <w:widowControl/>
        <w:ind w:left="0"/>
      </w:pPr>
    </w:p>
    <w:p w14:paraId="5563097C" w14:textId="77777777" w:rsidR="00222DE0" w:rsidRPr="00EE3355" w:rsidRDefault="00222DE0" w:rsidP="00EA1CDF">
      <w:pPr>
        <w:pStyle w:val="a3"/>
        <w:widowControl/>
        <w:ind w:left="0"/>
      </w:pPr>
    </w:p>
    <w:p w14:paraId="536FB7C8" w14:textId="77777777" w:rsidR="00222DE0" w:rsidRPr="00EE3355" w:rsidRDefault="00222DE0" w:rsidP="00EA1CDF">
      <w:pPr>
        <w:pStyle w:val="a3"/>
        <w:widowControl/>
        <w:ind w:left="0"/>
      </w:pPr>
    </w:p>
    <w:p w14:paraId="7FEA5668" w14:textId="77777777" w:rsidR="00222DE0" w:rsidRPr="00EE3355" w:rsidRDefault="00222DE0" w:rsidP="00EA1CDF">
      <w:pPr>
        <w:pStyle w:val="a3"/>
        <w:widowControl/>
        <w:ind w:left="0"/>
      </w:pPr>
    </w:p>
    <w:p w14:paraId="5C01E36B" w14:textId="77777777" w:rsidR="00222DE0" w:rsidRPr="00EE3355" w:rsidRDefault="00222DE0" w:rsidP="00EA1CDF">
      <w:pPr>
        <w:pStyle w:val="a3"/>
        <w:widowControl/>
        <w:ind w:left="0"/>
      </w:pPr>
    </w:p>
    <w:p w14:paraId="4F7E61A7" w14:textId="77777777" w:rsidR="00222DE0" w:rsidRPr="00EE3355" w:rsidRDefault="00222DE0" w:rsidP="00EA1CDF">
      <w:pPr>
        <w:pStyle w:val="a3"/>
        <w:widowControl/>
        <w:ind w:left="0"/>
      </w:pPr>
    </w:p>
    <w:p w14:paraId="3E751F15" w14:textId="77777777" w:rsidR="00222DE0" w:rsidRPr="00EE3355" w:rsidRDefault="00222DE0" w:rsidP="00EA1CDF">
      <w:pPr>
        <w:pStyle w:val="a3"/>
        <w:widowControl/>
        <w:ind w:left="0"/>
      </w:pPr>
    </w:p>
    <w:p w14:paraId="2E36332F" w14:textId="77777777" w:rsidR="00222DE0" w:rsidRPr="00EE3355" w:rsidRDefault="00222DE0" w:rsidP="00EA1CDF">
      <w:pPr>
        <w:pStyle w:val="a3"/>
        <w:widowControl/>
        <w:ind w:left="0"/>
      </w:pPr>
    </w:p>
    <w:p w14:paraId="705661A5" w14:textId="77777777" w:rsidR="00222DE0" w:rsidRPr="00EE3355" w:rsidRDefault="00222DE0" w:rsidP="00EA1CDF">
      <w:pPr>
        <w:pStyle w:val="a3"/>
        <w:widowControl/>
        <w:ind w:left="0"/>
      </w:pPr>
    </w:p>
    <w:p w14:paraId="3CECF366" w14:textId="77777777" w:rsidR="00222DE0" w:rsidRPr="00EE3355" w:rsidRDefault="00222DE0" w:rsidP="00EA1CDF">
      <w:pPr>
        <w:pStyle w:val="a3"/>
        <w:widowControl/>
        <w:ind w:left="0"/>
      </w:pPr>
    </w:p>
    <w:p w14:paraId="32361B43" w14:textId="77777777" w:rsidR="00222DE0" w:rsidRPr="00EE3355" w:rsidRDefault="00222DE0" w:rsidP="00EA1CDF">
      <w:pPr>
        <w:pStyle w:val="a3"/>
        <w:widowControl/>
        <w:ind w:left="0"/>
      </w:pPr>
    </w:p>
    <w:p w14:paraId="60C0B713" w14:textId="77777777" w:rsidR="00222DE0" w:rsidRPr="00EE3355" w:rsidRDefault="00222DE0" w:rsidP="00EA1CDF">
      <w:pPr>
        <w:pStyle w:val="a3"/>
        <w:widowControl/>
        <w:ind w:left="0"/>
      </w:pPr>
    </w:p>
    <w:p w14:paraId="5C3C36A8" w14:textId="77777777" w:rsidR="00222DE0" w:rsidRPr="00EE3355" w:rsidRDefault="00222DE0" w:rsidP="00EA1CDF">
      <w:pPr>
        <w:pStyle w:val="a3"/>
        <w:widowControl/>
        <w:ind w:left="0"/>
      </w:pPr>
    </w:p>
    <w:p w14:paraId="0D09B44F" w14:textId="77777777" w:rsidR="00222DE0" w:rsidRPr="00EE3355" w:rsidRDefault="00222DE0" w:rsidP="00EA1CDF">
      <w:pPr>
        <w:pStyle w:val="a3"/>
        <w:widowControl/>
        <w:ind w:left="0"/>
      </w:pPr>
    </w:p>
    <w:p w14:paraId="4856F60B" w14:textId="77777777" w:rsidR="00106ADD" w:rsidRPr="00EE3355" w:rsidRDefault="00106ADD" w:rsidP="00EA1CDF">
      <w:pPr>
        <w:pStyle w:val="a3"/>
        <w:widowControl/>
        <w:ind w:left="0"/>
      </w:pPr>
    </w:p>
    <w:p w14:paraId="4B29D871" w14:textId="77777777" w:rsidR="00106ADD" w:rsidRPr="00EE3355" w:rsidRDefault="00106ADD" w:rsidP="00EA1CDF">
      <w:pPr>
        <w:pStyle w:val="a3"/>
        <w:widowControl/>
        <w:ind w:left="0"/>
      </w:pPr>
    </w:p>
    <w:p w14:paraId="1F6135BA" w14:textId="77777777" w:rsidR="00106ADD" w:rsidRPr="00EE3355" w:rsidRDefault="00106ADD" w:rsidP="00EA1CDF">
      <w:pPr>
        <w:pStyle w:val="a3"/>
        <w:widowControl/>
        <w:ind w:left="0"/>
      </w:pPr>
    </w:p>
    <w:p w14:paraId="6F56EFC4" w14:textId="77777777" w:rsidR="00106ADD" w:rsidRPr="00EE3355" w:rsidRDefault="00106ADD" w:rsidP="00EA1CDF">
      <w:pPr>
        <w:pStyle w:val="a3"/>
        <w:widowControl/>
        <w:ind w:left="0"/>
      </w:pPr>
    </w:p>
    <w:p w14:paraId="7539322D" w14:textId="77777777" w:rsidR="00222DE0" w:rsidRPr="00EE3355" w:rsidRDefault="00B23DAE" w:rsidP="00EA1CDF">
      <w:pPr>
        <w:pStyle w:val="1"/>
        <w:widowControl/>
        <w:tabs>
          <w:tab w:val="left" w:pos="3522"/>
        </w:tabs>
        <w:ind w:left="567" w:hanging="567"/>
        <w:jc w:val="center"/>
      </w:pPr>
      <w:bookmarkStart w:id="49" w:name="B._PŘÍBALOVÁ_INFORMACE"/>
      <w:bookmarkEnd w:id="49"/>
      <w:r w:rsidRPr="00EE3355">
        <w:t>B.</w:t>
      </w:r>
      <w:r w:rsidRPr="00EE3355">
        <w:tab/>
      </w:r>
      <w:r w:rsidR="0098273B" w:rsidRPr="00EE3355">
        <w:t>PŘÍBALOVÁ INFORMACE</w:t>
      </w:r>
    </w:p>
    <w:p w14:paraId="2E46F1D8" w14:textId="77777777" w:rsidR="00222DE0" w:rsidRPr="00EE3355" w:rsidRDefault="00222DE0" w:rsidP="00EA1CDF">
      <w:pPr>
        <w:widowControl/>
      </w:pPr>
    </w:p>
    <w:p w14:paraId="72B8AAEE" w14:textId="77777777" w:rsidR="007E0218" w:rsidRPr="00EE3355" w:rsidRDefault="007E0218" w:rsidP="00EA1CDF">
      <w:pPr>
        <w:widowControl/>
      </w:pPr>
      <w:r w:rsidRPr="00EE3355">
        <w:br w:type="page"/>
      </w:r>
    </w:p>
    <w:p w14:paraId="318266E5" w14:textId="77777777" w:rsidR="00222DE0" w:rsidRPr="00AB2582" w:rsidRDefault="0098273B" w:rsidP="00AB2582">
      <w:pPr>
        <w:jc w:val="center"/>
        <w:rPr>
          <w:b/>
          <w:bCs/>
        </w:rPr>
      </w:pPr>
      <w:r w:rsidRPr="00AB2582">
        <w:rPr>
          <w:b/>
          <w:bCs/>
        </w:rPr>
        <w:lastRenderedPageBreak/>
        <w:t>Příbalová informace: informace pro uživatele</w:t>
      </w:r>
    </w:p>
    <w:p w14:paraId="72B23189" w14:textId="77777777" w:rsidR="00222DE0" w:rsidRPr="00EE3355" w:rsidRDefault="00222DE0" w:rsidP="00EA1CDF">
      <w:pPr>
        <w:pStyle w:val="a3"/>
        <w:widowControl/>
        <w:ind w:left="0"/>
        <w:rPr>
          <w:b/>
        </w:rPr>
      </w:pPr>
    </w:p>
    <w:p w14:paraId="39234683" w14:textId="4D0DDA72" w:rsidR="00222DE0" w:rsidRPr="00EE3355" w:rsidRDefault="00266CA2" w:rsidP="00EA1CDF">
      <w:pPr>
        <w:widowControl/>
        <w:jc w:val="center"/>
        <w:rPr>
          <w:b/>
        </w:rPr>
      </w:pPr>
      <w:r>
        <w:rPr>
          <w:b/>
        </w:rPr>
        <w:t>Avtozma</w:t>
      </w:r>
      <w:r w:rsidR="0098273B" w:rsidRPr="00EE3355">
        <w:rPr>
          <w:b/>
        </w:rPr>
        <w:t xml:space="preserve"> 20 mg/ml, koncentrát pro infuzní roztok</w:t>
      </w:r>
    </w:p>
    <w:p w14:paraId="1954DF3E" w14:textId="1EC1C331" w:rsidR="00222DE0" w:rsidRDefault="0098273B" w:rsidP="00EA1CDF">
      <w:pPr>
        <w:pStyle w:val="a3"/>
        <w:widowControl/>
        <w:ind w:left="0"/>
        <w:jc w:val="center"/>
      </w:pPr>
      <w:r w:rsidRPr="00EE3355">
        <w:t>tocilizumab</w:t>
      </w:r>
    </w:p>
    <w:p w14:paraId="119976FB" w14:textId="77777777" w:rsidR="001041F6" w:rsidRDefault="001041F6" w:rsidP="00B93217">
      <w:pPr>
        <w:pStyle w:val="a3"/>
        <w:widowControl/>
        <w:ind w:left="0"/>
      </w:pPr>
    </w:p>
    <w:p w14:paraId="407DB378" w14:textId="23ADDB9F" w:rsidR="001041F6" w:rsidRPr="00EE3355" w:rsidRDefault="00C301E6" w:rsidP="00B93217">
      <w:pPr>
        <w:pStyle w:val="a3"/>
        <w:widowControl/>
        <w:ind w:left="0"/>
      </w:pPr>
      <w:r>
        <w:rPr>
          <w:noProof/>
          <w:lang w:val="en-US" w:eastAsia="ko-KR"/>
        </w:rPr>
        <w:drawing>
          <wp:inline distT="0" distB="0" distL="0" distR="0" wp14:anchorId="3F8F21EE" wp14:editId="14B5F612">
            <wp:extent cx="191135" cy="159385"/>
            <wp:effectExtent l="0" t="0" r="0" b="0"/>
            <wp:docPr id="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59385"/>
                    </a:xfrm>
                    <a:prstGeom prst="rect">
                      <a:avLst/>
                    </a:prstGeom>
                    <a:noFill/>
                    <a:ln>
                      <a:noFill/>
                    </a:ln>
                  </pic:spPr>
                </pic:pic>
              </a:graphicData>
            </a:graphic>
          </wp:inline>
        </w:drawing>
      </w:r>
      <w:r w:rsidR="001041F6" w:rsidRPr="001041F6">
        <w:t>Tento přípravek podléhá dalšímu sledování. To umožní rychlé získání nových informací o</w:t>
      </w:r>
      <w:r w:rsidR="001041F6">
        <w:t> </w:t>
      </w:r>
      <w:r w:rsidR="001041F6" w:rsidRPr="001041F6">
        <w:t>bezpečnosti. Můžete přispět tím, že nahlásíte jakékoli nežádoucí účinky, které se u Vás vyskytnou. Jak hlásit nežádoucí účinky je popsáno v závěru bodu 4.</w:t>
      </w:r>
    </w:p>
    <w:p w14:paraId="68050438" w14:textId="77777777" w:rsidR="00222DE0" w:rsidRPr="00EE3355" w:rsidRDefault="00222DE0" w:rsidP="00EA1CDF">
      <w:pPr>
        <w:pStyle w:val="a3"/>
        <w:widowControl/>
        <w:ind w:left="0"/>
      </w:pPr>
    </w:p>
    <w:p w14:paraId="237FC91D" w14:textId="77777777" w:rsidR="00222DE0" w:rsidRPr="00AB2582" w:rsidRDefault="0098273B" w:rsidP="00AB2582">
      <w:pPr>
        <w:rPr>
          <w:b/>
          <w:bCs/>
        </w:rPr>
      </w:pPr>
      <w:r w:rsidRPr="00AB2582">
        <w:rPr>
          <w:b/>
          <w:bCs/>
        </w:rPr>
        <w:t>Přečtěte si pozorně celou příbalovou informaci dříve, než začnete tento přípravek používat,</w:t>
      </w:r>
      <w:r w:rsidR="00307193" w:rsidRPr="00AB2582">
        <w:rPr>
          <w:b/>
          <w:bCs/>
        </w:rPr>
        <w:t xml:space="preserve"> </w:t>
      </w:r>
      <w:r w:rsidRPr="00AB2582">
        <w:rPr>
          <w:b/>
          <w:bCs/>
        </w:rPr>
        <w:t>protože obsahuje pro Vás důležité údaje.</w:t>
      </w:r>
    </w:p>
    <w:p w14:paraId="78531F2B"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Ponechte si příbalovou informaci pro případ, že si ji budete potřebovat přečíst znovu.</w:t>
      </w:r>
    </w:p>
    <w:p w14:paraId="27DFB952"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Máte-li jakékoli další otázky, zeptejte se svého lékaře nebo zdravotní sestry.</w:t>
      </w:r>
    </w:p>
    <w:p w14:paraId="4CD54CA4"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Tento přípravek byl předepsán výhradně Vám.</w:t>
      </w:r>
    </w:p>
    <w:p w14:paraId="2DE9FEDB"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Pokud se u Vás vyskytne kterýkoli z nežádoucích účinků, sdělte to svému lékaři nebo zdravotní sestře. Stejně postupujte v případě jakýchkoli nežádoucích účinků, které nejsou uvedeny v této příbalové informaci. Viz bod 4.</w:t>
      </w:r>
    </w:p>
    <w:p w14:paraId="04E2D1C8" w14:textId="77777777" w:rsidR="00222DE0" w:rsidRPr="00EE3355" w:rsidRDefault="00222DE0" w:rsidP="00EA1CDF">
      <w:pPr>
        <w:pStyle w:val="a3"/>
        <w:widowControl/>
        <w:ind w:left="0"/>
      </w:pPr>
    </w:p>
    <w:p w14:paraId="0C969E4E" w14:textId="27823423" w:rsidR="00222DE0" w:rsidRPr="00EE3355" w:rsidRDefault="0098273B" w:rsidP="00EA1CDF">
      <w:pPr>
        <w:pStyle w:val="a3"/>
        <w:widowControl/>
        <w:ind w:left="0"/>
      </w:pPr>
      <w:r w:rsidRPr="00EE3355">
        <w:t xml:space="preserve">K této příbalové informaci dostanete navíc i </w:t>
      </w:r>
      <w:r w:rsidRPr="00EE3355">
        <w:rPr>
          <w:b/>
        </w:rPr>
        <w:t>Kartu pacienta</w:t>
      </w:r>
      <w:r w:rsidRPr="00EE3355">
        <w:t xml:space="preserve">, která obsahuje důležité bezpečnostní informace, které musíte znát dříve, než začnete přípravek </w:t>
      </w:r>
      <w:r w:rsidR="00266CA2">
        <w:t>Avtozma</w:t>
      </w:r>
      <w:r w:rsidRPr="00EE3355">
        <w:t xml:space="preserve"> používat, a i během léčby tímto přípravkem.</w:t>
      </w:r>
    </w:p>
    <w:p w14:paraId="0943D61B" w14:textId="77777777" w:rsidR="008940E2" w:rsidRPr="00EE3355" w:rsidRDefault="008940E2" w:rsidP="00EA1CDF">
      <w:pPr>
        <w:pStyle w:val="a3"/>
        <w:widowControl/>
        <w:ind w:left="0"/>
      </w:pPr>
    </w:p>
    <w:p w14:paraId="0A796D07" w14:textId="77777777" w:rsidR="00222DE0" w:rsidRPr="00AB2582" w:rsidRDefault="0098273B" w:rsidP="00AB2582">
      <w:pPr>
        <w:rPr>
          <w:b/>
          <w:bCs/>
        </w:rPr>
      </w:pPr>
      <w:r w:rsidRPr="00AB2582">
        <w:rPr>
          <w:b/>
          <w:bCs/>
        </w:rPr>
        <w:t>Co naleznete v této příbalové informaci</w:t>
      </w:r>
      <w:r w:rsidRPr="00AB2582">
        <w:t>:</w:t>
      </w:r>
    </w:p>
    <w:p w14:paraId="6F586741" w14:textId="4916EBB2" w:rsidR="00222DE0" w:rsidRPr="00EE3355" w:rsidRDefault="00B23DAE" w:rsidP="00EA1CDF">
      <w:pPr>
        <w:widowControl/>
        <w:tabs>
          <w:tab w:val="left" w:pos="806"/>
        </w:tabs>
        <w:ind w:left="567" w:hanging="567"/>
      </w:pPr>
      <w:r w:rsidRPr="00EE3355">
        <w:t>1.</w:t>
      </w:r>
      <w:r w:rsidRPr="00EE3355">
        <w:tab/>
      </w:r>
      <w:r w:rsidR="0098273B" w:rsidRPr="00EE3355">
        <w:t xml:space="preserve">Co je přípravek </w:t>
      </w:r>
      <w:r w:rsidR="00266CA2">
        <w:t>Avtozma</w:t>
      </w:r>
      <w:r w:rsidR="0098273B" w:rsidRPr="00EE3355">
        <w:t xml:space="preserve"> a k čemu se používá</w:t>
      </w:r>
    </w:p>
    <w:p w14:paraId="2D7E0DEB" w14:textId="0F5CE25C" w:rsidR="00222DE0" w:rsidRPr="00EE3355" w:rsidRDefault="00B23DAE" w:rsidP="00EA1CDF">
      <w:pPr>
        <w:widowControl/>
        <w:tabs>
          <w:tab w:val="left" w:pos="805"/>
        </w:tabs>
        <w:ind w:left="567" w:hanging="567"/>
      </w:pPr>
      <w:r w:rsidRPr="00EE3355">
        <w:t>2.</w:t>
      </w:r>
      <w:r w:rsidRPr="00EE3355">
        <w:tab/>
      </w:r>
      <w:r w:rsidR="0098273B" w:rsidRPr="00EE3355">
        <w:t xml:space="preserve">Čemu musíte věnovat pozornost, než začnete přípravek </w:t>
      </w:r>
      <w:r w:rsidR="00266CA2">
        <w:t>Avtozma</w:t>
      </w:r>
      <w:r w:rsidR="0098273B" w:rsidRPr="00EE3355">
        <w:t xml:space="preserve"> používat</w:t>
      </w:r>
    </w:p>
    <w:p w14:paraId="57E8BA06" w14:textId="79649CF7" w:rsidR="00222DE0" w:rsidRPr="00EE3355" w:rsidRDefault="00B23DAE" w:rsidP="00EA1CDF">
      <w:pPr>
        <w:widowControl/>
        <w:tabs>
          <w:tab w:val="left" w:pos="805"/>
        </w:tabs>
        <w:ind w:left="567" w:hanging="567"/>
      </w:pPr>
      <w:r w:rsidRPr="00EE3355">
        <w:t>3.</w:t>
      </w:r>
      <w:r w:rsidRPr="00EE3355">
        <w:tab/>
      </w:r>
      <w:r w:rsidR="0098273B" w:rsidRPr="00EE3355">
        <w:t xml:space="preserve">Jak se přípravek </w:t>
      </w:r>
      <w:r w:rsidR="00266CA2">
        <w:t>Avtozma</w:t>
      </w:r>
      <w:r w:rsidR="0098273B" w:rsidRPr="00EE3355">
        <w:t xml:space="preserve"> používá</w:t>
      </w:r>
    </w:p>
    <w:p w14:paraId="1635673A" w14:textId="77777777" w:rsidR="00222DE0" w:rsidRPr="00EE3355" w:rsidRDefault="00B23DAE" w:rsidP="00EA1CDF">
      <w:pPr>
        <w:widowControl/>
        <w:tabs>
          <w:tab w:val="left" w:pos="805"/>
        </w:tabs>
        <w:ind w:left="567" w:hanging="567"/>
      </w:pPr>
      <w:r w:rsidRPr="00EE3355">
        <w:t>4.</w:t>
      </w:r>
      <w:r w:rsidRPr="00EE3355">
        <w:tab/>
      </w:r>
      <w:r w:rsidR="0098273B" w:rsidRPr="00EE3355">
        <w:t>Možné nežádoucí účinky</w:t>
      </w:r>
    </w:p>
    <w:p w14:paraId="19C5D6E4" w14:textId="23E69CC1" w:rsidR="00222DE0" w:rsidRPr="00EE3355" w:rsidRDefault="00B23DAE" w:rsidP="00EA1CDF">
      <w:pPr>
        <w:widowControl/>
        <w:tabs>
          <w:tab w:val="left" w:pos="805"/>
        </w:tabs>
        <w:ind w:left="567" w:hanging="567"/>
      </w:pPr>
      <w:r w:rsidRPr="00EE3355">
        <w:t>5.</w:t>
      </w:r>
      <w:r w:rsidRPr="00EE3355">
        <w:tab/>
      </w:r>
      <w:r w:rsidR="0098273B" w:rsidRPr="00EE3355">
        <w:t xml:space="preserve">Jak přípravek </w:t>
      </w:r>
      <w:r w:rsidR="00266CA2">
        <w:t>Avtozma</w:t>
      </w:r>
      <w:r w:rsidR="0098273B" w:rsidRPr="00EE3355">
        <w:t xml:space="preserve"> uchovávat</w:t>
      </w:r>
    </w:p>
    <w:p w14:paraId="55D1B2DB" w14:textId="77777777" w:rsidR="00222DE0" w:rsidRPr="00EE3355" w:rsidRDefault="00B23DAE" w:rsidP="00EA1CDF">
      <w:pPr>
        <w:widowControl/>
        <w:tabs>
          <w:tab w:val="left" w:pos="805"/>
        </w:tabs>
        <w:ind w:left="567" w:hanging="567"/>
      </w:pPr>
      <w:r w:rsidRPr="00EE3355">
        <w:t>6.</w:t>
      </w:r>
      <w:r w:rsidRPr="00EE3355">
        <w:tab/>
      </w:r>
      <w:r w:rsidR="0098273B" w:rsidRPr="00EE3355">
        <w:t>Obsah balení a další informace</w:t>
      </w:r>
    </w:p>
    <w:p w14:paraId="68C76714" w14:textId="77777777" w:rsidR="00222DE0" w:rsidRPr="00EE3355" w:rsidRDefault="00222DE0" w:rsidP="00EA1CDF">
      <w:pPr>
        <w:pStyle w:val="a3"/>
        <w:widowControl/>
        <w:ind w:left="0"/>
      </w:pPr>
    </w:p>
    <w:p w14:paraId="44CA5D35" w14:textId="77777777" w:rsidR="00222DE0" w:rsidRPr="00AB2582" w:rsidRDefault="00222DE0" w:rsidP="00EA1CDF">
      <w:pPr>
        <w:pStyle w:val="a3"/>
        <w:widowControl/>
        <w:ind w:left="0"/>
        <w:rPr>
          <w:b/>
          <w:bCs/>
        </w:rPr>
      </w:pPr>
    </w:p>
    <w:p w14:paraId="22668629" w14:textId="611856AD" w:rsidR="00222DE0" w:rsidRPr="00AB2582" w:rsidRDefault="00B23DAE" w:rsidP="00AB2582">
      <w:pPr>
        <w:rPr>
          <w:b/>
          <w:bCs/>
        </w:rPr>
      </w:pPr>
      <w:r w:rsidRPr="00AB2582">
        <w:rPr>
          <w:b/>
          <w:bCs/>
        </w:rPr>
        <w:t>1.</w:t>
      </w:r>
      <w:r w:rsidRPr="00AB2582">
        <w:rPr>
          <w:b/>
          <w:bCs/>
        </w:rPr>
        <w:tab/>
      </w:r>
      <w:r w:rsidR="0098273B" w:rsidRPr="00AB2582">
        <w:rPr>
          <w:b/>
          <w:bCs/>
        </w:rPr>
        <w:t xml:space="preserve">Co je přípravek </w:t>
      </w:r>
      <w:r w:rsidR="00266CA2" w:rsidRPr="00AB2582">
        <w:rPr>
          <w:b/>
          <w:bCs/>
        </w:rPr>
        <w:t>Avtozma</w:t>
      </w:r>
      <w:r w:rsidR="0098273B" w:rsidRPr="00AB2582">
        <w:rPr>
          <w:b/>
          <w:bCs/>
        </w:rPr>
        <w:t xml:space="preserve"> a k čemu se používá</w:t>
      </w:r>
    </w:p>
    <w:p w14:paraId="52358672" w14:textId="77777777" w:rsidR="0028376A" w:rsidRPr="00EE3355" w:rsidRDefault="0028376A" w:rsidP="00EA1CDF">
      <w:pPr>
        <w:pStyle w:val="a3"/>
        <w:widowControl/>
        <w:ind w:left="0"/>
      </w:pPr>
    </w:p>
    <w:p w14:paraId="6A739C0D" w14:textId="106AB56B" w:rsidR="00222DE0" w:rsidRPr="00EE3355" w:rsidRDefault="0098273B" w:rsidP="00EA1CDF">
      <w:pPr>
        <w:pStyle w:val="a3"/>
        <w:widowControl/>
        <w:ind w:left="0"/>
      </w:pPr>
      <w:r w:rsidRPr="00EE3355">
        <w:t xml:space="preserve">Přípravek </w:t>
      </w:r>
      <w:r w:rsidR="00266CA2">
        <w:t>Avtozma</w:t>
      </w:r>
      <w:r w:rsidRPr="00EE3355">
        <w:t xml:space="preserve"> obsahuje látku nazývanou tocilizumab, </w:t>
      </w:r>
      <w:r w:rsidR="0010656A">
        <w:t>bílkovinu</w:t>
      </w:r>
      <w:r w:rsidR="0010656A" w:rsidRPr="00EE3355">
        <w:t xml:space="preserve"> </w:t>
      </w:r>
      <w:r w:rsidRPr="00EE3355">
        <w:t>tvořen</w:t>
      </w:r>
      <w:r w:rsidR="0010656A">
        <w:t>ou</w:t>
      </w:r>
      <w:r w:rsidRPr="00EE3355">
        <w:t xml:space="preserve"> specifickými imunitními buňkami (monoklonální protilátka), kter</w:t>
      </w:r>
      <w:r w:rsidR="0010656A">
        <w:t>á</w:t>
      </w:r>
      <w:r w:rsidRPr="00EE3355">
        <w:t xml:space="preserve"> blokuje účinek určité bílkoviny (cytokinu) nazývané interleukin-6. Tato bílkovina se podílí na zánětlivých procesech v těle a jejím blokováním se může zmírnit zánět v těle. Přípravek </w:t>
      </w:r>
      <w:r w:rsidR="00266CA2">
        <w:t>Avtozma</w:t>
      </w:r>
      <w:r w:rsidRPr="00EE3355">
        <w:t xml:space="preserve"> napomáhá zmírňovat příznaky, jako jsou bolest a otok kloubů a také dokáže zlepšit Vaši schopnost vykonávat běžné denní činnosti. Bylo prokázáno, že přípravek </w:t>
      </w:r>
      <w:r w:rsidR="00266CA2">
        <w:t>Avtozma</w:t>
      </w:r>
      <w:r w:rsidRPr="00EE3355">
        <w:t xml:space="preserve"> zpomaluje poškozování chrupavky a kostí v kloubech, které je způsobeno onemocněním, a zlepšuje schopnost provádět obvyklé denní aktivity.</w:t>
      </w:r>
    </w:p>
    <w:p w14:paraId="70369A5A" w14:textId="77777777" w:rsidR="00222DE0" w:rsidRPr="00EE3355" w:rsidRDefault="00222DE0" w:rsidP="00EA1CDF">
      <w:pPr>
        <w:pStyle w:val="a3"/>
        <w:widowControl/>
        <w:ind w:left="0"/>
      </w:pPr>
    </w:p>
    <w:p w14:paraId="79CC63A8" w14:textId="295B8F71" w:rsidR="00222DE0" w:rsidRDefault="00B23DAE" w:rsidP="00EA1CDF">
      <w:pPr>
        <w:widowControl/>
        <w:tabs>
          <w:tab w:val="left" w:pos="945"/>
        </w:tabs>
        <w:ind w:left="567" w:hanging="567"/>
      </w:pPr>
      <w:r w:rsidRPr="00EE3355">
        <w:rPr>
          <w:rFonts w:ascii="Symbol" w:eastAsia="Symbol" w:hAnsi="Symbol" w:cs="Symbol"/>
        </w:rPr>
        <w:t></w:t>
      </w:r>
      <w:r w:rsidRPr="00EE3355">
        <w:rPr>
          <w:rFonts w:ascii="Symbol" w:eastAsia="Symbol" w:hAnsi="Symbol" w:cs="Symbol"/>
        </w:rPr>
        <w:tab/>
      </w:r>
      <w:r w:rsidR="0098273B" w:rsidRPr="00EE3355">
        <w:rPr>
          <w:b/>
        </w:rPr>
        <w:t xml:space="preserve">Přípravek </w:t>
      </w:r>
      <w:r w:rsidR="00266CA2">
        <w:rPr>
          <w:b/>
        </w:rPr>
        <w:t>Avtozma</w:t>
      </w:r>
      <w:r w:rsidR="0098273B" w:rsidRPr="00EE3355">
        <w:rPr>
          <w:b/>
        </w:rPr>
        <w:t xml:space="preserve"> se používá k léčbě dospělých </w:t>
      </w:r>
      <w:r w:rsidR="0098273B" w:rsidRPr="00EE3355">
        <w:t xml:space="preserve">se středně těžkou až těžkou aktivní revmatoidní artritidou (RA), autoimunitního onemocnění, pokud předcházející léčby nebyly dostatečně účinné. Přípravek </w:t>
      </w:r>
      <w:r w:rsidR="00266CA2">
        <w:t>Avtozma</w:t>
      </w:r>
      <w:r w:rsidR="0098273B" w:rsidRPr="00EE3355">
        <w:t xml:space="preserve"> se obvykle podává v kombinaci s methotrexátem. Přípravek </w:t>
      </w:r>
      <w:r w:rsidR="00266CA2">
        <w:t>Avtozma</w:t>
      </w:r>
      <w:r w:rsidR="0098273B" w:rsidRPr="00EE3355">
        <w:t xml:space="preserve"> se však může podávat samostatně, pokud Váš lékař rozhodne, že methotrexát pro Vás není vhodný.</w:t>
      </w:r>
    </w:p>
    <w:p w14:paraId="311812B4" w14:textId="77777777" w:rsidR="00307193" w:rsidRPr="00EE3355" w:rsidRDefault="00307193" w:rsidP="00EA1CDF">
      <w:pPr>
        <w:widowControl/>
        <w:tabs>
          <w:tab w:val="left" w:pos="945"/>
        </w:tabs>
        <w:ind w:left="567" w:hanging="567"/>
      </w:pPr>
    </w:p>
    <w:p w14:paraId="039241CF" w14:textId="389AB0F3" w:rsidR="00222DE0" w:rsidRPr="00EE3355" w:rsidRDefault="00B23DAE" w:rsidP="00EA1CDF">
      <w:pPr>
        <w:widowControl/>
        <w:tabs>
          <w:tab w:val="left" w:pos="94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Přípravek </w:t>
      </w:r>
      <w:r w:rsidR="00266CA2">
        <w:t>Avtozma</w:t>
      </w:r>
      <w:r w:rsidR="0098273B" w:rsidRPr="00EE3355">
        <w:t xml:space="preserve"> se rovněž používá k léčbě dospělých s těžkou, aktivní a progresivní revmatoidní artritidou, kteří nebyli dříve léčeni methotrexátem.</w:t>
      </w:r>
    </w:p>
    <w:p w14:paraId="1CF36171" w14:textId="77777777" w:rsidR="00222DE0" w:rsidRPr="00EE3355" w:rsidRDefault="00222DE0" w:rsidP="00EA1CDF">
      <w:pPr>
        <w:pStyle w:val="a3"/>
        <w:widowControl/>
        <w:ind w:left="0"/>
      </w:pPr>
    </w:p>
    <w:p w14:paraId="3FEDEB37" w14:textId="7F634972" w:rsidR="00222DE0" w:rsidRPr="00EE3355" w:rsidRDefault="00B23DAE" w:rsidP="00EA1CDF">
      <w:pPr>
        <w:widowControl/>
        <w:tabs>
          <w:tab w:val="left" w:pos="945"/>
        </w:tabs>
        <w:ind w:left="567" w:hanging="567"/>
      </w:pPr>
      <w:r w:rsidRPr="00EE3355">
        <w:rPr>
          <w:rFonts w:ascii="Symbol" w:eastAsia="Symbol" w:hAnsi="Symbol" w:cs="Symbol"/>
        </w:rPr>
        <w:t></w:t>
      </w:r>
      <w:r w:rsidRPr="00EE3355">
        <w:rPr>
          <w:rFonts w:ascii="Symbol" w:eastAsia="Symbol" w:hAnsi="Symbol" w:cs="Symbol"/>
        </w:rPr>
        <w:tab/>
      </w:r>
      <w:r w:rsidR="0098273B" w:rsidRPr="00EE3355">
        <w:rPr>
          <w:b/>
        </w:rPr>
        <w:t xml:space="preserve">Přípravek </w:t>
      </w:r>
      <w:r w:rsidR="00266CA2">
        <w:rPr>
          <w:b/>
        </w:rPr>
        <w:t>Avtozma</w:t>
      </w:r>
      <w:r w:rsidR="0098273B" w:rsidRPr="00EE3355">
        <w:rPr>
          <w:b/>
        </w:rPr>
        <w:t xml:space="preserve"> se používá k léčbě dětí se sJIA. </w:t>
      </w:r>
      <w:r w:rsidR="0098273B" w:rsidRPr="00EE3355">
        <w:t xml:space="preserve">Přípravek </w:t>
      </w:r>
      <w:r w:rsidR="00266CA2">
        <w:t>Avtozma</w:t>
      </w:r>
      <w:r w:rsidR="0098273B" w:rsidRPr="00EE3355">
        <w:t xml:space="preserve"> se používá u dětí ve věku 2 let a starších s </w:t>
      </w:r>
      <w:r w:rsidR="0098273B" w:rsidRPr="00EE3355">
        <w:rPr>
          <w:b/>
        </w:rPr>
        <w:t>aktivní systémovou juvenilní idiopatickou artritidou (sJIA)</w:t>
      </w:r>
      <w:r w:rsidR="0098273B" w:rsidRPr="00EE3355">
        <w:t xml:space="preserve">, zánětlivým onemocněním, které způsobuje bolest a otok jednoho nebo více kloubů, horečku a vyrážku. Přípravek </w:t>
      </w:r>
      <w:r w:rsidR="00266CA2">
        <w:t>Avtozma</w:t>
      </w:r>
      <w:r w:rsidR="0098273B" w:rsidRPr="00EE3355">
        <w:t xml:space="preserve"> se používá ke zlepšení příznaků sJIA a lze jej podávat v kombinaci s methotrexátem nebo samotný.</w:t>
      </w:r>
    </w:p>
    <w:p w14:paraId="25657B8B" w14:textId="77777777" w:rsidR="00222DE0" w:rsidRPr="00EE3355" w:rsidRDefault="00222DE0" w:rsidP="00EA1CDF">
      <w:pPr>
        <w:widowControl/>
      </w:pPr>
    </w:p>
    <w:p w14:paraId="41413FD0" w14:textId="0739EAD6" w:rsidR="00222DE0" w:rsidRPr="00EE3355" w:rsidRDefault="00B23DAE" w:rsidP="00EA1CDF">
      <w:pPr>
        <w:widowControl/>
        <w:tabs>
          <w:tab w:val="left" w:pos="946"/>
        </w:tabs>
        <w:ind w:left="567" w:hanging="567"/>
      </w:pPr>
      <w:r w:rsidRPr="00EE3355">
        <w:rPr>
          <w:rFonts w:ascii="Symbol" w:eastAsia="Symbol" w:hAnsi="Symbol" w:cs="Symbol"/>
        </w:rPr>
        <w:lastRenderedPageBreak/>
        <w:t></w:t>
      </w:r>
      <w:r w:rsidRPr="00EE3355">
        <w:rPr>
          <w:rFonts w:ascii="Symbol" w:eastAsia="Symbol" w:hAnsi="Symbol" w:cs="Symbol"/>
        </w:rPr>
        <w:tab/>
      </w:r>
      <w:r w:rsidR="0098273B" w:rsidRPr="00EE3355">
        <w:rPr>
          <w:b/>
        </w:rPr>
        <w:t xml:space="preserve">Přípravek </w:t>
      </w:r>
      <w:r w:rsidR="00266CA2">
        <w:rPr>
          <w:b/>
        </w:rPr>
        <w:t>Avtozma</w:t>
      </w:r>
      <w:r w:rsidR="0098273B" w:rsidRPr="00EE3355">
        <w:rPr>
          <w:b/>
        </w:rPr>
        <w:t xml:space="preserve"> se používá k léčbě dětí s pJIA. </w:t>
      </w:r>
      <w:r w:rsidR="0098273B" w:rsidRPr="00EE3355">
        <w:t xml:space="preserve">Přípravek </w:t>
      </w:r>
      <w:r w:rsidR="00266CA2">
        <w:t>Avtozma</w:t>
      </w:r>
      <w:r w:rsidR="0098273B" w:rsidRPr="00EE3355">
        <w:t xml:space="preserve"> se používá u dětí ve věku 2 let a starších s aktivní </w:t>
      </w:r>
      <w:r w:rsidR="0098273B" w:rsidRPr="00EE3355">
        <w:rPr>
          <w:b/>
        </w:rPr>
        <w:t>polyartikulární juvenilní idiopatickou artritidou (pJIA)</w:t>
      </w:r>
      <w:r w:rsidR="0098273B" w:rsidRPr="00EE3355">
        <w:t xml:space="preserve">, zánětlivým onemocněním, které způsobuje bolest a otok jednoho nebo více kloubů. Přípravek </w:t>
      </w:r>
      <w:r w:rsidR="00266CA2">
        <w:t>Avtozma</w:t>
      </w:r>
      <w:r w:rsidR="0098273B" w:rsidRPr="00EE3355">
        <w:t xml:space="preserve"> se používá ke zlepšení příznaků pJIA a lze jej podávat v kombinaci s methotrexátem nebo samotný.</w:t>
      </w:r>
    </w:p>
    <w:p w14:paraId="7F39F0DD" w14:textId="77777777" w:rsidR="00222DE0" w:rsidRPr="00EE3355" w:rsidRDefault="00222DE0" w:rsidP="00EA1CDF">
      <w:pPr>
        <w:pStyle w:val="a3"/>
        <w:widowControl/>
        <w:ind w:left="0"/>
      </w:pPr>
    </w:p>
    <w:p w14:paraId="6CDA5A79" w14:textId="53F2BE3A" w:rsidR="00222DE0" w:rsidRDefault="00B23DAE" w:rsidP="00EA1CDF">
      <w:pPr>
        <w:widowControl/>
        <w:tabs>
          <w:tab w:val="left" w:pos="946"/>
        </w:tabs>
        <w:ind w:left="567" w:hanging="567"/>
      </w:pPr>
      <w:r w:rsidRPr="00EE3355">
        <w:rPr>
          <w:rFonts w:ascii="Symbol" w:eastAsia="Symbol" w:hAnsi="Symbol" w:cs="Symbol"/>
        </w:rPr>
        <w:t></w:t>
      </w:r>
      <w:r w:rsidRPr="00EE3355">
        <w:rPr>
          <w:rFonts w:ascii="Symbol" w:eastAsia="Symbol" w:hAnsi="Symbol" w:cs="Symbol"/>
        </w:rPr>
        <w:tab/>
      </w:r>
      <w:r w:rsidR="0098273B" w:rsidRPr="00EE3355">
        <w:rPr>
          <w:b/>
        </w:rPr>
        <w:t xml:space="preserve">Přípravek </w:t>
      </w:r>
      <w:r w:rsidR="00266CA2">
        <w:rPr>
          <w:b/>
        </w:rPr>
        <w:t>Avtozma</w:t>
      </w:r>
      <w:r w:rsidR="0098273B" w:rsidRPr="00EE3355">
        <w:rPr>
          <w:b/>
        </w:rPr>
        <w:t xml:space="preserve"> se používá k léčbě dospělých a dětí </w:t>
      </w:r>
      <w:r w:rsidR="0098273B" w:rsidRPr="00EE3355">
        <w:t xml:space="preserve">od 2 let s těžkým nebo život ohrožujícím </w:t>
      </w:r>
      <w:r w:rsidR="0098273B" w:rsidRPr="00EE3355">
        <w:rPr>
          <w:b/>
        </w:rPr>
        <w:t>syndromem z uvolnění cytokinů (CRS)</w:t>
      </w:r>
      <w:r w:rsidR="0098273B" w:rsidRPr="00EE3355">
        <w:t>, což je nežádoucí účinek u pacientů léčených T lymfocyty upravenými pomocí chimérického antigenního receptoru (CAR) používanými k léčbě některých typů nádorových onemocnění.</w:t>
      </w:r>
    </w:p>
    <w:p w14:paraId="0FCDCE78" w14:textId="77777777" w:rsidR="00307193" w:rsidRPr="00EE3355" w:rsidRDefault="00307193" w:rsidP="00EA1CDF">
      <w:pPr>
        <w:widowControl/>
        <w:tabs>
          <w:tab w:val="left" w:pos="946"/>
        </w:tabs>
        <w:ind w:left="567" w:hanging="567"/>
      </w:pPr>
    </w:p>
    <w:p w14:paraId="65768478" w14:textId="22789089" w:rsidR="00222DE0" w:rsidRPr="00EE3355" w:rsidRDefault="00B23DAE" w:rsidP="00EA1CDF">
      <w:pPr>
        <w:widowControl/>
        <w:tabs>
          <w:tab w:val="left" w:pos="974"/>
        </w:tabs>
        <w:ind w:left="567" w:hanging="567"/>
      </w:pPr>
      <w:r w:rsidRPr="00EE3355">
        <w:rPr>
          <w:rFonts w:ascii="Symbol" w:eastAsia="Symbol" w:hAnsi="Symbol" w:cs="Symbol"/>
        </w:rPr>
        <w:t></w:t>
      </w:r>
      <w:r w:rsidRPr="00EE3355">
        <w:rPr>
          <w:rFonts w:ascii="Symbol" w:eastAsia="Symbol" w:hAnsi="Symbol" w:cs="Symbol"/>
        </w:rPr>
        <w:tab/>
      </w:r>
      <w:r w:rsidR="0098273B" w:rsidRPr="00EE3355">
        <w:rPr>
          <w:b/>
        </w:rPr>
        <w:t xml:space="preserve">Přípravek </w:t>
      </w:r>
      <w:r w:rsidR="00266CA2">
        <w:rPr>
          <w:b/>
        </w:rPr>
        <w:t>Avtozma</w:t>
      </w:r>
      <w:r w:rsidR="0098273B" w:rsidRPr="00EE3355">
        <w:rPr>
          <w:b/>
        </w:rPr>
        <w:t xml:space="preserve"> se používá k léčbě dospělých </w:t>
      </w:r>
      <w:r w:rsidR="0098273B" w:rsidRPr="00EE3355">
        <w:t>s onemocněním způsobeným koronavirem 2019 (COVID-19), kteří užívají systémové (celkově podávané) kortikosteroidy a vyžadují doplňkovou léčbu kyslíkem nebo mechanickou ventilaci.</w:t>
      </w:r>
    </w:p>
    <w:p w14:paraId="0EC4D640" w14:textId="77777777" w:rsidR="00222DE0" w:rsidRPr="00EE3355" w:rsidRDefault="00222DE0" w:rsidP="00EA1CDF">
      <w:pPr>
        <w:pStyle w:val="a3"/>
        <w:widowControl/>
        <w:ind w:left="0"/>
      </w:pPr>
    </w:p>
    <w:p w14:paraId="305C02E2" w14:textId="064DACF8" w:rsidR="00307193" w:rsidRPr="00AB2582" w:rsidRDefault="00B23DAE" w:rsidP="00AB2582">
      <w:pPr>
        <w:rPr>
          <w:b/>
          <w:bCs/>
        </w:rPr>
      </w:pPr>
      <w:r w:rsidRPr="00AB2582">
        <w:rPr>
          <w:b/>
          <w:bCs/>
        </w:rPr>
        <w:t>2.</w:t>
      </w:r>
      <w:r w:rsidRPr="00AB2582">
        <w:rPr>
          <w:b/>
          <w:bCs/>
        </w:rPr>
        <w:tab/>
      </w:r>
      <w:r w:rsidR="0098273B" w:rsidRPr="00AB2582">
        <w:rPr>
          <w:b/>
          <w:bCs/>
        </w:rPr>
        <w:t xml:space="preserve">Čemu musíte věnovat pozornost, než začnete přípravek </w:t>
      </w:r>
      <w:r w:rsidR="00266CA2" w:rsidRPr="00AB2582">
        <w:rPr>
          <w:b/>
          <w:bCs/>
        </w:rPr>
        <w:t>Avtozma</w:t>
      </w:r>
      <w:r w:rsidR="0098273B" w:rsidRPr="00AB2582">
        <w:rPr>
          <w:b/>
          <w:bCs/>
        </w:rPr>
        <w:t xml:space="preserve"> používat </w:t>
      </w:r>
    </w:p>
    <w:p w14:paraId="54E76354" w14:textId="77777777" w:rsidR="00307193" w:rsidRPr="00AB2582" w:rsidRDefault="00307193" w:rsidP="00943257">
      <w:pPr>
        <w:rPr>
          <w:b/>
          <w:bCs/>
        </w:rPr>
      </w:pPr>
    </w:p>
    <w:p w14:paraId="4BDA7571" w14:textId="6CF1475C" w:rsidR="00222DE0" w:rsidRPr="00AB2582" w:rsidRDefault="0098273B" w:rsidP="00AB2582">
      <w:pPr>
        <w:rPr>
          <w:b/>
          <w:bCs/>
        </w:rPr>
      </w:pPr>
      <w:r w:rsidRPr="00AB2582">
        <w:rPr>
          <w:b/>
          <w:bCs/>
        </w:rPr>
        <w:t xml:space="preserve">Přípravek </w:t>
      </w:r>
      <w:r w:rsidR="001041F6" w:rsidRPr="00AB2582">
        <w:rPr>
          <w:b/>
          <w:bCs/>
        </w:rPr>
        <w:t>Avtozma</w:t>
      </w:r>
      <w:r w:rsidRPr="00AB2582">
        <w:rPr>
          <w:b/>
          <w:bCs/>
        </w:rPr>
        <w:t xml:space="preserve"> Vám nesmí být podán</w:t>
      </w:r>
    </w:p>
    <w:p w14:paraId="16D8476C" w14:textId="68BE843D" w:rsidR="00222DE0" w:rsidRPr="00EE3355" w:rsidRDefault="00B23DAE" w:rsidP="00C41310">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jste </w:t>
      </w:r>
      <w:r w:rsidR="0098273B" w:rsidRPr="00EE3355">
        <w:rPr>
          <w:b/>
        </w:rPr>
        <w:t xml:space="preserve">alergický(á) </w:t>
      </w:r>
      <w:r w:rsidR="0098273B" w:rsidRPr="00EE3355">
        <w:t>na tocilizumab nebo na kteroukoli další složku tohoto přípravku</w:t>
      </w:r>
      <w:r w:rsidR="00382E33" w:rsidRPr="00EE3355">
        <w:t xml:space="preserve"> </w:t>
      </w:r>
      <w:r w:rsidR="0098273B" w:rsidRPr="00EE3355">
        <w:t>(uvedenou v bodě 6).</w:t>
      </w:r>
      <w:r w:rsidR="0078046A">
        <w:t xml:space="preserve"> (Viz zvláštní upozornění na konci </w:t>
      </w:r>
      <w:r w:rsidR="0010656A">
        <w:t xml:space="preserve">bodu </w:t>
      </w:r>
      <w:r w:rsidR="0078046A">
        <w:t>s nadpisem „Přípravek Avtozma obsahuje polysorbát“)</w:t>
      </w:r>
    </w:p>
    <w:p w14:paraId="0238A5C6" w14:textId="77777777" w:rsidR="00222DE0" w:rsidRPr="00EE3355" w:rsidRDefault="00B23DAE" w:rsidP="00EA1CDF">
      <w:pPr>
        <w:widowControl/>
        <w:ind w:left="567" w:hanging="567"/>
      </w:pPr>
      <w:r w:rsidRPr="00EE3355">
        <w:rPr>
          <w:rFonts w:ascii="Symbol" w:eastAsia="Symbol" w:hAnsi="Symbol" w:cs="Symbol"/>
        </w:rPr>
        <w:t></w:t>
      </w:r>
      <w:r w:rsidRPr="00EE3355">
        <w:rPr>
          <w:rFonts w:ascii="Symbol" w:eastAsia="Symbol" w:hAnsi="Symbol" w:cs="Symbol"/>
        </w:rPr>
        <w:tab/>
      </w:r>
      <w:r w:rsidR="0098273B" w:rsidRPr="00EE3355">
        <w:t>jestliže trpíte aktivní (právě probíhající), závažnou infekcí.</w:t>
      </w:r>
    </w:p>
    <w:p w14:paraId="523C3E7F" w14:textId="77777777" w:rsidR="00307193" w:rsidRDefault="00307193" w:rsidP="00EA1CDF">
      <w:pPr>
        <w:pStyle w:val="a3"/>
        <w:widowControl/>
        <w:ind w:left="0"/>
      </w:pPr>
    </w:p>
    <w:p w14:paraId="6C36765D" w14:textId="77777777" w:rsidR="00222DE0" w:rsidRPr="00EE3355" w:rsidRDefault="0098273B" w:rsidP="00EA1CDF">
      <w:pPr>
        <w:pStyle w:val="a3"/>
        <w:widowControl/>
        <w:ind w:left="0"/>
      </w:pPr>
      <w:r w:rsidRPr="00EE3355">
        <w:t>Pokud se Vás cokoli z tohoto týká, sdělte to lékaři nebo zdravotní sestře, který(á) Vám bude infuzi podávat.</w:t>
      </w:r>
    </w:p>
    <w:p w14:paraId="0067B1AB" w14:textId="77777777" w:rsidR="00222DE0" w:rsidRPr="00EE3355" w:rsidRDefault="00222DE0" w:rsidP="00EA1CDF">
      <w:pPr>
        <w:pStyle w:val="a3"/>
        <w:widowControl/>
        <w:ind w:left="0"/>
      </w:pPr>
    </w:p>
    <w:p w14:paraId="2517A58B" w14:textId="77777777" w:rsidR="00222DE0" w:rsidRPr="00AB2582" w:rsidRDefault="0098273B" w:rsidP="00AB2582">
      <w:pPr>
        <w:rPr>
          <w:b/>
          <w:bCs/>
        </w:rPr>
      </w:pPr>
      <w:r w:rsidRPr="00AB2582">
        <w:rPr>
          <w:b/>
          <w:bCs/>
        </w:rPr>
        <w:t>Upozornění a opatření</w:t>
      </w:r>
    </w:p>
    <w:p w14:paraId="173696B9" w14:textId="7F4B8722" w:rsidR="00222DE0" w:rsidRPr="00EE3355" w:rsidRDefault="0098273B" w:rsidP="00EA1CDF">
      <w:pPr>
        <w:pStyle w:val="a3"/>
        <w:widowControl/>
        <w:ind w:left="0"/>
      </w:pPr>
      <w:r w:rsidRPr="00EE3355">
        <w:t xml:space="preserve">Předtím než Vám bude přípravek </w:t>
      </w:r>
      <w:r w:rsidR="001041F6">
        <w:t>Avtozma</w:t>
      </w:r>
      <w:r w:rsidRPr="00EE3355">
        <w:t xml:space="preserve"> podán, se poraďte se svým lékařem nebo zdravotní</w:t>
      </w:r>
    </w:p>
    <w:p w14:paraId="2440F52D" w14:textId="77777777" w:rsidR="00222DE0" w:rsidRPr="00EE3355" w:rsidRDefault="0098273B" w:rsidP="00EA1CDF">
      <w:pPr>
        <w:pStyle w:val="a3"/>
        <w:widowControl/>
        <w:ind w:left="0"/>
      </w:pPr>
      <w:r w:rsidRPr="00EE3355">
        <w:t>sestrou:</w:t>
      </w:r>
    </w:p>
    <w:p w14:paraId="6B0A7B23" w14:textId="77777777" w:rsidR="00222DE0" w:rsidRPr="00EE3355" w:rsidRDefault="00222DE0" w:rsidP="00EA1CDF">
      <w:pPr>
        <w:pStyle w:val="a3"/>
        <w:widowControl/>
        <w:ind w:left="0"/>
      </w:pPr>
    </w:p>
    <w:p w14:paraId="0C22EBF9" w14:textId="77777777" w:rsidR="00222DE0" w:rsidRPr="00EE3355" w:rsidRDefault="00B23DAE" w:rsidP="00EA1CDF">
      <w:pPr>
        <w:widowControl/>
        <w:tabs>
          <w:tab w:val="left" w:pos="805"/>
        </w:tabs>
        <w:ind w:left="567" w:hanging="567"/>
        <w:jc w:val="both"/>
        <w:rPr>
          <w:b/>
        </w:rPr>
      </w:pPr>
      <w:r w:rsidRPr="00EE3355">
        <w:rPr>
          <w:rFonts w:ascii="Symbol" w:eastAsia="Symbol" w:hAnsi="Symbol" w:cs="Symbol"/>
        </w:rPr>
        <w:t></w:t>
      </w:r>
      <w:r w:rsidRPr="00EE3355">
        <w:rPr>
          <w:rFonts w:ascii="Symbol" w:eastAsia="Symbol" w:hAnsi="Symbol" w:cs="Symbol"/>
        </w:rPr>
        <w:tab/>
      </w:r>
      <w:r w:rsidR="0098273B" w:rsidRPr="00EE3355">
        <w:t xml:space="preserve">jestliže jste už někdy prodělal(a) </w:t>
      </w:r>
      <w:r w:rsidR="0098273B" w:rsidRPr="00EE3355">
        <w:rPr>
          <w:b/>
        </w:rPr>
        <w:t>alergickou reakci</w:t>
      </w:r>
      <w:r w:rsidR="0098273B" w:rsidRPr="00EE3355">
        <w:t xml:space="preserve">, jako je tíseň na hrudi, dušnost, závažná závrať nebo pocit závrati, otoky rtů nebo kožní vyrážku, během podávání infuze nebo po ní, </w:t>
      </w:r>
      <w:r w:rsidR="0098273B" w:rsidRPr="00EE3355">
        <w:rPr>
          <w:b/>
        </w:rPr>
        <w:t>řekněte to okamžitě svému lékaři.</w:t>
      </w:r>
    </w:p>
    <w:p w14:paraId="32C3657B" w14:textId="77777777" w:rsidR="00FF63AF" w:rsidRPr="00EE3355" w:rsidRDefault="00FF63AF" w:rsidP="00EA1CDF">
      <w:pPr>
        <w:widowControl/>
        <w:tabs>
          <w:tab w:val="left" w:pos="805"/>
        </w:tabs>
        <w:ind w:left="567" w:hanging="567"/>
        <w:jc w:val="both"/>
        <w:rPr>
          <w:b/>
        </w:rPr>
      </w:pPr>
    </w:p>
    <w:p w14:paraId="0D18F81A" w14:textId="0F8C272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jakoukoli </w:t>
      </w:r>
      <w:r w:rsidR="0098273B" w:rsidRPr="00EE3355">
        <w:rPr>
          <w:b/>
        </w:rPr>
        <w:t xml:space="preserve">infekci </w:t>
      </w:r>
      <w:r w:rsidR="0098273B" w:rsidRPr="00EE3355">
        <w:t xml:space="preserve">ledvin, krátkodobou nebo dlouhodobou, nebo pokud na infekce trpíte opakovaně. </w:t>
      </w:r>
      <w:r w:rsidR="0098273B" w:rsidRPr="00EE3355">
        <w:rPr>
          <w:b/>
        </w:rPr>
        <w:t>Řekněte okamžitě svému lékaři</w:t>
      </w:r>
      <w:r w:rsidR="0098273B" w:rsidRPr="00EE3355">
        <w:t xml:space="preserve">, pokud se necítíte dobře. Přípravek </w:t>
      </w:r>
      <w:r w:rsidR="001041F6">
        <w:t>Avtozma</w:t>
      </w:r>
      <w:r w:rsidR="0098273B" w:rsidRPr="00EE3355">
        <w:t xml:space="preserve"> může snižovat schopnost organismu reagovat na infekci a může probíhající infekce zhoršovat nebo zvyšovat náchylnost k infekcím.</w:t>
      </w:r>
    </w:p>
    <w:p w14:paraId="11F2BDD0" w14:textId="77777777" w:rsidR="00FF63AF" w:rsidRPr="00EE3355" w:rsidRDefault="00FF63AF" w:rsidP="00EA1CDF">
      <w:pPr>
        <w:widowControl/>
        <w:tabs>
          <w:tab w:val="left" w:pos="805"/>
        </w:tabs>
        <w:ind w:left="567" w:hanging="567"/>
      </w:pPr>
    </w:p>
    <w:p w14:paraId="2868892A" w14:textId="0EC6CA21"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jste měl(a) </w:t>
      </w:r>
      <w:r w:rsidR="0098273B" w:rsidRPr="00EE3355">
        <w:rPr>
          <w:b/>
        </w:rPr>
        <w:t>tuberkulózu</w:t>
      </w:r>
      <w:r w:rsidR="0098273B" w:rsidRPr="00EE3355">
        <w:t xml:space="preserve">, řekněte to svému lékaři. Před zahájením léčby přípravkem </w:t>
      </w:r>
      <w:r w:rsidR="001041F6">
        <w:t>Avtozma</w:t>
      </w:r>
      <w:r w:rsidR="0098273B" w:rsidRPr="00EE3355">
        <w:t xml:space="preserve"> u Vás lékař vyšetří známky a příznaky tuberkulózy. Pokud se příznaky tuberkulózy (přetrvávající kašel, úbytek hmotnosti, apatie, mírná horečka) nebo jakákoli jiná infekce objeví v průběhu léčby nebo po jejím ukončení, kontaktujte ihned svého lékaře.</w:t>
      </w:r>
    </w:p>
    <w:p w14:paraId="4D62D75D" w14:textId="77777777" w:rsidR="00222DE0" w:rsidRPr="00EE3355" w:rsidRDefault="00222DE0" w:rsidP="00EA1CDF">
      <w:pPr>
        <w:pStyle w:val="a3"/>
        <w:widowControl/>
        <w:ind w:left="0"/>
      </w:pPr>
    </w:p>
    <w:p w14:paraId="63ECF315" w14:textId="6FE4051A"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jste měl(a) </w:t>
      </w:r>
      <w:r w:rsidR="0098273B" w:rsidRPr="00EE3355">
        <w:rPr>
          <w:b/>
        </w:rPr>
        <w:t xml:space="preserve">vředy ve střevě </w:t>
      </w:r>
      <w:r w:rsidR="0098273B" w:rsidRPr="00EE3355">
        <w:t xml:space="preserve">nebo </w:t>
      </w:r>
      <w:r w:rsidR="0098273B" w:rsidRPr="00EE3355">
        <w:rPr>
          <w:b/>
        </w:rPr>
        <w:t xml:space="preserve">divertikulitidu </w:t>
      </w:r>
      <w:r w:rsidR="0098273B" w:rsidRPr="00EE3355">
        <w:t>(výchlipky na tlustém střevě), řekněte to svému lékaři. Příznaky mohou zahrnovat bolest břicha a nevysvětlitelné změny vyměšovacího stereotypu s horečkami.</w:t>
      </w:r>
    </w:p>
    <w:p w14:paraId="143666D7" w14:textId="77777777" w:rsidR="00222DE0" w:rsidRPr="00EE3355" w:rsidRDefault="00222DE0" w:rsidP="00EA1CDF">
      <w:pPr>
        <w:pStyle w:val="a3"/>
        <w:widowControl/>
        <w:ind w:left="0"/>
      </w:pPr>
    </w:p>
    <w:p w14:paraId="06140367" w14:textId="7B4507FC"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w:t>
      </w:r>
      <w:r w:rsidR="0098273B" w:rsidRPr="00EE3355">
        <w:rPr>
          <w:b/>
        </w:rPr>
        <w:t>jaterní onemocnění</w:t>
      </w:r>
      <w:r w:rsidR="0098273B" w:rsidRPr="00EE3355">
        <w:t xml:space="preserve">, řekněte to svému lékaři. Než začnete přípravek </w:t>
      </w:r>
      <w:r w:rsidR="001041F6">
        <w:t>Avtozma</w:t>
      </w:r>
      <w:r w:rsidR="00FF63AF" w:rsidRPr="00EE3355">
        <w:t xml:space="preserve"> </w:t>
      </w:r>
      <w:r w:rsidR="0098273B" w:rsidRPr="00EE3355">
        <w:t>používat, lékař Vám může provést krevní testy ke zhodnocení jaterních funkcí.</w:t>
      </w:r>
    </w:p>
    <w:p w14:paraId="48D329DC" w14:textId="77777777" w:rsidR="00222DE0" w:rsidRPr="00EE3355" w:rsidRDefault="00222DE0" w:rsidP="00EA1CDF">
      <w:pPr>
        <w:widowControl/>
      </w:pPr>
    </w:p>
    <w:p w14:paraId="67F9B389" w14:textId="7E40299D"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rPr>
          <w:b/>
        </w:rPr>
        <w:t xml:space="preserve">jestliže jste pacient(ka), který(á) byl(a) v nedávné době očkován(a) </w:t>
      </w:r>
      <w:r w:rsidR="0098273B" w:rsidRPr="00EE3355">
        <w:t xml:space="preserve">(buď dospělý nebo dítě), nebo pokud je očkování plánováno, sdělte to svému lékaři. Všichni pacienti, zejména děti, mají mít včas provedená veškerá očkování před zahájením léčby přípravkem </w:t>
      </w:r>
      <w:r w:rsidR="001041F6">
        <w:t>Avtozma</w:t>
      </w:r>
      <w:r w:rsidR="0098273B" w:rsidRPr="00EE3355">
        <w:t xml:space="preserve">, není-li zapotřebí okamžité zahájení léčby. Určité typy očkovacích látek se při léčbě přípravkem </w:t>
      </w:r>
      <w:r w:rsidR="001041F6">
        <w:t>Avtozma</w:t>
      </w:r>
      <w:r w:rsidR="0098273B" w:rsidRPr="00EE3355">
        <w:t xml:space="preserve"> nemají podávat.</w:t>
      </w:r>
    </w:p>
    <w:p w14:paraId="71698E12" w14:textId="77777777" w:rsidR="00222DE0" w:rsidRPr="00EE3355" w:rsidRDefault="00222DE0" w:rsidP="00EA1CDF">
      <w:pPr>
        <w:pStyle w:val="a3"/>
        <w:widowControl/>
        <w:ind w:left="0"/>
      </w:pPr>
    </w:p>
    <w:p w14:paraId="797C39AD" w14:textId="7E896A36"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w:t>
      </w:r>
      <w:r w:rsidR="0098273B" w:rsidRPr="00EE3355">
        <w:rPr>
          <w:b/>
        </w:rPr>
        <w:t>rakovinu</w:t>
      </w:r>
      <w:r w:rsidR="0098273B" w:rsidRPr="00EE3355">
        <w:t xml:space="preserve">, řekněte to svému lékaři. Váš lékař bude muset rozhodnout, jestli Vám přípravek </w:t>
      </w:r>
      <w:r w:rsidR="001041F6">
        <w:t>Avtozma</w:t>
      </w:r>
      <w:r w:rsidR="0098273B" w:rsidRPr="00EE3355">
        <w:t xml:space="preserve"> může přesto být podáván.</w:t>
      </w:r>
    </w:p>
    <w:p w14:paraId="2DBDACD7" w14:textId="77777777" w:rsidR="00FF63AF" w:rsidRPr="00EE3355" w:rsidRDefault="00FF63AF" w:rsidP="00EA1CDF">
      <w:pPr>
        <w:widowControl/>
        <w:tabs>
          <w:tab w:val="left" w:pos="804"/>
        </w:tabs>
        <w:ind w:left="567" w:hanging="567"/>
      </w:pPr>
    </w:p>
    <w:p w14:paraId="609C8BD8" w14:textId="78BC9552" w:rsidR="00222DE0" w:rsidRPr="00EE3355" w:rsidRDefault="00B23DAE" w:rsidP="00EA1CDF">
      <w:pPr>
        <w:widowControl/>
        <w:tabs>
          <w:tab w:val="left" w:pos="804"/>
        </w:tabs>
        <w:ind w:left="567" w:hanging="567"/>
        <w:jc w:val="both"/>
      </w:pPr>
      <w:r w:rsidRPr="00EE3355">
        <w:rPr>
          <w:rFonts w:ascii="Symbol" w:eastAsia="Symbol" w:hAnsi="Symbol" w:cs="Symbol"/>
        </w:rPr>
        <w:t></w:t>
      </w:r>
      <w:r w:rsidRPr="00EE3355">
        <w:rPr>
          <w:rFonts w:ascii="Symbol" w:eastAsia="Symbol" w:hAnsi="Symbol" w:cs="Symbol"/>
        </w:rPr>
        <w:tab/>
      </w:r>
      <w:r w:rsidR="0098273B" w:rsidRPr="00EE3355">
        <w:t xml:space="preserve">jestliže máte </w:t>
      </w:r>
      <w:r w:rsidR="0098273B" w:rsidRPr="00EE3355">
        <w:rPr>
          <w:b/>
        </w:rPr>
        <w:t>rizikové faktory kardiovaskulárních (srdečních a cévních) onemocnění</w:t>
      </w:r>
      <w:r w:rsidR="0098273B" w:rsidRPr="00EE3355">
        <w:t xml:space="preserve">, jako jsou zvýšený krevní tlak a zvýšené hladiny cholesterolu, řekněte to svému lékaři. Tyto faktory je nutno po dobu léčby přípravkem </w:t>
      </w:r>
      <w:r w:rsidR="001041F6">
        <w:t>Avtozma</w:t>
      </w:r>
      <w:r w:rsidR="0098273B" w:rsidRPr="00EE3355">
        <w:t xml:space="preserve"> sledovat.</w:t>
      </w:r>
    </w:p>
    <w:p w14:paraId="70ADD234" w14:textId="77777777" w:rsidR="00FF63AF" w:rsidRPr="00EE3355" w:rsidRDefault="00FF63AF" w:rsidP="00EA1CDF">
      <w:pPr>
        <w:widowControl/>
        <w:tabs>
          <w:tab w:val="left" w:pos="804"/>
        </w:tabs>
        <w:ind w:left="567" w:hanging="567"/>
        <w:jc w:val="both"/>
      </w:pPr>
    </w:p>
    <w:p w14:paraId="576614F1"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středně závažnou, nebo závažnou </w:t>
      </w:r>
      <w:r w:rsidR="0098273B" w:rsidRPr="00EE3355">
        <w:rPr>
          <w:b/>
        </w:rPr>
        <w:t>poruchu funkce ledvin</w:t>
      </w:r>
      <w:r w:rsidR="0098273B" w:rsidRPr="00EE3355">
        <w:t>, Váš lékař Vás bude</w:t>
      </w:r>
      <w:r w:rsidR="00FF63AF" w:rsidRPr="00EE3355">
        <w:t xml:space="preserve"> </w:t>
      </w:r>
      <w:r w:rsidR="0098273B" w:rsidRPr="00EE3355">
        <w:t>sledovat.</w:t>
      </w:r>
    </w:p>
    <w:p w14:paraId="023E4BBA" w14:textId="77777777" w:rsidR="00222DE0" w:rsidRPr="00EE3355" w:rsidRDefault="00222DE0" w:rsidP="00EA1CDF">
      <w:pPr>
        <w:pStyle w:val="a3"/>
        <w:widowControl/>
        <w:ind w:left="0"/>
      </w:pPr>
    </w:p>
    <w:p w14:paraId="2AEBE0CF"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w:t>
      </w:r>
      <w:r w:rsidR="0098273B" w:rsidRPr="00EE3355">
        <w:rPr>
          <w:b/>
        </w:rPr>
        <w:t>přetrvávající bolesti hlavy</w:t>
      </w:r>
      <w:r w:rsidR="0098273B" w:rsidRPr="00EE3355">
        <w:t>.</w:t>
      </w:r>
    </w:p>
    <w:p w14:paraId="361C2E8F" w14:textId="77777777" w:rsidR="00FF63AF" w:rsidRPr="00EE3355" w:rsidRDefault="00FF63AF" w:rsidP="00EA1CDF">
      <w:pPr>
        <w:widowControl/>
        <w:tabs>
          <w:tab w:val="left" w:pos="804"/>
        </w:tabs>
      </w:pPr>
    </w:p>
    <w:p w14:paraId="7232E7C2" w14:textId="75B966CB" w:rsidR="00222DE0" w:rsidRPr="00EE3355" w:rsidRDefault="0098273B" w:rsidP="00EA1CDF">
      <w:pPr>
        <w:pStyle w:val="a3"/>
        <w:widowControl/>
        <w:ind w:left="0"/>
      </w:pPr>
      <w:r w:rsidRPr="00EE3355">
        <w:t xml:space="preserve">Před podáním přípravku </w:t>
      </w:r>
      <w:r w:rsidR="001041F6">
        <w:t>Avtozma</w:t>
      </w:r>
      <w:r w:rsidRPr="00EE3355">
        <w:t xml:space="preserve"> a během léčby Vám lékař provede krevní testy, které určí, zda</w:t>
      </w:r>
      <w:r w:rsidR="00704F4F">
        <w:t xml:space="preserve"> </w:t>
      </w:r>
      <w:r w:rsidRPr="00EE3355">
        <w:t>nemáte snížený počet bílých krvinek, snížený počet krevních destiček nebo zvýšené jaterní enzymy.</w:t>
      </w:r>
    </w:p>
    <w:p w14:paraId="25F1E614" w14:textId="77777777" w:rsidR="00222DE0" w:rsidRPr="00EE3355" w:rsidRDefault="00222DE0" w:rsidP="00EA1CDF">
      <w:pPr>
        <w:pStyle w:val="a3"/>
        <w:widowControl/>
        <w:ind w:left="0"/>
      </w:pPr>
    </w:p>
    <w:p w14:paraId="4C14569F" w14:textId="77777777" w:rsidR="00222DE0" w:rsidRPr="00AB2582" w:rsidRDefault="0098273B" w:rsidP="00AB2582">
      <w:pPr>
        <w:rPr>
          <w:b/>
          <w:bCs/>
        </w:rPr>
      </w:pPr>
      <w:r w:rsidRPr="00AB2582">
        <w:rPr>
          <w:b/>
          <w:bCs/>
        </w:rPr>
        <w:t>Děti a dospívající</w:t>
      </w:r>
    </w:p>
    <w:p w14:paraId="434BE4EF" w14:textId="64A96B43" w:rsidR="00222DE0" w:rsidRPr="00EE3355" w:rsidRDefault="0098273B" w:rsidP="00EA1CDF">
      <w:pPr>
        <w:pStyle w:val="a3"/>
        <w:widowControl/>
        <w:ind w:left="0"/>
      </w:pPr>
      <w:r w:rsidRPr="00EE3355">
        <w:t xml:space="preserve">Přípravek </w:t>
      </w:r>
      <w:r w:rsidR="001041F6">
        <w:t>Avtozma</w:t>
      </w:r>
      <w:r w:rsidRPr="00EE3355">
        <w:t xml:space="preserve"> se nedoporučuje používat u dětí do 2 let věku.</w:t>
      </w:r>
    </w:p>
    <w:p w14:paraId="519A7020" w14:textId="77777777" w:rsidR="00222DE0" w:rsidRPr="00EE3355" w:rsidRDefault="00222DE0" w:rsidP="00EA1CDF">
      <w:pPr>
        <w:pStyle w:val="a3"/>
        <w:widowControl/>
        <w:ind w:left="0"/>
      </w:pPr>
    </w:p>
    <w:p w14:paraId="2CCC6A85" w14:textId="5284CA5F" w:rsidR="00222DE0" w:rsidRPr="00EE3355" w:rsidRDefault="0098273B" w:rsidP="00EA1CDF">
      <w:pPr>
        <w:pStyle w:val="a3"/>
        <w:widowControl/>
        <w:ind w:left="0"/>
      </w:pPr>
      <w:r w:rsidRPr="00EE3355">
        <w:t xml:space="preserve">Pokud se u dítěte v minulosti vyskytl </w:t>
      </w:r>
      <w:r w:rsidRPr="00EE3355">
        <w:rPr>
          <w:b/>
          <w:i/>
        </w:rPr>
        <w:t xml:space="preserve">syndrom aktivace makrofágů </w:t>
      </w:r>
      <w:r w:rsidRPr="00EE3355">
        <w:t xml:space="preserve">(aktivuje a způsobuje nekontrolované dělení určitých krevních buněk), sdělte to svému lékaři. Váš lékař se rozhodne, zda může být přípravek </w:t>
      </w:r>
      <w:r w:rsidR="001041F6">
        <w:t>Avtozma</w:t>
      </w:r>
      <w:r w:rsidRPr="00EE3355">
        <w:t xml:space="preserve"> nadále podáván.</w:t>
      </w:r>
    </w:p>
    <w:p w14:paraId="391F4390" w14:textId="77777777" w:rsidR="00222DE0" w:rsidRPr="00EE3355" w:rsidRDefault="00222DE0" w:rsidP="00EA1CDF">
      <w:pPr>
        <w:pStyle w:val="a3"/>
        <w:widowControl/>
        <w:ind w:left="0"/>
      </w:pPr>
    </w:p>
    <w:p w14:paraId="7F6FBD95" w14:textId="4B5480F8" w:rsidR="00222DE0" w:rsidRPr="00EE3355" w:rsidRDefault="0098273B" w:rsidP="00AB2582">
      <w:r w:rsidRPr="00AB2582">
        <w:rPr>
          <w:b/>
          <w:bCs/>
        </w:rPr>
        <w:t xml:space="preserve">Další léčivé přípravky a přípravek </w:t>
      </w:r>
      <w:r w:rsidR="001041F6" w:rsidRPr="00AB2582">
        <w:rPr>
          <w:b/>
          <w:bCs/>
        </w:rPr>
        <w:t>Avtozma</w:t>
      </w:r>
    </w:p>
    <w:p w14:paraId="7CC8E7E6" w14:textId="77777777" w:rsidR="00222DE0" w:rsidRPr="00EE3355" w:rsidRDefault="0098273B" w:rsidP="00EA1CDF">
      <w:pPr>
        <w:pStyle w:val="a3"/>
        <w:widowControl/>
        <w:ind w:left="0"/>
      </w:pPr>
      <w:r w:rsidRPr="00EE3355">
        <w:t>Informujte svého lékaře o všech lécích, které užíváte (nebo které užívá Vaše dítě, pokud je pacientem), nebo které jste v nedávné době užíval(a). To se týká i léků dostupných bez lékařského předpisu.</w:t>
      </w:r>
    </w:p>
    <w:p w14:paraId="42755C9D" w14:textId="03E47780" w:rsidR="00222DE0" w:rsidRPr="00EE3355" w:rsidRDefault="0098273B" w:rsidP="00EA1CDF">
      <w:pPr>
        <w:pStyle w:val="a3"/>
        <w:widowControl/>
        <w:ind w:left="0"/>
      </w:pPr>
      <w:r w:rsidRPr="00EE3355">
        <w:t xml:space="preserve">Přípravek </w:t>
      </w:r>
      <w:r w:rsidR="001041F6">
        <w:t>Avtozma</w:t>
      </w:r>
      <w:r w:rsidRPr="00EE3355">
        <w:t xml:space="preserve"> může ovlivňovat způsob účinku některých léků a může být potřeba upravit dávky těchto léků. </w:t>
      </w:r>
      <w:r w:rsidRPr="00EE3355">
        <w:rPr>
          <w:b/>
        </w:rPr>
        <w:t>Informujte svého lékaře</w:t>
      </w:r>
      <w:r w:rsidRPr="00EE3355">
        <w:t>, jestliže užíváte léky obsahující některou z následujících léčivých látek:</w:t>
      </w:r>
    </w:p>
    <w:p w14:paraId="2B6EC8D4" w14:textId="77777777" w:rsidR="00736FFE" w:rsidRPr="00EE3355" w:rsidRDefault="00736FFE" w:rsidP="00EA1CDF">
      <w:pPr>
        <w:pStyle w:val="a3"/>
        <w:widowControl/>
        <w:ind w:left="0"/>
      </w:pPr>
    </w:p>
    <w:p w14:paraId="541B4608"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methylprednisolon, dexamethason, používá se ke snížení </w:t>
      </w:r>
      <w:r w:rsidR="0098273B" w:rsidRPr="00B93217">
        <w:rPr>
          <w:b/>
          <w:bCs/>
        </w:rPr>
        <w:t>zánětu</w:t>
      </w:r>
    </w:p>
    <w:p w14:paraId="355A72A7" w14:textId="77777777" w:rsidR="00222DE0" w:rsidRPr="00EE3355" w:rsidRDefault="00B23DAE" w:rsidP="00EA1CDF">
      <w:pPr>
        <w:widowControl/>
        <w:tabs>
          <w:tab w:val="left" w:pos="805"/>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simvastatin nebo atorvastatin, používá se ke snížení </w:t>
      </w:r>
      <w:r w:rsidR="0098273B" w:rsidRPr="00EE3355">
        <w:rPr>
          <w:b/>
        </w:rPr>
        <w:t>hladin cholesterolu</w:t>
      </w:r>
    </w:p>
    <w:p w14:paraId="69ED5106" w14:textId="77777777" w:rsidR="00222DE0" w:rsidRPr="00EE3355" w:rsidRDefault="00B23DAE" w:rsidP="00EA1CDF">
      <w:pPr>
        <w:widowControl/>
        <w:tabs>
          <w:tab w:val="left" w:pos="805"/>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blokátory kalciového kanálu (např. amlodipin), používají se k léčbě </w:t>
      </w:r>
      <w:r w:rsidR="0098273B" w:rsidRPr="00EE3355">
        <w:rPr>
          <w:b/>
        </w:rPr>
        <w:t>zvýšeného krevního tlaku</w:t>
      </w:r>
    </w:p>
    <w:p w14:paraId="504A43A5" w14:textId="77777777" w:rsidR="00222DE0" w:rsidRPr="00EE3355" w:rsidRDefault="00B23DAE" w:rsidP="00EA1CDF">
      <w:pPr>
        <w:widowControl/>
        <w:tabs>
          <w:tab w:val="left" w:pos="806"/>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teofylin, používá se k léčbě </w:t>
      </w:r>
      <w:r w:rsidR="0098273B" w:rsidRPr="00EE3355">
        <w:rPr>
          <w:b/>
        </w:rPr>
        <w:t>astmatu</w:t>
      </w:r>
    </w:p>
    <w:p w14:paraId="4C12036E" w14:textId="77777777" w:rsidR="00222DE0" w:rsidRPr="00EE3355" w:rsidRDefault="00B23DAE" w:rsidP="00EA1CDF">
      <w:pPr>
        <w:widowControl/>
        <w:tabs>
          <w:tab w:val="left" w:pos="806"/>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warfarin nebo fenprokumon, používají se jako </w:t>
      </w:r>
      <w:r w:rsidR="0098273B" w:rsidRPr="00EE3355">
        <w:rPr>
          <w:b/>
        </w:rPr>
        <w:t>látky na ředění krve</w:t>
      </w:r>
    </w:p>
    <w:p w14:paraId="6A1A81C7" w14:textId="77777777" w:rsidR="00222DE0" w:rsidRPr="00EE3355" w:rsidRDefault="00B23DAE" w:rsidP="00EA1CDF">
      <w:pPr>
        <w:widowControl/>
        <w:tabs>
          <w:tab w:val="left" w:pos="806"/>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fenytoin, používá se k léčbě </w:t>
      </w:r>
      <w:r w:rsidR="0098273B" w:rsidRPr="00EE3355">
        <w:rPr>
          <w:b/>
        </w:rPr>
        <w:t>křečí</w:t>
      </w:r>
    </w:p>
    <w:p w14:paraId="15F1A1F0"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cyklosporin, používá se na </w:t>
      </w:r>
      <w:r w:rsidR="0098273B" w:rsidRPr="00EE3355">
        <w:rPr>
          <w:b/>
        </w:rPr>
        <w:t xml:space="preserve">potlačení reakce imunitního systému </w:t>
      </w:r>
      <w:r w:rsidR="0098273B" w:rsidRPr="00EE3355">
        <w:t>při transplantaci orgánů</w:t>
      </w:r>
    </w:p>
    <w:p w14:paraId="71DE2437" w14:textId="77777777" w:rsidR="00222DE0" w:rsidRPr="00EE3355" w:rsidRDefault="00B23DAE" w:rsidP="00EA1CDF">
      <w:pPr>
        <w:widowControl/>
        <w:tabs>
          <w:tab w:val="left" w:pos="806"/>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benzodiazepiny (např. temazepam), používá se na </w:t>
      </w:r>
      <w:r w:rsidR="0098273B" w:rsidRPr="00EE3355">
        <w:rPr>
          <w:b/>
        </w:rPr>
        <w:t>zmírnění úzkosti.</w:t>
      </w:r>
    </w:p>
    <w:p w14:paraId="72203C60" w14:textId="77777777" w:rsidR="00EA1B88" w:rsidRPr="00EE3355" w:rsidRDefault="00EA1B88" w:rsidP="00EA1CDF">
      <w:pPr>
        <w:widowControl/>
        <w:tabs>
          <w:tab w:val="left" w:pos="806"/>
        </w:tabs>
        <w:rPr>
          <w:b/>
        </w:rPr>
      </w:pPr>
    </w:p>
    <w:p w14:paraId="59B92C61" w14:textId="6EC90EF6" w:rsidR="00222DE0" w:rsidRPr="00EE3355" w:rsidRDefault="0098273B" w:rsidP="00EA1CDF">
      <w:pPr>
        <w:pStyle w:val="a3"/>
        <w:widowControl/>
        <w:ind w:left="0"/>
      </w:pPr>
      <w:r w:rsidRPr="00EE3355">
        <w:t xml:space="preserve">Vzhledem k nedostatku klinických zkušeností se nedoporučuje používat </w:t>
      </w:r>
      <w:r w:rsidR="001041F6" w:rsidRPr="001879E9">
        <w:t>tocilizumab</w:t>
      </w:r>
      <w:r w:rsidR="001041F6" w:rsidRPr="00EE3355" w:rsidDel="001041F6">
        <w:t xml:space="preserve"> </w:t>
      </w:r>
      <w:r w:rsidRPr="00EE3355">
        <w:t>s jinými biologickými léčivy užívanými k léčbě RA, sJIA nebo pJIA.</w:t>
      </w:r>
    </w:p>
    <w:p w14:paraId="2FE868AB" w14:textId="77777777" w:rsidR="00222DE0" w:rsidRPr="00EE3355" w:rsidRDefault="00222DE0" w:rsidP="00EA1CDF">
      <w:pPr>
        <w:pStyle w:val="a3"/>
        <w:widowControl/>
        <w:ind w:left="0"/>
      </w:pPr>
    </w:p>
    <w:p w14:paraId="02044363" w14:textId="77777777" w:rsidR="00222DE0" w:rsidRPr="00AB2582" w:rsidRDefault="0098273B" w:rsidP="00AB2582">
      <w:pPr>
        <w:rPr>
          <w:b/>
          <w:bCs/>
        </w:rPr>
      </w:pPr>
      <w:r w:rsidRPr="00AB2582">
        <w:rPr>
          <w:b/>
          <w:bCs/>
        </w:rPr>
        <w:t>Těhotenství, kojení a plodnost</w:t>
      </w:r>
    </w:p>
    <w:p w14:paraId="7899E994" w14:textId="77777777" w:rsidR="00307193" w:rsidRPr="00EE3355" w:rsidRDefault="00307193" w:rsidP="00943257"/>
    <w:p w14:paraId="43A2D0F3" w14:textId="324FECAD" w:rsidR="00222DE0" w:rsidRPr="00EE3355" w:rsidRDefault="0098273B" w:rsidP="00EA1CDF">
      <w:pPr>
        <w:pStyle w:val="a3"/>
        <w:widowControl/>
        <w:ind w:left="0"/>
      </w:pPr>
      <w:r w:rsidRPr="00EE3355">
        <w:rPr>
          <w:b/>
        </w:rPr>
        <w:t xml:space="preserve">Přípravek </w:t>
      </w:r>
      <w:r w:rsidR="001041F6">
        <w:rPr>
          <w:b/>
        </w:rPr>
        <w:t>Avtozma</w:t>
      </w:r>
      <w:r w:rsidRPr="00EE3355">
        <w:rPr>
          <w:b/>
        </w:rPr>
        <w:t xml:space="preserve"> se nemá v těhotenství používat</w:t>
      </w:r>
      <w:r w:rsidRPr="00EE3355">
        <w:t>, pokud to není nezbytně nutné. Pokud jste těhotná, domníváte se, že můžete být těhotná, nebo plánujete otěhotnět, poraďte se se svým lékařem. Ženy, které jsou ve věku, kdy mohou otěhotnět, musí během léčby a 3 měsíců po jejím ukončení používat účinnou metodu antikoncepce.</w:t>
      </w:r>
    </w:p>
    <w:p w14:paraId="5836C056" w14:textId="77777777" w:rsidR="00222DE0" w:rsidRPr="00EE3355" w:rsidRDefault="00222DE0" w:rsidP="00EA1CDF">
      <w:pPr>
        <w:pStyle w:val="a3"/>
        <w:widowControl/>
        <w:ind w:left="0"/>
      </w:pPr>
    </w:p>
    <w:p w14:paraId="477D76B6" w14:textId="50106670" w:rsidR="00222DE0" w:rsidRPr="00EE3355" w:rsidRDefault="0098273B" w:rsidP="00EA1CDF">
      <w:pPr>
        <w:widowControl/>
      </w:pPr>
      <w:r w:rsidRPr="00EE3355">
        <w:rPr>
          <w:b/>
        </w:rPr>
        <w:t xml:space="preserve">Pokud Vám má být podán přípravek </w:t>
      </w:r>
      <w:r w:rsidR="001041F6">
        <w:rPr>
          <w:b/>
        </w:rPr>
        <w:t>Avtozma</w:t>
      </w:r>
      <w:r w:rsidRPr="00EE3355">
        <w:rPr>
          <w:b/>
        </w:rPr>
        <w:t xml:space="preserve">, přestaňte kojit </w:t>
      </w:r>
      <w:r w:rsidRPr="00EE3355">
        <w:t xml:space="preserve">a poraďte se se svým lékařem. Po poslední léčbě ponechejte odstup alespoň 3 měsíce, než začnete znovu kojit. Není známo, zda přípravek </w:t>
      </w:r>
      <w:r w:rsidR="001041F6">
        <w:t>Avtozma</w:t>
      </w:r>
      <w:r w:rsidRPr="00EE3355">
        <w:t xml:space="preserve"> prochází do mateřského mléka.</w:t>
      </w:r>
    </w:p>
    <w:p w14:paraId="33400B4B" w14:textId="77777777" w:rsidR="00222DE0" w:rsidRPr="00EE3355" w:rsidRDefault="00222DE0" w:rsidP="00EA1CDF">
      <w:pPr>
        <w:widowControl/>
      </w:pPr>
    </w:p>
    <w:p w14:paraId="3AFE1AA8" w14:textId="77777777" w:rsidR="00222DE0" w:rsidRPr="00EE3355" w:rsidRDefault="0098273B" w:rsidP="00EA1CDF">
      <w:pPr>
        <w:pStyle w:val="a3"/>
        <w:widowControl/>
        <w:ind w:left="0"/>
      </w:pPr>
      <w:r w:rsidRPr="00EE3355">
        <w:t>Dostupné údaje nenaznačují jakýkoli vliv na plodnost při této léčbě.</w:t>
      </w:r>
    </w:p>
    <w:p w14:paraId="415173C7" w14:textId="77777777" w:rsidR="00222DE0" w:rsidRDefault="00222DE0" w:rsidP="00EA1CDF">
      <w:pPr>
        <w:pStyle w:val="a3"/>
        <w:widowControl/>
        <w:ind w:left="0"/>
        <w:rPr>
          <w:rFonts w:eastAsia="맑은 고딕"/>
          <w:lang w:eastAsia="ko-KR"/>
        </w:rPr>
      </w:pPr>
    </w:p>
    <w:p w14:paraId="53FB2706" w14:textId="77777777" w:rsidR="00AB2582" w:rsidRDefault="00AB2582" w:rsidP="00EA1CDF">
      <w:pPr>
        <w:pStyle w:val="a3"/>
        <w:widowControl/>
        <w:ind w:left="0"/>
        <w:rPr>
          <w:rFonts w:eastAsia="맑은 고딕"/>
          <w:lang w:eastAsia="ko-KR"/>
        </w:rPr>
      </w:pPr>
    </w:p>
    <w:p w14:paraId="6CD35D7A" w14:textId="77777777" w:rsidR="00222DE0" w:rsidRPr="00AB2582" w:rsidRDefault="0098273B" w:rsidP="00AB2582">
      <w:pPr>
        <w:rPr>
          <w:b/>
          <w:bCs/>
        </w:rPr>
      </w:pPr>
      <w:r w:rsidRPr="00AB2582">
        <w:rPr>
          <w:b/>
          <w:bCs/>
        </w:rPr>
        <w:lastRenderedPageBreak/>
        <w:t>Řízení dopravních prostředků a obsluha strojů</w:t>
      </w:r>
    </w:p>
    <w:p w14:paraId="03B5F667" w14:textId="19A4BAB2" w:rsidR="00222DE0" w:rsidRPr="00EE3355" w:rsidRDefault="0098273B" w:rsidP="00EA1CDF">
      <w:pPr>
        <w:pStyle w:val="a3"/>
        <w:widowControl/>
        <w:ind w:left="0"/>
      </w:pPr>
      <w:r w:rsidRPr="00EE3355">
        <w:t>Tento přípravek může způsobovat závratě. Pokud budete pociťovat závra</w:t>
      </w:r>
      <w:r w:rsidR="00860E4F">
        <w:t>ť</w:t>
      </w:r>
      <w:r w:rsidRPr="00EE3355">
        <w:t>, neměl(a) byste řídit ani</w:t>
      </w:r>
      <w:r w:rsidR="00704F4F">
        <w:t xml:space="preserve"> </w:t>
      </w:r>
      <w:r w:rsidRPr="00EE3355">
        <w:t>obsluhovat stroje.</w:t>
      </w:r>
    </w:p>
    <w:p w14:paraId="76BA823D" w14:textId="77777777" w:rsidR="00222DE0" w:rsidRPr="00EE3355" w:rsidRDefault="00222DE0" w:rsidP="00EA1CDF">
      <w:pPr>
        <w:pStyle w:val="a3"/>
        <w:widowControl/>
        <w:ind w:left="0"/>
      </w:pPr>
    </w:p>
    <w:p w14:paraId="6C236088" w14:textId="6B58D125" w:rsidR="00222DE0" w:rsidRPr="00AB2582" w:rsidRDefault="0098273B" w:rsidP="00AB2582">
      <w:pPr>
        <w:rPr>
          <w:b/>
          <w:bCs/>
        </w:rPr>
      </w:pPr>
      <w:r w:rsidRPr="00AB2582">
        <w:rPr>
          <w:b/>
          <w:bCs/>
        </w:rPr>
        <w:t xml:space="preserve">Přípravek </w:t>
      </w:r>
      <w:r w:rsidR="001041F6" w:rsidRPr="00AB2582">
        <w:rPr>
          <w:b/>
          <w:bCs/>
        </w:rPr>
        <w:t>Avtozma</w:t>
      </w:r>
      <w:r w:rsidRPr="00AB2582">
        <w:rPr>
          <w:b/>
          <w:bCs/>
        </w:rPr>
        <w:t xml:space="preserve"> obsahuje </w:t>
      </w:r>
      <w:r w:rsidR="001041F6" w:rsidRPr="00AB2582">
        <w:rPr>
          <w:b/>
          <w:bCs/>
        </w:rPr>
        <w:t>polysorbát</w:t>
      </w:r>
    </w:p>
    <w:p w14:paraId="243B43B5" w14:textId="5F9B0911" w:rsidR="00222DE0" w:rsidRPr="00EE3355" w:rsidRDefault="0098273B" w:rsidP="00EA1CDF">
      <w:pPr>
        <w:pStyle w:val="a3"/>
        <w:widowControl/>
        <w:ind w:left="0"/>
      </w:pPr>
      <w:bookmarkStart w:id="50" w:name="_Hlk183597491"/>
      <w:r w:rsidRPr="00EE3355">
        <w:t xml:space="preserve">Tento </w:t>
      </w:r>
      <w:r w:rsidR="001041F6">
        <w:t>léčivý přípravek obsahuje 0,5 mg polysorbátu 80 v </w:t>
      </w:r>
      <w:r w:rsidR="00860E4F">
        <w:t xml:space="preserve">jednom </w:t>
      </w:r>
      <w:r w:rsidR="001041F6">
        <w:t>mililitru. Polysorbáty mohou způsobit alergické reakce</w:t>
      </w:r>
      <w:r w:rsidR="001041F6" w:rsidRPr="006C4BD6">
        <w:t>. Informujte lékaře, pokud máte jakoukoli známou alergii</w:t>
      </w:r>
      <w:bookmarkEnd w:id="50"/>
      <w:r w:rsidRPr="006C4BD6">
        <w:t>.</w:t>
      </w:r>
    </w:p>
    <w:p w14:paraId="10A14BCD" w14:textId="77777777" w:rsidR="00222DE0" w:rsidRPr="00EE3355" w:rsidRDefault="00222DE0" w:rsidP="00EA1CDF">
      <w:pPr>
        <w:pStyle w:val="a3"/>
        <w:widowControl/>
        <w:ind w:left="0"/>
      </w:pPr>
    </w:p>
    <w:p w14:paraId="16E5B12C" w14:textId="77777777" w:rsidR="00222DE0" w:rsidRPr="00EE3355" w:rsidRDefault="00222DE0" w:rsidP="00EA1CDF">
      <w:pPr>
        <w:pStyle w:val="a3"/>
        <w:widowControl/>
        <w:ind w:left="0"/>
      </w:pPr>
    </w:p>
    <w:p w14:paraId="04CA9338" w14:textId="50E742C8" w:rsidR="00222DE0" w:rsidRPr="00AB2582" w:rsidRDefault="00B23DAE" w:rsidP="00AB2582">
      <w:pPr>
        <w:rPr>
          <w:b/>
          <w:bCs/>
        </w:rPr>
      </w:pPr>
      <w:r w:rsidRPr="00AB2582">
        <w:rPr>
          <w:b/>
          <w:bCs/>
        </w:rPr>
        <w:t>3.</w:t>
      </w:r>
      <w:r w:rsidRPr="00AB2582">
        <w:rPr>
          <w:b/>
          <w:bCs/>
        </w:rPr>
        <w:tab/>
      </w:r>
      <w:r w:rsidR="0098273B" w:rsidRPr="00AB2582">
        <w:rPr>
          <w:b/>
          <w:bCs/>
        </w:rPr>
        <w:t xml:space="preserve">Jak se přípravek </w:t>
      </w:r>
      <w:r w:rsidR="001041F6" w:rsidRPr="00AB2582">
        <w:rPr>
          <w:b/>
          <w:bCs/>
        </w:rPr>
        <w:t>Avtozma</w:t>
      </w:r>
      <w:r w:rsidR="0098273B" w:rsidRPr="00AB2582">
        <w:rPr>
          <w:b/>
          <w:bCs/>
        </w:rPr>
        <w:t xml:space="preserve"> používá</w:t>
      </w:r>
    </w:p>
    <w:p w14:paraId="6A7E8197" w14:textId="77777777" w:rsidR="00F36A55" w:rsidRPr="00EE3355" w:rsidRDefault="00F36A55" w:rsidP="00EA1CDF">
      <w:pPr>
        <w:pStyle w:val="a3"/>
        <w:widowControl/>
        <w:ind w:left="0"/>
      </w:pPr>
    </w:p>
    <w:p w14:paraId="123E6B2E" w14:textId="77777777" w:rsidR="00222DE0" w:rsidRPr="00EE3355" w:rsidRDefault="0098273B" w:rsidP="00EA1CDF">
      <w:pPr>
        <w:pStyle w:val="a3"/>
        <w:widowControl/>
        <w:ind w:left="0"/>
      </w:pPr>
      <w:r w:rsidRPr="00EE3355">
        <w:t>Tento přípravek je dostupný na lékařský předpis od Vašeho lékaře.</w:t>
      </w:r>
    </w:p>
    <w:p w14:paraId="7FA277B5" w14:textId="77777777" w:rsidR="00222DE0" w:rsidRPr="00EE3355" w:rsidRDefault="00222DE0" w:rsidP="00EA1CDF">
      <w:pPr>
        <w:pStyle w:val="a3"/>
        <w:widowControl/>
        <w:ind w:left="0"/>
      </w:pPr>
    </w:p>
    <w:p w14:paraId="16D75D35" w14:textId="6C5A4984" w:rsidR="00222DE0" w:rsidRPr="00307193" w:rsidRDefault="0098273B" w:rsidP="00AB2582">
      <w:r w:rsidRPr="00C41310">
        <w:t xml:space="preserve">Přípravek </w:t>
      </w:r>
      <w:r w:rsidR="001041F6" w:rsidRPr="00C41310">
        <w:t>Avtozma</w:t>
      </w:r>
      <w:r w:rsidRPr="00AB2582">
        <w:rPr>
          <w:b/>
          <w:bCs/>
        </w:rPr>
        <w:t xml:space="preserve"> podává lékař nebo zdravotní sestra infuzí (kapačkou) do žíly</w:t>
      </w:r>
      <w:r w:rsidRPr="00307193">
        <w:t xml:space="preserve">. </w:t>
      </w:r>
      <w:r w:rsidRPr="00C41310">
        <w:t xml:space="preserve">Lékař nebo zdravotní sestra roztok naředí, zavedou </w:t>
      </w:r>
      <w:r w:rsidR="00B16100">
        <w:t xml:space="preserve">nitrožilní </w:t>
      </w:r>
      <w:r w:rsidRPr="00C41310">
        <w:t>infuzi</w:t>
      </w:r>
      <w:r w:rsidR="00860E4F">
        <w:t xml:space="preserve"> </w:t>
      </w:r>
      <w:r w:rsidRPr="00C41310">
        <w:t>a budou Vás během léčby i po jejím ukončení sledovat.</w:t>
      </w:r>
    </w:p>
    <w:p w14:paraId="5F1F76DF" w14:textId="77777777" w:rsidR="00222DE0" w:rsidRPr="00EE3355" w:rsidRDefault="00222DE0" w:rsidP="00EA1CDF">
      <w:pPr>
        <w:pStyle w:val="a3"/>
        <w:widowControl/>
        <w:ind w:left="0"/>
        <w:rPr>
          <w:b/>
        </w:rPr>
      </w:pPr>
    </w:p>
    <w:p w14:paraId="552020D4" w14:textId="77777777" w:rsidR="00222DE0" w:rsidRPr="00307193" w:rsidRDefault="0098273B" w:rsidP="00EA1CDF">
      <w:pPr>
        <w:widowControl/>
        <w:rPr>
          <w:b/>
          <w:u w:val="single"/>
        </w:rPr>
      </w:pPr>
      <w:r w:rsidRPr="00307193">
        <w:rPr>
          <w:b/>
          <w:u w:val="single"/>
        </w:rPr>
        <w:t>Dospělí pacienti s RA</w:t>
      </w:r>
    </w:p>
    <w:p w14:paraId="4C983A5C" w14:textId="525DEA5F" w:rsidR="00222DE0" w:rsidRPr="00EE3355" w:rsidRDefault="0098273B" w:rsidP="00EA1CDF">
      <w:pPr>
        <w:pStyle w:val="a3"/>
        <w:widowControl/>
        <w:ind w:left="0"/>
      </w:pPr>
      <w:r w:rsidRPr="00EE3355">
        <w:t xml:space="preserve">Obvyklá dávka přípravku </w:t>
      </w:r>
      <w:r w:rsidR="001041F6">
        <w:t>Avtozma</w:t>
      </w:r>
      <w:r w:rsidRPr="00EE3355">
        <w:t xml:space="preserve"> je 8 mg na kg tělesné hmotnosti. V závislosti na Vaší reakci na léčbu Vám lékař může snížit dávku na 4 mg/kg a potom znovu zvýšit na 8 mg/kg, pokud to bude vhodné.</w:t>
      </w:r>
    </w:p>
    <w:p w14:paraId="0703B0FE" w14:textId="77777777" w:rsidR="00A36294" w:rsidRPr="00EE3355" w:rsidRDefault="00A36294" w:rsidP="00EA1CDF">
      <w:pPr>
        <w:pStyle w:val="a3"/>
        <w:widowControl/>
        <w:ind w:left="0"/>
      </w:pPr>
    </w:p>
    <w:p w14:paraId="33A9C462" w14:textId="77F51AF8" w:rsidR="00222DE0" w:rsidRPr="00EE3355" w:rsidRDefault="0098273B" w:rsidP="00EA1CDF">
      <w:pPr>
        <w:pStyle w:val="a3"/>
        <w:widowControl/>
        <w:ind w:left="0"/>
      </w:pPr>
      <w:r w:rsidRPr="00EE3355">
        <w:t xml:space="preserve">Přípravek </w:t>
      </w:r>
      <w:r w:rsidR="001041F6">
        <w:t>Avtozma</w:t>
      </w:r>
      <w:r w:rsidRPr="00EE3355">
        <w:t xml:space="preserve"> bude dospělým pacientům podáván jednou za 4 týdny infuzí do žíly (intravenózní infuzí) trvající jednu hodinu.</w:t>
      </w:r>
    </w:p>
    <w:p w14:paraId="12DFC1B7" w14:textId="77777777" w:rsidR="00222DE0" w:rsidRPr="00EE3355" w:rsidRDefault="00222DE0" w:rsidP="00EA1CDF">
      <w:pPr>
        <w:pStyle w:val="a3"/>
        <w:widowControl/>
        <w:ind w:left="0"/>
      </w:pPr>
    </w:p>
    <w:p w14:paraId="2D17425A" w14:textId="77777777" w:rsidR="00222DE0" w:rsidRPr="002939CB" w:rsidRDefault="0098273B" w:rsidP="00EA1CDF">
      <w:pPr>
        <w:widowControl/>
        <w:rPr>
          <w:b/>
          <w:u w:val="single"/>
        </w:rPr>
      </w:pPr>
      <w:r w:rsidRPr="002939CB">
        <w:rPr>
          <w:b/>
          <w:u w:val="single"/>
        </w:rPr>
        <w:t>Děti se sJIA (ve věku 2 let a starší)</w:t>
      </w:r>
    </w:p>
    <w:p w14:paraId="70594B5D" w14:textId="1118A1D8" w:rsidR="00222DE0" w:rsidRPr="00EE3355" w:rsidRDefault="0098273B" w:rsidP="00EA1CDF">
      <w:pPr>
        <w:pStyle w:val="a3"/>
        <w:widowControl/>
        <w:ind w:left="0"/>
      </w:pPr>
      <w:r w:rsidRPr="00EE3355">
        <w:t xml:space="preserve">Obvyklá dávka přípravku </w:t>
      </w:r>
      <w:r w:rsidR="001041F6">
        <w:t>Avtozma</w:t>
      </w:r>
      <w:r w:rsidRPr="00EE3355">
        <w:t xml:space="preserve"> závisí na tělesné hmotnosti.</w:t>
      </w:r>
    </w:p>
    <w:p w14:paraId="2CAD125E" w14:textId="77777777" w:rsidR="00222DE0" w:rsidRPr="00EE3355" w:rsidRDefault="00B23DAE" w:rsidP="00EA1CDF">
      <w:pPr>
        <w:widowControl/>
        <w:tabs>
          <w:tab w:val="left" w:pos="1159"/>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Pokud vážíte méně než 30 kg: dávka je </w:t>
      </w:r>
      <w:r w:rsidR="0098273B" w:rsidRPr="00EE3355">
        <w:rPr>
          <w:b/>
        </w:rPr>
        <w:t>12 mg na každý kilogram tělesné hmotnosti</w:t>
      </w:r>
    </w:p>
    <w:p w14:paraId="06A66310" w14:textId="77777777" w:rsidR="00222DE0" w:rsidRPr="00EE3355" w:rsidRDefault="00B23DAE" w:rsidP="00EA1CDF">
      <w:pPr>
        <w:widowControl/>
        <w:tabs>
          <w:tab w:val="left" w:pos="1159"/>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Pokud vážíte 30 kg nebo více, dávka je </w:t>
      </w:r>
      <w:r w:rsidR="0098273B" w:rsidRPr="00EE3355">
        <w:rPr>
          <w:b/>
        </w:rPr>
        <w:t>8 mg na každý kilogram tělesné hmotnosti</w:t>
      </w:r>
    </w:p>
    <w:p w14:paraId="38331828" w14:textId="77777777" w:rsidR="00222DE0" w:rsidRPr="00EE3355" w:rsidRDefault="0098273B" w:rsidP="00EA1CDF">
      <w:pPr>
        <w:pStyle w:val="a3"/>
        <w:widowControl/>
        <w:ind w:left="0"/>
      </w:pPr>
      <w:r w:rsidRPr="00EE3355">
        <w:t>Dávka se vypočítává podle tělesné hmotnosti při každém podání.</w:t>
      </w:r>
    </w:p>
    <w:p w14:paraId="1B328AFA" w14:textId="77777777" w:rsidR="00222DE0" w:rsidRPr="00EE3355" w:rsidRDefault="00222DE0" w:rsidP="00EA1CDF">
      <w:pPr>
        <w:pStyle w:val="a3"/>
        <w:widowControl/>
        <w:ind w:left="0"/>
      </w:pPr>
    </w:p>
    <w:p w14:paraId="7D0A677E" w14:textId="790597C8" w:rsidR="00222DE0" w:rsidRPr="00EE3355" w:rsidRDefault="0098273B" w:rsidP="00EA1CDF">
      <w:pPr>
        <w:pStyle w:val="a3"/>
        <w:widowControl/>
        <w:ind w:left="0"/>
      </w:pPr>
      <w:r w:rsidRPr="00EE3355">
        <w:t xml:space="preserve">Přípravek </w:t>
      </w:r>
      <w:r w:rsidR="001041F6">
        <w:t>Avtozma</w:t>
      </w:r>
      <w:r w:rsidRPr="00EE3355">
        <w:t xml:space="preserve"> se podává dětem se sJIA jednou za 2 týdny infuzí do žíly (intravenózní infuzí) trvající jednu hodinu.</w:t>
      </w:r>
    </w:p>
    <w:p w14:paraId="13314257" w14:textId="77777777" w:rsidR="00222DE0" w:rsidRPr="00EE3355" w:rsidRDefault="00222DE0" w:rsidP="00EA1CDF">
      <w:pPr>
        <w:pStyle w:val="a3"/>
        <w:widowControl/>
        <w:ind w:left="0"/>
      </w:pPr>
    </w:p>
    <w:p w14:paraId="63CAB6EE" w14:textId="77777777" w:rsidR="00222DE0" w:rsidRPr="00704F4F" w:rsidRDefault="0098273B" w:rsidP="00EA1CDF">
      <w:pPr>
        <w:widowControl/>
        <w:rPr>
          <w:b/>
          <w:u w:val="single"/>
        </w:rPr>
      </w:pPr>
      <w:r w:rsidRPr="00704F4F">
        <w:rPr>
          <w:b/>
          <w:u w:val="single"/>
        </w:rPr>
        <w:t>Děti s pJIA (ve věku 2 let a starší)</w:t>
      </w:r>
    </w:p>
    <w:p w14:paraId="72D8B28E" w14:textId="669CDC53" w:rsidR="00222DE0" w:rsidRPr="00EE3355" w:rsidRDefault="0098273B" w:rsidP="00EA1CDF">
      <w:pPr>
        <w:pStyle w:val="a3"/>
        <w:widowControl/>
        <w:ind w:left="0"/>
      </w:pPr>
      <w:r w:rsidRPr="00EE3355">
        <w:t xml:space="preserve">Obvyklá dávka přípravku </w:t>
      </w:r>
      <w:r w:rsidR="001041F6">
        <w:t>Avtozma</w:t>
      </w:r>
      <w:r w:rsidRPr="00EE3355">
        <w:t xml:space="preserve"> závisí na tělesné hmotnosti.</w:t>
      </w:r>
    </w:p>
    <w:p w14:paraId="7E46F994" w14:textId="77777777" w:rsidR="00222DE0" w:rsidRPr="00EE3355" w:rsidRDefault="00B23DAE" w:rsidP="00EA1CDF">
      <w:pPr>
        <w:widowControl/>
        <w:tabs>
          <w:tab w:val="left" w:pos="1159"/>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Pokud vážíte méně než 30 kg: dávka je </w:t>
      </w:r>
      <w:r w:rsidR="0098273B" w:rsidRPr="00EE3355">
        <w:rPr>
          <w:b/>
        </w:rPr>
        <w:t>10 mg na každý kilogram tělesné hmotnosti</w:t>
      </w:r>
    </w:p>
    <w:p w14:paraId="03E196AF" w14:textId="77777777" w:rsidR="00222DE0" w:rsidRPr="00EE3355" w:rsidRDefault="00B23DAE" w:rsidP="00EA1CDF">
      <w:pPr>
        <w:widowControl/>
        <w:tabs>
          <w:tab w:val="left" w:pos="1160"/>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Pokud vážíte 30 kg nebo více, dávka je </w:t>
      </w:r>
      <w:r w:rsidR="0098273B" w:rsidRPr="00EE3355">
        <w:rPr>
          <w:b/>
        </w:rPr>
        <w:t>8 mg na každý kilogram tělesné hmotnosti</w:t>
      </w:r>
    </w:p>
    <w:p w14:paraId="005E6B0E" w14:textId="77777777" w:rsidR="00222DE0" w:rsidRPr="00EE3355" w:rsidRDefault="0098273B" w:rsidP="00EA1CDF">
      <w:pPr>
        <w:pStyle w:val="a3"/>
        <w:widowControl/>
        <w:ind w:left="0"/>
      </w:pPr>
      <w:r w:rsidRPr="00EE3355">
        <w:t>Dávka se vypočítává podle tělesné hmotnosti při každém podání.</w:t>
      </w:r>
    </w:p>
    <w:p w14:paraId="413DA365" w14:textId="77777777" w:rsidR="00222DE0" w:rsidRPr="00EE3355" w:rsidRDefault="00222DE0" w:rsidP="00EA1CDF">
      <w:pPr>
        <w:pStyle w:val="a3"/>
        <w:widowControl/>
        <w:ind w:left="0"/>
      </w:pPr>
    </w:p>
    <w:p w14:paraId="74B23314" w14:textId="2ABD41FB" w:rsidR="00222DE0" w:rsidRPr="00EE3355" w:rsidRDefault="0098273B" w:rsidP="00EA1CDF">
      <w:pPr>
        <w:pStyle w:val="a3"/>
        <w:widowControl/>
        <w:ind w:left="0"/>
      </w:pPr>
      <w:r w:rsidRPr="00EE3355">
        <w:t xml:space="preserve">Děti s pJIA budou dostávat přípravek </w:t>
      </w:r>
      <w:r w:rsidR="001041F6">
        <w:t>Avtozma</w:t>
      </w:r>
      <w:r w:rsidRPr="00EE3355">
        <w:t xml:space="preserve"> jednou za 4 týdny infuzí do žíly (intravenózní</w:t>
      </w:r>
      <w:r w:rsidR="00704F4F">
        <w:t xml:space="preserve"> </w:t>
      </w:r>
      <w:r w:rsidRPr="00EE3355">
        <w:t>infuzí) trvající jednu hodinu.</w:t>
      </w:r>
    </w:p>
    <w:p w14:paraId="735E893D" w14:textId="77777777" w:rsidR="00222DE0" w:rsidRPr="00EE3355" w:rsidRDefault="00222DE0" w:rsidP="00EA1CDF">
      <w:pPr>
        <w:pStyle w:val="a3"/>
        <w:widowControl/>
        <w:ind w:left="0"/>
      </w:pPr>
    </w:p>
    <w:p w14:paraId="0CC3D67C" w14:textId="77777777" w:rsidR="00222DE0" w:rsidRPr="00AB2582" w:rsidRDefault="0098273B" w:rsidP="00AB2582">
      <w:pPr>
        <w:rPr>
          <w:b/>
          <w:bCs/>
        </w:rPr>
      </w:pPr>
      <w:r w:rsidRPr="00AB2582">
        <w:rPr>
          <w:b/>
          <w:bCs/>
        </w:rPr>
        <w:t>Pacienti s CRS</w:t>
      </w:r>
    </w:p>
    <w:p w14:paraId="5008071F" w14:textId="39990E41" w:rsidR="00222DE0" w:rsidRPr="00EE3355" w:rsidRDefault="0098273B" w:rsidP="00EA1CDF">
      <w:pPr>
        <w:widowControl/>
      </w:pPr>
      <w:r w:rsidRPr="00EE3355">
        <w:t xml:space="preserve">Obvyklá dávka přípravku </w:t>
      </w:r>
      <w:r w:rsidR="001041F6">
        <w:t>Avtozma</w:t>
      </w:r>
      <w:r w:rsidRPr="00EE3355">
        <w:t xml:space="preserve"> je </w:t>
      </w:r>
      <w:r w:rsidRPr="00EE3355">
        <w:rPr>
          <w:b/>
        </w:rPr>
        <w:t>8 mg na každý kilogram tělesné hmotnosti, pokud vážíte</w:t>
      </w:r>
      <w:r w:rsidR="00704F4F">
        <w:rPr>
          <w:b/>
        </w:rPr>
        <w:t xml:space="preserve"> </w:t>
      </w:r>
      <w:r w:rsidRPr="00EE3355">
        <w:t>30 nebo více kg.</w:t>
      </w:r>
    </w:p>
    <w:p w14:paraId="5F061351" w14:textId="77777777" w:rsidR="00222DE0" w:rsidRPr="00EE3355" w:rsidRDefault="0098273B" w:rsidP="00EA1CDF">
      <w:pPr>
        <w:widowControl/>
        <w:rPr>
          <w:b/>
        </w:rPr>
      </w:pPr>
      <w:r w:rsidRPr="00EE3355">
        <w:t xml:space="preserve">Dávka je </w:t>
      </w:r>
      <w:r w:rsidRPr="00EE3355">
        <w:rPr>
          <w:b/>
        </w:rPr>
        <w:t>12 mg na každý kilogram tělesné hmotnosti, pokud vážíte méně než 30 kg.</w:t>
      </w:r>
    </w:p>
    <w:p w14:paraId="071FE937" w14:textId="3FC4A5CF" w:rsidR="00222DE0" w:rsidRPr="00EE3355" w:rsidRDefault="0098273B" w:rsidP="00EA1CDF">
      <w:pPr>
        <w:pStyle w:val="a3"/>
        <w:widowControl/>
        <w:ind w:left="0"/>
      </w:pPr>
      <w:r w:rsidRPr="00EE3355">
        <w:t xml:space="preserve">Přípravek </w:t>
      </w:r>
      <w:r w:rsidR="001041F6">
        <w:t>Avtozma</w:t>
      </w:r>
      <w:r w:rsidRPr="00EE3355">
        <w:t xml:space="preserve"> lze podávat samostatně nebo v kombinaci s kortikosteroidy.</w:t>
      </w:r>
    </w:p>
    <w:p w14:paraId="6E428DD6" w14:textId="77777777" w:rsidR="00222DE0" w:rsidRPr="00EE3355" w:rsidRDefault="00222DE0" w:rsidP="00EA1CDF">
      <w:pPr>
        <w:pStyle w:val="a3"/>
        <w:widowControl/>
        <w:ind w:left="0"/>
      </w:pPr>
    </w:p>
    <w:p w14:paraId="0A48470D" w14:textId="77777777" w:rsidR="00222DE0" w:rsidRPr="00AB2582" w:rsidRDefault="0098273B" w:rsidP="00AB2582">
      <w:pPr>
        <w:rPr>
          <w:b/>
          <w:bCs/>
        </w:rPr>
      </w:pPr>
      <w:r w:rsidRPr="00AB2582">
        <w:rPr>
          <w:b/>
          <w:bCs/>
        </w:rPr>
        <w:t>Pacienti s onemocněním COVID-19</w:t>
      </w:r>
    </w:p>
    <w:p w14:paraId="11DA7E64" w14:textId="7619DA00" w:rsidR="00222DE0" w:rsidRPr="00EE3355" w:rsidRDefault="0098273B" w:rsidP="00EA1CDF">
      <w:pPr>
        <w:widowControl/>
      </w:pPr>
      <w:r w:rsidRPr="00EE3355">
        <w:t xml:space="preserve">Obvyklá dávka přípravku </w:t>
      </w:r>
      <w:r w:rsidR="001041F6">
        <w:t>Avtozma</w:t>
      </w:r>
      <w:r w:rsidRPr="00EE3355">
        <w:t xml:space="preserve"> je </w:t>
      </w:r>
      <w:r w:rsidRPr="00EE3355">
        <w:rPr>
          <w:b/>
        </w:rPr>
        <w:t>8 mg na každý kilogram tělesné hmotnosti</w:t>
      </w:r>
      <w:r w:rsidRPr="00EE3355">
        <w:t>. Může být třeba</w:t>
      </w:r>
      <w:r w:rsidR="00704F4F">
        <w:t xml:space="preserve"> </w:t>
      </w:r>
      <w:r w:rsidRPr="00EE3355">
        <w:t>podat druhou dávku.</w:t>
      </w:r>
    </w:p>
    <w:p w14:paraId="062F6C71" w14:textId="77777777" w:rsidR="00222DE0" w:rsidRPr="00EE3355" w:rsidRDefault="00222DE0" w:rsidP="00EA1CDF">
      <w:pPr>
        <w:widowControl/>
      </w:pPr>
    </w:p>
    <w:p w14:paraId="645FE1AC" w14:textId="58CD301A" w:rsidR="00222DE0" w:rsidRPr="00AB2582" w:rsidRDefault="0098273B" w:rsidP="00AB2582">
      <w:pPr>
        <w:rPr>
          <w:b/>
          <w:bCs/>
        </w:rPr>
      </w:pPr>
      <w:r w:rsidRPr="00AB2582">
        <w:rPr>
          <w:b/>
          <w:bCs/>
        </w:rPr>
        <w:t xml:space="preserve">Jestliže jste použil(a) více přípravku </w:t>
      </w:r>
      <w:r w:rsidR="001041F6" w:rsidRPr="00AB2582">
        <w:rPr>
          <w:b/>
          <w:bCs/>
        </w:rPr>
        <w:t>Avtozma</w:t>
      </w:r>
      <w:r w:rsidRPr="00AB2582">
        <w:rPr>
          <w:b/>
          <w:bCs/>
        </w:rPr>
        <w:t>, než jste měl(a)</w:t>
      </w:r>
    </w:p>
    <w:p w14:paraId="4D616D48" w14:textId="52BB4A42" w:rsidR="00222DE0" w:rsidRPr="00EE3355" w:rsidRDefault="0098273B" w:rsidP="00EA1CDF">
      <w:pPr>
        <w:pStyle w:val="a3"/>
        <w:widowControl/>
        <w:ind w:left="0"/>
      </w:pPr>
      <w:r w:rsidRPr="00EE3355">
        <w:t xml:space="preserve">Jelikož je přípravek </w:t>
      </w:r>
      <w:r w:rsidR="001041F6">
        <w:t>Avtozma</w:t>
      </w:r>
      <w:r w:rsidRPr="00EE3355">
        <w:t xml:space="preserve"> podáván lékařem nebo sestrou, je nepravděpodobné, že by Vám ho bylo podáno příliš. Ale pokud máte obavy, řekněte to svému lékaři.</w:t>
      </w:r>
    </w:p>
    <w:p w14:paraId="2DAA4F47" w14:textId="77777777" w:rsidR="00222DE0" w:rsidRPr="00EE3355" w:rsidRDefault="00222DE0" w:rsidP="00EA1CDF">
      <w:pPr>
        <w:pStyle w:val="a3"/>
        <w:widowControl/>
        <w:ind w:left="0"/>
      </w:pPr>
    </w:p>
    <w:p w14:paraId="79B034C0" w14:textId="761CA6A2" w:rsidR="00222DE0" w:rsidRPr="00AB2582" w:rsidRDefault="0098273B" w:rsidP="00AB2582">
      <w:pPr>
        <w:rPr>
          <w:b/>
          <w:bCs/>
        </w:rPr>
      </w:pPr>
      <w:r w:rsidRPr="00AB2582">
        <w:rPr>
          <w:b/>
          <w:bCs/>
        </w:rPr>
        <w:lastRenderedPageBreak/>
        <w:t xml:space="preserve">Jestliže jste vynechal(a) dávku přípravku </w:t>
      </w:r>
      <w:r w:rsidR="001041F6" w:rsidRPr="00AB2582">
        <w:rPr>
          <w:b/>
          <w:bCs/>
        </w:rPr>
        <w:t>Avtozma</w:t>
      </w:r>
    </w:p>
    <w:p w14:paraId="77E4A168" w14:textId="44317AD4" w:rsidR="00222DE0" w:rsidRPr="00EE3355" w:rsidRDefault="0098273B" w:rsidP="00EA1CDF">
      <w:pPr>
        <w:pStyle w:val="a3"/>
        <w:widowControl/>
        <w:ind w:left="0"/>
      </w:pPr>
      <w:r w:rsidRPr="00EE3355">
        <w:t xml:space="preserve">Jelikož Vám přípravek </w:t>
      </w:r>
      <w:r w:rsidR="001041F6">
        <w:t>Avtozma</w:t>
      </w:r>
      <w:r w:rsidRPr="00EE3355">
        <w:t xml:space="preserve"> podává lékař nebo sestra, je nepravděpodobné, že byste vynechal(a) dávku. Ale pokud máte obavy, řekněte to svému lékaři nebo zdravotní sestře.</w:t>
      </w:r>
    </w:p>
    <w:p w14:paraId="19111622" w14:textId="77777777" w:rsidR="00222DE0" w:rsidRPr="00EE3355" w:rsidRDefault="00222DE0" w:rsidP="00EA1CDF">
      <w:pPr>
        <w:pStyle w:val="a3"/>
        <w:widowControl/>
        <w:ind w:left="0"/>
      </w:pPr>
    </w:p>
    <w:p w14:paraId="3F8AD9DD" w14:textId="3941F919" w:rsidR="00222DE0" w:rsidRPr="00AB2582" w:rsidRDefault="0098273B" w:rsidP="00AB2582">
      <w:pPr>
        <w:rPr>
          <w:b/>
          <w:bCs/>
        </w:rPr>
      </w:pPr>
      <w:r w:rsidRPr="00AB2582">
        <w:rPr>
          <w:b/>
          <w:bCs/>
        </w:rPr>
        <w:t xml:space="preserve">Jestliže jste přestal(a) používat přípravek </w:t>
      </w:r>
      <w:r w:rsidR="001041F6" w:rsidRPr="00AB2582">
        <w:rPr>
          <w:b/>
          <w:bCs/>
        </w:rPr>
        <w:t>Avtozma</w:t>
      </w:r>
    </w:p>
    <w:p w14:paraId="4CD4C003" w14:textId="32FE0501" w:rsidR="00222DE0" w:rsidRPr="00EE3355" w:rsidRDefault="0098273B" w:rsidP="00EA1CDF">
      <w:pPr>
        <w:pStyle w:val="a3"/>
        <w:widowControl/>
        <w:ind w:left="0"/>
      </w:pPr>
      <w:r w:rsidRPr="00EE3355">
        <w:t xml:space="preserve">Nepřestávejte s léčbou přípravkem </w:t>
      </w:r>
      <w:r w:rsidR="001041F6">
        <w:t>Avtozma</w:t>
      </w:r>
      <w:r w:rsidRPr="00EE3355">
        <w:t xml:space="preserve"> bez porady se svým lékařem.</w:t>
      </w:r>
    </w:p>
    <w:p w14:paraId="18D70CEE" w14:textId="77777777" w:rsidR="00222DE0" w:rsidRPr="00EE3355" w:rsidRDefault="00222DE0" w:rsidP="00EA1CDF">
      <w:pPr>
        <w:pStyle w:val="a3"/>
        <w:widowControl/>
        <w:ind w:left="0"/>
      </w:pPr>
    </w:p>
    <w:p w14:paraId="0D17D823" w14:textId="77777777" w:rsidR="00222DE0" w:rsidRPr="00EE3355" w:rsidRDefault="0098273B" w:rsidP="00EA1CDF">
      <w:pPr>
        <w:pStyle w:val="a3"/>
        <w:widowControl/>
        <w:ind w:left="0"/>
      </w:pPr>
      <w:r w:rsidRPr="00EE3355">
        <w:t>Máte-li jakékoli další otázky týkající se užívání tohoto přípravku, zeptejte se svého lékaře nebo</w:t>
      </w:r>
      <w:r w:rsidR="00704F4F">
        <w:t xml:space="preserve"> </w:t>
      </w:r>
      <w:r w:rsidRPr="00EE3355">
        <w:t>zdravotní sestry.</w:t>
      </w:r>
    </w:p>
    <w:p w14:paraId="66CB69BD" w14:textId="77777777" w:rsidR="00222DE0" w:rsidRPr="00EE3355" w:rsidRDefault="00222DE0" w:rsidP="00EA1CDF">
      <w:pPr>
        <w:pStyle w:val="a3"/>
        <w:widowControl/>
        <w:ind w:left="0"/>
      </w:pPr>
    </w:p>
    <w:p w14:paraId="24A46C40" w14:textId="77777777" w:rsidR="00222DE0" w:rsidRPr="00EE3355" w:rsidRDefault="00222DE0" w:rsidP="00EA1CDF">
      <w:pPr>
        <w:pStyle w:val="a3"/>
        <w:widowControl/>
        <w:ind w:left="0"/>
      </w:pPr>
    </w:p>
    <w:p w14:paraId="52D99F00" w14:textId="77777777" w:rsidR="00222DE0" w:rsidRPr="00AB2582" w:rsidRDefault="00B23DAE" w:rsidP="00AB2582">
      <w:pPr>
        <w:rPr>
          <w:b/>
          <w:bCs/>
        </w:rPr>
      </w:pPr>
      <w:r w:rsidRPr="00AB2582">
        <w:rPr>
          <w:b/>
          <w:bCs/>
        </w:rPr>
        <w:t>4.</w:t>
      </w:r>
      <w:r w:rsidRPr="00AB2582">
        <w:rPr>
          <w:b/>
          <w:bCs/>
        </w:rPr>
        <w:tab/>
      </w:r>
      <w:r w:rsidR="0098273B" w:rsidRPr="00AB2582">
        <w:rPr>
          <w:b/>
          <w:bCs/>
        </w:rPr>
        <w:t>Možné nežádoucí účinky</w:t>
      </w:r>
    </w:p>
    <w:p w14:paraId="01B5B558" w14:textId="77777777" w:rsidR="00DE3272" w:rsidRPr="00EE3355" w:rsidRDefault="00DE3272" w:rsidP="00943257"/>
    <w:p w14:paraId="32FAAB7D" w14:textId="5612D7CC" w:rsidR="00222DE0" w:rsidRPr="00EE3355" w:rsidRDefault="0098273B" w:rsidP="00EA1CDF">
      <w:pPr>
        <w:pStyle w:val="a3"/>
        <w:widowControl/>
        <w:ind w:left="0"/>
      </w:pPr>
      <w:r w:rsidRPr="00EE3355">
        <w:t xml:space="preserve">Podobně jako všechny léky může mít i přípravek </w:t>
      </w:r>
      <w:r w:rsidR="001041F6">
        <w:t>Avtozma</w:t>
      </w:r>
      <w:r w:rsidRPr="00EE3355">
        <w:t xml:space="preserve"> nežádoucí účinky, které se ale nemusí</w:t>
      </w:r>
      <w:r w:rsidR="00704F4F">
        <w:t xml:space="preserve"> </w:t>
      </w:r>
      <w:r w:rsidRPr="00EE3355">
        <w:t>vyskytnout u každého.</w:t>
      </w:r>
    </w:p>
    <w:p w14:paraId="5591AEEE" w14:textId="2BED7E2F" w:rsidR="00222DE0" w:rsidRPr="00EE3355" w:rsidRDefault="0098273B" w:rsidP="00EA1CDF">
      <w:pPr>
        <w:pStyle w:val="a3"/>
        <w:widowControl/>
        <w:ind w:left="0"/>
      </w:pPr>
      <w:r w:rsidRPr="00EE3355">
        <w:t xml:space="preserve">Nežádoucí účinky se můžou vyskytnout ještě do 3 měsíců po poslední dávce přípravku </w:t>
      </w:r>
      <w:r w:rsidR="001041F6">
        <w:t>Avtozma</w:t>
      </w:r>
      <w:r w:rsidRPr="00EE3355">
        <w:t>.</w:t>
      </w:r>
    </w:p>
    <w:p w14:paraId="50F0CD1B" w14:textId="77777777" w:rsidR="00222DE0" w:rsidRPr="00EE3355" w:rsidRDefault="00222DE0" w:rsidP="00EA1CDF">
      <w:pPr>
        <w:pStyle w:val="a3"/>
        <w:widowControl/>
        <w:ind w:left="0"/>
      </w:pPr>
    </w:p>
    <w:p w14:paraId="40F96D2F" w14:textId="77777777" w:rsidR="00222DE0" w:rsidRPr="00EE3355" w:rsidRDefault="0098273B" w:rsidP="00EA1CDF">
      <w:pPr>
        <w:widowControl/>
      </w:pPr>
      <w:r w:rsidRPr="00EE3355">
        <w:rPr>
          <w:b/>
        </w:rPr>
        <w:t xml:space="preserve">Možné závažné nežádoucí účinky: </w:t>
      </w:r>
      <w:r w:rsidRPr="00EE3355">
        <w:t>sdělte ihned lékaři.</w:t>
      </w:r>
    </w:p>
    <w:p w14:paraId="3BDE7EE3" w14:textId="77777777" w:rsidR="00222DE0" w:rsidRPr="00EE3355" w:rsidRDefault="0098273B" w:rsidP="00EA1CDF">
      <w:pPr>
        <w:widowControl/>
        <w:rPr>
          <w:i/>
        </w:rPr>
      </w:pPr>
      <w:r w:rsidRPr="00EE3355">
        <w:rPr>
          <w:i/>
        </w:rPr>
        <w:t>Tyto nežádoucí účinky jsou časté: mohou postihnout až 1 z 10 pacientů</w:t>
      </w:r>
    </w:p>
    <w:p w14:paraId="61B6A9FF" w14:textId="77777777" w:rsidR="00222DE0" w:rsidRPr="00EE3355" w:rsidRDefault="00222DE0" w:rsidP="00EA1CDF">
      <w:pPr>
        <w:pStyle w:val="a3"/>
        <w:widowControl/>
        <w:ind w:left="0"/>
        <w:rPr>
          <w:i/>
        </w:rPr>
      </w:pPr>
    </w:p>
    <w:p w14:paraId="37A48C2E" w14:textId="77777777" w:rsidR="00222DE0" w:rsidRPr="00EE3355" w:rsidRDefault="0098273B" w:rsidP="00EA1CDF">
      <w:pPr>
        <w:widowControl/>
      </w:pPr>
      <w:r w:rsidRPr="00EE3355">
        <w:rPr>
          <w:b/>
        </w:rPr>
        <w:t>Alergické reakce</w:t>
      </w:r>
      <w:r w:rsidRPr="00EE3355">
        <w:t>, které se objeví během nebo po podání infuze:</w:t>
      </w:r>
    </w:p>
    <w:p w14:paraId="3EA293CF"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problémy s dýcháním, tíseň na hrudi nebo pocit závrati</w:t>
      </w:r>
    </w:p>
    <w:p w14:paraId="7E0D3088"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vyrážka, svědění, kopřivka, otok rtů, jazyka nebo obličeje</w:t>
      </w:r>
    </w:p>
    <w:p w14:paraId="5B0BC46B" w14:textId="77777777" w:rsidR="00A10C58" w:rsidRPr="00EE3355" w:rsidRDefault="00A10C58" w:rsidP="00EA1CDF">
      <w:pPr>
        <w:widowControl/>
        <w:tabs>
          <w:tab w:val="left" w:pos="805"/>
        </w:tabs>
      </w:pPr>
    </w:p>
    <w:p w14:paraId="6D7B362D" w14:textId="77777777" w:rsidR="00222DE0" w:rsidRPr="00EE3355" w:rsidRDefault="0098273B" w:rsidP="00EA1CDF">
      <w:pPr>
        <w:pStyle w:val="a3"/>
        <w:widowControl/>
        <w:ind w:left="0"/>
      </w:pPr>
      <w:r w:rsidRPr="00EE3355">
        <w:t xml:space="preserve">Pokud zaznamenáte jakýkoli z těchto příznaků, </w:t>
      </w:r>
      <w:r w:rsidRPr="00EE3355">
        <w:rPr>
          <w:b/>
        </w:rPr>
        <w:t xml:space="preserve">ihned </w:t>
      </w:r>
      <w:r w:rsidRPr="00EE3355">
        <w:t>to sdělte svému lékaři.</w:t>
      </w:r>
    </w:p>
    <w:p w14:paraId="2ADA5F79" w14:textId="77777777" w:rsidR="00222DE0" w:rsidRPr="00EE3355" w:rsidRDefault="00222DE0" w:rsidP="00EA1CDF">
      <w:pPr>
        <w:pStyle w:val="a3"/>
        <w:widowControl/>
        <w:ind w:left="0"/>
      </w:pPr>
    </w:p>
    <w:p w14:paraId="168D7A01" w14:textId="77777777" w:rsidR="00222DE0" w:rsidRPr="00AB2582" w:rsidRDefault="0098273B" w:rsidP="00AB2582">
      <w:pPr>
        <w:rPr>
          <w:b/>
          <w:bCs/>
        </w:rPr>
      </w:pPr>
      <w:r w:rsidRPr="00AB2582">
        <w:rPr>
          <w:b/>
          <w:bCs/>
        </w:rPr>
        <w:t>Známky závažné infekce</w:t>
      </w:r>
    </w:p>
    <w:p w14:paraId="4C8E320F"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horečka a zimnice</w:t>
      </w:r>
    </w:p>
    <w:p w14:paraId="06233E0C"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puchýře v ústech a na kůži</w:t>
      </w:r>
    </w:p>
    <w:p w14:paraId="1110089C"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bolest žaludku</w:t>
      </w:r>
    </w:p>
    <w:p w14:paraId="2F270FA1" w14:textId="77777777" w:rsidR="00222DE0" w:rsidRPr="00EE3355" w:rsidRDefault="00222DE0" w:rsidP="00EA1CDF">
      <w:pPr>
        <w:pStyle w:val="a3"/>
        <w:widowControl/>
        <w:ind w:left="0"/>
      </w:pPr>
    </w:p>
    <w:p w14:paraId="088F6DDB" w14:textId="77777777" w:rsidR="00222DE0" w:rsidRPr="00AB2582" w:rsidRDefault="0098273B" w:rsidP="00AB2582">
      <w:pPr>
        <w:rPr>
          <w:b/>
          <w:bCs/>
        </w:rPr>
      </w:pPr>
      <w:r w:rsidRPr="00AB2582">
        <w:rPr>
          <w:b/>
          <w:bCs/>
        </w:rPr>
        <w:t>Známky a příznaky jaterní toxicity</w:t>
      </w:r>
    </w:p>
    <w:p w14:paraId="01762049" w14:textId="77777777" w:rsidR="00222DE0" w:rsidRPr="00EE3355" w:rsidRDefault="0098273B" w:rsidP="00EA1CDF">
      <w:pPr>
        <w:widowControl/>
        <w:rPr>
          <w:i/>
        </w:rPr>
      </w:pPr>
      <w:r w:rsidRPr="00EE3355">
        <w:rPr>
          <w:i/>
        </w:rPr>
        <w:t>Mohou postihnout až 1 z 1 000 pacientů</w:t>
      </w:r>
    </w:p>
    <w:p w14:paraId="2BC14D10" w14:textId="5EC350AD"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1C1B7C">
        <w:t>únava</w:t>
      </w:r>
    </w:p>
    <w:p w14:paraId="31B62FAA"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bolest břicha</w:t>
      </w:r>
    </w:p>
    <w:p w14:paraId="354F4B5D"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žloutenka (zežloutnutí kůže nebo očí)</w:t>
      </w:r>
    </w:p>
    <w:p w14:paraId="3E0AEC44" w14:textId="77777777" w:rsidR="009A2C1E" w:rsidRPr="00EE3355" w:rsidRDefault="009A2C1E" w:rsidP="00EA1CDF">
      <w:pPr>
        <w:widowControl/>
        <w:tabs>
          <w:tab w:val="left" w:pos="806"/>
        </w:tabs>
      </w:pPr>
    </w:p>
    <w:p w14:paraId="4416B4BF" w14:textId="77777777" w:rsidR="00222DE0" w:rsidRPr="00EE3355" w:rsidRDefault="0098273B" w:rsidP="00EA1CDF">
      <w:pPr>
        <w:pStyle w:val="a3"/>
        <w:widowControl/>
        <w:ind w:left="0"/>
      </w:pPr>
      <w:r w:rsidRPr="00EE3355">
        <w:t xml:space="preserve">Pokud zaznamenáte jakýkoli z těchto příznaků, </w:t>
      </w:r>
      <w:r w:rsidRPr="00EE3355">
        <w:rPr>
          <w:b/>
        </w:rPr>
        <w:t xml:space="preserve">co nejdříve </w:t>
      </w:r>
      <w:r w:rsidRPr="00EE3355">
        <w:t>to sdělte svému lékaři.</w:t>
      </w:r>
    </w:p>
    <w:p w14:paraId="3620E2D9" w14:textId="77777777" w:rsidR="00222DE0" w:rsidRPr="00EE3355" w:rsidRDefault="00222DE0" w:rsidP="00EA1CDF">
      <w:pPr>
        <w:pStyle w:val="a3"/>
        <w:widowControl/>
        <w:ind w:left="0"/>
      </w:pPr>
    </w:p>
    <w:p w14:paraId="26AB620B" w14:textId="77777777" w:rsidR="00222DE0" w:rsidRPr="00AB2582" w:rsidRDefault="0098273B" w:rsidP="00AB2582">
      <w:pPr>
        <w:rPr>
          <w:b/>
          <w:bCs/>
        </w:rPr>
      </w:pPr>
      <w:r w:rsidRPr="00AB2582">
        <w:rPr>
          <w:b/>
          <w:bCs/>
        </w:rPr>
        <w:t>Velmi časté nežádoucí účinky</w:t>
      </w:r>
      <w:r w:rsidRPr="00AB2582">
        <w:t>:</w:t>
      </w:r>
    </w:p>
    <w:p w14:paraId="17DD1737" w14:textId="77777777" w:rsidR="00222DE0" w:rsidRPr="00EE3355" w:rsidRDefault="0098273B" w:rsidP="00EA1CDF">
      <w:pPr>
        <w:widowControl/>
        <w:rPr>
          <w:i/>
        </w:rPr>
      </w:pPr>
      <w:r w:rsidRPr="00EE3355">
        <w:rPr>
          <w:i/>
        </w:rPr>
        <w:t>Mohou postihnout více než 1 z 10 pacientů</w:t>
      </w:r>
    </w:p>
    <w:p w14:paraId="17D05CF1" w14:textId="77777777" w:rsidR="00222DE0" w:rsidRPr="00EE3355" w:rsidRDefault="00B23DAE" w:rsidP="00EA1CDF">
      <w:pPr>
        <w:widowControl/>
        <w:tabs>
          <w:tab w:val="left" w:pos="833"/>
        </w:tabs>
        <w:ind w:left="567" w:hanging="567"/>
      </w:pPr>
      <w:r w:rsidRPr="00EE3355">
        <w:rPr>
          <w:rFonts w:ascii="Symbol" w:eastAsia="Symbol" w:hAnsi="Symbol" w:cs="Symbol"/>
        </w:rPr>
        <w:t></w:t>
      </w:r>
      <w:r w:rsidRPr="00EE3355">
        <w:rPr>
          <w:rFonts w:ascii="Symbol" w:eastAsia="Symbol" w:hAnsi="Symbol" w:cs="Symbol"/>
        </w:rPr>
        <w:tab/>
      </w:r>
      <w:r w:rsidR="0098273B" w:rsidRPr="00EE3355">
        <w:t>infekce horních cest dýchacích s typickými příznaky, jako jsou kašel, ucpaný nos, rýma, bolest v krku a bolest hlavy</w:t>
      </w:r>
    </w:p>
    <w:p w14:paraId="2F8A59BA" w14:textId="77777777" w:rsidR="00222DE0" w:rsidRPr="00EE3355" w:rsidRDefault="00B23DAE" w:rsidP="00EA1CDF">
      <w:pPr>
        <w:widowControl/>
        <w:tabs>
          <w:tab w:val="left" w:pos="830"/>
        </w:tabs>
        <w:ind w:left="567" w:hanging="567"/>
      </w:pPr>
      <w:r w:rsidRPr="00EE3355">
        <w:rPr>
          <w:rFonts w:ascii="Symbol" w:eastAsia="Symbol" w:hAnsi="Symbol" w:cs="Symbol"/>
        </w:rPr>
        <w:t></w:t>
      </w:r>
      <w:r w:rsidRPr="00EE3355">
        <w:rPr>
          <w:rFonts w:ascii="Symbol" w:eastAsia="Symbol" w:hAnsi="Symbol" w:cs="Symbol"/>
        </w:rPr>
        <w:tab/>
      </w:r>
      <w:r w:rsidR="0098273B" w:rsidRPr="00EE3355">
        <w:t>vysoká hladina tuku (cholesterolu) v krvi</w:t>
      </w:r>
    </w:p>
    <w:p w14:paraId="69A0F5AE" w14:textId="77777777" w:rsidR="002B712A" w:rsidRDefault="002B712A" w:rsidP="00943257"/>
    <w:p w14:paraId="5EFE0E7E" w14:textId="77777777" w:rsidR="00222DE0" w:rsidRPr="00EE3355" w:rsidRDefault="0098273B" w:rsidP="00AB2582">
      <w:pPr>
        <w:rPr>
          <w:b/>
        </w:rPr>
      </w:pPr>
      <w:r w:rsidRPr="00AB2582">
        <w:rPr>
          <w:b/>
          <w:bCs/>
        </w:rPr>
        <w:t>Časté nežádoucí účinky</w:t>
      </w:r>
      <w:r w:rsidRPr="00EE3355">
        <w:t>:</w:t>
      </w:r>
    </w:p>
    <w:p w14:paraId="537EE265" w14:textId="77777777" w:rsidR="00222DE0" w:rsidRPr="00EE3355" w:rsidRDefault="0098273B" w:rsidP="00EA1CDF">
      <w:pPr>
        <w:widowControl/>
        <w:rPr>
          <w:i/>
        </w:rPr>
      </w:pPr>
      <w:r w:rsidRPr="00EE3355">
        <w:rPr>
          <w:i/>
        </w:rPr>
        <w:t>Mohou postihnout až 1 z 10 pacientů</w:t>
      </w:r>
    </w:p>
    <w:p w14:paraId="45C028BD"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plicní infekce (pneumonie, zápal plic)</w:t>
      </w:r>
    </w:p>
    <w:p w14:paraId="77E7B1A6"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pásový opar (herpes zoster)</w:t>
      </w:r>
    </w:p>
    <w:p w14:paraId="0E972917"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opary (ústní herpes simplex), puchýře</w:t>
      </w:r>
    </w:p>
    <w:p w14:paraId="58100D87"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kožní infekce (celulitida), někdy s horečkou a třesavkou</w:t>
      </w:r>
    </w:p>
    <w:p w14:paraId="7AE3DA64"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vyrážka a svědění, kopřivka</w:t>
      </w:r>
    </w:p>
    <w:p w14:paraId="123E332E"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alergické reakce (reakce přecitlivělosti)</w:t>
      </w:r>
    </w:p>
    <w:p w14:paraId="773E2122"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infekce oka (zánět spojivek)</w:t>
      </w:r>
    </w:p>
    <w:p w14:paraId="258A02C0"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bolest hlavy, závrať, vysoký krevní tlak</w:t>
      </w:r>
    </w:p>
    <w:p w14:paraId="3A983AB8"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vředy v ústech, bolest žaludku</w:t>
      </w:r>
    </w:p>
    <w:p w14:paraId="7D117CCE" w14:textId="77777777" w:rsidR="00222DE0" w:rsidRPr="00EE3355" w:rsidRDefault="00B23DAE" w:rsidP="00EA1CDF">
      <w:pPr>
        <w:widowControl/>
        <w:tabs>
          <w:tab w:val="left" w:pos="805"/>
        </w:tabs>
        <w:ind w:left="567" w:hanging="567"/>
      </w:pPr>
      <w:r w:rsidRPr="00EE3355">
        <w:rPr>
          <w:rFonts w:ascii="Symbol" w:eastAsia="Symbol" w:hAnsi="Symbol" w:cs="Symbol"/>
        </w:rPr>
        <w:lastRenderedPageBreak/>
        <w:t></w:t>
      </w:r>
      <w:r w:rsidRPr="00EE3355">
        <w:rPr>
          <w:rFonts w:ascii="Symbol" w:eastAsia="Symbol" w:hAnsi="Symbol" w:cs="Symbol"/>
        </w:rPr>
        <w:tab/>
      </w:r>
      <w:r w:rsidR="0098273B" w:rsidRPr="00EE3355">
        <w:t>zadržování tekutin (otoky) na dolních končetinách, nárůst tělesné hmotnosti</w:t>
      </w:r>
    </w:p>
    <w:p w14:paraId="22EDF47B"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kašel, dušnost</w:t>
      </w:r>
    </w:p>
    <w:p w14:paraId="1DC8E016"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bílých krvinek v krevních testech (neutropenie, leukopenie)</w:t>
      </w:r>
    </w:p>
    <w:p w14:paraId="3E4977D2"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abnormální výsledky testů jaterních funkcí (zvýšení aminotransferáz)</w:t>
      </w:r>
    </w:p>
    <w:p w14:paraId="2386863D"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zvýšení bilirubinu v krevních testech</w:t>
      </w:r>
    </w:p>
    <w:p w14:paraId="7AD8888E"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nízké hodnoty fibrinogenu v krvi (bílkovina potřebná ke srážení krve)</w:t>
      </w:r>
    </w:p>
    <w:p w14:paraId="5FFBAAD7" w14:textId="77777777" w:rsidR="00222DE0" w:rsidRPr="00EE3355" w:rsidRDefault="00222DE0" w:rsidP="00EA1CDF">
      <w:pPr>
        <w:pStyle w:val="a3"/>
        <w:widowControl/>
        <w:ind w:left="0"/>
      </w:pPr>
    </w:p>
    <w:p w14:paraId="54D5F2AA" w14:textId="77777777" w:rsidR="00222DE0" w:rsidRPr="00EE3355" w:rsidRDefault="0098273B" w:rsidP="00083247">
      <w:pPr>
        <w:rPr>
          <w:b/>
        </w:rPr>
      </w:pPr>
      <w:r w:rsidRPr="00083247">
        <w:rPr>
          <w:b/>
          <w:bCs/>
        </w:rPr>
        <w:t>Méně časté nežádoucí účinky</w:t>
      </w:r>
      <w:r w:rsidRPr="00EE3355">
        <w:t>:</w:t>
      </w:r>
    </w:p>
    <w:p w14:paraId="2ECB4790" w14:textId="77777777" w:rsidR="00222DE0" w:rsidRPr="00EE3355" w:rsidRDefault="0098273B" w:rsidP="00EA1CDF">
      <w:pPr>
        <w:keepNext/>
        <w:widowControl/>
        <w:rPr>
          <w:i/>
        </w:rPr>
      </w:pPr>
      <w:r w:rsidRPr="00EE3355">
        <w:rPr>
          <w:i/>
        </w:rPr>
        <w:t>Mohou postihnout až 1 ze 100 pacientů</w:t>
      </w:r>
    </w:p>
    <w:p w14:paraId="4785370E" w14:textId="05FAE34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divertikulitida (horečka, pocit na zvracení, průjem, zácpa, bolest </w:t>
      </w:r>
      <w:r w:rsidR="00DE7665">
        <w:t>břicha</w:t>
      </w:r>
      <w:r w:rsidR="0098273B" w:rsidRPr="00EE3355">
        <w:t>)</w:t>
      </w:r>
    </w:p>
    <w:p w14:paraId="5C9DE276"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zarudlé, oteklé (zánětlivé) plochy v ústech</w:t>
      </w:r>
    </w:p>
    <w:p w14:paraId="3005A28F"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vysoká hladina tuků (triglyceridů) v krvi</w:t>
      </w:r>
    </w:p>
    <w:p w14:paraId="633A0BAF"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žaludeční vřed</w:t>
      </w:r>
    </w:p>
    <w:p w14:paraId="44DF1A35"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ledvinové kameny</w:t>
      </w:r>
    </w:p>
    <w:p w14:paraId="3DFD30BB"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snížená funkce štítné žlázy</w:t>
      </w:r>
    </w:p>
    <w:p w14:paraId="354348BB" w14:textId="77777777" w:rsidR="00EF0260" w:rsidRPr="00EE3355" w:rsidRDefault="00EF0260" w:rsidP="00EA1CDF">
      <w:pPr>
        <w:widowControl/>
        <w:tabs>
          <w:tab w:val="left" w:pos="807"/>
        </w:tabs>
        <w:ind w:left="567" w:hanging="567"/>
      </w:pPr>
    </w:p>
    <w:p w14:paraId="7149FCC1" w14:textId="77777777" w:rsidR="00222DE0" w:rsidRPr="00EE3355" w:rsidRDefault="0098273B" w:rsidP="00083247">
      <w:pPr>
        <w:rPr>
          <w:b/>
        </w:rPr>
      </w:pPr>
      <w:r w:rsidRPr="00083247">
        <w:rPr>
          <w:b/>
          <w:bCs/>
        </w:rPr>
        <w:t>Vzácné nežádoucí účinky</w:t>
      </w:r>
      <w:r w:rsidRPr="00EE3355">
        <w:t>:</w:t>
      </w:r>
    </w:p>
    <w:p w14:paraId="3E727B9D" w14:textId="77777777" w:rsidR="00222DE0" w:rsidRPr="00EE3355" w:rsidRDefault="0098273B" w:rsidP="00EA1CDF">
      <w:pPr>
        <w:widowControl/>
        <w:rPr>
          <w:i/>
        </w:rPr>
      </w:pPr>
      <w:r w:rsidRPr="00EE3355">
        <w:rPr>
          <w:i/>
        </w:rPr>
        <w:t>Mohou postihnout až 1 z 1 000 pacientů</w:t>
      </w:r>
    </w:p>
    <w:p w14:paraId="48FD077B" w14:textId="77777777" w:rsidR="00222DE0" w:rsidRPr="00EE3355" w:rsidRDefault="00B23DAE" w:rsidP="00EA1CDF">
      <w:pPr>
        <w:widowControl/>
        <w:tabs>
          <w:tab w:val="left" w:pos="808"/>
        </w:tabs>
        <w:ind w:left="567" w:hanging="567"/>
      </w:pPr>
      <w:r w:rsidRPr="00EE3355">
        <w:rPr>
          <w:rFonts w:ascii="Symbol" w:eastAsia="Symbol" w:hAnsi="Symbol" w:cs="Symbol"/>
        </w:rPr>
        <w:t></w:t>
      </w:r>
      <w:r w:rsidRPr="00EE3355">
        <w:rPr>
          <w:rFonts w:ascii="Symbol" w:eastAsia="Symbol" w:hAnsi="Symbol" w:cs="Symbol"/>
        </w:rPr>
        <w:tab/>
      </w:r>
      <w:r w:rsidR="0098273B" w:rsidRPr="00EE3355">
        <w:t>Stevensův-Johnsonův syndrom (kožní vyrážka, která může vést k závažným puchýřům a odlupování kůže)</w:t>
      </w:r>
    </w:p>
    <w:p w14:paraId="2E14E488" w14:textId="77777777" w:rsidR="00222DE0" w:rsidRPr="00EE3355" w:rsidRDefault="00B23DAE" w:rsidP="00EA1CDF">
      <w:pPr>
        <w:widowControl/>
        <w:tabs>
          <w:tab w:val="left" w:pos="808"/>
        </w:tabs>
        <w:ind w:left="567" w:hanging="567"/>
      </w:pPr>
      <w:r w:rsidRPr="00EE3355">
        <w:rPr>
          <w:rFonts w:ascii="Symbol" w:eastAsia="Symbol" w:hAnsi="Symbol" w:cs="Symbol"/>
        </w:rPr>
        <w:t></w:t>
      </w:r>
      <w:r w:rsidRPr="00EE3355">
        <w:rPr>
          <w:rFonts w:ascii="Symbol" w:eastAsia="Symbol" w:hAnsi="Symbol" w:cs="Symbol"/>
        </w:rPr>
        <w:tab/>
      </w:r>
      <w:r w:rsidR="0098273B" w:rsidRPr="00EE3355">
        <w:t>alergické reakce vedoucí k úmrtí (anafylaxe [fatální])</w:t>
      </w:r>
    </w:p>
    <w:p w14:paraId="72900FFE" w14:textId="77777777" w:rsidR="00222DE0" w:rsidRPr="00EE3355" w:rsidRDefault="00B23DAE" w:rsidP="00EA1CDF">
      <w:pPr>
        <w:widowControl/>
        <w:tabs>
          <w:tab w:val="left" w:pos="808"/>
        </w:tabs>
        <w:ind w:left="567" w:hanging="567"/>
      </w:pPr>
      <w:r w:rsidRPr="00EE3355">
        <w:rPr>
          <w:rFonts w:ascii="Symbol" w:eastAsia="Symbol" w:hAnsi="Symbol" w:cs="Symbol"/>
        </w:rPr>
        <w:t></w:t>
      </w:r>
      <w:r w:rsidRPr="00EE3355">
        <w:rPr>
          <w:rFonts w:ascii="Symbol" w:eastAsia="Symbol" w:hAnsi="Symbol" w:cs="Symbol"/>
        </w:rPr>
        <w:tab/>
      </w:r>
      <w:r w:rsidR="0098273B" w:rsidRPr="00EE3355">
        <w:t>zánět jater (hepatitida), žloutenka</w:t>
      </w:r>
    </w:p>
    <w:p w14:paraId="1BC27445" w14:textId="77777777" w:rsidR="00EF0260" w:rsidRPr="00EE3355" w:rsidRDefault="00EF0260" w:rsidP="00EA1CDF">
      <w:pPr>
        <w:widowControl/>
        <w:tabs>
          <w:tab w:val="left" w:pos="808"/>
        </w:tabs>
      </w:pPr>
    </w:p>
    <w:p w14:paraId="0DF32B40" w14:textId="77777777" w:rsidR="00222DE0" w:rsidRPr="00EE3355" w:rsidRDefault="0098273B" w:rsidP="00083247">
      <w:pPr>
        <w:rPr>
          <w:b/>
        </w:rPr>
      </w:pPr>
      <w:r w:rsidRPr="00083247">
        <w:rPr>
          <w:b/>
          <w:bCs/>
        </w:rPr>
        <w:t>Velmi vzácné nežádoucí účinky</w:t>
      </w:r>
      <w:r w:rsidRPr="00EE3355">
        <w:t>:</w:t>
      </w:r>
    </w:p>
    <w:p w14:paraId="44CEE1DC" w14:textId="77777777" w:rsidR="00222DE0" w:rsidRPr="00EE3355" w:rsidRDefault="0098273B" w:rsidP="00EA1CDF">
      <w:pPr>
        <w:widowControl/>
        <w:rPr>
          <w:i/>
        </w:rPr>
      </w:pPr>
      <w:r w:rsidRPr="00EE3355">
        <w:rPr>
          <w:i/>
        </w:rPr>
        <w:t>Mohou postihnout až 1 z 10 000 pacientů</w:t>
      </w:r>
    </w:p>
    <w:p w14:paraId="4FBB83D2"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bílých krvinek, červených krvinek a krevních destiček v krevních testech</w:t>
      </w:r>
    </w:p>
    <w:p w14:paraId="67BCF364"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selhání jater</w:t>
      </w:r>
    </w:p>
    <w:p w14:paraId="56D236F1" w14:textId="77777777" w:rsidR="00222DE0" w:rsidRPr="00EE3355" w:rsidRDefault="00222DE0" w:rsidP="00EA1CDF">
      <w:pPr>
        <w:pStyle w:val="a3"/>
        <w:widowControl/>
        <w:ind w:left="0"/>
      </w:pPr>
    </w:p>
    <w:p w14:paraId="59929FCE" w14:textId="77777777" w:rsidR="00222DE0" w:rsidRPr="00083247" w:rsidRDefault="0098273B" w:rsidP="00083247">
      <w:pPr>
        <w:rPr>
          <w:b/>
          <w:bCs/>
        </w:rPr>
      </w:pPr>
      <w:r w:rsidRPr="00083247">
        <w:rPr>
          <w:b/>
          <w:bCs/>
        </w:rPr>
        <w:t>Hlášení nežádoucích účinků</w:t>
      </w:r>
    </w:p>
    <w:p w14:paraId="69097D06" w14:textId="77777777" w:rsidR="00222DE0" w:rsidRPr="00EE3355" w:rsidRDefault="0098273B" w:rsidP="00EA1CDF">
      <w:pPr>
        <w:pStyle w:val="a3"/>
        <w:widowControl/>
        <w:ind w:left="0"/>
        <w:jc w:val="both"/>
      </w:pPr>
      <w:r w:rsidRPr="00EE3355">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prostřednictvím </w:t>
      </w:r>
      <w:r>
        <w:rPr>
          <w:color w:val="000000"/>
          <w:highlight w:val="lightGray"/>
        </w:rPr>
        <w:t>národního</w:t>
      </w:r>
      <w:r w:rsidR="00C65CC0">
        <w:rPr>
          <w:color w:val="000000"/>
          <w:highlight w:val="lightGray"/>
        </w:rPr>
        <w:t xml:space="preserve"> </w:t>
      </w:r>
      <w:r>
        <w:rPr>
          <w:color w:val="000000"/>
          <w:highlight w:val="lightGray"/>
        </w:rPr>
        <w:t xml:space="preserve">systému hlášení nežádoucích účinků uvedeného v </w:t>
      </w:r>
      <w:r>
        <w:fldChar w:fldCharType="begin"/>
      </w:r>
      <w:r>
        <w:instrText>HYPERLINK "https://www.ema.europa.eu/documents/template-form/appendix-v-adverse-drug-reaction-reporting-details_en.doc" \h</w:instrText>
      </w:r>
      <w:r>
        <w:fldChar w:fldCharType="separate"/>
      </w:r>
      <w:r>
        <w:rPr>
          <w:color w:val="0033CC"/>
          <w:highlight w:val="lightGray"/>
          <w:u w:val="single" w:color="0033CC"/>
        </w:rPr>
        <w:t>Dodatku V</w:t>
      </w:r>
      <w:r>
        <w:rPr>
          <w:color w:val="000000"/>
          <w:highlight w:val="lightGray"/>
        </w:rPr>
        <w:t>.</w:t>
      </w:r>
      <w:r>
        <w:fldChar w:fldCharType="end"/>
      </w:r>
      <w:r w:rsidRPr="00EE3355">
        <w:rPr>
          <w:color w:val="000000"/>
        </w:rPr>
        <w:t xml:space="preserve"> Nahlášením nežádoucích účinků můžete přispět k získání více informací o bezpečnosti tohoto přípravku.</w:t>
      </w:r>
    </w:p>
    <w:p w14:paraId="2C0E2B31" w14:textId="77777777" w:rsidR="00222DE0" w:rsidRPr="00EE3355" w:rsidRDefault="00222DE0" w:rsidP="00EA1CDF">
      <w:pPr>
        <w:pStyle w:val="a3"/>
        <w:widowControl/>
        <w:ind w:left="0"/>
      </w:pPr>
    </w:p>
    <w:p w14:paraId="369BD2BD" w14:textId="77777777" w:rsidR="00222DE0" w:rsidRPr="00083247" w:rsidRDefault="0098273B" w:rsidP="00083247">
      <w:pPr>
        <w:rPr>
          <w:b/>
          <w:bCs/>
        </w:rPr>
      </w:pPr>
      <w:r w:rsidRPr="00083247">
        <w:rPr>
          <w:b/>
          <w:bCs/>
        </w:rPr>
        <w:t>Děti se sJIA</w:t>
      </w:r>
    </w:p>
    <w:p w14:paraId="12F071A2" w14:textId="77777777" w:rsidR="00222DE0" w:rsidRPr="00EE3355" w:rsidRDefault="0098273B" w:rsidP="00EA1CDF">
      <w:pPr>
        <w:pStyle w:val="a3"/>
        <w:widowControl/>
        <w:ind w:left="0"/>
      </w:pPr>
      <w:r w:rsidRPr="00EE3355">
        <w:t>Nežádoucí účinky u pacientů se sJIA byly obecně podobné účinkům zaznamenaným u dospělých</w:t>
      </w:r>
      <w:r w:rsidR="00704F4F">
        <w:t xml:space="preserve"> </w:t>
      </w:r>
      <w:r w:rsidRPr="00EE3355">
        <w:t>s RA. Výskyt některých nežádoucích účinků byl častější: zánět sliznice nosu a krku, průjem, snížený</w:t>
      </w:r>
      <w:r w:rsidR="00704F4F">
        <w:t xml:space="preserve"> </w:t>
      </w:r>
      <w:r w:rsidRPr="00EE3355">
        <w:t>počet bílých krvinek a zvýšené hodnoty testů jaterních funkcí (jaterních aminotransferáz).</w:t>
      </w:r>
    </w:p>
    <w:p w14:paraId="2D440694" w14:textId="77777777" w:rsidR="00222DE0" w:rsidRPr="00EE3355" w:rsidRDefault="00222DE0" w:rsidP="00EA1CDF">
      <w:pPr>
        <w:pStyle w:val="a3"/>
        <w:widowControl/>
        <w:ind w:left="0"/>
      </w:pPr>
    </w:p>
    <w:p w14:paraId="25BD347C" w14:textId="77777777" w:rsidR="00222DE0" w:rsidRPr="00083247" w:rsidRDefault="0098273B" w:rsidP="00083247">
      <w:pPr>
        <w:rPr>
          <w:b/>
          <w:bCs/>
        </w:rPr>
      </w:pPr>
      <w:r w:rsidRPr="00083247">
        <w:rPr>
          <w:b/>
          <w:bCs/>
        </w:rPr>
        <w:t>Děti s pJIA</w:t>
      </w:r>
    </w:p>
    <w:p w14:paraId="66932EEB" w14:textId="77777777" w:rsidR="00222DE0" w:rsidRPr="00EE3355" w:rsidRDefault="0098273B" w:rsidP="00EA1CDF">
      <w:pPr>
        <w:pStyle w:val="a3"/>
        <w:widowControl/>
        <w:ind w:left="0"/>
      </w:pPr>
      <w:r w:rsidRPr="00EE3355">
        <w:t>Nežádoucí účinky u pacientů s pJIA byly obecně podobné účinkům zaznamenaným u dospělých s RA. Výskyt některých nežádoucích účinků byl častější: zánět sliznice nosu a krku, bolest hlavy, pocit na zvracení (nauzea) a snížený počet bílých krvinek.</w:t>
      </w:r>
    </w:p>
    <w:p w14:paraId="377BDE37" w14:textId="77777777" w:rsidR="00222DE0" w:rsidRPr="00EE3355" w:rsidRDefault="00222DE0" w:rsidP="00EA1CDF">
      <w:pPr>
        <w:pStyle w:val="a3"/>
        <w:widowControl/>
        <w:ind w:left="0"/>
      </w:pPr>
    </w:p>
    <w:p w14:paraId="2608AC97" w14:textId="77777777" w:rsidR="00222DE0" w:rsidRPr="00EE3355" w:rsidRDefault="00222DE0" w:rsidP="00EA1CDF">
      <w:pPr>
        <w:pStyle w:val="a3"/>
        <w:widowControl/>
        <w:ind w:left="0"/>
      </w:pPr>
    </w:p>
    <w:p w14:paraId="35D1D0B5" w14:textId="510E9914" w:rsidR="00222DE0" w:rsidRPr="00EE3355" w:rsidRDefault="00B23DAE" w:rsidP="00083247">
      <w:r w:rsidRPr="00083247">
        <w:rPr>
          <w:b/>
          <w:bCs/>
        </w:rPr>
        <w:t>5.</w:t>
      </w:r>
      <w:r w:rsidRPr="00083247">
        <w:rPr>
          <w:b/>
          <w:bCs/>
        </w:rPr>
        <w:tab/>
      </w:r>
      <w:r w:rsidR="0098273B" w:rsidRPr="00083247">
        <w:rPr>
          <w:b/>
          <w:bCs/>
        </w:rPr>
        <w:t xml:space="preserve">Jak přípravek </w:t>
      </w:r>
      <w:r w:rsidR="001041F6" w:rsidRPr="00083247">
        <w:rPr>
          <w:b/>
          <w:bCs/>
        </w:rPr>
        <w:t>Avtozma</w:t>
      </w:r>
      <w:r w:rsidR="0098273B" w:rsidRPr="00083247">
        <w:rPr>
          <w:b/>
          <w:bCs/>
        </w:rPr>
        <w:t xml:space="preserve"> uchovávat</w:t>
      </w:r>
    </w:p>
    <w:p w14:paraId="4D407DE7" w14:textId="77777777" w:rsidR="00B47F00" w:rsidRPr="00EE3355" w:rsidRDefault="00B47F00" w:rsidP="00943257"/>
    <w:p w14:paraId="3E2AF211" w14:textId="38138376" w:rsidR="00222DE0" w:rsidRPr="00EE3355" w:rsidRDefault="0098273B" w:rsidP="00EA1CDF">
      <w:pPr>
        <w:pStyle w:val="a3"/>
        <w:widowControl/>
        <w:ind w:left="0"/>
        <w:jc w:val="both"/>
      </w:pPr>
      <w:r w:rsidRPr="00EE3355">
        <w:t xml:space="preserve">Uchovávejte přípravek </w:t>
      </w:r>
      <w:r w:rsidR="001041F6">
        <w:t>Avtozma</w:t>
      </w:r>
      <w:r w:rsidRPr="00EE3355">
        <w:t xml:space="preserve"> mimo dohled a dosah dětí.</w:t>
      </w:r>
    </w:p>
    <w:p w14:paraId="10954647" w14:textId="77777777" w:rsidR="00222DE0" w:rsidRPr="00EE3355" w:rsidRDefault="00222DE0" w:rsidP="00EA1CDF">
      <w:pPr>
        <w:pStyle w:val="a3"/>
        <w:widowControl/>
        <w:ind w:left="0"/>
      </w:pPr>
    </w:p>
    <w:p w14:paraId="49B5CBF0" w14:textId="7E705254" w:rsidR="00222DE0" w:rsidRPr="00EE3355" w:rsidRDefault="0098273B" w:rsidP="00EA1CDF">
      <w:pPr>
        <w:pStyle w:val="a3"/>
        <w:widowControl/>
        <w:ind w:left="0"/>
        <w:jc w:val="both"/>
      </w:pPr>
      <w:r w:rsidRPr="00EE3355">
        <w:t>Nepoužívejte tento přípravek po uplynutí doby použitelnosti uvedené na krabičce.</w:t>
      </w:r>
      <w:r w:rsidR="001041F6">
        <w:t xml:space="preserve"> </w:t>
      </w:r>
      <w:r w:rsidR="001041F6" w:rsidRPr="001041F6">
        <w:t>Doba použitelnosti se vztahuje k poslednímu dni uvedeného měsíce</w:t>
      </w:r>
      <w:r w:rsidR="001041F6">
        <w:t>.</w:t>
      </w:r>
    </w:p>
    <w:p w14:paraId="5E5D8E3A" w14:textId="77777777" w:rsidR="00222DE0" w:rsidRPr="00EE3355" w:rsidRDefault="00222DE0" w:rsidP="00EA1CDF">
      <w:pPr>
        <w:widowControl/>
        <w:jc w:val="both"/>
      </w:pPr>
    </w:p>
    <w:p w14:paraId="46263152" w14:textId="77777777" w:rsidR="00222DE0" w:rsidRPr="00EE3355" w:rsidRDefault="0098273B" w:rsidP="00EA1CDF">
      <w:pPr>
        <w:pStyle w:val="a3"/>
        <w:widowControl/>
        <w:ind w:left="0"/>
      </w:pPr>
      <w:r w:rsidRPr="00EE3355">
        <w:t>Uchovávejte v chladničce (2 °C - 8 °C). Chraňte před mrazem.</w:t>
      </w:r>
    </w:p>
    <w:p w14:paraId="423EDFFF" w14:textId="77777777" w:rsidR="00222DE0" w:rsidRPr="00EE3355" w:rsidRDefault="00222DE0" w:rsidP="00EA1CDF">
      <w:pPr>
        <w:pStyle w:val="a3"/>
        <w:widowControl/>
        <w:ind w:left="0"/>
      </w:pPr>
    </w:p>
    <w:p w14:paraId="0123FEE0" w14:textId="77777777" w:rsidR="00222DE0" w:rsidRDefault="0098273B" w:rsidP="00EA1CDF">
      <w:pPr>
        <w:pStyle w:val="a3"/>
        <w:widowControl/>
        <w:ind w:left="0"/>
      </w:pPr>
      <w:r w:rsidRPr="00EE3355">
        <w:t>Uchovávejte injekční lahvičku v krabičce, aby byl přípravek chráněn před světlem.</w:t>
      </w:r>
    </w:p>
    <w:p w14:paraId="3BF27B45" w14:textId="04EDD9E3" w:rsidR="007836A5" w:rsidRDefault="007836A5" w:rsidP="00EA1CDF">
      <w:pPr>
        <w:pStyle w:val="a3"/>
        <w:widowControl/>
        <w:ind w:left="0"/>
      </w:pPr>
      <w:r>
        <w:lastRenderedPageBreak/>
        <w:t>I</w:t>
      </w:r>
      <w:r w:rsidRPr="00EE3355">
        <w:t>nfuzní roztok po naředění 0,9% injekčním roztokem chloridu sodného</w:t>
      </w:r>
      <w:r>
        <w:t xml:space="preserve"> nebo 0,45% injekčním roztokem chloridu sodného m</w:t>
      </w:r>
      <w:r w:rsidRPr="00EE3355">
        <w:t xml:space="preserve">ůže být </w:t>
      </w:r>
      <w:r>
        <w:t xml:space="preserve">v případě potřeby </w:t>
      </w:r>
      <w:r w:rsidRPr="00EE3355">
        <w:t xml:space="preserve">uchováván </w:t>
      </w:r>
      <w:r>
        <w:t>v chladn</w:t>
      </w:r>
      <w:r w:rsidR="00533D97">
        <w:t>ičce</w:t>
      </w:r>
      <w:r>
        <w:t xml:space="preserve"> </w:t>
      </w:r>
      <w:r w:rsidRPr="00EE3355">
        <w:t xml:space="preserve">po dobu </w:t>
      </w:r>
      <w:r>
        <w:t>až 1 měsíce nebo při pokojové teplotě až do</w:t>
      </w:r>
      <w:r w:rsidRPr="00EE3355">
        <w:t xml:space="preserve"> 30 °C až po dobu </w:t>
      </w:r>
      <w:r>
        <w:t>48 hodin.</w:t>
      </w:r>
    </w:p>
    <w:p w14:paraId="3BDC5626" w14:textId="77777777" w:rsidR="001041F6" w:rsidRDefault="001041F6" w:rsidP="00EA1CDF">
      <w:pPr>
        <w:pStyle w:val="a3"/>
        <w:widowControl/>
        <w:ind w:left="0"/>
      </w:pPr>
    </w:p>
    <w:p w14:paraId="0B905C34" w14:textId="6E368B0A" w:rsidR="001041F6" w:rsidRPr="00EE3355" w:rsidRDefault="001041F6" w:rsidP="00EA1CDF">
      <w:pPr>
        <w:pStyle w:val="a3"/>
        <w:widowControl/>
        <w:ind w:left="0"/>
      </w:pPr>
      <w:r w:rsidRPr="001041F6">
        <w:t>Nevyhazujte žádné léčivé přípravky do odpadních vod nebo domácího odpadu. Zeptejte se svého lékárníka, jak naložit s přípravky, které již nepoužíváte. Tato opatření pomáhají chránit životní prostředí</w:t>
      </w:r>
      <w:r>
        <w:t>.</w:t>
      </w:r>
    </w:p>
    <w:p w14:paraId="5CF5848E" w14:textId="77777777" w:rsidR="00222DE0" w:rsidRPr="00EE3355" w:rsidRDefault="00222DE0" w:rsidP="00EA1CDF">
      <w:pPr>
        <w:pStyle w:val="a3"/>
        <w:widowControl/>
        <w:ind w:left="0"/>
      </w:pPr>
    </w:p>
    <w:p w14:paraId="51EB29BB" w14:textId="77777777" w:rsidR="00222DE0" w:rsidRPr="00EE3355" w:rsidRDefault="00222DE0" w:rsidP="00EA1CDF">
      <w:pPr>
        <w:pStyle w:val="a3"/>
        <w:widowControl/>
        <w:ind w:left="0"/>
      </w:pPr>
    </w:p>
    <w:p w14:paraId="45ACD0B0" w14:textId="77777777" w:rsidR="00222DE0" w:rsidRPr="00EE3355" w:rsidRDefault="00B23DAE" w:rsidP="00083247">
      <w:r w:rsidRPr="00083247">
        <w:rPr>
          <w:b/>
          <w:bCs/>
        </w:rPr>
        <w:t>6.</w:t>
      </w:r>
      <w:r w:rsidRPr="00083247">
        <w:rPr>
          <w:b/>
          <w:bCs/>
        </w:rPr>
        <w:tab/>
      </w:r>
      <w:r w:rsidR="0098273B" w:rsidRPr="00083247">
        <w:rPr>
          <w:b/>
          <w:bCs/>
        </w:rPr>
        <w:t>Obsah balení a další informace</w:t>
      </w:r>
    </w:p>
    <w:p w14:paraId="11CEBD0B" w14:textId="77777777" w:rsidR="00877AEF" w:rsidRPr="00EE3355" w:rsidRDefault="00877AEF" w:rsidP="00307193">
      <w:pPr>
        <w:keepNext/>
        <w:widowControl/>
        <w:rPr>
          <w:b/>
        </w:rPr>
      </w:pPr>
    </w:p>
    <w:p w14:paraId="4336FEF3" w14:textId="5FA70E9F" w:rsidR="00222DE0" w:rsidRPr="00EE3355" w:rsidRDefault="0098273B" w:rsidP="00EA1CDF">
      <w:pPr>
        <w:widowControl/>
        <w:rPr>
          <w:b/>
        </w:rPr>
      </w:pPr>
      <w:r w:rsidRPr="00EE3355">
        <w:rPr>
          <w:b/>
        </w:rPr>
        <w:t xml:space="preserve">Co přípravek </w:t>
      </w:r>
      <w:r w:rsidR="007836A5">
        <w:rPr>
          <w:b/>
        </w:rPr>
        <w:t>Avtozma</w:t>
      </w:r>
      <w:r w:rsidRPr="00EE3355">
        <w:rPr>
          <w:b/>
        </w:rPr>
        <w:t xml:space="preserve"> obsahuje</w:t>
      </w:r>
    </w:p>
    <w:p w14:paraId="2FDF93B5" w14:textId="33CC8AB2"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Léčivou látkou je tocilizumab.</w:t>
      </w:r>
    </w:p>
    <w:p w14:paraId="2F326205" w14:textId="760BBA60" w:rsidR="005E0526" w:rsidRPr="00EE3355" w:rsidRDefault="0098273B" w:rsidP="00EA1CDF">
      <w:pPr>
        <w:pStyle w:val="a3"/>
        <w:widowControl/>
        <w:ind w:left="567"/>
      </w:pPr>
      <w:r w:rsidRPr="00EE3355">
        <w:t>Jedna lahvička o objemu 4 ml obsahuje 80 mg (20 mg/ml)</w:t>
      </w:r>
      <w:r w:rsidR="00C232EF">
        <w:t xml:space="preserve"> </w:t>
      </w:r>
      <w:r w:rsidR="00C232EF" w:rsidRPr="00EE3355">
        <w:t>tocilizumabu</w:t>
      </w:r>
      <w:r w:rsidR="00C232EF">
        <w:t>.</w:t>
      </w:r>
    </w:p>
    <w:p w14:paraId="3AE7166F" w14:textId="3AF9DE3A" w:rsidR="005E0526" w:rsidRPr="00EE3355" w:rsidRDefault="0098273B" w:rsidP="00EA1CDF">
      <w:pPr>
        <w:pStyle w:val="a3"/>
        <w:widowControl/>
        <w:ind w:left="567"/>
      </w:pPr>
      <w:r w:rsidRPr="00EE3355">
        <w:t>Jedna lahvička o objemu 10 ml obsahuje 200 mg (20 mg/ml)</w:t>
      </w:r>
      <w:r w:rsidR="00C232EF">
        <w:t xml:space="preserve"> </w:t>
      </w:r>
      <w:r w:rsidR="00C232EF" w:rsidRPr="00EE3355">
        <w:t>tocilizumabu</w:t>
      </w:r>
      <w:r w:rsidRPr="00EE3355">
        <w:t>.</w:t>
      </w:r>
    </w:p>
    <w:p w14:paraId="4E547824" w14:textId="1ECF1989" w:rsidR="00222DE0" w:rsidRPr="00EE3355" w:rsidRDefault="0098273B" w:rsidP="00EA1CDF">
      <w:pPr>
        <w:pStyle w:val="a3"/>
        <w:widowControl/>
        <w:ind w:left="567"/>
      </w:pPr>
      <w:r w:rsidRPr="00EE3355">
        <w:t>Jedna lahvička o objemu 20 ml obsahuje 400 mg (20 mg/ml)</w:t>
      </w:r>
      <w:r w:rsidR="00C232EF">
        <w:t xml:space="preserve"> </w:t>
      </w:r>
      <w:r w:rsidR="00C232EF" w:rsidRPr="00EE3355">
        <w:t>tocilizumabu</w:t>
      </w:r>
      <w:r w:rsidRPr="00EE3355">
        <w:t>.</w:t>
      </w:r>
    </w:p>
    <w:p w14:paraId="1991D26D" w14:textId="21CD0195"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Dalšími složkami jsou </w:t>
      </w:r>
      <w:r w:rsidR="007836A5">
        <w:t>L-Histidin,</w:t>
      </w:r>
      <w:r w:rsidR="00395E0C">
        <w:rPr>
          <w:rFonts w:eastAsia="맑은 고딕" w:hint="eastAsia"/>
          <w:lang w:eastAsia="ko-KR"/>
        </w:rPr>
        <w:t xml:space="preserve"> </w:t>
      </w:r>
      <w:r w:rsidR="00AD6345" w:rsidRPr="00AD6345">
        <w:rPr>
          <w:rFonts w:eastAsia="맑은 고딕" w:hint="eastAsia"/>
          <w:lang w:eastAsia="ko-KR"/>
        </w:rPr>
        <w:t>Monohydrát histidin-hydrochloridu</w:t>
      </w:r>
      <w:r w:rsidR="00395E0C">
        <w:rPr>
          <w:rFonts w:eastAsia="맑은 고딕" w:hint="eastAsia"/>
          <w:lang w:eastAsia="ko-KR"/>
        </w:rPr>
        <w:t>,</w:t>
      </w:r>
      <w:r w:rsidR="007836A5">
        <w:t xml:space="preserve"> L-Threonin, L-Methionin</w:t>
      </w:r>
      <w:r w:rsidR="0098273B" w:rsidRPr="00EE3355">
        <w:t>, polysorbát 80</w:t>
      </w:r>
      <w:r w:rsidR="007836A5">
        <w:t xml:space="preserve"> a</w:t>
      </w:r>
      <w:r w:rsidR="0098273B" w:rsidRPr="00EE3355">
        <w:t xml:space="preserve"> voda pro injekci.</w:t>
      </w:r>
    </w:p>
    <w:p w14:paraId="0A424ECE" w14:textId="77777777" w:rsidR="00222DE0" w:rsidRPr="00EE3355" w:rsidRDefault="00222DE0" w:rsidP="00EA1CDF">
      <w:pPr>
        <w:pStyle w:val="a3"/>
        <w:widowControl/>
        <w:ind w:left="0"/>
      </w:pPr>
    </w:p>
    <w:p w14:paraId="2CD5F8F2" w14:textId="736DD3E7" w:rsidR="00222DE0" w:rsidRPr="00EE3355" w:rsidRDefault="0098273B" w:rsidP="00083247">
      <w:pPr>
        <w:widowControl/>
      </w:pPr>
      <w:r w:rsidRPr="00083247">
        <w:rPr>
          <w:b/>
        </w:rPr>
        <w:t xml:space="preserve">Jak přípravek </w:t>
      </w:r>
      <w:r w:rsidR="007836A5" w:rsidRPr="00083247">
        <w:rPr>
          <w:b/>
        </w:rPr>
        <w:t>Avtozma</w:t>
      </w:r>
      <w:r w:rsidRPr="00083247">
        <w:rPr>
          <w:b/>
        </w:rPr>
        <w:t xml:space="preserve"> vypadá a co obsahuje toto balení</w:t>
      </w:r>
    </w:p>
    <w:p w14:paraId="27BC3A07" w14:textId="0A1354AB" w:rsidR="00222DE0" w:rsidRPr="00EE3355" w:rsidRDefault="0098273B" w:rsidP="00EA1CDF">
      <w:pPr>
        <w:pStyle w:val="a3"/>
        <w:widowControl/>
        <w:ind w:left="0"/>
      </w:pPr>
      <w:r w:rsidRPr="00EE3355">
        <w:t xml:space="preserve">Přípravek </w:t>
      </w:r>
      <w:r w:rsidR="007836A5">
        <w:t>Avtozma</w:t>
      </w:r>
      <w:r w:rsidRPr="00EE3355">
        <w:t xml:space="preserve"> je koncentrát pro infuzní roztok. Koncentrát je čirý až </w:t>
      </w:r>
      <w:r w:rsidR="00A53C16">
        <w:t xml:space="preserve">lehce </w:t>
      </w:r>
      <w:r w:rsidRPr="00EE3355">
        <w:t>opal</w:t>
      </w:r>
      <w:r w:rsidR="00FD3446">
        <w:t>izující</w:t>
      </w:r>
      <w:r w:rsidRPr="00EE3355">
        <w:t>, bezbarvý až</w:t>
      </w:r>
      <w:r w:rsidR="00704F4F">
        <w:t xml:space="preserve"> </w:t>
      </w:r>
      <w:r w:rsidRPr="00EE3355">
        <w:t>nažloutlý roztok.</w:t>
      </w:r>
    </w:p>
    <w:p w14:paraId="7B0AD769" w14:textId="2D4FA4FB" w:rsidR="00222DE0" w:rsidRPr="00EE3355" w:rsidRDefault="0098273B" w:rsidP="00EA1CDF">
      <w:pPr>
        <w:pStyle w:val="a3"/>
        <w:widowControl/>
        <w:ind w:left="0"/>
      </w:pPr>
      <w:r w:rsidRPr="00EE3355">
        <w:t xml:space="preserve">Přípravek </w:t>
      </w:r>
      <w:r w:rsidR="007836A5">
        <w:t>Avtozma</w:t>
      </w:r>
      <w:r w:rsidRPr="00EE3355">
        <w:t xml:space="preserve"> se dodává v injekčních lahvičkách obsahujících 4 ml, 10 ml a 20 ml koncentrátu pro infuzní roztok. Velikost balení po 1 nebo 4 lahvičkách. Na trhu nemusí být všechny velikosti balení.</w:t>
      </w:r>
    </w:p>
    <w:p w14:paraId="69F6D22D" w14:textId="77777777" w:rsidR="00222DE0" w:rsidRPr="00EE3355" w:rsidRDefault="00222DE0" w:rsidP="00EA1CDF">
      <w:pPr>
        <w:pStyle w:val="a3"/>
        <w:widowControl/>
        <w:ind w:left="0"/>
      </w:pPr>
    </w:p>
    <w:p w14:paraId="3CE9EC14" w14:textId="77777777" w:rsidR="00222DE0" w:rsidRPr="00083247" w:rsidRDefault="0098273B" w:rsidP="00083247">
      <w:pPr>
        <w:widowControl/>
        <w:rPr>
          <w:b/>
        </w:rPr>
      </w:pPr>
      <w:r w:rsidRPr="00083247">
        <w:rPr>
          <w:b/>
        </w:rPr>
        <w:t>Držitel rozhodnutí o registraci</w:t>
      </w:r>
    </w:p>
    <w:p w14:paraId="2577AE74" w14:textId="77777777" w:rsidR="007836A5" w:rsidRPr="00840707" w:rsidRDefault="007836A5" w:rsidP="007836A5">
      <w:pPr>
        <w:keepNext/>
      </w:pPr>
      <w:r w:rsidRPr="00840707">
        <w:t xml:space="preserve">Celltrion Healthcare Hungary Kft. </w:t>
      </w:r>
    </w:p>
    <w:p w14:paraId="7B6C5E45" w14:textId="77777777" w:rsidR="007836A5" w:rsidRPr="00840707" w:rsidRDefault="007836A5" w:rsidP="007836A5">
      <w:pPr>
        <w:keepNext/>
      </w:pPr>
      <w:r w:rsidRPr="00840707">
        <w:t>1062 Budapest</w:t>
      </w:r>
    </w:p>
    <w:p w14:paraId="07697DDF" w14:textId="77777777" w:rsidR="007836A5" w:rsidRPr="00840707" w:rsidRDefault="007836A5" w:rsidP="007836A5">
      <w:pPr>
        <w:keepNext/>
      </w:pPr>
      <w:r w:rsidRPr="00840707">
        <w:t>Váci út 1-3. WestEnd Office Building B torony</w:t>
      </w:r>
    </w:p>
    <w:p w14:paraId="7ADB9D58" w14:textId="313F09AE" w:rsidR="007836A5" w:rsidRPr="00EE3355" w:rsidRDefault="007836A5" w:rsidP="007836A5">
      <w:pPr>
        <w:pStyle w:val="a3"/>
        <w:widowControl/>
        <w:ind w:left="0"/>
      </w:pPr>
      <w:r>
        <w:t>Maďarsko</w:t>
      </w:r>
    </w:p>
    <w:p w14:paraId="3E393477" w14:textId="77777777" w:rsidR="00222DE0" w:rsidRPr="00EE3355" w:rsidRDefault="00222DE0" w:rsidP="00EA1CDF">
      <w:pPr>
        <w:pStyle w:val="a3"/>
        <w:widowControl/>
        <w:ind w:left="0"/>
      </w:pPr>
    </w:p>
    <w:p w14:paraId="339E84FC" w14:textId="77777777" w:rsidR="00222DE0" w:rsidRPr="00083247" w:rsidRDefault="0098273B" w:rsidP="00083247">
      <w:pPr>
        <w:widowControl/>
        <w:rPr>
          <w:b/>
        </w:rPr>
      </w:pPr>
      <w:r w:rsidRPr="00083247">
        <w:rPr>
          <w:b/>
        </w:rPr>
        <w:t>Výrobce</w:t>
      </w:r>
    </w:p>
    <w:p w14:paraId="796E6844" w14:textId="77777777" w:rsidR="007836A5" w:rsidRPr="00840707" w:rsidRDefault="007836A5" w:rsidP="007836A5">
      <w:pPr>
        <w:keepNext/>
      </w:pPr>
      <w:r w:rsidRPr="00840707">
        <w:t>Nuvisan France SARL</w:t>
      </w:r>
    </w:p>
    <w:p w14:paraId="1BA2F34A" w14:textId="63C13F5A" w:rsidR="007836A5" w:rsidRPr="00840707" w:rsidRDefault="007836A5" w:rsidP="007836A5">
      <w:pPr>
        <w:keepNext/>
      </w:pPr>
      <w:r w:rsidRPr="00840707">
        <w:t>2400</w:t>
      </w:r>
      <w:del w:id="51" w:author="만든 이">
        <w:r w:rsidRPr="00840707" w:rsidDel="001643DA">
          <w:delText>,</w:delText>
        </w:r>
      </w:del>
      <w:r w:rsidRPr="00840707">
        <w:t xml:space="preserve"> Route des Colles, </w:t>
      </w:r>
    </w:p>
    <w:p w14:paraId="555C17A7" w14:textId="2BE2EA5A" w:rsidR="007836A5" w:rsidRPr="00840707" w:rsidRDefault="007836A5" w:rsidP="007836A5">
      <w:pPr>
        <w:keepNext/>
      </w:pPr>
      <w:r w:rsidRPr="00840707">
        <w:t>06410</w:t>
      </w:r>
      <w:del w:id="52" w:author="만든 이">
        <w:r w:rsidRPr="00840707" w:rsidDel="001643DA">
          <w:delText>,</w:delText>
        </w:r>
      </w:del>
      <w:r w:rsidRPr="00840707">
        <w:t xml:space="preserve"> Biot, </w:t>
      </w:r>
    </w:p>
    <w:p w14:paraId="49043D3B" w14:textId="63B61230" w:rsidR="007836A5" w:rsidRPr="00840707" w:rsidRDefault="007836A5" w:rsidP="007836A5">
      <w:r w:rsidRPr="00840707">
        <w:t>Franc</w:t>
      </w:r>
      <w:r>
        <w:t>i</w:t>
      </w:r>
      <w:r w:rsidRPr="00840707">
        <w:t>e</w:t>
      </w:r>
    </w:p>
    <w:p w14:paraId="42ADD8ED" w14:textId="77777777" w:rsidR="007836A5" w:rsidRPr="00840707" w:rsidRDefault="007836A5" w:rsidP="007836A5"/>
    <w:p w14:paraId="2267C36E" w14:textId="77777777" w:rsidR="007836A5" w:rsidRPr="00840707" w:rsidRDefault="007836A5" w:rsidP="007836A5">
      <w:pPr>
        <w:keepNext/>
      </w:pPr>
      <w:r w:rsidRPr="00840707">
        <w:t>Midas Pharma GmbH</w:t>
      </w:r>
    </w:p>
    <w:p w14:paraId="01C129CF" w14:textId="77777777" w:rsidR="007836A5" w:rsidRPr="00840707" w:rsidRDefault="007836A5" w:rsidP="007836A5">
      <w:pPr>
        <w:keepNext/>
      </w:pPr>
      <w:r w:rsidRPr="00840707">
        <w:t xml:space="preserve">Rheinstr. 49, </w:t>
      </w:r>
    </w:p>
    <w:p w14:paraId="6A6D8B51" w14:textId="77777777" w:rsidR="007836A5" w:rsidRPr="00840707" w:rsidRDefault="007836A5" w:rsidP="007836A5">
      <w:pPr>
        <w:keepNext/>
      </w:pPr>
      <w:r w:rsidRPr="00840707">
        <w:t>55218 Ingelheim,</w:t>
      </w:r>
    </w:p>
    <w:p w14:paraId="07868736" w14:textId="2C987404" w:rsidR="007836A5" w:rsidRPr="00840707" w:rsidRDefault="007836A5" w:rsidP="007836A5">
      <w:r>
        <w:t>Německo</w:t>
      </w:r>
    </w:p>
    <w:p w14:paraId="4EFDD27F" w14:textId="77777777" w:rsidR="007836A5" w:rsidRPr="00840707" w:rsidRDefault="007836A5" w:rsidP="007836A5"/>
    <w:p w14:paraId="7A812E98" w14:textId="77777777" w:rsidR="007836A5" w:rsidRPr="00840707" w:rsidRDefault="007836A5" w:rsidP="007836A5">
      <w:pPr>
        <w:keepNext/>
      </w:pPr>
      <w:r w:rsidRPr="00840707">
        <w:t xml:space="preserve">KYMOS S.L. </w:t>
      </w:r>
    </w:p>
    <w:p w14:paraId="48E582F7" w14:textId="77777777" w:rsidR="007836A5" w:rsidRPr="00B93217" w:rsidRDefault="007836A5" w:rsidP="007836A5">
      <w:pPr>
        <w:keepNext/>
        <w:rPr>
          <w:lang w:val="en-GB"/>
        </w:rPr>
      </w:pPr>
      <w:r w:rsidRPr="00B93217">
        <w:rPr>
          <w:lang w:val="en-GB"/>
        </w:rPr>
        <w:t xml:space="preserve">Ronda Can </w:t>
      </w:r>
      <w:proofErr w:type="spellStart"/>
      <w:r w:rsidRPr="00B93217">
        <w:rPr>
          <w:lang w:val="en-GB"/>
        </w:rPr>
        <w:t>Fatjó</w:t>
      </w:r>
      <w:proofErr w:type="spellEnd"/>
      <w:r w:rsidRPr="00B93217">
        <w:rPr>
          <w:lang w:val="en-GB"/>
        </w:rPr>
        <w:t xml:space="preserve">, 7B. </w:t>
      </w:r>
    </w:p>
    <w:p w14:paraId="27DE206A" w14:textId="77777777" w:rsidR="007836A5" w:rsidRPr="00C41310" w:rsidRDefault="007836A5" w:rsidP="007836A5">
      <w:pPr>
        <w:keepNext/>
        <w:rPr>
          <w:lang w:val="en-GB"/>
        </w:rPr>
      </w:pPr>
      <w:r w:rsidRPr="00C41310">
        <w:rPr>
          <w:lang w:val="en-GB"/>
        </w:rPr>
        <w:t xml:space="preserve">08290 </w:t>
      </w:r>
      <w:proofErr w:type="spellStart"/>
      <w:r w:rsidRPr="00C41310">
        <w:rPr>
          <w:lang w:val="en-GB"/>
        </w:rPr>
        <w:t>Cerdanyola</w:t>
      </w:r>
      <w:proofErr w:type="spellEnd"/>
      <w:r w:rsidRPr="00C41310">
        <w:rPr>
          <w:lang w:val="en-GB"/>
        </w:rPr>
        <w:t xml:space="preserve"> del </w:t>
      </w:r>
      <w:proofErr w:type="spellStart"/>
      <w:r w:rsidRPr="00C41310">
        <w:rPr>
          <w:lang w:val="en-GB"/>
        </w:rPr>
        <w:t>Vallès</w:t>
      </w:r>
      <w:proofErr w:type="spellEnd"/>
      <w:r w:rsidRPr="00C41310">
        <w:rPr>
          <w:lang w:val="en-GB"/>
        </w:rPr>
        <w:t xml:space="preserve">, </w:t>
      </w:r>
    </w:p>
    <w:p w14:paraId="0F8E3E74" w14:textId="77777777" w:rsidR="007836A5" w:rsidRPr="00C41310" w:rsidRDefault="007836A5" w:rsidP="007836A5">
      <w:pPr>
        <w:keepNext/>
        <w:rPr>
          <w:lang w:val="en-GB"/>
        </w:rPr>
      </w:pPr>
      <w:r w:rsidRPr="00C41310">
        <w:rPr>
          <w:lang w:val="en-GB"/>
        </w:rPr>
        <w:t xml:space="preserve">Barcelona, </w:t>
      </w:r>
    </w:p>
    <w:p w14:paraId="2FC7703A" w14:textId="379ADB54" w:rsidR="007836A5" w:rsidRPr="00EE3355" w:rsidRDefault="007836A5" w:rsidP="007836A5">
      <w:pPr>
        <w:pStyle w:val="a3"/>
        <w:widowControl/>
        <w:ind w:left="0"/>
      </w:pPr>
      <w:r>
        <w:t>Španělsko</w:t>
      </w:r>
    </w:p>
    <w:p w14:paraId="11E6C347" w14:textId="77777777" w:rsidR="0041587B" w:rsidRPr="00EE3355" w:rsidRDefault="0041587B" w:rsidP="00EA1CDF">
      <w:pPr>
        <w:pStyle w:val="a3"/>
        <w:widowControl/>
        <w:ind w:left="0"/>
      </w:pPr>
    </w:p>
    <w:p w14:paraId="009F9085" w14:textId="77777777" w:rsidR="0041587B" w:rsidRPr="00EE3355" w:rsidRDefault="0041587B" w:rsidP="0041587B">
      <w:pPr>
        <w:pStyle w:val="a3"/>
        <w:keepNext/>
        <w:widowControl/>
        <w:ind w:left="0"/>
      </w:pPr>
      <w:r w:rsidRPr="00EE3355">
        <w:t>Další informace o tomto přípravku získáte u místního zástupce držitele rozhodnutí o registraci:</w:t>
      </w:r>
    </w:p>
    <w:p w14:paraId="5EF744D4" w14:textId="1B34781F" w:rsidR="00222DE0" w:rsidRPr="00EE3355" w:rsidRDefault="00222DE0" w:rsidP="00EA1CDF">
      <w:pPr>
        <w:pStyle w:val="a3"/>
        <w:widowControl/>
        <w:ind w:left="0"/>
      </w:pPr>
    </w:p>
    <w:tbl>
      <w:tblPr>
        <w:tblpPr w:leftFromText="180" w:rightFromText="180" w:vertAnchor="text" w:horzAnchor="page" w:tblpX="1702" w:tblpY="1"/>
        <w:tblW w:w="8736" w:type="dxa"/>
        <w:tblLayout w:type="fixed"/>
        <w:tblCellMar>
          <w:top w:w="28" w:type="dxa"/>
          <w:left w:w="0" w:type="dxa"/>
          <w:bottom w:w="28" w:type="dxa"/>
          <w:right w:w="0" w:type="dxa"/>
        </w:tblCellMar>
        <w:tblLook w:val="01E0" w:firstRow="1" w:lastRow="1" w:firstColumn="1" w:lastColumn="1" w:noHBand="0" w:noVBand="0"/>
      </w:tblPr>
      <w:tblGrid>
        <w:gridCol w:w="4483"/>
        <w:gridCol w:w="4253"/>
      </w:tblGrid>
      <w:tr w:rsidR="00D25A08" w:rsidRPr="001879E9" w14:paraId="37199B4D" w14:textId="77777777" w:rsidTr="00402E49">
        <w:trPr>
          <w:trHeight w:val="877"/>
        </w:trPr>
        <w:tc>
          <w:tcPr>
            <w:tcW w:w="4483" w:type="dxa"/>
          </w:tcPr>
          <w:p w14:paraId="7C9E81E6" w14:textId="77777777" w:rsidR="00D25A08" w:rsidRPr="001879E9" w:rsidRDefault="00D25A08" w:rsidP="00402E49">
            <w:pPr>
              <w:pStyle w:val="a3"/>
              <w:keepNext/>
              <w:widowControl/>
              <w:ind w:left="0"/>
              <w:rPr>
                <w:b/>
              </w:rPr>
            </w:pPr>
            <w:r w:rsidRPr="007836A5">
              <w:rPr>
                <w:b/>
              </w:rPr>
              <w:t>België/Belgique/Belgien</w:t>
            </w:r>
          </w:p>
          <w:p w14:paraId="67EA48EB" w14:textId="77777777" w:rsidR="00D25A08" w:rsidRPr="001F30CC" w:rsidRDefault="00D25A08" w:rsidP="00402E49">
            <w:pPr>
              <w:pStyle w:val="a3"/>
              <w:keepNext/>
              <w:widowControl/>
              <w:ind w:left="0"/>
              <w:rPr>
                <w:bCs/>
              </w:rPr>
            </w:pPr>
            <w:r w:rsidRPr="001F30CC">
              <w:rPr>
                <w:bCs/>
              </w:rPr>
              <w:t>Celltrion Healthcare Belgium BVBA</w:t>
            </w:r>
          </w:p>
          <w:p w14:paraId="21FC3CA9" w14:textId="77777777" w:rsidR="00D25A08" w:rsidRPr="001F30CC" w:rsidRDefault="00D25A08" w:rsidP="00402E49">
            <w:pPr>
              <w:pStyle w:val="a3"/>
              <w:keepNext/>
              <w:widowControl/>
              <w:ind w:left="0"/>
              <w:rPr>
                <w:bCs/>
              </w:rPr>
            </w:pPr>
            <w:r w:rsidRPr="001F30CC">
              <w:rPr>
                <w:bCs/>
              </w:rPr>
              <w:t>Tél/Tel: +32 2 643 71 81</w:t>
            </w:r>
          </w:p>
          <w:p w14:paraId="64AFD857" w14:textId="77777777" w:rsidR="00D25A08" w:rsidRPr="001F30CC" w:rsidRDefault="00D25A08" w:rsidP="00402E49">
            <w:pPr>
              <w:pStyle w:val="a3"/>
              <w:keepNext/>
              <w:widowControl/>
              <w:ind w:left="0"/>
              <w:rPr>
                <w:bCs/>
              </w:rPr>
            </w:pPr>
            <w:r w:rsidRPr="001F30CC">
              <w:rPr>
                <w:bCs/>
              </w:rPr>
              <w:t>BEinfo@celltrionhc.com</w:t>
            </w:r>
          </w:p>
          <w:p w14:paraId="490B5D3E" w14:textId="77777777" w:rsidR="00D25A08" w:rsidRPr="007836A5" w:rsidRDefault="00D25A08" w:rsidP="00402E49">
            <w:pPr>
              <w:pStyle w:val="a3"/>
              <w:keepNext/>
              <w:widowControl/>
              <w:ind w:left="0"/>
              <w:rPr>
                <w:b/>
              </w:rPr>
            </w:pPr>
          </w:p>
        </w:tc>
        <w:tc>
          <w:tcPr>
            <w:tcW w:w="4253" w:type="dxa"/>
          </w:tcPr>
          <w:p w14:paraId="5404F2FB" w14:textId="77777777" w:rsidR="00D25A08" w:rsidRPr="001879E9" w:rsidRDefault="00D25A08" w:rsidP="00402E49">
            <w:pPr>
              <w:pStyle w:val="a3"/>
              <w:keepNext/>
              <w:widowControl/>
              <w:ind w:left="0"/>
              <w:rPr>
                <w:b/>
              </w:rPr>
            </w:pPr>
            <w:r w:rsidRPr="007836A5">
              <w:rPr>
                <w:b/>
              </w:rPr>
              <w:t>Lietuva</w:t>
            </w:r>
          </w:p>
          <w:p w14:paraId="5CEA70C2" w14:textId="77777777" w:rsidR="00D25A08" w:rsidRPr="001F30CC" w:rsidRDefault="00D25A08" w:rsidP="00402E49">
            <w:pPr>
              <w:pStyle w:val="a3"/>
              <w:keepNext/>
              <w:widowControl/>
              <w:ind w:left="0"/>
              <w:rPr>
                <w:bCs/>
              </w:rPr>
            </w:pPr>
            <w:r w:rsidRPr="001F30CC">
              <w:rPr>
                <w:bCs/>
              </w:rPr>
              <w:t>Celltrion Healthcare Hungary Kft.</w:t>
            </w:r>
          </w:p>
          <w:p w14:paraId="28F499B2" w14:textId="77777777" w:rsidR="00D25A08" w:rsidRPr="001F30CC" w:rsidRDefault="00D25A08" w:rsidP="00402E49">
            <w:pPr>
              <w:pStyle w:val="a3"/>
              <w:keepNext/>
              <w:widowControl/>
              <w:ind w:left="0"/>
              <w:rPr>
                <w:bCs/>
              </w:rPr>
            </w:pPr>
            <w:r w:rsidRPr="001F30CC">
              <w:rPr>
                <w:bCs/>
              </w:rPr>
              <w:t>Tel.: +36 1 231 0493</w:t>
            </w:r>
          </w:p>
          <w:p w14:paraId="4AB905A0" w14:textId="77777777" w:rsidR="00D25A08" w:rsidRPr="007836A5" w:rsidRDefault="00D25A08" w:rsidP="00402E49">
            <w:pPr>
              <w:pStyle w:val="a3"/>
              <w:keepNext/>
              <w:widowControl/>
              <w:ind w:left="0"/>
              <w:rPr>
                <w:b/>
              </w:rPr>
            </w:pPr>
          </w:p>
        </w:tc>
      </w:tr>
      <w:tr w:rsidR="00D25A08" w:rsidRPr="001879E9" w14:paraId="10869ADC" w14:textId="77777777" w:rsidTr="00402E49">
        <w:trPr>
          <w:trHeight w:val="877"/>
        </w:trPr>
        <w:tc>
          <w:tcPr>
            <w:tcW w:w="4483" w:type="dxa"/>
          </w:tcPr>
          <w:p w14:paraId="6C679A15" w14:textId="77777777" w:rsidR="00D25A08" w:rsidRPr="007836A5" w:rsidRDefault="00D25A08" w:rsidP="00402E49">
            <w:pPr>
              <w:pStyle w:val="a3"/>
              <w:widowControl/>
              <w:ind w:left="0"/>
              <w:rPr>
                <w:b/>
              </w:rPr>
            </w:pPr>
            <w:r w:rsidRPr="007836A5">
              <w:rPr>
                <w:b/>
              </w:rPr>
              <w:lastRenderedPageBreak/>
              <w:t>България</w:t>
            </w:r>
          </w:p>
          <w:p w14:paraId="5D8F11E9" w14:textId="77777777" w:rsidR="00D25A08" w:rsidRPr="001F30CC" w:rsidRDefault="00D25A08" w:rsidP="00402E49">
            <w:pPr>
              <w:pStyle w:val="a3"/>
              <w:widowControl/>
              <w:ind w:left="0"/>
              <w:rPr>
                <w:bCs/>
              </w:rPr>
            </w:pPr>
            <w:r w:rsidRPr="001F30CC">
              <w:rPr>
                <w:bCs/>
              </w:rPr>
              <w:t>Celltrion Healthcare Hungary Kft.</w:t>
            </w:r>
          </w:p>
          <w:p w14:paraId="54AF0244" w14:textId="77777777" w:rsidR="00D25A08" w:rsidRPr="001F30CC" w:rsidRDefault="00D25A08" w:rsidP="00402E49">
            <w:pPr>
              <w:pStyle w:val="a3"/>
              <w:widowControl/>
              <w:ind w:left="0"/>
              <w:rPr>
                <w:bCs/>
              </w:rPr>
            </w:pPr>
            <w:r w:rsidRPr="001F30CC">
              <w:rPr>
                <w:bCs/>
              </w:rPr>
              <w:t>Teл.: +36 1 231 0493</w:t>
            </w:r>
          </w:p>
          <w:p w14:paraId="58F6D6C0" w14:textId="77777777" w:rsidR="00D25A08" w:rsidRPr="007836A5" w:rsidRDefault="00D25A08" w:rsidP="00402E49">
            <w:pPr>
              <w:pStyle w:val="a3"/>
              <w:widowControl/>
              <w:ind w:left="0"/>
              <w:rPr>
                <w:b/>
              </w:rPr>
            </w:pPr>
          </w:p>
        </w:tc>
        <w:tc>
          <w:tcPr>
            <w:tcW w:w="4253" w:type="dxa"/>
          </w:tcPr>
          <w:p w14:paraId="10995ABF" w14:textId="77777777" w:rsidR="00D25A08" w:rsidRPr="007836A5" w:rsidRDefault="00D25A08" w:rsidP="00402E49">
            <w:pPr>
              <w:pStyle w:val="a3"/>
              <w:widowControl/>
              <w:ind w:left="0"/>
              <w:rPr>
                <w:b/>
              </w:rPr>
            </w:pPr>
            <w:r w:rsidRPr="007836A5">
              <w:rPr>
                <w:b/>
              </w:rPr>
              <w:t>Luxembourg/Luxemburg</w:t>
            </w:r>
          </w:p>
          <w:p w14:paraId="663B0071" w14:textId="77777777" w:rsidR="00D25A08" w:rsidRPr="001F30CC" w:rsidRDefault="00D25A08" w:rsidP="00402E49">
            <w:pPr>
              <w:pStyle w:val="a3"/>
              <w:widowControl/>
              <w:ind w:left="0"/>
              <w:rPr>
                <w:bCs/>
              </w:rPr>
            </w:pPr>
            <w:r w:rsidRPr="001F30CC">
              <w:rPr>
                <w:bCs/>
              </w:rPr>
              <w:t>Celltrion Healthcare Belgium BVBA</w:t>
            </w:r>
          </w:p>
          <w:p w14:paraId="008CCB97" w14:textId="77777777" w:rsidR="00D25A08" w:rsidRPr="001F30CC" w:rsidRDefault="00D25A08" w:rsidP="00402E49">
            <w:pPr>
              <w:pStyle w:val="a3"/>
              <w:widowControl/>
              <w:ind w:left="0"/>
              <w:rPr>
                <w:bCs/>
              </w:rPr>
            </w:pPr>
            <w:r w:rsidRPr="001F30CC">
              <w:rPr>
                <w:bCs/>
              </w:rPr>
              <w:t>Tél/Tel: +32 2 643 71 81</w:t>
            </w:r>
          </w:p>
          <w:p w14:paraId="346B1FD8" w14:textId="77777777" w:rsidR="00D25A08" w:rsidRPr="001F30CC" w:rsidRDefault="00D25A08" w:rsidP="00402E49">
            <w:pPr>
              <w:pStyle w:val="a3"/>
              <w:widowControl/>
              <w:ind w:left="0"/>
              <w:rPr>
                <w:bCs/>
              </w:rPr>
            </w:pPr>
            <w:r w:rsidRPr="001F30CC">
              <w:rPr>
                <w:bCs/>
              </w:rPr>
              <w:t>BEinfo@celltrionhc.com</w:t>
            </w:r>
          </w:p>
          <w:p w14:paraId="0CB17FF5" w14:textId="77777777" w:rsidR="00D25A08" w:rsidRPr="007836A5" w:rsidRDefault="00D25A08" w:rsidP="00402E49">
            <w:pPr>
              <w:pStyle w:val="a3"/>
              <w:widowControl/>
              <w:ind w:left="0"/>
              <w:rPr>
                <w:b/>
              </w:rPr>
            </w:pPr>
          </w:p>
        </w:tc>
      </w:tr>
      <w:tr w:rsidR="00D25A08" w:rsidRPr="001879E9" w14:paraId="64B6E8F4" w14:textId="77777777" w:rsidTr="00402E49">
        <w:trPr>
          <w:trHeight w:val="877"/>
        </w:trPr>
        <w:tc>
          <w:tcPr>
            <w:tcW w:w="4483" w:type="dxa"/>
          </w:tcPr>
          <w:p w14:paraId="16EF9246" w14:textId="77777777" w:rsidR="00D25A08" w:rsidRPr="007836A5" w:rsidRDefault="00D25A08" w:rsidP="00402E49">
            <w:pPr>
              <w:pStyle w:val="a3"/>
              <w:widowControl/>
              <w:ind w:left="0"/>
              <w:rPr>
                <w:b/>
              </w:rPr>
            </w:pPr>
            <w:r w:rsidRPr="007836A5">
              <w:rPr>
                <w:b/>
              </w:rPr>
              <w:t>Česká republika</w:t>
            </w:r>
          </w:p>
          <w:p w14:paraId="7FCB46EE" w14:textId="77777777" w:rsidR="00D25A08" w:rsidRPr="001F30CC" w:rsidRDefault="00D25A08" w:rsidP="00402E49">
            <w:pPr>
              <w:pStyle w:val="a3"/>
              <w:widowControl/>
              <w:ind w:left="0"/>
              <w:rPr>
                <w:bCs/>
              </w:rPr>
            </w:pPr>
            <w:r w:rsidRPr="001F30CC">
              <w:rPr>
                <w:bCs/>
              </w:rPr>
              <w:t>Celltrion Healthcare Hungary Kft.</w:t>
            </w:r>
          </w:p>
          <w:p w14:paraId="346D0333" w14:textId="77777777" w:rsidR="00D25A08" w:rsidRPr="001F30CC" w:rsidRDefault="00D25A08" w:rsidP="00402E49">
            <w:pPr>
              <w:pStyle w:val="a3"/>
              <w:widowControl/>
              <w:ind w:left="0"/>
              <w:rPr>
                <w:bCs/>
              </w:rPr>
            </w:pPr>
            <w:r w:rsidRPr="001F30CC">
              <w:rPr>
                <w:bCs/>
              </w:rPr>
              <w:t>Tel: +36 1 231 0493</w:t>
            </w:r>
          </w:p>
          <w:p w14:paraId="55207898" w14:textId="77777777" w:rsidR="00D25A08" w:rsidRPr="007836A5" w:rsidRDefault="00D25A08" w:rsidP="00402E49">
            <w:pPr>
              <w:pStyle w:val="a3"/>
              <w:widowControl/>
              <w:ind w:left="0"/>
              <w:rPr>
                <w:b/>
              </w:rPr>
            </w:pPr>
          </w:p>
        </w:tc>
        <w:tc>
          <w:tcPr>
            <w:tcW w:w="4253" w:type="dxa"/>
          </w:tcPr>
          <w:p w14:paraId="59BF3A7B" w14:textId="77777777" w:rsidR="00D25A08" w:rsidRPr="007836A5" w:rsidRDefault="00D25A08" w:rsidP="00402E49">
            <w:pPr>
              <w:pStyle w:val="a3"/>
              <w:widowControl/>
              <w:ind w:left="0"/>
              <w:rPr>
                <w:b/>
              </w:rPr>
            </w:pPr>
            <w:r w:rsidRPr="007836A5">
              <w:rPr>
                <w:b/>
              </w:rPr>
              <w:t>Magyarország</w:t>
            </w:r>
          </w:p>
          <w:p w14:paraId="183363AB" w14:textId="77777777" w:rsidR="00D25A08" w:rsidRPr="001F30CC" w:rsidRDefault="00D25A08" w:rsidP="00402E49">
            <w:pPr>
              <w:pStyle w:val="a3"/>
              <w:widowControl/>
              <w:ind w:left="0"/>
              <w:rPr>
                <w:bCs/>
              </w:rPr>
            </w:pPr>
            <w:r w:rsidRPr="001F30CC">
              <w:rPr>
                <w:bCs/>
              </w:rPr>
              <w:t>Celltrion Healthcare Hungary Kft.</w:t>
            </w:r>
          </w:p>
          <w:p w14:paraId="06834894" w14:textId="77777777" w:rsidR="00D25A08" w:rsidRPr="001F30CC" w:rsidRDefault="00D25A08" w:rsidP="00402E49">
            <w:pPr>
              <w:pStyle w:val="a3"/>
              <w:widowControl/>
              <w:ind w:left="0"/>
              <w:rPr>
                <w:bCs/>
              </w:rPr>
            </w:pPr>
            <w:r w:rsidRPr="001F30CC">
              <w:rPr>
                <w:bCs/>
              </w:rPr>
              <w:t>Tel:. +36 1 231 0493</w:t>
            </w:r>
          </w:p>
          <w:p w14:paraId="758404BE" w14:textId="77777777" w:rsidR="00D25A08" w:rsidRPr="007836A5" w:rsidRDefault="00D25A08" w:rsidP="00402E49">
            <w:pPr>
              <w:pStyle w:val="a3"/>
              <w:widowControl/>
              <w:ind w:left="0"/>
              <w:rPr>
                <w:b/>
              </w:rPr>
            </w:pPr>
          </w:p>
        </w:tc>
      </w:tr>
      <w:tr w:rsidR="00D25A08" w:rsidRPr="001879E9" w14:paraId="45D91545" w14:textId="77777777" w:rsidTr="00402E49">
        <w:trPr>
          <w:trHeight w:val="877"/>
        </w:trPr>
        <w:tc>
          <w:tcPr>
            <w:tcW w:w="4483" w:type="dxa"/>
          </w:tcPr>
          <w:p w14:paraId="5813C343" w14:textId="50C27A7C" w:rsidR="00D25A08" w:rsidRPr="007836A5" w:rsidRDefault="00D25A08" w:rsidP="00402E49">
            <w:pPr>
              <w:pStyle w:val="a3"/>
              <w:widowControl/>
              <w:ind w:left="0"/>
              <w:rPr>
                <w:b/>
              </w:rPr>
            </w:pPr>
            <w:r w:rsidRPr="007836A5">
              <w:rPr>
                <w:b/>
              </w:rPr>
              <w:t>D</w:t>
            </w:r>
            <w:r w:rsidR="004856B8">
              <w:rPr>
                <w:rFonts w:eastAsia="맑은 고딕" w:hint="eastAsia"/>
                <w:b/>
                <w:lang w:eastAsia="ko-KR"/>
              </w:rPr>
              <w:t>e</w:t>
            </w:r>
            <w:r w:rsidRPr="007836A5">
              <w:rPr>
                <w:b/>
              </w:rPr>
              <w:t>nmark</w:t>
            </w:r>
          </w:p>
          <w:p w14:paraId="78B53FC9" w14:textId="771137B1" w:rsidR="004856B8" w:rsidRPr="00DC6A50" w:rsidRDefault="00D25A08" w:rsidP="004856B8">
            <w:pPr>
              <w:tabs>
                <w:tab w:val="left" w:pos="-720"/>
              </w:tabs>
              <w:suppressAutoHyphens/>
              <w:rPr>
                <w:rFonts w:eastAsia="맑은 고딕"/>
                <w:noProof/>
                <w:lang w:eastAsia="fr-FR"/>
              </w:rPr>
            </w:pPr>
            <w:r w:rsidRPr="001F30CC">
              <w:rPr>
                <w:bCs/>
              </w:rPr>
              <w:t xml:space="preserve">Celltrion Healthcare </w:t>
            </w:r>
            <w:r w:rsidR="004856B8" w:rsidRPr="00204A91">
              <w:rPr>
                <w:rFonts w:eastAsia="맑은 고딕"/>
                <w:noProof/>
                <w:lang w:eastAsia="fr-FR"/>
              </w:rPr>
              <w:t xml:space="preserve"> Denmark ApS</w:t>
            </w:r>
          </w:p>
          <w:p w14:paraId="26CA3389" w14:textId="77777777" w:rsidR="004856B8" w:rsidRDefault="004856B8" w:rsidP="004856B8">
            <w:pPr>
              <w:tabs>
                <w:tab w:val="left" w:pos="-720"/>
              </w:tabs>
              <w:suppressAutoHyphens/>
              <w:rPr>
                <w:rFonts w:eastAsia="맑은 고딕"/>
                <w:noProof/>
                <w:lang w:eastAsia="fr-FR"/>
              </w:rPr>
            </w:pPr>
            <w:r w:rsidRPr="00204A91">
              <w:rPr>
                <w:rFonts w:eastAsia="맑은 고딕"/>
                <w:noProof/>
                <w:lang w:eastAsia="fr-FR"/>
              </w:rPr>
              <w:t>Tel: + 45 3535 2989</w:t>
            </w:r>
          </w:p>
          <w:p w14:paraId="3627E28A" w14:textId="77777777" w:rsidR="004856B8" w:rsidRDefault="004856B8" w:rsidP="004856B8">
            <w:pPr>
              <w:tabs>
                <w:tab w:val="left" w:pos="-720"/>
              </w:tabs>
              <w:suppressAutoHyphens/>
              <w:rPr>
                <w:rFonts w:eastAsia="맑은 고딕"/>
                <w:noProof/>
                <w:lang w:eastAsia="fr-FR"/>
              </w:rPr>
            </w:pPr>
            <w:r w:rsidRPr="00204A91">
              <w:rPr>
                <w:rFonts w:eastAsia="맑은 고딕"/>
                <w:noProof/>
                <w:lang w:eastAsia="fr-FR"/>
              </w:rPr>
              <w:t>Contact_dk@celltrionhc.com</w:t>
            </w:r>
          </w:p>
          <w:p w14:paraId="167225F6" w14:textId="21B1C1A6" w:rsidR="00D25A08" w:rsidRPr="007836A5" w:rsidRDefault="00D25A08" w:rsidP="00402E49">
            <w:pPr>
              <w:pStyle w:val="a3"/>
              <w:widowControl/>
              <w:ind w:left="0"/>
              <w:rPr>
                <w:b/>
              </w:rPr>
            </w:pPr>
          </w:p>
        </w:tc>
        <w:tc>
          <w:tcPr>
            <w:tcW w:w="4253" w:type="dxa"/>
          </w:tcPr>
          <w:p w14:paraId="3426FD6C" w14:textId="77777777" w:rsidR="00D25A08" w:rsidRPr="007836A5" w:rsidRDefault="00D25A08" w:rsidP="00402E49">
            <w:pPr>
              <w:pStyle w:val="a3"/>
              <w:widowControl/>
              <w:ind w:left="0"/>
              <w:rPr>
                <w:b/>
              </w:rPr>
            </w:pPr>
            <w:r w:rsidRPr="007836A5">
              <w:rPr>
                <w:b/>
              </w:rPr>
              <w:t>Malta</w:t>
            </w:r>
          </w:p>
          <w:p w14:paraId="56D4F4C5" w14:textId="77777777" w:rsidR="00D25A08" w:rsidRPr="001F30CC" w:rsidRDefault="00D25A08" w:rsidP="00402E49">
            <w:pPr>
              <w:pStyle w:val="a3"/>
              <w:widowControl/>
              <w:ind w:left="0"/>
              <w:rPr>
                <w:bCs/>
              </w:rPr>
            </w:pPr>
            <w:r w:rsidRPr="001F30CC">
              <w:rPr>
                <w:bCs/>
              </w:rPr>
              <w:t>Mint Health Ltd.</w:t>
            </w:r>
          </w:p>
          <w:p w14:paraId="42BF0FEB" w14:textId="77777777" w:rsidR="00D25A08" w:rsidRPr="001F30CC" w:rsidRDefault="00D25A08" w:rsidP="00402E49">
            <w:pPr>
              <w:pStyle w:val="a3"/>
              <w:widowControl/>
              <w:ind w:left="0"/>
              <w:rPr>
                <w:bCs/>
              </w:rPr>
            </w:pPr>
            <w:r w:rsidRPr="001F30CC">
              <w:rPr>
                <w:bCs/>
              </w:rPr>
              <w:t>Tel: +356 2093 9800</w:t>
            </w:r>
          </w:p>
          <w:p w14:paraId="36D288DB" w14:textId="77777777" w:rsidR="00D25A08" w:rsidRPr="007836A5" w:rsidRDefault="00D25A08" w:rsidP="00402E49">
            <w:pPr>
              <w:pStyle w:val="a3"/>
              <w:widowControl/>
              <w:ind w:left="0"/>
              <w:rPr>
                <w:b/>
              </w:rPr>
            </w:pPr>
          </w:p>
        </w:tc>
      </w:tr>
      <w:tr w:rsidR="00D25A08" w:rsidRPr="001879E9" w14:paraId="55A6E3E5" w14:textId="77777777" w:rsidTr="00402E49">
        <w:trPr>
          <w:trHeight w:val="877"/>
        </w:trPr>
        <w:tc>
          <w:tcPr>
            <w:tcW w:w="4483" w:type="dxa"/>
          </w:tcPr>
          <w:p w14:paraId="3411DE7F" w14:textId="77777777" w:rsidR="00D25A08" w:rsidRPr="007836A5" w:rsidRDefault="00D25A08" w:rsidP="00402E49">
            <w:pPr>
              <w:pStyle w:val="a3"/>
              <w:widowControl/>
              <w:ind w:left="0"/>
              <w:rPr>
                <w:b/>
              </w:rPr>
            </w:pPr>
            <w:r w:rsidRPr="007836A5">
              <w:rPr>
                <w:b/>
              </w:rPr>
              <w:t>Deutschland</w:t>
            </w:r>
          </w:p>
          <w:p w14:paraId="2C916D3A" w14:textId="77777777" w:rsidR="00D25A08" w:rsidRPr="001F30CC" w:rsidRDefault="00D25A08" w:rsidP="00402E49">
            <w:pPr>
              <w:pStyle w:val="a3"/>
              <w:widowControl/>
              <w:ind w:left="0"/>
              <w:rPr>
                <w:bCs/>
              </w:rPr>
            </w:pPr>
            <w:r w:rsidRPr="001F30CC">
              <w:rPr>
                <w:bCs/>
              </w:rPr>
              <w:t>Celltrion Healthcare Deutschland GmbH</w:t>
            </w:r>
          </w:p>
          <w:p w14:paraId="621821A9" w14:textId="77777777" w:rsidR="00D25A08" w:rsidRPr="001F30CC" w:rsidRDefault="00D25A08" w:rsidP="00402E49">
            <w:pPr>
              <w:pStyle w:val="a3"/>
              <w:widowControl/>
              <w:ind w:left="0"/>
              <w:rPr>
                <w:bCs/>
              </w:rPr>
            </w:pPr>
            <w:r w:rsidRPr="001F30CC">
              <w:rPr>
                <w:bCs/>
              </w:rPr>
              <w:t>Tel: +49(0)30 346494150</w:t>
            </w:r>
          </w:p>
          <w:p w14:paraId="52D03732" w14:textId="77777777" w:rsidR="00D25A08" w:rsidRPr="001F30CC" w:rsidRDefault="00D25A08" w:rsidP="00402E49">
            <w:pPr>
              <w:pStyle w:val="a3"/>
              <w:widowControl/>
              <w:ind w:left="0"/>
              <w:rPr>
                <w:bCs/>
              </w:rPr>
            </w:pPr>
            <w:r w:rsidRPr="001F30CC">
              <w:rPr>
                <w:bCs/>
              </w:rPr>
              <w:t>infoDE@celltrionhc.com</w:t>
            </w:r>
          </w:p>
          <w:p w14:paraId="18E25B19" w14:textId="77777777" w:rsidR="00D25A08" w:rsidRPr="007836A5" w:rsidRDefault="00D25A08" w:rsidP="00402E49">
            <w:pPr>
              <w:pStyle w:val="a3"/>
              <w:widowControl/>
              <w:ind w:left="0"/>
              <w:rPr>
                <w:b/>
              </w:rPr>
            </w:pPr>
          </w:p>
        </w:tc>
        <w:tc>
          <w:tcPr>
            <w:tcW w:w="4253" w:type="dxa"/>
          </w:tcPr>
          <w:p w14:paraId="3ECD9111" w14:textId="77777777" w:rsidR="00D25A08" w:rsidRPr="007836A5" w:rsidRDefault="00D25A08" w:rsidP="00402E49">
            <w:pPr>
              <w:pStyle w:val="a3"/>
              <w:widowControl/>
              <w:ind w:left="0"/>
              <w:rPr>
                <w:b/>
              </w:rPr>
            </w:pPr>
            <w:r w:rsidRPr="007836A5">
              <w:rPr>
                <w:b/>
              </w:rPr>
              <w:t>Nederland</w:t>
            </w:r>
          </w:p>
          <w:p w14:paraId="6F4321D9" w14:textId="77777777" w:rsidR="00D25A08" w:rsidRPr="001F30CC" w:rsidRDefault="00D25A08" w:rsidP="00402E49">
            <w:pPr>
              <w:pStyle w:val="a3"/>
              <w:widowControl/>
              <w:ind w:left="0"/>
              <w:rPr>
                <w:bCs/>
              </w:rPr>
            </w:pPr>
            <w:r w:rsidRPr="001F30CC">
              <w:rPr>
                <w:bCs/>
              </w:rPr>
              <w:t>Celltrion Healthcare Netherlands B.V.</w:t>
            </w:r>
          </w:p>
          <w:p w14:paraId="7D767884" w14:textId="77777777" w:rsidR="00D25A08" w:rsidRPr="001F30CC" w:rsidRDefault="00D25A08" w:rsidP="00402E49">
            <w:pPr>
              <w:pStyle w:val="a3"/>
              <w:widowControl/>
              <w:ind w:left="0"/>
              <w:rPr>
                <w:bCs/>
              </w:rPr>
            </w:pPr>
            <w:r w:rsidRPr="001F30CC">
              <w:rPr>
                <w:bCs/>
              </w:rPr>
              <w:t>Tel: + 31 20 888 7300</w:t>
            </w:r>
          </w:p>
          <w:p w14:paraId="44FA555E" w14:textId="77777777" w:rsidR="00D25A08" w:rsidRPr="001F30CC" w:rsidRDefault="00D25A08" w:rsidP="00402E49">
            <w:pPr>
              <w:pStyle w:val="a3"/>
              <w:widowControl/>
              <w:ind w:left="0"/>
              <w:rPr>
                <w:bCs/>
              </w:rPr>
            </w:pPr>
            <w:hyperlink r:id="rId13" w:history="1">
              <w:r w:rsidRPr="001F30CC">
                <w:rPr>
                  <w:rStyle w:val="a9"/>
                  <w:bCs/>
                </w:rPr>
                <w:t>NLinfo@celltrionhc.com</w:t>
              </w:r>
            </w:hyperlink>
          </w:p>
          <w:p w14:paraId="52A9C2E6" w14:textId="77777777" w:rsidR="00D25A08" w:rsidRPr="007836A5" w:rsidRDefault="00D25A08" w:rsidP="00402E49">
            <w:pPr>
              <w:pStyle w:val="a3"/>
              <w:widowControl/>
              <w:ind w:left="0"/>
              <w:rPr>
                <w:b/>
              </w:rPr>
            </w:pPr>
          </w:p>
        </w:tc>
      </w:tr>
      <w:tr w:rsidR="00D25A08" w:rsidRPr="001879E9" w14:paraId="1D2FAC53" w14:textId="77777777" w:rsidTr="00402E49">
        <w:trPr>
          <w:trHeight w:val="877"/>
        </w:trPr>
        <w:tc>
          <w:tcPr>
            <w:tcW w:w="4483" w:type="dxa"/>
          </w:tcPr>
          <w:p w14:paraId="7E81A912" w14:textId="77777777" w:rsidR="00D25A08" w:rsidRPr="001879E9" w:rsidRDefault="00D25A08" w:rsidP="00402E49">
            <w:pPr>
              <w:pStyle w:val="a3"/>
              <w:widowControl/>
              <w:ind w:left="0"/>
              <w:rPr>
                <w:b/>
              </w:rPr>
            </w:pPr>
            <w:r w:rsidRPr="007836A5">
              <w:rPr>
                <w:b/>
              </w:rPr>
              <w:t>Eesti</w:t>
            </w:r>
          </w:p>
          <w:p w14:paraId="4F40126C" w14:textId="77777777" w:rsidR="00D25A08" w:rsidRPr="001F30CC" w:rsidRDefault="00D25A08" w:rsidP="00402E49">
            <w:pPr>
              <w:pStyle w:val="a3"/>
              <w:widowControl/>
              <w:ind w:left="0"/>
              <w:rPr>
                <w:bCs/>
              </w:rPr>
            </w:pPr>
            <w:r w:rsidRPr="001F30CC">
              <w:rPr>
                <w:bCs/>
              </w:rPr>
              <w:t>Celltrion Healthcare Hungary Kft.</w:t>
            </w:r>
          </w:p>
          <w:p w14:paraId="680F8EE0" w14:textId="77777777" w:rsidR="00D25A08" w:rsidRPr="001F30CC" w:rsidRDefault="00D25A08" w:rsidP="00402E49">
            <w:pPr>
              <w:pStyle w:val="a3"/>
              <w:widowControl/>
              <w:ind w:left="0"/>
              <w:rPr>
                <w:bCs/>
              </w:rPr>
            </w:pPr>
            <w:r w:rsidRPr="001F30CC">
              <w:rPr>
                <w:bCs/>
              </w:rPr>
              <w:t>Tel: +36 1 231 0493</w:t>
            </w:r>
          </w:p>
          <w:p w14:paraId="37E918D1" w14:textId="77777777" w:rsidR="00D25A08" w:rsidRPr="007836A5" w:rsidRDefault="00D25A08" w:rsidP="00402E49">
            <w:pPr>
              <w:pStyle w:val="a3"/>
              <w:widowControl/>
              <w:ind w:left="0"/>
              <w:rPr>
                <w:b/>
              </w:rPr>
            </w:pPr>
          </w:p>
        </w:tc>
        <w:tc>
          <w:tcPr>
            <w:tcW w:w="4253" w:type="dxa"/>
          </w:tcPr>
          <w:p w14:paraId="0469E3EB" w14:textId="77777777" w:rsidR="00D25A08" w:rsidRPr="007836A5" w:rsidRDefault="00D25A08" w:rsidP="00402E49">
            <w:pPr>
              <w:pStyle w:val="a3"/>
              <w:widowControl/>
              <w:ind w:left="0"/>
              <w:rPr>
                <w:b/>
              </w:rPr>
            </w:pPr>
            <w:r w:rsidRPr="007836A5">
              <w:rPr>
                <w:b/>
              </w:rPr>
              <w:t>Norge</w:t>
            </w:r>
          </w:p>
          <w:p w14:paraId="0C5B1560" w14:textId="7020C846" w:rsidR="004856B8" w:rsidRPr="00DC6A50" w:rsidRDefault="00D25A08" w:rsidP="004856B8">
            <w:pPr>
              <w:tabs>
                <w:tab w:val="left" w:pos="-720"/>
              </w:tabs>
              <w:suppressAutoHyphens/>
              <w:rPr>
                <w:rFonts w:eastAsia="맑은 고딕"/>
                <w:noProof/>
                <w:lang w:eastAsia="ko-KR"/>
              </w:rPr>
            </w:pPr>
            <w:r w:rsidRPr="001F30CC">
              <w:rPr>
                <w:bCs/>
              </w:rPr>
              <w:t xml:space="preserve">Celltrion Healthcare </w:t>
            </w:r>
            <w:r w:rsidR="004856B8">
              <w:rPr>
                <w:rFonts w:eastAsia="맑은 고딕" w:hint="eastAsia"/>
                <w:noProof/>
                <w:lang w:eastAsia="ko-KR"/>
              </w:rPr>
              <w:t xml:space="preserve"> Norway AS</w:t>
            </w:r>
          </w:p>
          <w:p w14:paraId="17546EE9" w14:textId="2CBEF87C" w:rsidR="00D25A08" w:rsidRPr="004856B8" w:rsidRDefault="004856B8" w:rsidP="00402E49">
            <w:pPr>
              <w:pStyle w:val="a3"/>
              <w:widowControl/>
              <w:ind w:left="0"/>
              <w:rPr>
                <w:b/>
              </w:rPr>
            </w:pPr>
            <w:r w:rsidRPr="006F04E0">
              <w:rPr>
                <w:rFonts w:eastAsia="맑은 고딕"/>
                <w:noProof/>
                <w:lang w:eastAsia="fr-FR"/>
              </w:rPr>
              <w:t>Contact_no@celltrionhc.com</w:t>
            </w:r>
            <w:r w:rsidRPr="006F04E0" w:rsidDel="006F04E0">
              <w:rPr>
                <w:rFonts w:eastAsia="맑은 고딕"/>
                <w:noProof/>
                <w:lang w:eastAsia="fr-FR"/>
              </w:rPr>
              <w:t xml:space="preserve"> </w:t>
            </w:r>
          </w:p>
        </w:tc>
      </w:tr>
      <w:tr w:rsidR="00D25A08" w:rsidRPr="001879E9" w14:paraId="4B805D93" w14:textId="77777777" w:rsidTr="00402E49">
        <w:trPr>
          <w:trHeight w:val="877"/>
        </w:trPr>
        <w:tc>
          <w:tcPr>
            <w:tcW w:w="4483" w:type="dxa"/>
          </w:tcPr>
          <w:p w14:paraId="48F2B129" w14:textId="77777777" w:rsidR="00D25A08" w:rsidRPr="007836A5" w:rsidRDefault="00D25A08" w:rsidP="00402E49">
            <w:pPr>
              <w:pStyle w:val="a3"/>
              <w:widowControl/>
              <w:ind w:left="0"/>
              <w:rPr>
                <w:b/>
              </w:rPr>
            </w:pPr>
            <w:r w:rsidRPr="007836A5">
              <w:rPr>
                <w:b/>
              </w:rPr>
              <w:t>España</w:t>
            </w:r>
          </w:p>
          <w:p w14:paraId="218356E6" w14:textId="77777777" w:rsidR="00D25A08" w:rsidRPr="001F30CC" w:rsidRDefault="00D25A08" w:rsidP="00402E49">
            <w:pPr>
              <w:pStyle w:val="a3"/>
              <w:widowControl/>
              <w:ind w:left="0"/>
              <w:rPr>
                <w:bCs/>
              </w:rPr>
            </w:pPr>
            <w:r w:rsidRPr="001F30CC">
              <w:rPr>
                <w:bCs/>
              </w:rPr>
              <w:t>CELLTRION FARMACEUTICA (ESPAÑA) S.L..</w:t>
            </w:r>
          </w:p>
          <w:p w14:paraId="46A989B3" w14:textId="5838FA52" w:rsidR="00D25A08" w:rsidRPr="001F30CC" w:rsidRDefault="00D25A08" w:rsidP="00402E49">
            <w:pPr>
              <w:pStyle w:val="a3"/>
              <w:widowControl/>
              <w:ind w:left="0"/>
              <w:rPr>
                <w:bCs/>
              </w:rPr>
            </w:pPr>
            <w:r w:rsidRPr="001F30CC">
              <w:rPr>
                <w:bCs/>
              </w:rPr>
              <w:t xml:space="preserve">Tel: +34 </w:t>
            </w:r>
            <w:r w:rsidR="00143E82">
              <w:rPr>
                <w:bCs/>
              </w:rPr>
              <w:t>910 498 478</w:t>
            </w:r>
          </w:p>
          <w:p w14:paraId="71147130" w14:textId="77777777" w:rsidR="00D25A08" w:rsidRPr="001879E9" w:rsidRDefault="00D25A08" w:rsidP="00402E49">
            <w:pPr>
              <w:pStyle w:val="a3"/>
              <w:widowControl/>
              <w:ind w:left="0"/>
              <w:rPr>
                <w:b/>
              </w:rPr>
            </w:pPr>
          </w:p>
        </w:tc>
        <w:tc>
          <w:tcPr>
            <w:tcW w:w="4253" w:type="dxa"/>
          </w:tcPr>
          <w:p w14:paraId="3847447C" w14:textId="77777777" w:rsidR="00D25A08" w:rsidRPr="007836A5" w:rsidRDefault="00D25A08" w:rsidP="00402E49">
            <w:pPr>
              <w:pStyle w:val="a3"/>
              <w:widowControl/>
              <w:ind w:left="0"/>
              <w:rPr>
                <w:b/>
              </w:rPr>
            </w:pPr>
            <w:r w:rsidRPr="007836A5">
              <w:rPr>
                <w:b/>
              </w:rPr>
              <w:t>Österreich</w:t>
            </w:r>
          </w:p>
          <w:p w14:paraId="211B213D" w14:textId="77777777" w:rsidR="00D25A08" w:rsidRPr="001F30CC" w:rsidRDefault="00D25A08" w:rsidP="00402E49">
            <w:pPr>
              <w:pStyle w:val="a3"/>
              <w:widowControl/>
              <w:ind w:left="0"/>
              <w:rPr>
                <w:bCs/>
              </w:rPr>
            </w:pPr>
            <w:r w:rsidRPr="001F30CC">
              <w:rPr>
                <w:bCs/>
              </w:rPr>
              <w:t>Astro-Pharma GmbH</w:t>
            </w:r>
          </w:p>
          <w:p w14:paraId="28D6F2FC" w14:textId="77777777" w:rsidR="00D25A08" w:rsidRPr="001F30CC" w:rsidRDefault="00D25A08" w:rsidP="00402E49">
            <w:pPr>
              <w:pStyle w:val="a3"/>
              <w:widowControl/>
              <w:ind w:left="0"/>
              <w:rPr>
                <w:bCs/>
              </w:rPr>
            </w:pPr>
            <w:r w:rsidRPr="001F30CC">
              <w:rPr>
                <w:bCs/>
              </w:rPr>
              <w:t>Tel: +43 1 97 99 860</w:t>
            </w:r>
          </w:p>
          <w:p w14:paraId="59346E82" w14:textId="77777777" w:rsidR="00D25A08" w:rsidRPr="007836A5" w:rsidRDefault="00D25A08" w:rsidP="00402E49">
            <w:pPr>
              <w:pStyle w:val="a3"/>
              <w:widowControl/>
              <w:ind w:left="0"/>
              <w:rPr>
                <w:b/>
              </w:rPr>
            </w:pPr>
          </w:p>
        </w:tc>
      </w:tr>
      <w:tr w:rsidR="00D25A08" w:rsidRPr="001879E9" w14:paraId="20E25D68" w14:textId="77777777" w:rsidTr="00402E49">
        <w:trPr>
          <w:trHeight w:val="877"/>
        </w:trPr>
        <w:tc>
          <w:tcPr>
            <w:tcW w:w="4483" w:type="dxa"/>
          </w:tcPr>
          <w:p w14:paraId="16929CE8" w14:textId="77777777" w:rsidR="00D25A08" w:rsidRPr="007836A5" w:rsidRDefault="00D25A08" w:rsidP="00402E49">
            <w:pPr>
              <w:pStyle w:val="a3"/>
              <w:widowControl/>
              <w:ind w:left="0"/>
              <w:rPr>
                <w:b/>
              </w:rPr>
            </w:pPr>
            <w:r w:rsidRPr="007836A5">
              <w:rPr>
                <w:b/>
              </w:rPr>
              <w:t>Ελλάδα</w:t>
            </w:r>
          </w:p>
          <w:p w14:paraId="119A3538" w14:textId="77777777" w:rsidR="00D25A08" w:rsidRPr="001F30CC" w:rsidRDefault="00D25A08" w:rsidP="00402E49">
            <w:pPr>
              <w:pStyle w:val="a3"/>
              <w:widowControl/>
              <w:ind w:left="0"/>
              <w:rPr>
                <w:bCs/>
              </w:rPr>
            </w:pPr>
            <w:r w:rsidRPr="001F30CC">
              <w:rPr>
                <w:bCs/>
              </w:rPr>
              <w:t>ΒΙΑΝΕΞ Α.Ε.</w:t>
            </w:r>
          </w:p>
          <w:p w14:paraId="63F85D03" w14:textId="77777777" w:rsidR="00D25A08" w:rsidRPr="001F30CC" w:rsidRDefault="00D25A08" w:rsidP="00402E49">
            <w:pPr>
              <w:pStyle w:val="a3"/>
              <w:widowControl/>
              <w:ind w:left="0"/>
              <w:rPr>
                <w:bCs/>
              </w:rPr>
            </w:pPr>
            <w:r w:rsidRPr="001F30CC">
              <w:rPr>
                <w:bCs/>
              </w:rPr>
              <w:t xml:space="preserve">Τηλ: +30 210 8009111 </w:t>
            </w:r>
          </w:p>
          <w:p w14:paraId="4A153AB8" w14:textId="77777777" w:rsidR="00D25A08" w:rsidRPr="007836A5" w:rsidRDefault="00D25A08" w:rsidP="00402E49">
            <w:pPr>
              <w:pStyle w:val="a3"/>
              <w:widowControl/>
              <w:ind w:left="0"/>
              <w:rPr>
                <w:b/>
              </w:rPr>
            </w:pPr>
          </w:p>
        </w:tc>
        <w:tc>
          <w:tcPr>
            <w:tcW w:w="4253" w:type="dxa"/>
          </w:tcPr>
          <w:p w14:paraId="2B7A7DA3" w14:textId="77777777" w:rsidR="00D25A08" w:rsidRPr="007836A5" w:rsidRDefault="00D25A08" w:rsidP="00402E49">
            <w:pPr>
              <w:pStyle w:val="a3"/>
              <w:widowControl/>
              <w:ind w:left="0"/>
              <w:rPr>
                <w:b/>
              </w:rPr>
            </w:pPr>
            <w:r w:rsidRPr="007836A5">
              <w:rPr>
                <w:b/>
              </w:rPr>
              <w:t>Polska</w:t>
            </w:r>
          </w:p>
          <w:p w14:paraId="1532930F" w14:textId="77777777" w:rsidR="00D25A08" w:rsidRPr="001F30CC" w:rsidRDefault="00D25A08" w:rsidP="00402E49">
            <w:pPr>
              <w:pStyle w:val="a3"/>
              <w:widowControl/>
              <w:ind w:left="0"/>
              <w:rPr>
                <w:bCs/>
              </w:rPr>
            </w:pPr>
            <w:r w:rsidRPr="001F30CC">
              <w:rPr>
                <w:bCs/>
              </w:rPr>
              <w:t>Celltrion Healthcare Hungary Kft.</w:t>
            </w:r>
          </w:p>
          <w:p w14:paraId="50406CCE" w14:textId="77777777" w:rsidR="00D25A08" w:rsidRPr="001F30CC" w:rsidRDefault="00D25A08" w:rsidP="00402E49">
            <w:pPr>
              <w:pStyle w:val="a3"/>
              <w:widowControl/>
              <w:ind w:left="0"/>
              <w:rPr>
                <w:bCs/>
              </w:rPr>
            </w:pPr>
            <w:r w:rsidRPr="001F30CC">
              <w:rPr>
                <w:bCs/>
              </w:rPr>
              <w:t>Tel.: +36 1 231 0493</w:t>
            </w:r>
          </w:p>
          <w:p w14:paraId="529B0A2E" w14:textId="77777777" w:rsidR="00D25A08" w:rsidRPr="001879E9" w:rsidRDefault="00D25A08" w:rsidP="00402E49">
            <w:pPr>
              <w:pStyle w:val="a3"/>
              <w:widowControl/>
              <w:ind w:left="0"/>
              <w:rPr>
                <w:b/>
              </w:rPr>
            </w:pPr>
          </w:p>
        </w:tc>
      </w:tr>
      <w:tr w:rsidR="00D25A08" w:rsidRPr="001879E9" w14:paraId="50280E34" w14:textId="77777777" w:rsidTr="00402E49">
        <w:trPr>
          <w:trHeight w:val="877"/>
        </w:trPr>
        <w:tc>
          <w:tcPr>
            <w:tcW w:w="4483" w:type="dxa"/>
          </w:tcPr>
          <w:p w14:paraId="27261854" w14:textId="77777777" w:rsidR="00D25A08" w:rsidRPr="001879E9" w:rsidRDefault="00D25A08" w:rsidP="00402E49">
            <w:pPr>
              <w:pStyle w:val="a3"/>
              <w:widowControl/>
              <w:ind w:left="0"/>
              <w:rPr>
                <w:b/>
              </w:rPr>
            </w:pPr>
            <w:r w:rsidRPr="007836A5">
              <w:rPr>
                <w:b/>
              </w:rPr>
              <w:t>France</w:t>
            </w:r>
          </w:p>
          <w:p w14:paraId="7B80152B" w14:textId="77777777" w:rsidR="00D25A08" w:rsidRPr="001F30CC" w:rsidRDefault="00D25A08" w:rsidP="00402E49">
            <w:pPr>
              <w:pStyle w:val="a3"/>
              <w:widowControl/>
              <w:ind w:left="0"/>
              <w:rPr>
                <w:bCs/>
              </w:rPr>
            </w:pPr>
            <w:r w:rsidRPr="001F30CC">
              <w:rPr>
                <w:bCs/>
              </w:rPr>
              <w:t>Celltrion Healthcare France SAS</w:t>
            </w:r>
          </w:p>
          <w:p w14:paraId="7BB91DD6" w14:textId="77777777" w:rsidR="00D25A08" w:rsidRPr="001F30CC" w:rsidRDefault="00D25A08" w:rsidP="00402E49">
            <w:pPr>
              <w:pStyle w:val="a3"/>
              <w:widowControl/>
              <w:ind w:left="0"/>
              <w:rPr>
                <w:bCs/>
              </w:rPr>
            </w:pPr>
            <w:r w:rsidRPr="001F30CC">
              <w:rPr>
                <w:bCs/>
              </w:rPr>
              <w:t>Tél.: +33 (0)1 71 25 27 00</w:t>
            </w:r>
          </w:p>
          <w:p w14:paraId="07BA8778" w14:textId="77777777" w:rsidR="00D25A08" w:rsidRPr="007836A5" w:rsidRDefault="00D25A08" w:rsidP="00402E49">
            <w:pPr>
              <w:pStyle w:val="a3"/>
              <w:widowControl/>
              <w:ind w:left="0"/>
              <w:rPr>
                <w:b/>
              </w:rPr>
            </w:pPr>
          </w:p>
        </w:tc>
        <w:tc>
          <w:tcPr>
            <w:tcW w:w="4253" w:type="dxa"/>
          </w:tcPr>
          <w:p w14:paraId="19EBA94A" w14:textId="77777777" w:rsidR="00D25A08" w:rsidRPr="007836A5" w:rsidRDefault="00D25A08" w:rsidP="00402E49">
            <w:pPr>
              <w:pStyle w:val="a3"/>
              <w:widowControl/>
              <w:ind w:left="0"/>
              <w:rPr>
                <w:b/>
              </w:rPr>
            </w:pPr>
            <w:r w:rsidRPr="007836A5">
              <w:rPr>
                <w:b/>
              </w:rPr>
              <w:t>Portugal</w:t>
            </w:r>
          </w:p>
          <w:p w14:paraId="00CA332F" w14:textId="77777777" w:rsidR="00D25A08" w:rsidRPr="001F30CC" w:rsidRDefault="00D25A08" w:rsidP="00402E49">
            <w:pPr>
              <w:pStyle w:val="a3"/>
              <w:widowControl/>
              <w:ind w:left="0"/>
              <w:rPr>
                <w:bCs/>
              </w:rPr>
            </w:pPr>
            <w:r w:rsidRPr="001F30CC">
              <w:rPr>
                <w:bCs/>
              </w:rPr>
              <w:t>CELLTRION PORTUGAL, UNIPESSOAL LDA.</w:t>
            </w:r>
          </w:p>
          <w:p w14:paraId="681A477F" w14:textId="77777777" w:rsidR="00D25A08" w:rsidRPr="001F30CC" w:rsidRDefault="00D25A08" w:rsidP="00402E49">
            <w:pPr>
              <w:pStyle w:val="a3"/>
              <w:widowControl/>
              <w:ind w:left="0"/>
              <w:rPr>
                <w:bCs/>
              </w:rPr>
            </w:pPr>
            <w:r w:rsidRPr="001F30CC">
              <w:rPr>
                <w:bCs/>
              </w:rPr>
              <w:t>Tel: +351 21 936 8542</w:t>
            </w:r>
          </w:p>
          <w:p w14:paraId="5335C088" w14:textId="77777777" w:rsidR="00D25A08" w:rsidRPr="001879E9" w:rsidRDefault="00D25A08" w:rsidP="00402E49">
            <w:pPr>
              <w:pStyle w:val="a3"/>
              <w:widowControl/>
              <w:ind w:left="0"/>
              <w:rPr>
                <w:b/>
              </w:rPr>
            </w:pPr>
          </w:p>
        </w:tc>
      </w:tr>
      <w:tr w:rsidR="00D25A08" w:rsidRPr="001879E9" w14:paraId="100698FF" w14:textId="77777777" w:rsidTr="00402E49">
        <w:trPr>
          <w:trHeight w:val="877"/>
        </w:trPr>
        <w:tc>
          <w:tcPr>
            <w:tcW w:w="4483" w:type="dxa"/>
          </w:tcPr>
          <w:p w14:paraId="2BB5B0D7" w14:textId="77777777" w:rsidR="00D25A08" w:rsidRPr="007836A5" w:rsidRDefault="00D25A08" w:rsidP="00402E49">
            <w:pPr>
              <w:pStyle w:val="a3"/>
              <w:widowControl/>
              <w:ind w:left="0"/>
              <w:rPr>
                <w:b/>
              </w:rPr>
            </w:pPr>
            <w:r w:rsidRPr="007836A5">
              <w:rPr>
                <w:b/>
              </w:rPr>
              <w:t>Hrvatska</w:t>
            </w:r>
          </w:p>
          <w:p w14:paraId="744DFAAC" w14:textId="77777777" w:rsidR="00D25A08" w:rsidRPr="001F30CC" w:rsidRDefault="00D25A08" w:rsidP="00402E49">
            <w:pPr>
              <w:pStyle w:val="a3"/>
              <w:widowControl/>
              <w:ind w:left="0"/>
              <w:rPr>
                <w:bCs/>
              </w:rPr>
            </w:pPr>
            <w:r w:rsidRPr="001F30CC">
              <w:rPr>
                <w:bCs/>
              </w:rPr>
              <w:t>Oktal Pharma d.o.o.</w:t>
            </w:r>
          </w:p>
          <w:p w14:paraId="6E969F21" w14:textId="77777777" w:rsidR="00D25A08" w:rsidRPr="001F30CC" w:rsidRDefault="00D25A08" w:rsidP="00402E49">
            <w:pPr>
              <w:pStyle w:val="a3"/>
              <w:widowControl/>
              <w:ind w:left="0"/>
              <w:rPr>
                <w:bCs/>
              </w:rPr>
            </w:pPr>
            <w:r w:rsidRPr="001F30CC">
              <w:rPr>
                <w:bCs/>
              </w:rPr>
              <w:t>Tel: +385 1 6595 777</w:t>
            </w:r>
          </w:p>
          <w:p w14:paraId="23639E90" w14:textId="77777777" w:rsidR="00D25A08" w:rsidRPr="007836A5" w:rsidRDefault="00D25A08" w:rsidP="00402E49">
            <w:pPr>
              <w:pStyle w:val="a3"/>
              <w:widowControl/>
              <w:ind w:left="0"/>
              <w:rPr>
                <w:b/>
              </w:rPr>
            </w:pPr>
          </w:p>
        </w:tc>
        <w:tc>
          <w:tcPr>
            <w:tcW w:w="4253" w:type="dxa"/>
          </w:tcPr>
          <w:p w14:paraId="3FC6D19B" w14:textId="77777777" w:rsidR="00D25A08" w:rsidRPr="007836A5" w:rsidRDefault="00D25A08" w:rsidP="00402E49">
            <w:pPr>
              <w:pStyle w:val="a3"/>
              <w:widowControl/>
              <w:ind w:left="0"/>
              <w:rPr>
                <w:b/>
              </w:rPr>
            </w:pPr>
            <w:r w:rsidRPr="007836A5">
              <w:rPr>
                <w:b/>
              </w:rPr>
              <w:t>România</w:t>
            </w:r>
          </w:p>
          <w:p w14:paraId="4963F23D" w14:textId="77777777" w:rsidR="00D25A08" w:rsidRPr="001F30CC" w:rsidRDefault="00D25A08" w:rsidP="00402E49">
            <w:pPr>
              <w:pStyle w:val="a3"/>
              <w:widowControl/>
              <w:ind w:left="0"/>
              <w:rPr>
                <w:bCs/>
              </w:rPr>
            </w:pPr>
            <w:r w:rsidRPr="001F30CC">
              <w:rPr>
                <w:bCs/>
              </w:rPr>
              <w:t>Celltrion Healthcare Hungary Kft.</w:t>
            </w:r>
          </w:p>
          <w:p w14:paraId="1A50DA37" w14:textId="77777777" w:rsidR="00D25A08" w:rsidRPr="001F30CC" w:rsidRDefault="00D25A08" w:rsidP="00402E49">
            <w:pPr>
              <w:pStyle w:val="a3"/>
              <w:widowControl/>
              <w:ind w:left="0"/>
              <w:rPr>
                <w:bCs/>
              </w:rPr>
            </w:pPr>
            <w:r w:rsidRPr="001F30CC">
              <w:rPr>
                <w:bCs/>
              </w:rPr>
              <w:t>Tel: +36 1 231 0493</w:t>
            </w:r>
          </w:p>
          <w:p w14:paraId="2AD03178" w14:textId="77777777" w:rsidR="00D25A08" w:rsidRPr="001879E9" w:rsidRDefault="00D25A08" w:rsidP="00402E49">
            <w:pPr>
              <w:pStyle w:val="a3"/>
              <w:widowControl/>
              <w:ind w:left="0"/>
              <w:rPr>
                <w:b/>
              </w:rPr>
            </w:pPr>
          </w:p>
        </w:tc>
      </w:tr>
      <w:tr w:rsidR="00D25A08" w:rsidRPr="001879E9" w14:paraId="50A3E8F9" w14:textId="77777777" w:rsidTr="00402E49">
        <w:trPr>
          <w:trHeight w:val="877"/>
        </w:trPr>
        <w:tc>
          <w:tcPr>
            <w:tcW w:w="4483" w:type="dxa"/>
          </w:tcPr>
          <w:p w14:paraId="68281E4A" w14:textId="77777777" w:rsidR="00D25A08" w:rsidRPr="007836A5" w:rsidRDefault="00D25A08" w:rsidP="00402E49">
            <w:pPr>
              <w:pStyle w:val="a3"/>
              <w:widowControl/>
              <w:ind w:left="0"/>
              <w:rPr>
                <w:b/>
              </w:rPr>
            </w:pPr>
            <w:r w:rsidRPr="007836A5">
              <w:rPr>
                <w:b/>
              </w:rPr>
              <w:t>Ireland</w:t>
            </w:r>
          </w:p>
          <w:p w14:paraId="661EEACD" w14:textId="77777777" w:rsidR="00D25A08" w:rsidRPr="001F30CC" w:rsidRDefault="00D25A08" w:rsidP="00402E49">
            <w:pPr>
              <w:pStyle w:val="a3"/>
              <w:widowControl/>
              <w:ind w:left="0"/>
              <w:rPr>
                <w:bCs/>
              </w:rPr>
            </w:pPr>
            <w:r w:rsidRPr="001F30CC">
              <w:rPr>
                <w:bCs/>
              </w:rPr>
              <w:t>Celltrion Healthcare Ireland Limited</w:t>
            </w:r>
          </w:p>
          <w:p w14:paraId="4B22A638" w14:textId="77777777" w:rsidR="00D25A08" w:rsidRPr="001F30CC" w:rsidRDefault="00D25A08" w:rsidP="00402E49">
            <w:pPr>
              <w:pStyle w:val="a3"/>
              <w:widowControl/>
              <w:ind w:left="0"/>
              <w:rPr>
                <w:bCs/>
              </w:rPr>
            </w:pPr>
            <w:r w:rsidRPr="001F30CC">
              <w:rPr>
                <w:bCs/>
              </w:rPr>
              <w:t>Tel: +353 1 223 4026</w:t>
            </w:r>
          </w:p>
          <w:p w14:paraId="0B4F93D4" w14:textId="77777777" w:rsidR="00D25A08" w:rsidRPr="007836A5" w:rsidRDefault="00D25A08" w:rsidP="00402E49">
            <w:pPr>
              <w:pStyle w:val="a3"/>
              <w:widowControl/>
              <w:ind w:left="0"/>
              <w:rPr>
                <w:b/>
              </w:rPr>
            </w:pPr>
          </w:p>
        </w:tc>
        <w:tc>
          <w:tcPr>
            <w:tcW w:w="4253" w:type="dxa"/>
          </w:tcPr>
          <w:p w14:paraId="06E6EB8F" w14:textId="77777777" w:rsidR="00D25A08" w:rsidRPr="007836A5" w:rsidRDefault="00D25A08" w:rsidP="00402E49">
            <w:pPr>
              <w:pStyle w:val="a3"/>
              <w:widowControl/>
              <w:ind w:left="0"/>
              <w:rPr>
                <w:b/>
              </w:rPr>
            </w:pPr>
            <w:r w:rsidRPr="007836A5">
              <w:rPr>
                <w:b/>
              </w:rPr>
              <w:t>Slovenija</w:t>
            </w:r>
          </w:p>
          <w:p w14:paraId="63E7819F" w14:textId="77777777" w:rsidR="00D25A08" w:rsidRPr="001F30CC" w:rsidRDefault="00D25A08" w:rsidP="00402E49">
            <w:pPr>
              <w:pStyle w:val="a3"/>
              <w:widowControl/>
              <w:ind w:left="0"/>
              <w:rPr>
                <w:bCs/>
              </w:rPr>
            </w:pPr>
            <w:r w:rsidRPr="001F30CC">
              <w:rPr>
                <w:bCs/>
              </w:rPr>
              <w:t>OPH Oktal Pharma d.o.o.</w:t>
            </w:r>
          </w:p>
          <w:p w14:paraId="4364A533" w14:textId="77777777" w:rsidR="00D25A08" w:rsidRPr="001F30CC" w:rsidRDefault="00D25A08" w:rsidP="00402E49">
            <w:pPr>
              <w:pStyle w:val="a3"/>
              <w:widowControl/>
              <w:ind w:left="0"/>
              <w:rPr>
                <w:bCs/>
              </w:rPr>
            </w:pPr>
            <w:r w:rsidRPr="001F30CC">
              <w:rPr>
                <w:bCs/>
              </w:rPr>
              <w:t>Tel.: +386 1 519 29 22</w:t>
            </w:r>
          </w:p>
          <w:p w14:paraId="072279B6" w14:textId="77777777" w:rsidR="00D25A08" w:rsidRPr="001879E9" w:rsidRDefault="00D25A08" w:rsidP="00402E49">
            <w:pPr>
              <w:pStyle w:val="a3"/>
              <w:widowControl/>
              <w:ind w:left="0"/>
              <w:rPr>
                <w:b/>
              </w:rPr>
            </w:pPr>
          </w:p>
        </w:tc>
      </w:tr>
      <w:tr w:rsidR="00D25A08" w:rsidRPr="001879E9" w14:paraId="49840105" w14:textId="77777777" w:rsidTr="00402E49">
        <w:trPr>
          <w:trHeight w:val="877"/>
        </w:trPr>
        <w:tc>
          <w:tcPr>
            <w:tcW w:w="4483" w:type="dxa"/>
          </w:tcPr>
          <w:p w14:paraId="3B2D7897" w14:textId="77777777" w:rsidR="00D25A08" w:rsidRPr="007836A5" w:rsidRDefault="00D25A08" w:rsidP="00402E49">
            <w:pPr>
              <w:pStyle w:val="a3"/>
              <w:widowControl/>
              <w:ind w:left="0"/>
              <w:rPr>
                <w:b/>
              </w:rPr>
            </w:pPr>
            <w:r w:rsidRPr="007836A5">
              <w:rPr>
                <w:b/>
              </w:rPr>
              <w:t>Ísland</w:t>
            </w:r>
          </w:p>
          <w:p w14:paraId="5A78146B" w14:textId="77777777" w:rsidR="00D25A08" w:rsidRPr="001F30CC" w:rsidRDefault="00D25A08" w:rsidP="00402E49">
            <w:pPr>
              <w:pStyle w:val="a3"/>
              <w:widowControl/>
              <w:ind w:left="0"/>
              <w:rPr>
                <w:bCs/>
              </w:rPr>
            </w:pPr>
            <w:r w:rsidRPr="001F30CC">
              <w:rPr>
                <w:bCs/>
              </w:rPr>
              <w:t>Celltrion Healthcare Hungary Kft.</w:t>
            </w:r>
          </w:p>
          <w:p w14:paraId="4BB4255C" w14:textId="77777777" w:rsidR="00D25A08" w:rsidRPr="001F30CC" w:rsidRDefault="00D25A08" w:rsidP="00402E49">
            <w:pPr>
              <w:pStyle w:val="a3"/>
              <w:widowControl/>
              <w:ind w:left="0"/>
              <w:rPr>
                <w:bCs/>
              </w:rPr>
            </w:pPr>
            <w:r w:rsidRPr="001F30CC">
              <w:rPr>
                <w:bCs/>
              </w:rPr>
              <w:t>Sími: +36 1 231 0493</w:t>
            </w:r>
          </w:p>
          <w:p w14:paraId="590A281E" w14:textId="77777777" w:rsidR="00D25A08" w:rsidRPr="007836A5" w:rsidRDefault="00D25A08" w:rsidP="00402E49">
            <w:pPr>
              <w:pStyle w:val="a3"/>
              <w:widowControl/>
              <w:ind w:left="0"/>
              <w:rPr>
                <w:b/>
              </w:rPr>
            </w:pPr>
          </w:p>
        </w:tc>
        <w:tc>
          <w:tcPr>
            <w:tcW w:w="4253" w:type="dxa"/>
          </w:tcPr>
          <w:p w14:paraId="75B1DDBD" w14:textId="77777777" w:rsidR="00D25A08" w:rsidRPr="007836A5" w:rsidRDefault="00D25A08" w:rsidP="00402E49">
            <w:pPr>
              <w:pStyle w:val="a3"/>
              <w:widowControl/>
              <w:ind w:left="0"/>
              <w:rPr>
                <w:b/>
              </w:rPr>
            </w:pPr>
            <w:r w:rsidRPr="007836A5">
              <w:rPr>
                <w:b/>
              </w:rPr>
              <w:t>Slovenská republika</w:t>
            </w:r>
          </w:p>
          <w:p w14:paraId="43948981" w14:textId="77777777" w:rsidR="00D25A08" w:rsidRPr="001F30CC" w:rsidRDefault="00D25A08" w:rsidP="00402E49">
            <w:pPr>
              <w:pStyle w:val="a3"/>
              <w:widowControl/>
              <w:ind w:left="0"/>
              <w:rPr>
                <w:bCs/>
              </w:rPr>
            </w:pPr>
            <w:r w:rsidRPr="001F30CC">
              <w:rPr>
                <w:bCs/>
              </w:rPr>
              <w:t>Celltrion Healthcare Hungary Kft.</w:t>
            </w:r>
          </w:p>
          <w:p w14:paraId="346BFECB" w14:textId="77777777" w:rsidR="00D25A08" w:rsidRPr="001F30CC" w:rsidRDefault="00D25A08" w:rsidP="00402E49">
            <w:pPr>
              <w:pStyle w:val="a3"/>
              <w:widowControl/>
              <w:ind w:left="0"/>
              <w:rPr>
                <w:bCs/>
              </w:rPr>
            </w:pPr>
            <w:r w:rsidRPr="001F30CC">
              <w:rPr>
                <w:bCs/>
              </w:rPr>
              <w:t>Tel: +36 1 231 0493</w:t>
            </w:r>
          </w:p>
          <w:p w14:paraId="2E1A7EEC" w14:textId="77777777" w:rsidR="00D25A08" w:rsidRPr="007836A5" w:rsidRDefault="00D25A08" w:rsidP="00402E49">
            <w:pPr>
              <w:pStyle w:val="a3"/>
              <w:widowControl/>
              <w:ind w:left="0"/>
              <w:rPr>
                <w:b/>
              </w:rPr>
            </w:pPr>
          </w:p>
        </w:tc>
      </w:tr>
      <w:tr w:rsidR="00D25A08" w:rsidRPr="001879E9" w14:paraId="32302B66" w14:textId="77777777" w:rsidTr="00402E49">
        <w:trPr>
          <w:trHeight w:val="877"/>
        </w:trPr>
        <w:tc>
          <w:tcPr>
            <w:tcW w:w="4483" w:type="dxa"/>
          </w:tcPr>
          <w:p w14:paraId="6827FC20" w14:textId="77777777" w:rsidR="00D25A08" w:rsidRPr="007836A5" w:rsidRDefault="00D25A08" w:rsidP="00402E49">
            <w:pPr>
              <w:pStyle w:val="a3"/>
              <w:widowControl/>
              <w:ind w:left="0"/>
              <w:rPr>
                <w:b/>
              </w:rPr>
            </w:pPr>
            <w:r w:rsidRPr="007836A5">
              <w:rPr>
                <w:b/>
              </w:rPr>
              <w:t>Italia</w:t>
            </w:r>
          </w:p>
          <w:p w14:paraId="61003343" w14:textId="77777777" w:rsidR="00D25A08" w:rsidRPr="001F30CC" w:rsidRDefault="00D25A08" w:rsidP="00402E49">
            <w:pPr>
              <w:pStyle w:val="a3"/>
              <w:widowControl/>
              <w:ind w:left="0"/>
              <w:rPr>
                <w:bCs/>
              </w:rPr>
            </w:pPr>
            <w:r w:rsidRPr="001F30CC">
              <w:rPr>
                <w:bCs/>
              </w:rPr>
              <w:t>Celltrion Healthcare Italy S.r.l.</w:t>
            </w:r>
          </w:p>
          <w:p w14:paraId="5FBB70CC" w14:textId="77777777" w:rsidR="00D25A08" w:rsidRPr="001F30CC" w:rsidRDefault="00D25A08" w:rsidP="00402E49">
            <w:pPr>
              <w:pStyle w:val="a3"/>
              <w:widowControl/>
              <w:ind w:left="0"/>
              <w:rPr>
                <w:bCs/>
              </w:rPr>
            </w:pPr>
            <w:r w:rsidRPr="001F30CC">
              <w:rPr>
                <w:bCs/>
              </w:rPr>
              <w:t>Tel: +39 02 47927040</w:t>
            </w:r>
          </w:p>
          <w:p w14:paraId="34E32BAF" w14:textId="77777777" w:rsidR="00D25A08" w:rsidRPr="007836A5" w:rsidRDefault="00D25A08" w:rsidP="00402E49">
            <w:pPr>
              <w:pStyle w:val="a3"/>
              <w:widowControl/>
              <w:ind w:left="0"/>
              <w:rPr>
                <w:b/>
              </w:rPr>
            </w:pPr>
          </w:p>
        </w:tc>
        <w:tc>
          <w:tcPr>
            <w:tcW w:w="4253" w:type="dxa"/>
          </w:tcPr>
          <w:p w14:paraId="0A0FAFCB" w14:textId="77777777" w:rsidR="00D25A08" w:rsidRPr="007836A5" w:rsidRDefault="00D25A08" w:rsidP="00402E49">
            <w:pPr>
              <w:pStyle w:val="a3"/>
              <w:widowControl/>
              <w:ind w:left="0"/>
              <w:rPr>
                <w:b/>
              </w:rPr>
            </w:pPr>
            <w:r w:rsidRPr="007836A5">
              <w:rPr>
                <w:b/>
              </w:rPr>
              <w:t>Suomi/Finland</w:t>
            </w:r>
          </w:p>
          <w:p w14:paraId="16D7C2B5" w14:textId="77777777" w:rsidR="00D25A08" w:rsidRPr="001F30CC" w:rsidRDefault="00D25A08" w:rsidP="00402E49">
            <w:pPr>
              <w:pStyle w:val="a3"/>
              <w:widowControl/>
              <w:ind w:left="0"/>
              <w:rPr>
                <w:bCs/>
              </w:rPr>
            </w:pPr>
            <w:r w:rsidRPr="001F30CC">
              <w:rPr>
                <w:bCs/>
              </w:rPr>
              <w:t xml:space="preserve">Celltrion Healthcare Finland Oy. </w:t>
            </w:r>
          </w:p>
          <w:p w14:paraId="6E5569ED" w14:textId="354F80AB" w:rsidR="00D25A08" w:rsidRPr="001F30CC" w:rsidRDefault="00D25A08" w:rsidP="00402E49">
            <w:pPr>
              <w:pStyle w:val="a3"/>
              <w:widowControl/>
              <w:ind w:left="0"/>
              <w:rPr>
                <w:bCs/>
              </w:rPr>
            </w:pPr>
            <w:r w:rsidRPr="001F30CC">
              <w:rPr>
                <w:bCs/>
              </w:rPr>
              <w:t>Tel: +358 29 170 7755</w:t>
            </w:r>
          </w:p>
          <w:p w14:paraId="6858143C" w14:textId="77777777" w:rsidR="004856B8" w:rsidRDefault="004856B8" w:rsidP="004856B8">
            <w:pPr>
              <w:adjustRightInd w:val="0"/>
              <w:rPr>
                <w:rFonts w:eastAsia="맑은 고딕"/>
                <w:noProof/>
                <w:lang w:val="en-GB" w:eastAsia="ko-KR"/>
              </w:rPr>
            </w:pPr>
            <w:r w:rsidRPr="00204A91">
              <w:rPr>
                <w:rFonts w:eastAsia="맑은 고딕"/>
                <w:noProof/>
                <w:lang w:val="en-GB" w:eastAsia="ko-KR"/>
              </w:rPr>
              <w:t>contact_fi@celltrionhc.com</w:t>
            </w:r>
          </w:p>
          <w:p w14:paraId="5DCD9092" w14:textId="77777777" w:rsidR="00D25A08" w:rsidRPr="002F0CCA" w:rsidRDefault="00D25A08" w:rsidP="00402E49">
            <w:pPr>
              <w:pStyle w:val="a3"/>
              <w:widowControl/>
              <w:ind w:left="0"/>
              <w:rPr>
                <w:b/>
                <w:lang w:val="en-GB"/>
              </w:rPr>
            </w:pPr>
          </w:p>
        </w:tc>
      </w:tr>
      <w:tr w:rsidR="00D25A08" w:rsidRPr="001879E9" w14:paraId="426B51C3" w14:textId="77777777" w:rsidTr="00402E49">
        <w:trPr>
          <w:trHeight w:val="877"/>
        </w:trPr>
        <w:tc>
          <w:tcPr>
            <w:tcW w:w="4483" w:type="dxa"/>
          </w:tcPr>
          <w:p w14:paraId="7CFDB348" w14:textId="77777777" w:rsidR="00D25A08" w:rsidRPr="007836A5" w:rsidRDefault="00D25A08" w:rsidP="00402E49">
            <w:pPr>
              <w:pStyle w:val="a3"/>
              <w:widowControl/>
              <w:ind w:left="0"/>
              <w:rPr>
                <w:b/>
              </w:rPr>
            </w:pPr>
            <w:r w:rsidRPr="007836A5">
              <w:rPr>
                <w:b/>
              </w:rPr>
              <w:lastRenderedPageBreak/>
              <w:t>Κύπρος</w:t>
            </w:r>
          </w:p>
          <w:p w14:paraId="2BD3B915" w14:textId="77777777" w:rsidR="00D25A08" w:rsidRPr="001F30CC" w:rsidRDefault="00D25A08" w:rsidP="00402E49">
            <w:pPr>
              <w:pStyle w:val="a3"/>
              <w:widowControl/>
              <w:ind w:left="0"/>
              <w:rPr>
                <w:bCs/>
              </w:rPr>
            </w:pPr>
            <w:r w:rsidRPr="001F30CC">
              <w:rPr>
                <w:bCs/>
              </w:rPr>
              <w:t>C.A. Papaellinas Ltd</w:t>
            </w:r>
          </w:p>
          <w:p w14:paraId="74703211" w14:textId="77777777" w:rsidR="00D25A08" w:rsidRPr="001F30CC" w:rsidRDefault="00D25A08" w:rsidP="00402E49">
            <w:pPr>
              <w:pStyle w:val="a3"/>
              <w:widowControl/>
              <w:ind w:left="0"/>
              <w:rPr>
                <w:bCs/>
              </w:rPr>
            </w:pPr>
            <w:r w:rsidRPr="001F30CC">
              <w:rPr>
                <w:bCs/>
              </w:rPr>
              <w:t>Τηλ: +357 22741741</w:t>
            </w:r>
          </w:p>
          <w:p w14:paraId="0F3DB568" w14:textId="77777777" w:rsidR="00D25A08" w:rsidRPr="007836A5" w:rsidRDefault="00D25A08" w:rsidP="00402E49">
            <w:pPr>
              <w:pStyle w:val="a3"/>
              <w:widowControl/>
              <w:ind w:left="0"/>
              <w:rPr>
                <w:b/>
              </w:rPr>
            </w:pPr>
          </w:p>
        </w:tc>
        <w:tc>
          <w:tcPr>
            <w:tcW w:w="4253" w:type="dxa"/>
          </w:tcPr>
          <w:p w14:paraId="4D651ABE" w14:textId="77777777" w:rsidR="00D25A08" w:rsidRPr="001879E9" w:rsidRDefault="00D25A08" w:rsidP="00402E49">
            <w:pPr>
              <w:pStyle w:val="a3"/>
              <w:widowControl/>
              <w:ind w:left="0"/>
              <w:rPr>
                <w:b/>
              </w:rPr>
            </w:pPr>
            <w:r w:rsidRPr="007836A5">
              <w:rPr>
                <w:b/>
              </w:rPr>
              <w:t>Sverige</w:t>
            </w:r>
          </w:p>
          <w:p w14:paraId="7B7DD4CE" w14:textId="77777777" w:rsidR="00B9768F" w:rsidRPr="00FD2965" w:rsidRDefault="00B9768F" w:rsidP="00402E49">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612D2C0C" w14:textId="57FFE44F" w:rsidR="004856B8" w:rsidRPr="002F0CCA" w:rsidRDefault="004856B8" w:rsidP="00EB58FC">
            <w:pPr>
              <w:tabs>
                <w:tab w:val="left" w:pos="-720"/>
              </w:tabs>
              <w:suppressAutoHyphens/>
              <w:rPr>
                <w:rFonts w:eastAsia="맑은 고딕"/>
                <w:noProof/>
                <w:lang w:eastAsia="ko-KR"/>
              </w:rPr>
            </w:pPr>
            <w:r w:rsidRPr="006F04E0">
              <w:rPr>
                <w:rFonts w:eastAsia="맑은 고딕"/>
                <w:noProof/>
                <w:lang w:eastAsia="fr-FR"/>
              </w:rPr>
              <w:t>Tel: +46 8 80 11 77</w:t>
            </w:r>
          </w:p>
          <w:p w14:paraId="2559CFB5" w14:textId="4607EEDF" w:rsidR="00B9768F" w:rsidRPr="002F0CCA" w:rsidRDefault="004856B8" w:rsidP="00402E49">
            <w:pPr>
              <w:tabs>
                <w:tab w:val="left" w:pos="-720"/>
              </w:tabs>
              <w:suppressAutoHyphens/>
              <w:rPr>
                <w:rFonts w:eastAsia="맑은 고딕"/>
                <w:b/>
                <w:noProof/>
                <w:lang w:eastAsia="fr-FR"/>
              </w:rPr>
            </w:pPr>
            <w:r>
              <w:rPr>
                <w:rFonts w:eastAsia="맑은 고딕" w:hint="eastAsia"/>
                <w:noProof/>
                <w:lang w:eastAsia="ko-KR"/>
              </w:rPr>
              <w:t>C</w:t>
            </w:r>
            <w:r w:rsidR="00B9768F" w:rsidRPr="002F0CCA">
              <w:rPr>
                <w:rFonts w:eastAsia="맑은 고딕"/>
                <w:noProof/>
                <w:lang w:eastAsia="fr-FR"/>
              </w:rPr>
              <w:t>ontact_se@celltrionhc.com</w:t>
            </w:r>
          </w:p>
          <w:p w14:paraId="2B24EB80" w14:textId="77777777" w:rsidR="00D25A08" w:rsidRPr="00B9768F" w:rsidRDefault="00D25A08" w:rsidP="00402E49">
            <w:pPr>
              <w:pStyle w:val="a3"/>
              <w:widowControl/>
              <w:ind w:left="0"/>
              <w:rPr>
                <w:b/>
              </w:rPr>
            </w:pPr>
          </w:p>
        </w:tc>
      </w:tr>
      <w:tr w:rsidR="00D25A08" w:rsidRPr="001879E9" w14:paraId="7921A341" w14:textId="77777777" w:rsidTr="00402E49">
        <w:trPr>
          <w:trHeight w:val="877"/>
        </w:trPr>
        <w:tc>
          <w:tcPr>
            <w:tcW w:w="4483" w:type="dxa"/>
          </w:tcPr>
          <w:p w14:paraId="2A2C6B86" w14:textId="77777777" w:rsidR="00D25A08" w:rsidRPr="007836A5" w:rsidRDefault="00D25A08" w:rsidP="00402E49">
            <w:pPr>
              <w:pStyle w:val="a3"/>
              <w:widowControl/>
              <w:ind w:left="0"/>
              <w:rPr>
                <w:b/>
              </w:rPr>
            </w:pPr>
            <w:r w:rsidRPr="007836A5">
              <w:rPr>
                <w:b/>
              </w:rPr>
              <w:t>Latvija</w:t>
            </w:r>
          </w:p>
          <w:p w14:paraId="0525CAAD" w14:textId="77777777" w:rsidR="00D25A08" w:rsidRPr="001F30CC" w:rsidRDefault="00D25A08" w:rsidP="00402E49">
            <w:pPr>
              <w:pStyle w:val="a3"/>
              <w:widowControl/>
              <w:ind w:left="0"/>
              <w:rPr>
                <w:bCs/>
              </w:rPr>
            </w:pPr>
            <w:r w:rsidRPr="001F30CC">
              <w:rPr>
                <w:bCs/>
              </w:rPr>
              <w:t>Celltrion Healthcare Hungary Kft.</w:t>
            </w:r>
          </w:p>
          <w:p w14:paraId="15DCFDE8" w14:textId="77777777" w:rsidR="00D25A08" w:rsidRPr="001F30CC" w:rsidRDefault="00D25A08" w:rsidP="00402E49">
            <w:pPr>
              <w:pStyle w:val="a3"/>
              <w:widowControl/>
              <w:ind w:left="0"/>
              <w:rPr>
                <w:bCs/>
              </w:rPr>
            </w:pPr>
            <w:r w:rsidRPr="001F30CC">
              <w:rPr>
                <w:bCs/>
              </w:rPr>
              <w:t>Tālr.: +36 1 231 0493</w:t>
            </w:r>
          </w:p>
          <w:p w14:paraId="5A056374" w14:textId="77777777" w:rsidR="00D25A08" w:rsidRPr="007836A5" w:rsidRDefault="00D25A08" w:rsidP="00402E49">
            <w:pPr>
              <w:pStyle w:val="a3"/>
              <w:widowControl/>
              <w:ind w:left="0"/>
              <w:rPr>
                <w:b/>
              </w:rPr>
            </w:pPr>
          </w:p>
        </w:tc>
        <w:tc>
          <w:tcPr>
            <w:tcW w:w="4253" w:type="dxa"/>
          </w:tcPr>
          <w:p w14:paraId="1BC53F7F" w14:textId="77777777" w:rsidR="00D25A08" w:rsidRPr="007836A5" w:rsidRDefault="00D25A08" w:rsidP="00402E49">
            <w:pPr>
              <w:pStyle w:val="a3"/>
              <w:widowControl/>
              <w:ind w:left="0"/>
              <w:rPr>
                <w:b/>
              </w:rPr>
            </w:pPr>
          </w:p>
        </w:tc>
      </w:tr>
    </w:tbl>
    <w:p w14:paraId="749517E1" w14:textId="77777777" w:rsidR="00222DE0" w:rsidRPr="00EE3355" w:rsidRDefault="00222DE0" w:rsidP="00EA1CDF">
      <w:pPr>
        <w:pStyle w:val="a3"/>
        <w:widowControl/>
        <w:ind w:left="0"/>
      </w:pPr>
    </w:p>
    <w:p w14:paraId="16C1FB44" w14:textId="77777777" w:rsidR="00307193" w:rsidRPr="00083247" w:rsidRDefault="0098273B" w:rsidP="00083247">
      <w:pPr>
        <w:widowControl/>
        <w:rPr>
          <w:b/>
        </w:rPr>
      </w:pPr>
      <w:r w:rsidRPr="00083247">
        <w:rPr>
          <w:b/>
        </w:rPr>
        <w:t xml:space="preserve">Tato příbalová informace byla naposledy revidována </w:t>
      </w:r>
    </w:p>
    <w:p w14:paraId="2AD1222B" w14:textId="77777777" w:rsidR="00307193" w:rsidRDefault="00307193" w:rsidP="00943257"/>
    <w:p w14:paraId="34188385" w14:textId="77777777" w:rsidR="00222DE0" w:rsidRPr="00083247" w:rsidRDefault="0098273B" w:rsidP="00083247">
      <w:pPr>
        <w:widowControl/>
        <w:rPr>
          <w:b/>
        </w:rPr>
      </w:pPr>
      <w:r w:rsidRPr="00083247">
        <w:rPr>
          <w:b/>
        </w:rPr>
        <w:t>Další zdroje informací</w:t>
      </w:r>
    </w:p>
    <w:p w14:paraId="2B7A4C20" w14:textId="79C280CA" w:rsidR="00222DE0" w:rsidRPr="00EE3355" w:rsidRDefault="0098273B" w:rsidP="00EA1CDF">
      <w:pPr>
        <w:pStyle w:val="a3"/>
        <w:widowControl/>
        <w:ind w:left="0"/>
      </w:pPr>
      <w:r w:rsidRPr="00EE3355">
        <w:t xml:space="preserve">Podrobné informace o tomto léčivém přípravku jsou k dispozici na webových stránkách Evropské agentury pro léčivé přípravky: </w:t>
      </w:r>
      <w:r w:rsidR="00392C24">
        <w:fldChar w:fldCharType="begin"/>
      </w:r>
      <w:r w:rsidR="00392C24">
        <w:instrText>HYPERLINK "http://www.ema.europa.eu/" \h</w:instrText>
      </w:r>
      <w:r w:rsidR="00392C24">
        <w:fldChar w:fldCharType="separate"/>
      </w:r>
      <w:r w:rsidR="00392C24">
        <w:rPr>
          <w:color w:val="0000FF"/>
          <w:u w:val="single" w:color="0000FF"/>
        </w:rPr>
        <w:t>https:</w:t>
      </w:r>
      <w:r w:rsidRPr="00EE3355">
        <w:rPr>
          <w:color w:val="0000FF"/>
          <w:u w:val="single" w:color="0000FF"/>
        </w:rPr>
        <w:t>//www.ema.europa.eu/</w:t>
      </w:r>
      <w:r w:rsidR="00392C24">
        <w:fldChar w:fldCharType="end"/>
      </w:r>
      <w:r w:rsidRPr="00EE3355">
        <w:t>.</w:t>
      </w:r>
    </w:p>
    <w:p w14:paraId="0DC7340E" w14:textId="77777777" w:rsidR="00222DE0" w:rsidRPr="00EE3355" w:rsidRDefault="00222DE0" w:rsidP="00EA1CDF">
      <w:pPr>
        <w:widowControl/>
      </w:pPr>
    </w:p>
    <w:p w14:paraId="2E24BB0E" w14:textId="77777777" w:rsidR="00307193" w:rsidRDefault="00307193">
      <w:pPr>
        <w:rPr>
          <w:b/>
          <w:bCs/>
        </w:rPr>
      </w:pPr>
      <w:r>
        <w:br w:type="page"/>
      </w:r>
    </w:p>
    <w:p w14:paraId="5228C3E1" w14:textId="77777777" w:rsidR="00222DE0" w:rsidRPr="00E574AF" w:rsidRDefault="0098273B" w:rsidP="00E574AF">
      <w:pPr>
        <w:rPr>
          <w:b/>
          <w:bCs/>
        </w:rPr>
      </w:pPr>
      <w:r w:rsidRPr="00E574AF">
        <w:rPr>
          <w:b/>
          <w:bCs/>
        </w:rPr>
        <w:lastRenderedPageBreak/>
        <w:t>Následující informace jsou určeny pouze pro zdravotnické pracovníky:</w:t>
      </w:r>
    </w:p>
    <w:p w14:paraId="00EF66A2" w14:textId="77777777" w:rsidR="00222DE0" w:rsidRPr="00EE3355" w:rsidRDefault="00222DE0" w:rsidP="00EA1CDF">
      <w:pPr>
        <w:pStyle w:val="a3"/>
        <w:widowControl/>
        <w:ind w:left="0"/>
        <w:rPr>
          <w:b/>
        </w:rPr>
      </w:pPr>
    </w:p>
    <w:p w14:paraId="7B410ACC" w14:textId="77777777" w:rsidR="00222DE0" w:rsidRPr="00EE3355" w:rsidRDefault="0098273B" w:rsidP="00EA1CDF">
      <w:pPr>
        <w:widowControl/>
        <w:rPr>
          <w:b/>
        </w:rPr>
      </w:pPr>
      <w:r w:rsidRPr="00EE3355">
        <w:rPr>
          <w:b/>
        </w:rPr>
        <w:t>Návod na naředění před podáním</w:t>
      </w:r>
    </w:p>
    <w:p w14:paraId="2648DD74" w14:textId="0B10BA3B" w:rsidR="0078046A" w:rsidRPr="00EE3355" w:rsidRDefault="0098273B" w:rsidP="0078046A">
      <w:pPr>
        <w:pStyle w:val="a3"/>
        <w:widowControl/>
        <w:ind w:left="0"/>
      </w:pPr>
      <w:r w:rsidRPr="00EE3355">
        <w:t>Parenterální přípravky m</w:t>
      </w:r>
      <w:r w:rsidR="00FD3446">
        <w:t>ají</w:t>
      </w:r>
      <w:r w:rsidRPr="00EE3355">
        <w:t xml:space="preserve"> být před podáváním vizuálně </w:t>
      </w:r>
      <w:r w:rsidR="00FD3446">
        <w:t>zkontrolovány</w:t>
      </w:r>
      <w:r w:rsidR="00FD3446" w:rsidRPr="00EE3355">
        <w:t xml:space="preserve"> </w:t>
      </w:r>
      <w:r w:rsidR="00FD3446">
        <w:t>na</w:t>
      </w:r>
      <w:r w:rsidRPr="00EE3355">
        <w:t xml:space="preserve"> přítomnost pevných částic nebo diskolorací. Aplikován smí být pouze čirý až </w:t>
      </w:r>
      <w:r w:rsidR="0078046A">
        <w:t xml:space="preserve">lehce </w:t>
      </w:r>
      <w:r w:rsidRPr="00EE3355">
        <w:t xml:space="preserve">opalizující, bezbarvý až světle žlutý roztok bez viditelných částic. K přípravě přípravku </w:t>
      </w:r>
      <w:r w:rsidR="007836A5">
        <w:t>Avtozma</w:t>
      </w:r>
      <w:r w:rsidRPr="00EE3355">
        <w:t xml:space="preserve"> použijte sterilní jehlu a injekční stříkačku.</w:t>
      </w:r>
      <w:r w:rsidR="00AE0D0B">
        <w:t xml:space="preserve"> </w:t>
      </w:r>
      <w:r w:rsidR="0078046A" w:rsidRPr="00AD2EBB">
        <w:t>Pro infuzní vaky vyrobené z polyvinylchloridu (PVC) se m</w:t>
      </w:r>
      <w:r w:rsidR="002552C0">
        <w:t>ají</w:t>
      </w:r>
      <w:r w:rsidR="0078046A" w:rsidRPr="00AD2EBB">
        <w:t xml:space="preserve"> používat infuzní vaky, které neobsahují di(2</w:t>
      </w:r>
      <w:r w:rsidR="0078046A">
        <w:t>-</w:t>
      </w:r>
      <w:r w:rsidR="0078046A" w:rsidRPr="00AD2EBB">
        <w:t>ethylhexyl)ftalát (</w:t>
      </w:r>
      <w:r w:rsidR="0078046A">
        <w:t xml:space="preserve">bez </w:t>
      </w:r>
      <w:r w:rsidR="0078046A" w:rsidRPr="00AD2EBB">
        <w:t>DEHP).</w:t>
      </w:r>
    </w:p>
    <w:p w14:paraId="30C9CCD5" w14:textId="77777777" w:rsidR="00222DE0" w:rsidRPr="00EE3355" w:rsidRDefault="00222DE0" w:rsidP="00EA1CDF">
      <w:pPr>
        <w:pStyle w:val="a3"/>
        <w:widowControl/>
        <w:ind w:left="0"/>
      </w:pPr>
    </w:p>
    <w:p w14:paraId="48C3E7E3" w14:textId="77777777" w:rsidR="00222DE0" w:rsidRPr="00EE3355" w:rsidRDefault="0098273B" w:rsidP="00E574AF">
      <w:pPr>
        <w:widowControl/>
      </w:pPr>
      <w:r w:rsidRPr="00E574AF">
        <w:rPr>
          <w:b/>
        </w:rPr>
        <w:t>Dospělí pacienti s RA, onemocněním COVID-19 a CRS (≥ 30 kg)</w:t>
      </w:r>
    </w:p>
    <w:p w14:paraId="1EA3C782" w14:textId="0CBBCB3B" w:rsidR="00222DE0" w:rsidRPr="00EE3355" w:rsidRDefault="0098273B" w:rsidP="00EA1CDF">
      <w:pPr>
        <w:pStyle w:val="a3"/>
        <w:widowControl/>
        <w:ind w:left="0"/>
      </w:pPr>
      <w:r w:rsidRPr="00EE3355">
        <w:t>Za aseptických podmínek odeberte ze 100ml infuzního vaku objem sterilního, nepyrogenního injekčního roztoku chloridu sodného 9 mg/ml (0,9%)</w:t>
      </w:r>
      <w:r w:rsidR="00103B30" w:rsidRPr="00103B30">
        <w:t xml:space="preserve"> </w:t>
      </w:r>
      <w:r w:rsidR="00103B30">
        <w:t>nebo 4,5 mg/ml (0,45%)</w:t>
      </w:r>
      <w:r w:rsidRPr="00EE3355">
        <w:t xml:space="preserve">, který se rovná objemu koncentrátu přípravku </w:t>
      </w:r>
      <w:r w:rsidR="007836A5">
        <w:t>Avtozma</w:t>
      </w:r>
      <w:r w:rsidRPr="00EE3355">
        <w:t xml:space="preserve"> potřebného na dávku pro pacienta. Potřebné množství koncentrátu přípravku </w:t>
      </w:r>
      <w:r w:rsidR="007836A5">
        <w:t>Avtozma</w:t>
      </w:r>
      <w:r w:rsidRPr="00EE3355">
        <w:t xml:space="preserve"> (0,4 ml/kg) se má odebrat z injekční lahvičky a přenést do 100ml infuzního vaku. Konečný objem má být 100 ml. K promíchání roztoku jemně obraťte infuzní vak, aby nedošlo k napěnění.</w:t>
      </w:r>
    </w:p>
    <w:p w14:paraId="0C298A1D" w14:textId="77777777" w:rsidR="00222DE0" w:rsidRPr="00EE3355" w:rsidRDefault="00222DE0" w:rsidP="00EA1CDF">
      <w:pPr>
        <w:pStyle w:val="a3"/>
        <w:widowControl/>
        <w:ind w:left="0"/>
      </w:pPr>
    </w:p>
    <w:p w14:paraId="30A443BE" w14:textId="77777777" w:rsidR="00222DE0" w:rsidRPr="00E574AF" w:rsidRDefault="0098273B" w:rsidP="00E574AF">
      <w:pPr>
        <w:widowControl/>
        <w:rPr>
          <w:b/>
        </w:rPr>
      </w:pPr>
      <w:r w:rsidRPr="00E574AF">
        <w:rPr>
          <w:b/>
        </w:rPr>
        <w:t>Použití u pediatrické populace</w:t>
      </w:r>
    </w:p>
    <w:p w14:paraId="28C79542" w14:textId="77777777" w:rsidR="00307193" w:rsidRPr="00EE3355" w:rsidRDefault="00307193" w:rsidP="00943257"/>
    <w:p w14:paraId="0BB5D886" w14:textId="77777777" w:rsidR="00222DE0" w:rsidRPr="00EE3355" w:rsidRDefault="0098273B" w:rsidP="00E574AF">
      <w:pPr>
        <w:widowControl/>
        <w:rPr>
          <w:b/>
        </w:rPr>
      </w:pPr>
      <w:r w:rsidRPr="00EE3355">
        <w:rPr>
          <w:b/>
        </w:rPr>
        <w:t>Pacienti se sJIA, pJIA a CRS s tělesnou hmotností ≥ 30 kg</w:t>
      </w:r>
    </w:p>
    <w:p w14:paraId="5A405476" w14:textId="52879386" w:rsidR="00222DE0" w:rsidRPr="00EE3355" w:rsidRDefault="0098273B" w:rsidP="00EA1CDF">
      <w:pPr>
        <w:pStyle w:val="a3"/>
        <w:widowControl/>
        <w:ind w:left="0"/>
      </w:pPr>
      <w:r w:rsidRPr="00EE3355">
        <w:t>Za aseptických podmínek odeberte ze 100ml infuzního vaku objem sterilního, nepyrogenního injekčního roztoku chloridu sodného 9 mg/ml (0,9%)</w:t>
      </w:r>
      <w:r w:rsidR="0078046A" w:rsidRPr="0078046A">
        <w:t xml:space="preserve"> </w:t>
      </w:r>
      <w:r w:rsidR="0078046A">
        <w:t>nebo 4,5 mg/ml (0,45%)</w:t>
      </w:r>
      <w:r w:rsidRPr="00EE3355">
        <w:t xml:space="preserve">, který se rovná objemu koncentrátu přípravku </w:t>
      </w:r>
      <w:r w:rsidR="007836A5">
        <w:t>Avtozma</w:t>
      </w:r>
      <w:r w:rsidRPr="00EE3355">
        <w:t xml:space="preserve"> potřebného na dávku pro pacienta. Potřebné množství koncentrátu přípravku </w:t>
      </w:r>
      <w:r w:rsidR="007836A5">
        <w:t>Avtozma</w:t>
      </w:r>
      <w:r w:rsidRPr="00EE3355">
        <w:t xml:space="preserve"> (</w:t>
      </w:r>
      <w:r w:rsidRPr="00EE3355">
        <w:rPr>
          <w:b/>
        </w:rPr>
        <w:t>0,4 ml/kg</w:t>
      </w:r>
      <w:r w:rsidRPr="00EE3355">
        <w:t>) se má odebrat z injekční lahvičky a přenést do 100ml infuzního vaku. Konečný objem má být 100 ml. K promíchání roztoku jemně obraťte infuzní vak, aby nedošlo k napěnění.</w:t>
      </w:r>
    </w:p>
    <w:p w14:paraId="70F50D27" w14:textId="77777777" w:rsidR="00222DE0" w:rsidRPr="00EE3355" w:rsidRDefault="00222DE0" w:rsidP="00EA1CDF">
      <w:pPr>
        <w:pStyle w:val="a3"/>
        <w:widowControl/>
        <w:ind w:left="0"/>
      </w:pPr>
    </w:p>
    <w:p w14:paraId="04068CA7" w14:textId="77777777" w:rsidR="00222DE0" w:rsidRPr="00E574AF" w:rsidRDefault="0098273B" w:rsidP="00E574AF">
      <w:pPr>
        <w:widowControl/>
        <w:rPr>
          <w:b/>
        </w:rPr>
      </w:pPr>
      <w:r w:rsidRPr="00E574AF">
        <w:rPr>
          <w:b/>
        </w:rPr>
        <w:t>Pacienti se sJIA a CRS s tělesnou hmotností &lt; 30 kg</w:t>
      </w:r>
    </w:p>
    <w:p w14:paraId="0A4EA356" w14:textId="22FB3393" w:rsidR="00222DE0" w:rsidRPr="00EE3355" w:rsidRDefault="0098273B" w:rsidP="00EA1CDF">
      <w:pPr>
        <w:pStyle w:val="a3"/>
        <w:widowControl/>
        <w:ind w:left="0"/>
      </w:pPr>
      <w:r w:rsidRPr="00EE3355">
        <w:t>Za aseptických podmínek odeberte z 50ml infuzního vaku objem sterilního, nepyrogenního injekčního roztoku chloridu sodného 9 mg/ml (0,9%)</w:t>
      </w:r>
      <w:r w:rsidR="0078046A" w:rsidRPr="0078046A">
        <w:t xml:space="preserve"> </w:t>
      </w:r>
      <w:r w:rsidR="0078046A">
        <w:t>nebo 4,5 mg/ml (0,45%)</w:t>
      </w:r>
      <w:r w:rsidRPr="00EE3355">
        <w:t xml:space="preserve">, který se rovná objemu koncentrátu přípravku </w:t>
      </w:r>
      <w:r w:rsidR="007836A5">
        <w:t>Avtozma</w:t>
      </w:r>
      <w:r w:rsidRPr="00EE3355">
        <w:t xml:space="preserve"> potřebného na dávku pro pacienta. Potřebné množství koncentrátu přípravku </w:t>
      </w:r>
      <w:r w:rsidR="007836A5">
        <w:t>Avtozma</w:t>
      </w:r>
      <w:r w:rsidRPr="00EE3355">
        <w:t xml:space="preserve"> (</w:t>
      </w:r>
      <w:r w:rsidRPr="00EE3355">
        <w:rPr>
          <w:b/>
        </w:rPr>
        <w:t>0,6 ml/kg</w:t>
      </w:r>
      <w:r w:rsidRPr="00EE3355">
        <w:t>) se má odebrat z injekční lahvičky a přenést do 50ml infuzního vaku. Konečný objem má být 50 ml. K promíchání roztoku jemně obraťte infuzní vak, aby nedošlo k napěnění.</w:t>
      </w:r>
    </w:p>
    <w:p w14:paraId="05DCC45B" w14:textId="77777777" w:rsidR="00222DE0" w:rsidRPr="00EE3355" w:rsidRDefault="00222DE0" w:rsidP="00EA1CDF">
      <w:pPr>
        <w:pStyle w:val="a3"/>
        <w:widowControl/>
        <w:ind w:left="0"/>
      </w:pPr>
    </w:p>
    <w:p w14:paraId="01658DAF" w14:textId="77777777" w:rsidR="00222DE0" w:rsidRPr="00E574AF" w:rsidRDefault="0098273B" w:rsidP="00E574AF">
      <w:pPr>
        <w:widowControl/>
        <w:rPr>
          <w:b/>
        </w:rPr>
      </w:pPr>
      <w:r w:rsidRPr="00E574AF">
        <w:rPr>
          <w:b/>
        </w:rPr>
        <w:t>Pacienti s pJIA s tělesnou hmotností &lt; 30 kg</w:t>
      </w:r>
    </w:p>
    <w:p w14:paraId="2FF93603" w14:textId="472374E2" w:rsidR="00222DE0" w:rsidRPr="00EE3355" w:rsidRDefault="0098273B" w:rsidP="00EA1CDF">
      <w:pPr>
        <w:pStyle w:val="a3"/>
        <w:widowControl/>
        <w:ind w:left="0"/>
      </w:pPr>
      <w:r w:rsidRPr="00EE3355">
        <w:t>Za aseptických podmínek odeberte z 50ml infuzního vaku objem sterilního, nepyrogenního injekčního roztoku chloridu sodného 9 mg/ml (0,9%)</w:t>
      </w:r>
      <w:r w:rsidR="00AE0D0B" w:rsidRPr="00AE0D0B">
        <w:t xml:space="preserve"> </w:t>
      </w:r>
      <w:r w:rsidR="00AE0D0B">
        <w:t>nebo 4,5 mg/ml (0,45%)</w:t>
      </w:r>
      <w:r w:rsidRPr="00EE3355">
        <w:t xml:space="preserve">, který se rovná objemu koncentrátu přípravku </w:t>
      </w:r>
      <w:r w:rsidR="007836A5">
        <w:t>Avtozma</w:t>
      </w:r>
      <w:r w:rsidRPr="00EE3355">
        <w:t xml:space="preserve"> potřebného na dávku pro pacienta. Potřebné množství koncentrátu přípravku </w:t>
      </w:r>
      <w:r w:rsidR="007836A5">
        <w:t>Avtozma</w:t>
      </w:r>
      <w:r w:rsidRPr="00EE3355">
        <w:t xml:space="preserve"> (</w:t>
      </w:r>
      <w:r w:rsidRPr="00EE3355">
        <w:rPr>
          <w:b/>
        </w:rPr>
        <w:t>0,5 ml/kg</w:t>
      </w:r>
      <w:r w:rsidRPr="00EE3355">
        <w:t>) se má odebrat z injekční lahvičky a přenést do 50ml infuzního vaku. Konečný objem má být 50 ml. K promíchání roztoku jemně obraťte infuzní vak, aby nedošlo k napěnění.</w:t>
      </w:r>
      <w:r w:rsidR="00704F4F">
        <w:t xml:space="preserve"> </w:t>
      </w:r>
      <w:r w:rsidRPr="00EE3355">
        <w:t xml:space="preserve">Přípravek </w:t>
      </w:r>
      <w:r w:rsidR="007836A5">
        <w:t>Avtozma</w:t>
      </w:r>
      <w:r w:rsidRPr="00EE3355">
        <w:t xml:space="preserve"> je určen pouze k jednorázovému použití.</w:t>
      </w:r>
    </w:p>
    <w:p w14:paraId="0699D6DA" w14:textId="77777777" w:rsidR="00222DE0" w:rsidRPr="00EE3355" w:rsidRDefault="00222DE0" w:rsidP="00EA1CDF">
      <w:pPr>
        <w:pStyle w:val="a3"/>
        <w:widowControl/>
        <w:ind w:left="0"/>
      </w:pPr>
    </w:p>
    <w:p w14:paraId="56D42C4B" w14:textId="77777777" w:rsidR="00222DE0" w:rsidRPr="00EE3355" w:rsidRDefault="0098273B" w:rsidP="00EA1CDF">
      <w:pPr>
        <w:pStyle w:val="a3"/>
        <w:widowControl/>
        <w:ind w:left="0"/>
      </w:pPr>
      <w:r w:rsidRPr="00EE3355">
        <w:t>Veškerý nepoužitý léčivý přípravek nebo odpad musí být zlikvidován v souladu s místními požadavky.</w:t>
      </w:r>
    </w:p>
    <w:p w14:paraId="24B41932" w14:textId="77777777" w:rsidR="00222DE0" w:rsidRPr="00EE3355" w:rsidRDefault="00222DE0" w:rsidP="00EA1CDF">
      <w:pPr>
        <w:widowControl/>
      </w:pPr>
    </w:p>
    <w:p w14:paraId="2C374A2A" w14:textId="77777777" w:rsidR="00886092" w:rsidRPr="00EE3355" w:rsidRDefault="00886092" w:rsidP="00EA1CDF">
      <w:pPr>
        <w:widowControl/>
      </w:pPr>
      <w:r w:rsidRPr="00EE3355">
        <w:br w:type="page"/>
      </w:r>
    </w:p>
    <w:p w14:paraId="6024ED2C" w14:textId="77777777" w:rsidR="00222DE0" w:rsidRPr="00E574AF" w:rsidRDefault="0098273B" w:rsidP="00E574AF">
      <w:pPr>
        <w:jc w:val="center"/>
        <w:rPr>
          <w:b/>
          <w:bCs/>
        </w:rPr>
      </w:pPr>
      <w:r w:rsidRPr="00E574AF">
        <w:rPr>
          <w:b/>
          <w:bCs/>
        </w:rPr>
        <w:lastRenderedPageBreak/>
        <w:t>Příbalová informace: informace pro uživatele</w:t>
      </w:r>
    </w:p>
    <w:p w14:paraId="03AB8881" w14:textId="77777777" w:rsidR="00222DE0" w:rsidRPr="00EE3355" w:rsidRDefault="00222DE0" w:rsidP="00EA1CDF">
      <w:pPr>
        <w:pStyle w:val="a3"/>
        <w:widowControl/>
        <w:ind w:left="0"/>
        <w:jc w:val="center"/>
        <w:rPr>
          <w:b/>
        </w:rPr>
      </w:pPr>
    </w:p>
    <w:p w14:paraId="66A07655" w14:textId="6B125973" w:rsidR="00222DE0" w:rsidRPr="00EE3355" w:rsidRDefault="007836A5" w:rsidP="00EA1CDF">
      <w:pPr>
        <w:widowControl/>
        <w:jc w:val="center"/>
        <w:rPr>
          <w:b/>
        </w:rPr>
      </w:pPr>
      <w:r>
        <w:rPr>
          <w:b/>
        </w:rPr>
        <w:t>Avtozma</w:t>
      </w:r>
      <w:r w:rsidR="0098273B" w:rsidRPr="00EE3355">
        <w:rPr>
          <w:b/>
        </w:rPr>
        <w:t xml:space="preserve"> 162 mg injekční roztok v předplněné injekční stříkačce</w:t>
      </w:r>
    </w:p>
    <w:p w14:paraId="34E880EF" w14:textId="1BC521DB" w:rsidR="00222DE0" w:rsidRPr="00EE3355" w:rsidRDefault="0098273B" w:rsidP="00EA1CDF">
      <w:pPr>
        <w:pStyle w:val="a3"/>
        <w:widowControl/>
        <w:ind w:left="0"/>
        <w:jc w:val="center"/>
      </w:pPr>
      <w:r w:rsidRPr="00EE3355">
        <w:t>tocilizumab</w:t>
      </w:r>
    </w:p>
    <w:p w14:paraId="56A7136F" w14:textId="77777777" w:rsidR="00222DE0" w:rsidRDefault="00222DE0" w:rsidP="00B93217">
      <w:pPr>
        <w:pStyle w:val="a3"/>
        <w:widowControl/>
        <w:ind w:left="0"/>
      </w:pPr>
    </w:p>
    <w:p w14:paraId="7A78825E" w14:textId="3D07C879" w:rsidR="007836A5" w:rsidRDefault="00C301E6" w:rsidP="00B93217">
      <w:pPr>
        <w:pStyle w:val="a3"/>
        <w:widowControl/>
        <w:ind w:left="0"/>
      </w:pPr>
      <w:r>
        <w:rPr>
          <w:noProof/>
          <w:lang w:val="en-US" w:eastAsia="ko-KR"/>
        </w:rPr>
        <w:drawing>
          <wp:inline distT="0" distB="0" distL="0" distR="0" wp14:anchorId="617C129B" wp14:editId="64BCE0C5">
            <wp:extent cx="201930" cy="170180"/>
            <wp:effectExtent l="0" t="0" r="0" b="0"/>
            <wp:docPr id="6" name="그림 30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2"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7836A5" w:rsidRPr="007836A5">
        <w:t>Tento přípravek podléhá dalšímu sledování. To umožní rychlé získání nových informací o</w:t>
      </w:r>
      <w:r w:rsidR="007836A5">
        <w:t> </w:t>
      </w:r>
      <w:r w:rsidR="007836A5" w:rsidRPr="007836A5">
        <w:t>bezpečnosti. Můžete přispět tím, že nahlásíte jakékoli nežádoucí účinky, které se u Vás vyskytnou. Jak hlásit nežádoucí účinky je popsáno v závěru bodu 4.</w:t>
      </w:r>
    </w:p>
    <w:p w14:paraId="1082E142" w14:textId="77777777" w:rsidR="007836A5" w:rsidRPr="00EE3355" w:rsidRDefault="007836A5" w:rsidP="00B93217">
      <w:pPr>
        <w:pStyle w:val="a3"/>
        <w:widowControl/>
        <w:ind w:left="0"/>
      </w:pPr>
    </w:p>
    <w:p w14:paraId="62A17585" w14:textId="77777777" w:rsidR="00222DE0" w:rsidRPr="00E574AF" w:rsidRDefault="0098273B" w:rsidP="00E574AF">
      <w:pPr>
        <w:rPr>
          <w:b/>
          <w:bCs/>
        </w:rPr>
      </w:pPr>
      <w:r w:rsidRPr="00E574AF">
        <w:rPr>
          <w:b/>
          <w:bCs/>
        </w:rPr>
        <w:t>Přečtěte si pozorně celou příbalovou informaci dříve, než začnete tento přípravek používat, protože obsahuje pro Vás důležité údaje.</w:t>
      </w:r>
    </w:p>
    <w:p w14:paraId="6726543E" w14:textId="77777777" w:rsidR="008F0287" w:rsidRPr="00EE3355" w:rsidRDefault="008F0287" w:rsidP="00943257"/>
    <w:p w14:paraId="447AC210"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Ponechte si příbalovou informaci pro případ, že si ji budete potřebovat přečíst znovu.</w:t>
      </w:r>
    </w:p>
    <w:p w14:paraId="3473BD19"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Máte-li jakékoli další otázky, zeptejte se svého lékaře, lékárníka nebo zdravotní sestry.</w:t>
      </w:r>
    </w:p>
    <w:p w14:paraId="572A4764"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Tento přípravek byl předepsán výhradně Vám. Nedávejte jej žádné další osobě. Mohl by jí</w:t>
      </w:r>
      <w:r w:rsidR="00DC184D" w:rsidRPr="00EE3355">
        <w:t xml:space="preserve"> </w:t>
      </w:r>
      <w:r w:rsidR="0098273B" w:rsidRPr="00EE3355">
        <w:t>ublížit, a to i tehdy, má-li stejné známky onemocnění jako Vy.</w:t>
      </w:r>
    </w:p>
    <w:p w14:paraId="0C01A2F8"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35D5BD31" w14:textId="77777777" w:rsidR="00B5378B" w:rsidRPr="00EE3355" w:rsidRDefault="00B5378B" w:rsidP="00EA1CDF">
      <w:pPr>
        <w:widowControl/>
        <w:tabs>
          <w:tab w:val="left" w:pos="806"/>
        </w:tabs>
      </w:pPr>
    </w:p>
    <w:p w14:paraId="63C7C402" w14:textId="39FE82D2" w:rsidR="00222DE0" w:rsidRPr="00EE3355" w:rsidRDefault="0098273B" w:rsidP="00EA1CDF">
      <w:pPr>
        <w:pStyle w:val="a3"/>
        <w:widowControl/>
        <w:ind w:left="0"/>
      </w:pPr>
      <w:r w:rsidRPr="00EE3355">
        <w:t xml:space="preserve">K této příbalové informaci dostanete navíc i </w:t>
      </w:r>
      <w:r w:rsidRPr="00EE3355">
        <w:rPr>
          <w:b/>
        </w:rPr>
        <w:t>Kartu pacienta</w:t>
      </w:r>
      <w:r w:rsidRPr="00EE3355">
        <w:t xml:space="preserve">, která obsahuje důležité bezpečnostní informace, které musíte znát dříve, než začnete přípravek </w:t>
      </w:r>
      <w:r w:rsidR="00692AF5">
        <w:t>Avtozma</w:t>
      </w:r>
      <w:r w:rsidRPr="00EE3355">
        <w:t xml:space="preserve"> používat, a i během léčby tímto přípravkem.</w:t>
      </w:r>
    </w:p>
    <w:p w14:paraId="01B77E4F" w14:textId="77777777" w:rsidR="00222DE0" w:rsidRPr="00EE3355" w:rsidRDefault="00222DE0" w:rsidP="00EA1CDF">
      <w:pPr>
        <w:pStyle w:val="a3"/>
        <w:widowControl/>
        <w:ind w:left="0"/>
      </w:pPr>
    </w:p>
    <w:p w14:paraId="777560A8" w14:textId="77777777" w:rsidR="00222DE0" w:rsidRPr="00E574AF" w:rsidRDefault="0098273B" w:rsidP="00E574AF">
      <w:pPr>
        <w:rPr>
          <w:b/>
          <w:bCs/>
        </w:rPr>
      </w:pPr>
      <w:r w:rsidRPr="00E574AF">
        <w:rPr>
          <w:b/>
          <w:bCs/>
        </w:rPr>
        <w:t>Co naleznete v této příbalové informaci</w:t>
      </w:r>
    </w:p>
    <w:p w14:paraId="6D0A0391" w14:textId="73ED7772" w:rsidR="00222DE0" w:rsidRPr="00EE3355" w:rsidRDefault="00B23DAE" w:rsidP="00EA1CDF">
      <w:pPr>
        <w:widowControl/>
        <w:tabs>
          <w:tab w:val="left" w:pos="805"/>
        </w:tabs>
        <w:ind w:left="567" w:hanging="567"/>
      </w:pPr>
      <w:r w:rsidRPr="00EE3355">
        <w:t>1.</w:t>
      </w:r>
      <w:r w:rsidRPr="00EE3355">
        <w:tab/>
      </w:r>
      <w:r w:rsidR="0098273B" w:rsidRPr="00EE3355">
        <w:t xml:space="preserve">Co je přípravek </w:t>
      </w:r>
      <w:r w:rsidR="00692AF5">
        <w:t>Avtozma</w:t>
      </w:r>
      <w:r w:rsidR="0098273B" w:rsidRPr="00EE3355">
        <w:t xml:space="preserve"> a k čemu se používá</w:t>
      </w:r>
    </w:p>
    <w:p w14:paraId="3437D03B" w14:textId="780C435A" w:rsidR="00222DE0" w:rsidRPr="00EE3355" w:rsidRDefault="00B23DAE" w:rsidP="00EA1CDF">
      <w:pPr>
        <w:widowControl/>
        <w:tabs>
          <w:tab w:val="left" w:pos="805"/>
        </w:tabs>
        <w:ind w:left="567" w:hanging="567"/>
      </w:pPr>
      <w:r w:rsidRPr="00EE3355">
        <w:t>2.</w:t>
      </w:r>
      <w:r w:rsidRPr="00EE3355">
        <w:tab/>
      </w:r>
      <w:r w:rsidR="0098273B" w:rsidRPr="00EE3355">
        <w:t xml:space="preserve">Čemu musíte věnovat pozornost, než začnete přípravek </w:t>
      </w:r>
      <w:r w:rsidR="00692AF5">
        <w:t>Avtozma</w:t>
      </w:r>
      <w:r w:rsidR="0098273B" w:rsidRPr="00EE3355">
        <w:t xml:space="preserve"> používat</w:t>
      </w:r>
    </w:p>
    <w:p w14:paraId="5C3C3954" w14:textId="0980C61D" w:rsidR="00222DE0" w:rsidRPr="00EE3355" w:rsidRDefault="00B23DAE" w:rsidP="00EA1CDF">
      <w:pPr>
        <w:widowControl/>
        <w:tabs>
          <w:tab w:val="left" w:pos="805"/>
        </w:tabs>
        <w:ind w:left="567" w:hanging="567"/>
      </w:pPr>
      <w:r w:rsidRPr="00EE3355">
        <w:t>3.</w:t>
      </w:r>
      <w:r w:rsidRPr="00EE3355">
        <w:tab/>
      </w:r>
      <w:r w:rsidR="0098273B" w:rsidRPr="00EE3355">
        <w:t xml:space="preserve">Jak se přípravek </w:t>
      </w:r>
      <w:r w:rsidR="00692AF5">
        <w:t>Avtozma</w:t>
      </w:r>
      <w:r w:rsidR="0098273B" w:rsidRPr="00EE3355">
        <w:t xml:space="preserve"> používá</w:t>
      </w:r>
    </w:p>
    <w:p w14:paraId="0D7039D0" w14:textId="77777777" w:rsidR="00222DE0" w:rsidRPr="00EE3355" w:rsidRDefault="00B23DAE" w:rsidP="00EA1CDF">
      <w:pPr>
        <w:widowControl/>
        <w:tabs>
          <w:tab w:val="left" w:pos="805"/>
        </w:tabs>
        <w:ind w:left="567" w:hanging="567"/>
      </w:pPr>
      <w:r w:rsidRPr="00EE3355">
        <w:t>4.</w:t>
      </w:r>
      <w:r w:rsidRPr="00EE3355">
        <w:tab/>
      </w:r>
      <w:r w:rsidR="0098273B" w:rsidRPr="00EE3355">
        <w:t>Možné nežádoucí účinky</w:t>
      </w:r>
    </w:p>
    <w:p w14:paraId="2566A26D" w14:textId="2C3D0819" w:rsidR="00222DE0" w:rsidRPr="00EE3355" w:rsidRDefault="00B23DAE" w:rsidP="00EA1CDF">
      <w:pPr>
        <w:widowControl/>
        <w:tabs>
          <w:tab w:val="left" w:pos="805"/>
        </w:tabs>
        <w:ind w:left="567" w:hanging="567"/>
      </w:pPr>
      <w:r w:rsidRPr="00EE3355">
        <w:t>5.</w:t>
      </w:r>
      <w:r w:rsidRPr="00EE3355">
        <w:tab/>
      </w:r>
      <w:r w:rsidR="0098273B" w:rsidRPr="00EE3355">
        <w:t xml:space="preserve">Jak přípravek </w:t>
      </w:r>
      <w:r w:rsidR="00692AF5">
        <w:t>Avtozma</w:t>
      </w:r>
      <w:r w:rsidR="0098273B" w:rsidRPr="00EE3355">
        <w:t xml:space="preserve"> uchovávat</w:t>
      </w:r>
    </w:p>
    <w:p w14:paraId="6D71FC79" w14:textId="77777777" w:rsidR="00222DE0" w:rsidRDefault="00B23DAE" w:rsidP="00EA1CDF">
      <w:pPr>
        <w:widowControl/>
        <w:tabs>
          <w:tab w:val="left" w:pos="805"/>
        </w:tabs>
        <w:ind w:left="567" w:hanging="567"/>
      </w:pPr>
      <w:r w:rsidRPr="00EE3355">
        <w:t>6.</w:t>
      </w:r>
      <w:r w:rsidRPr="00EE3355">
        <w:tab/>
      </w:r>
      <w:r w:rsidR="0098273B" w:rsidRPr="00EE3355">
        <w:t>Obsah balení a další informace</w:t>
      </w:r>
    </w:p>
    <w:p w14:paraId="18F02292" w14:textId="2F898004" w:rsidR="0078046A" w:rsidRPr="00EE3355" w:rsidRDefault="0078046A" w:rsidP="00EA1CDF">
      <w:pPr>
        <w:widowControl/>
        <w:tabs>
          <w:tab w:val="left" w:pos="805"/>
        </w:tabs>
        <w:ind w:left="567" w:hanging="567"/>
      </w:pPr>
      <w:r>
        <w:t>7.</w:t>
      </w:r>
      <w:r>
        <w:tab/>
        <w:t>Návod k použití</w:t>
      </w:r>
    </w:p>
    <w:p w14:paraId="48EF95BC" w14:textId="77777777" w:rsidR="00222DE0" w:rsidRPr="00EE3355" w:rsidRDefault="00222DE0" w:rsidP="00EA1CDF">
      <w:pPr>
        <w:pStyle w:val="a3"/>
        <w:widowControl/>
        <w:ind w:left="0"/>
      </w:pPr>
    </w:p>
    <w:p w14:paraId="2A5016CE" w14:textId="77777777" w:rsidR="00222DE0" w:rsidRPr="00EE3355" w:rsidRDefault="00222DE0" w:rsidP="00EA1CDF">
      <w:pPr>
        <w:pStyle w:val="a3"/>
        <w:widowControl/>
        <w:ind w:left="0"/>
      </w:pPr>
    </w:p>
    <w:p w14:paraId="5D879794" w14:textId="3C6C7E73" w:rsidR="00222DE0" w:rsidRPr="00E574AF" w:rsidRDefault="00B23DAE" w:rsidP="00E574AF">
      <w:pPr>
        <w:rPr>
          <w:b/>
          <w:bCs/>
        </w:rPr>
      </w:pPr>
      <w:r w:rsidRPr="00E574AF">
        <w:rPr>
          <w:b/>
          <w:bCs/>
        </w:rPr>
        <w:t>1.</w:t>
      </w:r>
      <w:r w:rsidRPr="00E574AF">
        <w:rPr>
          <w:b/>
          <w:bCs/>
        </w:rPr>
        <w:tab/>
      </w:r>
      <w:r w:rsidR="0098273B" w:rsidRPr="00E574AF">
        <w:rPr>
          <w:b/>
          <w:bCs/>
        </w:rPr>
        <w:t xml:space="preserve">Co je přípravek </w:t>
      </w:r>
      <w:r w:rsidR="00692AF5" w:rsidRPr="00E574AF">
        <w:rPr>
          <w:b/>
          <w:bCs/>
        </w:rPr>
        <w:t>Avtozma</w:t>
      </w:r>
      <w:r w:rsidR="0098273B" w:rsidRPr="00E574AF">
        <w:rPr>
          <w:b/>
          <w:bCs/>
        </w:rPr>
        <w:t xml:space="preserve"> a k čemu se používá</w:t>
      </w:r>
    </w:p>
    <w:p w14:paraId="35CEF231" w14:textId="77777777" w:rsidR="00A63986" w:rsidRPr="00EE3355" w:rsidRDefault="00A63986" w:rsidP="00943257"/>
    <w:p w14:paraId="5F2E0B14" w14:textId="36EE919A" w:rsidR="00222DE0" w:rsidRPr="00EE3355" w:rsidRDefault="0098273B" w:rsidP="00EA1CDF">
      <w:pPr>
        <w:pStyle w:val="a3"/>
        <w:widowControl/>
        <w:ind w:left="0"/>
      </w:pPr>
      <w:r w:rsidRPr="00EE3355">
        <w:t xml:space="preserve">Přípravek </w:t>
      </w:r>
      <w:r w:rsidR="00692AF5">
        <w:t>Avtozma</w:t>
      </w:r>
      <w:r w:rsidRPr="00EE3355">
        <w:t xml:space="preserve"> obsahuje látku nazývanou tocilizumab, </w:t>
      </w:r>
      <w:r w:rsidR="00DC0D02">
        <w:t>bílkovinu</w:t>
      </w:r>
      <w:r w:rsidRPr="00EE3355">
        <w:t xml:space="preserve"> tvořen</w:t>
      </w:r>
      <w:r w:rsidR="00DC0D02">
        <w:t>ou</w:t>
      </w:r>
      <w:r w:rsidRPr="00EE3355">
        <w:t xml:space="preserve"> specifickými imunitními buňkami (monoklonální protilátky), která blokuje účinek určité bílkoviny (cytokinu) nazývané interleukin-6. Tato bílkovina se podílí na zánětlivých procesech v těle a jejím blokováním se může zmírnit zánět v těle. Přípravek </w:t>
      </w:r>
      <w:r w:rsidR="00692AF5">
        <w:t>Avtozma</w:t>
      </w:r>
      <w:r w:rsidRPr="00EE3355">
        <w:t xml:space="preserve"> se používá k léčbě:</w:t>
      </w:r>
    </w:p>
    <w:p w14:paraId="046BF0D6" w14:textId="77777777" w:rsidR="00222DE0" w:rsidRPr="00EE3355" w:rsidRDefault="00222DE0" w:rsidP="00EA1CDF">
      <w:pPr>
        <w:pStyle w:val="a3"/>
        <w:widowControl/>
        <w:ind w:left="0"/>
      </w:pPr>
    </w:p>
    <w:p w14:paraId="3C02EACE" w14:textId="77777777" w:rsidR="00222DE0" w:rsidRDefault="00B23DAE" w:rsidP="00943257">
      <w:pPr>
        <w:widowControl/>
        <w:tabs>
          <w:tab w:val="left" w:pos="822"/>
        </w:tabs>
        <w:ind w:left="567" w:hanging="567"/>
        <w:rPr>
          <w:b/>
          <w:bCs/>
        </w:rPr>
      </w:pPr>
      <w:r w:rsidRPr="00EE3355">
        <w:rPr>
          <w:rFonts w:ascii="Symbol" w:eastAsia="Symbol" w:hAnsi="Symbol" w:cs="Symbol"/>
        </w:rPr>
        <w:t></w:t>
      </w:r>
      <w:r w:rsidRPr="00EE3355">
        <w:rPr>
          <w:rFonts w:ascii="Symbol" w:eastAsia="Symbol" w:hAnsi="Symbol" w:cs="Symbol"/>
        </w:rPr>
        <w:tab/>
      </w:r>
      <w:r w:rsidR="0098273B" w:rsidRPr="00943257">
        <w:rPr>
          <w:b/>
        </w:rPr>
        <w:t>dospělých se středně těžkou až těžkou aktivní revmatoidní artritidou (RA)</w:t>
      </w:r>
      <w:r w:rsidR="0098273B" w:rsidRPr="00EE3355">
        <w:t>, autoimunitního</w:t>
      </w:r>
      <w:r w:rsidR="00611ED1" w:rsidRPr="00EE3355">
        <w:t xml:space="preserve"> </w:t>
      </w:r>
      <w:r w:rsidR="0098273B" w:rsidRPr="00307193">
        <w:t>onemocnění, pokud předcházející léčby nebyly dostatečně účinné</w:t>
      </w:r>
    </w:p>
    <w:p w14:paraId="56F6A8FE" w14:textId="77777777" w:rsidR="00307193" w:rsidRPr="00EE3355" w:rsidRDefault="00307193" w:rsidP="00943257"/>
    <w:p w14:paraId="4FBDEF0A" w14:textId="77777777" w:rsidR="00222DE0" w:rsidRPr="00EE3355" w:rsidRDefault="00B23DAE" w:rsidP="00EA1CDF">
      <w:pPr>
        <w:widowControl/>
        <w:tabs>
          <w:tab w:val="left" w:pos="822"/>
        </w:tabs>
        <w:ind w:left="567" w:hanging="567"/>
      </w:pPr>
      <w:r w:rsidRPr="00EE3355">
        <w:rPr>
          <w:rFonts w:ascii="Symbol" w:eastAsia="Symbol" w:hAnsi="Symbol" w:cs="Symbol"/>
        </w:rPr>
        <w:t></w:t>
      </w:r>
      <w:r w:rsidRPr="00EE3355">
        <w:rPr>
          <w:rFonts w:ascii="Symbol" w:eastAsia="Symbol" w:hAnsi="Symbol" w:cs="Symbol"/>
        </w:rPr>
        <w:tab/>
      </w:r>
      <w:r w:rsidR="0098273B" w:rsidRPr="00EE3355">
        <w:rPr>
          <w:b/>
        </w:rPr>
        <w:t xml:space="preserve">dospělých s těžkou, aktivní a progresivní revmatoidní artritidou (RA), </w:t>
      </w:r>
      <w:r w:rsidR="0098273B" w:rsidRPr="00EE3355">
        <w:t>kteří nebyli dříve léčeni methotrexátem.</w:t>
      </w:r>
    </w:p>
    <w:p w14:paraId="44883982" w14:textId="77777777" w:rsidR="00222DE0" w:rsidRPr="00EE3355" w:rsidRDefault="00222DE0" w:rsidP="00EA1CDF">
      <w:pPr>
        <w:pStyle w:val="a3"/>
        <w:widowControl/>
        <w:ind w:left="0"/>
      </w:pPr>
    </w:p>
    <w:p w14:paraId="39131920" w14:textId="758CC044" w:rsidR="00222DE0" w:rsidRPr="00EE3355" w:rsidRDefault="0098273B" w:rsidP="00307193">
      <w:pPr>
        <w:pStyle w:val="a3"/>
        <w:widowControl/>
        <w:ind w:left="567"/>
      </w:pPr>
      <w:r w:rsidRPr="00EE3355">
        <w:t xml:space="preserve">Přípravek </w:t>
      </w:r>
      <w:r w:rsidR="00692AF5">
        <w:t>Avtozma</w:t>
      </w:r>
      <w:r w:rsidRPr="00EE3355">
        <w:t xml:space="preserve"> napomáhá zmírňovat příznaky RA, jako jsou bolest a otok kloubů, a také dokáže zlepšit Vaši schopnost vykonávat běžné denní činnosti. Bylo prokázáno, že přípravek </w:t>
      </w:r>
      <w:r w:rsidR="00692AF5">
        <w:t>Avtozma</w:t>
      </w:r>
      <w:r w:rsidRPr="00EE3355">
        <w:t xml:space="preserve"> zpomaluje poškozování chrupavky a kostí v kloubech, které je způsobeno onemocněním, a zlepšuje schopnost provádět obvyklé denní aktivity.</w:t>
      </w:r>
    </w:p>
    <w:p w14:paraId="2CB7C5DB" w14:textId="77777777" w:rsidR="00FD361D" w:rsidRPr="00EE3355" w:rsidRDefault="00FD361D" w:rsidP="00307193">
      <w:pPr>
        <w:pStyle w:val="a3"/>
        <w:widowControl/>
        <w:ind w:left="567"/>
      </w:pPr>
    </w:p>
    <w:p w14:paraId="212E253F" w14:textId="5661043C" w:rsidR="00222DE0" w:rsidRPr="00EE3355" w:rsidRDefault="0098273B" w:rsidP="00307193">
      <w:pPr>
        <w:pStyle w:val="a3"/>
        <w:widowControl/>
        <w:ind w:left="567"/>
      </w:pPr>
      <w:r w:rsidRPr="00EE3355">
        <w:t xml:space="preserve">Přípravek </w:t>
      </w:r>
      <w:r w:rsidR="00692AF5">
        <w:t>Avtozma</w:t>
      </w:r>
      <w:r w:rsidRPr="00EE3355">
        <w:t xml:space="preserve"> se obvykle podává v kombinaci s jiným lékem na RA, který se nazývá methotrexát. Přípravek </w:t>
      </w:r>
      <w:r w:rsidR="00692AF5">
        <w:t>Avtozma</w:t>
      </w:r>
      <w:r w:rsidRPr="00EE3355">
        <w:t xml:space="preserve"> se však může podávat samostatně, pokud Váš lékař rozhodne, že methotrexát pro Vás není vhodný.</w:t>
      </w:r>
    </w:p>
    <w:p w14:paraId="0257AEB1" w14:textId="77777777" w:rsidR="00222DE0" w:rsidRPr="00EE3355" w:rsidRDefault="00222DE0" w:rsidP="00EA1CDF">
      <w:pPr>
        <w:widowControl/>
      </w:pPr>
    </w:p>
    <w:p w14:paraId="78D576BE" w14:textId="77777777" w:rsidR="00222DE0" w:rsidRPr="00EE3355" w:rsidRDefault="00B23DAE" w:rsidP="00EA1CDF">
      <w:pPr>
        <w:widowControl/>
        <w:tabs>
          <w:tab w:val="left" w:pos="804"/>
        </w:tabs>
        <w:ind w:left="567" w:hanging="567"/>
      </w:pPr>
      <w:r w:rsidRPr="00EE3355">
        <w:rPr>
          <w:rFonts w:ascii="Symbol" w:eastAsia="Symbol" w:hAnsi="Symbol" w:cs="Symbol"/>
        </w:rPr>
        <w:lastRenderedPageBreak/>
        <w:t></w:t>
      </w:r>
      <w:r w:rsidRPr="00EE3355">
        <w:rPr>
          <w:rFonts w:ascii="Symbol" w:eastAsia="Symbol" w:hAnsi="Symbol" w:cs="Symbol"/>
        </w:rPr>
        <w:tab/>
      </w:r>
      <w:r w:rsidR="0098273B" w:rsidRPr="00EE3355">
        <w:rPr>
          <w:b/>
        </w:rPr>
        <w:t>dospělých s obrovskobuněčnou arteritidou (GCA)</w:t>
      </w:r>
      <w:r w:rsidR="0098273B" w:rsidRPr="00EE3355">
        <w:t>, tj. onemocněním tepen způsobeným zánětem největších tepen v těle, zejména těch, které zásobují krví oblast hlavy a krku.</w:t>
      </w:r>
    </w:p>
    <w:p w14:paraId="30394AF1" w14:textId="77777777" w:rsidR="00222DE0" w:rsidRPr="00EE3355" w:rsidRDefault="0098273B" w:rsidP="00EA1CDF">
      <w:pPr>
        <w:pStyle w:val="a3"/>
        <w:widowControl/>
        <w:ind w:left="567"/>
      </w:pPr>
      <w:r w:rsidRPr="00EE3355">
        <w:t>K příznakům patří bolest hlavy, únava a bolest čelisti. K účinkům může patřit cévní mozková příhoda a slepota.</w:t>
      </w:r>
    </w:p>
    <w:p w14:paraId="20FCC9F5" w14:textId="77777777" w:rsidR="00FD361D" w:rsidRPr="00EE3355" w:rsidRDefault="00FD361D" w:rsidP="00EA1CDF">
      <w:pPr>
        <w:pStyle w:val="a3"/>
        <w:widowControl/>
        <w:ind w:left="567"/>
      </w:pPr>
    </w:p>
    <w:p w14:paraId="1CDC7DA5" w14:textId="62EC5A3F" w:rsidR="00222DE0" w:rsidRPr="00EE3355" w:rsidRDefault="0098273B" w:rsidP="00EA1CDF">
      <w:pPr>
        <w:pStyle w:val="a3"/>
        <w:widowControl/>
        <w:ind w:left="567"/>
      </w:pPr>
      <w:r w:rsidRPr="00EE3355">
        <w:t xml:space="preserve">Přípravek </w:t>
      </w:r>
      <w:r w:rsidR="00692AF5">
        <w:t>Avtozma</w:t>
      </w:r>
      <w:r w:rsidRPr="00EE3355">
        <w:t xml:space="preserve"> může zmenšit bolestivost a otok cév a žil v oblasti hlavy, krku a paží.</w:t>
      </w:r>
    </w:p>
    <w:p w14:paraId="51CCDAE9" w14:textId="77777777" w:rsidR="00222DE0" w:rsidRPr="00EE3355" w:rsidRDefault="00222DE0" w:rsidP="00EA1CDF">
      <w:pPr>
        <w:pStyle w:val="a3"/>
        <w:widowControl/>
        <w:ind w:left="0"/>
      </w:pPr>
    </w:p>
    <w:p w14:paraId="3AF710C9" w14:textId="204F04AC" w:rsidR="00222DE0" w:rsidRPr="00EE3355" w:rsidRDefault="0098273B" w:rsidP="00EA1CDF">
      <w:pPr>
        <w:pStyle w:val="a3"/>
        <w:widowControl/>
        <w:ind w:left="567"/>
      </w:pPr>
      <w:r w:rsidRPr="00EE3355">
        <w:t xml:space="preserve">K léčbě GCA se často používají tzv. steroidy. Steroidy bývají účinné, ale při dlouhodobém užívání vysokých dávek mohou mít nežádoucí účinky. Snížení dávky steroidů může také vyvolat znovuvzplanutí GCA. Přidání přípravku </w:t>
      </w:r>
      <w:r w:rsidR="00692AF5">
        <w:t>Avtozma</w:t>
      </w:r>
      <w:r w:rsidRPr="00EE3355">
        <w:t xml:space="preserve"> k léčbě může zkrátit dobu užívání steroidů, a přitom zajistit kontrolu GCA.</w:t>
      </w:r>
    </w:p>
    <w:p w14:paraId="334BB754" w14:textId="77777777" w:rsidR="00222DE0" w:rsidRPr="00EE3355" w:rsidRDefault="00222DE0" w:rsidP="00EA1CDF">
      <w:pPr>
        <w:pStyle w:val="a3"/>
        <w:widowControl/>
        <w:ind w:left="0"/>
      </w:pPr>
    </w:p>
    <w:p w14:paraId="7AC4CFDA" w14:textId="77777777" w:rsidR="00222DE0" w:rsidRPr="00EE3355" w:rsidRDefault="00B23DAE" w:rsidP="00EA1CDF">
      <w:pPr>
        <w:widowControl/>
        <w:tabs>
          <w:tab w:val="left" w:pos="804"/>
        </w:tabs>
        <w:ind w:left="567" w:hanging="567"/>
        <w:jc w:val="both"/>
      </w:pPr>
      <w:r w:rsidRPr="00EE3355">
        <w:rPr>
          <w:rFonts w:ascii="Symbol" w:eastAsia="Symbol" w:hAnsi="Symbol" w:cs="Symbol"/>
        </w:rPr>
        <w:t></w:t>
      </w:r>
      <w:r w:rsidRPr="00EE3355">
        <w:rPr>
          <w:rFonts w:ascii="Symbol" w:eastAsia="Symbol" w:hAnsi="Symbol" w:cs="Symbol"/>
        </w:rPr>
        <w:tab/>
      </w:r>
      <w:r w:rsidR="0098273B" w:rsidRPr="00EE3355">
        <w:rPr>
          <w:b/>
        </w:rPr>
        <w:t xml:space="preserve">dětí a dospívajících od 1 roku s aktivní systémovou juvenilní idiopatickou artritidou (sJIA). </w:t>
      </w:r>
      <w:r w:rsidR="0098273B" w:rsidRPr="00EE3355">
        <w:t>Jedná se o zánětlivé onemocnění, které vyvolává bolest a otok jednoho nebo více kloubů a horečku a vyrážku.</w:t>
      </w:r>
    </w:p>
    <w:p w14:paraId="6B66E331" w14:textId="77777777" w:rsidR="00222DE0" w:rsidRPr="00EE3355" w:rsidRDefault="00222DE0" w:rsidP="00EA1CDF">
      <w:pPr>
        <w:pStyle w:val="a3"/>
        <w:widowControl/>
        <w:ind w:left="0"/>
      </w:pPr>
    </w:p>
    <w:p w14:paraId="6526B886" w14:textId="1272EF89" w:rsidR="00222DE0" w:rsidRPr="00EE3355" w:rsidRDefault="0098273B" w:rsidP="00307193">
      <w:pPr>
        <w:pStyle w:val="a3"/>
        <w:widowControl/>
        <w:ind w:left="567"/>
      </w:pPr>
      <w:r w:rsidRPr="00EE3355">
        <w:t xml:space="preserve">Přípravek </w:t>
      </w:r>
      <w:r w:rsidR="00692AF5">
        <w:t>Avtozma</w:t>
      </w:r>
      <w:r w:rsidRPr="00EE3355">
        <w:t xml:space="preserve"> se používá ke zmírnění příznaků sJIA. Lze jej podávat v kombinaci s methotrexátem nebo samostatně.</w:t>
      </w:r>
    </w:p>
    <w:p w14:paraId="1981D1E9" w14:textId="77777777" w:rsidR="00222DE0" w:rsidRPr="00EE3355" w:rsidRDefault="00222DE0" w:rsidP="00EA1CDF">
      <w:pPr>
        <w:pStyle w:val="a3"/>
        <w:widowControl/>
        <w:ind w:left="0"/>
      </w:pPr>
    </w:p>
    <w:p w14:paraId="245E9A55" w14:textId="77777777" w:rsidR="00222DE0" w:rsidRPr="00EE3355" w:rsidRDefault="00B23DAE" w:rsidP="00EA1CDF">
      <w:pPr>
        <w:widowControl/>
        <w:ind w:left="567" w:hanging="567"/>
      </w:pPr>
      <w:r w:rsidRPr="00EE3355">
        <w:rPr>
          <w:rFonts w:ascii="Symbol" w:eastAsia="Symbol" w:hAnsi="Symbol" w:cs="Symbol"/>
        </w:rPr>
        <w:t></w:t>
      </w:r>
      <w:r w:rsidRPr="00EE3355">
        <w:rPr>
          <w:rFonts w:ascii="Symbol" w:eastAsia="Symbol" w:hAnsi="Symbol" w:cs="Symbol"/>
        </w:rPr>
        <w:tab/>
      </w:r>
      <w:r w:rsidR="0098273B" w:rsidRPr="00EE3355">
        <w:rPr>
          <w:b/>
        </w:rPr>
        <w:t xml:space="preserve">dětí a dospívajících </w:t>
      </w:r>
      <w:r w:rsidR="0098273B" w:rsidRPr="00EE3355">
        <w:t xml:space="preserve">od 2 let s aktivní </w:t>
      </w:r>
      <w:r w:rsidR="0098273B" w:rsidRPr="00EE3355">
        <w:rPr>
          <w:b/>
          <w:i/>
        </w:rPr>
        <w:t xml:space="preserve">polyartikulární juvenilní idiopatickou artritidou </w:t>
      </w:r>
      <w:r w:rsidR="0098273B" w:rsidRPr="00EE3355">
        <w:rPr>
          <w:b/>
        </w:rPr>
        <w:t>(</w:t>
      </w:r>
      <w:r w:rsidR="0098273B" w:rsidRPr="00EE3355">
        <w:rPr>
          <w:b/>
          <w:i/>
        </w:rPr>
        <w:t>pJIA</w:t>
      </w:r>
      <w:r w:rsidR="0098273B" w:rsidRPr="00EE3355">
        <w:rPr>
          <w:b/>
        </w:rPr>
        <w:t>).</w:t>
      </w:r>
      <w:r w:rsidR="007D1AB7" w:rsidRPr="00EE3355">
        <w:rPr>
          <w:b/>
        </w:rPr>
        <w:t xml:space="preserve"> </w:t>
      </w:r>
      <w:r w:rsidR="0098273B" w:rsidRPr="00EE3355">
        <w:t>Jedná se o zánětlivé onemocnění, které vyvolává bolest a otok jednoho nebo více kloubů.</w:t>
      </w:r>
    </w:p>
    <w:p w14:paraId="5C537BAE" w14:textId="77777777" w:rsidR="00222DE0" w:rsidRPr="00EE3355" w:rsidRDefault="00222DE0" w:rsidP="00EA1CDF">
      <w:pPr>
        <w:pStyle w:val="a3"/>
        <w:widowControl/>
        <w:ind w:left="0"/>
      </w:pPr>
    </w:p>
    <w:p w14:paraId="09BCA306" w14:textId="5E5C2552" w:rsidR="00222DE0" w:rsidRPr="00EE3355" w:rsidRDefault="0098273B" w:rsidP="00307193">
      <w:pPr>
        <w:pStyle w:val="a3"/>
        <w:widowControl/>
        <w:ind w:left="567"/>
        <w:rPr>
          <w:b/>
        </w:rPr>
      </w:pPr>
      <w:r w:rsidRPr="00EE3355">
        <w:t xml:space="preserve">Přípravek </w:t>
      </w:r>
      <w:r w:rsidR="00692AF5">
        <w:t>Avtozma</w:t>
      </w:r>
      <w:r w:rsidRPr="00EE3355">
        <w:t xml:space="preserve"> se používá ke zmírnění příznaků pJIA. Lze jej podávat v kombinaci s methotrexátem nebo samostatně</w:t>
      </w:r>
      <w:r w:rsidRPr="00EE3355">
        <w:rPr>
          <w:b/>
        </w:rPr>
        <w:t>.</w:t>
      </w:r>
    </w:p>
    <w:p w14:paraId="24C6C45F" w14:textId="77777777" w:rsidR="00222DE0" w:rsidRPr="00EE3355" w:rsidRDefault="00222DE0" w:rsidP="00EA1CDF">
      <w:pPr>
        <w:pStyle w:val="a3"/>
        <w:widowControl/>
        <w:ind w:left="0"/>
        <w:rPr>
          <w:b/>
        </w:rPr>
      </w:pPr>
    </w:p>
    <w:p w14:paraId="786823E9" w14:textId="1010B0BB" w:rsidR="00307193" w:rsidRPr="00E574AF" w:rsidRDefault="00B23DAE" w:rsidP="00E574AF">
      <w:pPr>
        <w:rPr>
          <w:b/>
          <w:bCs/>
        </w:rPr>
      </w:pPr>
      <w:r w:rsidRPr="00E574AF">
        <w:rPr>
          <w:b/>
          <w:bCs/>
        </w:rPr>
        <w:t>2.</w:t>
      </w:r>
      <w:r w:rsidRPr="00E574AF">
        <w:rPr>
          <w:b/>
          <w:bCs/>
        </w:rPr>
        <w:tab/>
      </w:r>
      <w:r w:rsidR="0098273B" w:rsidRPr="00E574AF">
        <w:rPr>
          <w:b/>
          <w:bCs/>
        </w:rPr>
        <w:t>Čemu musíte věnovat pozornost, než začnete přípravek</w:t>
      </w:r>
      <w:r w:rsidR="00692AF5" w:rsidRPr="00E574AF">
        <w:rPr>
          <w:b/>
          <w:bCs/>
        </w:rPr>
        <w:t xml:space="preserve"> Avtozma</w:t>
      </w:r>
      <w:r w:rsidR="0098273B" w:rsidRPr="00E574AF">
        <w:rPr>
          <w:b/>
          <w:bCs/>
        </w:rPr>
        <w:t xml:space="preserve"> používat </w:t>
      </w:r>
    </w:p>
    <w:p w14:paraId="4E3692B6" w14:textId="77777777" w:rsidR="00307193" w:rsidRDefault="00307193" w:rsidP="00943257"/>
    <w:p w14:paraId="1EA72DB4" w14:textId="6B58A5A9" w:rsidR="00222DE0" w:rsidRPr="00E574AF" w:rsidRDefault="0098273B" w:rsidP="00E574AF">
      <w:pPr>
        <w:rPr>
          <w:b/>
          <w:bCs/>
        </w:rPr>
      </w:pPr>
      <w:r w:rsidRPr="00E574AF">
        <w:rPr>
          <w:b/>
          <w:bCs/>
        </w:rPr>
        <w:t xml:space="preserve">Nepoužívejte přípravek </w:t>
      </w:r>
      <w:r w:rsidR="00692AF5" w:rsidRPr="00E574AF">
        <w:rPr>
          <w:b/>
          <w:bCs/>
        </w:rPr>
        <w:t>Avtozma</w:t>
      </w:r>
    </w:p>
    <w:p w14:paraId="0E912736" w14:textId="7954819B"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jestliže jste alergický(á) nebo dítě, o které pečujete, je alergické na tocilizumab nebo na</w:t>
      </w:r>
      <w:r w:rsidR="00D97C5A" w:rsidRPr="00EE3355">
        <w:t xml:space="preserve"> </w:t>
      </w:r>
      <w:r w:rsidR="0098273B" w:rsidRPr="00EE3355">
        <w:t>kteroukoli další složku tohoto přípravku (uvedenou v bodě 6).</w:t>
      </w:r>
      <w:r w:rsidR="00692AF5">
        <w:t xml:space="preserve"> </w:t>
      </w:r>
      <w:bookmarkStart w:id="53" w:name="_Hlk183597506"/>
      <w:r w:rsidR="00692AF5">
        <w:t xml:space="preserve">(Viz zvláštní upozornění na konci </w:t>
      </w:r>
      <w:r w:rsidR="00337DC9">
        <w:t>bodu</w:t>
      </w:r>
      <w:r w:rsidR="00692AF5">
        <w:t xml:space="preserve"> s nadpisem „</w:t>
      </w:r>
      <w:r w:rsidR="003D3840">
        <w:t xml:space="preserve">Přípravek </w:t>
      </w:r>
      <w:r w:rsidR="00692AF5">
        <w:t>Avtozma obsahuje polysorbát“)</w:t>
      </w:r>
    </w:p>
    <w:bookmarkEnd w:id="53"/>
    <w:p w14:paraId="719A0DC4"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jestliže trpíte nebo jestliže dítě, o které pečujete, trpí aktivní (právě probíhající), závažnou</w:t>
      </w:r>
      <w:r w:rsidR="00D97C5A" w:rsidRPr="00EE3355">
        <w:t xml:space="preserve"> </w:t>
      </w:r>
      <w:r w:rsidR="0098273B" w:rsidRPr="00EE3355">
        <w:t>infekcí.</w:t>
      </w:r>
    </w:p>
    <w:p w14:paraId="3E0F1F86" w14:textId="77777777" w:rsidR="00222DE0" w:rsidRPr="00EE3355" w:rsidRDefault="00222DE0" w:rsidP="00EA1CDF">
      <w:pPr>
        <w:pStyle w:val="a3"/>
        <w:widowControl/>
        <w:ind w:left="0"/>
      </w:pPr>
    </w:p>
    <w:p w14:paraId="65393351" w14:textId="5E15CC1E" w:rsidR="00222DE0" w:rsidRPr="00EE3355" w:rsidRDefault="0098273B" w:rsidP="00EA1CDF">
      <w:pPr>
        <w:pStyle w:val="a3"/>
        <w:widowControl/>
        <w:ind w:left="0"/>
      </w:pPr>
      <w:r w:rsidRPr="00EE3355">
        <w:t xml:space="preserve">Pokud se Vás cokoli z tohoto týká, sdělte to svému lékaři. Nepoužívejte přípravek </w:t>
      </w:r>
      <w:r w:rsidR="00692AF5">
        <w:t>Avtozma</w:t>
      </w:r>
      <w:r w:rsidRPr="00EE3355">
        <w:t>.</w:t>
      </w:r>
    </w:p>
    <w:p w14:paraId="5E7289E2" w14:textId="77777777" w:rsidR="00222DE0" w:rsidRPr="00EE3355" w:rsidRDefault="00222DE0" w:rsidP="00EA1CDF">
      <w:pPr>
        <w:pStyle w:val="a3"/>
        <w:widowControl/>
        <w:ind w:left="0"/>
      </w:pPr>
    </w:p>
    <w:p w14:paraId="6B208CAC" w14:textId="77777777" w:rsidR="00222DE0" w:rsidRDefault="0098273B" w:rsidP="00943257">
      <w:r w:rsidRPr="00EE3355">
        <w:t>Upozornění a opatření</w:t>
      </w:r>
    </w:p>
    <w:p w14:paraId="5AC1A010" w14:textId="77777777" w:rsidR="00307193" w:rsidRPr="00EE3355" w:rsidRDefault="00307193" w:rsidP="00943257"/>
    <w:p w14:paraId="51267023" w14:textId="054495A3" w:rsidR="00222DE0" w:rsidRPr="00EE3355" w:rsidRDefault="0098273B" w:rsidP="00EA1CDF">
      <w:pPr>
        <w:pStyle w:val="a3"/>
        <w:widowControl/>
        <w:ind w:left="0"/>
      </w:pPr>
      <w:r w:rsidRPr="00EE3355">
        <w:t xml:space="preserve">Před použitím přípravku </w:t>
      </w:r>
      <w:r w:rsidR="00692AF5">
        <w:t>Avtozma</w:t>
      </w:r>
      <w:r w:rsidRPr="00EE3355">
        <w:t xml:space="preserve"> se poraďte se svým lékařem, lékárníkem nebo zdravotní sestrou:</w:t>
      </w:r>
    </w:p>
    <w:p w14:paraId="4AA8BEE3" w14:textId="77777777" w:rsidR="00222DE0" w:rsidRPr="00EE3355" w:rsidRDefault="00222DE0" w:rsidP="00EA1CDF">
      <w:pPr>
        <w:pStyle w:val="a3"/>
        <w:widowControl/>
        <w:ind w:left="0"/>
      </w:pPr>
    </w:p>
    <w:p w14:paraId="46AFF1F1" w14:textId="77777777" w:rsidR="00222DE0" w:rsidRPr="00EE3355" w:rsidRDefault="00B23DAE" w:rsidP="00EA1CDF">
      <w:pPr>
        <w:widowControl/>
        <w:tabs>
          <w:tab w:val="left" w:pos="804"/>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jestliže jste už někdy prodělal(a) </w:t>
      </w:r>
      <w:r w:rsidR="0098273B" w:rsidRPr="00EE3355">
        <w:rPr>
          <w:b/>
        </w:rPr>
        <w:t>alergickou reakci</w:t>
      </w:r>
      <w:r w:rsidR="0098273B" w:rsidRPr="00EE3355">
        <w:t xml:space="preserve">, jako je tíseň na hrudi, dušnost, závažná závrať nebo pocit závrati, otoky rtů, jazyka, obličeje nebo svědění kůže, kopřivku nebo kožní vyrážku, během injekce nebo po ní, </w:t>
      </w:r>
      <w:r w:rsidR="0098273B" w:rsidRPr="00EE3355">
        <w:rPr>
          <w:b/>
        </w:rPr>
        <w:t>řekněte to okamžitě svému lékaři.</w:t>
      </w:r>
    </w:p>
    <w:p w14:paraId="66E17E78" w14:textId="77777777" w:rsidR="00222DE0" w:rsidRPr="00EE3355" w:rsidRDefault="00222DE0" w:rsidP="00EA1CDF">
      <w:pPr>
        <w:pStyle w:val="a3"/>
        <w:widowControl/>
        <w:ind w:left="0"/>
        <w:rPr>
          <w:b/>
        </w:rPr>
      </w:pPr>
    </w:p>
    <w:p w14:paraId="73BDAC37" w14:textId="332D2F8F"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se u Vás vyskytnou jakékoli příznaky alergické reakce po podání přípravku </w:t>
      </w:r>
      <w:r w:rsidR="00692AF5">
        <w:t>Avtozma</w:t>
      </w:r>
      <w:r w:rsidR="0098273B" w:rsidRPr="00EE3355">
        <w:t>, nepodávejte si další dávku, dokud nebudete informovat svého lékaře a také dokud Vám lékař neřekne, abyste si podal(a) další dávku.</w:t>
      </w:r>
    </w:p>
    <w:p w14:paraId="4E84A607" w14:textId="77777777" w:rsidR="00EF0319" w:rsidRPr="00EE3355" w:rsidRDefault="00EF0319" w:rsidP="00EA1CDF">
      <w:pPr>
        <w:widowControl/>
        <w:tabs>
          <w:tab w:val="left" w:pos="804"/>
        </w:tabs>
        <w:ind w:left="567" w:hanging="567"/>
      </w:pPr>
    </w:p>
    <w:p w14:paraId="51E231AF" w14:textId="67865444" w:rsidR="00222DE0" w:rsidRPr="00EE3355" w:rsidRDefault="00B23DAE" w:rsidP="00EA1CDF">
      <w:pPr>
        <w:widowControl/>
        <w:tabs>
          <w:tab w:val="left" w:pos="805"/>
        </w:tabs>
        <w:ind w:left="567" w:hanging="567"/>
        <w:jc w:val="both"/>
      </w:pPr>
      <w:r w:rsidRPr="00EE3355">
        <w:rPr>
          <w:rFonts w:ascii="Symbol" w:eastAsia="Symbol" w:hAnsi="Symbol" w:cs="Symbol"/>
        </w:rPr>
        <w:t></w:t>
      </w:r>
      <w:r w:rsidRPr="00EE3355">
        <w:rPr>
          <w:rFonts w:ascii="Symbol" w:eastAsia="Symbol" w:hAnsi="Symbol" w:cs="Symbol"/>
        </w:rPr>
        <w:tab/>
      </w:r>
      <w:r w:rsidR="0098273B" w:rsidRPr="00EE3355">
        <w:t xml:space="preserve">jestliže máte jakoukoli </w:t>
      </w:r>
      <w:r w:rsidR="0098273B" w:rsidRPr="00EE3355">
        <w:rPr>
          <w:b/>
        </w:rPr>
        <w:t>infekci</w:t>
      </w:r>
      <w:r w:rsidR="0098273B" w:rsidRPr="00EE3355">
        <w:t xml:space="preserve">, krátkodobou nebo dlouhodobou, nebo pokud na infekce trpíte opakovaně. </w:t>
      </w:r>
      <w:r w:rsidR="0098273B" w:rsidRPr="00EE3355">
        <w:rPr>
          <w:b/>
        </w:rPr>
        <w:t>Řekněte okamžitě svému lékaři</w:t>
      </w:r>
      <w:r w:rsidR="0098273B" w:rsidRPr="00EE3355">
        <w:t xml:space="preserve">, pokud se necítíte dobře. Přípravek </w:t>
      </w:r>
      <w:r w:rsidR="00692AF5">
        <w:t>Avtozma</w:t>
      </w:r>
      <w:r w:rsidR="0098273B" w:rsidRPr="00EE3355">
        <w:t xml:space="preserve"> může snižovat schopnost organismu reagovat na infekci a může probíhající infekce zhoršovat nebo zvyšovat náchylnost k infekcím.</w:t>
      </w:r>
    </w:p>
    <w:p w14:paraId="6D98E9ED" w14:textId="77777777" w:rsidR="00222DE0" w:rsidRPr="00EE3355" w:rsidRDefault="00222DE0" w:rsidP="00EA1CDF">
      <w:pPr>
        <w:pStyle w:val="a3"/>
        <w:widowControl/>
        <w:ind w:left="0"/>
      </w:pPr>
    </w:p>
    <w:p w14:paraId="1E5323C2" w14:textId="275BB44F"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jste měl(a) </w:t>
      </w:r>
      <w:r w:rsidR="0098273B" w:rsidRPr="00EE3355">
        <w:rPr>
          <w:b/>
        </w:rPr>
        <w:t>tuberkulózu</w:t>
      </w:r>
      <w:r w:rsidR="0098273B" w:rsidRPr="00EE3355">
        <w:t xml:space="preserve">, řekněte to svému lékaři. Před zahájením léčby přípravkem </w:t>
      </w:r>
      <w:r w:rsidR="00692AF5">
        <w:t>Avtozma</w:t>
      </w:r>
      <w:r w:rsidR="0098273B" w:rsidRPr="00EE3355">
        <w:t xml:space="preserve"> u Vás lékař vyšetří známky a příznaky tuberkulózy. Pokud se příznaky tuberkulózy (přetrvávající kašel, úbytek hmotnosti, apatie, mírná horečka) nebo jakákoli jiná infekce objeví v průběhu léčby nebo po jejím ukončení, kontaktujte ihned svého lékaře.</w:t>
      </w:r>
    </w:p>
    <w:p w14:paraId="768F8A49" w14:textId="77777777" w:rsidR="00222DE0" w:rsidRPr="00EE3355" w:rsidRDefault="00222DE0" w:rsidP="00EA1CDF">
      <w:pPr>
        <w:widowControl/>
      </w:pPr>
    </w:p>
    <w:p w14:paraId="7BB9174A"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jste měl(a) </w:t>
      </w:r>
      <w:r w:rsidR="0098273B" w:rsidRPr="00EE3355">
        <w:rPr>
          <w:b/>
        </w:rPr>
        <w:t xml:space="preserve">vředy ve střevě </w:t>
      </w:r>
      <w:r w:rsidR="0098273B" w:rsidRPr="00EE3355">
        <w:t xml:space="preserve">nebo </w:t>
      </w:r>
      <w:r w:rsidR="0098273B" w:rsidRPr="00EE3355">
        <w:rPr>
          <w:b/>
        </w:rPr>
        <w:t xml:space="preserve">divertikulitidu </w:t>
      </w:r>
      <w:r w:rsidR="0098273B" w:rsidRPr="00EE3355">
        <w:t>(výchlipky na tlustém střevě), řekněte to svému lékaři. Příznaky mohou zahrnovat bolesti břicha a nevysvětlitelné změny vyměšovacího stereotypu s horečkami.</w:t>
      </w:r>
    </w:p>
    <w:p w14:paraId="06BF6CFE" w14:textId="77777777" w:rsidR="00CC180E" w:rsidRPr="00EE3355" w:rsidRDefault="00CC180E" w:rsidP="00EA1CDF">
      <w:pPr>
        <w:widowControl/>
        <w:tabs>
          <w:tab w:val="left" w:pos="804"/>
        </w:tabs>
        <w:ind w:left="567" w:hanging="567"/>
      </w:pPr>
    </w:p>
    <w:p w14:paraId="78C51088" w14:textId="0420FAFE" w:rsidR="00222DE0" w:rsidRPr="00EE3355" w:rsidRDefault="00B23DAE" w:rsidP="00EA1CDF">
      <w:pPr>
        <w:widowControl/>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w:t>
      </w:r>
      <w:r w:rsidR="0098273B" w:rsidRPr="00EE3355">
        <w:rPr>
          <w:b/>
        </w:rPr>
        <w:t>jaterní onemocnění</w:t>
      </w:r>
      <w:r w:rsidR="0098273B" w:rsidRPr="00EE3355">
        <w:t xml:space="preserve">, řekněte to svému lékaři. Než začnete přípravek </w:t>
      </w:r>
      <w:r w:rsidR="00692AF5">
        <w:t>Avtozma</w:t>
      </w:r>
      <w:r w:rsidR="00F41D92" w:rsidRPr="00EE3355">
        <w:t xml:space="preserve"> </w:t>
      </w:r>
      <w:r w:rsidR="0098273B" w:rsidRPr="00EE3355">
        <w:t>používat, lékař Vám může provést krevní testy ke zhodnocení jaterních funkcí.</w:t>
      </w:r>
    </w:p>
    <w:p w14:paraId="3B181D74" w14:textId="77777777" w:rsidR="00222DE0" w:rsidRPr="00EE3355" w:rsidRDefault="00222DE0" w:rsidP="00EA1CDF">
      <w:pPr>
        <w:pStyle w:val="a3"/>
        <w:widowControl/>
        <w:ind w:left="0"/>
      </w:pPr>
    </w:p>
    <w:p w14:paraId="272EC249" w14:textId="21228283"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rPr>
          <w:b/>
        </w:rPr>
        <w:t>jestliže jste pacient(ka), který(á) byl(a) v nedávné době očkován(a), nebo pokud je očkování plánováno</w:t>
      </w:r>
      <w:r w:rsidR="0098273B" w:rsidRPr="00EE3355">
        <w:t xml:space="preserve">, sdělte to svému lékaři. Všichni pacienti mají mít včas provedená veškerá očkování před zahájením léčby přípravkem </w:t>
      </w:r>
      <w:r w:rsidR="00692AF5">
        <w:t>Avtozma</w:t>
      </w:r>
      <w:r w:rsidR="0098273B" w:rsidRPr="00EE3355">
        <w:t xml:space="preserve">. Určité typy očkovacích látek se při léčbě přípravkem </w:t>
      </w:r>
      <w:r w:rsidR="00692AF5">
        <w:t>Avtozma</w:t>
      </w:r>
      <w:r w:rsidR="0098273B" w:rsidRPr="00EE3355">
        <w:t xml:space="preserve"> nemají podávat.</w:t>
      </w:r>
    </w:p>
    <w:p w14:paraId="47E02783" w14:textId="77777777" w:rsidR="00222DE0" w:rsidRPr="00EE3355" w:rsidRDefault="00222DE0" w:rsidP="00EA1CDF">
      <w:pPr>
        <w:pStyle w:val="a3"/>
        <w:widowControl/>
        <w:ind w:left="0"/>
      </w:pPr>
    </w:p>
    <w:p w14:paraId="7D58A0E1" w14:textId="43F59D2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w:t>
      </w:r>
      <w:r w:rsidR="0098273B" w:rsidRPr="00EE3355">
        <w:rPr>
          <w:b/>
        </w:rPr>
        <w:t>rakovinu</w:t>
      </w:r>
      <w:r w:rsidR="0098273B" w:rsidRPr="00EE3355">
        <w:t xml:space="preserve">, řekněte to svému lékaři. Váš lékař bude muset rozhodnout, jestli Vám přípravek </w:t>
      </w:r>
      <w:r w:rsidR="00692AF5">
        <w:t>Avtozma</w:t>
      </w:r>
      <w:r w:rsidR="0098273B" w:rsidRPr="00EE3355">
        <w:t xml:space="preserve"> může přesto být podáván.</w:t>
      </w:r>
    </w:p>
    <w:p w14:paraId="4C20E534" w14:textId="77777777" w:rsidR="00222DE0" w:rsidRPr="00EE3355" w:rsidRDefault="00222DE0" w:rsidP="00EA1CDF">
      <w:pPr>
        <w:pStyle w:val="a3"/>
        <w:widowControl/>
        <w:ind w:left="0"/>
      </w:pPr>
    </w:p>
    <w:p w14:paraId="2505D355" w14:textId="409AC6EC"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w:t>
      </w:r>
      <w:r w:rsidR="0098273B" w:rsidRPr="00EE3355">
        <w:rPr>
          <w:b/>
        </w:rPr>
        <w:t>rizikové faktory kardiovaskulárních onemocnění</w:t>
      </w:r>
      <w:r w:rsidR="0098273B" w:rsidRPr="00EE3355">
        <w:t xml:space="preserve">, jako jsou zvýšený krevní tlak a zvýšené hladiny cholesterolu, řekněte to svému lékaři. Tyto faktory je nutno po dobu léčby přípravkem </w:t>
      </w:r>
      <w:r w:rsidR="00692AF5">
        <w:t>Avtozma</w:t>
      </w:r>
      <w:r w:rsidR="0098273B" w:rsidRPr="00EE3355">
        <w:t xml:space="preserve"> sledovat.</w:t>
      </w:r>
    </w:p>
    <w:p w14:paraId="6B893CBE" w14:textId="77777777" w:rsidR="0066158D" w:rsidRPr="00EE3355" w:rsidRDefault="0066158D" w:rsidP="00EA1CDF">
      <w:pPr>
        <w:widowControl/>
        <w:tabs>
          <w:tab w:val="left" w:pos="805"/>
        </w:tabs>
        <w:ind w:left="805" w:right="1338" w:hanging="567"/>
      </w:pPr>
    </w:p>
    <w:p w14:paraId="0AEC2F33"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středně závažnou, nebo závažnou </w:t>
      </w:r>
      <w:r w:rsidR="0098273B" w:rsidRPr="00EE3355">
        <w:rPr>
          <w:b/>
        </w:rPr>
        <w:t>poruchu funkce ledvin</w:t>
      </w:r>
      <w:r w:rsidR="0098273B" w:rsidRPr="00EE3355">
        <w:t>, Váš lékař Vás bude</w:t>
      </w:r>
      <w:r w:rsidR="0066158D" w:rsidRPr="00EE3355">
        <w:t xml:space="preserve"> </w:t>
      </w:r>
      <w:r w:rsidR="0098273B" w:rsidRPr="00EE3355">
        <w:t>sledovat.</w:t>
      </w:r>
    </w:p>
    <w:p w14:paraId="21DB79D7" w14:textId="77777777" w:rsidR="00222DE0" w:rsidRPr="00EE3355" w:rsidRDefault="00222DE0" w:rsidP="00EA1CDF">
      <w:pPr>
        <w:pStyle w:val="a3"/>
        <w:widowControl/>
        <w:ind w:left="0"/>
      </w:pPr>
    </w:p>
    <w:p w14:paraId="7BDDFD6D"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jestliže máte </w:t>
      </w:r>
      <w:r w:rsidR="0098273B" w:rsidRPr="00EE3355">
        <w:rPr>
          <w:b/>
        </w:rPr>
        <w:t>přetrvávající bolesti hlavy</w:t>
      </w:r>
      <w:r w:rsidR="0098273B" w:rsidRPr="00EE3355">
        <w:t>.</w:t>
      </w:r>
    </w:p>
    <w:p w14:paraId="0E503403" w14:textId="77777777" w:rsidR="0066158D" w:rsidRPr="00EE3355" w:rsidRDefault="0066158D" w:rsidP="00EA1CDF">
      <w:pPr>
        <w:widowControl/>
        <w:tabs>
          <w:tab w:val="left" w:pos="806"/>
        </w:tabs>
      </w:pPr>
    </w:p>
    <w:p w14:paraId="35E822D8" w14:textId="0CCE18D7" w:rsidR="00222DE0" w:rsidRPr="00EE3355" w:rsidRDefault="0098273B" w:rsidP="00EA1CDF">
      <w:pPr>
        <w:pStyle w:val="a3"/>
        <w:widowControl/>
        <w:ind w:left="0"/>
      </w:pPr>
      <w:r w:rsidRPr="00EE3355">
        <w:t xml:space="preserve">Před podáním přípravku </w:t>
      </w:r>
      <w:r w:rsidR="00692AF5">
        <w:t>Avtozma</w:t>
      </w:r>
      <w:r w:rsidRPr="00EE3355">
        <w:t xml:space="preserve"> Vám lékař provede krevní testy, které určí, zda nemáte snížený počet bílých krvinek, snížený počet krevních destiček nebo zvýšené jaterní enzymy.</w:t>
      </w:r>
    </w:p>
    <w:p w14:paraId="258D8473" w14:textId="77777777" w:rsidR="00222DE0" w:rsidRPr="00EE3355" w:rsidRDefault="00222DE0" w:rsidP="00EA1CDF">
      <w:pPr>
        <w:pStyle w:val="a3"/>
        <w:widowControl/>
        <w:ind w:left="0"/>
      </w:pPr>
    </w:p>
    <w:p w14:paraId="411EEA4C" w14:textId="77777777" w:rsidR="00222DE0" w:rsidRPr="00E574AF" w:rsidRDefault="0098273B" w:rsidP="00E574AF">
      <w:pPr>
        <w:rPr>
          <w:b/>
          <w:bCs/>
        </w:rPr>
      </w:pPr>
      <w:r w:rsidRPr="00E574AF">
        <w:rPr>
          <w:b/>
          <w:bCs/>
        </w:rPr>
        <w:t>Děti a dospívající</w:t>
      </w:r>
    </w:p>
    <w:p w14:paraId="5A0F3A21" w14:textId="425842E1" w:rsidR="00222DE0" w:rsidRPr="00EE3355" w:rsidRDefault="0098273B" w:rsidP="00EA1CDF">
      <w:pPr>
        <w:pStyle w:val="a3"/>
        <w:widowControl/>
        <w:ind w:left="0"/>
      </w:pPr>
      <w:r w:rsidRPr="00EE3355">
        <w:t xml:space="preserve">Přípravek </w:t>
      </w:r>
      <w:r w:rsidR="00692AF5">
        <w:t>Avtozma</w:t>
      </w:r>
      <w:r w:rsidRPr="00EE3355">
        <w:t xml:space="preserve"> injekce pro podkožní podání se nedoporučuje používat u dětí mladších 1 roku.</w:t>
      </w:r>
      <w:r w:rsidR="004D11B1" w:rsidRPr="00EE3355">
        <w:t xml:space="preserve"> </w:t>
      </w:r>
      <w:r w:rsidRPr="00EE3355">
        <w:t xml:space="preserve">Přípravek </w:t>
      </w:r>
      <w:r w:rsidR="00692AF5">
        <w:t>Avtozma</w:t>
      </w:r>
      <w:r w:rsidRPr="00EE3355">
        <w:t xml:space="preserve"> nesmí být podáván dětem se sJIA s tělesnou hmotností do 10 kg.</w:t>
      </w:r>
    </w:p>
    <w:p w14:paraId="1535D9A2" w14:textId="77777777" w:rsidR="00222DE0" w:rsidRPr="00EE3355" w:rsidRDefault="00222DE0" w:rsidP="00EA1CDF">
      <w:pPr>
        <w:pStyle w:val="a3"/>
        <w:widowControl/>
        <w:ind w:left="0"/>
      </w:pPr>
    </w:p>
    <w:p w14:paraId="4DEAE6EE" w14:textId="4F0A8D00" w:rsidR="00222DE0" w:rsidRPr="00EE3355" w:rsidRDefault="0098273B" w:rsidP="00EA1CDF">
      <w:pPr>
        <w:pStyle w:val="a3"/>
        <w:widowControl/>
        <w:ind w:left="0"/>
      </w:pPr>
      <w:r w:rsidRPr="00EE3355">
        <w:t xml:space="preserve">Jestliže mělo dítě v minulosti </w:t>
      </w:r>
      <w:r w:rsidRPr="00EE3355">
        <w:rPr>
          <w:b/>
          <w:i/>
        </w:rPr>
        <w:t xml:space="preserve">syndrom aktivace makrofágů </w:t>
      </w:r>
      <w:r w:rsidRPr="00EE3355">
        <w:t xml:space="preserve">(aktivace a neřízené množení konkrétních krevních buněk), oznamte to lékaři. Lékař rozhodne, zda dítě může i přesto přípravek </w:t>
      </w:r>
      <w:r w:rsidR="00692AF5">
        <w:t>Avtozma</w:t>
      </w:r>
      <w:r w:rsidRPr="00EE3355">
        <w:t xml:space="preserve"> používat.</w:t>
      </w:r>
    </w:p>
    <w:p w14:paraId="47AA1273" w14:textId="77777777" w:rsidR="00222DE0" w:rsidRPr="00EE3355" w:rsidRDefault="00222DE0" w:rsidP="00EA1CDF">
      <w:pPr>
        <w:pStyle w:val="a3"/>
        <w:widowControl/>
        <w:ind w:left="0"/>
      </w:pPr>
    </w:p>
    <w:p w14:paraId="6292A562" w14:textId="62D01BFA" w:rsidR="00222DE0" w:rsidRPr="00E574AF" w:rsidRDefault="0098273B" w:rsidP="00E574AF">
      <w:pPr>
        <w:rPr>
          <w:b/>
          <w:bCs/>
        </w:rPr>
      </w:pPr>
      <w:r w:rsidRPr="00E574AF">
        <w:rPr>
          <w:b/>
          <w:bCs/>
        </w:rPr>
        <w:t xml:space="preserve">Další léčivé přípravky a přípravek </w:t>
      </w:r>
      <w:r w:rsidR="00692AF5" w:rsidRPr="00E574AF">
        <w:rPr>
          <w:b/>
          <w:bCs/>
        </w:rPr>
        <w:t>Avtozma</w:t>
      </w:r>
    </w:p>
    <w:p w14:paraId="2EDF981D" w14:textId="64CE43FF" w:rsidR="00222DE0" w:rsidRPr="00EE3355" w:rsidRDefault="0098273B" w:rsidP="00EA1CDF">
      <w:pPr>
        <w:pStyle w:val="a3"/>
        <w:widowControl/>
        <w:ind w:left="0"/>
      </w:pPr>
      <w:r w:rsidRPr="00EE3355">
        <w:t xml:space="preserve">Informujte svého lékaře o všech lécích, které užíváte nebo které jste v nedávné době užíval(a). Přípravek </w:t>
      </w:r>
      <w:r w:rsidR="00692AF5">
        <w:t>Avtozma</w:t>
      </w:r>
      <w:r w:rsidRPr="00EE3355">
        <w:t xml:space="preserve"> může ovlivňovat způsob účinku některých léků a může být potřeba upravit dávky těchto léků. Měl(a) byste informovat svého lékaře, jestliže užíváte léky obsahující některou z následujících léčivých látek:</w:t>
      </w:r>
    </w:p>
    <w:p w14:paraId="52DB5F82" w14:textId="77777777" w:rsidR="00222DE0" w:rsidRPr="00EE3355" w:rsidRDefault="00B23DAE" w:rsidP="00307193">
      <w:pPr>
        <w:widowControl/>
        <w:tabs>
          <w:tab w:val="left" w:pos="805"/>
        </w:tabs>
        <w:ind w:left="566" w:hanging="566"/>
      </w:pPr>
      <w:r w:rsidRPr="00EE3355">
        <w:rPr>
          <w:rFonts w:ascii="Symbol" w:eastAsia="Symbol" w:hAnsi="Symbol" w:cs="Symbol"/>
        </w:rPr>
        <w:t></w:t>
      </w:r>
      <w:r w:rsidRPr="00EE3355">
        <w:rPr>
          <w:rFonts w:ascii="Symbol" w:eastAsia="Symbol" w:hAnsi="Symbol" w:cs="Symbol"/>
        </w:rPr>
        <w:tab/>
      </w:r>
      <w:r w:rsidR="0098273B" w:rsidRPr="00EE3355">
        <w:t>methylprednisolon, dexamethason, používá se ke snížení zánětu</w:t>
      </w:r>
    </w:p>
    <w:p w14:paraId="44EBE94D" w14:textId="77777777" w:rsidR="00222DE0" w:rsidRPr="00EE3355" w:rsidRDefault="00B23DAE" w:rsidP="00307193">
      <w:pPr>
        <w:widowControl/>
        <w:tabs>
          <w:tab w:val="left" w:pos="806"/>
        </w:tabs>
        <w:ind w:left="566" w:hanging="566"/>
        <w:rPr>
          <w:b/>
        </w:rPr>
      </w:pPr>
      <w:r w:rsidRPr="00EE3355">
        <w:rPr>
          <w:rFonts w:ascii="Symbol" w:eastAsia="Symbol" w:hAnsi="Symbol" w:cs="Symbol"/>
        </w:rPr>
        <w:t></w:t>
      </w:r>
      <w:r w:rsidRPr="00EE3355">
        <w:rPr>
          <w:rFonts w:ascii="Symbol" w:eastAsia="Symbol" w:hAnsi="Symbol" w:cs="Symbol"/>
        </w:rPr>
        <w:tab/>
      </w:r>
      <w:r w:rsidR="0098273B" w:rsidRPr="00EE3355">
        <w:t xml:space="preserve">simvastatin nebo atorvastatin, používá se ke snížení </w:t>
      </w:r>
      <w:r w:rsidR="0098273B" w:rsidRPr="00EE3355">
        <w:rPr>
          <w:b/>
        </w:rPr>
        <w:t>hladin cholesterolu</w:t>
      </w:r>
    </w:p>
    <w:p w14:paraId="2961F81B" w14:textId="77777777" w:rsidR="00222DE0" w:rsidRPr="00EE3355" w:rsidRDefault="00B23DAE" w:rsidP="00307193">
      <w:pPr>
        <w:widowControl/>
        <w:tabs>
          <w:tab w:val="left" w:pos="806"/>
        </w:tabs>
        <w:ind w:left="566" w:hanging="566"/>
        <w:rPr>
          <w:b/>
        </w:rPr>
      </w:pPr>
      <w:r w:rsidRPr="00EE3355">
        <w:rPr>
          <w:rFonts w:ascii="Symbol" w:eastAsia="Symbol" w:hAnsi="Symbol" w:cs="Symbol"/>
        </w:rPr>
        <w:t></w:t>
      </w:r>
      <w:r w:rsidRPr="00EE3355">
        <w:rPr>
          <w:rFonts w:ascii="Symbol" w:eastAsia="Symbol" w:hAnsi="Symbol" w:cs="Symbol"/>
        </w:rPr>
        <w:tab/>
      </w:r>
      <w:r w:rsidR="0098273B" w:rsidRPr="00EE3355">
        <w:t xml:space="preserve">blokátory kalciového kanálu (např. amlodipin), používají se k léčbě </w:t>
      </w:r>
      <w:r w:rsidR="0098273B" w:rsidRPr="00EE3355">
        <w:rPr>
          <w:b/>
        </w:rPr>
        <w:t>zvýšeného krevního tlaku</w:t>
      </w:r>
    </w:p>
    <w:p w14:paraId="2E77E213" w14:textId="77777777" w:rsidR="00222DE0" w:rsidRPr="00EE3355" w:rsidRDefault="00B23DAE" w:rsidP="00307193">
      <w:pPr>
        <w:widowControl/>
        <w:tabs>
          <w:tab w:val="left" w:pos="806"/>
        </w:tabs>
        <w:ind w:left="566" w:hanging="566"/>
        <w:rPr>
          <w:b/>
        </w:rPr>
      </w:pPr>
      <w:r w:rsidRPr="00EE3355">
        <w:rPr>
          <w:rFonts w:ascii="Symbol" w:eastAsia="Symbol" w:hAnsi="Symbol" w:cs="Symbol"/>
        </w:rPr>
        <w:t></w:t>
      </w:r>
      <w:r w:rsidRPr="00EE3355">
        <w:rPr>
          <w:rFonts w:ascii="Symbol" w:eastAsia="Symbol" w:hAnsi="Symbol" w:cs="Symbol"/>
        </w:rPr>
        <w:tab/>
      </w:r>
      <w:r w:rsidR="0098273B" w:rsidRPr="00EE3355">
        <w:t xml:space="preserve">teofylin, používá se k léčbě </w:t>
      </w:r>
      <w:r w:rsidR="0098273B" w:rsidRPr="00EE3355">
        <w:rPr>
          <w:b/>
        </w:rPr>
        <w:t>astmatu</w:t>
      </w:r>
    </w:p>
    <w:p w14:paraId="4828CA91" w14:textId="77777777" w:rsidR="00222DE0" w:rsidRPr="00EE3355" w:rsidRDefault="00B23DAE" w:rsidP="00307193">
      <w:pPr>
        <w:widowControl/>
        <w:tabs>
          <w:tab w:val="left" w:pos="806"/>
        </w:tabs>
        <w:ind w:left="566" w:hanging="566"/>
        <w:rPr>
          <w:b/>
        </w:rPr>
      </w:pPr>
      <w:r w:rsidRPr="00EE3355">
        <w:rPr>
          <w:rFonts w:ascii="Symbol" w:eastAsia="Symbol" w:hAnsi="Symbol" w:cs="Symbol"/>
        </w:rPr>
        <w:t></w:t>
      </w:r>
      <w:r w:rsidRPr="00EE3355">
        <w:rPr>
          <w:rFonts w:ascii="Symbol" w:eastAsia="Symbol" w:hAnsi="Symbol" w:cs="Symbol"/>
        </w:rPr>
        <w:tab/>
      </w:r>
      <w:r w:rsidR="0098273B" w:rsidRPr="00EE3355">
        <w:t xml:space="preserve">warfarin nebo fenprokumon, používají se jako </w:t>
      </w:r>
      <w:r w:rsidR="0098273B" w:rsidRPr="00EE3355">
        <w:rPr>
          <w:b/>
        </w:rPr>
        <w:t>látky na ředění krve</w:t>
      </w:r>
    </w:p>
    <w:p w14:paraId="5FF00A72" w14:textId="77777777" w:rsidR="00222DE0" w:rsidRPr="00EE3355" w:rsidRDefault="00B23DAE" w:rsidP="00307193">
      <w:pPr>
        <w:widowControl/>
        <w:tabs>
          <w:tab w:val="left" w:pos="806"/>
        </w:tabs>
        <w:ind w:left="566" w:hanging="566"/>
        <w:rPr>
          <w:b/>
        </w:rPr>
      </w:pPr>
      <w:r w:rsidRPr="00EE3355">
        <w:rPr>
          <w:rFonts w:ascii="Symbol" w:eastAsia="Symbol" w:hAnsi="Symbol" w:cs="Symbol"/>
        </w:rPr>
        <w:t></w:t>
      </w:r>
      <w:r w:rsidRPr="00EE3355">
        <w:rPr>
          <w:rFonts w:ascii="Symbol" w:eastAsia="Symbol" w:hAnsi="Symbol" w:cs="Symbol"/>
        </w:rPr>
        <w:tab/>
      </w:r>
      <w:r w:rsidR="0098273B" w:rsidRPr="00EE3355">
        <w:t xml:space="preserve">fenytoin, používá se k léčbě </w:t>
      </w:r>
      <w:r w:rsidR="0098273B" w:rsidRPr="00EE3355">
        <w:rPr>
          <w:b/>
        </w:rPr>
        <w:t>křečí</w:t>
      </w:r>
    </w:p>
    <w:p w14:paraId="16CD953A" w14:textId="77777777" w:rsidR="00222DE0" w:rsidRPr="00EE3355" w:rsidRDefault="00B23DAE" w:rsidP="00307193">
      <w:pPr>
        <w:widowControl/>
        <w:tabs>
          <w:tab w:val="left" w:pos="806"/>
        </w:tabs>
        <w:ind w:left="566" w:hanging="566"/>
      </w:pPr>
      <w:r w:rsidRPr="00EE3355">
        <w:rPr>
          <w:rFonts w:ascii="Symbol" w:eastAsia="Symbol" w:hAnsi="Symbol" w:cs="Symbol"/>
        </w:rPr>
        <w:t></w:t>
      </w:r>
      <w:r w:rsidRPr="00EE3355">
        <w:rPr>
          <w:rFonts w:ascii="Symbol" w:eastAsia="Symbol" w:hAnsi="Symbol" w:cs="Symbol"/>
        </w:rPr>
        <w:tab/>
      </w:r>
      <w:r w:rsidR="0098273B" w:rsidRPr="00EE3355">
        <w:t xml:space="preserve">cyklosporin, používá se na </w:t>
      </w:r>
      <w:r w:rsidR="0098273B" w:rsidRPr="00EE3355">
        <w:rPr>
          <w:b/>
        </w:rPr>
        <w:t xml:space="preserve">potlačení reakce imunitního systému </w:t>
      </w:r>
      <w:r w:rsidR="0098273B" w:rsidRPr="00EE3355">
        <w:t>při transplantaci orgánů</w:t>
      </w:r>
    </w:p>
    <w:p w14:paraId="67E2956E" w14:textId="77777777" w:rsidR="00222DE0" w:rsidRPr="00EE3355" w:rsidRDefault="00B23DAE" w:rsidP="00307193">
      <w:pPr>
        <w:widowControl/>
        <w:tabs>
          <w:tab w:val="left" w:pos="806"/>
        </w:tabs>
        <w:ind w:left="566" w:hanging="566"/>
        <w:rPr>
          <w:b/>
        </w:rPr>
      </w:pPr>
      <w:r w:rsidRPr="00EE3355">
        <w:rPr>
          <w:rFonts w:ascii="Symbol" w:eastAsia="Symbol" w:hAnsi="Symbol" w:cs="Symbol"/>
        </w:rPr>
        <w:t></w:t>
      </w:r>
      <w:r w:rsidRPr="00EE3355">
        <w:rPr>
          <w:rFonts w:ascii="Symbol" w:eastAsia="Symbol" w:hAnsi="Symbol" w:cs="Symbol"/>
        </w:rPr>
        <w:tab/>
      </w:r>
      <w:r w:rsidR="0098273B" w:rsidRPr="00EE3355">
        <w:t xml:space="preserve">benzodiazepiny (např. temazepam), používá se na </w:t>
      </w:r>
      <w:r w:rsidR="0098273B" w:rsidRPr="00EE3355">
        <w:rPr>
          <w:b/>
        </w:rPr>
        <w:t>zmírnění úzkosti</w:t>
      </w:r>
    </w:p>
    <w:p w14:paraId="7A8B821C" w14:textId="77777777" w:rsidR="004D11B1" w:rsidRPr="00EE3355" w:rsidRDefault="004D11B1" w:rsidP="00EA1CDF">
      <w:pPr>
        <w:widowControl/>
        <w:tabs>
          <w:tab w:val="left" w:pos="806"/>
        </w:tabs>
        <w:rPr>
          <w:b/>
        </w:rPr>
      </w:pPr>
    </w:p>
    <w:p w14:paraId="550B749E" w14:textId="0088CA8B" w:rsidR="00222DE0" w:rsidRPr="00EE3355" w:rsidRDefault="0098273B" w:rsidP="00EA1CDF">
      <w:pPr>
        <w:pStyle w:val="a3"/>
        <w:widowControl/>
        <w:ind w:left="0"/>
      </w:pPr>
      <w:r w:rsidRPr="00EE3355">
        <w:t xml:space="preserve">Vzhledem k nedostatku klinických zkušeností se nedoporučuje používat </w:t>
      </w:r>
      <w:r w:rsidR="00692AF5" w:rsidRPr="001879E9">
        <w:rPr>
          <w:rFonts w:hint="eastAsia"/>
          <w:lang w:eastAsia="ko-KR"/>
        </w:rPr>
        <w:t>tocilizumab</w:t>
      </w:r>
      <w:r w:rsidR="00692AF5" w:rsidRPr="00EE3355" w:rsidDel="00692AF5">
        <w:t xml:space="preserve"> </w:t>
      </w:r>
      <w:r w:rsidRPr="00EE3355">
        <w:t>s jinými biologickými léčivy užívanými k léčbě RA, sJIA, pJIA nebo GCA.</w:t>
      </w:r>
    </w:p>
    <w:p w14:paraId="3385A266" w14:textId="77777777" w:rsidR="004D11B1" w:rsidRPr="00EE3355" w:rsidRDefault="004D11B1" w:rsidP="00EA1CDF">
      <w:pPr>
        <w:pStyle w:val="a3"/>
        <w:widowControl/>
        <w:ind w:left="0"/>
      </w:pPr>
    </w:p>
    <w:p w14:paraId="28B3E418" w14:textId="77777777" w:rsidR="00222DE0" w:rsidRPr="00E574AF" w:rsidRDefault="0098273B" w:rsidP="00E574AF">
      <w:pPr>
        <w:rPr>
          <w:b/>
          <w:bCs/>
        </w:rPr>
      </w:pPr>
      <w:r w:rsidRPr="00E574AF">
        <w:rPr>
          <w:b/>
          <w:bCs/>
        </w:rPr>
        <w:t>Těhotenství, kojení a plodnost</w:t>
      </w:r>
    </w:p>
    <w:p w14:paraId="184239AC" w14:textId="77777777" w:rsidR="004D11B1" w:rsidRPr="00EE3355" w:rsidRDefault="004D11B1" w:rsidP="00943257"/>
    <w:p w14:paraId="3FAB43DE" w14:textId="1ACED43F" w:rsidR="00222DE0" w:rsidRPr="00EE3355" w:rsidRDefault="0098273B" w:rsidP="00EA1CDF">
      <w:pPr>
        <w:widowControl/>
      </w:pPr>
      <w:r w:rsidRPr="00EE3355">
        <w:rPr>
          <w:b/>
        </w:rPr>
        <w:lastRenderedPageBreak/>
        <w:t xml:space="preserve">Přípravek </w:t>
      </w:r>
      <w:r w:rsidR="00692AF5">
        <w:rPr>
          <w:b/>
        </w:rPr>
        <w:t>Avtozma</w:t>
      </w:r>
      <w:r w:rsidRPr="00EE3355">
        <w:rPr>
          <w:b/>
        </w:rPr>
        <w:t xml:space="preserve"> se nemá v těhotenství používat</w:t>
      </w:r>
      <w:r w:rsidRPr="00EE3355">
        <w:t>, pokud to není nezbytně nutné. Pokud jste těhotná, domníváte se, že můžete být těhotná, nebo plánujete otěhotnět, poraďte se se svým lékařem.</w:t>
      </w:r>
    </w:p>
    <w:p w14:paraId="285760F5" w14:textId="77777777" w:rsidR="00222DE0" w:rsidRPr="00EE3355" w:rsidRDefault="00222DE0" w:rsidP="00EA1CDF">
      <w:pPr>
        <w:pStyle w:val="a3"/>
        <w:widowControl/>
        <w:ind w:left="0"/>
      </w:pPr>
    </w:p>
    <w:p w14:paraId="3B2F7185" w14:textId="77777777" w:rsidR="00222DE0" w:rsidRDefault="0098273B" w:rsidP="00EA1CDF">
      <w:pPr>
        <w:widowControl/>
        <w:rPr>
          <w:rFonts w:eastAsia="맑은 고딕"/>
          <w:lang w:eastAsia="ko-KR"/>
        </w:rPr>
      </w:pPr>
      <w:r w:rsidRPr="00EE3355">
        <w:rPr>
          <w:b/>
        </w:rPr>
        <w:t xml:space="preserve">Ženy, které jsou ve věku, kdy mohou otěhotnět, musí </w:t>
      </w:r>
      <w:r w:rsidRPr="00EE3355">
        <w:t>během léčby a 3 měsíce po jejím ukončení používat účinnou metodu antikoncepce.</w:t>
      </w:r>
    </w:p>
    <w:p w14:paraId="67FB4A5D" w14:textId="77777777" w:rsidR="000A0C9A" w:rsidRPr="00B93217" w:rsidRDefault="000A0C9A" w:rsidP="00EA1CDF">
      <w:pPr>
        <w:widowControl/>
        <w:rPr>
          <w:rFonts w:eastAsia="맑은 고딕"/>
          <w:lang w:eastAsia="ko-KR"/>
        </w:rPr>
      </w:pPr>
    </w:p>
    <w:p w14:paraId="2622BEFB" w14:textId="270A2D97" w:rsidR="00222DE0" w:rsidRPr="00EE3355" w:rsidRDefault="0098273B" w:rsidP="00EA1CDF">
      <w:pPr>
        <w:widowControl/>
      </w:pPr>
      <w:r w:rsidRPr="00EE3355">
        <w:rPr>
          <w:b/>
        </w:rPr>
        <w:t xml:space="preserve">Pokud Vám má být podán přípravek </w:t>
      </w:r>
      <w:r w:rsidR="00692AF5">
        <w:rPr>
          <w:b/>
        </w:rPr>
        <w:t>Avtozma</w:t>
      </w:r>
      <w:r w:rsidRPr="00EE3355">
        <w:rPr>
          <w:b/>
        </w:rPr>
        <w:t xml:space="preserve">, přestaňte kojit </w:t>
      </w:r>
      <w:r w:rsidRPr="00EE3355">
        <w:t xml:space="preserve">a poraďte se se svým lékařem. Po poslední léčbě ponechejte odstup alespoň 3 měsíce, než začnete znovu kojit. Není známo, zda přípravek </w:t>
      </w:r>
      <w:r w:rsidR="00692AF5">
        <w:t>Avtozma</w:t>
      </w:r>
      <w:r w:rsidRPr="00EE3355">
        <w:t xml:space="preserve"> prochází do mateřského mléka.</w:t>
      </w:r>
    </w:p>
    <w:p w14:paraId="1E05577C" w14:textId="77777777" w:rsidR="00222DE0" w:rsidRPr="00EE3355" w:rsidRDefault="00222DE0" w:rsidP="00EA1CDF">
      <w:pPr>
        <w:pStyle w:val="a3"/>
        <w:widowControl/>
        <w:ind w:left="0"/>
      </w:pPr>
    </w:p>
    <w:p w14:paraId="4DFA01A5" w14:textId="77777777" w:rsidR="00222DE0" w:rsidRPr="00E574AF" w:rsidRDefault="0098273B" w:rsidP="00E574AF">
      <w:pPr>
        <w:pStyle w:val="a3"/>
        <w:widowControl/>
        <w:ind w:left="0"/>
        <w:rPr>
          <w:b/>
          <w:bCs/>
        </w:rPr>
      </w:pPr>
      <w:r w:rsidRPr="00E574AF">
        <w:rPr>
          <w:b/>
          <w:bCs/>
        </w:rPr>
        <w:t>Řízení dopravních prostředků a obsluha strojů</w:t>
      </w:r>
    </w:p>
    <w:p w14:paraId="0B1DE95E" w14:textId="77BFB397" w:rsidR="00222DE0" w:rsidRDefault="0098273B" w:rsidP="00EA1CDF">
      <w:pPr>
        <w:pStyle w:val="a3"/>
        <w:widowControl/>
        <w:ind w:left="0"/>
      </w:pPr>
      <w:r w:rsidRPr="00EE3355">
        <w:t>Tento přípravek může způsobovat závratě. Pokud budete pociťovat závra</w:t>
      </w:r>
      <w:r w:rsidR="005920B7">
        <w:t>ť</w:t>
      </w:r>
      <w:r w:rsidRPr="00EE3355">
        <w:t>, neměl(a) byste řídit ani</w:t>
      </w:r>
      <w:r w:rsidR="00704F4F">
        <w:t xml:space="preserve"> </w:t>
      </w:r>
      <w:r w:rsidRPr="00EE3355">
        <w:t>obsluhovat stroje.</w:t>
      </w:r>
    </w:p>
    <w:p w14:paraId="40AB482D" w14:textId="77777777" w:rsidR="00692AF5" w:rsidRDefault="00692AF5" w:rsidP="00EA1CDF">
      <w:pPr>
        <w:pStyle w:val="a3"/>
        <w:widowControl/>
        <w:ind w:left="0"/>
      </w:pPr>
    </w:p>
    <w:p w14:paraId="0C47C41E" w14:textId="325BF88B" w:rsidR="00692AF5" w:rsidRDefault="003D3840" w:rsidP="00EA1CDF">
      <w:pPr>
        <w:pStyle w:val="a3"/>
        <w:widowControl/>
        <w:ind w:left="0"/>
        <w:rPr>
          <w:b/>
          <w:bCs/>
        </w:rPr>
      </w:pPr>
      <w:r>
        <w:rPr>
          <w:b/>
          <w:bCs/>
        </w:rPr>
        <w:t xml:space="preserve">Přípravek </w:t>
      </w:r>
      <w:r w:rsidR="00692AF5" w:rsidRPr="00B93217">
        <w:rPr>
          <w:b/>
          <w:bCs/>
        </w:rPr>
        <w:t>Avtozma obsahuje polysorbát</w:t>
      </w:r>
    </w:p>
    <w:p w14:paraId="1EF6FB23" w14:textId="1059AD02" w:rsidR="00692AF5" w:rsidRPr="00692AF5" w:rsidRDefault="00692AF5" w:rsidP="00EA1CDF">
      <w:pPr>
        <w:pStyle w:val="a3"/>
        <w:widowControl/>
        <w:ind w:left="0"/>
      </w:pPr>
      <w:r>
        <w:t>Tento léčivý přípravek obsahuje 0,2 mg polysorbátu 80 v </w:t>
      </w:r>
      <w:r w:rsidR="005920B7">
        <w:t>jednom</w:t>
      </w:r>
      <w:r>
        <w:t xml:space="preserve"> předplněné injekční stříkačce. Polysorbáty mohou způsobit alergické reakce. Informujte svého lékaře, pokud máte jakoukoli známou alergii.</w:t>
      </w:r>
    </w:p>
    <w:p w14:paraId="158E6722" w14:textId="77777777" w:rsidR="00222DE0" w:rsidRPr="00EE3355" w:rsidRDefault="00222DE0" w:rsidP="00EA1CDF">
      <w:pPr>
        <w:pStyle w:val="a3"/>
        <w:widowControl/>
        <w:ind w:left="0"/>
      </w:pPr>
    </w:p>
    <w:p w14:paraId="13174EBC" w14:textId="77777777" w:rsidR="00222DE0" w:rsidRPr="00EE3355" w:rsidRDefault="00222DE0" w:rsidP="00EA1CDF">
      <w:pPr>
        <w:pStyle w:val="a3"/>
        <w:widowControl/>
        <w:ind w:left="0"/>
      </w:pPr>
    </w:p>
    <w:p w14:paraId="00342B70" w14:textId="4C83B6CF" w:rsidR="00222DE0" w:rsidRPr="00E574AF" w:rsidRDefault="00B23DAE" w:rsidP="00E574AF">
      <w:pPr>
        <w:rPr>
          <w:b/>
          <w:bCs/>
        </w:rPr>
      </w:pPr>
      <w:r w:rsidRPr="00E574AF">
        <w:rPr>
          <w:b/>
          <w:bCs/>
        </w:rPr>
        <w:t>3.</w:t>
      </w:r>
      <w:r w:rsidRPr="00E574AF">
        <w:rPr>
          <w:b/>
          <w:bCs/>
        </w:rPr>
        <w:tab/>
      </w:r>
      <w:r w:rsidR="0098273B" w:rsidRPr="00E574AF">
        <w:rPr>
          <w:b/>
          <w:bCs/>
        </w:rPr>
        <w:t xml:space="preserve">Jak se přípravek </w:t>
      </w:r>
      <w:r w:rsidR="00692AF5" w:rsidRPr="00E574AF">
        <w:rPr>
          <w:b/>
          <w:bCs/>
        </w:rPr>
        <w:t>Avtozma</w:t>
      </w:r>
      <w:r w:rsidR="0098273B" w:rsidRPr="00E574AF">
        <w:rPr>
          <w:b/>
          <w:bCs/>
        </w:rPr>
        <w:t xml:space="preserve"> používá</w:t>
      </w:r>
    </w:p>
    <w:p w14:paraId="6C731072" w14:textId="77777777" w:rsidR="00967EAA" w:rsidRPr="00EE3355" w:rsidRDefault="00967EAA" w:rsidP="00943257"/>
    <w:p w14:paraId="154ADE6D" w14:textId="77777777" w:rsidR="00222DE0" w:rsidRPr="00EE3355" w:rsidRDefault="0098273B" w:rsidP="00EA1CDF">
      <w:pPr>
        <w:pStyle w:val="a3"/>
        <w:widowControl/>
        <w:ind w:left="0"/>
      </w:pPr>
      <w:r w:rsidRPr="00EE3355">
        <w:t>Vždy používejte tento přípravek přesně podle pokynů svého lékaře, lékárníka nebo zdravotní sestry. Pokud si nejste jistý(á), poraďte se se svým lékařem, lékárníkem nebo zdravotní sestrou.</w:t>
      </w:r>
    </w:p>
    <w:p w14:paraId="7443CAF2" w14:textId="77777777" w:rsidR="00967EAA" w:rsidRPr="00EE3355" w:rsidRDefault="00967EAA" w:rsidP="00EA1CDF">
      <w:pPr>
        <w:pStyle w:val="a3"/>
        <w:widowControl/>
        <w:ind w:left="0"/>
      </w:pPr>
    </w:p>
    <w:p w14:paraId="67CD8D76" w14:textId="77777777" w:rsidR="00222DE0" w:rsidRPr="00EE3355" w:rsidRDefault="0098273B" w:rsidP="00EA1CDF">
      <w:pPr>
        <w:pStyle w:val="a3"/>
        <w:widowControl/>
        <w:ind w:left="0"/>
      </w:pPr>
      <w:r w:rsidRPr="00EE3355">
        <w:t>Léčba bude předepsána a zahájena lékařem, který má zkušenosti s diagnostikou a léčbou RA, sJIA, pJIA nebo GCA.</w:t>
      </w:r>
    </w:p>
    <w:p w14:paraId="53B8E944" w14:textId="77777777" w:rsidR="00222DE0" w:rsidRPr="00EE3355" w:rsidRDefault="00222DE0" w:rsidP="00EA1CDF">
      <w:pPr>
        <w:pStyle w:val="a3"/>
        <w:widowControl/>
        <w:ind w:left="0"/>
      </w:pPr>
    </w:p>
    <w:p w14:paraId="77D9CA23" w14:textId="77777777" w:rsidR="00222DE0" w:rsidRPr="00E574AF" w:rsidRDefault="0098273B" w:rsidP="00E574AF">
      <w:pPr>
        <w:pStyle w:val="a3"/>
        <w:widowControl/>
        <w:ind w:left="0"/>
        <w:rPr>
          <w:b/>
          <w:bCs/>
        </w:rPr>
      </w:pPr>
      <w:r w:rsidRPr="00E574AF">
        <w:rPr>
          <w:b/>
          <w:bCs/>
        </w:rPr>
        <w:t>Doporučená dávka</w:t>
      </w:r>
    </w:p>
    <w:p w14:paraId="792CAB41" w14:textId="77777777" w:rsidR="00222DE0" w:rsidRPr="00EE3355" w:rsidRDefault="0098273B" w:rsidP="00EA1CDF">
      <w:pPr>
        <w:pStyle w:val="a3"/>
        <w:widowControl/>
        <w:ind w:left="0"/>
      </w:pPr>
      <w:r w:rsidRPr="00EE3355">
        <w:t>Doporučená dávka pro dospělé s RA a GCA je 162 mg (obsah 1 předplněné injekční stříkačky) podaná jednou týdně.</w:t>
      </w:r>
    </w:p>
    <w:p w14:paraId="41B2D745" w14:textId="77777777" w:rsidR="00967EAA" w:rsidRPr="00EE3355" w:rsidRDefault="00967EAA" w:rsidP="00EA1CDF">
      <w:pPr>
        <w:pStyle w:val="a3"/>
        <w:widowControl/>
        <w:ind w:left="0"/>
      </w:pPr>
    </w:p>
    <w:p w14:paraId="04F9593F" w14:textId="77777777" w:rsidR="00222DE0" w:rsidRPr="00E574AF" w:rsidRDefault="0098273B" w:rsidP="00E574AF">
      <w:pPr>
        <w:pStyle w:val="a3"/>
        <w:widowControl/>
        <w:ind w:left="0"/>
        <w:rPr>
          <w:b/>
          <w:bCs/>
        </w:rPr>
      </w:pPr>
      <w:r w:rsidRPr="00E574AF">
        <w:rPr>
          <w:b/>
          <w:bCs/>
        </w:rPr>
        <w:t>Děti a dospívající (od 1 roku) se sJIA</w:t>
      </w:r>
    </w:p>
    <w:p w14:paraId="6CE17DEE" w14:textId="74090730" w:rsidR="00222DE0" w:rsidRPr="00EE3355" w:rsidRDefault="0098273B" w:rsidP="00EA1CDF">
      <w:pPr>
        <w:widowControl/>
        <w:rPr>
          <w:b/>
        </w:rPr>
      </w:pPr>
      <w:r w:rsidRPr="00EE3355">
        <w:rPr>
          <w:b/>
        </w:rPr>
        <w:t xml:space="preserve">Obvyklá dávka přípravku </w:t>
      </w:r>
      <w:r w:rsidR="00692AF5">
        <w:rPr>
          <w:b/>
        </w:rPr>
        <w:t>Avtozma</w:t>
      </w:r>
      <w:r w:rsidRPr="00EE3355">
        <w:rPr>
          <w:b/>
        </w:rPr>
        <w:t xml:space="preserve"> závisí na tělesné hmotnosti pacienta.</w:t>
      </w:r>
    </w:p>
    <w:p w14:paraId="21A90E92" w14:textId="77777777" w:rsidR="00222DE0" w:rsidRPr="00EE3355" w:rsidRDefault="00B23DAE" w:rsidP="00EA1CDF">
      <w:pPr>
        <w:widowControl/>
        <w:tabs>
          <w:tab w:val="left" w:pos="519"/>
          <w:tab w:val="left" w:pos="521"/>
        </w:tabs>
        <w:ind w:left="567" w:hanging="567"/>
        <w:rPr>
          <w:rFonts w:ascii="Symbol" w:hAnsi="Symbol"/>
          <w:b/>
        </w:rPr>
      </w:pPr>
      <w:r w:rsidRPr="00EE3355">
        <w:rPr>
          <w:rFonts w:ascii="Symbol" w:eastAsia="Symbol" w:hAnsi="Symbol" w:cs="Symbol"/>
        </w:rPr>
        <w:t></w:t>
      </w:r>
      <w:r w:rsidRPr="00EE3355">
        <w:rPr>
          <w:rFonts w:ascii="Symbol" w:eastAsia="Symbol" w:hAnsi="Symbol" w:cs="Symbol"/>
        </w:rPr>
        <w:tab/>
      </w:r>
      <w:r w:rsidR="0098273B" w:rsidRPr="00EE3355">
        <w:t xml:space="preserve">pokud je pacientova hmotnost </w:t>
      </w:r>
      <w:r w:rsidR="0098273B" w:rsidRPr="00EE3355">
        <w:rPr>
          <w:b/>
        </w:rPr>
        <w:t>nižší než 30 kg</w:t>
      </w:r>
      <w:r w:rsidR="0098273B" w:rsidRPr="00EE3355">
        <w:t>: dávka je 162 mg (obsah 1 předplněné injekční stříkačky), jednou za 2 týdny</w:t>
      </w:r>
    </w:p>
    <w:p w14:paraId="6DA0BB4C" w14:textId="77777777" w:rsidR="00222DE0" w:rsidRPr="00EE3355" w:rsidRDefault="00B23DAE" w:rsidP="00EA1CDF">
      <w:pPr>
        <w:widowControl/>
        <w:tabs>
          <w:tab w:val="left" w:pos="519"/>
          <w:tab w:val="left" w:pos="521"/>
        </w:tabs>
        <w:ind w:left="567" w:hanging="567"/>
        <w:rPr>
          <w:rFonts w:ascii="Symbol" w:hAnsi="Symbol"/>
          <w:b/>
        </w:rPr>
      </w:pPr>
      <w:r w:rsidRPr="00EE3355">
        <w:rPr>
          <w:rFonts w:ascii="Symbol" w:eastAsia="Symbol" w:hAnsi="Symbol" w:cs="Symbol"/>
        </w:rPr>
        <w:t></w:t>
      </w:r>
      <w:r w:rsidRPr="00EE3355">
        <w:rPr>
          <w:rFonts w:ascii="Symbol" w:eastAsia="Symbol" w:hAnsi="Symbol" w:cs="Symbol"/>
        </w:rPr>
        <w:tab/>
      </w:r>
      <w:r w:rsidR="0098273B" w:rsidRPr="00EE3355">
        <w:t xml:space="preserve">pokud je pacientova hmotnost </w:t>
      </w:r>
      <w:r w:rsidR="0098273B" w:rsidRPr="00EE3355">
        <w:rPr>
          <w:b/>
        </w:rPr>
        <w:t>30 kg nebo více</w:t>
      </w:r>
      <w:r w:rsidR="0098273B" w:rsidRPr="00EE3355">
        <w:t>: dávka je 162 mg (obsah 1 předplněné injekční stříkačky), jednou týdně</w:t>
      </w:r>
    </w:p>
    <w:p w14:paraId="4A3E3EA8" w14:textId="77777777" w:rsidR="00222DE0" w:rsidRPr="00EE3355" w:rsidRDefault="00222DE0" w:rsidP="00EA1CDF">
      <w:pPr>
        <w:pStyle w:val="a3"/>
        <w:widowControl/>
        <w:ind w:left="0"/>
      </w:pPr>
    </w:p>
    <w:p w14:paraId="50F68A2C" w14:textId="77777777" w:rsidR="00222DE0" w:rsidRPr="00E574AF" w:rsidRDefault="0098273B" w:rsidP="00E574AF">
      <w:pPr>
        <w:pStyle w:val="a3"/>
        <w:widowControl/>
        <w:ind w:left="0"/>
        <w:rPr>
          <w:b/>
          <w:bCs/>
        </w:rPr>
      </w:pPr>
      <w:r w:rsidRPr="00E574AF">
        <w:rPr>
          <w:b/>
          <w:bCs/>
        </w:rPr>
        <w:t>Děti a dospívající s pJIA (od 2 let)</w:t>
      </w:r>
    </w:p>
    <w:p w14:paraId="1D1F9D57" w14:textId="1965B8D2" w:rsidR="00222DE0" w:rsidRPr="00EE3355" w:rsidRDefault="0098273B" w:rsidP="00EA1CDF">
      <w:pPr>
        <w:widowControl/>
        <w:rPr>
          <w:b/>
        </w:rPr>
      </w:pPr>
      <w:r w:rsidRPr="00EE3355">
        <w:rPr>
          <w:b/>
        </w:rPr>
        <w:t xml:space="preserve">Obvyklá dávka přípravku </w:t>
      </w:r>
      <w:r w:rsidR="00692AF5">
        <w:rPr>
          <w:b/>
        </w:rPr>
        <w:t>Avtozma</w:t>
      </w:r>
      <w:r w:rsidRPr="00EE3355">
        <w:rPr>
          <w:b/>
        </w:rPr>
        <w:t xml:space="preserve"> závisí na hmotnosti pacienta.</w:t>
      </w:r>
    </w:p>
    <w:p w14:paraId="60E3E6E6" w14:textId="77777777" w:rsidR="00222DE0" w:rsidRPr="00EE3355" w:rsidRDefault="00B23DAE" w:rsidP="00EA1CDF">
      <w:pPr>
        <w:widowControl/>
        <w:tabs>
          <w:tab w:val="left" w:pos="598"/>
        </w:tabs>
        <w:ind w:left="567" w:hanging="567"/>
        <w:rPr>
          <w:rFonts w:ascii="Symbol" w:hAnsi="Symbol"/>
          <w:b/>
        </w:rPr>
      </w:pPr>
      <w:r w:rsidRPr="00EE3355">
        <w:rPr>
          <w:rFonts w:ascii="Symbol" w:eastAsia="Symbol" w:hAnsi="Symbol" w:cs="Symbol"/>
        </w:rPr>
        <w:t></w:t>
      </w:r>
      <w:r w:rsidRPr="00EE3355">
        <w:rPr>
          <w:rFonts w:ascii="Symbol" w:eastAsia="Symbol" w:hAnsi="Symbol" w:cs="Symbol"/>
        </w:rPr>
        <w:tab/>
      </w:r>
      <w:r w:rsidR="0098273B" w:rsidRPr="00EE3355">
        <w:t xml:space="preserve">pokud je pacientova hmotnost </w:t>
      </w:r>
      <w:r w:rsidR="0098273B" w:rsidRPr="00EE3355">
        <w:rPr>
          <w:b/>
        </w:rPr>
        <w:t>nižší než 30 kg</w:t>
      </w:r>
      <w:r w:rsidR="0098273B" w:rsidRPr="00EE3355">
        <w:t xml:space="preserve">: dávka je 162 mg (obsah 1 předplněné injekční stříkačky), </w:t>
      </w:r>
      <w:r w:rsidR="0098273B" w:rsidRPr="00EE3355">
        <w:rPr>
          <w:b/>
        </w:rPr>
        <w:t>jednou za 3 týdny</w:t>
      </w:r>
    </w:p>
    <w:p w14:paraId="221DECA8" w14:textId="77777777" w:rsidR="00222DE0" w:rsidRPr="00EE3355" w:rsidRDefault="00B23DAE" w:rsidP="00EA1CDF">
      <w:pPr>
        <w:widowControl/>
        <w:tabs>
          <w:tab w:val="left" w:pos="598"/>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pokud je pacientova hmotnost </w:t>
      </w:r>
      <w:r w:rsidR="0098273B" w:rsidRPr="00EE3355">
        <w:rPr>
          <w:b/>
        </w:rPr>
        <w:t>30 kg nebo více</w:t>
      </w:r>
      <w:r w:rsidR="0098273B" w:rsidRPr="00EE3355">
        <w:t xml:space="preserve">: dávka je 162 mg (obsah 1 předplněné injekční stříkačky), </w:t>
      </w:r>
      <w:r w:rsidR="0098273B" w:rsidRPr="00EE3355">
        <w:rPr>
          <w:b/>
        </w:rPr>
        <w:t>jednou za 2 týdny.</w:t>
      </w:r>
    </w:p>
    <w:p w14:paraId="710CC078" w14:textId="77777777" w:rsidR="009E76DD" w:rsidRPr="00EE3355" w:rsidRDefault="009E76DD" w:rsidP="00EA1CDF">
      <w:pPr>
        <w:widowControl/>
        <w:tabs>
          <w:tab w:val="left" w:pos="598"/>
        </w:tabs>
        <w:rPr>
          <w:rFonts w:ascii="Symbol" w:hAnsi="Symbol"/>
        </w:rPr>
      </w:pPr>
    </w:p>
    <w:p w14:paraId="1140BAD3" w14:textId="62B98862" w:rsidR="00222DE0" w:rsidRPr="00EE3355" w:rsidRDefault="0098273B" w:rsidP="00EA1CDF">
      <w:pPr>
        <w:pStyle w:val="a3"/>
        <w:widowControl/>
        <w:ind w:left="0"/>
      </w:pPr>
      <w:r w:rsidRPr="00EE3355">
        <w:t xml:space="preserve">Přípravek </w:t>
      </w:r>
      <w:r w:rsidR="00692AF5">
        <w:t>Avtozma</w:t>
      </w:r>
      <w:r w:rsidRPr="00EE3355">
        <w:t xml:space="preserve"> se podává injekcí pod kůži (podkožně). Ze začátku Vám může injekci přípravku </w:t>
      </w:r>
      <w:r w:rsidR="00692AF5">
        <w:t>Avtozma</w:t>
      </w:r>
      <w:r w:rsidRPr="00EE3355">
        <w:t xml:space="preserve"> podávat Váš lékař nebo zdravotní sestra. Váš lékař však může rozhodnout, že si můžete injekci přípravku </w:t>
      </w:r>
      <w:r w:rsidR="00692AF5">
        <w:t>Avtozma</w:t>
      </w:r>
      <w:r w:rsidRPr="00EE3355">
        <w:t xml:space="preserve"> podat sám(a). V tomto případě budete proškolen(a), jak si sám(a) podat injekci přípravku </w:t>
      </w:r>
      <w:r w:rsidR="00692AF5">
        <w:t>Avtozma</w:t>
      </w:r>
      <w:r w:rsidRPr="00EE3355">
        <w:t xml:space="preserve">. Rodiče a opatrovníci budou vyškoleni, jak podávat injekci přípravku </w:t>
      </w:r>
      <w:r w:rsidR="00692AF5">
        <w:t>Avtozma</w:t>
      </w:r>
      <w:r w:rsidRPr="00EE3355">
        <w:t xml:space="preserve"> pacientům, kteří si jej nemohou podávat sami, jako jsou například děti.</w:t>
      </w:r>
    </w:p>
    <w:p w14:paraId="7B4BF49C" w14:textId="77777777" w:rsidR="0030655B" w:rsidRPr="00EE3355" w:rsidRDefault="0030655B" w:rsidP="00EA1CDF">
      <w:pPr>
        <w:pStyle w:val="a3"/>
        <w:widowControl/>
        <w:ind w:left="0"/>
      </w:pPr>
    </w:p>
    <w:p w14:paraId="2BF3FB36" w14:textId="77777777" w:rsidR="00222DE0" w:rsidRPr="00EE3355" w:rsidRDefault="0098273B" w:rsidP="00EA1CDF">
      <w:pPr>
        <w:pStyle w:val="a3"/>
        <w:widowControl/>
        <w:ind w:left="0"/>
      </w:pPr>
      <w:r w:rsidRPr="00EE3355">
        <w:t>Zeptejte se svého lékaře, pokud máte jakékoli otázky týkající se podání injekce sobě nebo dítěti, o</w:t>
      </w:r>
      <w:r w:rsidR="00704F4F">
        <w:t xml:space="preserve"> </w:t>
      </w:r>
      <w:r w:rsidRPr="00EE3355">
        <w:t>které pečujete. Podrobné „Informace o použití“ naleznete na konci této příbalové informace.</w:t>
      </w:r>
    </w:p>
    <w:p w14:paraId="49F907E1" w14:textId="77777777" w:rsidR="00222DE0" w:rsidRPr="00EE3355" w:rsidRDefault="00222DE0" w:rsidP="00EA1CDF">
      <w:pPr>
        <w:pStyle w:val="a3"/>
        <w:widowControl/>
        <w:ind w:left="0"/>
      </w:pPr>
    </w:p>
    <w:p w14:paraId="71B02498" w14:textId="02B20CCB" w:rsidR="00222DE0" w:rsidRPr="00EE3355" w:rsidRDefault="0098273B" w:rsidP="00B93217">
      <w:pPr>
        <w:pStyle w:val="2"/>
        <w:keepNext/>
        <w:widowControl/>
        <w:ind w:left="0"/>
      </w:pPr>
      <w:r w:rsidRPr="00EE3355">
        <w:lastRenderedPageBreak/>
        <w:t xml:space="preserve">Jestliže jste použil(a) více přípravku </w:t>
      </w:r>
      <w:r w:rsidR="00692AF5">
        <w:t>Avtozma</w:t>
      </w:r>
      <w:r w:rsidRPr="00EE3355">
        <w:t>, než jste měl(a)</w:t>
      </w:r>
    </w:p>
    <w:p w14:paraId="0D78BD9A" w14:textId="03A17E86" w:rsidR="00222DE0" w:rsidRPr="00EE3355" w:rsidRDefault="0098273B" w:rsidP="00EA1CDF">
      <w:pPr>
        <w:pStyle w:val="a3"/>
        <w:widowControl/>
        <w:ind w:left="0"/>
      </w:pPr>
      <w:r w:rsidRPr="00EE3355">
        <w:t xml:space="preserve">Jelikož je přípravek </w:t>
      </w:r>
      <w:r w:rsidR="00692AF5">
        <w:t>Avtozma</w:t>
      </w:r>
      <w:r w:rsidRPr="00EE3355">
        <w:t xml:space="preserve"> podáván předplněnou injekční stříkačkou, je nepravděpodobné, že by Vám ho bylo podáno příliš. Ale pokud máte obavy, řekněte to svému lékaři, lékárníkovi nebo zdravotní sestře.</w:t>
      </w:r>
    </w:p>
    <w:p w14:paraId="6C0E8373" w14:textId="77777777" w:rsidR="00222DE0" w:rsidRPr="00EE3355" w:rsidRDefault="00222DE0" w:rsidP="00EA1CDF">
      <w:pPr>
        <w:widowControl/>
      </w:pPr>
    </w:p>
    <w:p w14:paraId="03D5D010" w14:textId="657F85B0" w:rsidR="00222DE0" w:rsidRPr="00EE3355" w:rsidRDefault="0098273B" w:rsidP="00EA1CDF">
      <w:pPr>
        <w:widowControl/>
      </w:pPr>
      <w:r w:rsidRPr="00EE3355">
        <w:rPr>
          <w:b/>
        </w:rPr>
        <w:t xml:space="preserve">Jestliže dospělý s RA nebo GCA nebo dítě či dospívající se sJIA vynechá nebo zapomene dávku </w:t>
      </w:r>
      <w:r w:rsidRPr="00EE3355">
        <w:t xml:space="preserve">Je velmi důležité užívat přípravek </w:t>
      </w:r>
      <w:r w:rsidR="00692AF5">
        <w:t>Avtozma</w:t>
      </w:r>
      <w:r w:rsidRPr="00EE3355">
        <w:t xml:space="preserve"> přesně podle pokynů lékaře. Zkontrolujte si termín další dávky.</w:t>
      </w:r>
    </w:p>
    <w:p w14:paraId="3C9B9DE6" w14:textId="77777777" w:rsidR="00222DE0" w:rsidRPr="00EE3355" w:rsidRDefault="00B23DAE" w:rsidP="00EA1CDF">
      <w:pPr>
        <w:widowControl/>
        <w:tabs>
          <w:tab w:val="left" w:pos="804"/>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Pokud uplyne od vynechání týdenní dávky méně než 7 dnů, užijte dávku následující den poté, kdy byla plánovaná.</w:t>
      </w:r>
    </w:p>
    <w:p w14:paraId="39056137"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Pokud uplyne od vynechání dávky, kterou užíváte jednou za 2 týdny, méně než 7 dnů, aplikujte</w:t>
      </w:r>
      <w:r w:rsidR="0030655B" w:rsidRPr="00EE3355">
        <w:t xml:space="preserve"> </w:t>
      </w:r>
      <w:r w:rsidR="0098273B" w:rsidRPr="00EE3355">
        <w:t>si dávku, jakmile si vzpomenete a další dávku si aplikujte v pravidelném čase podání dávky.</w:t>
      </w:r>
    </w:p>
    <w:p w14:paraId="1E6F3A99" w14:textId="6838ABCF"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Pokud uplyne od vynechání dávky více než 7 dnů nebo si nejste jistý(á), kdy si aplikovat</w:t>
      </w:r>
      <w:r w:rsidR="0030655B" w:rsidRPr="00EE3355">
        <w:t xml:space="preserve"> </w:t>
      </w:r>
      <w:r w:rsidR="0098273B" w:rsidRPr="00EE3355">
        <w:t xml:space="preserve">přípravek </w:t>
      </w:r>
      <w:r w:rsidR="00692AF5">
        <w:t>Avtozma</w:t>
      </w:r>
      <w:r w:rsidR="0098273B" w:rsidRPr="00EE3355">
        <w:t>, zavolejte svému lékaři nebo lékárníkovi.</w:t>
      </w:r>
    </w:p>
    <w:p w14:paraId="2C27BB3A" w14:textId="77777777" w:rsidR="00222DE0" w:rsidRPr="00EE3355" w:rsidRDefault="00222DE0" w:rsidP="00EA1CDF">
      <w:pPr>
        <w:pStyle w:val="a3"/>
        <w:widowControl/>
        <w:ind w:left="0"/>
      </w:pPr>
    </w:p>
    <w:p w14:paraId="0B466A07" w14:textId="77777777" w:rsidR="00222DE0" w:rsidRPr="00E574AF" w:rsidRDefault="0098273B" w:rsidP="00E574AF">
      <w:pPr>
        <w:rPr>
          <w:b/>
          <w:bCs/>
        </w:rPr>
      </w:pPr>
      <w:r w:rsidRPr="00E574AF">
        <w:rPr>
          <w:b/>
          <w:bCs/>
        </w:rPr>
        <w:t>Jestliže dítě nebo dospívající s pJIA vynechá nebo zapomene dávku</w:t>
      </w:r>
    </w:p>
    <w:p w14:paraId="275E4CBC" w14:textId="612410EB" w:rsidR="00222DE0" w:rsidRPr="00EE3355" w:rsidRDefault="0098273B" w:rsidP="00EA1CDF">
      <w:pPr>
        <w:pStyle w:val="a3"/>
        <w:widowControl/>
        <w:ind w:left="0"/>
      </w:pPr>
      <w:r w:rsidRPr="00EE3355">
        <w:t xml:space="preserve">Je velmi důležité užívat přípravek </w:t>
      </w:r>
      <w:r w:rsidR="00692AF5">
        <w:t>Avtozma</w:t>
      </w:r>
      <w:r w:rsidRPr="00EE3355">
        <w:t xml:space="preserve"> přesně podle pokynů lékaře. Zkontrolujte si termín další</w:t>
      </w:r>
      <w:r w:rsidR="00704F4F">
        <w:t xml:space="preserve"> </w:t>
      </w:r>
      <w:r w:rsidRPr="00EE3355">
        <w:t>dávky.</w:t>
      </w:r>
    </w:p>
    <w:p w14:paraId="67B298FE" w14:textId="77777777" w:rsidR="00222DE0" w:rsidRPr="00EE3355" w:rsidRDefault="00B23DAE" w:rsidP="00EA1CDF">
      <w:pPr>
        <w:widowControl/>
        <w:tabs>
          <w:tab w:val="left" w:pos="805"/>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Pokud uplyne od vynechání dávky méně než 7 dnů, aplikujte dávku, jakmile si vzpomenete, a podejte dávku v pravidelném čase podání dávky.</w:t>
      </w:r>
    </w:p>
    <w:p w14:paraId="49A43A2A" w14:textId="3FA9F6B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Pokud uplyne od vynechání dávky více než 7 dnů nebo si nejste jistý(á), kdy aplikovat</w:t>
      </w:r>
      <w:r w:rsidR="00904A94" w:rsidRPr="00EE3355">
        <w:t xml:space="preserve"> </w:t>
      </w:r>
      <w:r w:rsidR="0098273B" w:rsidRPr="00EE3355">
        <w:t xml:space="preserve">přípravek </w:t>
      </w:r>
      <w:r w:rsidR="00692AF5">
        <w:t>Avtozma</w:t>
      </w:r>
      <w:r w:rsidR="0098273B" w:rsidRPr="00EE3355">
        <w:t>, zavolejte lékaři nebo lékárníkovi.</w:t>
      </w:r>
    </w:p>
    <w:p w14:paraId="3C583AB2" w14:textId="77777777" w:rsidR="00222DE0" w:rsidRPr="00EE3355" w:rsidRDefault="00222DE0" w:rsidP="00EA1CDF">
      <w:pPr>
        <w:pStyle w:val="a3"/>
        <w:widowControl/>
        <w:ind w:left="0"/>
      </w:pPr>
    </w:p>
    <w:p w14:paraId="1FD0858C" w14:textId="766AA12B" w:rsidR="00222DE0" w:rsidRPr="00E574AF" w:rsidRDefault="0098273B" w:rsidP="00E574AF">
      <w:pPr>
        <w:rPr>
          <w:b/>
          <w:bCs/>
        </w:rPr>
      </w:pPr>
      <w:r w:rsidRPr="00E574AF">
        <w:rPr>
          <w:b/>
          <w:bCs/>
        </w:rPr>
        <w:t xml:space="preserve">Jestliže jste přestal(a) používat přípravek </w:t>
      </w:r>
      <w:r w:rsidR="00692AF5" w:rsidRPr="00E574AF">
        <w:rPr>
          <w:b/>
          <w:bCs/>
        </w:rPr>
        <w:t>Avtozma</w:t>
      </w:r>
    </w:p>
    <w:p w14:paraId="1DA01F42" w14:textId="73B5F4E4" w:rsidR="00222DE0" w:rsidRPr="00EE3355" w:rsidRDefault="0098273B" w:rsidP="00EA1CDF">
      <w:pPr>
        <w:pStyle w:val="a3"/>
        <w:widowControl/>
        <w:ind w:left="0"/>
      </w:pPr>
      <w:r w:rsidRPr="00EE3355">
        <w:t xml:space="preserve">Nepřestávejte s léčbou přípravkem </w:t>
      </w:r>
      <w:r w:rsidR="00692AF5">
        <w:t>Avtozma</w:t>
      </w:r>
      <w:r w:rsidRPr="00EE3355">
        <w:t xml:space="preserve"> bez porady se svým lékařem.</w:t>
      </w:r>
    </w:p>
    <w:p w14:paraId="22DBE0D3" w14:textId="77777777" w:rsidR="00222DE0" w:rsidRPr="00EE3355" w:rsidRDefault="00222DE0" w:rsidP="00EA1CDF">
      <w:pPr>
        <w:pStyle w:val="a3"/>
        <w:widowControl/>
        <w:ind w:left="0"/>
      </w:pPr>
    </w:p>
    <w:p w14:paraId="684CBAD1" w14:textId="77777777" w:rsidR="00222DE0" w:rsidRPr="00EE3355" w:rsidRDefault="0098273B" w:rsidP="00EA1CDF">
      <w:pPr>
        <w:pStyle w:val="a3"/>
        <w:widowControl/>
        <w:ind w:left="0"/>
      </w:pPr>
      <w:r w:rsidRPr="00EE3355">
        <w:t>Máte-li jakékoli další otázky týkající se užívání tohoto přípravku, zeptejte se svého lékaře, lékárníka</w:t>
      </w:r>
      <w:r w:rsidR="00704F4F">
        <w:t xml:space="preserve"> </w:t>
      </w:r>
      <w:r w:rsidRPr="00EE3355">
        <w:t>nebo zdravotní sestry.</w:t>
      </w:r>
    </w:p>
    <w:p w14:paraId="62A7DEA8" w14:textId="77777777" w:rsidR="00222DE0" w:rsidRPr="00EE3355" w:rsidRDefault="00222DE0" w:rsidP="00EA1CDF">
      <w:pPr>
        <w:pStyle w:val="a3"/>
        <w:widowControl/>
        <w:ind w:left="0"/>
      </w:pPr>
    </w:p>
    <w:p w14:paraId="5D15C119" w14:textId="77777777" w:rsidR="00222DE0" w:rsidRPr="00EE3355" w:rsidRDefault="00222DE0" w:rsidP="00EA1CDF">
      <w:pPr>
        <w:pStyle w:val="a3"/>
        <w:widowControl/>
        <w:ind w:left="0"/>
      </w:pPr>
    </w:p>
    <w:p w14:paraId="269DD5C4" w14:textId="77777777" w:rsidR="00222DE0" w:rsidRPr="00E574AF" w:rsidRDefault="00B23DAE" w:rsidP="00E574AF">
      <w:pPr>
        <w:rPr>
          <w:b/>
          <w:bCs/>
        </w:rPr>
      </w:pPr>
      <w:r w:rsidRPr="00E574AF">
        <w:rPr>
          <w:b/>
          <w:bCs/>
        </w:rPr>
        <w:t>4.</w:t>
      </w:r>
      <w:r w:rsidRPr="00E574AF">
        <w:rPr>
          <w:b/>
          <w:bCs/>
        </w:rPr>
        <w:tab/>
      </w:r>
      <w:r w:rsidR="0098273B" w:rsidRPr="00E574AF">
        <w:rPr>
          <w:b/>
          <w:bCs/>
        </w:rPr>
        <w:t>Možné nežádoucí účinky</w:t>
      </w:r>
    </w:p>
    <w:p w14:paraId="101E9972" w14:textId="77777777" w:rsidR="00A8230D" w:rsidRPr="00EE3355" w:rsidRDefault="00A8230D" w:rsidP="00943257"/>
    <w:p w14:paraId="00F16AB5" w14:textId="2680BBDA" w:rsidR="00222DE0" w:rsidRPr="00EE3355" w:rsidRDefault="0098273B" w:rsidP="00EA1CDF">
      <w:pPr>
        <w:pStyle w:val="a3"/>
        <w:widowControl/>
        <w:ind w:left="0"/>
      </w:pPr>
      <w:r w:rsidRPr="00EE3355">
        <w:t xml:space="preserve">Podobně jako všechny léky může mít i přípravek </w:t>
      </w:r>
      <w:r w:rsidR="00692AF5">
        <w:t>Avtozma</w:t>
      </w:r>
      <w:r w:rsidRPr="00EE3355">
        <w:t xml:space="preserve"> nežádoucí účinky, které se ale nemusí vyskytnout u každého.</w:t>
      </w:r>
    </w:p>
    <w:p w14:paraId="48974F63" w14:textId="77777777" w:rsidR="004E07D0" w:rsidRPr="00EE3355" w:rsidRDefault="004E07D0" w:rsidP="00EA1CDF">
      <w:pPr>
        <w:pStyle w:val="a3"/>
        <w:widowControl/>
        <w:ind w:left="0"/>
      </w:pPr>
    </w:p>
    <w:p w14:paraId="6FCD5431" w14:textId="33B358C3" w:rsidR="00222DE0" w:rsidRPr="00EE3355" w:rsidRDefault="0098273B" w:rsidP="00EA1CDF">
      <w:pPr>
        <w:pStyle w:val="a3"/>
        <w:widowControl/>
        <w:ind w:left="0"/>
      </w:pPr>
      <w:r w:rsidRPr="00EE3355">
        <w:t xml:space="preserve">Nežádoucí účinky se můžou vyskytnout ještě do 3 měsíců po poslední dávce přípravku </w:t>
      </w:r>
      <w:r w:rsidR="00692AF5">
        <w:t>Avtozma</w:t>
      </w:r>
      <w:r w:rsidRPr="00EE3355">
        <w:t>.</w:t>
      </w:r>
    </w:p>
    <w:p w14:paraId="3323CF31" w14:textId="77777777" w:rsidR="00222DE0" w:rsidRPr="00EE3355" w:rsidRDefault="00222DE0" w:rsidP="00EA1CDF">
      <w:pPr>
        <w:pStyle w:val="a3"/>
        <w:widowControl/>
        <w:ind w:left="0"/>
      </w:pPr>
    </w:p>
    <w:p w14:paraId="7FD05A25" w14:textId="77777777" w:rsidR="00222DE0" w:rsidRPr="00EE3355" w:rsidRDefault="0098273B" w:rsidP="00EA1CDF">
      <w:pPr>
        <w:widowControl/>
      </w:pPr>
      <w:r w:rsidRPr="00EE3355">
        <w:rPr>
          <w:b/>
        </w:rPr>
        <w:t xml:space="preserve">Možné závažné nežádoucí účinky: </w:t>
      </w:r>
      <w:r w:rsidRPr="00EE3355">
        <w:t>sdělte ihned lékaři.</w:t>
      </w:r>
    </w:p>
    <w:p w14:paraId="771F4B5A" w14:textId="77777777" w:rsidR="00222DE0" w:rsidRPr="00EE3355" w:rsidRDefault="0098273B" w:rsidP="00EA1CDF">
      <w:pPr>
        <w:widowControl/>
        <w:rPr>
          <w:i/>
        </w:rPr>
      </w:pPr>
      <w:r w:rsidRPr="00EE3355">
        <w:rPr>
          <w:i/>
        </w:rPr>
        <w:t>Tyto nežádoucí účinky jsou časté: mohou postihnout až 1 z 10 pacientů</w:t>
      </w:r>
    </w:p>
    <w:p w14:paraId="069ABD1A" w14:textId="77777777" w:rsidR="00222DE0" w:rsidRPr="00EE3355" w:rsidRDefault="00222DE0" w:rsidP="00EA1CDF">
      <w:pPr>
        <w:pStyle w:val="a3"/>
        <w:widowControl/>
        <w:ind w:left="0"/>
        <w:rPr>
          <w:i/>
        </w:rPr>
      </w:pPr>
    </w:p>
    <w:p w14:paraId="7955363B" w14:textId="77777777" w:rsidR="00222DE0" w:rsidRPr="00EE3355" w:rsidRDefault="0098273B" w:rsidP="00EA1CDF">
      <w:pPr>
        <w:widowControl/>
      </w:pPr>
      <w:r w:rsidRPr="00EE3355">
        <w:rPr>
          <w:b/>
        </w:rPr>
        <w:t>Alergické reakce</w:t>
      </w:r>
      <w:r w:rsidRPr="00EE3355">
        <w:t>, které se objeví během nebo po podání injekce:</w:t>
      </w:r>
    </w:p>
    <w:p w14:paraId="550E6095"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problémy s dýcháním, tíseň na hrudi nebo pocit závrati</w:t>
      </w:r>
    </w:p>
    <w:p w14:paraId="239C0461"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vyrážka, svědění, kopřivka, otok rtů, jazyka nebo obličeje</w:t>
      </w:r>
    </w:p>
    <w:p w14:paraId="3360C552" w14:textId="77777777" w:rsidR="004E07D0" w:rsidRPr="00EE3355" w:rsidRDefault="004E07D0" w:rsidP="00EA1CDF">
      <w:pPr>
        <w:widowControl/>
        <w:tabs>
          <w:tab w:val="left" w:pos="805"/>
        </w:tabs>
      </w:pPr>
    </w:p>
    <w:p w14:paraId="227EAA97" w14:textId="77777777" w:rsidR="00222DE0" w:rsidRPr="00EE3355" w:rsidRDefault="0098273B" w:rsidP="00EA1CDF">
      <w:pPr>
        <w:pStyle w:val="a3"/>
        <w:widowControl/>
        <w:ind w:left="0"/>
      </w:pPr>
      <w:r w:rsidRPr="00EE3355">
        <w:t xml:space="preserve">Pokud zaznamenáte jakýkoli z těchto příznaků, </w:t>
      </w:r>
      <w:r w:rsidRPr="00EE3355">
        <w:rPr>
          <w:b/>
        </w:rPr>
        <w:t xml:space="preserve">ihned </w:t>
      </w:r>
      <w:r w:rsidRPr="00EE3355">
        <w:t>to sdělte svému lékaři.</w:t>
      </w:r>
    </w:p>
    <w:p w14:paraId="7063277D" w14:textId="77777777" w:rsidR="00222DE0" w:rsidRPr="00EE3355" w:rsidRDefault="00222DE0" w:rsidP="00EA1CDF">
      <w:pPr>
        <w:pStyle w:val="a3"/>
        <w:widowControl/>
        <w:ind w:left="0"/>
      </w:pPr>
    </w:p>
    <w:p w14:paraId="26EECEF0" w14:textId="77777777" w:rsidR="00222DE0" w:rsidRPr="00E574AF" w:rsidRDefault="0098273B" w:rsidP="00E574AF">
      <w:pPr>
        <w:rPr>
          <w:b/>
          <w:bCs/>
        </w:rPr>
      </w:pPr>
      <w:r w:rsidRPr="00E574AF">
        <w:rPr>
          <w:b/>
          <w:bCs/>
        </w:rPr>
        <w:t>Známky závažné infekce</w:t>
      </w:r>
    </w:p>
    <w:p w14:paraId="32858FA6"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horečka a zimnice</w:t>
      </w:r>
    </w:p>
    <w:p w14:paraId="48E4B190"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puchýře v ústech a na kůži</w:t>
      </w:r>
    </w:p>
    <w:p w14:paraId="087CCE7D"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bolest žaludku</w:t>
      </w:r>
    </w:p>
    <w:p w14:paraId="370A3779" w14:textId="77777777" w:rsidR="00222DE0" w:rsidRPr="00EE3355" w:rsidRDefault="00222DE0" w:rsidP="00EA1CDF">
      <w:pPr>
        <w:pStyle w:val="a3"/>
        <w:widowControl/>
        <w:ind w:left="0"/>
      </w:pPr>
    </w:p>
    <w:p w14:paraId="1DFF014A" w14:textId="77777777" w:rsidR="00222DE0" w:rsidRPr="00E574AF" w:rsidRDefault="0098273B" w:rsidP="00E574AF">
      <w:pPr>
        <w:rPr>
          <w:b/>
          <w:bCs/>
        </w:rPr>
      </w:pPr>
      <w:r w:rsidRPr="00E574AF">
        <w:rPr>
          <w:b/>
          <w:bCs/>
        </w:rPr>
        <w:t>Známky a příznaky jaterní toxicity</w:t>
      </w:r>
    </w:p>
    <w:p w14:paraId="5AE12FAD" w14:textId="77777777" w:rsidR="00222DE0" w:rsidRPr="00EE3355" w:rsidRDefault="0098273B" w:rsidP="00EA1CDF">
      <w:pPr>
        <w:widowControl/>
        <w:rPr>
          <w:i/>
        </w:rPr>
      </w:pPr>
      <w:r w:rsidRPr="00EE3355">
        <w:rPr>
          <w:i/>
        </w:rPr>
        <w:t>Mohou postihnout až 1 z 1 000 pacientů</w:t>
      </w:r>
    </w:p>
    <w:p w14:paraId="0BEED7BE" w14:textId="5B4ED0A9"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CF4855">
        <w:t>únava</w:t>
      </w:r>
    </w:p>
    <w:p w14:paraId="64D749F8"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bolest břicha</w:t>
      </w:r>
    </w:p>
    <w:p w14:paraId="323DA6E8"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žloutenka (zežloutnutí kůže nebo očí)</w:t>
      </w:r>
    </w:p>
    <w:p w14:paraId="0238D6C5" w14:textId="77777777" w:rsidR="00CA5118" w:rsidRPr="00EE3355" w:rsidRDefault="00CA5118" w:rsidP="00EA1CDF">
      <w:pPr>
        <w:widowControl/>
        <w:tabs>
          <w:tab w:val="left" w:pos="806"/>
        </w:tabs>
      </w:pPr>
    </w:p>
    <w:p w14:paraId="5993F7CA" w14:textId="77777777" w:rsidR="00222DE0" w:rsidRPr="00EE3355" w:rsidRDefault="0098273B" w:rsidP="00EA1CDF">
      <w:pPr>
        <w:pStyle w:val="a3"/>
        <w:widowControl/>
        <w:ind w:left="0"/>
      </w:pPr>
      <w:r w:rsidRPr="00EE3355">
        <w:t xml:space="preserve">Pokud zaznamenáte jakýkoli z těchto příznaků, </w:t>
      </w:r>
      <w:r w:rsidRPr="00EE3355">
        <w:rPr>
          <w:b/>
        </w:rPr>
        <w:t xml:space="preserve">co nejdříve </w:t>
      </w:r>
      <w:r w:rsidRPr="00EE3355">
        <w:t>to sdělte svému lékaři.</w:t>
      </w:r>
    </w:p>
    <w:p w14:paraId="1C95F161" w14:textId="77777777" w:rsidR="00222DE0" w:rsidRPr="00EE3355" w:rsidRDefault="00222DE0" w:rsidP="00EA1CDF">
      <w:pPr>
        <w:widowControl/>
      </w:pPr>
    </w:p>
    <w:p w14:paraId="3F59DD6C" w14:textId="77777777" w:rsidR="00222DE0" w:rsidRPr="00E574AF" w:rsidRDefault="0098273B" w:rsidP="00E574AF">
      <w:pPr>
        <w:rPr>
          <w:b/>
          <w:bCs/>
        </w:rPr>
      </w:pPr>
      <w:r w:rsidRPr="00E574AF">
        <w:rPr>
          <w:b/>
          <w:bCs/>
        </w:rPr>
        <w:t>Velmi časté nežádoucí účinky</w:t>
      </w:r>
      <w:r w:rsidRPr="00E574AF">
        <w:t>:</w:t>
      </w:r>
    </w:p>
    <w:p w14:paraId="75904123" w14:textId="77777777" w:rsidR="00222DE0" w:rsidRPr="00EE3355" w:rsidRDefault="0098273B" w:rsidP="00EA1CDF">
      <w:pPr>
        <w:widowControl/>
        <w:rPr>
          <w:i/>
        </w:rPr>
      </w:pPr>
      <w:r w:rsidRPr="00EE3355">
        <w:rPr>
          <w:i/>
        </w:rPr>
        <w:t>Mohou postihnout více než 1 z 10 pacientů</w:t>
      </w:r>
    </w:p>
    <w:p w14:paraId="3A1FD1CD"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infekce horních cest dýchacích s typickými příznaky, jako jsou kašel, ucpaný nos, rýma, bolest</w:t>
      </w:r>
      <w:r w:rsidR="00C51714" w:rsidRPr="00EE3355">
        <w:t xml:space="preserve"> </w:t>
      </w:r>
      <w:r w:rsidR="0098273B" w:rsidRPr="00EE3355">
        <w:t>v krku a bolest hlavy</w:t>
      </w:r>
    </w:p>
    <w:p w14:paraId="71C08980" w14:textId="77777777" w:rsidR="00222DE0" w:rsidRPr="00EE3355" w:rsidRDefault="00B23DAE" w:rsidP="00EA1CDF">
      <w:pPr>
        <w:widowControl/>
        <w:tabs>
          <w:tab w:val="left" w:pos="804"/>
        </w:tabs>
        <w:ind w:left="567" w:hanging="567"/>
      </w:pPr>
      <w:r w:rsidRPr="00EE3355">
        <w:rPr>
          <w:rFonts w:ascii="Symbol" w:eastAsia="Symbol" w:hAnsi="Symbol" w:cs="Symbol"/>
        </w:rPr>
        <w:t></w:t>
      </w:r>
      <w:r w:rsidRPr="00EE3355">
        <w:rPr>
          <w:rFonts w:ascii="Symbol" w:eastAsia="Symbol" w:hAnsi="Symbol" w:cs="Symbol"/>
        </w:rPr>
        <w:tab/>
      </w:r>
      <w:r w:rsidR="0098273B" w:rsidRPr="00EE3355">
        <w:t>vysoká hladina tuku (cholesterolu) v krvi</w:t>
      </w:r>
    </w:p>
    <w:p w14:paraId="0267E026"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reakce v místě vpichu injekce</w:t>
      </w:r>
    </w:p>
    <w:p w14:paraId="660ED3F7" w14:textId="77777777" w:rsidR="00222DE0" w:rsidRPr="00EE3355" w:rsidRDefault="00222DE0" w:rsidP="00EA1CDF">
      <w:pPr>
        <w:pStyle w:val="a3"/>
        <w:widowControl/>
        <w:ind w:left="0"/>
      </w:pPr>
    </w:p>
    <w:p w14:paraId="61E6937B" w14:textId="77777777" w:rsidR="00222DE0" w:rsidRPr="00E574AF" w:rsidRDefault="0098273B" w:rsidP="00E574AF">
      <w:pPr>
        <w:rPr>
          <w:b/>
          <w:bCs/>
        </w:rPr>
      </w:pPr>
      <w:r w:rsidRPr="00E574AF">
        <w:rPr>
          <w:b/>
          <w:bCs/>
        </w:rPr>
        <w:t>Časté nežádoucí účinky</w:t>
      </w:r>
      <w:r w:rsidRPr="00E574AF">
        <w:t>:</w:t>
      </w:r>
    </w:p>
    <w:p w14:paraId="65B4C3FA" w14:textId="77777777" w:rsidR="00222DE0" w:rsidRPr="00EE3355" w:rsidRDefault="0098273B" w:rsidP="00EA1CDF">
      <w:pPr>
        <w:keepNext/>
        <w:widowControl/>
        <w:rPr>
          <w:i/>
        </w:rPr>
      </w:pPr>
      <w:r w:rsidRPr="00EE3355">
        <w:rPr>
          <w:i/>
        </w:rPr>
        <w:t>Mohou postihnout až 1 z 10 pacientů</w:t>
      </w:r>
    </w:p>
    <w:p w14:paraId="62CF360B"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plicní infekce (pneumonie, zápal plic)</w:t>
      </w:r>
    </w:p>
    <w:p w14:paraId="4259373C"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pásový opar (herpes zoster)</w:t>
      </w:r>
    </w:p>
    <w:p w14:paraId="73A8E092"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opary (ústní herpes simplex), puchýře</w:t>
      </w:r>
    </w:p>
    <w:p w14:paraId="30BC30D5" w14:textId="77777777" w:rsidR="00222DE0" w:rsidRPr="00EE3355" w:rsidRDefault="00B23DAE" w:rsidP="00EA1CDF">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kožní infekce (celulitida), někdy s horečkou a třesavkou</w:t>
      </w:r>
    </w:p>
    <w:p w14:paraId="3EAA3585"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vyrážka a svědění, kopřivka</w:t>
      </w:r>
    </w:p>
    <w:p w14:paraId="22D3F680"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alergické reakce (reakce přecitlivělosti)</w:t>
      </w:r>
    </w:p>
    <w:p w14:paraId="38A45568"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infekce oka (zánět spojivek)</w:t>
      </w:r>
    </w:p>
    <w:p w14:paraId="136D4682" w14:textId="77777777" w:rsidR="00222DE0" w:rsidRPr="00EE3355" w:rsidRDefault="00B23DAE" w:rsidP="00EA1CDF">
      <w:pPr>
        <w:widowControl/>
        <w:tabs>
          <w:tab w:val="left" w:pos="806"/>
        </w:tabs>
        <w:ind w:left="567" w:hanging="567"/>
      </w:pPr>
      <w:r w:rsidRPr="00EE3355">
        <w:rPr>
          <w:rFonts w:ascii="Symbol" w:eastAsia="Symbol" w:hAnsi="Symbol" w:cs="Symbol"/>
        </w:rPr>
        <w:t></w:t>
      </w:r>
      <w:r w:rsidRPr="00EE3355">
        <w:rPr>
          <w:rFonts w:ascii="Symbol" w:eastAsia="Symbol" w:hAnsi="Symbol" w:cs="Symbol"/>
        </w:rPr>
        <w:tab/>
      </w:r>
      <w:r w:rsidR="0098273B" w:rsidRPr="00EE3355">
        <w:t>bolest hlavy, závrať, vysoký krevní tlak</w:t>
      </w:r>
    </w:p>
    <w:p w14:paraId="6236A6E4"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vředy v ústech, bolest žaludku</w:t>
      </w:r>
    </w:p>
    <w:p w14:paraId="65AD6579"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zadržování tekutin (otoky) na dolních končetinách, nárůst tělesné hmotnosti</w:t>
      </w:r>
    </w:p>
    <w:p w14:paraId="481ABB55"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kašel, dušnost</w:t>
      </w:r>
    </w:p>
    <w:p w14:paraId="449186B1"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bílých krvinek v krevních testech (neutropenie, leukopenie)</w:t>
      </w:r>
    </w:p>
    <w:p w14:paraId="1DE913D6"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abnormální výsledky testů jaterních funkcí (zvýšení aminotransferáz)</w:t>
      </w:r>
    </w:p>
    <w:p w14:paraId="11AAC2ED"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zvýšení bilirubinu v krevních testech</w:t>
      </w:r>
    </w:p>
    <w:p w14:paraId="5F04AAD4" w14:textId="77777777" w:rsidR="00222DE0" w:rsidRPr="00EE3355" w:rsidRDefault="00B23DAE" w:rsidP="00EA1CDF">
      <w:pPr>
        <w:widowControl/>
        <w:tabs>
          <w:tab w:val="left" w:pos="807"/>
        </w:tabs>
        <w:ind w:left="567" w:hanging="567"/>
      </w:pPr>
      <w:r w:rsidRPr="00EE3355">
        <w:rPr>
          <w:rFonts w:ascii="Symbol" w:eastAsia="Symbol" w:hAnsi="Symbol" w:cs="Symbol"/>
        </w:rPr>
        <w:t></w:t>
      </w:r>
      <w:r w:rsidRPr="00EE3355">
        <w:rPr>
          <w:rFonts w:ascii="Symbol" w:eastAsia="Symbol" w:hAnsi="Symbol" w:cs="Symbol"/>
        </w:rPr>
        <w:tab/>
      </w:r>
      <w:r w:rsidR="0098273B" w:rsidRPr="00EE3355">
        <w:t>nízké hodnoty fibrinogenu v krvi (bílkovina potřebná ke srážení krve)</w:t>
      </w:r>
    </w:p>
    <w:p w14:paraId="511A71B6" w14:textId="77777777" w:rsidR="00222DE0" w:rsidRPr="00EE3355" w:rsidRDefault="00222DE0" w:rsidP="00EA1CDF">
      <w:pPr>
        <w:pStyle w:val="a3"/>
        <w:widowControl/>
        <w:ind w:left="0"/>
      </w:pPr>
    </w:p>
    <w:p w14:paraId="7E894621" w14:textId="77777777" w:rsidR="00222DE0" w:rsidRPr="00EE3355" w:rsidRDefault="0098273B" w:rsidP="00FB1E69">
      <w:pPr>
        <w:rPr>
          <w:b/>
        </w:rPr>
      </w:pPr>
      <w:r w:rsidRPr="00FB1E69">
        <w:rPr>
          <w:b/>
          <w:bCs/>
        </w:rPr>
        <w:t>Méně časté nežádoucí účinky</w:t>
      </w:r>
      <w:r w:rsidRPr="00EE3355">
        <w:t>:</w:t>
      </w:r>
    </w:p>
    <w:p w14:paraId="73545938" w14:textId="77777777" w:rsidR="00222DE0" w:rsidRPr="00EE3355" w:rsidRDefault="0098273B" w:rsidP="00EA1CDF">
      <w:pPr>
        <w:widowControl/>
        <w:rPr>
          <w:i/>
        </w:rPr>
      </w:pPr>
      <w:r w:rsidRPr="00EE3355">
        <w:rPr>
          <w:i/>
        </w:rPr>
        <w:t>Mohou postihnout až 1 ze 100 pacientů</w:t>
      </w:r>
    </w:p>
    <w:p w14:paraId="05EFB5A7" w14:textId="79A7C04D" w:rsidR="00222DE0" w:rsidRPr="00EE3355" w:rsidRDefault="00B23DAE" w:rsidP="00EA1CDF">
      <w:pPr>
        <w:widowControl/>
        <w:tabs>
          <w:tab w:val="left" w:pos="808"/>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divertikulitida (horečka, pocit na zvracení, průjem, zácpa, bolest </w:t>
      </w:r>
      <w:r w:rsidR="00CF4855">
        <w:t>břicha</w:t>
      </w:r>
      <w:r w:rsidR="0098273B" w:rsidRPr="00EE3355">
        <w:t>)</w:t>
      </w:r>
    </w:p>
    <w:p w14:paraId="58188854" w14:textId="77777777" w:rsidR="00222DE0" w:rsidRPr="00EE3355" w:rsidRDefault="00B23DAE" w:rsidP="00EA1CDF">
      <w:pPr>
        <w:widowControl/>
        <w:tabs>
          <w:tab w:val="left" w:pos="808"/>
        </w:tabs>
        <w:ind w:left="567" w:hanging="567"/>
      </w:pPr>
      <w:r w:rsidRPr="00EE3355">
        <w:rPr>
          <w:rFonts w:ascii="Symbol" w:eastAsia="Symbol" w:hAnsi="Symbol" w:cs="Symbol"/>
        </w:rPr>
        <w:t></w:t>
      </w:r>
      <w:r w:rsidRPr="00EE3355">
        <w:rPr>
          <w:rFonts w:ascii="Symbol" w:eastAsia="Symbol" w:hAnsi="Symbol" w:cs="Symbol"/>
        </w:rPr>
        <w:tab/>
      </w:r>
      <w:r w:rsidR="0098273B" w:rsidRPr="00EE3355">
        <w:t>zarudlé, oteklé (zánětlivé) plochy v ústech</w:t>
      </w:r>
    </w:p>
    <w:p w14:paraId="4032F55A" w14:textId="77777777" w:rsidR="00222DE0" w:rsidRPr="00EE3355" w:rsidRDefault="00B23DAE" w:rsidP="00EA1CDF">
      <w:pPr>
        <w:widowControl/>
        <w:tabs>
          <w:tab w:val="left" w:pos="808"/>
        </w:tabs>
        <w:ind w:left="567" w:hanging="567"/>
      </w:pPr>
      <w:r w:rsidRPr="00EE3355">
        <w:rPr>
          <w:rFonts w:ascii="Symbol" w:eastAsia="Symbol" w:hAnsi="Symbol" w:cs="Symbol"/>
        </w:rPr>
        <w:t></w:t>
      </w:r>
      <w:r w:rsidRPr="00EE3355">
        <w:rPr>
          <w:rFonts w:ascii="Symbol" w:eastAsia="Symbol" w:hAnsi="Symbol" w:cs="Symbol"/>
        </w:rPr>
        <w:tab/>
      </w:r>
      <w:r w:rsidR="0098273B" w:rsidRPr="00EE3355">
        <w:t>vysoká hladina tuků (triglyceridů) v krvi</w:t>
      </w:r>
    </w:p>
    <w:p w14:paraId="7DFB5AAE" w14:textId="77777777" w:rsidR="00222DE0" w:rsidRPr="00EE3355" w:rsidRDefault="00B23DAE" w:rsidP="00EA1CDF">
      <w:pPr>
        <w:widowControl/>
        <w:tabs>
          <w:tab w:val="left" w:pos="808"/>
        </w:tabs>
        <w:ind w:left="567" w:hanging="567"/>
      </w:pPr>
      <w:r w:rsidRPr="00EE3355">
        <w:rPr>
          <w:rFonts w:ascii="Symbol" w:eastAsia="Symbol" w:hAnsi="Symbol" w:cs="Symbol"/>
        </w:rPr>
        <w:t></w:t>
      </w:r>
      <w:r w:rsidRPr="00EE3355">
        <w:rPr>
          <w:rFonts w:ascii="Symbol" w:eastAsia="Symbol" w:hAnsi="Symbol" w:cs="Symbol"/>
        </w:rPr>
        <w:tab/>
      </w:r>
      <w:r w:rsidR="0098273B" w:rsidRPr="00EE3355">
        <w:t>žaludeční vřed</w:t>
      </w:r>
    </w:p>
    <w:p w14:paraId="2ED2AF03" w14:textId="77777777" w:rsidR="00222DE0" w:rsidRPr="00EE3355" w:rsidRDefault="00B23DAE" w:rsidP="00EA1CDF">
      <w:pPr>
        <w:widowControl/>
        <w:tabs>
          <w:tab w:val="left" w:pos="809"/>
        </w:tabs>
        <w:ind w:left="567" w:hanging="567"/>
      </w:pPr>
      <w:r w:rsidRPr="00EE3355">
        <w:rPr>
          <w:rFonts w:ascii="Symbol" w:eastAsia="Symbol" w:hAnsi="Symbol" w:cs="Symbol"/>
        </w:rPr>
        <w:t></w:t>
      </w:r>
      <w:r w:rsidRPr="00EE3355">
        <w:rPr>
          <w:rFonts w:ascii="Symbol" w:eastAsia="Symbol" w:hAnsi="Symbol" w:cs="Symbol"/>
        </w:rPr>
        <w:tab/>
      </w:r>
      <w:r w:rsidR="0098273B" w:rsidRPr="00EE3355">
        <w:t>ledvinové kameny</w:t>
      </w:r>
    </w:p>
    <w:p w14:paraId="6390CBD9" w14:textId="77777777" w:rsidR="00222DE0" w:rsidRPr="00EE3355" w:rsidRDefault="00B23DAE" w:rsidP="00EA1CDF">
      <w:pPr>
        <w:widowControl/>
        <w:tabs>
          <w:tab w:val="left" w:pos="809"/>
        </w:tabs>
        <w:ind w:left="567" w:hanging="567"/>
      </w:pPr>
      <w:r w:rsidRPr="00EE3355">
        <w:rPr>
          <w:rFonts w:ascii="Symbol" w:eastAsia="Symbol" w:hAnsi="Symbol" w:cs="Symbol"/>
        </w:rPr>
        <w:t></w:t>
      </w:r>
      <w:r w:rsidRPr="00EE3355">
        <w:rPr>
          <w:rFonts w:ascii="Symbol" w:eastAsia="Symbol" w:hAnsi="Symbol" w:cs="Symbol"/>
        </w:rPr>
        <w:tab/>
      </w:r>
      <w:r w:rsidR="0098273B" w:rsidRPr="00EE3355">
        <w:t>snížená funkce štítné žlázy</w:t>
      </w:r>
    </w:p>
    <w:p w14:paraId="44E921CB" w14:textId="77777777" w:rsidR="000104D0" w:rsidRPr="00EE3355" w:rsidRDefault="000104D0" w:rsidP="00EA1CDF">
      <w:pPr>
        <w:widowControl/>
        <w:tabs>
          <w:tab w:val="left" w:pos="809"/>
        </w:tabs>
      </w:pPr>
    </w:p>
    <w:p w14:paraId="3EC23A0B" w14:textId="77777777" w:rsidR="00222DE0" w:rsidRPr="00EE3355" w:rsidRDefault="0098273B" w:rsidP="00FB1E69">
      <w:pPr>
        <w:rPr>
          <w:b/>
        </w:rPr>
      </w:pPr>
      <w:r w:rsidRPr="00FB1E69">
        <w:rPr>
          <w:b/>
          <w:bCs/>
        </w:rPr>
        <w:t>Vzácné nežádoucí účinky</w:t>
      </w:r>
      <w:r w:rsidRPr="00EE3355">
        <w:t>:</w:t>
      </w:r>
    </w:p>
    <w:p w14:paraId="3C3994E8" w14:textId="77777777" w:rsidR="00222DE0" w:rsidRPr="00EE3355" w:rsidRDefault="0098273B" w:rsidP="00EA1CDF">
      <w:pPr>
        <w:widowControl/>
        <w:rPr>
          <w:i/>
        </w:rPr>
      </w:pPr>
      <w:r w:rsidRPr="00EE3355">
        <w:rPr>
          <w:i/>
        </w:rPr>
        <w:t>Mohou postihnout až 1 z 1 000 pacientů</w:t>
      </w:r>
    </w:p>
    <w:p w14:paraId="08126B1E" w14:textId="77777777" w:rsidR="000104D0" w:rsidRPr="00EE3355" w:rsidRDefault="000104D0" w:rsidP="00EA1CDF">
      <w:pPr>
        <w:widowControl/>
        <w:rPr>
          <w:i/>
        </w:rPr>
      </w:pPr>
    </w:p>
    <w:p w14:paraId="45A4016A" w14:textId="77777777" w:rsidR="00222DE0" w:rsidRPr="00EE3355" w:rsidRDefault="00B23DAE" w:rsidP="00EA1CDF">
      <w:pPr>
        <w:widowControl/>
        <w:tabs>
          <w:tab w:val="left" w:pos="809"/>
        </w:tabs>
        <w:ind w:left="567" w:hanging="567"/>
      </w:pPr>
      <w:r w:rsidRPr="00EE3355">
        <w:rPr>
          <w:rFonts w:ascii="Symbol" w:eastAsia="Symbol" w:hAnsi="Symbol" w:cs="Symbol"/>
        </w:rPr>
        <w:t></w:t>
      </w:r>
      <w:r w:rsidRPr="00EE3355">
        <w:rPr>
          <w:rFonts w:ascii="Symbol" w:eastAsia="Symbol" w:hAnsi="Symbol" w:cs="Symbol"/>
        </w:rPr>
        <w:tab/>
      </w:r>
      <w:r w:rsidR="0098273B" w:rsidRPr="00EE3355">
        <w:t>Stevensův-Johnsonův syndrom (kožní vyrážka, která může vést k závažným puchýřům a odlupování kůže)</w:t>
      </w:r>
    </w:p>
    <w:p w14:paraId="3FD71D18" w14:textId="77777777" w:rsidR="00222DE0" w:rsidRPr="00EE3355" w:rsidRDefault="00B23DAE" w:rsidP="00EA1CDF">
      <w:pPr>
        <w:widowControl/>
        <w:tabs>
          <w:tab w:val="left" w:pos="809"/>
        </w:tabs>
        <w:ind w:left="567" w:hanging="567"/>
      </w:pPr>
      <w:r w:rsidRPr="00EE3355">
        <w:rPr>
          <w:rFonts w:ascii="Symbol" w:eastAsia="Symbol" w:hAnsi="Symbol" w:cs="Symbol"/>
        </w:rPr>
        <w:t></w:t>
      </w:r>
      <w:r w:rsidRPr="00EE3355">
        <w:rPr>
          <w:rFonts w:ascii="Symbol" w:eastAsia="Symbol" w:hAnsi="Symbol" w:cs="Symbol"/>
        </w:rPr>
        <w:tab/>
      </w:r>
      <w:r w:rsidR="0098273B" w:rsidRPr="00EE3355">
        <w:t>alergické reakce vedoucí k úmrtí (anafylaxe [fatální])</w:t>
      </w:r>
    </w:p>
    <w:p w14:paraId="3A83F68A" w14:textId="77777777" w:rsidR="00222DE0" w:rsidRPr="00EE3355" w:rsidRDefault="00B23DAE" w:rsidP="00EA1CDF">
      <w:pPr>
        <w:widowControl/>
        <w:tabs>
          <w:tab w:val="left" w:pos="809"/>
        </w:tabs>
        <w:ind w:left="567" w:hanging="567"/>
      </w:pPr>
      <w:r w:rsidRPr="00EE3355">
        <w:rPr>
          <w:rFonts w:ascii="Symbol" w:eastAsia="Symbol" w:hAnsi="Symbol" w:cs="Symbol"/>
        </w:rPr>
        <w:t></w:t>
      </w:r>
      <w:r w:rsidRPr="00EE3355">
        <w:rPr>
          <w:rFonts w:ascii="Symbol" w:eastAsia="Symbol" w:hAnsi="Symbol" w:cs="Symbol"/>
        </w:rPr>
        <w:tab/>
      </w:r>
      <w:r w:rsidR="0098273B" w:rsidRPr="00EE3355">
        <w:t>zánět jater (hepatitida), žloutenka</w:t>
      </w:r>
    </w:p>
    <w:p w14:paraId="7395D748" w14:textId="77777777" w:rsidR="00222DE0" w:rsidRPr="00EE3355" w:rsidRDefault="00222DE0" w:rsidP="00EA1CDF">
      <w:pPr>
        <w:pStyle w:val="a3"/>
        <w:widowControl/>
        <w:ind w:left="0"/>
      </w:pPr>
    </w:p>
    <w:p w14:paraId="5670EC7A" w14:textId="77777777" w:rsidR="00222DE0" w:rsidRPr="00EE3355" w:rsidRDefault="0098273B" w:rsidP="00FB1E69">
      <w:r w:rsidRPr="00FB1E69">
        <w:rPr>
          <w:b/>
          <w:bCs/>
        </w:rPr>
        <w:t>Velmi vzácné nežádoucí účinky</w:t>
      </w:r>
      <w:r w:rsidRPr="00EE3355">
        <w:t>:</w:t>
      </w:r>
    </w:p>
    <w:p w14:paraId="452CDFF5" w14:textId="77777777" w:rsidR="00222DE0" w:rsidRPr="00EE3355" w:rsidRDefault="0098273B" w:rsidP="00EA1CDF">
      <w:pPr>
        <w:widowControl/>
        <w:rPr>
          <w:i/>
        </w:rPr>
      </w:pPr>
      <w:r w:rsidRPr="00EE3355">
        <w:rPr>
          <w:i/>
        </w:rPr>
        <w:t>Mohou postihnout až 1 z 10 000 pacientů</w:t>
      </w:r>
    </w:p>
    <w:p w14:paraId="65989976" w14:textId="77777777" w:rsidR="00222DE0" w:rsidRPr="00EE3355" w:rsidRDefault="00B23DAE" w:rsidP="00EA1CDF">
      <w:pPr>
        <w:widowControl/>
        <w:tabs>
          <w:tab w:val="left" w:pos="809"/>
        </w:tabs>
        <w:ind w:left="567" w:hanging="567"/>
      </w:pPr>
      <w:r w:rsidRPr="00EE3355">
        <w:rPr>
          <w:rFonts w:ascii="Symbol" w:eastAsia="Symbol" w:hAnsi="Symbol" w:cs="Symbol"/>
        </w:rPr>
        <w:t></w:t>
      </w:r>
      <w:r w:rsidRPr="00EE3355">
        <w:rPr>
          <w:rFonts w:ascii="Symbol" w:eastAsia="Symbol" w:hAnsi="Symbol" w:cs="Symbol"/>
        </w:rPr>
        <w:tab/>
      </w:r>
      <w:r w:rsidR="0098273B" w:rsidRPr="00EE3355">
        <w:t>nízký počet bílých krvinek, červených krvinek a krevních destiček v krevních testech</w:t>
      </w:r>
    </w:p>
    <w:p w14:paraId="2A442D71" w14:textId="77777777" w:rsidR="00222DE0" w:rsidRPr="00EE3355" w:rsidRDefault="00B23DAE" w:rsidP="00EA1CDF">
      <w:pPr>
        <w:widowControl/>
        <w:tabs>
          <w:tab w:val="left" w:pos="810"/>
        </w:tabs>
        <w:ind w:left="567" w:hanging="567"/>
      </w:pPr>
      <w:r w:rsidRPr="00EE3355">
        <w:rPr>
          <w:rFonts w:ascii="Symbol" w:eastAsia="Symbol" w:hAnsi="Symbol" w:cs="Symbol"/>
        </w:rPr>
        <w:t></w:t>
      </w:r>
      <w:r w:rsidRPr="00EE3355">
        <w:rPr>
          <w:rFonts w:ascii="Symbol" w:eastAsia="Symbol" w:hAnsi="Symbol" w:cs="Symbol"/>
        </w:rPr>
        <w:tab/>
      </w:r>
      <w:r w:rsidR="0098273B" w:rsidRPr="00EE3355">
        <w:t>selhání jater</w:t>
      </w:r>
    </w:p>
    <w:p w14:paraId="14901F45" w14:textId="77777777" w:rsidR="00222DE0" w:rsidRPr="00EE3355" w:rsidRDefault="00222DE0" w:rsidP="00EA1CDF">
      <w:pPr>
        <w:pStyle w:val="a3"/>
        <w:widowControl/>
        <w:ind w:left="0"/>
      </w:pPr>
    </w:p>
    <w:p w14:paraId="780C5E06" w14:textId="77777777" w:rsidR="00222DE0" w:rsidRPr="00FB1E69" w:rsidRDefault="0098273B" w:rsidP="00FB1E69">
      <w:pPr>
        <w:rPr>
          <w:b/>
          <w:bCs/>
        </w:rPr>
      </w:pPr>
      <w:r w:rsidRPr="00FB1E69">
        <w:rPr>
          <w:b/>
          <w:bCs/>
        </w:rPr>
        <w:t>Nežádoucí účinky u dětí a dospívajících se sJIA nebo s pJIA</w:t>
      </w:r>
    </w:p>
    <w:p w14:paraId="0D8002B8" w14:textId="77777777" w:rsidR="00222DE0" w:rsidRPr="00EE3355" w:rsidRDefault="0098273B" w:rsidP="00EA1CDF">
      <w:pPr>
        <w:pStyle w:val="a3"/>
        <w:widowControl/>
        <w:ind w:left="0"/>
      </w:pPr>
      <w:r w:rsidRPr="00EE3355">
        <w:t>Nežádoucí účinky u dětí a dospívajících se sJIA nebo s pJIA jsou obecně podobné těm, které se vyskytují u dospělých. Některé nežádoucí účinky jsou u dětí a dospívajících pozorovány častěji: zánět nosu a hrdla, bolest hlavy, nevolnost (pocit na zvracení) a nižší počet bílých krvinek.</w:t>
      </w:r>
    </w:p>
    <w:p w14:paraId="02F50E1C" w14:textId="77777777" w:rsidR="00222DE0" w:rsidRPr="00EE3355" w:rsidRDefault="0098273B" w:rsidP="00EA1CDF">
      <w:pPr>
        <w:pStyle w:val="a3"/>
        <w:widowControl/>
        <w:ind w:left="0"/>
        <w:jc w:val="both"/>
      </w:pPr>
      <w:r w:rsidRPr="00EE3355">
        <w:lastRenderedPageBreak/>
        <w:t>Pokud se u Vás vyskytne kterýkoli z nežádoucích účinků, sdělte to svému lékaři, lékárníkovi nebo zdravotní sestře. Stejně postupujte v případě jakýchkoli nežádoucích účinků, které nejsou uvedeny v této příbalové informaci.</w:t>
      </w:r>
    </w:p>
    <w:p w14:paraId="0E2B03AB" w14:textId="77777777" w:rsidR="00222DE0" w:rsidRPr="00EE3355" w:rsidRDefault="00222DE0" w:rsidP="00EA1CDF">
      <w:pPr>
        <w:widowControl/>
        <w:jc w:val="both"/>
      </w:pPr>
    </w:p>
    <w:p w14:paraId="23387325" w14:textId="77777777" w:rsidR="00222DE0" w:rsidRPr="00FB1E69" w:rsidRDefault="0098273B" w:rsidP="00FB1E69">
      <w:pPr>
        <w:rPr>
          <w:b/>
          <w:bCs/>
        </w:rPr>
      </w:pPr>
      <w:r w:rsidRPr="00FB1E69">
        <w:rPr>
          <w:b/>
          <w:bCs/>
        </w:rPr>
        <w:t>Hlášení nežádoucích účinků</w:t>
      </w:r>
    </w:p>
    <w:p w14:paraId="47A60983" w14:textId="77777777" w:rsidR="00222DE0" w:rsidRPr="00EE3355" w:rsidRDefault="0098273B" w:rsidP="00EA1CDF">
      <w:pPr>
        <w:pStyle w:val="a3"/>
        <w:widowControl/>
        <w:ind w:left="0"/>
        <w:jc w:val="both"/>
      </w:pPr>
      <w:r w:rsidRPr="00EE3355">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prostřednictvím </w:t>
      </w:r>
      <w:r>
        <w:rPr>
          <w:color w:val="000000"/>
          <w:highlight w:val="lightGray"/>
        </w:rPr>
        <w:t>národního</w:t>
      </w:r>
      <w:r w:rsidR="00E55FC3">
        <w:rPr>
          <w:color w:val="000000"/>
          <w:highlight w:val="lightGray"/>
        </w:rPr>
        <w:t xml:space="preserve"> </w:t>
      </w:r>
      <w:r>
        <w:rPr>
          <w:color w:val="000000"/>
          <w:highlight w:val="lightGray"/>
        </w:rPr>
        <w:t xml:space="preserve">systému hlášení nežádoucích účinků uvedeného v </w:t>
      </w:r>
      <w:r>
        <w:fldChar w:fldCharType="begin"/>
      </w:r>
      <w:r>
        <w:instrText>HYPERLINK "https://www.ema.europa.eu/documents/template-form/appendix-v-adverse-drug-reaction-reporting-details_en.doc" \h</w:instrText>
      </w:r>
      <w:r>
        <w:fldChar w:fldCharType="separate"/>
      </w:r>
      <w:r>
        <w:rPr>
          <w:color w:val="0033CC"/>
          <w:highlight w:val="lightGray"/>
          <w:u w:val="single" w:color="0033CC"/>
        </w:rPr>
        <w:t>Dodatku V</w:t>
      </w:r>
      <w:r>
        <w:rPr>
          <w:color w:val="000000"/>
          <w:highlight w:val="lightGray"/>
        </w:rPr>
        <w:t>.</w:t>
      </w:r>
      <w:r>
        <w:fldChar w:fldCharType="end"/>
      </w:r>
      <w:r w:rsidRPr="00EE3355">
        <w:rPr>
          <w:color w:val="000000"/>
        </w:rPr>
        <w:t xml:space="preserve"> Nahlášením nežádoucích účinků můžete přispět k získání více informací o bezpečnosti tohoto přípravku.</w:t>
      </w:r>
    </w:p>
    <w:p w14:paraId="47C7D3D6" w14:textId="77777777" w:rsidR="00222DE0" w:rsidRPr="00EE3355" w:rsidRDefault="00222DE0" w:rsidP="00EA1CDF">
      <w:pPr>
        <w:pStyle w:val="a3"/>
        <w:widowControl/>
        <w:ind w:left="0"/>
      </w:pPr>
    </w:p>
    <w:p w14:paraId="58168C23" w14:textId="77777777" w:rsidR="00222DE0" w:rsidRPr="00EE3355" w:rsidRDefault="00222DE0" w:rsidP="00EA1CDF">
      <w:pPr>
        <w:pStyle w:val="a3"/>
        <w:widowControl/>
        <w:ind w:left="0"/>
      </w:pPr>
    </w:p>
    <w:p w14:paraId="740AFAEB" w14:textId="0260FE05" w:rsidR="00222DE0" w:rsidRPr="0012304F" w:rsidRDefault="00B23DAE" w:rsidP="0012304F">
      <w:pPr>
        <w:rPr>
          <w:b/>
          <w:bCs/>
        </w:rPr>
      </w:pPr>
      <w:r w:rsidRPr="0012304F">
        <w:rPr>
          <w:b/>
          <w:bCs/>
        </w:rPr>
        <w:t>5.</w:t>
      </w:r>
      <w:r w:rsidRPr="0012304F">
        <w:rPr>
          <w:b/>
          <w:bCs/>
        </w:rPr>
        <w:tab/>
      </w:r>
      <w:r w:rsidR="0098273B" w:rsidRPr="0012304F">
        <w:rPr>
          <w:b/>
          <w:bCs/>
        </w:rPr>
        <w:t xml:space="preserve">Jak přípravek </w:t>
      </w:r>
      <w:r w:rsidR="00692AF5" w:rsidRPr="0012304F">
        <w:rPr>
          <w:b/>
          <w:bCs/>
        </w:rPr>
        <w:t>Avtozma</w:t>
      </w:r>
      <w:r w:rsidR="0098273B" w:rsidRPr="0012304F">
        <w:rPr>
          <w:b/>
          <w:bCs/>
        </w:rPr>
        <w:t xml:space="preserve"> uchovávat</w:t>
      </w:r>
    </w:p>
    <w:p w14:paraId="64491243" w14:textId="77777777" w:rsidR="000959FD" w:rsidRPr="00EE3355" w:rsidRDefault="000959FD" w:rsidP="00EA1CDF">
      <w:pPr>
        <w:pStyle w:val="a3"/>
        <w:widowControl/>
        <w:ind w:left="0"/>
        <w:jc w:val="both"/>
      </w:pPr>
    </w:p>
    <w:p w14:paraId="624E8F25" w14:textId="77777777" w:rsidR="00222DE0" w:rsidRPr="00EE3355" w:rsidRDefault="0098273B" w:rsidP="00EA1CDF">
      <w:pPr>
        <w:pStyle w:val="a3"/>
        <w:widowControl/>
        <w:ind w:left="0"/>
        <w:jc w:val="both"/>
      </w:pPr>
      <w:r w:rsidRPr="00EE3355">
        <w:t>Uchovávejte tento léčivý přípravek mimo dohled a dosah dětí.</w:t>
      </w:r>
    </w:p>
    <w:p w14:paraId="7AD6737A" w14:textId="77777777" w:rsidR="000959FD" w:rsidRPr="00EE3355" w:rsidRDefault="000959FD" w:rsidP="00EA1CDF">
      <w:pPr>
        <w:pStyle w:val="a3"/>
        <w:widowControl/>
        <w:ind w:left="0"/>
        <w:jc w:val="both"/>
      </w:pPr>
    </w:p>
    <w:p w14:paraId="101904E3" w14:textId="77777777" w:rsidR="00222DE0" w:rsidRPr="00EE3355" w:rsidRDefault="0098273B" w:rsidP="00EA1CDF">
      <w:pPr>
        <w:pStyle w:val="a3"/>
        <w:widowControl/>
        <w:ind w:left="0"/>
        <w:jc w:val="both"/>
      </w:pPr>
      <w:r w:rsidRPr="00EE3355">
        <w:t>Nepoužívejte tento přípravek po uplynutí doby použitelnosti uvedené na krabičce za „Použitelné do:“ a na štítku předplněné injekční stříkačky za „EXP“. Doba použitelnosti se vztahuje k poslednímu dni uvedeného měsíce.</w:t>
      </w:r>
    </w:p>
    <w:p w14:paraId="2ADD2BCB" w14:textId="77777777" w:rsidR="00222DE0" w:rsidRPr="00EE3355" w:rsidRDefault="00222DE0" w:rsidP="00EA1CDF">
      <w:pPr>
        <w:pStyle w:val="a3"/>
        <w:widowControl/>
        <w:ind w:left="0"/>
      </w:pPr>
    </w:p>
    <w:p w14:paraId="01E5CE7C" w14:textId="5DFDBCBD" w:rsidR="00222DE0" w:rsidRPr="00EE3355" w:rsidRDefault="0098273B" w:rsidP="00EA1CDF">
      <w:pPr>
        <w:pStyle w:val="a3"/>
        <w:widowControl/>
        <w:ind w:left="0"/>
        <w:jc w:val="both"/>
      </w:pPr>
      <w:r w:rsidRPr="00EE3355">
        <w:t>Uchovávejte v chladničce (2 °C - 8 °C). Chraňte před mrazem. Po vyjmutí z chladničky může být</w:t>
      </w:r>
      <w:r w:rsidR="00227E18">
        <w:t xml:space="preserve"> </w:t>
      </w:r>
      <w:r w:rsidRPr="00EE3355">
        <w:t xml:space="preserve">předplněná injekční stříkačka uchovávána až po dobu </w:t>
      </w:r>
      <w:r w:rsidR="007312FF">
        <w:t>3</w:t>
      </w:r>
      <w:r w:rsidR="007312FF" w:rsidRPr="00EE3355">
        <w:t xml:space="preserve"> </w:t>
      </w:r>
      <w:r w:rsidRPr="00EE3355">
        <w:t>týdnů při teplotě do 30 °C.</w:t>
      </w:r>
    </w:p>
    <w:p w14:paraId="682F2650" w14:textId="77777777" w:rsidR="00222DE0" w:rsidRPr="00EE3355" w:rsidRDefault="00222DE0" w:rsidP="00EA1CDF">
      <w:pPr>
        <w:pStyle w:val="a3"/>
        <w:widowControl/>
        <w:ind w:left="0"/>
      </w:pPr>
    </w:p>
    <w:p w14:paraId="73DDBEE7" w14:textId="77777777" w:rsidR="00222DE0" w:rsidRPr="00EE3355" w:rsidRDefault="0098273B" w:rsidP="00EA1CDF">
      <w:pPr>
        <w:pStyle w:val="a3"/>
        <w:widowControl/>
        <w:ind w:left="0"/>
      </w:pPr>
      <w:r w:rsidRPr="00EE3355">
        <w:t>Uchovávejte předplněné injekční stříkačky v krabičce, aby byl přípravek chráněn před světlem a</w:t>
      </w:r>
      <w:r w:rsidR="00227E18">
        <w:t xml:space="preserve"> </w:t>
      </w:r>
      <w:r w:rsidRPr="00EE3355">
        <w:t>vlhkostí.</w:t>
      </w:r>
    </w:p>
    <w:p w14:paraId="1CF18DB8" w14:textId="77777777" w:rsidR="000959FD" w:rsidRPr="00EE3355" w:rsidRDefault="000959FD" w:rsidP="00EA1CDF">
      <w:pPr>
        <w:pStyle w:val="a3"/>
        <w:widowControl/>
        <w:ind w:left="0"/>
      </w:pPr>
    </w:p>
    <w:p w14:paraId="79D69199" w14:textId="6A3E7DF8" w:rsidR="00222DE0" w:rsidRPr="00EE3355" w:rsidRDefault="0098273B" w:rsidP="00EA1CDF">
      <w:pPr>
        <w:pStyle w:val="a3"/>
        <w:widowControl/>
        <w:ind w:left="0"/>
      </w:pPr>
      <w:r w:rsidRPr="00EE3355">
        <w:t xml:space="preserve">Nepoužívejte v případě, že je léčivý přípravek zakalený nebo obsahuje částice, pokud je jakkoli odlišně zbarvený kromě bezbarvé až </w:t>
      </w:r>
      <w:r w:rsidR="007312FF">
        <w:t>žluté</w:t>
      </w:r>
      <w:r w:rsidRPr="00EE3355">
        <w:t xml:space="preserve"> barvy nebo jakákoli část předplněné injekční stříkačky se zdá být poškozená.</w:t>
      </w:r>
    </w:p>
    <w:p w14:paraId="379C9EE8" w14:textId="77777777" w:rsidR="00222DE0" w:rsidRPr="00EE3355" w:rsidRDefault="00222DE0" w:rsidP="00EA1CDF">
      <w:pPr>
        <w:pStyle w:val="a3"/>
        <w:widowControl/>
        <w:ind w:left="0"/>
      </w:pPr>
    </w:p>
    <w:p w14:paraId="0E88FBBB" w14:textId="77777777" w:rsidR="00222DE0" w:rsidRPr="00EE3355" w:rsidRDefault="0098273B" w:rsidP="00EA1CDF">
      <w:pPr>
        <w:pStyle w:val="a3"/>
        <w:widowControl/>
        <w:ind w:left="0"/>
      </w:pPr>
      <w:r w:rsidRPr="00EE3355">
        <w:t>S předplněnou injekční stříkačkou se nesmí třepat. Po odstranění víčka musí být injekce podána do 5 minut, aby se zabránilo vysychání léčivého přípravku a zablokování jehly. Pokud předplněná injekční stříkačka není po odstranění víčka použita do 5 minut, musíte ji zlikvidovat vyhozením do nepropíchnutelné nádoby a musí být použita nová injekční stříkačka.</w:t>
      </w:r>
    </w:p>
    <w:p w14:paraId="382DF96B" w14:textId="77777777" w:rsidR="00222DE0" w:rsidRPr="00EE3355" w:rsidRDefault="00222DE0" w:rsidP="00EA1CDF">
      <w:pPr>
        <w:pStyle w:val="a3"/>
        <w:widowControl/>
        <w:ind w:left="0"/>
      </w:pPr>
    </w:p>
    <w:p w14:paraId="56C65875" w14:textId="77777777" w:rsidR="00222DE0" w:rsidRPr="00EE3355" w:rsidRDefault="0098273B" w:rsidP="00EA1CDF">
      <w:pPr>
        <w:pStyle w:val="a3"/>
        <w:widowControl/>
        <w:ind w:left="0"/>
      </w:pPr>
      <w:r w:rsidRPr="00EE3355">
        <w:t>Pokud po vpíchnutí jehly (injekce) nemůžete stlačit píst, musíte tuto injekční stříkačku zlikvidovat</w:t>
      </w:r>
      <w:r w:rsidR="00227E18">
        <w:t xml:space="preserve"> </w:t>
      </w:r>
      <w:r w:rsidRPr="00EE3355">
        <w:t>vyhozením do nepropíchnutelné nádoby a použít novou předplněnou injekční stříkačku.</w:t>
      </w:r>
    </w:p>
    <w:p w14:paraId="123C7180" w14:textId="77777777" w:rsidR="00222DE0" w:rsidRPr="00EE3355" w:rsidRDefault="00222DE0" w:rsidP="00EA1CDF">
      <w:pPr>
        <w:pStyle w:val="a3"/>
        <w:widowControl/>
        <w:ind w:left="0"/>
      </w:pPr>
    </w:p>
    <w:p w14:paraId="33DAEBAE" w14:textId="77777777" w:rsidR="00222DE0" w:rsidRPr="00EE3355" w:rsidRDefault="00222DE0" w:rsidP="00EA1CDF">
      <w:pPr>
        <w:pStyle w:val="a3"/>
        <w:widowControl/>
        <w:ind w:left="0"/>
      </w:pPr>
    </w:p>
    <w:p w14:paraId="7090442E" w14:textId="77777777" w:rsidR="00222DE0" w:rsidRPr="0012304F" w:rsidRDefault="00B23DAE" w:rsidP="0012304F">
      <w:pPr>
        <w:rPr>
          <w:b/>
          <w:bCs/>
        </w:rPr>
      </w:pPr>
      <w:r w:rsidRPr="0012304F">
        <w:rPr>
          <w:b/>
          <w:bCs/>
        </w:rPr>
        <w:t>6.</w:t>
      </w:r>
      <w:r w:rsidRPr="0012304F">
        <w:rPr>
          <w:b/>
          <w:bCs/>
        </w:rPr>
        <w:tab/>
      </w:r>
      <w:r w:rsidR="0098273B" w:rsidRPr="0012304F">
        <w:rPr>
          <w:b/>
          <w:bCs/>
        </w:rPr>
        <w:t>Obsah balení a další informace</w:t>
      </w:r>
    </w:p>
    <w:p w14:paraId="69948DF9" w14:textId="77777777" w:rsidR="00222DE0" w:rsidRPr="00EE3355" w:rsidRDefault="00222DE0" w:rsidP="00EA1CDF">
      <w:pPr>
        <w:pStyle w:val="a3"/>
        <w:widowControl/>
        <w:ind w:left="0"/>
        <w:rPr>
          <w:b/>
        </w:rPr>
      </w:pPr>
    </w:p>
    <w:p w14:paraId="03176DA4" w14:textId="7A7385BB" w:rsidR="00222DE0" w:rsidRPr="00EE3355" w:rsidRDefault="0098273B" w:rsidP="00EA1CDF">
      <w:pPr>
        <w:widowControl/>
        <w:rPr>
          <w:b/>
        </w:rPr>
      </w:pPr>
      <w:r w:rsidRPr="00EE3355">
        <w:rPr>
          <w:b/>
        </w:rPr>
        <w:t xml:space="preserve">Co přípravek </w:t>
      </w:r>
      <w:r w:rsidR="00692AF5">
        <w:rPr>
          <w:b/>
        </w:rPr>
        <w:t>Avtozma</w:t>
      </w:r>
      <w:r w:rsidRPr="00EE3355">
        <w:rPr>
          <w:b/>
        </w:rPr>
        <w:t xml:space="preserve"> obsahuje</w:t>
      </w:r>
    </w:p>
    <w:p w14:paraId="34D5DA6F" w14:textId="3389532B" w:rsidR="00307193" w:rsidRDefault="00B23DAE" w:rsidP="00307193">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EE3355">
        <w:t>Léčivou látkou je tocilizumab.</w:t>
      </w:r>
    </w:p>
    <w:p w14:paraId="7990395D" w14:textId="77777777" w:rsidR="00237DCB" w:rsidRDefault="00237DCB" w:rsidP="00307193">
      <w:pPr>
        <w:widowControl/>
        <w:tabs>
          <w:tab w:val="left" w:pos="805"/>
        </w:tabs>
        <w:ind w:left="1134" w:hanging="567"/>
      </w:pPr>
    </w:p>
    <w:p w14:paraId="0B29B477" w14:textId="36486294" w:rsidR="00222DE0" w:rsidRPr="00EE3355" w:rsidRDefault="0098273B" w:rsidP="00307193">
      <w:pPr>
        <w:widowControl/>
        <w:tabs>
          <w:tab w:val="left" w:pos="805"/>
        </w:tabs>
        <w:ind w:left="1134" w:hanging="567"/>
      </w:pPr>
      <w:r w:rsidRPr="00EE3355">
        <w:t>Jedna předplněná injekční stříkačka o objemu 0,9 ml obsahuje 162 mg</w:t>
      </w:r>
      <w:r w:rsidR="00FB4872" w:rsidRPr="00FB4872">
        <w:t xml:space="preserve"> </w:t>
      </w:r>
      <w:r w:rsidR="00FB4872" w:rsidRPr="00EE3355">
        <w:t>tocilizumabu</w:t>
      </w:r>
      <w:r w:rsidRPr="00EE3355">
        <w:t>.</w:t>
      </w:r>
    </w:p>
    <w:p w14:paraId="59FCDF11" w14:textId="77777777" w:rsidR="00222DE0" w:rsidRPr="00EE3355" w:rsidRDefault="00222DE0" w:rsidP="00EA1CDF">
      <w:pPr>
        <w:pStyle w:val="a3"/>
        <w:widowControl/>
        <w:ind w:left="0"/>
      </w:pPr>
    </w:p>
    <w:p w14:paraId="550684F6" w14:textId="41773534" w:rsidR="00222DE0" w:rsidRPr="00EE3355" w:rsidRDefault="00B23DAE" w:rsidP="00CB4991">
      <w:pPr>
        <w:widowControl/>
        <w:tabs>
          <w:tab w:val="left" w:pos="805"/>
        </w:tabs>
        <w:ind w:left="567" w:hanging="567"/>
      </w:pPr>
      <w:r w:rsidRPr="00EE3355">
        <w:rPr>
          <w:rFonts w:ascii="Symbol" w:eastAsia="Symbol" w:hAnsi="Symbol" w:cs="Symbol"/>
        </w:rPr>
        <w:t></w:t>
      </w:r>
      <w:r w:rsidRPr="00EE3355">
        <w:rPr>
          <w:rFonts w:ascii="Symbol" w:eastAsia="Symbol" w:hAnsi="Symbol" w:cs="Symbol"/>
        </w:rPr>
        <w:tab/>
      </w:r>
      <w:r w:rsidR="0098273B" w:rsidRPr="004154CD">
        <w:t xml:space="preserve">Dalšími složkami jsou </w:t>
      </w:r>
      <w:r w:rsidR="00692AF5" w:rsidRPr="004154CD">
        <w:t>L-H</w:t>
      </w:r>
      <w:r w:rsidR="0098273B" w:rsidRPr="004154CD">
        <w:t>istidin</w:t>
      </w:r>
      <w:r w:rsidR="00692AF5" w:rsidRPr="004154CD">
        <w:t>,</w:t>
      </w:r>
      <w:r w:rsidR="00395E0C">
        <w:rPr>
          <w:rFonts w:eastAsia="맑은 고딕" w:hint="eastAsia"/>
          <w:lang w:eastAsia="ko-KR"/>
        </w:rPr>
        <w:t xml:space="preserve"> </w:t>
      </w:r>
      <w:r w:rsidR="00AD6345" w:rsidRPr="00AD6345">
        <w:rPr>
          <w:rFonts w:eastAsia="맑은 고딕" w:hint="eastAsia"/>
          <w:lang w:eastAsia="ko-KR"/>
        </w:rPr>
        <w:t>Monohydrát histidin-hydrochloridu</w:t>
      </w:r>
      <w:r w:rsidR="00395E0C">
        <w:rPr>
          <w:rFonts w:eastAsia="맑은 고딕" w:hint="eastAsia"/>
          <w:lang w:eastAsia="ko-KR"/>
        </w:rPr>
        <w:t>,</w:t>
      </w:r>
      <w:r w:rsidR="00692AF5" w:rsidRPr="004154CD">
        <w:t xml:space="preserve"> L-Threonin, </w:t>
      </w:r>
      <w:r w:rsidR="00CB4991" w:rsidRPr="00CB4991">
        <w:t>L-Methionin</w:t>
      </w:r>
      <w:r w:rsidR="00CB4991">
        <w:t xml:space="preserve">, </w:t>
      </w:r>
      <w:r w:rsidR="0098273B" w:rsidRPr="004154CD">
        <w:t>polysorbát 80 a voda pro injekci.</w:t>
      </w:r>
    </w:p>
    <w:p w14:paraId="7627BFE2" w14:textId="77777777" w:rsidR="00222DE0" w:rsidRPr="00EE3355" w:rsidRDefault="00222DE0" w:rsidP="00EA1CDF">
      <w:pPr>
        <w:pStyle w:val="a3"/>
        <w:widowControl/>
        <w:ind w:left="0"/>
      </w:pPr>
    </w:p>
    <w:p w14:paraId="6DF93E3B" w14:textId="2834A742" w:rsidR="00222DE0" w:rsidRPr="0012304F" w:rsidRDefault="0098273B" w:rsidP="0012304F">
      <w:pPr>
        <w:widowControl/>
        <w:rPr>
          <w:b/>
        </w:rPr>
      </w:pPr>
      <w:r w:rsidRPr="0012304F">
        <w:rPr>
          <w:b/>
        </w:rPr>
        <w:t xml:space="preserve">Jak přípravek </w:t>
      </w:r>
      <w:r w:rsidR="00692AF5" w:rsidRPr="0012304F">
        <w:rPr>
          <w:b/>
        </w:rPr>
        <w:t>Avtozma</w:t>
      </w:r>
      <w:r w:rsidRPr="0012304F">
        <w:rPr>
          <w:b/>
        </w:rPr>
        <w:t xml:space="preserve"> vypadá a co obsahuje toto balení</w:t>
      </w:r>
    </w:p>
    <w:p w14:paraId="0DD54477" w14:textId="572E2480" w:rsidR="00222DE0" w:rsidRPr="00EE3355" w:rsidRDefault="0098273B" w:rsidP="00EA1CDF">
      <w:pPr>
        <w:pStyle w:val="a3"/>
        <w:widowControl/>
        <w:ind w:left="0"/>
      </w:pPr>
      <w:r w:rsidRPr="00EE3355">
        <w:t xml:space="preserve">Přípravek </w:t>
      </w:r>
      <w:r w:rsidR="00692AF5">
        <w:t>Avtozma</w:t>
      </w:r>
      <w:r w:rsidRPr="00EE3355">
        <w:t xml:space="preserve"> je injekční roztok. Roztok je bezbarvý až </w:t>
      </w:r>
      <w:r w:rsidR="007312FF">
        <w:t>žlutý</w:t>
      </w:r>
      <w:r w:rsidRPr="00EE3355">
        <w:t>.</w:t>
      </w:r>
    </w:p>
    <w:p w14:paraId="49B0336A" w14:textId="77777777" w:rsidR="00696A6A" w:rsidRPr="00EE3355" w:rsidRDefault="00696A6A" w:rsidP="00EA1CDF">
      <w:pPr>
        <w:pStyle w:val="a3"/>
        <w:widowControl/>
        <w:ind w:left="0"/>
      </w:pPr>
    </w:p>
    <w:p w14:paraId="07B14D77" w14:textId="203B2615" w:rsidR="00222DE0" w:rsidRDefault="0098273B" w:rsidP="00EA1CDF">
      <w:pPr>
        <w:pStyle w:val="a3"/>
        <w:widowControl/>
        <w:ind w:left="0"/>
      </w:pPr>
      <w:r w:rsidRPr="00EE3355">
        <w:t xml:space="preserve">Přípravek </w:t>
      </w:r>
      <w:r w:rsidR="00692AF5">
        <w:t>Avtozma</w:t>
      </w:r>
      <w:r w:rsidRPr="00EE3355">
        <w:t xml:space="preserve"> se dodává jako předplněná injekční stříkačka o objemu 0,9 ml obsahující 162 mg tocilizumabu injekčního roztoku.</w:t>
      </w:r>
    </w:p>
    <w:p w14:paraId="564F2444" w14:textId="77777777" w:rsidR="00692AF5" w:rsidRDefault="00692AF5" w:rsidP="00EA1CDF">
      <w:pPr>
        <w:pStyle w:val="a3"/>
        <w:widowControl/>
        <w:ind w:left="0"/>
      </w:pPr>
    </w:p>
    <w:p w14:paraId="01F13EF6" w14:textId="77777777" w:rsidR="00692AF5" w:rsidRDefault="00692AF5" w:rsidP="00692AF5">
      <w:pPr>
        <w:pStyle w:val="a3"/>
        <w:widowControl/>
        <w:ind w:left="0"/>
      </w:pPr>
      <w:r w:rsidRPr="00DC44E2">
        <w:t>Předplněná injekční stříkačka Avtozma pro použití pacientem je k dispozici v baleních obsahujících:</w:t>
      </w:r>
    </w:p>
    <w:p w14:paraId="1F092741" w14:textId="4F1BEBAF" w:rsidR="00692AF5" w:rsidRPr="008B0B89" w:rsidRDefault="00692AF5" w:rsidP="00692AF5">
      <w:pPr>
        <w:pStyle w:val="a4"/>
        <w:widowControl/>
        <w:numPr>
          <w:ilvl w:val="0"/>
          <w:numId w:val="66"/>
        </w:numPr>
        <w:autoSpaceDE/>
        <w:autoSpaceDN/>
        <w:ind w:left="567" w:hanging="567"/>
        <w:contextualSpacing/>
        <w:rPr>
          <w:ins w:id="54" w:author="만든 이"/>
          <w:rPrChange w:id="55" w:author="만든 이">
            <w:rPr>
              <w:ins w:id="56" w:author="만든 이"/>
              <w:rFonts w:eastAsia="맑은 고딕"/>
              <w:lang w:eastAsia="ko-KR"/>
            </w:rPr>
          </w:rPrChange>
        </w:rPr>
      </w:pPr>
      <w:r w:rsidRPr="00C61A9B">
        <w:rPr>
          <w:rFonts w:hint="eastAsia"/>
        </w:rPr>
        <w:t>1</w:t>
      </w:r>
      <w:r w:rsidRPr="00C61A9B">
        <w:t xml:space="preserve"> </w:t>
      </w:r>
      <w:r>
        <w:t>předplněn</w:t>
      </w:r>
      <w:r w:rsidR="0095454E">
        <w:t>ou</w:t>
      </w:r>
      <w:r>
        <w:t xml:space="preserve"> injekční stříkačk</w:t>
      </w:r>
      <w:r w:rsidR="0095454E">
        <w:t>u</w:t>
      </w:r>
    </w:p>
    <w:p w14:paraId="7F2AA8A3" w14:textId="744A4176" w:rsidR="008B0B89" w:rsidRPr="008B0B89" w:rsidRDefault="008B0B89" w:rsidP="008B0B89">
      <w:pPr>
        <w:pStyle w:val="a4"/>
        <w:widowControl/>
        <w:numPr>
          <w:ilvl w:val="0"/>
          <w:numId w:val="66"/>
        </w:numPr>
        <w:autoSpaceDE/>
        <w:autoSpaceDN/>
        <w:ind w:left="567" w:hanging="567"/>
        <w:contextualSpacing/>
      </w:pPr>
      <w:ins w:id="57" w:author="만든 이">
        <w:r>
          <w:rPr>
            <w:rFonts w:eastAsia="맑은 고딕" w:hint="eastAsia"/>
            <w:lang w:eastAsia="ko-KR"/>
          </w:rPr>
          <w:lastRenderedPageBreak/>
          <w:t>2</w:t>
        </w:r>
        <w:r w:rsidRPr="00C61A9B">
          <w:t xml:space="preserve"> </w:t>
        </w:r>
        <w:r>
          <w:t>předplněné injekční stříkačky</w:t>
        </w:r>
      </w:ins>
    </w:p>
    <w:p w14:paraId="3D33B1D2" w14:textId="77777777" w:rsidR="00692AF5" w:rsidRPr="00C61A9B" w:rsidRDefault="00692AF5" w:rsidP="00692AF5">
      <w:pPr>
        <w:pStyle w:val="a4"/>
        <w:widowControl/>
        <w:numPr>
          <w:ilvl w:val="0"/>
          <w:numId w:val="66"/>
        </w:numPr>
        <w:autoSpaceDE/>
        <w:autoSpaceDN/>
        <w:ind w:left="567" w:hanging="567"/>
        <w:contextualSpacing/>
      </w:pPr>
      <w:r w:rsidRPr="00C61A9B">
        <w:rPr>
          <w:rFonts w:hint="eastAsia"/>
        </w:rPr>
        <w:t>4</w:t>
      </w:r>
      <w:r w:rsidRPr="00C61A9B">
        <w:t xml:space="preserve"> </w:t>
      </w:r>
      <w:r>
        <w:t>předplněné injekční stříkačky</w:t>
      </w:r>
    </w:p>
    <w:p w14:paraId="0339A188" w14:textId="52F1D8B3" w:rsidR="00692AF5" w:rsidRPr="00C61A9B" w:rsidRDefault="00692AF5" w:rsidP="00692AF5">
      <w:pPr>
        <w:pStyle w:val="a4"/>
        <w:widowControl/>
        <w:numPr>
          <w:ilvl w:val="0"/>
          <w:numId w:val="66"/>
        </w:numPr>
        <w:autoSpaceDE/>
        <w:autoSpaceDN/>
        <w:ind w:left="567" w:hanging="567"/>
        <w:contextualSpacing/>
      </w:pPr>
      <w:r w:rsidRPr="00C61A9B">
        <w:rPr>
          <w:rFonts w:hint="eastAsia"/>
        </w:rPr>
        <w:t>1</w:t>
      </w:r>
      <w:r w:rsidRPr="00C61A9B">
        <w:t xml:space="preserve">2 (3 </w:t>
      </w:r>
      <w:r>
        <w:t>balení po</w:t>
      </w:r>
      <w:r w:rsidRPr="00C61A9B">
        <w:t xml:space="preserve"> 4) </w:t>
      </w:r>
      <w:r>
        <w:t>předplněných injekčních stříkaček</w:t>
      </w:r>
      <w:r w:rsidRPr="00C61A9B">
        <w:t xml:space="preserve"> (</w:t>
      </w:r>
      <w:r>
        <w:t>více</w:t>
      </w:r>
      <w:r w:rsidR="002552C0">
        <w:t>četná</w:t>
      </w:r>
      <w:r>
        <w:t xml:space="preserve"> balení</w:t>
      </w:r>
      <w:r w:rsidRPr="00C61A9B">
        <w:t>)</w:t>
      </w:r>
    </w:p>
    <w:p w14:paraId="37F58D8C" w14:textId="77777777" w:rsidR="00222DE0" w:rsidRPr="00EE3355" w:rsidRDefault="00222DE0" w:rsidP="00EA1CDF">
      <w:pPr>
        <w:pStyle w:val="a3"/>
        <w:widowControl/>
        <w:ind w:left="0"/>
      </w:pPr>
    </w:p>
    <w:p w14:paraId="6243F9FE" w14:textId="750AD0B1" w:rsidR="00222DE0" w:rsidRPr="00B93217" w:rsidRDefault="0098273B" w:rsidP="00EA1CDF">
      <w:pPr>
        <w:widowControl/>
        <w:rPr>
          <w:b/>
          <w:bCs/>
        </w:rPr>
      </w:pPr>
      <w:r w:rsidRPr="00B93217">
        <w:rPr>
          <w:b/>
          <w:bCs/>
        </w:rPr>
        <w:t>Na trhu nemusí být všechny velikosti balení.</w:t>
      </w:r>
    </w:p>
    <w:p w14:paraId="64DA5FB6" w14:textId="77777777" w:rsidR="00222DE0" w:rsidRPr="00EE3355" w:rsidRDefault="00222DE0" w:rsidP="00EA1CDF">
      <w:pPr>
        <w:widowControl/>
      </w:pPr>
    </w:p>
    <w:p w14:paraId="2896AC2D" w14:textId="77777777" w:rsidR="00222DE0" w:rsidRPr="00EE3355" w:rsidRDefault="0098273B" w:rsidP="00EA1CDF">
      <w:pPr>
        <w:widowControl/>
        <w:rPr>
          <w:b/>
        </w:rPr>
      </w:pPr>
      <w:r w:rsidRPr="00EE3355">
        <w:rPr>
          <w:b/>
        </w:rPr>
        <w:t>Držitel rozhodnutí o registraci</w:t>
      </w:r>
    </w:p>
    <w:p w14:paraId="55D16414" w14:textId="77777777" w:rsidR="00692AF5" w:rsidRPr="00840707" w:rsidRDefault="00692AF5" w:rsidP="00692AF5">
      <w:pPr>
        <w:keepNext/>
      </w:pPr>
      <w:r w:rsidRPr="00840707">
        <w:t>Celltrion Healthcare Hungary Kft.</w:t>
      </w:r>
    </w:p>
    <w:p w14:paraId="5CF927B5" w14:textId="77777777" w:rsidR="00692AF5" w:rsidRPr="00840707" w:rsidRDefault="00692AF5" w:rsidP="00692AF5">
      <w:pPr>
        <w:keepNext/>
      </w:pPr>
      <w:r w:rsidRPr="00840707">
        <w:t>1062 Budapest</w:t>
      </w:r>
    </w:p>
    <w:p w14:paraId="5D753FCA" w14:textId="77777777" w:rsidR="00692AF5" w:rsidRPr="00840707" w:rsidRDefault="00692AF5" w:rsidP="00692AF5">
      <w:pPr>
        <w:keepNext/>
      </w:pPr>
      <w:r w:rsidRPr="00840707">
        <w:t>Váci út 1-3. WestEnd Office Building B torony</w:t>
      </w:r>
    </w:p>
    <w:p w14:paraId="32075B54" w14:textId="1169A90A" w:rsidR="00222DE0" w:rsidRPr="00EE3355" w:rsidRDefault="00692AF5" w:rsidP="00B93217">
      <w:r>
        <w:t>Maďarsko</w:t>
      </w:r>
    </w:p>
    <w:p w14:paraId="5F47661A" w14:textId="77777777" w:rsidR="00222DE0" w:rsidRPr="00EE3355" w:rsidRDefault="00222DE0" w:rsidP="00EA1CDF">
      <w:pPr>
        <w:pStyle w:val="a3"/>
        <w:widowControl/>
        <w:ind w:left="0"/>
      </w:pPr>
    </w:p>
    <w:p w14:paraId="5124E350" w14:textId="77777777" w:rsidR="00222DE0" w:rsidRPr="0012304F" w:rsidRDefault="0098273B" w:rsidP="0012304F">
      <w:pPr>
        <w:widowControl/>
        <w:rPr>
          <w:b/>
        </w:rPr>
      </w:pPr>
      <w:r w:rsidRPr="0012304F">
        <w:rPr>
          <w:b/>
        </w:rPr>
        <w:t>Výrobce</w:t>
      </w:r>
    </w:p>
    <w:p w14:paraId="5C5B7ED5" w14:textId="77777777" w:rsidR="00692AF5" w:rsidRPr="00840707" w:rsidRDefault="00692AF5" w:rsidP="00692AF5">
      <w:pPr>
        <w:keepNext/>
      </w:pPr>
      <w:r w:rsidRPr="00840707">
        <w:t>Nuvisan France SARL</w:t>
      </w:r>
    </w:p>
    <w:p w14:paraId="3D1DA19F" w14:textId="6CB86663" w:rsidR="00692AF5" w:rsidRPr="00840707" w:rsidRDefault="00692AF5" w:rsidP="00692AF5">
      <w:pPr>
        <w:keepNext/>
      </w:pPr>
      <w:r w:rsidRPr="00840707">
        <w:t>2400</w:t>
      </w:r>
      <w:del w:id="58" w:author="만든 이">
        <w:r w:rsidRPr="00840707" w:rsidDel="001643DA">
          <w:delText>,</w:delText>
        </w:r>
      </w:del>
      <w:r w:rsidRPr="00840707">
        <w:t xml:space="preserve"> Route des Colles, </w:t>
      </w:r>
    </w:p>
    <w:p w14:paraId="34CE2E59" w14:textId="7CE00CC8" w:rsidR="00692AF5" w:rsidRPr="00840707" w:rsidRDefault="00692AF5" w:rsidP="00692AF5">
      <w:pPr>
        <w:keepNext/>
      </w:pPr>
      <w:r w:rsidRPr="00840707">
        <w:t>06410</w:t>
      </w:r>
      <w:del w:id="59" w:author="만든 이">
        <w:r w:rsidRPr="00840707" w:rsidDel="001643DA">
          <w:delText>,</w:delText>
        </w:r>
      </w:del>
      <w:r w:rsidRPr="00840707">
        <w:t xml:space="preserve"> Biot, </w:t>
      </w:r>
    </w:p>
    <w:p w14:paraId="64D4E126" w14:textId="26998300" w:rsidR="00692AF5" w:rsidRPr="00840707" w:rsidRDefault="00692AF5" w:rsidP="00692AF5">
      <w:r w:rsidRPr="00840707">
        <w:t>Franc</w:t>
      </w:r>
      <w:r>
        <w:t>i</w:t>
      </w:r>
      <w:r w:rsidRPr="00840707">
        <w:t>e</w:t>
      </w:r>
    </w:p>
    <w:p w14:paraId="55CE6052" w14:textId="77777777" w:rsidR="00692AF5" w:rsidRPr="00840707" w:rsidRDefault="00692AF5" w:rsidP="00692AF5"/>
    <w:p w14:paraId="69520ABE" w14:textId="77777777" w:rsidR="00692AF5" w:rsidRPr="00840707" w:rsidRDefault="00692AF5" w:rsidP="00692AF5">
      <w:pPr>
        <w:keepNext/>
      </w:pPr>
      <w:r w:rsidRPr="00840707">
        <w:t>Midas Pharma GmbH</w:t>
      </w:r>
    </w:p>
    <w:p w14:paraId="0B731CE1" w14:textId="77777777" w:rsidR="00692AF5" w:rsidRPr="00840707" w:rsidRDefault="00692AF5" w:rsidP="00692AF5">
      <w:pPr>
        <w:keepNext/>
      </w:pPr>
      <w:r w:rsidRPr="00840707">
        <w:t xml:space="preserve">Rheinstr. 49, </w:t>
      </w:r>
    </w:p>
    <w:p w14:paraId="5A278EE5" w14:textId="77777777" w:rsidR="00692AF5" w:rsidRPr="00840707" w:rsidRDefault="00692AF5" w:rsidP="00692AF5">
      <w:pPr>
        <w:keepNext/>
      </w:pPr>
      <w:r w:rsidRPr="00840707">
        <w:t>55218 Ingelheim,</w:t>
      </w:r>
    </w:p>
    <w:p w14:paraId="64E10828" w14:textId="4EA3260F" w:rsidR="00692AF5" w:rsidRDefault="00692AF5" w:rsidP="00EA1CDF">
      <w:pPr>
        <w:pStyle w:val="a3"/>
        <w:widowControl/>
        <w:ind w:left="0"/>
      </w:pPr>
      <w:r>
        <w:t>Německo</w:t>
      </w:r>
    </w:p>
    <w:p w14:paraId="7431CCB0" w14:textId="77777777" w:rsidR="00692AF5" w:rsidRDefault="00692AF5" w:rsidP="00EA1CDF">
      <w:pPr>
        <w:pStyle w:val="a3"/>
        <w:widowControl/>
        <w:ind w:left="0"/>
      </w:pPr>
    </w:p>
    <w:p w14:paraId="30DFCC5E" w14:textId="77777777" w:rsidR="00692AF5" w:rsidRPr="00840707" w:rsidRDefault="00692AF5" w:rsidP="00692AF5">
      <w:pPr>
        <w:keepNext/>
      </w:pPr>
      <w:r w:rsidRPr="00840707">
        <w:t xml:space="preserve">KYMOS S.L. </w:t>
      </w:r>
    </w:p>
    <w:p w14:paraId="14AFF271" w14:textId="77777777" w:rsidR="00692AF5" w:rsidRPr="00B93217" w:rsidRDefault="00692AF5" w:rsidP="00692AF5">
      <w:pPr>
        <w:keepNext/>
        <w:rPr>
          <w:lang w:val="en-GB"/>
        </w:rPr>
      </w:pPr>
      <w:r w:rsidRPr="00B93217">
        <w:rPr>
          <w:lang w:val="en-GB"/>
        </w:rPr>
        <w:t xml:space="preserve">Ronda Can </w:t>
      </w:r>
      <w:proofErr w:type="spellStart"/>
      <w:r w:rsidRPr="00B93217">
        <w:rPr>
          <w:lang w:val="en-GB"/>
        </w:rPr>
        <w:t>Fatjó</w:t>
      </w:r>
      <w:proofErr w:type="spellEnd"/>
      <w:r w:rsidRPr="00B93217">
        <w:rPr>
          <w:lang w:val="en-GB"/>
        </w:rPr>
        <w:t xml:space="preserve">, 7B. </w:t>
      </w:r>
    </w:p>
    <w:p w14:paraId="3CF486AF" w14:textId="77777777" w:rsidR="00692AF5" w:rsidRPr="00C41310" w:rsidRDefault="00692AF5" w:rsidP="00692AF5">
      <w:pPr>
        <w:keepNext/>
        <w:rPr>
          <w:lang w:val="en-GB"/>
        </w:rPr>
      </w:pPr>
      <w:r w:rsidRPr="00C41310">
        <w:rPr>
          <w:lang w:val="en-GB"/>
        </w:rPr>
        <w:t xml:space="preserve">08290 </w:t>
      </w:r>
      <w:proofErr w:type="spellStart"/>
      <w:r w:rsidRPr="00C41310">
        <w:rPr>
          <w:lang w:val="en-GB"/>
        </w:rPr>
        <w:t>Cerdanyola</w:t>
      </w:r>
      <w:proofErr w:type="spellEnd"/>
      <w:r w:rsidRPr="00C41310">
        <w:rPr>
          <w:lang w:val="en-GB"/>
        </w:rPr>
        <w:t xml:space="preserve"> del </w:t>
      </w:r>
      <w:proofErr w:type="spellStart"/>
      <w:r w:rsidRPr="00C41310">
        <w:rPr>
          <w:lang w:val="en-GB"/>
        </w:rPr>
        <w:t>Vallès</w:t>
      </w:r>
      <w:proofErr w:type="spellEnd"/>
      <w:r w:rsidRPr="00C41310">
        <w:rPr>
          <w:lang w:val="en-GB"/>
        </w:rPr>
        <w:t xml:space="preserve">, </w:t>
      </w:r>
    </w:p>
    <w:p w14:paraId="0BDFB2CE" w14:textId="77777777" w:rsidR="00692AF5" w:rsidRPr="00C41310" w:rsidRDefault="00692AF5" w:rsidP="00692AF5">
      <w:pPr>
        <w:keepNext/>
        <w:rPr>
          <w:lang w:val="en-GB"/>
        </w:rPr>
      </w:pPr>
      <w:r w:rsidRPr="00C41310">
        <w:rPr>
          <w:lang w:val="en-GB"/>
        </w:rPr>
        <w:t xml:space="preserve">Barcelona, </w:t>
      </w:r>
    </w:p>
    <w:p w14:paraId="4414A92B" w14:textId="384C7590" w:rsidR="00692AF5" w:rsidRPr="00EE3355" w:rsidRDefault="00692AF5" w:rsidP="00692AF5">
      <w:pPr>
        <w:pStyle w:val="a3"/>
        <w:widowControl/>
        <w:ind w:left="0"/>
      </w:pPr>
      <w:r>
        <w:t>Španělsko</w:t>
      </w:r>
    </w:p>
    <w:p w14:paraId="704F9CED" w14:textId="77777777" w:rsidR="00696A6A" w:rsidRPr="00EE3355" w:rsidRDefault="00696A6A" w:rsidP="00EA1CDF">
      <w:pPr>
        <w:pStyle w:val="a3"/>
        <w:widowControl/>
        <w:ind w:left="0"/>
      </w:pPr>
    </w:p>
    <w:p w14:paraId="394433D3" w14:textId="77777777" w:rsidR="00222DE0" w:rsidRDefault="0098273B" w:rsidP="00EA1CDF">
      <w:pPr>
        <w:pStyle w:val="a3"/>
        <w:keepNext/>
        <w:widowControl/>
        <w:ind w:left="0"/>
      </w:pPr>
      <w:r w:rsidRPr="00EE3355">
        <w:t>Další informace o tomto přípravku získáte u místního zástupce držitele rozhodnutí o registraci:</w:t>
      </w:r>
    </w:p>
    <w:p w14:paraId="0884E5B8" w14:textId="77777777" w:rsidR="00227E18" w:rsidRDefault="00227E18" w:rsidP="00EA1CDF">
      <w:pPr>
        <w:pStyle w:val="a3"/>
        <w:keepNext/>
        <w:widowControl/>
        <w:ind w:left="0"/>
        <w:rPr>
          <w:b/>
        </w:rPr>
      </w:pPr>
    </w:p>
    <w:tbl>
      <w:tblPr>
        <w:tblW w:w="0" w:type="auto"/>
        <w:tblLayout w:type="fixed"/>
        <w:tblCellMar>
          <w:left w:w="0" w:type="dxa"/>
          <w:right w:w="0" w:type="dxa"/>
        </w:tblCellMar>
        <w:tblLook w:val="01E0" w:firstRow="1" w:lastRow="1" w:firstColumn="1" w:lastColumn="1" w:noHBand="0" w:noVBand="0"/>
      </w:tblPr>
      <w:tblGrid>
        <w:gridCol w:w="4341"/>
        <w:gridCol w:w="4536"/>
      </w:tblGrid>
      <w:tr w:rsidR="00841C83" w:rsidRPr="001879E9" w14:paraId="32775126" w14:textId="77777777" w:rsidTr="00B93217">
        <w:trPr>
          <w:trHeight w:val="878"/>
        </w:trPr>
        <w:tc>
          <w:tcPr>
            <w:tcW w:w="4341" w:type="dxa"/>
          </w:tcPr>
          <w:p w14:paraId="56C47F18" w14:textId="77777777" w:rsidR="00841C83" w:rsidRPr="001879E9" w:rsidRDefault="00841C83" w:rsidP="00B93217">
            <w:pPr>
              <w:pStyle w:val="a3"/>
              <w:widowControl/>
              <w:ind w:left="0"/>
              <w:rPr>
                <w:b/>
              </w:rPr>
            </w:pPr>
            <w:r w:rsidRPr="00841C83">
              <w:rPr>
                <w:b/>
              </w:rPr>
              <w:t>België/Belgique/Belgien</w:t>
            </w:r>
          </w:p>
          <w:p w14:paraId="4B4C8FA3" w14:textId="77777777" w:rsidR="00841C83" w:rsidRPr="00B93217" w:rsidRDefault="00841C83" w:rsidP="00B93217">
            <w:pPr>
              <w:pStyle w:val="a3"/>
              <w:widowControl/>
              <w:ind w:left="0"/>
              <w:rPr>
                <w:bCs/>
              </w:rPr>
            </w:pPr>
            <w:r w:rsidRPr="00B93217">
              <w:rPr>
                <w:bCs/>
              </w:rPr>
              <w:t>Celltrion Healthcare Belgium BVBA</w:t>
            </w:r>
          </w:p>
          <w:p w14:paraId="532F4AD6" w14:textId="77777777" w:rsidR="00841C83" w:rsidRPr="00B93217" w:rsidRDefault="00841C83" w:rsidP="00B93217">
            <w:pPr>
              <w:pStyle w:val="a3"/>
              <w:widowControl/>
              <w:ind w:left="0"/>
              <w:rPr>
                <w:bCs/>
              </w:rPr>
            </w:pPr>
            <w:r w:rsidRPr="00B93217">
              <w:rPr>
                <w:bCs/>
              </w:rPr>
              <w:t>Tél/Tel: +32 2 643 71 81</w:t>
            </w:r>
          </w:p>
          <w:p w14:paraId="5856DFCA" w14:textId="77777777" w:rsidR="00841C83" w:rsidRPr="00B93217" w:rsidRDefault="00841C83" w:rsidP="00B93217">
            <w:pPr>
              <w:pStyle w:val="a3"/>
              <w:widowControl/>
              <w:ind w:left="0"/>
              <w:rPr>
                <w:bCs/>
              </w:rPr>
            </w:pPr>
            <w:r w:rsidRPr="00B93217">
              <w:rPr>
                <w:bCs/>
              </w:rPr>
              <w:t>BEinfo@celltrionhc.com</w:t>
            </w:r>
          </w:p>
          <w:p w14:paraId="17D41F61" w14:textId="77777777" w:rsidR="00841C83" w:rsidRPr="00841C83" w:rsidRDefault="00841C83" w:rsidP="00B93217">
            <w:pPr>
              <w:pStyle w:val="a3"/>
              <w:widowControl/>
              <w:ind w:left="0"/>
              <w:rPr>
                <w:b/>
              </w:rPr>
            </w:pPr>
          </w:p>
        </w:tc>
        <w:tc>
          <w:tcPr>
            <w:tcW w:w="4536" w:type="dxa"/>
          </w:tcPr>
          <w:p w14:paraId="3FC47B4B" w14:textId="77777777" w:rsidR="00841C83" w:rsidRPr="001879E9" w:rsidRDefault="00841C83" w:rsidP="00B93217">
            <w:pPr>
              <w:pStyle w:val="a3"/>
              <w:widowControl/>
              <w:ind w:left="0"/>
              <w:rPr>
                <w:b/>
              </w:rPr>
            </w:pPr>
            <w:r w:rsidRPr="00841C83">
              <w:rPr>
                <w:b/>
              </w:rPr>
              <w:t>Lietuva</w:t>
            </w:r>
          </w:p>
          <w:p w14:paraId="6FBAC8C8" w14:textId="77777777" w:rsidR="00841C83" w:rsidRPr="00B93217" w:rsidRDefault="00841C83" w:rsidP="00B93217">
            <w:pPr>
              <w:pStyle w:val="a3"/>
              <w:widowControl/>
              <w:ind w:left="0"/>
              <w:rPr>
                <w:bCs/>
              </w:rPr>
            </w:pPr>
            <w:r w:rsidRPr="00B93217">
              <w:rPr>
                <w:bCs/>
              </w:rPr>
              <w:t>Celltrion Healthcare Hungary Kft.</w:t>
            </w:r>
          </w:p>
          <w:p w14:paraId="6BB58702" w14:textId="77777777" w:rsidR="00841C83" w:rsidRPr="00B93217" w:rsidRDefault="00841C83" w:rsidP="00B93217">
            <w:pPr>
              <w:pStyle w:val="a3"/>
              <w:widowControl/>
              <w:ind w:left="0"/>
              <w:rPr>
                <w:bCs/>
              </w:rPr>
            </w:pPr>
            <w:r w:rsidRPr="00B93217">
              <w:rPr>
                <w:bCs/>
              </w:rPr>
              <w:t>Tel.: +36 1 231 0493</w:t>
            </w:r>
          </w:p>
          <w:p w14:paraId="2E09365D" w14:textId="77777777" w:rsidR="00841C83" w:rsidRPr="00841C83" w:rsidRDefault="00841C83" w:rsidP="00B93217">
            <w:pPr>
              <w:pStyle w:val="a3"/>
              <w:widowControl/>
              <w:ind w:left="0"/>
              <w:rPr>
                <w:b/>
              </w:rPr>
            </w:pPr>
          </w:p>
        </w:tc>
      </w:tr>
      <w:tr w:rsidR="00841C83" w:rsidRPr="001879E9" w14:paraId="6119ADD2" w14:textId="77777777" w:rsidTr="00B93217">
        <w:trPr>
          <w:trHeight w:val="878"/>
        </w:trPr>
        <w:tc>
          <w:tcPr>
            <w:tcW w:w="4341" w:type="dxa"/>
          </w:tcPr>
          <w:p w14:paraId="2670DD99" w14:textId="77777777" w:rsidR="00841C83" w:rsidRPr="00841C83" w:rsidRDefault="00841C83" w:rsidP="00B93217">
            <w:pPr>
              <w:pStyle w:val="a3"/>
              <w:widowControl/>
              <w:ind w:left="0"/>
              <w:rPr>
                <w:b/>
              </w:rPr>
            </w:pPr>
            <w:r w:rsidRPr="00841C83">
              <w:rPr>
                <w:b/>
              </w:rPr>
              <w:t>България</w:t>
            </w:r>
          </w:p>
          <w:p w14:paraId="52F1F24D" w14:textId="77777777" w:rsidR="00841C83" w:rsidRPr="00B93217" w:rsidRDefault="00841C83" w:rsidP="00B93217">
            <w:pPr>
              <w:pStyle w:val="a3"/>
              <w:widowControl/>
              <w:ind w:left="0"/>
              <w:rPr>
                <w:bCs/>
              </w:rPr>
            </w:pPr>
            <w:r w:rsidRPr="00B93217">
              <w:rPr>
                <w:bCs/>
              </w:rPr>
              <w:t>Celltrion Healthcare Hungary Kft.</w:t>
            </w:r>
          </w:p>
          <w:p w14:paraId="26E944E6" w14:textId="77777777" w:rsidR="00841C83" w:rsidRPr="00B93217" w:rsidRDefault="00841C83" w:rsidP="00B93217">
            <w:pPr>
              <w:pStyle w:val="a3"/>
              <w:widowControl/>
              <w:ind w:left="0"/>
              <w:rPr>
                <w:bCs/>
              </w:rPr>
            </w:pPr>
            <w:r w:rsidRPr="00B93217">
              <w:rPr>
                <w:bCs/>
              </w:rPr>
              <w:t>Teл.: +36 1 231 0493</w:t>
            </w:r>
          </w:p>
          <w:p w14:paraId="5E04E59F" w14:textId="77777777" w:rsidR="00841C83" w:rsidRPr="00841C83" w:rsidRDefault="00841C83" w:rsidP="00B93217">
            <w:pPr>
              <w:pStyle w:val="a3"/>
              <w:widowControl/>
              <w:ind w:left="0"/>
              <w:rPr>
                <w:b/>
              </w:rPr>
            </w:pPr>
          </w:p>
        </w:tc>
        <w:tc>
          <w:tcPr>
            <w:tcW w:w="4536" w:type="dxa"/>
          </w:tcPr>
          <w:p w14:paraId="7CE9FC32" w14:textId="77777777" w:rsidR="00841C83" w:rsidRPr="00841C83" w:rsidRDefault="00841C83" w:rsidP="00B93217">
            <w:pPr>
              <w:pStyle w:val="a3"/>
              <w:widowControl/>
              <w:ind w:left="0"/>
              <w:rPr>
                <w:b/>
              </w:rPr>
            </w:pPr>
            <w:r w:rsidRPr="00841C83">
              <w:rPr>
                <w:b/>
              </w:rPr>
              <w:t>Luxembourg/Luxemburg</w:t>
            </w:r>
          </w:p>
          <w:p w14:paraId="377CF889" w14:textId="77777777" w:rsidR="00841C83" w:rsidRPr="00B93217" w:rsidRDefault="00841C83" w:rsidP="00B93217">
            <w:pPr>
              <w:pStyle w:val="a3"/>
              <w:widowControl/>
              <w:ind w:left="0"/>
              <w:rPr>
                <w:bCs/>
              </w:rPr>
            </w:pPr>
            <w:r w:rsidRPr="00B93217">
              <w:rPr>
                <w:bCs/>
              </w:rPr>
              <w:t>Celltrion Healthcare Belgium BVBA</w:t>
            </w:r>
          </w:p>
          <w:p w14:paraId="505768AD" w14:textId="77777777" w:rsidR="00841C83" w:rsidRPr="00B93217" w:rsidRDefault="00841C83" w:rsidP="00B93217">
            <w:pPr>
              <w:pStyle w:val="a3"/>
              <w:widowControl/>
              <w:ind w:left="0"/>
              <w:rPr>
                <w:bCs/>
              </w:rPr>
            </w:pPr>
            <w:r w:rsidRPr="00B93217">
              <w:rPr>
                <w:bCs/>
              </w:rPr>
              <w:t>Tél/Tel: +32 2 643 71 81</w:t>
            </w:r>
          </w:p>
          <w:p w14:paraId="44578492" w14:textId="77777777" w:rsidR="00841C83" w:rsidRPr="00B93217" w:rsidRDefault="00841C83" w:rsidP="00B93217">
            <w:pPr>
              <w:pStyle w:val="a3"/>
              <w:widowControl/>
              <w:ind w:left="0"/>
              <w:rPr>
                <w:bCs/>
              </w:rPr>
            </w:pPr>
            <w:r w:rsidRPr="00B93217">
              <w:rPr>
                <w:bCs/>
              </w:rPr>
              <w:t>BEinfo@celltrionhc.com</w:t>
            </w:r>
          </w:p>
          <w:p w14:paraId="6C85B911" w14:textId="77777777" w:rsidR="00841C83" w:rsidRPr="00841C83" w:rsidRDefault="00841C83" w:rsidP="00B93217">
            <w:pPr>
              <w:pStyle w:val="a3"/>
              <w:widowControl/>
              <w:ind w:left="0"/>
              <w:rPr>
                <w:b/>
              </w:rPr>
            </w:pPr>
          </w:p>
        </w:tc>
      </w:tr>
      <w:tr w:rsidR="00841C83" w:rsidRPr="001879E9" w14:paraId="66A64697" w14:textId="77777777" w:rsidTr="00B93217">
        <w:trPr>
          <w:trHeight w:val="878"/>
        </w:trPr>
        <w:tc>
          <w:tcPr>
            <w:tcW w:w="4341" w:type="dxa"/>
          </w:tcPr>
          <w:p w14:paraId="312E39D1" w14:textId="77777777" w:rsidR="00841C83" w:rsidRPr="00841C83" w:rsidRDefault="00841C83" w:rsidP="00B93217">
            <w:pPr>
              <w:pStyle w:val="a3"/>
              <w:widowControl/>
              <w:ind w:left="0"/>
              <w:rPr>
                <w:b/>
              </w:rPr>
            </w:pPr>
            <w:r w:rsidRPr="00841C83">
              <w:rPr>
                <w:b/>
              </w:rPr>
              <w:t>Česká republika</w:t>
            </w:r>
          </w:p>
          <w:p w14:paraId="556CC950" w14:textId="77777777" w:rsidR="00841C83" w:rsidRPr="00B93217" w:rsidRDefault="00841C83" w:rsidP="00B93217">
            <w:pPr>
              <w:pStyle w:val="a3"/>
              <w:widowControl/>
              <w:ind w:left="0"/>
              <w:rPr>
                <w:bCs/>
              </w:rPr>
            </w:pPr>
            <w:r w:rsidRPr="00B93217">
              <w:rPr>
                <w:bCs/>
              </w:rPr>
              <w:t>Celltrion Healthcare Hungary Kft.</w:t>
            </w:r>
          </w:p>
          <w:p w14:paraId="4973D95B" w14:textId="77777777" w:rsidR="00841C83" w:rsidRPr="00B93217" w:rsidRDefault="00841C83" w:rsidP="00B93217">
            <w:pPr>
              <w:pStyle w:val="a3"/>
              <w:widowControl/>
              <w:ind w:left="0"/>
              <w:rPr>
                <w:bCs/>
              </w:rPr>
            </w:pPr>
            <w:r w:rsidRPr="00B93217">
              <w:rPr>
                <w:bCs/>
              </w:rPr>
              <w:t>Tel: +36 1 231 0493</w:t>
            </w:r>
          </w:p>
          <w:p w14:paraId="7C6642FC" w14:textId="77777777" w:rsidR="00841C83" w:rsidRPr="00841C83" w:rsidRDefault="00841C83" w:rsidP="00B93217">
            <w:pPr>
              <w:pStyle w:val="a3"/>
              <w:widowControl/>
              <w:ind w:left="0"/>
              <w:rPr>
                <w:b/>
              </w:rPr>
            </w:pPr>
          </w:p>
        </w:tc>
        <w:tc>
          <w:tcPr>
            <w:tcW w:w="4536" w:type="dxa"/>
          </w:tcPr>
          <w:p w14:paraId="7A24AFF6" w14:textId="77777777" w:rsidR="00841C83" w:rsidRPr="00841C83" w:rsidRDefault="00841C83" w:rsidP="00B93217">
            <w:pPr>
              <w:pStyle w:val="a3"/>
              <w:widowControl/>
              <w:ind w:left="0"/>
              <w:rPr>
                <w:b/>
              </w:rPr>
            </w:pPr>
            <w:r w:rsidRPr="00841C83">
              <w:rPr>
                <w:b/>
              </w:rPr>
              <w:t>Magyarország</w:t>
            </w:r>
          </w:p>
          <w:p w14:paraId="6C7F584A" w14:textId="77777777" w:rsidR="00841C83" w:rsidRPr="00B93217" w:rsidRDefault="00841C83" w:rsidP="00B93217">
            <w:pPr>
              <w:pStyle w:val="a3"/>
              <w:widowControl/>
              <w:ind w:left="0"/>
              <w:rPr>
                <w:bCs/>
              </w:rPr>
            </w:pPr>
            <w:r w:rsidRPr="00B93217">
              <w:rPr>
                <w:bCs/>
              </w:rPr>
              <w:t>Celltrion Healthcare Hungary Kft.</w:t>
            </w:r>
          </w:p>
          <w:p w14:paraId="6C6B0CAF" w14:textId="77777777" w:rsidR="00841C83" w:rsidRPr="00B93217" w:rsidRDefault="00841C83" w:rsidP="00B93217">
            <w:pPr>
              <w:pStyle w:val="a3"/>
              <w:widowControl/>
              <w:ind w:left="0"/>
              <w:rPr>
                <w:bCs/>
              </w:rPr>
            </w:pPr>
            <w:r w:rsidRPr="00B93217">
              <w:rPr>
                <w:bCs/>
              </w:rPr>
              <w:t>Tel:. +36 1 231 0493</w:t>
            </w:r>
          </w:p>
          <w:p w14:paraId="61D294E0" w14:textId="77777777" w:rsidR="00841C83" w:rsidRPr="00841C83" w:rsidRDefault="00841C83" w:rsidP="00B93217">
            <w:pPr>
              <w:pStyle w:val="a3"/>
              <w:widowControl/>
              <w:ind w:left="0"/>
              <w:rPr>
                <w:b/>
              </w:rPr>
            </w:pPr>
          </w:p>
        </w:tc>
      </w:tr>
      <w:tr w:rsidR="00841C83" w:rsidRPr="001879E9" w14:paraId="78BBEEEF" w14:textId="77777777" w:rsidTr="00B93217">
        <w:trPr>
          <w:trHeight w:val="878"/>
        </w:trPr>
        <w:tc>
          <w:tcPr>
            <w:tcW w:w="4341" w:type="dxa"/>
          </w:tcPr>
          <w:p w14:paraId="13EEFA4E" w14:textId="1540EF66" w:rsidR="00841C83" w:rsidRPr="00841C83" w:rsidRDefault="00841C83" w:rsidP="00B93217">
            <w:pPr>
              <w:pStyle w:val="a3"/>
              <w:widowControl/>
              <w:ind w:left="0"/>
              <w:rPr>
                <w:b/>
              </w:rPr>
            </w:pPr>
            <w:r w:rsidRPr="00841C83">
              <w:rPr>
                <w:b/>
              </w:rPr>
              <w:t>D</w:t>
            </w:r>
            <w:r w:rsidR="004856B8">
              <w:rPr>
                <w:rFonts w:eastAsia="맑은 고딕" w:hint="eastAsia"/>
                <w:b/>
                <w:lang w:eastAsia="ko-KR"/>
              </w:rPr>
              <w:t>e</w:t>
            </w:r>
            <w:r w:rsidRPr="00841C83">
              <w:rPr>
                <w:b/>
              </w:rPr>
              <w:t>nmark</w:t>
            </w:r>
          </w:p>
          <w:p w14:paraId="520547F2" w14:textId="0E645799" w:rsidR="00841C83" w:rsidRPr="00B93217" w:rsidRDefault="00841C83" w:rsidP="00B93217">
            <w:pPr>
              <w:pStyle w:val="a3"/>
              <w:widowControl/>
              <w:ind w:left="0"/>
              <w:rPr>
                <w:bCs/>
              </w:rPr>
            </w:pPr>
            <w:r w:rsidRPr="00B93217">
              <w:rPr>
                <w:bCs/>
              </w:rPr>
              <w:t xml:space="preserve">Celltrion Healthcare </w:t>
            </w:r>
            <w:r w:rsidR="00EB58FC" w:rsidRPr="00204A91">
              <w:rPr>
                <w:rFonts w:eastAsia="맑은 고딕"/>
                <w:noProof/>
                <w:lang w:eastAsia="fr-FR"/>
              </w:rPr>
              <w:t>Denmark Ap</w:t>
            </w:r>
            <w:r w:rsidR="00EB58FC">
              <w:rPr>
                <w:bCs/>
              </w:rPr>
              <w:t>S</w:t>
            </w:r>
          </w:p>
          <w:p w14:paraId="581B2C4B" w14:textId="3A813A8F" w:rsidR="00841C83" w:rsidRDefault="00EB58FC" w:rsidP="00B93217">
            <w:pPr>
              <w:pStyle w:val="a3"/>
              <w:widowControl/>
              <w:ind w:left="0"/>
              <w:rPr>
                <w:bCs/>
              </w:rPr>
            </w:pPr>
            <w:r w:rsidRPr="00204A91">
              <w:rPr>
                <w:rFonts w:eastAsia="맑은 고딕"/>
                <w:noProof/>
                <w:lang w:eastAsia="fr-FR"/>
              </w:rPr>
              <w:t>Tel: + 45 3535 2989</w:t>
            </w:r>
          </w:p>
          <w:p w14:paraId="5FAB7F83" w14:textId="3E3523BB" w:rsidR="00EB58FC" w:rsidRDefault="00EB58FC" w:rsidP="00B93217">
            <w:pPr>
              <w:pStyle w:val="a3"/>
              <w:widowControl/>
              <w:ind w:left="0"/>
              <w:rPr>
                <w:rFonts w:eastAsia="맑은 고딕"/>
                <w:noProof/>
                <w:lang w:eastAsia="fr-FR"/>
              </w:rPr>
            </w:pPr>
            <w:r w:rsidRPr="002F0CCA">
              <w:rPr>
                <w:rFonts w:eastAsia="맑은 고딕"/>
              </w:rPr>
              <w:t>Contact_dk@celltrionhc.com</w:t>
            </w:r>
          </w:p>
          <w:p w14:paraId="2FA5DEF0" w14:textId="252D8DF4" w:rsidR="00EB58FC" w:rsidRPr="00841C83" w:rsidRDefault="00EB58FC" w:rsidP="00B93217">
            <w:pPr>
              <w:pStyle w:val="a3"/>
              <w:widowControl/>
              <w:ind w:left="0"/>
              <w:rPr>
                <w:b/>
              </w:rPr>
            </w:pPr>
          </w:p>
        </w:tc>
        <w:tc>
          <w:tcPr>
            <w:tcW w:w="4536" w:type="dxa"/>
          </w:tcPr>
          <w:p w14:paraId="096676BB" w14:textId="77777777" w:rsidR="00841C83" w:rsidRPr="00841C83" w:rsidRDefault="00841C83" w:rsidP="00B93217">
            <w:pPr>
              <w:pStyle w:val="a3"/>
              <w:widowControl/>
              <w:ind w:left="0"/>
              <w:rPr>
                <w:b/>
              </w:rPr>
            </w:pPr>
            <w:r w:rsidRPr="00841C83">
              <w:rPr>
                <w:b/>
              </w:rPr>
              <w:t>Malta</w:t>
            </w:r>
          </w:p>
          <w:p w14:paraId="3AE599BC" w14:textId="77777777" w:rsidR="00841C83" w:rsidRPr="00B93217" w:rsidRDefault="00841C83" w:rsidP="00B93217">
            <w:pPr>
              <w:pStyle w:val="a3"/>
              <w:widowControl/>
              <w:ind w:left="0"/>
              <w:rPr>
                <w:bCs/>
              </w:rPr>
            </w:pPr>
            <w:r w:rsidRPr="00B93217">
              <w:rPr>
                <w:bCs/>
              </w:rPr>
              <w:t>Mint Health Ltd.</w:t>
            </w:r>
          </w:p>
          <w:p w14:paraId="154784CF" w14:textId="77777777" w:rsidR="00841C83" w:rsidRPr="00B93217" w:rsidRDefault="00841C83" w:rsidP="00B93217">
            <w:pPr>
              <w:pStyle w:val="a3"/>
              <w:widowControl/>
              <w:ind w:left="0"/>
              <w:rPr>
                <w:bCs/>
              </w:rPr>
            </w:pPr>
            <w:r w:rsidRPr="00B93217">
              <w:rPr>
                <w:bCs/>
              </w:rPr>
              <w:t>Tel: +356 2093 9800</w:t>
            </w:r>
          </w:p>
          <w:p w14:paraId="73BEC5EC" w14:textId="77777777" w:rsidR="00841C83" w:rsidRPr="00841C83" w:rsidRDefault="00841C83" w:rsidP="00B93217">
            <w:pPr>
              <w:pStyle w:val="a3"/>
              <w:widowControl/>
              <w:ind w:left="0"/>
              <w:rPr>
                <w:b/>
              </w:rPr>
            </w:pPr>
          </w:p>
        </w:tc>
      </w:tr>
      <w:tr w:rsidR="00841C83" w:rsidRPr="001879E9" w14:paraId="7041AD6A" w14:textId="77777777" w:rsidTr="00B93217">
        <w:trPr>
          <w:trHeight w:val="878"/>
        </w:trPr>
        <w:tc>
          <w:tcPr>
            <w:tcW w:w="4341" w:type="dxa"/>
          </w:tcPr>
          <w:p w14:paraId="5CCA3EEF" w14:textId="77777777" w:rsidR="00841C83" w:rsidRPr="00841C83" w:rsidRDefault="00841C83" w:rsidP="00B93217">
            <w:pPr>
              <w:pStyle w:val="a3"/>
              <w:widowControl/>
              <w:ind w:left="0"/>
              <w:rPr>
                <w:b/>
              </w:rPr>
            </w:pPr>
            <w:r w:rsidRPr="00841C83">
              <w:rPr>
                <w:b/>
              </w:rPr>
              <w:t>Deutschland</w:t>
            </w:r>
          </w:p>
          <w:p w14:paraId="55DD3742" w14:textId="77777777" w:rsidR="00841C83" w:rsidRPr="00B93217" w:rsidRDefault="00841C83" w:rsidP="00B93217">
            <w:pPr>
              <w:pStyle w:val="a3"/>
              <w:widowControl/>
              <w:ind w:left="0"/>
              <w:rPr>
                <w:bCs/>
              </w:rPr>
            </w:pPr>
            <w:r w:rsidRPr="00B93217">
              <w:rPr>
                <w:bCs/>
              </w:rPr>
              <w:t>Celltrion Healthcare Deutschland GmbH</w:t>
            </w:r>
          </w:p>
          <w:p w14:paraId="229DB00D" w14:textId="77777777" w:rsidR="00841C83" w:rsidRPr="00B93217" w:rsidRDefault="00841C83" w:rsidP="00B93217">
            <w:pPr>
              <w:pStyle w:val="a3"/>
              <w:widowControl/>
              <w:ind w:left="0"/>
              <w:rPr>
                <w:bCs/>
              </w:rPr>
            </w:pPr>
            <w:r w:rsidRPr="00B93217">
              <w:rPr>
                <w:bCs/>
              </w:rPr>
              <w:t>Tel: +49 (0)30 346494150</w:t>
            </w:r>
          </w:p>
          <w:p w14:paraId="1677AABB" w14:textId="77777777" w:rsidR="00841C83" w:rsidRPr="00841C83" w:rsidRDefault="00841C83" w:rsidP="00B93217">
            <w:pPr>
              <w:pStyle w:val="a3"/>
              <w:widowControl/>
              <w:ind w:left="0"/>
              <w:rPr>
                <w:b/>
              </w:rPr>
            </w:pPr>
            <w:r w:rsidRPr="00B93217">
              <w:rPr>
                <w:bCs/>
              </w:rPr>
              <w:t>infoDE@celltrionhc.com</w:t>
            </w:r>
          </w:p>
        </w:tc>
        <w:tc>
          <w:tcPr>
            <w:tcW w:w="4536" w:type="dxa"/>
          </w:tcPr>
          <w:p w14:paraId="07DD90C5" w14:textId="77777777" w:rsidR="00841C83" w:rsidRPr="00841C83" w:rsidRDefault="00841C83" w:rsidP="00B93217">
            <w:pPr>
              <w:pStyle w:val="a3"/>
              <w:widowControl/>
              <w:ind w:left="0"/>
              <w:rPr>
                <w:b/>
              </w:rPr>
            </w:pPr>
            <w:r w:rsidRPr="00841C83">
              <w:rPr>
                <w:b/>
              </w:rPr>
              <w:t>Nederland</w:t>
            </w:r>
          </w:p>
          <w:p w14:paraId="5A0777F5" w14:textId="77777777" w:rsidR="00841C83" w:rsidRPr="00B93217" w:rsidRDefault="00841C83" w:rsidP="00B93217">
            <w:pPr>
              <w:pStyle w:val="a3"/>
              <w:widowControl/>
              <w:ind w:left="0"/>
              <w:rPr>
                <w:bCs/>
              </w:rPr>
            </w:pPr>
            <w:r w:rsidRPr="00B93217">
              <w:rPr>
                <w:bCs/>
              </w:rPr>
              <w:t>Celltrion Healthcare Netherlands B.V.</w:t>
            </w:r>
          </w:p>
          <w:p w14:paraId="6B91DA27" w14:textId="77777777" w:rsidR="00841C83" w:rsidRPr="00B93217" w:rsidRDefault="00841C83" w:rsidP="00B93217">
            <w:pPr>
              <w:pStyle w:val="a3"/>
              <w:widowControl/>
              <w:ind w:left="0"/>
              <w:rPr>
                <w:bCs/>
              </w:rPr>
            </w:pPr>
            <w:r w:rsidRPr="00B93217">
              <w:rPr>
                <w:bCs/>
              </w:rPr>
              <w:t>Tel: + 31 20 888 7300</w:t>
            </w:r>
          </w:p>
          <w:p w14:paraId="556AF670" w14:textId="77777777" w:rsidR="00841C83" w:rsidRPr="00B93217" w:rsidRDefault="00841C83" w:rsidP="00B93217">
            <w:pPr>
              <w:pStyle w:val="a3"/>
              <w:widowControl/>
              <w:ind w:left="0"/>
              <w:rPr>
                <w:bCs/>
              </w:rPr>
            </w:pPr>
            <w:hyperlink r:id="rId15" w:history="1">
              <w:r w:rsidRPr="00B93217">
                <w:rPr>
                  <w:rStyle w:val="a9"/>
                  <w:bCs/>
                </w:rPr>
                <w:t>NLinfo@celltrionhc.com</w:t>
              </w:r>
            </w:hyperlink>
          </w:p>
          <w:p w14:paraId="037D12AA" w14:textId="77777777" w:rsidR="00841C83" w:rsidRPr="00841C83" w:rsidRDefault="00841C83" w:rsidP="00B93217">
            <w:pPr>
              <w:pStyle w:val="a3"/>
              <w:widowControl/>
              <w:ind w:left="0"/>
              <w:rPr>
                <w:b/>
              </w:rPr>
            </w:pPr>
          </w:p>
        </w:tc>
      </w:tr>
      <w:tr w:rsidR="00841C83" w:rsidRPr="001879E9" w14:paraId="2DF6FD82" w14:textId="77777777" w:rsidTr="00B93217">
        <w:trPr>
          <w:trHeight w:val="878"/>
        </w:trPr>
        <w:tc>
          <w:tcPr>
            <w:tcW w:w="4341" w:type="dxa"/>
          </w:tcPr>
          <w:p w14:paraId="22A6BB6A" w14:textId="77777777" w:rsidR="00841C83" w:rsidRPr="001879E9" w:rsidRDefault="00841C83" w:rsidP="00B93217">
            <w:pPr>
              <w:pStyle w:val="a3"/>
              <w:widowControl/>
              <w:ind w:left="0"/>
              <w:rPr>
                <w:b/>
              </w:rPr>
            </w:pPr>
            <w:r w:rsidRPr="00841C83">
              <w:rPr>
                <w:b/>
              </w:rPr>
              <w:lastRenderedPageBreak/>
              <w:t>Eesti</w:t>
            </w:r>
          </w:p>
          <w:p w14:paraId="71708761" w14:textId="77777777" w:rsidR="00841C83" w:rsidRPr="00B93217" w:rsidRDefault="00841C83" w:rsidP="00B93217">
            <w:pPr>
              <w:pStyle w:val="a3"/>
              <w:widowControl/>
              <w:ind w:left="0"/>
              <w:rPr>
                <w:bCs/>
              </w:rPr>
            </w:pPr>
            <w:r w:rsidRPr="00B93217">
              <w:rPr>
                <w:bCs/>
              </w:rPr>
              <w:t>Celltrion Healthcare Hungary Kft.</w:t>
            </w:r>
          </w:p>
          <w:p w14:paraId="05068516" w14:textId="77777777" w:rsidR="00841C83" w:rsidRPr="00B93217" w:rsidRDefault="00841C83" w:rsidP="00B93217">
            <w:pPr>
              <w:pStyle w:val="a3"/>
              <w:widowControl/>
              <w:ind w:left="0"/>
              <w:rPr>
                <w:bCs/>
              </w:rPr>
            </w:pPr>
            <w:r w:rsidRPr="00B93217">
              <w:rPr>
                <w:bCs/>
              </w:rPr>
              <w:t>Tel: +36 1 231 0493</w:t>
            </w:r>
          </w:p>
          <w:p w14:paraId="662C3F62" w14:textId="77777777" w:rsidR="00841C83" w:rsidRPr="00841C83" w:rsidRDefault="00841C83" w:rsidP="00B93217">
            <w:pPr>
              <w:pStyle w:val="a3"/>
              <w:widowControl/>
              <w:ind w:left="0"/>
              <w:rPr>
                <w:b/>
              </w:rPr>
            </w:pPr>
          </w:p>
        </w:tc>
        <w:tc>
          <w:tcPr>
            <w:tcW w:w="4536" w:type="dxa"/>
          </w:tcPr>
          <w:p w14:paraId="4A887AC0" w14:textId="77777777" w:rsidR="00841C83" w:rsidRPr="00841C83" w:rsidRDefault="00841C83" w:rsidP="00B93217">
            <w:pPr>
              <w:pStyle w:val="a3"/>
              <w:widowControl/>
              <w:ind w:left="0"/>
              <w:rPr>
                <w:b/>
              </w:rPr>
            </w:pPr>
            <w:r w:rsidRPr="00841C83">
              <w:rPr>
                <w:b/>
              </w:rPr>
              <w:t>Norge</w:t>
            </w:r>
          </w:p>
          <w:p w14:paraId="18F16D8B" w14:textId="77777777" w:rsidR="004856B8" w:rsidRPr="00DC6A50" w:rsidRDefault="00841C83" w:rsidP="004856B8">
            <w:pPr>
              <w:tabs>
                <w:tab w:val="left" w:pos="-720"/>
              </w:tabs>
              <w:suppressAutoHyphens/>
              <w:rPr>
                <w:rFonts w:eastAsia="맑은 고딕"/>
                <w:noProof/>
                <w:lang w:eastAsia="ko-KR"/>
              </w:rPr>
            </w:pPr>
            <w:r w:rsidRPr="00B93217">
              <w:rPr>
                <w:bCs/>
              </w:rPr>
              <w:t xml:space="preserve">Celltrion Healthcare </w:t>
            </w:r>
            <w:r w:rsidR="004856B8">
              <w:rPr>
                <w:rFonts w:eastAsia="맑은 고딕" w:hint="eastAsia"/>
                <w:noProof/>
                <w:lang w:eastAsia="ko-KR"/>
              </w:rPr>
              <w:t>Norway AS</w:t>
            </w:r>
          </w:p>
          <w:p w14:paraId="02A2788A" w14:textId="4FCF8C90" w:rsidR="00841C83" w:rsidRPr="004856B8" w:rsidRDefault="004856B8" w:rsidP="00B93217">
            <w:pPr>
              <w:pStyle w:val="a3"/>
              <w:widowControl/>
              <w:ind w:left="0"/>
              <w:rPr>
                <w:b/>
              </w:rPr>
            </w:pPr>
            <w:r w:rsidRPr="006F04E0">
              <w:rPr>
                <w:rFonts w:eastAsia="맑은 고딕"/>
                <w:noProof/>
                <w:lang w:eastAsia="fr-FR"/>
              </w:rPr>
              <w:t>Contact_no@celltrionhc.com</w:t>
            </w:r>
            <w:r w:rsidRPr="006F04E0" w:rsidDel="006F04E0">
              <w:rPr>
                <w:rFonts w:eastAsia="맑은 고딕"/>
                <w:noProof/>
                <w:lang w:eastAsia="fr-FR"/>
              </w:rPr>
              <w:t xml:space="preserve"> </w:t>
            </w:r>
          </w:p>
        </w:tc>
      </w:tr>
      <w:tr w:rsidR="00841C83" w:rsidRPr="001879E9" w14:paraId="037700DF" w14:textId="77777777" w:rsidTr="00B93217">
        <w:trPr>
          <w:trHeight w:val="878"/>
        </w:trPr>
        <w:tc>
          <w:tcPr>
            <w:tcW w:w="4341" w:type="dxa"/>
          </w:tcPr>
          <w:p w14:paraId="7768209E" w14:textId="77777777" w:rsidR="00841C83" w:rsidRPr="00841C83" w:rsidRDefault="00841C83" w:rsidP="00B93217">
            <w:pPr>
              <w:pStyle w:val="a3"/>
              <w:widowControl/>
              <w:ind w:left="0"/>
              <w:rPr>
                <w:b/>
              </w:rPr>
            </w:pPr>
            <w:r w:rsidRPr="00841C83">
              <w:rPr>
                <w:b/>
              </w:rPr>
              <w:t>España</w:t>
            </w:r>
          </w:p>
          <w:p w14:paraId="70B84DAC" w14:textId="77777777" w:rsidR="00841C83" w:rsidRPr="00B93217" w:rsidRDefault="00841C83" w:rsidP="00B93217">
            <w:pPr>
              <w:pStyle w:val="a3"/>
              <w:widowControl/>
              <w:ind w:left="0"/>
              <w:rPr>
                <w:bCs/>
              </w:rPr>
            </w:pPr>
            <w:r w:rsidRPr="00B93217">
              <w:rPr>
                <w:bCs/>
              </w:rPr>
              <w:t>CELLTRION FARMACEUTICA (ESPAÑA) S.L..</w:t>
            </w:r>
          </w:p>
          <w:p w14:paraId="6988BE7C" w14:textId="1CE80238" w:rsidR="00841C83" w:rsidRPr="00B93217" w:rsidRDefault="00841C83" w:rsidP="00B93217">
            <w:pPr>
              <w:pStyle w:val="a3"/>
              <w:widowControl/>
              <w:ind w:left="0"/>
              <w:rPr>
                <w:bCs/>
              </w:rPr>
            </w:pPr>
            <w:r w:rsidRPr="00B93217">
              <w:rPr>
                <w:bCs/>
              </w:rPr>
              <w:t xml:space="preserve">Tel: +34 </w:t>
            </w:r>
            <w:r w:rsidR="00143E82">
              <w:rPr>
                <w:bCs/>
              </w:rPr>
              <w:t>910 498 478</w:t>
            </w:r>
          </w:p>
          <w:p w14:paraId="3E0096C1" w14:textId="77777777" w:rsidR="00841C83" w:rsidRPr="001879E9" w:rsidRDefault="00841C83" w:rsidP="00B93217">
            <w:pPr>
              <w:pStyle w:val="a3"/>
              <w:widowControl/>
              <w:ind w:left="0"/>
              <w:rPr>
                <w:b/>
              </w:rPr>
            </w:pPr>
          </w:p>
        </w:tc>
        <w:tc>
          <w:tcPr>
            <w:tcW w:w="4536" w:type="dxa"/>
          </w:tcPr>
          <w:p w14:paraId="37A43FAF" w14:textId="77777777" w:rsidR="00841C83" w:rsidRPr="00841C83" w:rsidRDefault="00841C83" w:rsidP="00B93217">
            <w:pPr>
              <w:pStyle w:val="a3"/>
              <w:widowControl/>
              <w:ind w:left="0"/>
              <w:rPr>
                <w:b/>
              </w:rPr>
            </w:pPr>
            <w:r w:rsidRPr="00841C83">
              <w:rPr>
                <w:b/>
              </w:rPr>
              <w:t>Österreich</w:t>
            </w:r>
          </w:p>
          <w:p w14:paraId="332BE0AF" w14:textId="77777777" w:rsidR="00841C83" w:rsidRPr="00B93217" w:rsidRDefault="00841C83" w:rsidP="00B93217">
            <w:pPr>
              <w:pStyle w:val="a3"/>
              <w:widowControl/>
              <w:ind w:left="0"/>
              <w:rPr>
                <w:bCs/>
              </w:rPr>
            </w:pPr>
            <w:r w:rsidRPr="00B93217">
              <w:rPr>
                <w:bCs/>
              </w:rPr>
              <w:t>Astro-Pharma GmbH</w:t>
            </w:r>
          </w:p>
          <w:p w14:paraId="355777AF" w14:textId="77777777" w:rsidR="00841C83" w:rsidRPr="00B93217" w:rsidRDefault="00841C83" w:rsidP="00B93217">
            <w:pPr>
              <w:pStyle w:val="a3"/>
              <w:widowControl/>
              <w:ind w:left="0"/>
              <w:rPr>
                <w:bCs/>
              </w:rPr>
            </w:pPr>
            <w:r w:rsidRPr="00B93217">
              <w:rPr>
                <w:bCs/>
              </w:rPr>
              <w:t>Tel: +43 1 97 99 860</w:t>
            </w:r>
          </w:p>
          <w:p w14:paraId="779753CE" w14:textId="77777777" w:rsidR="00841C83" w:rsidRPr="00841C83" w:rsidRDefault="00841C83" w:rsidP="00B93217">
            <w:pPr>
              <w:pStyle w:val="a3"/>
              <w:widowControl/>
              <w:ind w:left="0"/>
              <w:rPr>
                <w:b/>
              </w:rPr>
            </w:pPr>
          </w:p>
        </w:tc>
      </w:tr>
      <w:tr w:rsidR="00841C83" w:rsidRPr="001879E9" w14:paraId="153BE65B" w14:textId="77777777" w:rsidTr="00B93217">
        <w:trPr>
          <w:trHeight w:val="878"/>
        </w:trPr>
        <w:tc>
          <w:tcPr>
            <w:tcW w:w="4341" w:type="dxa"/>
          </w:tcPr>
          <w:p w14:paraId="07692862" w14:textId="77777777" w:rsidR="00841C83" w:rsidRPr="00841C83" w:rsidRDefault="00841C83" w:rsidP="00B93217">
            <w:pPr>
              <w:pStyle w:val="a3"/>
              <w:widowControl/>
              <w:ind w:left="0"/>
              <w:rPr>
                <w:b/>
              </w:rPr>
            </w:pPr>
            <w:r w:rsidRPr="00841C83">
              <w:rPr>
                <w:b/>
              </w:rPr>
              <w:t>Ελλάδα</w:t>
            </w:r>
          </w:p>
          <w:p w14:paraId="683EE202" w14:textId="77777777" w:rsidR="00841C83" w:rsidRPr="00B93217" w:rsidRDefault="00841C83" w:rsidP="00B93217">
            <w:pPr>
              <w:pStyle w:val="a3"/>
              <w:widowControl/>
              <w:ind w:left="0"/>
              <w:rPr>
                <w:bCs/>
              </w:rPr>
            </w:pPr>
            <w:r w:rsidRPr="00B93217">
              <w:rPr>
                <w:bCs/>
              </w:rPr>
              <w:t>ΒΙΑΝΕΞ Α.Ε.</w:t>
            </w:r>
          </w:p>
          <w:p w14:paraId="4F715F96" w14:textId="77777777" w:rsidR="00841C83" w:rsidRPr="00B93217" w:rsidRDefault="00841C83" w:rsidP="00B93217">
            <w:pPr>
              <w:pStyle w:val="a3"/>
              <w:widowControl/>
              <w:ind w:left="0"/>
              <w:rPr>
                <w:bCs/>
              </w:rPr>
            </w:pPr>
            <w:r w:rsidRPr="00B93217">
              <w:rPr>
                <w:bCs/>
              </w:rPr>
              <w:t xml:space="preserve">Τηλ: +30 210 8009111 </w:t>
            </w:r>
          </w:p>
          <w:p w14:paraId="4B6CD6CE" w14:textId="77777777" w:rsidR="00841C83" w:rsidRPr="00841C83" w:rsidRDefault="00841C83" w:rsidP="00B93217">
            <w:pPr>
              <w:pStyle w:val="a3"/>
              <w:widowControl/>
              <w:ind w:left="0"/>
              <w:rPr>
                <w:b/>
              </w:rPr>
            </w:pPr>
          </w:p>
        </w:tc>
        <w:tc>
          <w:tcPr>
            <w:tcW w:w="4536" w:type="dxa"/>
          </w:tcPr>
          <w:p w14:paraId="29798A75" w14:textId="77777777" w:rsidR="00841C83" w:rsidRPr="00841C83" w:rsidRDefault="00841C83" w:rsidP="00B93217">
            <w:pPr>
              <w:pStyle w:val="a3"/>
              <w:widowControl/>
              <w:ind w:left="0"/>
              <w:rPr>
                <w:b/>
              </w:rPr>
            </w:pPr>
            <w:r w:rsidRPr="00841C83">
              <w:rPr>
                <w:b/>
              </w:rPr>
              <w:t>Polska</w:t>
            </w:r>
          </w:p>
          <w:p w14:paraId="36C17A61" w14:textId="77777777" w:rsidR="00841C83" w:rsidRPr="00B93217" w:rsidRDefault="00841C83" w:rsidP="00B93217">
            <w:pPr>
              <w:pStyle w:val="a3"/>
              <w:widowControl/>
              <w:ind w:left="0"/>
              <w:rPr>
                <w:bCs/>
              </w:rPr>
            </w:pPr>
            <w:r w:rsidRPr="00B93217">
              <w:rPr>
                <w:bCs/>
              </w:rPr>
              <w:t>Celltrion Healthcare Hungary Kft.</w:t>
            </w:r>
          </w:p>
          <w:p w14:paraId="3780A6D7" w14:textId="77777777" w:rsidR="00841C83" w:rsidRPr="00B93217" w:rsidRDefault="00841C83" w:rsidP="00B93217">
            <w:pPr>
              <w:pStyle w:val="a3"/>
              <w:widowControl/>
              <w:ind w:left="0"/>
              <w:rPr>
                <w:bCs/>
              </w:rPr>
            </w:pPr>
            <w:r w:rsidRPr="00B93217">
              <w:rPr>
                <w:bCs/>
              </w:rPr>
              <w:t>Tel.: +36 1 231 0493</w:t>
            </w:r>
          </w:p>
          <w:p w14:paraId="5D8D6A82" w14:textId="77777777" w:rsidR="00841C83" w:rsidRPr="001879E9" w:rsidRDefault="00841C83" w:rsidP="00B93217">
            <w:pPr>
              <w:pStyle w:val="a3"/>
              <w:widowControl/>
              <w:ind w:left="0"/>
              <w:rPr>
                <w:b/>
              </w:rPr>
            </w:pPr>
          </w:p>
        </w:tc>
      </w:tr>
      <w:tr w:rsidR="00841C83" w:rsidRPr="001879E9" w14:paraId="7AAA60F5" w14:textId="77777777" w:rsidTr="00B93217">
        <w:trPr>
          <w:trHeight w:val="878"/>
        </w:trPr>
        <w:tc>
          <w:tcPr>
            <w:tcW w:w="4341" w:type="dxa"/>
          </w:tcPr>
          <w:p w14:paraId="3600DE77" w14:textId="77777777" w:rsidR="00841C83" w:rsidRPr="001879E9" w:rsidRDefault="00841C83" w:rsidP="00B93217">
            <w:pPr>
              <w:pStyle w:val="a3"/>
              <w:widowControl/>
              <w:ind w:left="0"/>
              <w:rPr>
                <w:b/>
              </w:rPr>
            </w:pPr>
            <w:r w:rsidRPr="00841C83">
              <w:rPr>
                <w:b/>
              </w:rPr>
              <w:t>France</w:t>
            </w:r>
          </w:p>
          <w:p w14:paraId="5A6357EA" w14:textId="77777777" w:rsidR="00841C83" w:rsidRPr="00B93217" w:rsidRDefault="00841C83" w:rsidP="00B93217">
            <w:pPr>
              <w:pStyle w:val="a3"/>
              <w:widowControl/>
              <w:ind w:left="0"/>
              <w:rPr>
                <w:bCs/>
              </w:rPr>
            </w:pPr>
            <w:r w:rsidRPr="00B93217">
              <w:rPr>
                <w:bCs/>
              </w:rPr>
              <w:t>Celltrion Healthcare France SAS</w:t>
            </w:r>
          </w:p>
          <w:p w14:paraId="3030A04C" w14:textId="77777777" w:rsidR="00841C83" w:rsidRPr="00B93217" w:rsidRDefault="00841C83" w:rsidP="00B93217">
            <w:pPr>
              <w:pStyle w:val="a3"/>
              <w:widowControl/>
              <w:ind w:left="0"/>
              <w:rPr>
                <w:bCs/>
              </w:rPr>
            </w:pPr>
            <w:r w:rsidRPr="00B93217">
              <w:rPr>
                <w:bCs/>
              </w:rPr>
              <w:t>Tél.: +33 (0)1 71 25 27 00</w:t>
            </w:r>
          </w:p>
          <w:p w14:paraId="548259DA" w14:textId="77777777" w:rsidR="00841C83" w:rsidRPr="00841C83" w:rsidRDefault="00841C83" w:rsidP="00B93217">
            <w:pPr>
              <w:pStyle w:val="a3"/>
              <w:widowControl/>
              <w:ind w:left="0"/>
              <w:rPr>
                <w:b/>
              </w:rPr>
            </w:pPr>
          </w:p>
        </w:tc>
        <w:tc>
          <w:tcPr>
            <w:tcW w:w="4536" w:type="dxa"/>
          </w:tcPr>
          <w:p w14:paraId="27BDDCA9" w14:textId="77777777" w:rsidR="00841C83" w:rsidRPr="00841C83" w:rsidRDefault="00841C83" w:rsidP="00B93217">
            <w:pPr>
              <w:pStyle w:val="a3"/>
              <w:widowControl/>
              <w:ind w:left="0"/>
              <w:rPr>
                <w:b/>
              </w:rPr>
            </w:pPr>
            <w:r w:rsidRPr="00841C83">
              <w:rPr>
                <w:b/>
              </w:rPr>
              <w:t>Portugal</w:t>
            </w:r>
          </w:p>
          <w:p w14:paraId="39C6F86A" w14:textId="77777777" w:rsidR="00841C83" w:rsidRPr="00B93217" w:rsidRDefault="00841C83" w:rsidP="00B93217">
            <w:pPr>
              <w:pStyle w:val="a3"/>
              <w:widowControl/>
              <w:ind w:left="0"/>
              <w:rPr>
                <w:bCs/>
              </w:rPr>
            </w:pPr>
            <w:r w:rsidRPr="00B93217">
              <w:rPr>
                <w:bCs/>
              </w:rPr>
              <w:t>CELLTRION PORTUGAL, UNIPESSOAL LDA.</w:t>
            </w:r>
          </w:p>
          <w:p w14:paraId="2134DD1E" w14:textId="77777777" w:rsidR="00841C83" w:rsidRPr="00B93217" w:rsidRDefault="00841C83" w:rsidP="00B93217">
            <w:pPr>
              <w:pStyle w:val="a3"/>
              <w:widowControl/>
              <w:ind w:left="0"/>
              <w:rPr>
                <w:bCs/>
              </w:rPr>
            </w:pPr>
            <w:r w:rsidRPr="00B93217">
              <w:rPr>
                <w:bCs/>
              </w:rPr>
              <w:t>Tel: +351 21 936 8542</w:t>
            </w:r>
          </w:p>
          <w:p w14:paraId="04137CE0" w14:textId="77777777" w:rsidR="00841C83" w:rsidRPr="001879E9" w:rsidRDefault="00841C83" w:rsidP="00B93217">
            <w:pPr>
              <w:pStyle w:val="a3"/>
              <w:widowControl/>
              <w:ind w:left="0"/>
              <w:rPr>
                <w:b/>
              </w:rPr>
            </w:pPr>
          </w:p>
        </w:tc>
      </w:tr>
      <w:tr w:rsidR="00841C83" w:rsidRPr="001879E9" w14:paraId="3DE4666A" w14:textId="77777777" w:rsidTr="00B93217">
        <w:trPr>
          <w:trHeight w:val="878"/>
        </w:trPr>
        <w:tc>
          <w:tcPr>
            <w:tcW w:w="4341" w:type="dxa"/>
          </w:tcPr>
          <w:p w14:paraId="7556910F" w14:textId="77777777" w:rsidR="00841C83" w:rsidRPr="00841C83" w:rsidRDefault="00841C83" w:rsidP="00B93217">
            <w:pPr>
              <w:pStyle w:val="a3"/>
              <w:widowControl/>
              <w:ind w:left="0"/>
              <w:rPr>
                <w:b/>
              </w:rPr>
            </w:pPr>
            <w:r w:rsidRPr="00841C83">
              <w:rPr>
                <w:b/>
              </w:rPr>
              <w:t>Hrvatska</w:t>
            </w:r>
          </w:p>
          <w:p w14:paraId="1507E89C" w14:textId="77777777" w:rsidR="00841C83" w:rsidRPr="00B93217" w:rsidRDefault="00841C83" w:rsidP="00B93217">
            <w:pPr>
              <w:pStyle w:val="a3"/>
              <w:widowControl/>
              <w:ind w:left="0"/>
              <w:rPr>
                <w:bCs/>
              </w:rPr>
            </w:pPr>
            <w:r w:rsidRPr="00B93217">
              <w:rPr>
                <w:bCs/>
              </w:rPr>
              <w:t>Oktal Pharma d.o.o.</w:t>
            </w:r>
          </w:p>
          <w:p w14:paraId="6B735B65" w14:textId="77777777" w:rsidR="00841C83" w:rsidRPr="00B93217" w:rsidRDefault="00841C83" w:rsidP="00B93217">
            <w:pPr>
              <w:pStyle w:val="a3"/>
              <w:widowControl/>
              <w:ind w:left="0"/>
              <w:rPr>
                <w:bCs/>
              </w:rPr>
            </w:pPr>
            <w:r w:rsidRPr="00B93217">
              <w:rPr>
                <w:bCs/>
              </w:rPr>
              <w:t>Tel: +385 1 6595 777</w:t>
            </w:r>
          </w:p>
          <w:p w14:paraId="438630C5" w14:textId="77777777" w:rsidR="00841C83" w:rsidRPr="00841C83" w:rsidRDefault="00841C83" w:rsidP="00B93217">
            <w:pPr>
              <w:pStyle w:val="a3"/>
              <w:widowControl/>
              <w:ind w:left="0"/>
              <w:rPr>
                <w:b/>
              </w:rPr>
            </w:pPr>
          </w:p>
        </w:tc>
        <w:tc>
          <w:tcPr>
            <w:tcW w:w="4536" w:type="dxa"/>
          </w:tcPr>
          <w:p w14:paraId="0E09D1CE" w14:textId="77777777" w:rsidR="00841C83" w:rsidRPr="00841C83" w:rsidRDefault="00841C83" w:rsidP="00B93217">
            <w:pPr>
              <w:pStyle w:val="a3"/>
              <w:widowControl/>
              <w:ind w:left="0"/>
              <w:rPr>
                <w:b/>
              </w:rPr>
            </w:pPr>
            <w:r w:rsidRPr="00841C83">
              <w:rPr>
                <w:b/>
              </w:rPr>
              <w:t>România</w:t>
            </w:r>
          </w:p>
          <w:p w14:paraId="29C29651" w14:textId="77777777" w:rsidR="00841C83" w:rsidRPr="00B93217" w:rsidRDefault="00841C83" w:rsidP="00B93217">
            <w:pPr>
              <w:pStyle w:val="a3"/>
              <w:widowControl/>
              <w:ind w:left="0"/>
              <w:rPr>
                <w:bCs/>
              </w:rPr>
            </w:pPr>
            <w:r w:rsidRPr="00B93217">
              <w:rPr>
                <w:bCs/>
              </w:rPr>
              <w:t>Celltrion Healthcare Hungary Kft.</w:t>
            </w:r>
          </w:p>
          <w:p w14:paraId="290D6A08" w14:textId="77777777" w:rsidR="00841C83" w:rsidRPr="00B93217" w:rsidRDefault="00841C83" w:rsidP="00B93217">
            <w:pPr>
              <w:pStyle w:val="a3"/>
              <w:widowControl/>
              <w:ind w:left="0"/>
              <w:rPr>
                <w:bCs/>
              </w:rPr>
            </w:pPr>
            <w:r w:rsidRPr="00B93217">
              <w:rPr>
                <w:bCs/>
              </w:rPr>
              <w:t>Tel: +36 1 231 0493</w:t>
            </w:r>
          </w:p>
          <w:p w14:paraId="02A98F20" w14:textId="77777777" w:rsidR="00841C83" w:rsidRPr="001879E9" w:rsidRDefault="00841C83" w:rsidP="00B93217">
            <w:pPr>
              <w:pStyle w:val="a3"/>
              <w:widowControl/>
              <w:ind w:left="0"/>
              <w:rPr>
                <w:b/>
              </w:rPr>
            </w:pPr>
          </w:p>
        </w:tc>
      </w:tr>
      <w:tr w:rsidR="00841C83" w:rsidRPr="001879E9" w14:paraId="78E34099" w14:textId="77777777" w:rsidTr="00B93217">
        <w:trPr>
          <w:trHeight w:val="878"/>
        </w:trPr>
        <w:tc>
          <w:tcPr>
            <w:tcW w:w="4341" w:type="dxa"/>
          </w:tcPr>
          <w:p w14:paraId="7E39B54A" w14:textId="77777777" w:rsidR="00841C83" w:rsidRPr="00841C83" w:rsidRDefault="00841C83" w:rsidP="00B93217">
            <w:pPr>
              <w:pStyle w:val="a3"/>
              <w:widowControl/>
              <w:ind w:left="0"/>
              <w:rPr>
                <w:b/>
              </w:rPr>
            </w:pPr>
            <w:r w:rsidRPr="00841C83">
              <w:rPr>
                <w:b/>
              </w:rPr>
              <w:t>Ireland</w:t>
            </w:r>
          </w:p>
          <w:p w14:paraId="06ECE55A" w14:textId="77777777" w:rsidR="00841C83" w:rsidRPr="00B93217" w:rsidRDefault="00841C83" w:rsidP="00B93217">
            <w:pPr>
              <w:pStyle w:val="a3"/>
              <w:widowControl/>
              <w:ind w:left="0"/>
              <w:rPr>
                <w:bCs/>
              </w:rPr>
            </w:pPr>
            <w:r w:rsidRPr="00B93217">
              <w:rPr>
                <w:bCs/>
              </w:rPr>
              <w:t>Celltrion Healthcare Ireland Limited</w:t>
            </w:r>
          </w:p>
          <w:p w14:paraId="49275EC6" w14:textId="77777777" w:rsidR="00841C83" w:rsidRPr="00B93217" w:rsidRDefault="00841C83" w:rsidP="00B93217">
            <w:pPr>
              <w:pStyle w:val="a3"/>
              <w:widowControl/>
              <w:ind w:left="0"/>
              <w:rPr>
                <w:bCs/>
              </w:rPr>
            </w:pPr>
            <w:r w:rsidRPr="00B93217">
              <w:rPr>
                <w:bCs/>
              </w:rPr>
              <w:t>Tel: +353 1 223 4026</w:t>
            </w:r>
          </w:p>
          <w:p w14:paraId="066BAACC" w14:textId="77777777" w:rsidR="00841C83" w:rsidRPr="00841C83" w:rsidRDefault="00841C83" w:rsidP="00B93217">
            <w:pPr>
              <w:pStyle w:val="a3"/>
              <w:widowControl/>
              <w:ind w:left="0"/>
              <w:rPr>
                <w:b/>
              </w:rPr>
            </w:pPr>
          </w:p>
        </w:tc>
        <w:tc>
          <w:tcPr>
            <w:tcW w:w="4536" w:type="dxa"/>
          </w:tcPr>
          <w:p w14:paraId="6B8417EB" w14:textId="77777777" w:rsidR="00841C83" w:rsidRPr="00841C83" w:rsidRDefault="00841C83" w:rsidP="00B93217">
            <w:pPr>
              <w:pStyle w:val="a3"/>
              <w:widowControl/>
              <w:ind w:left="0"/>
              <w:rPr>
                <w:b/>
              </w:rPr>
            </w:pPr>
            <w:r w:rsidRPr="00841C83">
              <w:rPr>
                <w:b/>
              </w:rPr>
              <w:t>Slovenija</w:t>
            </w:r>
          </w:p>
          <w:p w14:paraId="45967AF9" w14:textId="77777777" w:rsidR="00841C83" w:rsidRPr="00B93217" w:rsidRDefault="00841C83" w:rsidP="00B93217">
            <w:pPr>
              <w:pStyle w:val="a3"/>
              <w:widowControl/>
              <w:ind w:left="0"/>
              <w:rPr>
                <w:bCs/>
              </w:rPr>
            </w:pPr>
            <w:r w:rsidRPr="00B93217">
              <w:rPr>
                <w:bCs/>
              </w:rPr>
              <w:t>OPH Oktal Pharma d.o.o.</w:t>
            </w:r>
          </w:p>
          <w:p w14:paraId="38F86BD0" w14:textId="77777777" w:rsidR="00841C83" w:rsidRPr="00B93217" w:rsidRDefault="00841C83" w:rsidP="00B93217">
            <w:pPr>
              <w:pStyle w:val="a3"/>
              <w:widowControl/>
              <w:ind w:left="0"/>
              <w:rPr>
                <w:bCs/>
              </w:rPr>
            </w:pPr>
            <w:r w:rsidRPr="00B93217">
              <w:rPr>
                <w:bCs/>
              </w:rPr>
              <w:t>Tel.: +386 1 519 29 22</w:t>
            </w:r>
          </w:p>
          <w:p w14:paraId="2D4CDDBC" w14:textId="77777777" w:rsidR="00841C83" w:rsidRPr="001879E9" w:rsidRDefault="00841C83" w:rsidP="00B93217">
            <w:pPr>
              <w:pStyle w:val="a3"/>
              <w:widowControl/>
              <w:ind w:left="0"/>
              <w:rPr>
                <w:b/>
              </w:rPr>
            </w:pPr>
          </w:p>
        </w:tc>
      </w:tr>
      <w:tr w:rsidR="00841C83" w:rsidRPr="001879E9" w14:paraId="0B48CC8A" w14:textId="77777777" w:rsidTr="00B93217">
        <w:trPr>
          <w:trHeight w:val="878"/>
        </w:trPr>
        <w:tc>
          <w:tcPr>
            <w:tcW w:w="4341" w:type="dxa"/>
          </w:tcPr>
          <w:p w14:paraId="41321C7A" w14:textId="77777777" w:rsidR="00841C83" w:rsidRPr="00841C83" w:rsidRDefault="00841C83" w:rsidP="00B93217">
            <w:pPr>
              <w:pStyle w:val="a3"/>
              <w:widowControl/>
              <w:ind w:left="0"/>
              <w:rPr>
                <w:b/>
              </w:rPr>
            </w:pPr>
            <w:r w:rsidRPr="00841C83">
              <w:rPr>
                <w:b/>
              </w:rPr>
              <w:t>Ísland</w:t>
            </w:r>
          </w:p>
          <w:p w14:paraId="3A7B4791" w14:textId="77777777" w:rsidR="00841C83" w:rsidRPr="00B93217" w:rsidRDefault="00841C83" w:rsidP="00B93217">
            <w:pPr>
              <w:pStyle w:val="a3"/>
              <w:widowControl/>
              <w:ind w:left="0"/>
              <w:rPr>
                <w:bCs/>
              </w:rPr>
            </w:pPr>
            <w:r w:rsidRPr="00B93217">
              <w:rPr>
                <w:bCs/>
              </w:rPr>
              <w:t>Celltrion Healthcare Hungary Kft.</w:t>
            </w:r>
          </w:p>
          <w:p w14:paraId="267557F3" w14:textId="77777777" w:rsidR="00841C83" w:rsidRPr="00B93217" w:rsidRDefault="00841C83" w:rsidP="00B93217">
            <w:pPr>
              <w:pStyle w:val="a3"/>
              <w:widowControl/>
              <w:ind w:left="0"/>
              <w:rPr>
                <w:bCs/>
              </w:rPr>
            </w:pPr>
            <w:r w:rsidRPr="00B93217">
              <w:rPr>
                <w:bCs/>
              </w:rPr>
              <w:t>Sími: +36 1 231 0493</w:t>
            </w:r>
          </w:p>
          <w:p w14:paraId="7EBBC9AF" w14:textId="77777777" w:rsidR="00841C83" w:rsidRPr="00841C83" w:rsidRDefault="00841C83" w:rsidP="00B93217">
            <w:pPr>
              <w:pStyle w:val="a3"/>
              <w:widowControl/>
              <w:ind w:left="0"/>
              <w:rPr>
                <w:b/>
              </w:rPr>
            </w:pPr>
          </w:p>
        </w:tc>
        <w:tc>
          <w:tcPr>
            <w:tcW w:w="4536" w:type="dxa"/>
          </w:tcPr>
          <w:p w14:paraId="05353890" w14:textId="77777777" w:rsidR="00841C83" w:rsidRPr="00841C83" w:rsidRDefault="00841C83" w:rsidP="00B93217">
            <w:pPr>
              <w:pStyle w:val="a3"/>
              <w:widowControl/>
              <w:ind w:left="0"/>
              <w:rPr>
                <w:b/>
              </w:rPr>
            </w:pPr>
            <w:r w:rsidRPr="00841C83">
              <w:rPr>
                <w:b/>
              </w:rPr>
              <w:t>Slovenská republika</w:t>
            </w:r>
          </w:p>
          <w:p w14:paraId="65C794B2" w14:textId="77777777" w:rsidR="00841C83" w:rsidRPr="00B93217" w:rsidRDefault="00841C83" w:rsidP="00B93217">
            <w:pPr>
              <w:pStyle w:val="a3"/>
              <w:widowControl/>
              <w:ind w:left="0"/>
              <w:rPr>
                <w:bCs/>
              </w:rPr>
            </w:pPr>
            <w:r w:rsidRPr="00B93217">
              <w:rPr>
                <w:bCs/>
              </w:rPr>
              <w:t>Celltrion Healthcare Hungary Kft.</w:t>
            </w:r>
          </w:p>
          <w:p w14:paraId="34A06D32" w14:textId="77777777" w:rsidR="00841C83" w:rsidRPr="00B93217" w:rsidRDefault="00841C83" w:rsidP="00B93217">
            <w:pPr>
              <w:pStyle w:val="a3"/>
              <w:widowControl/>
              <w:ind w:left="0"/>
              <w:rPr>
                <w:bCs/>
              </w:rPr>
            </w:pPr>
            <w:r w:rsidRPr="00B93217">
              <w:rPr>
                <w:bCs/>
              </w:rPr>
              <w:t>Tel: +36 1 231 0493</w:t>
            </w:r>
          </w:p>
          <w:p w14:paraId="0989ECA9" w14:textId="77777777" w:rsidR="00841C83" w:rsidRPr="00841C83" w:rsidRDefault="00841C83" w:rsidP="00B93217">
            <w:pPr>
              <w:pStyle w:val="a3"/>
              <w:widowControl/>
              <w:ind w:left="0"/>
              <w:rPr>
                <w:b/>
              </w:rPr>
            </w:pPr>
          </w:p>
        </w:tc>
      </w:tr>
      <w:tr w:rsidR="00841C83" w:rsidRPr="001879E9" w14:paraId="7693292A" w14:textId="77777777" w:rsidTr="00B93217">
        <w:trPr>
          <w:trHeight w:val="878"/>
        </w:trPr>
        <w:tc>
          <w:tcPr>
            <w:tcW w:w="4341" w:type="dxa"/>
          </w:tcPr>
          <w:p w14:paraId="02DB8601" w14:textId="77777777" w:rsidR="00841C83" w:rsidRPr="00841C83" w:rsidRDefault="00841C83" w:rsidP="00B93217">
            <w:pPr>
              <w:pStyle w:val="a3"/>
              <w:widowControl/>
              <w:ind w:left="0"/>
              <w:rPr>
                <w:b/>
              </w:rPr>
            </w:pPr>
            <w:r w:rsidRPr="00841C83">
              <w:rPr>
                <w:b/>
              </w:rPr>
              <w:t>Italia</w:t>
            </w:r>
          </w:p>
          <w:p w14:paraId="3AB08CDC" w14:textId="77777777" w:rsidR="00841C83" w:rsidRPr="00B93217" w:rsidRDefault="00841C83" w:rsidP="00B93217">
            <w:pPr>
              <w:pStyle w:val="a3"/>
              <w:widowControl/>
              <w:ind w:left="0"/>
              <w:rPr>
                <w:bCs/>
              </w:rPr>
            </w:pPr>
            <w:r w:rsidRPr="00B93217">
              <w:rPr>
                <w:bCs/>
              </w:rPr>
              <w:t>Celltrion Healthcare Italy S.r.l.</w:t>
            </w:r>
          </w:p>
          <w:p w14:paraId="2218AC1E" w14:textId="77777777" w:rsidR="00841C83" w:rsidRPr="00B93217" w:rsidRDefault="00841C83" w:rsidP="00B93217">
            <w:pPr>
              <w:pStyle w:val="a3"/>
              <w:widowControl/>
              <w:ind w:left="0"/>
              <w:rPr>
                <w:bCs/>
              </w:rPr>
            </w:pPr>
            <w:r w:rsidRPr="00B93217">
              <w:rPr>
                <w:bCs/>
              </w:rPr>
              <w:t>Tel: +39 02 47927040</w:t>
            </w:r>
          </w:p>
          <w:p w14:paraId="278FBD5D" w14:textId="77777777" w:rsidR="00841C83" w:rsidRPr="00841C83" w:rsidRDefault="00841C83" w:rsidP="00B93217">
            <w:pPr>
              <w:pStyle w:val="a3"/>
              <w:widowControl/>
              <w:ind w:left="0"/>
              <w:rPr>
                <w:b/>
              </w:rPr>
            </w:pPr>
          </w:p>
        </w:tc>
        <w:tc>
          <w:tcPr>
            <w:tcW w:w="4536" w:type="dxa"/>
          </w:tcPr>
          <w:p w14:paraId="506050AE" w14:textId="77777777" w:rsidR="00841C83" w:rsidRPr="00841C83" w:rsidRDefault="00841C83" w:rsidP="00B93217">
            <w:pPr>
              <w:pStyle w:val="a3"/>
              <w:widowControl/>
              <w:ind w:left="0"/>
              <w:rPr>
                <w:b/>
              </w:rPr>
            </w:pPr>
            <w:r w:rsidRPr="00841C83">
              <w:rPr>
                <w:b/>
              </w:rPr>
              <w:t>Suomi/Finland</w:t>
            </w:r>
          </w:p>
          <w:p w14:paraId="1A041062" w14:textId="77777777" w:rsidR="00841C83" w:rsidRPr="00B93217" w:rsidRDefault="00841C83" w:rsidP="00B93217">
            <w:pPr>
              <w:pStyle w:val="a3"/>
              <w:widowControl/>
              <w:ind w:left="0"/>
              <w:rPr>
                <w:bCs/>
              </w:rPr>
            </w:pPr>
            <w:r w:rsidRPr="00B93217">
              <w:rPr>
                <w:bCs/>
              </w:rPr>
              <w:t xml:space="preserve">Celltrion Healthcare Finland Oy. </w:t>
            </w:r>
          </w:p>
          <w:p w14:paraId="28F54C08" w14:textId="685058C3" w:rsidR="00841C83" w:rsidRPr="00B93217" w:rsidRDefault="00841C83" w:rsidP="00B93217">
            <w:pPr>
              <w:pStyle w:val="a3"/>
              <w:widowControl/>
              <w:ind w:left="0"/>
              <w:rPr>
                <w:bCs/>
              </w:rPr>
            </w:pPr>
            <w:r w:rsidRPr="00B93217">
              <w:rPr>
                <w:bCs/>
              </w:rPr>
              <w:t>Tel: +358 29 170 7755</w:t>
            </w:r>
          </w:p>
          <w:p w14:paraId="4822CB24" w14:textId="77777777" w:rsidR="004856B8" w:rsidRDefault="004856B8" w:rsidP="004856B8">
            <w:pPr>
              <w:adjustRightInd w:val="0"/>
              <w:rPr>
                <w:rFonts w:eastAsia="맑은 고딕"/>
                <w:noProof/>
                <w:lang w:val="en-GB" w:eastAsia="ko-KR"/>
              </w:rPr>
            </w:pPr>
            <w:r w:rsidRPr="00204A91">
              <w:rPr>
                <w:rFonts w:eastAsia="맑은 고딕"/>
                <w:noProof/>
                <w:lang w:val="en-GB" w:eastAsia="ko-KR"/>
              </w:rPr>
              <w:t>contact_fi@celltrionhc.com</w:t>
            </w:r>
          </w:p>
          <w:p w14:paraId="65728CDF" w14:textId="77777777" w:rsidR="00841C83" w:rsidRPr="002F0CCA" w:rsidRDefault="00841C83" w:rsidP="00B93217">
            <w:pPr>
              <w:pStyle w:val="a3"/>
              <w:widowControl/>
              <w:ind w:left="0"/>
              <w:rPr>
                <w:b/>
                <w:lang w:val="en-GB"/>
              </w:rPr>
            </w:pPr>
          </w:p>
        </w:tc>
      </w:tr>
      <w:tr w:rsidR="00841C83" w:rsidRPr="001879E9" w14:paraId="5DB224D0" w14:textId="77777777" w:rsidTr="00B93217">
        <w:trPr>
          <w:trHeight w:val="878"/>
        </w:trPr>
        <w:tc>
          <w:tcPr>
            <w:tcW w:w="4341" w:type="dxa"/>
          </w:tcPr>
          <w:p w14:paraId="069F2E84" w14:textId="77777777" w:rsidR="00841C83" w:rsidRPr="00841C83" w:rsidRDefault="00841C83" w:rsidP="00B93217">
            <w:pPr>
              <w:pStyle w:val="a3"/>
              <w:widowControl/>
              <w:ind w:left="0"/>
              <w:rPr>
                <w:b/>
              </w:rPr>
            </w:pPr>
            <w:r w:rsidRPr="00841C83">
              <w:rPr>
                <w:b/>
              </w:rPr>
              <w:t>Κύπρος</w:t>
            </w:r>
          </w:p>
          <w:p w14:paraId="23C833FA" w14:textId="77777777" w:rsidR="00841C83" w:rsidRPr="00B93217" w:rsidRDefault="00841C83" w:rsidP="00B93217">
            <w:pPr>
              <w:pStyle w:val="a3"/>
              <w:widowControl/>
              <w:ind w:left="0"/>
              <w:rPr>
                <w:bCs/>
              </w:rPr>
            </w:pPr>
            <w:r w:rsidRPr="00B93217">
              <w:rPr>
                <w:bCs/>
              </w:rPr>
              <w:t>C.A. Papaellinas Ltd</w:t>
            </w:r>
          </w:p>
          <w:p w14:paraId="527ED63C" w14:textId="77777777" w:rsidR="00841C83" w:rsidRPr="00B93217" w:rsidRDefault="00841C83" w:rsidP="00B93217">
            <w:pPr>
              <w:pStyle w:val="a3"/>
              <w:widowControl/>
              <w:ind w:left="0"/>
              <w:rPr>
                <w:bCs/>
              </w:rPr>
            </w:pPr>
            <w:r w:rsidRPr="00B93217">
              <w:rPr>
                <w:bCs/>
              </w:rPr>
              <w:t>Τηλ: +357 22741741</w:t>
            </w:r>
          </w:p>
          <w:p w14:paraId="66EDA286" w14:textId="77777777" w:rsidR="00841C83" w:rsidRPr="00841C83" w:rsidRDefault="00841C83" w:rsidP="00B93217">
            <w:pPr>
              <w:pStyle w:val="a3"/>
              <w:widowControl/>
              <w:ind w:left="0"/>
              <w:rPr>
                <w:b/>
              </w:rPr>
            </w:pPr>
          </w:p>
        </w:tc>
        <w:tc>
          <w:tcPr>
            <w:tcW w:w="4536" w:type="dxa"/>
          </w:tcPr>
          <w:p w14:paraId="4580C9A5" w14:textId="77777777" w:rsidR="00841C83" w:rsidRPr="001879E9" w:rsidRDefault="00841C83" w:rsidP="00B93217">
            <w:pPr>
              <w:pStyle w:val="a3"/>
              <w:widowControl/>
              <w:ind w:left="0"/>
              <w:rPr>
                <w:b/>
              </w:rPr>
            </w:pPr>
            <w:r w:rsidRPr="00841C83">
              <w:rPr>
                <w:b/>
              </w:rPr>
              <w:t>Sverige</w:t>
            </w:r>
          </w:p>
          <w:p w14:paraId="45E00FDC" w14:textId="77777777" w:rsidR="00B9768F" w:rsidRDefault="00B9768F" w:rsidP="00B9768F">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52CE1531" w14:textId="5578D517" w:rsidR="004856B8" w:rsidRPr="002F0CCA" w:rsidRDefault="004856B8" w:rsidP="00B9768F">
            <w:pPr>
              <w:tabs>
                <w:tab w:val="left" w:pos="-720"/>
              </w:tabs>
              <w:suppressAutoHyphens/>
              <w:rPr>
                <w:rFonts w:eastAsia="맑은 고딕"/>
                <w:noProof/>
                <w:lang w:eastAsia="ko-KR"/>
              </w:rPr>
            </w:pPr>
            <w:r w:rsidRPr="006F04E0">
              <w:rPr>
                <w:rFonts w:eastAsia="맑은 고딕"/>
                <w:noProof/>
                <w:lang w:eastAsia="fr-FR"/>
              </w:rPr>
              <w:t>Tel: +46 8 80 11 77</w:t>
            </w:r>
          </w:p>
          <w:p w14:paraId="3FCD33AD" w14:textId="6D6A129E" w:rsidR="00B9768F" w:rsidRPr="002F0CCA" w:rsidRDefault="004856B8" w:rsidP="00B9768F">
            <w:pPr>
              <w:tabs>
                <w:tab w:val="left" w:pos="-720"/>
              </w:tabs>
              <w:suppressAutoHyphens/>
              <w:rPr>
                <w:rFonts w:eastAsia="맑은 고딕"/>
                <w:b/>
                <w:noProof/>
                <w:lang w:eastAsia="fr-FR"/>
              </w:rPr>
            </w:pPr>
            <w:r>
              <w:rPr>
                <w:rFonts w:eastAsia="맑은 고딕" w:hint="eastAsia"/>
                <w:noProof/>
                <w:lang w:eastAsia="ko-KR"/>
              </w:rPr>
              <w:t>C</w:t>
            </w:r>
            <w:r w:rsidR="00B9768F" w:rsidRPr="002F0CCA">
              <w:rPr>
                <w:rFonts w:eastAsia="맑은 고딕"/>
                <w:noProof/>
                <w:lang w:eastAsia="fr-FR"/>
              </w:rPr>
              <w:t>ontact_se@celltrionhc.com</w:t>
            </w:r>
          </w:p>
          <w:p w14:paraId="0170C13E" w14:textId="77777777" w:rsidR="00841C83" w:rsidRPr="00B9768F" w:rsidRDefault="00841C83" w:rsidP="00B93217">
            <w:pPr>
              <w:pStyle w:val="a3"/>
              <w:widowControl/>
              <w:ind w:left="0"/>
              <w:rPr>
                <w:b/>
              </w:rPr>
            </w:pPr>
          </w:p>
        </w:tc>
      </w:tr>
      <w:tr w:rsidR="00841C83" w:rsidRPr="001879E9" w14:paraId="00E6B717" w14:textId="77777777" w:rsidTr="00B93217">
        <w:trPr>
          <w:trHeight w:val="878"/>
        </w:trPr>
        <w:tc>
          <w:tcPr>
            <w:tcW w:w="4341" w:type="dxa"/>
          </w:tcPr>
          <w:p w14:paraId="163B2FBC" w14:textId="77777777" w:rsidR="00841C83" w:rsidRPr="00841C83" w:rsidRDefault="00841C83" w:rsidP="00B93217">
            <w:pPr>
              <w:pStyle w:val="a3"/>
              <w:widowControl/>
              <w:ind w:left="0"/>
              <w:rPr>
                <w:b/>
              </w:rPr>
            </w:pPr>
            <w:r w:rsidRPr="00841C83">
              <w:rPr>
                <w:b/>
              </w:rPr>
              <w:t>Latvija</w:t>
            </w:r>
          </w:p>
          <w:p w14:paraId="77A2FB03" w14:textId="77777777" w:rsidR="00841C83" w:rsidRPr="00B93217" w:rsidRDefault="00841C83" w:rsidP="00B93217">
            <w:pPr>
              <w:pStyle w:val="a3"/>
              <w:widowControl/>
              <w:ind w:left="0"/>
              <w:rPr>
                <w:bCs/>
              </w:rPr>
            </w:pPr>
            <w:r w:rsidRPr="00B93217">
              <w:rPr>
                <w:bCs/>
              </w:rPr>
              <w:t>Celltrion Healthcare Hungary Kft.</w:t>
            </w:r>
          </w:p>
          <w:p w14:paraId="42849960" w14:textId="77777777" w:rsidR="00841C83" w:rsidRPr="00B93217" w:rsidRDefault="00841C83" w:rsidP="00B93217">
            <w:pPr>
              <w:pStyle w:val="a3"/>
              <w:widowControl/>
              <w:ind w:left="0"/>
              <w:rPr>
                <w:bCs/>
              </w:rPr>
            </w:pPr>
            <w:r w:rsidRPr="00B93217">
              <w:rPr>
                <w:bCs/>
              </w:rPr>
              <w:t>Tālr.: +36 1 231 0493</w:t>
            </w:r>
          </w:p>
          <w:p w14:paraId="73FCD84E" w14:textId="77777777" w:rsidR="00841C83" w:rsidRPr="00841C83" w:rsidRDefault="00841C83" w:rsidP="00B93217">
            <w:pPr>
              <w:pStyle w:val="a3"/>
              <w:widowControl/>
              <w:ind w:left="0"/>
              <w:rPr>
                <w:b/>
              </w:rPr>
            </w:pPr>
          </w:p>
        </w:tc>
        <w:tc>
          <w:tcPr>
            <w:tcW w:w="4536" w:type="dxa"/>
          </w:tcPr>
          <w:p w14:paraId="46031FC6" w14:textId="77777777" w:rsidR="00841C83" w:rsidRPr="00841C83" w:rsidRDefault="00841C83" w:rsidP="00B93217">
            <w:pPr>
              <w:pStyle w:val="a3"/>
              <w:widowControl/>
              <w:ind w:left="0"/>
              <w:rPr>
                <w:b/>
              </w:rPr>
            </w:pPr>
          </w:p>
        </w:tc>
      </w:tr>
    </w:tbl>
    <w:p w14:paraId="58193330" w14:textId="77777777" w:rsidR="00222DE0" w:rsidRPr="00EE3355" w:rsidRDefault="00222DE0" w:rsidP="00D25A08">
      <w:pPr>
        <w:pStyle w:val="a3"/>
        <w:widowControl/>
        <w:ind w:left="0"/>
      </w:pPr>
    </w:p>
    <w:p w14:paraId="59CDA1EF" w14:textId="77777777" w:rsidR="00222DE0" w:rsidRPr="0012304F" w:rsidRDefault="0098273B" w:rsidP="0012304F">
      <w:pPr>
        <w:widowControl/>
        <w:rPr>
          <w:b/>
        </w:rPr>
      </w:pPr>
      <w:r w:rsidRPr="0012304F">
        <w:rPr>
          <w:b/>
        </w:rPr>
        <w:t>Tato příbalová informace byla naposledy revidována</w:t>
      </w:r>
    </w:p>
    <w:p w14:paraId="40CA4470" w14:textId="77777777" w:rsidR="00222DE0" w:rsidRPr="00EE3355" w:rsidRDefault="00222DE0" w:rsidP="00EA1CDF">
      <w:pPr>
        <w:pStyle w:val="a3"/>
        <w:widowControl/>
        <w:ind w:left="0"/>
        <w:rPr>
          <w:b/>
        </w:rPr>
      </w:pPr>
    </w:p>
    <w:p w14:paraId="2AB044C5" w14:textId="77777777" w:rsidR="00222DE0" w:rsidRPr="00EE3355" w:rsidRDefault="0098273B" w:rsidP="00EA1CDF">
      <w:pPr>
        <w:widowControl/>
        <w:rPr>
          <w:b/>
        </w:rPr>
      </w:pPr>
      <w:r w:rsidRPr="00EE3355">
        <w:rPr>
          <w:b/>
        </w:rPr>
        <w:t>Další zdroje informací</w:t>
      </w:r>
    </w:p>
    <w:p w14:paraId="474B095D" w14:textId="77777777" w:rsidR="00222DE0" w:rsidRPr="00EE3355" w:rsidRDefault="0098273B" w:rsidP="00EA1CDF">
      <w:pPr>
        <w:pStyle w:val="a3"/>
        <w:widowControl/>
        <w:ind w:left="0"/>
      </w:pPr>
      <w:r w:rsidRPr="00EE3355">
        <w:t>Podrobné informace o tomto léčivém přípravku jsou k dispozici na webových stránkách Evropské</w:t>
      </w:r>
    </w:p>
    <w:p w14:paraId="24B31FC9" w14:textId="20012C15" w:rsidR="00222DE0" w:rsidRPr="00EE3355" w:rsidRDefault="0098273B" w:rsidP="00EA1CDF">
      <w:pPr>
        <w:pStyle w:val="a3"/>
        <w:widowControl/>
        <w:ind w:left="0"/>
      </w:pPr>
      <w:r w:rsidRPr="00EE3355">
        <w:t xml:space="preserve">agentury pro léčivé přípravky: </w:t>
      </w:r>
      <w:r w:rsidR="00392C24">
        <w:fldChar w:fldCharType="begin"/>
      </w:r>
      <w:r w:rsidR="00392C24">
        <w:instrText>HYPERLINK "http://www.ema.europa.eu/" \h</w:instrText>
      </w:r>
      <w:r w:rsidR="00392C24">
        <w:fldChar w:fldCharType="separate"/>
      </w:r>
      <w:r w:rsidR="00392C24">
        <w:rPr>
          <w:color w:val="0000FF"/>
          <w:u w:val="single" w:color="0000FF"/>
        </w:rPr>
        <w:t>https:</w:t>
      </w:r>
      <w:r w:rsidRPr="00EE3355">
        <w:rPr>
          <w:color w:val="0000FF"/>
          <w:u w:val="single" w:color="0000FF"/>
        </w:rPr>
        <w:t>//www.ema.europa.eu/</w:t>
      </w:r>
      <w:r w:rsidR="00392C24">
        <w:fldChar w:fldCharType="end"/>
      </w:r>
      <w:r w:rsidRPr="00EE3355">
        <w:t>.</w:t>
      </w:r>
    </w:p>
    <w:p w14:paraId="15001B6D" w14:textId="77777777" w:rsidR="00AD7E70" w:rsidRPr="00D159C5" w:rsidRDefault="0083787E" w:rsidP="007C7C81">
      <w:pPr>
        <w:keepNext/>
        <w:ind w:left="567" w:hanging="567"/>
        <w:rPr>
          <w:b/>
          <w:bCs/>
        </w:rPr>
      </w:pPr>
      <w:r w:rsidRPr="00EE3355">
        <w:br w:type="page"/>
      </w:r>
      <w:r w:rsidR="00AD7E70" w:rsidRPr="00D159C5">
        <w:rPr>
          <w:b/>
        </w:rPr>
        <w:lastRenderedPageBreak/>
        <w:t>7.</w:t>
      </w:r>
      <w:r w:rsidR="00AD7E70" w:rsidRPr="00D159C5">
        <w:rPr>
          <w:b/>
        </w:rPr>
        <w:tab/>
        <w:t>Návod k použití</w:t>
      </w:r>
    </w:p>
    <w:p w14:paraId="4028DFF1" w14:textId="77777777" w:rsidR="00AD7E70" w:rsidRPr="00D159C5" w:rsidRDefault="00AD7E70" w:rsidP="007C7C81">
      <w:pPr>
        <w:keepNext/>
      </w:pPr>
      <w:bookmarkStart w:id="60" w:name="_Hlk146283329"/>
    </w:p>
    <w:p w14:paraId="7B23F4FE" w14:textId="3EA44BFA" w:rsidR="00AD7E70" w:rsidRPr="00D159C5" w:rsidRDefault="00AD7E70" w:rsidP="007C7C81">
      <w:r w:rsidRPr="00D159C5">
        <w:t>Než začnete přípravek Avtozma v předplněné injekční stříkačce používat a pokaždé, když dostanete nov</w:t>
      </w:r>
      <w:r>
        <w:t>é balení</w:t>
      </w:r>
      <w:r w:rsidRPr="00D159C5">
        <w:t xml:space="preserve">, přečtěte si návod k použití, který je součástí balení, a řiďte se jím. Mohou se objevit nové informace. Před použitím přípravku Avtozma </w:t>
      </w:r>
      <w:r>
        <w:t>zajistěte</w:t>
      </w:r>
      <w:r w:rsidRPr="00D159C5">
        <w:t xml:space="preserve">, </w:t>
      </w:r>
      <w:r>
        <w:t xml:space="preserve">aby </w:t>
      </w:r>
      <w:r w:rsidRPr="00D159C5">
        <w:t>vám váš lékař uká</w:t>
      </w:r>
      <w:r>
        <w:t>zal</w:t>
      </w:r>
      <w:r w:rsidR="00C71CAB">
        <w:t xml:space="preserve"> správný způsob jeho použití.</w:t>
      </w:r>
    </w:p>
    <w:bookmarkEnd w:id="60"/>
    <w:p w14:paraId="2D7AA950" w14:textId="77777777" w:rsidR="00AD7E70" w:rsidRPr="00D159C5" w:rsidRDefault="00AD7E70" w:rsidP="007C7C81"/>
    <w:p w14:paraId="55BE3169" w14:textId="77777777" w:rsidR="00AD7E70" w:rsidRPr="00D159C5" w:rsidRDefault="00AD7E70" w:rsidP="007C7C81">
      <w:pPr>
        <w:keepNext/>
        <w:rPr>
          <w:b/>
          <w:bCs/>
        </w:rPr>
      </w:pPr>
      <w:r w:rsidRPr="00D159C5">
        <w:rPr>
          <w:b/>
        </w:rPr>
        <w:t>Důležité informace</w:t>
      </w:r>
    </w:p>
    <w:p w14:paraId="7C7A70B1" w14:textId="77777777" w:rsidR="00AD7E70" w:rsidRPr="00D159C5" w:rsidRDefault="00AD7E70" w:rsidP="007C7C81">
      <w:pPr>
        <w:keepNext/>
        <w:rPr>
          <w:b/>
          <w:bCs/>
        </w:rPr>
      </w:pPr>
    </w:p>
    <w:p w14:paraId="0042378E" w14:textId="2138C764" w:rsidR="00AD7E70" w:rsidRDefault="00AD7E70" w:rsidP="00B93217">
      <w:pPr>
        <w:numPr>
          <w:ilvl w:val="2"/>
          <w:numId w:val="68"/>
        </w:numPr>
        <w:autoSpaceDE/>
        <w:autoSpaceDN/>
        <w:ind w:left="567" w:hanging="567"/>
      </w:pPr>
      <w:r w:rsidRPr="00D159C5">
        <w:rPr>
          <w:b/>
        </w:rPr>
        <w:t>Neodstraňujte</w:t>
      </w:r>
      <w:r w:rsidRPr="00D159C5">
        <w:t xml:space="preserve"> kryt předplněné injekční stříkačky, dokud nejste připraven</w:t>
      </w:r>
      <w:r w:rsidR="005F0C3E">
        <w:t>(a) si</w:t>
      </w:r>
      <w:r w:rsidRPr="00D159C5">
        <w:t xml:space="preserve"> přípravek Avtozma </w:t>
      </w:r>
      <w:r w:rsidR="005F0C3E">
        <w:t>podat</w:t>
      </w:r>
      <w:r w:rsidRPr="00D159C5">
        <w:t>.</w:t>
      </w:r>
    </w:p>
    <w:p w14:paraId="075A02CE" w14:textId="77777777" w:rsidR="00AD7E70" w:rsidRPr="00AD7E70" w:rsidRDefault="00AD7E70" w:rsidP="007C7C81">
      <w:pPr>
        <w:numPr>
          <w:ilvl w:val="2"/>
          <w:numId w:val="68"/>
        </w:numPr>
        <w:tabs>
          <w:tab w:val="num" w:pos="567"/>
          <w:tab w:val="left" w:pos="832"/>
        </w:tabs>
        <w:autoSpaceDE/>
        <w:autoSpaceDN/>
        <w:ind w:left="567" w:hanging="567"/>
        <w:rPr>
          <w:rFonts w:eastAsia="SimSun"/>
          <w:b/>
          <w:bCs/>
        </w:rPr>
      </w:pPr>
      <w:r w:rsidRPr="00AD7E70">
        <w:rPr>
          <w:rFonts w:eastAsia="SimSun"/>
          <w:b/>
          <w:bCs/>
        </w:rPr>
        <w:t>Nikdy se nepokoušejte předplněnou injekční stříkačku rozebírat.</w:t>
      </w:r>
    </w:p>
    <w:p w14:paraId="232A3F81" w14:textId="77777777" w:rsidR="00AD7E70" w:rsidRPr="00D159C5" w:rsidRDefault="00AD7E70" w:rsidP="00B93217">
      <w:pPr>
        <w:numPr>
          <w:ilvl w:val="2"/>
          <w:numId w:val="68"/>
        </w:numPr>
        <w:autoSpaceDE/>
        <w:autoSpaceDN/>
        <w:ind w:left="567" w:hanging="567"/>
        <w:rPr>
          <w:bCs/>
        </w:rPr>
      </w:pPr>
      <w:r w:rsidRPr="00D159C5">
        <w:rPr>
          <w:b/>
          <w:bCs/>
        </w:rPr>
        <w:t>Nepoužívejte opakovaně</w:t>
      </w:r>
      <w:r w:rsidRPr="00D159C5">
        <w:t xml:space="preserve"> tutéž stříkačku.</w:t>
      </w:r>
    </w:p>
    <w:p w14:paraId="26D2EF3A" w14:textId="77777777" w:rsidR="00AD7E70" w:rsidRPr="00D159C5" w:rsidRDefault="00AD7E70" w:rsidP="00B93217">
      <w:pPr>
        <w:numPr>
          <w:ilvl w:val="2"/>
          <w:numId w:val="68"/>
        </w:numPr>
        <w:autoSpaceDE/>
        <w:autoSpaceDN/>
        <w:ind w:left="567" w:hanging="567"/>
      </w:pPr>
      <w:r w:rsidRPr="00D159C5">
        <w:t xml:space="preserve">Předplněnou injekční stříkačkou </w:t>
      </w:r>
      <w:r w:rsidRPr="00D159C5">
        <w:rPr>
          <w:b/>
          <w:bCs/>
        </w:rPr>
        <w:t>netřepejte</w:t>
      </w:r>
      <w:r w:rsidRPr="00D159C5">
        <w:t>.</w:t>
      </w:r>
    </w:p>
    <w:p w14:paraId="05305795" w14:textId="77777777" w:rsidR="00AD7E70" w:rsidRPr="00D159C5" w:rsidRDefault="00AD7E70" w:rsidP="00B93217">
      <w:pPr>
        <w:numPr>
          <w:ilvl w:val="2"/>
          <w:numId w:val="68"/>
        </w:numPr>
        <w:autoSpaceDE/>
        <w:autoSpaceDN/>
        <w:ind w:left="567" w:hanging="567"/>
      </w:pPr>
      <w:r w:rsidRPr="00D159C5">
        <w:rPr>
          <w:b/>
        </w:rPr>
        <w:t>Nepoužívejte</w:t>
      </w:r>
      <w:r w:rsidRPr="00D159C5">
        <w:t xml:space="preserve"> předplněnou injekční stříkačku, pokud spadla na zem nebo byla poškozena.</w:t>
      </w:r>
    </w:p>
    <w:p w14:paraId="2A9CA03F" w14:textId="3E8A89EF" w:rsidR="00AD7E70" w:rsidRPr="00D159C5" w:rsidRDefault="00AD7E70" w:rsidP="00B93217">
      <w:pPr>
        <w:numPr>
          <w:ilvl w:val="2"/>
          <w:numId w:val="68"/>
        </w:numPr>
        <w:autoSpaceDE/>
        <w:autoSpaceDN/>
        <w:ind w:left="567" w:hanging="567"/>
        <w:rPr>
          <w:bCs/>
        </w:rPr>
      </w:pPr>
      <w:r w:rsidRPr="00D159C5">
        <w:rPr>
          <w:b/>
        </w:rPr>
        <w:t xml:space="preserve">Rada pro pacienty týkající se reakcí z přecitlivělosti (nebo anafylaxe): </w:t>
      </w:r>
      <w:r w:rsidRPr="00D159C5">
        <w:t>Pokud se u vás kdykoli</w:t>
      </w:r>
      <w:r w:rsidR="00C71CAB">
        <w:t xml:space="preserve"> kdy nejste u lékaře</w:t>
      </w:r>
      <w:r w:rsidRPr="00D159C5">
        <w:t xml:space="preserve"> během injekce nebo po ní objeví příznaky, jako je kožní vyrážka, svědění, zimnice, otok obličeje, rtů, jazyka nebo hrdla, bolest na hrudi, sípání, potíže s dýcháním nebo polykáním nebo pocit závratě či mdloby, </w:t>
      </w:r>
      <w:r w:rsidR="005F0C3E">
        <w:t>vyhledejte</w:t>
      </w:r>
      <w:r w:rsidRPr="00D159C5">
        <w:t xml:space="preserve"> okamžitě </w:t>
      </w:r>
      <w:r w:rsidR="00FB6FBA">
        <w:t>lékařskou pomoc</w:t>
      </w:r>
      <w:r w:rsidRPr="00D159C5">
        <w:t>.</w:t>
      </w:r>
    </w:p>
    <w:p w14:paraId="55BC5A0E" w14:textId="77777777" w:rsidR="00AD7E70" w:rsidRPr="00D159C5" w:rsidRDefault="00AD7E70" w:rsidP="007C7C81"/>
    <w:p w14:paraId="35D7A005" w14:textId="77777777" w:rsidR="00AD7E70" w:rsidRPr="00D159C5" w:rsidRDefault="00AD7E70" w:rsidP="007C7C81">
      <w:pPr>
        <w:keepNext/>
        <w:rPr>
          <w:b/>
          <w:bCs/>
        </w:rPr>
      </w:pPr>
      <w:r w:rsidRPr="00D159C5">
        <w:rPr>
          <w:b/>
        </w:rPr>
        <w:t>Uchovávání přípravku Avtozma</w:t>
      </w:r>
    </w:p>
    <w:p w14:paraId="2C22A234" w14:textId="77777777" w:rsidR="00AD7E70" w:rsidRPr="00D159C5" w:rsidRDefault="00AD7E70" w:rsidP="007C7C81">
      <w:pPr>
        <w:keepNext/>
        <w:rPr>
          <w:b/>
          <w:bCs/>
        </w:rPr>
      </w:pPr>
    </w:p>
    <w:p w14:paraId="47B57C2F" w14:textId="77777777" w:rsidR="00AD7E70" w:rsidRPr="00D159C5" w:rsidRDefault="00AD7E70" w:rsidP="007C7C81">
      <w:pPr>
        <w:pStyle w:val="a4"/>
        <w:widowControl/>
        <w:numPr>
          <w:ilvl w:val="0"/>
          <w:numId w:val="87"/>
        </w:numPr>
        <w:autoSpaceDE/>
        <w:autoSpaceDN/>
        <w:ind w:left="567" w:hanging="567"/>
        <w:contextualSpacing/>
      </w:pPr>
      <w:r w:rsidRPr="00D159C5">
        <w:t xml:space="preserve">Nepoužitou předplněnou injekční stříkačku uchovávejte v původní krabičce v chladničce při teplotě 2 °C až 8 °C. </w:t>
      </w:r>
      <w:r w:rsidRPr="00D159C5">
        <w:rPr>
          <w:b/>
          <w:bCs/>
        </w:rPr>
        <w:t>Chraňte</w:t>
      </w:r>
      <w:r w:rsidRPr="00D159C5">
        <w:t xml:space="preserve"> před mrazem.</w:t>
      </w:r>
    </w:p>
    <w:p w14:paraId="1869E201" w14:textId="4D0089AE" w:rsidR="00AD7E70" w:rsidRPr="00D159C5" w:rsidRDefault="00AD7E70" w:rsidP="007C7C81">
      <w:pPr>
        <w:pStyle w:val="a4"/>
        <w:widowControl/>
        <w:numPr>
          <w:ilvl w:val="0"/>
          <w:numId w:val="87"/>
        </w:numPr>
        <w:autoSpaceDE/>
        <w:autoSpaceDN/>
        <w:ind w:left="567" w:hanging="567"/>
        <w:contextualSpacing/>
      </w:pPr>
      <w:r w:rsidRPr="00D159C5">
        <w:t xml:space="preserve">Po vyjmutí z chladničky lze přípravek Avtozma </w:t>
      </w:r>
      <w:r w:rsidR="00B815C0">
        <w:t xml:space="preserve">uchovávat </w:t>
      </w:r>
      <w:r w:rsidRPr="00D159C5">
        <w:t xml:space="preserve">až 3 týdny při teplotě do 30°C. Pokud se přípravek Avtozma nepoužije během </w:t>
      </w:r>
      <w:r w:rsidR="00237DCB">
        <w:t>3</w:t>
      </w:r>
      <w:r w:rsidRPr="00D159C5">
        <w:t xml:space="preserve"> týdnů, m</w:t>
      </w:r>
      <w:r w:rsidR="00C53115">
        <w:t>á</w:t>
      </w:r>
      <w:r w:rsidRPr="00D159C5">
        <w:t xml:space="preserve"> se zlikvidovat.  </w:t>
      </w:r>
    </w:p>
    <w:p w14:paraId="31100C6B" w14:textId="77777777" w:rsidR="00AD7E70" w:rsidRPr="00D159C5" w:rsidRDefault="00AD7E70" w:rsidP="007C7C81">
      <w:pPr>
        <w:pStyle w:val="a4"/>
        <w:widowControl/>
        <w:numPr>
          <w:ilvl w:val="0"/>
          <w:numId w:val="87"/>
        </w:numPr>
        <w:autoSpaceDE/>
        <w:autoSpaceDN/>
        <w:ind w:left="567" w:hanging="567"/>
        <w:contextualSpacing/>
      </w:pPr>
      <w:r w:rsidRPr="00D159C5">
        <w:t>Uchovávejte předplněnou injekční stříkačku mimo dosah přímého slunečního světla.</w:t>
      </w:r>
    </w:p>
    <w:p w14:paraId="4FB9265C" w14:textId="77777777" w:rsidR="00AD7E70" w:rsidRPr="00D159C5" w:rsidRDefault="00AD7E70" w:rsidP="007C7C81">
      <w:pPr>
        <w:pStyle w:val="a4"/>
        <w:widowControl/>
        <w:numPr>
          <w:ilvl w:val="0"/>
          <w:numId w:val="87"/>
        </w:numPr>
        <w:autoSpaceDE/>
        <w:autoSpaceDN/>
        <w:ind w:left="567" w:hanging="567"/>
        <w:contextualSpacing/>
      </w:pPr>
      <w:r w:rsidRPr="00D159C5">
        <w:t xml:space="preserve">Při uchovávání </w:t>
      </w:r>
      <w:r w:rsidRPr="00D159C5">
        <w:rPr>
          <w:b/>
          <w:bCs/>
        </w:rPr>
        <w:t>nevyndávejte</w:t>
      </w:r>
      <w:r w:rsidRPr="00D159C5">
        <w:t xml:space="preserve"> předplněn</w:t>
      </w:r>
      <w:r>
        <w:t>ou injekční stříkačku</w:t>
      </w:r>
      <w:r w:rsidRPr="00D159C5">
        <w:t xml:space="preserve"> z je</w:t>
      </w:r>
      <w:r>
        <w:t>jí</w:t>
      </w:r>
      <w:r w:rsidRPr="00D159C5">
        <w:t xml:space="preserve"> původní krabičky.</w:t>
      </w:r>
    </w:p>
    <w:p w14:paraId="0D0167D3" w14:textId="77777777" w:rsidR="00AD7E70" w:rsidRPr="00D159C5" w:rsidRDefault="00AD7E70" w:rsidP="007C7C81">
      <w:pPr>
        <w:pStyle w:val="a4"/>
        <w:widowControl/>
        <w:numPr>
          <w:ilvl w:val="0"/>
          <w:numId w:val="87"/>
        </w:numPr>
        <w:autoSpaceDE/>
        <w:autoSpaceDN/>
        <w:ind w:left="567" w:hanging="567"/>
        <w:contextualSpacing/>
      </w:pPr>
      <w:r w:rsidRPr="00D159C5">
        <w:rPr>
          <w:b/>
        </w:rPr>
        <w:t>Nenechávejte</w:t>
      </w:r>
      <w:r w:rsidRPr="00D159C5">
        <w:t xml:space="preserve"> předplněnou injekční stříkačku bez dozoru.</w:t>
      </w:r>
    </w:p>
    <w:p w14:paraId="09F8B94F" w14:textId="77777777" w:rsidR="00AD7E70" w:rsidRPr="00D159C5" w:rsidRDefault="00AD7E70" w:rsidP="007C7C81">
      <w:pPr>
        <w:pStyle w:val="a4"/>
        <w:widowControl/>
        <w:numPr>
          <w:ilvl w:val="0"/>
          <w:numId w:val="87"/>
        </w:numPr>
        <w:autoSpaceDE/>
        <w:autoSpaceDN/>
        <w:ind w:left="567" w:hanging="567"/>
        <w:contextualSpacing/>
      </w:pPr>
      <w:r w:rsidRPr="00D159C5">
        <w:t>Uchovávejte předplněnou injekční stříkačku mimo dosah dětí. Obsahuje malé části.</w:t>
      </w:r>
    </w:p>
    <w:p w14:paraId="7C686154" w14:textId="501251B2" w:rsidR="00AD7E70" w:rsidRPr="00AD7E70" w:rsidRDefault="003D3840" w:rsidP="00B93217">
      <w:pPr>
        <w:keepNext/>
        <w:ind w:left="567" w:hanging="567"/>
        <w:rPr>
          <w:b/>
          <w:bCs/>
        </w:rPr>
      </w:pPr>
      <w:r w:rsidRPr="00C017D7">
        <w:rPr>
          <w:bCs/>
          <w:lang w:eastAsia="ko-KR"/>
        </w:rPr>
        <w:br w:type="page"/>
      </w:r>
      <w:r w:rsidR="00AD7E70" w:rsidRPr="00B93217">
        <w:rPr>
          <w:b/>
          <w:bCs/>
        </w:rPr>
        <w:lastRenderedPageBreak/>
        <w:t>Části předplněné injekční stříkačky (viz obrázek A).</w:t>
      </w:r>
    </w:p>
    <w:p w14:paraId="2DE8AF47" w14:textId="77777777" w:rsidR="003D3840" w:rsidRPr="00C017D7" w:rsidRDefault="003D3840" w:rsidP="003D3840">
      <w:pPr>
        <w:keepNext/>
      </w:pPr>
    </w:p>
    <w:p w14:paraId="52990C10" w14:textId="009798C3" w:rsidR="003D3840" w:rsidRPr="00C017D7" w:rsidRDefault="00C301E6" w:rsidP="003D3840">
      <w:pPr>
        <w:spacing w:line="200" w:lineRule="atLeast"/>
        <w:ind w:left="316"/>
      </w:pPr>
      <w:r>
        <w:rPr>
          <w:noProof/>
          <w:lang w:val="en-US" w:eastAsia="ko-KR"/>
        </w:rPr>
        <mc:AlternateContent>
          <mc:Choice Requires="wps">
            <w:drawing>
              <wp:anchor distT="0" distB="0" distL="114300" distR="114300" simplePos="0" relativeHeight="251658251" behindDoc="0" locked="0" layoutInCell="1" allowOverlap="1" wp14:anchorId="6175B408" wp14:editId="3CCF87C0">
                <wp:simplePos x="0" y="0"/>
                <wp:positionH relativeFrom="column">
                  <wp:posOffset>2661920</wp:posOffset>
                </wp:positionH>
                <wp:positionV relativeFrom="paragraph">
                  <wp:posOffset>4439285</wp:posOffset>
                </wp:positionV>
                <wp:extent cx="695325" cy="636270"/>
                <wp:effectExtent l="0" t="3810" r="0" b="0"/>
                <wp:wrapNone/>
                <wp:docPr id="9460588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A6054" w14:textId="31CBCA1E"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Kryt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5B408" id="_x0000_t202" coordsize="21600,21600" o:spt="202" path="m,l,21600r21600,l21600,xe">
                <v:stroke joinstyle="miter"/>
                <v:path gradientshapeok="t" o:connecttype="rect"/>
              </v:shapetype>
              <v:shape id="Text Box 44" o:spid="_x0000_s1026" type="#_x0000_t202" style="position:absolute;left:0;text-align:left;margin-left:209.6pt;margin-top:349.55pt;width:54.75pt;height:50.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" stroked="f">
                <v:textbox inset=".5mm,.5mm,.5mm,.5mm">
                  <w:txbxContent>
                    <w:p w14:paraId="6A0A6054" w14:textId="31CBCA1E"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Kryt</w:t>
                      </w:r>
                    </w:p>
                  </w:txbxContent>
                </v:textbox>
              </v:shape>
            </w:pict>
          </mc:Fallback>
        </mc:AlternateContent>
      </w:r>
      <w:r>
        <w:rPr>
          <w:noProof/>
          <w:lang w:val="en-US" w:eastAsia="ko-KR"/>
        </w:rPr>
        <mc:AlternateContent>
          <mc:Choice Requires="wps">
            <w:drawing>
              <wp:anchor distT="0" distB="0" distL="114300" distR="114300" simplePos="0" relativeHeight="251658246" behindDoc="0" locked="0" layoutInCell="1" allowOverlap="1" wp14:anchorId="27E8C1F6" wp14:editId="349E2647">
                <wp:simplePos x="0" y="0"/>
                <wp:positionH relativeFrom="column">
                  <wp:posOffset>2437130</wp:posOffset>
                </wp:positionH>
                <wp:positionV relativeFrom="paragraph">
                  <wp:posOffset>2505075</wp:posOffset>
                </wp:positionV>
                <wp:extent cx="1184275" cy="636270"/>
                <wp:effectExtent l="3810" t="3175" r="2540" b="0"/>
                <wp:wrapNone/>
                <wp:docPr id="58107217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B3347" w14:textId="4572B75C"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Průhledové okénko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C1F6" id="Text Box 39" o:spid="_x0000_s1027" type="#_x0000_t202" style="position:absolute;left:0;text-align:left;margin-left:191.9pt;margin-top:197.25pt;width:93.25pt;height:5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" stroked="f">
                <v:textbox inset=".5mm,.5mm,.5mm,.5mm">
                  <w:txbxContent>
                    <w:p w14:paraId="10BB3347" w14:textId="4572B75C"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Průhledové okénko</w:t>
                      </w:r>
                    </w:p>
                  </w:txbxContent>
                </v:textbox>
              </v:shape>
            </w:pict>
          </mc:Fallback>
        </mc:AlternateContent>
      </w:r>
      <w:r>
        <w:rPr>
          <w:noProof/>
          <w:lang w:val="en-US" w:eastAsia="ko-KR"/>
        </w:rPr>
        <mc:AlternateContent>
          <mc:Choice Requires="wps">
            <w:drawing>
              <wp:anchor distT="0" distB="0" distL="114300" distR="114300" simplePos="0" relativeHeight="251658244" behindDoc="0" locked="0" layoutInCell="1" allowOverlap="1" wp14:anchorId="427B809B" wp14:editId="79FD37F3">
                <wp:simplePos x="0" y="0"/>
                <wp:positionH relativeFrom="column">
                  <wp:posOffset>2400935</wp:posOffset>
                </wp:positionH>
                <wp:positionV relativeFrom="paragraph">
                  <wp:posOffset>944880</wp:posOffset>
                </wp:positionV>
                <wp:extent cx="1194435" cy="763270"/>
                <wp:effectExtent l="0" t="0" r="0" b="0"/>
                <wp:wrapNone/>
                <wp:docPr id="60331859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763270"/>
                        </a:xfrm>
                        <a:prstGeom prst="rect">
                          <a:avLst/>
                        </a:prstGeom>
                        <a:noFill/>
                        <a:ln>
                          <a:noFill/>
                        </a:ln>
                      </wps:spPr>
                      <wps:txbx>
                        <w:txbxContent>
                          <w:p w14:paraId="22EE5BD0" w14:textId="75F9F463"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Oranžový píst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B809B" id="Text Box 107" o:spid="_x0000_s1028" type="#_x0000_t202" style="position:absolute;left:0;text-align:left;margin-left:189.05pt;margin-top:74.4pt;width:94.05pt;height:6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" filled="f" stroked="f">
                <v:textbox inset=".5mm,.5mm,.5mm,.5mm">
                  <w:txbxContent>
                    <w:p w14:paraId="22EE5BD0" w14:textId="75F9F463"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Oranžový píst</w:t>
                      </w:r>
                    </w:p>
                  </w:txbxContent>
                </v:textbox>
              </v:shape>
            </w:pict>
          </mc:Fallback>
        </mc:AlternateContent>
      </w:r>
      <w:r>
        <w:rPr>
          <w:noProof/>
          <w:lang w:val="en-US" w:eastAsia="ko-KR"/>
        </w:rPr>
        <mc:AlternateContent>
          <mc:Choice Requires="wps">
            <w:drawing>
              <wp:anchor distT="0" distB="0" distL="114300" distR="114300" simplePos="0" relativeHeight="251658250" behindDoc="0" locked="0" layoutInCell="1" allowOverlap="1" wp14:anchorId="253FC862" wp14:editId="3A96A1DB">
                <wp:simplePos x="0" y="0"/>
                <wp:positionH relativeFrom="column">
                  <wp:posOffset>4699635</wp:posOffset>
                </wp:positionH>
                <wp:positionV relativeFrom="paragraph">
                  <wp:posOffset>2809875</wp:posOffset>
                </wp:positionV>
                <wp:extent cx="1117600" cy="636270"/>
                <wp:effectExtent l="0" t="0" r="0" b="0"/>
                <wp:wrapNone/>
                <wp:docPr id="8961008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46BDF08E" w14:textId="558B6263" w:rsidR="008013E1" w:rsidRPr="00E92F5A" w:rsidRDefault="008E2766" w:rsidP="003D3840">
                            <w:pPr>
                              <w:pStyle w:val="StyleArialNarrow8pts"/>
                              <w:rPr>
                                <w:rFonts w:ascii="Arial" w:hAnsi="Arial" w:cs="Arial"/>
                                <w:b/>
                                <w:bCs/>
                                <w:sz w:val="32"/>
                                <w:szCs w:val="32"/>
                                <w:lang w:val="en-US"/>
                              </w:rPr>
                            </w:pPr>
                            <w:r w:rsidRPr="008E2766">
                              <w:rPr>
                                <w:rFonts w:ascii="Arial" w:hAnsi="Arial" w:cs="Arial"/>
                                <w:b/>
                                <w:bCs/>
                                <w:sz w:val="32"/>
                                <w:szCs w:val="32"/>
                                <w:lang w:val="en-US"/>
                              </w:rPr>
                              <w:t>Jehla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C862" id="Text Box 105" o:spid="_x0000_s1029" type="#_x0000_t202" style="position:absolute;left:0;text-align:left;margin-left:370.05pt;margin-top:221.25pt;width:88pt;height:50.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" filled="f" stroked="f">
                <v:textbox inset=".5mm,.5mm,.5mm,.5mm">
                  <w:txbxContent>
                    <w:p w14:paraId="46BDF08E" w14:textId="558B6263" w:rsidR="008013E1" w:rsidRPr="00E92F5A" w:rsidRDefault="008E2766" w:rsidP="003D3840">
                      <w:pPr>
                        <w:pStyle w:val="StyleArialNarrow8pts"/>
                        <w:rPr>
                          <w:rFonts w:ascii="Arial" w:hAnsi="Arial" w:cs="Arial"/>
                          <w:b/>
                          <w:bCs/>
                          <w:sz w:val="32"/>
                          <w:szCs w:val="32"/>
                          <w:lang w:val="en-US"/>
                        </w:rPr>
                      </w:pPr>
                      <w:r w:rsidRPr="008E2766">
                        <w:rPr>
                          <w:rFonts w:ascii="Arial" w:hAnsi="Arial" w:cs="Arial"/>
                          <w:b/>
                          <w:bCs/>
                          <w:sz w:val="32"/>
                          <w:szCs w:val="32"/>
                          <w:lang w:val="en-US"/>
                        </w:rPr>
                        <w:t>Jehla</w:t>
                      </w:r>
                    </w:p>
                  </w:txbxContent>
                </v:textbox>
              </v:shape>
            </w:pict>
          </mc:Fallback>
        </mc:AlternateContent>
      </w:r>
      <w:r>
        <w:rPr>
          <w:noProof/>
          <w:lang w:val="en-US" w:eastAsia="ko-KR"/>
        </w:rPr>
        <mc:AlternateContent>
          <mc:Choice Requires="wps">
            <w:drawing>
              <wp:anchor distT="0" distB="0" distL="114300" distR="114300" simplePos="0" relativeHeight="251658249" behindDoc="0" locked="0" layoutInCell="1" allowOverlap="1" wp14:anchorId="756A6D27" wp14:editId="04EAA2F8">
                <wp:simplePos x="0" y="0"/>
                <wp:positionH relativeFrom="column">
                  <wp:posOffset>220980</wp:posOffset>
                </wp:positionH>
                <wp:positionV relativeFrom="paragraph">
                  <wp:posOffset>2800350</wp:posOffset>
                </wp:positionV>
                <wp:extent cx="1117600" cy="636270"/>
                <wp:effectExtent l="0" t="0" r="0" b="0"/>
                <wp:wrapNone/>
                <wp:docPr id="7847615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5E0DC502" w14:textId="5736A4B2" w:rsidR="008013E1" w:rsidRPr="00E92F5A" w:rsidRDefault="008E2766" w:rsidP="003D3840">
                            <w:pPr>
                              <w:pStyle w:val="StyleArialNarrow8pts"/>
                              <w:jc w:val="right"/>
                              <w:rPr>
                                <w:rFonts w:ascii="Arial" w:hAnsi="Arial" w:cs="Arial"/>
                                <w:b/>
                                <w:bCs/>
                                <w:sz w:val="32"/>
                                <w:szCs w:val="32"/>
                                <w:lang w:val="en-US"/>
                              </w:rPr>
                            </w:pPr>
                            <w:r w:rsidRPr="008E2766">
                              <w:rPr>
                                <w:rFonts w:ascii="Arial" w:hAnsi="Arial" w:cs="Arial"/>
                                <w:b/>
                                <w:bCs/>
                                <w:sz w:val="32"/>
                                <w:szCs w:val="32"/>
                                <w:lang w:val="en-US"/>
                              </w:rPr>
                              <w:t>Léčivý přípravek</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A6D27" id="Text Box 103" o:spid="_x0000_s1030" type="#_x0000_t202" style="position:absolute;left:0;text-align:left;margin-left:17.4pt;margin-top:220.5pt;width:88pt;height:50.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tH3QEAAKgDAAAOAAAAZHJzL2Uyb0RvYy54bWysU8Fu2zAMvQ/YPwi6L7azIS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" filled="f" stroked="f">
                <v:textbox inset=".5mm,.5mm,.5mm,.5mm">
                  <w:txbxContent>
                    <w:p w14:paraId="5E0DC502" w14:textId="5736A4B2" w:rsidR="008013E1" w:rsidRPr="00E92F5A" w:rsidRDefault="008E2766" w:rsidP="003D3840">
                      <w:pPr>
                        <w:pStyle w:val="StyleArialNarrow8pts"/>
                        <w:jc w:val="right"/>
                        <w:rPr>
                          <w:rFonts w:ascii="Arial" w:hAnsi="Arial" w:cs="Arial"/>
                          <w:b/>
                          <w:bCs/>
                          <w:sz w:val="32"/>
                          <w:szCs w:val="32"/>
                          <w:lang w:val="en-US"/>
                        </w:rPr>
                      </w:pPr>
                      <w:r w:rsidRPr="008E2766">
                        <w:rPr>
                          <w:rFonts w:ascii="Arial" w:hAnsi="Arial" w:cs="Arial"/>
                          <w:b/>
                          <w:bCs/>
                          <w:sz w:val="32"/>
                          <w:szCs w:val="32"/>
                          <w:lang w:val="en-US"/>
                        </w:rPr>
                        <w:t>Léčivý přípravek</w:t>
                      </w:r>
                    </w:p>
                  </w:txbxContent>
                </v:textbox>
              </v:shape>
            </w:pict>
          </mc:Fallback>
        </mc:AlternateContent>
      </w:r>
      <w:r>
        <w:rPr>
          <w:noProof/>
          <w:lang w:val="en-US" w:eastAsia="ko-KR"/>
        </w:rPr>
        <mc:AlternateContent>
          <mc:Choice Requires="wps">
            <w:drawing>
              <wp:anchor distT="0" distB="0" distL="114300" distR="114300" simplePos="0" relativeHeight="251658248" behindDoc="0" locked="0" layoutInCell="1" allowOverlap="1" wp14:anchorId="20765080" wp14:editId="08C9BA03">
                <wp:simplePos x="0" y="0"/>
                <wp:positionH relativeFrom="column">
                  <wp:posOffset>2437130</wp:posOffset>
                </wp:positionH>
                <wp:positionV relativeFrom="paragraph">
                  <wp:posOffset>3690620</wp:posOffset>
                </wp:positionV>
                <wp:extent cx="1117600" cy="636270"/>
                <wp:effectExtent l="0" t="0" r="0" b="0"/>
                <wp:wrapNone/>
                <wp:docPr id="176897478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6299F2A7" w14:textId="048BF81F"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Jehla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65080" id="Text Box 101" o:spid="_x0000_s1031" type="#_x0000_t202" style="position:absolute;left:0;text-align:left;margin-left:191.9pt;margin-top:290.6pt;width:88pt;height:50.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6r3QEAAKgDAAAOAAAAZHJzL2Uyb0RvYy54bWysU8Fu2zAMvQ/YPwi6L7YzLC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" filled="f" stroked="f">
                <v:textbox inset=".5mm,.5mm,.5mm,.5mm">
                  <w:txbxContent>
                    <w:p w14:paraId="6299F2A7" w14:textId="048BF81F"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Jehla</w:t>
                      </w:r>
                    </w:p>
                  </w:txbxContent>
                </v:textbox>
              </v:shape>
            </w:pict>
          </mc:Fallback>
        </mc:AlternateContent>
      </w:r>
      <w:r>
        <w:rPr>
          <w:noProof/>
          <w:lang w:val="en-US" w:eastAsia="ko-KR"/>
        </w:rPr>
        <mc:AlternateContent>
          <mc:Choice Requires="wps">
            <w:drawing>
              <wp:anchor distT="0" distB="0" distL="114300" distR="114300" simplePos="0" relativeHeight="251658247" behindDoc="0" locked="0" layoutInCell="1" allowOverlap="1" wp14:anchorId="5C904435" wp14:editId="20E8A59C">
                <wp:simplePos x="0" y="0"/>
                <wp:positionH relativeFrom="column">
                  <wp:posOffset>2437130</wp:posOffset>
                </wp:positionH>
                <wp:positionV relativeFrom="paragraph">
                  <wp:posOffset>3110230</wp:posOffset>
                </wp:positionV>
                <wp:extent cx="1117600" cy="636270"/>
                <wp:effectExtent l="0" t="0" r="0" b="0"/>
                <wp:wrapNone/>
                <wp:docPr id="209738512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3C4639E0" w14:textId="4B6460A1"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Chránič jehly</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04435" id="Text Box 99" o:spid="_x0000_s1032" type="#_x0000_t202" style="position:absolute;left:0;text-align:left;margin-left:191.9pt;margin-top:244.9pt;width:88pt;height:50.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" filled="f" stroked="f">
                <v:textbox inset=".5mm,.5mm,.5mm,.5mm">
                  <w:txbxContent>
                    <w:p w14:paraId="3C4639E0" w14:textId="4B6460A1"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Chránič jehly</w:t>
                      </w:r>
                    </w:p>
                  </w:txbxContent>
                </v:textbox>
              </v:shape>
            </w:pict>
          </mc:Fallback>
        </mc:AlternateContent>
      </w:r>
      <w:r>
        <w:rPr>
          <w:noProof/>
          <w:lang w:val="en-US" w:eastAsia="ko-KR"/>
        </w:rPr>
        <mc:AlternateContent>
          <mc:Choice Requires="wps">
            <w:drawing>
              <wp:anchor distT="0" distB="0" distL="114300" distR="114300" simplePos="0" relativeHeight="251658245" behindDoc="0" locked="0" layoutInCell="1" allowOverlap="1" wp14:anchorId="0A0BDA44" wp14:editId="6288704F">
                <wp:simplePos x="0" y="0"/>
                <wp:positionH relativeFrom="column">
                  <wp:posOffset>2453640</wp:posOffset>
                </wp:positionH>
                <wp:positionV relativeFrom="paragraph">
                  <wp:posOffset>1661795</wp:posOffset>
                </wp:positionV>
                <wp:extent cx="1117600" cy="763270"/>
                <wp:effectExtent l="0" t="0" r="0" b="0"/>
                <wp:wrapNone/>
                <wp:docPr id="1197006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63270"/>
                        </a:xfrm>
                        <a:prstGeom prst="rect">
                          <a:avLst/>
                        </a:prstGeom>
                        <a:noFill/>
                        <a:ln>
                          <a:noFill/>
                        </a:ln>
                      </wps:spPr>
                      <wps:txbx>
                        <w:txbxContent>
                          <w:p w14:paraId="4E1DCEBD" w14:textId="4A8211BD"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Bílá opěrka prstů</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BDA44" id="Text Box 97" o:spid="_x0000_s1033" type="#_x0000_t202" style="position:absolute;left:0;text-align:left;margin-left:193.2pt;margin-top:130.85pt;width:88pt;height:60.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kp3A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" filled="f" stroked="f">
                <v:textbox inset=".5mm,.5mm,.5mm,.5mm">
                  <w:txbxContent>
                    <w:p w14:paraId="4E1DCEBD" w14:textId="4A8211BD" w:rsidR="008013E1" w:rsidRPr="00E92F5A" w:rsidRDefault="008E2766" w:rsidP="003D3840">
                      <w:pPr>
                        <w:pStyle w:val="StyleArialNarrow8pts"/>
                        <w:jc w:val="center"/>
                        <w:rPr>
                          <w:rFonts w:ascii="Arial" w:hAnsi="Arial" w:cs="Arial"/>
                          <w:b/>
                          <w:bCs/>
                          <w:sz w:val="32"/>
                          <w:szCs w:val="32"/>
                          <w:lang w:val="en-US"/>
                        </w:rPr>
                      </w:pPr>
                      <w:r w:rsidRPr="008E2766">
                        <w:rPr>
                          <w:rFonts w:ascii="Arial" w:hAnsi="Arial" w:cs="Arial"/>
                          <w:b/>
                          <w:bCs/>
                          <w:sz w:val="32"/>
                          <w:szCs w:val="32"/>
                          <w:lang w:val="en-US"/>
                        </w:rPr>
                        <w:t>Bílá opěrka prstů</w:t>
                      </w:r>
                    </w:p>
                  </w:txbxContent>
                </v:textbox>
              </v:shape>
            </w:pict>
          </mc:Fallback>
        </mc:AlternateContent>
      </w:r>
      <w:r>
        <w:rPr>
          <w:noProof/>
          <w:lang w:val="en-US" w:eastAsia="ko-KR"/>
        </w:rPr>
        <mc:AlternateContent>
          <mc:Choice Requires="wps">
            <w:drawing>
              <wp:anchor distT="0" distB="0" distL="114300" distR="114300" simplePos="0" relativeHeight="251658242" behindDoc="0" locked="0" layoutInCell="1" allowOverlap="1" wp14:anchorId="3AA24B48" wp14:editId="30F52738">
                <wp:simplePos x="0" y="0"/>
                <wp:positionH relativeFrom="column">
                  <wp:posOffset>848360</wp:posOffset>
                </wp:positionH>
                <wp:positionV relativeFrom="paragraph">
                  <wp:posOffset>97790</wp:posOffset>
                </wp:positionV>
                <wp:extent cx="1924685" cy="721360"/>
                <wp:effectExtent l="0" t="0" r="0" b="0"/>
                <wp:wrapNone/>
                <wp:docPr id="10981752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4C357BB9" w14:textId="33C25454" w:rsidR="008013E1" w:rsidRPr="00E92F5A" w:rsidRDefault="008E2766" w:rsidP="003D3840">
                            <w:pPr>
                              <w:pStyle w:val="StyleArialNarrow8pts"/>
                              <w:jc w:val="center"/>
                              <w:rPr>
                                <w:rFonts w:ascii="Arial" w:hAnsi="Arial" w:cs="Arial"/>
                                <w:b/>
                                <w:bCs/>
                                <w:sz w:val="40"/>
                                <w:szCs w:val="40"/>
                                <w:lang w:val="en-US"/>
                              </w:rPr>
                            </w:pPr>
                            <w:r w:rsidRPr="008E2766">
                              <w:rPr>
                                <w:rFonts w:ascii="Arial" w:hAnsi="Arial" w:cs="Arial"/>
                                <w:b/>
                                <w:bCs/>
                                <w:sz w:val="40"/>
                                <w:szCs w:val="40"/>
                                <w:lang w:val="en-US"/>
                              </w:rPr>
                              <w:t>Před použitím</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4B48" id="Text Box 95" o:spid="_x0000_s1034" type="#_x0000_t202" style="position:absolute;left:0;text-align:left;margin-left:66.8pt;margin-top:7.7pt;width:151.55pt;height:5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Ej+U8beAQAAqAMAAA4AAAAAAAAAAAAAAAAALgIAAGRycy9lMm9Eb2MueG1sUEsBAi0AFAAG&#10;AAgAAAAhAJgX9E3fAAAACgEAAA8AAAAAAAAAAAAAAAAAOAQAAGRycy9kb3ducmV2LnhtbFBLBQYA&#10;AAAABAAEAPMAAABEBQAAAAA=&#10;" filled="f" stroked="f">
                <v:textbox inset=".5mm,.5mm,.5mm,.5mm">
                  <w:txbxContent>
                    <w:p w14:paraId="4C357BB9" w14:textId="33C25454" w:rsidR="008013E1" w:rsidRPr="00E92F5A" w:rsidRDefault="008E2766" w:rsidP="003D3840">
                      <w:pPr>
                        <w:pStyle w:val="StyleArialNarrow8pts"/>
                        <w:jc w:val="center"/>
                        <w:rPr>
                          <w:rFonts w:ascii="Arial" w:hAnsi="Arial" w:cs="Arial"/>
                          <w:b/>
                          <w:bCs/>
                          <w:sz w:val="40"/>
                          <w:szCs w:val="40"/>
                          <w:lang w:val="en-US"/>
                        </w:rPr>
                      </w:pPr>
                      <w:r w:rsidRPr="008E2766">
                        <w:rPr>
                          <w:rFonts w:ascii="Arial" w:hAnsi="Arial" w:cs="Arial"/>
                          <w:b/>
                          <w:bCs/>
                          <w:sz w:val="40"/>
                          <w:szCs w:val="40"/>
                          <w:lang w:val="en-US"/>
                        </w:rPr>
                        <w:t>Před použitím</w:t>
                      </w:r>
                    </w:p>
                  </w:txbxContent>
                </v:textbox>
              </v:shape>
            </w:pict>
          </mc:Fallback>
        </mc:AlternateContent>
      </w:r>
      <w:r>
        <w:rPr>
          <w:noProof/>
          <w:lang w:val="en-US" w:eastAsia="ko-KR"/>
        </w:rPr>
        <mc:AlternateContent>
          <mc:Choice Requires="wps">
            <w:drawing>
              <wp:anchor distT="0" distB="0" distL="114300" distR="114300" simplePos="0" relativeHeight="251658243" behindDoc="0" locked="0" layoutInCell="1" allowOverlap="1" wp14:anchorId="7A6FD0DC" wp14:editId="67FAABF6">
                <wp:simplePos x="0" y="0"/>
                <wp:positionH relativeFrom="column">
                  <wp:posOffset>3227705</wp:posOffset>
                </wp:positionH>
                <wp:positionV relativeFrom="paragraph">
                  <wp:posOffset>90170</wp:posOffset>
                </wp:positionV>
                <wp:extent cx="1924685" cy="649605"/>
                <wp:effectExtent l="0" t="0" r="0" b="0"/>
                <wp:wrapNone/>
                <wp:docPr id="18022809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14314621" w14:textId="36D34324" w:rsidR="008013E1" w:rsidRPr="00E92F5A" w:rsidRDefault="008E2766" w:rsidP="003D3840">
                            <w:pPr>
                              <w:pStyle w:val="StyleArialNarrow8pts"/>
                              <w:jc w:val="center"/>
                              <w:rPr>
                                <w:rFonts w:ascii="Arial" w:hAnsi="Arial" w:cs="Arial"/>
                                <w:b/>
                                <w:bCs/>
                                <w:sz w:val="40"/>
                                <w:szCs w:val="40"/>
                                <w:lang w:val="en-US"/>
                              </w:rPr>
                            </w:pPr>
                            <w:r w:rsidRPr="008E2766">
                              <w:rPr>
                                <w:rFonts w:ascii="Arial" w:hAnsi="Arial" w:cs="Arial"/>
                                <w:b/>
                                <w:bCs/>
                                <w:sz w:val="40"/>
                                <w:szCs w:val="40"/>
                                <w:lang w:val="en-US"/>
                              </w:rPr>
                              <w:t>Po použití</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D0DC" id="Text Box 93" o:spid="_x0000_s1035" type="#_x0000_t202" style="position:absolute;left:0;text-align:left;margin-left:254.15pt;margin-top:7.1pt;width:151.55pt;height:51.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14314621" w14:textId="36D34324" w:rsidR="008013E1" w:rsidRPr="00E92F5A" w:rsidRDefault="008E2766" w:rsidP="003D3840">
                      <w:pPr>
                        <w:pStyle w:val="StyleArialNarrow8pts"/>
                        <w:jc w:val="center"/>
                        <w:rPr>
                          <w:rFonts w:ascii="Arial" w:hAnsi="Arial" w:cs="Arial"/>
                          <w:b/>
                          <w:bCs/>
                          <w:sz w:val="40"/>
                          <w:szCs w:val="40"/>
                          <w:lang w:val="en-US"/>
                        </w:rPr>
                      </w:pPr>
                      <w:r w:rsidRPr="008E2766">
                        <w:rPr>
                          <w:rFonts w:ascii="Arial" w:hAnsi="Arial" w:cs="Arial"/>
                          <w:b/>
                          <w:bCs/>
                          <w:sz w:val="40"/>
                          <w:szCs w:val="40"/>
                          <w:lang w:val="en-US"/>
                        </w:rPr>
                        <w:t>Po použití</w:t>
                      </w:r>
                    </w:p>
                  </w:txbxContent>
                </v:textbox>
              </v:shape>
            </w:pict>
          </mc:Fallback>
        </mc:AlternateContent>
      </w:r>
      <w:r>
        <w:rPr>
          <w:noProof/>
          <w:sz w:val="20"/>
          <w:szCs w:val="20"/>
          <w:lang w:val="en-US" w:eastAsia="ko-KR"/>
        </w:rPr>
        <w:drawing>
          <wp:inline distT="0" distB="0" distL="0" distR="0" wp14:anchorId="35AB898A" wp14:editId="485961E0">
            <wp:extent cx="5465445" cy="5433060"/>
            <wp:effectExtent l="0" t="0" r="0" b="0"/>
            <wp:docPr id="7"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자동 생성된 설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5445" cy="5433060"/>
                    </a:xfrm>
                    <a:prstGeom prst="rect">
                      <a:avLst/>
                    </a:prstGeom>
                    <a:noFill/>
                    <a:ln>
                      <a:noFill/>
                    </a:ln>
                  </pic:spPr>
                </pic:pic>
              </a:graphicData>
            </a:graphic>
          </wp:inline>
        </w:drawing>
      </w:r>
    </w:p>
    <w:p w14:paraId="54709069" w14:textId="7E9F2213" w:rsidR="003D3840" w:rsidRPr="00C017D7" w:rsidRDefault="00AD7E70" w:rsidP="003D3840">
      <w:pPr>
        <w:jc w:val="center"/>
        <w:rPr>
          <w:b/>
          <w:bCs/>
        </w:rPr>
      </w:pPr>
      <w:r>
        <w:rPr>
          <w:b/>
          <w:bCs/>
        </w:rPr>
        <w:t>obrázek</w:t>
      </w:r>
      <w:r w:rsidR="003D3840" w:rsidRPr="00C017D7">
        <w:rPr>
          <w:b/>
          <w:bCs/>
        </w:rPr>
        <w:t xml:space="preserve"> A</w:t>
      </w:r>
    </w:p>
    <w:p w14:paraId="0C800266" w14:textId="453D271B" w:rsidR="003D3840" w:rsidRPr="00C017D7" w:rsidRDefault="003D3840" w:rsidP="00B93217">
      <w:pPr>
        <w:rPr>
          <w:b/>
          <w:bCs/>
        </w:rPr>
      </w:pPr>
      <w:r w:rsidRPr="00C017D7">
        <w:br w:type="page"/>
      </w:r>
      <w:r w:rsidR="00AD7E70" w:rsidRPr="00D159C5">
        <w:rPr>
          <w:b/>
        </w:rPr>
        <w:lastRenderedPageBreak/>
        <w:t>Příprava na injekci</w:t>
      </w:r>
    </w:p>
    <w:p w14:paraId="25E8BF86" w14:textId="77777777" w:rsidR="003D3840" w:rsidRDefault="003D3840" w:rsidP="003D384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8592C" w:rsidRPr="00124F43" w14:paraId="07C74320" w14:textId="77777777">
        <w:trPr>
          <w:cantSplit/>
        </w:trPr>
        <w:tc>
          <w:tcPr>
            <w:tcW w:w="3539" w:type="dxa"/>
          </w:tcPr>
          <w:p w14:paraId="1F0D92FA" w14:textId="2BB240A9" w:rsidR="004856B8" w:rsidRPr="004856B8" w:rsidRDefault="004856B8" w:rsidP="004856B8">
            <w:pPr>
              <w:jc w:val="right"/>
              <w:rPr>
                <w:noProof/>
                <w:lang w:val="en-US" w:eastAsia="ko-KR"/>
              </w:rPr>
            </w:pPr>
            <w:r w:rsidRPr="004856B8">
              <w:rPr>
                <w:noProof/>
                <w:lang w:val="en-US" w:eastAsia="ko-KR"/>
              </w:rPr>
              <w:drawing>
                <wp:inline distT="0" distB="0" distL="0" distR="0" wp14:anchorId="78CE57DC" wp14:editId="310F1C02">
                  <wp:extent cx="2110105" cy="3205480"/>
                  <wp:effectExtent l="0" t="0" r="4445" b="0"/>
                  <wp:docPr id="140854229"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0105" cy="3205480"/>
                          </a:xfrm>
                          <a:prstGeom prst="rect">
                            <a:avLst/>
                          </a:prstGeom>
                          <a:noFill/>
                          <a:ln>
                            <a:noFill/>
                          </a:ln>
                        </pic:spPr>
                      </pic:pic>
                    </a:graphicData>
                  </a:graphic>
                </wp:inline>
              </w:drawing>
            </w:r>
          </w:p>
          <w:p w14:paraId="6D08418E" w14:textId="0E7FEFED" w:rsidR="00AD7E70" w:rsidRDefault="00AD7E70">
            <w:pPr>
              <w:jc w:val="right"/>
            </w:pPr>
          </w:p>
          <w:p w14:paraId="70C7E888" w14:textId="555E1475" w:rsidR="00AD7E70" w:rsidRDefault="00C301E6">
            <w:pPr>
              <w:jc w:val="right"/>
              <w:rPr>
                <w:b/>
                <w:bCs/>
              </w:rPr>
            </w:pPr>
            <w:r>
              <w:rPr>
                <w:noProof/>
                <w:lang w:val="en-US" w:eastAsia="ko-KR"/>
              </w:rPr>
              <mc:AlternateContent>
                <mc:Choice Requires="wps">
                  <w:drawing>
                    <wp:anchor distT="45720" distB="45720" distL="114300" distR="114300" simplePos="0" relativeHeight="251658264" behindDoc="0" locked="1" layoutInCell="1" allowOverlap="1" wp14:anchorId="26A7A0EA" wp14:editId="44719B42">
                      <wp:simplePos x="0" y="0"/>
                      <wp:positionH relativeFrom="column">
                        <wp:posOffset>1099820</wp:posOffset>
                      </wp:positionH>
                      <wp:positionV relativeFrom="page">
                        <wp:posOffset>88265</wp:posOffset>
                      </wp:positionV>
                      <wp:extent cx="892175" cy="930910"/>
                      <wp:effectExtent l="0" t="0" r="0" b="0"/>
                      <wp:wrapNone/>
                      <wp:docPr id="15815913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930910"/>
                              </a:xfrm>
                              <a:prstGeom prst="rect">
                                <a:avLst/>
                              </a:prstGeom>
                              <a:noFill/>
                              <a:ln>
                                <a:noFill/>
                              </a:ln>
                            </wps:spPr>
                            <wps:txbx>
                              <w:txbxContent>
                                <w:p w14:paraId="42795B46" w14:textId="27616B7F" w:rsidR="008013E1" w:rsidRPr="00F77610" w:rsidRDefault="008E2766" w:rsidP="003D3840">
                                  <w:pPr>
                                    <w:rPr>
                                      <w:rFonts w:ascii="Arial" w:hAnsi="Arial" w:cs="Arial"/>
                                      <w:sz w:val="23"/>
                                      <w:szCs w:val="23"/>
                                      <w:lang w:val="es-ES"/>
                                    </w:rPr>
                                  </w:pPr>
                                  <w:r w:rsidRPr="008E2766">
                                    <w:rPr>
                                      <w:rFonts w:ascii="Arial" w:hAnsi="Arial" w:cs="Arial"/>
                                      <w:sz w:val="23"/>
                                      <w:szCs w:val="23"/>
                                      <w:lang w:val="es-ES"/>
                                    </w:rPr>
                                    <w:t>Krabička obsahující předplněnou injekční stříkačku</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A7A0EA" id="Text Box 91" o:spid="_x0000_s1036" type="#_x0000_t202" style="position:absolute;left:0;text-align:left;margin-left:86.6pt;margin-top:6.95pt;width:70.25pt;height:73.3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" filled="f" stroked="f">
                      <v:textbox style="mso-fit-shape-to-text:t" inset="0,,0">
                        <w:txbxContent>
                          <w:p w14:paraId="42795B46" w14:textId="27616B7F" w:rsidR="008013E1" w:rsidRPr="00F77610" w:rsidRDefault="008E2766" w:rsidP="003D3840">
                            <w:pPr>
                              <w:rPr>
                                <w:rFonts w:ascii="Arial" w:hAnsi="Arial" w:cs="Arial"/>
                                <w:sz w:val="23"/>
                                <w:szCs w:val="23"/>
                                <w:lang w:val="es-ES"/>
                              </w:rPr>
                            </w:pPr>
                            <w:r w:rsidRPr="008E2766">
                              <w:rPr>
                                <w:rFonts w:ascii="Arial" w:hAnsi="Arial" w:cs="Arial"/>
                                <w:sz w:val="23"/>
                                <w:szCs w:val="23"/>
                                <w:lang w:val="es-ES"/>
                              </w:rPr>
                              <w:t>Krabička obsahující předplněnou injekční stříkačku</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5" behindDoc="0" locked="1" layoutInCell="1" allowOverlap="1" wp14:anchorId="6CF5BDFC" wp14:editId="02E1675F">
                      <wp:simplePos x="0" y="0"/>
                      <wp:positionH relativeFrom="column">
                        <wp:posOffset>1049020</wp:posOffset>
                      </wp:positionH>
                      <wp:positionV relativeFrom="page">
                        <wp:posOffset>1021715</wp:posOffset>
                      </wp:positionV>
                      <wp:extent cx="1017270" cy="763270"/>
                      <wp:effectExtent l="0" t="0" r="0" b="0"/>
                      <wp:wrapNone/>
                      <wp:docPr id="14587176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763270"/>
                              </a:xfrm>
                              <a:prstGeom prst="rect">
                                <a:avLst/>
                              </a:prstGeom>
                              <a:noFill/>
                              <a:ln>
                                <a:noFill/>
                              </a:ln>
                            </wps:spPr>
                            <wps:txbx>
                              <w:txbxContent>
                                <w:p w14:paraId="6662ABC5" w14:textId="36B8A4AF" w:rsidR="008013E1" w:rsidRPr="00C41310" w:rsidRDefault="008E2766" w:rsidP="003D3840">
                                  <w:pPr>
                                    <w:rPr>
                                      <w:rFonts w:ascii="Arial" w:hAnsi="Arial" w:cs="Arial"/>
                                      <w:sz w:val="23"/>
                                      <w:szCs w:val="23"/>
                                      <w:lang w:val="it-IT"/>
                                    </w:rPr>
                                  </w:pPr>
                                  <w:r w:rsidRPr="00C41310">
                                    <w:rPr>
                                      <w:rFonts w:ascii="Arial" w:hAnsi="Arial" w:cs="Arial"/>
                                      <w:sz w:val="23"/>
                                      <w:szCs w:val="23"/>
                                      <w:lang w:val="it-IT"/>
                                    </w:rPr>
                                    <w:t>Vata nebo gáza a alkoholový tampon</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F5BDFC" id="Text Box 89" o:spid="_x0000_s1037" type="#_x0000_t202" style="position:absolute;left:0;text-align:left;margin-left:82.6pt;margin-top:80.45pt;width:80.1pt;height:60.1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" filled="f" stroked="f">
                      <v:textbox style="mso-fit-shape-to-text:t" inset="0,,0">
                        <w:txbxContent>
                          <w:p w14:paraId="6662ABC5" w14:textId="36B8A4AF" w:rsidR="008013E1" w:rsidRPr="00C41310" w:rsidRDefault="008E2766" w:rsidP="003D3840">
                            <w:pPr>
                              <w:rPr>
                                <w:rFonts w:ascii="Arial" w:hAnsi="Arial" w:cs="Arial"/>
                                <w:sz w:val="23"/>
                                <w:szCs w:val="23"/>
                                <w:lang w:val="it-IT"/>
                              </w:rPr>
                            </w:pPr>
                            <w:r w:rsidRPr="00C41310">
                              <w:rPr>
                                <w:rFonts w:ascii="Arial" w:hAnsi="Arial" w:cs="Arial"/>
                                <w:sz w:val="23"/>
                                <w:szCs w:val="23"/>
                                <w:lang w:val="it-IT"/>
                              </w:rPr>
                              <w:t>Vata nebo gáza a alkoholový tampon</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6" behindDoc="0" locked="1" layoutInCell="1" allowOverlap="1" wp14:anchorId="6793B257" wp14:editId="738AD0EC">
                      <wp:simplePos x="0" y="0"/>
                      <wp:positionH relativeFrom="column">
                        <wp:posOffset>1049020</wp:posOffset>
                      </wp:positionH>
                      <wp:positionV relativeFrom="page">
                        <wp:posOffset>1847850</wp:posOffset>
                      </wp:positionV>
                      <wp:extent cx="867410" cy="259080"/>
                      <wp:effectExtent l="0" t="0" r="0" b="0"/>
                      <wp:wrapNone/>
                      <wp:docPr id="86366330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59080"/>
                              </a:xfrm>
                              <a:prstGeom prst="rect">
                                <a:avLst/>
                              </a:prstGeom>
                              <a:noFill/>
                              <a:ln>
                                <a:noFill/>
                              </a:ln>
                            </wps:spPr>
                            <wps:txbx>
                              <w:txbxContent>
                                <w:p w14:paraId="604AE02A" w14:textId="52288C3F" w:rsidR="008013E1" w:rsidRPr="00F77610" w:rsidRDefault="008E2766" w:rsidP="003D3840">
                                  <w:pPr>
                                    <w:rPr>
                                      <w:rFonts w:ascii="Arial" w:hAnsi="Arial" w:cs="Arial"/>
                                      <w:sz w:val="23"/>
                                      <w:szCs w:val="23"/>
                                      <w:lang w:val="es-ES"/>
                                    </w:rPr>
                                  </w:pPr>
                                  <w:r w:rsidRPr="008E2766">
                                    <w:rPr>
                                      <w:rFonts w:ascii="Arial" w:hAnsi="Arial" w:cs="Arial"/>
                                      <w:sz w:val="23"/>
                                      <w:szCs w:val="23"/>
                                      <w:lang w:val="es-ES"/>
                                    </w:rPr>
                                    <w:t>Náplast</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93B257" id="Text Box 87" o:spid="_x0000_s1038" type="#_x0000_t202" style="position:absolute;left:0;text-align:left;margin-left:82.6pt;margin-top:145.5pt;width:68.3pt;height:20.4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" filled="f" stroked="f">
                      <v:textbox style="mso-fit-shape-to-text:t" inset="0,,0">
                        <w:txbxContent>
                          <w:p w14:paraId="604AE02A" w14:textId="52288C3F" w:rsidR="008013E1" w:rsidRPr="00F77610" w:rsidRDefault="008E2766" w:rsidP="003D3840">
                            <w:pPr>
                              <w:rPr>
                                <w:rFonts w:ascii="Arial" w:hAnsi="Arial" w:cs="Arial"/>
                                <w:sz w:val="23"/>
                                <w:szCs w:val="23"/>
                                <w:lang w:val="es-ES"/>
                              </w:rPr>
                            </w:pPr>
                            <w:r w:rsidRPr="008E2766">
                              <w:rPr>
                                <w:rFonts w:ascii="Arial" w:hAnsi="Arial" w:cs="Arial"/>
                                <w:sz w:val="23"/>
                                <w:szCs w:val="23"/>
                                <w:lang w:val="es-ES"/>
                              </w:rPr>
                              <w:t>Náplast</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7" behindDoc="0" locked="1" layoutInCell="1" allowOverlap="1" wp14:anchorId="64A0FE23" wp14:editId="031FB380">
                      <wp:simplePos x="0" y="0"/>
                      <wp:positionH relativeFrom="column">
                        <wp:posOffset>1049020</wp:posOffset>
                      </wp:positionH>
                      <wp:positionV relativeFrom="page">
                        <wp:posOffset>2511425</wp:posOffset>
                      </wp:positionV>
                      <wp:extent cx="981710" cy="744855"/>
                      <wp:effectExtent l="0" t="0" r="2540" b="2540"/>
                      <wp:wrapNone/>
                      <wp:docPr id="5700514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FF04" w14:textId="3B3C506D" w:rsidR="008013E1" w:rsidRPr="00F77610" w:rsidRDefault="008E2766" w:rsidP="003D3840">
                                  <w:pPr>
                                    <w:rPr>
                                      <w:rFonts w:ascii="Arial" w:hAnsi="Arial" w:cs="Arial"/>
                                      <w:sz w:val="23"/>
                                      <w:szCs w:val="23"/>
                                      <w:lang w:val="es-ES"/>
                                    </w:rPr>
                                  </w:pPr>
                                  <w:r w:rsidRPr="008E2766">
                                    <w:rPr>
                                      <w:rFonts w:ascii="Arial" w:hAnsi="Arial" w:cs="Arial"/>
                                      <w:sz w:val="23"/>
                                      <w:szCs w:val="23"/>
                                      <w:lang w:val="es-ES"/>
                                    </w:rPr>
                                    <w:t>Odpadní nádoba na ostré předměty</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0FE23" id="Text Box 30" o:spid="_x0000_s1039" type="#_x0000_t202" style="position:absolute;left:0;text-align:left;margin-left:82.6pt;margin-top:197.75pt;width:77.3pt;height:58.6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" filled="f" stroked="f">
                      <v:textbox inset="0,,0">
                        <w:txbxContent>
                          <w:p w14:paraId="7D09FF04" w14:textId="3B3C506D" w:rsidR="008013E1" w:rsidRPr="00F77610" w:rsidRDefault="008E2766" w:rsidP="003D3840">
                            <w:pPr>
                              <w:rPr>
                                <w:rFonts w:ascii="Arial" w:hAnsi="Arial" w:cs="Arial"/>
                                <w:sz w:val="23"/>
                                <w:szCs w:val="23"/>
                                <w:lang w:val="es-ES"/>
                              </w:rPr>
                            </w:pPr>
                            <w:r w:rsidRPr="008E2766">
                              <w:rPr>
                                <w:rFonts w:ascii="Arial" w:hAnsi="Arial" w:cs="Arial"/>
                                <w:sz w:val="23"/>
                                <w:szCs w:val="23"/>
                                <w:lang w:val="es-ES"/>
                              </w:rPr>
                              <w:t>Odpadní nádoba na ostré předměty</w:t>
                            </w:r>
                          </w:p>
                        </w:txbxContent>
                      </v:textbox>
                      <w10:wrap anchory="page"/>
                      <w10:anchorlock/>
                    </v:shape>
                  </w:pict>
                </mc:Fallback>
              </mc:AlternateContent>
            </w:r>
            <w:r w:rsidR="00AD7E70">
              <w:rPr>
                <w:b/>
                <w:bCs/>
              </w:rPr>
              <w:t>obrázek B</w:t>
            </w:r>
          </w:p>
        </w:tc>
        <w:tc>
          <w:tcPr>
            <w:tcW w:w="5517" w:type="dxa"/>
          </w:tcPr>
          <w:p w14:paraId="5390592E" w14:textId="77777777" w:rsidR="00AD7E70" w:rsidRDefault="00AD7E70">
            <w:pPr>
              <w:numPr>
                <w:ilvl w:val="0"/>
                <w:numId w:val="71"/>
              </w:numPr>
              <w:suppressAutoHyphens/>
              <w:autoSpaceDE/>
              <w:autoSpaceDN/>
              <w:ind w:left="567" w:hanging="567"/>
              <w:rPr>
                <w:b/>
              </w:rPr>
            </w:pPr>
            <w:r>
              <w:rPr>
                <w:b/>
              </w:rPr>
              <w:t>Připravte si pomůcky pro injekci.</w:t>
            </w:r>
          </w:p>
          <w:p w14:paraId="63BA2322" w14:textId="77777777" w:rsidR="00AD7E70" w:rsidRDefault="00AD7E70">
            <w:pPr>
              <w:suppressAutoHyphens/>
              <w:ind w:left="567" w:hanging="567"/>
              <w:rPr>
                <w:b/>
                <w:lang w:val="it-IT"/>
              </w:rPr>
            </w:pPr>
          </w:p>
          <w:p w14:paraId="76E2BEFE" w14:textId="77777777" w:rsidR="00AD7E70" w:rsidRDefault="00AD7E70">
            <w:pPr>
              <w:numPr>
                <w:ilvl w:val="0"/>
                <w:numId w:val="72"/>
              </w:numPr>
              <w:suppressAutoHyphens/>
              <w:autoSpaceDE/>
              <w:autoSpaceDN/>
              <w:ind w:left="567" w:hanging="567"/>
              <w:rPr>
                <w:bCs/>
              </w:rPr>
            </w:pPr>
            <w:r w:rsidRPr="00D159C5">
              <w:t>Připravte si čistý, rovný povrch, například stůl nebo pult, na dobře osvětleném místě.</w:t>
            </w:r>
          </w:p>
          <w:p w14:paraId="73C608D6" w14:textId="77777777" w:rsidR="00AD7E70" w:rsidRDefault="00AD7E70">
            <w:pPr>
              <w:numPr>
                <w:ilvl w:val="0"/>
                <w:numId w:val="72"/>
              </w:numPr>
              <w:suppressAutoHyphens/>
              <w:autoSpaceDE/>
              <w:autoSpaceDN/>
              <w:ind w:left="567" w:hanging="567"/>
              <w:rPr>
                <w:bCs/>
              </w:rPr>
            </w:pPr>
            <w:r w:rsidRPr="00D159C5">
              <w:t>Vyjměte krabičku obsahující předplněnou injekční stříkačku z chladničky.</w:t>
            </w:r>
          </w:p>
          <w:p w14:paraId="0F4DEF9C" w14:textId="77777777" w:rsidR="00AD7E70" w:rsidRDefault="00AD7E70">
            <w:pPr>
              <w:numPr>
                <w:ilvl w:val="0"/>
                <w:numId w:val="72"/>
              </w:numPr>
              <w:suppressAutoHyphens/>
              <w:autoSpaceDE/>
              <w:autoSpaceDN/>
              <w:ind w:left="567" w:hanging="567"/>
              <w:rPr>
                <w:bCs/>
              </w:rPr>
            </w:pPr>
            <w:r w:rsidRPr="00D159C5">
              <w:t xml:space="preserve">Ujistěte se, že máte následující pomůcky (viz </w:t>
            </w:r>
            <w:r>
              <w:rPr>
                <w:b/>
              </w:rPr>
              <w:t>obrázek B</w:t>
            </w:r>
            <w:r w:rsidRPr="00D159C5">
              <w:t>):</w:t>
            </w:r>
          </w:p>
          <w:p w14:paraId="3BEDDC82" w14:textId="77777777" w:rsidR="00AD7E70" w:rsidRPr="00D159C5" w:rsidRDefault="00AD7E70">
            <w:pPr>
              <w:suppressAutoHyphens/>
            </w:pPr>
            <w:r w:rsidRPr="00D159C5">
              <w:t>- Krabička obsahující předplněnou injekční stříkačku Avtozma</w:t>
            </w:r>
          </w:p>
          <w:p w14:paraId="2F3140D8" w14:textId="77777777" w:rsidR="00AD7E70" w:rsidRPr="00D159C5" w:rsidRDefault="00AD7E70" w:rsidP="00AD7E70"/>
          <w:p w14:paraId="0F915B3D" w14:textId="77777777" w:rsidR="00AD7E70" w:rsidRDefault="00AD7E70">
            <w:pPr>
              <w:suppressAutoHyphens/>
              <w:rPr>
                <w:b/>
              </w:rPr>
            </w:pPr>
            <w:r>
              <w:rPr>
                <w:b/>
              </w:rPr>
              <w:t>Není součástí krabičky:</w:t>
            </w:r>
          </w:p>
          <w:p w14:paraId="5665F28C" w14:textId="638136D9" w:rsidR="00AD7E70" w:rsidRPr="00D159C5" w:rsidRDefault="004B7B8B">
            <w:pPr>
              <w:suppressAutoHyphens/>
            </w:pPr>
            <w:r w:rsidRPr="00D159C5">
              <w:t xml:space="preserve">- </w:t>
            </w:r>
            <w:r w:rsidR="00AD7E70" w:rsidRPr="00D159C5">
              <w:t>Vata nebo gáza</w:t>
            </w:r>
          </w:p>
          <w:p w14:paraId="2016D853" w14:textId="317BC813" w:rsidR="00AD7E70" w:rsidRPr="00D159C5" w:rsidRDefault="004B7B8B">
            <w:pPr>
              <w:suppressAutoHyphens/>
            </w:pPr>
            <w:r w:rsidRPr="00D159C5">
              <w:t xml:space="preserve">- </w:t>
            </w:r>
            <w:r w:rsidR="00AD7E70" w:rsidRPr="00D159C5">
              <w:t>Náplast</w:t>
            </w:r>
          </w:p>
          <w:p w14:paraId="2775BE79" w14:textId="76D6A42C" w:rsidR="00AD7E70" w:rsidRPr="00D159C5" w:rsidRDefault="004B7B8B">
            <w:pPr>
              <w:suppressAutoHyphens/>
            </w:pPr>
            <w:r w:rsidRPr="00D159C5">
              <w:t xml:space="preserve">- </w:t>
            </w:r>
            <w:r w:rsidR="00AD7E70">
              <w:t>Odpadní n</w:t>
            </w:r>
            <w:r w:rsidR="00AD7E70" w:rsidRPr="00D159C5">
              <w:t>ádoba na ostré předměty</w:t>
            </w:r>
          </w:p>
          <w:p w14:paraId="6B18E505" w14:textId="7BB0C7F0" w:rsidR="00AD7E70" w:rsidRPr="00D159C5" w:rsidRDefault="004B7B8B">
            <w:pPr>
              <w:suppressAutoHyphens/>
            </w:pPr>
            <w:r w:rsidRPr="00D159C5">
              <w:t xml:space="preserve">- </w:t>
            </w:r>
            <w:bookmarkStart w:id="61" w:name="_Hlk186191474"/>
            <w:r w:rsidR="00AD7E70" w:rsidRPr="00D159C5">
              <w:t>Alkoholový tampon</w:t>
            </w:r>
            <w:bookmarkEnd w:id="61"/>
          </w:p>
          <w:p w14:paraId="60FDE857" w14:textId="77777777" w:rsidR="00AD7E70" w:rsidRPr="00124F43" w:rsidRDefault="00AD7E70">
            <w:pPr>
              <w:ind w:left="567" w:hanging="567"/>
            </w:pPr>
          </w:p>
        </w:tc>
      </w:tr>
      <w:tr w:rsidR="00B8592C" w:rsidRPr="00124F43" w14:paraId="3B56307A" w14:textId="77777777">
        <w:trPr>
          <w:cantSplit/>
        </w:trPr>
        <w:tc>
          <w:tcPr>
            <w:tcW w:w="3539" w:type="dxa"/>
          </w:tcPr>
          <w:p w14:paraId="0266DD39" w14:textId="2166E11F" w:rsidR="00AD7E70" w:rsidRDefault="00C301E6">
            <w:pPr>
              <w:suppressAutoHyphens/>
              <w:rPr>
                <w:sz w:val="26"/>
                <w:szCs w:val="26"/>
              </w:rPr>
            </w:pPr>
            <w:r>
              <w:rPr>
                <w:noProof/>
                <w:lang w:val="en-US" w:eastAsia="ko-KR"/>
              </w:rPr>
              <mc:AlternateContent>
                <mc:Choice Requires="wps">
                  <w:drawing>
                    <wp:anchor distT="45720" distB="45720" distL="114300" distR="114300" simplePos="0" relativeHeight="251658269" behindDoc="0" locked="1" layoutInCell="1" allowOverlap="1" wp14:anchorId="1DD649DE" wp14:editId="216B0336">
                      <wp:simplePos x="0" y="0"/>
                      <wp:positionH relativeFrom="column">
                        <wp:posOffset>1199515</wp:posOffset>
                      </wp:positionH>
                      <wp:positionV relativeFrom="page">
                        <wp:posOffset>1962785</wp:posOffset>
                      </wp:positionV>
                      <wp:extent cx="673100" cy="174625"/>
                      <wp:effectExtent l="19050" t="38100" r="0" b="34925"/>
                      <wp:wrapNone/>
                      <wp:docPr id="10486035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wps:spPr>
                            <wps:txbx>
                              <w:txbxContent>
                                <w:p w14:paraId="3FE0ADB2" w14:textId="648D69D0" w:rsidR="008013E1" w:rsidRPr="00F32F95" w:rsidRDefault="004B7B8B" w:rsidP="003D3840">
                                  <w:pPr>
                                    <w:jc w:val="center"/>
                                    <w:rPr>
                                      <w:rFonts w:ascii="Arial Narrow" w:hAnsi="Arial Narrow"/>
                                      <w:b/>
                                      <w:bCs/>
                                      <w:sz w:val="12"/>
                                      <w:szCs w:val="12"/>
                                    </w:rPr>
                                  </w:pPr>
                                  <w:r w:rsidRPr="004B7B8B">
                                    <w:rPr>
                                      <w:rFonts w:ascii="Arial Narrow" w:hAnsi="Arial Narrow"/>
                                      <w:b/>
                                      <w:bCs/>
                                      <w:sz w:val="12"/>
                                      <w:szCs w:val="12"/>
                                    </w:rPr>
                                    <w:t>EXP: MM RRRR</w:t>
                                  </w:r>
                                </w:p>
                                <w:p w14:paraId="2974662C" w14:textId="77777777" w:rsidR="008013E1" w:rsidRPr="00F32F95" w:rsidRDefault="008013E1" w:rsidP="003D3840">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DD649DE" id="Text Box 85" o:spid="_x0000_s1040" type="#_x0000_t202" style="position:absolute;margin-left:94.45pt;margin-top:154.55pt;width:53pt;height:13.75pt;rotation:-535127fd;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" filled="f" stroked="f">
                      <v:textbox style="mso-fit-shape-to-text:t" inset="0,0,0,0">
                        <w:txbxContent>
                          <w:p w14:paraId="3FE0ADB2" w14:textId="648D69D0" w:rsidR="008013E1" w:rsidRPr="00F32F95" w:rsidRDefault="004B7B8B" w:rsidP="003D3840">
                            <w:pPr>
                              <w:jc w:val="center"/>
                              <w:rPr>
                                <w:rFonts w:ascii="Arial Narrow" w:hAnsi="Arial Narrow"/>
                                <w:b/>
                                <w:bCs/>
                                <w:sz w:val="12"/>
                                <w:szCs w:val="12"/>
                              </w:rPr>
                            </w:pPr>
                            <w:r w:rsidRPr="004B7B8B">
                              <w:rPr>
                                <w:rFonts w:ascii="Arial Narrow" w:hAnsi="Arial Narrow"/>
                                <w:b/>
                                <w:bCs/>
                                <w:sz w:val="12"/>
                                <w:szCs w:val="12"/>
                              </w:rPr>
                              <w:t>EXP: MM RRRR</w:t>
                            </w:r>
                          </w:p>
                          <w:p w14:paraId="2974662C" w14:textId="77777777" w:rsidR="008013E1" w:rsidRPr="00F32F95" w:rsidRDefault="008013E1" w:rsidP="003D3840">
                            <w:pPr>
                              <w:rPr>
                                <w:rFonts w:ascii="Arial Narrow" w:hAnsi="Arial Narrow"/>
                                <w:b/>
                                <w:bCs/>
                                <w:sz w:val="12"/>
                                <w:szCs w:val="12"/>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8" behindDoc="0" locked="1" layoutInCell="1" allowOverlap="1" wp14:anchorId="3D8FEAEE" wp14:editId="66FBF0D3">
                      <wp:simplePos x="0" y="0"/>
                      <wp:positionH relativeFrom="column">
                        <wp:posOffset>1087120</wp:posOffset>
                      </wp:positionH>
                      <wp:positionV relativeFrom="page">
                        <wp:posOffset>969010</wp:posOffset>
                      </wp:positionV>
                      <wp:extent cx="673100" cy="116840"/>
                      <wp:effectExtent l="19050" t="38100" r="0" b="35560"/>
                      <wp:wrapNone/>
                      <wp:docPr id="51760243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116840"/>
                              </a:xfrm>
                              <a:prstGeom prst="rect">
                                <a:avLst/>
                              </a:prstGeom>
                              <a:noFill/>
                              <a:ln>
                                <a:noFill/>
                              </a:ln>
                            </wps:spPr>
                            <wps:txbx>
                              <w:txbxContent>
                                <w:p w14:paraId="78EAC350" w14:textId="37D11023" w:rsidR="008013E1" w:rsidRPr="00F32F95" w:rsidRDefault="004B7B8B" w:rsidP="003D3840">
                                  <w:pPr>
                                    <w:jc w:val="center"/>
                                    <w:rPr>
                                      <w:rFonts w:ascii="Arial Narrow" w:hAnsi="Arial Narrow"/>
                                      <w:b/>
                                      <w:bCs/>
                                      <w:sz w:val="16"/>
                                      <w:szCs w:val="16"/>
                                    </w:rPr>
                                  </w:pPr>
                                  <w:r w:rsidRPr="004B7B8B">
                                    <w:rPr>
                                      <w:rFonts w:ascii="Arial Narrow" w:hAnsi="Arial Narrow"/>
                                      <w:b/>
                                      <w:bCs/>
                                      <w:sz w:val="16"/>
                                      <w:szCs w:val="16"/>
                                    </w:rPr>
                                    <w:t>EXP: MM RRRR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D8FEAEE" id="Text Box 83" o:spid="_x0000_s1041" type="#_x0000_t202" style="position:absolute;margin-left:85.6pt;margin-top:76.3pt;width:53pt;height:9.2pt;rotation:-448334fd;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" filled="f" stroked="f">
                      <v:textbox style="mso-fit-shape-to-text:t" inset="0,0,0,0">
                        <w:txbxContent>
                          <w:p w14:paraId="78EAC350" w14:textId="37D11023" w:rsidR="008013E1" w:rsidRPr="00F32F95" w:rsidRDefault="004B7B8B" w:rsidP="003D3840">
                            <w:pPr>
                              <w:jc w:val="center"/>
                              <w:rPr>
                                <w:rFonts w:ascii="Arial Narrow" w:hAnsi="Arial Narrow"/>
                                <w:b/>
                                <w:bCs/>
                                <w:sz w:val="16"/>
                                <w:szCs w:val="16"/>
                              </w:rPr>
                            </w:pPr>
                            <w:r w:rsidRPr="004B7B8B">
                              <w:rPr>
                                <w:rFonts w:ascii="Arial Narrow" w:hAnsi="Arial Narrow"/>
                                <w:b/>
                                <w:bCs/>
                                <w:sz w:val="16"/>
                                <w:szCs w:val="16"/>
                              </w:rPr>
                              <w:t>EXP: MM RRRR</w:t>
                            </w:r>
                          </w:p>
                        </w:txbxContent>
                      </v:textbox>
                      <w10:wrap anchory="page"/>
                      <w10:anchorlock/>
                    </v:shape>
                  </w:pict>
                </mc:Fallback>
              </mc:AlternateContent>
            </w:r>
            <w:r>
              <w:rPr>
                <w:b/>
                <w:noProof/>
                <w:lang w:val="en-US" w:eastAsia="ko-KR"/>
              </w:rPr>
              <w:drawing>
                <wp:inline distT="0" distB="0" distL="0" distR="0" wp14:anchorId="649E45D5" wp14:editId="18764682">
                  <wp:extent cx="2073275" cy="2615565"/>
                  <wp:effectExtent l="19050" t="19050" r="3175" b="0"/>
                  <wp:docPr id="9" name="그림 5"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텍스트, 스케치, 도표, 원이(가) 표시된 사진&#10;&#10;자동 생성된 설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3275" cy="2615565"/>
                          </a:xfrm>
                          <a:prstGeom prst="rect">
                            <a:avLst/>
                          </a:prstGeom>
                          <a:noFill/>
                          <a:ln w="9525" cmpd="sng">
                            <a:solidFill>
                              <a:srgbClr val="000000"/>
                            </a:solidFill>
                            <a:miter lim="800000"/>
                            <a:headEnd/>
                            <a:tailEnd/>
                          </a:ln>
                          <a:effectLst/>
                        </pic:spPr>
                      </pic:pic>
                    </a:graphicData>
                  </a:graphic>
                </wp:inline>
              </w:drawing>
            </w:r>
          </w:p>
          <w:p w14:paraId="3F4188D5" w14:textId="3AC6E6BA" w:rsidR="00AD7E70" w:rsidRDefault="00AD7E70">
            <w:pPr>
              <w:jc w:val="right"/>
              <w:rPr>
                <w:b/>
                <w:bCs/>
                <w:noProof/>
                <w:lang w:eastAsia="ko-KR"/>
              </w:rPr>
            </w:pPr>
            <w:r>
              <w:rPr>
                <w:b/>
                <w:bCs/>
                <w:noProof/>
                <w:lang w:eastAsia="ko-KR"/>
              </w:rPr>
              <w:t>obrázek C</w:t>
            </w:r>
          </w:p>
        </w:tc>
        <w:tc>
          <w:tcPr>
            <w:tcW w:w="5517" w:type="dxa"/>
          </w:tcPr>
          <w:p w14:paraId="386D2399" w14:textId="77777777" w:rsidR="00AD7E70" w:rsidRDefault="00AD7E70" w:rsidP="004B7B8B">
            <w:pPr>
              <w:numPr>
                <w:ilvl w:val="0"/>
                <w:numId w:val="71"/>
              </w:numPr>
              <w:suppressAutoHyphens/>
              <w:autoSpaceDE/>
              <w:autoSpaceDN/>
              <w:ind w:left="567" w:hanging="567"/>
              <w:rPr>
                <w:rFonts w:cs="Arial"/>
                <w:b/>
              </w:rPr>
            </w:pPr>
            <w:r>
              <w:rPr>
                <w:b/>
              </w:rPr>
              <w:t>Prohlédněte si krabičku</w:t>
            </w:r>
          </w:p>
          <w:p w14:paraId="4DFB82EB" w14:textId="77777777" w:rsidR="00AD7E70" w:rsidRDefault="00AD7E70">
            <w:pPr>
              <w:suppressAutoHyphens/>
              <w:ind w:left="567" w:hanging="567"/>
              <w:rPr>
                <w:rFonts w:cs="Arial"/>
                <w:b/>
                <w:lang w:val="en-US"/>
              </w:rPr>
            </w:pPr>
          </w:p>
          <w:p w14:paraId="44DA3F26" w14:textId="77777777" w:rsidR="00AD7E70" w:rsidRDefault="00AD7E70" w:rsidP="004B7B8B">
            <w:pPr>
              <w:numPr>
                <w:ilvl w:val="0"/>
                <w:numId w:val="73"/>
              </w:numPr>
              <w:suppressAutoHyphens/>
              <w:autoSpaceDE/>
              <w:autoSpaceDN/>
              <w:ind w:left="567" w:hanging="567"/>
              <w:rPr>
                <w:rFonts w:cs="Arial"/>
                <w:bCs/>
              </w:rPr>
            </w:pPr>
            <w:r w:rsidRPr="00D159C5">
              <w:t>Prohlédněte si krabičku a ujistěte se, že máte správný léčivý přípravek a dávku. (Avtozma)</w:t>
            </w:r>
          </w:p>
          <w:p w14:paraId="03B55D1D" w14:textId="77777777" w:rsidR="00AD7E70" w:rsidRDefault="00AD7E70" w:rsidP="004B7B8B">
            <w:pPr>
              <w:numPr>
                <w:ilvl w:val="0"/>
                <w:numId w:val="73"/>
              </w:numPr>
              <w:suppressAutoHyphens/>
              <w:autoSpaceDE/>
              <w:autoSpaceDN/>
              <w:ind w:left="567" w:hanging="567"/>
              <w:rPr>
                <w:rFonts w:cs="Arial"/>
                <w:bCs/>
              </w:rPr>
            </w:pPr>
            <w:r w:rsidRPr="00D159C5">
              <w:t>Zkontrolujte datum použitelnosti na krabičce a ujistěte se, že ještě neuplynulo.</w:t>
            </w:r>
          </w:p>
          <w:p w14:paraId="5FC1DFE0" w14:textId="77777777" w:rsidR="00AD7E70" w:rsidRPr="00D159C5" w:rsidRDefault="00AD7E70" w:rsidP="00AD7E70"/>
          <w:p w14:paraId="2BB67303" w14:textId="64B38C2B" w:rsidR="00AD7E70" w:rsidRDefault="00AD7E70" w:rsidP="008211C2">
            <w:pPr>
              <w:numPr>
                <w:ilvl w:val="0"/>
                <w:numId w:val="69"/>
              </w:numPr>
              <w:suppressAutoHyphens/>
              <w:autoSpaceDE/>
              <w:autoSpaceDN/>
              <w:ind w:left="1134" w:hanging="567"/>
              <w:rPr>
                <w:rFonts w:eastAsia="맑은 고딕" w:cs="Arial"/>
                <w:strike/>
                <w:sz w:val="26"/>
                <w:szCs w:val="26"/>
              </w:rPr>
            </w:pPr>
            <w:r>
              <w:rPr>
                <w:b/>
              </w:rPr>
              <w:t xml:space="preserve">Nepoužívejte </w:t>
            </w:r>
            <w:r w:rsidRPr="00D159C5">
              <w:t>předplněnou inj</w:t>
            </w:r>
            <w:r w:rsidR="00C71CAB">
              <w:t>e</w:t>
            </w:r>
            <w:r w:rsidRPr="00D159C5">
              <w:t>kční stříkačku, pokud doba použitelnosti již uplynula.</w:t>
            </w:r>
          </w:p>
          <w:p w14:paraId="1166FD61" w14:textId="77777777" w:rsidR="00AD7E70" w:rsidRDefault="00AD7E70" w:rsidP="008211C2">
            <w:pPr>
              <w:numPr>
                <w:ilvl w:val="0"/>
                <w:numId w:val="69"/>
              </w:numPr>
              <w:suppressAutoHyphens/>
              <w:autoSpaceDE/>
              <w:autoSpaceDN/>
              <w:ind w:left="1134" w:hanging="567"/>
              <w:rPr>
                <w:rFonts w:cs="Arial"/>
              </w:rPr>
            </w:pPr>
            <w:r>
              <w:rPr>
                <w:b/>
                <w:bCs/>
              </w:rPr>
              <w:t>Nepoužívejte</w:t>
            </w:r>
            <w:r w:rsidRPr="00D159C5">
              <w:t xml:space="preserve"> předplněnou injekční stříkačku, pokud krabička vypadá, že byla otevřena nebo poškozena, pokud otevíráte krabičku poprvé, zkontrolujte, zda je řádně uzavřena.</w:t>
            </w:r>
          </w:p>
          <w:p w14:paraId="62859FF4" w14:textId="77777777" w:rsidR="00AD7E70" w:rsidRPr="00124F43" w:rsidRDefault="00AD7E70" w:rsidP="00AD7E70"/>
        </w:tc>
      </w:tr>
      <w:tr w:rsidR="00B8592C" w:rsidRPr="00124F43" w14:paraId="60F2EC91" w14:textId="77777777">
        <w:trPr>
          <w:cantSplit/>
        </w:trPr>
        <w:tc>
          <w:tcPr>
            <w:tcW w:w="3539" w:type="dxa"/>
          </w:tcPr>
          <w:p w14:paraId="748E942E" w14:textId="3E90F072" w:rsidR="00AD7E70" w:rsidRDefault="00C301E6">
            <w:pPr>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58270" behindDoc="0" locked="1" layoutInCell="1" allowOverlap="1" wp14:anchorId="7BE64BF1" wp14:editId="78ADCCA6">
                      <wp:simplePos x="0" y="0"/>
                      <wp:positionH relativeFrom="column">
                        <wp:posOffset>1193800</wp:posOffset>
                      </wp:positionH>
                      <wp:positionV relativeFrom="page">
                        <wp:posOffset>1565910</wp:posOffset>
                      </wp:positionV>
                      <wp:extent cx="767080" cy="233680"/>
                      <wp:effectExtent l="0" t="0" r="0" b="0"/>
                      <wp:wrapNone/>
                      <wp:docPr id="1659650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33680"/>
                              </a:xfrm>
                              <a:prstGeom prst="rect">
                                <a:avLst/>
                              </a:prstGeom>
                              <a:noFill/>
                              <a:ln>
                                <a:noFill/>
                              </a:ln>
                            </wps:spPr>
                            <wps:txbx>
                              <w:txbxContent>
                                <w:p w14:paraId="67033208" w14:textId="6A64DBAA" w:rsidR="008013E1" w:rsidRPr="00D67FF9" w:rsidRDefault="004B7B8B" w:rsidP="003D3840">
                                  <w:pPr>
                                    <w:jc w:val="center"/>
                                    <w:rPr>
                                      <w:rFonts w:ascii="Arial" w:hAnsi="Arial" w:cs="Arial"/>
                                      <w:b/>
                                      <w:bCs/>
                                      <w:sz w:val="14"/>
                                      <w:szCs w:val="14"/>
                                    </w:rPr>
                                  </w:pPr>
                                  <w:r w:rsidRPr="004B7B8B">
                                    <w:rPr>
                                      <w:rFonts w:ascii="Arial" w:hAnsi="Arial" w:cs="Arial"/>
                                      <w:b/>
                                      <w:bCs/>
                                      <w:sz w:val="14"/>
                                      <w:szCs w:val="14"/>
                                    </w:rPr>
                                    <w:t>EXP: MM RRRR</w:t>
                                  </w:r>
                                </w:p>
                                <w:p w14:paraId="00A359BE" w14:textId="77777777" w:rsidR="008013E1" w:rsidRPr="00C4365B" w:rsidRDefault="008013E1" w:rsidP="003D3840">
                                  <w:pPr>
                                    <w:rPr>
                                      <w:rFonts w:ascii="Arial Narrow" w:hAnsi="Arial Narrow"/>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BE64BF1" id="Text Box 81" o:spid="_x0000_s1042" type="#_x0000_t202" style="position:absolute;left:0;text-align:left;margin-left:94pt;margin-top:123.3pt;width:60.4pt;height:18.4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" filled="f" stroked="f">
                      <v:textbox style="mso-fit-shape-to-text:t" inset="0,0,0,0">
                        <w:txbxContent>
                          <w:p w14:paraId="67033208" w14:textId="6A64DBAA" w:rsidR="008013E1" w:rsidRPr="00D67FF9" w:rsidRDefault="004B7B8B" w:rsidP="003D3840">
                            <w:pPr>
                              <w:jc w:val="center"/>
                              <w:rPr>
                                <w:rFonts w:ascii="Arial" w:hAnsi="Arial" w:cs="Arial"/>
                                <w:b/>
                                <w:bCs/>
                                <w:sz w:val="14"/>
                                <w:szCs w:val="14"/>
                              </w:rPr>
                            </w:pPr>
                            <w:r w:rsidRPr="004B7B8B">
                              <w:rPr>
                                <w:rFonts w:ascii="Arial" w:hAnsi="Arial" w:cs="Arial"/>
                                <w:b/>
                                <w:bCs/>
                                <w:sz w:val="14"/>
                                <w:szCs w:val="14"/>
                              </w:rPr>
                              <w:t>EXP: MM RRRR</w:t>
                            </w:r>
                          </w:p>
                          <w:p w14:paraId="00A359BE" w14:textId="77777777" w:rsidR="008013E1" w:rsidRPr="00C4365B" w:rsidRDefault="008013E1" w:rsidP="003D3840">
                            <w:pPr>
                              <w:rPr>
                                <w:rFonts w:ascii="Arial Narrow" w:hAnsi="Arial Narrow"/>
                                <w:b/>
                                <w:bCs/>
                                <w:sz w:val="18"/>
                                <w:szCs w:val="18"/>
                              </w:rPr>
                            </w:pPr>
                          </w:p>
                        </w:txbxContent>
                      </v:textbox>
                      <w10:wrap anchory="page"/>
                      <w10:anchorlock/>
                    </v:shape>
                  </w:pict>
                </mc:Fallback>
              </mc:AlternateContent>
            </w:r>
            <w:r>
              <w:rPr>
                <w:noProof/>
                <w:lang w:val="en-US" w:eastAsia="ko-KR"/>
              </w:rPr>
              <w:drawing>
                <wp:inline distT="0" distB="0" distL="0" distR="0" wp14:anchorId="210D6C5D" wp14:editId="14966BC4">
                  <wp:extent cx="2062480" cy="2552065"/>
                  <wp:effectExtent l="19050" t="19050" r="0" b="635"/>
                  <wp:docPr id="10" name="그림 4"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스케치, 그림, 공구, 상징이(가) 표시된 사진&#10;&#10;자동 생성된 설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2480" cy="2552065"/>
                          </a:xfrm>
                          <a:prstGeom prst="rect">
                            <a:avLst/>
                          </a:prstGeom>
                          <a:noFill/>
                          <a:ln w="9525" cmpd="sng">
                            <a:solidFill>
                              <a:srgbClr val="000000"/>
                            </a:solidFill>
                            <a:miter lim="800000"/>
                            <a:headEnd/>
                            <a:tailEnd/>
                          </a:ln>
                          <a:effectLst/>
                        </pic:spPr>
                      </pic:pic>
                    </a:graphicData>
                  </a:graphic>
                </wp:inline>
              </w:drawing>
            </w:r>
          </w:p>
          <w:p w14:paraId="1CD79D14" w14:textId="4B4BC78B" w:rsidR="00AD7E70" w:rsidRDefault="00AD7E70">
            <w:pPr>
              <w:suppressAutoHyphens/>
              <w:jc w:val="right"/>
              <w:rPr>
                <w:b/>
                <w:bCs/>
                <w:noProof/>
              </w:rPr>
            </w:pPr>
            <w:r>
              <w:rPr>
                <w:b/>
                <w:bCs/>
                <w:noProof/>
              </w:rPr>
              <w:t>obrázek D</w:t>
            </w:r>
          </w:p>
        </w:tc>
        <w:tc>
          <w:tcPr>
            <w:tcW w:w="5517" w:type="dxa"/>
          </w:tcPr>
          <w:p w14:paraId="4BB032FB" w14:textId="77777777" w:rsidR="00AD7E70" w:rsidRDefault="00AD7E70">
            <w:pPr>
              <w:pStyle w:val="a3"/>
              <w:numPr>
                <w:ilvl w:val="0"/>
                <w:numId w:val="71"/>
              </w:numPr>
              <w:suppressAutoHyphens/>
              <w:autoSpaceDE/>
              <w:autoSpaceDN/>
              <w:ind w:left="567" w:hanging="567"/>
              <w:rPr>
                <w:b/>
              </w:rPr>
            </w:pPr>
            <w:r>
              <w:rPr>
                <w:b/>
              </w:rPr>
              <w:t>Prohlédněte si předplněnou injekční stříkačku.</w:t>
            </w:r>
          </w:p>
          <w:p w14:paraId="41A0A5AB" w14:textId="77777777" w:rsidR="00AD7E70" w:rsidRDefault="00AD7E70">
            <w:pPr>
              <w:suppressAutoHyphens/>
              <w:ind w:left="567" w:hanging="567"/>
              <w:rPr>
                <w:bCs/>
              </w:rPr>
            </w:pPr>
          </w:p>
          <w:p w14:paraId="4B006CD5" w14:textId="77777777" w:rsidR="00AD7E70" w:rsidRDefault="00AD7E70" w:rsidP="008211C2">
            <w:pPr>
              <w:pStyle w:val="a3"/>
              <w:numPr>
                <w:ilvl w:val="0"/>
                <w:numId w:val="74"/>
              </w:numPr>
              <w:suppressAutoHyphens/>
              <w:autoSpaceDE/>
              <w:autoSpaceDN/>
              <w:ind w:left="567" w:hanging="567"/>
              <w:rPr>
                <w:bCs/>
              </w:rPr>
            </w:pPr>
            <w:r w:rsidRPr="00D159C5">
              <w:t>Otevřete krabičku a vyjměte z krabičky jednu jednodávkovou předplněnou injekční stříkačku. Vraťte všechny zbývající předplněné injekční stříkačky Avtozma v krabičce do chladničky.</w:t>
            </w:r>
          </w:p>
          <w:p w14:paraId="6A5C0DCE" w14:textId="77777777" w:rsidR="00AD7E70" w:rsidRDefault="00AD7E70">
            <w:pPr>
              <w:pStyle w:val="a3"/>
              <w:numPr>
                <w:ilvl w:val="0"/>
                <w:numId w:val="74"/>
              </w:numPr>
              <w:suppressAutoHyphens/>
              <w:autoSpaceDE/>
              <w:autoSpaceDN/>
              <w:ind w:left="567" w:hanging="567"/>
              <w:rPr>
                <w:bCs/>
              </w:rPr>
            </w:pPr>
            <w:r w:rsidRPr="00D159C5">
              <w:t xml:space="preserve">Zkontrolujte datum použitelnosti předplněné injekční stříkačky Avtozma (viz </w:t>
            </w:r>
            <w:r>
              <w:rPr>
                <w:b/>
                <w:bCs/>
              </w:rPr>
              <w:t>obrázek D</w:t>
            </w:r>
            <w:r w:rsidRPr="00D159C5">
              <w:t>).</w:t>
            </w:r>
          </w:p>
          <w:p w14:paraId="688A7D49" w14:textId="244F5AFD" w:rsidR="00AD7E70" w:rsidRPr="00D159C5" w:rsidRDefault="00AD7E70" w:rsidP="008211C2">
            <w:pPr>
              <w:pStyle w:val="a3"/>
              <w:numPr>
                <w:ilvl w:val="0"/>
                <w:numId w:val="70"/>
              </w:numPr>
              <w:suppressAutoHyphens/>
              <w:autoSpaceDE/>
              <w:autoSpaceDN/>
              <w:ind w:left="1134" w:hanging="567"/>
            </w:pPr>
            <w:r>
              <w:rPr>
                <w:b/>
              </w:rPr>
              <w:t xml:space="preserve">Nepoužívejte </w:t>
            </w:r>
            <w:r w:rsidRPr="00350A84">
              <w:t>předplněnou inj</w:t>
            </w:r>
            <w:r w:rsidR="00540DE1">
              <w:t>e</w:t>
            </w:r>
            <w:r w:rsidRPr="00350A84">
              <w:t>kční stříkačku, p</w:t>
            </w:r>
            <w:r w:rsidRPr="00D159C5">
              <w:t>okud doba použitelnosti již uplynula. Pokud datum použitelnosti už uplynulo, bezpečně zlikvidujte předplněnou injekční stříkačku v</w:t>
            </w:r>
            <w:r>
              <w:t xml:space="preserve"> odpadní </w:t>
            </w:r>
            <w:r w:rsidRPr="00D159C5">
              <w:t>nádobě na ostré předměty a vezměte si novou.</w:t>
            </w:r>
          </w:p>
          <w:p w14:paraId="23F5577A" w14:textId="77777777" w:rsidR="00AD7E70" w:rsidRDefault="00AD7E70">
            <w:pPr>
              <w:pStyle w:val="a3"/>
              <w:numPr>
                <w:ilvl w:val="0"/>
                <w:numId w:val="74"/>
              </w:numPr>
              <w:suppressAutoHyphens/>
              <w:autoSpaceDE/>
              <w:autoSpaceDN/>
              <w:ind w:left="567" w:hanging="567"/>
              <w:rPr>
                <w:bCs/>
              </w:rPr>
            </w:pPr>
            <w:r w:rsidRPr="00D159C5">
              <w:t xml:space="preserve">Zkontrolujte předplněnou injekční stříkačku, zda není poškozená a nevykazuje známky úniku </w:t>
            </w:r>
            <w:r>
              <w:t>tekutiny</w:t>
            </w:r>
            <w:r w:rsidRPr="00D159C5">
              <w:t>.</w:t>
            </w:r>
          </w:p>
          <w:p w14:paraId="1629A3C3" w14:textId="77777777" w:rsidR="00AD7E70" w:rsidRPr="00D159C5" w:rsidRDefault="00AD7E70" w:rsidP="008211C2">
            <w:pPr>
              <w:pStyle w:val="a3"/>
              <w:numPr>
                <w:ilvl w:val="0"/>
                <w:numId w:val="70"/>
              </w:numPr>
              <w:suppressAutoHyphens/>
              <w:autoSpaceDE/>
              <w:autoSpaceDN/>
              <w:ind w:left="1134" w:hanging="567"/>
            </w:pPr>
            <w:r>
              <w:rPr>
                <w:b/>
              </w:rPr>
              <w:t>Nepoužívejte</w:t>
            </w:r>
            <w:r w:rsidRPr="00D159C5">
              <w:t xml:space="preserve"> předplněnou injekční stříkačku, pokud spadla na zem, je poškozená nebo z ní uniká </w:t>
            </w:r>
            <w:r>
              <w:t>tekutina</w:t>
            </w:r>
            <w:r w:rsidRPr="00D159C5">
              <w:t>.</w:t>
            </w:r>
          </w:p>
          <w:p w14:paraId="5FDDF453" w14:textId="77777777" w:rsidR="00AD7E70" w:rsidRPr="00124F43" w:rsidRDefault="00AD7E70" w:rsidP="00AD7E70"/>
        </w:tc>
      </w:tr>
      <w:tr w:rsidR="00B8592C" w:rsidRPr="00124F43" w14:paraId="28D7BA3D" w14:textId="77777777">
        <w:trPr>
          <w:cantSplit/>
        </w:trPr>
        <w:tc>
          <w:tcPr>
            <w:tcW w:w="3539" w:type="dxa"/>
          </w:tcPr>
          <w:p w14:paraId="626A5D67" w14:textId="53E37782" w:rsidR="00AD7E70" w:rsidRPr="00C017D7" w:rsidRDefault="00C301E6">
            <w:pPr>
              <w:suppressAutoHyphens/>
              <w:rPr>
                <w:noProof/>
              </w:rPr>
            </w:pPr>
            <w:r>
              <w:rPr>
                <w:noProof/>
                <w:lang w:val="en-US" w:eastAsia="ko-KR"/>
              </w:rPr>
              <mc:AlternateContent>
                <mc:Choice Requires="wps">
                  <w:drawing>
                    <wp:anchor distT="45720" distB="45720" distL="114300" distR="114300" simplePos="0" relativeHeight="251658272" behindDoc="0" locked="1" layoutInCell="1" allowOverlap="1" wp14:anchorId="0FDD0C2D" wp14:editId="10B3918D">
                      <wp:simplePos x="0" y="0"/>
                      <wp:positionH relativeFrom="column">
                        <wp:posOffset>304800</wp:posOffset>
                      </wp:positionH>
                      <wp:positionV relativeFrom="page">
                        <wp:posOffset>389890</wp:posOffset>
                      </wp:positionV>
                      <wp:extent cx="767080" cy="489585"/>
                      <wp:effectExtent l="0" t="0" r="0" b="0"/>
                      <wp:wrapNone/>
                      <wp:docPr id="14560572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1359B6C8" w14:textId="3A4BF781" w:rsidR="008013E1" w:rsidRPr="00D67FF9" w:rsidRDefault="008013E1" w:rsidP="003D384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004B7B8B" w:rsidRPr="004B7B8B">
                                    <w:rPr>
                                      <w:rFonts w:ascii="Arial" w:hAnsi="Arial" w:cs="Arial"/>
                                      <w:b/>
                                      <w:bCs/>
                                      <w:sz w:val="24"/>
                                      <w:szCs w:val="24"/>
                                    </w:rPr>
                                    <w:t>minut</w:t>
                                  </w:r>
                                </w:p>
                                <w:p w14:paraId="73C5DF85" w14:textId="77777777" w:rsidR="008013E1" w:rsidRPr="00D67FF9" w:rsidRDefault="008013E1" w:rsidP="003D3840">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D0C2D" id="Text Box 79" o:spid="_x0000_s1043" type="#_x0000_t202" style="position:absolute;margin-left:24pt;margin-top:30.7pt;width:60.4pt;height:38.5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3+2wEAAJgDAAAOAAAAZHJzL2Uyb0RvYy54bWysU9tu2zAMfR+wfxD0vjgp1iY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" filled="f" stroked="f">
                      <v:textbox inset="0,0,0,0">
                        <w:txbxContent>
                          <w:p w14:paraId="1359B6C8" w14:textId="3A4BF781" w:rsidR="008013E1" w:rsidRPr="00D67FF9" w:rsidRDefault="008013E1" w:rsidP="003D384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004B7B8B" w:rsidRPr="004B7B8B">
                              <w:rPr>
                                <w:rFonts w:ascii="Arial" w:hAnsi="Arial" w:cs="Arial"/>
                                <w:b/>
                                <w:bCs/>
                                <w:sz w:val="24"/>
                                <w:szCs w:val="24"/>
                              </w:rPr>
                              <w:t>minut</w:t>
                            </w:r>
                          </w:p>
                          <w:p w14:paraId="73C5DF85" w14:textId="77777777" w:rsidR="008013E1" w:rsidRPr="00D67FF9" w:rsidRDefault="008013E1" w:rsidP="003D3840">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1" behindDoc="0" locked="1" layoutInCell="1" allowOverlap="1" wp14:anchorId="14F4A5F0" wp14:editId="3763D8F0">
                      <wp:simplePos x="0" y="0"/>
                      <wp:positionH relativeFrom="column">
                        <wp:posOffset>-1918970</wp:posOffset>
                      </wp:positionH>
                      <wp:positionV relativeFrom="page">
                        <wp:posOffset>446405</wp:posOffset>
                      </wp:positionV>
                      <wp:extent cx="767080" cy="489585"/>
                      <wp:effectExtent l="0" t="0" r="0" b="0"/>
                      <wp:wrapNone/>
                      <wp:docPr id="185584198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37407364" w14:textId="77777777" w:rsidR="008013E1" w:rsidRPr="00D67FF9" w:rsidRDefault="008013E1" w:rsidP="003D384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3E97A017" w14:textId="77777777" w:rsidR="008013E1" w:rsidRPr="00D67FF9" w:rsidRDefault="008013E1" w:rsidP="003D3840">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4A5F0" id="Text Box 77" o:spid="_x0000_s1044" type="#_x0000_t202" style="position:absolute;margin-left:-151.1pt;margin-top:35.15pt;width:60.4pt;height:38.5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37407364" w14:textId="77777777" w:rsidR="008013E1" w:rsidRPr="00D67FF9" w:rsidRDefault="008013E1" w:rsidP="003D384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3E97A017" w14:textId="77777777" w:rsidR="008013E1" w:rsidRPr="00D67FF9" w:rsidRDefault="008013E1" w:rsidP="003D3840">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2AA8ADB5" wp14:editId="7C305CC1">
                  <wp:extent cx="2073275" cy="2552065"/>
                  <wp:effectExtent l="19050" t="19050" r="3175" b="635"/>
                  <wp:docPr id="11" name="그림 3"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공구, 시계, 일러스트레이션, 디자인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258E1362" w14:textId="481012ED" w:rsidR="00AD7E70" w:rsidRDefault="00AD7E70">
            <w:pPr>
              <w:suppressAutoHyphens/>
              <w:jc w:val="right"/>
              <w:rPr>
                <w:b/>
                <w:bCs/>
                <w:noProof/>
              </w:rPr>
            </w:pPr>
            <w:r>
              <w:rPr>
                <w:b/>
                <w:bCs/>
                <w:noProof/>
              </w:rPr>
              <w:t xml:space="preserve">obrázek </w:t>
            </w:r>
            <w:r w:rsidR="00CE6CEA">
              <w:rPr>
                <w:b/>
                <w:bCs/>
                <w:noProof/>
              </w:rPr>
              <w:t>E</w:t>
            </w:r>
          </w:p>
        </w:tc>
        <w:tc>
          <w:tcPr>
            <w:tcW w:w="5517" w:type="dxa"/>
          </w:tcPr>
          <w:p w14:paraId="15B2A296" w14:textId="77777777" w:rsidR="00AD7E70" w:rsidRDefault="00AD7E70">
            <w:pPr>
              <w:pStyle w:val="a3"/>
              <w:numPr>
                <w:ilvl w:val="0"/>
                <w:numId w:val="71"/>
              </w:numPr>
              <w:suppressAutoHyphens/>
              <w:autoSpaceDE/>
              <w:autoSpaceDN/>
              <w:ind w:left="567" w:hanging="567"/>
              <w:rPr>
                <w:b/>
              </w:rPr>
            </w:pPr>
            <w:r>
              <w:rPr>
                <w:b/>
              </w:rPr>
              <w:t>Počkejte 30 minut.</w:t>
            </w:r>
          </w:p>
          <w:p w14:paraId="01140A4B" w14:textId="77777777" w:rsidR="00AD7E70" w:rsidRPr="00D159C5" w:rsidRDefault="00AD7E70">
            <w:pPr>
              <w:suppressAutoHyphens/>
              <w:ind w:left="567" w:hanging="567"/>
              <w:rPr>
                <w:noProof/>
              </w:rPr>
            </w:pPr>
          </w:p>
          <w:p w14:paraId="78DBA2C1" w14:textId="5C585044" w:rsidR="00AD7E70" w:rsidRDefault="00AD7E70">
            <w:pPr>
              <w:pStyle w:val="a3"/>
              <w:numPr>
                <w:ilvl w:val="0"/>
                <w:numId w:val="75"/>
              </w:numPr>
              <w:suppressAutoHyphens/>
              <w:autoSpaceDE/>
              <w:autoSpaceDN/>
              <w:ind w:left="567" w:hanging="567"/>
              <w:rPr>
                <w:rFonts w:eastAsia="SimSun"/>
                <w:noProof/>
              </w:rPr>
            </w:pPr>
            <w:r w:rsidRPr="00D159C5">
              <w:t xml:space="preserve">Ponechte předplněnou injekční stříkačku mimo krabičku při pokojové teplotě </w:t>
            </w:r>
            <w:r w:rsidR="00F86246">
              <w:rPr>
                <w:rFonts w:eastAsia="맑은 고딕" w:hint="eastAsia"/>
                <w:lang w:eastAsia="ko-KR"/>
              </w:rPr>
              <w:t>18</w:t>
            </w:r>
            <w:r w:rsidR="00F86246" w:rsidRPr="00D159C5">
              <w:t xml:space="preserve"> </w:t>
            </w:r>
            <w:r w:rsidRPr="00D159C5">
              <w:t xml:space="preserve">°C až </w:t>
            </w:r>
            <w:r w:rsidR="00F86246" w:rsidRPr="00D159C5">
              <w:t>2</w:t>
            </w:r>
            <w:r w:rsidR="00F86246">
              <w:rPr>
                <w:rFonts w:eastAsia="맑은 고딕" w:hint="eastAsia"/>
                <w:lang w:eastAsia="ko-KR"/>
              </w:rPr>
              <w:t>8</w:t>
            </w:r>
            <w:r w:rsidR="00F86246" w:rsidRPr="00D159C5">
              <w:t xml:space="preserve"> </w:t>
            </w:r>
            <w:r w:rsidRPr="00D159C5">
              <w:t>°C po dobu 30 minut, aby se zahřál</w:t>
            </w:r>
            <w:r>
              <w:t>a</w:t>
            </w:r>
            <w:r w:rsidRPr="00D159C5">
              <w:t xml:space="preserve"> (viz </w:t>
            </w:r>
            <w:r>
              <w:rPr>
                <w:b/>
              </w:rPr>
              <w:t>obrázek E</w:t>
            </w:r>
            <w:r w:rsidRPr="00D159C5">
              <w:t>).</w:t>
            </w:r>
          </w:p>
          <w:p w14:paraId="1CFFB935" w14:textId="77777777" w:rsidR="00AD7E70" w:rsidRDefault="00AD7E70">
            <w:pPr>
              <w:pStyle w:val="a3"/>
              <w:numPr>
                <w:ilvl w:val="0"/>
                <w:numId w:val="70"/>
              </w:numPr>
              <w:suppressAutoHyphens/>
              <w:autoSpaceDE/>
              <w:autoSpaceDN/>
              <w:ind w:left="1134" w:hanging="567"/>
              <w:rPr>
                <w:rFonts w:eastAsia="SimSun"/>
                <w:noProof/>
              </w:rPr>
            </w:pPr>
            <w:r>
              <w:rPr>
                <w:b/>
              </w:rPr>
              <w:t>Nezahřívejte</w:t>
            </w:r>
            <w:r w:rsidRPr="00D159C5">
              <w:t xml:space="preserve"> předplněnou injekční stříkačku pomocí zdrojů tepla, jako je horká voda nebo mikrovlnná trouba.</w:t>
            </w:r>
          </w:p>
          <w:p w14:paraId="1970E545" w14:textId="77777777" w:rsidR="00AD7E70" w:rsidRDefault="00AD7E70">
            <w:pPr>
              <w:pStyle w:val="a3"/>
              <w:numPr>
                <w:ilvl w:val="0"/>
                <w:numId w:val="70"/>
              </w:numPr>
              <w:suppressAutoHyphens/>
              <w:autoSpaceDE/>
              <w:autoSpaceDN/>
              <w:ind w:left="1134" w:hanging="567"/>
              <w:rPr>
                <w:rFonts w:eastAsia="SimSun"/>
                <w:noProof/>
              </w:rPr>
            </w:pPr>
            <w:r>
              <w:rPr>
                <w:b/>
                <w:bCs/>
              </w:rPr>
              <w:t xml:space="preserve">Nenechávejte </w:t>
            </w:r>
            <w:r w:rsidRPr="00D159C5">
              <w:t>předplněnou injekční stříkačku na přímém slunečním světle.</w:t>
            </w:r>
          </w:p>
          <w:p w14:paraId="1B1858B1" w14:textId="77777777" w:rsidR="00AD7E70" w:rsidRDefault="00AD7E70">
            <w:pPr>
              <w:pStyle w:val="a3"/>
              <w:numPr>
                <w:ilvl w:val="0"/>
                <w:numId w:val="70"/>
              </w:numPr>
              <w:suppressAutoHyphens/>
              <w:autoSpaceDE/>
              <w:autoSpaceDN/>
              <w:ind w:left="1134" w:hanging="567"/>
              <w:rPr>
                <w:rFonts w:eastAsia="SimSun"/>
                <w:noProof/>
              </w:rPr>
            </w:pPr>
            <w:r w:rsidRPr="00D159C5">
              <w:t xml:space="preserve">Zatímco se předplněná injekční stříkačka otepluje na pokojovou teplotu, </w:t>
            </w:r>
            <w:r>
              <w:rPr>
                <w:b/>
                <w:bCs/>
              </w:rPr>
              <w:t>neodstraňujte</w:t>
            </w:r>
            <w:r w:rsidRPr="00D159C5">
              <w:t xml:space="preserve"> kryt.</w:t>
            </w:r>
          </w:p>
          <w:p w14:paraId="100F42DD" w14:textId="77777777" w:rsidR="00AD7E70" w:rsidRDefault="00AD7E70">
            <w:pPr>
              <w:pStyle w:val="a3"/>
              <w:numPr>
                <w:ilvl w:val="0"/>
                <w:numId w:val="70"/>
              </w:numPr>
              <w:suppressAutoHyphens/>
              <w:autoSpaceDE/>
              <w:autoSpaceDN/>
              <w:ind w:left="1134" w:hanging="567"/>
              <w:rPr>
                <w:rFonts w:eastAsia="SimSun"/>
                <w:noProof/>
              </w:rPr>
            </w:pPr>
            <w:r w:rsidRPr="00D159C5">
              <w:t>Pokud předplněná injekční stříkačka nedosáhne pokojové teploty, mohlo by to způsobit nepříjemné pocity a ztížit stisknutí pístu.</w:t>
            </w:r>
          </w:p>
          <w:p w14:paraId="1E75D0CB" w14:textId="77777777" w:rsidR="00AD7E70" w:rsidRPr="002B25A8" w:rsidRDefault="00AD7E70" w:rsidP="00AD7E70"/>
        </w:tc>
      </w:tr>
      <w:tr w:rsidR="00B8592C" w:rsidRPr="00124F43" w14:paraId="23C1601F" w14:textId="77777777">
        <w:trPr>
          <w:cantSplit/>
        </w:trPr>
        <w:tc>
          <w:tcPr>
            <w:tcW w:w="3539" w:type="dxa"/>
          </w:tcPr>
          <w:p w14:paraId="77107C5D" w14:textId="10B0416F" w:rsidR="00AD7E70" w:rsidRDefault="00C301E6">
            <w:pPr>
              <w:suppressAutoHyphens/>
              <w:rPr>
                <w:noProof/>
              </w:rPr>
            </w:pPr>
            <w:r>
              <w:rPr>
                <w:noProof/>
                <w:lang w:val="en-US" w:eastAsia="ko-KR"/>
              </w:rPr>
              <w:drawing>
                <wp:inline distT="0" distB="0" distL="0" distR="0" wp14:anchorId="028D7C20" wp14:editId="2D64D79C">
                  <wp:extent cx="2073275" cy="2583815"/>
                  <wp:effectExtent l="19050" t="19050" r="3175" b="6985"/>
                  <wp:docPr id="12"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3275" cy="2583815"/>
                          </a:xfrm>
                          <a:prstGeom prst="rect">
                            <a:avLst/>
                          </a:prstGeom>
                          <a:noFill/>
                          <a:ln w="9525" cmpd="sng">
                            <a:solidFill>
                              <a:srgbClr val="000000"/>
                            </a:solidFill>
                            <a:miter lim="800000"/>
                            <a:headEnd/>
                            <a:tailEnd/>
                          </a:ln>
                          <a:effectLst/>
                        </pic:spPr>
                      </pic:pic>
                    </a:graphicData>
                  </a:graphic>
                </wp:inline>
              </w:drawing>
            </w:r>
          </w:p>
          <w:p w14:paraId="4E80038E" w14:textId="1C59E7C6" w:rsidR="00AD7E70" w:rsidRDefault="00AD7E70">
            <w:pPr>
              <w:suppressAutoHyphens/>
              <w:jc w:val="right"/>
              <w:rPr>
                <w:b/>
                <w:bCs/>
                <w:noProof/>
              </w:rPr>
            </w:pPr>
            <w:r>
              <w:rPr>
                <w:b/>
                <w:bCs/>
                <w:noProof/>
              </w:rPr>
              <w:t xml:space="preserve">obrázek </w:t>
            </w:r>
            <w:r w:rsidR="00CE6CEA">
              <w:rPr>
                <w:b/>
                <w:bCs/>
                <w:noProof/>
              </w:rPr>
              <w:t>F</w:t>
            </w:r>
          </w:p>
        </w:tc>
        <w:tc>
          <w:tcPr>
            <w:tcW w:w="5517" w:type="dxa"/>
          </w:tcPr>
          <w:p w14:paraId="59158260" w14:textId="77777777" w:rsidR="00AD7E70" w:rsidRDefault="00AD7E70">
            <w:pPr>
              <w:pStyle w:val="a3"/>
              <w:numPr>
                <w:ilvl w:val="0"/>
                <w:numId w:val="71"/>
              </w:numPr>
              <w:suppressAutoHyphens/>
              <w:autoSpaceDE/>
              <w:autoSpaceDN/>
              <w:ind w:left="567" w:hanging="567"/>
              <w:rPr>
                <w:b/>
              </w:rPr>
            </w:pPr>
            <w:r>
              <w:rPr>
                <w:b/>
              </w:rPr>
              <w:t>Zkontrolujte léčivý přípravek.</w:t>
            </w:r>
          </w:p>
          <w:p w14:paraId="29378E9E" w14:textId="77777777" w:rsidR="00AD7E70" w:rsidRPr="00D159C5" w:rsidRDefault="00AD7E70">
            <w:pPr>
              <w:suppressAutoHyphens/>
              <w:ind w:left="567" w:hanging="567"/>
              <w:rPr>
                <w:noProof/>
              </w:rPr>
            </w:pPr>
          </w:p>
          <w:p w14:paraId="536712E6" w14:textId="77777777" w:rsidR="00AD7E70" w:rsidRDefault="00AD7E70">
            <w:pPr>
              <w:pStyle w:val="a3"/>
              <w:numPr>
                <w:ilvl w:val="0"/>
                <w:numId w:val="76"/>
              </w:numPr>
              <w:suppressAutoHyphens/>
              <w:autoSpaceDE/>
              <w:autoSpaceDN/>
              <w:ind w:left="567" w:hanging="567"/>
              <w:rPr>
                <w:rFonts w:eastAsia="SimSun"/>
                <w:noProof/>
              </w:rPr>
            </w:pPr>
            <w:r w:rsidRPr="00D159C5">
              <w:t>Držte přípravek Avtozma s krytem směřujícím dolů.</w:t>
            </w:r>
          </w:p>
          <w:p w14:paraId="344CD0AE" w14:textId="24948F6F" w:rsidR="00AD7E70" w:rsidRDefault="00AD7E70">
            <w:pPr>
              <w:pStyle w:val="a3"/>
              <w:numPr>
                <w:ilvl w:val="0"/>
                <w:numId w:val="76"/>
              </w:numPr>
              <w:suppressAutoHyphens/>
              <w:autoSpaceDE/>
              <w:autoSpaceDN/>
              <w:ind w:left="567" w:hanging="567"/>
              <w:rPr>
                <w:rFonts w:eastAsia="SimSun"/>
                <w:noProof/>
              </w:rPr>
            </w:pPr>
            <w:r w:rsidRPr="00D159C5">
              <w:t>Prohlédněte si léčivý přípravek a ujistěte se, že je ro</w:t>
            </w:r>
            <w:r w:rsidR="000B3194">
              <w:t>ztok čirý, bezbarvý až slabě žl</w:t>
            </w:r>
            <w:r w:rsidRPr="00D159C5">
              <w:t xml:space="preserve">utý a neobsahuje žádné částice ani šupinky (viz </w:t>
            </w:r>
            <w:r>
              <w:rPr>
                <w:b/>
              </w:rPr>
              <w:t>obrázek F</w:t>
            </w:r>
            <w:r w:rsidRPr="00D159C5">
              <w:t>).</w:t>
            </w:r>
          </w:p>
          <w:p w14:paraId="01EE75DC" w14:textId="77777777" w:rsidR="00AD7E70" w:rsidRDefault="00AD7E70">
            <w:pPr>
              <w:pStyle w:val="a3"/>
              <w:numPr>
                <w:ilvl w:val="0"/>
                <w:numId w:val="70"/>
              </w:numPr>
              <w:suppressAutoHyphens/>
              <w:autoSpaceDE/>
              <w:autoSpaceDN/>
              <w:ind w:left="1134" w:hanging="567"/>
              <w:rPr>
                <w:rFonts w:eastAsia="SimSun"/>
                <w:noProof/>
              </w:rPr>
            </w:pPr>
            <w:r>
              <w:rPr>
                <w:b/>
                <w:bCs/>
              </w:rPr>
              <w:t>Nepoužívejte</w:t>
            </w:r>
            <w:r w:rsidRPr="00D159C5">
              <w:t xml:space="preserve"> předplněnou injekční stříkačku, pokud je roztok odlišně zabarvený, zakalený nebo obsahuje částice či šupinky. Předplněnou injekční stříkačku bezpečně zlikvidujte v</w:t>
            </w:r>
            <w:r>
              <w:t xml:space="preserve"> odpadní </w:t>
            </w:r>
            <w:r w:rsidRPr="00D159C5">
              <w:t>nádobě na ostré předměty a použijte nov</w:t>
            </w:r>
            <w:r>
              <w:t>ou</w:t>
            </w:r>
            <w:r w:rsidRPr="00D159C5">
              <w:t>.</w:t>
            </w:r>
          </w:p>
          <w:p w14:paraId="342C39D0" w14:textId="77777777" w:rsidR="00AD7E70" w:rsidRDefault="00AD7E70">
            <w:pPr>
              <w:pStyle w:val="a3"/>
              <w:numPr>
                <w:ilvl w:val="0"/>
                <w:numId w:val="70"/>
              </w:numPr>
              <w:suppressAutoHyphens/>
              <w:autoSpaceDE/>
              <w:autoSpaceDN/>
              <w:ind w:left="1134" w:hanging="567"/>
              <w:rPr>
                <w:rFonts w:eastAsia="SimSun"/>
                <w:noProof/>
              </w:rPr>
            </w:pPr>
            <w:r w:rsidRPr="00D159C5">
              <w:t>Vzduchové bubliny jsou normální.</w:t>
            </w:r>
          </w:p>
          <w:p w14:paraId="69E22564" w14:textId="77777777" w:rsidR="00AD7E70" w:rsidRPr="000821BB" w:rsidRDefault="00AD7E70" w:rsidP="00AD7E70"/>
        </w:tc>
      </w:tr>
      <w:tr w:rsidR="00B8592C" w:rsidRPr="00124F43" w14:paraId="7B37F26B" w14:textId="77777777">
        <w:trPr>
          <w:cantSplit/>
        </w:trPr>
        <w:tc>
          <w:tcPr>
            <w:tcW w:w="3539" w:type="dxa"/>
          </w:tcPr>
          <w:p w14:paraId="4C91433A" w14:textId="250C6247" w:rsidR="00AD7E70" w:rsidRDefault="00C301E6">
            <w:pPr>
              <w:suppressAutoHyphens/>
              <w:rPr>
                <w:noProof/>
              </w:rPr>
            </w:pPr>
            <w:r>
              <w:rPr>
                <w:noProof/>
                <w:lang w:val="en-US" w:eastAsia="ko-KR"/>
              </w:rPr>
              <w:lastRenderedPageBreak/>
              <w:drawing>
                <wp:inline distT="0" distB="0" distL="0" distR="0" wp14:anchorId="11ABE3F4" wp14:editId="257F7085">
                  <wp:extent cx="2084070" cy="2552065"/>
                  <wp:effectExtent l="19050" t="19050" r="0" b="635"/>
                  <wp:docPr id="13"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070" cy="2552065"/>
                          </a:xfrm>
                          <a:prstGeom prst="rect">
                            <a:avLst/>
                          </a:prstGeom>
                          <a:noFill/>
                          <a:ln w="9525" cmpd="sng">
                            <a:solidFill>
                              <a:srgbClr val="000000"/>
                            </a:solidFill>
                            <a:miter lim="800000"/>
                            <a:headEnd/>
                            <a:tailEnd/>
                          </a:ln>
                          <a:effectLst/>
                        </pic:spPr>
                      </pic:pic>
                    </a:graphicData>
                  </a:graphic>
                </wp:inline>
              </w:drawing>
            </w:r>
          </w:p>
          <w:p w14:paraId="7BCCEA39" w14:textId="1249D8B4" w:rsidR="00AD7E70" w:rsidRDefault="00AD7E70">
            <w:pPr>
              <w:suppressAutoHyphens/>
              <w:jc w:val="right"/>
              <w:rPr>
                <w:b/>
                <w:bCs/>
                <w:noProof/>
              </w:rPr>
            </w:pPr>
            <w:r>
              <w:rPr>
                <w:b/>
                <w:bCs/>
                <w:noProof/>
              </w:rPr>
              <w:t>obrázek G</w:t>
            </w:r>
          </w:p>
        </w:tc>
        <w:tc>
          <w:tcPr>
            <w:tcW w:w="5517" w:type="dxa"/>
          </w:tcPr>
          <w:p w14:paraId="414B03C2" w14:textId="77777777" w:rsidR="00AD7E70" w:rsidRDefault="00AD7E70">
            <w:pPr>
              <w:pStyle w:val="a3"/>
              <w:numPr>
                <w:ilvl w:val="0"/>
                <w:numId w:val="71"/>
              </w:numPr>
              <w:suppressAutoHyphens/>
              <w:autoSpaceDE/>
              <w:autoSpaceDN/>
              <w:ind w:left="567" w:hanging="567"/>
              <w:rPr>
                <w:b/>
              </w:rPr>
            </w:pPr>
            <w:r>
              <w:rPr>
                <w:b/>
              </w:rPr>
              <w:t>Umyjte si ruce.</w:t>
            </w:r>
          </w:p>
          <w:p w14:paraId="75DBFAD9" w14:textId="77777777" w:rsidR="00AD7E70" w:rsidRPr="00D159C5" w:rsidRDefault="00AD7E70">
            <w:pPr>
              <w:suppressAutoHyphens/>
              <w:ind w:left="567" w:hanging="567"/>
              <w:rPr>
                <w:noProof/>
              </w:rPr>
            </w:pPr>
          </w:p>
          <w:p w14:paraId="13333AB7" w14:textId="77777777" w:rsidR="00AD7E70" w:rsidRDefault="00AD7E70">
            <w:pPr>
              <w:pStyle w:val="a3"/>
              <w:numPr>
                <w:ilvl w:val="0"/>
                <w:numId w:val="77"/>
              </w:numPr>
              <w:suppressAutoHyphens/>
              <w:autoSpaceDE/>
              <w:autoSpaceDN/>
              <w:ind w:left="567" w:hanging="567"/>
              <w:rPr>
                <w:rFonts w:eastAsia="SimSun"/>
                <w:noProof/>
              </w:rPr>
            </w:pPr>
            <w:r w:rsidRPr="00D159C5">
              <w:t>Umyjte si ruce vodou a mýdlem a důkladně je osušte (viz o</w:t>
            </w:r>
            <w:r>
              <w:rPr>
                <w:b/>
              </w:rPr>
              <w:t>brázek G</w:t>
            </w:r>
            <w:r w:rsidRPr="00D159C5">
              <w:t>).</w:t>
            </w:r>
          </w:p>
          <w:p w14:paraId="792428A3" w14:textId="77777777" w:rsidR="00AD7E70" w:rsidRPr="000821BB" w:rsidRDefault="00AD7E70" w:rsidP="00AD7E70"/>
        </w:tc>
      </w:tr>
      <w:tr w:rsidR="00B8592C" w:rsidRPr="00124F43" w14:paraId="08CD8540" w14:textId="77777777">
        <w:trPr>
          <w:cantSplit/>
        </w:trPr>
        <w:tc>
          <w:tcPr>
            <w:tcW w:w="3539" w:type="dxa"/>
          </w:tcPr>
          <w:p w14:paraId="2C5BE0CB" w14:textId="68E8497A" w:rsidR="00AD7E70" w:rsidRDefault="00C301E6">
            <w:pPr>
              <w:suppressAutoHyphens/>
              <w:rPr>
                <w:noProof/>
              </w:rPr>
            </w:pPr>
            <w:r>
              <w:rPr>
                <w:noProof/>
                <w:lang w:val="en-US" w:eastAsia="ko-KR"/>
              </w:rPr>
              <w:drawing>
                <wp:inline distT="0" distB="0" distL="0" distR="0" wp14:anchorId="4CA5D4E6" wp14:editId="0250981D">
                  <wp:extent cx="2084070" cy="3348990"/>
                  <wp:effectExtent l="19050" t="19050" r="0" b="3810"/>
                  <wp:docPr id="14"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자동 생성된 설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4070" cy="3348990"/>
                          </a:xfrm>
                          <a:prstGeom prst="rect">
                            <a:avLst/>
                          </a:prstGeom>
                          <a:noFill/>
                          <a:ln w="9525" cmpd="sng">
                            <a:solidFill>
                              <a:srgbClr val="000000"/>
                            </a:solidFill>
                            <a:miter lim="800000"/>
                            <a:headEnd/>
                            <a:tailEnd/>
                          </a:ln>
                          <a:effectLst/>
                        </pic:spPr>
                      </pic:pic>
                    </a:graphicData>
                  </a:graphic>
                </wp:inline>
              </w:drawing>
            </w:r>
          </w:p>
          <w:p w14:paraId="5BCB9134" w14:textId="3469BF9B" w:rsidR="00AD7E70" w:rsidRDefault="00C301E6">
            <w:pPr>
              <w:suppressAutoHyphens/>
              <w:jc w:val="right"/>
              <w:rPr>
                <w:b/>
                <w:bCs/>
                <w:noProof/>
              </w:rPr>
            </w:pPr>
            <w:r>
              <w:rPr>
                <w:noProof/>
                <w:lang w:val="en-US" w:eastAsia="ko-KR"/>
              </w:rPr>
              <mc:AlternateContent>
                <mc:Choice Requires="wps">
                  <w:drawing>
                    <wp:anchor distT="45720" distB="45720" distL="114300" distR="114300" simplePos="0" relativeHeight="251658273" behindDoc="0" locked="1" layoutInCell="1" allowOverlap="1" wp14:anchorId="5E37241F" wp14:editId="02168144">
                      <wp:simplePos x="0" y="0"/>
                      <wp:positionH relativeFrom="column">
                        <wp:posOffset>574675</wp:posOffset>
                      </wp:positionH>
                      <wp:positionV relativeFrom="page">
                        <wp:posOffset>2891155</wp:posOffset>
                      </wp:positionV>
                      <wp:extent cx="1486535" cy="434975"/>
                      <wp:effectExtent l="0" t="0" r="0" b="0"/>
                      <wp:wrapNone/>
                      <wp:docPr id="3583314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34975"/>
                              </a:xfrm>
                              <a:prstGeom prst="rect">
                                <a:avLst/>
                              </a:prstGeom>
                              <a:noFill/>
                              <a:ln>
                                <a:noFill/>
                              </a:ln>
                            </wps:spPr>
                            <wps:txbx>
                              <w:txbxContent>
                                <w:p w14:paraId="10FE1D5A" w14:textId="37D798F6" w:rsidR="008013E1" w:rsidRPr="00B93217" w:rsidRDefault="00CF45B3" w:rsidP="003D3840">
                                  <w:pPr>
                                    <w:rPr>
                                      <w:rFonts w:ascii="Arial" w:hAnsi="Arial" w:cs="Arial"/>
                                      <w:b/>
                                      <w:bCs/>
                                      <w:sz w:val="20"/>
                                      <w:szCs w:val="20"/>
                                    </w:rPr>
                                  </w:pPr>
                                  <w:r>
                                    <w:rPr>
                                      <w:rFonts w:ascii="Arial" w:eastAsia="맑은 고딕" w:hAnsi="Arial" w:cs="Arial" w:hint="eastAsia"/>
                                      <w:b/>
                                      <w:bCs/>
                                      <w:sz w:val="20"/>
                                      <w:szCs w:val="20"/>
                                      <w:lang w:eastAsia="ko-KR"/>
                                    </w:rPr>
                                    <w:t>S</w:t>
                                  </w:r>
                                  <w:r w:rsidR="002F1C9A" w:rsidRPr="002F1C9A">
                                    <w:rPr>
                                      <w:rFonts w:ascii="Arial" w:hAnsi="Arial" w:cs="Arial"/>
                                      <w:b/>
                                      <w:bCs/>
                                      <w:sz w:val="20"/>
                                      <w:szCs w:val="20"/>
                                    </w:rPr>
                                    <w:t>amopodání</w:t>
                                  </w:r>
                                  <w:r w:rsidR="00C222BB" w:rsidRPr="00B93217">
                                    <w:rPr>
                                      <w:rFonts w:ascii="Arial" w:hAnsi="Arial" w:cs="Arial"/>
                                      <w:b/>
                                      <w:bCs/>
                                      <w:sz w:val="20"/>
                                      <w:szCs w:val="20"/>
                                    </w:rPr>
                                    <w:t>, ošetřovatel a zdravotnický pracovník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7241F" id="Text Box 75" o:spid="_x0000_s1045" type="#_x0000_t202" style="position:absolute;left:0;text-align:left;margin-left:45.25pt;margin-top:227.65pt;width:117.05pt;height:34.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" filled="f" stroked="f">
                      <v:textbox inset="0,0,0,0">
                        <w:txbxContent>
                          <w:p w14:paraId="10FE1D5A" w14:textId="37D798F6" w:rsidR="008013E1" w:rsidRPr="00B93217" w:rsidRDefault="00CF45B3" w:rsidP="003D3840">
                            <w:pPr>
                              <w:rPr>
                                <w:rFonts w:ascii="Arial" w:hAnsi="Arial" w:cs="Arial"/>
                                <w:b/>
                                <w:bCs/>
                                <w:sz w:val="20"/>
                                <w:szCs w:val="20"/>
                              </w:rPr>
                            </w:pPr>
                            <w:r>
                              <w:rPr>
                                <w:rFonts w:ascii="Arial" w:eastAsia="맑은 고딕" w:hAnsi="Arial" w:cs="Arial" w:hint="eastAsia"/>
                                <w:b/>
                                <w:bCs/>
                                <w:sz w:val="20"/>
                                <w:szCs w:val="20"/>
                                <w:lang w:eastAsia="ko-KR"/>
                              </w:rPr>
                              <w:t>S</w:t>
                            </w:r>
                            <w:r w:rsidR="002F1C9A" w:rsidRPr="002F1C9A">
                              <w:rPr>
                                <w:rFonts w:ascii="Arial" w:hAnsi="Arial" w:cs="Arial"/>
                                <w:b/>
                                <w:bCs/>
                                <w:sz w:val="20"/>
                                <w:szCs w:val="20"/>
                              </w:rPr>
                              <w:t>amopodání</w:t>
                            </w:r>
                            <w:r w:rsidR="00C222BB" w:rsidRPr="00B93217">
                              <w:rPr>
                                <w:rFonts w:ascii="Arial" w:hAnsi="Arial" w:cs="Arial"/>
                                <w:b/>
                                <w:bCs/>
                                <w:sz w:val="20"/>
                                <w:szCs w:val="20"/>
                              </w:rPr>
                              <w:t>, ošetřovatel a zdravotnický pracovník</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4" behindDoc="0" locked="1" layoutInCell="1" allowOverlap="1" wp14:anchorId="3FD5D727" wp14:editId="35B75C05">
                      <wp:simplePos x="0" y="0"/>
                      <wp:positionH relativeFrom="column">
                        <wp:posOffset>573405</wp:posOffset>
                      </wp:positionH>
                      <wp:positionV relativeFrom="page">
                        <wp:posOffset>2419985</wp:posOffset>
                      </wp:positionV>
                      <wp:extent cx="1487805" cy="610870"/>
                      <wp:effectExtent l="0" t="0" r="0" b="0"/>
                      <wp:wrapNone/>
                      <wp:docPr id="18610098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610870"/>
                              </a:xfrm>
                              <a:prstGeom prst="rect">
                                <a:avLst/>
                              </a:prstGeom>
                              <a:noFill/>
                              <a:ln>
                                <a:noFill/>
                              </a:ln>
                            </wps:spPr>
                            <wps:txbx>
                              <w:txbxContent>
                                <w:p w14:paraId="23D4978C" w14:textId="6513E936" w:rsidR="008013E1" w:rsidRPr="00B93217" w:rsidRDefault="00C222BB" w:rsidP="003D3840">
                                  <w:pPr>
                                    <w:rPr>
                                      <w:rFonts w:ascii="Arial" w:hAnsi="Arial" w:cs="Arial"/>
                                      <w:b/>
                                      <w:bCs/>
                                      <w:sz w:val="20"/>
                                      <w:szCs w:val="20"/>
                                    </w:rPr>
                                  </w:pPr>
                                  <w:r w:rsidRPr="00B93217">
                                    <w:rPr>
                                      <w:rFonts w:ascii="Arial" w:hAnsi="Arial" w:cs="Arial"/>
                                      <w:b/>
                                      <w:bCs/>
                                      <w:sz w:val="20"/>
                                      <w:szCs w:val="20"/>
                                    </w:rPr>
                                    <w:t xml:space="preserve">VÝHRADNĚ ošetřovatel a zdravotnický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5D727" id="Text Box 73" o:spid="_x0000_s1046" type="#_x0000_t202" style="position:absolute;left:0;text-align:left;margin-left:45.15pt;margin-top:190.55pt;width:117.15pt;height:48.1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" filled="f" stroked="f">
                      <v:textbox inset="0,0,0,0">
                        <w:txbxContent>
                          <w:p w14:paraId="23D4978C" w14:textId="6513E936" w:rsidR="008013E1" w:rsidRPr="00B93217" w:rsidRDefault="00C222BB" w:rsidP="003D3840">
                            <w:pPr>
                              <w:rPr>
                                <w:rFonts w:ascii="Arial" w:hAnsi="Arial" w:cs="Arial"/>
                                <w:b/>
                                <w:bCs/>
                                <w:sz w:val="20"/>
                                <w:szCs w:val="20"/>
                              </w:rPr>
                            </w:pPr>
                            <w:r w:rsidRPr="00B93217">
                              <w:rPr>
                                <w:rFonts w:ascii="Arial" w:hAnsi="Arial" w:cs="Arial"/>
                                <w:b/>
                                <w:bCs/>
                                <w:sz w:val="20"/>
                                <w:szCs w:val="20"/>
                              </w:rPr>
                              <w:t xml:space="preserve">VÝHRADNĚ ošetřovatel a zdravotnický </w:t>
                            </w:r>
                          </w:p>
                        </w:txbxContent>
                      </v:textbox>
                      <w10:wrap anchory="page"/>
                      <w10:anchorlock/>
                    </v:shape>
                  </w:pict>
                </mc:Fallback>
              </mc:AlternateContent>
            </w:r>
            <w:r w:rsidR="00AD7E70">
              <w:rPr>
                <w:b/>
                <w:bCs/>
                <w:noProof/>
              </w:rPr>
              <w:t>obrázek H</w:t>
            </w:r>
          </w:p>
        </w:tc>
        <w:tc>
          <w:tcPr>
            <w:tcW w:w="5517" w:type="dxa"/>
          </w:tcPr>
          <w:p w14:paraId="5B764535" w14:textId="77777777" w:rsidR="00AD7E70" w:rsidRDefault="00AD7E70">
            <w:pPr>
              <w:pStyle w:val="a3"/>
              <w:numPr>
                <w:ilvl w:val="0"/>
                <w:numId w:val="71"/>
              </w:numPr>
              <w:suppressAutoHyphens/>
              <w:autoSpaceDE/>
              <w:autoSpaceDN/>
              <w:ind w:left="567" w:hanging="567"/>
              <w:rPr>
                <w:b/>
              </w:rPr>
            </w:pPr>
            <w:r>
              <w:rPr>
                <w:b/>
              </w:rPr>
              <w:t>Vyberte vhodné injekční místo (viz obrázek H).</w:t>
            </w:r>
          </w:p>
          <w:p w14:paraId="6349E395" w14:textId="77777777" w:rsidR="00AD7E70" w:rsidRPr="00D159C5" w:rsidRDefault="00AD7E70" w:rsidP="00AD7E70"/>
          <w:p w14:paraId="24ACC976" w14:textId="52DCF847" w:rsidR="00AD7E70" w:rsidRDefault="00AD7E70">
            <w:pPr>
              <w:pStyle w:val="a3"/>
              <w:numPr>
                <w:ilvl w:val="0"/>
                <w:numId w:val="78"/>
              </w:numPr>
              <w:suppressAutoHyphens/>
              <w:autoSpaceDE/>
              <w:autoSpaceDN/>
              <w:ind w:left="567" w:hanging="567"/>
              <w:rPr>
                <w:rFonts w:eastAsia="SimSun"/>
                <w:noProof/>
              </w:rPr>
            </w:pPr>
            <w:r w:rsidRPr="00D159C5">
              <w:t xml:space="preserve">Injekci můžete </w:t>
            </w:r>
            <w:r w:rsidR="0099317F">
              <w:t>podat</w:t>
            </w:r>
            <w:r w:rsidRPr="00D159C5">
              <w:t xml:space="preserve"> do: </w:t>
            </w:r>
          </w:p>
          <w:p w14:paraId="13B970C9" w14:textId="38FA2839" w:rsidR="00AD7E70" w:rsidRDefault="00AD7E70">
            <w:pPr>
              <w:pStyle w:val="a3"/>
              <w:numPr>
                <w:ilvl w:val="0"/>
                <w:numId w:val="79"/>
              </w:numPr>
              <w:suppressAutoHyphens/>
              <w:autoSpaceDE/>
              <w:autoSpaceDN/>
              <w:ind w:left="1134" w:hanging="567"/>
              <w:rPr>
                <w:rFonts w:eastAsia="SimSun"/>
                <w:noProof/>
              </w:rPr>
            </w:pPr>
            <w:r w:rsidRPr="00D159C5">
              <w:t>přední část</w:t>
            </w:r>
            <w:r>
              <w:t>i</w:t>
            </w:r>
            <w:r w:rsidRPr="00D159C5">
              <w:t xml:space="preserve"> stehen</w:t>
            </w:r>
            <w:r w:rsidR="00873077">
              <w:t>,</w:t>
            </w:r>
          </w:p>
          <w:p w14:paraId="4C289C58" w14:textId="51192401" w:rsidR="00AD7E70" w:rsidRDefault="00AD7E70">
            <w:pPr>
              <w:pStyle w:val="a3"/>
              <w:numPr>
                <w:ilvl w:val="0"/>
                <w:numId w:val="79"/>
              </w:numPr>
              <w:suppressAutoHyphens/>
              <w:autoSpaceDE/>
              <w:autoSpaceDN/>
              <w:ind w:left="1134" w:hanging="567"/>
              <w:rPr>
                <w:rFonts w:eastAsia="SimSun"/>
                <w:noProof/>
              </w:rPr>
            </w:pPr>
            <w:r w:rsidRPr="00D159C5">
              <w:t>břicha, s výjimkou 5 cm kolem pupku</w:t>
            </w:r>
            <w:r w:rsidR="00873077">
              <w:t>,</w:t>
            </w:r>
          </w:p>
          <w:p w14:paraId="4D02C731" w14:textId="77777777" w:rsidR="00AD7E70" w:rsidRDefault="00AD7E70">
            <w:pPr>
              <w:pStyle w:val="a3"/>
              <w:numPr>
                <w:ilvl w:val="0"/>
                <w:numId w:val="79"/>
              </w:numPr>
              <w:suppressAutoHyphens/>
              <w:autoSpaceDE/>
              <w:autoSpaceDN/>
              <w:ind w:left="1134" w:hanging="567"/>
              <w:rPr>
                <w:rFonts w:eastAsia="SimSun"/>
                <w:noProof/>
              </w:rPr>
            </w:pPr>
            <w:r w:rsidRPr="00D159C5">
              <w:t>vnější oblasti horních končetin (pouze pokud jste ošetřovatel nebo zdravotnický pracovník</w:t>
            </w:r>
            <w:r>
              <w:t>)</w:t>
            </w:r>
            <w:r w:rsidRPr="00D159C5">
              <w:t>.</w:t>
            </w:r>
          </w:p>
          <w:p w14:paraId="7EA079DD" w14:textId="022DAD63" w:rsidR="00AD7E70" w:rsidRDefault="00AD7E70">
            <w:pPr>
              <w:pStyle w:val="a3"/>
              <w:numPr>
                <w:ilvl w:val="0"/>
                <w:numId w:val="70"/>
              </w:numPr>
              <w:suppressAutoHyphens/>
              <w:autoSpaceDE/>
              <w:autoSpaceDN/>
              <w:ind w:left="1134" w:hanging="567"/>
              <w:rPr>
                <w:rFonts w:eastAsia="SimSun"/>
                <w:noProof/>
              </w:rPr>
            </w:pPr>
            <w:r w:rsidRPr="00D159C5">
              <w:t xml:space="preserve">Do horních končetin si injekci </w:t>
            </w:r>
            <w:r>
              <w:rPr>
                <w:b/>
                <w:bCs/>
              </w:rPr>
              <w:t>ne</w:t>
            </w:r>
            <w:r w:rsidR="0099317F">
              <w:rPr>
                <w:b/>
                <w:bCs/>
              </w:rPr>
              <w:t>podávajte</w:t>
            </w:r>
            <w:r w:rsidRPr="00D159C5">
              <w:t xml:space="preserve"> sami.</w:t>
            </w:r>
          </w:p>
          <w:p w14:paraId="6D701608" w14:textId="77777777" w:rsidR="00AD7E70" w:rsidRDefault="00AD7E70">
            <w:pPr>
              <w:pStyle w:val="a3"/>
              <w:numPr>
                <w:ilvl w:val="0"/>
                <w:numId w:val="70"/>
              </w:numPr>
              <w:suppressAutoHyphens/>
              <w:autoSpaceDE/>
              <w:autoSpaceDN/>
              <w:ind w:left="1134" w:hanging="567"/>
              <w:rPr>
                <w:rFonts w:eastAsia="SimSun"/>
                <w:noProof/>
              </w:rPr>
            </w:pPr>
            <w:r w:rsidRPr="00D159C5">
              <w:t>Pro každou novou injekci zvolte jiné injekční místo vzdálené nejméně 2,5 cm od místa použitého pro poslední injekci.</w:t>
            </w:r>
          </w:p>
          <w:p w14:paraId="000A2FC4" w14:textId="2D617087" w:rsidR="00AD7E70" w:rsidRDefault="00AD7E70">
            <w:pPr>
              <w:pStyle w:val="a3"/>
              <w:numPr>
                <w:ilvl w:val="0"/>
                <w:numId w:val="70"/>
              </w:numPr>
              <w:suppressAutoHyphens/>
              <w:autoSpaceDE/>
              <w:autoSpaceDN/>
              <w:ind w:left="1134" w:hanging="567"/>
              <w:rPr>
                <w:rFonts w:eastAsia="SimSun"/>
                <w:noProof/>
              </w:rPr>
            </w:pPr>
            <w:r>
              <w:rPr>
                <w:b/>
                <w:bCs/>
              </w:rPr>
              <w:t>Ne</w:t>
            </w:r>
            <w:r w:rsidR="0099317F">
              <w:rPr>
                <w:b/>
                <w:bCs/>
              </w:rPr>
              <w:t>podávejte</w:t>
            </w:r>
            <w:r w:rsidRPr="00D159C5">
              <w:t xml:space="preserve"> injekci do mateřských znamének, jizev, modřin nebo do míst, kde je kůže citlivá, zarudlá nebo tvrdá.</w:t>
            </w:r>
          </w:p>
          <w:p w14:paraId="21D71340" w14:textId="0E26C26A" w:rsidR="00AD7E70" w:rsidRDefault="00AD7E70">
            <w:pPr>
              <w:pStyle w:val="a3"/>
              <w:numPr>
                <w:ilvl w:val="0"/>
                <w:numId w:val="70"/>
              </w:numPr>
              <w:suppressAutoHyphens/>
              <w:autoSpaceDE/>
              <w:autoSpaceDN/>
              <w:ind w:left="1134" w:hanging="567"/>
              <w:rPr>
                <w:rFonts w:eastAsia="SimSun"/>
                <w:noProof/>
              </w:rPr>
            </w:pPr>
            <w:r>
              <w:rPr>
                <w:b/>
              </w:rPr>
              <w:t>Ne</w:t>
            </w:r>
            <w:r w:rsidR="0099317F">
              <w:rPr>
                <w:b/>
              </w:rPr>
              <w:t>podávejte</w:t>
            </w:r>
            <w:r>
              <w:rPr>
                <w:b/>
              </w:rPr>
              <w:t xml:space="preserve"> </w:t>
            </w:r>
            <w:r>
              <w:rPr>
                <w:bCs/>
              </w:rPr>
              <w:t>injekci</w:t>
            </w:r>
            <w:r w:rsidRPr="00D159C5">
              <w:t xml:space="preserve"> přes oděv.</w:t>
            </w:r>
          </w:p>
          <w:p w14:paraId="61BC1DBB" w14:textId="77777777" w:rsidR="00AD7E70" w:rsidRPr="000821BB" w:rsidRDefault="00AD7E70" w:rsidP="00AD7E70"/>
        </w:tc>
      </w:tr>
      <w:tr w:rsidR="00B8592C" w:rsidRPr="00124F43" w14:paraId="55E59216" w14:textId="77777777">
        <w:trPr>
          <w:cantSplit/>
        </w:trPr>
        <w:tc>
          <w:tcPr>
            <w:tcW w:w="3539" w:type="dxa"/>
          </w:tcPr>
          <w:p w14:paraId="4F7D9475" w14:textId="6CEE1024" w:rsidR="00AD7E70" w:rsidRDefault="00C301E6">
            <w:pPr>
              <w:suppressAutoHyphens/>
              <w:rPr>
                <w:noProof/>
              </w:rPr>
            </w:pPr>
            <w:r>
              <w:rPr>
                <w:noProof/>
                <w:lang w:val="en-US" w:eastAsia="ko-KR"/>
              </w:rPr>
              <w:drawing>
                <wp:inline distT="0" distB="0" distL="0" distR="0" wp14:anchorId="0EE7DE75" wp14:editId="1EB04FB2">
                  <wp:extent cx="2073275" cy="2552065"/>
                  <wp:effectExtent l="19050" t="19050" r="3175" b="635"/>
                  <wp:docPr id="15"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1FB52CCA" w14:textId="69FF45A8" w:rsidR="00AD7E70" w:rsidRDefault="00AD7E70">
            <w:pPr>
              <w:suppressAutoHyphens/>
              <w:jc w:val="right"/>
              <w:rPr>
                <w:b/>
                <w:bCs/>
                <w:noProof/>
              </w:rPr>
            </w:pPr>
            <w:r>
              <w:rPr>
                <w:b/>
                <w:bCs/>
                <w:noProof/>
              </w:rPr>
              <w:t>obrázek I</w:t>
            </w:r>
          </w:p>
        </w:tc>
        <w:tc>
          <w:tcPr>
            <w:tcW w:w="5517" w:type="dxa"/>
          </w:tcPr>
          <w:p w14:paraId="52661F6F" w14:textId="77777777" w:rsidR="00AD7E70" w:rsidRDefault="00AD7E70">
            <w:pPr>
              <w:pStyle w:val="a3"/>
              <w:numPr>
                <w:ilvl w:val="0"/>
                <w:numId w:val="71"/>
              </w:numPr>
              <w:suppressAutoHyphens/>
              <w:autoSpaceDE/>
              <w:autoSpaceDN/>
              <w:ind w:left="567" w:hanging="567"/>
              <w:rPr>
                <w:b/>
              </w:rPr>
            </w:pPr>
            <w:r>
              <w:rPr>
                <w:b/>
              </w:rPr>
              <w:t>Vyčistěte místo vpichu.</w:t>
            </w:r>
          </w:p>
          <w:p w14:paraId="32D0BBF1" w14:textId="77777777" w:rsidR="00AD7E70" w:rsidRPr="00D159C5" w:rsidRDefault="00AD7E70">
            <w:pPr>
              <w:suppressAutoHyphens/>
              <w:ind w:left="567" w:hanging="567"/>
              <w:rPr>
                <w:noProof/>
              </w:rPr>
            </w:pPr>
          </w:p>
          <w:p w14:paraId="0CC6E57E" w14:textId="31852393" w:rsidR="00AD7E70" w:rsidRDefault="00AD7E70">
            <w:pPr>
              <w:pStyle w:val="a3"/>
              <w:numPr>
                <w:ilvl w:val="0"/>
                <w:numId w:val="80"/>
              </w:numPr>
              <w:suppressAutoHyphens/>
              <w:autoSpaceDE/>
              <w:autoSpaceDN/>
              <w:ind w:left="567" w:hanging="567"/>
              <w:rPr>
                <w:rFonts w:eastAsia="SimSun"/>
                <w:noProof/>
              </w:rPr>
            </w:pPr>
            <w:r>
              <w:rPr>
                <w:b/>
              </w:rPr>
              <w:t xml:space="preserve">Místo vpichu otřete alkoholovým </w:t>
            </w:r>
            <w:r w:rsidRPr="00D159C5">
              <w:t>tamponem a nechte jej na vzduchu zaschnout po dobu asi 10</w:t>
            </w:r>
            <w:r w:rsidR="0041587B">
              <w:t> </w:t>
            </w:r>
            <w:r w:rsidRPr="00D159C5">
              <w:t xml:space="preserve">sekund (viz </w:t>
            </w:r>
            <w:r>
              <w:rPr>
                <w:b/>
                <w:bCs/>
              </w:rPr>
              <w:t>obrázek I</w:t>
            </w:r>
            <w:r w:rsidRPr="00D159C5">
              <w:t>). Tímto snížíte pravděpodobnost vzniku infekce.</w:t>
            </w:r>
          </w:p>
          <w:p w14:paraId="455EDD8D" w14:textId="77777777" w:rsidR="00AD7E70" w:rsidRDefault="00AD7E70">
            <w:pPr>
              <w:pStyle w:val="a3"/>
              <w:numPr>
                <w:ilvl w:val="0"/>
                <w:numId w:val="70"/>
              </w:numPr>
              <w:suppressAutoHyphens/>
              <w:autoSpaceDE/>
              <w:autoSpaceDN/>
              <w:ind w:left="1134" w:hanging="567"/>
              <w:rPr>
                <w:rFonts w:eastAsia="SimSun"/>
                <w:noProof/>
              </w:rPr>
            </w:pPr>
            <w:r w:rsidRPr="00D159C5">
              <w:t xml:space="preserve">Před podáním injekce se místa vpichu </w:t>
            </w:r>
            <w:r>
              <w:rPr>
                <w:b/>
                <w:bCs/>
              </w:rPr>
              <w:t>nedotýkejte</w:t>
            </w:r>
            <w:r w:rsidRPr="00D159C5">
              <w:t>.</w:t>
            </w:r>
          </w:p>
          <w:p w14:paraId="63664EB3" w14:textId="77777777" w:rsidR="00AD7E70" w:rsidRDefault="00AD7E70">
            <w:pPr>
              <w:pStyle w:val="a3"/>
              <w:numPr>
                <w:ilvl w:val="0"/>
                <w:numId w:val="70"/>
              </w:numPr>
              <w:suppressAutoHyphens/>
              <w:autoSpaceDE/>
              <w:autoSpaceDN/>
              <w:ind w:left="1134" w:hanging="567"/>
              <w:rPr>
                <w:rFonts w:eastAsia="SimSun"/>
                <w:noProof/>
              </w:rPr>
            </w:pPr>
            <w:r w:rsidRPr="00350A84">
              <w:t>Čistou plochu</w:t>
            </w:r>
            <w:r>
              <w:rPr>
                <w:b/>
              </w:rPr>
              <w:t xml:space="preserve"> neovívejte </w:t>
            </w:r>
            <w:r>
              <w:rPr>
                <w:bCs/>
              </w:rPr>
              <w:t>ani na ni</w:t>
            </w:r>
            <w:r>
              <w:rPr>
                <w:b/>
              </w:rPr>
              <w:t xml:space="preserve"> nefoukejte</w:t>
            </w:r>
            <w:r w:rsidRPr="00D159C5">
              <w:t>.</w:t>
            </w:r>
          </w:p>
          <w:p w14:paraId="585BD41F" w14:textId="77777777" w:rsidR="00AD7E70" w:rsidRPr="000821BB" w:rsidRDefault="00AD7E70" w:rsidP="00AD7E70"/>
        </w:tc>
      </w:tr>
    </w:tbl>
    <w:p w14:paraId="63223440" w14:textId="77777777" w:rsidR="003D3840" w:rsidRPr="000821BB" w:rsidRDefault="003D3840" w:rsidP="003D3840"/>
    <w:p w14:paraId="323B686C" w14:textId="15041371" w:rsidR="003D3840" w:rsidRPr="000821BB" w:rsidRDefault="00AD7E70" w:rsidP="003D3840">
      <w:pPr>
        <w:keepNext/>
        <w:rPr>
          <w:b/>
          <w:bCs/>
        </w:rPr>
      </w:pPr>
      <w:r>
        <w:rPr>
          <w:b/>
          <w:bCs/>
        </w:rPr>
        <w:t>Podání injekce</w:t>
      </w:r>
    </w:p>
    <w:p w14:paraId="2C21C3AA" w14:textId="77777777" w:rsidR="003D3840" w:rsidRDefault="003D3840" w:rsidP="003D384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8592C" w:rsidRPr="000821BB" w14:paraId="6BF4183E" w14:textId="77777777">
        <w:trPr>
          <w:cantSplit/>
        </w:trPr>
        <w:tc>
          <w:tcPr>
            <w:tcW w:w="3539" w:type="dxa"/>
          </w:tcPr>
          <w:p w14:paraId="265C0EBA" w14:textId="41AFFF1C" w:rsidR="000B6025" w:rsidRDefault="00C301E6">
            <w:pPr>
              <w:suppressAutoHyphens/>
              <w:jc w:val="right"/>
              <w:rPr>
                <w:noProof/>
              </w:rPr>
            </w:pPr>
            <w:r>
              <w:rPr>
                <w:noProof/>
                <w:lang w:val="en-US" w:eastAsia="ko-KR"/>
              </w:rPr>
              <w:drawing>
                <wp:inline distT="0" distB="0" distL="0" distR="0" wp14:anchorId="6F360766" wp14:editId="7492E033">
                  <wp:extent cx="2073275" cy="2594610"/>
                  <wp:effectExtent l="19050" t="19050" r="3175" b="0"/>
                  <wp:docPr id="16"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3275" cy="2594610"/>
                          </a:xfrm>
                          <a:prstGeom prst="rect">
                            <a:avLst/>
                          </a:prstGeom>
                          <a:noFill/>
                          <a:ln w="9525" cmpd="sng">
                            <a:solidFill>
                              <a:srgbClr val="000000"/>
                            </a:solidFill>
                            <a:miter lim="800000"/>
                            <a:headEnd/>
                            <a:tailEnd/>
                          </a:ln>
                          <a:effectLst/>
                        </pic:spPr>
                      </pic:pic>
                    </a:graphicData>
                  </a:graphic>
                </wp:inline>
              </w:drawing>
            </w:r>
          </w:p>
          <w:p w14:paraId="34ADB15D" w14:textId="67DED30F" w:rsidR="000B6025" w:rsidRDefault="000B6025">
            <w:pPr>
              <w:suppressAutoHyphens/>
              <w:jc w:val="right"/>
              <w:rPr>
                <w:b/>
                <w:bCs/>
                <w:noProof/>
              </w:rPr>
            </w:pPr>
            <w:r>
              <w:rPr>
                <w:b/>
                <w:bCs/>
                <w:noProof/>
              </w:rPr>
              <w:t>obrázek J</w:t>
            </w:r>
          </w:p>
        </w:tc>
        <w:tc>
          <w:tcPr>
            <w:tcW w:w="5517" w:type="dxa"/>
          </w:tcPr>
          <w:p w14:paraId="6C26434D" w14:textId="77777777" w:rsidR="000B6025" w:rsidRDefault="000B6025">
            <w:pPr>
              <w:pStyle w:val="a3"/>
              <w:numPr>
                <w:ilvl w:val="0"/>
                <w:numId w:val="71"/>
              </w:numPr>
              <w:suppressAutoHyphens/>
              <w:autoSpaceDE/>
              <w:autoSpaceDN/>
              <w:ind w:left="567" w:hanging="567"/>
              <w:rPr>
                <w:b/>
              </w:rPr>
            </w:pPr>
            <w:r>
              <w:rPr>
                <w:b/>
              </w:rPr>
              <w:t>Odstraňte kryt.</w:t>
            </w:r>
          </w:p>
          <w:p w14:paraId="12F0D6B0" w14:textId="77777777" w:rsidR="000B6025" w:rsidRDefault="000B6025">
            <w:pPr>
              <w:pStyle w:val="Default"/>
              <w:ind w:left="567" w:hanging="567"/>
              <w:rPr>
                <w:rFonts w:ascii="Times New Roman" w:hAnsi="Times New Roman" w:cs="Times New Roman"/>
                <w:sz w:val="22"/>
                <w:szCs w:val="22"/>
              </w:rPr>
            </w:pPr>
          </w:p>
          <w:p w14:paraId="3C68DF33" w14:textId="77777777" w:rsidR="000B6025" w:rsidRDefault="000B6025">
            <w:pPr>
              <w:pStyle w:val="a3"/>
              <w:numPr>
                <w:ilvl w:val="0"/>
                <w:numId w:val="81"/>
              </w:numPr>
              <w:autoSpaceDE/>
              <w:autoSpaceDN/>
              <w:ind w:left="567" w:hanging="567"/>
              <w:rPr>
                <w:bCs/>
              </w:rPr>
            </w:pPr>
            <w:r>
              <w:rPr>
                <w:color w:val="231F20"/>
              </w:rPr>
              <w:t>Držte tělo předplněné injekční stříkačky jednou rukou.</w:t>
            </w:r>
            <w:r>
              <w:rPr>
                <w:color w:val="231F20"/>
              </w:rPr>
              <w:br/>
            </w:r>
            <w:r w:rsidRPr="00D159C5">
              <w:t xml:space="preserve">Druhou rukou opatrně sundejte kryt (viz </w:t>
            </w:r>
            <w:r>
              <w:rPr>
                <w:b/>
              </w:rPr>
              <w:t>obrázek J</w:t>
            </w:r>
            <w:r w:rsidRPr="00D159C5">
              <w:t>).</w:t>
            </w:r>
          </w:p>
          <w:p w14:paraId="1E478963" w14:textId="77777777" w:rsidR="000B6025" w:rsidRDefault="000B6025">
            <w:pPr>
              <w:pStyle w:val="a3"/>
              <w:ind w:left="567"/>
              <w:rPr>
                <w:bCs/>
                <w:noProof/>
              </w:rPr>
            </w:pPr>
            <w:r>
              <w:rPr>
                <w:i/>
              </w:rPr>
              <w:t>Poznámka:</w:t>
            </w:r>
            <w:r w:rsidRPr="00D159C5">
              <w:t xml:space="preserve"> Jestliže nemůžete kryt odstranit, měli byste požádat o pomoc ošetřovatele nebo se obrátit na svého lékaře.</w:t>
            </w:r>
          </w:p>
          <w:p w14:paraId="396E56FC" w14:textId="77777777" w:rsidR="000B6025" w:rsidRDefault="000B6025">
            <w:pPr>
              <w:pStyle w:val="a3"/>
              <w:numPr>
                <w:ilvl w:val="12"/>
                <w:numId w:val="0"/>
              </w:numPr>
              <w:ind w:left="567" w:hanging="567"/>
              <w:rPr>
                <w:bCs/>
                <w:noProof/>
                <w:lang w:eastAsia="ko-KR"/>
              </w:rPr>
            </w:pPr>
          </w:p>
          <w:p w14:paraId="590BC7FA" w14:textId="77777777" w:rsidR="000B6025" w:rsidRPr="00D159C5" w:rsidRDefault="000B6025">
            <w:pPr>
              <w:pStyle w:val="a3"/>
              <w:numPr>
                <w:ilvl w:val="0"/>
                <w:numId w:val="70"/>
              </w:numPr>
              <w:suppressAutoHyphens/>
              <w:autoSpaceDE/>
              <w:autoSpaceDN/>
              <w:ind w:left="1134" w:hanging="567"/>
            </w:pPr>
            <w:r>
              <w:rPr>
                <w:bCs/>
              </w:rPr>
              <w:t>Při odstraňování krytu</w:t>
            </w:r>
            <w:r>
              <w:rPr>
                <w:b/>
              </w:rPr>
              <w:t xml:space="preserve"> se nedotýkejte </w:t>
            </w:r>
            <w:r>
              <w:rPr>
                <w:bCs/>
              </w:rPr>
              <w:t>pístu.</w:t>
            </w:r>
          </w:p>
          <w:p w14:paraId="3403B822" w14:textId="77777777" w:rsidR="000B6025" w:rsidRDefault="000B6025">
            <w:pPr>
              <w:pStyle w:val="a3"/>
              <w:numPr>
                <w:ilvl w:val="0"/>
                <w:numId w:val="70"/>
              </w:numPr>
              <w:suppressAutoHyphens/>
              <w:autoSpaceDE/>
              <w:autoSpaceDN/>
              <w:ind w:left="1134" w:hanging="567"/>
              <w:rPr>
                <w:bCs/>
              </w:rPr>
            </w:pPr>
            <w:r w:rsidRPr="00D159C5">
              <w:t>Na špičce jehly se může objevit kapka roztoku. To je normální.</w:t>
            </w:r>
          </w:p>
          <w:p w14:paraId="3CD1E73E" w14:textId="2C9CCE3A" w:rsidR="00192CF5" w:rsidRDefault="000B6025" w:rsidP="00192CF5">
            <w:pPr>
              <w:pStyle w:val="a3"/>
              <w:numPr>
                <w:ilvl w:val="0"/>
                <w:numId w:val="70"/>
              </w:numPr>
              <w:suppressAutoHyphens/>
              <w:autoSpaceDE/>
              <w:autoSpaceDN/>
              <w:ind w:left="1134" w:hanging="567"/>
              <w:rPr>
                <w:bCs/>
              </w:rPr>
            </w:pPr>
            <w:r w:rsidRPr="00D159C5">
              <w:t xml:space="preserve">Pokud </w:t>
            </w:r>
            <w:r w:rsidR="00CB4991">
              <w:t>n</w:t>
            </w:r>
            <w:r w:rsidR="00CB4991" w:rsidRPr="00D159C5">
              <w:t>ení předplněná injekční stříkačka použita do 5</w:t>
            </w:r>
            <w:r w:rsidR="00192CF5" w:rsidRPr="00D159C5">
              <w:t>minut od sejmutí krytu jehly, m</w:t>
            </w:r>
            <w:r w:rsidR="00FC0425">
              <w:t>á</w:t>
            </w:r>
            <w:r w:rsidR="00192CF5" w:rsidRPr="00D159C5">
              <w:t xml:space="preserve"> být předplněná injekční stříkačka zlikvidována v nádobě odolné proti propíchnutí nebo v</w:t>
            </w:r>
            <w:r w:rsidR="00192CF5">
              <w:t xml:space="preserve"> odpadní </w:t>
            </w:r>
            <w:r w:rsidR="00192CF5" w:rsidRPr="00D159C5">
              <w:t>nádobě na ostré předměty a m</w:t>
            </w:r>
            <w:r w:rsidR="00FC0425">
              <w:t>á</w:t>
            </w:r>
            <w:r w:rsidR="00192CF5" w:rsidRPr="00D159C5">
              <w:t xml:space="preserve"> být použita nová předplněná injekční stříkačka.</w:t>
            </w:r>
          </w:p>
          <w:p w14:paraId="5BA11402" w14:textId="77777777" w:rsidR="00192CF5" w:rsidRPr="00D159C5" w:rsidRDefault="00192CF5" w:rsidP="00192CF5">
            <w:pPr>
              <w:pStyle w:val="a3"/>
              <w:numPr>
                <w:ilvl w:val="0"/>
                <w:numId w:val="81"/>
              </w:numPr>
              <w:autoSpaceDE/>
              <w:autoSpaceDN/>
              <w:ind w:left="567" w:hanging="567"/>
            </w:pPr>
            <w:r>
              <w:rPr>
                <w:color w:val="231F20"/>
              </w:rPr>
              <w:t xml:space="preserve">Kryt ihned vyhoďte do nádoby na ostré předměty (viz </w:t>
            </w:r>
            <w:r>
              <w:rPr>
                <w:b/>
                <w:color w:val="231F20"/>
              </w:rPr>
              <w:t>krok 14</w:t>
            </w:r>
            <w:r>
              <w:rPr>
                <w:color w:val="231F20"/>
              </w:rPr>
              <w:t xml:space="preserve"> a </w:t>
            </w:r>
            <w:r>
              <w:rPr>
                <w:b/>
                <w:bCs/>
                <w:color w:val="231F20"/>
              </w:rPr>
              <w:t>Likvidace předplněné injekční stříkačky</w:t>
            </w:r>
            <w:r>
              <w:rPr>
                <w:color w:val="231F20"/>
              </w:rPr>
              <w:t xml:space="preserve"> a </w:t>
            </w:r>
            <w:r>
              <w:rPr>
                <w:b/>
                <w:bCs/>
                <w:color w:val="231F20"/>
              </w:rPr>
              <w:t>obrázek N</w:t>
            </w:r>
            <w:r>
              <w:rPr>
                <w:color w:val="231F20"/>
              </w:rPr>
              <w:t>).</w:t>
            </w:r>
          </w:p>
          <w:p w14:paraId="4D896C70" w14:textId="77777777" w:rsidR="00192CF5" w:rsidRPr="00D159C5" w:rsidRDefault="00192CF5" w:rsidP="00192CF5">
            <w:pPr>
              <w:pStyle w:val="a3"/>
              <w:ind w:left="567" w:hanging="567"/>
            </w:pPr>
          </w:p>
          <w:p w14:paraId="2C11EB1E" w14:textId="77777777" w:rsidR="00192CF5" w:rsidRPr="00D159C5" w:rsidRDefault="00192CF5" w:rsidP="00192CF5">
            <w:pPr>
              <w:pStyle w:val="a3"/>
              <w:numPr>
                <w:ilvl w:val="0"/>
                <w:numId w:val="70"/>
              </w:numPr>
              <w:suppressAutoHyphens/>
              <w:autoSpaceDE/>
              <w:autoSpaceDN/>
              <w:ind w:left="1134" w:hanging="567"/>
            </w:pPr>
            <w:r w:rsidRPr="00D159C5">
              <w:t>Předplněné injekční stříkačce opětovně</w:t>
            </w:r>
            <w:r>
              <w:rPr>
                <w:b/>
                <w:bCs/>
              </w:rPr>
              <w:t xml:space="preserve"> </w:t>
            </w:r>
            <w:r w:rsidRPr="009641EE">
              <w:t>kryt</w:t>
            </w:r>
            <w:r>
              <w:rPr>
                <w:b/>
                <w:bCs/>
              </w:rPr>
              <w:t xml:space="preserve"> nenasazujte</w:t>
            </w:r>
            <w:r w:rsidRPr="00D159C5">
              <w:t>.</w:t>
            </w:r>
          </w:p>
          <w:p w14:paraId="49E4DCB6" w14:textId="643EA61D" w:rsidR="000B6025" w:rsidRPr="00793A19" w:rsidRDefault="00192CF5" w:rsidP="00B93217">
            <w:pPr>
              <w:pStyle w:val="a3"/>
              <w:numPr>
                <w:ilvl w:val="0"/>
                <w:numId w:val="70"/>
              </w:numPr>
              <w:suppressAutoHyphens/>
              <w:autoSpaceDE/>
              <w:autoSpaceDN/>
              <w:ind w:left="1134" w:hanging="567"/>
            </w:pPr>
            <w:r>
              <w:rPr>
                <w:b/>
                <w:bCs/>
              </w:rPr>
              <w:t>Nesahejte</w:t>
            </w:r>
            <w:r w:rsidRPr="00D159C5">
              <w:t xml:space="preserve"> na špičku jehly předplněné injekční stříkačky, abyste zabránili náhodnému p</w:t>
            </w:r>
            <w:r>
              <w:t>oranění</w:t>
            </w:r>
            <w:r w:rsidRPr="00D159C5">
              <w:t>.</w:t>
            </w:r>
          </w:p>
        </w:tc>
      </w:tr>
      <w:tr w:rsidR="00B8592C" w:rsidRPr="000821BB" w14:paraId="76CFC7A4" w14:textId="77777777">
        <w:trPr>
          <w:cantSplit/>
        </w:trPr>
        <w:tc>
          <w:tcPr>
            <w:tcW w:w="3539" w:type="dxa"/>
          </w:tcPr>
          <w:p w14:paraId="0E52F278" w14:textId="1329B98A" w:rsidR="000B6025" w:rsidRDefault="00C301E6">
            <w:pPr>
              <w:suppressAutoHyphens/>
              <w:jc w:val="right"/>
              <w:rPr>
                <w:noProof/>
              </w:rPr>
            </w:pPr>
            <w:r>
              <w:rPr>
                <w:noProof/>
                <w:lang w:val="en-US" w:eastAsia="ko-KR"/>
              </w:rPr>
              <mc:AlternateContent>
                <mc:Choice Requires="wps">
                  <w:drawing>
                    <wp:anchor distT="45720" distB="45720" distL="114300" distR="114300" simplePos="0" relativeHeight="251658276" behindDoc="0" locked="0" layoutInCell="1" allowOverlap="1" wp14:anchorId="5790EA0B" wp14:editId="679D288E">
                      <wp:simplePos x="0" y="0"/>
                      <wp:positionH relativeFrom="column">
                        <wp:posOffset>8255</wp:posOffset>
                      </wp:positionH>
                      <wp:positionV relativeFrom="page">
                        <wp:posOffset>1730375</wp:posOffset>
                      </wp:positionV>
                      <wp:extent cx="1983740" cy="277495"/>
                      <wp:effectExtent l="0" t="0" r="0" b="0"/>
                      <wp:wrapNone/>
                      <wp:docPr id="1352535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5F9F7B4E" w14:textId="17CF0CA5" w:rsidR="008013E1" w:rsidRPr="003D3840" w:rsidRDefault="00C222BB" w:rsidP="003D3840">
                                  <w:pPr>
                                    <w:jc w:val="center"/>
                                    <w:rPr>
                                      <w:rFonts w:ascii="Arial" w:hAnsi="Arial" w:cs="Arial"/>
                                      <w:b/>
                                      <w:bCs/>
                                      <w:color w:val="FFFFFF"/>
                                      <w:sz w:val="28"/>
                                      <w:szCs w:val="28"/>
                                    </w:rPr>
                                  </w:pPr>
                                  <w:r w:rsidRPr="00C222BB">
                                    <w:rPr>
                                      <w:rFonts w:ascii="Arial" w:hAnsi="Arial" w:cs="Arial"/>
                                      <w:b/>
                                      <w:bCs/>
                                      <w:color w:val="FFFFFF"/>
                                      <w:sz w:val="28"/>
                                      <w:szCs w:val="28"/>
                                    </w:rPr>
                                    <w:t>NEBO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0EA0B" id="Text Box 71" o:spid="_x0000_s1047" type="#_x0000_t202" style="position:absolute;left:0;text-align:left;margin-left:.65pt;margin-top:136.25pt;width:156.2pt;height:21.8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" filled="f" stroked="f">
                      <v:textbox inset="0,0,0,0">
                        <w:txbxContent>
                          <w:p w14:paraId="5F9F7B4E" w14:textId="17CF0CA5" w:rsidR="008013E1" w:rsidRPr="003D3840" w:rsidRDefault="00C222BB" w:rsidP="003D3840">
                            <w:pPr>
                              <w:jc w:val="center"/>
                              <w:rPr>
                                <w:rFonts w:ascii="Arial" w:hAnsi="Arial" w:cs="Arial"/>
                                <w:b/>
                                <w:bCs/>
                                <w:color w:val="FFFFFF"/>
                                <w:sz w:val="28"/>
                                <w:szCs w:val="28"/>
                              </w:rPr>
                            </w:pPr>
                            <w:r w:rsidRPr="00C222BB">
                              <w:rPr>
                                <w:rFonts w:ascii="Arial" w:hAnsi="Arial" w:cs="Arial"/>
                                <w:b/>
                                <w:bCs/>
                                <w:color w:val="FFFFFF"/>
                                <w:sz w:val="28"/>
                                <w:szCs w:val="28"/>
                              </w:rPr>
                              <w:t>NEBO</w:t>
                            </w:r>
                          </w:p>
                        </w:txbxContent>
                      </v:textbox>
                      <w10:wrap anchory="page"/>
                    </v:shape>
                  </w:pict>
                </mc:Fallback>
              </mc:AlternateContent>
            </w:r>
            <w:r>
              <w:rPr>
                <w:noProof/>
                <w:lang w:val="en-US" w:eastAsia="ko-KR"/>
              </w:rPr>
              <w:drawing>
                <wp:inline distT="0" distB="0" distL="0" distR="0" wp14:anchorId="6095DB9F" wp14:editId="24D955D4">
                  <wp:extent cx="2073275" cy="3583305"/>
                  <wp:effectExtent l="19050" t="19050" r="3175" b="0"/>
                  <wp:docPr id="17"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7406449" descr="그림, 스케치, 만화 영화, 클립아트이(가) 표시된 사진&#10;&#10;자동 생성된 설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3275" cy="3583305"/>
                          </a:xfrm>
                          <a:prstGeom prst="rect">
                            <a:avLst/>
                          </a:prstGeom>
                          <a:noFill/>
                          <a:ln w="9525" cmpd="sng">
                            <a:solidFill>
                              <a:srgbClr val="000000"/>
                            </a:solidFill>
                            <a:miter lim="800000"/>
                            <a:headEnd/>
                            <a:tailEnd/>
                          </a:ln>
                          <a:effectLst/>
                        </pic:spPr>
                      </pic:pic>
                    </a:graphicData>
                  </a:graphic>
                </wp:inline>
              </w:drawing>
            </w:r>
          </w:p>
          <w:p w14:paraId="1F2CA775" w14:textId="233B955A" w:rsidR="000B6025" w:rsidRDefault="00C301E6">
            <w:pPr>
              <w:suppressAutoHyphens/>
              <w:jc w:val="right"/>
              <w:rPr>
                <w:b/>
                <w:bCs/>
                <w:noProof/>
              </w:rPr>
            </w:pPr>
            <w:r>
              <w:rPr>
                <w:noProof/>
                <w:lang w:val="en-US" w:eastAsia="ko-KR"/>
              </w:rPr>
              <mc:AlternateContent>
                <mc:Choice Requires="wps">
                  <w:drawing>
                    <wp:anchor distT="45720" distB="45720" distL="114300" distR="114300" simplePos="0" relativeHeight="251658275" behindDoc="0" locked="0" layoutInCell="1" allowOverlap="1" wp14:anchorId="66421DCF" wp14:editId="677233D6">
                      <wp:simplePos x="0" y="0"/>
                      <wp:positionH relativeFrom="column">
                        <wp:posOffset>950595</wp:posOffset>
                      </wp:positionH>
                      <wp:positionV relativeFrom="page">
                        <wp:posOffset>381635</wp:posOffset>
                      </wp:positionV>
                      <wp:extent cx="629920" cy="408940"/>
                      <wp:effectExtent l="0" t="0" r="0" b="0"/>
                      <wp:wrapNone/>
                      <wp:docPr id="59974269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30EA4937" w14:textId="77777777" w:rsidR="008013E1" w:rsidRPr="00EF1826" w:rsidRDefault="008013E1" w:rsidP="003D3840">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270798B3" w14:textId="77777777" w:rsidR="008013E1" w:rsidRPr="00EF1826" w:rsidRDefault="008013E1" w:rsidP="003D384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421DCF" id="Text Box 69" o:spid="_x0000_s1048" type="#_x0000_t202" style="position:absolute;left:0;text-align:left;margin-left:74.85pt;margin-top:30.05pt;width:49.6pt;height:32.2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30EA4937" w14:textId="77777777" w:rsidR="008013E1" w:rsidRPr="00EF1826" w:rsidRDefault="008013E1" w:rsidP="003D3840">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270798B3" w14:textId="77777777" w:rsidR="008013E1" w:rsidRPr="00EF1826" w:rsidRDefault="008013E1" w:rsidP="003D384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77" behindDoc="0" locked="0" layoutInCell="1" allowOverlap="1" wp14:anchorId="54042698" wp14:editId="0CC5745E">
                      <wp:simplePos x="0" y="0"/>
                      <wp:positionH relativeFrom="column">
                        <wp:posOffset>422275</wp:posOffset>
                      </wp:positionH>
                      <wp:positionV relativeFrom="page">
                        <wp:posOffset>264160</wp:posOffset>
                      </wp:positionV>
                      <wp:extent cx="629920" cy="408940"/>
                      <wp:effectExtent l="0" t="0" r="0" b="0"/>
                      <wp:wrapNone/>
                      <wp:docPr id="18806413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0322F7C6" w14:textId="77777777" w:rsidR="008013E1" w:rsidRPr="00EF1826" w:rsidRDefault="008013E1" w:rsidP="003D3840">
                                  <w:pPr>
                                    <w:rPr>
                                      <w:rFonts w:ascii="Arial" w:hAnsi="Arial" w:cs="Arial"/>
                                      <w:b/>
                                      <w:bCs/>
                                      <w:sz w:val="28"/>
                                      <w:szCs w:val="28"/>
                                    </w:rPr>
                                  </w:pPr>
                                  <w:r w:rsidRPr="00EF1826">
                                    <w:rPr>
                                      <w:rFonts w:ascii="Arial" w:hAnsi="Arial" w:cs="Arial"/>
                                      <w:b/>
                                      <w:bCs/>
                                      <w:sz w:val="28"/>
                                      <w:szCs w:val="28"/>
                                    </w:rPr>
                                    <w:t>90°</w:t>
                                  </w:r>
                                </w:p>
                                <w:p w14:paraId="6F88208C" w14:textId="77777777" w:rsidR="008013E1" w:rsidRPr="00EF1826" w:rsidRDefault="008013E1" w:rsidP="003D384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042698" id="Text Box 67" o:spid="_x0000_s1049" type="#_x0000_t202" style="position:absolute;left:0;text-align:left;margin-left:33.25pt;margin-top:20.8pt;width:49.6pt;height:32.2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tuWA&#10;+9oBAACYAwAADgAAAAAAAAAAAAAAAAAuAgAAZHJzL2Uyb0RvYy54bWxQSwECLQAUAAYACAAAACEA&#10;dRqgYdwAAAAJAQAADwAAAAAAAAAAAAAAAAA0BAAAZHJzL2Rvd25yZXYueG1sUEsFBgAAAAAEAAQA&#10;8wAAAD0FAAAAAA==&#10;" filled="f" stroked="f">
                      <v:textbox style="mso-fit-shape-to-text:t" inset="0,0,0,0">
                        <w:txbxContent>
                          <w:p w14:paraId="0322F7C6" w14:textId="77777777" w:rsidR="008013E1" w:rsidRPr="00EF1826" w:rsidRDefault="008013E1" w:rsidP="003D3840">
                            <w:pPr>
                              <w:rPr>
                                <w:rFonts w:ascii="Arial" w:hAnsi="Arial" w:cs="Arial"/>
                                <w:b/>
                                <w:bCs/>
                                <w:sz w:val="28"/>
                                <w:szCs w:val="28"/>
                              </w:rPr>
                            </w:pPr>
                            <w:r w:rsidRPr="00EF1826">
                              <w:rPr>
                                <w:rFonts w:ascii="Arial" w:hAnsi="Arial" w:cs="Arial"/>
                                <w:b/>
                                <w:bCs/>
                                <w:sz w:val="28"/>
                                <w:szCs w:val="28"/>
                              </w:rPr>
                              <w:t>90°</w:t>
                            </w:r>
                          </w:p>
                          <w:p w14:paraId="6F88208C" w14:textId="77777777" w:rsidR="008013E1" w:rsidRPr="00EF1826" w:rsidRDefault="008013E1" w:rsidP="003D384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78" behindDoc="0" locked="0" layoutInCell="1" allowOverlap="1" wp14:anchorId="4BA99AD6" wp14:editId="0FF02F0B">
                      <wp:simplePos x="0" y="0"/>
                      <wp:positionH relativeFrom="column">
                        <wp:posOffset>598170</wp:posOffset>
                      </wp:positionH>
                      <wp:positionV relativeFrom="page">
                        <wp:posOffset>500380</wp:posOffset>
                      </wp:positionV>
                      <wp:extent cx="629920" cy="306705"/>
                      <wp:effectExtent l="0" t="0" r="0" b="0"/>
                      <wp:wrapNone/>
                      <wp:docPr id="5311757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715612A4" w14:textId="77777777" w:rsidR="008013E1" w:rsidRPr="00EF1826" w:rsidRDefault="008013E1" w:rsidP="003D3840">
                                  <w:pPr>
                                    <w:rPr>
                                      <w:rFonts w:ascii="Arial" w:hAnsi="Arial" w:cs="Arial"/>
                                      <w:b/>
                                      <w:bCs/>
                                      <w:sz w:val="21"/>
                                      <w:szCs w:val="21"/>
                                    </w:rPr>
                                  </w:pPr>
                                  <w:r w:rsidRPr="00EF1826">
                                    <w:rPr>
                                      <w:rFonts w:ascii="Arial" w:hAnsi="Arial" w:cs="Arial"/>
                                      <w:b/>
                                      <w:bCs/>
                                      <w:sz w:val="21"/>
                                      <w:szCs w:val="21"/>
                                    </w:rPr>
                                    <w:t>OK</w:t>
                                  </w:r>
                                </w:p>
                                <w:p w14:paraId="0E16086E" w14:textId="77777777" w:rsidR="008013E1" w:rsidRPr="00EF1826" w:rsidRDefault="008013E1" w:rsidP="003D3840">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BA99AD6" id="Text Box 65" o:spid="_x0000_s1050" type="#_x0000_t202" style="position:absolute;left:0;text-align:left;margin-left:47.1pt;margin-top:39.4pt;width:49.6pt;height:24.1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DF&#10;yfMc2gEAAJgDAAAOAAAAAAAAAAAAAAAAAC4CAABkcnMvZTJvRG9jLnhtbFBLAQItABQABgAIAAAA&#10;IQAwi7uz3gAAAAkBAAAPAAAAAAAAAAAAAAAAADQEAABkcnMvZG93bnJldi54bWxQSwUGAAAAAAQA&#10;BADzAAAAPwUAAAAA&#10;" filled="f" stroked="f">
                      <v:textbox style="mso-fit-shape-to-text:t" inset="0,0,0,0">
                        <w:txbxContent>
                          <w:p w14:paraId="715612A4" w14:textId="77777777" w:rsidR="008013E1" w:rsidRPr="00EF1826" w:rsidRDefault="008013E1" w:rsidP="003D3840">
                            <w:pPr>
                              <w:rPr>
                                <w:rFonts w:ascii="Arial" w:hAnsi="Arial" w:cs="Arial"/>
                                <w:b/>
                                <w:bCs/>
                                <w:sz w:val="21"/>
                                <w:szCs w:val="21"/>
                              </w:rPr>
                            </w:pPr>
                            <w:r w:rsidRPr="00EF1826">
                              <w:rPr>
                                <w:rFonts w:ascii="Arial" w:hAnsi="Arial" w:cs="Arial"/>
                                <w:b/>
                                <w:bCs/>
                                <w:sz w:val="21"/>
                                <w:szCs w:val="21"/>
                              </w:rPr>
                              <w:t>OK</w:t>
                            </w:r>
                          </w:p>
                          <w:p w14:paraId="0E16086E" w14:textId="77777777" w:rsidR="008013E1" w:rsidRPr="00EF1826" w:rsidRDefault="008013E1" w:rsidP="003D3840">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79" behindDoc="0" locked="0" layoutInCell="1" allowOverlap="1" wp14:anchorId="20E2CB78" wp14:editId="084E392B">
                      <wp:simplePos x="0" y="0"/>
                      <wp:positionH relativeFrom="column">
                        <wp:posOffset>594360</wp:posOffset>
                      </wp:positionH>
                      <wp:positionV relativeFrom="page">
                        <wp:posOffset>2816225</wp:posOffset>
                      </wp:positionV>
                      <wp:extent cx="629920" cy="408940"/>
                      <wp:effectExtent l="0" t="0" r="0" b="0"/>
                      <wp:wrapNone/>
                      <wp:docPr id="203180909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150873CF" w14:textId="77777777" w:rsidR="008013E1" w:rsidRPr="00EF1826" w:rsidRDefault="008013E1" w:rsidP="003D3840">
                                  <w:pPr>
                                    <w:rPr>
                                      <w:rFonts w:ascii="Arial" w:hAnsi="Arial" w:cs="Arial"/>
                                      <w:b/>
                                      <w:bCs/>
                                      <w:sz w:val="28"/>
                                      <w:szCs w:val="28"/>
                                    </w:rPr>
                                  </w:pPr>
                                  <w:r w:rsidRPr="00EF1826">
                                    <w:rPr>
                                      <w:rFonts w:ascii="Arial" w:hAnsi="Arial" w:cs="Arial"/>
                                      <w:b/>
                                      <w:bCs/>
                                      <w:sz w:val="28"/>
                                      <w:szCs w:val="28"/>
                                    </w:rPr>
                                    <w:t>90°</w:t>
                                  </w:r>
                                </w:p>
                                <w:p w14:paraId="004F9AA7" w14:textId="77777777" w:rsidR="008013E1" w:rsidRPr="00EF1826" w:rsidRDefault="008013E1" w:rsidP="003D384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0E2CB78" id="Text Box 63" o:spid="_x0000_s1051" type="#_x0000_t202" style="position:absolute;left:0;text-align:left;margin-left:46.8pt;margin-top:221.75pt;width:49.6pt;height:32.2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150873CF" w14:textId="77777777" w:rsidR="008013E1" w:rsidRPr="00EF1826" w:rsidRDefault="008013E1" w:rsidP="003D3840">
                            <w:pPr>
                              <w:rPr>
                                <w:rFonts w:ascii="Arial" w:hAnsi="Arial" w:cs="Arial"/>
                                <w:b/>
                                <w:bCs/>
                                <w:sz w:val="28"/>
                                <w:szCs w:val="28"/>
                              </w:rPr>
                            </w:pPr>
                            <w:r w:rsidRPr="00EF1826">
                              <w:rPr>
                                <w:rFonts w:ascii="Arial" w:hAnsi="Arial" w:cs="Arial"/>
                                <w:b/>
                                <w:bCs/>
                                <w:sz w:val="28"/>
                                <w:szCs w:val="28"/>
                              </w:rPr>
                              <w:t>90°</w:t>
                            </w:r>
                          </w:p>
                          <w:p w14:paraId="004F9AA7" w14:textId="77777777" w:rsidR="008013E1" w:rsidRPr="00EF1826" w:rsidRDefault="008013E1" w:rsidP="003D384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80" behindDoc="0" locked="0" layoutInCell="1" allowOverlap="1" wp14:anchorId="6C94FB57" wp14:editId="3F4BE547">
                      <wp:simplePos x="0" y="0"/>
                      <wp:positionH relativeFrom="column">
                        <wp:posOffset>12700</wp:posOffset>
                      </wp:positionH>
                      <wp:positionV relativeFrom="page">
                        <wp:posOffset>2966720</wp:posOffset>
                      </wp:positionV>
                      <wp:extent cx="629920" cy="408940"/>
                      <wp:effectExtent l="0" t="0" r="0" b="0"/>
                      <wp:wrapNone/>
                      <wp:docPr id="733029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7B9A6D58" w14:textId="77777777" w:rsidR="008013E1" w:rsidRPr="00EF1826" w:rsidRDefault="008013E1" w:rsidP="003D3840">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E61B959" w14:textId="77777777" w:rsidR="008013E1" w:rsidRPr="00EF1826" w:rsidRDefault="008013E1" w:rsidP="003D384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94FB57" id="Text Box 61" o:spid="_x0000_s1052" type="#_x0000_t202" style="position:absolute;left:0;text-align:left;margin-left:1pt;margin-top:233.6pt;width:49.6pt;height:32.2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7B9A6D58" w14:textId="77777777" w:rsidR="008013E1" w:rsidRPr="00EF1826" w:rsidRDefault="008013E1" w:rsidP="003D3840">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E61B959" w14:textId="77777777" w:rsidR="008013E1" w:rsidRPr="00EF1826" w:rsidRDefault="008013E1" w:rsidP="003D384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81" behindDoc="0" locked="0" layoutInCell="1" allowOverlap="1" wp14:anchorId="42DAAADC" wp14:editId="1EDD2CF5">
                      <wp:simplePos x="0" y="0"/>
                      <wp:positionH relativeFrom="column">
                        <wp:posOffset>421005</wp:posOffset>
                      </wp:positionH>
                      <wp:positionV relativeFrom="page">
                        <wp:posOffset>3077210</wp:posOffset>
                      </wp:positionV>
                      <wp:extent cx="629920" cy="306705"/>
                      <wp:effectExtent l="0" t="0" r="0" b="0"/>
                      <wp:wrapNone/>
                      <wp:docPr id="150423981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3427941F" w14:textId="77777777" w:rsidR="008013E1" w:rsidRPr="00EF1826" w:rsidRDefault="008013E1" w:rsidP="003D3840">
                                  <w:pPr>
                                    <w:rPr>
                                      <w:rFonts w:ascii="Arial" w:hAnsi="Arial" w:cs="Arial"/>
                                      <w:b/>
                                      <w:bCs/>
                                      <w:sz w:val="21"/>
                                      <w:szCs w:val="21"/>
                                    </w:rPr>
                                  </w:pPr>
                                  <w:r w:rsidRPr="00EF1826">
                                    <w:rPr>
                                      <w:rFonts w:ascii="Arial" w:hAnsi="Arial" w:cs="Arial"/>
                                      <w:b/>
                                      <w:bCs/>
                                      <w:sz w:val="21"/>
                                      <w:szCs w:val="21"/>
                                    </w:rPr>
                                    <w:t>OK</w:t>
                                  </w:r>
                                </w:p>
                                <w:p w14:paraId="6D6A3097" w14:textId="77777777" w:rsidR="008013E1" w:rsidRPr="00EF1826" w:rsidRDefault="008013E1" w:rsidP="003D3840">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2DAAADC" id="Text Box 59" o:spid="_x0000_s1053" type="#_x0000_t202" style="position:absolute;left:0;text-align:left;margin-left:33.15pt;margin-top:242.3pt;width:49.6pt;height:24.1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" filled="f" stroked="f">
                      <v:textbox style="mso-fit-shape-to-text:t" inset="0,0,0,0">
                        <w:txbxContent>
                          <w:p w14:paraId="3427941F" w14:textId="77777777" w:rsidR="008013E1" w:rsidRPr="00EF1826" w:rsidRDefault="008013E1" w:rsidP="003D3840">
                            <w:pPr>
                              <w:rPr>
                                <w:rFonts w:ascii="Arial" w:hAnsi="Arial" w:cs="Arial"/>
                                <w:b/>
                                <w:bCs/>
                                <w:sz w:val="21"/>
                                <w:szCs w:val="21"/>
                              </w:rPr>
                            </w:pPr>
                            <w:r w:rsidRPr="00EF1826">
                              <w:rPr>
                                <w:rFonts w:ascii="Arial" w:hAnsi="Arial" w:cs="Arial"/>
                                <w:b/>
                                <w:bCs/>
                                <w:sz w:val="21"/>
                                <w:szCs w:val="21"/>
                              </w:rPr>
                              <w:t>OK</w:t>
                            </w:r>
                          </w:p>
                          <w:p w14:paraId="6D6A3097" w14:textId="77777777" w:rsidR="008013E1" w:rsidRPr="00EF1826" w:rsidRDefault="008013E1" w:rsidP="003D3840">
                            <w:pPr>
                              <w:rPr>
                                <w:rFonts w:ascii="Arial" w:hAnsi="Arial" w:cs="Arial"/>
                                <w:b/>
                                <w:bCs/>
                                <w:sz w:val="21"/>
                                <w:szCs w:val="21"/>
                              </w:rPr>
                            </w:pPr>
                          </w:p>
                        </w:txbxContent>
                      </v:textbox>
                      <w10:wrap anchory="page"/>
                    </v:shape>
                  </w:pict>
                </mc:Fallback>
              </mc:AlternateContent>
            </w:r>
            <w:r w:rsidR="000B6025">
              <w:rPr>
                <w:b/>
                <w:bCs/>
                <w:noProof/>
              </w:rPr>
              <w:t>obrázek K</w:t>
            </w:r>
          </w:p>
        </w:tc>
        <w:tc>
          <w:tcPr>
            <w:tcW w:w="5517" w:type="dxa"/>
          </w:tcPr>
          <w:p w14:paraId="5B3B2C79" w14:textId="77777777" w:rsidR="000B6025" w:rsidRDefault="000B6025">
            <w:pPr>
              <w:pStyle w:val="a3"/>
              <w:numPr>
                <w:ilvl w:val="0"/>
                <w:numId w:val="71"/>
              </w:numPr>
              <w:suppressAutoHyphens/>
              <w:autoSpaceDE/>
              <w:autoSpaceDN/>
              <w:ind w:left="567" w:hanging="567"/>
              <w:rPr>
                <w:b/>
              </w:rPr>
            </w:pPr>
            <w:r>
              <w:rPr>
                <w:b/>
              </w:rPr>
              <w:t>Zaveďte předplněnou injekční stříkačku do místa vpichu.</w:t>
            </w:r>
          </w:p>
          <w:p w14:paraId="08261758" w14:textId="77777777" w:rsidR="000B6025" w:rsidRPr="00DB6FD5" w:rsidRDefault="000B6025">
            <w:pPr>
              <w:pStyle w:val="Default"/>
              <w:ind w:left="567" w:hanging="567"/>
              <w:rPr>
                <w:rFonts w:ascii="Times New Roman" w:hAnsi="Times New Roman" w:cs="Times New Roman"/>
                <w:sz w:val="22"/>
                <w:szCs w:val="22"/>
                <w:lang w:val="cs-CZ"/>
              </w:rPr>
            </w:pPr>
          </w:p>
          <w:p w14:paraId="385A4856" w14:textId="77777777" w:rsidR="000B6025" w:rsidRDefault="000B6025">
            <w:pPr>
              <w:pStyle w:val="a3"/>
              <w:numPr>
                <w:ilvl w:val="0"/>
                <w:numId w:val="82"/>
              </w:numPr>
              <w:autoSpaceDE/>
              <w:autoSpaceDN/>
              <w:ind w:left="567" w:hanging="567"/>
              <w:rPr>
                <w:color w:val="231F20"/>
              </w:rPr>
            </w:pPr>
            <w:r>
              <w:rPr>
                <w:color w:val="231F20"/>
              </w:rPr>
              <w:t>Jednou rukou jemně stiskněte záhyb kůže v místě vpichu.</w:t>
            </w:r>
          </w:p>
          <w:p w14:paraId="7A95DC03" w14:textId="77777777" w:rsidR="000B6025" w:rsidRDefault="000B6025">
            <w:pPr>
              <w:pStyle w:val="a3"/>
              <w:ind w:left="567" w:hanging="567"/>
              <w:rPr>
                <w:color w:val="231F20"/>
              </w:rPr>
            </w:pPr>
          </w:p>
          <w:p w14:paraId="622657F3" w14:textId="16A049D6" w:rsidR="000B6025" w:rsidRDefault="000B6025">
            <w:pPr>
              <w:pStyle w:val="a3"/>
              <w:ind w:left="567"/>
              <w:rPr>
                <w:color w:val="231F20"/>
              </w:rPr>
            </w:pPr>
            <w:r>
              <w:rPr>
                <w:i/>
              </w:rPr>
              <w:t>Poznámka:</w:t>
            </w:r>
            <w:r w:rsidRPr="00D159C5">
              <w:t xml:space="preserve"> Stisknutí kůže je důležité, abyste zajistili, že injekci </w:t>
            </w:r>
            <w:r w:rsidR="00AF6B48">
              <w:t>podáváte</w:t>
            </w:r>
            <w:r w:rsidRPr="00D159C5">
              <w:t xml:space="preserve"> pod kůži (do tukové oblasti), ale ne hlouběji (do svalu).</w:t>
            </w:r>
          </w:p>
          <w:p w14:paraId="7408DEAA" w14:textId="77777777" w:rsidR="000B6025" w:rsidRDefault="000B6025">
            <w:pPr>
              <w:pStyle w:val="a3"/>
              <w:numPr>
                <w:ilvl w:val="12"/>
                <w:numId w:val="0"/>
              </w:numPr>
              <w:ind w:left="567" w:hanging="567"/>
              <w:rPr>
                <w:bCs/>
                <w:noProof/>
                <w:lang w:eastAsia="ko-KR"/>
              </w:rPr>
            </w:pPr>
          </w:p>
          <w:p w14:paraId="13531459" w14:textId="77777777" w:rsidR="000B6025" w:rsidRPr="00D159C5" w:rsidRDefault="000B6025">
            <w:pPr>
              <w:pStyle w:val="a3"/>
              <w:numPr>
                <w:ilvl w:val="0"/>
                <w:numId w:val="70"/>
              </w:numPr>
              <w:suppressAutoHyphens/>
              <w:autoSpaceDE/>
              <w:autoSpaceDN/>
              <w:ind w:left="1134" w:hanging="567"/>
            </w:pPr>
            <w:r>
              <w:rPr>
                <w:bCs/>
              </w:rPr>
              <w:t>Nikdy</w:t>
            </w:r>
            <w:r>
              <w:rPr>
                <w:b/>
              </w:rPr>
              <w:t xml:space="preserve"> netahejte</w:t>
            </w:r>
            <w:r w:rsidRPr="00D159C5">
              <w:t xml:space="preserve"> za píst.</w:t>
            </w:r>
          </w:p>
          <w:p w14:paraId="75406615" w14:textId="77777777" w:rsidR="000B6025" w:rsidRDefault="000B6025">
            <w:pPr>
              <w:pStyle w:val="a3"/>
              <w:ind w:left="567" w:hanging="567"/>
              <w:rPr>
                <w:color w:val="231F20"/>
              </w:rPr>
            </w:pPr>
          </w:p>
          <w:p w14:paraId="429925F8" w14:textId="77777777" w:rsidR="000B6025" w:rsidRDefault="000B6025">
            <w:pPr>
              <w:pStyle w:val="a3"/>
              <w:numPr>
                <w:ilvl w:val="0"/>
                <w:numId w:val="82"/>
              </w:numPr>
              <w:autoSpaceDE/>
              <w:autoSpaceDN/>
              <w:ind w:left="567" w:hanging="567"/>
              <w:rPr>
                <w:color w:val="231F20"/>
              </w:rPr>
            </w:pPr>
            <w:r>
              <w:rPr>
                <w:color w:val="231F20"/>
              </w:rPr>
              <w:t>Rychlým a „šipkovitým“ pohybem zaveďte jehlu zcela do kožního záhybu pod úhlem 45</w:t>
            </w:r>
            <w:r>
              <w:rPr>
                <w:color w:val="231F20"/>
                <w:vertAlign w:val="superscript"/>
              </w:rPr>
              <w:t>o</w:t>
            </w:r>
            <w:r>
              <w:rPr>
                <w:color w:val="231F20"/>
              </w:rPr>
              <w:t xml:space="preserve"> - 90</w:t>
            </w:r>
            <w:r>
              <w:rPr>
                <w:color w:val="231F20"/>
                <w:vertAlign w:val="superscript"/>
              </w:rPr>
              <w:t>o</w:t>
            </w:r>
            <w:r>
              <w:rPr>
                <w:color w:val="231F20"/>
              </w:rPr>
              <w:t xml:space="preserve"> (viz </w:t>
            </w:r>
            <w:r>
              <w:rPr>
                <w:b/>
                <w:color w:val="231F20"/>
              </w:rPr>
              <w:t>obrázek K</w:t>
            </w:r>
            <w:r>
              <w:rPr>
                <w:color w:val="231F20"/>
              </w:rPr>
              <w:t>).</w:t>
            </w:r>
          </w:p>
          <w:p w14:paraId="08527C21" w14:textId="77777777" w:rsidR="000B6025" w:rsidRDefault="000B6025">
            <w:pPr>
              <w:pStyle w:val="a3"/>
              <w:ind w:left="567" w:hanging="567"/>
              <w:rPr>
                <w:bCs/>
                <w:i/>
                <w:iCs/>
                <w:noProof/>
                <w:lang w:eastAsia="ko-KR"/>
              </w:rPr>
            </w:pPr>
          </w:p>
          <w:p w14:paraId="5F70BA14" w14:textId="77777777" w:rsidR="000B6025" w:rsidRDefault="000B6025">
            <w:pPr>
              <w:pStyle w:val="a3"/>
              <w:ind w:left="567"/>
              <w:rPr>
                <w:bCs/>
                <w:noProof/>
              </w:rPr>
            </w:pPr>
            <w:r>
              <w:rPr>
                <w:i/>
              </w:rPr>
              <w:t>Poznámka:</w:t>
            </w:r>
            <w:r w:rsidRPr="00D159C5">
              <w:t xml:space="preserve"> Je důležité použít správný úhel, aby se lé</w:t>
            </w:r>
            <w:r>
              <w:t>čivý přípravek</w:t>
            </w:r>
            <w:r w:rsidRPr="00D159C5">
              <w:t xml:space="preserve"> dostal pod kůži (do tukové tkáně), jinak by injekce mohla být bolestivá a lé</w:t>
            </w:r>
            <w:r>
              <w:t>čivý přípravek</w:t>
            </w:r>
            <w:r w:rsidRPr="00D159C5">
              <w:t xml:space="preserve"> by nemusel účinkovat.</w:t>
            </w:r>
          </w:p>
          <w:p w14:paraId="029F8509" w14:textId="77777777" w:rsidR="000B6025" w:rsidRDefault="000B6025">
            <w:pPr>
              <w:pStyle w:val="a3"/>
              <w:ind w:left="567" w:hanging="567"/>
              <w:rPr>
                <w:color w:val="231F20"/>
              </w:rPr>
            </w:pPr>
          </w:p>
          <w:p w14:paraId="3CBF4FBC" w14:textId="77777777" w:rsidR="000B6025" w:rsidRPr="00D159C5" w:rsidRDefault="000B6025">
            <w:pPr>
              <w:pStyle w:val="a3"/>
              <w:numPr>
                <w:ilvl w:val="0"/>
                <w:numId w:val="70"/>
              </w:numPr>
              <w:suppressAutoHyphens/>
              <w:autoSpaceDE/>
              <w:autoSpaceDN/>
              <w:ind w:left="1134" w:hanging="567"/>
            </w:pPr>
            <w:r w:rsidRPr="00D159C5">
              <w:t xml:space="preserve">Při zavádění jehly do kůže </w:t>
            </w:r>
            <w:r>
              <w:rPr>
                <w:b/>
                <w:bCs/>
              </w:rPr>
              <w:t>se nedotýkejte</w:t>
            </w:r>
            <w:r w:rsidRPr="00D159C5">
              <w:t xml:space="preserve"> pístu.</w:t>
            </w:r>
          </w:p>
          <w:p w14:paraId="2DF04D3C" w14:textId="77777777" w:rsidR="000B6025" w:rsidRPr="00793A19" w:rsidRDefault="000B6025" w:rsidP="000B6025"/>
        </w:tc>
      </w:tr>
      <w:tr w:rsidR="00B8592C" w:rsidRPr="000821BB" w14:paraId="7DEDC14B" w14:textId="77777777">
        <w:trPr>
          <w:cantSplit/>
        </w:trPr>
        <w:tc>
          <w:tcPr>
            <w:tcW w:w="3539" w:type="dxa"/>
          </w:tcPr>
          <w:p w14:paraId="1C2ADE69" w14:textId="4E28D923" w:rsidR="000B6025" w:rsidRDefault="00C301E6">
            <w:pPr>
              <w:suppressAutoHyphens/>
              <w:jc w:val="right"/>
              <w:rPr>
                <w:noProof/>
              </w:rPr>
            </w:pPr>
            <w:r>
              <w:rPr>
                <w:noProof/>
                <w:lang w:val="en-US" w:eastAsia="ko-KR"/>
              </w:rPr>
              <w:lastRenderedPageBreak/>
              <w:drawing>
                <wp:inline distT="0" distB="0" distL="0" distR="0" wp14:anchorId="4970736E" wp14:editId="076A5047">
                  <wp:extent cx="2105025" cy="2594610"/>
                  <wp:effectExtent l="19050" t="19050" r="9525" b="0"/>
                  <wp:docPr id="18"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2594610"/>
                          </a:xfrm>
                          <a:prstGeom prst="rect">
                            <a:avLst/>
                          </a:prstGeom>
                          <a:noFill/>
                          <a:ln w="9525" cmpd="sng">
                            <a:solidFill>
                              <a:srgbClr val="000000"/>
                            </a:solidFill>
                            <a:miter lim="800000"/>
                            <a:headEnd/>
                            <a:tailEnd/>
                          </a:ln>
                          <a:effectLst/>
                        </pic:spPr>
                      </pic:pic>
                    </a:graphicData>
                  </a:graphic>
                </wp:inline>
              </w:drawing>
            </w:r>
          </w:p>
          <w:p w14:paraId="33A31120" w14:textId="5EFF4160" w:rsidR="000B6025" w:rsidRDefault="000B6025">
            <w:pPr>
              <w:suppressAutoHyphens/>
              <w:jc w:val="right"/>
              <w:rPr>
                <w:b/>
                <w:bCs/>
                <w:noProof/>
              </w:rPr>
            </w:pPr>
            <w:r>
              <w:rPr>
                <w:b/>
                <w:bCs/>
                <w:noProof/>
              </w:rPr>
              <w:t>obrázek L</w:t>
            </w:r>
          </w:p>
        </w:tc>
        <w:tc>
          <w:tcPr>
            <w:tcW w:w="5517" w:type="dxa"/>
          </w:tcPr>
          <w:p w14:paraId="6121606A" w14:textId="1E3D4427" w:rsidR="000B6025" w:rsidRDefault="00136D0C">
            <w:pPr>
              <w:pStyle w:val="a3"/>
              <w:numPr>
                <w:ilvl w:val="0"/>
                <w:numId w:val="71"/>
              </w:numPr>
              <w:suppressAutoHyphens/>
              <w:autoSpaceDE/>
              <w:autoSpaceDN/>
              <w:ind w:left="567" w:hanging="567"/>
              <w:rPr>
                <w:b/>
              </w:rPr>
            </w:pPr>
            <w:r>
              <w:rPr>
                <w:b/>
              </w:rPr>
              <w:t>Podejte</w:t>
            </w:r>
            <w:r w:rsidR="000B6025">
              <w:rPr>
                <w:b/>
              </w:rPr>
              <w:t xml:space="preserve"> injekci.</w:t>
            </w:r>
          </w:p>
          <w:p w14:paraId="587CA99C" w14:textId="77777777" w:rsidR="000B6025" w:rsidRDefault="000B6025">
            <w:pPr>
              <w:pStyle w:val="Default"/>
              <w:ind w:left="567" w:hanging="567"/>
              <w:rPr>
                <w:rFonts w:ascii="Times New Roman" w:hAnsi="Times New Roman" w:cs="Times New Roman"/>
                <w:sz w:val="22"/>
                <w:szCs w:val="22"/>
              </w:rPr>
            </w:pPr>
          </w:p>
          <w:p w14:paraId="4183B41E" w14:textId="77777777" w:rsidR="000B6025" w:rsidRDefault="000B6025">
            <w:pPr>
              <w:pStyle w:val="a3"/>
              <w:numPr>
                <w:ilvl w:val="0"/>
                <w:numId w:val="83"/>
              </w:numPr>
              <w:autoSpaceDE/>
              <w:autoSpaceDN/>
              <w:ind w:left="567" w:hanging="567"/>
              <w:rPr>
                <w:bCs/>
              </w:rPr>
            </w:pPr>
            <w:r w:rsidRPr="00D159C5">
              <w:t>Po zavedení jehly uvolněte stisknutou kůži.</w:t>
            </w:r>
          </w:p>
          <w:p w14:paraId="74A1B2B2" w14:textId="77777777" w:rsidR="000B6025" w:rsidRDefault="000B6025">
            <w:pPr>
              <w:pStyle w:val="a3"/>
              <w:numPr>
                <w:ilvl w:val="0"/>
                <w:numId w:val="83"/>
              </w:numPr>
              <w:autoSpaceDE/>
              <w:autoSpaceDN/>
              <w:ind w:left="567" w:hanging="567"/>
              <w:rPr>
                <w:bCs/>
              </w:rPr>
            </w:pPr>
            <w:r w:rsidRPr="00D159C5">
              <w:t xml:space="preserve">Pomalu tlačte píst až dolů, dokud se nevstříkne celá dávka léčivého přípravku a stříkačka nebude prázdná (viz </w:t>
            </w:r>
            <w:r>
              <w:rPr>
                <w:b/>
              </w:rPr>
              <w:t>obrázek L</w:t>
            </w:r>
            <w:r w:rsidRPr="00D159C5">
              <w:t>).</w:t>
            </w:r>
          </w:p>
          <w:p w14:paraId="7A5141A9" w14:textId="77777777" w:rsidR="000B6025" w:rsidRDefault="000B6025">
            <w:pPr>
              <w:pStyle w:val="a3"/>
              <w:numPr>
                <w:ilvl w:val="12"/>
                <w:numId w:val="0"/>
              </w:numPr>
              <w:ind w:left="567" w:hanging="567"/>
              <w:rPr>
                <w:bCs/>
                <w:noProof/>
                <w:lang w:eastAsia="ko-KR"/>
              </w:rPr>
            </w:pPr>
          </w:p>
          <w:p w14:paraId="1A50D8EC" w14:textId="77777777" w:rsidR="000B6025" w:rsidRPr="00D159C5" w:rsidRDefault="000B6025">
            <w:pPr>
              <w:pStyle w:val="a3"/>
              <w:numPr>
                <w:ilvl w:val="0"/>
                <w:numId w:val="70"/>
              </w:numPr>
              <w:suppressAutoHyphens/>
              <w:autoSpaceDE/>
              <w:autoSpaceDN/>
              <w:ind w:left="1134" w:hanging="567"/>
            </w:pPr>
            <w:r w:rsidRPr="00D159C5">
              <w:t>Pokud píst nelze stisknout, zlikvidujte předplněnou injekční stříkačku a použijte novou předplněnou injekční stříkačku.</w:t>
            </w:r>
          </w:p>
          <w:p w14:paraId="2A9E9833" w14:textId="77777777" w:rsidR="000B6025" w:rsidRPr="00D159C5" w:rsidRDefault="000B6025">
            <w:pPr>
              <w:pStyle w:val="a3"/>
              <w:numPr>
                <w:ilvl w:val="0"/>
                <w:numId w:val="70"/>
              </w:numPr>
              <w:suppressAutoHyphens/>
              <w:autoSpaceDE/>
              <w:autoSpaceDN/>
              <w:ind w:left="1134" w:hanging="567"/>
            </w:pPr>
            <w:r w:rsidRPr="00D159C5">
              <w:t xml:space="preserve">Jakmile zahájíte injekci, </w:t>
            </w:r>
            <w:r>
              <w:rPr>
                <w:b/>
                <w:bCs/>
              </w:rPr>
              <w:t>neměňte</w:t>
            </w:r>
            <w:r w:rsidRPr="00D159C5">
              <w:t xml:space="preserve"> polohu předplněné injekční stříkačky.</w:t>
            </w:r>
          </w:p>
          <w:p w14:paraId="2141946D" w14:textId="77777777" w:rsidR="000B6025" w:rsidRPr="00D159C5" w:rsidRDefault="000B6025">
            <w:pPr>
              <w:pStyle w:val="a3"/>
              <w:numPr>
                <w:ilvl w:val="0"/>
                <w:numId w:val="70"/>
              </w:numPr>
              <w:suppressAutoHyphens/>
              <w:autoSpaceDE/>
              <w:autoSpaceDN/>
              <w:ind w:left="1134" w:hanging="567"/>
            </w:pPr>
            <w:r w:rsidRPr="00D159C5">
              <w:t>Pokud není píst zcela stisknut, chránič jehly se po vyjmutí jehly nevysune a nezakryje ji.</w:t>
            </w:r>
          </w:p>
          <w:p w14:paraId="6BE7E067" w14:textId="77777777" w:rsidR="000B6025" w:rsidRPr="00D159C5" w:rsidRDefault="000B6025">
            <w:pPr>
              <w:pStyle w:val="a3"/>
              <w:numPr>
                <w:ilvl w:val="0"/>
                <w:numId w:val="70"/>
              </w:numPr>
              <w:suppressAutoHyphens/>
              <w:autoSpaceDE/>
              <w:autoSpaceDN/>
              <w:ind w:left="1134" w:hanging="567"/>
            </w:pPr>
            <w:r w:rsidRPr="00D159C5">
              <w:t xml:space="preserve">Pokud není jehla zakrytá, pokračujte v opatrné likvidaci stříkačky (viz </w:t>
            </w:r>
            <w:r>
              <w:rPr>
                <w:b/>
              </w:rPr>
              <w:t xml:space="preserve">krok 14. </w:t>
            </w:r>
            <w:r>
              <w:rPr>
                <w:b/>
                <w:bCs/>
              </w:rPr>
              <w:t>Likvidace předplněné injekční stříkačky</w:t>
            </w:r>
            <w:r>
              <w:t>)</w:t>
            </w:r>
            <w:r w:rsidRPr="00D159C5">
              <w:t>.</w:t>
            </w:r>
          </w:p>
          <w:p w14:paraId="276C39AF" w14:textId="77777777" w:rsidR="000B6025" w:rsidRPr="00793A19" w:rsidRDefault="000B6025" w:rsidP="000B6025"/>
        </w:tc>
      </w:tr>
      <w:tr w:rsidR="00B8592C" w:rsidRPr="000821BB" w14:paraId="367C27A2" w14:textId="77777777">
        <w:trPr>
          <w:cantSplit/>
        </w:trPr>
        <w:tc>
          <w:tcPr>
            <w:tcW w:w="3539" w:type="dxa"/>
          </w:tcPr>
          <w:p w14:paraId="251D4878" w14:textId="37D58C08" w:rsidR="000B6025" w:rsidRDefault="00C301E6">
            <w:pPr>
              <w:suppressAutoHyphens/>
              <w:jc w:val="right"/>
              <w:rPr>
                <w:noProof/>
              </w:rPr>
            </w:pPr>
            <w:r>
              <w:rPr>
                <w:noProof/>
                <w:lang w:val="en-US" w:eastAsia="ko-KR"/>
              </w:rPr>
              <w:drawing>
                <wp:inline distT="0" distB="0" distL="0" distR="0" wp14:anchorId="2DC87E68" wp14:editId="488BD775">
                  <wp:extent cx="2073275" cy="2583815"/>
                  <wp:effectExtent l="19050" t="19050" r="3175" b="6985"/>
                  <wp:docPr id="19"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3275" cy="2583815"/>
                          </a:xfrm>
                          <a:prstGeom prst="rect">
                            <a:avLst/>
                          </a:prstGeom>
                          <a:noFill/>
                          <a:ln w="9525" cmpd="sng">
                            <a:solidFill>
                              <a:srgbClr val="000000"/>
                            </a:solidFill>
                            <a:miter lim="800000"/>
                            <a:headEnd/>
                            <a:tailEnd/>
                          </a:ln>
                          <a:effectLst/>
                        </pic:spPr>
                      </pic:pic>
                    </a:graphicData>
                  </a:graphic>
                </wp:inline>
              </w:drawing>
            </w:r>
          </w:p>
          <w:p w14:paraId="6F71DE8F" w14:textId="76C80D20" w:rsidR="000B6025" w:rsidRDefault="000B6025">
            <w:pPr>
              <w:suppressAutoHyphens/>
              <w:jc w:val="right"/>
              <w:rPr>
                <w:b/>
                <w:bCs/>
                <w:noProof/>
              </w:rPr>
            </w:pPr>
            <w:r>
              <w:rPr>
                <w:b/>
                <w:bCs/>
                <w:noProof/>
              </w:rPr>
              <w:t>obrázek M</w:t>
            </w:r>
          </w:p>
        </w:tc>
        <w:tc>
          <w:tcPr>
            <w:tcW w:w="5517" w:type="dxa"/>
          </w:tcPr>
          <w:p w14:paraId="0E66725F" w14:textId="77777777" w:rsidR="000B6025" w:rsidRDefault="000B6025">
            <w:pPr>
              <w:pStyle w:val="a3"/>
              <w:numPr>
                <w:ilvl w:val="0"/>
                <w:numId w:val="71"/>
              </w:numPr>
              <w:suppressAutoHyphens/>
              <w:autoSpaceDE/>
              <w:autoSpaceDN/>
              <w:ind w:left="567" w:hanging="567"/>
              <w:rPr>
                <w:b/>
              </w:rPr>
            </w:pPr>
            <w:r>
              <w:rPr>
                <w:b/>
              </w:rPr>
              <w:t>Vyjměte předplněnou injekční stříkačku z místa vpichu.</w:t>
            </w:r>
          </w:p>
          <w:p w14:paraId="0B3E4E9A" w14:textId="77777777" w:rsidR="000B6025" w:rsidRPr="00DB6FD5" w:rsidRDefault="000B6025">
            <w:pPr>
              <w:pStyle w:val="Default"/>
              <w:ind w:left="567" w:hanging="567"/>
              <w:rPr>
                <w:rFonts w:ascii="Times New Roman" w:hAnsi="Times New Roman" w:cs="Times New Roman"/>
                <w:sz w:val="22"/>
                <w:szCs w:val="22"/>
                <w:lang w:val="cs-CZ"/>
              </w:rPr>
            </w:pPr>
          </w:p>
          <w:p w14:paraId="705A243D" w14:textId="77777777" w:rsidR="000B6025" w:rsidRDefault="000B6025">
            <w:pPr>
              <w:pStyle w:val="a3"/>
              <w:numPr>
                <w:ilvl w:val="0"/>
                <w:numId w:val="84"/>
              </w:numPr>
              <w:autoSpaceDE/>
              <w:autoSpaceDN/>
              <w:ind w:left="567" w:hanging="567"/>
              <w:rPr>
                <w:bCs/>
              </w:rPr>
            </w:pPr>
            <w:r w:rsidRPr="00D159C5">
              <w:t xml:space="preserve">Po vyprázdnění předplněné injekční stříkačky vyjměte jehlu z místa vpichu a uvolněte píst, dokud není celá jehla zakryta </w:t>
            </w:r>
            <w:r>
              <w:t>chráničem</w:t>
            </w:r>
            <w:r w:rsidRPr="00D159C5">
              <w:t xml:space="preserve"> (viz </w:t>
            </w:r>
            <w:r>
              <w:rPr>
                <w:b/>
                <w:bCs/>
              </w:rPr>
              <w:t>obrázek M</w:t>
            </w:r>
            <w:r w:rsidRPr="00D159C5">
              <w:t>).</w:t>
            </w:r>
          </w:p>
          <w:p w14:paraId="4D2D1E23" w14:textId="77777777" w:rsidR="000B6025" w:rsidRPr="00D159C5" w:rsidRDefault="000B6025">
            <w:pPr>
              <w:pStyle w:val="a3"/>
              <w:numPr>
                <w:ilvl w:val="0"/>
                <w:numId w:val="70"/>
              </w:numPr>
              <w:suppressAutoHyphens/>
              <w:autoSpaceDE/>
              <w:autoSpaceDN/>
              <w:ind w:left="1134" w:hanging="567"/>
            </w:pPr>
            <w:r w:rsidRPr="00D159C5">
              <w:t xml:space="preserve">Může dojít ke krvácení (viz </w:t>
            </w:r>
            <w:r>
              <w:rPr>
                <w:b/>
                <w:bCs/>
              </w:rPr>
              <w:t>krok 13 Péče o místo vpichu</w:t>
            </w:r>
            <w:r w:rsidRPr="00D159C5">
              <w:t>).</w:t>
            </w:r>
          </w:p>
          <w:p w14:paraId="56EA06CB" w14:textId="77777777" w:rsidR="000B6025" w:rsidRPr="00D159C5" w:rsidRDefault="000B6025">
            <w:pPr>
              <w:pStyle w:val="a3"/>
              <w:numPr>
                <w:ilvl w:val="0"/>
                <w:numId w:val="70"/>
              </w:numPr>
              <w:suppressAutoHyphens/>
              <w:autoSpaceDE/>
              <w:autoSpaceDN/>
              <w:ind w:left="1134" w:hanging="567"/>
            </w:pPr>
            <w:r w:rsidRPr="00D159C5">
              <w:t xml:space="preserve">V případě kontaktu léčivého přípravku s kůží omyjte </w:t>
            </w:r>
            <w:r>
              <w:t xml:space="preserve">vodou </w:t>
            </w:r>
            <w:r w:rsidRPr="00D159C5">
              <w:t>místo, které se dotklo léčivého přípravku.</w:t>
            </w:r>
          </w:p>
          <w:p w14:paraId="6B139108" w14:textId="77777777" w:rsidR="000B6025" w:rsidRPr="00D159C5" w:rsidRDefault="000B6025">
            <w:pPr>
              <w:pStyle w:val="a3"/>
              <w:numPr>
                <w:ilvl w:val="0"/>
                <w:numId w:val="70"/>
              </w:numPr>
              <w:suppressAutoHyphens/>
              <w:autoSpaceDE/>
              <w:autoSpaceDN/>
              <w:ind w:left="1134" w:hanging="567"/>
            </w:pPr>
            <w:r>
              <w:rPr>
                <w:b/>
                <w:bCs/>
              </w:rPr>
              <w:t>Nepoužívejte</w:t>
            </w:r>
            <w:r w:rsidRPr="00D159C5">
              <w:t xml:space="preserve"> opakovaně tutéž předplněnou injekční stříkačku.</w:t>
            </w:r>
          </w:p>
          <w:p w14:paraId="7435293E" w14:textId="77777777" w:rsidR="000B6025" w:rsidRPr="00BD6707" w:rsidRDefault="000B6025" w:rsidP="000B6025"/>
        </w:tc>
      </w:tr>
    </w:tbl>
    <w:p w14:paraId="54095249" w14:textId="77777777" w:rsidR="003D3840" w:rsidRDefault="003D3840" w:rsidP="003D3840"/>
    <w:p w14:paraId="08DB9C41" w14:textId="77777777" w:rsidR="000B6025" w:rsidRPr="00D159C5" w:rsidRDefault="000B6025" w:rsidP="000B6025">
      <w:pPr>
        <w:keepNext/>
        <w:rPr>
          <w:b/>
          <w:bCs/>
        </w:rPr>
      </w:pPr>
      <w:r w:rsidRPr="00D159C5">
        <w:rPr>
          <w:b/>
        </w:rPr>
        <w:t>Po injekci</w:t>
      </w:r>
    </w:p>
    <w:p w14:paraId="04460E3B" w14:textId="77777777" w:rsidR="003D3840" w:rsidRDefault="003D3840" w:rsidP="003D384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8592C" w:rsidRPr="00BD6707" w14:paraId="3F38B4F3" w14:textId="77777777">
        <w:trPr>
          <w:cantSplit/>
        </w:trPr>
        <w:tc>
          <w:tcPr>
            <w:tcW w:w="9056" w:type="dxa"/>
            <w:gridSpan w:val="2"/>
          </w:tcPr>
          <w:p w14:paraId="2F58230C" w14:textId="77777777" w:rsidR="000B6025" w:rsidRDefault="000B6025">
            <w:pPr>
              <w:pStyle w:val="a3"/>
              <w:numPr>
                <w:ilvl w:val="0"/>
                <w:numId w:val="71"/>
              </w:numPr>
              <w:suppressAutoHyphens/>
              <w:autoSpaceDE/>
              <w:autoSpaceDN/>
              <w:ind w:left="567" w:hanging="567"/>
              <w:rPr>
                <w:b/>
              </w:rPr>
            </w:pPr>
            <w:r>
              <w:rPr>
                <w:b/>
              </w:rPr>
              <w:t>Péče o místo vpichu.</w:t>
            </w:r>
          </w:p>
          <w:p w14:paraId="634541EC" w14:textId="77777777" w:rsidR="000B6025" w:rsidRDefault="000B6025">
            <w:pPr>
              <w:pStyle w:val="Default"/>
              <w:ind w:left="567" w:hanging="567"/>
              <w:rPr>
                <w:rFonts w:ascii="Times New Roman" w:hAnsi="Times New Roman" w:cs="Times New Roman"/>
                <w:sz w:val="22"/>
                <w:szCs w:val="22"/>
              </w:rPr>
            </w:pPr>
          </w:p>
          <w:p w14:paraId="72FEEE45" w14:textId="77777777" w:rsidR="000B6025" w:rsidRDefault="000B6025">
            <w:pPr>
              <w:pStyle w:val="a3"/>
              <w:numPr>
                <w:ilvl w:val="0"/>
                <w:numId w:val="85"/>
              </w:numPr>
              <w:autoSpaceDE/>
              <w:autoSpaceDN/>
              <w:ind w:left="567" w:hanging="567"/>
              <w:rPr>
                <w:bCs/>
              </w:rPr>
            </w:pPr>
            <w:r w:rsidRPr="00D159C5">
              <w:t>Pokud dojde k drobnému krvácení, ošetřete místo vpichu jemným přitlačením, nikoliv třením, vatového tamponu nebo gázy a v případě potřeby zalepte náplastí.</w:t>
            </w:r>
          </w:p>
          <w:p w14:paraId="3907D0B7" w14:textId="77777777" w:rsidR="000B6025" w:rsidRDefault="000B6025" w:rsidP="00B93217">
            <w:pPr>
              <w:pStyle w:val="a3"/>
              <w:numPr>
                <w:ilvl w:val="0"/>
                <w:numId w:val="70"/>
              </w:numPr>
              <w:suppressAutoHyphens/>
              <w:autoSpaceDE/>
              <w:autoSpaceDN/>
              <w:ind w:left="1134" w:hanging="567"/>
              <w:rPr>
                <w:bCs/>
              </w:rPr>
            </w:pPr>
            <w:r>
              <w:rPr>
                <w:b/>
              </w:rPr>
              <w:t>Neotírejte</w:t>
            </w:r>
            <w:r w:rsidRPr="00D159C5">
              <w:t xml:space="preserve"> místo vpichu.</w:t>
            </w:r>
          </w:p>
          <w:p w14:paraId="1BF27329" w14:textId="77777777" w:rsidR="000B6025" w:rsidRPr="00BD6707" w:rsidRDefault="000B6025" w:rsidP="000B6025"/>
        </w:tc>
      </w:tr>
      <w:tr w:rsidR="00B8592C" w:rsidRPr="00BD6707" w14:paraId="458E0BA4" w14:textId="77777777">
        <w:trPr>
          <w:cantSplit/>
        </w:trPr>
        <w:tc>
          <w:tcPr>
            <w:tcW w:w="3539" w:type="dxa"/>
          </w:tcPr>
          <w:p w14:paraId="7D82ABEF" w14:textId="12A568D0" w:rsidR="00DF1C48" w:rsidRDefault="00C301E6">
            <w:pPr>
              <w:suppressAutoHyphens/>
              <w:jc w:val="right"/>
              <w:rPr>
                <w:noProof/>
              </w:rPr>
            </w:pPr>
            <w:r>
              <w:rPr>
                <w:noProof/>
                <w:lang w:val="en-US" w:eastAsia="ko-KR"/>
              </w:rPr>
              <w:lastRenderedPageBreak/>
              <w:drawing>
                <wp:inline distT="0" distB="0" distL="0" distR="0" wp14:anchorId="41FA7B1C" wp14:editId="2FEF38FF">
                  <wp:extent cx="1945640" cy="2552065"/>
                  <wp:effectExtent l="19050" t="19050" r="0" b="635"/>
                  <wp:docPr id="20"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5640" cy="2552065"/>
                          </a:xfrm>
                          <a:prstGeom prst="rect">
                            <a:avLst/>
                          </a:prstGeom>
                          <a:noFill/>
                          <a:ln w="9525" cmpd="sng">
                            <a:solidFill>
                              <a:srgbClr val="000000"/>
                            </a:solidFill>
                            <a:miter lim="800000"/>
                            <a:headEnd/>
                            <a:tailEnd/>
                          </a:ln>
                          <a:effectLst/>
                        </pic:spPr>
                      </pic:pic>
                    </a:graphicData>
                  </a:graphic>
                </wp:inline>
              </w:drawing>
            </w:r>
          </w:p>
          <w:p w14:paraId="190AF1FA" w14:textId="0364394E" w:rsidR="00DF1C48" w:rsidRDefault="00DF1C48">
            <w:pPr>
              <w:suppressAutoHyphens/>
              <w:jc w:val="right"/>
              <w:rPr>
                <w:b/>
                <w:bCs/>
                <w:noProof/>
              </w:rPr>
            </w:pPr>
            <w:r>
              <w:rPr>
                <w:b/>
                <w:bCs/>
                <w:noProof/>
              </w:rPr>
              <w:t>obrázek N</w:t>
            </w:r>
          </w:p>
        </w:tc>
        <w:tc>
          <w:tcPr>
            <w:tcW w:w="5517" w:type="dxa"/>
          </w:tcPr>
          <w:p w14:paraId="4F62B6E4" w14:textId="77777777" w:rsidR="00DF1C48" w:rsidRDefault="00DF1C48">
            <w:pPr>
              <w:pStyle w:val="a3"/>
              <w:numPr>
                <w:ilvl w:val="0"/>
                <w:numId w:val="71"/>
              </w:numPr>
              <w:suppressAutoHyphens/>
              <w:autoSpaceDE/>
              <w:autoSpaceDN/>
              <w:ind w:left="567" w:hanging="567"/>
              <w:rPr>
                <w:b/>
              </w:rPr>
            </w:pPr>
            <w:r>
              <w:rPr>
                <w:b/>
              </w:rPr>
              <w:t>Likvidace předplněné injekční stříkačky.</w:t>
            </w:r>
          </w:p>
          <w:p w14:paraId="190F2AB0" w14:textId="77777777" w:rsidR="00DF1C48" w:rsidRPr="00DB6FD5" w:rsidRDefault="00DF1C48">
            <w:pPr>
              <w:pStyle w:val="Default"/>
              <w:ind w:left="567" w:hanging="567"/>
              <w:rPr>
                <w:rFonts w:ascii="Times New Roman" w:hAnsi="Times New Roman" w:cs="Times New Roman"/>
                <w:sz w:val="22"/>
                <w:szCs w:val="22"/>
                <w:lang w:val="cs-CZ"/>
              </w:rPr>
            </w:pPr>
          </w:p>
          <w:p w14:paraId="75E55DF4" w14:textId="77777777" w:rsidR="00DF1C48" w:rsidRDefault="00DF1C48">
            <w:pPr>
              <w:pStyle w:val="a3"/>
              <w:numPr>
                <w:ilvl w:val="0"/>
                <w:numId w:val="86"/>
              </w:numPr>
              <w:autoSpaceDE/>
              <w:autoSpaceDN/>
              <w:ind w:left="567" w:hanging="567"/>
              <w:rPr>
                <w:bCs/>
              </w:rPr>
            </w:pPr>
            <w:r w:rsidRPr="00D159C5">
              <w:t xml:space="preserve">Použitou předplněnou injekční stříkačku ihned po použití odložte do </w:t>
            </w:r>
            <w:r>
              <w:t xml:space="preserve">odpadní </w:t>
            </w:r>
            <w:r w:rsidRPr="00D159C5">
              <w:t xml:space="preserve">nádoby na ostré předměty (viz </w:t>
            </w:r>
            <w:r>
              <w:rPr>
                <w:b/>
              </w:rPr>
              <w:t>obrázek N</w:t>
            </w:r>
            <w:r w:rsidRPr="00D159C5">
              <w:t>).</w:t>
            </w:r>
          </w:p>
          <w:p w14:paraId="7B52466F" w14:textId="77777777" w:rsidR="00DF1C48" w:rsidRDefault="00DF1C48">
            <w:pPr>
              <w:pStyle w:val="a3"/>
              <w:ind w:left="567" w:hanging="567"/>
              <w:rPr>
                <w:bCs/>
              </w:rPr>
            </w:pPr>
          </w:p>
          <w:p w14:paraId="1E6506A3" w14:textId="77777777" w:rsidR="00DF1C48" w:rsidRDefault="00DF1C48">
            <w:pPr>
              <w:pStyle w:val="a3"/>
              <w:ind w:left="567"/>
              <w:rPr>
                <w:bCs/>
                <w:noProof/>
              </w:rPr>
            </w:pPr>
            <w:r>
              <w:rPr>
                <w:i/>
              </w:rPr>
              <w:t>Poznámka:</w:t>
            </w:r>
            <w:r w:rsidRPr="00D159C5">
              <w:t xml:space="preserve"> Pokud vám injekci podává jiná osoba, musí být i ona opatrná při vyjímání předplněné injekční stříkačky a její likvidaci, aby nedošlo k náhodnému poranění jehlou a přenosu infekce.</w:t>
            </w:r>
          </w:p>
          <w:p w14:paraId="24BC6DDD" w14:textId="77777777" w:rsidR="00DF1C48" w:rsidRDefault="00DF1C48">
            <w:pPr>
              <w:pStyle w:val="a3"/>
              <w:ind w:left="567" w:hanging="567"/>
              <w:rPr>
                <w:bCs/>
              </w:rPr>
            </w:pPr>
          </w:p>
          <w:p w14:paraId="6BCF782C" w14:textId="77777777" w:rsidR="00DF1C48" w:rsidRPr="00D159C5" w:rsidRDefault="00DF1C48">
            <w:pPr>
              <w:pStyle w:val="a3"/>
              <w:numPr>
                <w:ilvl w:val="0"/>
                <w:numId w:val="70"/>
              </w:numPr>
              <w:suppressAutoHyphens/>
              <w:autoSpaceDE/>
              <w:autoSpaceDN/>
              <w:ind w:left="1134" w:hanging="567"/>
            </w:pPr>
            <w:r w:rsidRPr="00D159C5">
              <w:t>Předplněnou injekční stříkačku opětovně</w:t>
            </w:r>
            <w:r>
              <w:rPr>
                <w:b/>
                <w:bCs/>
              </w:rPr>
              <w:t xml:space="preserve"> nepoužívejte</w:t>
            </w:r>
            <w:r w:rsidRPr="00D159C5">
              <w:t>.</w:t>
            </w:r>
          </w:p>
          <w:p w14:paraId="1142155E" w14:textId="77777777" w:rsidR="00DF1C48" w:rsidRPr="00D159C5" w:rsidRDefault="00DF1C48">
            <w:pPr>
              <w:pStyle w:val="a3"/>
              <w:numPr>
                <w:ilvl w:val="0"/>
                <w:numId w:val="70"/>
              </w:numPr>
              <w:suppressAutoHyphens/>
              <w:autoSpaceDE/>
              <w:autoSpaceDN/>
              <w:ind w:left="1134" w:hanging="567"/>
            </w:pPr>
            <w:r>
              <w:rPr>
                <w:b/>
              </w:rPr>
              <w:t xml:space="preserve">Nenasazujte </w:t>
            </w:r>
            <w:r>
              <w:rPr>
                <w:bCs/>
              </w:rPr>
              <w:t>kryt zpět na</w:t>
            </w:r>
            <w:r>
              <w:rPr>
                <w:b/>
              </w:rPr>
              <w:t xml:space="preserve"> </w:t>
            </w:r>
            <w:r w:rsidRPr="00D159C5">
              <w:t>předplněnou injekční stříkačku.</w:t>
            </w:r>
          </w:p>
          <w:p w14:paraId="2F3A617C" w14:textId="77777777" w:rsidR="00DF1C48" w:rsidRPr="00D159C5" w:rsidRDefault="00DF1C48">
            <w:pPr>
              <w:pStyle w:val="a3"/>
              <w:numPr>
                <w:ilvl w:val="0"/>
                <w:numId w:val="70"/>
              </w:numPr>
              <w:suppressAutoHyphens/>
              <w:autoSpaceDE/>
              <w:autoSpaceDN/>
              <w:ind w:left="1134" w:hanging="567"/>
            </w:pPr>
            <w:r>
              <w:rPr>
                <w:b/>
              </w:rPr>
              <w:t>Nevyhazujte</w:t>
            </w:r>
            <w:r w:rsidRPr="00D159C5">
              <w:t xml:space="preserve"> (nelikvidujte) použitou </w:t>
            </w:r>
            <w:r>
              <w:t xml:space="preserve">odpadní </w:t>
            </w:r>
            <w:r w:rsidRPr="00D159C5">
              <w:t>nádobu na ostré předměty do domácího odpadu.</w:t>
            </w:r>
          </w:p>
          <w:p w14:paraId="6DBA9D92" w14:textId="77777777" w:rsidR="00DF1C48" w:rsidRPr="00D159C5" w:rsidRDefault="00DF1C48">
            <w:pPr>
              <w:pStyle w:val="a3"/>
              <w:numPr>
                <w:ilvl w:val="0"/>
                <w:numId w:val="70"/>
              </w:numPr>
              <w:suppressAutoHyphens/>
              <w:autoSpaceDE/>
              <w:autoSpaceDN/>
              <w:ind w:left="1134" w:hanging="567"/>
            </w:pPr>
            <w:r>
              <w:rPr>
                <w:b/>
              </w:rPr>
              <w:t>Neprovádějte</w:t>
            </w:r>
            <w:r w:rsidRPr="00D159C5">
              <w:t xml:space="preserve"> recyklaci vaší použité </w:t>
            </w:r>
            <w:r>
              <w:t xml:space="preserve">odpadní </w:t>
            </w:r>
            <w:r w:rsidRPr="00D159C5">
              <w:t>nádoby na ostré předměty.</w:t>
            </w:r>
          </w:p>
          <w:p w14:paraId="2B3BEDD7" w14:textId="77777777" w:rsidR="00DF1C48" w:rsidRDefault="00DF1C48">
            <w:pPr>
              <w:pStyle w:val="a3"/>
              <w:numPr>
                <w:ilvl w:val="0"/>
                <w:numId w:val="70"/>
              </w:numPr>
              <w:suppressAutoHyphens/>
              <w:autoSpaceDE/>
              <w:autoSpaceDN/>
              <w:ind w:left="1134" w:hanging="567"/>
              <w:rPr>
                <w:bCs/>
              </w:rPr>
            </w:pPr>
            <w:r w:rsidRPr="00D159C5">
              <w:t>Uchovávejte předplněnou injekční stříkačku Avtozma a odpadní nádobu mimo dosah dětí.</w:t>
            </w:r>
          </w:p>
          <w:p w14:paraId="35201810" w14:textId="77777777" w:rsidR="00DF1C48" w:rsidRDefault="00DF1C48">
            <w:pPr>
              <w:pStyle w:val="a3"/>
              <w:ind w:left="567" w:hanging="567"/>
              <w:rPr>
                <w:bCs/>
              </w:rPr>
            </w:pPr>
          </w:p>
          <w:p w14:paraId="2B47F82D" w14:textId="673FA9B2" w:rsidR="00DF1C48" w:rsidRPr="00D159C5" w:rsidRDefault="00DF1C48" w:rsidP="00DF1C48">
            <w:r w:rsidRPr="00D159C5">
              <w:t xml:space="preserve">Plnou nádobu zlikvidujte podle pokynů svého lékaře nebo lékárníka. Pokud nemáte </w:t>
            </w:r>
            <w:r>
              <w:t xml:space="preserve">odpadní </w:t>
            </w:r>
            <w:r w:rsidRPr="00D159C5">
              <w:t>nádobu na ostré předměty, můžete použít domácí nádobu, která je uzavíratelná a odolná proti propíchnutí. Jakýkoli nepoužitý léčivý přípravek nebo odpadní materiál m</w:t>
            </w:r>
            <w:r w:rsidR="00136D0C">
              <w:t>á</w:t>
            </w:r>
            <w:r w:rsidRPr="00D159C5">
              <w:t xml:space="preserve"> být zlikvidován v souladu s místními požadavky.</w:t>
            </w:r>
          </w:p>
          <w:p w14:paraId="30FF19D0" w14:textId="77777777" w:rsidR="00DF1C48" w:rsidRPr="00D4523B" w:rsidRDefault="00DF1C48" w:rsidP="00DF1C48"/>
        </w:tc>
      </w:tr>
      <w:tr w:rsidR="00B8592C" w:rsidRPr="00BD6707" w14:paraId="3AB5D909" w14:textId="77777777">
        <w:trPr>
          <w:cantSplit/>
        </w:trPr>
        <w:tc>
          <w:tcPr>
            <w:tcW w:w="9056" w:type="dxa"/>
            <w:gridSpan w:val="2"/>
          </w:tcPr>
          <w:p w14:paraId="589CE77B" w14:textId="77777777" w:rsidR="00DF1C48" w:rsidRDefault="00DF1C48">
            <w:pPr>
              <w:pStyle w:val="a3"/>
              <w:numPr>
                <w:ilvl w:val="0"/>
                <w:numId w:val="71"/>
              </w:numPr>
              <w:autoSpaceDE/>
              <w:autoSpaceDN/>
              <w:ind w:left="567" w:hanging="567"/>
              <w:rPr>
                <w:b/>
              </w:rPr>
            </w:pPr>
            <w:r>
              <w:rPr>
                <w:b/>
              </w:rPr>
              <w:t>Zaznamenejte injekci.</w:t>
            </w:r>
          </w:p>
          <w:p w14:paraId="16694954" w14:textId="77777777" w:rsidR="00DF1C48" w:rsidRDefault="00DF1C48">
            <w:pPr>
              <w:pStyle w:val="Default"/>
              <w:ind w:left="567" w:hanging="567"/>
              <w:rPr>
                <w:rFonts w:ascii="Times New Roman" w:hAnsi="Times New Roman" w:cs="Times New Roman"/>
                <w:sz w:val="22"/>
                <w:szCs w:val="22"/>
              </w:rPr>
            </w:pPr>
          </w:p>
          <w:p w14:paraId="602EE7B7" w14:textId="105E0E46" w:rsidR="00DF1C48" w:rsidRPr="00D159C5" w:rsidRDefault="00DF1C48">
            <w:pPr>
              <w:pStyle w:val="a3"/>
              <w:numPr>
                <w:ilvl w:val="0"/>
                <w:numId w:val="88"/>
              </w:numPr>
              <w:autoSpaceDE/>
              <w:autoSpaceDN/>
              <w:ind w:left="567" w:hanging="567"/>
            </w:pPr>
            <w:r w:rsidRPr="00D159C5">
              <w:t xml:space="preserve">Napište datum, čas a konkrétní část těla, kam jste si injekci </w:t>
            </w:r>
            <w:r w:rsidR="00136D0C">
              <w:t>podal(a)</w:t>
            </w:r>
            <w:r w:rsidRPr="00D159C5">
              <w:t>.</w:t>
            </w:r>
          </w:p>
          <w:p w14:paraId="15F6DE2B" w14:textId="77777777" w:rsidR="00DF1C48" w:rsidRDefault="00DF1C48" w:rsidP="00DF1C48">
            <w:pPr>
              <w:rPr>
                <w:highlight w:val="green"/>
              </w:rPr>
            </w:pPr>
          </w:p>
        </w:tc>
      </w:tr>
    </w:tbl>
    <w:p w14:paraId="293C4DFD" w14:textId="4715F0E4" w:rsidR="00222DE0" w:rsidRPr="0012304F" w:rsidRDefault="003D3840" w:rsidP="0012304F">
      <w:pPr>
        <w:jc w:val="center"/>
        <w:rPr>
          <w:b/>
          <w:bCs/>
        </w:rPr>
      </w:pPr>
      <w:r w:rsidRPr="00C017D7">
        <w:rPr>
          <w:lang w:eastAsia="ko-KR"/>
        </w:rPr>
        <w:br w:type="page"/>
      </w:r>
      <w:r w:rsidR="0098273B" w:rsidRPr="0012304F">
        <w:rPr>
          <w:b/>
          <w:bCs/>
        </w:rPr>
        <w:lastRenderedPageBreak/>
        <w:t>Příbalová informace: informace pro uživatele</w:t>
      </w:r>
    </w:p>
    <w:p w14:paraId="09889DE2" w14:textId="77777777" w:rsidR="00222DE0" w:rsidRPr="00EE3355" w:rsidRDefault="00222DE0" w:rsidP="00EA1CDF">
      <w:pPr>
        <w:pStyle w:val="a3"/>
        <w:widowControl/>
        <w:ind w:left="0"/>
        <w:jc w:val="center"/>
        <w:rPr>
          <w:b/>
        </w:rPr>
      </w:pPr>
    </w:p>
    <w:p w14:paraId="591D98B4" w14:textId="29A3FB34" w:rsidR="00222DE0" w:rsidRPr="00EE3355" w:rsidRDefault="003E54FF" w:rsidP="00EA1CDF">
      <w:pPr>
        <w:widowControl/>
        <w:jc w:val="center"/>
        <w:rPr>
          <w:b/>
        </w:rPr>
      </w:pPr>
      <w:r>
        <w:rPr>
          <w:b/>
        </w:rPr>
        <w:t>Avtozma</w:t>
      </w:r>
      <w:r w:rsidR="0098273B" w:rsidRPr="00EE3355">
        <w:rPr>
          <w:b/>
        </w:rPr>
        <w:t xml:space="preserve"> 162 mg injekční roztok v předplněném peru </w:t>
      </w:r>
    </w:p>
    <w:p w14:paraId="5F7814AB" w14:textId="12E8D53B" w:rsidR="00222DE0" w:rsidRPr="008A10A6" w:rsidRDefault="0098273B" w:rsidP="00EA1CDF">
      <w:pPr>
        <w:pStyle w:val="a3"/>
        <w:widowControl/>
        <w:ind w:left="0"/>
        <w:jc w:val="center"/>
        <w:rPr>
          <w:rFonts w:eastAsia="맑은 고딕"/>
          <w:lang w:eastAsia="ko-KR"/>
        </w:rPr>
      </w:pPr>
      <w:r w:rsidRPr="00EE3355">
        <w:t>tocilizumab</w:t>
      </w:r>
    </w:p>
    <w:p w14:paraId="1CBDD7D0" w14:textId="77777777" w:rsidR="00222DE0" w:rsidRDefault="00222DE0" w:rsidP="00EA1CDF">
      <w:pPr>
        <w:pStyle w:val="a3"/>
        <w:widowControl/>
        <w:ind w:left="0"/>
        <w:jc w:val="center"/>
      </w:pPr>
    </w:p>
    <w:p w14:paraId="1B16AD3B" w14:textId="7C7D5712" w:rsidR="003D3840" w:rsidRDefault="00C301E6" w:rsidP="00B93217">
      <w:pPr>
        <w:pStyle w:val="a3"/>
        <w:widowControl/>
        <w:ind w:left="0"/>
      </w:pPr>
      <w:r>
        <w:rPr>
          <w:noProof/>
          <w:lang w:val="en-US" w:eastAsia="ko-KR"/>
        </w:rPr>
        <w:drawing>
          <wp:inline distT="0" distB="0" distL="0" distR="0" wp14:anchorId="55797355" wp14:editId="013C2C55">
            <wp:extent cx="191135" cy="159385"/>
            <wp:effectExtent l="0" t="0" r="0" b="0"/>
            <wp:docPr id="21" name="그림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59385"/>
                    </a:xfrm>
                    <a:prstGeom prst="rect">
                      <a:avLst/>
                    </a:prstGeom>
                    <a:noFill/>
                    <a:ln>
                      <a:noFill/>
                    </a:ln>
                  </pic:spPr>
                </pic:pic>
              </a:graphicData>
            </a:graphic>
          </wp:inline>
        </w:drawing>
      </w:r>
      <w:r w:rsidR="003D3840" w:rsidRPr="003D3840">
        <w:t>Tento přípravek podléhá dalšímu sledování. To umožní rychlé získání nových informací o</w:t>
      </w:r>
      <w:r w:rsidR="003D3840">
        <w:t> </w:t>
      </w:r>
      <w:r w:rsidR="003D3840" w:rsidRPr="003D3840">
        <w:t>bezpečnosti. Můžete přispět tím, že nahlásíte jakékoli nežádoucí účinky, které se u Vás vyskytnou. Jak hlásit nežádoucí účinky je popsáno v závěru bodu 4.</w:t>
      </w:r>
    </w:p>
    <w:p w14:paraId="0A3B07EA" w14:textId="77777777" w:rsidR="003D3840" w:rsidRPr="00EE3355" w:rsidRDefault="003D3840" w:rsidP="00EA1CDF">
      <w:pPr>
        <w:pStyle w:val="a3"/>
        <w:widowControl/>
        <w:ind w:left="0"/>
        <w:jc w:val="center"/>
      </w:pPr>
    </w:p>
    <w:p w14:paraId="3A0D0B6C" w14:textId="77777777" w:rsidR="00222DE0" w:rsidRPr="003D779B" w:rsidRDefault="0098273B" w:rsidP="00241F6D">
      <w:pPr>
        <w:rPr>
          <w:b/>
          <w:bCs/>
        </w:rPr>
      </w:pPr>
      <w:r w:rsidRPr="003D779B">
        <w:t>Přečtěte si pozorně celou příbalovou informaci dříve, než začnete tento přípravek užívat,</w:t>
      </w:r>
      <w:r w:rsidR="003D779B" w:rsidRPr="003D779B">
        <w:t xml:space="preserve"> </w:t>
      </w:r>
      <w:r w:rsidRPr="003D779B">
        <w:t>protože obsahuje pro Vás důležité údaje.</w:t>
      </w:r>
    </w:p>
    <w:p w14:paraId="217C054E" w14:textId="77777777" w:rsidR="00222DE0" w:rsidRPr="00EE3355" w:rsidRDefault="00222DE0" w:rsidP="00EA1CDF">
      <w:pPr>
        <w:pStyle w:val="a3"/>
        <w:widowControl/>
        <w:ind w:left="0"/>
        <w:rPr>
          <w:b/>
        </w:rPr>
      </w:pPr>
    </w:p>
    <w:p w14:paraId="2DE4375C"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Ponechte si příbalovou informaci pro případ, že si ji budete potřebovat přečíst znovu.</w:t>
      </w:r>
    </w:p>
    <w:p w14:paraId="272C9CD7"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Máte-li jakékoli další otázky, zeptejte se svého lékaře, lékárníka nebo zdravotní sestry.</w:t>
      </w:r>
    </w:p>
    <w:p w14:paraId="7589A477"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Tento přípravek byl předepsán výhradně Vám. Nedávejte jej žádné další osobě. Mohl by jí</w:t>
      </w:r>
      <w:r w:rsidR="00590490" w:rsidRPr="00EE3355">
        <w:t xml:space="preserve"> </w:t>
      </w:r>
      <w:r w:rsidR="0098273B" w:rsidRPr="00EE3355">
        <w:t>ublížit, a to i tehdy, má-li stejné známky onemocnění jako Vy.</w:t>
      </w:r>
    </w:p>
    <w:p w14:paraId="3C776A8F" w14:textId="77777777" w:rsidR="00222DE0" w:rsidRPr="00EE3355" w:rsidRDefault="00B23DAE" w:rsidP="00EA1CDF">
      <w:pPr>
        <w:widowControl/>
        <w:tabs>
          <w:tab w:val="left" w:pos="946"/>
          <w:tab w:val="left" w:pos="951"/>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4C3FB735" w14:textId="77777777" w:rsidR="00590490" w:rsidRPr="00EE3355" w:rsidRDefault="00590490" w:rsidP="00EA1CDF">
      <w:pPr>
        <w:widowControl/>
        <w:tabs>
          <w:tab w:val="left" w:pos="946"/>
          <w:tab w:val="left" w:pos="951"/>
        </w:tabs>
      </w:pPr>
    </w:p>
    <w:p w14:paraId="43643C21" w14:textId="30F8618D" w:rsidR="00222DE0" w:rsidRPr="00EE3355" w:rsidRDefault="0098273B" w:rsidP="00EA1CDF">
      <w:pPr>
        <w:pStyle w:val="a3"/>
        <w:widowControl/>
        <w:ind w:left="0"/>
      </w:pPr>
      <w:r w:rsidRPr="00EE3355">
        <w:t xml:space="preserve">Spolu s příbalovou informací dostanete </w:t>
      </w:r>
      <w:r w:rsidRPr="00EE3355">
        <w:rPr>
          <w:b/>
        </w:rPr>
        <w:t xml:space="preserve">kartu pacienta </w:t>
      </w:r>
      <w:r w:rsidRPr="00EE3355">
        <w:t xml:space="preserve">s důležitými bezpečnostními informacemi, kterým musíte věnovat pozornost před začátkem i během léčby přípravkem </w:t>
      </w:r>
      <w:r w:rsidR="003D3840">
        <w:t>Avtozma</w:t>
      </w:r>
      <w:r w:rsidRPr="00EE3355">
        <w:t>.</w:t>
      </w:r>
    </w:p>
    <w:p w14:paraId="77638996" w14:textId="77777777" w:rsidR="00222DE0" w:rsidRPr="00EE3355" w:rsidRDefault="00222DE0" w:rsidP="00EA1CDF">
      <w:pPr>
        <w:pStyle w:val="a3"/>
        <w:widowControl/>
        <w:ind w:left="0"/>
      </w:pPr>
    </w:p>
    <w:p w14:paraId="40A24A42" w14:textId="77777777" w:rsidR="00222DE0" w:rsidRPr="00241F6D" w:rsidRDefault="0098273B" w:rsidP="00241F6D">
      <w:pPr>
        <w:rPr>
          <w:b/>
          <w:bCs/>
        </w:rPr>
      </w:pPr>
      <w:r w:rsidRPr="00241F6D">
        <w:rPr>
          <w:b/>
          <w:bCs/>
        </w:rPr>
        <w:t>Co naleznete v této příbalové informaci</w:t>
      </w:r>
    </w:p>
    <w:p w14:paraId="2D07AF1A" w14:textId="43C3216F" w:rsidR="00222DE0" w:rsidRPr="00EE3355" w:rsidRDefault="00B23DAE" w:rsidP="00EA1CDF">
      <w:pPr>
        <w:widowControl/>
        <w:tabs>
          <w:tab w:val="left" w:pos="804"/>
        </w:tabs>
        <w:ind w:left="567" w:hanging="567"/>
      </w:pPr>
      <w:r w:rsidRPr="00EE3355">
        <w:t>1.</w:t>
      </w:r>
      <w:r w:rsidRPr="00EE3355">
        <w:tab/>
      </w:r>
      <w:r w:rsidR="0098273B" w:rsidRPr="00EE3355">
        <w:t xml:space="preserve">Co je přípravek </w:t>
      </w:r>
      <w:r w:rsidR="003D3840">
        <w:t>Avtozma</w:t>
      </w:r>
      <w:r w:rsidR="0098273B" w:rsidRPr="00EE3355">
        <w:t xml:space="preserve"> a k čemu se používá</w:t>
      </w:r>
    </w:p>
    <w:p w14:paraId="1AD54C38" w14:textId="2FE6768B" w:rsidR="00222DE0" w:rsidRPr="00EE3355" w:rsidRDefault="00B23DAE" w:rsidP="00EA1CDF">
      <w:pPr>
        <w:widowControl/>
        <w:tabs>
          <w:tab w:val="left" w:pos="804"/>
        </w:tabs>
        <w:ind w:left="567" w:hanging="567"/>
      </w:pPr>
      <w:r w:rsidRPr="00EE3355">
        <w:t>2.</w:t>
      </w:r>
      <w:r w:rsidRPr="00EE3355">
        <w:tab/>
      </w:r>
      <w:r w:rsidR="0098273B" w:rsidRPr="00EE3355">
        <w:t xml:space="preserve">Čemu musíte věnovat pozornost, než začnete přípravek </w:t>
      </w:r>
      <w:r w:rsidR="003D3840">
        <w:t>Avtozma</w:t>
      </w:r>
      <w:r w:rsidR="0098273B" w:rsidRPr="00EE3355">
        <w:t xml:space="preserve"> používat</w:t>
      </w:r>
    </w:p>
    <w:p w14:paraId="03D9B6AC" w14:textId="375E7675" w:rsidR="00222DE0" w:rsidRPr="00EE3355" w:rsidRDefault="00B23DAE" w:rsidP="00EA1CDF">
      <w:pPr>
        <w:widowControl/>
        <w:tabs>
          <w:tab w:val="left" w:pos="804"/>
        </w:tabs>
        <w:ind w:left="567" w:hanging="567"/>
      </w:pPr>
      <w:r w:rsidRPr="00EE3355">
        <w:t>3.</w:t>
      </w:r>
      <w:r w:rsidRPr="00EE3355">
        <w:tab/>
      </w:r>
      <w:r w:rsidR="0098273B" w:rsidRPr="00EE3355">
        <w:t xml:space="preserve">Jak se přípravek </w:t>
      </w:r>
      <w:r w:rsidR="003D3840">
        <w:t>Avtozma</w:t>
      </w:r>
      <w:r w:rsidR="0098273B" w:rsidRPr="00EE3355">
        <w:t xml:space="preserve"> používá</w:t>
      </w:r>
    </w:p>
    <w:p w14:paraId="52418C0C" w14:textId="77777777" w:rsidR="00222DE0" w:rsidRPr="00EE3355" w:rsidRDefault="00B23DAE" w:rsidP="00EA1CDF">
      <w:pPr>
        <w:widowControl/>
        <w:tabs>
          <w:tab w:val="left" w:pos="803"/>
        </w:tabs>
        <w:ind w:left="567" w:hanging="567"/>
      </w:pPr>
      <w:r w:rsidRPr="00EE3355">
        <w:t>4.</w:t>
      </w:r>
      <w:r w:rsidRPr="00EE3355">
        <w:tab/>
      </w:r>
      <w:r w:rsidR="0098273B" w:rsidRPr="00EE3355">
        <w:t>Možné nežádoucí účinky</w:t>
      </w:r>
    </w:p>
    <w:p w14:paraId="37A67E9A" w14:textId="3DF336AD" w:rsidR="00222DE0" w:rsidRPr="00EE3355" w:rsidRDefault="00B23DAE" w:rsidP="00EA1CDF">
      <w:pPr>
        <w:widowControl/>
        <w:tabs>
          <w:tab w:val="left" w:pos="803"/>
        </w:tabs>
        <w:ind w:left="567" w:hanging="567"/>
      </w:pPr>
      <w:r w:rsidRPr="00EE3355">
        <w:t>5.</w:t>
      </w:r>
      <w:r w:rsidRPr="00EE3355">
        <w:tab/>
      </w:r>
      <w:r w:rsidR="0098273B" w:rsidRPr="00EE3355">
        <w:t xml:space="preserve">Jak přípravek </w:t>
      </w:r>
      <w:r w:rsidR="003D3840">
        <w:t>Avtozma</w:t>
      </w:r>
      <w:r w:rsidR="0098273B" w:rsidRPr="00EE3355">
        <w:t xml:space="preserve"> uchovávat</w:t>
      </w:r>
    </w:p>
    <w:p w14:paraId="0953B669" w14:textId="77777777" w:rsidR="00222DE0" w:rsidRPr="00EE3355" w:rsidRDefault="00B23DAE" w:rsidP="00EA1CDF">
      <w:pPr>
        <w:widowControl/>
        <w:tabs>
          <w:tab w:val="left" w:pos="803"/>
        </w:tabs>
        <w:ind w:left="567" w:hanging="567"/>
      </w:pPr>
      <w:r w:rsidRPr="00EE3355">
        <w:t>6.</w:t>
      </w:r>
      <w:r w:rsidRPr="00EE3355">
        <w:tab/>
      </w:r>
      <w:r w:rsidR="0098273B" w:rsidRPr="00EE3355">
        <w:t>Obsah balení a další informace</w:t>
      </w:r>
    </w:p>
    <w:p w14:paraId="6B89932A" w14:textId="14594DC6" w:rsidR="00222DE0" w:rsidRPr="00EE3355" w:rsidRDefault="00237DCB" w:rsidP="00EA1CDF">
      <w:pPr>
        <w:pStyle w:val="a3"/>
        <w:widowControl/>
        <w:ind w:left="0"/>
      </w:pPr>
      <w:r>
        <w:t>7.</w:t>
      </w:r>
      <w:r>
        <w:tab/>
        <w:t>Návod k použití</w:t>
      </w:r>
    </w:p>
    <w:p w14:paraId="17DF94DE" w14:textId="77777777" w:rsidR="00222DE0" w:rsidRPr="00EE3355" w:rsidRDefault="00222DE0" w:rsidP="00EA1CDF">
      <w:pPr>
        <w:pStyle w:val="a3"/>
        <w:widowControl/>
        <w:ind w:left="0"/>
      </w:pPr>
    </w:p>
    <w:p w14:paraId="775EBD9F" w14:textId="36857253" w:rsidR="00222DE0" w:rsidRPr="00EE3355" w:rsidRDefault="0098273B" w:rsidP="00B93217">
      <w:pPr>
        <w:pStyle w:val="2"/>
        <w:widowControl/>
        <w:numPr>
          <w:ilvl w:val="0"/>
          <w:numId w:val="65"/>
        </w:numPr>
        <w:ind w:left="567" w:hanging="567"/>
      </w:pPr>
      <w:r w:rsidRPr="00EE3355">
        <w:t xml:space="preserve">Co je přípravek </w:t>
      </w:r>
      <w:r w:rsidR="003D3840">
        <w:t>Avtozma</w:t>
      </w:r>
      <w:r w:rsidRPr="00EE3355">
        <w:t xml:space="preserve"> a k čemu se používá</w:t>
      </w:r>
    </w:p>
    <w:p w14:paraId="089D66B7" w14:textId="77777777" w:rsidR="001F4998" w:rsidRPr="00EE3355" w:rsidRDefault="001F4998" w:rsidP="00943257"/>
    <w:p w14:paraId="197A27F7" w14:textId="1545D32A" w:rsidR="00222DE0" w:rsidRPr="00EE3355" w:rsidRDefault="0098273B" w:rsidP="00EA1CDF">
      <w:pPr>
        <w:pStyle w:val="a3"/>
        <w:widowControl/>
        <w:ind w:left="0"/>
      </w:pPr>
      <w:r w:rsidRPr="00EE3355">
        <w:t xml:space="preserve">Přípravek </w:t>
      </w:r>
      <w:r w:rsidR="003D3840">
        <w:t>Avtozma</w:t>
      </w:r>
      <w:r w:rsidRPr="00EE3355">
        <w:t xml:space="preserve"> obsahuje léčivou látku tocilizumab - bílkovinu tvořenou určitými imunitními buňkami (monoklonální protilátka), která blokuje účinek jiné bílkoviny (cytokinu) nazývané interleukin 6. Interleukin 6 se podílí na zánětlivých procesech v organismu a jeho blokováním se může zánět v organismu zmírnit. Přípravek </w:t>
      </w:r>
      <w:r w:rsidR="003D3840">
        <w:t>Avtozma</w:t>
      </w:r>
      <w:r w:rsidRPr="00EE3355">
        <w:t xml:space="preserve"> se používá k léčbě:</w:t>
      </w:r>
    </w:p>
    <w:p w14:paraId="7E5BEC05" w14:textId="77777777" w:rsidR="00222DE0" w:rsidRPr="00EE3355" w:rsidRDefault="00222DE0" w:rsidP="00EA1CDF">
      <w:pPr>
        <w:pStyle w:val="a3"/>
        <w:widowControl/>
        <w:ind w:left="0"/>
      </w:pPr>
    </w:p>
    <w:p w14:paraId="277A6BFC" w14:textId="77777777" w:rsidR="00222DE0" w:rsidRPr="00307193" w:rsidRDefault="00B23DAE" w:rsidP="00943257">
      <w:pPr>
        <w:widowControl/>
        <w:tabs>
          <w:tab w:val="left" w:pos="665"/>
        </w:tabs>
        <w:ind w:left="567" w:hanging="567"/>
        <w:rPr>
          <w:b/>
        </w:rPr>
      </w:pPr>
      <w:r w:rsidRPr="00EE3355">
        <w:rPr>
          <w:rFonts w:ascii="Symbol" w:eastAsia="Symbol" w:hAnsi="Symbol" w:cs="Symbol"/>
          <w:sz w:val="24"/>
        </w:rPr>
        <w:t></w:t>
      </w:r>
      <w:r w:rsidRPr="00EE3355">
        <w:rPr>
          <w:rFonts w:ascii="Symbol" w:eastAsia="Symbol" w:hAnsi="Symbol" w:cs="Symbol"/>
          <w:sz w:val="24"/>
        </w:rPr>
        <w:tab/>
      </w:r>
      <w:r w:rsidR="0098273B" w:rsidRPr="00943257">
        <w:rPr>
          <w:b/>
        </w:rPr>
        <w:t>dospělých se středně těžkou až těžkou aktivní revmatoidní artritidou (RA)</w:t>
      </w:r>
      <w:r w:rsidR="0098273B" w:rsidRPr="00EE3355">
        <w:t xml:space="preserve">, </w:t>
      </w:r>
      <w:r w:rsidR="0098273B" w:rsidRPr="00307193">
        <w:t>autoimunitním</w:t>
      </w:r>
      <w:r w:rsidR="001F4998" w:rsidRPr="00307193">
        <w:t xml:space="preserve"> </w:t>
      </w:r>
      <w:r w:rsidR="0098273B" w:rsidRPr="00307193">
        <w:t>onemocněním, pokud předcházející způsoby léčby nebyly dostatečně účinné</w:t>
      </w:r>
    </w:p>
    <w:p w14:paraId="1E8D793E" w14:textId="77777777" w:rsidR="00354661" w:rsidRPr="00EE3355" w:rsidRDefault="00354661" w:rsidP="00943257"/>
    <w:p w14:paraId="3470F912" w14:textId="77777777" w:rsidR="00222DE0" w:rsidRPr="00EE3355" w:rsidRDefault="00B23DAE" w:rsidP="00EA1CDF">
      <w:pPr>
        <w:widowControl/>
        <w:tabs>
          <w:tab w:val="left" w:pos="665"/>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rPr>
          <w:b/>
        </w:rPr>
        <w:t>dospělých s těžkou, aktivní a progresivní revmatoidní artritidou</w:t>
      </w:r>
      <w:r w:rsidR="0098273B" w:rsidRPr="00EE3355">
        <w:t>, kteří nebyli dosud léčeni</w:t>
      </w:r>
      <w:r w:rsidR="001F4998" w:rsidRPr="00EE3355">
        <w:t xml:space="preserve"> </w:t>
      </w:r>
      <w:r w:rsidR="0098273B" w:rsidRPr="00EE3355">
        <w:t>methotrexátem.</w:t>
      </w:r>
    </w:p>
    <w:p w14:paraId="6D0FEE32" w14:textId="77777777" w:rsidR="00222DE0" w:rsidRPr="00EE3355" w:rsidRDefault="00222DE0" w:rsidP="00EA1CDF">
      <w:pPr>
        <w:pStyle w:val="a3"/>
        <w:widowControl/>
        <w:ind w:left="0"/>
      </w:pPr>
    </w:p>
    <w:p w14:paraId="1731D905" w14:textId="17CC8ECA" w:rsidR="00222DE0" w:rsidRDefault="0098273B" w:rsidP="00EA1CDF">
      <w:pPr>
        <w:pStyle w:val="a3"/>
        <w:widowControl/>
        <w:ind w:left="0"/>
      </w:pPr>
      <w:r w:rsidRPr="00EE3355">
        <w:t xml:space="preserve">Přípravek </w:t>
      </w:r>
      <w:r w:rsidR="003D3840">
        <w:t>Avtozma</w:t>
      </w:r>
      <w:r w:rsidRPr="00EE3355">
        <w:t xml:space="preserve"> pomáhá zmírňovat příznaky</w:t>
      </w:r>
      <w:r w:rsidR="00237DCB">
        <w:t xml:space="preserve"> RA</w:t>
      </w:r>
      <w:r w:rsidRPr="00EE3355">
        <w:t xml:space="preserve">, jako je bolest a otok kloubů, a může zlepšit Vaši schopnost vykonávat každodenní činnosti. Přípravek </w:t>
      </w:r>
      <w:r w:rsidR="003D3840">
        <w:t>Avtozma</w:t>
      </w:r>
      <w:r w:rsidRPr="00EE3355">
        <w:t xml:space="preserve"> prokazatelně zpomaluje poškozování chrupavky a kostí v kloubech, které je způsobeno onemocněním, a zlepšuje schopnost vykonávat běžné každodenní činnosti.</w:t>
      </w:r>
    </w:p>
    <w:p w14:paraId="6E5F5B2C" w14:textId="77777777" w:rsidR="003D779B" w:rsidRPr="00EE3355" w:rsidRDefault="003D779B" w:rsidP="00EA1CDF">
      <w:pPr>
        <w:pStyle w:val="a3"/>
        <w:widowControl/>
        <w:ind w:left="0"/>
      </w:pPr>
    </w:p>
    <w:p w14:paraId="5B399654" w14:textId="70D9798B" w:rsidR="00222DE0" w:rsidRPr="00EE3355" w:rsidRDefault="0098273B" w:rsidP="00EA1CDF">
      <w:pPr>
        <w:pStyle w:val="a3"/>
        <w:widowControl/>
        <w:ind w:left="0"/>
      </w:pPr>
      <w:r w:rsidRPr="00EE3355">
        <w:t xml:space="preserve">Přípravek </w:t>
      </w:r>
      <w:r w:rsidR="003D3840">
        <w:t>Avtozma</w:t>
      </w:r>
      <w:r w:rsidRPr="00EE3355">
        <w:t xml:space="preserve"> se obvykle podává v kombinaci s dalším přípravkem k léčbě RA, methotrexátem. Přípravek </w:t>
      </w:r>
      <w:r w:rsidR="003D3840">
        <w:t>Avtozma</w:t>
      </w:r>
      <w:r w:rsidRPr="00EE3355">
        <w:t xml:space="preserve"> se ale může podávat samostatně, pokud lékař rozhodne, že methotrexát není vhodný.</w:t>
      </w:r>
    </w:p>
    <w:p w14:paraId="4B48EB5B" w14:textId="77777777" w:rsidR="00222DE0" w:rsidRPr="00EE3355" w:rsidRDefault="00222DE0" w:rsidP="00EA1CDF">
      <w:pPr>
        <w:widowControl/>
      </w:pPr>
    </w:p>
    <w:p w14:paraId="4779EFE7" w14:textId="77777777" w:rsidR="00222DE0" w:rsidRPr="00EE3355" w:rsidRDefault="00B23DAE" w:rsidP="00EA1CDF">
      <w:pPr>
        <w:widowControl/>
        <w:tabs>
          <w:tab w:val="left" w:pos="665"/>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rPr>
          <w:b/>
        </w:rPr>
        <w:t>dospělých s obrovskobuněčnou arteritidou (GCA)</w:t>
      </w:r>
      <w:r w:rsidR="0098273B" w:rsidRPr="00EE3355">
        <w:t>, tj. onemocněním tepen způsobeným zánětem největších tepen v těle, zejména těch, které zásobují krví oblast hlavy a krku.</w:t>
      </w:r>
      <w:r w:rsidR="00061C80" w:rsidRPr="00EE3355">
        <w:t xml:space="preserve"> </w:t>
      </w:r>
      <w:r w:rsidR="0098273B" w:rsidRPr="00EE3355">
        <w:t xml:space="preserve">K </w:t>
      </w:r>
      <w:r w:rsidR="0098273B" w:rsidRPr="00EE3355">
        <w:lastRenderedPageBreak/>
        <w:t>příznakům patří bolest hlavy, únava a bolest čelistí. Následkem onemocnění může být cévní</w:t>
      </w:r>
      <w:r w:rsidR="00061C80" w:rsidRPr="00EE3355">
        <w:t xml:space="preserve"> </w:t>
      </w:r>
      <w:r w:rsidR="0098273B" w:rsidRPr="00EE3355">
        <w:t>mozková příhoda a slepota.</w:t>
      </w:r>
    </w:p>
    <w:p w14:paraId="2BF555B3" w14:textId="77777777" w:rsidR="00222DE0" w:rsidRPr="00EE3355" w:rsidRDefault="00222DE0" w:rsidP="00EA1CDF">
      <w:pPr>
        <w:pStyle w:val="a3"/>
        <w:widowControl/>
        <w:ind w:left="0"/>
      </w:pPr>
    </w:p>
    <w:p w14:paraId="7DE57343" w14:textId="681EF677" w:rsidR="00222DE0" w:rsidRPr="00EE3355" w:rsidRDefault="0098273B" w:rsidP="00EA1CDF">
      <w:pPr>
        <w:pStyle w:val="a3"/>
        <w:widowControl/>
        <w:ind w:left="567"/>
      </w:pPr>
      <w:r w:rsidRPr="00EE3355">
        <w:t xml:space="preserve">Přípravek </w:t>
      </w:r>
      <w:r w:rsidR="003D3840">
        <w:t>Avtozma</w:t>
      </w:r>
      <w:r w:rsidRPr="00EE3355">
        <w:t xml:space="preserve"> může zmenšit bolestivost a otok cév a žil v oblasti hlavy, krku a paží.</w:t>
      </w:r>
      <w:r w:rsidR="00061C80" w:rsidRPr="00EE3355">
        <w:t xml:space="preserve">  </w:t>
      </w:r>
      <w:r w:rsidRPr="00EE3355">
        <w:t xml:space="preserve">K léčbě GCA se často používají tzv. steroidy. Steroidy bývají účinné, ale při dlouhodobém užívání vysokých dávek mohou mít nežádoucí účinky. Snížení dávky steroidů může také vyvolat znovuvzplanutí GCA. Přidáním přípravku </w:t>
      </w:r>
      <w:r w:rsidR="003D3840">
        <w:t>Avtozma</w:t>
      </w:r>
      <w:r w:rsidRPr="00EE3355">
        <w:t xml:space="preserve"> k léčbě lze zkrátit dobu užívání steroidů, a přitom zajistit kontrolu GCA.</w:t>
      </w:r>
    </w:p>
    <w:p w14:paraId="6683DD3B" w14:textId="77777777" w:rsidR="00222DE0" w:rsidRPr="00EE3355" w:rsidRDefault="00222DE0" w:rsidP="00EA1CDF">
      <w:pPr>
        <w:pStyle w:val="a3"/>
        <w:widowControl/>
        <w:ind w:left="0"/>
      </w:pPr>
    </w:p>
    <w:p w14:paraId="6BCAFF11" w14:textId="77777777" w:rsidR="00222DE0" w:rsidRPr="00EE3355" w:rsidRDefault="00B23DAE" w:rsidP="00EA1CDF">
      <w:pPr>
        <w:widowControl/>
        <w:tabs>
          <w:tab w:val="left" w:pos="665"/>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rPr>
          <w:b/>
        </w:rPr>
        <w:t xml:space="preserve">dětí a dospívajících od 12 let s aktivní </w:t>
      </w:r>
      <w:r w:rsidR="0098273B" w:rsidRPr="00EE3355">
        <w:rPr>
          <w:b/>
          <w:i/>
        </w:rPr>
        <w:t>systémovou juvenilní idiopatickou artritidou (sJIA)</w:t>
      </w:r>
      <w:r w:rsidR="0098273B" w:rsidRPr="00EE3355">
        <w:rPr>
          <w:b/>
        </w:rPr>
        <w:t xml:space="preserve">. </w:t>
      </w:r>
      <w:r w:rsidR="0098273B" w:rsidRPr="00EE3355">
        <w:t>Jedná se o zánětlivé onemocnění, které vyvolává bolest a otok jednoho nebo více kloubů a horečku a vyrážku.</w:t>
      </w:r>
    </w:p>
    <w:p w14:paraId="65A818D3" w14:textId="77777777" w:rsidR="00222DE0" w:rsidRPr="00EE3355" w:rsidRDefault="00222DE0" w:rsidP="00EA1CDF">
      <w:pPr>
        <w:pStyle w:val="a3"/>
        <w:widowControl/>
        <w:ind w:left="0"/>
      </w:pPr>
    </w:p>
    <w:p w14:paraId="7CCD34FC" w14:textId="06E21CE2" w:rsidR="00222DE0" w:rsidRPr="00EE3355" w:rsidRDefault="0098273B" w:rsidP="00EA1CDF">
      <w:pPr>
        <w:pStyle w:val="a3"/>
        <w:widowControl/>
        <w:ind w:left="567"/>
      </w:pPr>
      <w:r w:rsidRPr="00EE3355">
        <w:t xml:space="preserve">Přípravek </w:t>
      </w:r>
      <w:r w:rsidR="003D3840">
        <w:t>Avtozma</w:t>
      </w:r>
      <w:r w:rsidRPr="00EE3355">
        <w:t xml:space="preserve"> se používá ke zmírnění příznaků sJIA. Lze jej podávat v kombinaci s methotrexátem nebo samostatně.</w:t>
      </w:r>
    </w:p>
    <w:p w14:paraId="67769BAF" w14:textId="77777777" w:rsidR="00222DE0" w:rsidRPr="00EE3355" w:rsidRDefault="00222DE0" w:rsidP="00EA1CDF">
      <w:pPr>
        <w:pStyle w:val="a3"/>
        <w:widowControl/>
        <w:ind w:left="0"/>
      </w:pPr>
    </w:p>
    <w:p w14:paraId="4C3F7765" w14:textId="77777777" w:rsidR="00222DE0" w:rsidRPr="00EE3355" w:rsidRDefault="00B23DAE" w:rsidP="00EA1CDF">
      <w:pPr>
        <w:widowControl/>
        <w:tabs>
          <w:tab w:val="left" w:pos="665"/>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rPr>
          <w:b/>
        </w:rPr>
        <w:t xml:space="preserve">dětí a dospívajících od 12 let s aktivní </w:t>
      </w:r>
      <w:r w:rsidR="0098273B" w:rsidRPr="00EE3355">
        <w:rPr>
          <w:b/>
          <w:i/>
        </w:rPr>
        <w:t xml:space="preserve">polyartikulární juvenilní idiopatickou artritidou </w:t>
      </w:r>
      <w:r w:rsidR="0098273B" w:rsidRPr="00EE3355">
        <w:rPr>
          <w:b/>
        </w:rPr>
        <w:t>(</w:t>
      </w:r>
      <w:r w:rsidR="0098273B" w:rsidRPr="00EE3355">
        <w:rPr>
          <w:b/>
          <w:i/>
        </w:rPr>
        <w:t>pJIA</w:t>
      </w:r>
      <w:r w:rsidR="0098273B" w:rsidRPr="00EE3355">
        <w:rPr>
          <w:b/>
        </w:rPr>
        <w:t>).</w:t>
      </w:r>
    </w:p>
    <w:p w14:paraId="39D429F8" w14:textId="77777777" w:rsidR="00061C80" w:rsidRPr="00EE3355" w:rsidRDefault="00061C80" w:rsidP="00EA1CDF">
      <w:pPr>
        <w:widowControl/>
        <w:tabs>
          <w:tab w:val="left" w:pos="665"/>
        </w:tabs>
        <w:ind w:left="567" w:hanging="567"/>
        <w:rPr>
          <w:rFonts w:ascii="Symbol" w:hAnsi="Symbol"/>
        </w:rPr>
      </w:pPr>
    </w:p>
    <w:p w14:paraId="1B5AE57D" w14:textId="2B7AC1ED" w:rsidR="00222DE0" w:rsidRPr="00EE3355" w:rsidRDefault="0098273B" w:rsidP="00EA1CDF">
      <w:pPr>
        <w:pStyle w:val="a3"/>
        <w:widowControl/>
        <w:ind w:left="567"/>
        <w:rPr>
          <w:b/>
        </w:rPr>
      </w:pPr>
      <w:r w:rsidRPr="00EE3355">
        <w:t>Jedná se o zánětlivé onemocnění, které vyvolává bolest a otok jednoho nebo více kloubů.</w:t>
      </w:r>
      <w:r w:rsidR="00061C80" w:rsidRPr="00EE3355">
        <w:t xml:space="preserve"> </w:t>
      </w:r>
      <w:r w:rsidRPr="00EE3355">
        <w:t xml:space="preserve">Přípravek </w:t>
      </w:r>
      <w:r w:rsidR="003D3840">
        <w:t>Avtozma</w:t>
      </w:r>
      <w:r w:rsidRPr="00EE3355">
        <w:t xml:space="preserve"> se používá ke zmírnění příznaků pJIA. Lze jej podávat v kombinaci s methotrexátem nebo samostatně</w:t>
      </w:r>
      <w:r w:rsidRPr="00EE3355">
        <w:rPr>
          <w:b/>
        </w:rPr>
        <w:t>.</w:t>
      </w:r>
    </w:p>
    <w:p w14:paraId="0922B073" w14:textId="77777777" w:rsidR="00222DE0" w:rsidRPr="00EE3355" w:rsidRDefault="00222DE0" w:rsidP="00EA1CDF">
      <w:pPr>
        <w:pStyle w:val="a3"/>
        <w:widowControl/>
        <w:ind w:left="0"/>
        <w:rPr>
          <w:b/>
        </w:rPr>
      </w:pPr>
    </w:p>
    <w:p w14:paraId="12D7DC8F" w14:textId="77777777" w:rsidR="00061C80" w:rsidRPr="00EE3355" w:rsidRDefault="0098273B" w:rsidP="00B93217">
      <w:pPr>
        <w:pStyle w:val="2"/>
        <w:widowControl/>
        <w:numPr>
          <w:ilvl w:val="0"/>
          <w:numId w:val="65"/>
        </w:numPr>
        <w:ind w:left="567" w:hanging="567"/>
      </w:pPr>
      <w:r w:rsidRPr="00EE3355">
        <w:t>Čemu musíte věnovat pozornost, než začnete přípravek</w:t>
      </w:r>
    </w:p>
    <w:p w14:paraId="7E3516F0" w14:textId="77777777" w:rsidR="00061C80" w:rsidRPr="00EE3355" w:rsidRDefault="00061C80" w:rsidP="00943257"/>
    <w:p w14:paraId="55BDEFD8" w14:textId="6889A7BC" w:rsidR="00222DE0" w:rsidRPr="00241F6D" w:rsidRDefault="003D3840" w:rsidP="00241F6D">
      <w:pPr>
        <w:rPr>
          <w:b/>
          <w:bCs/>
        </w:rPr>
      </w:pPr>
      <w:r w:rsidRPr="00241F6D">
        <w:rPr>
          <w:b/>
          <w:bCs/>
        </w:rPr>
        <w:t>Avtozma</w:t>
      </w:r>
      <w:r w:rsidR="0098273B" w:rsidRPr="00241F6D">
        <w:rPr>
          <w:b/>
          <w:bCs/>
        </w:rPr>
        <w:t xml:space="preserve"> používat Nepoužívejte přípravek </w:t>
      </w:r>
      <w:r w:rsidRPr="00241F6D">
        <w:rPr>
          <w:b/>
          <w:bCs/>
        </w:rPr>
        <w:t>Avtozma</w:t>
      </w:r>
      <w:r w:rsidR="0098273B" w:rsidRPr="00241F6D">
        <w:rPr>
          <w:b/>
          <w:bCs/>
        </w:rPr>
        <w:t>:</w:t>
      </w:r>
    </w:p>
    <w:p w14:paraId="734B973C" w14:textId="0948FC06" w:rsidR="003D3840" w:rsidRPr="00EE3355" w:rsidRDefault="00B23DAE" w:rsidP="003D3840">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jestliže jste alergický(á) nebo dítě, o které pečujete, je alergické na tocilizumab nebo na</w:t>
      </w:r>
      <w:r w:rsidR="00830842" w:rsidRPr="00EE3355">
        <w:t xml:space="preserve"> </w:t>
      </w:r>
      <w:r w:rsidR="0098273B" w:rsidRPr="00EE3355">
        <w:t>kteroukoli další složku tohoto přípravku (uvedenou v bodě 6)</w:t>
      </w:r>
      <w:r w:rsidR="003D3840">
        <w:t xml:space="preserve"> (Viz zvláštní upozornění na konci </w:t>
      </w:r>
      <w:r w:rsidR="001D0160">
        <w:rPr>
          <w:rFonts w:eastAsia="맑은 고딕" w:hint="eastAsia"/>
          <w:lang w:eastAsia="ko-KR"/>
        </w:rPr>
        <w:t>bodu</w:t>
      </w:r>
      <w:r w:rsidR="001D0160">
        <w:t xml:space="preserve"> </w:t>
      </w:r>
      <w:r w:rsidR="003D3840">
        <w:t>s nadpisem „Přípravek Avtozma obsahuje polysorbát“)</w:t>
      </w:r>
    </w:p>
    <w:p w14:paraId="0F69505B" w14:textId="77777777"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máte </w:t>
      </w:r>
      <w:r w:rsidR="0098273B" w:rsidRPr="00EE3355">
        <w:rPr>
          <w:sz w:val="24"/>
        </w:rPr>
        <w:t xml:space="preserve">nebo dítě, o které pečujete, má </w:t>
      </w:r>
      <w:r w:rsidR="0098273B" w:rsidRPr="00EE3355">
        <w:t>aktivní, závažnou infekci.</w:t>
      </w:r>
    </w:p>
    <w:p w14:paraId="563C6170" w14:textId="77777777" w:rsidR="00830842" w:rsidRPr="00EE3355" w:rsidRDefault="00830842" w:rsidP="00EA1CDF">
      <w:pPr>
        <w:widowControl/>
        <w:tabs>
          <w:tab w:val="left" w:pos="804"/>
        </w:tabs>
        <w:rPr>
          <w:rFonts w:ascii="Symbol" w:hAnsi="Symbol"/>
          <w:sz w:val="24"/>
        </w:rPr>
      </w:pPr>
    </w:p>
    <w:p w14:paraId="6572F03C" w14:textId="03F4BB41" w:rsidR="00222DE0" w:rsidRPr="00EE3355" w:rsidRDefault="0098273B" w:rsidP="00EA1CDF">
      <w:pPr>
        <w:pStyle w:val="a3"/>
        <w:widowControl/>
        <w:ind w:left="0"/>
      </w:pPr>
      <w:r w:rsidRPr="00EE3355">
        <w:t xml:space="preserve">Pokud se Vás cokoli z toho týká, oznamte to lékaři. Přípravek </w:t>
      </w:r>
      <w:r w:rsidR="003D3840">
        <w:t>Avtozma</w:t>
      </w:r>
      <w:r w:rsidRPr="00EE3355">
        <w:t xml:space="preserve"> nepoužívejte.</w:t>
      </w:r>
    </w:p>
    <w:p w14:paraId="057712E1" w14:textId="77777777" w:rsidR="00222DE0" w:rsidRPr="00EE3355" w:rsidRDefault="00222DE0" w:rsidP="00EA1CDF">
      <w:pPr>
        <w:pStyle w:val="a3"/>
        <w:widowControl/>
        <w:ind w:left="0"/>
      </w:pPr>
    </w:p>
    <w:p w14:paraId="441BF67D" w14:textId="77777777" w:rsidR="00222DE0" w:rsidRPr="00241F6D" w:rsidRDefault="0098273B" w:rsidP="00241F6D">
      <w:pPr>
        <w:rPr>
          <w:b/>
          <w:bCs/>
        </w:rPr>
      </w:pPr>
      <w:r w:rsidRPr="00241F6D">
        <w:rPr>
          <w:b/>
          <w:bCs/>
        </w:rPr>
        <w:t>Upozornění a opatření</w:t>
      </w:r>
    </w:p>
    <w:p w14:paraId="7FCBEE73" w14:textId="77777777" w:rsidR="00770301" w:rsidRPr="00EE3355" w:rsidRDefault="00770301" w:rsidP="00943257"/>
    <w:p w14:paraId="4D87B833" w14:textId="5EC06BED" w:rsidR="00222DE0" w:rsidRPr="00EE3355" w:rsidRDefault="0098273B" w:rsidP="00EA1CDF">
      <w:pPr>
        <w:pStyle w:val="a3"/>
        <w:widowControl/>
        <w:ind w:left="0"/>
      </w:pPr>
      <w:r w:rsidRPr="00EE3355">
        <w:t xml:space="preserve">Před použitím přípravku </w:t>
      </w:r>
      <w:r w:rsidR="003D3840">
        <w:t>Avtozma</w:t>
      </w:r>
      <w:r w:rsidRPr="00EE3355">
        <w:t xml:space="preserve"> se poraďte se svým lékařem, lékárníkem nebo zdravotní sestrou.</w:t>
      </w:r>
    </w:p>
    <w:p w14:paraId="6AB25145" w14:textId="77777777" w:rsidR="00770301" w:rsidRPr="00EE3355" w:rsidRDefault="00770301" w:rsidP="00EA1CDF">
      <w:pPr>
        <w:pStyle w:val="a3"/>
        <w:widowControl/>
        <w:ind w:left="0"/>
      </w:pPr>
    </w:p>
    <w:p w14:paraId="55E4AE9D" w14:textId="77777777"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se u Vás vyskytnou </w:t>
      </w:r>
      <w:r w:rsidR="0098273B" w:rsidRPr="00EE3355">
        <w:rPr>
          <w:b/>
        </w:rPr>
        <w:t>alergické reakce</w:t>
      </w:r>
      <w:r w:rsidR="0098273B" w:rsidRPr="00EE3355">
        <w:t xml:space="preserve">, jako je tíseň na hrudi, pískoty, závažná závrať nebo pocit na omdlení, otok rtů, jazyka, obličeje nebo svědění kůže, kopřivka nebo vyrážka během aplikace nebo po aplikaci injekce, </w:t>
      </w:r>
      <w:r w:rsidR="0098273B" w:rsidRPr="00EE3355">
        <w:rPr>
          <w:b/>
        </w:rPr>
        <w:t>okamžitě to oznamte lékaři</w:t>
      </w:r>
      <w:r w:rsidR="0098273B" w:rsidRPr="00EE3355">
        <w:t>.</w:t>
      </w:r>
    </w:p>
    <w:p w14:paraId="410BA21D" w14:textId="16F94F99"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Pokud se u Vás objevily po podání přípravku </w:t>
      </w:r>
      <w:r w:rsidR="003D3840">
        <w:t>Avtozma</w:t>
      </w:r>
      <w:r w:rsidR="0098273B" w:rsidRPr="00EE3355">
        <w:t xml:space="preserve"> jakékoliv příznaky alergické reakce, neaplikujte další dávku bez porady s lékařem a další dávku aplikujte teprve tehdy, až Vám to lékař povolí.</w:t>
      </w:r>
    </w:p>
    <w:p w14:paraId="76570DA5" w14:textId="756F54A7"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máte jakoukoliv </w:t>
      </w:r>
      <w:r w:rsidR="0098273B" w:rsidRPr="00EE3355">
        <w:rPr>
          <w:b/>
        </w:rPr>
        <w:t xml:space="preserve">infekci, </w:t>
      </w:r>
      <w:r w:rsidR="0098273B" w:rsidRPr="00EE3355">
        <w:t xml:space="preserve">krátce nebo dlouhodobě trvající, nebo jestliže často trpíte infekcemi, okamžitě se obraťte na lékaře, pokud se nebudete cítit dobře. Přípravek </w:t>
      </w:r>
      <w:r w:rsidR="003D3840">
        <w:t>Avtozma</w:t>
      </w:r>
      <w:r w:rsidR="0098273B" w:rsidRPr="00EE3355">
        <w:t xml:space="preserve"> může omezit schopnost organismu bránit se infekcím a může zhoršit stávající infekci nebo zvýšit náchylnost k novým infekcím.</w:t>
      </w:r>
    </w:p>
    <w:p w14:paraId="04B36E5A" w14:textId="4B0F9416"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jste měl(a) </w:t>
      </w:r>
      <w:r w:rsidR="0098273B" w:rsidRPr="00EE3355">
        <w:rPr>
          <w:b/>
        </w:rPr>
        <w:t>tuberkulózu</w:t>
      </w:r>
      <w:r w:rsidR="0098273B" w:rsidRPr="00EE3355">
        <w:t xml:space="preserve">, oznamte to lékaři. Lékař u Vás před nasazením přípravku </w:t>
      </w:r>
      <w:r w:rsidR="003D3840">
        <w:t>Avtozma</w:t>
      </w:r>
      <w:r w:rsidR="0098273B" w:rsidRPr="00EE3355">
        <w:t xml:space="preserve"> zkontroluje projevy a příznaky tuberkulózy. Pokud se u Vás během léčby nebo po léčbě vyskytnou příznaky tuberkulózy (přetrvávající kašel, úbytek na váze, netečnost, mírná horečka) nebo jakékoliv jiné infekce, okamžitě to oznamte lékaři.</w:t>
      </w:r>
    </w:p>
    <w:p w14:paraId="729D2C76"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jste měl(a) </w:t>
      </w:r>
      <w:r w:rsidR="0098273B" w:rsidRPr="00EE3355">
        <w:rPr>
          <w:b/>
        </w:rPr>
        <w:t xml:space="preserve">vředy ve střevech </w:t>
      </w:r>
      <w:r w:rsidR="0098273B" w:rsidRPr="00EE3355">
        <w:t xml:space="preserve">nebo </w:t>
      </w:r>
      <w:r w:rsidR="0098273B" w:rsidRPr="00EE3355">
        <w:rPr>
          <w:b/>
        </w:rPr>
        <w:t xml:space="preserve">divertikulitidu </w:t>
      </w:r>
      <w:r w:rsidR="0098273B" w:rsidRPr="00EE3355">
        <w:t>(zánět tlustého střeva, jehož příčinou jsou střevní výchlipky), oznamte to lékaři. Příznaky by zahrnovaly bolest břicha a nevysvětlitelné změny vyměšovacích stereotypů s horečkou.</w:t>
      </w:r>
    </w:p>
    <w:p w14:paraId="12BFACCC" w14:textId="2FB0EEED" w:rsidR="00222DE0" w:rsidRDefault="00B23DAE" w:rsidP="00EA1CDF">
      <w:pPr>
        <w:widowControl/>
        <w:tabs>
          <w:tab w:val="left" w:pos="804"/>
        </w:tabs>
        <w:ind w:left="567" w:hanging="567"/>
      </w:pPr>
      <w:r w:rsidRPr="00EE3355">
        <w:rPr>
          <w:rFonts w:ascii="Symbol" w:eastAsia="Symbol" w:hAnsi="Symbol" w:cs="Symbol"/>
          <w:sz w:val="24"/>
        </w:rPr>
        <w:lastRenderedPageBreak/>
        <w:t></w:t>
      </w:r>
      <w:r w:rsidRPr="00EE3355">
        <w:rPr>
          <w:rFonts w:ascii="Symbol" w:eastAsia="Symbol" w:hAnsi="Symbol" w:cs="Symbol"/>
          <w:sz w:val="24"/>
        </w:rPr>
        <w:tab/>
      </w:r>
      <w:r w:rsidR="0098273B" w:rsidRPr="00EE3355">
        <w:t xml:space="preserve">Jestliže máte </w:t>
      </w:r>
      <w:r w:rsidR="0098273B" w:rsidRPr="00EE3355">
        <w:rPr>
          <w:b/>
        </w:rPr>
        <w:t>onemocnění jater</w:t>
      </w:r>
      <w:r w:rsidR="0098273B" w:rsidRPr="00EE3355">
        <w:t>, oznamte to lékaři. Lékař Vám může před použitím přípravku</w:t>
      </w:r>
      <w:r w:rsidR="00770301" w:rsidRPr="00EE3355">
        <w:t xml:space="preserve"> </w:t>
      </w:r>
      <w:r w:rsidR="003D3840">
        <w:t>Avtozma</w:t>
      </w:r>
      <w:r w:rsidR="0098273B" w:rsidRPr="00EE3355">
        <w:t xml:space="preserve"> nechat provést rozbor krve k vyšetření jaterních funkcí.</w:t>
      </w:r>
    </w:p>
    <w:p w14:paraId="5E54C062" w14:textId="4DFD86AD"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jste byl(a) </w:t>
      </w:r>
      <w:r w:rsidR="0098273B" w:rsidRPr="00EE3355">
        <w:rPr>
          <w:b/>
        </w:rPr>
        <w:t xml:space="preserve">nedávno očkován(a) </w:t>
      </w:r>
      <w:r w:rsidR="0098273B" w:rsidRPr="00EE3355">
        <w:t xml:space="preserve">nebo jestliže plánujete očkování, oznamte to lékaři. Všichni pacienti mají mít veškeré očkování zajištěno ještě před začátkem léčby přípravkem </w:t>
      </w:r>
      <w:r w:rsidR="003D3840">
        <w:t>Avtozma</w:t>
      </w:r>
      <w:r w:rsidR="0098273B" w:rsidRPr="00EE3355">
        <w:t xml:space="preserve">. Některé druhy očkovacích látek se při léčbě přípravkem </w:t>
      </w:r>
      <w:r w:rsidR="003D3840">
        <w:t>Avtozma</w:t>
      </w:r>
      <w:r w:rsidR="0098273B" w:rsidRPr="00EE3355">
        <w:t xml:space="preserve"> nemají používat.</w:t>
      </w:r>
    </w:p>
    <w:p w14:paraId="74656B3B" w14:textId="1224828D"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máte </w:t>
      </w:r>
      <w:r w:rsidR="0098273B" w:rsidRPr="00EE3355">
        <w:rPr>
          <w:b/>
        </w:rPr>
        <w:t>nádorové onemocnění</w:t>
      </w:r>
      <w:r w:rsidR="0098273B" w:rsidRPr="00EE3355">
        <w:t xml:space="preserve">, oznamte to lékaři. Lékař rozhodne, zda přesto můžete přípravek </w:t>
      </w:r>
      <w:r w:rsidR="003D3840">
        <w:t>Avtozma</w:t>
      </w:r>
      <w:r w:rsidR="0098273B" w:rsidRPr="00EE3355">
        <w:t xml:space="preserve"> používat.</w:t>
      </w:r>
    </w:p>
    <w:p w14:paraId="71CFAB65" w14:textId="1DB11DB0"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máte </w:t>
      </w:r>
      <w:r w:rsidR="0098273B" w:rsidRPr="00EE3355">
        <w:rPr>
          <w:b/>
        </w:rPr>
        <w:t>rizikové faktory kardiovaskulárních (srdečních a cévních) onemocnění</w:t>
      </w:r>
      <w:r w:rsidR="0098273B" w:rsidRPr="00EE3355">
        <w:t xml:space="preserve">, jako je zvýšený krevní tlak a zvýšené hladiny cholesterolu, oznamte to lékaři. Tyto faktory je zapotřebí během léčby přípravkem </w:t>
      </w:r>
      <w:r w:rsidR="003D3840">
        <w:t>Avtozma</w:t>
      </w:r>
      <w:r w:rsidR="0098273B" w:rsidRPr="00EE3355">
        <w:t xml:space="preserve"> sledovat.</w:t>
      </w:r>
    </w:p>
    <w:p w14:paraId="46EF305C" w14:textId="77777777"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máte středně těžkou až těžkou </w:t>
      </w:r>
      <w:r w:rsidR="0098273B" w:rsidRPr="00EE3355">
        <w:rPr>
          <w:b/>
        </w:rPr>
        <w:t>poruchu funkce ledvin</w:t>
      </w:r>
      <w:r w:rsidR="0098273B" w:rsidRPr="00EE3355">
        <w:t>, lékař Vás bude sledovat.</w:t>
      </w:r>
    </w:p>
    <w:p w14:paraId="611F1E33" w14:textId="77777777" w:rsidR="00222DE0" w:rsidRPr="00EE3355" w:rsidRDefault="00B23DAE" w:rsidP="00EA1CDF">
      <w:pPr>
        <w:widowControl/>
        <w:tabs>
          <w:tab w:val="left" w:pos="804"/>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 xml:space="preserve">Jestliže máte </w:t>
      </w:r>
      <w:r w:rsidR="0098273B" w:rsidRPr="00EE3355">
        <w:rPr>
          <w:b/>
        </w:rPr>
        <w:t>přetrvávající bolesti hlavy</w:t>
      </w:r>
      <w:r w:rsidR="0098273B" w:rsidRPr="00EE3355">
        <w:t>.</w:t>
      </w:r>
    </w:p>
    <w:p w14:paraId="01D67022" w14:textId="77777777" w:rsidR="00770301" w:rsidRPr="00EE3355" w:rsidRDefault="00770301" w:rsidP="00EA1CDF">
      <w:pPr>
        <w:widowControl/>
        <w:tabs>
          <w:tab w:val="left" w:pos="804"/>
        </w:tabs>
        <w:rPr>
          <w:rFonts w:ascii="Symbol" w:hAnsi="Symbol"/>
          <w:sz w:val="24"/>
        </w:rPr>
      </w:pPr>
    </w:p>
    <w:p w14:paraId="1A988785" w14:textId="2ECCA0D6" w:rsidR="00222DE0" w:rsidRPr="00EE3355" w:rsidRDefault="0098273B" w:rsidP="00EA1CDF">
      <w:pPr>
        <w:pStyle w:val="a3"/>
        <w:widowControl/>
        <w:ind w:left="0"/>
      </w:pPr>
      <w:r w:rsidRPr="00EE3355">
        <w:t xml:space="preserve">Před nasazením přípravku </w:t>
      </w:r>
      <w:r w:rsidR="003D3840">
        <w:t>Avtozma</w:t>
      </w:r>
      <w:r w:rsidRPr="00EE3355">
        <w:t xml:space="preserve"> Vám lékař nechá provést rozbor krve k vyloučení nízkého počtu bílých krvinek, nízkého počtu krevních destiček a vysokých hodnot jaterních enzymů.</w:t>
      </w:r>
    </w:p>
    <w:p w14:paraId="6893B183" w14:textId="77777777" w:rsidR="00222DE0" w:rsidRPr="00EE3355" w:rsidRDefault="00222DE0" w:rsidP="00EA1CDF">
      <w:pPr>
        <w:pStyle w:val="a3"/>
        <w:widowControl/>
        <w:ind w:left="0"/>
      </w:pPr>
    </w:p>
    <w:p w14:paraId="050DE847" w14:textId="77777777" w:rsidR="00222DE0" w:rsidRPr="00241F6D" w:rsidRDefault="0098273B" w:rsidP="00241F6D">
      <w:pPr>
        <w:rPr>
          <w:b/>
          <w:bCs/>
        </w:rPr>
      </w:pPr>
      <w:r w:rsidRPr="00241F6D">
        <w:rPr>
          <w:b/>
          <w:bCs/>
        </w:rPr>
        <w:t>Děti a dospívající</w:t>
      </w:r>
    </w:p>
    <w:p w14:paraId="01949EAC" w14:textId="61A04A02" w:rsidR="00222DE0" w:rsidRPr="00EE3355" w:rsidRDefault="0098273B" w:rsidP="00EA1CDF">
      <w:pPr>
        <w:pStyle w:val="a3"/>
        <w:widowControl/>
        <w:ind w:left="0"/>
      </w:pPr>
      <w:r w:rsidRPr="00EE3355">
        <w:t xml:space="preserve">Přípravek </w:t>
      </w:r>
      <w:r w:rsidR="003D3840">
        <w:t>Avtozma</w:t>
      </w:r>
      <w:r w:rsidRPr="00EE3355">
        <w:t xml:space="preserve"> předplněné pero pro podkožní podání se nedoporučuje používat u</w:t>
      </w:r>
      <w:r w:rsidR="003D779B">
        <w:t xml:space="preserve"> </w:t>
      </w:r>
      <w:r w:rsidRPr="00EE3355">
        <w:t>dětí mladších 12 let.</w:t>
      </w:r>
    </w:p>
    <w:p w14:paraId="3D97ECC6" w14:textId="5D44069E" w:rsidR="00222DE0" w:rsidRPr="00EE3355" w:rsidRDefault="0098273B" w:rsidP="00EA1CDF">
      <w:pPr>
        <w:pStyle w:val="a3"/>
        <w:widowControl/>
        <w:ind w:left="0"/>
      </w:pPr>
      <w:r w:rsidRPr="00EE3355">
        <w:t xml:space="preserve">Přípravek </w:t>
      </w:r>
      <w:r w:rsidR="003D3840">
        <w:t>Avtozma</w:t>
      </w:r>
      <w:r w:rsidRPr="00EE3355">
        <w:t xml:space="preserve"> nesmí být podáván dětem se sJIA s tělesnou hmotností do 10 kg.</w:t>
      </w:r>
    </w:p>
    <w:p w14:paraId="08633BEE" w14:textId="77777777" w:rsidR="00307193" w:rsidRDefault="00307193" w:rsidP="00EA1CDF">
      <w:pPr>
        <w:pStyle w:val="a3"/>
        <w:widowControl/>
        <w:ind w:left="0"/>
      </w:pPr>
    </w:p>
    <w:p w14:paraId="61FEC9CA" w14:textId="15BEB7B7" w:rsidR="00222DE0" w:rsidRPr="00EE3355" w:rsidRDefault="0098273B" w:rsidP="00EA1CDF">
      <w:pPr>
        <w:pStyle w:val="a3"/>
        <w:widowControl/>
        <w:ind w:left="0"/>
      </w:pPr>
      <w:r w:rsidRPr="00EE3355">
        <w:t xml:space="preserve">Jestliže mělo dítě v minulosti </w:t>
      </w:r>
      <w:r w:rsidRPr="00EE3355">
        <w:rPr>
          <w:b/>
          <w:i/>
        </w:rPr>
        <w:t xml:space="preserve">syndrom aktivace makrofágů </w:t>
      </w:r>
      <w:r w:rsidRPr="00EE3355">
        <w:t xml:space="preserve">(aktivace a neřízené množení konkrétních krevních buněk), oznamte to lékaři. Lékař rozhodne, zda dítě může i přesto přípravek </w:t>
      </w:r>
      <w:r w:rsidR="003D3840">
        <w:t>Avtozma</w:t>
      </w:r>
      <w:r w:rsidRPr="00EE3355">
        <w:t xml:space="preserve"> používat.</w:t>
      </w:r>
    </w:p>
    <w:p w14:paraId="06902A4B" w14:textId="77777777" w:rsidR="00222DE0" w:rsidRPr="00EE3355" w:rsidRDefault="00222DE0" w:rsidP="00EA1CDF">
      <w:pPr>
        <w:pStyle w:val="a3"/>
        <w:widowControl/>
        <w:ind w:left="0"/>
      </w:pPr>
    </w:p>
    <w:p w14:paraId="63B345E7" w14:textId="509A9290" w:rsidR="00222DE0" w:rsidRPr="00241F6D" w:rsidRDefault="0098273B" w:rsidP="00241F6D">
      <w:pPr>
        <w:rPr>
          <w:b/>
          <w:bCs/>
        </w:rPr>
      </w:pPr>
      <w:r w:rsidRPr="00241F6D">
        <w:rPr>
          <w:b/>
          <w:bCs/>
        </w:rPr>
        <w:t xml:space="preserve">Další léčivé přípravky a přípravek </w:t>
      </w:r>
      <w:r w:rsidR="003D3840" w:rsidRPr="00241F6D">
        <w:rPr>
          <w:b/>
          <w:bCs/>
        </w:rPr>
        <w:t>Avtozma</w:t>
      </w:r>
    </w:p>
    <w:p w14:paraId="6F8D93C5" w14:textId="54F58929" w:rsidR="00222DE0" w:rsidRPr="00EE3355" w:rsidRDefault="0098273B" w:rsidP="00EA1CDF">
      <w:pPr>
        <w:pStyle w:val="a3"/>
        <w:widowControl/>
        <w:ind w:left="0"/>
      </w:pPr>
      <w:r w:rsidRPr="00EE3355">
        <w:t xml:space="preserve">Informujte svého lékaře o všech lécích, které užíváte nebo které jste v nedávné době užíval(a). Přípravek </w:t>
      </w:r>
      <w:r w:rsidR="003D3840">
        <w:t>Avtozma</w:t>
      </w:r>
      <w:r w:rsidRPr="00EE3355">
        <w:t xml:space="preserve"> může ovlivnit účinky některých léků, a může být proto zapotřebí upravit jejich dávkování. Jestliže užíváte léky s obsahem některé z následujících léčivých látek, </w:t>
      </w:r>
      <w:r w:rsidRPr="00EE3355">
        <w:rPr>
          <w:b/>
        </w:rPr>
        <w:t>oznamte to lékaři</w:t>
      </w:r>
      <w:r w:rsidRPr="00EE3355">
        <w:t>:</w:t>
      </w:r>
    </w:p>
    <w:p w14:paraId="256AD924"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methylprednisolon, dexamethason k potlačení zánětu</w:t>
      </w:r>
    </w:p>
    <w:p w14:paraId="0F18F533"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simvastatin nebo atorvastatin ke snížení hladiny cholesterolu</w:t>
      </w:r>
    </w:p>
    <w:p w14:paraId="4B836511"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blokátory vápníkových kanálů (např. amlodipin) k léčbě vysokého krevního tlaku</w:t>
      </w:r>
    </w:p>
    <w:p w14:paraId="0AC91838"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teofylin k léčbě astmatu</w:t>
      </w:r>
    </w:p>
    <w:p w14:paraId="5FB2C40E"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warfarin nebo fenprokumon k ředění krve</w:t>
      </w:r>
    </w:p>
    <w:p w14:paraId="68183143"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fenytoin k léčbě záchvatů křečí</w:t>
      </w:r>
    </w:p>
    <w:p w14:paraId="0326D1ED"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cyklosporin k potlačení imunitní reakce při transplantaci orgánů</w:t>
      </w:r>
    </w:p>
    <w:p w14:paraId="03502ADF"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benzodiazepiny (např. temazepam) k léčbě úzkosti</w:t>
      </w:r>
    </w:p>
    <w:p w14:paraId="35896237" w14:textId="77777777" w:rsidR="00D07EAC" w:rsidRPr="00EE3355" w:rsidRDefault="00D07EAC" w:rsidP="00EA1CDF">
      <w:pPr>
        <w:pStyle w:val="a3"/>
        <w:widowControl/>
        <w:ind w:left="0"/>
      </w:pPr>
    </w:p>
    <w:p w14:paraId="7289A11A" w14:textId="74CD93AC" w:rsidR="00222DE0" w:rsidRPr="00EE3355" w:rsidRDefault="0098273B" w:rsidP="00EA1CDF">
      <w:pPr>
        <w:pStyle w:val="a3"/>
        <w:widowControl/>
        <w:ind w:left="0"/>
      </w:pPr>
      <w:r w:rsidRPr="00EE3355">
        <w:t xml:space="preserve">Vzhledem k nedostatku klinických zkušeností se nedoporučuje používat </w:t>
      </w:r>
      <w:r w:rsidR="003D3840" w:rsidRPr="001879E9">
        <w:t>tocilizumab</w:t>
      </w:r>
      <w:r w:rsidR="003D3840" w:rsidRPr="00EE3355" w:rsidDel="003D3840">
        <w:t xml:space="preserve"> </w:t>
      </w:r>
      <w:r w:rsidRPr="00EE3355">
        <w:t>s jinými přípravky k biologické léčbě RA, sJIA, pJIA nebo GCA.</w:t>
      </w:r>
    </w:p>
    <w:p w14:paraId="24F665CC" w14:textId="77777777" w:rsidR="00222DE0" w:rsidRPr="00EE3355" w:rsidRDefault="00222DE0" w:rsidP="00EA1CDF">
      <w:pPr>
        <w:pStyle w:val="a3"/>
        <w:widowControl/>
        <w:ind w:left="0"/>
      </w:pPr>
    </w:p>
    <w:p w14:paraId="1BAC069F" w14:textId="77777777" w:rsidR="00222DE0" w:rsidRPr="00241F6D" w:rsidRDefault="0098273B" w:rsidP="00241F6D">
      <w:pPr>
        <w:rPr>
          <w:b/>
          <w:bCs/>
        </w:rPr>
      </w:pPr>
      <w:r w:rsidRPr="00241F6D">
        <w:rPr>
          <w:b/>
          <w:bCs/>
        </w:rPr>
        <w:t>Těhotenství, kojení a plodnost</w:t>
      </w:r>
    </w:p>
    <w:p w14:paraId="3186CE7D" w14:textId="77777777" w:rsidR="00D07EAC" w:rsidRPr="00EE3355" w:rsidRDefault="00D07EAC" w:rsidP="00943257"/>
    <w:p w14:paraId="1BAC6B40" w14:textId="0DA72A65" w:rsidR="00222DE0" w:rsidRPr="00EE3355" w:rsidRDefault="0098273B" w:rsidP="00EA1CDF">
      <w:pPr>
        <w:widowControl/>
      </w:pPr>
      <w:r w:rsidRPr="00EE3355">
        <w:rPr>
          <w:b/>
        </w:rPr>
        <w:t xml:space="preserve">Přípravek </w:t>
      </w:r>
      <w:r w:rsidR="00A551D9">
        <w:rPr>
          <w:b/>
        </w:rPr>
        <w:t>Avtozma</w:t>
      </w:r>
      <w:r w:rsidRPr="00EE3355">
        <w:rPr>
          <w:b/>
        </w:rPr>
        <w:t xml:space="preserve"> se nemá během těhotenství používat</w:t>
      </w:r>
      <w:r w:rsidRPr="00EE3355">
        <w:t>, pokud to není nezbytně nutné. Pokud jste těhotná, domníváte se, že můžete být těhotná, nebo plánujete otěhotnět, poraďte se se svým lékařem.</w:t>
      </w:r>
    </w:p>
    <w:p w14:paraId="409B47EC" w14:textId="77777777" w:rsidR="00222DE0" w:rsidRPr="00EE3355" w:rsidRDefault="00222DE0" w:rsidP="00EA1CDF">
      <w:pPr>
        <w:pStyle w:val="a3"/>
        <w:widowControl/>
        <w:ind w:left="0"/>
      </w:pPr>
    </w:p>
    <w:p w14:paraId="20230220" w14:textId="77777777" w:rsidR="00222DE0" w:rsidRPr="00EE3355" w:rsidRDefault="0098273B" w:rsidP="00EA1CDF">
      <w:pPr>
        <w:pStyle w:val="a3"/>
        <w:widowControl/>
        <w:ind w:left="0"/>
      </w:pPr>
      <w:r w:rsidRPr="00EE3355">
        <w:t>Ženy schopné otěhotnět musí během léčby a 3 měsíce po jejím ukončení používat účinnou</w:t>
      </w:r>
      <w:r w:rsidR="00D07EAC" w:rsidRPr="00EE3355">
        <w:t xml:space="preserve"> </w:t>
      </w:r>
      <w:r w:rsidRPr="00EE3355">
        <w:t>antikoncepci.</w:t>
      </w:r>
    </w:p>
    <w:p w14:paraId="7A1553D9" w14:textId="77777777" w:rsidR="00222DE0" w:rsidRPr="00EE3355" w:rsidRDefault="00222DE0" w:rsidP="00EA1CDF">
      <w:pPr>
        <w:pStyle w:val="a3"/>
        <w:widowControl/>
        <w:ind w:left="0"/>
      </w:pPr>
    </w:p>
    <w:p w14:paraId="1F3E9DF3" w14:textId="0D0B08BF" w:rsidR="00222DE0" w:rsidRPr="00EE3355" w:rsidRDefault="0098273B" w:rsidP="00EA1CDF">
      <w:pPr>
        <w:widowControl/>
      </w:pPr>
      <w:r w:rsidRPr="00EE3355">
        <w:rPr>
          <w:b/>
        </w:rPr>
        <w:t xml:space="preserve">Pokud Vám má být nasazen přípravek </w:t>
      </w:r>
      <w:r w:rsidR="00A551D9">
        <w:rPr>
          <w:b/>
        </w:rPr>
        <w:t>Avtozma</w:t>
      </w:r>
      <w:r w:rsidRPr="00EE3355">
        <w:rPr>
          <w:b/>
        </w:rPr>
        <w:t xml:space="preserve">, přestaňte kojit </w:t>
      </w:r>
      <w:r w:rsidRPr="00EE3355">
        <w:t>a poraďte se s lékařem.</w:t>
      </w:r>
      <w:r w:rsidR="00D07EAC" w:rsidRPr="00EE3355">
        <w:t xml:space="preserve"> </w:t>
      </w:r>
      <w:r w:rsidRPr="00EE3355">
        <w:t>V kojení můžete pokračovat s odstupem nejméně 3 měsíců po poslední dávce. Není známo, zda je</w:t>
      </w:r>
      <w:r w:rsidR="00D07EAC" w:rsidRPr="00EE3355">
        <w:t xml:space="preserve"> </w:t>
      </w:r>
      <w:r w:rsidRPr="00EE3355">
        <w:t xml:space="preserve">přípravek </w:t>
      </w:r>
      <w:r w:rsidR="00A551D9">
        <w:t>Avtozma</w:t>
      </w:r>
      <w:r w:rsidRPr="00EE3355">
        <w:t xml:space="preserve"> vylučován do mateřského mléka.</w:t>
      </w:r>
    </w:p>
    <w:p w14:paraId="403E3F54" w14:textId="77777777" w:rsidR="00222DE0" w:rsidRPr="00EE3355" w:rsidRDefault="00222DE0" w:rsidP="00EA1CDF">
      <w:pPr>
        <w:widowControl/>
      </w:pPr>
    </w:p>
    <w:p w14:paraId="2F10615E" w14:textId="77777777" w:rsidR="00222DE0" w:rsidRPr="00241F6D" w:rsidRDefault="0098273B" w:rsidP="00241F6D">
      <w:pPr>
        <w:rPr>
          <w:b/>
          <w:bCs/>
        </w:rPr>
      </w:pPr>
      <w:r w:rsidRPr="00241F6D">
        <w:rPr>
          <w:b/>
          <w:bCs/>
        </w:rPr>
        <w:t>Řízení dopravních prostředků a obsluha strojů</w:t>
      </w:r>
    </w:p>
    <w:p w14:paraId="2274238C" w14:textId="77777777" w:rsidR="00222DE0" w:rsidRDefault="0098273B" w:rsidP="00EA1CDF">
      <w:pPr>
        <w:pStyle w:val="a3"/>
        <w:widowControl/>
        <w:ind w:left="0"/>
        <w:rPr>
          <w:rFonts w:eastAsia="맑은 고딕"/>
          <w:lang w:eastAsia="ko-KR"/>
        </w:rPr>
      </w:pPr>
      <w:r w:rsidRPr="00EE3355">
        <w:t>Přípravek může způsobit závrať. Jestliže máte závrať, neřiďte ani neobsluhujte stroje.</w:t>
      </w:r>
    </w:p>
    <w:p w14:paraId="4B0A3B34" w14:textId="77777777" w:rsidR="007D5501" w:rsidRPr="00B93217" w:rsidRDefault="007D5501" w:rsidP="00EA1CDF">
      <w:pPr>
        <w:pStyle w:val="a3"/>
        <w:widowControl/>
        <w:ind w:left="0"/>
        <w:rPr>
          <w:rFonts w:eastAsia="맑은 고딕"/>
          <w:lang w:eastAsia="ko-KR"/>
        </w:rPr>
      </w:pPr>
    </w:p>
    <w:p w14:paraId="2CAEF636" w14:textId="03926E31" w:rsidR="00A551D9" w:rsidRPr="00B93217" w:rsidRDefault="00A551D9" w:rsidP="00EA1CDF">
      <w:pPr>
        <w:pStyle w:val="a3"/>
        <w:widowControl/>
        <w:ind w:left="0"/>
        <w:rPr>
          <w:b/>
        </w:rPr>
      </w:pPr>
      <w:r w:rsidRPr="00B93217">
        <w:rPr>
          <w:b/>
        </w:rPr>
        <w:t>Přípravek Avtozma obsahuje polysorbát</w:t>
      </w:r>
    </w:p>
    <w:p w14:paraId="471A3749" w14:textId="1F0A3ABF" w:rsidR="00A551D9" w:rsidRDefault="00A551D9" w:rsidP="00A551D9">
      <w:r w:rsidRPr="00EE3355">
        <w:t xml:space="preserve">Tento </w:t>
      </w:r>
      <w:r>
        <w:t>léčivý přípravek obsahuje 0,2 mg polysorbátu 80 v </w:t>
      </w:r>
      <w:r w:rsidR="001D0160">
        <w:t>jednom</w:t>
      </w:r>
      <w:r w:rsidR="0095454E">
        <w:t>p</w:t>
      </w:r>
      <w:r>
        <w:t>ředplněné</w:t>
      </w:r>
      <w:r w:rsidR="0095454E">
        <w:t>m peru</w:t>
      </w:r>
      <w:r>
        <w:t>. Polysorbáty mohou způsobit alergické reakce</w:t>
      </w:r>
      <w:r w:rsidRPr="006C4BD6">
        <w:t xml:space="preserve">. </w:t>
      </w:r>
      <w:r w:rsidRPr="00B93217">
        <w:t>Informujte lékaře, pokud máte jakoukoli známou alergii</w:t>
      </w:r>
      <w:r w:rsidR="00AD0404">
        <w:t>.</w:t>
      </w:r>
    </w:p>
    <w:p w14:paraId="5C8487E0" w14:textId="77777777" w:rsidR="00222DE0" w:rsidRPr="00EE3355" w:rsidRDefault="00222DE0" w:rsidP="00EA1CDF">
      <w:pPr>
        <w:pStyle w:val="a3"/>
        <w:widowControl/>
        <w:ind w:left="0"/>
      </w:pPr>
    </w:p>
    <w:p w14:paraId="635D8A4B" w14:textId="77777777" w:rsidR="00222DE0" w:rsidRPr="00EE3355" w:rsidRDefault="00222DE0" w:rsidP="00EA1CDF">
      <w:pPr>
        <w:pStyle w:val="a3"/>
        <w:widowControl/>
        <w:ind w:left="0"/>
      </w:pPr>
    </w:p>
    <w:p w14:paraId="168F4AFF" w14:textId="7B5B4101" w:rsidR="00222DE0" w:rsidRPr="00EE3355" w:rsidRDefault="0098273B" w:rsidP="00B93217">
      <w:pPr>
        <w:pStyle w:val="2"/>
        <w:widowControl/>
        <w:numPr>
          <w:ilvl w:val="0"/>
          <w:numId w:val="65"/>
        </w:numPr>
        <w:ind w:left="567" w:hanging="567"/>
      </w:pPr>
      <w:r w:rsidRPr="00EE3355">
        <w:t xml:space="preserve">Jak se přípravek </w:t>
      </w:r>
      <w:r w:rsidR="00A551D9">
        <w:t>Avtozma</w:t>
      </w:r>
      <w:r w:rsidRPr="00EE3355">
        <w:t xml:space="preserve"> používá</w:t>
      </w:r>
    </w:p>
    <w:p w14:paraId="123CD3C2" w14:textId="77777777" w:rsidR="00E209DB" w:rsidRPr="00EE3355" w:rsidRDefault="00E209DB" w:rsidP="00943257"/>
    <w:p w14:paraId="42947904" w14:textId="77777777" w:rsidR="00222DE0" w:rsidRPr="00EE3355" w:rsidRDefault="0098273B" w:rsidP="00EA1CDF">
      <w:pPr>
        <w:pStyle w:val="a3"/>
        <w:widowControl/>
        <w:ind w:left="0"/>
      </w:pPr>
      <w:r w:rsidRPr="00EE3355">
        <w:t>Vždy užívejte tento přípravek přesně podle pokynů svého lékaře, lékárníka nebo zdravotní sestry.</w:t>
      </w:r>
    </w:p>
    <w:p w14:paraId="54F3697D" w14:textId="77777777" w:rsidR="00222DE0" w:rsidRPr="00EE3355" w:rsidRDefault="0098273B" w:rsidP="00EA1CDF">
      <w:pPr>
        <w:pStyle w:val="a3"/>
        <w:widowControl/>
        <w:ind w:left="0"/>
      </w:pPr>
      <w:r w:rsidRPr="00EE3355">
        <w:t>Pokud si nejste jistý(á), poraďte se se svým lékařem, lékárníkem nebo zdravotní sestrou.</w:t>
      </w:r>
    </w:p>
    <w:p w14:paraId="1922D4DA" w14:textId="77777777" w:rsidR="00222DE0" w:rsidRPr="00EE3355" w:rsidRDefault="00222DE0" w:rsidP="00EA1CDF">
      <w:pPr>
        <w:pStyle w:val="a3"/>
        <w:widowControl/>
        <w:ind w:left="0"/>
      </w:pPr>
    </w:p>
    <w:p w14:paraId="684C6D02" w14:textId="77777777" w:rsidR="00222DE0" w:rsidRPr="00EE3355" w:rsidRDefault="0098273B" w:rsidP="00EA1CDF">
      <w:pPr>
        <w:pStyle w:val="a3"/>
        <w:widowControl/>
        <w:ind w:left="0"/>
      </w:pPr>
      <w:r w:rsidRPr="00EE3355">
        <w:t>Léčba bude předepsána a zahájena lékařem, který má zkušenosti s diagnostikou a léčbou RA, sJIA, pJIA nebo GCA.</w:t>
      </w:r>
    </w:p>
    <w:p w14:paraId="56FEE04F" w14:textId="77777777" w:rsidR="00222DE0" w:rsidRPr="00EE3355" w:rsidRDefault="00222DE0" w:rsidP="00EA1CDF">
      <w:pPr>
        <w:pStyle w:val="a3"/>
        <w:widowControl/>
        <w:ind w:left="0"/>
      </w:pPr>
    </w:p>
    <w:p w14:paraId="0AF016D6" w14:textId="77777777" w:rsidR="00222DE0" w:rsidRPr="00241F6D" w:rsidRDefault="0098273B" w:rsidP="00241F6D">
      <w:pPr>
        <w:rPr>
          <w:b/>
          <w:bCs/>
        </w:rPr>
      </w:pPr>
      <w:r w:rsidRPr="00241F6D">
        <w:rPr>
          <w:b/>
          <w:bCs/>
        </w:rPr>
        <w:t>Doporučená dávka</w:t>
      </w:r>
    </w:p>
    <w:p w14:paraId="37A8C4F1" w14:textId="77777777" w:rsidR="00222DE0" w:rsidRPr="00EE3355" w:rsidRDefault="0098273B" w:rsidP="00EA1CDF">
      <w:pPr>
        <w:pStyle w:val="a3"/>
        <w:widowControl/>
        <w:ind w:left="0"/>
      </w:pPr>
      <w:r w:rsidRPr="00EE3355">
        <w:t>Doporučená dávka pro všechny dospělé s RA nebo GCA je 162 mg (obsah jednoho předplněného pera) jednou týdně.</w:t>
      </w:r>
    </w:p>
    <w:p w14:paraId="60982A0A" w14:textId="77777777" w:rsidR="00222DE0" w:rsidRPr="00EE3355" w:rsidRDefault="00222DE0" w:rsidP="00EA1CDF">
      <w:pPr>
        <w:pStyle w:val="a3"/>
        <w:widowControl/>
        <w:ind w:left="0"/>
      </w:pPr>
    </w:p>
    <w:p w14:paraId="4891AF54" w14:textId="77777777" w:rsidR="00222DE0" w:rsidRPr="00241F6D" w:rsidRDefault="0098273B" w:rsidP="00241F6D">
      <w:pPr>
        <w:rPr>
          <w:b/>
          <w:bCs/>
        </w:rPr>
      </w:pPr>
      <w:r w:rsidRPr="00241F6D">
        <w:rPr>
          <w:b/>
          <w:bCs/>
        </w:rPr>
        <w:t>Dospívající (od 12 let) se sJIA</w:t>
      </w:r>
    </w:p>
    <w:p w14:paraId="1800005C" w14:textId="76D9B759" w:rsidR="00222DE0" w:rsidRPr="00EE3355" w:rsidRDefault="0098273B" w:rsidP="00EA1CDF">
      <w:pPr>
        <w:widowControl/>
        <w:rPr>
          <w:b/>
        </w:rPr>
      </w:pPr>
      <w:r w:rsidRPr="00EE3355">
        <w:rPr>
          <w:b/>
        </w:rPr>
        <w:t xml:space="preserve">Obvyklá dávka přípravku </w:t>
      </w:r>
      <w:r w:rsidR="00A551D9">
        <w:rPr>
          <w:b/>
        </w:rPr>
        <w:t>Avtozma</w:t>
      </w:r>
      <w:r w:rsidRPr="00EE3355">
        <w:rPr>
          <w:b/>
        </w:rPr>
        <w:t xml:space="preserve"> závisí na tělesné hmotnosti pacienta.</w:t>
      </w:r>
    </w:p>
    <w:p w14:paraId="531A90E7" w14:textId="77777777" w:rsidR="00222DE0" w:rsidRPr="00EE3355" w:rsidRDefault="00B23DAE" w:rsidP="00EA1CDF">
      <w:pPr>
        <w:widowControl/>
        <w:tabs>
          <w:tab w:val="left" w:pos="520"/>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pokud je pacientova tělesná hmotnost </w:t>
      </w:r>
      <w:r w:rsidR="0098273B" w:rsidRPr="00EE3355">
        <w:rPr>
          <w:b/>
        </w:rPr>
        <w:t>nižší než 30 kg</w:t>
      </w:r>
      <w:r w:rsidR="0098273B" w:rsidRPr="00EE3355">
        <w:t>: dávka je 162 mg (obsah 1 předplněného</w:t>
      </w:r>
      <w:r w:rsidR="00311D67" w:rsidRPr="00EE3355">
        <w:t xml:space="preserve"> </w:t>
      </w:r>
      <w:r w:rsidR="0098273B" w:rsidRPr="00EE3355">
        <w:t>pera), jednou za 2 týdny</w:t>
      </w:r>
    </w:p>
    <w:p w14:paraId="3D35D2B2" w14:textId="77777777" w:rsidR="00222DE0" w:rsidRPr="00EE3355" w:rsidRDefault="00B23DAE" w:rsidP="00EA1CDF">
      <w:pPr>
        <w:widowControl/>
        <w:tabs>
          <w:tab w:val="left" w:pos="519"/>
          <w:tab w:val="left" w:pos="521"/>
        </w:tabs>
        <w:ind w:left="567" w:hanging="567"/>
      </w:pPr>
      <w:r w:rsidRPr="00EE3355">
        <w:rPr>
          <w:rFonts w:ascii="Symbol" w:eastAsia="Symbol" w:hAnsi="Symbol" w:cs="Symbol"/>
        </w:rPr>
        <w:t></w:t>
      </w:r>
      <w:r w:rsidRPr="00EE3355">
        <w:rPr>
          <w:rFonts w:ascii="Symbol" w:eastAsia="Symbol" w:hAnsi="Symbol" w:cs="Symbol"/>
        </w:rPr>
        <w:tab/>
      </w:r>
      <w:r w:rsidR="0098273B" w:rsidRPr="00EE3355">
        <w:t xml:space="preserve">pokud je pacientova tělesná hmotnost </w:t>
      </w:r>
      <w:r w:rsidR="0098273B" w:rsidRPr="00EE3355">
        <w:rPr>
          <w:b/>
        </w:rPr>
        <w:t>30 kg nebo více</w:t>
      </w:r>
      <w:r w:rsidR="0098273B" w:rsidRPr="00EE3355">
        <w:t>: dávka je 162 mg (obsah 1 předplněného pera), jednou týdně</w:t>
      </w:r>
    </w:p>
    <w:p w14:paraId="54E0DC44" w14:textId="77777777" w:rsidR="00311D67" w:rsidRPr="00EE3355" w:rsidRDefault="00311D67" w:rsidP="00EA1CDF">
      <w:pPr>
        <w:widowControl/>
        <w:tabs>
          <w:tab w:val="left" w:pos="519"/>
          <w:tab w:val="left" w:pos="521"/>
        </w:tabs>
        <w:rPr>
          <w:rFonts w:ascii="Symbol" w:hAnsi="Symbol"/>
          <w:b/>
        </w:rPr>
      </w:pPr>
    </w:p>
    <w:p w14:paraId="516F023B" w14:textId="77777777" w:rsidR="00222DE0" w:rsidRPr="00EE3355" w:rsidRDefault="0098273B" w:rsidP="00EA1CDF">
      <w:pPr>
        <w:pStyle w:val="a3"/>
        <w:widowControl/>
        <w:ind w:left="0"/>
      </w:pPr>
      <w:r w:rsidRPr="00EE3355">
        <w:t>Předplněné pero nemá být použito k léčbě dětí ve věku do 12 let.</w:t>
      </w:r>
    </w:p>
    <w:p w14:paraId="2AB56FFF" w14:textId="77777777" w:rsidR="00222DE0" w:rsidRPr="00EE3355" w:rsidRDefault="00222DE0" w:rsidP="00EA1CDF">
      <w:pPr>
        <w:pStyle w:val="a3"/>
        <w:widowControl/>
        <w:ind w:left="0"/>
      </w:pPr>
    </w:p>
    <w:p w14:paraId="0D9645F5" w14:textId="77777777" w:rsidR="00222DE0" w:rsidRPr="00241F6D" w:rsidRDefault="0098273B" w:rsidP="00241F6D">
      <w:pPr>
        <w:rPr>
          <w:b/>
          <w:bCs/>
        </w:rPr>
      </w:pPr>
      <w:r w:rsidRPr="00241F6D">
        <w:rPr>
          <w:b/>
          <w:bCs/>
        </w:rPr>
        <w:t>Dospívající s pJIA (od 12 let)</w:t>
      </w:r>
    </w:p>
    <w:p w14:paraId="590683F2" w14:textId="195BD86E" w:rsidR="00222DE0" w:rsidRPr="00EE3355" w:rsidRDefault="0098273B" w:rsidP="00EA1CDF">
      <w:pPr>
        <w:widowControl/>
        <w:rPr>
          <w:b/>
        </w:rPr>
      </w:pPr>
      <w:r w:rsidRPr="00EE3355">
        <w:rPr>
          <w:b/>
        </w:rPr>
        <w:t xml:space="preserve">Obvyklá dávka přípravku </w:t>
      </w:r>
      <w:r w:rsidR="00A551D9">
        <w:rPr>
          <w:b/>
        </w:rPr>
        <w:t>Avtozma</w:t>
      </w:r>
      <w:r w:rsidRPr="00EE3355">
        <w:rPr>
          <w:b/>
        </w:rPr>
        <w:t xml:space="preserve"> závisí na tělesné hmotnosti pacienta.</w:t>
      </w:r>
    </w:p>
    <w:p w14:paraId="6A00C0BD" w14:textId="77777777" w:rsidR="00222DE0" w:rsidRPr="00EE3355" w:rsidRDefault="00B23DAE" w:rsidP="00EA1CDF">
      <w:pPr>
        <w:widowControl/>
        <w:tabs>
          <w:tab w:val="left" w:pos="598"/>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pokud je pacientova tělesná hmotnost </w:t>
      </w:r>
      <w:r w:rsidR="0098273B" w:rsidRPr="00EE3355">
        <w:rPr>
          <w:b/>
        </w:rPr>
        <w:t>nižší než 30 kg</w:t>
      </w:r>
      <w:r w:rsidR="0098273B" w:rsidRPr="00EE3355">
        <w:t>: dávka je 162 mg (obsah 1 předplněného</w:t>
      </w:r>
      <w:r w:rsidR="00AC35D8" w:rsidRPr="00EE3355">
        <w:t xml:space="preserve"> </w:t>
      </w:r>
      <w:r w:rsidR="0098273B" w:rsidRPr="00EE3355">
        <w:t xml:space="preserve">pera), </w:t>
      </w:r>
      <w:r w:rsidR="0098273B" w:rsidRPr="00EE3355">
        <w:rPr>
          <w:b/>
        </w:rPr>
        <w:t>jednou za 3 týdny</w:t>
      </w:r>
    </w:p>
    <w:p w14:paraId="39EF0D18" w14:textId="77777777" w:rsidR="00222DE0" w:rsidRPr="00EE3355" w:rsidRDefault="00B23DAE" w:rsidP="00EA1CDF">
      <w:pPr>
        <w:widowControl/>
        <w:tabs>
          <w:tab w:val="left" w:pos="598"/>
        </w:tabs>
        <w:ind w:left="567" w:hanging="567"/>
        <w:rPr>
          <w:b/>
        </w:rPr>
      </w:pPr>
      <w:r w:rsidRPr="00EE3355">
        <w:rPr>
          <w:rFonts w:ascii="Symbol" w:eastAsia="Symbol" w:hAnsi="Symbol" w:cs="Symbol"/>
        </w:rPr>
        <w:t></w:t>
      </w:r>
      <w:r w:rsidRPr="00EE3355">
        <w:rPr>
          <w:rFonts w:ascii="Symbol" w:eastAsia="Symbol" w:hAnsi="Symbol" w:cs="Symbol"/>
        </w:rPr>
        <w:tab/>
      </w:r>
      <w:r w:rsidR="0098273B" w:rsidRPr="00EE3355">
        <w:t xml:space="preserve">pokud je pacientova tělesná hmotnost </w:t>
      </w:r>
      <w:r w:rsidR="0098273B" w:rsidRPr="00EE3355">
        <w:rPr>
          <w:b/>
        </w:rPr>
        <w:t>30 kg nebo více</w:t>
      </w:r>
      <w:r w:rsidR="0098273B" w:rsidRPr="00EE3355">
        <w:t>: dávka je 162 mg (obsah 1 předplněného</w:t>
      </w:r>
      <w:r w:rsidR="00AC35D8" w:rsidRPr="00EE3355">
        <w:t xml:space="preserve"> </w:t>
      </w:r>
      <w:r w:rsidR="0098273B" w:rsidRPr="00EE3355">
        <w:t xml:space="preserve">pera), </w:t>
      </w:r>
      <w:r w:rsidR="0098273B" w:rsidRPr="00EE3355">
        <w:rPr>
          <w:b/>
        </w:rPr>
        <w:t>jednou za 2 týdny.</w:t>
      </w:r>
    </w:p>
    <w:p w14:paraId="22D623EB" w14:textId="77777777" w:rsidR="00222DE0" w:rsidRPr="00EE3355" w:rsidRDefault="00222DE0" w:rsidP="00EA1CDF">
      <w:pPr>
        <w:pStyle w:val="a3"/>
        <w:widowControl/>
        <w:ind w:left="0"/>
        <w:rPr>
          <w:b/>
        </w:rPr>
      </w:pPr>
    </w:p>
    <w:p w14:paraId="0C2CABD1" w14:textId="77777777" w:rsidR="00222DE0" w:rsidRPr="00EE3355" w:rsidRDefault="0098273B" w:rsidP="00EA1CDF">
      <w:pPr>
        <w:pStyle w:val="a3"/>
        <w:widowControl/>
        <w:ind w:left="0"/>
      </w:pPr>
      <w:r w:rsidRPr="00EE3355">
        <w:t>Předplněné pero nemá být použito k léčbě dětí ve věku do 12 let.</w:t>
      </w:r>
    </w:p>
    <w:p w14:paraId="28C8224E" w14:textId="77777777" w:rsidR="00222DE0" w:rsidRPr="00EE3355" w:rsidRDefault="00222DE0" w:rsidP="00EA1CDF">
      <w:pPr>
        <w:pStyle w:val="a3"/>
        <w:widowControl/>
        <w:ind w:left="0"/>
      </w:pPr>
    </w:p>
    <w:p w14:paraId="20D8D8B7" w14:textId="54BB559C" w:rsidR="00222DE0" w:rsidRDefault="0098273B" w:rsidP="00EA1CDF">
      <w:pPr>
        <w:pStyle w:val="a3"/>
        <w:widowControl/>
        <w:ind w:left="0"/>
      </w:pPr>
      <w:r w:rsidRPr="00EE3355">
        <w:t xml:space="preserve">Přípravek </w:t>
      </w:r>
      <w:r w:rsidR="00A551D9">
        <w:t>Avtozma</w:t>
      </w:r>
      <w:r w:rsidRPr="00EE3355">
        <w:t xml:space="preserve"> se aplikuje podkožní (subkutánní) injekcí. Na začátku Vám může přípravek </w:t>
      </w:r>
      <w:r w:rsidR="00A551D9">
        <w:t>Avtozma</w:t>
      </w:r>
      <w:r w:rsidRPr="00EE3355">
        <w:t xml:space="preserve"> aplikovat lékař nebo zdravotní sestra. Lékař ale může rozhodnout, že si můžete přípravek </w:t>
      </w:r>
      <w:r w:rsidR="00A551D9">
        <w:t>Avtozma</w:t>
      </w:r>
      <w:r w:rsidRPr="00EE3355">
        <w:t xml:space="preserve"> aplikovat sám (sama). V tom případě budete poučen(a), jak si máte přípravek </w:t>
      </w:r>
      <w:r w:rsidR="00A551D9">
        <w:t>Avtozma</w:t>
      </w:r>
      <w:r w:rsidRPr="00EE3355">
        <w:t xml:space="preserve"> aplikovat. Rodiče a opatrovníci budou vyškoleni, jak podávat injekci přípravku </w:t>
      </w:r>
      <w:r w:rsidR="00A551D9">
        <w:t>Avtozma</w:t>
      </w:r>
      <w:r w:rsidRPr="00EE3355">
        <w:t xml:space="preserve"> pacientům, kteří si jej nemohou podávat sami.</w:t>
      </w:r>
    </w:p>
    <w:p w14:paraId="39FE97CF" w14:textId="77777777" w:rsidR="003D779B" w:rsidRPr="00EE3355" w:rsidRDefault="003D779B" w:rsidP="00EA1CDF">
      <w:pPr>
        <w:pStyle w:val="a3"/>
        <w:widowControl/>
        <w:ind w:left="0"/>
      </w:pPr>
    </w:p>
    <w:p w14:paraId="7712A3EE" w14:textId="77777777" w:rsidR="00222DE0" w:rsidRPr="00EE3355" w:rsidRDefault="0098273B" w:rsidP="00EA1CDF">
      <w:pPr>
        <w:pStyle w:val="a3"/>
        <w:widowControl/>
        <w:ind w:left="0"/>
      </w:pPr>
      <w:r w:rsidRPr="00EE3355">
        <w:t>V případě dotazů týkajících se aplikace injekce sobě nebo dospívajícímu, o kterého pečujete, se</w:t>
      </w:r>
      <w:r w:rsidR="003D779B">
        <w:t xml:space="preserve"> </w:t>
      </w:r>
      <w:r w:rsidRPr="00EE3355">
        <w:t>zeptejte lékaře. Podrobný návod k aplikaci je uveden na konci této příbalové informace.</w:t>
      </w:r>
    </w:p>
    <w:p w14:paraId="2127E975" w14:textId="77777777" w:rsidR="00222DE0" w:rsidRPr="00EE3355" w:rsidRDefault="00222DE0" w:rsidP="00EA1CDF">
      <w:pPr>
        <w:pStyle w:val="a3"/>
        <w:widowControl/>
        <w:ind w:left="0"/>
      </w:pPr>
    </w:p>
    <w:p w14:paraId="1333FB0F" w14:textId="31D02EB2" w:rsidR="00222DE0" w:rsidRPr="00EE3355" w:rsidRDefault="0098273B" w:rsidP="00241F6D">
      <w:r w:rsidRPr="00241F6D">
        <w:rPr>
          <w:b/>
          <w:bCs/>
        </w:rPr>
        <w:t xml:space="preserve">Jestliže jste užil(a) více přípravku </w:t>
      </w:r>
      <w:r w:rsidR="00A551D9" w:rsidRPr="00241F6D">
        <w:rPr>
          <w:b/>
          <w:bCs/>
        </w:rPr>
        <w:t>Avtozma</w:t>
      </w:r>
      <w:r w:rsidRPr="00241F6D">
        <w:rPr>
          <w:b/>
          <w:bCs/>
        </w:rPr>
        <w:t>, než jste měl(a)</w:t>
      </w:r>
    </w:p>
    <w:p w14:paraId="4C3321DA" w14:textId="1A9C2128" w:rsidR="00222DE0" w:rsidRPr="00EE3355" w:rsidRDefault="0098273B" w:rsidP="00EA1CDF">
      <w:pPr>
        <w:pStyle w:val="a3"/>
        <w:widowControl/>
        <w:ind w:left="0"/>
      </w:pPr>
      <w:r w:rsidRPr="00EE3355">
        <w:t xml:space="preserve">Přípravek </w:t>
      </w:r>
      <w:r w:rsidR="00A551D9">
        <w:t>Avtozma</w:t>
      </w:r>
      <w:r w:rsidRPr="00EE3355">
        <w:t xml:space="preserve"> se aplikuje z jediného předplněného pera, předávkování je proto nepravděpodobné. V případě obav se ale obraťte na lékaře, lékárníka nebo zdravotní sestru.</w:t>
      </w:r>
    </w:p>
    <w:p w14:paraId="60A672E6" w14:textId="77777777" w:rsidR="00222DE0" w:rsidRPr="00EE3355" w:rsidRDefault="00222DE0" w:rsidP="00EA1CDF">
      <w:pPr>
        <w:pStyle w:val="a3"/>
        <w:widowControl/>
        <w:ind w:left="0"/>
      </w:pPr>
    </w:p>
    <w:p w14:paraId="6C92BF10" w14:textId="77777777" w:rsidR="00222DE0" w:rsidRPr="00241F6D" w:rsidRDefault="0098273B" w:rsidP="00241F6D">
      <w:pPr>
        <w:rPr>
          <w:b/>
          <w:bCs/>
        </w:rPr>
      </w:pPr>
      <w:r w:rsidRPr="00241F6D">
        <w:rPr>
          <w:b/>
          <w:bCs/>
        </w:rPr>
        <w:t>Jestliže dospělý s RA nebo GCA nebo dospívající se sJIA vynechá nebo zapomene dávku</w:t>
      </w:r>
    </w:p>
    <w:p w14:paraId="54B8BD06" w14:textId="72B0C1BC" w:rsidR="00222DE0" w:rsidRPr="00EE3355" w:rsidRDefault="0098273B" w:rsidP="00EA1CDF">
      <w:pPr>
        <w:pStyle w:val="a3"/>
        <w:widowControl/>
        <w:ind w:left="0"/>
      </w:pPr>
      <w:r w:rsidRPr="00EE3355">
        <w:t xml:space="preserve">Je velmi důležité užívat přípravek </w:t>
      </w:r>
      <w:r w:rsidR="00A551D9">
        <w:t>Avtozma</w:t>
      </w:r>
      <w:r w:rsidRPr="00EE3355">
        <w:t xml:space="preserve"> přesně podle pokynů lékaře. Zkontrolujte si termín další</w:t>
      </w:r>
      <w:r w:rsidR="003D779B">
        <w:t xml:space="preserve"> </w:t>
      </w:r>
      <w:r w:rsidRPr="00EE3355">
        <w:t>dávky.</w:t>
      </w:r>
    </w:p>
    <w:p w14:paraId="4E3884E4" w14:textId="02055112" w:rsidR="00222DE0" w:rsidRPr="00EE3355" w:rsidRDefault="00B23DAE" w:rsidP="00EA1CDF">
      <w:pPr>
        <w:widowControl/>
        <w:tabs>
          <w:tab w:val="left" w:pos="805"/>
        </w:tabs>
        <w:ind w:left="567" w:hanging="567"/>
        <w:jc w:val="both"/>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 xml:space="preserve">Jestliže přípravek </w:t>
      </w:r>
      <w:r w:rsidR="00A551D9">
        <w:t>Avtozma</w:t>
      </w:r>
      <w:r w:rsidR="0098273B" w:rsidRPr="00EE3355">
        <w:t xml:space="preserve"> užíváte jednou týdně a některou dávku vynecháte, ale zjistíte to do 7 dnů od plánovaného termínu dávky, aplikujte si vynechanou dávku v dalším plánovaném termínu.</w:t>
      </w:r>
    </w:p>
    <w:p w14:paraId="694F0660" w14:textId="2103D81D" w:rsidR="00222DE0" w:rsidRPr="00EE3355" w:rsidRDefault="00B23DAE" w:rsidP="00EA1CDF">
      <w:pPr>
        <w:widowControl/>
        <w:tabs>
          <w:tab w:val="left" w:pos="805"/>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 xml:space="preserve">Jestliže přípravek </w:t>
      </w:r>
      <w:r w:rsidR="00A551D9">
        <w:t>Avtozma</w:t>
      </w:r>
      <w:r w:rsidR="0098273B" w:rsidRPr="00EE3355">
        <w:t xml:space="preserve"> užíváte každé dva týdny a některou dávku vynecháte, ale zjistíte to do 7 dnů od plánovaného termínu dávky, aplikujte si vynechanou dávku okamžitě a další dávku v dalším plánovaném termínu.</w:t>
      </w:r>
    </w:p>
    <w:p w14:paraId="17B49221" w14:textId="634F6695" w:rsidR="00222DE0" w:rsidRPr="00EE3355" w:rsidRDefault="00B23DAE" w:rsidP="00EA1CDF">
      <w:pPr>
        <w:widowControl/>
        <w:tabs>
          <w:tab w:val="left" w:pos="804"/>
        </w:tabs>
        <w:ind w:left="567" w:hanging="567"/>
        <w:rPr>
          <w:rFonts w:ascii="Symbol" w:hAnsi="Symbol"/>
        </w:rPr>
      </w:pPr>
      <w:r w:rsidRPr="00EE3355">
        <w:rPr>
          <w:rFonts w:ascii="Symbol" w:eastAsia="Symbol" w:hAnsi="Symbol" w:cs="Symbol"/>
        </w:rPr>
        <w:lastRenderedPageBreak/>
        <w:t></w:t>
      </w:r>
      <w:r w:rsidRPr="00EE3355">
        <w:rPr>
          <w:rFonts w:ascii="Symbol" w:eastAsia="Symbol" w:hAnsi="Symbol" w:cs="Symbol"/>
        </w:rPr>
        <w:tab/>
      </w:r>
      <w:r w:rsidR="0098273B" w:rsidRPr="00EE3355">
        <w:t xml:space="preserve">Jestliže přípravek </w:t>
      </w:r>
      <w:r w:rsidR="00A551D9">
        <w:t>Avtozma</w:t>
      </w:r>
      <w:r w:rsidR="0098273B" w:rsidRPr="00EE3355">
        <w:t xml:space="preserve"> užíváte jednou týdně anebo každé dva týdny a některou dávku vynecháte, ale zjistíte to po více než 7 dnech, anebo jestliže si nejste jistý(á), kdy máte přípravek </w:t>
      </w:r>
      <w:r w:rsidR="00A551D9">
        <w:t>Avtozma</w:t>
      </w:r>
      <w:r w:rsidR="0098273B" w:rsidRPr="00EE3355">
        <w:t xml:space="preserve"> aplikovat, obraťte se na lékaře nebo lékárníka.</w:t>
      </w:r>
    </w:p>
    <w:p w14:paraId="0556BC21" w14:textId="77777777" w:rsidR="00222DE0" w:rsidRPr="00241F6D" w:rsidRDefault="00222DE0" w:rsidP="00241F6D">
      <w:pPr>
        <w:rPr>
          <w:b/>
          <w:bCs/>
        </w:rPr>
      </w:pPr>
    </w:p>
    <w:p w14:paraId="6B7C040B" w14:textId="77777777" w:rsidR="00222DE0" w:rsidRPr="00241F6D" w:rsidRDefault="0098273B" w:rsidP="00241F6D">
      <w:pPr>
        <w:rPr>
          <w:b/>
          <w:bCs/>
        </w:rPr>
      </w:pPr>
      <w:r w:rsidRPr="00241F6D">
        <w:rPr>
          <w:b/>
          <w:bCs/>
        </w:rPr>
        <w:t>Jestliže dospívající s pJIA vynechá nebo si zapomene podat dávku</w:t>
      </w:r>
    </w:p>
    <w:p w14:paraId="0FB413D5" w14:textId="781F40C3" w:rsidR="00222DE0" w:rsidRPr="00EE3355" w:rsidRDefault="0098273B" w:rsidP="00EA1CDF">
      <w:pPr>
        <w:pStyle w:val="a3"/>
        <w:widowControl/>
        <w:ind w:left="0"/>
      </w:pPr>
      <w:r w:rsidRPr="00EE3355">
        <w:t xml:space="preserve">Je velmi důležité používat přípravek </w:t>
      </w:r>
      <w:r w:rsidR="00A551D9">
        <w:t>Avtozma</w:t>
      </w:r>
      <w:r w:rsidRPr="00EE3355">
        <w:t xml:space="preserve"> přesně podle pokynů lékaře. Zkontrolujte si termín</w:t>
      </w:r>
      <w:r w:rsidR="003D779B">
        <w:t xml:space="preserve"> </w:t>
      </w:r>
      <w:r w:rsidRPr="00EE3355">
        <w:t>další dávky.</w:t>
      </w:r>
    </w:p>
    <w:p w14:paraId="0A699358" w14:textId="77777777" w:rsidR="00222DE0" w:rsidRPr="00EE3355" w:rsidRDefault="00B23DAE" w:rsidP="00EA1CDF">
      <w:pPr>
        <w:widowControl/>
        <w:tabs>
          <w:tab w:val="left" w:pos="804"/>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Pokud uplyne od vynechání dávky méně než 7 dnů, aplikujte dávku, jakmile si vzpomenete, a podejte dávku v pravidelném čase podání dávky.</w:t>
      </w:r>
    </w:p>
    <w:p w14:paraId="0F465CF4" w14:textId="6204627D" w:rsidR="00222DE0" w:rsidRPr="00EE3355" w:rsidRDefault="00B23DAE" w:rsidP="00EA1CDF">
      <w:pPr>
        <w:widowControl/>
        <w:tabs>
          <w:tab w:val="left" w:pos="805"/>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 xml:space="preserve">Pokud uplyne od vynechání dávky více než 7 dnů nebo si nejste jistý(á), kdy aplikovat přípravek </w:t>
      </w:r>
      <w:r w:rsidR="00A551D9">
        <w:t>Avtozma</w:t>
      </w:r>
      <w:r w:rsidR="0098273B" w:rsidRPr="00EE3355">
        <w:t>, zavolejte lékaři nebo lékárníkovi.</w:t>
      </w:r>
    </w:p>
    <w:p w14:paraId="1968C925" w14:textId="77777777" w:rsidR="00222DE0" w:rsidRPr="00EE3355" w:rsidRDefault="00222DE0" w:rsidP="00EA1CDF">
      <w:pPr>
        <w:pStyle w:val="a3"/>
        <w:widowControl/>
        <w:ind w:left="0"/>
      </w:pPr>
    </w:p>
    <w:p w14:paraId="63F95560" w14:textId="5D4333BE" w:rsidR="00222DE0" w:rsidRPr="00241F6D" w:rsidRDefault="0098273B" w:rsidP="00241F6D">
      <w:pPr>
        <w:rPr>
          <w:b/>
          <w:bCs/>
        </w:rPr>
      </w:pPr>
      <w:r w:rsidRPr="00241F6D">
        <w:rPr>
          <w:b/>
          <w:bCs/>
        </w:rPr>
        <w:t xml:space="preserve">Jestliže jste přestal(a) užívat přípravek </w:t>
      </w:r>
      <w:r w:rsidR="00A551D9" w:rsidRPr="00241F6D">
        <w:rPr>
          <w:b/>
          <w:bCs/>
        </w:rPr>
        <w:t>Avtozma</w:t>
      </w:r>
    </w:p>
    <w:p w14:paraId="6F4D21E8" w14:textId="7624F429" w:rsidR="00222DE0" w:rsidRPr="00EE3355" w:rsidRDefault="0098273B" w:rsidP="00EA1CDF">
      <w:pPr>
        <w:pStyle w:val="a3"/>
        <w:widowControl/>
        <w:ind w:left="0"/>
      </w:pPr>
      <w:r w:rsidRPr="00EE3355">
        <w:t xml:space="preserve">Bez porady s lékařem přípravek </w:t>
      </w:r>
      <w:r w:rsidR="00A551D9">
        <w:t>Avtozma</w:t>
      </w:r>
      <w:r w:rsidRPr="00EE3355">
        <w:t xml:space="preserve"> nevysazujte.</w:t>
      </w:r>
    </w:p>
    <w:p w14:paraId="7D1ABFE8" w14:textId="77777777" w:rsidR="00222DE0" w:rsidRPr="00EE3355" w:rsidRDefault="00222DE0" w:rsidP="00EA1CDF">
      <w:pPr>
        <w:pStyle w:val="a3"/>
        <w:widowControl/>
        <w:ind w:left="0"/>
      </w:pPr>
    </w:p>
    <w:p w14:paraId="06412697" w14:textId="77777777" w:rsidR="00222DE0" w:rsidRPr="00EE3355" w:rsidRDefault="0098273B" w:rsidP="00EA1CDF">
      <w:pPr>
        <w:pStyle w:val="a3"/>
        <w:widowControl/>
        <w:ind w:left="0"/>
      </w:pPr>
      <w:r w:rsidRPr="00EE3355">
        <w:t>Máte-li jakékoliv další otázky týkající se užívání tohoto přípravku, zeptejte se lékaře, lékárníka nebo</w:t>
      </w:r>
      <w:r w:rsidR="003D779B">
        <w:t xml:space="preserve"> </w:t>
      </w:r>
      <w:r w:rsidRPr="00EE3355">
        <w:t>zdravotní sestry.</w:t>
      </w:r>
    </w:p>
    <w:p w14:paraId="0C721359" w14:textId="77777777" w:rsidR="00222DE0" w:rsidRPr="00EE3355" w:rsidRDefault="00222DE0" w:rsidP="00EA1CDF">
      <w:pPr>
        <w:pStyle w:val="a3"/>
        <w:widowControl/>
        <w:ind w:left="0"/>
      </w:pPr>
    </w:p>
    <w:p w14:paraId="0F5D026B" w14:textId="77777777" w:rsidR="00222DE0" w:rsidRPr="00EE3355" w:rsidRDefault="00222DE0" w:rsidP="00EA1CDF">
      <w:pPr>
        <w:pStyle w:val="a3"/>
        <w:widowControl/>
        <w:ind w:left="0"/>
      </w:pPr>
    </w:p>
    <w:p w14:paraId="7E32887A" w14:textId="77777777" w:rsidR="00222DE0" w:rsidRPr="00EE3355" w:rsidRDefault="0098273B" w:rsidP="00B93217">
      <w:pPr>
        <w:pStyle w:val="2"/>
        <w:widowControl/>
        <w:numPr>
          <w:ilvl w:val="0"/>
          <w:numId w:val="65"/>
        </w:numPr>
        <w:ind w:left="567" w:hanging="567"/>
      </w:pPr>
      <w:r w:rsidRPr="00EE3355">
        <w:t>Možné nežádoucí účinky</w:t>
      </w:r>
    </w:p>
    <w:p w14:paraId="73AAA6B4" w14:textId="77777777" w:rsidR="0067795B" w:rsidRPr="00EE3355" w:rsidRDefault="0067795B" w:rsidP="00943257"/>
    <w:p w14:paraId="74CA474A" w14:textId="02B7B791" w:rsidR="00222DE0" w:rsidRPr="00EE3355" w:rsidRDefault="0098273B" w:rsidP="00EA1CDF">
      <w:pPr>
        <w:pStyle w:val="a3"/>
        <w:widowControl/>
        <w:ind w:left="0"/>
      </w:pPr>
      <w:r w:rsidRPr="00EE3355">
        <w:t xml:space="preserve">Podobně jako všechny léky může mít i přípravek </w:t>
      </w:r>
      <w:r w:rsidR="00A551D9">
        <w:t>Avtozma</w:t>
      </w:r>
      <w:r w:rsidRPr="00EE3355">
        <w:t xml:space="preserve"> nežádoucí účinky, které se ale nemusí</w:t>
      </w:r>
      <w:r w:rsidR="003D779B">
        <w:t xml:space="preserve"> </w:t>
      </w:r>
      <w:r w:rsidRPr="00EE3355">
        <w:t>vyskytnout u každého.</w:t>
      </w:r>
    </w:p>
    <w:p w14:paraId="0F1DE47C" w14:textId="5D09F417" w:rsidR="00222DE0" w:rsidRPr="00EE3355" w:rsidRDefault="0098273B" w:rsidP="00EA1CDF">
      <w:pPr>
        <w:pStyle w:val="a3"/>
        <w:widowControl/>
        <w:ind w:left="0"/>
      </w:pPr>
      <w:r w:rsidRPr="00EE3355">
        <w:t>Nežádoucí účinky se mohou vyskytnout i 3 měsíce nebo později po poslední dávce přípravku</w:t>
      </w:r>
      <w:r w:rsidR="003D779B">
        <w:t xml:space="preserve"> </w:t>
      </w:r>
      <w:r w:rsidR="00A551D9">
        <w:t>Avtozma</w:t>
      </w:r>
      <w:r w:rsidRPr="00EE3355">
        <w:t>.</w:t>
      </w:r>
    </w:p>
    <w:p w14:paraId="08D3339B" w14:textId="77777777" w:rsidR="00222DE0" w:rsidRPr="00EE3355" w:rsidRDefault="00222DE0" w:rsidP="00EA1CDF">
      <w:pPr>
        <w:pStyle w:val="a3"/>
        <w:widowControl/>
        <w:ind w:left="0"/>
      </w:pPr>
    </w:p>
    <w:p w14:paraId="296F6A85" w14:textId="77777777" w:rsidR="00222DE0" w:rsidRPr="00241F6D" w:rsidRDefault="0098273B" w:rsidP="00241F6D">
      <w:pPr>
        <w:rPr>
          <w:b/>
          <w:bCs/>
        </w:rPr>
      </w:pPr>
      <w:r w:rsidRPr="00241F6D">
        <w:rPr>
          <w:b/>
          <w:bCs/>
        </w:rPr>
        <w:t>Možné závažné nežádoucí účinky: okamžitě informujte lékaře.</w:t>
      </w:r>
    </w:p>
    <w:p w14:paraId="32564669" w14:textId="77777777" w:rsidR="00222DE0" w:rsidRPr="00EE3355" w:rsidRDefault="0098273B" w:rsidP="00EA1CDF">
      <w:pPr>
        <w:widowControl/>
        <w:rPr>
          <w:i/>
        </w:rPr>
      </w:pPr>
      <w:r w:rsidRPr="00EE3355">
        <w:rPr>
          <w:i/>
        </w:rPr>
        <w:t>Následující nežádoucí účinky jsou časté, mohou se vyskytnout až u 1 z 10 pacientů</w:t>
      </w:r>
    </w:p>
    <w:p w14:paraId="32D7F8AC" w14:textId="77777777" w:rsidR="00222DE0" w:rsidRPr="00EE3355" w:rsidRDefault="00222DE0" w:rsidP="00EA1CDF">
      <w:pPr>
        <w:pStyle w:val="a3"/>
        <w:widowControl/>
        <w:ind w:left="0"/>
        <w:rPr>
          <w:i/>
        </w:rPr>
      </w:pPr>
    </w:p>
    <w:p w14:paraId="226B9FC0" w14:textId="77777777" w:rsidR="00222DE0" w:rsidRPr="00EE3355" w:rsidRDefault="0098273B" w:rsidP="00EA1CDF">
      <w:pPr>
        <w:widowControl/>
      </w:pPr>
      <w:r w:rsidRPr="00EE3355">
        <w:rPr>
          <w:b/>
        </w:rPr>
        <w:t>Alergické reakce</w:t>
      </w:r>
      <w:r w:rsidRPr="00EE3355">
        <w:t>, které se objeví během nebo po podání injekce:</w:t>
      </w:r>
    </w:p>
    <w:p w14:paraId="15DC443F"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problémy s dýcháním, tíseň na hrudi nebo pocit závrati</w:t>
      </w:r>
    </w:p>
    <w:p w14:paraId="3E32E0E8"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vyrážka, svědění, kopřivka, otok rtů, jazyka nebo obličeje</w:t>
      </w:r>
    </w:p>
    <w:p w14:paraId="40EAEAB7" w14:textId="77777777" w:rsidR="00256AC6" w:rsidRPr="00EE3355" w:rsidRDefault="00256AC6" w:rsidP="00EA1CDF">
      <w:pPr>
        <w:widowControl/>
        <w:tabs>
          <w:tab w:val="left" w:pos="946"/>
        </w:tabs>
      </w:pPr>
    </w:p>
    <w:p w14:paraId="0F3B3E6F" w14:textId="77777777" w:rsidR="00222DE0" w:rsidRPr="00EE3355" w:rsidRDefault="0098273B" w:rsidP="00EA1CDF">
      <w:pPr>
        <w:pStyle w:val="a3"/>
        <w:widowControl/>
        <w:ind w:left="0"/>
      </w:pPr>
      <w:r w:rsidRPr="00EE3355">
        <w:t xml:space="preserve">Pokud zaznamenáte jakýkoli z těchto příznaků, </w:t>
      </w:r>
      <w:r w:rsidRPr="00EE3355">
        <w:rPr>
          <w:b/>
        </w:rPr>
        <w:t xml:space="preserve">ihned </w:t>
      </w:r>
      <w:r w:rsidRPr="00EE3355">
        <w:t>to sdělte svému lékaři.</w:t>
      </w:r>
    </w:p>
    <w:p w14:paraId="6ED6D488" w14:textId="77777777" w:rsidR="00222DE0" w:rsidRPr="00EE3355" w:rsidRDefault="00222DE0" w:rsidP="00EA1CDF">
      <w:pPr>
        <w:pStyle w:val="a3"/>
        <w:widowControl/>
        <w:ind w:left="0"/>
      </w:pPr>
    </w:p>
    <w:p w14:paraId="42A445B0" w14:textId="77777777" w:rsidR="00222DE0" w:rsidRPr="00241F6D" w:rsidRDefault="0098273B" w:rsidP="00241F6D">
      <w:pPr>
        <w:rPr>
          <w:b/>
          <w:bCs/>
        </w:rPr>
      </w:pPr>
      <w:r w:rsidRPr="00241F6D">
        <w:rPr>
          <w:b/>
          <w:bCs/>
        </w:rPr>
        <w:t>Známky závažných infekcí</w:t>
      </w:r>
    </w:p>
    <w:p w14:paraId="33125A83"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horečka a zimnice</w:t>
      </w:r>
    </w:p>
    <w:p w14:paraId="62272ACE"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puchýře v ústech nebo na kůži</w:t>
      </w:r>
    </w:p>
    <w:p w14:paraId="13A20B2A"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bolest žaludku</w:t>
      </w:r>
    </w:p>
    <w:p w14:paraId="4A92F411" w14:textId="77777777" w:rsidR="00256AC6" w:rsidRPr="00EE3355" w:rsidRDefault="00256AC6" w:rsidP="00943257"/>
    <w:p w14:paraId="02AA17A8" w14:textId="77777777" w:rsidR="00222DE0" w:rsidRPr="00241F6D" w:rsidRDefault="0098273B" w:rsidP="00241F6D">
      <w:pPr>
        <w:rPr>
          <w:b/>
          <w:bCs/>
        </w:rPr>
      </w:pPr>
      <w:r w:rsidRPr="00241F6D">
        <w:rPr>
          <w:b/>
          <w:bCs/>
        </w:rPr>
        <w:t>Známky a příznaky jaterní toxicity</w:t>
      </w:r>
    </w:p>
    <w:p w14:paraId="525A3596" w14:textId="77777777" w:rsidR="00222DE0" w:rsidRPr="00EE3355" w:rsidRDefault="0098273B" w:rsidP="00EA1CDF">
      <w:pPr>
        <w:widowControl/>
        <w:rPr>
          <w:i/>
        </w:rPr>
      </w:pPr>
      <w:r w:rsidRPr="00EE3355">
        <w:rPr>
          <w:i/>
        </w:rPr>
        <w:t>Mohou postihnout až 1 z 1 000 pacientů</w:t>
      </w:r>
    </w:p>
    <w:p w14:paraId="69C6A61E" w14:textId="667C8741" w:rsidR="00222DE0" w:rsidRPr="00EE3355" w:rsidRDefault="00B23DAE" w:rsidP="00EA1CDF">
      <w:pPr>
        <w:widowControl/>
        <w:tabs>
          <w:tab w:val="left" w:pos="804"/>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1D0160">
        <w:t>únava</w:t>
      </w:r>
    </w:p>
    <w:p w14:paraId="04DFA997" w14:textId="77777777" w:rsidR="00222DE0" w:rsidRPr="00EE3355" w:rsidRDefault="00B23DAE" w:rsidP="00EA1CDF">
      <w:pPr>
        <w:widowControl/>
        <w:tabs>
          <w:tab w:val="left" w:pos="804"/>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bolest břicha</w:t>
      </w:r>
    </w:p>
    <w:p w14:paraId="1379AD6C" w14:textId="77777777" w:rsidR="00222DE0" w:rsidRPr="00EE3355" w:rsidRDefault="00B23DAE" w:rsidP="00EA1CDF">
      <w:pPr>
        <w:widowControl/>
        <w:tabs>
          <w:tab w:val="left" w:pos="804"/>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žloutenka (zežloutnutí kůže nebo očí)</w:t>
      </w:r>
    </w:p>
    <w:p w14:paraId="3DFEB81D" w14:textId="77777777" w:rsidR="00222DE0" w:rsidRPr="00EE3355" w:rsidRDefault="00222DE0" w:rsidP="00EA1CDF">
      <w:pPr>
        <w:pStyle w:val="a3"/>
        <w:widowControl/>
        <w:ind w:left="0"/>
      </w:pPr>
    </w:p>
    <w:p w14:paraId="6FEA0CFE" w14:textId="77777777" w:rsidR="00222DE0" w:rsidRPr="00EE3355" w:rsidRDefault="0098273B" w:rsidP="00EA1CDF">
      <w:pPr>
        <w:pStyle w:val="a3"/>
        <w:widowControl/>
        <w:ind w:left="0"/>
      </w:pPr>
      <w:r w:rsidRPr="00EE3355">
        <w:t xml:space="preserve">Pokud zaznamenáte kterýkoliv z těchto příznaků, </w:t>
      </w:r>
      <w:r w:rsidRPr="00EE3355">
        <w:rPr>
          <w:b/>
        </w:rPr>
        <w:t xml:space="preserve">co nejdříve </w:t>
      </w:r>
      <w:r w:rsidRPr="00EE3355">
        <w:t>informujte lékaře.</w:t>
      </w:r>
    </w:p>
    <w:p w14:paraId="01017206" w14:textId="77777777" w:rsidR="00222DE0" w:rsidRPr="00EE3355" w:rsidRDefault="00222DE0" w:rsidP="00EA1CDF">
      <w:pPr>
        <w:pStyle w:val="a3"/>
        <w:widowControl/>
        <w:ind w:left="0"/>
      </w:pPr>
    </w:p>
    <w:p w14:paraId="2F800C80" w14:textId="77777777" w:rsidR="00222DE0" w:rsidRPr="00241F6D" w:rsidRDefault="0098273B" w:rsidP="00241F6D">
      <w:pPr>
        <w:rPr>
          <w:b/>
          <w:bCs/>
        </w:rPr>
      </w:pPr>
      <w:r w:rsidRPr="00241F6D">
        <w:rPr>
          <w:b/>
          <w:bCs/>
        </w:rPr>
        <w:t>Velmi časté nežádoucí účinky:</w:t>
      </w:r>
    </w:p>
    <w:p w14:paraId="5E6C4671" w14:textId="77777777" w:rsidR="00222DE0" w:rsidRPr="00EE3355" w:rsidRDefault="0098273B" w:rsidP="00EA1CDF">
      <w:pPr>
        <w:widowControl/>
        <w:rPr>
          <w:i/>
        </w:rPr>
      </w:pPr>
      <w:r w:rsidRPr="00EE3355">
        <w:rPr>
          <w:i/>
        </w:rPr>
        <w:t>Mohou se vyskytnout nejméně u 1 z 10 pacientů</w:t>
      </w:r>
    </w:p>
    <w:p w14:paraId="7AD74E60" w14:textId="77777777" w:rsidR="00222DE0" w:rsidRPr="00EE3355" w:rsidRDefault="00B23DAE" w:rsidP="00EA1CDF">
      <w:pPr>
        <w:widowControl/>
        <w:tabs>
          <w:tab w:val="left" w:pos="946"/>
          <w:tab w:val="left" w:pos="951"/>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infekce horních cest dýchacích s typickými příznaky, jako je kašel, ucpaný nos, rýma, bolest v krku a bolest hlavy</w:t>
      </w:r>
    </w:p>
    <w:p w14:paraId="30E6C1FF" w14:textId="77777777" w:rsidR="00222DE0" w:rsidRPr="00EE3355" w:rsidRDefault="00B23DAE" w:rsidP="00EA1CDF">
      <w:pPr>
        <w:widowControl/>
        <w:tabs>
          <w:tab w:val="left" w:pos="946"/>
        </w:tabs>
        <w:ind w:left="567" w:hanging="567"/>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t>vysoká hladina tuku (cholesterolu) v krvi</w:t>
      </w:r>
    </w:p>
    <w:p w14:paraId="1FAD16B3" w14:textId="77777777" w:rsidR="00222DE0" w:rsidRPr="00EE3355" w:rsidRDefault="00B23DAE" w:rsidP="00EA1CDF">
      <w:pPr>
        <w:widowControl/>
        <w:tabs>
          <w:tab w:val="left" w:pos="946"/>
        </w:tabs>
        <w:ind w:left="567" w:hanging="567"/>
        <w:rPr>
          <w:sz w:val="24"/>
        </w:rPr>
      </w:pPr>
      <w:r w:rsidRPr="00EE3355">
        <w:rPr>
          <w:rFonts w:ascii="Symbol" w:eastAsia="Symbol" w:hAnsi="Symbol" w:cs="Symbol"/>
          <w:sz w:val="24"/>
          <w:szCs w:val="24"/>
        </w:rPr>
        <w:t></w:t>
      </w:r>
      <w:r w:rsidRPr="00EE3355">
        <w:rPr>
          <w:rFonts w:ascii="Symbol" w:eastAsia="Symbol" w:hAnsi="Symbol" w:cs="Symbol"/>
          <w:sz w:val="24"/>
          <w:szCs w:val="24"/>
        </w:rPr>
        <w:tab/>
      </w:r>
      <w:r w:rsidR="0098273B" w:rsidRPr="00EE3355">
        <w:rPr>
          <w:sz w:val="24"/>
        </w:rPr>
        <w:t>reakce v místě vpichu</w:t>
      </w:r>
    </w:p>
    <w:p w14:paraId="4E4C9A4F" w14:textId="77777777" w:rsidR="00F074A7" w:rsidRPr="00EE3355" w:rsidRDefault="00F074A7" w:rsidP="00EA1CDF">
      <w:pPr>
        <w:widowControl/>
        <w:tabs>
          <w:tab w:val="left" w:pos="946"/>
        </w:tabs>
        <w:rPr>
          <w:sz w:val="24"/>
        </w:rPr>
      </w:pPr>
    </w:p>
    <w:p w14:paraId="6BC894E6" w14:textId="77777777" w:rsidR="00222DE0" w:rsidRPr="00241F6D" w:rsidRDefault="0098273B" w:rsidP="00241F6D">
      <w:pPr>
        <w:rPr>
          <w:b/>
          <w:bCs/>
        </w:rPr>
      </w:pPr>
      <w:r w:rsidRPr="00241F6D">
        <w:rPr>
          <w:b/>
          <w:bCs/>
        </w:rPr>
        <w:lastRenderedPageBreak/>
        <w:t>Časté nežádoucí účinky:</w:t>
      </w:r>
    </w:p>
    <w:p w14:paraId="09053158" w14:textId="77777777" w:rsidR="00222DE0" w:rsidRPr="00EE3355" w:rsidRDefault="0098273B" w:rsidP="00EA1CDF">
      <w:pPr>
        <w:widowControl/>
        <w:rPr>
          <w:i/>
        </w:rPr>
      </w:pPr>
      <w:r w:rsidRPr="00EE3355">
        <w:rPr>
          <w:i/>
        </w:rPr>
        <w:t>Mohou se vyskytnout až u 1 z 10 pacientů</w:t>
      </w:r>
    </w:p>
    <w:p w14:paraId="2742C520"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plicní infekce (pneumonie)</w:t>
      </w:r>
    </w:p>
    <w:p w14:paraId="47913364"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pásový opar (herpes zoster)</w:t>
      </w:r>
    </w:p>
    <w:p w14:paraId="286D6A35"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opary v ústech (herpes simplex), puchýře</w:t>
      </w:r>
    </w:p>
    <w:p w14:paraId="089035CB"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kožní infekce (celulitida), občas s horečkou a zimnicí</w:t>
      </w:r>
    </w:p>
    <w:p w14:paraId="1F6C6B9D"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vyrážka a svědění, kopřivka</w:t>
      </w:r>
    </w:p>
    <w:p w14:paraId="1D6928B9"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alergické reakce (z přecitlivělosti)</w:t>
      </w:r>
    </w:p>
    <w:p w14:paraId="664C0E02"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oční infekce (zánět spojivek)</w:t>
      </w:r>
    </w:p>
    <w:p w14:paraId="0EC2438A"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bolest hlavy, závrať, vysoký krevní tlak</w:t>
      </w:r>
    </w:p>
    <w:p w14:paraId="4DA5AC52"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vředy v ústech, bolest žaludku</w:t>
      </w:r>
    </w:p>
    <w:p w14:paraId="67D09F8D"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hromadění tekutin (otok) v nohou, přibrání na váze</w:t>
      </w:r>
    </w:p>
    <w:p w14:paraId="4985D54A"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kašel, dušnost</w:t>
      </w:r>
    </w:p>
    <w:p w14:paraId="2E545565"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nízký počet bílých krvinek v krevním obraze (neutropenie, leukopenie)</w:t>
      </w:r>
    </w:p>
    <w:p w14:paraId="745CD18A"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abnormální jaterní testy (zvýšené aminotransferázy)</w:t>
      </w:r>
    </w:p>
    <w:p w14:paraId="27DF90C6"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zvýšený bilirubin v krevním obraze</w:t>
      </w:r>
    </w:p>
    <w:p w14:paraId="46C1B64C"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nízké hodnoty fibrinogenu v krvi (bílkovina potřebná ke srážení krve)</w:t>
      </w:r>
    </w:p>
    <w:p w14:paraId="107B6E8F" w14:textId="77777777" w:rsidR="0029575E" w:rsidRPr="00EE3355" w:rsidRDefault="0029575E" w:rsidP="00943257"/>
    <w:p w14:paraId="6A4D1B78" w14:textId="77777777" w:rsidR="00222DE0" w:rsidRPr="00241F6D" w:rsidRDefault="0098273B" w:rsidP="00241F6D">
      <w:pPr>
        <w:rPr>
          <w:b/>
          <w:bCs/>
        </w:rPr>
      </w:pPr>
      <w:r w:rsidRPr="00241F6D">
        <w:rPr>
          <w:b/>
          <w:bCs/>
        </w:rPr>
        <w:t>Méně časté nežádoucí účinky:</w:t>
      </w:r>
    </w:p>
    <w:p w14:paraId="2B23BB4A" w14:textId="77777777" w:rsidR="00222DE0" w:rsidRPr="00EE3355" w:rsidRDefault="0098273B" w:rsidP="00EA1CDF">
      <w:pPr>
        <w:widowControl/>
        <w:rPr>
          <w:i/>
        </w:rPr>
      </w:pPr>
      <w:r w:rsidRPr="00EE3355">
        <w:rPr>
          <w:i/>
        </w:rPr>
        <w:t>Mohou se vyskytnout až u 1 ze 100 pacientů</w:t>
      </w:r>
    </w:p>
    <w:p w14:paraId="14D4C08E" w14:textId="525DA898"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 xml:space="preserve">divertikulitida (horečka, pocit na zvracení, průjem, zácpa, bolest </w:t>
      </w:r>
      <w:r w:rsidR="001D0160">
        <w:t>břicha</w:t>
      </w:r>
      <w:r w:rsidR="0098273B" w:rsidRPr="00EE3355">
        <w:t>)</w:t>
      </w:r>
    </w:p>
    <w:p w14:paraId="40EBC3AE"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zarudlé oteklé oblasti v ústech</w:t>
      </w:r>
    </w:p>
    <w:p w14:paraId="2FBEB79D"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vysoká hodnota tuku v krvi (triglyceridy)</w:t>
      </w:r>
    </w:p>
    <w:p w14:paraId="4296CDDD"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žaludeční vřed</w:t>
      </w:r>
    </w:p>
    <w:p w14:paraId="2E646A3B"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ledvinové kameny</w:t>
      </w:r>
    </w:p>
    <w:p w14:paraId="5D4C3631" w14:textId="77777777" w:rsidR="00222DE0" w:rsidRPr="00EE3355" w:rsidRDefault="00B23DAE" w:rsidP="00EA1CDF">
      <w:pPr>
        <w:widowControl/>
        <w:tabs>
          <w:tab w:val="left" w:pos="804"/>
        </w:tabs>
        <w:ind w:left="567" w:hanging="567"/>
        <w:rPr>
          <w:rFonts w:ascii="Symbol" w:hAnsi="Symbol"/>
          <w:sz w:val="24"/>
        </w:rPr>
      </w:pPr>
      <w:r w:rsidRPr="00EE3355">
        <w:rPr>
          <w:rFonts w:ascii="Symbol" w:eastAsia="Symbol" w:hAnsi="Symbol" w:cs="Symbol"/>
          <w:sz w:val="24"/>
        </w:rPr>
        <w:t></w:t>
      </w:r>
      <w:r w:rsidRPr="00EE3355">
        <w:rPr>
          <w:rFonts w:ascii="Symbol" w:eastAsia="Symbol" w:hAnsi="Symbol" w:cs="Symbol"/>
          <w:sz w:val="24"/>
        </w:rPr>
        <w:tab/>
      </w:r>
      <w:r w:rsidR="0098273B" w:rsidRPr="00EE3355">
        <w:t>snížená funkce štítné žlázy</w:t>
      </w:r>
    </w:p>
    <w:p w14:paraId="4FC7F10F" w14:textId="77777777" w:rsidR="0029575E" w:rsidRPr="00EE3355" w:rsidRDefault="0029575E" w:rsidP="00943257"/>
    <w:p w14:paraId="44779E92" w14:textId="77777777" w:rsidR="00222DE0" w:rsidRPr="00241F6D" w:rsidRDefault="0098273B" w:rsidP="00241F6D">
      <w:pPr>
        <w:rPr>
          <w:b/>
          <w:bCs/>
        </w:rPr>
      </w:pPr>
      <w:r w:rsidRPr="00241F6D">
        <w:rPr>
          <w:b/>
          <w:bCs/>
        </w:rPr>
        <w:t>Vzácné nežádoucí účinky:</w:t>
      </w:r>
    </w:p>
    <w:p w14:paraId="3C0B23E0" w14:textId="77777777" w:rsidR="00222DE0" w:rsidRPr="00EE3355" w:rsidRDefault="0098273B" w:rsidP="00EA1CDF">
      <w:pPr>
        <w:widowControl/>
        <w:rPr>
          <w:i/>
        </w:rPr>
      </w:pPr>
      <w:r w:rsidRPr="00EE3355">
        <w:rPr>
          <w:i/>
        </w:rPr>
        <w:t>Mohou postihnout až 1 z 1 000 pacientů</w:t>
      </w:r>
    </w:p>
    <w:p w14:paraId="126C243D" w14:textId="77777777" w:rsidR="00222DE0" w:rsidRPr="00EE3355" w:rsidRDefault="00B23DAE" w:rsidP="00EA1CDF">
      <w:pPr>
        <w:widowControl/>
        <w:tabs>
          <w:tab w:val="left" w:pos="805"/>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Stevensův-Johnsonův syndrom (kožní vyrážka, která může vést k závažným puchýřům a odlupování kůže)</w:t>
      </w:r>
    </w:p>
    <w:p w14:paraId="59B70629" w14:textId="77777777" w:rsidR="00222DE0" w:rsidRPr="00EE3355" w:rsidRDefault="00B23DAE" w:rsidP="00EA1CDF">
      <w:pPr>
        <w:widowControl/>
        <w:tabs>
          <w:tab w:val="left" w:pos="805"/>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alergické reakce vedoucí k úmrtí (anafylaxe [fatální])</w:t>
      </w:r>
    </w:p>
    <w:p w14:paraId="5D74301B" w14:textId="77777777" w:rsidR="00222DE0" w:rsidRPr="00EE3355" w:rsidRDefault="00B23DAE" w:rsidP="00EA1CDF">
      <w:pPr>
        <w:widowControl/>
        <w:tabs>
          <w:tab w:val="left" w:pos="805"/>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zánět jater (hepatitida), žloutenka</w:t>
      </w:r>
    </w:p>
    <w:p w14:paraId="4D665426" w14:textId="77777777" w:rsidR="00222DE0" w:rsidRPr="00EE3355" w:rsidRDefault="00222DE0" w:rsidP="00EA1CDF">
      <w:pPr>
        <w:pStyle w:val="a3"/>
        <w:widowControl/>
        <w:ind w:left="0"/>
      </w:pPr>
    </w:p>
    <w:p w14:paraId="69B71590" w14:textId="77777777" w:rsidR="00222DE0" w:rsidRPr="00241F6D" w:rsidRDefault="0098273B" w:rsidP="00241F6D">
      <w:pPr>
        <w:rPr>
          <w:b/>
          <w:bCs/>
        </w:rPr>
      </w:pPr>
      <w:r w:rsidRPr="00241F6D">
        <w:rPr>
          <w:b/>
          <w:bCs/>
        </w:rPr>
        <w:t>Velmi vzácné nežádoucí účinky:</w:t>
      </w:r>
    </w:p>
    <w:p w14:paraId="2FC31466" w14:textId="77777777" w:rsidR="00222DE0" w:rsidRPr="00EE3355" w:rsidRDefault="0098273B" w:rsidP="00EA1CDF">
      <w:pPr>
        <w:widowControl/>
        <w:rPr>
          <w:i/>
        </w:rPr>
      </w:pPr>
      <w:r w:rsidRPr="00EE3355">
        <w:rPr>
          <w:i/>
        </w:rPr>
        <w:t>Mohou se vyskytnout až u 1 z 10 000 pacientů</w:t>
      </w:r>
    </w:p>
    <w:p w14:paraId="69F253C9" w14:textId="77777777" w:rsidR="00222DE0" w:rsidRPr="00EE3355" w:rsidRDefault="00B23DAE" w:rsidP="00EA1CDF">
      <w:pPr>
        <w:widowControl/>
        <w:tabs>
          <w:tab w:val="left" w:pos="860"/>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nízký počet bílých krvinek, červených krvinek a krevních destiček v krevních testech</w:t>
      </w:r>
    </w:p>
    <w:p w14:paraId="108531D8" w14:textId="77777777" w:rsidR="00222DE0" w:rsidRPr="00EE3355" w:rsidRDefault="00B23DAE" w:rsidP="00EA1CDF">
      <w:pPr>
        <w:widowControl/>
        <w:tabs>
          <w:tab w:val="left" w:pos="861"/>
        </w:tabs>
        <w:ind w:left="567" w:hanging="567"/>
        <w:rPr>
          <w:rFonts w:ascii="Symbol" w:hAnsi="Symbol"/>
        </w:rPr>
      </w:pPr>
      <w:r w:rsidRPr="00EE3355">
        <w:rPr>
          <w:rFonts w:ascii="Symbol" w:eastAsia="Symbol" w:hAnsi="Symbol" w:cs="Symbol"/>
        </w:rPr>
        <w:t></w:t>
      </w:r>
      <w:r w:rsidRPr="00EE3355">
        <w:rPr>
          <w:rFonts w:ascii="Symbol" w:eastAsia="Symbol" w:hAnsi="Symbol" w:cs="Symbol"/>
        </w:rPr>
        <w:tab/>
      </w:r>
      <w:r w:rsidR="0098273B" w:rsidRPr="00EE3355">
        <w:t>selhání jater</w:t>
      </w:r>
    </w:p>
    <w:p w14:paraId="60D5ED8E" w14:textId="77777777" w:rsidR="00222DE0" w:rsidRPr="00EE3355" w:rsidRDefault="00222DE0" w:rsidP="00EA1CDF">
      <w:pPr>
        <w:pStyle w:val="a3"/>
        <w:widowControl/>
        <w:ind w:left="0"/>
      </w:pPr>
    </w:p>
    <w:p w14:paraId="0A07425F" w14:textId="77777777" w:rsidR="00222DE0" w:rsidRPr="00241F6D" w:rsidRDefault="0098273B" w:rsidP="00241F6D">
      <w:pPr>
        <w:rPr>
          <w:b/>
          <w:bCs/>
        </w:rPr>
      </w:pPr>
      <w:r w:rsidRPr="00241F6D">
        <w:rPr>
          <w:b/>
          <w:bCs/>
        </w:rPr>
        <w:t>Nežádoucí účinky u dětí a dospívajících se sJIA nebo s pJIA</w:t>
      </w:r>
    </w:p>
    <w:p w14:paraId="5389EB8F" w14:textId="77777777" w:rsidR="00222DE0" w:rsidRPr="00EE3355" w:rsidRDefault="0098273B" w:rsidP="00EA1CDF">
      <w:pPr>
        <w:pStyle w:val="a3"/>
        <w:widowControl/>
        <w:ind w:left="0"/>
      </w:pPr>
      <w:r w:rsidRPr="00EE3355">
        <w:t>Nežádoucí účinky u dětí a dospívajících se sJIA nebo s pJIA jsou obecně podobné těm, které se vyskytují u dospělých. Některé nežádoucí účinky jsou u dětí a dospívajících pozorovány častěji: zánět nosu a hrdla, bolest hlavy, nevolnost (pocit na zvracení) a nižší počet bílých krvinek.</w:t>
      </w:r>
    </w:p>
    <w:p w14:paraId="6D1EBDDD" w14:textId="77777777" w:rsidR="00222DE0" w:rsidRPr="00EE3355" w:rsidRDefault="00222DE0" w:rsidP="00EA1CDF">
      <w:pPr>
        <w:pStyle w:val="a3"/>
        <w:widowControl/>
        <w:ind w:left="0"/>
      </w:pPr>
    </w:p>
    <w:p w14:paraId="4F66BD39" w14:textId="77777777" w:rsidR="00222DE0" w:rsidRPr="00241F6D" w:rsidRDefault="0098273B" w:rsidP="00241F6D">
      <w:pPr>
        <w:rPr>
          <w:b/>
          <w:bCs/>
        </w:rPr>
      </w:pPr>
      <w:r w:rsidRPr="00241F6D">
        <w:rPr>
          <w:b/>
          <w:bCs/>
        </w:rPr>
        <w:t>Hlášení nežádoucích účinků</w:t>
      </w:r>
    </w:p>
    <w:p w14:paraId="337609F3" w14:textId="77777777" w:rsidR="00222DE0" w:rsidRPr="00EE3355" w:rsidRDefault="0098273B" w:rsidP="00EA1CDF">
      <w:pPr>
        <w:pStyle w:val="a3"/>
        <w:widowControl/>
        <w:ind w:left="0"/>
        <w:jc w:val="both"/>
      </w:pPr>
      <w:r w:rsidRPr="00EE3355">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prostřednictvím </w:t>
      </w:r>
      <w:r>
        <w:rPr>
          <w:color w:val="000000"/>
          <w:highlight w:val="lightGray"/>
        </w:rPr>
        <w:t>národního</w:t>
      </w:r>
      <w:r w:rsidR="000D0949">
        <w:rPr>
          <w:color w:val="000000"/>
          <w:highlight w:val="lightGray"/>
        </w:rPr>
        <w:t xml:space="preserve"> </w:t>
      </w:r>
      <w:r>
        <w:rPr>
          <w:color w:val="000000"/>
          <w:highlight w:val="lightGray"/>
        </w:rPr>
        <w:t xml:space="preserve">systému hlášení nežádoucích účinků uvedeného v </w:t>
      </w:r>
      <w:r>
        <w:fldChar w:fldCharType="begin"/>
      </w:r>
      <w:r>
        <w:instrText>HYPERLINK "https://www.ema.europa.eu/documents/template-form/appendix-v-adverse-drug-reaction-reporting-details_en.doc" \h</w:instrText>
      </w:r>
      <w:r>
        <w:fldChar w:fldCharType="separate"/>
      </w:r>
      <w:r>
        <w:rPr>
          <w:color w:val="0033CC"/>
          <w:highlight w:val="lightGray"/>
          <w:u w:val="single" w:color="0033CC"/>
        </w:rPr>
        <w:t>Dodatku V</w:t>
      </w:r>
      <w:r>
        <w:rPr>
          <w:color w:val="000000"/>
          <w:highlight w:val="lightGray"/>
        </w:rPr>
        <w:t>.</w:t>
      </w:r>
      <w:r>
        <w:fldChar w:fldCharType="end"/>
      </w:r>
      <w:r w:rsidRPr="00EE3355">
        <w:rPr>
          <w:color w:val="000000"/>
        </w:rPr>
        <w:t xml:space="preserve"> Nahlášením nežádoucích účinků můžete přispět k získání více informací o bezpečnosti tohoto přípravku.</w:t>
      </w:r>
    </w:p>
    <w:p w14:paraId="52688BBD" w14:textId="77777777" w:rsidR="00222DE0" w:rsidRPr="00EE3355" w:rsidRDefault="00222DE0" w:rsidP="00EA1CDF">
      <w:pPr>
        <w:widowControl/>
        <w:jc w:val="both"/>
      </w:pPr>
    </w:p>
    <w:p w14:paraId="0FC5B10C" w14:textId="61E5FBF5" w:rsidR="00222DE0" w:rsidRPr="00EE3355" w:rsidRDefault="00B23DAE" w:rsidP="00F803D8">
      <w:pPr>
        <w:pStyle w:val="2"/>
        <w:keepNext/>
        <w:widowControl/>
        <w:ind w:left="567" w:hanging="567"/>
      </w:pPr>
      <w:r w:rsidRPr="00EE3355">
        <w:lastRenderedPageBreak/>
        <w:t>5.</w:t>
      </w:r>
      <w:r w:rsidRPr="00EE3355">
        <w:tab/>
      </w:r>
      <w:r w:rsidR="0098273B" w:rsidRPr="00EE3355">
        <w:t xml:space="preserve">Jak přípravek </w:t>
      </w:r>
      <w:r w:rsidR="00A551D9">
        <w:t>Avtozma</w:t>
      </w:r>
      <w:r w:rsidR="0098273B" w:rsidRPr="00EE3355">
        <w:t xml:space="preserve"> uchovávat</w:t>
      </w:r>
    </w:p>
    <w:p w14:paraId="2E25D59A" w14:textId="77777777" w:rsidR="00E84D6D" w:rsidRPr="00EE3355" w:rsidRDefault="00E84D6D" w:rsidP="00B93217">
      <w:pPr>
        <w:pStyle w:val="a3"/>
        <w:keepNext/>
        <w:widowControl/>
        <w:ind w:left="0"/>
      </w:pPr>
    </w:p>
    <w:p w14:paraId="7C805048" w14:textId="77777777" w:rsidR="00222DE0" w:rsidRPr="00EE3355" w:rsidRDefault="0098273B" w:rsidP="00EA1CDF">
      <w:pPr>
        <w:pStyle w:val="a3"/>
        <w:widowControl/>
        <w:ind w:left="0"/>
      </w:pPr>
      <w:r w:rsidRPr="00EE3355">
        <w:t>Uchovávejte tento přípravek mimo dohled a dosah dětí.</w:t>
      </w:r>
    </w:p>
    <w:p w14:paraId="6194C41A" w14:textId="77777777" w:rsidR="00222DE0" w:rsidRPr="00EE3355" w:rsidRDefault="00222DE0" w:rsidP="00EA1CDF">
      <w:pPr>
        <w:pStyle w:val="a3"/>
        <w:widowControl/>
        <w:ind w:left="0"/>
      </w:pPr>
    </w:p>
    <w:p w14:paraId="233413A8" w14:textId="77777777" w:rsidR="00222DE0" w:rsidRPr="00EE3355" w:rsidRDefault="0098273B" w:rsidP="00EA1CDF">
      <w:pPr>
        <w:pStyle w:val="a3"/>
        <w:widowControl/>
        <w:ind w:left="0"/>
      </w:pPr>
      <w:r w:rsidRPr="00EE3355">
        <w:t>Nepoužívejte tento přípravek po uplynutí doby použitelnosti uvedené na štítku předplněného pera za zkratkou EXP a krabičce za “Použitelné do:”. Doba použitelnosti se vztahuje k poslednímu dni uvedeného měsíce.</w:t>
      </w:r>
    </w:p>
    <w:p w14:paraId="1FE2D153" w14:textId="77777777" w:rsidR="00222DE0" w:rsidRPr="00EE3355" w:rsidRDefault="00222DE0" w:rsidP="00EA1CDF">
      <w:pPr>
        <w:pStyle w:val="a3"/>
        <w:widowControl/>
        <w:ind w:left="0"/>
      </w:pPr>
    </w:p>
    <w:p w14:paraId="5B8526F5" w14:textId="4EFFE289" w:rsidR="00222DE0" w:rsidRPr="00EE3355" w:rsidRDefault="0098273B" w:rsidP="00EA1CDF">
      <w:pPr>
        <w:pStyle w:val="a3"/>
        <w:widowControl/>
        <w:ind w:left="0"/>
      </w:pPr>
      <w:r w:rsidRPr="00EE3355">
        <w:t>Uchovávejte v chladničce (2 °C - 8 °C). Chraňte před mrazem. Po vyjmutí z chladničky může být</w:t>
      </w:r>
      <w:r w:rsidR="00B81670">
        <w:t xml:space="preserve"> </w:t>
      </w:r>
      <w:r w:rsidRPr="00EE3355">
        <w:t xml:space="preserve">předplněné pero uchováváno až po dobu </w:t>
      </w:r>
      <w:r w:rsidR="00A551D9">
        <w:t>3</w:t>
      </w:r>
      <w:r w:rsidRPr="00EE3355">
        <w:t xml:space="preserve"> týdnů při teplotě do 30 °C.</w:t>
      </w:r>
    </w:p>
    <w:p w14:paraId="1E345BA0" w14:textId="77777777" w:rsidR="00222DE0" w:rsidRPr="00EE3355" w:rsidRDefault="00222DE0" w:rsidP="00EA1CDF">
      <w:pPr>
        <w:pStyle w:val="a3"/>
        <w:widowControl/>
        <w:ind w:left="0"/>
      </w:pPr>
    </w:p>
    <w:p w14:paraId="59ABBBB3" w14:textId="77777777" w:rsidR="00222DE0" w:rsidRPr="00EE3355" w:rsidRDefault="0098273B" w:rsidP="00EA1CDF">
      <w:pPr>
        <w:pStyle w:val="a3"/>
        <w:widowControl/>
        <w:ind w:left="0"/>
      </w:pPr>
      <w:r w:rsidRPr="00EE3355">
        <w:t>Uchovávejte předplněná pera v krabičce, aby byl přípravek chráněn před světlem a vlhkostí.</w:t>
      </w:r>
    </w:p>
    <w:p w14:paraId="2C4CB32C" w14:textId="77777777" w:rsidR="00222DE0" w:rsidRPr="00EE3355" w:rsidRDefault="00222DE0" w:rsidP="00EA1CDF">
      <w:pPr>
        <w:pStyle w:val="a3"/>
        <w:widowControl/>
        <w:ind w:left="0"/>
      </w:pPr>
    </w:p>
    <w:p w14:paraId="15825D1A" w14:textId="49A27743" w:rsidR="00222DE0" w:rsidRPr="00EE3355" w:rsidRDefault="0098273B" w:rsidP="00EA1CDF">
      <w:pPr>
        <w:pStyle w:val="a3"/>
        <w:widowControl/>
        <w:ind w:left="0"/>
      </w:pPr>
      <w:r w:rsidRPr="00EE3355">
        <w:t xml:space="preserve">Přípravek nepoužívejte, pokud je zakalený nebo obsahuje částice, není bezbarvý až </w:t>
      </w:r>
      <w:r w:rsidR="00AD0404">
        <w:t>žlutý</w:t>
      </w:r>
      <w:r w:rsidRPr="00EE3355">
        <w:t xml:space="preserve"> nebo pokud je jakákoliv část předplněného pera poškozena.</w:t>
      </w:r>
    </w:p>
    <w:p w14:paraId="453A782D" w14:textId="77777777" w:rsidR="00222DE0" w:rsidRPr="00EE3355" w:rsidRDefault="00222DE0" w:rsidP="00EA1CDF">
      <w:pPr>
        <w:pStyle w:val="a3"/>
        <w:widowControl/>
        <w:ind w:left="0"/>
      </w:pPr>
    </w:p>
    <w:p w14:paraId="6F2125FE" w14:textId="77777777" w:rsidR="00222DE0" w:rsidRPr="00EE3355" w:rsidRDefault="0098273B" w:rsidP="00EA1CDF">
      <w:pPr>
        <w:pStyle w:val="a3"/>
        <w:widowControl/>
        <w:ind w:left="0"/>
      </w:pPr>
      <w:r w:rsidRPr="00EE3355">
        <w:t>S perem se nesmí třepat. Po odstranění krytu jehly musí být injekce aplikována během 3 minut, aby se zabránilo vysychání léku a ucpání jehly. Pokud předplněné pero není použito během 3 minut po sejmutí krytu, musíte je vyhodit do nádoby odolné proti propíchnutí a použít nové předplněné pero.</w:t>
      </w:r>
    </w:p>
    <w:p w14:paraId="65BB84B2" w14:textId="77777777" w:rsidR="00222DE0" w:rsidRPr="00EE3355" w:rsidRDefault="00222DE0" w:rsidP="00EA1CDF">
      <w:pPr>
        <w:pStyle w:val="a3"/>
        <w:widowControl/>
        <w:ind w:left="0"/>
      </w:pPr>
    </w:p>
    <w:p w14:paraId="65DE9194" w14:textId="6519C8B3" w:rsidR="00222DE0" w:rsidRPr="00EE3355" w:rsidRDefault="0098273B" w:rsidP="00EA1CDF">
      <w:pPr>
        <w:pStyle w:val="a3"/>
        <w:widowControl/>
        <w:ind w:left="0"/>
      </w:pPr>
      <w:r w:rsidRPr="00EE3355">
        <w:t xml:space="preserve">Pokud se </w:t>
      </w:r>
      <w:r w:rsidR="00A551D9">
        <w:t>oranžový</w:t>
      </w:r>
      <w:r w:rsidRPr="00EE3355">
        <w:t xml:space="preserve"> proužek po stisknutí </w:t>
      </w:r>
      <w:r w:rsidR="00A551D9">
        <w:t>krytu jehly</w:t>
      </w:r>
      <w:r w:rsidRPr="00EE3355">
        <w:t xml:space="preserve"> nezačne posouvat, musíte předplněné pero vyhodit do nepropíchnutelné nádoby. Předplněné pero nepoužívejte opakovaně. </w:t>
      </w:r>
      <w:r w:rsidR="00A551D9" w:rsidRPr="00EA2232">
        <w:t>Předplněné pero je uzamčeno a jehla je při pokusu o opakované použití zakryta krytem jehly.</w:t>
      </w:r>
      <w:r w:rsidR="00A551D9">
        <w:t xml:space="preserve"> </w:t>
      </w:r>
      <w:r w:rsidRPr="00EE3355">
        <w:t>Neopakujte injekci pomocí dalšího předplněného pera. Požádejte lékaře o pomoc.</w:t>
      </w:r>
    </w:p>
    <w:p w14:paraId="2683D0B4" w14:textId="77777777" w:rsidR="00222DE0" w:rsidRPr="00EE3355" w:rsidRDefault="00222DE0" w:rsidP="00EA1CDF">
      <w:pPr>
        <w:pStyle w:val="a3"/>
        <w:widowControl/>
        <w:ind w:left="0"/>
      </w:pPr>
    </w:p>
    <w:p w14:paraId="29EA5F7C" w14:textId="77777777" w:rsidR="00222DE0" w:rsidRPr="00EE3355" w:rsidRDefault="00222DE0" w:rsidP="00EA1CDF">
      <w:pPr>
        <w:pStyle w:val="a3"/>
        <w:widowControl/>
        <w:ind w:left="0"/>
      </w:pPr>
    </w:p>
    <w:p w14:paraId="1F5DE693" w14:textId="77777777" w:rsidR="00222DE0" w:rsidRPr="00EE3355" w:rsidRDefault="00B23DAE" w:rsidP="00B93217">
      <w:pPr>
        <w:pStyle w:val="2"/>
        <w:widowControl/>
        <w:ind w:left="567" w:hanging="567"/>
      </w:pPr>
      <w:r w:rsidRPr="00EE3355">
        <w:t>6.</w:t>
      </w:r>
      <w:r w:rsidRPr="00EE3355">
        <w:tab/>
      </w:r>
      <w:r w:rsidR="0098273B" w:rsidRPr="00EE3355">
        <w:t>Obsah balení a další informace</w:t>
      </w:r>
    </w:p>
    <w:p w14:paraId="706356AA" w14:textId="77777777" w:rsidR="00222DE0" w:rsidRPr="00EE3355" w:rsidRDefault="00222DE0" w:rsidP="00EA1CDF">
      <w:pPr>
        <w:pStyle w:val="a3"/>
        <w:widowControl/>
        <w:ind w:left="0"/>
        <w:rPr>
          <w:b/>
        </w:rPr>
      </w:pPr>
    </w:p>
    <w:p w14:paraId="2E00999E" w14:textId="293559F7" w:rsidR="00222DE0" w:rsidRPr="00EE3355" w:rsidRDefault="0098273B" w:rsidP="00EA1CDF">
      <w:pPr>
        <w:widowControl/>
        <w:rPr>
          <w:b/>
        </w:rPr>
      </w:pPr>
      <w:r w:rsidRPr="00EE3355">
        <w:rPr>
          <w:b/>
        </w:rPr>
        <w:t xml:space="preserve">Co přípravek </w:t>
      </w:r>
      <w:r w:rsidR="00A551D9">
        <w:rPr>
          <w:b/>
        </w:rPr>
        <w:t>Avtozma</w:t>
      </w:r>
      <w:r w:rsidRPr="00EE3355">
        <w:rPr>
          <w:b/>
        </w:rPr>
        <w:t xml:space="preserve"> obsahuje</w:t>
      </w:r>
    </w:p>
    <w:p w14:paraId="6811FE90" w14:textId="6E19C335" w:rsidR="009476DC" w:rsidRDefault="00B23DAE" w:rsidP="009476DC">
      <w:pPr>
        <w:widowControl/>
        <w:tabs>
          <w:tab w:val="left" w:pos="946"/>
        </w:tabs>
        <w:ind w:left="567" w:hanging="567"/>
      </w:pPr>
      <w:r w:rsidRPr="00EE3355">
        <w:rPr>
          <w:rFonts w:ascii="Symbol" w:eastAsia="Symbol" w:hAnsi="Symbol" w:cs="Symbol"/>
          <w:sz w:val="24"/>
        </w:rPr>
        <w:t></w:t>
      </w:r>
      <w:r w:rsidRPr="00EE3355">
        <w:rPr>
          <w:rFonts w:ascii="Symbol" w:eastAsia="Symbol" w:hAnsi="Symbol" w:cs="Symbol"/>
          <w:sz w:val="24"/>
        </w:rPr>
        <w:tab/>
      </w:r>
      <w:r w:rsidR="0098273B" w:rsidRPr="00EE3355">
        <w:t>Léčivou látkou je tocilizumab.</w:t>
      </w:r>
    </w:p>
    <w:p w14:paraId="155FD50C" w14:textId="6D62A8FC" w:rsidR="00222DE0" w:rsidRPr="00EE3355" w:rsidRDefault="0098273B" w:rsidP="009476DC">
      <w:pPr>
        <w:widowControl/>
        <w:tabs>
          <w:tab w:val="left" w:pos="946"/>
        </w:tabs>
        <w:ind w:left="1134" w:hanging="567"/>
      </w:pPr>
      <w:r w:rsidRPr="00EE3355">
        <w:t>Jedno předplněné pero obsahuje  162 mg v 0,9 m</w:t>
      </w:r>
      <w:r w:rsidR="001D0160">
        <w:rPr>
          <w:rFonts w:eastAsia="맑은 고딕" w:hint="eastAsia"/>
          <w:lang w:eastAsia="ko-KR"/>
        </w:rPr>
        <w:t xml:space="preserve"> </w:t>
      </w:r>
      <w:r w:rsidR="001D0160" w:rsidRPr="00EE3355">
        <w:t>tocilizumab</w:t>
      </w:r>
      <w:r w:rsidRPr="00EE3355">
        <w:t>l.</w:t>
      </w:r>
    </w:p>
    <w:p w14:paraId="187CF512" w14:textId="77777777" w:rsidR="00222DE0" w:rsidRPr="00EE3355" w:rsidRDefault="00222DE0" w:rsidP="00EA1CDF">
      <w:pPr>
        <w:pStyle w:val="a3"/>
        <w:widowControl/>
        <w:ind w:left="0"/>
      </w:pPr>
    </w:p>
    <w:p w14:paraId="0CD26080" w14:textId="4EA6728C" w:rsidR="00222DE0" w:rsidRPr="00B93217" w:rsidRDefault="00B23DAE" w:rsidP="00CB4991">
      <w:pPr>
        <w:widowControl/>
        <w:tabs>
          <w:tab w:val="left" w:pos="946"/>
          <w:tab w:val="left" w:pos="951"/>
        </w:tabs>
        <w:ind w:left="567" w:hanging="567"/>
        <w:rPr>
          <w:rFonts w:ascii="Symbol" w:hAnsi="Symbol"/>
        </w:rPr>
      </w:pPr>
      <w:r w:rsidRPr="00EE3355">
        <w:rPr>
          <w:rFonts w:ascii="Symbol" w:eastAsia="Symbol" w:hAnsi="Symbol" w:cs="Symbol"/>
          <w:sz w:val="24"/>
        </w:rPr>
        <w:t></w:t>
      </w:r>
      <w:r w:rsidRPr="00EE3355">
        <w:rPr>
          <w:rFonts w:ascii="Symbol" w:eastAsia="Symbol" w:hAnsi="Symbol" w:cs="Symbol"/>
          <w:sz w:val="24"/>
        </w:rPr>
        <w:tab/>
      </w:r>
      <w:r w:rsidR="0098273B" w:rsidRPr="00C222BB">
        <w:t xml:space="preserve">Pomocnými látkami jsou </w:t>
      </w:r>
      <w:r w:rsidR="00A551D9" w:rsidRPr="00C222BB">
        <w:t>L-H</w:t>
      </w:r>
      <w:r w:rsidR="0098273B" w:rsidRPr="00C222BB">
        <w:t xml:space="preserve">istidin, </w:t>
      </w:r>
      <w:r w:rsidR="00AD6345" w:rsidRPr="00AD6345">
        <w:rPr>
          <w:rFonts w:eastAsia="맑은 고딕" w:hint="eastAsia"/>
          <w:lang w:eastAsia="ko-KR"/>
        </w:rPr>
        <w:t>Monohydrát histidin-hydrochloridu</w:t>
      </w:r>
      <w:r w:rsidR="00395E0C">
        <w:rPr>
          <w:rFonts w:eastAsia="맑은 고딕" w:hint="eastAsia"/>
          <w:lang w:eastAsia="ko-KR"/>
        </w:rPr>
        <w:t xml:space="preserve">, </w:t>
      </w:r>
      <w:r w:rsidR="00A551D9" w:rsidRPr="00C222BB">
        <w:t xml:space="preserve">L-Threonin, </w:t>
      </w:r>
      <w:r w:rsidR="00CB4991" w:rsidRPr="00CB4991">
        <w:t>L-Methionin</w:t>
      </w:r>
      <w:r w:rsidR="00CB4991">
        <w:t>,</w:t>
      </w:r>
      <w:r w:rsidR="00CB4991" w:rsidRPr="00CB4991">
        <w:t xml:space="preserve"> </w:t>
      </w:r>
      <w:r w:rsidR="0098273B" w:rsidRPr="00C222BB">
        <w:t>polysorbát 80 a voda pro injekci.</w:t>
      </w:r>
    </w:p>
    <w:p w14:paraId="7DCCC15F" w14:textId="77777777" w:rsidR="00222DE0" w:rsidRPr="00EE3355" w:rsidRDefault="00222DE0" w:rsidP="00EA1CDF">
      <w:pPr>
        <w:pStyle w:val="a3"/>
        <w:widowControl/>
        <w:ind w:left="0"/>
      </w:pPr>
    </w:p>
    <w:p w14:paraId="33236687" w14:textId="09C4A1CE" w:rsidR="00222DE0" w:rsidRPr="004709B5" w:rsidRDefault="0098273B" w:rsidP="004709B5">
      <w:pPr>
        <w:widowControl/>
        <w:rPr>
          <w:b/>
        </w:rPr>
      </w:pPr>
      <w:r w:rsidRPr="004709B5">
        <w:rPr>
          <w:b/>
        </w:rPr>
        <w:t xml:space="preserve">Jak přípravek </w:t>
      </w:r>
      <w:r w:rsidR="00A551D9" w:rsidRPr="004709B5">
        <w:rPr>
          <w:b/>
        </w:rPr>
        <w:t>Avtozma</w:t>
      </w:r>
      <w:r w:rsidRPr="004709B5">
        <w:rPr>
          <w:b/>
        </w:rPr>
        <w:t xml:space="preserve"> vypadá a co je obsahem balení</w:t>
      </w:r>
    </w:p>
    <w:p w14:paraId="70211D2F" w14:textId="704E6B08" w:rsidR="00222DE0" w:rsidRPr="00EE3355" w:rsidRDefault="0098273B" w:rsidP="00EA1CDF">
      <w:pPr>
        <w:pStyle w:val="a3"/>
        <w:widowControl/>
        <w:ind w:left="0"/>
      </w:pPr>
      <w:r w:rsidRPr="00EE3355">
        <w:t xml:space="preserve">Přípravek </w:t>
      </w:r>
      <w:r w:rsidR="00A551D9">
        <w:t>Avtozma</w:t>
      </w:r>
      <w:r w:rsidRPr="00EE3355">
        <w:t xml:space="preserve"> je injekční roztok. Roztok je bezbarvý až </w:t>
      </w:r>
      <w:r w:rsidR="00237DCB">
        <w:t>žlutý</w:t>
      </w:r>
      <w:r w:rsidRPr="00EE3355">
        <w:t>.</w:t>
      </w:r>
    </w:p>
    <w:p w14:paraId="4169939A" w14:textId="77777777" w:rsidR="00222DE0" w:rsidRPr="00EE3355" w:rsidRDefault="00222DE0" w:rsidP="00EA1CDF">
      <w:pPr>
        <w:pStyle w:val="a3"/>
        <w:widowControl/>
        <w:ind w:left="0"/>
      </w:pPr>
    </w:p>
    <w:p w14:paraId="0A505AC8" w14:textId="6462D50C" w:rsidR="00222DE0" w:rsidRPr="00EE3355" w:rsidRDefault="0098273B" w:rsidP="00EA1CDF">
      <w:pPr>
        <w:pStyle w:val="a3"/>
        <w:widowControl/>
        <w:ind w:left="0"/>
      </w:pPr>
      <w:r w:rsidRPr="00EE3355">
        <w:t xml:space="preserve">Přípravek </w:t>
      </w:r>
      <w:r w:rsidR="00A551D9">
        <w:t>Avtozma</w:t>
      </w:r>
      <w:r w:rsidRPr="00EE3355">
        <w:t xml:space="preserve"> se dodává v předplněném peru s 0,9 ml injekčního roztoku obsahujícího</w:t>
      </w:r>
    </w:p>
    <w:p w14:paraId="47B76A58" w14:textId="77777777" w:rsidR="00222DE0" w:rsidRDefault="0098273B" w:rsidP="00EA1CDF">
      <w:pPr>
        <w:pStyle w:val="a3"/>
        <w:widowControl/>
        <w:ind w:left="0"/>
      </w:pPr>
      <w:r w:rsidRPr="00EE3355">
        <w:t>tocilizumabum 162 mg.</w:t>
      </w:r>
    </w:p>
    <w:p w14:paraId="67719BDC" w14:textId="77777777" w:rsidR="00A551D9" w:rsidRDefault="00A551D9" w:rsidP="00EA1CDF">
      <w:pPr>
        <w:pStyle w:val="a3"/>
        <w:widowControl/>
        <w:ind w:left="0"/>
      </w:pPr>
    </w:p>
    <w:p w14:paraId="56603DEF" w14:textId="31056C66" w:rsidR="00A551D9" w:rsidRDefault="00A551D9" w:rsidP="00A551D9">
      <w:pPr>
        <w:pStyle w:val="a3"/>
        <w:widowControl/>
        <w:ind w:left="0"/>
      </w:pPr>
      <w:r w:rsidRPr="00DC44E2">
        <w:t>Předplněn</w:t>
      </w:r>
      <w:r>
        <w:t>é</w:t>
      </w:r>
      <w:r w:rsidRPr="00DC44E2">
        <w:t xml:space="preserve"> </w:t>
      </w:r>
      <w:r>
        <w:t>pero</w:t>
      </w:r>
      <w:r w:rsidRPr="00DC44E2">
        <w:t xml:space="preserve"> Avtozma pro použití pacientem je k dispozici v baleních obsahujících:</w:t>
      </w:r>
    </w:p>
    <w:p w14:paraId="4534D948" w14:textId="3886021D" w:rsidR="00A551D9" w:rsidRPr="008B0B89" w:rsidRDefault="00A551D9" w:rsidP="00A551D9">
      <w:pPr>
        <w:pStyle w:val="a4"/>
        <w:widowControl/>
        <w:numPr>
          <w:ilvl w:val="0"/>
          <w:numId w:val="66"/>
        </w:numPr>
        <w:autoSpaceDE/>
        <w:autoSpaceDN/>
        <w:ind w:left="567" w:hanging="567"/>
        <w:contextualSpacing/>
        <w:rPr>
          <w:ins w:id="62" w:author="만든 이"/>
          <w:rPrChange w:id="63" w:author="만든 이">
            <w:rPr>
              <w:ins w:id="64" w:author="만든 이"/>
              <w:rFonts w:eastAsia="맑은 고딕"/>
              <w:lang w:eastAsia="ko-KR"/>
            </w:rPr>
          </w:rPrChange>
        </w:rPr>
      </w:pPr>
      <w:r w:rsidRPr="00C61A9B">
        <w:rPr>
          <w:rFonts w:hint="eastAsia"/>
        </w:rPr>
        <w:t>1</w:t>
      </w:r>
      <w:r w:rsidRPr="00C61A9B">
        <w:t xml:space="preserve"> </w:t>
      </w:r>
      <w:r>
        <w:t>předplněné pero</w:t>
      </w:r>
    </w:p>
    <w:p w14:paraId="7503114D" w14:textId="596C9FCB" w:rsidR="008B0B89" w:rsidRPr="00C61A9B" w:rsidRDefault="008B0B89" w:rsidP="00A551D9">
      <w:pPr>
        <w:pStyle w:val="a4"/>
        <w:widowControl/>
        <w:numPr>
          <w:ilvl w:val="0"/>
          <w:numId w:val="66"/>
        </w:numPr>
        <w:autoSpaceDE/>
        <w:autoSpaceDN/>
        <w:ind w:left="567" w:hanging="567"/>
        <w:contextualSpacing/>
      </w:pPr>
      <w:ins w:id="65" w:author="만든 이">
        <w:r>
          <w:rPr>
            <w:rFonts w:eastAsia="맑은 고딕" w:hint="eastAsia"/>
            <w:lang w:eastAsia="ko-KR"/>
          </w:rPr>
          <w:t>2</w:t>
        </w:r>
        <w:r w:rsidRPr="00C61A9B">
          <w:t xml:space="preserve"> </w:t>
        </w:r>
        <w:r>
          <w:t>předplněná pera</w:t>
        </w:r>
      </w:ins>
    </w:p>
    <w:p w14:paraId="178088BC" w14:textId="1EEB99F9" w:rsidR="00A551D9" w:rsidRPr="00C61A9B" w:rsidRDefault="00A551D9" w:rsidP="00A551D9">
      <w:pPr>
        <w:pStyle w:val="a4"/>
        <w:widowControl/>
        <w:numPr>
          <w:ilvl w:val="0"/>
          <w:numId w:val="66"/>
        </w:numPr>
        <w:autoSpaceDE/>
        <w:autoSpaceDN/>
        <w:ind w:left="567" w:hanging="567"/>
        <w:contextualSpacing/>
      </w:pPr>
      <w:r w:rsidRPr="00C61A9B">
        <w:rPr>
          <w:rFonts w:hint="eastAsia"/>
        </w:rPr>
        <w:t>4</w:t>
      </w:r>
      <w:r w:rsidRPr="00C61A9B">
        <w:t xml:space="preserve"> </w:t>
      </w:r>
      <w:r>
        <w:t>předplněná pera</w:t>
      </w:r>
    </w:p>
    <w:p w14:paraId="390A4527" w14:textId="5F3B428F" w:rsidR="00A551D9" w:rsidRPr="00C61A9B" w:rsidRDefault="00A551D9" w:rsidP="00A551D9">
      <w:pPr>
        <w:pStyle w:val="a4"/>
        <w:widowControl/>
        <w:numPr>
          <w:ilvl w:val="0"/>
          <w:numId w:val="66"/>
        </w:numPr>
        <w:autoSpaceDE/>
        <w:autoSpaceDN/>
        <w:ind w:left="567" w:hanging="567"/>
        <w:contextualSpacing/>
      </w:pPr>
      <w:r w:rsidRPr="00C61A9B">
        <w:rPr>
          <w:rFonts w:hint="eastAsia"/>
        </w:rPr>
        <w:t>1</w:t>
      </w:r>
      <w:r w:rsidRPr="00C61A9B">
        <w:t xml:space="preserve">2 (3 </w:t>
      </w:r>
      <w:r>
        <w:t>balení po</w:t>
      </w:r>
      <w:r w:rsidRPr="00C61A9B">
        <w:t xml:space="preserve"> 4) </w:t>
      </w:r>
      <w:r>
        <w:t xml:space="preserve">předplněných </w:t>
      </w:r>
      <w:r w:rsidR="00A95BCC">
        <w:t>p</w:t>
      </w:r>
      <w:r>
        <w:t>er</w:t>
      </w:r>
      <w:r w:rsidRPr="00C61A9B">
        <w:t xml:space="preserve"> (</w:t>
      </w:r>
      <w:r w:rsidR="001D0160">
        <w:t>vícečetná</w:t>
      </w:r>
      <w:r>
        <w:t>balení</w:t>
      </w:r>
      <w:r w:rsidRPr="00C61A9B">
        <w:t>)</w:t>
      </w:r>
    </w:p>
    <w:p w14:paraId="62779AF1" w14:textId="77777777" w:rsidR="00222DE0" w:rsidRPr="00EE3355" w:rsidRDefault="00222DE0" w:rsidP="00EA1CDF">
      <w:pPr>
        <w:pStyle w:val="a3"/>
        <w:widowControl/>
        <w:ind w:left="0"/>
      </w:pPr>
    </w:p>
    <w:p w14:paraId="217FFBC0" w14:textId="54F28700" w:rsidR="00222DE0" w:rsidRPr="00EE3355" w:rsidRDefault="0098273B" w:rsidP="00EA1CDF">
      <w:pPr>
        <w:widowControl/>
        <w:rPr>
          <w:b/>
        </w:rPr>
      </w:pPr>
      <w:r w:rsidRPr="00EE3355">
        <w:rPr>
          <w:b/>
        </w:rPr>
        <w:t>Na trhu nemusí být všechny velikosti balení.</w:t>
      </w:r>
    </w:p>
    <w:p w14:paraId="45E9B351" w14:textId="77777777" w:rsidR="005578CD" w:rsidRPr="00EE3355" w:rsidRDefault="005578CD" w:rsidP="00943257"/>
    <w:p w14:paraId="3190F79A" w14:textId="77777777" w:rsidR="00222DE0" w:rsidRPr="004709B5" w:rsidRDefault="0098273B" w:rsidP="004709B5">
      <w:pPr>
        <w:widowControl/>
        <w:rPr>
          <w:b/>
        </w:rPr>
      </w:pPr>
      <w:r w:rsidRPr="004709B5">
        <w:rPr>
          <w:b/>
        </w:rPr>
        <w:t>Držitel rozhodnutí o registraci</w:t>
      </w:r>
    </w:p>
    <w:p w14:paraId="2AAD135A" w14:textId="77777777" w:rsidR="00A551D9" w:rsidRPr="00DE67E9" w:rsidRDefault="00A551D9" w:rsidP="00A551D9">
      <w:pPr>
        <w:keepNext/>
      </w:pPr>
      <w:r w:rsidRPr="00DE67E9">
        <w:t>Celltrion Healthcare Hungary Kft.</w:t>
      </w:r>
    </w:p>
    <w:p w14:paraId="4CCC3105" w14:textId="77777777" w:rsidR="00A551D9" w:rsidRPr="00DE67E9" w:rsidRDefault="00A551D9" w:rsidP="00A551D9">
      <w:pPr>
        <w:keepNext/>
      </w:pPr>
      <w:r w:rsidRPr="00DE67E9">
        <w:t>1062 Budapest</w:t>
      </w:r>
    </w:p>
    <w:p w14:paraId="5081780A" w14:textId="77777777" w:rsidR="00A551D9" w:rsidRPr="00DE67E9" w:rsidRDefault="00A551D9" w:rsidP="00A551D9">
      <w:pPr>
        <w:keepNext/>
      </w:pPr>
      <w:r w:rsidRPr="00DE67E9">
        <w:t>Váci út 1-3. WestEnd Office Building B torony</w:t>
      </w:r>
    </w:p>
    <w:p w14:paraId="1AC1F8DB" w14:textId="3D7EF343" w:rsidR="00222DE0" w:rsidRPr="00EE3355" w:rsidRDefault="00A551D9" w:rsidP="00EA1CDF">
      <w:pPr>
        <w:pStyle w:val="a3"/>
        <w:widowControl/>
        <w:ind w:left="0"/>
      </w:pPr>
      <w:r>
        <w:t>Maďarsko</w:t>
      </w:r>
    </w:p>
    <w:p w14:paraId="1E74ACC6" w14:textId="77777777" w:rsidR="00222DE0" w:rsidRPr="00EE3355" w:rsidRDefault="00222DE0" w:rsidP="00EA1CDF">
      <w:pPr>
        <w:pStyle w:val="a3"/>
        <w:widowControl/>
        <w:ind w:left="0"/>
      </w:pPr>
    </w:p>
    <w:p w14:paraId="7D14D8C8" w14:textId="77777777" w:rsidR="00222DE0" w:rsidRPr="00EE3355" w:rsidRDefault="0098273B" w:rsidP="00EA1CDF">
      <w:pPr>
        <w:pStyle w:val="2"/>
        <w:keepNext/>
        <w:widowControl/>
        <w:ind w:left="0"/>
      </w:pPr>
      <w:r w:rsidRPr="00EE3355">
        <w:lastRenderedPageBreak/>
        <w:t>Výrobce</w:t>
      </w:r>
    </w:p>
    <w:p w14:paraId="5EFCF13F" w14:textId="77777777" w:rsidR="00A551D9" w:rsidRPr="00DE67E9" w:rsidRDefault="00A551D9" w:rsidP="00A551D9">
      <w:pPr>
        <w:keepNext/>
      </w:pPr>
      <w:r w:rsidRPr="00DE67E9">
        <w:t>Nuvisan France SARL</w:t>
      </w:r>
    </w:p>
    <w:p w14:paraId="28BFF074" w14:textId="77777777" w:rsidR="00A551D9" w:rsidRPr="00DE67E9" w:rsidRDefault="00A551D9" w:rsidP="00A551D9">
      <w:pPr>
        <w:keepNext/>
      </w:pPr>
      <w:r w:rsidRPr="00DE67E9">
        <w:t>2400</w:t>
      </w:r>
      <w:del w:id="66" w:author="만든 이">
        <w:r w:rsidRPr="00DE67E9" w:rsidDel="001643DA">
          <w:delText>,</w:delText>
        </w:r>
      </w:del>
      <w:r w:rsidRPr="00DE67E9">
        <w:t xml:space="preserve"> Route des Colles, </w:t>
      </w:r>
    </w:p>
    <w:p w14:paraId="66786190" w14:textId="77777777" w:rsidR="00A551D9" w:rsidRPr="00DE67E9" w:rsidRDefault="00A551D9" w:rsidP="00A551D9">
      <w:pPr>
        <w:keepNext/>
      </w:pPr>
      <w:r w:rsidRPr="00DE67E9">
        <w:t>06410</w:t>
      </w:r>
      <w:del w:id="67" w:author="만든 이">
        <w:r w:rsidRPr="00DE67E9" w:rsidDel="001643DA">
          <w:delText>,</w:delText>
        </w:r>
      </w:del>
      <w:r w:rsidRPr="00DE67E9">
        <w:t xml:space="preserve"> Biot, </w:t>
      </w:r>
    </w:p>
    <w:p w14:paraId="3343BFD5" w14:textId="462A1043" w:rsidR="00A551D9" w:rsidRPr="00DE67E9" w:rsidRDefault="00A551D9" w:rsidP="00A551D9">
      <w:r w:rsidRPr="00DE67E9">
        <w:t>Franc</w:t>
      </w:r>
      <w:r>
        <w:t>i</w:t>
      </w:r>
      <w:r w:rsidRPr="00DE67E9">
        <w:t>e</w:t>
      </w:r>
    </w:p>
    <w:p w14:paraId="49232525" w14:textId="77777777" w:rsidR="00A551D9" w:rsidRPr="00DE67E9" w:rsidRDefault="00A551D9" w:rsidP="00A551D9"/>
    <w:p w14:paraId="6454E351" w14:textId="77777777" w:rsidR="00A551D9" w:rsidRPr="00DE67E9" w:rsidRDefault="00A551D9" w:rsidP="00A551D9">
      <w:pPr>
        <w:keepNext/>
      </w:pPr>
      <w:r w:rsidRPr="00DE67E9">
        <w:t>Midas Pharma GmbH</w:t>
      </w:r>
    </w:p>
    <w:p w14:paraId="27A18354" w14:textId="77777777" w:rsidR="00A551D9" w:rsidRPr="00DE67E9" w:rsidRDefault="00A551D9" w:rsidP="00A551D9">
      <w:pPr>
        <w:keepNext/>
      </w:pPr>
      <w:r w:rsidRPr="00DE67E9">
        <w:t xml:space="preserve">Rheinstr. 49, </w:t>
      </w:r>
    </w:p>
    <w:p w14:paraId="7A37EC61" w14:textId="77777777" w:rsidR="00A551D9" w:rsidRPr="00DE67E9" w:rsidRDefault="00A551D9" w:rsidP="00A551D9">
      <w:pPr>
        <w:keepNext/>
      </w:pPr>
      <w:r w:rsidRPr="00DE67E9">
        <w:t>55218 Ingelheim,</w:t>
      </w:r>
    </w:p>
    <w:p w14:paraId="4E742E4A" w14:textId="526DD3AD" w:rsidR="00A551D9" w:rsidRPr="00DE67E9" w:rsidRDefault="00A551D9" w:rsidP="00A551D9">
      <w:r>
        <w:t>Německo</w:t>
      </w:r>
    </w:p>
    <w:p w14:paraId="5A2099D5" w14:textId="77777777" w:rsidR="00A551D9" w:rsidRPr="00DE67E9" w:rsidRDefault="00A551D9" w:rsidP="00A551D9"/>
    <w:p w14:paraId="2FBA6F20" w14:textId="77777777" w:rsidR="00A551D9" w:rsidRPr="00DE67E9" w:rsidRDefault="00A551D9" w:rsidP="00A551D9">
      <w:pPr>
        <w:keepNext/>
      </w:pPr>
      <w:r w:rsidRPr="00DE67E9">
        <w:t xml:space="preserve">KYMOS S.L. </w:t>
      </w:r>
    </w:p>
    <w:p w14:paraId="1E45E3F0" w14:textId="77777777" w:rsidR="00A551D9" w:rsidRPr="00B93217" w:rsidRDefault="00A551D9" w:rsidP="00A551D9">
      <w:pPr>
        <w:keepNext/>
        <w:rPr>
          <w:lang w:val="en-GB"/>
        </w:rPr>
      </w:pPr>
      <w:r w:rsidRPr="00B93217">
        <w:rPr>
          <w:lang w:val="en-GB"/>
        </w:rPr>
        <w:t xml:space="preserve">Ronda Can </w:t>
      </w:r>
      <w:proofErr w:type="spellStart"/>
      <w:r w:rsidRPr="00B93217">
        <w:rPr>
          <w:lang w:val="en-GB"/>
        </w:rPr>
        <w:t>Fatjó</w:t>
      </w:r>
      <w:proofErr w:type="spellEnd"/>
      <w:r w:rsidRPr="00B93217">
        <w:rPr>
          <w:lang w:val="en-GB"/>
        </w:rPr>
        <w:t xml:space="preserve">, 7B. </w:t>
      </w:r>
    </w:p>
    <w:p w14:paraId="7A462256" w14:textId="77777777" w:rsidR="00A551D9" w:rsidRPr="00C41310" w:rsidRDefault="00A551D9" w:rsidP="00A551D9">
      <w:pPr>
        <w:keepNext/>
        <w:rPr>
          <w:lang w:val="en-GB"/>
        </w:rPr>
      </w:pPr>
      <w:r w:rsidRPr="00C41310">
        <w:rPr>
          <w:lang w:val="en-GB"/>
        </w:rPr>
        <w:t xml:space="preserve">08290 </w:t>
      </w:r>
      <w:proofErr w:type="spellStart"/>
      <w:r w:rsidRPr="00C41310">
        <w:rPr>
          <w:lang w:val="en-GB"/>
        </w:rPr>
        <w:t>Cerdanyola</w:t>
      </w:r>
      <w:proofErr w:type="spellEnd"/>
      <w:r w:rsidRPr="00C41310">
        <w:rPr>
          <w:lang w:val="en-GB"/>
        </w:rPr>
        <w:t xml:space="preserve"> del </w:t>
      </w:r>
      <w:proofErr w:type="spellStart"/>
      <w:r w:rsidRPr="00C41310">
        <w:rPr>
          <w:lang w:val="en-GB"/>
        </w:rPr>
        <w:t>Vallès</w:t>
      </w:r>
      <w:proofErr w:type="spellEnd"/>
      <w:r w:rsidRPr="00C41310">
        <w:rPr>
          <w:lang w:val="en-GB"/>
        </w:rPr>
        <w:t xml:space="preserve">, </w:t>
      </w:r>
    </w:p>
    <w:p w14:paraId="6FA02743" w14:textId="77777777" w:rsidR="00A551D9" w:rsidRPr="00C41310" w:rsidRDefault="00A551D9" w:rsidP="00A551D9">
      <w:pPr>
        <w:keepNext/>
        <w:rPr>
          <w:lang w:val="en-GB"/>
        </w:rPr>
      </w:pPr>
      <w:r w:rsidRPr="00C41310">
        <w:rPr>
          <w:lang w:val="en-GB"/>
        </w:rPr>
        <w:t xml:space="preserve">Barcelona, </w:t>
      </w:r>
    </w:p>
    <w:p w14:paraId="09EB3E95" w14:textId="214F1A85" w:rsidR="00222DE0" w:rsidRPr="00EE3355" w:rsidRDefault="00A551D9" w:rsidP="00B93217">
      <w:r>
        <w:t>Španělsko</w:t>
      </w:r>
    </w:p>
    <w:p w14:paraId="20CC9EC4" w14:textId="77777777" w:rsidR="00222DE0" w:rsidRPr="00EE3355" w:rsidRDefault="00222DE0" w:rsidP="00EA1CDF">
      <w:pPr>
        <w:widowControl/>
      </w:pPr>
    </w:p>
    <w:p w14:paraId="64F3875D" w14:textId="77777777" w:rsidR="00222DE0" w:rsidRPr="00EE3355" w:rsidRDefault="0098273B" w:rsidP="00EA1CDF">
      <w:pPr>
        <w:pStyle w:val="a3"/>
        <w:keepNext/>
        <w:widowControl/>
        <w:ind w:left="0"/>
      </w:pPr>
      <w:r w:rsidRPr="00EE3355">
        <w:t>Další informace o tomto přípravku získáte u místního zástupce držitele rozhodnutí o registraci:</w:t>
      </w:r>
    </w:p>
    <w:p w14:paraId="6D9CE388" w14:textId="77777777" w:rsidR="00B835A0" w:rsidRPr="00EE3355" w:rsidRDefault="00B835A0" w:rsidP="00EA1CDF">
      <w:pPr>
        <w:pStyle w:val="a3"/>
        <w:keepNext/>
        <w:widowControl/>
        <w:ind w:left="0"/>
      </w:pPr>
    </w:p>
    <w:tbl>
      <w:tblPr>
        <w:tblW w:w="0" w:type="auto"/>
        <w:tblLayout w:type="fixed"/>
        <w:tblCellMar>
          <w:left w:w="0" w:type="dxa"/>
          <w:right w:w="0" w:type="dxa"/>
        </w:tblCellMar>
        <w:tblLook w:val="01E0" w:firstRow="1" w:lastRow="1" w:firstColumn="1" w:lastColumn="1" w:noHBand="0" w:noVBand="0"/>
      </w:tblPr>
      <w:tblGrid>
        <w:gridCol w:w="4395"/>
        <w:gridCol w:w="4677"/>
      </w:tblGrid>
      <w:tr w:rsidR="00A551D9" w:rsidRPr="001879E9" w14:paraId="38827CE2" w14:textId="77777777" w:rsidTr="00B93217">
        <w:trPr>
          <w:trHeight w:val="879"/>
        </w:trPr>
        <w:tc>
          <w:tcPr>
            <w:tcW w:w="4395" w:type="dxa"/>
          </w:tcPr>
          <w:p w14:paraId="0B4E5B21" w14:textId="77777777" w:rsidR="00A551D9" w:rsidRPr="001879E9" w:rsidRDefault="00A551D9" w:rsidP="004F45E9">
            <w:pPr>
              <w:suppressAutoHyphens/>
              <w:rPr>
                <w:b/>
              </w:rPr>
            </w:pPr>
            <w:r w:rsidRPr="00A551D9">
              <w:rPr>
                <w:b/>
              </w:rPr>
              <w:t>België/Belgique/Belgien</w:t>
            </w:r>
          </w:p>
          <w:p w14:paraId="580AB3DD" w14:textId="77777777" w:rsidR="00A551D9" w:rsidRPr="00B93217" w:rsidRDefault="00A551D9" w:rsidP="004F45E9">
            <w:pPr>
              <w:suppressAutoHyphens/>
            </w:pPr>
            <w:r w:rsidRPr="00B93217">
              <w:t>Celltrion Healthcare Belgium BVBA</w:t>
            </w:r>
          </w:p>
          <w:p w14:paraId="2DA30BF0" w14:textId="77777777" w:rsidR="00A551D9" w:rsidRPr="00B93217" w:rsidRDefault="00A551D9" w:rsidP="004F45E9">
            <w:pPr>
              <w:suppressAutoHyphens/>
            </w:pPr>
            <w:r w:rsidRPr="00B93217">
              <w:t>Tél/Tel: +32 2 643 71 81</w:t>
            </w:r>
          </w:p>
          <w:p w14:paraId="630DCA2E" w14:textId="77777777" w:rsidR="00A551D9" w:rsidRPr="00B93217" w:rsidRDefault="00A551D9" w:rsidP="004F45E9">
            <w:pPr>
              <w:suppressAutoHyphens/>
            </w:pPr>
            <w:hyperlink r:id="rId30" w:history="1">
              <w:r w:rsidRPr="00B93217">
                <w:rPr>
                  <w:rStyle w:val="a9"/>
                </w:rPr>
                <w:t>BEinfo@celltrionhc.com</w:t>
              </w:r>
            </w:hyperlink>
          </w:p>
          <w:p w14:paraId="2312384E" w14:textId="77777777" w:rsidR="00A551D9" w:rsidRPr="00A551D9" w:rsidRDefault="00A551D9" w:rsidP="004F45E9">
            <w:pPr>
              <w:suppressAutoHyphens/>
              <w:rPr>
                <w:b/>
              </w:rPr>
            </w:pPr>
          </w:p>
        </w:tc>
        <w:tc>
          <w:tcPr>
            <w:tcW w:w="4677" w:type="dxa"/>
          </w:tcPr>
          <w:p w14:paraId="0D06C9E7" w14:textId="77777777" w:rsidR="00A551D9" w:rsidRPr="00B93217" w:rsidRDefault="00A551D9" w:rsidP="00A551D9">
            <w:pPr>
              <w:suppressAutoHyphens/>
              <w:rPr>
                <w:b/>
              </w:rPr>
            </w:pPr>
            <w:r w:rsidRPr="00B93217">
              <w:rPr>
                <w:b/>
              </w:rPr>
              <w:t>Lietuva</w:t>
            </w:r>
          </w:p>
          <w:p w14:paraId="587C53EB" w14:textId="77777777" w:rsidR="00A551D9" w:rsidRPr="00A551D9" w:rsidRDefault="00A551D9" w:rsidP="00A551D9">
            <w:pPr>
              <w:suppressAutoHyphens/>
            </w:pPr>
            <w:r w:rsidRPr="00A551D9">
              <w:t>Celltrion Healthcare Hungary Kft.</w:t>
            </w:r>
          </w:p>
          <w:p w14:paraId="34AC56A2" w14:textId="77777777" w:rsidR="00A551D9" w:rsidRPr="001879E9" w:rsidRDefault="00A551D9" w:rsidP="00A551D9">
            <w:pPr>
              <w:suppressAutoHyphens/>
            </w:pPr>
            <w:r w:rsidRPr="00A551D9">
              <w:t>Tel.: +36 1 231 0493</w:t>
            </w:r>
          </w:p>
          <w:p w14:paraId="52844CC8" w14:textId="77777777" w:rsidR="00A551D9" w:rsidRPr="001879E9" w:rsidRDefault="00A551D9" w:rsidP="00A551D9">
            <w:pPr>
              <w:suppressAutoHyphens/>
            </w:pPr>
          </w:p>
        </w:tc>
      </w:tr>
      <w:tr w:rsidR="00A551D9" w:rsidRPr="001879E9" w14:paraId="15144445" w14:textId="77777777" w:rsidTr="00B93217">
        <w:trPr>
          <w:trHeight w:val="879"/>
        </w:trPr>
        <w:tc>
          <w:tcPr>
            <w:tcW w:w="4395" w:type="dxa"/>
          </w:tcPr>
          <w:p w14:paraId="00FDB6FB" w14:textId="77777777" w:rsidR="00A551D9" w:rsidRPr="00A551D9" w:rsidRDefault="00A551D9" w:rsidP="004F45E9">
            <w:pPr>
              <w:suppressAutoHyphens/>
              <w:rPr>
                <w:b/>
              </w:rPr>
            </w:pPr>
            <w:r w:rsidRPr="00A551D9">
              <w:rPr>
                <w:b/>
              </w:rPr>
              <w:t>България</w:t>
            </w:r>
          </w:p>
          <w:p w14:paraId="20617C99" w14:textId="77777777" w:rsidR="00A551D9" w:rsidRPr="00B93217" w:rsidRDefault="00A551D9" w:rsidP="00A551D9">
            <w:pPr>
              <w:suppressAutoHyphens/>
            </w:pPr>
            <w:r w:rsidRPr="00B93217">
              <w:t>Celltrion Healthcare Hungary Kft.</w:t>
            </w:r>
          </w:p>
          <w:p w14:paraId="56F5C303" w14:textId="77777777" w:rsidR="00A551D9" w:rsidRPr="00B93217" w:rsidRDefault="00A551D9" w:rsidP="004F45E9">
            <w:pPr>
              <w:suppressAutoHyphens/>
            </w:pPr>
            <w:r w:rsidRPr="00B93217">
              <w:t>Teл.: +36 1 231 0493</w:t>
            </w:r>
          </w:p>
          <w:p w14:paraId="2D472FBB" w14:textId="77777777" w:rsidR="00A551D9" w:rsidRPr="00A551D9" w:rsidRDefault="00A551D9" w:rsidP="004F45E9">
            <w:pPr>
              <w:suppressAutoHyphens/>
              <w:rPr>
                <w:b/>
              </w:rPr>
            </w:pPr>
          </w:p>
        </w:tc>
        <w:tc>
          <w:tcPr>
            <w:tcW w:w="4677" w:type="dxa"/>
          </w:tcPr>
          <w:p w14:paraId="1EFEEECE" w14:textId="77777777" w:rsidR="00A551D9" w:rsidRPr="00B93217" w:rsidRDefault="00A551D9" w:rsidP="00A551D9">
            <w:pPr>
              <w:suppressAutoHyphens/>
              <w:rPr>
                <w:b/>
              </w:rPr>
            </w:pPr>
            <w:r w:rsidRPr="00B93217">
              <w:rPr>
                <w:b/>
              </w:rPr>
              <w:t>Luxembourg/Luxemburg</w:t>
            </w:r>
          </w:p>
          <w:p w14:paraId="351C0E75" w14:textId="77777777" w:rsidR="00A551D9" w:rsidRPr="00A551D9" w:rsidRDefault="00A551D9" w:rsidP="004F45E9">
            <w:pPr>
              <w:suppressAutoHyphens/>
            </w:pPr>
            <w:r w:rsidRPr="00A551D9">
              <w:t>Celltrion Healthcare Belgium BVBA</w:t>
            </w:r>
          </w:p>
          <w:p w14:paraId="10636C22" w14:textId="77777777" w:rsidR="00A551D9" w:rsidRPr="00A551D9" w:rsidRDefault="00A551D9" w:rsidP="00A551D9">
            <w:pPr>
              <w:suppressAutoHyphens/>
            </w:pPr>
            <w:r w:rsidRPr="00A551D9">
              <w:t>Tél/Tel: +32 2 643 71 81</w:t>
            </w:r>
          </w:p>
          <w:p w14:paraId="51380EB8" w14:textId="77777777" w:rsidR="00A551D9" w:rsidRPr="00A551D9" w:rsidRDefault="00A551D9" w:rsidP="004F45E9">
            <w:pPr>
              <w:suppressAutoHyphens/>
            </w:pPr>
            <w:hyperlink r:id="rId31" w:history="1">
              <w:r w:rsidRPr="00A551D9">
                <w:rPr>
                  <w:rStyle w:val="a9"/>
                </w:rPr>
                <w:t>BEinfo@celltrionhc.com</w:t>
              </w:r>
            </w:hyperlink>
          </w:p>
          <w:p w14:paraId="6E9995C9" w14:textId="77777777" w:rsidR="00A551D9" w:rsidRPr="00A551D9" w:rsidRDefault="00A551D9" w:rsidP="00A551D9">
            <w:pPr>
              <w:suppressAutoHyphens/>
            </w:pPr>
          </w:p>
        </w:tc>
      </w:tr>
      <w:tr w:rsidR="00A551D9" w:rsidRPr="001879E9" w14:paraId="46108FFA" w14:textId="77777777" w:rsidTr="00B93217">
        <w:trPr>
          <w:trHeight w:val="879"/>
        </w:trPr>
        <w:tc>
          <w:tcPr>
            <w:tcW w:w="4395" w:type="dxa"/>
          </w:tcPr>
          <w:p w14:paraId="458BD578" w14:textId="77777777" w:rsidR="00A551D9" w:rsidRPr="00A551D9" w:rsidRDefault="00A551D9" w:rsidP="00A551D9">
            <w:pPr>
              <w:suppressAutoHyphens/>
              <w:rPr>
                <w:b/>
              </w:rPr>
            </w:pPr>
            <w:r w:rsidRPr="00A551D9">
              <w:rPr>
                <w:b/>
              </w:rPr>
              <w:t>Česká republika</w:t>
            </w:r>
          </w:p>
          <w:p w14:paraId="20894499" w14:textId="77777777" w:rsidR="00A551D9" w:rsidRPr="00B93217" w:rsidRDefault="00A551D9" w:rsidP="00A551D9">
            <w:pPr>
              <w:suppressAutoHyphens/>
            </w:pPr>
            <w:r w:rsidRPr="00B93217">
              <w:t>Celltrion Healthcare Hungary Kft.</w:t>
            </w:r>
          </w:p>
          <w:p w14:paraId="4D19598E" w14:textId="77777777" w:rsidR="00A551D9" w:rsidRPr="00B93217" w:rsidRDefault="00A551D9" w:rsidP="00A551D9">
            <w:pPr>
              <w:suppressAutoHyphens/>
            </w:pPr>
            <w:r w:rsidRPr="00B93217">
              <w:t>Tel: +36 1 231 0493</w:t>
            </w:r>
          </w:p>
          <w:p w14:paraId="608D6A5C" w14:textId="77777777" w:rsidR="00A551D9" w:rsidRPr="00A551D9" w:rsidRDefault="00A551D9" w:rsidP="00A551D9">
            <w:pPr>
              <w:suppressAutoHyphens/>
              <w:rPr>
                <w:b/>
              </w:rPr>
            </w:pPr>
          </w:p>
        </w:tc>
        <w:tc>
          <w:tcPr>
            <w:tcW w:w="4677" w:type="dxa"/>
          </w:tcPr>
          <w:p w14:paraId="2C363A18" w14:textId="77777777" w:rsidR="00A551D9" w:rsidRPr="00B93217" w:rsidRDefault="00A551D9" w:rsidP="004F45E9">
            <w:pPr>
              <w:suppressAutoHyphens/>
              <w:rPr>
                <w:b/>
              </w:rPr>
            </w:pPr>
            <w:r w:rsidRPr="00B93217">
              <w:rPr>
                <w:b/>
              </w:rPr>
              <w:t>Magyarország</w:t>
            </w:r>
          </w:p>
          <w:p w14:paraId="375F690F" w14:textId="77777777" w:rsidR="00A551D9" w:rsidRPr="00A551D9" w:rsidRDefault="00A551D9" w:rsidP="00A551D9">
            <w:pPr>
              <w:suppressAutoHyphens/>
            </w:pPr>
            <w:r w:rsidRPr="00A551D9">
              <w:t>Celltrion Healthcare Hungary Kft.</w:t>
            </w:r>
          </w:p>
          <w:p w14:paraId="624E4315" w14:textId="77777777" w:rsidR="00A551D9" w:rsidRPr="00A551D9" w:rsidRDefault="00A551D9" w:rsidP="004F45E9">
            <w:pPr>
              <w:suppressAutoHyphens/>
            </w:pPr>
            <w:r w:rsidRPr="00A551D9">
              <w:t>Tel:. +36 1 231 0493</w:t>
            </w:r>
          </w:p>
          <w:p w14:paraId="6F706646" w14:textId="77777777" w:rsidR="00A551D9" w:rsidRPr="00A551D9" w:rsidRDefault="00A551D9" w:rsidP="004F45E9">
            <w:pPr>
              <w:suppressAutoHyphens/>
            </w:pPr>
          </w:p>
        </w:tc>
      </w:tr>
      <w:tr w:rsidR="00A551D9" w:rsidRPr="001879E9" w14:paraId="4B47EB17" w14:textId="77777777" w:rsidTr="00B93217">
        <w:trPr>
          <w:trHeight w:val="879"/>
        </w:trPr>
        <w:tc>
          <w:tcPr>
            <w:tcW w:w="4395" w:type="dxa"/>
          </w:tcPr>
          <w:p w14:paraId="0470501A" w14:textId="62855613" w:rsidR="00A551D9" w:rsidRPr="00A551D9" w:rsidRDefault="00A551D9" w:rsidP="00A551D9">
            <w:pPr>
              <w:suppressAutoHyphens/>
              <w:rPr>
                <w:b/>
              </w:rPr>
            </w:pPr>
            <w:r w:rsidRPr="00A551D9">
              <w:rPr>
                <w:b/>
              </w:rPr>
              <w:t>D</w:t>
            </w:r>
            <w:r w:rsidR="004856B8">
              <w:rPr>
                <w:rFonts w:eastAsia="맑은 고딕" w:hint="eastAsia"/>
                <w:b/>
                <w:lang w:eastAsia="ko-KR"/>
              </w:rPr>
              <w:t>e</w:t>
            </w:r>
            <w:r w:rsidRPr="00A551D9">
              <w:rPr>
                <w:b/>
              </w:rPr>
              <w:t>nmark</w:t>
            </w:r>
          </w:p>
          <w:p w14:paraId="51783BC8" w14:textId="77777777" w:rsidR="004856B8" w:rsidRPr="00DC6A50" w:rsidRDefault="00A551D9" w:rsidP="004856B8">
            <w:pPr>
              <w:tabs>
                <w:tab w:val="left" w:pos="-720"/>
              </w:tabs>
              <w:suppressAutoHyphens/>
              <w:rPr>
                <w:rFonts w:eastAsia="맑은 고딕"/>
                <w:noProof/>
                <w:lang w:eastAsia="fr-FR"/>
              </w:rPr>
            </w:pPr>
            <w:r w:rsidRPr="00B93217">
              <w:t xml:space="preserve">Celltrion Healthcare </w:t>
            </w:r>
            <w:r w:rsidR="004856B8" w:rsidRPr="00204A91">
              <w:rPr>
                <w:rFonts w:eastAsia="맑은 고딕"/>
                <w:noProof/>
                <w:lang w:eastAsia="fr-FR"/>
              </w:rPr>
              <w:t>Denmark ApS</w:t>
            </w:r>
          </w:p>
          <w:p w14:paraId="0C9A3AC1" w14:textId="77777777" w:rsidR="004856B8" w:rsidRDefault="004856B8" w:rsidP="004856B8">
            <w:pPr>
              <w:tabs>
                <w:tab w:val="left" w:pos="-720"/>
              </w:tabs>
              <w:suppressAutoHyphens/>
              <w:rPr>
                <w:rFonts w:eastAsia="맑은 고딕"/>
                <w:noProof/>
                <w:lang w:eastAsia="fr-FR"/>
              </w:rPr>
            </w:pPr>
            <w:r w:rsidRPr="00204A91">
              <w:rPr>
                <w:rFonts w:eastAsia="맑은 고딕"/>
                <w:noProof/>
                <w:lang w:eastAsia="fr-FR"/>
              </w:rPr>
              <w:t>Tel: + 45 3535 2989</w:t>
            </w:r>
          </w:p>
          <w:p w14:paraId="7DAD1B69" w14:textId="724E0C5B" w:rsidR="00A551D9" w:rsidRPr="002F0CCA" w:rsidRDefault="004856B8" w:rsidP="00A551D9">
            <w:pPr>
              <w:suppressAutoHyphens/>
              <w:rPr>
                <w:rFonts w:eastAsia="맑은 고딕"/>
                <w:lang w:eastAsia="ko-KR"/>
              </w:rPr>
            </w:pPr>
            <w:r w:rsidRPr="00204A91">
              <w:rPr>
                <w:rFonts w:eastAsia="맑은 고딕"/>
                <w:noProof/>
                <w:lang w:eastAsia="fr-FR"/>
              </w:rPr>
              <w:t>Contact_dk@celltrionhc.com</w:t>
            </w:r>
          </w:p>
          <w:p w14:paraId="7501978F" w14:textId="77777777" w:rsidR="00A551D9" w:rsidRPr="00A551D9" w:rsidRDefault="00A551D9" w:rsidP="00A551D9">
            <w:pPr>
              <w:suppressAutoHyphens/>
              <w:rPr>
                <w:b/>
              </w:rPr>
            </w:pPr>
          </w:p>
        </w:tc>
        <w:tc>
          <w:tcPr>
            <w:tcW w:w="4677" w:type="dxa"/>
          </w:tcPr>
          <w:p w14:paraId="59203213" w14:textId="77777777" w:rsidR="00A551D9" w:rsidRPr="00B93217" w:rsidRDefault="00A551D9" w:rsidP="004F45E9">
            <w:pPr>
              <w:suppressAutoHyphens/>
              <w:rPr>
                <w:b/>
              </w:rPr>
            </w:pPr>
            <w:r w:rsidRPr="00B93217">
              <w:rPr>
                <w:b/>
              </w:rPr>
              <w:t>Malta</w:t>
            </w:r>
          </w:p>
          <w:p w14:paraId="432DD6BF" w14:textId="77777777" w:rsidR="00A551D9" w:rsidRPr="00A551D9" w:rsidRDefault="00A551D9" w:rsidP="00A551D9">
            <w:pPr>
              <w:suppressAutoHyphens/>
            </w:pPr>
            <w:r w:rsidRPr="00A551D9">
              <w:t>Mint Health Ltd.</w:t>
            </w:r>
          </w:p>
          <w:p w14:paraId="5094410A" w14:textId="77777777" w:rsidR="00A551D9" w:rsidRPr="00A551D9" w:rsidRDefault="00A551D9" w:rsidP="004F45E9">
            <w:pPr>
              <w:suppressAutoHyphens/>
            </w:pPr>
            <w:r w:rsidRPr="00A551D9">
              <w:t>Tel: +356 2093 9800</w:t>
            </w:r>
          </w:p>
          <w:p w14:paraId="62900CCC" w14:textId="77777777" w:rsidR="00A551D9" w:rsidRPr="00A551D9" w:rsidRDefault="00A551D9" w:rsidP="004F45E9">
            <w:pPr>
              <w:suppressAutoHyphens/>
            </w:pPr>
          </w:p>
        </w:tc>
      </w:tr>
      <w:tr w:rsidR="00A551D9" w:rsidRPr="001879E9" w14:paraId="2797FA99" w14:textId="77777777" w:rsidTr="00B93217">
        <w:trPr>
          <w:trHeight w:val="879"/>
        </w:trPr>
        <w:tc>
          <w:tcPr>
            <w:tcW w:w="4395" w:type="dxa"/>
          </w:tcPr>
          <w:p w14:paraId="2112AA4C" w14:textId="77777777" w:rsidR="00A551D9" w:rsidRPr="00A551D9" w:rsidRDefault="00A551D9" w:rsidP="004F45E9">
            <w:pPr>
              <w:suppressAutoHyphens/>
              <w:rPr>
                <w:b/>
              </w:rPr>
            </w:pPr>
            <w:r w:rsidRPr="00A551D9">
              <w:rPr>
                <w:b/>
              </w:rPr>
              <w:t>Deutschland</w:t>
            </w:r>
          </w:p>
          <w:p w14:paraId="641BF063" w14:textId="77777777" w:rsidR="00A551D9" w:rsidRPr="00B93217" w:rsidRDefault="00A551D9" w:rsidP="00A551D9">
            <w:pPr>
              <w:suppressAutoHyphens/>
            </w:pPr>
            <w:r w:rsidRPr="00B93217">
              <w:t>Celltrion Healthcare Deutschland GmbH</w:t>
            </w:r>
          </w:p>
          <w:p w14:paraId="1EE1EA72" w14:textId="77777777" w:rsidR="00A551D9" w:rsidRPr="00B93217" w:rsidRDefault="00A551D9" w:rsidP="00A551D9">
            <w:pPr>
              <w:suppressAutoHyphens/>
            </w:pPr>
            <w:r w:rsidRPr="00B93217">
              <w:t>Tel: +49 (0)30 346494150</w:t>
            </w:r>
          </w:p>
          <w:p w14:paraId="5BEBE124" w14:textId="77777777" w:rsidR="00A551D9" w:rsidRPr="00B93217" w:rsidRDefault="00A551D9" w:rsidP="00A551D9">
            <w:pPr>
              <w:suppressAutoHyphens/>
            </w:pPr>
            <w:hyperlink r:id="rId32" w:history="1">
              <w:r w:rsidRPr="00B93217">
                <w:rPr>
                  <w:rStyle w:val="a9"/>
                </w:rPr>
                <w:t>infoDE@celltrionhc.com</w:t>
              </w:r>
            </w:hyperlink>
          </w:p>
          <w:p w14:paraId="03291818" w14:textId="77777777" w:rsidR="00A551D9" w:rsidRPr="00A551D9" w:rsidRDefault="00A551D9" w:rsidP="00A551D9">
            <w:pPr>
              <w:suppressAutoHyphens/>
              <w:rPr>
                <w:b/>
              </w:rPr>
            </w:pPr>
          </w:p>
        </w:tc>
        <w:tc>
          <w:tcPr>
            <w:tcW w:w="4677" w:type="dxa"/>
          </w:tcPr>
          <w:p w14:paraId="5A8E076A" w14:textId="77777777" w:rsidR="00A551D9" w:rsidRPr="00B93217" w:rsidRDefault="00A551D9" w:rsidP="004F45E9">
            <w:pPr>
              <w:suppressAutoHyphens/>
              <w:rPr>
                <w:b/>
              </w:rPr>
            </w:pPr>
            <w:r w:rsidRPr="00B93217">
              <w:rPr>
                <w:b/>
              </w:rPr>
              <w:t>Nederland</w:t>
            </w:r>
          </w:p>
          <w:p w14:paraId="15BF5E48" w14:textId="77777777" w:rsidR="00A551D9" w:rsidRPr="00A551D9" w:rsidRDefault="00A551D9" w:rsidP="004F45E9">
            <w:pPr>
              <w:suppressAutoHyphens/>
            </w:pPr>
            <w:r w:rsidRPr="00A551D9">
              <w:t>Celltrion Healthcare Netherlands B.V.</w:t>
            </w:r>
          </w:p>
          <w:p w14:paraId="6990A26E" w14:textId="77777777" w:rsidR="00A551D9" w:rsidRPr="00A551D9" w:rsidRDefault="00A551D9" w:rsidP="004F45E9">
            <w:pPr>
              <w:suppressAutoHyphens/>
            </w:pPr>
            <w:r w:rsidRPr="00A551D9">
              <w:t>Tel: + 31 20 888 7300</w:t>
            </w:r>
          </w:p>
          <w:p w14:paraId="6CB45197" w14:textId="77777777" w:rsidR="00A551D9" w:rsidRPr="00A551D9" w:rsidRDefault="00A551D9" w:rsidP="004F45E9">
            <w:pPr>
              <w:suppressAutoHyphens/>
            </w:pPr>
            <w:hyperlink r:id="rId33" w:history="1">
              <w:r w:rsidRPr="00A551D9">
                <w:rPr>
                  <w:rStyle w:val="a9"/>
                </w:rPr>
                <w:t>NLinfo@celltrionhc.com</w:t>
              </w:r>
            </w:hyperlink>
          </w:p>
          <w:p w14:paraId="5CAB02D1" w14:textId="77777777" w:rsidR="00A551D9" w:rsidRPr="00A551D9" w:rsidRDefault="00A551D9" w:rsidP="004F45E9">
            <w:pPr>
              <w:suppressAutoHyphens/>
            </w:pPr>
          </w:p>
        </w:tc>
      </w:tr>
      <w:tr w:rsidR="00A551D9" w:rsidRPr="001879E9" w14:paraId="0172C8EB" w14:textId="77777777" w:rsidTr="00B93217">
        <w:trPr>
          <w:trHeight w:val="879"/>
        </w:trPr>
        <w:tc>
          <w:tcPr>
            <w:tcW w:w="4395" w:type="dxa"/>
          </w:tcPr>
          <w:p w14:paraId="0C757DED" w14:textId="77777777" w:rsidR="00A551D9" w:rsidRPr="001879E9" w:rsidRDefault="00A551D9" w:rsidP="00A551D9">
            <w:pPr>
              <w:suppressAutoHyphens/>
              <w:rPr>
                <w:b/>
              </w:rPr>
            </w:pPr>
            <w:r w:rsidRPr="00A551D9">
              <w:rPr>
                <w:b/>
              </w:rPr>
              <w:t>Eesti</w:t>
            </w:r>
          </w:p>
          <w:p w14:paraId="126CA55F" w14:textId="77777777" w:rsidR="00A551D9" w:rsidRPr="00B93217" w:rsidRDefault="00A551D9" w:rsidP="00A551D9">
            <w:pPr>
              <w:suppressAutoHyphens/>
            </w:pPr>
            <w:r w:rsidRPr="00B93217">
              <w:t>Celltrion Healthcare Hungary Kft.</w:t>
            </w:r>
          </w:p>
          <w:p w14:paraId="6D10F0CB" w14:textId="77777777" w:rsidR="00A551D9" w:rsidRPr="00B93217" w:rsidRDefault="00A551D9" w:rsidP="00A551D9">
            <w:pPr>
              <w:suppressAutoHyphens/>
            </w:pPr>
            <w:r w:rsidRPr="00B93217">
              <w:t>Tel: +36 1 231 0493</w:t>
            </w:r>
          </w:p>
          <w:p w14:paraId="3DF2A04B" w14:textId="77777777" w:rsidR="00A551D9" w:rsidRPr="00A551D9" w:rsidRDefault="00A551D9" w:rsidP="00A551D9">
            <w:pPr>
              <w:suppressAutoHyphens/>
              <w:rPr>
                <w:b/>
              </w:rPr>
            </w:pPr>
          </w:p>
        </w:tc>
        <w:tc>
          <w:tcPr>
            <w:tcW w:w="4677" w:type="dxa"/>
          </w:tcPr>
          <w:p w14:paraId="1FFC4387" w14:textId="77777777" w:rsidR="00A551D9" w:rsidRPr="00B93217" w:rsidRDefault="00A551D9" w:rsidP="00A551D9">
            <w:pPr>
              <w:suppressAutoHyphens/>
              <w:rPr>
                <w:b/>
              </w:rPr>
            </w:pPr>
            <w:r w:rsidRPr="00B93217">
              <w:rPr>
                <w:b/>
              </w:rPr>
              <w:t>Norge</w:t>
            </w:r>
          </w:p>
          <w:p w14:paraId="748F61AC" w14:textId="77777777" w:rsidR="004856B8" w:rsidRPr="00DC6A50" w:rsidRDefault="00A551D9" w:rsidP="004856B8">
            <w:pPr>
              <w:tabs>
                <w:tab w:val="left" w:pos="-720"/>
              </w:tabs>
              <w:suppressAutoHyphens/>
              <w:rPr>
                <w:rFonts w:eastAsia="맑은 고딕"/>
                <w:noProof/>
                <w:lang w:eastAsia="ko-KR"/>
              </w:rPr>
            </w:pPr>
            <w:r w:rsidRPr="00A551D9">
              <w:t xml:space="preserve">Celltrion Healthcare </w:t>
            </w:r>
            <w:r w:rsidR="004856B8">
              <w:rPr>
                <w:rFonts w:eastAsia="맑은 고딕" w:hint="eastAsia"/>
                <w:noProof/>
                <w:lang w:eastAsia="ko-KR"/>
              </w:rPr>
              <w:t>Norway AS</w:t>
            </w:r>
          </w:p>
          <w:p w14:paraId="13C180B1" w14:textId="7B18B8FC" w:rsidR="00A551D9" w:rsidRPr="004856B8" w:rsidRDefault="004856B8" w:rsidP="00A551D9">
            <w:pPr>
              <w:suppressAutoHyphens/>
            </w:pPr>
            <w:r w:rsidRPr="006F04E0">
              <w:rPr>
                <w:rFonts w:eastAsia="맑은 고딕"/>
                <w:noProof/>
                <w:lang w:eastAsia="fr-FR"/>
              </w:rPr>
              <w:t>Contact_no@celltrionhc.com</w:t>
            </w:r>
            <w:r w:rsidRPr="006F04E0" w:rsidDel="006F04E0">
              <w:rPr>
                <w:rFonts w:eastAsia="맑은 고딕"/>
                <w:noProof/>
                <w:lang w:eastAsia="fr-FR"/>
              </w:rPr>
              <w:t xml:space="preserve"> </w:t>
            </w:r>
          </w:p>
        </w:tc>
      </w:tr>
      <w:tr w:rsidR="00A551D9" w:rsidRPr="001879E9" w14:paraId="7CFF96C5" w14:textId="77777777" w:rsidTr="00B93217">
        <w:trPr>
          <w:trHeight w:val="879"/>
        </w:trPr>
        <w:tc>
          <w:tcPr>
            <w:tcW w:w="4395" w:type="dxa"/>
          </w:tcPr>
          <w:p w14:paraId="2B927ED8" w14:textId="77777777" w:rsidR="00A551D9" w:rsidRPr="00A551D9" w:rsidRDefault="00A551D9" w:rsidP="004F45E9">
            <w:pPr>
              <w:suppressAutoHyphens/>
              <w:rPr>
                <w:b/>
              </w:rPr>
            </w:pPr>
            <w:r w:rsidRPr="00A551D9">
              <w:rPr>
                <w:b/>
              </w:rPr>
              <w:t>España</w:t>
            </w:r>
          </w:p>
          <w:p w14:paraId="2E18E309" w14:textId="77777777" w:rsidR="00A551D9" w:rsidRPr="00B93217" w:rsidRDefault="00A551D9" w:rsidP="004F45E9">
            <w:pPr>
              <w:suppressAutoHyphens/>
            </w:pPr>
            <w:r w:rsidRPr="00B93217">
              <w:t>CELLTRION FARMACEUTICA (ESPAÑA) S.L..</w:t>
            </w:r>
          </w:p>
          <w:p w14:paraId="0BCAA8F3" w14:textId="0EA0C2EB" w:rsidR="00A551D9" w:rsidRPr="00B93217" w:rsidRDefault="00A551D9" w:rsidP="004F45E9">
            <w:pPr>
              <w:suppressAutoHyphens/>
            </w:pPr>
            <w:r w:rsidRPr="00B93217">
              <w:t xml:space="preserve">Tel: +34 </w:t>
            </w:r>
            <w:r w:rsidR="00143E82">
              <w:t>910 498 478</w:t>
            </w:r>
          </w:p>
          <w:p w14:paraId="78C037D8" w14:textId="77777777" w:rsidR="00A551D9" w:rsidRPr="001879E9" w:rsidRDefault="00A551D9" w:rsidP="004F45E9">
            <w:pPr>
              <w:suppressAutoHyphens/>
              <w:rPr>
                <w:b/>
              </w:rPr>
            </w:pPr>
          </w:p>
        </w:tc>
        <w:tc>
          <w:tcPr>
            <w:tcW w:w="4677" w:type="dxa"/>
          </w:tcPr>
          <w:p w14:paraId="012B5F8F" w14:textId="77777777" w:rsidR="00A551D9" w:rsidRPr="00B93217" w:rsidRDefault="00A551D9" w:rsidP="004F45E9">
            <w:pPr>
              <w:suppressAutoHyphens/>
              <w:rPr>
                <w:b/>
              </w:rPr>
            </w:pPr>
            <w:r w:rsidRPr="00B93217">
              <w:rPr>
                <w:b/>
              </w:rPr>
              <w:t>Österreich</w:t>
            </w:r>
          </w:p>
          <w:p w14:paraId="77FD930A" w14:textId="77777777" w:rsidR="00A551D9" w:rsidRPr="00A551D9" w:rsidRDefault="00A551D9" w:rsidP="004F45E9">
            <w:pPr>
              <w:suppressAutoHyphens/>
            </w:pPr>
            <w:r w:rsidRPr="00A551D9">
              <w:t>Astro-Pharma GmbH</w:t>
            </w:r>
          </w:p>
          <w:p w14:paraId="55FED946" w14:textId="77777777" w:rsidR="00A551D9" w:rsidRPr="00A551D9" w:rsidRDefault="00A551D9" w:rsidP="00A551D9">
            <w:pPr>
              <w:suppressAutoHyphens/>
            </w:pPr>
            <w:r w:rsidRPr="00A551D9">
              <w:t>Tel: +43 1 97 99 860</w:t>
            </w:r>
          </w:p>
          <w:p w14:paraId="2CE2345D" w14:textId="77777777" w:rsidR="00A551D9" w:rsidRPr="00A551D9" w:rsidRDefault="00A551D9" w:rsidP="00A551D9">
            <w:pPr>
              <w:suppressAutoHyphens/>
            </w:pPr>
          </w:p>
        </w:tc>
      </w:tr>
      <w:tr w:rsidR="00A551D9" w:rsidRPr="001879E9" w14:paraId="6132EBE0" w14:textId="77777777" w:rsidTr="00B93217">
        <w:trPr>
          <w:trHeight w:val="879"/>
        </w:trPr>
        <w:tc>
          <w:tcPr>
            <w:tcW w:w="4395" w:type="dxa"/>
          </w:tcPr>
          <w:p w14:paraId="7447EC3D" w14:textId="77777777" w:rsidR="00A551D9" w:rsidRPr="00A551D9" w:rsidRDefault="00A551D9" w:rsidP="004F45E9">
            <w:pPr>
              <w:suppressAutoHyphens/>
              <w:rPr>
                <w:b/>
              </w:rPr>
            </w:pPr>
            <w:r w:rsidRPr="00A551D9">
              <w:rPr>
                <w:b/>
              </w:rPr>
              <w:t>Ελλάδα</w:t>
            </w:r>
          </w:p>
          <w:p w14:paraId="063ED6ED" w14:textId="77777777" w:rsidR="00A551D9" w:rsidRPr="00B93217" w:rsidRDefault="00A551D9" w:rsidP="004F45E9">
            <w:pPr>
              <w:suppressAutoHyphens/>
            </w:pPr>
            <w:r w:rsidRPr="00B93217">
              <w:t>ΒΙΑΝΕΞ Α.Ε.</w:t>
            </w:r>
          </w:p>
          <w:p w14:paraId="33C7F1D4" w14:textId="77777777" w:rsidR="00A551D9" w:rsidRPr="00B93217" w:rsidRDefault="00A551D9" w:rsidP="004F45E9">
            <w:pPr>
              <w:suppressAutoHyphens/>
            </w:pPr>
            <w:r w:rsidRPr="00B93217">
              <w:t xml:space="preserve">Τηλ: +30 210 8009111 </w:t>
            </w:r>
          </w:p>
          <w:p w14:paraId="1895208B" w14:textId="77777777" w:rsidR="00A551D9" w:rsidRPr="00A551D9" w:rsidRDefault="00A551D9" w:rsidP="004F45E9">
            <w:pPr>
              <w:suppressAutoHyphens/>
              <w:rPr>
                <w:b/>
              </w:rPr>
            </w:pPr>
          </w:p>
        </w:tc>
        <w:tc>
          <w:tcPr>
            <w:tcW w:w="4677" w:type="dxa"/>
          </w:tcPr>
          <w:p w14:paraId="2C0E35C3" w14:textId="77777777" w:rsidR="00A551D9" w:rsidRPr="00B93217" w:rsidRDefault="00A551D9" w:rsidP="004F45E9">
            <w:pPr>
              <w:suppressAutoHyphens/>
              <w:rPr>
                <w:b/>
              </w:rPr>
            </w:pPr>
            <w:r w:rsidRPr="00B93217">
              <w:rPr>
                <w:b/>
              </w:rPr>
              <w:t>Polska</w:t>
            </w:r>
          </w:p>
          <w:p w14:paraId="38313555" w14:textId="77777777" w:rsidR="00A551D9" w:rsidRPr="00A551D9" w:rsidRDefault="00A551D9" w:rsidP="00A551D9">
            <w:pPr>
              <w:suppressAutoHyphens/>
            </w:pPr>
            <w:r w:rsidRPr="00A551D9">
              <w:t>Celltrion Healthcare Hungary Kft.</w:t>
            </w:r>
          </w:p>
          <w:p w14:paraId="52D7E042" w14:textId="77777777" w:rsidR="00A551D9" w:rsidRPr="00A551D9" w:rsidRDefault="00A551D9" w:rsidP="004F45E9">
            <w:pPr>
              <w:suppressAutoHyphens/>
            </w:pPr>
            <w:r w:rsidRPr="00A551D9">
              <w:t>Tel.: +36 1 231 0493</w:t>
            </w:r>
          </w:p>
          <w:p w14:paraId="3EC330C6" w14:textId="77777777" w:rsidR="00A551D9" w:rsidRPr="00A551D9" w:rsidRDefault="00A551D9" w:rsidP="004F45E9">
            <w:pPr>
              <w:suppressAutoHyphens/>
            </w:pPr>
          </w:p>
        </w:tc>
      </w:tr>
      <w:tr w:rsidR="00A551D9" w:rsidRPr="001879E9" w14:paraId="0070730E" w14:textId="77777777" w:rsidTr="00B93217">
        <w:trPr>
          <w:trHeight w:val="879"/>
        </w:trPr>
        <w:tc>
          <w:tcPr>
            <w:tcW w:w="4395" w:type="dxa"/>
          </w:tcPr>
          <w:p w14:paraId="798FE94E" w14:textId="77777777" w:rsidR="00A551D9" w:rsidRPr="001879E9" w:rsidRDefault="00A551D9" w:rsidP="004F45E9">
            <w:pPr>
              <w:suppressAutoHyphens/>
              <w:rPr>
                <w:b/>
              </w:rPr>
            </w:pPr>
            <w:r w:rsidRPr="00A551D9">
              <w:rPr>
                <w:b/>
              </w:rPr>
              <w:lastRenderedPageBreak/>
              <w:t>France</w:t>
            </w:r>
          </w:p>
          <w:p w14:paraId="20F65BFC" w14:textId="77777777" w:rsidR="00A551D9" w:rsidRPr="00B93217" w:rsidRDefault="00A551D9" w:rsidP="004F45E9">
            <w:pPr>
              <w:suppressAutoHyphens/>
            </w:pPr>
            <w:r w:rsidRPr="00B93217">
              <w:t>Celltrion Healthcare France SAS</w:t>
            </w:r>
          </w:p>
          <w:p w14:paraId="263395C2" w14:textId="77777777" w:rsidR="00A551D9" w:rsidRPr="00B93217" w:rsidRDefault="00A551D9" w:rsidP="004F45E9">
            <w:pPr>
              <w:suppressAutoHyphens/>
            </w:pPr>
            <w:r w:rsidRPr="00B93217">
              <w:t>Tél.: +33 (0)1 71 25 27 00</w:t>
            </w:r>
          </w:p>
          <w:p w14:paraId="24050AB2" w14:textId="77777777" w:rsidR="00A551D9" w:rsidRPr="00A551D9" w:rsidRDefault="00A551D9" w:rsidP="004F45E9">
            <w:pPr>
              <w:suppressAutoHyphens/>
              <w:rPr>
                <w:b/>
              </w:rPr>
            </w:pPr>
          </w:p>
        </w:tc>
        <w:tc>
          <w:tcPr>
            <w:tcW w:w="4677" w:type="dxa"/>
          </w:tcPr>
          <w:p w14:paraId="7078129F" w14:textId="77777777" w:rsidR="00A551D9" w:rsidRPr="00B93217" w:rsidRDefault="00A551D9" w:rsidP="00A551D9">
            <w:pPr>
              <w:suppressAutoHyphens/>
              <w:rPr>
                <w:b/>
              </w:rPr>
            </w:pPr>
            <w:r w:rsidRPr="00B93217">
              <w:rPr>
                <w:b/>
              </w:rPr>
              <w:t>Portugal</w:t>
            </w:r>
          </w:p>
          <w:p w14:paraId="496F544C" w14:textId="77777777" w:rsidR="00A551D9" w:rsidRPr="00A551D9" w:rsidRDefault="00A551D9" w:rsidP="00A551D9">
            <w:pPr>
              <w:suppressAutoHyphens/>
            </w:pPr>
            <w:r w:rsidRPr="00A551D9">
              <w:t>CELLTRION PORTUGAL, UNIPESSOAL LDA.</w:t>
            </w:r>
          </w:p>
          <w:p w14:paraId="4F01CF3C" w14:textId="77777777" w:rsidR="00A551D9" w:rsidRPr="00A551D9" w:rsidRDefault="00A551D9" w:rsidP="004F45E9">
            <w:pPr>
              <w:suppressAutoHyphens/>
            </w:pPr>
            <w:r w:rsidRPr="00A551D9">
              <w:t>Tel</w:t>
            </w:r>
            <w:r w:rsidRPr="001879E9">
              <w:t xml:space="preserve">: </w:t>
            </w:r>
            <w:r w:rsidRPr="00A551D9">
              <w:t>+351 21 936 8542</w:t>
            </w:r>
          </w:p>
          <w:p w14:paraId="137812A8" w14:textId="77777777" w:rsidR="00A551D9" w:rsidRPr="00A551D9" w:rsidRDefault="00A551D9" w:rsidP="004F45E9">
            <w:pPr>
              <w:suppressAutoHyphens/>
            </w:pPr>
          </w:p>
        </w:tc>
      </w:tr>
      <w:tr w:rsidR="00A551D9" w:rsidRPr="001879E9" w14:paraId="0C133C7F" w14:textId="77777777" w:rsidTr="00B93217">
        <w:trPr>
          <w:trHeight w:val="879"/>
        </w:trPr>
        <w:tc>
          <w:tcPr>
            <w:tcW w:w="4395" w:type="dxa"/>
          </w:tcPr>
          <w:p w14:paraId="74FA8027" w14:textId="77777777" w:rsidR="00A551D9" w:rsidRPr="00A551D9" w:rsidRDefault="00A551D9" w:rsidP="004F45E9">
            <w:pPr>
              <w:suppressAutoHyphens/>
              <w:rPr>
                <w:b/>
              </w:rPr>
            </w:pPr>
            <w:r w:rsidRPr="00A551D9">
              <w:rPr>
                <w:b/>
              </w:rPr>
              <w:t>Hrvatska</w:t>
            </w:r>
          </w:p>
          <w:p w14:paraId="49134E7B" w14:textId="77777777" w:rsidR="00A551D9" w:rsidRPr="00B93217" w:rsidRDefault="00A551D9" w:rsidP="004F45E9">
            <w:pPr>
              <w:suppressAutoHyphens/>
            </w:pPr>
            <w:r w:rsidRPr="00B93217">
              <w:t>Oktal Pharma d.o.o.</w:t>
            </w:r>
          </w:p>
          <w:p w14:paraId="04B6A2DF" w14:textId="77777777" w:rsidR="00A551D9" w:rsidRPr="00B93217" w:rsidRDefault="00A551D9" w:rsidP="004F45E9">
            <w:pPr>
              <w:suppressAutoHyphens/>
            </w:pPr>
            <w:r w:rsidRPr="00B93217">
              <w:t>Tel: +385 1 6595 777</w:t>
            </w:r>
          </w:p>
          <w:p w14:paraId="6D9304D9" w14:textId="77777777" w:rsidR="00A551D9" w:rsidRPr="00A551D9" w:rsidRDefault="00A551D9" w:rsidP="004F45E9">
            <w:pPr>
              <w:suppressAutoHyphens/>
              <w:rPr>
                <w:b/>
              </w:rPr>
            </w:pPr>
          </w:p>
        </w:tc>
        <w:tc>
          <w:tcPr>
            <w:tcW w:w="4677" w:type="dxa"/>
          </w:tcPr>
          <w:p w14:paraId="3C2DEFBE" w14:textId="77777777" w:rsidR="00A551D9" w:rsidRPr="00B93217" w:rsidRDefault="00A551D9" w:rsidP="00A551D9">
            <w:pPr>
              <w:suppressAutoHyphens/>
              <w:rPr>
                <w:b/>
              </w:rPr>
            </w:pPr>
            <w:r w:rsidRPr="00B93217">
              <w:rPr>
                <w:b/>
              </w:rPr>
              <w:t>România</w:t>
            </w:r>
          </w:p>
          <w:p w14:paraId="4953300D" w14:textId="77777777" w:rsidR="00A551D9" w:rsidRPr="00A551D9" w:rsidRDefault="00A551D9" w:rsidP="00A551D9">
            <w:pPr>
              <w:suppressAutoHyphens/>
            </w:pPr>
            <w:r w:rsidRPr="00A551D9">
              <w:t>Celltrion Healthcare Hungary Kft.</w:t>
            </w:r>
          </w:p>
          <w:p w14:paraId="17674F5F" w14:textId="77777777" w:rsidR="00A551D9" w:rsidRPr="00A551D9" w:rsidRDefault="00A551D9" w:rsidP="004F45E9">
            <w:pPr>
              <w:suppressAutoHyphens/>
            </w:pPr>
            <w:r w:rsidRPr="00A551D9">
              <w:t>Tel: +36 1 231 0493</w:t>
            </w:r>
          </w:p>
          <w:p w14:paraId="715CB185" w14:textId="77777777" w:rsidR="00A551D9" w:rsidRPr="00A551D9" w:rsidRDefault="00A551D9" w:rsidP="004F45E9">
            <w:pPr>
              <w:suppressAutoHyphens/>
            </w:pPr>
          </w:p>
        </w:tc>
      </w:tr>
      <w:tr w:rsidR="00A551D9" w:rsidRPr="001879E9" w14:paraId="2079BECD" w14:textId="77777777" w:rsidTr="00B93217">
        <w:trPr>
          <w:trHeight w:val="879"/>
        </w:trPr>
        <w:tc>
          <w:tcPr>
            <w:tcW w:w="4395" w:type="dxa"/>
          </w:tcPr>
          <w:p w14:paraId="59048D4E" w14:textId="77777777" w:rsidR="00A551D9" w:rsidRPr="00A551D9" w:rsidRDefault="00A551D9" w:rsidP="00A551D9">
            <w:pPr>
              <w:suppressAutoHyphens/>
              <w:rPr>
                <w:b/>
              </w:rPr>
            </w:pPr>
            <w:r w:rsidRPr="00A551D9">
              <w:rPr>
                <w:b/>
              </w:rPr>
              <w:t>Ireland</w:t>
            </w:r>
          </w:p>
          <w:p w14:paraId="1EADD9E1" w14:textId="77777777" w:rsidR="00A551D9" w:rsidRPr="00B93217" w:rsidRDefault="00A551D9" w:rsidP="004F45E9">
            <w:pPr>
              <w:suppressAutoHyphens/>
            </w:pPr>
            <w:r w:rsidRPr="00B93217">
              <w:t>Celltrion Healthcare Ireland Limited</w:t>
            </w:r>
          </w:p>
          <w:p w14:paraId="0E8C5FD6" w14:textId="77777777" w:rsidR="00A551D9" w:rsidRPr="00B93217" w:rsidRDefault="00A551D9" w:rsidP="004F45E9">
            <w:pPr>
              <w:suppressAutoHyphens/>
            </w:pPr>
            <w:r w:rsidRPr="00B93217">
              <w:t>Tel: +353 1 223 4026</w:t>
            </w:r>
          </w:p>
          <w:p w14:paraId="3A455914" w14:textId="77777777" w:rsidR="00A551D9" w:rsidRPr="00A551D9" w:rsidRDefault="00A551D9" w:rsidP="004F45E9">
            <w:pPr>
              <w:suppressAutoHyphens/>
              <w:rPr>
                <w:b/>
              </w:rPr>
            </w:pPr>
          </w:p>
        </w:tc>
        <w:tc>
          <w:tcPr>
            <w:tcW w:w="4677" w:type="dxa"/>
          </w:tcPr>
          <w:p w14:paraId="117720EC" w14:textId="77777777" w:rsidR="00A551D9" w:rsidRPr="00B93217" w:rsidRDefault="00A551D9" w:rsidP="004F45E9">
            <w:pPr>
              <w:suppressAutoHyphens/>
              <w:rPr>
                <w:b/>
              </w:rPr>
            </w:pPr>
            <w:r w:rsidRPr="00B93217">
              <w:rPr>
                <w:b/>
              </w:rPr>
              <w:t>Slovenija</w:t>
            </w:r>
          </w:p>
          <w:p w14:paraId="2236AA3E" w14:textId="77777777" w:rsidR="00A551D9" w:rsidRPr="00A551D9" w:rsidRDefault="00A551D9" w:rsidP="004F45E9">
            <w:pPr>
              <w:suppressAutoHyphens/>
            </w:pPr>
            <w:r w:rsidRPr="00A551D9">
              <w:t>OPH Oktal Pharma d.o.o.</w:t>
            </w:r>
          </w:p>
          <w:p w14:paraId="262DE251" w14:textId="77777777" w:rsidR="00A551D9" w:rsidRPr="00A551D9" w:rsidRDefault="00A551D9" w:rsidP="004F45E9">
            <w:pPr>
              <w:suppressAutoHyphens/>
            </w:pPr>
            <w:r w:rsidRPr="00A551D9">
              <w:t>Tel.: +386 1 519 29 22</w:t>
            </w:r>
          </w:p>
          <w:p w14:paraId="49501671" w14:textId="77777777" w:rsidR="00A551D9" w:rsidRPr="00A551D9" w:rsidRDefault="00A551D9" w:rsidP="004F45E9">
            <w:pPr>
              <w:suppressAutoHyphens/>
            </w:pPr>
          </w:p>
        </w:tc>
      </w:tr>
      <w:tr w:rsidR="00A551D9" w:rsidRPr="001879E9" w14:paraId="2CD24ED1" w14:textId="77777777" w:rsidTr="00B93217">
        <w:trPr>
          <w:trHeight w:val="879"/>
        </w:trPr>
        <w:tc>
          <w:tcPr>
            <w:tcW w:w="4395" w:type="dxa"/>
          </w:tcPr>
          <w:p w14:paraId="79997877" w14:textId="77777777" w:rsidR="00A551D9" w:rsidRPr="00A551D9" w:rsidRDefault="00A551D9" w:rsidP="004F45E9">
            <w:pPr>
              <w:suppressAutoHyphens/>
              <w:rPr>
                <w:b/>
              </w:rPr>
            </w:pPr>
            <w:r w:rsidRPr="00A551D9">
              <w:rPr>
                <w:b/>
              </w:rPr>
              <w:t>Ísland</w:t>
            </w:r>
          </w:p>
          <w:p w14:paraId="0FAF5DB3" w14:textId="77777777" w:rsidR="00A551D9" w:rsidRPr="00B93217" w:rsidRDefault="00A551D9" w:rsidP="00A551D9">
            <w:pPr>
              <w:suppressAutoHyphens/>
            </w:pPr>
            <w:r w:rsidRPr="00B93217">
              <w:t>Celltrion Healthcare Hungary Kft.</w:t>
            </w:r>
          </w:p>
          <w:p w14:paraId="55AA683A" w14:textId="77777777" w:rsidR="00A551D9" w:rsidRPr="00B93217" w:rsidRDefault="00A551D9" w:rsidP="004F45E9">
            <w:pPr>
              <w:suppressAutoHyphens/>
            </w:pPr>
            <w:r w:rsidRPr="00B93217">
              <w:t>Sími: +36 1 231 0493</w:t>
            </w:r>
          </w:p>
          <w:p w14:paraId="056D6EDD" w14:textId="77777777" w:rsidR="00A551D9" w:rsidRPr="00A551D9" w:rsidRDefault="00A551D9" w:rsidP="004F45E9">
            <w:pPr>
              <w:suppressAutoHyphens/>
              <w:rPr>
                <w:b/>
              </w:rPr>
            </w:pPr>
          </w:p>
        </w:tc>
        <w:tc>
          <w:tcPr>
            <w:tcW w:w="4677" w:type="dxa"/>
          </w:tcPr>
          <w:p w14:paraId="5242B614" w14:textId="77777777" w:rsidR="00A551D9" w:rsidRPr="00B93217" w:rsidRDefault="00A551D9" w:rsidP="004F45E9">
            <w:pPr>
              <w:suppressAutoHyphens/>
              <w:rPr>
                <w:b/>
              </w:rPr>
            </w:pPr>
            <w:r w:rsidRPr="00B93217">
              <w:rPr>
                <w:b/>
              </w:rPr>
              <w:t>Slovenská republika</w:t>
            </w:r>
          </w:p>
          <w:p w14:paraId="644FF408" w14:textId="77777777" w:rsidR="00A551D9" w:rsidRPr="00A551D9" w:rsidRDefault="00A551D9" w:rsidP="00A551D9">
            <w:pPr>
              <w:suppressAutoHyphens/>
            </w:pPr>
            <w:r w:rsidRPr="00A551D9">
              <w:t>Celltrion Healthcare Hungary Kft.</w:t>
            </w:r>
          </w:p>
          <w:p w14:paraId="6A51BDC8" w14:textId="77777777" w:rsidR="00A551D9" w:rsidRPr="00A551D9" w:rsidRDefault="00A551D9" w:rsidP="004F45E9">
            <w:pPr>
              <w:suppressAutoHyphens/>
            </w:pPr>
            <w:r w:rsidRPr="00A551D9">
              <w:t>Tel: +36 1 231 0493</w:t>
            </w:r>
          </w:p>
          <w:p w14:paraId="5CEA8A8E" w14:textId="77777777" w:rsidR="00A551D9" w:rsidRPr="00A551D9" w:rsidRDefault="00A551D9" w:rsidP="004F45E9">
            <w:pPr>
              <w:suppressAutoHyphens/>
            </w:pPr>
          </w:p>
        </w:tc>
      </w:tr>
      <w:tr w:rsidR="00A551D9" w:rsidRPr="001879E9" w14:paraId="6FC26129" w14:textId="77777777" w:rsidTr="00B93217">
        <w:trPr>
          <w:trHeight w:val="879"/>
        </w:trPr>
        <w:tc>
          <w:tcPr>
            <w:tcW w:w="4395" w:type="dxa"/>
          </w:tcPr>
          <w:p w14:paraId="1B266A9D" w14:textId="77777777" w:rsidR="00A551D9" w:rsidRPr="00A551D9" w:rsidRDefault="00A551D9" w:rsidP="004F45E9">
            <w:pPr>
              <w:suppressAutoHyphens/>
              <w:rPr>
                <w:b/>
              </w:rPr>
            </w:pPr>
            <w:r w:rsidRPr="00A551D9">
              <w:rPr>
                <w:b/>
              </w:rPr>
              <w:t>Italia</w:t>
            </w:r>
          </w:p>
          <w:p w14:paraId="2BD4D5D7" w14:textId="77777777" w:rsidR="00A551D9" w:rsidRPr="00B93217" w:rsidRDefault="00A551D9" w:rsidP="004F45E9">
            <w:pPr>
              <w:suppressAutoHyphens/>
            </w:pPr>
            <w:r w:rsidRPr="00B93217">
              <w:t>Celltrion Healthcare Italy S.r.l.</w:t>
            </w:r>
          </w:p>
          <w:p w14:paraId="1F1C538D" w14:textId="77777777" w:rsidR="00A551D9" w:rsidRPr="00B93217" w:rsidRDefault="00A551D9" w:rsidP="004F45E9">
            <w:pPr>
              <w:suppressAutoHyphens/>
            </w:pPr>
            <w:r w:rsidRPr="00B93217">
              <w:t>Tel: +39 02 47927040</w:t>
            </w:r>
          </w:p>
          <w:p w14:paraId="1CBE15C7" w14:textId="77777777" w:rsidR="00A551D9" w:rsidRPr="00A551D9" w:rsidRDefault="00A551D9" w:rsidP="004F45E9">
            <w:pPr>
              <w:suppressAutoHyphens/>
              <w:rPr>
                <w:b/>
              </w:rPr>
            </w:pPr>
          </w:p>
        </w:tc>
        <w:tc>
          <w:tcPr>
            <w:tcW w:w="4677" w:type="dxa"/>
          </w:tcPr>
          <w:p w14:paraId="435626B2" w14:textId="77777777" w:rsidR="00A551D9" w:rsidRPr="00B93217" w:rsidRDefault="00A551D9" w:rsidP="004F45E9">
            <w:pPr>
              <w:suppressAutoHyphens/>
              <w:rPr>
                <w:b/>
              </w:rPr>
            </w:pPr>
            <w:r w:rsidRPr="00B93217">
              <w:rPr>
                <w:b/>
              </w:rPr>
              <w:t>Suomi/Finland</w:t>
            </w:r>
          </w:p>
          <w:p w14:paraId="5B17455E" w14:textId="77777777" w:rsidR="00A551D9" w:rsidRPr="00A551D9" w:rsidRDefault="00A551D9" w:rsidP="00A551D9">
            <w:pPr>
              <w:suppressAutoHyphens/>
            </w:pPr>
            <w:r w:rsidRPr="00A551D9">
              <w:t xml:space="preserve">Celltrion Healthcare Finland Oy. </w:t>
            </w:r>
          </w:p>
          <w:p w14:paraId="26CD04A9" w14:textId="7E7D9C1F" w:rsidR="00A551D9" w:rsidRPr="00A551D9" w:rsidRDefault="00A551D9" w:rsidP="00A551D9">
            <w:pPr>
              <w:suppressAutoHyphens/>
            </w:pPr>
            <w:r w:rsidRPr="00A551D9">
              <w:t>Tel: +358 29 170 7755</w:t>
            </w:r>
          </w:p>
          <w:p w14:paraId="262B1315" w14:textId="77777777" w:rsidR="004856B8" w:rsidRDefault="004856B8" w:rsidP="004856B8">
            <w:pPr>
              <w:adjustRightInd w:val="0"/>
              <w:rPr>
                <w:rFonts w:eastAsia="맑은 고딕"/>
                <w:noProof/>
                <w:lang w:val="en-GB" w:eastAsia="ko-KR"/>
              </w:rPr>
            </w:pPr>
            <w:r w:rsidRPr="00204A91">
              <w:rPr>
                <w:rFonts w:eastAsia="맑은 고딕"/>
                <w:noProof/>
                <w:lang w:val="en-GB" w:eastAsia="ko-KR"/>
              </w:rPr>
              <w:t>contact_fi@celltrionhc.com</w:t>
            </w:r>
          </w:p>
          <w:p w14:paraId="2238953F" w14:textId="77777777" w:rsidR="00A551D9" w:rsidRPr="002F0CCA" w:rsidRDefault="00A551D9" w:rsidP="00A551D9">
            <w:pPr>
              <w:suppressAutoHyphens/>
              <w:rPr>
                <w:lang w:val="en-GB"/>
              </w:rPr>
            </w:pPr>
          </w:p>
        </w:tc>
      </w:tr>
      <w:tr w:rsidR="00A551D9" w:rsidRPr="001879E9" w14:paraId="11816C64" w14:textId="77777777" w:rsidTr="00B93217">
        <w:trPr>
          <w:trHeight w:val="879"/>
        </w:trPr>
        <w:tc>
          <w:tcPr>
            <w:tcW w:w="4395" w:type="dxa"/>
          </w:tcPr>
          <w:p w14:paraId="0F16427B" w14:textId="77777777" w:rsidR="00A551D9" w:rsidRPr="00A551D9" w:rsidRDefault="00A551D9" w:rsidP="00A551D9">
            <w:pPr>
              <w:suppressAutoHyphens/>
              <w:rPr>
                <w:b/>
              </w:rPr>
            </w:pPr>
            <w:r w:rsidRPr="00A551D9">
              <w:rPr>
                <w:b/>
              </w:rPr>
              <w:t>Κύπρος</w:t>
            </w:r>
          </w:p>
          <w:p w14:paraId="64012167" w14:textId="77777777" w:rsidR="00A551D9" w:rsidRPr="00B93217" w:rsidRDefault="00A551D9" w:rsidP="00A551D9">
            <w:pPr>
              <w:suppressAutoHyphens/>
            </w:pPr>
            <w:r w:rsidRPr="00B93217">
              <w:t>C.A. Papaellinas Ltd</w:t>
            </w:r>
          </w:p>
          <w:p w14:paraId="1A6B5984" w14:textId="77777777" w:rsidR="00A551D9" w:rsidRPr="00B93217" w:rsidRDefault="00A551D9" w:rsidP="00A551D9">
            <w:pPr>
              <w:suppressAutoHyphens/>
            </w:pPr>
            <w:r w:rsidRPr="00B93217">
              <w:t>Τηλ: +357 22741741</w:t>
            </w:r>
          </w:p>
          <w:p w14:paraId="2355E26A" w14:textId="77777777" w:rsidR="00A551D9" w:rsidRPr="00A551D9" w:rsidRDefault="00A551D9" w:rsidP="00A551D9">
            <w:pPr>
              <w:suppressAutoHyphens/>
              <w:rPr>
                <w:b/>
              </w:rPr>
            </w:pPr>
          </w:p>
        </w:tc>
        <w:tc>
          <w:tcPr>
            <w:tcW w:w="4677" w:type="dxa"/>
          </w:tcPr>
          <w:p w14:paraId="30DBBE99" w14:textId="77777777" w:rsidR="00A551D9" w:rsidRPr="00B93217" w:rsidRDefault="00A551D9" w:rsidP="00A551D9">
            <w:pPr>
              <w:suppressAutoHyphens/>
              <w:rPr>
                <w:b/>
              </w:rPr>
            </w:pPr>
            <w:r w:rsidRPr="00B93217">
              <w:rPr>
                <w:b/>
              </w:rPr>
              <w:t>Sverige</w:t>
            </w:r>
          </w:p>
          <w:p w14:paraId="79EE5EA8" w14:textId="77777777" w:rsidR="00B9768F" w:rsidRDefault="00B9768F" w:rsidP="00B9768F">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6A1871CE" w14:textId="5AE396DF" w:rsidR="004856B8" w:rsidRPr="002F0CCA" w:rsidRDefault="004856B8" w:rsidP="00B9768F">
            <w:pPr>
              <w:tabs>
                <w:tab w:val="left" w:pos="-720"/>
              </w:tabs>
              <w:suppressAutoHyphens/>
              <w:rPr>
                <w:rFonts w:eastAsia="맑은 고딕"/>
                <w:noProof/>
                <w:lang w:eastAsia="ko-KR"/>
              </w:rPr>
            </w:pPr>
            <w:r w:rsidRPr="006F04E0">
              <w:rPr>
                <w:rFonts w:eastAsia="맑은 고딕"/>
                <w:noProof/>
                <w:lang w:eastAsia="fr-FR"/>
              </w:rPr>
              <w:t>Tel: +46 8 80 11 77</w:t>
            </w:r>
          </w:p>
          <w:p w14:paraId="48B25D80" w14:textId="33DB45C7" w:rsidR="00B9768F" w:rsidRPr="002F0CCA" w:rsidRDefault="004856B8" w:rsidP="00B9768F">
            <w:pPr>
              <w:tabs>
                <w:tab w:val="left" w:pos="-720"/>
              </w:tabs>
              <w:suppressAutoHyphens/>
              <w:rPr>
                <w:rFonts w:eastAsia="맑은 고딕"/>
                <w:b/>
                <w:noProof/>
                <w:lang w:eastAsia="fr-FR"/>
              </w:rPr>
            </w:pPr>
            <w:r>
              <w:rPr>
                <w:rFonts w:eastAsia="맑은 고딕" w:hint="eastAsia"/>
                <w:noProof/>
                <w:lang w:eastAsia="ko-KR"/>
              </w:rPr>
              <w:t>C</w:t>
            </w:r>
            <w:r w:rsidR="00B9768F" w:rsidRPr="002F0CCA">
              <w:rPr>
                <w:rFonts w:eastAsia="맑은 고딕"/>
                <w:noProof/>
                <w:lang w:eastAsia="fr-FR"/>
              </w:rPr>
              <w:t>ontact_se@celltrionhc.com</w:t>
            </w:r>
          </w:p>
          <w:p w14:paraId="4BC9A310" w14:textId="77777777" w:rsidR="00A551D9" w:rsidRPr="00B9768F" w:rsidRDefault="00A551D9" w:rsidP="00A551D9">
            <w:pPr>
              <w:suppressAutoHyphens/>
            </w:pPr>
          </w:p>
        </w:tc>
      </w:tr>
      <w:tr w:rsidR="00A551D9" w:rsidRPr="001879E9" w14:paraId="5ACDE348" w14:textId="77777777" w:rsidTr="00B93217">
        <w:trPr>
          <w:trHeight w:val="879"/>
        </w:trPr>
        <w:tc>
          <w:tcPr>
            <w:tcW w:w="4395" w:type="dxa"/>
          </w:tcPr>
          <w:p w14:paraId="2D27E80F" w14:textId="77777777" w:rsidR="00A551D9" w:rsidRPr="00A551D9" w:rsidRDefault="00A551D9" w:rsidP="004F45E9">
            <w:pPr>
              <w:suppressAutoHyphens/>
              <w:rPr>
                <w:b/>
              </w:rPr>
            </w:pPr>
            <w:r w:rsidRPr="00A551D9">
              <w:rPr>
                <w:b/>
              </w:rPr>
              <w:t>Latvija</w:t>
            </w:r>
          </w:p>
          <w:p w14:paraId="6EFE55F9" w14:textId="77777777" w:rsidR="00A551D9" w:rsidRPr="00B93217" w:rsidRDefault="00A551D9" w:rsidP="00A551D9">
            <w:pPr>
              <w:suppressAutoHyphens/>
            </w:pPr>
            <w:r w:rsidRPr="00B93217">
              <w:t>Celltrion Healthcare Hungary Kft.</w:t>
            </w:r>
          </w:p>
          <w:p w14:paraId="2E351916" w14:textId="77777777" w:rsidR="00A551D9" w:rsidRPr="00B93217" w:rsidRDefault="00A551D9" w:rsidP="00A551D9">
            <w:pPr>
              <w:suppressAutoHyphens/>
            </w:pPr>
            <w:r w:rsidRPr="00B93217">
              <w:t>Tālr.: +36 1 231 0493</w:t>
            </w:r>
          </w:p>
          <w:p w14:paraId="46101C8F" w14:textId="77777777" w:rsidR="00A551D9" w:rsidRPr="00A551D9" w:rsidRDefault="00A551D9" w:rsidP="00A551D9">
            <w:pPr>
              <w:suppressAutoHyphens/>
              <w:rPr>
                <w:b/>
              </w:rPr>
            </w:pPr>
          </w:p>
        </w:tc>
        <w:tc>
          <w:tcPr>
            <w:tcW w:w="4677" w:type="dxa"/>
          </w:tcPr>
          <w:p w14:paraId="7324834C" w14:textId="77777777" w:rsidR="00A551D9" w:rsidRPr="00A551D9" w:rsidRDefault="00A551D9" w:rsidP="00A551D9">
            <w:pPr>
              <w:suppressAutoHyphens/>
            </w:pPr>
          </w:p>
        </w:tc>
      </w:tr>
    </w:tbl>
    <w:p w14:paraId="22E04636" w14:textId="77777777" w:rsidR="00222DE0" w:rsidRPr="00EE3355" w:rsidRDefault="00222DE0" w:rsidP="00EA1CDF">
      <w:pPr>
        <w:pStyle w:val="a3"/>
        <w:widowControl/>
        <w:ind w:left="0"/>
      </w:pPr>
    </w:p>
    <w:p w14:paraId="10F25292" w14:textId="77777777" w:rsidR="00222DE0" w:rsidRPr="004709B5" w:rsidRDefault="0098273B" w:rsidP="004709B5">
      <w:pPr>
        <w:rPr>
          <w:b/>
          <w:bCs/>
        </w:rPr>
      </w:pPr>
      <w:r w:rsidRPr="004709B5">
        <w:rPr>
          <w:b/>
          <w:bCs/>
        </w:rPr>
        <w:t>Tato příbalová informace byla naposledy revidována</w:t>
      </w:r>
    </w:p>
    <w:p w14:paraId="3B56736C" w14:textId="77777777" w:rsidR="00222DE0" w:rsidRPr="00EE3355" w:rsidRDefault="00222DE0" w:rsidP="00EA1CDF">
      <w:pPr>
        <w:pStyle w:val="a3"/>
        <w:widowControl/>
        <w:ind w:left="0"/>
        <w:rPr>
          <w:b/>
        </w:rPr>
      </w:pPr>
    </w:p>
    <w:p w14:paraId="7E96BB8A" w14:textId="77777777" w:rsidR="00222DE0" w:rsidRPr="00EE3355" w:rsidRDefault="0098273B" w:rsidP="00EA1CDF">
      <w:pPr>
        <w:widowControl/>
        <w:rPr>
          <w:b/>
        </w:rPr>
      </w:pPr>
      <w:r w:rsidRPr="00EE3355">
        <w:rPr>
          <w:b/>
        </w:rPr>
        <w:t>Další zdroje informací</w:t>
      </w:r>
    </w:p>
    <w:p w14:paraId="77A59E02" w14:textId="6268D55A" w:rsidR="00222DE0" w:rsidRPr="00EE3355" w:rsidRDefault="0098273B" w:rsidP="00EA1CDF">
      <w:pPr>
        <w:pStyle w:val="a3"/>
        <w:widowControl/>
        <w:ind w:left="0"/>
      </w:pPr>
      <w:r w:rsidRPr="00EE3355">
        <w:t xml:space="preserve">Podrobné informace o tomto léčivém přípravku jsou k dispozici na webových stránkách Evropské lékové agentury (EMA): </w:t>
      </w:r>
      <w:hyperlink r:id="rId34">
        <w:r w:rsidR="00392C24">
          <w:rPr>
            <w:color w:val="0000FF"/>
          </w:rPr>
          <w:t>https:</w:t>
        </w:r>
        <w:r w:rsidRPr="00EE3355">
          <w:rPr>
            <w:color w:val="0000FF"/>
          </w:rPr>
          <w:t>//www.ema.europa.eu/</w:t>
        </w:r>
        <w:r w:rsidRPr="00EE3355">
          <w:t>.</w:t>
        </w:r>
      </w:hyperlink>
    </w:p>
    <w:p w14:paraId="0603773A" w14:textId="77777777" w:rsidR="007C403F" w:rsidRPr="00D159C5" w:rsidRDefault="00C45FE4" w:rsidP="00B93217">
      <w:pPr>
        <w:keepNext/>
        <w:ind w:left="567" w:hanging="567"/>
        <w:rPr>
          <w:b/>
          <w:bCs/>
        </w:rPr>
      </w:pPr>
      <w:r w:rsidRPr="00EE3355">
        <w:br w:type="page"/>
      </w:r>
      <w:r w:rsidR="007C403F" w:rsidRPr="00D159C5">
        <w:rPr>
          <w:b/>
        </w:rPr>
        <w:lastRenderedPageBreak/>
        <w:t>7.</w:t>
      </w:r>
      <w:r w:rsidR="007C403F" w:rsidRPr="00D159C5">
        <w:rPr>
          <w:b/>
        </w:rPr>
        <w:tab/>
        <w:t>Návod k použití</w:t>
      </w:r>
    </w:p>
    <w:p w14:paraId="4E01A16B" w14:textId="77777777" w:rsidR="007C403F" w:rsidRPr="00D159C5" w:rsidRDefault="007C403F" w:rsidP="007C403F">
      <w:pPr>
        <w:keepNext/>
      </w:pPr>
    </w:p>
    <w:p w14:paraId="2F9A6C4D" w14:textId="77777777" w:rsidR="007C403F" w:rsidRPr="00D159C5" w:rsidRDefault="007C403F" w:rsidP="007C403F">
      <w:r w:rsidRPr="00D159C5">
        <w:t>Než začnete přípravek Avtozma v předplněném peru používat a pokaždé, když dostanete nov</w:t>
      </w:r>
      <w:r>
        <w:t>é balení</w:t>
      </w:r>
      <w:r w:rsidRPr="00D159C5">
        <w:t xml:space="preserve">, přečtěte si návod k použití, který je součástí balení, a řiďte se jím. Mohou se objevit nové informace. Před použitím přípravku Avtozma </w:t>
      </w:r>
      <w:r>
        <w:t xml:space="preserve">zajistěte, aby </w:t>
      </w:r>
      <w:r w:rsidRPr="00D159C5">
        <w:t>vám váš lékař uká</w:t>
      </w:r>
      <w:r>
        <w:t>zal</w:t>
      </w:r>
      <w:r w:rsidRPr="00D159C5">
        <w:t xml:space="preserve"> správný způsob jeho použití.</w:t>
      </w:r>
    </w:p>
    <w:p w14:paraId="52398510" w14:textId="77777777" w:rsidR="007C403F" w:rsidRPr="00D159C5" w:rsidRDefault="007C403F" w:rsidP="007C403F"/>
    <w:p w14:paraId="03B28E68" w14:textId="77777777" w:rsidR="007C403F" w:rsidRPr="00D159C5" w:rsidRDefault="007C403F" w:rsidP="007C403F">
      <w:pPr>
        <w:keepNext/>
        <w:rPr>
          <w:b/>
          <w:bCs/>
        </w:rPr>
      </w:pPr>
      <w:r w:rsidRPr="00D159C5">
        <w:rPr>
          <w:b/>
        </w:rPr>
        <w:t>Důležité informace</w:t>
      </w:r>
    </w:p>
    <w:p w14:paraId="740DEC37" w14:textId="77777777" w:rsidR="007C403F" w:rsidRPr="00D159C5" w:rsidRDefault="007C403F" w:rsidP="007C403F">
      <w:pPr>
        <w:keepNext/>
        <w:rPr>
          <w:b/>
          <w:bCs/>
        </w:rPr>
      </w:pPr>
    </w:p>
    <w:p w14:paraId="552C0246" w14:textId="7262A4CA" w:rsidR="007C403F" w:rsidRPr="00D159C5" w:rsidRDefault="007C403F" w:rsidP="007C403F">
      <w:pPr>
        <w:pStyle w:val="a4"/>
        <w:widowControl/>
        <w:numPr>
          <w:ilvl w:val="0"/>
          <w:numId w:val="106"/>
        </w:numPr>
        <w:autoSpaceDE/>
        <w:autoSpaceDN/>
        <w:ind w:left="567" w:hanging="567"/>
        <w:contextualSpacing/>
      </w:pPr>
      <w:r w:rsidRPr="00D159C5">
        <w:rPr>
          <w:b/>
        </w:rPr>
        <w:t>Neodstraňujte</w:t>
      </w:r>
      <w:r w:rsidRPr="00D159C5">
        <w:t xml:space="preserve"> </w:t>
      </w:r>
      <w:r>
        <w:t>kryt</w:t>
      </w:r>
      <w:r w:rsidRPr="00D159C5">
        <w:t xml:space="preserve"> předplněného pera, dokud nejste připraven</w:t>
      </w:r>
      <w:r w:rsidR="00446848">
        <w:t>(a) si</w:t>
      </w:r>
      <w:r w:rsidRPr="00D159C5">
        <w:t xml:space="preserve"> přípravek Avtozma </w:t>
      </w:r>
      <w:r w:rsidR="002D64BB">
        <w:t>podat</w:t>
      </w:r>
      <w:r w:rsidRPr="00D159C5">
        <w:t>.</w:t>
      </w:r>
    </w:p>
    <w:p w14:paraId="146020DB" w14:textId="77777777" w:rsidR="007C403F" w:rsidRPr="00D159C5" w:rsidRDefault="007C403F" w:rsidP="007C403F">
      <w:pPr>
        <w:pStyle w:val="a4"/>
        <w:widowControl/>
        <w:numPr>
          <w:ilvl w:val="0"/>
          <w:numId w:val="106"/>
        </w:numPr>
        <w:autoSpaceDE/>
        <w:autoSpaceDN/>
        <w:ind w:left="567" w:hanging="567"/>
        <w:contextualSpacing/>
      </w:pPr>
      <w:r w:rsidRPr="00D159C5">
        <w:rPr>
          <w:b/>
        </w:rPr>
        <w:t xml:space="preserve">Nikdy </w:t>
      </w:r>
      <w:r w:rsidRPr="000E39FE">
        <w:rPr>
          <w:bCs/>
        </w:rPr>
        <w:t>se nepokoušejte</w:t>
      </w:r>
      <w:r w:rsidRPr="00D159C5">
        <w:rPr>
          <w:b/>
        </w:rPr>
        <w:t xml:space="preserve"> </w:t>
      </w:r>
      <w:r w:rsidRPr="00D159C5">
        <w:t>předplněné pero rozebírat.</w:t>
      </w:r>
    </w:p>
    <w:p w14:paraId="46D93AD7" w14:textId="77777777" w:rsidR="007C403F" w:rsidRPr="00D159C5" w:rsidRDefault="007C403F" w:rsidP="007C403F">
      <w:pPr>
        <w:pStyle w:val="a4"/>
        <w:widowControl/>
        <w:numPr>
          <w:ilvl w:val="0"/>
          <w:numId w:val="106"/>
        </w:numPr>
        <w:autoSpaceDE/>
        <w:autoSpaceDN/>
        <w:ind w:left="567" w:hanging="567"/>
        <w:contextualSpacing/>
      </w:pPr>
      <w:r w:rsidRPr="00D159C5">
        <w:t>Předpln</w:t>
      </w:r>
      <w:r>
        <w:t>ěn</w:t>
      </w:r>
      <w:r w:rsidRPr="00D159C5">
        <w:t xml:space="preserve">é pero </w:t>
      </w:r>
      <w:r w:rsidRPr="00D159C5">
        <w:rPr>
          <w:b/>
          <w:bCs/>
        </w:rPr>
        <w:t>nepoužívejte opakovaně</w:t>
      </w:r>
      <w:r w:rsidRPr="00D159C5">
        <w:t>.</w:t>
      </w:r>
    </w:p>
    <w:p w14:paraId="16B3164F" w14:textId="77777777" w:rsidR="007C403F" w:rsidRPr="00D159C5" w:rsidRDefault="007C403F" w:rsidP="007C403F">
      <w:pPr>
        <w:pStyle w:val="a4"/>
        <w:widowControl/>
        <w:numPr>
          <w:ilvl w:val="0"/>
          <w:numId w:val="106"/>
        </w:numPr>
        <w:autoSpaceDE/>
        <w:autoSpaceDN/>
        <w:ind w:left="567" w:hanging="567"/>
        <w:contextualSpacing/>
      </w:pPr>
      <w:r w:rsidRPr="00D159C5">
        <w:t>Předpl</w:t>
      </w:r>
      <w:r>
        <w:t>ně</w:t>
      </w:r>
      <w:r w:rsidRPr="00D159C5">
        <w:t xml:space="preserve">ným perem </w:t>
      </w:r>
      <w:r w:rsidRPr="00D159C5">
        <w:rPr>
          <w:b/>
          <w:bCs/>
        </w:rPr>
        <w:t>netřepejte</w:t>
      </w:r>
      <w:r w:rsidRPr="00D159C5">
        <w:t>.</w:t>
      </w:r>
    </w:p>
    <w:p w14:paraId="6F6BA41F" w14:textId="77777777" w:rsidR="007C403F" w:rsidRPr="00D159C5" w:rsidRDefault="007C403F" w:rsidP="007C403F">
      <w:pPr>
        <w:pStyle w:val="a4"/>
        <w:widowControl/>
        <w:numPr>
          <w:ilvl w:val="0"/>
          <w:numId w:val="106"/>
        </w:numPr>
        <w:autoSpaceDE/>
        <w:autoSpaceDN/>
        <w:ind w:left="567" w:hanging="567"/>
        <w:contextualSpacing/>
      </w:pPr>
      <w:r w:rsidRPr="00D159C5">
        <w:rPr>
          <w:b/>
        </w:rPr>
        <w:t>Nepoužívejte</w:t>
      </w:r>
      <w:r w:rsidRPr="00D159C5">
        <w:t xml:space="preserve"> předplněné pero, pokud spadlo na zem nebo bylo poškozeno.</w:t>
      </w:r>
    </w:p>
    <w:p w14:paraId="0F8427C9" w14:textId="6494A1C1" w:rsidR="007C403F" w:rsidRPr="00D159C5" w:rsidRDefault="007C403F" w:rsidP="007C403F">
      <w:pPr>
        <w:pStyle w:val="a4"/>
        <w:widowControl/>
        <w:numPr>
          <w:ilvl w:val="0"/>
          <w:numId w:val="106"/>
        </w:numPr>
        <w:autoSpaceDE/>
        <w:autoSpaceDN/>
        <w:ind w:left="567" w:hanging="567"/>
        <w:contextualSpacing/>
      </w:pPr>
      <w:r w:rsidRPr="00D159C5">
        <w:rPr>
          <w:b/>
        </w:rPr>
        <w:t>Rada pro pacienty týkající se reakcí z přecitlivělosti (nebo anafylaxe):</w:t>
      </w:r>
      <w:r w:rsidRPr="00D159C5">
        <w:t xml:space="preserve"> Pokud se u vás kdykoli </w:t>
      </w:r>
      <w:r w:rsidR="00DE1321">
        <w:t>kdy nejste u lékaře</w:t>
      </w:r>
      <w:r w:rsidR="00DE1321" w:rsidRPr="00D159C5">
        <w:t xml:space="preserve"> </w:t>
      </w:r>
      <w:r w:rsidRPr="00D159C5">
        <w:t xml:space="preserve">během injekce nebo po ní objeví příznaky, jako je kožní vyrážka, svědění, zimnice, otok obličeje, rtů, jazyka nebo hrdla, bolest na hrudi, sípání, potíže s dýcháním nebo polykáním nebo pocit závratě či mdloby, </w:t>
      </w:r>
      <w:r w:rsidR="002D64BB">
        <w:t>vyhledejte</w:t>
      </w:r>
      <w:r w:rsidR="002D64BB">
        <w:rPr>
          <w:rFonts w:eastAsia="맑은 고딕" w:hint="eastAsia"/>
          <w:lang w:eastAsia="ko-KR"/>
        </w:rPr>
        <w:t xml:space="preserve"> </w:t>
      </w:r>
      <w:r w:rsidRPr="00D159C5">
        <w:t xml:space="preserve">okamžitě </w:t>
      </w:r>
      <w:r w:rsidR="002D64BB">
        <w:t>lékařskou pomoc</w:t>
      </w:r>
      <w:r w:rsidRPr="00D159C5">
        <w:t>.</w:t>
      </w:r>
    </w:p>
    <w:p w14:paraId="5BF6FA7F" w14:textId="77777777" w:rsidR="007C403F" w:rsidRPr="00D159C5" w:rsidRDefault="007C403F" w:rsidP="007C403F"/>
    <w:p w14:paraId="2CF4C7FC" w14:textId="77777777" w:rsidR="007C403F" w:rsidRPr="00D159C5" w:rsidRDefault="007C403F" w:rsidP="007C403F">
      <w:pPr>
        <w:keepNext/>
        <w:rPr>
          <w:b/>
          <w:bCs/>
        </w:rPr>
      </w:pPr>
      <w:r w:rsidRPr="00D159C5">
        <w:rPr>
          <w:b/>
        </w:rPr>
        <w:t>Uchovávání přípravku Avtozma</w:t>
      </w:r>
    </w:p>
    <w:p w14:paraId="45A8CCF6" w14:textId="33D350EF" w:rsidR="007C403F" w:rsidRPr="00D159C5" w:rsidRDefault="007C403F" w:rsidP="007C403F">
      <w:pPr>
        <w:pStyle w:val="a4"/>
        <w:widowControl/>
        <w:numPr>
          <w:ilvl w:val="0"/>
          <w:numId w:val="107"/>
        </w:numPr>
        <w:autoSpaceDE/>
        <w:autoSpaceDN/>
        <w:ind w:left="567" w:hanging="567"/>
        <w:contextualSpacing/>
      </w:pPr>
      <w:r w:rsidRPr="00D159C5">
        <w:t>Nepoužité předplněné pero uchovávejte v původní krabičce v chladničce při teplotě 2 °C až 8</w:t>
      </w:r>
      <w:r w:rsidR="00C222BB">
        <w:t> </w:t>
      </w:r>
      <w:r w:rsidRPr="00D159C5">
        <w:t xml:space="preserve">°C. </w:t>
      </w:r>
      <w:r w:rsidRPr="000E39FE">
        <w:rPr>
          <w:b/>
          <w:bCs/>
        </w:rPr>
        <w:t>Chraňte</w:t>
      </w:r>
      <w:r w:rsidRPr="00D159C5">
        <w:t xml:space="preserve"> před mrazem.</w:t>
      </w:r>
    </w:p>
    <w:p w14:paraId="77CBDEF8" w14:textId="029DD49D" w:rsidR="007C403F" w:rsidRPr="00D159C5" w:rsidRDefault="007C403F" w:rsidP="007C403F">
      <w:pPr>
        <w:pStyle w:val="a4"/>
        <w:widowControl/>
        <w:numPr>
          <w:ilvl w:val="0"/>
          <w:numId w:val="107"/>
        </w:numPr>
        <w:autoSpaceDE/>
        <w:autoSpaceDN/>
        <w:ind w:left="567" w:hanging="567"/>
        <w:contextualSpacing/>
      </w:pPr>
      <w:r w:rsidRPr="00D159C5">
        <w:t xml:space="preserve">Po vyjmutí z chladničky lze přípravek Avtozma </w:t>
      </w:r>
      <w:r w:rsidR="00977902">
        <w:t>uchovávat</w:t>
      </w:r>
      <w:r w:rsidRPr="00D159C5">
        <w:t xml:space="preserve"> až 3 týdny při teplotě do 30°C. Pokud se přípravek Avtozma nepoužije během 3 týdnů, </w:t>
      </w:r>
      <w:r w:rsidR="00977902" w:rsidRPr="00D159C5">
        <w:t>m</w:t>
      </w:r>
      <w:r w:rsidR="00977902">
        <w:t>á</w:t>
      </w:r>
      <w:r w:rsidRPr="00D159C5">
        <w:t xml:space="preserve"> se zlikvidovat.  </w:t>
      </w:r>
    </w:p>
    <w:p w14:paraId="6335B59F" w14:textId="77777777" w:rsidR="007C403F" w:rsidRPr="00D159C5" w:rsidRDefault="007C403F" w:rsidP="007C403F">
      <w:pPr>
        <w:pStyle w:val="a4"/>
        <w:widowControl/>
        <w:numPr>
          <w:ilvl w:val="0"/>
          <w:numId w:val="107"/>
        </w:numPr>
        <w:autoSpaceDE/>
        <w:autoSpaceDN/>
        <w:ind w:left="567" w:hanging="567"/>
        <w:contextualSpacing/>
      </w:pPr>
      <w:r w:rsidRPr="00D159C5">
        <w:t>Uchovávejte předplněné pero mimo dosah přímého slunečního světla.</w:t>
      </w:r>
    </w:p>
    <w:p w14:paraId="1E857366" w14:textId="77777777" w:rsidR="007C403F" w:rsidRPr="00D159C5" w:rsidRDefault="007C403F" w:rsidP="007C403F">
      <w:pPr>
        <w:pStyle w:val="a4"/>
        <w:widowControl/>
        <w:numPr>
          <w:ilvl w:val="0"/>
          <w:numId w:val="107"/>
        </w:numPr>
        <w:autoSpaceDE/>
        <w:autoSpaceDN/>
        <w:ind w:left="567" w:hanging="567"/>
        <w:contextualSpacing/>
      </w:pPr>
      <w:r w:rsidRPr="00D159C5">
        <w:t>Při uchovávání nevyndávejte předplněné pero z jeho původní krabičky.</w:t>
      </w:r>
    </w:p>
    <w:p w14:paraId="00A8D358" w14:textId="77777777" w:rsidR="007C403F" w:rsidRPr="00D159C5" w:rsidRDefault="007C403F" w:rsidP="007C403F">
      <w:pPr>
        <w:pStyle w:val="a4"/>
        <w:widowControl/>
        <w:numPr>
          <w:ilvl w:val="0"/>
          <w:numId w:val="107"/>
        </w:numPr>
        <w:autoSpaceDE/>
        <w:autoSpaceDN/>
        <w:ind w:left="567" w:hanging="567"/>
        <w:contextualSpacing/>
      </w:pPr>
      <w:r w:rsidRPr="00D159C5">
        <w:rPr>
          <w:b/>
        </w:rPr>
        <w:t>Nenechávejte</w:t>
      </w:r>
      <w:r w:rsidRPr="00D159C5">
        <w:t xml:space="preserve"> předplněné pero bez dozoru.</w:t>
      </w:r>
    </w:p>
    <w:p w14:paraId="67C08ECA" w14:textId="77777777" w:rsidR="007C403F" w:rsidRPr="00D159C5" w:rsidRDefault="007C403F" w:rsidP="007C403F">
      <w:pPr>
        <w:pStyle w:val="a4"/>
        <w:widowControl/>
        <w:numPr>
          <w:ilvl w:val="0"/>
          <w:numId w:val="107"/>
        </w:numPr>
        <w:autoSpaceDE/>
        <w:autoSpaceDN/>
        <w:ind w:left="567" w:hanging="567"/>
        <w:contextualSpacing/>
      </w:pPr>
      <w:r w:rsidRPr="00D159C5">
        <w:t>Uchovávejte předplněné pero mimo dosah dětí. Obsahuje malé části.</w:t>
      </w:r>
    </w:p>
    <w:p w14:paraId="262DF775" w14:textId="5AE1A3DB" w:rsidR="007C403F" w:rsidRPr="00D159C5" w:rsidRDefault="00920780" w:rsidP="00C222BB">
      <w:pPr>
        <w:keepNext/>
        <w:rPr>
          <w:b/>
          <w:bCs/>
        </w:rPr>
      </w:pPr>
      <w:r w:rsidRPr="00DE67E9">
        <w:br w:type="page"/>
      </w:r>
      <w:r w:rsidR="007C403F" w:rsidRPr="00D159C5">
        <w:rPr>
          <w:b/>
        </w:rPr>
        <w:lastRenderedPageBreak/>
        <w:t>Části předplněného pera Avtozma (viz obrázek A)</w:t>
      </w:r>
    </w:p>
    <w:p w14:paraId="72240296" w14:textId="3060B24B" w:rsidR="00920780" w:rsidRPr="00DE67E9" w:rsidRDefault="00C301E6" w:rsidP="00920780">
      <w:pPr>
        <w:keepNext/>
      </w:pPr>
      <w:r>
        <w:rPr>
          <w:noProof/>
          <w:lang w:val="en-US" w:eastAsia="ko-KR"/>
        </w:rPr>
        <mc:AlternateContent>
          <mc:Choice Requires="wps">
            <w:drawing>
              <wp:anchor distT="45720" distB="45720" distL="114300" distR="114300" simplePos="0" relativeHeight="251658252" behindDoc="0" locked="1" layoutInCell="1" allowOverlap="1" wp14:anchorId="3ABDAF57" wp14:editId="04B1B45B">
                <wp:simplePos x="0" y="0"/>
                <wp:positionH relativeFrom="column">
                  <wp:posOffset>434975</wp:posOffset>
                </wp:positionH>
                <wp:positionV relativeFrom="paragraph">
                  <wp:posOffset>288925</wp:posOffset>
                </wp:positionV>
                <wp:extent cx="2294255" cy="422275"/>
                <wp:effectExtent l="0" t="0" r="0" b="0"/>
                <wp:wrapNone/>
                <wp:docPr id="64141989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2BF7A19E" w14:textId="093DF304" w:rsidR="008013E1" w:rsidRPr="00EF1826" w:rsidRDefault="00F92330" w:rsidP="00920780">
                            <w:pPr>
                              <w:jc w:val="center"/>
                              <w:rPr>
                                <w:rFonts w:ascii="Arial" w:hAnsi="Arial" w:cs="Arial"/>
                                <w:b/>
                                <w:bCs/>
                                <w:sz w:val="36"/>
                                <w:szCs w:val="36"/>
                                <w:lang w:val="es-ES"/>
                              </w:rPr>
                            </w:pPr>
                            <w:r w:rsidRPr="00F92330">
                              <w:rPr>
                                <w:rFonts w:ascii="Arial" w:hAnsi="Arial" w:cs="Arial"/>
                                <w:b/>
                                <w:bCs/>
                                <w:sz w:val="36"/>
                                <w:szCs w:val="36"/>
                                <w:lang w:val="es-ES"/>
                              </w:rPr>
                              <w:t>Před použitím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DAF57" id="Text Box 57" o:spid="_x0000_s1054" type="#_x0000_t202" style="position:absolute;margin-left:34.25pt;margin-top:22.75pt;width:180.65pt;height:33.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2BF7A19E" w14:textId="093DF304" w:rsidR="008013E1" w:rsidRPr="00EF1826" w:rsidRDefault="00F92330" w:rsidP="00920780">
                      <w:pPr>
                        <w:jc w:val="center"/>
                        <w:rPr>
                          <w:rFonts w:ascii="Arial" w:hAnsi="Arial" w:cs="Arial"/>
                          <w:b/>
                          <w:bCs/>
                          <w:sz w:val="36"/>
                          <w:szCs w:val="36"/>
                          <w:lang w:val="es-ES"/>
                        </w:rPr>
                      </w:pPr>
                      <w:r w:rsidRPr="00F92330">
                        <w:rPr>
                          <w:rFonts w:ascii="Arial" w:hAnsi="Arial" w:cs="Arial"/>
                          <w:b/>
                          <w:bCs/>
                          <w:sz w:val="36"/>
                          <w:szCs w:val="36"/>
                          <w:lang w:val="es-ES"/>
                        </w:rPr>
                        <w:t>Před použitím</w:t>
                      </w:r>
                    </w:p>
                  </w:txbxContent>
                </v:textbox>
                <w10:anchorlock/>
              </v:shape>
            </w:pict>
          </mc:Fallback>
        </mc:AlternateContent>
      </w:r>
      <w:r>
        <w:rPr>
          <w:noProof/>
          <w:lang w:val="en-US" w:eastAsia="ko-KR"/>
        </w:rPr>
        <mc:AlternateContent>
          <mc:Choice Requires="wps">
            <w:drawing>
              <wp:anchor distT="45720" distB="45720" distL="114300" distR="114300" simplePos="0" relativeHeight="251658253" behindDoc="0" locked="1" layoutInCell="1" allowOverlap="1" wp14:anchorId="732DFB82" wp14:editId="1E274C42">
                <wp:simplePos x="0" y="0"/>
                <wp:positionH relativeFrom="margin">
                  <wp:posOffset>3895725</wp:posOffset>
                </wp:positionH>
                <wp:positionV relativeFrom="paragraph">
                  <wp:posOffset>301625</wp:posOffset>
                </wp:positionV>
                <wp:extent cx="2044065" cy="422275"/>
                <wp:effectExtent l="0" t="0" r="0" b="0"/>
                <wp:wrapNone/>
                <wp:docPr id="16233781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53C9F8FD" w14:textId="66A3C9B2" w:rsidR="008013E1" w:rsidRPr="00EF1826" w:rsidRDefault="00F92330" w:rsidP="00920780">
                            <w:pPr>
                              <w:jc w:val="center"/>
                              <w:rPr>
                                <w:rFonts w:ascii="Arial" w:hAnsi="Arial" w:cs="Arial"/>
                                <w:b/>
                                <w:bCs/>
                                <w:sz w:val="36"/>
                                <w:szCs w:val="36"/>
                                <w:lang w:val="es-ES"/>
                              </w:rPr>
                            </w:pPr>
                            <w:r w:rsidRPr="00F92330">
                              <w:rPr>
                                <w:rFonts w:ascii="Arial" w:hAnsi="Arial" w:cs="Arial"/>
                                <w:b/>
                                <w:bCs/>
                                <w:sz w:val="36"/>
                                <w:szCs w:val="36"/>
                                <w:lang w:val="es-ES"/>
                              </w:rPr>
                              <w:t>Po použití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DFB82" id="Text Box 55" o:spid="_x0000_s1055" type="#_x0000_t202" style="position:absolute;margin-left:306.75pt;margin-top:23.75pt;width:160.95pt;height:33.2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" filled="f" stroked="f">
                <v:textbox inset="0,0,0,0">
                  <w:txbxContent>
                    <w:p w14:paraId="53C9F8FD" w14:textId="66A3C9B2" w:rsidR="008013E1" w:rsidRPr="00EF1826" w:rsidRDefault="00F92330" w:rsidP="00920780">
                      <w:pPr>
                        <w:jc w:val="center"/>
                        <w:rPr>
                          <w:rFonts w:ascii="Arial" w:hAnsi="Arial" w:cs="Arial"/>
                          <w:b/>
                          <w:bCs/>
                          <w:sz w:val="36"/>
                          <w:szCs w:val="36"/>
                          <w:lang w:val="es-ES"/>
                        </w:rPr>
                      </w:pPr>
                      <w:r w:rsidRPr="00F92330">
                        <w:rPr>
                          <w:rFonts w:ascii="Arial" w:hAnsi="Arial" w:cs="Arial"/>
                          <w:b/>
                          <w:bCs/>
                          <w:sz w:val="36"/>
                          <w:szCs w:val="36"/>
                          <w:lang w:val="es-ES"/>
                        </w:rPr>
                        <w:t>Po použití</w:t>
                      </w: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58254" behindDoc="0" locked="1" layoutInCell="1" allowOverlap="1" wp14:anchorId="43EBE9AA" wp14:editId="29FDC313">
                <wp:simplePos x="0" y="0"/>
                <wp:positionH relativeFrom="column">
                  <wp:posOffset>1392555</wp:posOffset>
                </wp:positionH>
                <wp:positionV relativeFrom="paragraph">
                  <wp:posOffset>1917065</wp:posOffset>
                </wp:positionV>
                <wp:extent cx="508635" cy="422275"/>
                <wp:effectExtent l="0" t="0" r="0" b="0"/>
                <wp:wrapNone/>
                <wp:docPr id="9188305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22275"/>
                        </a:xfrm>
                        <a:prstGeom prst="rect">
                          <a:avLst/>
                        </a:prstGeom>
                        <a:noFill/>
                        <a:ln>
                          <a:noFill/>
                        </a:ln>
                      </wps:spPr>
                      <wps:txbx>
                        <w:txbxContent>
                          <w:p w14:paraId="3E5A25C0" w14:textId="50B37A11" w:rsidR="008013E1" w:rsidRPr="00EF1826" w:rsidRDefault="00F92330" w:rsidP="00920780">
                            <w:pPr>
                              <w:jc w:val="center"/>
                              <w:rPr>
                                <w:rFonts w:ascii="Arial" w:hAnsi="Arial" w:cs="Arial"/>
                                <w:sz w:val="30"/>
                                <w:szCs w:val="30"/>
                                <w:lang w:val="es-ES"/>
                              </w:rPr>
                            </w:pPr>
                            <w:r w:rsidRPr="00F92330">
                              <w:rPr>
                                <w:rFonts w:ascii="Arial" w:hAnsi="Arial" w:cs="Arial"/>
                                <w:sz w:val="30"/>
                                <w:szCs w:val="30"/>
                                <w:lang w:val="es-ES"/>
                              </w:rPr>
                              <w:t>Tělo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BE9AA" id="Text Box 53" o:spid="_x0000_s1056" type="#_x0000_t202" style="position:absolute;margin-left:109.65pt;margin-top:150.95pt;width:40.05pt;height:33.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" filled="f" stroked="f">
                <v:textbox inset="0,0,0,0">
                  <w:txbxContent>
                    <w:p w14:paraId="3E5A25C0" w14:textId="50B37A11" w:rsidR="008013E1" w:rsidRPr="00EF1826" w:rsidRDefault="00F92330" w:rsidP="00920780">
                      <w:pPr>
                        <w:jc w:val="center"/>
                        <w:rPr>
                          <w:rFonts w:ascii="Arial" w:hAnsi="Arial" w:cs="Arial"/>
                          <w:sz w:val="30"/>
                          <w:szCs w:val="30"/>
                          <w:lang w:val="es-ES"/>
                        </w:rPr>
                      </w:pPr>
                      <w:r w:rsidRPr="00F92330">
                        <w:rPr>
                          <w:rFonts w:ascii="Arial" w:hAnsi="Arial" w:cs="Arial"/>
                          <w:sz w:val="30"/>
                          <w:szCs w:val="30"/>
                          <w:lang w:val="es-ES"/>
                        </w:rPr>
                        <w:t>Tělo</w:t>
                      </w:r>
                    </w:p>
                  </w:txbxContent>
                </v:textbox>
                <w10:anchorlock/>
              </v:shape>
            </w:pict>
          </mc:Fallback>
        </mc:AlternateContent>
      </w:r>
      <w:r>
        <w:rPr>
          <w:noProof/>
          <w:lang w:val="en-US" w:eastAsia="ko-KR"/>
        </w:rPr>
        <mc:AlternateContent>
          <mc:Choice Requires="wps">
            <w:drawing>
              <wp:anchor distT="45720" distB="45720" distL="114300" distR="114300" simplePos="0" relativeHeight="251658255" behindDoc="0" locked="1" layoutInCell="1" allowOverlap="1" wp14:anchorId="1EF51BE6" wp14:editId="2D716CA1">
                <wp:simplePos x="0" y="0"/>
                <wp:positionH relativeFrom="column">
                  <wp:posOffset>1078865</wp:posOffset>
                </wp:positionH>
                <wp:positionV relativeFrom="paragraph">
                  <wp:posOffset>2873375</wp:posOffset>
                </wp:positionV>
                <wp:extent cx="1052195" cy="551815"/>
                <wp:effectExtent l="0" t="0" r="0" b="0"/>
                <wp:wrapNone/>
                <wp:docPr id="16191255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714DE6E5" w14:textId="17D23352" w:rsidR="008013E1" w:rsidRPr="00EF1826" w:rsidRDefault="00F92330" w:rsidP="00920780">
                            <w:pPr>
                              <w:spacing w:line="264" w:lineRule="auto"/>
                              <w:jc w:val="center"/>
                              <w:rPr>
                                <w:rFonts w:ascii="Arial" w:hAnsi="Arial" w:cs="Arial"/>
                                <w:sz w:val="30"/>
                                <w:szCs w:val="30"/>
                                <w:lang w:val="es-ES"/>
                              </w:rPr>
                            </w:pPr>
                            <w:r w:rsidRPr="00F92330">
                              <w:rPr>
                                <w:rFonts w:ascii="Arial" w:hAnsi="Arial" w:cs="Arial"/>
                                <w:sz w:val="30"/>
                                <w:szCs w:val="30"/>
                                <w:lang w:val="es-ES"/>
                              </w:rPr>
                              <w:t>Okénko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51BE6" id="Text Box 51" o:spid="_x0000_s1057" type="#_x0000_t202" style="position:absolute;margin-left:84.95pt;margin-top:226.25pt;width:82.85pt;height:43.4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" filled="f" stroked="f">
                <v:textbox inset="0,0,0,0">
                  <w:txbxContent>
                    <w:p w14:paraId="714DE6E5" w14:textId="17D23352" w:rsidR="008013E1" w:rsidRPr="00EF1826" w:rsidRDefault="00F92330" w:rsidP="00920780">
                      <w:pPr>
                        <w:spacing w:line="264" w:lineRule="auto"/>
                        <w:jc w:val="center"/>
                        <w:rPr>
                          <w:rFonts w:ascii="Arial" w:hAnsi="Arial" w:cs="Arial"/>
                          <w:sz w:val="30"/>
                          <w:szCs w:val="30"/>
                          <w:lang w:val="es-ES"/>
                        </w:rPr>
                      </w:pPr>
                      <w:r w:rsidRPr="00F92330">
                        <w:rPr>
                          <w:rFonts w:ascii="Arial" w:hAnsi="Arial" w:cs="Arial"/>
                          <w:sz w:val="30"/>
                          <w:szCs w:val="30"/>
                          <w:lang w:val="es-ES"/>
                        </w:rPr>
                        <w:t>Okénko</w:t>
                      </w:r>
                    </w:p>
                  </w:txbxContent>
                </v:textbox>
                <w10:anchorlock/>
              </v:shape>
            </w:pict>
          </mc:Fallback>
        </mc:AlternateContent>
      </w:r>
      <w:r>
        <w:rPr>
          <w:noProof/>
          <w:lang w:val="en-US" w:eastAsia="ko-KR"/>
        </w:rPr>
        <mc:AlternateContent>
          <mc:Choice Requires="wps">
            <w:drawing>
              <wp:anchor distT="45720" distB="45720" distL="114300" distR="114300" simplePos="0" relativeHeight="251658256" behindDoc="0" locked="1" layoutInCell="1" allowOverlap="1" wp14:anchorId="41A285C4" wp14:editId="07CF3D2C">
                <wp:simplePos x="0" y="0"/>
                <wp:positionH relativeFrom="column">
                  <wp:posOffset>1042670</wp:posOffset>
                </wp:positionH>
                <wp:positionV relativeFrom="paragraph">
                  <wp:posOffset>3864610</wp:posOffset>
                </wp:positionV>
                <wp:extent cx="1174750" cy="1233170"/>
                <wp:effectExtent l="0" t="0" r="0" b="0"/>
                <wp:wrapNone/>
                <wp:docPr id="181888937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233170"/>
                        </a:xfrm>
                        <a:prstGeom prst="rect">
                          <a:avLst/>
                        </a:prstGeom>
                        <a:noFill/>
                        <a:ln w="9525">
                          <a:noFill/>
                          <a:miter lim="800000"/>
                          <a:headEnd/>
                          <a:tailEnd/>
                        </a:ln>
                      </wps:spPr>
                      <wps:txbx>
                        <w:txbxContent>
                          <w:p w14:paraId="34132935" w14:textId="189B91E7" w:rsidR="008013E1" w:rsidRPr="0071714A" w:rsidRDefault="00F92330" w:rsidP="00920780">
                            <w:pPr>
                              <w:spacing w:line="252" w:lineRule="auto"/>
                              <w:jc w:val="center"/>
                              <w:rPr>
                                <w:rFonts w:ascii="Arial" w:hAnsi="Arial" w:cs="Arial"/>
                                <w:sz w:val="30"/>
                                <w:szCs w:val="30"/>
                                <w:lang w:val="en-GB"/>
                              </w:rPr>
                            </w:pPr>
                            <w:r w:rsidRPr="00F92330">
                              <w:rPr>
                                <w:rFonts w:ascii="Arial" w:hAnsi="Arial" w:cs="Arial"/>
                                <w:sz w:val="30"/>
                                <w:szCs w:val="30"/>
                                <w:lang w:val="en-GB"/>
                              </w:rPr>
                              <w:t xml:space="preserve">Modrý </w:t>
                            </w:r>
                            <w:r>
                              <w:rPr>
                                <w:rFonts w:ascii="Arial" w:hAnsi="Arial" w:cs="Arial"/>
                                <w:sz w:val="30"/>
                                <w:szCs w:val="30"/>
                                <w:lang w:val="en-GB"/>
                              </w:rPr>
                              <w:br/>
                            </w:r>
                            <w:r w:rsidRPr="00F92330">
                              <w:rPr>
                                <w:rFonts w:ascii="Arial" w:hAnsi="Arial" w:cs="Arial"/>
                                <w:sz w:val="30"/>
                                <w:szCs w:val="30"/>
                                <w:lang w:val="en-GB"/>
                              </w:rPr>
                              <w:t xml:space="preserve">kryt jehly (jehla </w:t>
                            </w:r>
                            <w:r>
                              <w:rPr>
                                <w:rFonts w:ascii="Arial" w:hAnsi="Arial" w:cs="Arial"/>
                                <w:sz w:val="30"/>
                                <w:szCs w:val="30"/>
                                <w:lang w:val="en-GB"/>
                              </w:rPr>
                              <w:br/>
                            </w:r>
                            <w:r w:rsidRPr="00F92330">
                              <w:rPr>
                                <w:rFonts w:ascii="Arial" w:hAnsi="Arial" w:cs="Arial"/>
                                <w:sz w:val="30"/>
                                <w:szCs w:val="30"/>
                                <w:lang w:val="en-GB"/>
                              </w:rPr>
                              <w:t>uvnitř)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285C4" id="Text Box 49" o:spid="_x0000_s1058" type="#_x0000_t202" style="position:absolute;margin-left:82.1pt;margin-top:304.3pt;width:92.5pt;height:97.1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" filled="f" stroked="f">
                <v:textbox inset="0,0,0,0">
                  <w:txbxContent>
                    <w:p w14:paraId="34132935" w14:textId="189B91E7" w:rsidR="008013E1" w:rsidRPr="0071714A" w:rsidRDefault="00F92330" w:rsidP="00920780">
                      <w:pPr>
                        <w:spacing w:line="252" w:lineRule="auto"/>
                        <w:jc w:val="center"/>
                        <w:rPr>
                          <w:rFonts w:ascii="Arial" w:hAnsi="Arial" w:cs="Arial"/>
                          <w:sz w:val="30"/>
                          <w:szCs w:val="30"/>
                          <w:lang w:val="en-GB"/>
                        </w:rPr>
                      </w:pPr>
                      <w:r w:rsidRPr="00F92330">
                        <w:rPr>
                          <w:rFonts w:ascii="Arial" w:hAnsi="Arial" w:cs="Arial"/>
                          <w:sz w:val="30"/>
                          <w:szCs w:val="30"/>
                          <w:lang w:val="en-GB"/>
                        </w:rPr>
                        <w:t xml:space="preserve">Modrý </w:t>
                      </w:r>
                      <w:r>
                        <w:rPr>
                          <w:rFonts w:ascii="Arial" w:hAnsi="Arial" w:cs="Arial"/>
                          <w:sz w:val="30"/>
                          <w:szCs w:val="30"/>
                          <w:lang w:val="en-GB"/>
                        </w:rPr>
                        <w:br/>
                      </w:r>
                      <w:r w:rsidRPr="00F92330">
                        <w:rPr>
                          <w:rFonts w:ascii="Arial" w:hAnsi="Arial" w:cs="Arial"/>
                          <w:sz w:val="30"/>
                          <w:szCs w:val="30"/>
                          <w:lang w:val="en-GB"/>
                        </w:rPr>
                        <w:t xml:space="preserve">kryt jehly (jehla </w:t>
                      </w:r>
                      <w:r>
                        <w:rPr>
                          <w:rFonts w:ascii="Arial" w:hAnsi="Arial" w:cs="Arial"/>
                          <w:sz w:val="30"/>
                          <w:szCs w:val="30"/>
                          <w:lang w:val="en-GB"/>
                        </w:rPr>
                        <w:br/>
                      </w:r>
                      <w:r w:rsidRPr="00F92330">
                        <w:rPr>
                          <w:rFonts w:ascii="Arial" w:hAnsi="Arial" w:cs="Arial"/>
                          <w:sz w:val="30"/>
                          <w:szCs w:val="30"/>
                          <w:lang w:val="en-GB"/>
                        </w:rPr>
                        <w:t>uvnitř)</w:t>
                      </w:r>
                    </w:p>
                  </w:txbxContent>
                </v:textbox>
                <w10:anchorlock/>
              </v:shape>
            </w:pict>
          </mc:Fallback>
        </mc:AlternateContent>
      </w:r>
      <w:r>
        <w:rPr>
          <w:noProof/>
          <w:lang w:val="en-US" w:eastAsia="ko-KR"/>
        </w:rPr>
        <mc:AlternateContent>
          <mc:Choice Requires="wps">
            <w:drawing>
              <wp:anchor distT="45720" distB="45720" distL="114300" distR="114300" simplePos="0" relativeHeight="251658257" behindDoc="0" locked="1" layoutInCell="1" allowOverlap="1" wp14:anchorId="573F7E0A" wp14:editId="118FDC15">
                <wp:simplePos x="0" y="0"/>
                <wp:positionH relativeFrom="column">
                  <wp:posOffset>1299845</wp:posOffset>
                </wp:positionH>
                <wp:positionV relativeFrom="paragraph">
                  <wp:posOffset>5137785</wp:posOffset>
                </wp:positionV>
                <wp:extent cx="840740" cy="492760"/>
                <wp:effectExtent l="0" t="0" r="0" b="3810"/>
                <wp:wrapNone/>
                <wp:docPr id="3537309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DF52C" w14:textId="3D93C6FD" w:rsidR="008013E1" w:rsidRPr="00EF1826" w:rsidRDefault="00F92330" w:rsidP="00920780">
                            <w:pPr>
                              <w:spacing w:line="252" w:lineRule="auto"/>
                              <w:jc w:val="center"/>
                              <w:rPr>
                                <w:rFonts w:ascii="Arial" w:hAnsi="Arial" w:cs="Arial"/>
                                <w:sz w:val="30"/>
                                <w:szCs w:val="30"/>
                                <w:lang w:val="es-ES"/>
                              </w:rPr>
                            </w:pPr>
                            <w:r w:rsidRPr="00F92330">
                              <w:rPr>
                                <w:rFonts w:ascii="Arial" w:hAnsi="Arial" w:cs="Arial"/>
                                <w:sz w:val="30"/>
                                <w:szCs w:val="30"/>
                                <w:lang w:val="es-ES"/>
                              </w:rPr>
                              <w:t>Oranžový kryt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F7E0A" id="_x0000_s1059" type="#_x0000_t202" style="position:absolute;margin-left:102.35pt;margin-top:404.55pt;width:66.2pt;height:38.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" stroked="f">
                <v:textbox inset="0,0,0,0">
                  <w:txbxContent>
                    <w:p w14:paraId="693DF52C" w14:textId="3D93C6FD" w:rsidR="008013E1" w:rsidRPr="00EF1826" w:rsidRDefault="00F92330" w:rsidP="00920780">
                      <w:pPr>
                        <w:spacing w:line="252" w:lineRule="auto"/>
                        <w:jc w:val="center"/>
                        <w:rPr>
                          <w:rFonts w:ascii="Arial" w:hAnsi="Arial" w:cs="Arial"/>
                          <w:sz w:val="30"/>
                          <w:szCs w:val="30"/>
                          <w:lang w:val="es-ES"/>
                        </w:rPr>
                      </w:pPr>
                      <w:r w:rsidRPr="00F92330">
                        <w:rPr>
                          <w:rFonts w:ascii="Arial" w:hAnsi="Arial" w:cs="Arial"/>
                          <w:sz w:val="30"/>
                          <w:szCs w:val="30"/>
                          <w:lang w:val="es-ES"/>
                        </w:rPr>
                        <w:t>Oranžový kryt</w:t>
                      </w:r>
                    </w:p>
                  </w:txbxContent>
                </v:textbox>
                <w10:anchorlock/>
              </v:shape>
            </w:pict>
          </mc:Fallback>
        </mc:AlternateContent>
      </w:r>
      <w:r>
        <w:rPr>
          <w:noProof/>
          <w:lang w:val="en-US" w:eastAsia="ko-KR"/>
        </w:rPr>
        <mc:AlternateContent>
          <mc:Choice Requires="wps">
            <w:drawing>
              <wp:anchor distT="45720" distB="45720" distL="114300" distR="114300" simplePos="0" relativeHeight="251658258" behindDoc="0" locked="1" layoutInCell="1" allowOverlap="1" wp14:anchorId="7E4E2021" wp14:editId="75F2507D">
                <wp:simplePos x="0" y="0"/>
                <wp:positionH relativeFrom="column">
                  <wp:posOffset>2733675</wp:posOffset>
                </wp:positionH>
                <wp:positionV relativeFrom="paragraph">
                  <wp:posOffset>1586230</wp:posOffset>
                </wp:positionV>
                <wp:extent cx="1337945" cy="551815"/>
                <wp:effectExtent l="0" t="0" r="0" b="0"/>
                <wp:wrapNone/>
                <wp:docPr id="1714918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551815"/>
                        </a:xfrm>
                        <a:prstGeom prst="rect">
                          <a:avLst/>
                        </a:prstGeom>
                        <a:noFill/>
                        <a:ln w="9525">
                          <a:noFill/>
                          <a:miter lim="800000"/>
                          <a:headEnd/>
                          <a:tailEnd/>
                        </a:ln>
                      </wps:spPr>
                      <wps:txbx>
                        <w:txbxContent>
                          <w:p w14:paraId="4104A1DA" w14:textId="1B1F3B0B" w:rsidR="008013E1" w:rsidRPr="00EF1826" w:rsidRDefault="00F92330" w:rsidP="00920780">
                            <w:pPr>
                              <w:spacing w:line="264" w:lineRule="auto"/>
                              <w:jc w:val="center"/>
                              <w:rPr>
                                <w:rFonts w:ascii="Arial" w:hAnsi="Arial" w:cs="Arial"/>
                                <w:sz w:val="30"/>
                                <w:szCs w:val="30"/>
                                <w:lang w:val="es-ES"/>
                              </w:rPr>
                            </w:pPr>
                            <w:r w:rsidRPr="00F92330">
                              <w:rPr>
                                <w:rFonts w:ascii="Arial" w:hAnsi="Arial" w:cs="Arial"/>
                                <w:sz w:val="30"/>
                                <w:szCs w:val="30"/>
                                <w:lang w:val="es-ES"/>
                              </w:rPr>
                              <w:t>Datum použitelnosti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E2021" id="Text Box 47" o:spid="_x0000_s1060" type="#_x0000_t202" style="position:absolute;margin-left:215.25pt;margin-top:124.9pt;width:105.35pt;height:43.4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" filled="f" stroked="f">
                <v:textbox inset="0,0,0,0">
                  <w:txbxContent>
                    <w:p w14:paraId="4104A1DA" w14:textId="1B1F3B0B" w:rsidR="008013E1" w:rsidRPr="00EF1826" w:rsidRDefault="00F92330" w:rsidP="00920780">
                      <w:pPr>
                        <w:spacing w:line="264" w:lineRule="auto"/>
                        <w:jc w:val="center"/>
                        <w:rPr>
                          <w:rFonts w:ascii="Arial" w:hAnsi="Arial" w:cs="Arial"/>
                          <w:sz w:val="30"/>
                          <w:szCs w:val="30"/>
                          <w:lang w:val="es-ES"/>
                        </w:rPr>
                      </w:pPr>
                      <w:r w:rsidRPr="00F92330">
                        <w:rPr>
                          <w:rFonts w:ascii="Arial" w:hAnsi="Arial" w:cs="Arial"/>
                          <w:sz w:val="30"/>
                          <w:szCs w:val="30"/>
                          <w:lang w:val="es-ES"/>
                        </w:rPr>
                        <w:t>Datum použitelnosti</w:t>
                      </w:r>
                    </w:p>
                  </w:txbxContent>
                </v:textbox>
                <w10:anchorlock/>
              </v:shape>
            </w:pict>
          </mc:Fallback>
        </mc:AlternateContent>
      </w:r>
      <w:r>
        <w:rPr>
          <w:noProof/>
          <w:lang w:val="en-US" w:eastAsia="ko-KR"/>
        </w:rPr>
        <mc:AlternateContent>
          <mc:Choice Requires="wps">
            <w:drawing>
              <wp:anchor distT="45720" distB="45720" distL="114300" distR="114300" simplePos="0" relativeHeight="251658259" behindDoc="0" locked="1" layoutInCell="1" allowOverlap="1" wp14:anchorId="512CE67F" wp14:editId="087EFD5D">
                <wp:simplePos x="0" y="0"/>
                <wp:positionH relativeFrom="column">
                  <wp:posOffset>3067685</wp:posOffset>
                </wp:positionH>
                <wp:positionV relativeFrom="paragraph">
                  <wp:posOffset>2703195</wp:posOffset>
                </wp:positionV>
                <wp:extent cx="1578610" cy="819150"/>
                <wp:effectExtent l="0" t="0" r="0" b="0"/>
                <wp:wrapNone/>
                <wp:docPr id="16758345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819150"/>
                        </a:xfrm>
                        <a:prstGeom prst="rect">
                          <a:avLst/>
                        </a:prstGeom>
                        <a:noFill/>
                        <a:ln w="9525">
                          <a:noFill/>
                          <a:miter lim="800000"/>
                          <a:headEnd/>
                          <a:tailEnd/>
                        </a:ln>
                      </wps:spPr>
                      <wps:txbx>
                        <w:txbxContent>
                          <w:p w14:paraId="39ED8DAE" w14:textId="146B2C25" w:rsidR="008013E1" w:rsidRPr="00EF1826" w:rsidRDefault="00F92330" w:rsidP="00920780">
                            <w:pPr>
                              <w:spacing w:line="252" w:lineRule="auto"/>
                              <w:jc w:val="center"/>
                              <w:rPr>
                                <w:rFonts w:ascii="Arial" w:hAnsi="Arial" w:cs="Arial"/>
                                <w:b/>
                                <w:bCs/>
                                <w:sz w:val="30"/>
                                <w:szCs w:val="30"/>
                                <w:lang w:val="es-ES"/>
                              </w:rPr>
                            </w:pPr>
                            <w:r w:rsidRPr="00F92330">
                              <w:rPr>
                                <w:rFonts w:ascii="Arial" w:hAnsi="Arial" w:cs="Arial"/>
                                <w:sz w:val="30"/>
                                <w:szCs w:val="30"/>
                                <w:lang w:val="es-ES"/>
                              </w:rPr>
                              <w:t xml:space="preserve">Oranžový proužek </w:t>
                            </w:r>
                            <w:r w:rsidRPr="00B93217">
                              <w:rPr>
                                <w:rFonts w:ascii="Arial" w:hAnsi="Arial" w:cs="Arial"/>
                                <w:b/>
                                <w:bCs/>
                                <w:sz w:val="30"/>
                                <w:szCs w:val="30"/>
                                <w:lang w:val="es-ES"/>
                              </w:rPr>
                              <w:t>„injekce dokončena”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CE67F" id="Text Box 45" o:spid="_x0000_s1061" type="#_x0000_t202" style="position:absolute;margin-left:241.55pt;margin-top:212.85pt;width:124.3pt;height:64.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" filled="f" stroked="f">
                <v:textbox inset="0,0,0,0">
                  <w:txbxContent>
                    <w:p w14:paraId="39ED8DAE" w14:textId="146B2C25" w:rsidR="008013E1" w:rsidRPr="00EF1826" w:rsidRDefault="00F92330" w:rsidP="00920780">
                      <w:pPr>
                        <w:spacing w:line="252" w:lineRule="auto"/>
                        <w:jc w:val="center"/>
                        <w:rPr>
                          <w:rFonts w:ascii="Arial" w:hAnsi="Arial" w:cs="Arial"/>
                          <w:b/>
                          <w:bCs/>
                          <w:sz w:val="30"/>
                          <w:szCs w:val="30"/>
                          <w:lang w:val="es-ES"/>
                        </w:rPr>
                      </w:pPr>
                      <w:r w:rsidRPr="00F92330">
                        <w:rPr>
                          <w:rFonts w:ascii="Arial" w:hAnsi="Arial" w:cs="Arial"/>
                          <w:sz w:val="30"/>
                          <w:szCs w:val="30"/>
                          <w:lang w:val="es-ES"/>
                        </w:rPr>
                        <w:t xml:space="preserve">Oranžový proužek </w:t>
                      </w:r>
                      <w:r w:rsidRPr="00B93217">
                        <w:rPr>
                          <w:rFonts w:ascii="Arial" w:hAnsi="Arial" w:cs="Arial"/>
                          <w:b/>
                          <w:bCs/>
                          <w:sz w:val="30"/>
                          <w:szCs w:val="30"/>
                          <w:lang w:val="es-ES"/>
                        </w:rPr>
                        <w:t>„injekce dokončena”</w:t>
                      </w:r>
                    </w:p>
                  </w:txbxContent>
                </v:textbox>
                <w10:anchorlock/>
              </v:shape>
            </w:pict>
          </mc:Fallback>
        </mc:AlternateContent>
      </w:r>
      <w:r>
        <w:rPr>
          <w:noProof/>
          <w:lang w:val="en-US" w:eastAsia="ko-KR"/>
        </w:rPr>
        <mc:AlternateContent>
          <mc:Choice Requires="wps">
            <w:drawing>
              <wp:anchor distT="45720" distB="45720" distL="114300" distR="114300" simplePos="0" relativeHeight="251658260" behindDoc="0" locked="1" layoutInCell="1" allowOverlap="1" wp14:anchorId="0D221D27" wp14:editId="6D2F3635">
                <wp:simplePos x="0" y="0"/>
                <wp:positionH relativeFrom="column">
                  <wp:posOffset>3509645</wp:posOffset>
                </wp:positionH>
                <wp:positionV relativeFrom="paragraph">
                  <wp:posOffset>3879215</wp:posOffset>
                </wp:positionV>
                <wp:extent cx="1116330" cy="1233170"/>
                <wp:effectExtent l="0" t="0" r="0" b="0"/>
                <wp:wrapNone/>
                <wp:docPr id="9299517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233170"/>
                        </a:xfrm>
                        <a:prstGeom prst="rect">
                          <a:avLst/>
                        </a:prstGeom>
                        <a:noFill/>
                        <a:ln w="9525">
                          <a:noFill/>
                          <a:miter lim="800000"/>
                          <a:headEnd/>
                          <a:tailEnd/>
                        </a:ln>
                      </wps:spPr>
                      <wps:txbx>
                        <w:txbxContent>
                          <w:p w14:paraId="6EFF2204" w14:textId="4AA8EF0B" w:rsidR="008013E1" w:rsidRPr="0071714A" w:rsidRDefault="00F92330" w:rsidP="00920780">
                            <w:pPr>
                              <w:spacing w:line="252" w:lineRule="auto"/>
                              <w:jc w:val="center"/>
                              <w:rPr>
                                <w:rFonts w:ascii="Arial" w:hAnsi="Arial" w:cs="Arial"/>
                                <w:sz w:val="30"/>
                                <w:szCs w:val="30"/>
                                <w:lang w:val="en-GB"/>
                              </w:rPr>
                            </w:pPr>
                            <w:r w:rsidRPr="00F92330">
                              <w:rPr>
                                <w:rFonts w:ascii="Arial" w:hAnsi="Arial" w:cs="Arial"/>
                                <w:sz w:val="30"/>
                                <w:szCs w:val="30"/>
                                <w:lang w:val="en-GB"/>
                              </w:rPr>
                              <w:t xml:space="preserve">Modrý </w:t>
                            </w:r>
                            <w:r>
                              <w:rPr>
                                <w:rFonts w:ascii="Arial" w:hAnsi="Arial" w:cs="Arial"/>
                                <w:sz w:val="30"/>
                                <w:szCs w:val="30"/>
                                <w:lang w:val="en-GB"/>
                              </w:rPr>
                              <w:br/>
                            </w:r>
                            <w:r w:rsidRPr="00F92330">
                              <w:rPr>
                                <w:rFonts w:ascii="Arial" w:hAnsi="Arial" w:cs="Arial"/>
                                <w:sz w:val="30"/>
                                <w:szCs w:val="30"/>
                                <w:lang w:val="en-GB"/>
                              </w:rPr>
                              <w:t>kryt jehly (zamčený a s jehlou uvnitř)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21D27" id="Text Box 43" o:spid="_x0000_s1062" type="#_x0000_t202" style="position:absolute;margin-left:276.35pt;margin-top:305.45pt;width:87.9pt;height:97.1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" filled="f" stroked="f">
                <v:textbox inset="0,0,0,0">
                  <w:txbxContent>
                    <w:p w14:paraId="6EFF2204" w14:textId="4AA8EF0B" w:rsidR="008013E1" w:rsidRPr="0071714A" w:rsidRDefault="00F92330" w:rsidP="00920780">
                      <w:pPr>
                        <w:spacing w:line="252" w:lineRule="auto"/>
                        <w:jc w:val="center"/>
                        <w:rPr>
                          <w:rFonts w:ascii="Arial" w:hAnsi="Arial" w:cs="Arial"/>
                          <w:sz w:val="30"/>
                          <w:szCs w:val="30"/>
                          <w:lang w:val="en-GB"/>
                        </w:rPr>
                      </w:pPr>
                      <w:r w:rsidRPr="00F92330">
                        <w:rPr>
                          <w:rFonts w:ascii="Arial" w:hAnsi="Arial" w:cs="Arial"/>
                          <w:sz w:val="30"/>
                          <w:szCs w:val="30"/>
                          <w:lang w:val="en-GB"/>
                        </w:rPr>
                        <w:t xml:space="preserve">Modrý </w:t>
                      </w:r>
                      <w:r>
                        <w:rPr>
                          <w:rFonts w:ascii="Arial" w:hAnsi="Arial" w:cs="Arial"/>
                          <w:sz w:val="30"/>
                          <w:szCs w:val="30"/>
                          <w:lang w:val="en-GB"/>
                        </w:rPr>
                        <w:br/>
                      </w:r>
                      <w:r w:rsidRPr="00F92330">
                        <w:rPr>
                          <w:rFonts w:ascii="Arial" w:hAnsi="Arial" w:cs="Arial"/>
                          <w:sz w:val="30"/>
                          <w:szCs w:val="30"/>
                          <w:lang w:val="en-GB"/>
                        </w:rPr>
                        <w:t>kryt jehly (zamčený a s jehlou uvnitř)</w:t>
                      </w:r>
                    </w:p>
                  </w:txbxContent>
                </v:textbox>
                <w10:anchorlock/>
              </v:shape>
            </w:pict>
          </mc:Fallback>
        </mc:AlternateContent>
      </w:r>
    </w:p>
    <w:p w14:paraId="6A84288E" w14:textId="2DB2389E" w:rsidR="00920780" w:rsidRPr="00DE67E9" w:rsidRDefault="00C301E6" w:rsidP="00920780">
      <w:pPr>
        <w:spacing w:line="200" w:lineRule="atLeast"/>
        <w:ind w:left="316"/>
      </w:pPr>
      <w:r>
        <w:rPr>
          <w:noProof/>
          <w:sz w:val="20"/>
          <w:szCs w:val="20"/>
          <w:lang w:val="en-US" w:eastAsia="ko-KR"/>
        </w:rPr>
        <w:drawing>
          <wp:inline distT="0" distB="0" distL="0" distR="0" wp14:anchorId="0D66AF10" wp14:editId="1DE33183">
            <wp:extent cx="5454650" cy="5465445"/>
            <wp:effectExtent l="0" t="0" r="0" b="0"/>
            <wp:docPr id="22"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4650" cy="5465445"/>
                    </a:xfrm>
                    <a:prstGeom prst="rect">
                      <a:avLst/>
                    </a:prstGeom>
                    <a:noFill/>
                    <a:ln>
                      <a:noFill/>
                    </a:ln>
                  </pic:spPr>
                </pic:pic>
              </a:graphicData>
            </a:graphic>
          </wp:inline>
        </w:drawing>
      </w:r>
    </w:p>
    <w:p w14:paraId="6B14B75C" w14:textId="78F2C7CE" w:rsidR="00920780" w:rsidRPr="00DE67E9" w:rsidRDefault="007C403F" w:rsidP="00920780">
      <w:pPr>
        <w:jc w:val="center"/>
        <w:rPr>
          <w:b/>
          <w:bCs/>
        </w:rPr>
      </w:pPr>
      <w:r>
        <w:rPr>
          <w:b/>
          <w:bCs/>
        </w:rPr>
        <w:t>obrázek</w:t>
      </w:r>
      <w:r w:rsidR="00920780" w:rsidRPr="00DE67E9">
        <w:rPr>
          <w:b/>
          <w:bCs/>
        </w:rPr>
        <w:t xml:space="preserve"> A</w:t>
      </w:r>
    </w:p>
    <w:p w14:paraId="14CB3438" w14:textId="77777777" w:rsidR="00920780" w:rsidRPr="00DE67E9" w:rsidRDefault="00920780" w:rsidP="00920780">
      <w:r w:rsidRPr="00DE67E9">
        <w:br w:type="page"/>
      </w:r>
    </w:p>
    <w:p w14:paraId="134C1EE7" w14:textId="77777777" w:rsidR="007C403F" w:rsidRPr="00D159C5" w:rsidRDefault="007C403F" w:rsidP="007C403F">
      <w:pPr>
        <w:keepNext/>
        <w:rPr>
          <w:b/>
          <w:bCs/>
        </w:rPr>
      </w:pPr>
      <w:r w:rsidRPr="00D159C5">
        <w:rPr>
          <w:b/>
        </w:rPr>
        <w:lastRenderedPageBreak/>
        <w:t xml:space="preserve">Příprava na injekci </w:t>
      </w:r>
    </w:p>
    <w:p w14:paraId="383AF872" w14:textId="77777777" w:rsidR="00920780" w:rsidRDefault="00920780" w:rsidP="0092078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8592C" w:rsidRPr="00BD6707" w14:paraId="459E7FAC" w14:textId="77777777">
        <w:trPr>
          <w:cantSplit/>
        </w:trPr>
        <w:tc>
          <w:tcPr>
            <w:tcW w:w="3539" w:type="dxa"/>
          </w:tcPr>
          <w:p w14:paraId="3252D0F9" w14:textId="782770BF" w:rsidR="004856B8" w:rsidRPr="004856B8" w:rsidRDefault="004856B8" w:rsidP="004856B8">
            <w:pPr>
              <w:suppressAutoHyphens/>
              <w:jc w:val="right"/>
              <w:rPr>
                <w:b/>
                <w:noProof/>
                <w:lang w:val="en-US" w:eastAsia="ko-KR"/>
              </w:rPr>
            </w:pPr>
            <w:r w:rsidRPr="004856B8">
              <w:rPr>
                <w:b/>
                <w:noProof/>
                <w:lang w:val="en-US" w:eastAsia="ko-KR"/>
              </w:rPr>
              <w:drawing>
                <wp:inline distT="0" distB="0" distL="0" distR="0" wp14:anchorId="76EB0CB1" wp14:editId="53544F02">
                  <wp:extent cx="2110105" cy="2686050"/>
                  <wp:effectExtent l="0" t="0" r="4445" b="0"/>
                  <wp:docPr id="1350009019"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0105" cy="2686050"/>
                          </a:xfrm>
                          <a:prstGeom prst="rect">
                            <a:avLst/>
                          </a:prstGeom>
                          <a:noFill/>
                          <a:ln>
                            <a:noFill/>
                          </a:ln>
                        </pic:spPr>
                      </pic:pic>
                    </a:graphicData>
                  </a:graphic>
                </wp:inline>
              </w:drawing>
            </w:r>
          </w:p>
          <w:p w14:paraId="4959F652" w14:textId="5654928A" w:rsidR="007C403F" w:rsidRDefault="007C403F">
            <w:pPr>
              <w:suppressAutoHyphens/>
              <w:jc w:val="right"/>
              <w:rPr>
                <w:noProof/>
              </w:rPr>
            </w:pPr>
          </w:p>
          <w:p w14:paraId="1B4B7784" w14:textId="5AD2524D" w:rsidR="007C403F" w:rsidRDefault="00C301E6">
            <w:pPr>
              <w:suppressAutoHyphens/>
              <w:jc w:val="right"/>
              <w:rPr>
                <w:b/>
                <w:bCs/>
                <w:noProof/>
              </w:rPr>
            </w:pPr>
            <w:r>
              <w:rPr>
                <w:noProof/>
                <w:lang w:val="en-US" w:eastAsia="ko-KR"/>
              </w:rPr>
              <mc:AlternateContent>
                <mc:Choice Requires="wps">
                  <w:drawing>
                    <wp:anchor distT="45720" distB="45720" distL="114300" distR="114300" simplePos="0" relativeHeight="251658282" behindDoc="0" locked="1" layoutInCell="1" allowOverlap="1" wp14:anchorId="720D74C7" wp14:editId="083455F5">
                      <wp:simplePos x="0" y="0"/>
                      <wp:positionH relativeFrom="column">
                        <wp:posOffset>1014095</wp:posOffset>
                      </wp:positionH>
                      <wp:positionV relativeFrom="page">
                        <wp:posOffset>699770</wp:posOffset>
                      </wp:positionV>
                      <wp:extent cx="1011555" cy="564515"/>
                      <wp:effectExtent l="0" t="0" r="0" b="0"/>
                      <wp:wrapNone/>
                      <wp:docPr id="9151754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3FB25269" w14:textId="6E42E50A" w:rsidR="008013E1" w:rsidRPr="00920780" w:rsidRDefault="003C21A6" w:rsidP="00920780">
                                  <w:pPr>
                                    <w:spacing w:line="260" w:lineRule="exact"/>
                                    <w:jc w:val="center"/>
                                    <w:rPr>
                                      <w:rFonts w:ascii="Arial" w:hAnsi="Arial"/>
                                      <w:color w:val="595959"/>
                                      <w:sz w:val="20"/>
                                      <w:szCs w:val="20"/>
                                    </w:rPr>
                                  </w:pPr>
                                  <w:r w:rsidRPr="003C21A6">
                                    <w:rPr>
                                      <w:rFonts w:ascii="Arial" w:hAnsi="Arial"/>
                                      <w:color w:val="595959"/>
                                      <w:sz w:val="20"/>
                                      <w:szCs w:val="20"/>
                                    </w:rPr>
                                    <w:t>Vata/gáza a alkoholový tampon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D74C7" id="Text Box 41" o:spid="_x0000_s1063" type="#_x0000_t202" style="position:absolute;left:0;text-align:left;margin-left:79.85pt;margin-top:55.1pt;width:79.65pt;height:44.4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" filled="f" stroked="f">
                      <v:textbox inset="0,0,0,0">
                        <w:txbxContent>
                          <w:p w14:paraId="3FB25269" w14:textId="6E42E50A" w:rsidR="008013E1" w:rsidRPr="00920780" w:rsidRDefault="003C21A6" w:rsidP="00920780">
                            <w:pPr>
                              <w:spacing w:line="260" w:lineRule="exact"/>
                              <w:jc w:val="center"/>
                              <w:rPr>
                                <w:rFonts w:ascii="Arial" w:hAnsi="Arial"/>
                                <w:color w:val="595959"/>
                                <w:sz w:val="20"/>
                                <w:szCs w:val="20"/>
                              </w:rPr>
                            </w:pPr>
                            <w:r w:rsidRPr="003C21A6">
                              <w:rPr>
                                <w:rFonts w:ascii="Arial" w:hAnsi="Arial"/>
                                <w:color w:val="595959"/>
                                <w:sz w:val="20"/>
                                <w:szCs w:val="20"/>
                              </w:rPr>
                              <w:t>Vata/gáza a alkoholový tampon</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3" behindDoc="0" locked="1" layoutInCell="1" allowOverlap="1" wp14:anchorId="40C63F50" wp14:editId="7B11BB77">
                      <wp:simplePos x="0" y="0"/>
                      <wp:positionH relativeFrom="column">
                        <wp:posOffset>1001395</wp:posOffset>
                      </wp:positionH>
                      <wp:positionV relativeFrom="page">
                        <wp:posOffset>2025015</wp:posOffset>
                      </wp:positionV>
                      <wp:extent cx="1011555" cy="564515"/>
                      <wp:effectExtent l="0" t="0" r="0" b="0"/>
                      <wp:wrapNone/>
                      <wp:docPr id="13811590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06F1FE3F" w14:textId="6627BC51" w:rsidR="008013E1" w:rsidRPr="00920780" w:rsidRDefault="003C21A6" w:rsidP="00920780">
                                  <w:pPr>
                                    <w:spacing w:line="260" w:lineRule="exact"/>
                                    <w:jc w:val="center"/>
                                    <w:rPr>
                                      <w:rFonts w:ascii="Arial" w:hAnsi="Arial"/>
                                      <w:color w:val="595959"/>
                                      <w:sz w:val="20"/>
                                      <w:szCs w:val="20"/>
                                    </w:rPr>
                                  </w:pPr>
                                  <w:r w:rsidRPr="003C21A6">
                                    <w:rPr>
                                      <w:rFonts w:ascii="Arial" w:hAnsi="Arial"/>
                                      <w:color w:val="595959"/>
                                      <w:sz w:val="20"/>
                                      <w:szCs w:val="20"/>
                                    </w:rPr>
                                    <w:t>Odpadní nádoba na ostré předměty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3F50" id="_x0000_s1064" type="#_x0000_t202" style="position:absolute;left:0;text-align:left;margin-left:78.85pt;margin-top:159.45pt;width:79.65pt;height:44.4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06F1FE3F" w14:textId="6627BC51" w:rsidR="008013E1" w:rsidRPr="00920780" w:rsidRDefault="003C21A6" w:rsidP="00920780">
                            <w:pPr>
                              <w:spacing w:line="260" w:lineRule="exact"/>
                              <w:jc w:val="center"/>
                              <w:rPr>
                                <w:rFonts w:ascii="Arial" w:hAnsi="Arial"/>
                                <w:color w:val="595959"/>
                                <w:sz w:val="20"/>
                                <w:szCs w:val="20"/>
                              </w:rPr>
                            </w:pPr>
                            <w:r w:rsidRPr="003C21A6">
                              <w:rPr>
                                <w:rFonts w:ascii="Arial" w:hAnsi="Arial"/>
                                <w:color w:val="595959"/>
                                <w:sz w:val="20"/>
                                <w:szCs w:val="20"/>
                              </w:rPr>
                              <w:t>Odpadní nádoba na ostré předměty</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4" behindDoc="0" locked="1" layoutInCell="1" allowOverlap="1" wp14:anchorId="557DEE97" wp14:editId="1211847E">
                      <wp:simplePos x="0" y="0"/>
                      <wp:positionH relativeFrom="column">
                        <wp:posOffset>99695</wp:posOffset>
                      </wp:positionH>
                      <wp:positionV relativeFrom="page">
                        <wp:posOffset>762000</wp:posOffset>
                      </wp:positionV>
                      <wp:extent cx="968375" cy="564515"/>
                      <wp:effectExtent l="0" t="0" r="0" b="0"/>
                      <wp:wrapNone/>
                      <wp:docPr id="199961899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564515"/>
                              </a:xfrm>
                              <a:prstGeom prst="rect">
                                <a:avLst/>
                              </a:prstGeom>
                              <a:noFill/>
                              <a:ln>
                                <a:noFill/>
                              </a:ln>
                            </wps:spPr>
                            <wps:txbx>
                              <w:txbxContent>
                                <w:p w14:paraId="2C19B8F3" w14:textId="174F17EB" w:rsidR="008013E1" w:rsidRPr="00920780" w:rsidRDefault="003C21A6" w:rsidP="00920780">
                                  <w:pPr>
                                    <w:spacing w:line="260" w:lineRule="exact"/>
                                    <w:jc w:val="center"/>
                                    <w:rPr>
                                      <w:rFonts w:ascii="Arial" w:hAnsi="Arial"/>
                                      <w:color w:val="595959"/>
                                      <w:sz w:val="20"/>
                                      <w:szCs w:val="20"/>
                                    </w:rPr>
                                  </w:pPr>
                                  <w:r w:rsidRPr="003C21A6">
                                    <w:rPr>
                                      <w:rFonts w:ascii="Arial" w:hAnsi="Arial"/>
                                      <w:color w:val="595959"/>
                                      <w:sz w:val="20"/>
                                      <w:szCs w:val="20"/>
                                    </w:rPr>
                                    <w:t>Krabička obsahující předplněné pero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DEE97" id="Text Box 37" o:spid="_x0000_s1065" type="#_x0000_t202" style="position:absolute;left:0;text-align:left;margin-left:7.85pt;margin-top:60pt;width:76.25pt;height:44.4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" filled="f" stroked="f">
                      <v:textbox inset="0,0,0,0">
                        <w:txbxContent>
                          <w:p w14:paraId="2C19B8F3" w14:textId="174F17EB" w:rsidR="008013E1" w:rsidRPr="00920780" w:rsidRDefault="003C21A6" w:rsidP="00920780">
                            <w:pPr>
                              <w:spacing w:line="260" w:lineRule="exact"/>
                              <w:jc w:val="center"/>
                              <w:rPr>
                                <w:rFonts w:ascii="Arial" w:hAnsi="Arial"/>
                                <w:color w:val="595959"/>
                                <w:sz w:val="20"/>
                                <w:szCs w:val="20"/>
                              </w:rPr>
                            </w:pPr>
                            <w:r w:rsidRPr="003C21A6">
                              <w:rPr>
                                <w:rFonts w:ascii="Arial" w:hAnsi="Arial"/>
                                <w:color w:val="595959"/>
                                <w:sz w:val="20"/>
                                <w:szCs w:val="20"/>
                              </w:rPr>
                              <w:t>Krabička obsahující předplněné pero</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5" behindDoc="0" locked="1" layoutInCell="1" allowOverlap="1" wp14:anchorId="581C46ED" wp14:editId="0FF412BA">
                      <wp:simplePos x="0" y="0"/>
                      <wp:positionH relativeFrom="column">
                        <wp:posOffset>85725</wp:posOffset>
                      </wp:positionH>
                      <wp:positionV relativeFrom="page">
                        <wp:posOffset>2024380</wp:posOffset>
                      </wp:positionV>
                      <wp:extent cx="862965" cy="564515"/>
                      <wp:effectExtent l="0" t="0" r="0" b="0"/>
                      <wp:wrapNone/>
                      <wp:docPr id="13939772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2E807A72" w14:textId="0B9857AF" w:rsidR="008013E1" w:rsidRPr="00920780" w:rsidRDefault="003C21A6" w:rsidP="00920780">
                                  <w:pPr>
                                    <w:spacing w:line="260" w:lineRule="exact"/>
                                    <w:jc w:val="center"/>
                                    <w:rPr>
                                      <w:rFonts w:ascii="Arial" w:hAnsi="Arial"/>
                                      <w:color w:val="595959"/>
                                      <w:sz w:val="20"/>
                                      <w:szCs w:val="20"/>
                                    </w:rPr>
                                  </w:pPr>
                                  <w:r w:rsidRPr="003C21A6">
                                    <w:rPr>
                                      <w:rFonts w:ascii="Arial" w:hAnsi="Arial"/>
                                      <w:color w:val="595959"/>
                                      <w:sz w:val="20"/>
                                      <w:szCs w:val="20"/>
                                    </w:rPr>
                                    <w:t>Náplast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C46ED" id="Text Box 35" o:spid="_x0000_s1066" type="#_x0000_t202" style="position:absolute;left:0;text-align:left;margin-left:6.75pt;margin-top:159.4pt;width:67.95pt;height:44.4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2E807A72" w14:textId="0B9857AF" w:rsidR="008013E1" w:rsidRPr="00920780" w:rsidRDefault="003C21A6" w:rsidP="00920780">
                            <w:pPr>
                              <w:spacing w:line="260" w:lineRule="exact"/>
                              <w:jc w:val="center"/>
                              <w:rPr>
                                <w:rFonts w:ascii="Arial" w:hAnsi="Arial"/>
                                <w:color w:val="595959"/>
                                <w:sz w:val="20"/>
                                <w:szCs w:val="20"/>
                              </w:rPr>
                            </w:pPr>
                            <w:r w:rsidRPr="003C21A6">
                              <w:rPr>
                                <w:rFonts w:ascii="Arial" w:hAnsi="Arial"/>
                                <w:color w:val="595959"/>
                                <w:sz w:val="20"/>
                                <w:szCs w:val="20"/>
                              </w:rPr>
                              <w:t>Náplast</w:t>
                            </w:r>
                          </w:p>
                        </w:txbxContent>
                      </v:textbox>
                      <w10:wrap anchory="page"/>
                      <w10:anchorlock/>
                    </v:shape>
                  </w:pict>
                </mc:Fallback>
              </mc:AlternateContent>
            </w:r>
            <w:r w:rsidR="007C403F">
              <w:rPr>
                <w:b/>
                <w:bCs/>
                <w:noProof/>
              </w:rPr>
              <w:t>obrázek B</w:t>
            </w:r>
          </w:p>
        </w:tc>
        <w:tc>
          <w:tcPr>
            <w:tcW w:w="5517" w:type="dxa"/>
          </w:tcPr>
          <w:p w14:paraId="15A74B34" w14:textId="77777777" w:rsidR="007C403F" w:rsidRDefault="007C403F">
            <w:pPr>
              <w:pStyle w:val="a3"/>
              <w:numPr>
                <w:ilvl w:val="0"/>
                <w:numId w:val="89"/>
              </w:numPr>
              <w:autoSpaceDE/>
              <w:autoSpaceDN/>
              <w:ind w:left="567" w:hanging="567"/>
              <w:rPr>
                <w:b/>
              </w:rPr>
            </w:pPr>
            <w:r>
              <w:rPr>
                <w:b/>
              </w:rPr>
              <w:t>Připravte si pomůcky pro injekci.</w:t>
            </w:r>
          </w:p>
          <w:p w14:paraId="4DFCBC18" w14:textId="77777777" w:rsidR="007C403F" w:rsidRDefault="007C403F">
            <w:pPr>
              <w:pStyle w:val="a3"/>
              <w:ind w:left="567" w:hanging="567"/>
              <w:rPr>
                <w:b/>
              </w:rPr>
            </w:pPr>
          </w:p>
          <w:p w14:paraId="73C8B304" w14:textId="77777777" w:rsidR="007C403F" w:rsidRDefault="007C403F">
            <w:pPr>
              <w:pStyle w:val="a3"/>
              <w:numPr>
                <w:ilvl w:val="0"/>
                <w:numId w:val="90"/>
              </w:numPr>
              <w:autoSpaceDE/>
              <w:autoSpaceDN/>
              <w:ind w:left="567" w:hanging="567"/>
              <w:rPr>
                <w:bCs/>
              </w:rPr>
            </w:pPr>
            <w:r w:rsidRPr="00D159C5">
              <w:t>Připravte si čistý, rovný povrch, například stůl nebo pult, na dobře osvětleném místě.</w:t>
            </w:r>
          </w:p>
          <w:p w14:paraId="75889989" w14:textId="77777777" w:rsidR="007C403F" w:rsidRDefault="007C403F">
            <w:pPr>
              <w:pStyle w:val="a3"/>
              <w:numPr>
                <w:ilvl w:val="0"/>
                <w:numId w:val="90"/>
              </w:numPr>
              <w:autoSpaceDE/>
              <w:autoSpaceDN/>
              <w:ind w:left="567" w:hanging="567"/>
              <w:rPr>
                <w:bCs/>
              </w:rPr>
            </w:pPr>
            <w:r w:rsidRPr="00D159C5">
              <w:t>Vyjměte krabičku obsahující předplněné pero z chladničky.</w:t>
            </w:r>
          </w:p>
          <w:p w14:paraId="14770AFE" w14:textId="77777777" w:rsidR="007C403F" w:rsidRDefault="007C403F">
            <w:pPr>
              <w:pStyle w:val="a3"/>
              <w:numPr>
                <w:ilvl w:val="0"/>
                <w:numId w:val="90"/>
              </w:numPr>
              <w:autoSpaceDE/>
              <w:autoSpaceDN/>
              <w:ind w:left="567" w:hanging="567"/>
              <w:rPr>
                <w:bCs/>
              </w:rPr>
            </w:pPr>
            <w:r w:rsidRPr="00D159C5">
              <w:t xml:space="preserve">Ujistěte se, že máte následující pomůcky (viz </w:t>
            </w:r>
            <w:r>
              <w:rPr>
                <w:b/>
              </w:rPr>
              <w:t>obrázek B</w:t>
            </w:r>
            <w:r w:rsidRPr="00D159C5">
              <w:t>):</w:t>
            </w:r>
          </w:p>
          <w:p w14:paraId="35ED6D3E" w14:textId="77777777" w:rsidR="007C403F" w:rsidRPr="00D159C5" w:rsidRDefault="007C403F">
            <w:pPr>
              <w:pStyle w:val="a3"/>
              <w:ind w:left="567" w:hanging="567"/>
            </w:pPr>
            <w:r>
              <w:t xml:space="preserve">- </w:t>
            </w:r>
            <w:r w:rsidRPr="00D159C5">
              <w:t>Krabička obsahující předplněné pero Avtozma</w:t>
            </w:r>
          </w:p>
          <w:p w14:paraId="7084BB7D" w14:textId="77777777" w:rsidR="007C403F" w:rsidRPr="00D159C5" w:rsidRDefault="007C403F">
            <w:pPr>
              <w:pStyle w:val="a3"/>
              <w:ind w:left="567" w:hanging="567"/>
              <w:rPr>
                <w:lang w:eastAsia="ko-KR"/>
              </w:rPr>
            </w:pPr>
          </w:p>
          <w:p w14:paraId="2F198DB1" w14:textId="77777777" w:rsidR="007C403F" w:rsidRDefault="007C403F">
            <w:pPr>
              <w:pStyle w:val="a3"/>
              <w:ind w:left="567" w:hanging="567"/>
              <w:rPr>
                <w:b/>
              </w:rPr>
            </w:pPr>
            <w:r>
              <w:rPr>
                <w:b/>
              </w:rPr>
              <w:t>Není součástí krabičky:</w:t>
            </w:r>
          </w:p>
          <w:p w14:paraId="025D8CB5" w14:textId="77777777" w:rsidR="007C403F" w:rsidRPr="00D159C5" w:rsidRDefault="007C403F">
            <w:pPr>
              <w:pStyle w:val="a3"/>
              <w:ind w:left="567" w:hanging="567"/>
            </w:pPr>
            <w:r>
              <w:t xml:space="preserve">- </w:t>
            </w:r>
            <w:r w:rsidRPr="00D159C5">
              <w:t>Vata nebo gáza</w:t>
            </w:r>
          </w:p>
          <w:p w14:paraId="59EBA138" w14:textId="77777777" w:rsidR="007C403F" w:rsidRPr="00D159C5" w:rsidRDefault="007C403F">
            <w:pPr>
              <w:pStyle w:val="a3"/>
              <w:ind w:left="567" w:hanging="567"/>
            </w:pPr>
            <w:r>
              <w:t xml:space="preserve">- </w:t>
            </w:r>
            <w:r w:rsidRPr="00D159C5">
              <w:t>Náplast</w:t>
            </w:r>
          </w:p>
          <w:p w14:paraId="3F94B44B" w14:textId="77777777" w:rsidR="007C403F" w:rsidRPr="00D159C5" w:rsidRDefault="007C403F">
            <w:pPr>
              <w:pStyle w:val="a3"/>
              <w:ind w:left="567" w:hanging="567"/>
            </w:pPr>
            <w:r>
              <w:t>- Odpadní n</w:t>
            </w:r>
            <w:r w:rsidRPr="00D159C5">
              <w:t>ádoba na ostré předměty</w:t>
            </w:r>
          </w:p>
          <w:p w14:paraId="46D56EA6" w14:textId="77777777" w:rsidR="007C403F" w:rsidRPr="00D159C5" w:rsidRDefault="007C403F">
            <w:pPr>
              <w:pStyle w:val="a3"/>
              <w:ind w:left="567" w:hanging="567"/>
            </w:pPr>
            <w:r>
              <w:t xml:space="preserve">- </w:t>
            </w:r>
            <w:r w:rsidRPr="00D159C5">
              <w:t>Alkoholový tampon</w:t>
            </w:r>
          </w:p>
          <w:p w14:paraId="69358790" w14:textId="77777777" w:rsidR="007C403F" w:rsidRPr="00DE67E9" w:rsidRDefault="007C403F" w:rsidP="007C403F"/>
        </w:tc>
      </w:tr>
      <w:tr w:rsidR="00B8592C" w:rsidRPr="00BD6707" w14:paraId="432B40E9" w14:textId="77777777">
        <w:trPr>
          <w:cantSplit/>
        </w:trPr>
        <w:tc>
          <w:tcPr>
            <w:tcW w:w="3539" w:type="dxa"/>
          </w:tcPr>
          <w:p w14:paraId="6C94BF0D" w14:textId="463C0725" w:rsidR="007C403F" w:rsidRDefault="00C301E6">
            <w:pPr>
              <w:suppressAutoHyphens/>
              <w:jc w:val="right"/>
              <w:rPr>
                <w:b/>
                <w:noProof/>
                <w:lang w:eastAsia="ko-KR"/>
              </w:rPr>
            </w:pPr>
            <w:r>
              <w:rPr>
                <w:b/>
                <w:noProof/>
                <w:lang w:val="en-US" w:eastAsia="ko-KR"/>
              </w:rPr>
              <w:drawing>
                <wp:inline distT="0" distB="0" distL="0" distR="0" wp14:anchorId="67E1CBB4" wp14:editId="0DB3CFEA">
                  <wp:extent cx="2073275" cy="2615565"/>
                  <wp:effectExtent l="19050" t="19050" r="3175" b="0"/>
                  <wp:docPr id="24"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자동 생성된 설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3275" cy="2615565"/>
                          </a:xfrm>
                          <a:prstGeom prst="rect">
                            <a:avLst/>
                          </a:prstGeom>
                          <a:noFill/>
                          <a:ln w="9525" cmpd="sng">
                            <a:solidFill>
                              <a:srgbClr val="000000"/>
                            </a:solidFill>
                            <a:miter lim="800000"/>
                            <a:headEnd/>
                            <a:tailEnd/>
                          </a:ln>
                          <a:effectLst/>
                        </pic:spPr>
                      </pic:pic>
                    </a:graphicData>
                  </a:graphic>
                </wp:inline>
              </w:drawing>
            </w:r>
          </w:p>
          <w:p w14:paraId="21724033" w14:textId="3FB4A94E" w:rsidR="007C403F" w:rsidRDefault="00C301E6">
            <w:pPr>
              <w:suppressAutoHyphens/>
              <w:jc w:val="right"/>
              <w:rPr>
                <w:b/>
                <w:noProof/>
                <w:lang w:eastAsia="ko-KR"/>
              </w:rPr>
            </w:pPr>
            <w:r>
              <w:rPr>
                <w:noProof/>
                <w:lang w:val="en-US" w:eastAsia="ko-KR"/>
              </w:rPr>
              <mc:AlternateContent>
                <mc:Choice Requires="wps">
                  <w:drawing>
                    <wp:anchor distT="45720" distB="45720" distL="114300" distR="114300" simplePos="0" relativeHeight="251658286" behindDoc="0" locked="1" layoutInCell="1" allowOverlap="1" wp14:anchorId="7BB1C6BF" wp14:editId="0AC4EC94">
                      <wp:simplePos x="0" y="0"/>
                      <wp:positionH relativeFrom="column">
                        <wp:posOffset>1058545</wp:posOffset>
                      </wp:positionH>
                      <wp:positionV relativeFrom="paragraph">
                        <wp:posOffset>-1686560</wp:posOffset>
                      </wp:positionV>
                      <wp:extent cx="673100" cy="116840"/>
                      <wp:effectExtent l="19050" t="38100" r="0" b="35560"/>
                      <wp:wrapNone/>
                      <wp:docPr id="20999810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116840"/>
                              </a:xfrm>
                              <a:prstGeom prst="rect">
                                <a:avLst/>
                              </a:prstGeom>
                              <a:noFill/>
                              <a:ln>
                                <a:noFill/>
                              </a:ln>
                            </wps:spPr>
                            <wps:txbx>
                              <w:txbxContent>
                                <w:p w14:paraId="42C868D8" w14:textId="5E8B7438" w:rsidR="008013E1" w:rsidRPr="00F32F95" w:rsidRDefault="003C21A6" w:rsidP="00920780">
                                  <w:pPr>
                                    <w:jc w:val="center"/>
                                    <w:rPr>
                                      <w:rFonts w:ascii="Arial Narrow" w:hAnsi="Arial Narrow"/>
                                      <w:b/>
                                      <w:bCs/>
                                      <w:sz w:val="16"/>
                                      <w:szCs w:val="16"/>
                                    </w:rPr>
                                  </w:pPr>
                                  <w:r w:rsidRPr="003C21A6">
                                    <w:rPr>
                                      <w:rFonts w:ascii="Arial Narrow" w:hAnsi="Arial Narrow"/>
                                      <w:b/>
                                      <w:bCs/>
                                      <w:sz w:val="16"/>
                                      <w:szCs w:val="16"/>
                                    </w:rPr>
                                    <w:t>EXP: MM RRRR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BB1C6BF" id="Text Box 33" o:spid="_x0000_s1067" type="#_x0000_t202" style="position:absolute;left:0;text-align:left;margin-left:83.35pt;margin-top:-132.8pt;width:53pt;height:9.2pt;rotation:-448334fd;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" filled="f" stroked="f">
                      <v:textbox style="mso-fit-shape-to-text:t" inset="0,0,0,0">
                        <w:txbxContent>
                          <w:p w14:paraId="42C868D8" w14:textId="5E8B7438" w:rsidR="008013E1" w:rsidRPr="00F32F95" w:rsidRDefault="003C21A6" w:rsidP="00920780">
                            <w:pPr>
                              <w:jc w:val="center"/>
                              <w:rPr>
                                <w:rFonts w:ascii="Arial Narrow" w:hAnsi="Arial Narrow"/>
                                <w:b/>
                                <w:bCs/>
                                <w:sz w:val="16"/>
                                <w:szCs w:val="16"/>
                              </w:rPr>
                            </w:pPr>
                            <w:r w:rsidRPr="003C21A6">
                              <w:rPr>
                                <w:rFonts w:ascii="Arial Narrow" w:hAnsi="Arial Narrow"/>
                                <w:b/>
                                <w:bCs/>
                                <w:sz w:val="16"/>
                                <w:szCs w:val="16"/>
                              </w:rPr>
                              <w:t>EXP: MM RRRR</w:t>
                            </w:r>
                          </w:p>
                        </w:txbxContent>
                      </v:textbox>
                      <w10:anchorlock/>
                    </v:shape>
                  </w:pict>
                </mc:Fallback>
              </mc:AlternateContent>
            </w:r>
            <w:r>
              <w:rPr>
                <w:noProof/>
                <w:lang w:val="en-US" w:eastAsia="ko-KR"/>
              </w:rPr>
              <mc:AlternateContent>
                <mc:Choice Requires="wps">
                  <w:drawing>
                    <wp:anchor distT="45720" distB="45720" distL="114300" distR="114300" simplePos="0" relativeHeight="251658287" behindDoc="0" locked="1" layoutInCell="1" allowOverlap="1" wp14:anchorId="13691E78" wp14:editId="73B431B0">
                      <wp:simplePos x="0" y="0"/>
                      <wp:positionH relativeFrom="column">
                        <wp:posOffset>1313815</wp:posOffset>
                      </wp:positionH>
                      <wp:positionV relativeFrom="paragraph">
                        <wp:posOffset>-659765</wp:posOffset>
                      </wp:positionV>
                      <wp:extent cx="673100" cy="87630"/>
                      <wp:effectExtent l="19050" t="38100" r="0" b="26670"/>
                      <wp:wrapNone/>
                      <wp:docPr id="1590256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7630"/>
                              </a:xfrm>
                              <a:prstGeom prst="rect">
                                <a:avLst/>
                              </a:prstGeom>
                              <a:noFill/>
                              <a:ln>
                                <a:noFill/>
                              </a:ln>
                            </wps:spPr>
                            <wps:txbx>
                              <w:txbxContent>
                                <w:p w14:paraId="1AADF78A" w14:textId="24A9AC93" w:rsidR="008013E1" w:rsidRPr="00F32F95" w:rsidRDefault="003C21A6" w:rsidP="00920780">
                                  <w:pPr>
                                    <w:rPr>
                                      <w:rFonts w:ascii="Arial Narrow" w:hAnsi="Arial Narrow"/>
                                      <w:b/>
                                      <w:bCs/>
                                      <w:sz w:val="12"/>
                                      <w:szCs w:val="12"/>
                                    </w:rPr>
                                  </w:pPr>
                                  <w:r w:rsidRPr="003C21A6">
                                    <w:rPr>
                                      <w:rFonts w:ascii="Arial Narrow" w:hAnsi="Arial Narrow"/>
                                      <w:b/>
                                      <w:bCs/>
                                      <w:sz w:val="12"/>
                                      <w:szCs w:val="12"/>
                                    </w:rPr>
                                    <w:t>EXP: MM RRRR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691E78" id="Text Box 31" o:spid="_x0000_s1068" type="#_x0000_t202" style="position:absolute;left:0;text-align:left;margin-left:103.45pt;margin-top:-51.95pt;width:53pt;height:6.9pt;rotation:-535127fd;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dN4w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" filled="f" stroked="f">
                      <v:textbox style="mso-fit-shape-to-text:t" inset="0,0,0,0">
                        <w:txbxContent>
                          <w:p w14:paraId="1AADF78A" w14:textId="24A9AC93" w:rsidR="008013E1" w:rsidRPr="00F32F95" w:rsidRDefault="003C21A6" w:rsidP="00920780">
                            <w:pPr>
                              <w:rPr>
                                <w:rFonts w:ascii="Arial Narrow" w:hAnsi="Arial Narrow"/>
                                <w:b/>
                                <w:bCs/>
                                <w:sz w:val="12"/>
                                <w:szCs w:val="12"/>
                              </w:rPr>
                            </w:pPr>
                            <w:r w:rsidRPr="003C21A6">
                              <w:rPr>
                                <w:rFonts w:ascii="Arial Narrow" w:hAnsi="Arial Narrow"/>
                                <w:b/>
                                <w:bCs/>
                                <w:sz w:val="12"/>
                                <w:szCs w:val="12"/>
                              </w:rPr>
                              <w:t>EXP: MM RRRR</w:t>
                            </w:r>
                          </w:p>
                        </w:txbxContent>
                      </v:textbox>
                      <w10:anchorlock/>
                    </v:shape>
                  </w:pict>
                </mc:Fallback>
              </mc:AlternateContent>
            </w:r>
            <w:r w:rsidR="007C403F">
              <w:rPr>
                <w:b/>
                <w:noProof/>
                <w:lang w:eastAsia="ko-KR"/>
              </w:rPr>
              <w:t>obrázek C</w:t>
            </w:r>
          </w:p>
        </w:tc>
        <w:tc>
          <w:tcPr>
            <w:tcW w:w="5517" w:type="dxa"/>
          </w:tcPr>
          <w:p w14:paraId="2A3F189F" w14:textId="77777777" w:rsidR="007C403F" w:rsidRDefault="007C403F">
            <w:pPr>
              <w:pStyle w:val="a3"/>
              <w:numPr>
                <w:ilvl w:val="0"/>
                <w:numId w:val="89"/>
              </w:numPr>
              <w:autoSpaceDE/>
              <w:autoSpaceDN/>
              <w:ind w:left="567" w:hanging="567"/>
              <w:rPr>
                <w:b/>
              </w:rPr>
            </w:pPr>
            <w:r>
              <w:rPr>
                <w:b/>
              </w:rPr>
              <w:t>Prohlédněte si krabičku</w:t>
            </w:r>
          </w:p>
          <w:p w14:paraId="51A05CD5" w14:textId="77777777" w:rsidR="007C403F" w:rsidRDefault="007C403F">
            <w:pPr>
              <w:pStyle w:val="a3"/>
              <w:ind w:left="567" w:hanging="567"/>
              <w:rPr>
                <w:b/>
              </w:rPr>
            </w:pPr>
          </w:p>
          <w:p w14:paraId="101645C0" w14:textId="77777777" w:rsidR="007C403F" w:rsidRDefault="007C403F">
            <w:pPr>
              <w:pStyle w:val="a3"/>
              <w:numPr>
                <w:ilvl w:val="0"/>
                <w:numId w:val="91"/>
              </w:numPr>
              <w:autoSpaceDE/>
              <w:autoSpaceDN/>
              <w:ind w:left="567" w:hanging="567"/>
              <w:rPr>
                <w:bCs/>
              </w:rPr>
            </w:pPr>
            <w:r w:rsidRPr="00D159C5">
              <w:t>Prohlédněte si krabičku a ujistěte se, že máte správný léčivý přípravek a dávku. (Avtozma)</w:t>
            </w:r>
          </w:p>
          <w:p w14:paraId="417E9F95" w14:textId="77777777" w:rsidR="007C403F" w:rsidRDefault="007C403F">
            <w:pPr>
              <w:pStyle w:val="a3"/>
              <w:numPr>
                <w:ilvl w:val="0"/>
                <w:numId w:val="91"/>
              </w:numPr>
              <w:autoSpaceDE/>
              <w:autoSpaceDN/>
              <w:ind w:left="567" w:hanging="567"/>
              <w:rPr>
                <w:bCs/>
              </w:rPr>
            </w:pPr>
            <w:r w:rsidRPr="00D159C5">
              <w:t>Zkontrolujte datum použitelnoosti na krabičce a ujistěte se, že ještě neuplynulo.</w:t>
            </w:r>
          </w:p>
          <w:p w14:paraId="31BCDFE3" w14:textId="77777777" w:rsidR="007C403F" w:rsidRPr="00D159C5" w:rsidRDefault="007C403F">
            <w:pPr>
              <w:pStyle w:val="a3"/>
              <w:ind w:left="567" w:hanging="567"/>
              <w:rPr>
                <w:lang w:eastAsia="ko-KR"/>
              </w:rPr>
            </w:pPr>
          </w:p>
          <w:p w14:paraId="35E5C941" w14:textId="77777777" w:rsidR="007C403F" w:rsidRDefault="007C403F">
            <w:pPr>
              <w:pStyle w:val="a3"/>
              <w:ind w:left="567" w:hanging="567"/>
              <w:rPr>
                <w:b/>
                <w:lang w:eastAsia="ko-KR"/>
              </w:rPr>
            </w:pPr>
          </w:p>
          <w:p w14:paraId="4B668885" w14:textId="77777777" w:rsidR="007C403F" w:rsidRPr="00D159C5" w:rsidRDefault="007C403F">
            <w:pPr>
              <w:pStyle w:val="a3"/>
              <w:numPr>
                <w:ilvl w:val="0"/>
                <w:numId w:val="70"/>
              </w:numPr>
              <w:autoSpaceDE/>
              <w:autoSpaceDN/>
              <w:ind w:left="1134" w:hanging="567"/>
            </w:pPr>
            <w:r>
              <w:rPr>
                <w:b/>
              </w:rPr>
              <w:t xml:space="preserve">Nepoužívejte </w:t>
            </w:r>
            <w:r w:rsidRPr="000E39FE">
              <w:t>předplněné pero, pokud</w:t>
            </w:r>
            <w:r w:rsidRPr="00D159C5">
              <w:t xml:space="preserve"> doba použitelnosti již uplynula.</w:t>
            </w:r>
          </w:p>
          <w:p w14:paraId="37904237" w14:textId="77777777" w:rsidR="007C403F" w:rsidRPr="00D159C5" w:rsidRDefault="007C403F">
            <w:pPr>
              <w:pStyle w:val="a3"/>
              <w:numPr>
                <w:ilvl w:val="0"/>
                <w:numId w:val="70"/>
              </w:numPr>
              <w:autoSpaceDE/>
              <w:autoSpaceDN/>
              <w:ind w:left="1134" w:hanging="567"/>
            </w:pPr>
            <w:r w:rsidRPr="00D159C5">
              <w:t xml:space="preserve">Pokud otevíráte krabičku poprvé, zkontrolujte, zda je řádně uzavřena. </w:t>
            </w:r>
          </w:p>
          <w:p w14:paraId="34490109" w14:textId="77777777" w:rsidR="007C403F" w:rsidRPr="00D159C5" w:rsidRDefault="007C403F">
            <w:pPr>
              <w:pStyle w:val="a3"/>
              <w:numPr>
                <w:ilvl w:val="0"/>
                <w:numId w:val="70"/>
              </w:numPr>
              <w:autoSpaceDE/>
              <w:autoSpaceDN/>
              <w:ind w:left="1134" w:hanging="567"/>
            </w:pPr>
            <w:r>
              <w:rPr>
                <w:b/>
              </w:rPr>
              <w:t>Nepoužívejte</w:t>
            </w:r>
            <w:r w:rsidRPr="00D159C5">
              <w:t xml:space="preserve"> předplněné pero, pokud krabička vypadá, že byla otevřena nebo poškozena.</w:t>
            </w:r>
          </w:p>
          <w:p w14:paraId="584DFE8D" w14:textId="77777777" w:rsidR="007C403F" w:rsidRPr="00DE67E9" w:rsidRDefault="007C403F" w:rsidP="007C403F"/>
        </w:tc>
      </w:tr>
      <w:tr w:rsidR="00B8592C" w:rsidRPr="00BD6707" w14:paraId="7C54C376" w14:textId="77777777">
        <w:trPr>
          <w:cantSplit/>
        </w:trPr>
        <w:tc>
          <w:tcPr>
            <w:tcW w:w="3539" w:type="dxa"/>
          </w:tcPr>
          <w:p w14:paraId="6D6614BE" w14:textId="5E935ED0" w:rsidR="009B68D2" w:rsidRDefault="00C301E6">
            <w:pPr>
              <w:suppressAutoHyphens/>
              <w:jc w:val="right"/>
              <w:rPr>
                <w:b/>
                <w:noProof/>
              </w:rPr>
            </w:pPr>
            <w:r>
              <w:rPr>
                <w:noProof/>
                <w:lang w:val="en-US" w:eastAsia="ko-KR"/>
              </w:rPr>
              <w:lastRenderedPageBreak/>
              <w:drawing>
                <wp:inline distT="0" distB="0" distL="0" distR="0" wp14:anchorId="4260B5B3" wp14:editId="13AFE93C">
                  <wp:extent cx="2073275" cy="2552065"/>
                  <wp:effectExtent l="19050" t="19050" r="3175" b="635"/>
                  <wp:docPr id="25"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00369EA9" w14:textId="03B8AE4A" w:rsidR="009B68D2" w:rsidRDefault="00C301E6">
            <w:pPr>
              <w:suppressAutoHyphens/>
              <w:jc w:val="right"/>
              <w:rPr>
                <w:b/>
                <w:noProof/>
              </w:rPr>
            </w:pPr>
            <w:r>
              <w:rPr>
                <w:noProof/>
                <w:lang w:val="en-US" w:eastAsia="ko-KR"/>
              </w:rPr>
              <mc:AlternateContent>
                <mc:Choice Requires="wps">
                  <w:drawing>
                    <wp:anchor distT="45720" distB="45720" distL="114300" distR="114300" simplePos="0" relativeHeight="251658288" behindDoc="0" locked="1" layoutInCell="1" allowOverlap="1" wp14:anchorId="7989636B" wp14:editId="4039C7F4">
                      <wp:simplePos x="0" y="0"/>
                      <wp:positionH relativeFrom="column">
                        <wp:posOffset>951230</wp:posOffset>
                      </wp:positionH>
                      <wp:positionV relativeFrom="paragraph">
                        <wp:posOffset>-1912620</wp:posOffset>
                      </wp:positionV>
                      <wp:extent cx="1007110" cy="440690"/>
                      <wp:effectExtent l="0" t="0" r="0" b="0"/>
                      <wp:wrapNone/>
                      <wp:docPr id="15657501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40690"/>
                              </a:xfrm>
                              <a:prstGeom prst="rect">
                                <a:avLst/>
                              </a:prstGeom>
                              <a:noFill/>
                              <a:ln>
                                <a:noFill/>
                              </a:ln>
                            </wps:spPr>
                            <wps:txbx>
                              <w:txbxContent>
                                <w:p w14:paraId="17570A6E" w14:textId="7B3F4019" w:rsidR="008013E1" w:rsidRPr="00920780" w:rsidRDefault="003C21A6" w:rsidP="00920780">
                                  <w:pPr>
                                    <w:spacing w:line="260" w:lineRule="exact"/>
                                    <w:jc w:val="center"/>
                                    <w:rPr>
                                      <w:rFonts w:cs="Calibri"/>
                                      <w:b/>
                                      <w:bCs/>
                                      <w:sz w:val="20"/>
                                      <w:szCs w:val="20"/>
                                    </w:rPr>
                                  </w:pPr>
                                  <w:r w:rsidRPr="003C21A6">
                                    <w:rPr>
                                      <w:rFonts w:cs="Calibri"/>
                                      <w:b/>
                                      <w:bCs/>
                                      <w:sz w:val="20"/>
                                      <w:szCs w:val="20"/>
                                    </w:rPr>
                                    <w:t>EXP: MM RRRR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89636B" id="Text Box 29" o:spid="_x0000_s1069" type="#_x0000_t202" style="position:absolute;left:0;text-align:left;margin-left:74.9pt;margin-top:-150.6pt;width:79.3pt;height:34.7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2S2wEAAJsDAAAOAAAAZHJzL2Uyb0RvYy54bWysU9tu1DAQfUfiHyy/s0lKVS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" filled="f" stroked="f">
                      <v:textbox inset="0,0,0,0">
                        <w:txbxContent>
                          <w:p w14:paraId="17570A6E" w14:textId="7B3F4019" w:rsidR="008013E1" w:rsidRPr="00920780" w:rsidRDefault="003C21A6" w:rsidP="00920780">
                            <w:pPr>
                              <w:spacing w:line="260" w:lineRule="exact"/>
                              <w:jc w:val="center"/>
                              <w:rPr>
                                <w:rFonts w:cs="Calibri"/>
                                <w:b/>
                                <w:bCs/>
                                <w:sz w:val="20"/>
                                <w:szCs w:val="20"/>
                              </w:rPr>
                            </w:pPr>
                            <w:r w:rsidRPr="003C21A6">
                              <w:rPr>
                                <w:rFonts w:cs="Calibri"/>
                                <w:b/>
                                <w:bCs/>
                                <w:sz w:val="20"/>
                                <w:szCs w:val="20"/>
                              </w:rPr>
                              <w:t>EXP: MM RRRR</w:t>
                            </w:r>
                          </w:p>
                        </w:txbxContent>
                      </v:textbox>
                      <w10:anchorlock/>
                    </v:shape>
                  </w:pict>
                </mc:Fallback>
              </mc:AlternateContent>
            </w:r>
            <w:r w:rsidR="009B68D2">
              <w:rPr>
                <w:b/>
                <w:noProof/>
              </w:rPr>
              <w:t>obrázek D</w:t>
            </w:r>
          </w:p>
        </w:tc>
        <w:tc>
          <w:tcPr>
            <w:tcW w:w="5517" w:type="dxa"/>
          </w:tcPr>
          <w:p w14:paraId="4CA8EAE4" w14:textId="77777777" w:rsidR="009B68D2" w:rsidRDefault="009B68D2">
            <w:pPr>
              <w:pStyle w:val="a3"/>
              <w:numPr>
                <w:ilvl w:val="0"/>
                <w:numId w:val="89"/>
              </w:numPr>
              <w:autoSpaceDE/>
              <w:autoSpaceDN/>
              <w:ind w:left="567" w:hanging="567"/>
              <w:rPr>
                <w:b/>
              </w:rPr>
            </w:pPr>
            <w:r>
              <w:rPr>
                <w:b/>
              </w:rPr>
              <w:t>Prohlédněte si předplněné pero.</w:t>
            </w:r>
          </w:p>
          <w:p w14:paraId="074811FC" w14:textId="77777777" w:rsidR="009B68D2" w:rsidRDefault="009B68D2">
            <w:pPr>
              <w:ind w:left="567" w:hanging="567"/>
              <w:rPr>
                <w:bCs/>
              </w:rPr>
            </w:pPr>
          </w:p>
          <w:p w14:paraId="72E6AC43" w14:textId="77777777" w:rsidR="009B68D2" w:rsidRPr="00D159C5" w:rsidRDefault="009B68D2">
            <w:pPr>
              <w:pStyle w:val="a3"/>
              <w:numPr>
                <w:ilvl w:val="0"/>
                <w:numId w:val="92"/>
              </w:numPr>
              <w:autoSpaceDE/>
              <w:autoSpaceDN/>
              <w:ind w:left="567" w:hanging="567"/>
            </w:pPr>
            <w:r w:rsidRPr="00D159C5">
              <w:t>Otevřete krabičku a vyjměte z krabičky jedno jednodávkové předplněné pero. Vraťte všechna zbývající předplněná pera Avtozma v krabičce do chladničky.</w:t>
            </w:r>
          </w:p>
          <w:p w14:paraId="166B7DA1" w14:textId="77777777" w:rsidR="009B68D2" w:rsidRDefault="009B68D2">
            <w:pPr>
              <w:pStyle w:val="a3"/>
              <w:numPr>
                <w:ilvl w:val="0"/>
                <w:numId w:val="92"/>
              </w:numPr>
              <w:autoSpaceDE/>
              <w:autoSpaceDN/>
              <w:ind w:left="567" w:hanging="567"/>
              <w:rPr>
                <w:bCs/>
              </w:rPr>
            </w:pPr>
            <w:r w:rsidRPr="00D159C5">
              <w:t xml:space="preserve">Zkontrolujte datum použitelnosti předplněného pera Avtozma (viz </w:t>
            </w:r>
            <w:r>
              <w:rPr>
                <w:b/>
                <w:bCs/>
              </w:rPr>
              <w:t>obrázek D</w:t>
            </w:r>
            <w:r w:rsidRPr="00D159C5">
              <w:t>).</w:t>
            </w:r>
          </w:p>
          <w:p w14:paraId="34BF438F" w14:textId="77777777" w:rsidR="009B68D2" w:rsidRPr="00D159C5" w:rsidRDefault="009B68D2">
            <w:pPr>
              <w:pStyle w:val="a3"/>
              <w:numPr>
                <w:ilvl w:val="0"/>
                <w:numId w:val="70"/>
              </w:numPr>
              <w:autoSpaceDE/>
              <w:autoSpaceDN/>
              <w:ind w:left="1134" w:hanging="567"/>
            </w:pPr>
            <w:r>
              <w:rPr>
                <w:b/>
              </w:rPr>
              <w:t xml:space="preserve">Nepoužívejte </w:t>
            </w:r>
            <w:r w:rsidRPr="00E8723C">
              <w:t>předplněné pero, pokud</w:t>
            </w:r>
            <w:r w:rsidRPr="00D159C5">
              <w:t xml:space="preserve"> doba použitelnosti již uplynula. Pokud datum použitelnosti už uplynulo, bezpečně zlikvidujte předplněné pero v</w:t>
            </w:r>
            <w:r>
              <w:t xml:space="preserve"> odpadní </w:t>
            </w:r>
            <w:r w:rsidRPr="00D159C5">
              <w:t>nádobě na ostré předměty a vezměte si nové.</w:t>
            </w:r>
          </w:p>
          <w:p w14:paraId="288F9606" w14:textId="77777777" w:rsidR="009B68D2" w:rsidRDefault="009B68D2">
            <w:pPr>
              <w:pStyle w:val="a3"/>
              <w:numPr>
                <w:ilvl w:val="0"/>
                <w:numId w:val="92"/>
              </w:numPr>
              <w:autoSpaceDE/>
              <w:autoSpaceDN/>
              <w:ind w:left="567" w:hanging="567"/>
              <w:rPr>
                <w:bCs/>
              </w:rPr>
            </w:pPr>
            <w:r w:rsidRPr="00D159C5">
              <w:t xml:space="preserve">Zkontrolujte předplněné pero, zda není poškozené a nevykazuje známky úniku </w:t>
            </w:r>
            <w:r>
              <w:t>tekutiny</w:t>
            </w:r>
            <w:r w:rsidRPr="00D159C5">
              <w:t>.</w:t>
            </w:r>
          </w:p>
          <w:p w14:paraId="277B2C30" w14:textId="77777777" w:rsidR="009B68D2" w:rsidRPr="00D159C5" w:rsidRDefault="009B68D2">
            <w:pPr>
              <w:pStyle w:val="a3"/>
              <w:numPr>
                <w:ilvl w:val="0"/>
                <w:numId w:val="70"/>
              </w:numPr>
              <w:autoSpaceDE/>
              <w:autoSpaceDN/>
              <w:ind w:left="1134" w:hanging="567"/>
            </w:pPr>
            <w:r>
              <w:rPr>
                <w:b/>
              </w:rPr>
              <w:t>Nepoužívejte</w:t>
            </w:r>
            <w:r w:rsidRPr="00D159C5">
              <w:t xml:space="preserve"> předplněné pero, pokud spadlo na zem, je poškozené nebo z něj uniká </w:t>
            </w:r>
            <w:r>
              <w:t>tekutina</w:t>
            </w:r>
            <w:r w:rsidRPr="00D159C5">
              <w:t>.</w:t>
            </w:r>
          </w:p>
          <w:p w14:paraId="3B5AF645" w14:textId="77777777" w:rsidR="009B68D2" w:rsidRDefault="009B68D2">
            <w:pPr>
              <w:pStyle w:val="a3"/>
              <w:ind w:left="567"/>
              <w:rPr>
                <w:bCs/>
                <w:noProof/>
              </w:rPr>
            </w:pPr>
            <w:r>
              <w:rPr>
                <w:i/>
              </w:rPr>
              <w:t>Poznámka:</w:t>
            </w:r>
            <w:r w:rsidRPr="00D159C5">
              <w:t xml:space="preserve"> Malá mezera mezi oranžovým krytem a tělem vstřikovače je normální.</w:t>
            </w:r>
          </w:p>
          <w:p w14:paraId="426A1FDA" w14:textId="77777777" w:rsidR="009B68D2" w:rsidRPr="00DE67E9" w:rsidRDefault="009B68D2" w:rsidP="009B68D2"/>
        </w:tc>
      </w:tr>
      <w:tr w:rsidR="00B8592C" w:rsidRPr="00BD6707" w14:paraId="406E82F5" w14:textId="77777777">
        <w:trPr>
          <w:cantSplit/>
        </w:trPr>
        <w:tc>
          <w:tcPr>
            <w:tcW w:w="3539" w:type="dxa"/>
          </w:tcPr>
          <w:p w14:paraId="5ADB7AD4" w14:textId="221D0BF2" w:rsidR="009B68D2" w:rsidRDefault="00C301E6">
            <w:pPr>
              <w:suppressAutoHyphens/>
              <w:jc w:val="right"/>
              <w:rPr>
                <w:noProof/>
              </w:rPr>
            </w:pPr>
            <w:r>
              <w:rPr>
                <w:noProof/>
                <w:lang w:val="en-US" w:eastAsia="ko-KR"/>
              </w:rPr>
              <w:drawing>
                <wp:inline distT="0" distB="0" distL="0" distR="0" wp14:anchorId="051ED95A" wp14:editId="7FFCD8FB">
                  <wp:extent cx="2073275" cy="2604770"/>
                  <wp:effectExtent l="19050" t="19050" r="3175" b="5080"/>
                  <wp:docPr id="26"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3275" cy="2604770"/>
                          </a:xfrm>
                          <a:prstGeom prst="rect">
                            <a:avLst/>
                          </a:prstGeom>
                          <a:noFill/>
                          <a:ln w="9525" cmpd="sng">
                            <a:solidFill>
                              <a:srgbClr val="000000"/>
                            </a:solidFill>
                            <a:miter lim="800000"/>
                            <a:headEnd/>
                            <a:tailEnd/>
                          </a:ln>
                          <a:effectLst/>
                        </pic:spPr>
                      </pic:pic>
                    </a:graphicData>
                  </a:graphic>
                </wp:inline>
              </w:drawing>
            </w:r>
          </w:p>
          <w:p w14:paraId="310405B0" w14:textId="1BB9DA0E" w:rsidR="009B68D2" w:rsidRDefault="00C301E6">
            <w:pPr>
              <w:suppressAutoHyphens/>
              <w:jc w:val="right"/>
              <w:rPr>
                <w:b/>
                <w:bCs/>
                <w:noProof/>
              </w:rPr>
            </w:pPr>
            <w:r>
              <w:rPr>
                <w:noProof/>
                <w:lang w:val="en-US" w:eastAsia="ko-KR"/>
              </w:rPr>
              <mc:AlternateContent>
                <mc:Choice Requires="wps">
                  <w:drawing>
                    <wp:anchor distT="45720" distB="45720" distL="114300" distR="114300" simplePos="0" relativeHeight="251658289" behindDoc="0" locked="1" layoutInCell="1" allowOverlap="1" wp14:anchorId="1A9C9CAF" wp14:editId="4091280A">
                      <wp:simplePos x="0" y="0"/>
                      <wp:positionH relativeFrom="column">
                        <wp:posOffset>369570</wp:posOffset>
                      </wp:positionH>
                      <wp:positionV relativeFrom="paragraph">
                        <wp:posOffset>-2183130</wp:posOffset>
                      </wp:positionV>
                      <wp:extent cx="767080" cy="489585"/>
                      <wp:effectExtent l="0" t="0" r="0" b="0"/>
                      <wp:wrapNone/>
                      <wp:docPr id="9051013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57F9E9DF" w14:textId="2AEA17D9" w:rsidR="008013E1" w:rsidRPr="00BD5782" w:rsidRDefault="008013E1" w:rsidP="00920780">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003C21A6" w:rsidRPr="003C21A6">
                                    <w:rPr>
                                      <w:rFonts w:ascii="Arial" w:hAnsi="Arial" w:cs="Arial"/>
                                      <w:b/>
                                      <w:bCs/>
                                      <w:sz w:val="24"/>
                                      <w:szCs w:val="24"/>
                                    </w:rPr>
                                    <w:t>minut</w:t>
                                  </w:r>
                                </w:p>
                                <w:p w14:paraId="298DFCE3" w14:textId="77777777" w:rsidR="008013E1" w:rsidRPr="00BD5782" w:rsidRDefault="008013E1" w:rsidP="00920780">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C9CAF" id="Text Box 27" o:spid="_x0000_s1070" type="#_x0000_t202" style="position:absolute;left:0;text-align:left;margin-left:29.1pt;margin-top:-171.9pt;width:60.4pt;height:38.5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" filled="f" stroked="f">
                      <v:textbox inset="0,0,0,0">
                        <w:txbxContent>
                          <w:p w14:paraId="57F9E9DF" w14:textId="2AEA17D9" w:rsidR="008013E1" w:rsidRPr="00BD5782" w:rsidRDefault="008013E1" w:rsidP="00920780">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003C21A6" w:rsidRPr="003C21A6">
                              <w:rPr>
                                <w:rFonts w:ascii="Arial" w:hAnsi="Arial" w:cs="Arial"/>
                                <w:b/>
                                <w:bCs/>
                                <w:sz w:val="24"/>
                                <w:szCs w:val="24"/>
                              </w:rPr>
                              <w:t>minut</w:t>
                            </w:r>
                          </w:p>
                          <w:p w14:paraId="298DFCE3" w14:textId="77777777" w:rsidR="008013E1" w:rsidRPr="00BD5782" w:rsidRDefault="008013E1" w:rsidP="00920780">
                            <w:pPr>
                              <w:spacing w:line="216" w:lineRule="auto"/>
                              <w:jc w:val="center"/>
                              <w:rPr>
                                <w:rFonts w:ascii="Arial" w:hAnsi="Arial" w:cs="Arial"/>
                                <w:b/>
                                <w:bCs/>
                                <w:sz w:val="16"/>
                                <w:szCs w:val="16"/>
                              </w:rPr>
                            </w:pPr>
                          </w:p>
                        </w:txbxContent>
                      </v:textbox>
                      <w10:anchorlock/>
                    </v:shape>
                  </w:pict>
                </mc:Fallback>
              </mc:AlternateContent>
            </w:r>
            <w:r w:rsidR="009B68D2">
              <w:rPr>
                <w:b/>
                <w:bCs/>
                <w:noProof/>
              </w:rPr>
              <w:t>obrázek E</w:t>
            </w:r>
          </w:p>
        </w:tc>
        <w:tc>
          <w:tcPr>
            <w:tcW w:w="5517" w:type="dxa"/>
          </w:tcPr>
          <w:p w14:paraId="63EE3467" w14:textId="77777777" w:rsidR="009B68D2" w:rsidRDefault="009B68D2">
            <w:pPr>
              <w:pStyle w:val="a3"/>
              <w:numPr>
                <w:ilvl w:val="0"/>
                <w:numId w:val="89"/>
              </w:numPr>
              <w:autoSpaceDE/>
              <w:autoSpaceDN/>
              <w:ind w:left="567" w:hanging="567"/>
              <w:rPr>
                <w:b/>
              </w:rPr>
            </w:pPr>
            <w:r>
              <w:rPr>
                <w:b/>
              </w:rPr>
              <w:t>Počkejte 45 minut.</w:t>
            </w:r>
          </w:p>
          <w:p w14:paraId="445D3E0A" w14:textId="77777777" w:rsidR="009B68D2" w:rsidRDefault="009B68D2">
            <w:pPr>
              <w:pStyle w:val="Default"/>
              <w:ind w:left="567" w:hanging="567"/>
              <w:rPr>
                <w:rFonts w:ascii="Times New Roman" w:hAnsi="Times New Roman" w:cs="Times New Roman"/>
                <w:sz w:val="22"/>
                <w:szCs w:val="22"/>
              </w:rPr>
            </w:pPr>
          </w:p>
          <w:p w14:paraId="4821F1AE" w14:textId="43D8C75B" w:rsidR="009B68D2" w:rsidRPr="00D159C5" w:rsidRDefault="009B68D2">
            <w:pPr>
              <w:pStyle w:val="a3"/>
              <w:numPr>
                <w:ilvl w:val="0"/>
                <w:numId w:val="93"/>
              </w:numPr>
              <w:autoSpaceDE/>
              <w:autoSpaceDN/>
              <w:ind w:left="567" w:hanging="567"/>
            </w:pPr>
            <w:r w:rsidRPr="00D159C5">
              <w:t xml:space="preserve">Ponechte předplněné pero mimo krabičku při pokojové teplotě </w:t>
            </w:r>
            <w:r w:rsidR="00F86246">
              <w:rPr>
                <w:rFonts w:eastAsia="맑은 고딕" w:hint="eastAsia"/>
                <w:lang w:eastAsia="ko-KR"/>
              </w:rPr>
              <w:t>18</w:t>
            </w:r>
            <w:r w:rsidR="00F86246" w:rsidRPr="00D159C5">
              <w:t xml:space="preserve"> </w:t>
            </w:r>
            <w:r w:rsidRPr="00D159C5">
              <w:t xml:space="preserve">°C až </w:t>
            </w:r>
            <w:r w:rsidR="00F86246" w:rsidRPr="00D159C5">
              <w:t>2</w:t>
            </w:r>
            <w:r w:rsidR="00F86246">
              <w:rPr>
                <w:rFonts w:eastAsia="맑은 고딕" w:hint="eastAsia"/>
                <w:lang w:eastAsia="ko-KR"/>
              </w:rPr>
              <w:t>8</w:t>
            </w:r>
            <w:r w:rsidR="00F86246" w:rsidRPr="00D159C5">
              <w:t xml:space="preserve"> </w:t>
            </w:r>
            <w:r w:rsidRPr="00D159C5">
              <w:t xml:space="preserve">°C po dobu 45 minut, aby se zahřálo (viz </w:t>
            </w:r>
            <w:r>
              <w:rPr>
                <w:b/>
              </w:rPr>
              <w:t>obrázek E</w:t>
            </w:r>
            <w:r w:rsidRPr="00D159C5">
              <w:t>).</w:t>
            </w:r>
          </w:p>
          <w:p w14:paraId="59417734" w14:textId="77777777" w:rsidR="009B68D2" w:rsidRPr="00D159C5" w:rsidRDefault="009B68D2">
            <w:pPr>
              <w:pStyle w:val="a3"/>
              <w:numPr>
                <w:ilvl w:val="0"/>
                <w:numId w:val="70"/>
              </w:numPr>
              <w:autoSpaceDE/>
              <w:autoSpaceDN/>
              <w:ind w:left="1134" w:hanging="567"/>
            </w:pPr>
            <w:r>
              <w:rPr>
                <w:b/>
              </w:rPr>
              <w:t>Nezahřívejte</w:t>
            </w:r>
            <w:r w:rsidRPr="00D159C5">
              <w:t xml:space="preserve"> předplněné pero pomocí zdrojů tepla, jako je horká voda nebo mikrovlnná trouba.</w:t>
            </w:r>
          </w:p>
          <w:p w14:paraId="3F86DB4F" w14:textId="77777777" w:rsidR="009B68D2" w:rsidRPr="00D159C5" w:rsidRDefault="009B68D2">
            <w:pPr>
              <w:pStyle w:val="a3"/>
              <w:numPr>
                <w:ilvl w:val="0"/>
                <w:numId w:val="70"/>
              </w:numPr>
              <w:autoSpaceDE/>
              <w:autoSpaceDN/>
              <w:ind w:left="1134" w:hanging="567"/>
            </w:pPr>
            <w:r>
              <w:rPr>
                <w:b/>
                <w:bCs/>
              </w:rPr>
              <w:t>Nenechávejte</w:t>
            </w:r>
            <w:r w:rsidRPr="00D159C5">
              <w:t xml:space="preserve"> předplněné pero na přímém slunečním světle.</w:t>
            </w:r>
          </w:p>
          <w:p w14:paraId="3398423D" w14:textId="77777777" w:rsidR="009B68D2" w:rsidRPr="00D159C5" w:rsidRDefault="009B68D2">
            <w:pPr>
              <w:pStyle w:val="a3"/>
              <w:numPr>
                <w:ilvl w:val="0"/>
                <w:numId w:val="70"/>
              </w:numPr>
              <w:autoSpaceDE/>
              <w:autoSpaceDN/>
              <w:ind w:left="1134" w:hanging="567"/>
            </w:pPr>
            <w:r w:rsidRPr="00D159C5">
              <w:t>Zatímco se předplněné pero o</w:t>
            </w:r>
            <w:r>
              <w:t>tepl</w:t>
            </w:r>
            <w:r w:rsidRPr="00D159C5">
              <w:t xml:space="preserve">uje na pokojovou teplotu, </w:t>
            </w:r>
            <w:r>
              <w:rPr>
                <w:b/>
                <w:bCs/>
              </w:rPr>
              <w:t>neodstraňujte</w:t>
            </w:r>
            <w:r w:rsidRPr="00D159C5">
              <w:t xml:space="preserve"> kryt.</w:t>
            </w:r>
          </w:p>
          <w:p w14:paraId="7331DE25" w14:textId="7BF23EE2" w:rsidR="009B68D2" w:rsidRPr="00D159C5" w:rsidRDefault="009B68D2">
            <w:pPr>
              <w:pStyle w:val="a3"/>
              <w:numPr>
                <w:ilvl w:val="0"/>
                <w:numId w:val="70"/>
              </w:numPr>
              <w:autoSpaceDE/>
              <w:autoSpaceDN/>
              <w:ind w:left="1134" w:hanging="567"/>
            </w:pPr>
            <w:r w:rsidRPr="00D159C5">
              <w:t>Pokud předplněné pero nedosáhne pokojové teploty, může to způsobit ne</w:t>
            </w:r>
            <w:r w:rsidR="00A80681">
              <w:t>příjemné pocity</w:t>
            </w:r>
            <w:r w:rsidRPr="00D159C5">
              <w:t>.</w:t>
            </w:r>
          </w:p>
          <w:p w14:paraId="4445AF9A" w14:textId="77777777" w:rsidR="009B68D2" w:rsidRPr="00DE67E9" w:rsidRDefault="009B68D2" w:rsidP="009B68D2"/>
        </w:tc>
      </w:tr>
      <w:tr w:rsidR="00B8592C" w:rsidRPr="00BD6707" w14:paraId="1B4C89F0" w14:textId="77777777">
        <w:trPr>
          <w:cantSplit/>
        </w:trPr>
        <w:tc>
          <w:tcPr>
            <w:tcW w:w="3539" w:type="dxa"/>
          </w:tcPr>
          <w:p w14:paraId="6AA2CCF0" w14:textId="0C7C72D5" w:rsidR="009B68D2" w:rsidRDefault="00C301E6">
            <w:pPr>
              <w:suppressAutoHyphens/>
              <w:jc w:val="right"/>
              <w:rPr>
                <w:noProof/>
              </w:rPr>
            </w:pPr>
            <w:r>
              <w:rPr>
                <w:noProof/>
                <w:lang w:val="en-US" w:eastAsia="ko-KR"/>
              </w:rPr>
              <w:drawing>
                <wp:inline distT="0" distB="0" distL="0" distR="0" wp14:anchorId="31768CCA" wp14:editId="31866925">
                  <wp:extent cx="2105025" cy="2594610"/>
                  <wp:effectExtent l="19050" t="19050" r="9525" b="0"/>
                  <wp:docPr id="27"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5025" cy="2594610"/>
                          </a:xfrm>
                          <a:prstGeom prst="rect">
                            <a:avLst/>
                          </a:prstGeom>
                          <a:noFill/>
                          <a:ln w="9525" cmpd="sng">
                            <a:solidFill>
                              <a:srgbClr val="000000"/>
                            </a:solidFill>
                            <a:miter lim="800000"/>
                            <a:headEnd/>
                            <a:tailEnd/>
                          </a:ln>
                          <a:effectLst/>
                        </pic:spPr>
                      </pic:pic>
                    </a:graphicData>
                  </a:graphic>
                </wp:inline>
              </w:drawing>
            </w:r>
          </w:p>
          <w:p w14:paraId="029D0E86" w14:textId="3A3F7DBD" w:rsidR="009B68D2" w:rsidRDefault="009B68D2">
            <w:pPr>
              <w:suppressAutoHyphens/>
              <w:jc w:val="right"/>
              <w:rPr>
                <w:b/>
                <w:bCs/>
                <w:noProof/>
              </w:rPr>
            </w:pPr>
            <w:r>
              <w:rPr>
                <w:b/>
                <w:bCs/>
                <w:noProof/>
              </w:rPr>
              <w:t>obrázek F</w:t>
            </w:r>
          </w:p>
        </w:tc>
        <w:tc>
          <w:tcPr>
            <w:tcW w:w="5517" w:type="dxa"/>
          </w:tcPr>
          <w:p w14:paraId="19625226" w14:textId="77777777" w:rsidR="009B68D2" w:rsidRDefault="009B68D2">
            <w:pPr>
              <w:pStyle w:val="a3"/>
              <w:numPr>
                <w:ilvl w:val="0"/>
                <w:numId w:val="89"/>
              </w:numPr>
              <w:autoSpaceDE/>
              <w:autoSpaceDN/>
              <w:ind w:left="567" w:hanging="567"/>
              <w:rPr>
                <w:b/>
              </w:rPr>
            </w:pPr>
            <w:r>
              <w:rPr>
                <w:b/>
              </w:rPr>
              <w:t>Zkontrolujte léčivý přípravek.</w:t>
            </w:r>
          </w:p>
          <w:p w14:paraId="6BF6496E" w14:textId="77777777" w:rsidR="009B68D2" w:rsidRPr="00DB6FD5" w:rsidRDefault="009B68D2">
            <w:pPr>
              <w:pStyle w:val="Default"/>
              <w:ind w:left="567" w:hanging="567"/>
              <w:rPr>
                <w:rFonts w:ascii="Times New Roman" w:hAnsi="Times New Roman" w:cs="Times New Roman"/>
                <w:sz w:val="22"/>
                <w:szCs w:val="22"/>
                <w:lang w:val="cs-CZ"/>
              </w:rPr>
            </w:pPr>
          </w:p>
          <w:p w14:paraId="626BE1B1" w14:textId="77777777" w:rsidR="009B68D2" w:rsidRDefault="009B68D2">
            <w:pPr>
              <w:pStyle w:val="a3"/>
              <w:numPr>
                <w:ilvl w:val="0"/>
                <w:numId w:val="98"/>
              </w:numPr>
              <w:autoSpaceDE/>
              <w:autoSpaceDN/>
              <w:ind w:left="567" w:hanging="567"/>
              <w:rPr>
                <w:bCs/>
              </w:rPr>
            </w:pPr>
            <w:r w:rsidRPr="00D159C5">
              <w:t>Držte přípravek Avtozma s krytem směřujícím dolů.</w:t>
            </w:r>
          </w:p>
          <w:p w14:paraId="5FBE3052" w14:textId="315FD583" w:rsidR="009B68D2" w:rsidRDefault="009B68D2">
            <w:pPr>
              <w:pStyle w:val="a3"/>
              <w:numPr>
                <w:ilvl w:val="0"/>
                <w:numId w:val="98"/>
              </w:numPr>
              <w:autoSpaceDE/>
              <w:autoSpaceDN/>
              <w:ind w:left="567" w:hanging="567"/>
              <w:rPr>
                <w:bCs/>
              </w:rPr>
            </w:pPr>
            <w:r w:rsidRPr="00D159C5">
              <w:t xml:space="preserve">Prohlédněte si léčivý přípravek a ujistěte se, že je roztok čirý až lehce opalizující a bezbarvý až žlutý a neobsahuje žádné částice ani šupinky (viz </w:t>
            </w:r>
            <w:r>
              <w:rPr>
                <w:b/>
                <w:bCs/>
              </w:rPr>
              <w:t>obrázek</w:t>
            </w:r>
            <w:r w:rsidR="0041587B">
              <w:rPr>
                <w:b/>
                <w:bCs/>
              </w:rPr>
              <w:t> </w:t>
            </w:r>
            <w:r>
              <w:rPr>
                <w:b/>
                <w:bCs/>
              </w:rPr>
              <w:t>F</w:t>
            </w:r>
            <w:r w:rsidRPr="00D159C5">
              <w:t>).</w:t>
            </w:r>
          </w:p>
          <w:p w14:paraId="1E509EA5" w14:textId="77777777" w:rsidR="009B68D2" w:rsidRPr="00D159C5" w:rsidRDefault="009B68D2">
            <w:pPr>
              <w:pStyle w:val="a3"/>
              <w:numPr>
                <w:ilvl w:val="0"/>
                <w:numId w:val="70"/>
              </w:numPr>
              <w:autoSpaceDE/>
              <w:autoSpaceDN/>
              <w:ind w:left="1134" w:hanging="567"/>
            </w:pPr>
            <w:r>
              <w:rPr>
                <w:b/>
                <w:bCs/>
              </w:rPr>
              <w:t>Nepoužívejte</w:t>
            </w:r>
            <w:r w:rsidRPr="00D159C5">
              <w:t xml:space="preserve"> předplněné pero, pokud je roztok odlišně zabarvený, zakalený nebo obsahuje částice či šupinky.</w:t>
            </w:r>
            <w:r>
              <w:rPr>
                <w:color w:val="231F20"/>
              </w:rPr>
              <w:t xml:space="preserve"> Předplněné pero bezpečně zlikvidujte v odpadní nádobě na ostré předměty a použijte nové</w:t>
            </w:r>
            <w:r w:rsidRPr="00D159C5">
              <w:t>.</w:t>
            </w:r>
          </w:p>
          <w:p w14:paraId="15E2E627" w14:textId="77777777" w:rsidR="009B68D2" w:rsidRDefault="009B68D2">
            <w:pPr>
              <w:pStyle w:val="a3"/>
              <w:numPr>
                <w:ilvl w:val="0"/>
                <w:numId w:val="70"/>
              </w:numPr>
              <w:autoSpaceDE/>
              <w:autoSpaceDN/>
              <w:ind w:left="1134" w:hanging="567"/>
              <w:rPr>
                <w:bCs/>
              </w:rPr>
            </w:pPr>
            <w:r w:rsidRPr="00D159C5">
              <w:t>Vzduchové bubliny jsou normální.</w:t>
            </w:r>
          </w:p>
          <w:p w14:paraId="11FC68C8" w14:textId="77777777" w:rsidR="009B68D2" w:rsidRPr="00DE67E9" w:rsidRDefault="009B68D2" w:rsidP="009B68D2"/>
        </w:tc>
      </w:tr>
      <w:tr w:rsidR="00B8592C" w:rsidRPr="00BD6707" w14:paraId="04E0A2B1" w14:textId="77777777">
        <w:trPr>
          <w:cantSplit/>
        </w:trPr>
        <w:tc>
          <w:tcPr>
            <w:tcW w:w="3539" w:type="dxa"/>
          </w:tcPr>
          <w:p w14:paraId="62548863" w14:textId="2A2E0BC1" w:rsidR="009B68D2" w:rsidRDefault="00C301E6">
            <w:pPr>
              <w:suppressAutoHyphens/>
              <w:jc w:val="right"/>
              <w:rPr>
                <w:noProof/>
              </w:rPr>
            </w:pPr>
            <w:r>
              <w:rPr>
                <w:noProof/>
                <w:lang w:val="en-US" w:eastAsia="ko-KR"/>
              </w:rPr>
              <w:lastRenderedPageBreak/>
              <w:drawing>
                <wp:inline distT="0" distB="0" distL="0" distR="0" wp14:anchorId="6C7B2A2F" wp14:editId="4D434EAC">
                  <wp:extent cx="2073275" cy="2552065"/>
                  <wp:effectExtent l="19050" t="19050" r="3175" b="635"/>
                  <wp:docPr id="28"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600133C0" w14:textId="01E6F4EF" w:rsidR="009B68D2" w:rsidRDefault="009B68D2">
            <w:pPr>
              <w:suppressAutoHyphens/>
              <w:jc w:val="right"/>
              <w:rPr>
                <w:b/>
                <w:bCs/>
                <w:noProof/>
              </w:rPr>
            </w:pPr>
            <w:r>
              <w:rPr>
                <w:b/>
                <w:bCs/>
                <w:noProof/>
              </w:rPr>
              <w:t>obrázek G</w:t>
            </w:r>
          </w:p>
        </w:tc>
        <w:tc>
          <w:tcPr>
            <w:tcW w:w="5517" w:type="dxa"/>
          </w:tcPr>
          <w:p w14:paraId="2B58499E" w14:textId="77777777" w:rsidR="009B68D2" w:rsidRDefault="009B68D2">
            <w:pPr>
              <w:pStyle w:val="a3"/>
              <w:numPr>
                <w:ilvl w:val="0"/>
                <w:numId w:val="89"/>
              </w:numPr>
              <w:autoSpaceDE/>
              <w:autoSpaceDN/>
              <w:ind w:left="567" w:hanging="567"/>
              <w:rPr>
                <w:b/>
              </w:rPr>
            </w:pPr>
            <w:r>
              <w:rPr>
                <w:b/>
              </w:rPr>
              <w:t>Umyjte si ruce.</w:t>
            </w:r>
          </w:p>
          <w:p w14:paraId="750D07BD" w14:textId="77777777" w:rsidR="009B68D2" w:rsidRDefault="009B68D2">
            <w:pPr>
              <w:pStyle w:val="Default"/>
              <w:ind w:left="567" w:hanging="567"/>
              <w:rPr>
                <w:rFonts w:ascii="Times New Roman" w:hAnsi="Times New Roman" w:cs="Times New Roman"/>
                <w:sz w:val="22"/>
                <w:szCs w:val="22"/>
              </w:rPr>
            </w:pPr>
          </w:p>
          <w:p w14:paraId="0FEED998" w14:textId="77777777" w:rsidR="009B68D2" w:rsidRDefault="009B68D2">
            <w:pPr>
              <w:pStyle w:val="a3"/>
              <w:numPr>
                <w:ilvl w:val="0"/>
                <w:numId w:val="94"/>
              </w:numPr>
              <w:autoSpaceDE/>
              <w:autoSpaceDN/>
              <w:ind w:left="567" w:hanging="567"/>
              <w:rPr>
                <w:bCs/>
              </w:rPr>
            </w:pPr>
            <w:r>
              <w:rPr>
                <w:color w:val="231F20"/>
              </w:rPr>
              <w:t>Umyjte si ruce vodou a mýdlem a důkladně je osušte (viz o</w:t>
            </w:r>
            <w:r>
              <w:rPr>
                <w:b/>
                <w:color w:val="231F20"/>
              </w:rPr>
              <w:t>brázek G</w:t>
            </w:r>
            <w:r>
              <w:rPr>
                <w:color w:val="231F20"/>
              </w:rPr>
              <w:t>).</w:t>
            </w:r>
          </w:p>
          <w:p w14:paraId="4AE66C96" w14:textId="77777777" w:rsidR="009B68D2" w:rsidRPr="00DE67E9" w:rsidRDefault="009B68D2" w:rsidP="009B68D2"/>
        </w:tc>
      </w:tr>
      <w:tr w:rsidR="00B8592C" w:rsidRPr="00BD6707" w14:paraId="1437C0F5" w14:textId="77777777">
        <w:trPr>
          <w:cantSplit/>
        </w:trPr>
        <w:tc>
          <w:tcPr>
            <w:tcW w:w="3539" w:type="dxa"/>
          </w:tcPr>
          <w:p w14:paraId="38CE1EDE" w14:textId="214F39ED" w:rsidR="009B68D2" w:rsidRDefault="00C301E6">
            <w:pPr>
              <w:suppressAutoHyphens/>
              <w:jc w:val="right"/>
              <w:rPr>
                <w:noProof/>
              </w:rPr>
            </w:pPr>
            <w:r>
              <w:rPr>
                <w:noProof/>
                <w:lang w:val="en-US" w:eastAsia="ko-KR"/>
              </w:rPr>
              <w:drawing>
                <wp:inline distT="0" distB="0" distL="0" distR="0" wp14:anchorId="2558F571" wp14:editId="277DD488">
                  <wp:extent cx="2073275" cy="3583305"/>
                  <wp:effectExtent l="19050" t="19050" r="3175" b="0"/>
                  <wp:docPr id="29"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3275" cy="3583305"/>
                          </a:xfrm>
                          <a:prstGeom prst="rect">
                            <a:avLst/>
                          </a:prstGeom>
                          <a:noFill/>
                          <a:ln w="9525" cmpd="sng">
                            <a:solidFill>
                              <a:srgbClr val="000000"/>
                            </a:solidFill>
                            <a:miter lim="800000"/>
                            <a:headEnd/>
                            <a:tailEnd/>
                          </a:ln>
                          <a:effectLst/>
                        </pic:spPr>
                      </pic:pic>
                    </a:graphicData>
                  </a:graphic>
                </wp:inline>
              </w:drawing>
            </w:r>
          </w:p>
          <w:p w14:paraId="5682F7D3" w14:textId="7C46CD6B" w:rsidR="009B68D2" w:rsidRDefault="00C301E6">
            <w:pPr>
              <w:suppressAutoHyphens/>
              <w:jc w:val="right"/>
              <w:rPr>
                <w:b/>
                <w:bCs/>
                <w:noProof/>
              </w:rPr>
            </w:pPr>
            <w:r>
              <w:rPr>
                <w:noProof/>
                <w:lang w:val="en-US" w:eastAsia="ko-KR"/>
              </w:rPr>
              <mc:AlternateContent>
                <mc:Choice Requires="wps">
                  <w:drawing>
                    <wp:anchor distT="45720" distB="45720" distL="114300" distR="114300" simplePos="0" relativeHeight="251658290" behindDoc="0" locked="1" layoutInCell="1" allowOverlap="1" wp14:anchorId="7B304E3D" wp14:editId="33A2814A">
                      <wp:simplePos x="0" y="0"/>
                      <wp:positionH relativeFrom="column">
                        <wp:posOffset>481330</wp:posOffset>
                      </wp:positionH>
                      <wp:positionV relativeFrom="paragraph">
                        <wp:posOffset>-1169670</wp:posOffset>
                      </wp:positionV>
                      <wp:extent cx="1600835" cy="655320"/>
                      <wp:effectExtent l="0" t="0" r="0" b="0"/>
                      <wp:wrapNone/>
                      <wp:docPr id="8932128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655320"/>
                              </a:xfrm>
                              <a:prstGeom prst="rect">
                                <a:avLst/>
                              </a:prstGeom>
                              <a:noFill/>
                              <a:ln>
                                <a:noFill/>
                              </a:ln>
                            </wps:spPr>
                            <wps:txbx>
                              <w:txbxContent>
                                <w:p w14:paraId="291FF9A2" w14:textId="47E6A046" w:rsidR="008013E1" w:rsidRPr="00B93217" w:rsidRDefault="008013E1" w:rsidP="003C21A6">
                                  <w:pPr>
                                    <w:spacing w:line="264" w:lineRule="auto"/>
                                    <w:ind w:left="284" w:hanging="284"/>
                                    <w:rPr>
                                      <w:rFonts w:ascii="Arial" w:hAnsi="Arial" w:cs="Arial"/>
                                      <w:b/>
                                      <w:bCs/>
                                      <w:sz w:val="20"/>
                                      <w:szCs w:val="20"/>
                                      <w:lang w:val="es-ES"/>
                                    </w:rPr>
                                  </w:pPr>
                                  <w:r>
                                    <w:rPr>
                                      <w:rFonts w:ascii="Arial" w:hAnsi="Arial" w:cs="Arial"/>
                                      <w:b/>
                                      <w:bCs/>
                                      <w:sz w:val="26"/>
                                      <w:szCs w:val="26"/>
                                      <w:lang w:val="es-ES"/>
                                    </w:rPr>
                                    <w:tab/>
                                  </w:r>
                                  <w:r w:rsidR="00D45ED1">
                                    <w:rPr>
                                      <w:rFonts w:ascii="Arial" w:eastAsia="맑은 고딕" w:hAnsi="Arial" w:cs="Arial" w:hint="eastAsia"/>
                                      <w:b/>
                                      <w:bCs/>
                                      <w:sz w:val="20"/>
                                      <w:szCs w:val="20"/>
                                      <w:lang w:eastAsia="ko-KR"/>
                                    </w:rPr>
                                    <w:t>S</w:t>
                                  </w:r>
                                  <w:r w:rsidR="00D45ED1" w:rsidRPr="002F1C9A">
                                    <w:rPr>
                                      <w:rFonts w:ascii="Arial" w:hAnsi="Arial" w:cs="Arial"/>
                                      <w:b/>
                                      <w:bCs/>
                                      <w:sz w:val="20"/>
                                      <w:szCs w:val="20"/>
                                    </w:rPr>
                                    <w:t>amopodání</w:t>
                                  </w:r>
                                  <w:r w:rsidR="003C21A6" w:rsidRPr="00B93217">
                                    <w:rPr>
                                      <w:rFonts w:ascii="Arial" w:hAnsi="Arial" w:cs="Arial"/>
                                      <w:b/>
                                      <w:bCs/>
                                      <w:sz w:val="20"/>
                                      <w:szCs w:val="20"/>
                                      <w:lang w:val="es-ES"/>
                                    </w:rPr>
                                    <w:t>, ošetřovatel a zdravotnický pracovník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04E3D" id="Text Box 25" o:spid="_x0000_s1071" type="#_x0000_t202" style="position:absolute;left:0;text-align:left;margin-left:37.9pt;margin-top:-92.1pt;width:126.05pt;height:51.6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" filled="f" stroked="f">
                      <v:textbox inset="0,0,0,0">
                        <w:txbxContent>
                          <w:p w14:paraId="291FF9A2" w14:textId="47E6A046" w:rsidR="008013E1" w:rsidRPr="00B93217" w:rsidRDefault="008013E1" w:rsidP="003C21A6">
                            <w:pPr>
                              <w:spacing w:line="264" w:lineRule="auto"/>
                              <w:ind w:left="284" w:hanging="284"/>
                              <w:rPr>
                                <w:rFonts w:ascii="Arial" w:hAnsi="Arial" w:cs="Arial"/>
                                <w:b/>
                                <w:bCs/>
                                <w:sz w:val="20"/>
                                <w:szCs w:val="20"/>
                                <w:lang w:val="es-ES"/>
                              </w:rPr>
                            </w:pPr>
                            <w:r>
                              <w:rPr>
                                <w:rFonts w:ascii="Arial" w:hAnsi="Arial" w:cs="Arial"/>
                                <w:b/>
                                <w:bCs/>
                                <w:sz w:val="26"/>
                                <w:szCs w:val="26"/>
                                <w:lang w:val="es-ES"/>
                              </w:rPr>
                              <w:tab/>
                            </w:r>
                            <w:r w:rsidR="00D45ED1">
                              <w:rPr>
                                <w:rFonts w:ascii="Arial" w:eastAsia="맑은 고딕" w:hAnsi="Arial" w:cs="Arial" w:hint="eastAsia"/>
                                <w:b/>
                                <w:bCs/>
                                <w:sz w:val="20"/>
                                <w:szCs w:val="20"/>
                                <w:lang w:eastAsia="ko-KR"/>
                              </w:rPr>
                              <w:t>S</w:t>
                            </w:r>
                            <w:r w:rsidR="00D45ED1" w:rsidRPr="002F1C9A">
                              <w:rPr>
                                <w:rFonts w:ascii="Arial" w:hAnsi="Arial" w:cs="Arial"/>
                                <w:b/>
                                <w:bCs/>
                                <w:sz w:val="20"/>
                                <w:szCs w:val="20"/>
                              </w:rPr>
                              <w:t>amopodání</w:t>
                            </w:r>
                            <w:r w:rsidR="003C21A6" w:rsidRPr="00B93217">
                              <w:rPr>
                                <w:rFonts w:ascii="Arial" w:hAnsi="Arial" w:cs="Arial"/>
                                <w:b/>
                                <w:bCs/>
                                <w:sz w:val="20"/>
                                <w:szCs w:val="20"/>
                                <w:lang w:val="es-ES"/>
                              </w:rPr>
                              <w:t>, ošetřovatel a zdravotnický pracovník</w:t>
                            </w:r>
                          </w:p>
                        </w:txbxContent>
                      </v:textbox>
                      <w10:anchorlock/>
                    </v:shape>
                  </w:pict>
                </mc:Fallback>
              </mc:AlternateContent>
            </w:r>
            <w:r>
              <w:rPr>
                <w:noProof/>
                <w:lang w:val="en-US" w:eastAsia="ko-KR"/>
              </w:rPr>
              <mc:AlternateContent>
                <mc:Choice Requires="wps">
                  <w:drawing>
                    <wp:anchor distT="45720" distB="45720" distL="114300" distR="114300" simplePos="0" relativeHeight="251658291" behindDoc="0" locked="1" layoutInCell="1" allowOverlap="1" wp14:anchorId="2A0ACEC4" wp14:editId="1F432CE8">
                      <wp:simplePos x="0" y="0"/>
                      <wp:positionH relativeFrom="column">
                        <wp:posOffset>433070</wp:posOffset>
                      </wp:positionH>
                      <wp:positionV relativeFrom="paragraph">
                        <wp:posOffset>-513080</wp:posOffset>
                      </wp:positionV>
                      <wp:extent cx="1638935" cy="482600"/>
                      <wp:effectExtent l="0" t="0" r="0" b="0"/>
                      <wp:wrapNone/>
                      <wp:docPr id="8867524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82600"/>
                              </a:xfrm>
                              <a:prstGeom prst="rect">
                                <a:avLst/>
                              </a:prstGeom>
                              <a:noFill/>
                              <a:ln>
                                <a:noFill/>
                              </a:ln>
                            </wps:spPr>
                            <wps:txbx>
                              <w:txbxContent>
                                <w:p w14:paraId="22A6A274" w14:textId="759F673B" w:rsidR="008013E1" w:rsidRPr="00B93217" w:rsidRDefault="008013E1" w:rsidP="003C21A6">
                                  <w:pPr>
                                    <w:spacing w:line="264" w:lineRule="auto"/>
                                    <w:ind w:left="284" w:hanging="284"/>
                                    <w:rPr>
                                      <w:rFonts w:ascii="Arial" w:hAnsi="Arial" w:cs="Arial"/>
                                      <w:b/>
                                      <w:bCs/>
                                      <w:sz w:val="20"/>
                                      <w:szCs w:val="20"/>
                                      <w:lang w:val="es-ES"/>
                                    </w:rPr>
                                  </w:pPr>
                                  <w:r w:rsidRPr="00BA148D">
                                    <w:rPr>
                                      <w:rFonts w:ascii="Arial" w:hAnsi="Arial" w:cs="Arial"/>
                                      <w:b/>
                                      <w:bCs/>
                                      <w:sz w:val="26"/>
                                      <w:szCs w:val="26"/>
                                      <w:lang w:val="es-ES"/>
                                    </w:rPr>
                                    <w:tab/>
                                  </w:r>
                                  <w:r w:rsidR="003C21A6" w:rsidRPr="00B93217">
                                    <w:rPr>
                                      <w:rFonts w:ascii="Arial" w:hAnsi="Arial" w:cs="Arial"/>
                                      <w:b/>
                                      <w:bCs/>
                                      <w:sz w:val="20"/>
                                      <w:szCs w:val="20"/>
                                      <w:lang w:val="es-ES"/>
                                    </w:rPr>
                                    <w:t xml:space="preserve">VÝHRADNĚ ošetřovatel a zdravotnický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ACEC4" id="Text Box 23" o:spid="_x0000_s1072" type="#_x0000_t202" style="position:absolute;left:0;text-align:left;margin-left:34.1pt;margin-top:-40.4pt;width:129.05pt;height:38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" filled="f" stroked="f">
                      <v:textbox inset="0,0,0,0">
                        <w:txbxContent>
                          <w:p w14:paraId="22A6A274" w14:textId="759F673B" w:rsidR="008013E1" w:rsidRPr="00B93217" w:rsidRDefault="008013E1" w:rsidP="003C21A6">
                            <w:pPr>
                              <w:spacing w:line="264" w:lineRule="auto"/>
                              <w:ind w:left="284" w:hanging="284"/>
                              <w:rPr>
                                <w:rFonts w:ascii="Arial" w:hAnsi="Arial" w:cs="Arial"/>
                                <w:b/>
                                <w:bCs/>
                                <w:sz w:val="20"/>
                                <w:szCs w:val="20"/>
                                <w:lang w:val="es-ES"/>
                              </w:rPr>
                            </w:pPr>
                            <w:r w:rsidRPr="00BA148D">
                              <w:rPr>
                                <w:rFonts w:ascii="Arial" w:hAnsi="Arial" w:cs="Arial"/>
                                <w:b/>
                                <w:bCs/>
                                <w:sz w:val="26"/>
                                <w:szCs w:val="26"/>
                                <w:lang w:val="es-ES"/>
                              </w:rPr>
                              <w:tab/>
                            </w:r>
                            <w:r w:rsidR="003C21A6" w:rsidRPr="00B93217">
                              <w:rPr>
                                <w:rFonts w:ascii="Arial" w:hAnsi="Arial" w:cs="Arial"/>
                                <w:b/>
                                <w:bCs/>
                                <w:sz w:val="20"/>
                                <w:szCs w:val="20"/>
                                <w:lang w:val="es-ES"/>
                              </w:rPr>
                              <w:t xml:space="preserve">VÝHRADNĚ ošetřovatel a zdravotnický </w:t>
                            </w:r>
                          </w:p>
                        </w:txbxContent>
                      </v:textbox>
                      <w10:anchorlock/>
                    </v:shape>
                  </w:pict>
                </mc:Fallback>
              </mc:AlternateContent>
            </w:r>
            <w:r w:rsidR="009B68D2">
              <w:rPr>
                <w:b/>
                <w:bCs/>
                <w:noProof/>
              </w:rPr>
              <w:t>obrázek H</w:t>
            </w:r>
          </w:p>
        </w:tc>
        <w:tc>
          <w:tcPr>
            <w:tcW w:w="5517" w:type="dxa"/>
          </w:tcPr>
          <w:p w14:paraId="5BD4DD75" w14:textId="77777777" w:rsidR="009B68D2" w:rsidRDefault="009B68D2">
            <w:pPr>
              <w:pStyle w:val="a3"/>
              <w:numPr>
                <w:ilvl w:val="0"/>
                <w:numId w:val="89"/>
              </w:numPr>
              <w:autoSpaceDE/>
              <w:autoSpaceDN/>
              <w:ind w:left="567" w:hanging="567"/>
              <w:rPr>
                <w:b/>
              </w:rPr>
            </w:pPr>
            <w:r>
              <w:rPr>
                <w:b/>
              </w:rPr>
              <w:t>Vyberte vhodné injekční místo (viz obrázek H).</w:t>
            </w:r>
          </w:p>
          <w:p w14:paraId="1040AAE6" w14:textId="77777777" w:rsidR="009B68D2" w:rsidRPr="00DB6FD5" w:rsidRDefault="009B68D2">
            <w:pPr>
              <w:pStyle w:val="Default"/>
              <w:ind w:left="567" w:hanging="567"/>
              <w:rPr>
                <w:rFonts w:ascii="Times New Roman" w:hAnsi="Times New Roman" w:cs="Times New Roman"/>
                <w:bCs/>
                <w:sz w:val="22"/>
                <w:szCs w:val="22"/>
                <w:lang w:val="cs-CZ"/>
              </w:rPr>
            </w:pPr>
          </w:p>
          <w:p w14:paraId="1BE8E16B" w14:textId="1763589F" w:rsidR="009B68D2" w:rsidRDefault="009B68D2">
            <w:pPr>
              <w:pStyle w:val="a3"/>
              <w:numPr>
                <w:ilvl w:val="0"/>
                <w:numId w:val="97"/>
              </w:numPr>
              <w:autoSpaceDE/>
              <w:autoSpaceDN/>
              <w:ind w:left="567" w:hanging="567"/>
              <w:rPr>
                <w:bCs/>
              </w:rPr>
            </w:pPr>
            <w:r w:rsidRPr="00D159C5">
              <w:t xml:space="preserve">Injekci můžete </w:t>
            </w:r>
            <w:r w:rsidR="00E56A54">
              <w:t>podat</w:t>
            </w:r>
            <w:r w:rsidR="00E56A54" w:rsidRPr="00D159C5">
              <w:t>do</w:t>
            </w:r>
            <w:r w:rsidRPr="00D159C5">
              <w:t>do:</w:t>
            </w:r>
            <w:r>
              <w:rPr>
                <w:b/>
              </w:rPr>
              <w:t xml:space="preserve"> </w:t>
            </w:r>
          </w:p>
          <w:p w14:paraId="501C919F" w14:textId="2566A075" w:rsidR="009B68D2" w:rsidRDefault="009B68D2">
            <w:pPr>
              <w:pStyle w:val="a3"/>
              <w:numPr>
                <w:ilvl w:val="0"/>
                <w:numId w:val="79"/>
              </w:numPr>
              <w:autoSpaceDE/>
              <w:autoSpaceDN/>
              <w:ind w:left="1134" w:hanging="567"/>
              <w:rPr>
                <w:color w:val="231F20"/>
              </w:rPr>
            </w:pPr>
            <w:r>
              <w:rPr>
                <w:color w:val="231F20"/>
              </w:rPr>
              <w:t>přední části stehen</w:t>
            </w:r>
            <w:r w:rsidR="00873077">
              <w:rPr>
                <w:color w:val="231F20"/>
              </w:rPr>
              <w:t>,</w:t>
            </w:r>
          </w:p>
          <w:p w14:paraId="730B7319" w14:textId="72B934D5" w:rsidR="009B68D2" w:rsidRPr="00D159C5" w:rsidRDefault="009B68D2">
            <w:pPr>
              <w:pStyle w:val="a3"/>
              <w:numPr>
                <w:ilvl w:val="0"/>
                <w:numId w:val="79"/>
              </w:numPr>
              <w:autoSpaceDE/>
              <w:autoSpaceDN/>
              <w:ind w:left="1134" w:hanging="567"/>
            </w:pPr>
            <w:r>
              <w:rPr>
                <w:color w:val="231F20"/>
              </w:rPr>
              <w:t>břicha, s výjimkou 5 cm kolem pupku</w:t>
            </w:r>
            <w:r w:rsidR="00873077">
              <w:rPr>
                <w:color w:val="231F20"/>
              </w:rPr>
              <w:t>,</w:t>
            </w:r>
          </w:p>
          <w:p w14:paraId="194B8D55" w14:textId="77777777" w:rsidR="009B68D2" w:rsidRPr="00D159C5" w:rsidRDefault="009B68D2">
            <w:pPr>
              <w:pStyle w:val="a3"/>
              <w:numPr>
                <w:ilvl w:val="0"/>
                <w:numId w:val="79"/>
              </w:numPr>
              <w:autoSpaceDE/>
              <w:autoSpaceDN/>
              <w:ind w:left="1134" w:hanging="567"/>
            </w:pPr>
            <w:r>
              <w:rPr>
                <w:color w:val="231F20"/>
              </w:rPr>
              <w:t>vnější oblasti horních končetin (pouze pokud jste ošetřovatel nebo zdravotnický pracovník).</w:t>
            </w:r>
          </w:p>
          <w:p w14:paraId="0279A41D" w14:textId="77777777" w:rsidR="009B68D2" w:rsidRPr="00D159C5" w:rsidRDefault="009B68D2">
            <w:pPr>
              <w:pStyle w:val="a3"/>
              <w:ind w:left="567" w:hanging="567"/>
            </w:pPr>
          </w:p>
          <w:p w14:paraId="0F99A2C9" w14:textId="40A7D578" w:rsidR="009B68D2" w:rsidRPr="00D159C5" w:rsidRDefault="009B68D2">
            <w:pPr>
              <w:pStyle w:val="a3"/>
              <w:numPr>
                <w:ilvl w:val="0"/>
                <w:numId w:val="70"/>
              </w:numPr>
              <w:autoSpaceDE/>
              <w:autoSpaceDN/>
              <w:ind w:left="1134" w:hanging="567"/>
            </w:pPr>
            <w:r w:rsidRPr="00D159C5">
              <w:t xml:space="preserve">Do horních končetin si injekci </w:t>
            </w:r>
            <w:r w:rsidR="00E56A54">
              <w:rPr>
                <w:b/>
                <w:bCs/>
              </w:rPr>
              <w:t>nepodávajte</w:t>
            </w:r>
            <w:r w:rsidRPr="00D159C5">
              <w:t>sami.</w:t>
            </w:r>
          </w:p>
          <w:p w14:paraId="1406BFFB" w14:textId="77777777" w:rsidR="009B68D2" w:rsidRDefault="009B68D2">
            <w:pPr>
              <w:pStyle w:val="a3"/>
              <w:numPr>
                <w:ilvl w:val="0"/>
                <w:numId w:val="70"/>
              </w:numPr>
              <w:autoSpaceDE/>
              <w:autoSpaceDN/>
              <w:ind w:left="1134" w:hanging="567"/>
              <w:rPr>
                <w:bCs/>
              </w:rPr>
            </w:pPr>
            <w:r w:rsidRPr="00D159C5">
              <w:t>Pro každou novou injekci zvolte jiné injekční místo vzdálené nejméně 2,5 cm od místa použitého pro poslední injekci.</w:t>
            </w:r>
          </w:p>
          <w:p w14:paraId="61FFCB2F" w14:textId="21158511" w:rsidR="009B68D2" w:rsidRPr="00D159C5" w:rsidRDefault="00E56A54">
            <w:pPr>
              <w:pStyle w:val="a3"/>
              <w:numPr>
                <w:ilvl w:val="0"/>
                <w:numId w:val="70"/>
              </w:numPr>
              <w:autoSpaceDE/>
              <w:autoSpaceDN/>
              <w:ind w:left="1134" w:hanging="567"/>
            </w:pPr>
            <w:r>
              <w:rPr>
                <w:b/>
                <w:bCs/>
              </w:rPr>
              <w:t>Nepodávajte</w:t>
            </w:r>
            <w:r w:rsidR="009B68D2" w:rsidRPr="00D159C5">
              <w:t>injekci do mateřských znamének, jizev, modřin nebo do míst, kde je kůže citlivá, zarudlá nebo tvrdá.</w:t>
            </w:r>
          </w:p>
          <w:p w14:paraId="732CAEB8" w14:textId="77777777" w:rsidR="009B68D2" w:rsidRPr="00DE67E9" w:rsidRDefault="009B68D2" w:rsidP="009B68D2"/>
        </w:tc>
      </w:tr>
      <w:tr w:rsidR="00B8592C" w:rsidRPr="00BD6707" w14:paraId="3CE141FD" w14:textId="77777777">
        <w:trPr>
          <w:cantSplit/>
        </w:trPr>
        <w:tc>
          <w:tcPr>
            <w:tcW w:w="3539" w:type="dxa"/>
          </w:tcPr>
          <w:p w14:paraId="39F23113" w14:textId="73AFDDFA" w:rsidR="009B68D2" w:rsidRDefault="00C301E6">
            <w:pPr>
              <w:suppressAutoHyphens/>
              <w:jc w:val="right"/>
              <w:rPr>
                <w:noProof/>
              </w:rPr>
            </w:pPr>
            <w:r>
              <w:rPr>
                <w:noProof/>
                <w:lang w:val="en-US" w:eastAsia="ko-KR"/>
              </w:rPr>
              <w:lastRenderedPageBreak/>
              <w:drawing>
                <wp:inline distT="0" distB="0" distL="0" distR="0" wp14:anchorId="7C8AD5B1" wp14:editId="124B740D">
                  <wp:extent cx="2073275" cy="2552065"/>
                  <wp:effectExtent l="19050" t="19050" r="3175" b="635"/>
                  <wp:docPr id="30"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1B5176FA" w14:textId="7A26B002" w:rsidR="009B68D2" w:rsidRDefault="009B68D2">
            <w:pPr>
              <w:suppressAutoHyphens/>
              <w:jc w:val="right"/>
              <w:rPr>
                <w:b/>
                <w:bCs/>
                <w:noProof/>
              </w:rPr>
            </w:pPr>
            <w:r>
              <w:rPr>
                <w:b/>
                <w:bCs/>
                <w:noProof/>
              </w:rPr>
              <w:t>obrázek I</w:t>
            </w:r>
          </w:p>
        </w:tc>
        <w:tc>
          <w:tcPr>
            <w:tcW w:w="5517" w:type="dxa"/>
          </w:tcPr>
          <w:p w14:paraId="31F0F600" w14:textId="77777777" w:rsidR="009B68D2" w:rsidRDefault="009B68D2">
            <w:pPr>
              <w:pStyle w:val="a3"/>
              <w:numPr>
                <w:ilvl w:val="0"/>
                <w:numId w:val="89"/>
              </w:numPr>
              <w:autoSpaceDE/>
              <w:autoSpaceDN/>
              <w:ind w:left="567" w:hanging="567"/>
              <w:rPr>
                <w:b/>
              </w:rPr>
            </w:pPr>
            <w:r>
              <w:rPr>
                <w:b/>
              </w:rPr>
              <w:t>Vyčistěte místo vpichu.</w:t>
            </w:r>
          </w:p>
          <w:p w14:paraId="041A2230" w14:textId="77777777" w:rsidR="009B68D2" w:rsidRDefault="009B68D2">
            <w:pPr>
              <w:pStyle w:val="Default"/>
              <w:ind w:left="567" w:hanging="567"/>
              <w:rPr>
                <w:rFonts w:ascii="Times New Roman" w:hAnsi="Times New Roman" w:cs="Times New Roman"/>
                <w:sz w:val="22"/>
                <w:szCs w:val="22"/>
              </w:rPr>
            </w:pPr>
          </w:p>
          <w:p w14:paraId="799E4A26" w14:textId="77777777" w:rsidR="009B68D2" w:rsidRDefault="009B68D2">
            <w:pPr>
              <w:pStyle w:val="a3"/>
              <w:numPr>
                <w:ilvl w:val="0"/>
                <w:numId w:val="95"/>
              </w:numPr>
              <w:autoSpaceDE/>
              <w:autoSpaceDN/>
              <w:ind w:left="567" w:hanging="567"/>
              <w:rPr>
                <w:bCs/>
              </w:rPr>
            </w:pPr>
            <w:r w:rsidRPr="00D159C5">
              <w:t xml:space="preserve">Místo vpichu </w:t>
            </w:r>
            <w:r>
              <w:rPr>
                <w:color w:val="231F20"/>
              </w:rPr>
              <w:t xml:space="preserve">otřete alkoholovým tamponem a nechte jej na vzduchu zaschnout (viz </w:t>
            </w:r>
            <w:r>
              <w:rPr>
                <w:b/>
                <w:color w:val="231F20"/>
              </w:rPr>
              <w:t>obrázek I</w:t>
            </w:r>
            <w:r>
              <w:rPr>
                <w:color w:val="231F20"/>
              </w:rPr>
              <w:t>). Tímto snížíte pravděpodobnost vzniku infekce</w:t>
            </w:r>
            <w:r w:rsidRPr="00D159C5">
              <w:t>.</w:t>
            </w:r>
          </w:p>
          <w:p w14:paraId="488F9548" w14:textId="77777777" w:rsidR="009B68D2" w:rsidRPr="00D159C5" w:rsidRDefault="009B68D2">
            <w:pPr>
              <w:pStyle w:val="a3"/>
              <w:numPr>
                <w:ilvl w:val="0"/>
                <w:numId w:val="70"/>
              </w:numPr>
              <w:autoSpaceDE/>
              <w:autoSpaceDN/>
              <w:ind w:left="1134" w:hanging="567"/>
            </w:pPr>
            <w:r w:rsidRPr="00D159C5">
              <w:t xml:space="preserve">Před podáním injekce se místa vpichu </w:t>
            </w:r>
            <w:r>
              <w:rPr>
                <w:b/>
                <w:bCs/>
              </w:rPr>
              <w:t>nedotýkejte</w:t>
            </w:r>
            <w:r w:rsidRPr="00D159C5">
              <w:t>.</w:t>
            </w:r>
          </w:p>
          <w:p w14:paraId="475EC033" w14:textId="77777777" w:rsidR="009B68D2" w:rsidRPr="00D159C5" w:rsidRDefault="009B68D2">
            <w:pPr>
              <w:pStyle w:val="a3"/>
              <w:numPr>
                <w:ilvl w:val="0"/>
                <w:numId w:val="70"/>
              </w:numPr>
              <w:autoSpaceDE/>
              <w:autoSpaceDN/>
              <w:ind w:left="1134" w:hanging="567"/>
            </w:pPr>
            <w:r w:rsidRPr="00E8723C">
              <w:t>Čistou plochu</w:t>
            </w:r>
            <w:r>
              <w:rPr>
                <w:b/>
              </w:rPr>
              <w:t xml:space="preserve"> neovívejte </w:t>
            </w:r>
            <w:r>
              <w:rPr>
                <w:bCs/>
              </w:rPr>
              <w:t>ani na ni</w:t>
            </w:r>
            <w:r>
              <w:rPr>
                <w:b/>
              </w:rPr>
              <w:t xml:space="preserve"> nefoukejte</w:t>
            </w:r>
            <w:r w:rsidRPr="00D159C5">
              <w:t>.</w:t>
            </w:r>
          </w:p>
          <w:p w14:paraId="13CD0FBB" w14:textId="77777777" w:rsidR="009B68D2" w:rsidRPr="00DE67E9" w:rsidRDefault="009B68D2" w:rsidP="009B68D2"/>
        </w:tc>
      </w:tr>
    </w:tbl>
    <w:p w14:paraId="28AD6493" w14:textId="77777777" w:rsidR="00920780" w:rsidRDefault="00920780" w:rsidP="00920780"/>
    <w:p w14:paraId="1EF810D4" w14:textId="77777777" w:rsidR="00920780" w:rsidRPr="00DE67E9" w:rsidRDefault="00920780" w:rsidP="00920780"/>
    <w:p w14:paraId="7B9A19B0" w14:textId="75D30183" w:rsidR="00920780" w:rsidRDefault="00E56A54" w:rsidP="00920780">
      <w:pPr>
        <w:keepNext/>
        <w:rPr>
          <w:b/>
          <w:bCs/>
        </w:rPr>
      </w:pPr>
      <w:r w:rsidRPr="00E56A54">
        <w:rPr>
          <w:b/>
          <w:bCs/>
        </w:rPr>
        <w:t>Podání injekce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8592C" w:rsidRPr="00DE67E9" w14:paraId="34EEAEA3" w14:textId="77777777">
        <w:trPr>
          <w:cantSplit/>
        </w:trPr>
        <w:tc>
          <w:tcPr>
            <w:tcW w:w="3539" w:type="dxa"/>
          </w:tcPr>
          <w:p w14:paraId="61D87344" w14:textId="3130F44F" w:rsidR="009B68D2" w:rsidRDefault="00C301E6">
            <w:pPr>
              <w:suppressAutoHyphens/>
              <w:jc w:val="right"/>
              <w:rPr>
                <w:noProof/>
              </w:rPr>
            </w:pPr>
            <w:r>
              <w:rPr>
                <w:noProof/>
                <w:lang w:val="en-US" w:eastAsia="ko-KR"/>
              </w:rPr>
              <w:drawing>
                <wp:inline distT="0" distB="0" distL="0" distR="0" wp14:anchorId="75EF3D69" wp14:editId="3F18B051">
                  <wp:extent cx="2073275" cy="2594610"/>
                  <wp:effectExtent l="19050" t="19050" r="3175" b="0"/>
                  <wp:docPr id="31"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3275" cy="2594610"/>
                          </a:xfrm>
                          <a:prstGeom prst="rect">
                            <a:avLst/>
                          </a:prstGeom>
                          <a:noFill/>
                          <a:ln w="9525" cmpd="sng">
                            <a:solidFill>
                              <a:srgbClr val="000000"/>
                            </a:solidFill>
                            <a:miter lim="800000"/>
                            <a:headEnd/>
                            <a:tailEnd/>
                          </a:ln>
                          <a:effectLst/>
                        </pic:spPr>
                      </pic:pic>
                    </a:graphicData>
                  </a:graphic>
                </wp:inline>
              </w:drawing>
            </w:r>
          </w:p>
          <w:p w14:paraId="47CADB22" w14:textId="1F961812" w:rsidR="009B68D2" w:rsidRDefault="00C301E6">
            <w:pPr>
              <w:suppressAutoHyphens/>
              <w:jc w:val="right"/>
              <w:rPr>
                <w:b/>
                <w:bCs/>
                <w:noProof/>
              </w:rPr>
            </w:pPr>
            <w:r>
              <w:rPr>
                <w:noProof/>
                <w:lang w:val="en-US" w:eastAsia="ko-KR"/>
              </w:rPr>
              <mc:AlternateContent>
                <mc:Choice Requires="wps">
                  <w:drawing>
                    <wp:anchor distT="45720" distB="45720" distL="114300" distR="114300" simplePos="0" relativeHeight="251658292" behindDoc="0" locked="1" layoutInCell="1" allowOverlap="1" wp14:anchorId="7AFACB4C" wp14:editId="3FAE5F98">
                      <wp:simplePos x="0" y="0"/>
                      <wp:positionH relativeFrom="column">
                        <wp:posOffset>1118870</wp:posOffset>
                      </wp:positionH>
                      <wp:positionV relativeFrom="paragraph">
                        <wp:posOffset>-1697355</wp:posOffset>
                      </wp:positionV>
                      <wp:extent cx="732155" cy="482600"/>
                      <wp:effectExtent l="0" t="0" r="0" b="0"/>
                      <wp:wrapNone/>
                      <wp:docPr id="11191102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82600"/>
                              </a:xfrm>
                              <a:prstGeom prst="rect">
                                <a:avLst/>
                              </a:prstGeom>
                              <a:noFill/>
                              <a:ln w="9525">
                                <a:noFill/>
                                <a:miter lim="800000"/>
                                <a:headEnd/>
                                <a:tailEnd/>
                              </a:ln>
                            </wps:spPr>
                            <wps:txbx>
                              <w:txbxContent>
                                <w:p w14:paraId="58BB2C18" w14:textId="2334BD4A" w:rsidR="008013E1" w:rsidRPr="00BA148D" w:rsidRDefault="003C21A6" w:rsidP="00920780">
                                  <w:pPr>
                                    <w:spacing w:line="264" w:lineRule="auto"/>
                                    <w:rPr>
                                      <w:rFonts w:ascii="Arial" w:hAnsi="Arial" w:cs="Arial"/>
                                      <w:b/>
                                      <w:bCs/>
                                      <w:sz w:val="26"/>
                                      <w:szCs w:val="26"/>
                                      <w:lang w:val="es-ES"/>
                                    </w:rPr>
                                  </w:pPr>
                                  <w:r w:rsidRPr="003C21A6">
                                    <w:rPr>
                                      <w:rFonts w:ascii="Arial" w:hAnsi="Arial" w:cs="Arial"/>
                                      <w:b/>
                                      <w:bCs/>
                                      <w:sz w:val="26"/>
                                      <w:szCs w:val="26"/>
                                      <w:lang w:val="es-ES"/>
                                    </w:rPr>
                                    <w:t>Kryt jehly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ACB4C" id="Text Box 21" o:spid="_x0000_s1073" type="#_x0000_t202" style="position:absolute;left:0;text-align:left;margin-left:88.1pt;margin-top:-133.65pt;width:57.65pt;height:38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" filled="f" stroked="f">
                      <v:textbox inset="0,0,0,0">
                        <w:txbxContent>
                          <w:p w14:paraId="58BB2C18" w14:textId="2334BD4A" w:rsidR="008013E1" w:rsidRPr="00BA148D" w:rsidRDefault="003C21A6" w:rsidP="00920780">
                            <w:pPr>
                              <w:spacing w:line="264" w:lineRule="auto"/>
                              <w:rPr>
                                <w:rFonts w:ascii="Arial" w:hAnsi="Arial" w:cs="Arial"/>
                                <w:b/>
                                <w:bCs/>
                                <w:sz w:val="26"/>
                                <w:szCs w:val="26"/>
                                <w:lang w:val="es-ES"/>
                              </w:rPr>
                            </w:pPr>
                            <w:r w:rsidRPr="003C21A6">
                              <w:rPr>
                                <w:rFonts w:ascii="Arial" w:hAnsi="Arial" w:cs="Arial"/>
                                <w:b/>
                                <w:bCs/>
                                <w:sz w:val="26"/>
                                <w:szCs w:val="26"/>
                                <w:lang w:val="es-ES"/>
                              </w:rPr>
                              <w:t>Kryt jehly</w:t>
                            </w:r>
                          </w:p>
                        </w:txbxContent>
                      </v:textbox>
                      <w10:anchorlock/>
                    </v:shape>
                  </w:pict>
                </mc:Fallback>
              </mc:AlternateContent>
            </w:r>
            <w:r w:rsidR="009B68D2">
              <w:rPr>
                <w:b/>
                <w:bCs/>
                <w:noProof/>
              </w:rPr>
              <w:t>obrázek J</w:t>
            </w:r>
          </w:p>
        </w:tc>
        <w:tc>
          <w:tcPr>
            <w:tcW w:w="5517" w:type="dxa"/>
          </w:tcPr>
          <w:p w14:paraId="74EEE194" w14:textId="77777777" w:rsidR="009B68D2" w:rsidRDefault="009B68D2">
            <w:pPr>
              <w:pStyle w:val="a3"/>
              <w:numPr>
                <w:ilvl w:val="0"/>
                <w:numId w:val="89"/>
              </w:numPr>
              <w:autoSpaceDE/>
              <w:autoSpaceDN/>
              <w:ind w:left="567" w:hanging="567"/>
              <w:rPr>
                <w:b/>
              </w:rPr>
            </w:pPr>
            <w:r>
              <w:rPr>
                <w:b/>
              </w:rPr>
              <w:t>Odstraňte kryt.</w:t>
            </w:r>
          </w:p>
          <w:p w14:paraId="0B50D012" w14:textId="77777777" w:rsidR="009B68D2" w:rsidRDefault="009B68D2">
            <w:pPr>
              <w:pStyle w:val="Default"/>
              <w:keepNext/>
              <w:ind w:left="567" w:hanging="567"/>
              <w:rPr>
                <w:rFonts w:ascii="Times New Roman" w:hAnsi="Times New Roman" w:cs="Times New Roman"/>
                <w:sz w:val="22"/>
                <w:szCs w:val="22"/>
              </w:rPr>
            </w:pPr>
          </w:p>
          <w:p w14:paraId="364B0C32" w14:textId="77777777" w:rsidR="009B68D2" w:rsidRDefault="009B68D2">
            <w:pPr>
              <w:pStyle w:val="a3"/>
              <w:keepNext/>
              <w:numPr>
                <w:ilvl w:val="0"/>
                <w:numId w:val="96"/>
              </w:numPr>
              <w:autoSpaceDE/>
              <w:autoSpaceDN/>
              <w:ind w:left="567" w:hanging="567"/>
              <w:rPr>
                <w:bCs/>
              </w:rPr>
            </w:pPr>
            <w:r>
              <w:rPr>
                <w:color w:val="231F20"/>
              </w:rPr>
              <w:t>Držte tělo předplněného pera jednou rukou s krytem nahoru.</w:t>
            </w:r>
            <w:r>
              <w:rPr>
                <w:color w:val="231F20"/>
              </w:rPr>
              <w:br/>
            </w:r>
            <w:r w:rsidRPr="00D159C5">
              <w:t xml:space="preserve">Druhou rukou opatrně sundejte kryt (viz </w:t>
            </w:r>
            <w:r>
              <w:rPr>
                <w:b/>
              </w:rPr>
              <w:t>obrázek J</w:t>
            </w:r>
            <w:r w:rsidRPr="00D159C5">
              <w:t>).</w:t>
            </w:r>
          </w:p>
          <w:p w14:paraId="781FA2D7" w14:textId="77777777" w:rsidR="009B68D2" w:rsidRDefault="009B68D2">
            <w:pPr>
              <w:pStyle w:val="a3"/>
              <w:ind w:left="567"/>
              <w:rPr>
                <w:bCs/>
                <w:noProof/>
              </w:rPr>
            </w:pPr>
            <w:r>
              <w:rPr>
                <w:i/>
              </w:rPr>
              <w:t>Poznámka:</w:t>
            </w:r>
            <w:r w:rsidRPr="00D159C5">
              <w:t xml:space="preserve"> Jestliže nemůžete kryt odstranit, měli byste požádat o pomoc ošetřovatele nebo se obrátit na svého lékaře.</w:t>
            </w:r>
          </w:p>
          <w:p w14:paraId="70B719A6" w14:textId="77777777" w:rsidR="009B68D2" w:rsidRDefault="009B68D2">
            <w:pPr>
              <w:pStyle w:val="a3"/>
              <w:keepNext/>
              <w:numPr>
                <w:ilvl w:val="0"/>
                <w:numId w:val="96"/>
              </w:numPr>
              <w:autoSpaceDE/>
              <w:autoSpaceDN/>
              <w:ind w:left="567" w:hanging="567"/>
              <w:rPr>
                <w:color w:val="231F20"/>
              </w:rPr>
            </w:pPr>
            <w:r>
              <w:rPr>
                <w:color w:val="231F20"/>
              </w:rPr>
              <w:t xml:space="preserve">Kryt ihned vyhoďte do odpadní nádoby na ostré předměty (viz </w:t>
            </w:r>
            <w:r>
              <w:rPr>
                <w:b/>
                <w:color w:val="231F20"/>
              </w:rPr>
              <w:t>krok 14</w:t>
            </w:r>
            <w:r>
              <w:rPr>
                <w:color w:val="231F20"/>
              </w:rPr>
              <w:t xml:space="preserve"> a </w:t>
            </w:r>
            <w:r>
              <w:rPr>
                <w:b/>
                <w:color w:val="231F20"/>
              </w:rPr>
              <w:t>obrázek O</w:t>
            </w:r>
            <w:r>
              <w:rPr>
                <w:color w:val="231F20"/>
              </w:rPr>
              <w:t>).</w:t>
            </w:r>
          </w:p>
          <w:p w14:paraId="3B5FE5C6" w14:textId="77777777" w:rsidR="009B68D2" w:rsidRPr="00D159C5" w:rsidRDefault="009B68D2">
            <w:pPr>
              <w:pStyle w:val="a3"/>
              <w:numPr>
                <w:ilvl w:val="0"/>
                <w:numId w:val="70"/>
              </w:numPr>
              <w:autoSpaceDE/>
              <w:autoSpaceDN/>
              <w:ind w:left="1134" w:hanging="567"/>
            </w:pPr>
            <w:r w:rsidRPr="00D159C5">
              <w:t>Předplněnému peru opětovně</w:t>
            </w:r>
            <w:r>
              <w:rPr>
                <w:b/>
                <w:bCs/>
              </w:rPr>
              <w:t xml:space="preserve"> </w:t>
            </w:r>
            <w:r w:rsidRPr="00E8723C">
              <w:t xml:space="preserve">kryt </w:t>
            </w:r>
            <w:r>
              <w:rPr>
                <w:b/>
                <w:bCs/>
              </w:rPr>
              <w:t>nenasazujte</w:t>
            </w:r>
            <w:r w:rsidRPr="00D159C5">
              <w:t>.</w:t>
            </w:r>
          </w:p>
          <w:p w14:paraId="68FEA921" w14:textId="77777777" w:rsidR="009B68D2" w:rsidRPr="00D159C5" w:rsidRDefault="009B68D2">
            <w:pPr>
              <w:pStyle w:val="a3"/>
              <w:numPr>
                <w:ilvl w:val="0"/>
                <w:numId w:val="70"/>
              </w:numPr>
              <w:autoSpaceDE/>
              <w:autoSpaceDN/>
              <w:ind w:left="1134" w:hanging="567"/>
            </w:pPr>
            <w:r>
              <w:rPr>
                <w:b/>
                <w:bCs/>
              </w:rPr>
              <w:t>Nesahejte</w:t>
            </w:r>
            <w:r w:rsidRPr="00D159C5">
              <w:t xml:space="preserve"> na špičku jehly předplněného pera, abyste zabránili náhodnému </w:t>
            </w:r>
            <w:r>
              <w:t>poranění jehlou</w:t>
            </w:r>
            <w:r w:rsidRPr="00D159C5">
              <w:t>.</w:t>
            </w:r>
          </w:p>
          <w:p w14:paraId="0CAB4CC7" w14:textId="77777777" w:rsidR="009B68D2" w:rsidRPr="00D159C5" w:rsidRDefault="009B68D2">
            <w:pPr>
              <w:pStyle w:val="a3"/>
              <w:numPr>
                <w:ilvl w:val="0"/>
                <w:numId w:val="70"/>
              </w:numPr>
              <w:autoSpaceDE/>
              <w:autoSpaceDN/>
              <w:ind w:left="1134" w:hanging="567"/>
            </w:pPr>
            <w:r>
              <w:rPr>
                <w:color w:val="231F20"/>
              </w:rPr>
              <w:t xml:space="preserve">Po </w:t>
            </w:r>
            <w:r w:rsidRPr="00D159C5">
              <w:t>odstranění</w:t>
            </w:r>
            <w:r>
              <w:rPr>
                <w:color w:val="231F20"/>
              </w:rPr>
              <w:t xml:space="preserve"> krytu je předplněné pero připraveno k použití</w:t>
            </w:r>
            <w:r w:rsidRPr="00D159C5">
              <w:t>.</w:t>
            </w:r>
            <w:r>
              <w:rPr>
                <w:color w:val="231F20"/>
              </w:rPr>
              <w:t xml:space="preserve"> Jestliže předplněné pero nepoužijete do 3 minut od sejmutí krytu, vyhoďte předplněné pero do odpadní nádoby na ostré předměty a použijte nové předplněné pero.</w:t>
            </w:r>
          </w:p>
          <w:p w14:paraId="32B06A67" w14:textId="77777777" w:rsidR="009B68D2" w:rsidRPr="00DE67E9" w:rsidRDefault="009B68D2" w:rsidP="009B68D2"/>
        </w:tc>
      </w:tr>
      <w:tr w:rsidR="00B8592C" w:rsidRPr="00DE67E9" w14:paraId="7346684C" w14:textId="77777777">
        <w:trPr>
          <w:cantSplit/>
        </w:trPr>
        <w:tc>
          <w:tcPr>
            <w:tcW w:w="3539" w:type="dxa"/>
          </w:tcPr>
          <w:p w14:paraId="43AE660D" w14:textId="0960FBFD" w:rsidR="00093D93" w:rsidRDefault="00C301E6">
            <w:pPr>
              <w:suppressAutoHyphens/>
              <w:jc w:val="right"/>
              <w:rPr>
                <w:noProof/>
              </w:rPr>
            </w:pPr>
            <w:r>
              <w:rPr>
                <w:noProof/>
                <w:lang w:val="en-US" w:eastAsia="ko-KR"/>
              </w:rPr>
              <w:lastRenderedPageBreak/>
              <w:drawing>
                <wp:inline distT="0" distB="0" distL="0" distR="0" wp14:anchorId="56657DA9" wp14:editId="5F638E8F">
                  <wp:extent cx="2073275" cy="2594610"/>
                  <wp:effectExtent l="19050" t="19050" r="3175" b="0"/>
                  <wp:docPr id="32"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3275" cy="2594610"/>
                          </a:xfrm>
                          <a:prstGeom prst="rect">
                            <a:avLst/>
                          </a:prstGeom>
                          <a:noFill/>
                          <a:ln w="9525" cmpd="sng">
                            <a:solidFill>
                              <a:srgbClr val="000000"/>
                            </a:solidFill>
                            <a:miter lim="800000"/>
                            <a:headEnd/>
                            <a:tailEnd/>
                          </a:ln>
                          <a:effectLst/>
                        </pic:spPr>
                      </pic:pic>
                    </a:graphicData>
                  </a:graphic>
                </wp:inline>
              </w:drawing>
            </w:r>
          </w:p>
          <w:p w14:paraId="148DDB77" w14:textId="588DA281" w:rsidR="00093D93" w:rsidRDefault="00093D93">
            <w:pPr>
              <w:suppressAutoHyphens/>
              <w:jc w:val="right"/>
              <w:rPr>
                <w:b/>
                <w:bCs/>
                <w:noProof/>
              </w:rPr>
            </w:pPr>
            <w:r>
              <w:rPr>
                <w:b/>
                <w:bCs/>
                <w:noProof/>
              </w:rPr>
              <w:t>obrázek K</w:t>
            </w:r>
          </w:p>
        </w:tc>
        <w:tc>
          <w:tcPr>
            <w:tcW w:w="5517" w:type="dxa"/>
          </w:tcPr>
          <w:p w14:paraId="3F77E38D" w14:textId="77777777" w:rsidR="00093D93" w:rsidRDefault="00093D93">
            <w:pPr>
              <w:pStyle w:val="a3"/>
              <w:numPr>
                <w:ilvl w:val="0"/>
                <w:numId w:val="100"/>
              </w:numPr>
              <w:autoSpaceDE/>
              <w:autoSpaceDN/>
              <w:ind w:left="567" w:hanging="567"/>
              <w:rPr>
                <w:b/>
              </w:rPr>
            </w:pPr>
            <w:r>
              <w:rPr>
                <w:b/>
              </w:rPr>
              <w:t>Umístěte předplněné pero do místa vpichu.</w:t>
            </w:r>
          </w:p>
          <w:p w14:paraId="7561694B" w14:textId="77777777" w:rsidR="00093D93" w:rsidRDefault="00093D93">
            <w:pPr>
              <w:pStyle w:val="a3"/>
              <w:ind w:left="567" w:hanging="567"/>
              <w:rPr>
                <w:color w:val="231F20"/>
              </w:rPr>
            </w:pPr>
          </w:p>
          <w:p w14:paraId="3511509E" w14:textId="77777777" w:rsidR="00093D93" w:rsidRDefault="00093D93">
            <w:pPr>
              <w:pStyle w:val="a3"/>
              <w:numPr>
                <w:ilvl w:val="0"/>
                <w:numId w:val="105"/>
              </w:numPr>
              <w:autoSpaceDE/>
              <w:autoSpaceDN/>
              <w:ind w:left="567" w:hanging="567"/>
              <w:rPr>
                <w:color w:val="231F20"/>
              </w:rPr>
            </w:pPr>
            <w:r>
              <w:rPr>
                <w:color w:val="231F20"/>
              </w:rPr>
              <w:t xml:space="preserve">Držte předplněné pero pohodlně v jedné ruce tak, abyste viděli na okénko (viz </w:t>
            </w:r>
            <w:r>
              <w:rPr>
                <w:b/>
                <w:color w:val="231F20"/>
              </w:rPr>
              <w:t>obrázek K</w:t>
            </w:r>
            <w:r>
              <w:rPr>
                <w:color w:val="231F20"/>
              </w:rPr>
              <w:t>).</w:t>
            </w:r>
          </w:p>
          <w:p w14:paraId="744E864D" w14:textId="5312F159" w:rsidR="00093D93" w:rsidRDefault="00093D93">
            <w:pPr>
              <w:pStyle w:val="a3"/>
              <w:numPr>
                <w:ilvl w:val="0"/>
                <w:numId w:val="105"/>
              </w:numPr>
              <w:autoSpaceDE/>
              <w:autoSpaceDN/>
              <w:ind w:left="567" w:hanging="567"/>
              <w:rPr>
                <w:color w:val="231F20"/>
              </w:rPr>
            </w:pPr>
            <w:r>
              <w:rPr>
                <w:color w:val="231F20"/>
              </w:rPr>
              <w:t>Bez stisknutí nebo natahování kůže přiložte předplněné pero ke kůži pod úhlem 90</w:t>
            </w:r>
            <w:r>
              <w:rPr>
                <w:color w:val="231F20"/>
                <w:vertAlign w:val="superscript"/>
              </w:rPr>
              <w:t xml:space="preserve"> o</w:t>
            </w:r>
            <w:r>
              <w:rPr>
                <w:color w:val="231F20"/>
              </w:rPr>
              <w:t xml:space="preserve"> (viz </w:t>
            </w:r>
            <w:r>
              <w:rPr>
                <w:b/>
                <w:color w:val="231F20"/>
              </w:rPr>
              <w:t>obrázek</w:t>
            </w:r>
            <w:r w:rsidR="0041587B">
              <w:rPr>
                <w:b/>
                <w:color w:val="231F20"/>
              </w:rPr>
              <w:t> </w:t>
            </w:r>
            <w:r>
              <w:rPr>
                <w:b/>
                <w:color w:val="231F20"/>
              </w:rPr>
              <w:t>L</w:t>
            </w:r>
            <w:r>
              <w:rPr>
                <w:color w:val="231F20"/>
              </w:rPr>
              <w:t>).</w:t>
            </w:r>
          </w:p>
          <w:p w14:paraId="03832E10" w14:textId="77777777" w:rsidR="00093D93" w:rsidRDefault="00093D93">
            <w:pPr>
              <w:pStyle w:val="a3"/>
              <w:ind w:left="567" w:hanging="567"/>
              <w:rPr>
                <w:bCs/>
                <w:i/>
                <w:iCs/>
                <w:noProof/>
                <w:lang w:eastAsia="ko-KR"/>
              </w:rPr>
            </w:pPr>
          </w:p>
          <w:p w14:paraId="5A8AD97A" w14:textId="77777777" w:rsidR="00093D93" w:rsidRDefault="00093D93">
            <w:pPr>
              <w:pStyle w:val="a3"/>
              <w:ind w:left="567"/>
              <w:rPr>
                <w:bCs/>
                <w:noProof/>
              </w:rPr>
            </w:pPr>
            <w:r>
              <w:rPr>
                <w:i/>
              </w:rPr>
              <w:t>Poznámka:</w:t>
            </w:r>
            <w:r w:rsidRPr="00D159C5">
              <w:t xml:space="preserve"> Je důležité použít správný úhel, aby se lé</w:t>
            </w:r>
            <w:r>
              <w:t>čivý přípravek</w:t>
            </w:r>
            <w:r w:rsidRPr="00D159C5">
              <w:t xml:space="preserve"> dostal pod kůži (do tukové tkáně), jinak by injekce mohla být bolestivá a lék by nemusel účinkovat.</w:t>
            </w:r>
          </w:p>
          <w:p w14:paraId="1BC609F8" w14:textId="77777777" w:rsidR="00093D93" w:rsidRDefault="00093D93">
            <w:pPr>
              <w:pStyle w:val="a3"/>
              <w:ind w:left="567" w:hanging="567"/>
              <w:rPr>
                <w:color w:val="231F20"/>
              </w:rPr>
            </w:pPr>
          </w:p>
          <w:p w14:paraId="1779311C" w14:textId="77777777" w:rsidR="00093D93" w:rsidRPr="00D159C5" w:rsidRDefault="00093D93">
            <w:pPr>
              <w:pStyle w:val="a3"/>
              <w:numPr>
                <w:ilvl w:val="0"/>
                <w:numId w:val="70"/>
              </w:numPr>
              <w:autoSpaceDE/>
              <w:autoSpaceDN/>
              <w:ind w:left="1134" w:hanging="567"/>
            </w:pPr>
            <w:r w:rsidRPr="00D159C5">
              <w:t>Neaplikujte do svalu nebo do cévy.</w:t>
            </w:r>
          </w:p>
          <w:p w14:paraId="1F5DB3A0" w14:textId="77777777" w:rsidR="00093D93" w:rsidRPr="00D159C5" w:rsidRDefault="00093D93">
            <w:pPr>
              <w:pStyle w:val="a3"/>
              <w:ind w:left="567" w:hanging="567"/>
            </w:pPr>
          </w:p>
          <w:p w14:paraId="7EEA081E" w14:textId="77777777" w:rsidR="00093D93" w:rsidRPr="003F6BD9" w:rsidRDefault="00093D93" w:rsidP="00093D93"/>
        </w:tc>
      </w:tr>
      <w:tr w:rsidR="00B8592C" w:rsidRPr="00DE67E9" w14:paraId="4C2D00CB" w14:textId="77777777">
        <w:trPr>
          <w:cantSplit/>
        </w:trPr>
        <w:tc>
          <w:tcPr>
            <w:tcW w:w="3539" w:type="dxa"/>
          </w:tcPr>
          <w:p w14:paraId="6F1C201F" w14:textId="505CA710" w:rsidR="00920780" w:rsidRDefault="00C301E6">
            <w:pPr>
              <w:suppressAutoHyphens/>
              <w:jc w:val="right"/>
              <w:rPr>
                <w:noProof/>
              </w:rPr>
            </w:pPr>
            <w:r>
              <w:rPr>
                <w:noProof/>
                <w:lang w:val="en-US" w:eastAsia="ko-KR"/>
              </w:rPr>
              <mc:AlternateContent>
                <mc:Choice Requires="wps">
                  <w:drawing>
                    <wp:anchor distT="45720" distB="45720" distL="114300" distR="114300" simplePos="0" relativeHeight="251658261" behindDoc="0" locked="0" layoutInCell="1" allowOverlap="1" wp14:anchorId="1259380F" wp14:editId="001C14F5">
                      <wp:simplePos x="0" y="0"/>
                      <wp:positionH relativeFrom="column">
                        <wp:posOffset>588010</wp:posOffset>
                      </wp:positionH>
                      <wp:positionV relativeFrom="paragraph">
                        <wp:posOffset>1379220</wp:posOffset>
                      </wp:positionV>
                      <wp:extent cx="629920" cy="467360"/>
                      <wp:effectExtent l="0" t="0" r="0" b="0"/>
                      <wp:wrapNone/>
                      <wp:docPr id="30179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0E62622B" w14:textId="77777777" w:rsidR="008013E1" w:rsidRPr="00BA148D" w:rsidRDefault="008013E1" w:rsidP="00920780">
                                  <w:pPr>
                                    <w:rPr>
                                      <w:rFonts w:ascii="Arial" w:hAnsi="Arial" w:cs="Arial"/>
                                      <w:b/>
                                      <w:bCs/>
                                      <w:sz w:val="32"/>
                                      <w:szCs w:val="32"/>
                                    </w:rPr>
                                  </w:pPr>
                                  <w:r w:rsidRPr="00BA148D">
                                    <w:rPr>
                                      <w:rFonts w:ascii="Arial" w:hAnsi="Arial" w:cs="Arial"/>
                                      <w:b/>
                                      <w:bCs/>
                                      <w:sz w:val="32"/>
                                      <w:szCs w:val="32"/>
                                    </w:rPr>
                                    <w:t>90°</w:t>
                                  </w:r>
                                </w:p>
                                <w:p w14:paraId="6F5CCEC1" w14:textId="77777777" w:rsidR="008013E1" w:rsidRPr="00BA148D" w:rsidRDefault="008013E1" w:rsidP="00920780">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259380F" id="Text Box 19" o:spid="_x0000_s1074" type="#_x0000_t202" style="position:absolute;left:0;text-align:left;margin-left:46.3pt;margin-top:108.6pt;width:49.6pt;height:36.8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0E62622B" w14:textId="77777777" w:rsidR="008013E1" w:rsidRPr="00BA148D" w:rsidRDefault="008013E1" w:rsidP="00920780">
                            <w:pPr>
                              <w:rPr>
                                <w:rFonts w:ascii="Arial" w:hAnsi="Arial" w:cs="Arial"/>
                                <w:b/>
                                <w:bCs/>
                                <w:sz w:val="32"/>
                                <w:szCs w:val="32"/>
                              </w:rPr>
                            </w:pPr>
                            <w:r w:rsidRPr="00BA148D">
                              <w:rPr>
                                <w:rFonts w:ascii="Arial" w:hAnsi="Arial" w:cs="Arial"/>
                                <w:b/>
                                <w:bCs/>
                                <w:sz w:val="32"/>
                                <w:szCs w:val="32"/>
                              </w:rPr>
                              <w:t>90°</w:t>
                            </w:r>
                          </w:p>
                          <w:p w14:paraId="6F5CCEC1" w14:textId="77777777" w:rsidR="008013E1" w:rsidRPr="00BA148D" w:rsidRDefault="008013E1" w:rsidP="00920780">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62" behindDoc="0" locked="0" layoutInCell="1" allowOverlap="1" wp14:anchorId="10F3FE8E" wp14:editId="7A8D2601">
                      <wp:simplePos x="0" y="0"/>
                      <wp:positionH relativeFrom="column">
                        <wp:posOffset>1055370</wp:posOffset>
                      </wp:positionH>
                      <wp:positionV relativeFrom="paragraph">
                        <wp:posOffset>2711450</wp:posOffset>
                      </wp:positionV>
                      <wp:extent cx="629920" cy="467360"/>
                      <wp:effectExtent l="0" t="0" r="0" b="0"/>
                      <wp:wrapNone/>
                      <wp:docPr id="16442961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56DF7FBA" w14:textId="77777777" w:rsidR="008013E1" w:rsidRPr="00BA148D" w:rsidRDefault="008013E1" w:rsidP="00920780">
                                  <w:pPr>
                                    <w:rPr>
                                      <w:rFonts w:ascii="Arial" w:hAnsi="Arial" w:cs="Arial"/>
                                      <w:b/>
                                      <w:bCs/>
                                      <w:sz w:val="32"/>
                                      <w:szCs w:val="32"/>
                                    </w:rPr>
                                  </w:pPr>
                                  <w:r w:rsidRPr="00BA148D">
                                    <w:rPr>
                                      <w:rFonts w:ascii="Arial" w:hAnsi="Arial" w:cs="Arial"/>
                                      <w:b/>
                                      <w:bCs/>
                                      <w:sz w:val="32"/>
                                      <w:szCs w:val="32"/>
                                    </w:rPr>
                                    <w:t>90°</w:t>
                                  </w:r>
                                </w:p>
                                <w:p w14:paraId="5733D956" w14:textId="77777777" w:rsidR="008013E1" w:rsidRPr="00BA148D" w:rsidRDefault="008013E1" w:rsidP="00920780">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0F3FE8E" id="Text Box 17" o:spid="_x0000_s1075" type="#_x0000_t202" style="position:absolute;left:0;text-align:left;margin-left:83.1pt;margin-top:213.5pt;width:49.6pt;height:36.8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56DF7FBA" w14:textId="77777777" w:rsidR="008013E1" w:rsidRPr="00BA148D" w:rsidRDefault="008013E1" w:rsidP="00920780">
                            <w:pPr>
                              <w:rPr>
                                <w:rFonts w:ascii="Arial" w:hAnsi="Arial" w:cs="Arial"/>
                                <w:b/>
                                <w:bCs/>
                                <w:sz w:val="32"/>
                                <w:szCs w:val="32"/>
                              </w:rPr>
                            </w:pPr>
                            <w:r w:rsidRPr="00BA148D">
                              <w:rPr>
                                <w:rFonts w:ascii="Arial" w:hAnsi="Arial" w:cs="Arial"/>
                                <w:b/>
                                <w:bCs/>
                                <w:sz w:val="32"/>
                                <w:szCs w:val="32"/>
                              </w:rPr>
                              <w:t>90°</w:t>
                            </w:r>
                          </w:p>
                          <w:p w14:paraId="5733D956" w14:textId="77777777" w:rsidR="008013E1" w:rsidRPr="00BA148D" w:rsidRDefault="008013E1" w:rsidP="00920780">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63" behindDoc="0" locked="0" layoutInCell="1" allowOverlap="1" wp14:anchorId="1D2450F2" wp14:editId="5DBEF65A">
                      <wp:simplePos x="0" y="0"/>
                      <wp:positionH relativeFrom="column">
                        <wp:posOffset>88900</wp:posOffset>
                      </wp:positionH>
                      <wp:positionV relativeFrom="paragraph">
                        <wp:posOffset>2015490</wp:posOffset>
                      </wp:positionV>
                      <wp:extent cx="1983740" cy="277495"/>
                      <wp:effectExtent l="0" t="0" r="0" b="0"/>
                      <wp:wrapNone/>
                      <wp:docPr id="13119330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1DB4B957" w14:textId="48C12EC2" w:rsidR="008013E1" w:rsidRPr="00920780" w:rsidRDefault="003C21A6" w:rsidP="00920780">
                                  <w:pPr>
                                    <w:jc w:val="center"/>
                                    <w:rPr>
                                      <w:rFonts w:ascii="Arial" w:hAnsi="Arial" w:cs="Arial"/>
                                      <w:b/>
                                      <w:bCs/>
                                      <w:color w:val="FFFFFF"/>
                                      <w:sz w:val="28"/>
                                      <w:szCs w:val="28"/>
                                    </w:rPr>
                                  </w:pPr>
                                  <w:r w:rsidRPr="003C21A6">
                                    <w:rPr>
                                      <w:rFonts w:ascii="Arial" w:hAnsi="Arial" w:cs="Arial"/>
                                      <w:b/>
                                      <w:bCs/>
                                      <w:color w:val="FFFFFF"/>
                                      <w:sz w:val="28"/>
                                      <w:szCs w:val="28"/>
                                    </w:rPr>
                                    <w:t>NEBO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450F2" id="Text Box 15" o:spid="_x0000_s1076" type="#_x0000_t202" style="position:absolute;left:0;text-align:left;margin-left:7pt;margin-top:158.7pt;width:156.2pt;height:21.8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1DB4B957" w14:textId="48C12EC2" w:rsidR="008013E1" w:rsidRPr="00920780" w:rsidRDefault="003C21A6" w:rsidP="00920780">
                            <w:pPr>
                              <w:jc w:val="center"/>
                              <w:rPr>
                                <w:rFonts w:ascii="Arial" w:hAnsi="Arial" w:cs="Arial"/>
                                <w:b/>
                                <w:bCs/>
                                <w:color w:val="FFFFFF"/>
                                <w:sz w:val="28"/>
                                <w:szCs w:val="28"/>
                              </w:rPr>
                            </w:pPr>
                            <w:r w:rsidRPr="003C21A6">
                              <w:rPr>
                                <w:rFonts w:ascii="Arial" w:hAnsi="Arial" w:cs="Arial"/>
                                <w:b/>
                                <w:bCs/>
                                <w:color w:val="FFFFFF"/>
                                <w:sz w:val="28"/>
                                <w:szCs w:val="28"/>
                              </w:rPr>
                              <w:t>NEBO</w:t>
                            </w:r>
                          </w:p>
                        </w:txbxContent>
                      </v:textbox>
                    </v:shape>
                  </w:pict>
                </mc:Fallback>
              </mc:AlternateContent>
            </w:r>
            <w:r>
              <w:rPr>
                <w:noProof/>
                <w:sz w:val="26"/>
                <w:szCs w:val="26"/>
                <w:lang w:val="en-US" w:eastAsia="ko-KR"/>
              </w:rPr>
              <w:drawing>
                <wp:inline distT="0" distB="0" distL="0" distR="0" wp14:anchorId="0F83EE90" wp14:editId="03B7A911">
                  <wp:extent cx="2062480" cy="4210685"/>
                  <wp:effectExtent l="19050" t="19050" r="0" b="0"/>
                  <wp:docPr id="33" name="그림 1"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클립아트, 텍스트, 라인 아트, 만화 영화이(가) 표시된 사진&#10;&#10;자동 생성된 설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2480" cy="4210685"/>
                          </a:xfrm>
                          <a:prstGeom prst="rect">
                            <a:avLst/>
                          </a:prstGeom>
                          <a:noFill/>
                          <a:ln w="9525" cmpd="sng">
                            <a:solidFill>
                              <a:srgbClr val="000000"/>
                            </a:solidFill>
                            <a:miter lim="800000"/>
                            <a:headEnd/>
                            <a:tailEnd/>
                          </a:ln>
                          <a:effectLst/>
                        </pic:spPr>
                      </pic:pic>
                    </a:graphicData>
                  </a:graphic>
                </wp:inline>
              </w:drawing>
            </w:r>
          </w:p>
          <w:p w14:paraId="2509307C" w14:textId="4EC01748" w:rsidR="00920780" w:rsidRDefault="007C403F">
            <w:pPr>
              <w:suppressAutoHyphens/>
              <w:jc w:val="right"/>
              <w:rPr>
                <w:b/>
                <w:bCs/>
                <w:noProof/>
              </w:rPr>
            </w:pPr>
            <w:r>
              <w:rPr>
                <w:b/>
                <w:bCs/>
                <w:noProof/>
              </w:rPr>
              <w:t>obrázek</w:t>
            </w:r>
            <w:r w:rsidR="00920780">
              <w:rPr>
                <w:b/>
                <w:bCs/>
                <w:noProof/>
              </w:rPr>
              <w:t xml:space="preserve"> L</w:t>
            </w:r>
          </w:p>
        </w:tc>
        <w:tc>
          <w:tcPr>
            <w:tcW w:w="5517" w:type="dxa"/>
          </w:tcPr>
          <w:p w14:paraId="6C95DC30" w14:textId="77777777" w:rsidR="00920780" w:rsidRPr="003F6BD9" w:rsidRDefault="00920780" w:rsidP="004F45E9"/>
        </w:tc>
      </w:tr>
      <w:tr w:rsidR="00B8592C" w:rsidRPr="00DE67E9" w14:paraId="2F262D40" w14:textId="77777777">
        <w:trPr>
          <w:cantSplit/>
        </w:trPr>
        <w:tc>
          <w:tcPr>
            <w:tcW w:w="3539" w:type="dxa"/>
          </w:tcPr>
          <w:p w14:paraId="75844030" w14:textId="188E6501" w:rsidR="00093D93" w:rsidRDefault="00C301E6">
            <w:pPr>
              <w:suppressAutoHyphens/>
              <w:jc w:val="right"/>
              <w:rPr>
                <w:b/>
                <w:bCs/>
                <w:noProof/>
              </w:rPr>
            </w:pPr>
            <w:r>
              <w:rPr>
                <w:b/>
                <w:noProof/>
                <w:lang w:val="en-US" w:eastAsia="ko-KR"/>
              </w:rPr>
              <w:lastRenderedPageBreak/>
              <w:drawing>
                <wp:inline distT="0" distB="0" distL="0" distR="0" wp14:anchorId="08EC52E4" wp14:editId="601ECC3F">
                  <wp:extent cx="2062480" cy="4880610"/>
                  <wp:effectExtent l="19050" t="19050" r="0" b="0"/>
                  <wp:docPr id="34"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2480" cy="4880610"/>
                          </a:xfrm>
                          <a:prstGeom prst="rect">
                            <a:avLst/>
                          </a:prstGeom>
                          <a:noFill/>
                          <a:ln w="9525" cmpd="sng">
                            <a:solidFill>
                              <a:srgbClr val="000000"/>
                            </a:solidFill>
                            <a:miter lim="800000"/>
                            <a:headEnd/>
                            <a:tailEnd/>
                          </a:ln>
                          <a:effectLst/>
                        </pic:spPr>
                      </pic:pic>
                    </a:graphicData>
                  </a:graphic>
                </wp:inline>
              </w:drawing>
            </w:r>
          </w:p>
          <w:p w14:paraId="6D9F6679" w14:textId="2CF7DEAB" w:rsidR="00093D93" w:rsidRDefault="00C301E6">
            <w:pPr>
              <w:suppressAutoHyphens/>
              <w:jc w:val="right"/>
              <w:rPr>
                <w:b/>
                <w:bCs/>
                <w:noProof/>
              </w:rPr>
            </w:pPr>
            <w:r>
              <w:rPr>
                <w:noProof/>
                <w:lang w:val="en-US" w:eastAsia="ko-KR"/>
              </w:rPr>
              <mc:AlternateContent>
                <mc:Choice Requires="wps">
                  <w:drawing>
                    <wp:anchor distT="45720" distB="45720" distL="114300" distR="114300" simplePos="0" relativeHeight="251658293" behindDoc="0" locked="1" layoutInCell="1" allowOverlap="1" wp14:anchorId="0BB6FCAA" wp14:editId="671F0B0D">
                      <wp:simplePos x="0" y="0"/>
                      <wp:positionH relativeFrom="column">
                        <wp:posOffset>276225</wp:posOffset>
                      </wp:positionH>
                      <wp:positionV relativeFrom="paragraph">
                        <wp:posOffset>-534035</wp:posOffset>
                      </wp:positionV>
                      <wp:extent cx="1526540" cy="482600"/>
                      <wp:effectExtent l="0" t="0" r="0" b="0"/>
                      <wp:wrapNone/>
                      <wp:docPr id="12642298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3979820F" w14:textId="06DD9382" w:rsidR="008013E1" w:rsidRPr="00920780" w:rsidRDefault="003C21A6" w:rsidP="00920780">
                                  <w:pPr>
                                    <w:jc w:val="center"/>
                                    <w:rPr>
                                      <w:rFonts w:ascii="Arial" w:hAnsi="Arial" w:cs="Arial"/>
                                      <w:b/>
                                      <w:bCs/>
                                      <w:color w:val="FFFFFF"/>
                                      <w:sz w:val="28"/>
                                      <w:szCs w:val="28"/>
                                      <w:lang w:val="es-ES"/>
                                    </w:rPr>
                                  </w:pPr>
                                  <w:r w:rsidRPr="003C21A6">
                                    <w:rPr>
                                      <w:rFonts w:ascii="Arial" w:hAnsi="Arial" w:cs="Arial"/>
                                      <w:b/>
                                      <w:bCs/>
                                      <w:color w:val="FFFFFF"/>
                                      <w:sz w:val="28"/>
                                      <w:szCs w:val="28"/>
                                      <w:lang w:val="es-ES"/>
                                    </w:rPr>
                                    <w:t>Poté pomalu počítejte do pěti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FCAA" id="Text Box 13" o:spid="_x0000_s1077" type="#_x0000_t202" style="position:absolute;left:0;text-align:left;margin-left:21.75pt;margin-top:-42.05pt;width:120.2pt;height:38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3979820F" w14:textId="06DD9382" w:rsidR="008013E1" w:rsidRPr="00920780" w:rsidRDefault="003C21A6" w:rsidP="00920780">
                            <w:pPr>
                              <w:jc w:val="center"/>
                              <w:rPr>
                                <w:rFonts w:ascii="Arial" w:hAnsi="Arial" w:cs="Arial"/>
                                <w:b/>
                                <w:bCs/>
                                <w:color w:val="FFFFFF"/>
                                <w:sz w:val="28"/>
                                <w:szCs w:val="28"/>
                                <w:lang w:val="es-ES"/>
                              </w:rPr>
                            </w:pPr>
                            <w:r w:rsidRPr="003C21A6">
                              <w:rPr>
                                <w:rFonts w:ascii="Arial" w:hAnsi="Arial" w:cs="Arial"/>
                                <w:b/>
                                <w:bCs/>
                                <w:color w:val="FFFFFF"/>
                                <w:sz w:val="28"/>
                                <w:szCs w:val="28"/>
                                <w:lang w:val="es-ES"/>
                              </w:rPr>
                              <w:t>Poté pomalu počítejte do pěti</w:t>
                            </w:r>
                          </w:p>
                        </w:txbxContent>
                      </v:textbox>
                      <w10:anchorlock/>
                    </v:shape>
                  </w:pict>
                </mc:Fallback>
              </mc:AlternateContent>
            </w:r>
            <w:r>
              <w:rPr>
                <w:noProof/>
                <w:lang w:val="en-US" w:eastAsia="ko-KR"/>
              </w:rPr>
              <mc:AlternateContent>
                <mc:Choice Requires="wps">
                  <w:drawing>
                    <wp:anchor distT="45720" distB="45720" distL="114300" distR="114300" simplePos="0" relativeHeight="251658294" behindDoc="0" locked="1" layoutInCell="1" allowOverlap="1" wp14:anchorId="43772491" wp14:editId="0ED100B3">
                      <wp:simplePos x="0" y="0"/>
                      <wp:positionH relativeFrom="column">
                        <wp:posOffset>200660</wp:posOffset>
                      </wp:positionH>
                      <wp:positionV relativeFrom="paragraph">
                        <wp:posOffset>-4086225</wp:posOffset>
                      </wp:positionV>
                      <wp:extent cx="621030" cy="387985"/>
                      <wp:effectExtent l="0" t="0" r="0" b="0"/>
                      <wp:wrapNone/>
                      <wp:docPr id="1750007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3FC4CF5C" w14:textId="3C2D2C2B" w:rsidR="008013E1" w:rsidRPr="00B93217" w:rsidRDefault="003C21A6" w:rsidP="00920780">
                                  <w:pPr>
                                    <w:spacing w:line="204" w:lineRule="auto"/>
                                    <w:jc w:val="center"/>
                                    <w:rPr>
                                      <w:rFonts w:ascii="Arial" w:hAnsi="Arial" w:cs="Arial"/>
                                      <w:b/>
                                      <w:bCs/>
                                      <w:color w:val="FFFFFF"/>
                                      <w:sz w:val="20"/>
                                      <w:szCs w:val="20"/>
                                      <w:lang w:val="es-ES"/>
                                    </w:rPr>
                                  </w:pPr>
                                  <w:r w:rsidRPr="00B93217">
                                    <w:rPr>
                                      <w:rFonts w:ascii="Arial" w:hAnsi="Arial" w:cs="Arial"/>
                                      <w:b/>
                                      <w:bCs/>
                                      <w:color w:val="FFFFFF"/>
                                      <w:sz w:val="20"/>
                                      <w:szCs w:val="20"/>
                                      <w:lang w:val="es-ES"/>
                                    </w:rPr>
                                    <w:t xml:space="preserve">1. </w:t>
                                  </w:r>
                                  <w:r>
                                    <w:rPr>
                                      <w:rFonts w:ascii="Arial" w:hAnsi="Arial" w:cs="Arial"/>
                                      <w:b/>
                                      <w:bCs/>
                                      <w:color w:val="FFFFFF"/>
                                      <w:sz w:val="20"/>
                                      <w:szCs w:val="20"/>
                                      <w:lang w:val="es-ES"/>
                                    </w:rPr>
                                    <w:br/>
                                  </w:r>
                                  <w:r w:rsidRPr="00B93217">
                                    <w:rPr>
                                      <w:rFonts w:ascii="Arial" w:hAnsi="Arial" w:cs="Arial"/>
                                      <w:b/>
                                      <w:bCs/>
                                      <w:color w:val="FFFFFF"/>
                                      <w:sz w:val="20"/>
                                      <w:szCs w:val="20"/>
                                      <w:lang w:val="es-ES"/>
                                    </w:rPr>
                                    <w:t>kliknutí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2491" id="Text Box 11" o:spid="_x0000_s1078" type="#_x0000_t202" style="position:absolute;left:0;text-align:left;margin-left:15.8pt;margin-top:-321.75pt;width:48.9pt;height:30.5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" filled="f" stroked="f">
                      <v:textbox inset="0,0,0,0">
                        <w:txbxContent>
                          <w:p w14:paraId="3FC4CF5C" w14:textId="3C2D2C2B" w:rsidR="008013E1" w:rsidRPr="00B93217" w:rsidRDefault="003C21A6" w:rsidP="00920780">
                            <w:pPr>
                              <w:spacing w:line="204" w:lineRule="auto"/>
                              <w:jc w:val="center"/>
                              <w:rPr>
                                <w:rFonts w:ascii="Arial" w:hAnsi="Arial" w:cs="Arial"/>
                                <w:b/>
                                <w:bCs/>
                                <w:color w:val="FFFFFF"/>
                                <w:sz w:val="20"/>
                                <w:szCs w:val="20"/>
                                <w:lang w:val="es-ES"/>
                              </w:rPr>
                            </w:pPr>
                            <w:r w:rsidRPr="00B93217">
                              <w:rPr>
                                <w:rFonts w:ascii="Arial" w:hAnsi="Arial" w:cs="Arial"/>
                                <w:b/>
                                <w:bCs/>
                                <w:color w:val="FFFFFF"/>
                                <w:sz w:val="20"/>
                                <w:szCs w:val="20"/>
                                <w:lang w:val="es-ES"/>
                              </w:rPr>
                              <w:t xml:space="preserve">1. </w:t>
                            </w:r>
                            <w:r>
                              <w:rPr>
                                <w:rFonts w:ascii="Arial" w:hAnsi="Arial" w:cs="Arial"/>
                                <w:b/>
                                <w:bCs/>
                                <w:color w:val="FFFFFF"/>
                                <w:sz w:val="20"/>
                                <w:szCs w:val="20"/>
                                <w:lang w:val="es-ES"/>
                              </w:rPr>
                              <w:br/>
                            </w:r>
                            <w:r w:rsidRPr="00B93217">
                              <w:rPr>
                                <w:rFonts w:ascii="Arial" w:hAnsi="Arial" w:cs="Arial"/>
                                <w:b/>
                                <w:bCs/>
                                <w:color w:val="FFFFFF"/>
                                <w:sz w:val="20"/>
                                <w:szCs w:val="20"/>
                                <w:lang w:val="es-ES"/>
                              </w:rPr>
                              <w:t>kliknutí</w:t>
                            </w:r>
                          </w:p>
                        </w:txbxContent>
                      </v:textbox>
                      <w10:anchorlock/>
                    </v:shape>
                  </w:pict>
                </mc:Fallback>
              </mc:AlternateContent>
            </w:r>
            <w:r>
              <w:rPr>
                <w:noProof/>
                <w:lang w:val="en-US" w:eastAsia="ko-KR"/>
              </w:rPr>
              <mc:AlternateContent>
                <mc:Choice Requires="wps">
                  <w:drawing>
                    <wp:anchor distT="45720" distB="45720" distL="114300" distR="114300" simplePos="0" relativeHeight="251658295" behindDoc="0" locked="1" layoutInCell="1" allowOverlap="1" wp14:anchorId="4FA05798" wp14:editId="66A261EB">
                      <wp:simplePos x="0" y="0"/>
                      <wp:positionH relativeFrom="column">
                        <wp:posOffset>200660</wp:posOffset>
                      </wp:positionH>
                      <wp:positionV relativeFrom="paragraph">
                        <wp:posOffset>-1884045</wp:posOffset>
                      </wp:positionV>
                      <wp:extent cx="621030" cy="387985"/>
                      <wp:effectExtent l="0" t="0" r="0" b="0"/>
                      <wp:wrapNone/>
                      <wp:docPr id="15747962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40BBAE52" w14:textId="23439E2D" w:rsidR="008013E1" w:rsidRPr="00B93217" w:rsidRDefault="003C21A6" w:rsidP="00920780">
                                  <w:pPr>
                                    <w:spacing w:line="204" w:lineRule="auto"/>
                                    <w:jc w:val="center"/>
                                    <w:rPr>
                                      <w:rFonts w:ascii="Arial" w:hAnsi="Arial" w:cs="Arial"/>
                                      <w:b/>
                                      <w:bCs/>
                                      <w:color w:val="FFFFFF"/>
                                      <w:sz w:val="20"/>
                                      <w:szCs w:val="20"/>
                                      <w:lang w:val="es-ES"/>
                                    </w:rPr>
                                  </w:pPr>
                                  <w:r w:rsidRPr="00B93217">
                                    <w:rPr>
                                      <w:rFonts w:ascii="Arial" w:hAnsi="Arial" w:cs="Arial"/>
                                      <w:b/>
                                      <w:bCs/>
                                      <w:color w:val="FFFFFF"/>
                                      <w:sz w:val="20"/>
                                      <w:szCs w:val="20"/>
                                      <w:lang w:val="es-ES"/>
                                    </w:rPr>
                                    <w:t xml:space="preserve">2. </w:t>
                                  </w:r>
                                  <w:r>
                                    <w:rPr>
                                      <w:rFonts w:ascii="Arial" w:hAnsi="Arial" w:cs="Arial"/>
                                      <w:b/>
                                      <w:bCs/>
                                      <w:color w:val="FFFFFF"/>
                                      <w:sz w:val="20"/>
                                      <w:szCs w:val="20"/>
                                      <w:lang w:val="es-ES"/>
                                    </w:rPr>
                                    <w:br/>
                                  </w:r>
                                  <w:r w:rsidRPr="00B93217">
                                    <w:rPr>
                                      <w:rFonts w:ascii="Arial" w:hAnsi="Arial" w:cs="Arial"/>
                                      <w:b/>
                                      <w:bCs/>
                                      <w:color w:val="FFFFFF"/>
                                      <w:sz w:val="20"/>
                                      <w:szCs w:val="20"/>
                                      <w:lang w:val="es-ES"/>
                                    </w:rPr>
                                    <w:t>kliknutí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5798" id="Text Box 9" o:spid="_x0000_s1079" type="#_x0000_t202" style="position:absolute;left:0;text-align:left;margin-left:15.8pt;margin-top:-148.35pt;width:48.9pt;height:30.5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" filled="f" stroked="f">
                      <v:textbox inset="0,0,0,0">
                        <w:txbxContent>
                          <w:p w14:paraId="40BBAE52" w14:textId="23439E2D" w:rsidR="008013E1" w:rsidRPr="00B93217" w:rsidRDefault="003C21A6" w:rsidP="00920780">
                            <w:pPr>
                              <w:spacing w:line="204" w:lineRule="auto"/>
                              <w:jc w:val="center"/>
                              <w:rPr>
                                <w:rFonts w:ascii="Arial" w:hAnsi="Arial" w:cs="Arial"/>
                                <w:b/>
                                <w:bCs/>
                                <w:color w:val="FFFFFF"/>
                                <w:sz w:val="20"/>
                                <w:szCs w:val="20"/>
                                <w:lang w:val="es-ES"/>
                              </w:rPr>
                            </w:pPr>
                            <w:r w:rsidRPr="00B93217">
                              <w:rPr>
                                <w:rFonts w:ascii="Arial" w:hAnsi="Arial" w:cs="Arial"/>
                                <w:b/>
                                <w:bCs/>
                                <w:color w:val="FFFFFF"/>
                                <w:sz w:val="20"/>
                                <w:szCs w:val="20"/>
                                <w:lang w:val="es-ES"/>
                              </w:rPr>
                              <w:t xml:space="preserve">2. </w:t>
                            </w:r>
                            <w:r>
                              <w:rPr>
                                <w:rFonts w:ascii="Arial" w:hAnsi="Arial" w:cs="Arial"/>
                                <w:b/>
                                <w:bCs/>
                                <w:color w:val="FFFFFF"/>
                                <w:sz w:val="20"/>
                                <w:szCs w:val="20"/>
                                <w:lang w:val="es-ES"/>
                              </w:rPr>
                              <w:br/>
                            </w:r>
                            <w:r w:rsidRPr="00B93217">
                              <w:rPr>
                                <w:rFonts w:ascii="Arial" w:hAnsi="Arial" w:cs="Arial"/>
                                <w:b/>
                                <w:bCs/>
                                <w:color w:val="FFFFFF"/>
                                <w:sz w:val="20"/>
                                <w:szCs w:val="20"/>
                                <w:lang w:val="es-ES"/>
                              </w:rPr>
                              <w:t>kliknutí</w:t>
                            </w:r>
                          </w:p>
                        </w:txbxContent>
                      </v:textbox>
                      <w10:anchorlock/>
                    </v:shape>
                  </w:pict>
                </mc:Fallback>
              </mc:AlternateContent>
            </w:r>
            <w:r w:rsidR="00093D93">
              <w:rPr>
                <w:b/>
                <w:bCs/>
                <w:noProof/>
              </w:rPr>
              <w:t>obrázek M</w:t>
            </w:r>
          </w:p>
        </w:tc>
        <w:tc>
          <w:tcPr>
            <w:tcW w:w="5517" w:type="dxa"/>
          </w:tcPr>
          <w:p w14:paraId="0C754CF8" w14:textId="3AEDFCD8" w:rsidR="00093D93" w:rsidRDefault="00E56A54">
            <w:pPr>
              <w:pStyle w:val="a3"/>
              <w:numPr>
                <w:ilvl w:val="0"/>
                <w:numId w:val="100"/>
              </w:numPr>
              <w:autoSpaceDE/>
              <w:autoSpaceDN/>
              <w:ind w:left="567" w:hanging="567"/>
              <w:rPr>
                <w:b/>
              </w:rPr>
            </w:pPr>
            <w:r>
              <w:rPr>
                <w:rFonts w:eastAsia="맑은 고딕" w:hint="eastAsia"/>
                <w:b/>
                <w:lang w:eastAsia="ko-KR"/>
              </w:rPr>
              <w:t>Podejte</w:t>
            </w:r>
            <w:r>
              <w:rPr>
                <w:b/>
              </w:rPr>
              <w:t>te</w:t>
            </w:r>
            <w:r w:rsidR="00093D93">
              <w:rPr>
                <w:b/>
              </w:rPr>
              <w:t>injekci.</w:t>
            </w:r>
          </w:p>
          <w:p w14:paraId="0B16894F" w14:textId="77777777" w:rsidR="00093D93" w:rsidRDefault="00093D93">
            <w:pPr>
              <w:pStyle w:val="a3"/>
              <w:ind w:left="567" w:hanging="567"/>
              <w:rPr>
                <w:bCs/>
              </w:rPr>
            </w:pPr>
          </w:p>
          <w:p w14:paraId="7A9E4C8D" w14:textId="77777777" w:rsidR="00093D93" w:rsidRDefault="00093D93">
            <w:pPr>
              <w:pStyle w:val="a3"/>
              <w:numPr>
                <w:ilvl w:val="0"/>
                <w:numId w:val="104"/>
              </w:numPr>
              <w:autoSpaceDE/>
              <w:autoSpaceDN/>
              <w:ind w:left="567" w:hanging="567"/>
              <w:rPr>
                <w:bCs/>
              </w:rPr>
            </w:pPr>
            <w:r w:rsidRPr="00D159C5">
              <w:t>Pevně zatlačte předplněné pero do kůže a zahajte injekci.</w:t>
            </w:r>
          </w:p>
          <w:p w14:paraId="25EBA78C" w14:textId="2AF3F266" w:rsidR="00093D93" w:rsidRDefault="00093D93">
            <w:pPr>
              <w:pStyle w:val="a3"/>
              <w:numPr>
                <w:ilvl w:val="0"/>
                <w:numId w:val="104"/>
              </w:numPr>
              <w:autoSpaceDE/>
              <w:autoSpaceDN/>
              <w:ind w:left="567" w:hanging="567"/>
              <w:rPr>
                <w:bCs/>
              </w:rPr>
            </w:pPr>
            <w:r w:rsidRPr="00D159C5">
              <w:t xml:space="preserve">Po zahájení vstřikování uslyšíte </w:t>
            </w:r>
            <w:r>
              <w:t>1</w:t>
            </w:r>
            <w:r w:rsidRPr="00D159C5">
              <w:t xml:space="preserve">. </w:t>
            </w:r>
            <w:r>
              <w:t>„</w:t>
            </w:r>
            <w:r w:rsidRPr="00D159C5">
              <w:t>klik</w:t>
            </w:r>
            <w:r>
              <w:t>nutí“</w:t>
            </w:r>
            <w:r w:rsidRPr="00D159C5">
              <w:t xml:space="preserve"> a oranžový proužek začne plnit okénko (viz </w:t>
            </w:r>
            <w:r>
              <w:rPr>
                <w:b/>
              </w:rPr>
              <w:t>obrázek</w:t>
            </w:r>
            <w:r w:rsidR="0041587B">
              <w:rPr>
                <w:b/>
              </w:rPr>
              <w:t> </w:t>
            </w:r>
            <w:r>
              <w:rPr>
                <w:b/>
              </w:rPr>
              <w:t>M</w:t>
            </w:r>
            <w:r w:rsidRPr="00D159C5">
              <w:t>).</w:t>
            </w:r>
          </w:p>
          <w:p w14:paraId="5C87761B" w14:textId="77777777" w:rsidR="00093D93" w:rsidRDefault="00093D93">
            <w:pPr>
              <w:pStyle w:val="a3"/>
              <w:numPr>
                <w:ilvl w:val="0"/>
                <w:numId w:val="104"/>
              </w:numPr>
              <w:autoSpaceDE/>
              <w:autoSpaceDN/>
              <w:ind w:left="567" w:hanging="567"/>
              <w:rPr>
                <w:bCs/>
              </w:rPr>
            </w:pPr>
            <w:r>
              <w:rPr>
                <w:color w:val="231F20"/>
              </w:rPr>
              <w:t>Držte předplněné pero pevně na kůži a poslouchejte, zda se ozve 2. „kliknutí“.</w:t>
            </w:r>
          </w:p>
          <w:p w14:paraId="53CAD841" w14:textId="77777777" w:rsidR="00093D93" w:rsidRDefault="00093D93">
            <w:pPr>
              <w:pStyle w:val="a3"/>
              <w:numPr>
                <w:ilvl w:val="0"/>
                <w:numId w:val="104"/>
              </w:numPr>
              <w:autoSpaceDE/>
              <w:autoSpaceDN/>
              <w:ind w:left="567" w:hanging="567"/>
              <w:rPr>
                <w:bCs/>
              </w:rPr>
            </w:pPr>
            <w:r>
              <w:rPr>
                <w:color w:val="231F20"/>
              </w:rPr>
              <w:t xml:space="preserve">Po tom, co uslyšíte 2. „kliknutí“, pokračujte v přidržování předplněného pera pevně na kůži a </w:t>
            </w:r>
            <w:r>
              <w:rPr>
                <w:b/>
                <w:color w:val="231F20"/>
              </w:rPr>
              <w:t>počítejte pomalu do 5</w:t>
            </w:r>
            <w:r>
              <w:rPr>
                <w:color w:val="231F20"/>
              </w:rPr>
              <w:t>, abyste se ujistili, že jste vstříkli celou dávku (viz</w:t>
            </w:r>
            <w:r w:rsidRPr="00D159C5">
              <w:t xml:space="preserve"> </w:t>
            </w:r>
            <w:r>
              <w:rPr>
                <w:b/>
              </w:rPr>
              <w:t>obrázek M</w:t>
            </w:r>
            <w:r w:rsidRPr="00D159C5">
              <w:t>).</w:t>
            </w:r>
          </w:p>
          <w:p w14:paraId="27D7056A" w14:textId="77777777" w:rsidR="00093D93" w:rsidRPr="00C41310" w:rsidRDefault="00093D93">
            <w:pPr>
              <w:pStyle w:val="a3"/>
              <w:numPr>
                <w:ilvl w:val="0"/>
                <w:numId w:val="104"/>
              </w:numPr>
              <w:autoSpaceDE/>
              <w:autoSpaceDN/>
              <w:ind w:left="567" w:hanging="567"/>
              <w:rPr>
                <w:bCs/>
              </w:rPr>
            </w:pPr>
            <w:r>
              <w:rPr>
                <w:color w:val="231F20"/>
              </w:rPr>
              <w:t>Sledujte oranžový proužek, až se přestane pohybovat a dosáhne konce okénka, abyste se ujistili, že byla vstříknuta celá dávka léčivého přípravku.</w:t>
            </w:r>
          </w:p>
          <w:p w14:paraId="04438E5A" w14:textId="1E53E81D" w:rsidR="00237DCB" w:rsidRDefault="00237DCB" w:rsidP="00C41310">
            <w:pPr>
              <w:pStyle w:val="a3"/>
              <w:autoSpaceDE/>
              <w:autoSpaceDN/>
              <w:ind w:left="567"/>
              <w:rPr>
                <w:bCs/>
              </w:rPr>
            </w:pPr>
            <w:r w:rsidRPr="00C41310">
              <w:rPr>
                <w:i/>
                <w:iCs/>
                <w:color w:val="231F20"/>
              </w:rPr>
              <w:t>Poznámka</w:t>
            </w:r>
            <w:r>
              <w:rPr>
                <w:color w:val="231F20"/>
              </w:rPr>
              <w:t>: Pokud se oranžový proužek nepohybuje, předplněné pero zlikvidujte a použijte nové.</w:t>
            </w:r>
          </w:p>
          <w:p w14:paraId="359BA56E" w14:textId="77777777" w:rsidR="00093D93" w:rsidRPr="001217B8" w:rsidRDefault="00093D93" w:rsidP="00093D93"/>
        </w:tc>
      </w:tr>
      <w:tr w:rsidR="00B8592C" w:rsidRPr="00DE67E9" w14:paraId="5702A184" w14:textId="77777777">
        <w:trPr>
          <w:cantSplit/>
        </w:trPr>
        <w:tc>
          <w:tcPr>
            <w:tcW w:w="3539" w:type="dxa"/>
          </w:tcPr>
          <w:p w14:paraId="66A2C43E" w14:textId="7571607C" w:rsidR="00093D93" w:rsidRDefault="00C301E6">
            <w:pPr>
              <w:suppressAutoHyphens/>
              <w:jc w:val="right"/>
              <w:rPr>
                <w:b/>
                <w:bCs/>
                <w:noProof/>
              </w:rPr>
            </w:pPr>
            <w:r>
              <w:rPr>
                <w:noProof/>
                <w:lang w:val="en-US" w:eastAsia="ko-KR"/>
              </w:rPr>
              <w:drawing>
                <wp:inline distT="0" distB="0" distL="0" distR="0" wp14:anchorId="1CB65DD4" wp14:editId="10BB1DC2">
                  <wp:extent cx="2073275" cy="2594610"/>
                  <wp:effectExtent l="19050" t="19050" r="3175" b="0"/>
                  <wp:docPr id="35"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3275" cy="2594610"/>
                          </a:xfrm>
                          <a:prstGeom prst="rect">
                            <a:avLst/>
                          </a:prstGeom>
                          <a:noFill/>
                          <a:ln w="9525" cmpd="sng">
                            <a:solidFill>
                              <a:srgbClr val="000000"/>
                            </a:solidFill>
                            <a:miter lim="800000"/>
                            <a:headEnd/>
                            <a:tailEnd/>
                          </a:ln>
                          <a:effectLst/>
                        </pic:spPr>
                      </pic:pic>
                    </a:graphicData>
                  </a:graphic>
                </wp:inline>
              </w:drawing>
            </w:r>
          </w:p>
          <w:p w14:paraId="0D4F701E" w14:textId="598F190B" w:rsidR="00093D93" w:rsidRDefault="00093D93">
            <w:pPr>
              <w:suppressAutoHyphens/>
              <w:jc w:val="right"/>
              <w:rPr>
                <w:b/>
                <w:bCs/>
                <w:noProof/>
              </w:rPr>
            </w:pPr>
            <w:r>
              <w:rPr>
                <w:b/>
                <w:bCs/>
                <w:noProof/>
              </w:rPr>
              <w:t>obrázek N</w:t>
            </w:r>
          </w:p>
        </w:tc>
        <w:tc>
          <w:tcPr>
            <w:tcW w:w="5517" w:type="dxa"/>
          </w:tcPr>
          <w:p w14:paraId="2D7C6B29" w14:textId="77777777" w:rsidR="00093D93" w:rsidRDefault="00093D93">
            <w:pPr>
              <w:pStyle w:val="a3"/>
              <w:numPr>
                <w:ilvl w:val="0"/>
                <w:numId w:val="100"/>
              </w:numPr>
              <w:autoSpaceDE/>
              <w:autoSpaceDN/>
              <w:ind w:left="567" w:hanging="567"/>
              <w:rPr>
                <w:b/>
              </w:rPr>
            </w:pPr>
            <w:r>
              <w:rPr>
                <w:b/>
              </w:rPr>
              <w:t>Vyjměte předplněné pero z místa vpichu.</w:t>
            </w:r>
          </w:p>
          <w:p w14:paraId="1927CDDA" w14:textId="77777777" w:rsidR="00093D93" w:rsidRPr="00DB6FD5" w:rsidRDefault="00093D93">
            <w:pPr>
              <w:pStyle w:val="Default"/>
              <w:ind w:left="567" w:hanging="567"/>
              <w:rPr>
                <w:rFonts w:ascii="Times New Roman" w:hAnsi="Times New Roman" w:cs="Times New Roman"/>
                <w:sz w:val="22"/>
                <w:szCs w:val="22"/>
                <w:lang w:val="cs-CZ"/>
              </w:rPr>
            </w:pPr>
          </w:p>
          <w:p w14:paraId="2710E263" w14:textId="77777777" w:rsidR="00093D93" w:rsidRDefault="00093D93">
            <w:pPr>
              <w:pStyle w:val="a3"/>
              <w:numPr>
                <w:ilvl w:val="0"/>
                <w:numId w:val="103"/>
              </w:numPr>
              <w:autoSpaceDE/>
              <w:autoSpaceDN/>
              <w:ind w:left="567" w:hanging="567"/>
              <w:rPr>
                <w:bCs/>
              </w:rPr>
            </w:pPr>
            <w:r w:rsidRPr="00D159C5">
              <w:t>Jakmile se oranžový proužek přestane pohybovat, zvedněte předplněné pero z místa vpichu pod úhlem 90</w:t>
            </w:r>
            <w:r>
              <w:rPr>
                <w:color w:val="231F20"/>
                <w:vertAlign w:val="superscript"/>
              </w:rPr>
              <w:t xml:space="preserve"> o</w:t>
            </w:r>
            <w:r w:rsidRPr="00D159C5">
              <w:t>, abyste odstranili jehlu z kůže.</w:t>
            </w:r>
          </w:p>
          <w:p w14:paraId="4DC9C0A9" w14:textId="77777777" w:rsidR="00093D93" w:rsidRPr="00D159C5" w:rsidRDefault="00093D93">
            <w:pPr>
              <w:pStyle w:val="a3"/>
              <w:numPr>
                <w:ilvl w:val="0"/>
                <w:numId w:val="70"/>
              </w:numPr>
              <w:autoSpaceDE/>
              <w:autoSpaceDN/>
              <w:ind w:left="1134" w:hanging="567"/>
            </w:pPr>
            <w:r w:rsidRPr="00D159C5">
              <w:t xml:space="preserve">Kryt jehly se automaticky zasune do polohy zakrývající jehlu (viz </w:t>
            </w:r>
            <w:r>
              <w:rPr>
                <w:b/>
                <w:bCs/>
              </w:rPr>
              <w:t>obrázek N</w:t>
            </w:r>
            <w:r w:rsidRPr="00D159C5">
              <w:t>).</w:t>
            </w:r>
          </w:p>
          <w:p w14:paraId="4FF10549" w14:textId="77777777" w:rsidR="00093D93" w:rsidRDefault="00093D93">
            <w:pPr>
              <w:pStyle w:val="a3"/>
              <w:ind w:left="567"/>
              <w:rPr>
                <w:bCs/>
                <w:noProof/>
              </w:rPr>
            </w:pPr>
            <w:r>
              <w:rPr>
                <w:i/>
              </w:rPr>
              <w:t>Poznámka:</w:t>
            </w:r>
            <w:r w:rsidRPr="00D159C5">
              <w:t xml:space="preserve"> Pokud se okénko nezbarvilo zcela do oranžova nebo pokud se léčivý přípravek stále vstřikuje, znamená to, že jste nedostali plnou dávku. Opatrně </w:t>
            </w:r>
            <w:r>
              <w:rPr>
                <w:color w:val="231F20"/>
              </w:rPr>
              <w:t>odložte předplněné pero do odpadní nádoby na ostré předměty a okamžitě zavolejte svého lékaře</w:t>
            </w:r>
            <w:r w:rsidRPr="00D159C5">
              <w:t>.</w:t>
            </w:r>
          </w:p>
          <w:p w14:paraId="6C649EF4" w14:textId="77777777" w:rsidR="00093D93" w:rsidRPr="00D159C5" w:rsidRDefault="00093D93">
            <w:pPr>
              <w:pStyle w:val="a3"/>
              <w:ind w:left="567" w:hanging="567"/>
            </w:pPr>
          </w:p>
          <w:p w14:paraId="6B32E3E2" w14:textId="77777777" w:rsidR="00093D93" w:rsidRDefault="00093D93">
            <w:pPr>
              <w:pStyle w:val="a3"/>
              <w:numPr>
                <w:ilvl w:val="0"/>
                <w:numId w:val="70"/>
              </w:numPr>
              <w:autoSpaceDE/>
              <w:autoSpaceDN/>
              <w:ind w:left="1134" w:hanging="567"/>
              <w:rPr>
                <w:bCs/>
              </w:rPr>
            </w:pPr>
            <w:r>
              <w:rPr>
                <w:b/>
              </w:rPr>
              <w:t>Nedotýkejte se</w:t>
            </w:r>
            <w:r w:rsidRPr="00D159C5">
              <w:t xml:space="preserve"> krytu jehly předplněného pera.</w:t>
            </w:r>
          </w:p>
          <w:p w14:paraId="1A5D4F03" w14:textId="77777777" w:rsidR="00093D93" w:rsidRDefault="00093D93">
            <w:pPr>
              <w:pStyle w:val="a3"/>
              <w:numPr>
                <w:ilvl w:val="0"/>
                <w:numId w:val="70"/>
              </w:numPr>
              <w:autoSpaceDE/>
              <w:autoSpaceDN/>
              <w:ind w:left="1134" w:hanging="567"/>
              <w:rPr>
                <w:bCs/>
              </w:rPr>
            </w:pPr>
            <w:r>
              <w:rPr>
                <w:b/>
                <w:bCs/>
              </w:rPr>
              <w:t>Nepokoušejte se</w:t>
            </w:r>
            <w:r w:rsidRPr="00D159C5">
              <w:t xml:space="preserve"> předplněné pero použít opakovaně.</w:t>
            </w:r>
          </w:p>
          <w:p w14:paraId="08ACEDF3" w14:textId="5709C6DB" w:rsidR="00093D93" w:rsidRDefault="00093D93">
            <w:pPr>
              <w:pStyle w:val="a3"/>
              <w:numPr>
                <w:ilvl w:val="0"/>
                <w:numId w:val="70"/>
              </w:numPr>
              <w:autoSpaceDE/>
              <w:autoSpaceDN/>
              <w:ind w:left="1134" w:hanging="567"/>
              <w:rPr>
                <w:b/>
              </w:rPr>
            </w:pPr>
            <w:r>
              <w:rPr>
                <w:b/>
              </w:rPr>
              <w:t>Neprovádějte</w:t>
            </w:r>
            <w:r w:rsidRPr="00D159C5">
              <w:t xml:space="preserve"> opětovně </w:t>
            </w:r>
            <w:r w:rsidR="006B2E05">
              <w:t>podání</w:t>
            </w:r>
            <w:r w:rsidRPr="00D159C5">
              <w:t xml:space="preserve"> injekce jiným předplněným perem.</w:t>
            </w:r>
          </w:p>
          <w:p w14:paraId="1FDC06EE" w14:textId="77777777" w:rsidR="00093D93" w:rsidRPr="00DA0957" w:rsidRDefault="00093D93" w:rsidP="00093D93"/>
        </w:tc>
      </w:tr>
    </w:tbl>
    <w:p w14:paraId="1AFB229E" w14:textId="77777777" w:rsidR="00920780" w:rsidRPr="00DA0957" w:rsidRDefault="00920780" w:rsidP="00920780"/>
    <w:p w14:paraId="5337B1AF" w14:textId="09B91230" w:rsidR="00920780" w:rsidRDefault="00E56A54" w:rsidP="00920780">
      <w:pPr>
        <w:keepNext/>
        <w:rPr>
          <w:b/>
          <w:bCs/>
        </w:rPr>
      </w:pPr>
      <w:r w:rsidRPr="00E56A54">
        <w:rPr>
          <w:b/>
          <w:bCs/>
        </w:rPr>
        <w:lastRenderedPageBreak/>
        <w:t>Po injekci</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8592C" w:rsidRPr="00DA0957" w14:paraId="6C0931C7" w14:textId="77777777">
        <w:trPr>
          <w:cantSplit/>
        </w:trPr>
        <w:tc>
          <w:tcPr>
            <w:tcW w:w="9056" w:type="dxa"/>
            <w:gridSpan w:val="2"/>
          </w:tcPr>
          <w:p w14:paraId="1C4AB83E" w14:textId="77777777" w:rsidR="00093D93" w:rsidRDefault="00093D93">
            <w:pPr>
              <w:pStyle w:val="a3"/>
              <w:numPr>
                <w:ilvl w:val="0"/>
                <w:numId w:val="100"/>
              </w:numPr>
              <w:autoSpaceDE/>
              <w:autoSpaceDN/>
              <w:ind w:left="567" w:hanging="567"/>
              <w:rPr>
                <w:b/>
              </w:rPr>
            </w:pPr>
            <w:r>
              <w:rPr>
                <w:b/>
              </w:rPr>
              <w:t>Péče o místo vpichu.</w:t>
            </w:r>
          </w:p>
          <w:p w14:paraId="798AEB47" w14:textId="77777777" w:rsidR="00093D93" w:rsidRDefault="00093D93">
            <w:pPr>
              <w:pStyle w:val="Default"/>
              <w:ind w:left="567" w:hanging="567"/>
              <w:rPr>
                <w:rFonts w:ascii="Times New Roman" w:hAnsi="Times New Roman" w:cs="Times New Roman"/>
                <w:sz w:val="22"/>
                <w:szCs w:val="22"/>
              </w:rPr>
            </w:pPr>
          </w:p>
          <w:p w14:paraId="6170EAF1" w14:textId="77777777" w:rsidR="00093D93" w:rsidRDefault="00093D93">
            <w:pPr>
              <w:pStyle w:val="a3"/>
              <w:numPr>
                <w:ilvl w:val="0"/>
                <w:numId w:val="102"/>
              </w:numPr>
              <w:autoSpaceDE/>
              <w:autoSpaceDN/>
              <w:ind w:left="567" w:hanging="567"/>
              <w:rPr>
                <w:bCs/>
              </w:rPr>
            </w:pPr>
            <w:r w:rsidRPr="00D159C5">
              <w:t>Pokud dojde k drobnému krvácení, ošetřete místo vpichu jemným přitlačením, nikoliv třením, vatového tamponu nebo gázy a v případě potřeby zalepte náplastí.</w:t>
            </w:r>
          </w:p>
          <w:p w14:paraId="43F20BF9" w14:textId="77777777" w:rsidR="00093D93" w:rsidRDefault="00093D93" w:rsidP="00B93217">
            <w:pPr>
              <w:pStyle w:val="a3"/>
              <w:numPr>
                <w:ilvl w:val="0"/>
                <w:numId w:val="70"/>
              </w:numPr>
              <w:autoSpaceDE/>
              <w:autoSpaceDN/>
              <w:ind w:left="1134" w:hanging="567"/>
              <w:rPr>
                <w:bCs/>
              </w:rPr>
            </w:pPr>
            <w:r>
              <w:rPr>
                <w:b/>
              </w:rPr>
              <w:t>Neotírejte</w:t>
            </w:r>
            <w:r w:rsidRPr="00D159C5">
              <w:t xml:space="preserve"> místo vpichu.</w:t>
            </w:r>
          </w:p>
          <w:p w14:paraId="6BA9CC22" w14:textId="77777777" w:rsidR="00093D93" w:rsidRPr="00B17C5B" w:rsidRDefault="00093D93" w:rsidP="00093D93"/>
        </w:tc>
      </w:tr>
      <w:tr w:rsidR="00B8592C" w:rsidRPr="00DA0957" w14:paraId="10FEFFDC" w14:textId="77777777">
        <w:trPr>
          <w:cantSplit/>
        </w:trPr>
        <w:tc>
          <w:tcPr>
            <w:tcW w:w="3539" w:type="dxa"/>
          </w:tcPr>
          <w:p w14:paraId="37C7A232" w14:textId="1CAF46A0" w:rsidR="00093D93" w:rsidRDefault="00C301E6">
            <w:pPr>
              <w:suppressAutoHyphens/>
              <w:jc w:val="right"/>
              <w:rPr>
                <w:noProof/>
              </w:rPr>
            </w:pPr>
            <w:r>
              <w:rPr>
                <w:noProof/>
                <w:lang w:val="en-US" w:eastAsia="ko-KR"/>
              </w:rPr>
              <w:drawing>
                <wp:inline distT="0" distB="0" distL="0" distR="0" wp14:anchorId="1B628E3E" wp14:editId="676EB1FE">
                  <wp:extent cx="2073275" cy="2552065"/>
                  <wp:effectExtent l="19050" t="19050" r="3175" b="635"/>
                  <wp:docPr id="36"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3275" cy="2552065"/>
                          </a:xfrm>
                          <a:prstGeom prst="rect">
                            <a:avLst/>
                          </a:prstGeom>
                          <a:noFill/>
                          <a:ln w="9525" cmpd="sng">
                            <a:solidFill>
                              <a:srgbClr val="000000"/>
                            </a:solidFill>
                            <a:miter lim="800000"/>
                            <a:headEnd/>
                            <a:tailEnd/>
                          </a:ln>
                          <a:effectLst/>
                        </pic:spPr>
                      </pic:pic>
                    </a:graphicData>
                  </a:graphic>
                </wp:inline>
              </w:drawing>
            </w:r>
          </w:p>
          <w:p w14:paraId="00A6183B" w14:textId="56D11EC0" w:rsidR="00093D93" w:rsidRDefault="00093D93">
            <w:pPr>
              <w:suppressAutoHyphens/>
              <w:jc w:val="right"/>
              <w:rPr>
                <w:b/>
                <w:bCs/>
                <w:noProof/>
              </w:rPr>
            </w:pPr>
            <w:r>
              <w:rPr>
                <w:b/>
                <w:bCs/>
                <w:noProof/>
              </w:rPr>
              <w:t>obrázek O</w:t>
            </w:r>
          </w:p>
        </w:tc>
        <w:tc>
          <w:tcPr>
            <w:tcW w:w="5517" w:type="dxa"/>
          </w:tcPr>
          <w:p w14:paraId="34FEDDD1" w14:textId="77777777" w:rsidR="00093D93" w:rsidRDefault="00093D93">
            <w:pPr>
              <w:pStyle w:val="a3"/>
              <w:numPr>
                <w:ilvl w:val="0"/>
                <w:numId w:val="100"/>
              </w:numPr>
              <w:autoSpaceDE/>
              <w:autoSpaceDN/>
              <w:ind w:left="567" w:hanging="567"/>
              <w:rPr>
                <w:b/>
              </w:rPr>
            </w:pPr>
            <w:r>
              <w:rPr>
                <w:b/>
              </w:rPr>
              <w:t>Likvidace přípravku Avtozma.</w:t>
            </w:r>
          </w:p>
          <w:p w14:paraId="309067F4" w14:textId="77777777" w:rsidR="00093D93" w:rsidRDefault="00093D93">
            <w:pPr>
              <w:pStyle w:val="Default"/>
              <w:ind w:left="567" w:hanging="567"/>
              <w:rPr>
                <w:rFonts w:ascii="Times New Roman" w:hAnsi="Times New Roman" w:cs="Times New Roman"/>
                <w:sz w:val="22"/>
                <w:szCs w:val="22"/>
              </w:rPr>
            </w:pPr>
          </w:p>
          <w:p w14:paraId="2EF0CAFE" w14:textId="77777777" w:rsidR="00093D93" w:rsidRDefault="00093D93">
            <w:pPr>
              <w:pStyle w:val="a3"/>
              <w:numPr>
                <w:ilvl w:val="0"/>
                <w:numId w:val="101"/>
              </w:numPr>
              <w:autoSpaceDE/>
              <w:autoSpaceDN/>
              <w:ind w:left="567" w:hanging="567"/>
              <w:rPr>
                <w:bCs/>
              </w:rPr>
            </w:pPr>
            <w:r w:rsidRPr="00D159C5">
              <w:t>Použité předplně</w:t>
            </w:r>
            <w:r>
              <w:t>né</w:t>
            </w:r>
            <w:r w:rsidRPr="00D159C5">
              <w:t xml:space="preserve"> pero ihned po použití odložte do </w:t>
            </w:r>
            <w:r>
              <w:t xml:space="preserve">odpadní </w:t>
            </w:r>
            <w:r w:rsidRPr="00D159C5">
              <w:t xml:space="preserve">nádoby na ostré předměty (viz </w:t>
            </w:r>
            <w:r>
              <w:rPr>
                <w:b/>
              </w:rPr>
              <w:t>obrázek O</w:t>
            </w:r>
            <w:r w:rsidRPr="00D159C5">
              <w:t>).</w:t>
            </w:r>
          </w:p>
          <w:p w14:paraId="66A83376" w14:textId="77777777" w:rsidR="00093D93" w:rsidRDefault="00093D93">
            <w:pPr>
              <w:pStyle w:val="a3"/>
              <w:ind w:left="567" w:hanging="567"/>
              <w:rPr>
                <w:bCs/>
              </w:rPr>
            </w:pPr>
          </w:p>
          <w:p w14:paraId="5DCB10C1" w14:textId="77777777" w:rsidR="00093D93" w:rsidRDefault="00093D93">
            <w:pPr>
              <w:pStyle w:val="a3"/>
              <w:ind w:left="567"/>
              <w:rPr>
                <w:bCs/>
                <w:noProof/>
              </w:rPr>
            </w:pPr>
            <w:r>
              <w:rPr>
                <w:i/>
              </w:rPr>
              <w:t>Poznámka:</w:t>
            </w:r>
            <w:r w:rsidRPr="00D159C5">
              <w:t xml:space="preserve"> Pokud vám injekci podává jiná osoba, musí být i ona opatrná při vyjímání předplněného pera a jeho likvidaci, aby nedošlo k náhodnému poranění jehlou a přenosu infekce.</w:t>
            </w:r>
          </w:p>
          <w:p w14:paraId="524EA29D" w14:textId="77777777" w:rsidR="00093D93" w:rsidRDefault="00093D93">
            <w:pPr>
              <w:pStyle w:val="a3"/>
              <w:ind w:left="567" w:hanging="567"/>
              <w:rPr>
                <w:bCs/>
              </w:rPr>
            </w:pPr>
          </w:p>
          <w:p w14:paraId="2DC14D75" w14:textId="77777777" w:rsidR="00093D93" w:rsidRPr="00D159C5" w:rsidRDefault="00093D93">
            <w:pPr>
              <w:pStyle w:val="a3"/>
              <w:numPr>
                <w:ilvl w:val="0"/>
                <w:numId w:val="70"/>
              </w:numPr>
              <w:autoSpaceDE/>
              <w:autoSpaceDN/>
              <w:ind w:left="1134" w:hanging="567"/>
            </w:pPr>
            <w:r w:rsidRPr="00D159C5">
              <w:t>Předplněné pero opětovně</w:t>
            </w:r>
            <w:r>
              <w:rPr>
                <w:b/>
                <w:bCs/>
              </w:rPr>
              <w:t xml:space="preserve"> nepoužívejte</w:t>
            </w:r>
            <w:r w:rsidRPr="00D159C5">
              <w:t>.</w:t>
            </w:r>
          </w:p>
          <w:p w14:paraId="6BC554F9" w14:textId="77777777" w:rsidR="00093D93" w:rsidRPr="00D159C5" w:rsidRDefault="00093D93">
            <w:pPr>
              <w:pStyle w:val="a3"/>
              <w:numPr>
                <w:ilvl w:val="0"/>
                <w:numId w:val="70"/>
              </w:numPr>
              <w:autoSpaceDE/>
              <w:autoSpaceDN/>
              <w:ind w:left="1134" w:hanging="567"/>
            </w:pPr>
            <w:r>
              <w:rPr>
                <w:b/>
              </w:rPr>
              <w:t xml:space="preserve">Nenasazujte </w:t>
            </w:r>
            <w:r>
              <w:rPr>
                <w:bCs/>
              </w:rPr>
              <w:t>kryt zpět na</w:t>
            </w:r>
            <w:r>
              <w:rPr>
                <w:b/>
              </w:rPr>
              <w:t xml:space="preserve"> </w:t>
            </w:r>
            <w:r w:rsidRPr="00D159C5">
              <w:t>předplněné pero.</w:t>
            </w:r>
          </w:p>
          <w:p w14:paraId="0C59BBA3" w14:textId="77777777" w:rsidR="00093D93" w:rsidRPr="00D159C5" w:rsidRDefault="00093D93">
            <w:pPr>
              <w:pStyle w:val="a3"/>
              <w:numPr>
                <w:ilvl w:val="0"/>
                <w:numId w:val="70"/>
              </w:numPr>
              <w:autoSpaceDE/>
              <w:autoSpaceDN/>
              <w:ind w:left="1134" w:hanging="567"/>
            </w:pPr>
            <w:r>
              <w:rPr>
                <w:b/>
              </w:rPr>
              <w:t>Nevyhazujte</w:t>
            </w:r>
            <w:r w:rsidRPr="00D159C5">
              <w:t xml:space="preserve"> použitou </w:t>
            </w:r>
            <w:r>
              <w:t xml:space="preserve">odpadní </w:t>
            </w:r>
            <w:r w:rsidRPr="00D159C5">
              <w:t>nádobu na ostré předměty do domácího odpadu.</w:t>
            </w:r>
          </w:p>
          <w:p w14:paraId="69801455" w14:textId="77777777" w:rsidR="00093D93" w:rsidRPr="00D159C5" w:rsidRDefault="00093D93">
            <w:pPr>
              <w:pStyle w:val="a3"/>
              <w:numPr>
                <w:ilvl w:val="0"/>
                <w:numId w:val="70"/>
              </w:numPr>
              <w:autoSpaceDE/>
              <w:autoSpaceDN/>
              <w:ind w:left="1134" w:hanging="567"/>
            </w:pPr>
            <w:r>
              <w:rPr>
                <w:b/>
              </w:rPr>
              <w:t>Neprovádějte</w:t>
            </w:r>
            <w:r w:rsidRPr="00D159C5">
              <w:t xml:space="preserve"> recyklaci vaší použité </w:t>
            </w:r>
            <w:r>
              <w:t xml:space="preserve">odpadní </w:t>
            </w:r>
            <w:r w:rsidRPr="00D159C5">
              <w:t>nádoby na ostré předměty.</w:t>
            </w:r>
          </w:p>
          <w:p w14:paraId="719902F4" w14:textId="77777777" w:rsidR="00093D93" w:rsidRDefault="00093D93">
            <w:pPr>
              <w:pStyle w:val="a3"/>
              <w:numPr>
                <w:ilvl w:val="0"/>
                <w:numId w:val="70"/>
              </w:numPr>
              <w:autoSpaceDE/>
              <w:autoSpaceDN/>
              <w:ind w:left="1134" w:hanging="567"/>
              <w:rPr>
                <w:bCs/>
              </w:rPr>
            </w:pPr>
            <w:r w:rsidRPr="00D159C5">
              <w:t>Uchovávejte předplněné pero Avtozma a odpadní nádobu mimo dosah dětí.</w:t>
            </w:r>
          </w:p>
          <w:p w14:paraId="16133112" w14:textId="1BFB700A" w:rsidR="00093D93" w:rsidRDefault="00093D93">
            <w:pPr>
              <w:pStyle w:val="a3"/>
              <w:numPr>
                <w:ilvl w:val="0"/>
                <w:numId w:val="70"/>
              </w:numPr>
              <w:autoSpaceDE/>
              <w:autoSpaceDN/>
              <w:ind w:left="1134" w:hanging="567"/>
              <w:rPr>
                <w:bCs/>
              </w:rPr>
            </w:pPr>
            <w:r w:rsidRPr="00D159C5">
              <w:t xml:space="preserve">Plnou nádobu zlikvidujte podle pokynů svého lékaře nebo lékárníka. Pokud nemáte nádobu na ostré předměty, můžete použít domácí nádobu, která je uzavíratelná a odolná proti propíchnutí. Jakýkoli nepoužitý léčivý přípravek nebo odpadní materiál </w:t>
            </w:r>
            <w:r w:rsidR="00B170A3" w:rsidRPr="00D159C5">
              <w:t>m</w:t>
            </w:r>
            <w:r w:rsidR="00B170A3">
              <w:t>á</w:t>
            </w:r>
            <w:r w:rsidR="00B170A3" w:rsidRPr="00D159C5" w:rsidDel="00B170A3">
              <w:t xml:space="preserve"> </w:t>
            </w:r>
            <w:r w:rsidRPr="00D159C5">
              <w:t>být zlikvidován v souladu s místními požadavky.</w:t>
            </w:r>
          </w:p>
          <w:p w14:paraId="4DD21F13" w14:textId="77777777" w:rsidR="00093D93" w:rsidRPr="00B17C5B" w:rsidRDefault="00093D93" w:rsidP="00093D93"/>
        </w:tc>
      </w:tr>
      <w:tr w:rsidR="00B8592C" w:rsidRPr="00DA0957" w14:paraId="48EE4646" w14:textId="77777777">
        <w:trPr>
          <w:cantSplit/>
        </w:trPr>
        <w:tc>
          <w:tcPr>
            <w:tcW w:w="9056" w:type="dxa"/>
            <w:gridSpan w:val="2"/>
          </w:tcPr>
          <w:p w14:paraId="67D3C6A4" w14:textId="77777777" w:rsidR="00093D93" w:rsidRDefault="00093D93">
            <w:pPr>
              <w:pStyle w:val="a3"/>
              <w:numPr>
                <w:ilvl w:val="0"/>
                <w:numId w:val="100"/>
              </w:numPr>
              <w:autoSpaceDE/>
              <w:autoSpaceDN/>
              <w:ind w:left="567" w:hanging="567"/>
              <w:rPr>
                <w:b/>
              </w:rPr>
            </w:pPr>
            <w:r>
              <w:rPr>
                <w:b/>
              </w:rPr>
              <w:t>Zaznamenejte injekci.</w:t>
            </w:r>
          </w:p>
          <w:p w14:paraId="42786C47" w14:textId="77777777" w:rsidR="00093D93" w:rsidRDefault="00093D93">
            <w:pPr>
              <w:pStyle w:val="Default"/>
              <w:ind w:left="567" w:hanging="567"/>
              <w:rPr>
                <w:rFonts w:ascii="Times New Roman" w:hAnsi="Times New Roman" w:cs="Times New Roman"/>
                <w:sz w:val="22"/>
                <w:szCs w:val="22"/>
              </w:rPr>
            </w:pPr>
          </w:p>
          <w:p w14:paraId="20DEAC72" w14:textId="1805F6BE" w:rsidR="00093D93" w:rsidRPr="00D159C5" w:rsidRDefault="00093D93">
            <w:pPr>
              <w:pStyle w:val="a3"/>
              <w:numPr>
                <w:ilvl w:val="0"/>
                <w:numId w:val="99"/>
              </w:numPr>
              <w:autoSpaceDE/>
              <w:autoSpaceDN/>
              <w:ind w:left="567" w:hanging="567"/>
            </w:pPr>
            <w:r w:rsidRPr="00D159C5">
              <w:t xml:space="preserve">Napište datum, čas a konkrétní část těla, kam jste si injekci </w:t>
            </w:r>
            <w:r w:rsidR="00B170A3">
              <w:t>podal(a)</w:t>
            </w:r>
            <w:r w:rsidR="00B170A3" w:rsidRPr="00D159C5">
              <w:t>.</w:t>
            </w:r>
            <w:r w:rsidRPr="00D159C5">
              <w:t>.</w:t>
            </w:r>
          </w:p>
          <w:p w14:paraId="7AEBF3A0" w14:textId="77777777" w:rsidR="00093D93" w:rsidRPr="00B170A3" w:rsidRDefault="00093D93" w:rsidP="00093D93"/>
        </w:tc>
      </w:tr>
    </w:tbl>
    <w:p w14:paraId="780ABCB9" w14:textId="77777777" w:rsidR="00920780" w:rsidRPr="00B17C5B" w:rsidRDefault="00920780" w:rsidP="00920780"/>
    <w:p w14:paraId="155E4083" w14:textId="77571CBE" w:rsidR="00222DE0" w:rsidRPr="00EE3355" w:rsidRDefault="00222DE0" w:rsidP="00C41310">
      <w:pPr>
        <w:pStyle w:val="a3"/>
        <w:jc w:val="both"/>
        <w:rPr>
          <w:b/>
        </w:rPr>
      </w:pPr>
    </w:p>
    <w:sectPr w:rsidR="00222DE0" w:rsidRPr="00EE3355" w:rsidSect="007174F8">
      <w:footerReference w:type="default" r:id="rId47"/>
      <w:pgSz w:w="11910" w:h="16850"/>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C5532" w14:textId="77777777" w:rsidR="00667C31" w:rsidRDefault="00667C31">
      <w:r>
        <w:separator/>
      </w:r>
    </w:p>
  </w:endnote>
  <w:endnote w:type="continuationSeparator" w:id="0">
    <w:p w14:paraId="055BEA62" w14:textId="77777777" w:rsidR="00667C31" w:rsidRDefault="00667C31">
      <w:r>
        <w:continuationSeparator/>
      </w:r>
    </w:p>
  </w:endnote>
  <w:endnote w:type="continuationNotice" w:id="1">
    <w:p w14:paraId="2A261303" w14:textId="77777777" w:rsidR="00667C31" w:rsidRDefault="00667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새굴림">
    <w:panose1 w:val="02030600000101010101"/>
    <w:charset w:val="81"/>
    <w:family w:val="roman"/>
    <w:pitch w:val="variable"/>
    <w:sig w:usb0="B00002AF" w:usb1="7B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FD42" w14:textId="1203F278" w:rsidR="008013E1" w:rsidRPr="00E638F4" w:rsidRDefault="008013E1" w:rsidP="007174F8">
    <w:pPr>
      <w:jc w:val="center"/>
      <w:rPr>
        <w:rFonts w:ascii="Arial" w:hAnsi="Arial" w:cs="Arial"/>
        <w:sz w:val="16"/>
        <w:szCs w:val="16"/>
      </w:rPr>
    </w:pPr>
    <w:r w:rsidRPr="00611033">
      <w:rPr>
        <w:rFonts w:ascii="Arial" w:hAnsi="Arial" w:cs="Arial"/>
        <w:sz w:val="16"/>
        <w:szCs w:val="16"/>
      </w:rPr>
      <w:fldChar w:fldCharType="begin"/>
    </w:r>
    <w:r w:rsidRPr="00611033">
      <w:rPr>
        <w:rFonts w:ascii="Arial" w:hAnsi="Arial" w:cs="Arial"/>
        <w:sz w:val="16"/>
        <w:szCs w:val="16"/>
      </w:rPr>
      <w:instrText xml:space="preserve"> PAGE   \* MERGEFORMAT </w:instrText>
    </w:r>
    <w:r w:rsidRPr="00611033">
      <w:rPr>
        <w:rFonts w:ascii="Arial" w:hAnsi="Arial" w:cs="Arial"/>
        <w:sz w:val="16"/>
        <w:szCs w:val="16"/>
      </w:rPr>
      <w:fldChar w:fldCharType="separate"/>
    </w:r>
    <w:r w:rsidR="00EB58FC">
      <w:rPr>
        <w:rFonts w:ascii="Arial" w:hAnsi="Arial" w:cs="Arial"/>
        <w:noProof/>
        <w:sz w:val="16"/>
        <w:szCs w:val="16"/>
      </w:rPr>
      <w:t>171</w:t>
    </w:r>
    <w:r w:rsidRPr="00611033">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D5B11" w14:textId="77777777" w:rsidR="00667C31" w:rsidRDefault="00667C31">
      <w:r>
        <w:separator/>
      </w:r>
    </w:p>
  </w:footnote>
  <w:footnote w:type="continuationSeparator" w:id="0">
    <w:p w14:paraId="79B9F992" w14:textId="77777777" w:rsidR="00667C31" w:rsidRDefault="00667C31">
      <w:r>
        <w:continuationSeparator/>
      </w:r>
    </w:p>
  </w:footnote>
  <w:footnote w:type="continuationNotice" w:id="1">
    <w:p w14:paraId="4BED0FAA" w14:textId="77777777" w:rsidR="00667C31" w:rsidRDefault="00667C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alt="BT_1000x858px" style="width:15.7pt;height:13.4pt;visibility:visible;mso-wrap-style:square" o:bullet="t">
        <v:imagedata r:id="rId1" o:title="BT_1000x858px"/>
      </v:shape>
    </w:pict>
  </w:numPicBullet>
  <w:abstractNum w:abstractNumId="0" w15:restartNumberingAfterBreak="0">
    <w:nsid w:val="020C2BAD"/>
    <w:multiLevelType w:val="hybridMultilevel"/>
    <w:tmpl w:val="9CFE4BCA"/>
    <w:lvl w:ilvl="0" w:tplc="12D83080">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1DAC93C2">
      <w:numFmt w:val="bullet"/>
      <w:lvlText w:val="•"/>
      <w:lvlJc w:val="left"/>
      <w:pPr>
        <w:ind w:left="460" w:hanging="180"/>
      </w:pPr>
      <w:rPr>
        <w:rFonts w:hint="default"/>
        <w:lang w:val="cs-CZ" w:eastAsia="en-US" w:bidi="ar-SA"/>
      </w:rPr>
    </w:lvl>
    <w:lvl w:ilvl="2" w:tplc="273CB28E">
      <w:numFmt w:val="bullet"/>
      <w:lvlText w:val="•"/>
      <w:lvlJc w:val="left"/>
      <w:pPr>
        <w:ind w:left="640" w:hanging="180"/>
      </w:pPr>
      <w:rPr>
        <w:rFonts w:hint="default"/>
        <w:lang w:val="cs-CZ" w:eastAsia="en-US" w:bidi="ar-SA"/>
      </w:rPr>
    </w:lvl>
    <w:lvl w:ilvl="3" w:tplc="A53EA7C0">
      <w:numFmt w:val="bullet"/>
      <w:lvlText w:val="•"/>
      <w:lvlJc w:val="left"/>
      <w:pPr>
        <w:ind w:left="820" w:hanging="180"/>
      </w:pPr>
      <w:rPr>
        <w:rFonts w:hint="default"/>
        <w:lang w:val="cs-CZ" w:eastAsia="en-US" w:bidi="ar-SA"/>
      </w:rPr>
    </w:lvl>
    <w:lvl w:ilvl="4" w:tplc="EDC643AA">
      <w:numFmt w:val="bullet"/>
      <w:lvlText w:val="•"/>
      <w:lvlJc w:val="left"/>
      <w:pPr>
        <w:ind w:left="1001" w:hanging="180"/>
      </w:pPr>
      <w:rPr>
        <w:rFonts w:hint="default"/>
        <w:lang w:val="cs-CZ" w:eastAsia="en-US" w:bidi="ar-SA"/>
      </w:rPr>
    </w:lvl>
    <w:lvl w:ilvl="5" w:tplc="5E94AB52">
      <w:numFmt w:val="bullet"/>
      <w:lvlText w:val="•"/>
      <w:lvlJc w:val="left"/>
      <w:pPr>
        <w:ind w:left="1181" w:hanging="180"/>
      </w:pPr>
      <w:rPr>
        <w:rFonts w:hint="default"/>
        <w:lang w:val="cs-CZ" w:eastAsia="en-US" w:bidi="ar-SA"/>
      </w:rPr>
    </w:lvl>
    <w:lvl w:ilvl="6" w:tplc="E2C4224C">
      <w:numFmt w:val="bullet"/>
      <w:lvlText w:val="•"/>
      <w:lvlJc w:val="left"/>
      <w:pPr>
        <w:ind w:left="1361" w:hanging="180"/>
      </w:pPr>
      <w:rPr>
        <w:rFonts w:hint="default"/>
        <w:lang w:val="cs-CZ" w:eastAsia="en-US" w:bidi="ar-SA"/>
      </w:rPr>
    </w:lvl>
    <w:lvl w:ilvl="7" w:tplc="3348DE26">
      <w:numFmt w:val="bullet"/>
      <w:lvlText w:val="•"/>
      <w:lvlJc w:val="left"/>
      <w:pPr>
        <w:ind w:left="1542" w:hanging="180"/>
      </w:pPr>
      <w:rPr>
        <w:rFonts w:hint="default"/>
        <w:lang w:val="cs-CZ" w:eastAsia="en-US" w:bidi="ar-SA"/>
      </w:rPr>
    </w:lvl>
    <w:lvl w:ilvl="8" w:tplc="EC96E66A">
      <w:numFmt w:val="bullet"/>
      <w:lvlText w:val="•"/>
      <w:lvlJc w:val="left"/>
      <w:pPr>
        <w:ind w:left="1722" w:hanging="180"/>
      </w:pPr>
      <w:rPr>
        <w:rFonts w:hint="default"/>
        <w:lang w:val="cs-CZ" w:eastAsia="en-US" w:bidi="ar-SA"/>
      </w:rPr>
    </w:lvl>
  </w:abstractNum>
  <w:abstractNum w:abstractNumId="1" w15:restartNumberingAfterBreak="0">
    <w:nsid w:val="049D1DBF"/>
    <w:multiLevelType w:val="hybridMultilevel"/>
    <w:tmpl w:val="C2AE03CE"/>
    <w:lvl w:ilvl="0" w:tplc="5596BE70">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4D84255C">
      <w:numFmt w:val="bullet"/>
      <w:lvlText w:val="•"/>
      <w:lvlJc w:val="left"/>
      <w:pPr>
        <w:ind w:left="298" w:hanging="180"/>
      </w:pPr>
      <w:rPr>
        <w:rFonts w:hint="default"/>
        <w:lang w:val="cs-CZ" w:eastAsia="en-US" w:bidi="ar-SA"/>
      </w:rPr>
    </w:lvl>
    <w:lvl w:ilvl="2" w:tplc="861085AC">
      <w:numFmt w:val="bullet"/>
      <w:lvlText w:val="•"/>
      <w:lvlJc w:val="left"/>
      <w:pPr>
        <w:ind w:left="496" w:hanging="180"/>
      </w:pPr>
      <w:rPr>
        <w:rFonts w:hint="default"/>
        <w:lang w:val="cs-CZ" w:eastAsia="en-US" w:bidi="ar-SA"/>
      </w:rPr>
    </w:lvl>
    <w:lvl w:ilvl="3" w:tplc="BCC69578">
      <w:numFmt w:val="bullet"/>
      <w:lvlText w:val="•"/>
      <w:lvlJc w:val="left"/>
      <w:pPr>
        <w:ind w:left="694" w:hanging="180"/>
      </w:pPr>
      <w:rPr>
        <w:rFonts w:hint="default"/>
        <w:lang w:val="cs-CZ" w:eastAsia="en-US" w:bidi="ar-SA"/>
      </w:rPr>
    </w:lvl>
    <w:lvl w:ilvl="4" w:tplc="BFACB49C">
      <w:numFmt w:val="bullet"/>
      <w:lvlText w:val="•"/>
      <w:lvlJc w:val="left"/>
      <w:pPr>
        <w:ind w:left="893" w:hanging="180"/>
      </w:pPr>
      <w:rPr>
        <w:rFonts w:hint="default"/>
        <w:lang w:val="cs-CZ" w:eastAsia="en-US" w:bidi="ar-SA"/>
      </w:rPr>
    </w:lvl>
    <w:lvl w:ilvl="5" w:tplc="4AAC1304">
      <w:numFmt w:val="bullet"/>
      <w:lvlText w:val="•"/>
      <w:lvlJc w:val="left"/>
      <w:pPr>
        <w:ind w:left="1091" w:hanging="180"/>
      </w:pPr>
      <w:rPr>
        <w:rFonts w:hint="default"/>
        <w:lang w:val="cs-CZ" w:eastAsia="en-US" w:bidi="ar-SA"/>
      </w:rPr>
    </w:lvl>
    <w:lvl w:ilvl="6" w:tplc="EAA8F7BE">
      <w:numFmt w:val="bullet"/>
      <w:lvlText w:val="•"/>
      <w:lvlJc w:val="left"/>
      <w:pPr>
        <w:ind w:left="1289" w:hanging="180"/>
      </w:pPr>
      <w:rPr>
        <w:rFonts w:hint="default"/>
        <w:lang w:val="cs-CZ" w:eastAsia="en-US" w:bidi="ar-SA"/>
      </w:rPr>
    </w:lvl>
    <w:lvl w:ilvl="7" w:tplc="D5ACD3C0">
      <w:numFmt w:val="bullet"/>
      <w:lvlText w:val="•"/>
      <w:lvlJc w:val="left"/>
      <w:pPr>
        <w:ind w:left="1488" w:hanging="180"/>
      </w:pPr>
      <w:rPr>
        <w:rFonts w:hint="default"/>
        <w:lang w:val="cs-CZ" w:eastAsia="en-US" w:bidi="ar-SA"/>
      </w:rPr>
    </w:lvl>
    <w:lvl w:ilvl="8" w:tplc="0E843B56">
      <w:numFmt w:val="bullet"/>
      <w:lvlText w:val="•"/>
      <w:lvlJc w:val="left"/>
      <w:pPr>
        <w:ind w:left="1686" w:hanging="180"/>
      </w:pPr>
      <w:rPr>
        <w:rFonts w:hint="default"/>
        <w:lang w:val="cs-CZ" w:eastAsia="en-US" w:bidi="ar-SA"/>
      </w:rPr>
    </w:lvl>
  </w:abstractNum>
  <w:abstractNum w:abstractNumId="2" w15:restartNumberingAfterBreak="0">
    <w:nsid w:val="04DA477F"/>
    <w:multiLevelType w:val="hybridMultilevel"/>
    <w:tmpl w:val="2A7C26E8"/>
    <w:lvl w:ilvl="0" w:tplc="F7CE5B22">
      <w:numFmt w:val="bullet"/>
      <w:lvlText w:val=""/>
      <w:lvlJc w:val="left"/>
      <w:pPr>
        <w:ind w:left="951" w:hanging="356"/>
      </w:pPr>
      <w:rPr>
        <w:rFonts w:ascii="Symbol" w:eastAsia="Symbol" w:hAnsi="Symbol" w:cs="Symbol" w:hint="default"/>
        <w:b w:val="0"/>
        <w:bCs w:val="0"/>
        <w:i w:val="0"/>
        <w:iCs w:val="0"/>
        <w:spacing w:val="0"/>
        <w:w w:val="100"/>
        <w:sz w:val="22"/>
        <w:szCs w:val="22"/>
        <w:lang w:val="cs-CZ" w:eastAsia="en-US" w:bidi="ar-SA"/>
      </w:rPr>
    </w:lvl>
    <w:lvl w:ilvl="1" w:tplc="92623B96">
      <w:numFmt w:val="bullet"/>
      <w:lvlText w:val=""/>
      <w:lvlJc w:val="left"/>
      <w:pPr>
        <w:ind w:left="1671" w:hanging="356"/>
      </w:pPr>
      <w:rPr>
        <w:rFonts w:ascii="Symbol" w:eastAsia="Symbol" w:hAnsi="Symbol" w:cs="Symbol" w:hint="default"/>
        <w:b w:val="0"/>
        <w:bCs w:val="0"/>
        <w:i w:val="0"/>
        <w:iCs w:val="0"/>
        <w:spacing w:val="0"/>
        <w:w w:val="100"/>
        <w:sz w:val="22"/>
        <w:szCs w:val="22"/>
        <w:lang w:val="cs-CZ" w:eastAsia="en-US" w:bidi="ar-SA"/>
      </w:rPr>
    </w:lvl>
    <w:lvl w:ilvl="2" w:tplc="5C022B26">
      <w:numFmt w:val="bullet"/>
      <w:lvlText w:val="•"/>
      <w:lvlJc w:val="left"/>
      <w:pPr>
        <w:ind w:left="2669" w:hanging="356"/>
      </w:pPr>
      <w:rPr>
        <w:rFonts w:hint="default"/>
        <w:lang w:val="cs-CZ" w:eastAsia="en-US" w:bidi="ar-SA"/>
      </w:rPr>
    </w:lvl>
    <w:lvl w:ilvl="3" w:tplc="A45E4CD2">
      <w:numFmt w:val="bullet"/>
      <w:lvlText w:val="•"/>
      <w:lvlJc w:val="left"/>
      <w:pPr>
        <w:ind w:left="3659" w:hanging="356"/>
      </w:pPr>
      <w:rPr>
        <w:rFonts w:hint="default"/>
        <w:lang w:val="cs-CZ" w:eastAsia="en-US" w:bidi="ar-SA"/>
      </w:rPr>
    </w:lvl>
    <w:lvl w:ilvl="4" w:tplc="6C4E878C">
      <w:numFmt w:val="bullet"/>
      <w:lvlText w:val="•"/>
      <w:lvlJc w:val="left"/>
      <w:pPr>
        <w:ind w:left="4648" w:hanging="356"/>
      </w:pPr>
      <w:rPr>
        <w:rFonts w:hint="default"/>
        <w:lang w:val="cs-CZ" w:eastAsia="en-US" w:bidi="ar-SA"/>
      </w:rPr>
    </w:lvl>
    <w:lvl w:ilvl="5" w:tplc="6596BF30">
      <w:numFmt w:val="bullet"/>
      <w:lvlText w:val="•"/>
      <w:lvlJc w:val="left"/>
      <w:pPr>
        <w:ind w:left="5638" w:hanging="356"/>
      </w:pPr>
      <w:rPr>
        <w:rFonts w:hint="default"/>
        <w:lang w:val="cs-CZ" w:eastAsia="en-US" w:bidi="ar-SA"/>
      </w:rPr>
    </w:lvl>
    <w:lvl w:ilvl="6" w:tplc="0FEAF3E4">
      <w:numFmt w:val="bullet"/>
      <w:lvlText w:val="•"/>
      <w:lvlJc w:val="left"/>
      <w:pPr>
        <w:ind w:left="6628" w:hanging="356"/>
      </w:pPr>
      <w:rPr>
        <w:rFonts w:hint="default"/>
        <w:lang w:val="cs-CZ" w:eastAsia="en-US" w:bidi="ar-SA"/>
      </w:rPr>
    </w:lvl>
    <w:lvl w:ilvl="7" w:tplc="2C3A33C0">
      <w:numFmt w:val="bullet"/>
      <w:lvlText w:val="•"/>
      <w:lvlJc w:val="left"/>
      <w:pPr>
        <w:ind w:left="7617" w:hanging="356"/>
      </w:pPr>
      <w:rPr>
        <w:rFonts w:hint="default"/>
        <w:lang w:val="cs-CZ" w:eastAsia="en-US" w:bidi="ar-SA"/>
      </w:rPr>
    </w:lvl>
    <w:lvl w:ilvl="8" w:tplc="BFE64FDC">
      <w:numFmt w:val="bullet"/>
      <w:lvlText w:val="•"/>
      <w:lvlJc w:val="left"/>
      <w:pPr>
        <w:ind w:left="8607" w:hanging="356"/>
      </w:pPr>
      <w:rPr>
        <w:rFonts w:hint="default"/>
        <w:lang w:val="cs-CZ" w:eastAsia="en-US" w:bidi="ar-SA"/>
      </w:rPr>
    </w:lvl>
  </w:abstractNum>
  <w:abstractNum w:abstractNumId="3" w15:restartNumberingAfterBreak="0">
    <w:nsid w:val="059A07FE"/>
    <w:multiLevelType w:val="hybridMultilevel"/>
    <w:tmpl w:val="8C644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 w15:restartNumberingAfterBreak="0">
    <w:nsid w:val="06BF021E"/>
    <w:multiLevelType w:val="hybridMultilevel"/>
    <w:tmpl w:val="EBB04342"/>
    <w:lvl w:ilvl="0" w:tplc="C8AC133E">
      <w:start w:val="1"/>
      <w:numFmt w:val="bullet"/>
      <w:lvlText w:val=""/>
      <w:lvlJc w:val="left"/>
      <w:pPr>
        <w:tabs>
          <w:tab w:val="num" w:pos="720"/>
        </w:tabs>
        <w:ind w:left="720" w:hanging="360"/>
      </w:pPr>
      <w:rPr>
        <w:rFonts w:ascii="Symbol" w:hAnsi="Symbol" w:hint="default"/>
      </w:rPr>
    </w:lvl>
    <w:lvl w:ilvl="1" w:tplc="7BE2FF60" w:tentative="1">
      <w:start w:val="1"/>
      <w:numFmt w:val="bullet"/>
      <w:lvlText w:val=""/>
      <w:lvlJc w:val="left"/>
      <w:pPr>
        <w:tabs>
          <w:tab w:val="num" w:pos="1440"/>
        </w:tabs>
        <w:ind w:left="1440" w:hanging="360"/>
      </w:pPr>
      <w:rPr>
        <w:rFonts w:ascii="Symbol" w:hAnsi="Symbol" w:hint="default"/>
      </w:rPr>
    </w:lvl>
    <w:lvl w:ilvl="2" w:tplc="AF4EB514" w:tentative="1">
      <w:start w:val="1"/>
      <w:numFmt w:val="bullet"/>
      <w:lvlText w:val=""/>
      <w:lvlJc w:val="left"/>
      <w:pPr>
        <w:tabs>
          <w:tab w:val="num" w:pos="2160"/>
        </w:tabs>
        <w:ind w:left="2160" w:hanging="360"/>
      </w:pPr>
      <w:rPr>
        <w:rFonts w:ascii="Symbol" w:hAnsi="Symbol" w:hint="default"/>
      </w:rPr>
    </w:lvl>
    <w:lvl w:ilvl="3" w:tplc="734ED7F0" w:tentative="1">
      <w:start w:val="1"/>
      <w:numFmt w:val="bullet"/>
      <w:lvlText w:val=""/>
      <w:lvlJc w:val="left"/>
      <w:pPr>
        <w:tabs>
          <w:tab w:val="num" w:pos="2880"/>
        </w:tabs>
        <w:ind w:left="2880" w:hanging="360"/>
      </w:pPr>
      <w:rPr>
        <w:rFonts w:ascii="Symbol" w:hAnsi="Symbol" w:hint="default"/>
      </w:rPr>
    </w:lvl>
    <w:lvl w:ilvl="4" w:tplc="A1A241F2" w:tentative="1">
      <w:start w:val="1"/>
      <w:numFmt w:val="bullet"/>
      <w:lvlText w:val=""/>
      <w:lvlJc w:val="left"/>
      <w:pPr>
        <w:tabs>
          <w:tab w:val="num" w:pos="3600"/>
        </w:tabs>
        <w:ind w:left="3600" w:hanging="360"/>
      </w:pPr>
      <w:rPr>
        <w:rFonts w:ascii="Symbol" w:hAnsi="Symbol" w:hint="default"/>
      </w:rPr>
    </w:lvl>
    <w:lvl w:ilvl="5" w:tplc="5AFA8820" w:tentative="1">
      <w:start w:val="1"/>
      <w:numFmt w:val="bullet"/>
      <w:lvlText w:val=""/>
      <w:lvlJc w:val="left"/>
      <w:pPr>
        <w:tabs>
          <w:tab w:val="num" w:pos="4320"/>
        </w:tabs>
        <w:ind w:left="4320" w:hanging="360"/>
      </w:pPr>
      <w:rPr>
        <w:rFonts w:ascii="Symbol" w:hAnsi="Symbol" w:hint="default"/>
      </w:rPr>
    </w:lvl>
    <w:lvl w:ilvl="6" w:tplc="D368EC90" w:tentative="1">
      <w:start w:val="1"/>
      <w:numFmt w:val="bullet"/>
      <w:lvlText w:val=""/>
      <w:lvlJc w:val="left"/>
      <w:pPr>
        <w:tabs>
          <w:tab w:val="num" w:pos="5040"/>
        </w:tabs>
        <w:ind w:left="5040" w:hanging="360"/>
      </w:pPr>
      <w:rPr>
        <w:rFonts w:ascii="Symbol" w:hAnsi="Symbol" w:hint="default"/>
      </w:rPr>
    </w:lvl>
    <w:lvl w:ilvl="7" w:tplc="E362B47E" w:tentative="1">
      <w:start w:val="1"/>
      <w:numFmt w:val="bullet"/>
      <w:lvlText w:val=""/>
      <w:lvlJc w:val="left"/>
      <w:pPr>
        <w:tabs>
          <w:tab w:val="num" w:pos="5760"/>
        </w:tabs>
        <w:ind w:left="5760" w:hanging="360"/>
      </w:pPr>
      <w:rPr>
        <w:rFonts w:ascii="Symbol" w:hAnsi="Symbol" w:hint="default"/>
      </w:rPr>
    </w:lvl>
    <w:lvl w:ilvl="8" w:tplc="C26420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B54059"/>
    <w:multiLevelType w:val="hybridMultilevel"/>
    <w:tmpl w:val="9B326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0BCC4BDE"/>
    <w:multiLevelType w:val="hybridMultilevel"/>
    <w:tmpl w:val="9660905A"/>
    <w:lvl w:ilvl="0" w:tplc="778A494E">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AE0ED23C">
      <w:numFmt w:val="bullet"/>
      <w:lvlText w:val="•"/>
      <w:lvlJc w:val="left"/>
      <w:pPr>
        <w:ind w:left="460" w:hanging="180"/>
      </w:pPr>
      <w:rPr>
        <w:rFonts w:hint="default"/>
        <w:lang w:val="cs-CZ" w:eastAsia="en-US" w:bidi="ar-SA"/>
      </w:rPr>
    </w:lvl>
    <w:lvl w:ilvl="2" w:tplc="095451B6">
      <w:numFmt w:val="bullet"/>
      <w:lvlText w:val="•"/>
      <w:lvlJc w:val="left"/>
      <w:pPr>
        <w:ind w:left="640" w:hanging="180"/>
      </w:pPr>
      <w:rPr>
        <w:rFonts w:hint="default"/>
        <w:lang w:val="cs-CZ" w:eastAsia="en-US" w:bidi="ar-SA"/>
      </w:rPr>
    </w:lvl>
    <w:lvl w:ilvl="3" w:tplc="15EA0816">
      <w:numFmt w:val="bullet"/>
      <w:lvlText w:val="•"/>
      <w:lvlJc w:val="left"/>
      <w:pPr>
        <w:ind w:left="820" w:hanging="180"/>
      </w:pPr>
      <w:rPr>
        <w:rFonts w:hint="default"/>
        <w:lang w:val="cs-CZ" w:eastAsia="en-US" w:bidi="ar-SA"/>
      </w:rPr>
    </w:lvl>
    <w:lvl w:ilvl="4" w:tplc="8E7A5B0A">
      <w:numFmt w:val="bullet"/>
      <w:lvlText w:val="•"/>
      <w:lvlJc w:val="left"/>
      <w:pPr>
        <w:ind w:left="1001" w:hanging="180"/>
      </w:pPr>
      <w:rPr>
        <w:rFonts w:hint="default"/>
        <w:lang w:val="cs-CZ" w:eastAsia="en-US" w:bidi="ar-SA"/>
      </w:rPr>
    </w:lvl>
    <w:lvl w:ilvl="5" w:tplc="0330966A">
      <w:numFmt w:val="bullet"/>
      <w:lvlText w:val="•"/>
      <w:lvlJc w:val="left"/>
      <w:pPr>
        <w:ind w:left="1181" w:hanging="180"/>
      </w:pPr>
      <w:rPr>
        <w:rFonts w:hint="default"/>
        <w:lang w:val="cs-CZ" w:eastAsia="en-US" w:bidi="ar-SA"/>
      </w:rPr>
    </w:lvl>
    <w:lvl w:ilvl="6" w:tplc="E0F493F6">
      <w:numFmt w:val="bullet"/>
      <w:lvlText w:val="•"/>
      <w:lvlJc w:val="left"/>
      <w:pPr>
        <w:ind w:left="1361" w:hanging="180"/>
      </w:pPr>
      <w:rPr>
        <w:rFonts w:hint="default"/>
        <w:lang w:val="cs-CZ" w:eastAsia="en-US" w:bidi="ar-SA"/>
      </w:rPr>
    </w:lvl>
    <w:lvl w:ilvl="7" w:tplc="BDEA5DEA">
      <w:numFmt w:val="bullet"/>
      <w:lvlText w:val="•"/>
      <w:lvlJc w:val="left"/>
      <w:pPr>
        <w:ind w:left="1542" w:hanging="180"/>
      </w:pPr>
      <w:rPr>
        <w:rFonts w:hint="default"/>
        <w:lang w:val="cs-CZ" w:eastAsia="en-US" w:bidi="ar-SA"/>
      </w:rPr>
    </w:lvl>
    <w:lvl w:ilvl="8" w:tplc="533EFD0A">
      <w:numFmt w:val="bullet"/>
      <w:lvlText w:val="•"/>
      <w:lvlJc w:val="left"/>
      <w:pPr>
        <w:ind w:left="1722" w:hanging="180"/>
      </w:pPr>
      <w:rPr>
        <w:rFonts w:hint="default"/>
        <w:lang w:val="cs-CZ" w:eastAsia="en-US" w:bidi="ar-SA"/>
      </w:rPr>
    </w:lvl>
  </w:abstractNum>
  <w:abstractNum w:abstractNumId="9" w15:restartNumberingAfterBreak="0">
    <w:nsid w:val="0CEC720C"/>
    <w:multiLevelType w:val="hybridMultilevel"/>
    <w:tmpl w:val="EFAA0F1E"/>
    <w:lvl w:ilvl="0" w:tplc="2D382948">
      <w:numFmt w:val="bullet"/>
      <w:lvlText w:val=""/>
      <w:lvlJc w:val="left"/>
      <w:pPr>
        <w:ind w:left="806" w:hanging="567"/>
      </w:pPr>
      <w:rPr>
        <w:rFonts w:ascii="Symbol" w:eastAsia="Symbol" w:hAnsi="Symbol" w:cs="Symbol" w:hint="default"/>
        <w:b w:val="0"/>
        <w:bCs w:val="0"/>
        <w:i w:val="0"/>
        <w:iCs w:val="0"/>
        <w:spacing w:val="0"/>
        <w:w w:val="100"/>
        <w:sz w:val="22"/>
        <w:szCs w:val="22"/>
        <w:lang w:val="cs-CZ" w:eastAsia="en-US" w:bidi="ar-SA"/>
      </w:rPr>
    </w:lvl>
    <w:lvl w:ilvl="1" w:tplc="2D22BD7C">
      <w:numFmt w:val="bullet"/>
      <w:lvlText w:val="•"/>
      <w:lvlJc w:val="left"/>
      <w:pPr>
        <w:ind w:left="1778" w:hanging="567"/>
      </w:pPr>
      <w:rPr>
        <w:rFonts w:hint="default"/>
        <w:lang w:val="cs-CZ" w:eastAsia="en-US" w:bidi="ar-SA"/>
      </w:rPr>
    </w:lvl>
    <w:lvl w:ilvl="2" w:tplc="D0FE2A2E">
      <w:numFmt w:val="bullet"/>
      <w:lvlText w:val="•"/>
      <w:lvlJc w:val="left"/>
      <w:pPr>
        <w:ind w:left="2757" w:hanging="567"/>
      </w:pPr>
      <w:rPr>
        <w:rFonts w:hint="default"/>
        <w:lang w:val="cs-CZ" w:eastAsia="en-US" w:bidi="ar-SA"/>
      </w:rPr>
    </w:lvl>
    <w:lvl w:ilvl="3" w:tplc="A978D11E">
      <w:numFmt w:val="bullet"/>
      <w:lvlText w:val="•"/>
      <w:lvlJc w:val="left"/>
      <w:pPr>
        <w:ind w:left="3735" w:hanging="567"/>
      </w:pPr>
      <w:rPr>
        <w:rFonts w:hint="default"/>
        <w:lang w:val="cs-CZ" w:eastAsia="en-US" w:bidi="ar-SA"/>
      </w:rPr>
    </w:lvl>
    <w:lvl w:ilvl="4" w:tplc="1B68AF1E">
      <w:numFmt w:val="bullet"/>
      <w:lvlText w:val="•"/>
      <w:lvlJc w:val="left"/>
      <w:pPr>
        <w:ind w:left="4714" w:hanging="567"/>
      </w:pPr>
      <w:rPr>
        <w:rFonts w:hint="default"/>
        <w:lang w:val="cs-CZ" w:eastAsia="en-US" w:bidi="ar-SA"/>
      </w:rPr>
    </w:lvl>
    <w:lvl w:ilvl="5" w:tplc="7CF67CF2">
      <w:numFmt w:val="bullet"/>
      <w:lvlText w:val="•"/>
      <w:lvlJc w:val="left"/>
      <w:pPr>
        <w:ind w:left="5693" w:hanging="567"/>
      </w:pPr>
      <w:rPr>
        <w:rFonts w:hint="default"/>
        <w:lang w:val="cs-CZ" w:eastAsia="en-US" w:bidi="ar-SA"/>
      </w:rPr>
    </w:lvl>
    <w:lvl w:ilvl="6" w:tplc="E4F672F0">
      <w:numFmt w:val="bullet"/>
      <w:lvlText w:val="•"/>
      <w:lvlJc w:val="left"/>
      <w:pPr>
        <w:ind w:left="6671" w:hanging="567"/>
      </w:pPr>
      <w:rPr>
        <w:rFonts w:hint="default"/>
        <w:lang w:val="cs-CZ" w:eastAsia="en-US" w:bidi="ar-SA"/>
      </w:rPr>
    </w:lvl>
    <w:lvl w:ilvl="7" w:tplc="BA2478D2">
      <w:numFmt w:val="bullet"/>
      <w:lvlText w:val="•"/>
      <w:lvlJc w:val="left"/>
      <w:pPr>
        <w:ind w:left="7650" w:hanging="567"/>
      </w:pPr>
      <w:rPr>
        <w:rFonts w:hint="default"/>
        <w:lang w:val="cs-CZ" w:eastAsia="en-US" w:bidi="ar-SA"/>
      </w:rPr>
    </w:lvl>
    <w:lvl w:ilvl="8" w:tplc="7FA0BBD6">
      <w:numFmt w:val="bullet"/>
      <w:lvlText w:val="•"/>
      <w:lvlJc w:val="left"/>
      <w:pPr>
        <w:ind w:left="8629" w:hanging="567"/>
      </w:pPr>
      <w:rPr>
        <w:rFonts w:hint="default"/>
        <w:lang w:val="cs-CZ" w:eastAsia="en-US" w:bidi="ar-SA"/>
      </w:rPr>
    </w:lvl>
  </w:abstractNum>
  <w:abstractNum w:abstractNumId="10" w15:restartNumberingAfterBreak="0">
    <w:nsid w:val="0EB27E9C"/>
    <w:multiLevelType w:val="hybridMultilevel"/>
    <w:tmpl w:val="F8C09984"/>
    <w:lvl w:ilvl="0" w:tplc="F5C06392">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721E739C">
      <w:numFmt w:val="bullet"/>
      <w:lvlText w:val="•"/>
      <w:lvlJc w:val="left"/>
      <w:pPr>
        <w:ind w:left="298" w:hanging="180"/>
      </w:pPr>
      <w:rPr>
        <w:rFonts w:hint="default"/>
        <w:lang w:val="cs-CZ" w:eastAsia="en-US" w:bidi="ar-SA"/>
      </w:rPr>
    </w:lvl>
    <w:lvl w:ilvl="2" w:tplc="B5CCC116">
      <w:numFmt w:val="bullet"/>
      <w:lvlText w:val="•"/>
      <w:lvlJc w:val="left"/>
      <w:pPr>
        <w:ind w:left="496" w:hanging="180"/>
      </w:pPr>
      <w:rPr>
        <w:rFonts w:hint="default"/>
        <w:lang w:val="cs-CZ" w:eastAsia="en-US" w:bidi="ar-SA"/>
      </w:rPr>
    </w:lvl>
    <w:lvl w:ilvl="3" w:tplc="041AAE02">
      <w:numFmt w:val="bullet"/>
      <w:lvlText w:val="•"/>
      <w:lvlJc w:val="left"/>
      <w:pPr>
        <w:ind w:left="694" w:hanging="180"/>
      </w:pPr>
      <w:rPr>
        <w:rFonts w:hint="default"/>
        <w:lang w:val="cs-CZ" w:eastAsia="en-US" w:bidi="ar-SA"/>
      </w:rPr>
    </w:lvl>
    <w:lvl w:ilvl="4" w:tplc="082A802C">
      <w:numFmt w:val="bullet"/>
      <w:lvlText w:val="•"/>
      <w:lvlJc w:val="left"/>
      <w:pPr>
        <w:ind w:left="893" w:hanging="180"/>
      </w:pPr>
      <w:rPr>
        <w:rFonts w:hint="default"/>
        <w:lang w:val="cs-CZ" w:eastAsia="en-US" w:bidi="ar-SA"/>
      </w:rPr>
    </w:lvl>
    <w:lvl w:ilvl="5" w:tplc="9780B6E4">
      <w:numFmt w:val="bullet"/>
      <w:lvlText w:val="•"/>
      <w:lvlJc w:val="left"/>
      <w:pPr>
        <w:ind w:left="1091" w:hanging="180"/>
      </w:pPr>
      <w:rPr>
        <w:rFonts w:hint="default"/>
        <w:lang w:val="cs-CZ" w:eastAsia="en-US" w:bidi="ar-SA"/>
      </w:rPr>
    </w:lvl>
    <w:lvl w:ilvl="6" w:tplc="C228052C">
      <w:numFmt w:val="bullet"/>
      <w:lvlText w:val="•"/>
      <w:lvlJc w:val="left"/>
      <w:pPr>
        <w:ind w:left="1289" w:hanging="180"/>
      </w:pPr>
      <w:rPr>
        <w:rFonts w:hint="default"/>
        <w:lang w:val="cs-CZ" w:eastAsia="en-US" w:bidi="ar-SA"/>
      </w:rPr>
    </w:lvl>
    <w:lvl w:ilvl="7" w:tplc="BA0AA070">
      <w:numFmt w:val="bullet"/>
      <w:lvlText w:val="•"/>
      <w:lvlJc w:val="left"/>
      <w:pPr>
        <w:ind w:left="1488" w:hanging="180"/>
      </w:pPr>
      <w:rPr>
        <w:rFonts w:hint="default"/>
        <w:lang w:val="cs-CZ" w:eastAsia="en-US" w:bidi="ar-SA"/>
      </w:rPr>
    </w:lvl>
    <w:lvl w:ilvl="8" w:tplc="965A6F1C">
      <w:numFmt w:val="bullet"/>
      <w:lvlText w:val="•"/>
      <w:lvlJc w:val="left"/>
      <w:pPr>
        <w:ind w:left="1686" w:hanging="180"/>
      </w:pPr>
      <w:rPr>
        <w:rFonts w:hint="default"/>
        <w:lang w:val="cs-CZ" w:eastAsia="en-US" w:bidi="ar-SA"/>
      </w:rPr>
    </w:lvl>
  </w:abstractNum>
  <w:abstractNum w:abstractNumId="11" w15:restartNumberingAfterBreak="0">
    <w:nsid w:val="0F765C60"/>
    <w:multiLevelType w:val="hybridMultilevel"/>
    <w:tmpl w:val="366ACFF2"/>
    <w:lvl w:ilvl="0" w:tplc="1756BCB4">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D4D8FD00">
      <w:numFmt w:val="bullet"/>
      <w:lvlText w:val="•"/>
      <w:lvlJc w:val="left"/>
      <w:pPr>
        <w:ind w:left="280" w:hanging="180"/>
      </w:pPr>
      <w:rPr>
        <w:rFonts w:hint="default"/>
        <w:lang w:val="cs-CZ" w:eastAsia="en-US" w:bidi="ar-SA"/>
      </w:rPr>
    </w:lvl>
    <w:lvl w:ilvl="2" w:tplc="76F4D222">
      <w:numFmt w:val="bullet"/>
      <w:lvlText w:val="•"/>
      <w:lvlJc w:val="left"/>
      <w:pPr>
        <w:ind w:left="461" w:hanging="180"/>
      </w:pPr>
      <w:rPr>
        <w:rFonts w:hint="default"/>
        <w:lang w:val="cs-CZ" w:eastAsia="en-US" w:bidi="ar-SA"/>
      </w:rPr>
    </w:lvl>
    <w:lvl w:ilvl="3" w:tplc="0D6C2D96">
      <w:numFmt w:val="bullet"/>
      <w:lvlText w:val="•"/>
      <w:lvlJc w:val="left"/>
      <w:pPr>
        <w:ind w:left="641" w:hanging="180"/>
      </w:pPr>
      <w:rPr>
        <w:rFonts w:hint="default"/>
        <w:lang w:val="cs-CZ" w:eastAsia="en-US" w:bidi="ar-SA"/>
      </w:rPr>
    </w:lvl>
    <w:lvl w:ilvl="4" w:tplc="333E3084">
      <w:numFmt w:val="bullet"/>
      <w:lvlText w:val="•"/>
      <w:lvlJc w:val="left"/>
      <w:pPr>
        <w:ind w:left="822" w:hanging="180"/>
      </w:pPr>
      <w:rPr>
        <w:rFonts w:hint="default"/>
        <w:lang w:val="cs-CZ" w:eastAsia="en-US" w:bidi="ar-SA"/>
      </w:rPr>
    </w:lvl>
    <w:lvl w:ilvl="5" w:tplc="BD9829D0">
      <w:numFmt w:val="bullet"/>
      <w:lvlText w:val="•"/>
      <w:lvlJc w:val="left"/>
      <w:pPr>
        <w:ind w:left="1002" w:hanging="180"/>
      </w:pPr>
      <w:rPr>
        <w:rFonts w:hint="default"/>
        <w:lang w:val="cs-CZ" w:eastAsia="en-US" w:bidi="ar-SA"/>
      </w:rPr>
    </w:lvl>
    <w:lvl w:ilvl="6" w:tplc="7A2EA490">
      <w:numFmt w:val="bullet"/>
      <w:lvlText w:val="•"/>
      <w:lvlJc w:val="left"/>
      <w:pPr>
        <w:ind w:left="1183" w:hanging="180"/>
      </w:pPr>
      <w:rPr>
        <w:rFonts w:hint="default"/>
        <w:lang w:val="cs-CZ" w:eastAsia="en-US" w:bidi="ar-SA"/>
      </w:rPr>
    </w:lvl>
    <w:lvl w:ilvl="7" w:tplc="BFE2C16E">
      <w:numFmt w:val="bullet"/>
      <w:lvlText w:val="•"/>
      <w:lvlJc w:val="left"/>
      <w:pPr>
        <w:ind w:left="1363" w:hanging="180"/>
      </w:pPr>
      <w:rPr>
        <w:rFonts w:hint="default"/>
        <w:lang w:val="cs-CZ" w:eastAsia="en-US" w:bidi="ar-SA"/>
      </w:rPr>
    </w:lvl>
    <w:lvl w:ilvl="8" w:tplc="32D459D2">
      <w:numFmt w:val="bullet"/>
      <w:lvlText w:val="•"/>
      <w:lvlJc w:val="left"/>
      <w:pPr>
        <w:ind w:left="1544" w:hanging="180"/>
      </w:pPr>
      <w:rPr>
        <w:rFonts w:hint="default"/>
        <w:lang w:val="cs-CZ" w:eastAsia="en-US" w:bidi="ar-SA"/>
      </w:rPr>
    </w:lvl>
  </w:abstractNum>
  <w:abstractNum w:abstractNumId="12" w15:restartNumberingAfterBreak="0">
    <w:nsid w:val="12451C51"/>
    <w:multiLevelType w:val="hybridMultilevel"/>
    <w:tmpl w:val="278C78C2"/>
    <w:lvl w:ilvl="0" w:tplc="497C9BA6">
      <w:start w:val="1"/>
      <w:numFmt w:val="decimal"/>
      <w:lvlText w:val="%1."/>
      <w:lvlJc w:val="left"/>
      <w:pPr>
        <w:ind w:left="435" w:hanging="183"/>
      </w:pPr>
      <w:rPr>
        <w:rFonts w:ascii="Times New Roman" w:eastAsia="Times New Roman" w:hAnsi="Times New Roman" w:cs="Times New Roman" w:hint="default"/>
        <w:b w:val="0"/>
        <w:bCs w:val="0"/>
        <w:i w:val="0"/>
        <w:iCs w:val="0"/>
        <w:spacing w:val="0"/>
        <w:w w:val="100"/>
        <w:sz w:val="18"/>
        <w:szCs w:val="18"/>
        <w:lang w:val="cs-CZ" w:eastAsia="en-US" w:bidi="ar-SA"/>
      </w:rPr>
    </w:lvl>
    <w:lvl w:ilvl="1" w:tplc="954C08B6">
      <w:numFmt w:val="bullet"/>
      <w:lvlText w:val="•"/>
      <w:lvlJc w:val="left"/>
      <w:pPr>
        <w:ind w:left="1454" w:hanging="183"/>
      </w:pPr>
      <w:rPr>
        <w:rFonts w:hint="default"/>
        <w:lang w:val="cs-CZ" w:eastAsia="en-US" w:bidi="ar-SA"/>
      </w:rPr>
    </w:lvl>
    <w:lvl w:ilvl="2" w:tplc="94B0C824">
      <w:numFmt w:val="bullet"/>
      <w:lvlText w:val="•"/>
      <w:lvlJc w:val="left"/>
      <w:pPr>
        <w:ind w:left="2469" w:hanging="183"/>
      </w:pPr>
      <w:rPr>
        <w:rFonts w:hint="default"/>
        <w:lang w:val="cs-CZ" w:eastAsia="en-US" w:bidi="ar-SA"/>
      </w:rPr>
    </w:lvl>
    <w:lvl w:ilvl="3" w:tplc="8AFE9236">
      <w:numFmt w:val="bullet"/>
      <w:lvlText w:val="•"/>
      <w:lvlJc w:val="left"/>
      <w:pPr>
        <w:ind w:left="3483" w:hanging="183"/>
      </w:pPr>
      <w:rPr>
        <w:rFonts w:hint="default"/>
        <w:lang w:val="cs-CZ" w:eastAsia="en-US" w:bidi="ar-SA"/>
      </w:rPr>
    </w:lvl>
    <w:lvl w:ilvl="4" w:tplc="A06CD3C4">
      <w:numFmt w:val="bullet"/>
      <w:lvlText w:val="•"/>
      <w:lvlJc w:val="left"/>
      <w:pPr>
        <w:ind w:left="4498" w:hanging="183"/>
      </w:pPr>
      <w:rPr>
        <w:rFonts w:hint="default"/>
        <w:lang w:val="cs-CZ" w:eastAsia="en-US" w:bidi="ar-SA"/>
      </w:rPr>
    </w:lvl>
    <w:lvl w:ilvl="5" w:tplc="918AD874">
      <w:numFmt w:val="bullet"/>
      <w:lvlText w:val="•"/>
      <w:lvlJc w:val="left"/>
      <w:pPr>
        <w:ind w:left="5513" w:hanging="183"/>
      </w:pPr>
      <w:rPr>
        <w:rFonts w:hint="default"/>
        <w:lang w:val="cs-CZ" w:eastAsia="en-US" w:bidi="ar-SA"/>
      </w:rPr>
    </w:lvl>
    <w:lvl w:ilvl="6" w:tplc="855EEE28">
      <w:numFmt w:val="bullet"/>
      <w:lvlText w:val="•"/>
      <w:lvlJc w:val="left"/>
      <w:pPr>
        <w:ind w:left="6527" w:hanging="183"/>
      </w:pPr>
      <w:rPr>
        <w:rFonts w:hint="default"/>
        <w:lang w:val="cs-CZ" w:eastAsia="en-US" w:bidi="ar-SA"/>
      </w:rPr>
    </w:lvl>
    <w:lvl w:ilvl="7" w:tplc="213C5A1E">
      <w:numFmt w:val="bullet"/>
      <w:lvlText w:val="•"/>
      <w:lvlJc w:val="left"/>
      <w:pPr>
        <w:ind w:left="7542" w:hanging="183"/>
      </w:pPr>
      <w:rPr>
        <w:rFonts w:hint="default"/>
        <w:lang w:val="cs-CZ" w:eastAsia="en-US" w:bidi="ar-SA"/>
      </w:rPr>
    </w:lvl>
    <w:lvl w:ilvl="8" w:tplc="B1E4008A">
      <w:numFmt w:val="bullet"/>
      <w:lvlText w:val="•"/>
      <w:lvlJc w:val="left"/>
      <w:pPr>
        <w:ind w:left="8557" w:hanging="183"/>
      </w:pPr>
      <w:rPr>
        <w:rFonts w:hint="default"/>
        <w:lang w:val="cs-CZ" w:eastAsia="en-US" w:bidi="ar-SA"/>
      </w:rPr>
    </w:lvl>
  </w:abstractNum>
  <w:abstractNum w:abstractNumId="13"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4" w15:restartNumberingAfterBreak="0">
    <w:nsid w:val="14860B53"/>
    <w:multiLevelType w:val="hybridMultilevel"/>
    <w:tmpl w:val="2628254C"/>
    <w:lvl w:ilvl="0" w:tplc="1DA24E84">
      <w:numFmt w:val="bullet"/>
      <w:lvlText w:val="&gt;"/>
      <w:lvlJc w:val="left"/>
      <w:pPr>
        <w:ind w:left="418"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B38C91BA">
      <w:numFmt w:val="bullet"/>
      <w:lvlText w:val="•"/>
      <w:lvlJc w:val="left"/>
      <w:pPr>
        <w:ind w:left="1436" w:hanging="180"/>
      </w:pPr>
      <w:rPr>
        <w:rFonts w:hint="default"/>
        <w:lang w:val="cs-CZ" w:eastAsia="en-US" w:bidi="ar-SA"/>
      </w:rPr>
    </w:lvl>
    <w:lvl w:ilvl="2" w:tplc="1930A164">
      <w:numFmt w:val="bullet"/>
      <w:lvlText w:val="•"/>
      <w:lvlJc w:val="left"/>
      <w:pPr>
        <w:ind w:left="2453" w:hanging="180"/>
      </w:pPr>
      <w:rPr>
        <w:rFonts w:hint="default"/>
        <w:lang w:val="cs-CZ" w:eastAsia="en-US" w:bidi="ar-SA"/>
      </w:rPr>
    </w:lvl>
    <w:lvl w:ilvl="3" w:tplc="0E4E0C72">
      <w:numFmt w:val="bullet"/>
      <w:lvlText w:val="•"/>
      <w:lvlJc w:val="left"/>
      <w:pPr>
        <w:ind w:left="3469" w:hanging="180"/>
      </w:pPr>
      <w:rPr>
        <w:rFonts w:hint="default"/>
        <w:lang w:val="cs-CZ" w:eastAsia="en-US" w:bidi="ar-SA"/>
      </w:rPr>
    </w:lvl>
    <w:lvl w:ilvl="4" w:tplc="D8A82378">
      <w:numFmt w:val="bullet"/>
      <w:lvlText w:val="•"/>
      <w:lvlJc w:val="left"/>
      <w:pPr>
        <w:ind w:left="4486" w:hanging="180"/>
      </w:pPr>
      <w:rPr>
        <w:rFonts w:hint="default"/>
        <w:lang w:val="cs-CZ" w:eastAsia="en-US" w:bidi="ar-SA"/>
      </w:rPr>
    </w:lvl>
    <w:lvl w:ilvl="5" w:tplc="3D16CF76">
      <w:numFmt w:val="bullet"/>
      <w:lvlText w:val="•"/>
      <w:lvlJc w:val="left"/>
      <w:pPr>
        <w:ind w:left="5503" w:hanging="180"/>
      </w:pPr>
      <w:rPr>
        <w:rFonts w:hint="default"/>
        <w:lang w:val="cs-CZ" w:eastAsia="en-US" w:bidi="ar-SA"/>
      </w:rPr>
    </w:lvl>
    <w:lvl w:ilvl="6" w:tplc="58AAD012">
      <w:numFmt w:val="bullet"/>
      <w:lvlText w:val="•"/>
      <w:lvlJc w:val="left"/>
      <w:pPr>
        <w:ind w:left="6519" w:hanging="180"/>
      </w:pPr>
      <w:rPr>
        <w:rFonts w:hint="default"/>
        <w:lang w:val="cs-CZ" w:eastAsia="en-US" w:bidi="ar-SA"/>
      </w:rPr>
    </w:lvl>
    <w:lvl w:ilvl="7" w:tplc="FE327010">
      <w:numFmt w:val="bullet"/>
      <w:lvlText w:val="•"/>
      <w:lvlJc w:val="left"/>
      <w:pPr>
        <w:ind w:left="7536" w:hanging="180"/>
      </w:pPr>
      <w:rPr>
        <w:rFonts w:hint="default"/>
        <w:lang w:val="cs-CZ" w:eastAsia="en-US" w:bidi="ar-SA"/>
      </w:rPr>
    </w:lvl>
    <w:lvl w:ilvl="8" w:tplc="8B0CCEF4">
      <w:numFmt w:val="bullet"/>
      <w:lvlText w:val="•"/>
      <w:lvlJc w:val="left"/>
      <w:pPr>
        <w:ind w:left="8553" w:hanging="180"/>
      </w:pPr>
      <w:rPr>
        <w:rFonts w:hint="default"/>
        <w:lang w:val="cs-CZ" w:eastAsia="en-US" w:bidi="ar-SA"/>
      </w:rPr>
    </w:lvl>
  </w:abstractNum>
  <w:abstractNum w:abstractNumId="15" w15:restartNumberingAfterBreak="0">
    <w:nsid w:val="17A00B96"/>
    <w:multiLevelType w:val="multilevel"/>
    <w:tmpl w:val="E04077E6"/>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cs-CZ"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cs-CZ" w:eastAsia="en-US" w:bidi="ar-SA"/>
      </w:rPr>
    </w:lvl>
    <w:lvl w:ilvl="2">
      <w:numFmt w:val="bullet"/>
      <w:lvlText w:val=""/>
      <w:lvlJc w:val="left"/>
      <w:pPr>
        <w:ind w:left="1004" w:hanging="358"/>
      </w:pPr>
      <w:rPr>
        <w:rFonts w:ascii="Symbol" w:eastAsia="Symbol" w:hAnsi="Symbol" w:cs="Symbol" w:hint="default"/>
        <w:b w:val="0"/>
        <w:bCs w:val="0"/>
        <w:i w:val="0"/>
        <w:iCs w:val="0"/>
        <w:spacing w:val="0"/>
        <w:w w:val="100"/>
        <w:sz w:val="22"/>
        <w:szCs w:val="22"/>
        <w:lang w:val="cs-CZ" w:eastAsia="en-US" w:bidi="ar-SA"/>
      </w:rPr>
    </w:lvl>
    <w:lvl w:ilvl="3">
      <w:numFmt w:val="bullet"/>
      <w:lvlText w:val="•"/>
      <w:lvlJc w:val="left"/>
      <w:pPr>
        <w:ind w:left="3130" w:hanging="358"/>
      </w:pPr>
      <w:rPr>
        <w:rFonts w:hint="default"/>
        <w:lang w:val="cs-CZ" w:eastAsia="en-US" w:bidi="ar-SA"/>
      </w:rPr>
    </w:lvl>
    <w:lvl w:ilvl="4">
      <w:numFmt w:val="bullet"/>
      <w:lvlText w:val="•"/>
      <w:lvlJc w:val="left"/>
      <w:pPr>
        <w:ind w:left="4195" w:hanging="358"/>
      </w:pPr>
      <w:rPr>
        <w:rFonts w:hint="default"/>
        <w:lang w:val="cs-CZ" w:eastAsia="en-US" w:bidi="ar-SA"/>
      </w:rPr>
    </w:lvl>
    <w:lvl w:ilvl="5">
      <w:numFmt w:val="bullet"/>
      <w:lvlText w:val="•"/>
      <w:lvlJc w:val="left"/>
      <w:pPr>
        <w:ind w:left="5260" w:hanging="358"/>
      </w:pPr>
      <w:rPr>
        <w:rFonts w:hint="default"/>
        <w:lang w:val="cs-CZ" w:eastAsia="en-US" w:bidi="ar-SA"/>
      </w:rPr>
    </w:lvl>
    <w:lvl w:ilvl="6">
      <w:numFmt w:val="bullet"/>
      <w:lvlText w:val="•"/>
      <w:lvlJc w:val="left"/>
      <w:pPr>
        <w:ind w:left="6325" w:hanging="358"/>
      </w:pPr>
      <w:rPr>
        <w:rFonts w:hint="default"/>
        <w:lang w:val="cs-CZ" w:eastAsia="en-US" w:bidi="ar-SA"/>
      </w:rPr>
    </w:lvl>
    <w:lvl w:ilvl="7">
      <w:numFmt w:val="bullet"/>
      <w:lvlText w:val="•"/>
      <w:lvlJc w:val="left"/>
      <w:pPr>
        <w:ind w:left="7390" w:hanging="358"/>
      </w:pPr>
      <w:rPr>
        <w:rFonts w:hint="default"/>
        <w:lang w:val="cs-CZ" w:eastAsia="en-US" w:bidi="ar-SA"/>
      </w:rPr>
    </w:lvl>
    <w:lvl w:ilvl="8">
      <w:numFmt w:val="bullet"/>
      <w:lvlText w:val="•"/>
      <w:lvlJc w:val="left"/>
      <w:pPr>
        <w:ind w:left="8456" w:hanging="358"/>
      </w:pPr>
      <w:rPr>
        <w:rFonts w:hint="default"/>
        <w:lang w:val="cs-CZ" w:eastAsia="en-US" w:bidi="ar-SA"/>
      </w:rPr>
    </w:lvl>
  </w:abstractNum>
  <w:abstractNum w:abstractNumId="16" w15:restartNumberingAfterBreak="0">
    <w:nsid w:val="18E676F6"/>
    <w:multiLevelType w:val="hybridMultilevel"/>
    <w:tmpl w:val="FC90CAD2"/>
    <w:lvl w:ilvl="0" w:tplc="93BE7C02">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C19611F4">
      <w:numFmt w:val="bullet"/>
      <w:lvlText w:val="•"/>
      <w:lvlJc w:val="left"/>
      <w:pPr>
        <w:ind w:left="460" w:hanging="180"/>
      </w:pPr>
      <w:rPr>
        <w:rFonts w:hint="default"/>
        <w:lang w:val="cs-CZ" w:eastAsia="en-US" w:bidi="ar-SA"/>
      </w:rPr>
    </w:lvl>
    <w:lvl w:ilvl="2" w:tplc="1CAA30E0">
      <w:numFmt w:val="bullet"/>
      <w:lvlText w:val="•"/>
      <w:lvlJc w:val="left"/>
      <w:pPr>
        <w:ind w:left="640" w:hanging="180"/>
      </w:pPr>
      <w:rPr>
        <w:rFonts w:hint="default"/>
        <w:lang w:val="cs-CZ" w:eastAsia="en-US" w:bidi="ar-SA"/>
      </w:rPr>
    </w:lvl>
    <w:lvl w:ilvl="3" w:tplc="7F58EFDE">
      <w:numFmt w:val="bullet"/>
      <w:lvlText w:val="•"/>
      <w:lvlJc w:val="left"/>
      <w:pPr>
        <w:ind w:left="820" w:hanging="180"/>
      </w:pPr>
      <w:rPr>
        <w:rFonts w:hint="default"/>
        <w:lang w:val="cs-CZ" w:eastAsia="en-US" w:bidi="ar-SA"/>
      </w:rPr>
    </w:lvl>
    <w:lvl w:ilvl="4" w:tplc="C9FA2898">
      <w:numFmt w:val="bullet"/>
      <w:lvlText w:val="•"/>
      <w:lvlJc w:val="left"/>
      <w:pPr>
        <w:ind w:left="1001" w:hanging="180"/>
      </w:pPr>
      <w:rPr>
        <w:rFonts w:hint="default"/>
        <w:lang w:val="cs-CZ" w:eastAsia="en-US" w:bidi="ar-SA"/>
      </w:rPr>
    </w:lvl>
    <w:lvl w:ilvl="5" w:tplc="A364BB52">
      <w:numFmt w:val="bullet"/>
      <w:lvlText w:val="•"/>
      <w:lvlJc w:val="left"/>
      <w:pPr>
        <w:ind w:left="1181" w:hanging="180"/>
      </w:pPr>
      <w:rPr>
        <w:rFonts w:hint="default"/>
        <w:lang w:val="cs-CZ" w:eastAsia="en-US" w:bidi="ar-SA"/>
      </w:rPr>
    </w:lvl>
    <w:lvl w:ilvl="6" w:tplc="BEA45102">
      <w:numFmt w:val="bullet"/>
      <w:lvlText w:val="•"/>
      <w:lvlJc w:val="left"/>
      <w:pPr>
        <w:ind w:left="1361" w:hanging="180"/>
      </w:pPr>
      <w:rPr>
        <w:rFonts w:hint="default"/>
        <w:lang w:val="cs-CZ" w:eastAsia="en-US" w:bidi="ar-SA"/>
      </w:rPr>
    </w:lvl>
    <w:lvl w:ilvl="7" w:tplc="459E458C">
      <w:numFmt w:val="bullet"/>
      <w:lvlText w:val="•"/>
      <w:lvlJc w:val="left"/>
      <w:pPr>
        <w:ind w:left="1542" w:hanging="180"/>
      </w:pPr>
      <w:rPr>
        <w:rFonts w:hint="default"/>
        <w:lang w:val="cs-CZ" w:eastAsia="en-US" w:bidi="ar-SA"/>
      </w:rPr>
    </w:lvl>
    <w:lvl w:ilvl="8" w:tplc="7C44C554">
      <w:numFmt w:val="bullet"/>
      <w:lvlText w:val="•"/>
      <w:lvlJc w:val="left"/>
      <w:pPr>
        <w:ind w:left="1722" w:hanging="180"/>
      </w:pPr>
      <w:rPr>
        <w:rFonts w:hint="default"/>
        <w:lang w:val="cs-CZ" w:eastAsia="en-US" w:bidi="ar-SA"/>
      </w:rPr>
    </w:lvl>
  </w:abstractNum>
  <w:abstractNum w:abstractNumId="17" w15:restartNumberingAfterBreak="0">
    <w:nsid w:val="1A195AF2"/>
    <w:multiLevelType w:val="hybridMultilevel"/>
    <w:tmpl w:val="7890BDAE"/>
    <w:lvl w:ilvl="0" w:tplc="487067DA">
      <w:numFmt w:val="bullet"/>
      <w:lvlText w:val="&gt;"/>
      <w:lvlJc w:val="left"/>
      <w:pPr>
        <w:ind w:left="107" w:hanging="207"/>
      </w:pPr>
      <w:rPr>
        <w:rFonts w:ascii="Times New Roman" w:eastAsia="Times New Roman" w:hAnsi="Times New Roman" w:cs="Times New Roman" w:hint="default"/>
        <w:b w:val="0"/>
        <w:bCs w:val="0"/>
        <w:i w:val="0"/>
        <w:iCs w:val="0"/>
        <w:spacing w:val="0"/>
        <w:w w:val="100"/>
        <w:sz w:val="22"/>
        <w:szCs w:val="22"/>
        <w:lang w:val="cs-CZ" w:eastAsia="en-US" w:bidi="ar-SA"/>
      </w:rPr>
    </w:lvl>
    <w:lvl w:ilvl="1" w:tplc="7E4CCB08">
      <w:numFmt w:val="bullet"/>
      <w:lvlText w:val="•"/>
      <w:lvlJc w:val="left"/>
      <w:pPr>
        <w:ind w:left="268" w:hanging="207"/>
      </w:pPr>
      <w:rPr>
        <w:rFonts w:hint="default"/>
        <w:lang w:val="cs-CZ" w:eastAsia="en-US" w:bidi="ar-SA"/>
      </w:rPr>
    </w:lvl>
    <w:lvl w:ilvl="2" w:tplc="97841AC8">
      <w:numFmt w:val="bullet"/>
      <w:lvlText w:val="•"/>
      <w:lvlJc w:val="left"/>
      <w:pPr>
        <w:ind w:left="437" w:hanging="207"/>
      </w:pPr>
      <w:rPr>
        <w:rFonts w:hint="default"/>
        <w:lang w:val="cs-CZ" w:eastAsia="en-US" w:bidi="ar-SA"/>
      </w:rPr>
    </w:lvl>
    <w:lvl w:ilvl="3" w:tplc="BDC27110">
      <w:numFmt w:val="bullet"/>
      <w:lvlText w:val="•"/>
      <w:lvlJc w:val="left"/>
      <w:pPr>
        <w:ind w:left="605" w:hanging="207"/>
      </w:pPr>
      <w:rPr>
        <w:rFonts w:hint="default"/>
        <w:lang w:val="cs-CZ" w:eastAsia="en-US" w:bidi="ar-SA"/>
      </w:rPr>
    </w:lvl>
    <w:lvl w:ilvl="4" w:tplc="F3BC13E4">
      <w:numFmt w:val="bullet"/>
      <w:lvlText w:val="•"/>
      <w:lvlJc w:val="left"/>
      <w:pPr>
        <w:ind w:left="774" w:hanging="207"/>
      </w:pPr>
      <w:rPr>
        <w:rFonts w:hint="default"/>
        <w:lang w:val="cs-CZ" w:eastAsia="en-US" w:bidi="ar-SA"/>
      </w:rPr>
    </w:lvl>
    <w:lvl w:ilvl="5" w:tplc="59F6C1DC">
      <w:numFmt w:val="bullet"/>
      <w:lvlText w:val="•"/>
      <w:lvlJc w:val="left"/>
      <w:pPr>
        <w:ind w:left="942" w:hanging="207"/>
      </w:pPr>
      <w:rPr>
        <w:rFonts w:hint="default"/>
        <w:lang w:val="cs-CZ" w:eastAsia="en-US" w:bidi="ar-SA"/>
      </w:rPr>
    </w:lvl>
    <w:lvl w:ilvl="6" w:tplc="BE740230">
      <w:numFmt w:val="bullet"/>
      <w:lvlText w:val="•"/>
      <w:lvlJc w:val="left"/>
      <w:pPr>
        <w:ind w:left="1111" w:hanging="207"/>
      </w:pPr>
      <w:rPr>
        <w:rFonts w:hint="default"/>
        <w:lang w:val="cs-CZ" w:eastAsia="en-US" w:bidi="ar-SA"/>
      </w:rPr>
    </w:lvl>
    <w:lvl w:ilvl="7" w:tplc="242050EA">
      <w:numFmt w:val="bullet"/>
      <w:lvlText w:val="•"/>
      <w:lvlJc w:val="left"/>
      <w:pPr>
        <w:ind w:left="1279" w:hanging="207"/>
      </w:pPr>
      <w:rPr>
        <w:rFonts w:hint="default"/>
        <w:lang w:val="cs-CZ" w:eastAsia="en-US" w:bidi="ar-SA"/>
      </w:rPr>
    </w:lvl>
    <w:lvl w:ilvl="8" w:tplc="A20C4C32">
      <w:numFmt w:val="bullet"/>
      <w:lvlText w:val="•"/>
      <w:lvlJc w:val="left"/>
      <w:pPr>
        <w:ind w:left="1448" w:hanging="207"/>
      </w:pPr>
      <w:rPr>
        <w:rFonts w:hint="default"/>
        <w:lang w:val="cs-CZ" w:eastAsia="en-US" w:bidi="ar-SA"/>
      </w:rPr>
    </w:lvl>
  </w:abstractNum>
  <w:abstractNum w:abstractNumId="18"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0"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1" w15:restartNumberingAfterBreak="0">
    <w:nsid w:val="1F106B14"/>
    <w:multiLevelType w:val="hybridMultilevel"/>
    <w:tmpl w:val="4E34801A"/>
    <w:lvl w:ilvl="0" w:tplc="F572B828">
      <w:numFmt w:val="bullet"/>
      <w:lvlText w:val=""/>
      <w:lvlJc w:val="left"/>
      <w:pPr>
        <w:ind w:left="804" w:hanging="567"/>
      </w:pPr>
      <w:rPr>
        <w:rFonts w:ascii="Symbol" w:eastAsia="Symbol" w:hAnsi="Symbol" w:cs="Symbol" w:hint="default"/>
        <w:b w:val="0"/>
        <w:bCs w:val="0"/>
        <w:i w:val="0"/>
        <w:iCs w:val="0"/>
        <w:spacing w:val="0"/>
        <w:w w:val="100"/>
        <w:sz w:val="22"/>
        <w:szCs w:val="22"/>
        <w:lang w:val="cs-CZ" w:eastAsia="en-US" w:bidi="ar-SA"/>
      </w:rPr>
    </w:lvl>
    <w:lvl w:ilvl="1" w:tplc="491AFF9E">
      <w:numFmt w:val="bullet"/>
      <w:lvlText w:val="•"/>
      <w:lvlJc w:val="left"/>
      <w:pPr>
        <w:ind w:left="1778" w:hanging="567"/>
      </w:pPr>
      <w:rPr>
        <w:rFonts w:hint="default"/>
        <w:lang w:val="cs-CZ" w:eastAsia="en-US" w:bidi="ar-SA"/>
      </w:rPr>
    </w:lvl>
    <w:lvl w:ilvl="2" w:tplc="FB22DB96">
      <w:numFmt w:val="bullet"/>
      <w:lvlText w:val="•"/>
      <w:lvlJc w:val="left"/>
      <w:pPr>
        <w:ind w:left="2757" w:hanging="567"/>
      </w:pPr>
      <w:rPr>
        <w:rFonts w:hint="default"/>
        <w:lang w:val="cs-CZ" w:eastAsia="en-US" w:bidi="ar-SA"/>
      </w:rPr>
    </w:lvl>
    <w:lvl w:ilvl="3" w:tplc="94DC25FE">
      <w:numFmt w:val="bullet"/>
      <w:lvlText w:val="•"/>
      <w:lvlJc w:val="left"/>
      <w:pPr>
        <w:ind w:left="3735" w:hanging="567"/>
      </w:pPr>
      <w:rPr>
        <w:rFonts w:hint="default"/>
        <w:lang w:val="cs-CZ" w:eastAsia="en-US" w:bidi="ar-SA"/>
      </w:rPr>
    </w:lvl>
    <w:lvl w:ilvl="4" w:tplc="FECEB5DA">
      <w:numFmt w:val="bullet"/>
      <w:lvlText w:val="•"/>
      <w:lvlJc w:val="left"/>
      <w:pPr>
        <w:ind w:left="4714" w:hanging="567"/>
      </w:pPr>
      <w:rPr>
        <w:rFonts w:hint="default"/>
        <w:lang w:val="cs-CZ" w:eastAsia="en-US" w:bidi="ar-SA"/>
      </w:rPr>
    </w:lvl>
    <w:lvl w:ilvl="5" w:tplc="E8ACD43A">
      <w:numFmt w:val="bullet"/>
      <w:lvlText w:val="•"/>
      <w:lvlJc w:val="left"/>
      <w:pPr>
        <w:ind w:left="5693" w:hanging="567"/>
      </w:pPr>
      <w:rPr>
        <w:rFonts w:hint="default"/>
        <w:lang w:val="cs-CZ" w:eastAsia="en-US" w:bidi="ar-SA"/>
      </w:rPr>
    </w:lvl>
    <w:lvl w:ilvl="6" w:tplc="53F2C5EA">
      <w:numFmt w:val="bullet"/>
      <w:lvlText w:val="•"/>
      <w:lvlJc w:val="left"/>
      <w:pPr>
        <w:ind w:left="6671" w:hanging="567"/>
      </w:pPr>
      <w:rPr>
        <w:rFonts w:hint="default"/>
        <w:lang w:val="cs-CZ" w:eastAsia="en-US" w:bidi="ar-SA"/>
      </w:rPr>
    </w:lvl>
    <w:lvl w:ilvl="7" w:tplc="21BA2278">
      <w:numFmt w:val="bullet"/>
      <w:lvlText w:val="•"/>
      <w:lvlJc w:val="left"/>
      <w:pPr>
        <w:ind w:left="7650" w:hanging="567"/>
      </w:pPr>
      <w:rPr>
        <w:rFonts w:hint="default"/>
        <w:lang w:val="cs-CZ" w:eastAsia="en-US" w:bidi="ar-SA"/>
      </w:rPr>
    </w:lvl>
    <w:lvl w:ilvl="8" w:tplc="AE7E86D6">
      <w:numFmt w:val="bullet"/>
      <w:lvlText w:val="•"/>
      <w:lvlJc w:val="left"/>
      <w:pPr>
        <w:ind w:left="8629" w:hanging="567"/>
      </w:pPr>
      <w:rPr>
        <w:rFonts w:hint="default"/>
        <w:lang w:val="cs-CZ" w:eastAsia="en-US" w:bidi="ar-SA"/>
      </w:rPr>
    </w:lvl>
  </w:abstractNum>
  <w:abstractNum w:abstractNumId="22"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3"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24" w15:restartNumberingAfterBreak="0">
    <w:nsid w:val="22CB73FE"/>
    <w:multiLevelType w:val="hybridMultilevel"/>
    <w:tmpl w:val="6CF2F994"/>
    <w:lvl w:ilvl="0" w:tplc="42A8761C">
      <w:start w:val="1"/>
      <w:numFmt w:val="upperLetter"/>
      <w:lvlText w:val="%1."/>
      <w:lvlJc w:val="left"/>
      <w:pPr>
        <w:ind w:left="2523" w:hanging="567"/>
      </w:pPr>
      <w:rPr>
        <w:rFonts w:ascii="Times New Roman" w:eastAsia="Times New Roman" w:hAnsi="Times New Roman" w:cs="Times New Roman" w:hint="default"/>
        <w:b/>
        <w:bCs/>
        <w:i w:val="0"/>
        <w:iCs w:val="0"/>
        <w:spacing w:val="-2"/>
        <w:w w:val="100"/>
        <w:sz w:val="22"/>
        <w:szCs w:val="22"/>
        <w:lang w:val="cs-CZ" w:eastAsia="en-US" w:bidi="ar-SA"/>
      </w:rPr>
    </w:lvl>
    <w:lvl w:ilvl="1" w:tplc="6AA23B64">
      <w:numFmt w:val="bullet"/>
      <w:lvlText w:val="•"/>
      <w:lvlJc w:val="left"/>
      <w:pPr>
        <w:ind w:left="3326" w:hanging="567"/>
      </w:pPr>
      <w:rPr>
        <w:rFonts w:hint="default"/>
        <w:lang w:val="cs-CZ" w:eastAsia="en-US" w:bidi="ar-SA"/>
      </w:rPr>
    </w:lvl>
    <w:lvl w:ilvl="2" w:tplc="F5820C36">
      <w:numFmt w:val="bullet"/>
      <w:lvlText w:val="•"/>
      <w:lvlJc w:val="left"/>
      <w:pPr>
        <w:ind w:left="4133" w:hanging="567"/>
      </w:pPr>
      <w:rPr>
        <w:rFonts w:hint="default"/>
        <w:lang w:val="cs-CZ" w:eastAsia="en-US" w:bidi="ar-SA"/>
      </w:rPr>
    </w:lvl>
    <w:lvl w:ilvl="3" w:tplc="E76A5BC4">
      <w:numFmt w:val="bullet"/>
      <w:lvlText w:val="•"/>
      <w:lvlJc w:val="left"/>
      <w:pPr>
        <w:ind w:left="4939" w:hanging="567"/>
      </w:pPr>
      <w:rPr>
        <w:rFonts w:hint="default"/>
        <w:lang w:val="cs-CZ" w:eastAsia="en-US" w:bidi="ar-SA"/>
      </w:rPr>
    </w:lvl>
    <w:lvl w:ilvl="4" w:tplc="C66A6D66">
      <w:numFmt w:val="bullet"/>
      <w:lvlText w:val="•"/>
      <w:lvlJc w:val="left"/>
      <w:pPr>
        <w:ind w:left="5746" w:hanging="567"/>
      </w:pPr>
      <w:rPr>
        <w:rFonts w:hint="default"/>
        <w:lang w:val="cs-CZ" w:eastAsia="en-US" w:bidi="ar-SA"/>
      </w:rPr>
    </w:lvl>
    <w:lvl w:ilvl="5" w:tplc="6CEC15B2">
      <w:numFmt w:val="bullet"/>
      <w:lvlText w:val="•"/>
      <w:lvlJc w:val="left"/>
      <w:pPr>
        <w:ind w:left="6553" w:hanging="567"/>
      </w:pPr>
      <w:rPr>
        <w:rFonts w:hint="default"/>
        <w:lang w:val="cs-CZ" w:eastAsia="en-US" w:bidi="ar-SA"/>
      </w:rPr>
    </w:lvl>
    <w:lvl w:ilvl="6" w:tplc="9656F4EC">
      <w:numFmt w:val="bullet"/>
      <w:lvlText w:val="•"/>
      <w:lvlJc w:val="left"/>
      <w:pPr>
        <w:ind w:left="7359" w:hanging="567"/>
      </w:pPr>
      <w:rPr>
        <w:rFonts w:hint="default"/>
        <w:lang w:val="cs-CZ" w:eastAsia="en-US" w:bidi="ar-SA"/>
      </w:rPr>
    </w:lvl>
    <w:lvl w:ilvl="7" w:tplc="C3367B74">
      <w:numFmt w:val="bullet"/>
      <w:lvlText w:val="•"/>
      <w:lvlJc w:val="left"/>
      <w:pPr>
        <w:ind w:left="8166" w:hanging="567"/>
      </w:pPr>
      <w:rPr>
        <w:rFonts w:hint="default"/>
        <w:lang w:val="cs-CZ" w:eastAsia="en-US" w:bidi="ar-SA"/>
      </w:rPr>
    </w:lvl>
    <w:lvl w:ilvl="8" w:tplc="7988C4A0">
      <w:numFmt w:val="bullet"/>
      <w:lvlText w:val="•"/>
      <w:lvlJc w:val="left"/>
      <w:pPr>
        <w:ind w:left="8973" w:hanging="567"/>
      </w:pPr>
      <w:rPr>
        <w:rFonts w:hint="default"/>
        <w:lang w:val="cs-CZ" w:eastAsia="en-US" w:bidi="ar-SA"/>
      </w:rPr>
    </w:lvl>
  </w:abstractNum>
  <w:abstractNum w:abstractNumId="25"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26" w15:restartNumberingAfterBreak="0">
    <w:nsid w:val="27743C78"/>
    <w:multiLevelType w:val="hybridMultilevel"/>
    <w:tmpl w:val="F1A297C4"/>
    <w:lvl w:ilvl="0" w:tplc="A3F43BD8">
      <w:numFmt w:val="bullet"/>
      <w:lvlText w:val=""/>
      <w:lvlJc w:val="left"/>
      <w:pPr>
        <w:ind w:left="804" w:hanging="567"/>
      </w:pPr>
      <w:rPr>
        <w:rFonts w:ascii="Symbol" w:eastAsia="Symbol" w:hAnsi="Symbol" w:cs="Symbol" w:hint="default"/>
        <w:b w:val="0"/>
        <w:bCs w:val="0"/>
        <w:i w:val="0"/>
        <w:iCs w:val="0"/>
        <w:spacing w:val="0"/>
        <w:w w:val="100"/>
        <w:sz w:val="22"/>
        <w:szCs w:val="22"/>
        <w:lang w:val="cs-CZ" w:eastAsia="en-US" w:bidi="ar-SA"/>
      </w:rPr>
    </w:lvl>
    <w:lvl w:ilvl="1" w:tplc="5C9E8CB6">
      <w:numFmt w:val="bullet"/>
      <w:lvlText w:val="•"/>
      <w:lvlJc w:val="left"/>
      <w:pPr>
        <w:ind w:left="1778" w:hanging="567"/>
      </w:pPr>
      <w:rPr>
        <w:rFonts w:hint="default"/>
        <w:lang w:val="cs-CZ" w:eastAsia="en-US" w:bidi="ar-SA"/>
      </w:rPr>
    </w:lvl>
    <w:lvl w:ilvl="2" w:tplc="8592CB6E">
      <w:numFmt w:val="bullet"/>
      <w:lvlText w:val="•"/>
      <w:lvlJc w:val="left"/>
      <w:pPr>
        <w:ind w:left="2757" w:hanging="567"/>
      </w:pPr>
      <w:rPr>
        <w:rFonts w:hint="default"/>
        <w:lang w:val="cs-CZ" w:eastAsia="en-US" w:bidi="ar-SA"/>
      </w:rPr>
    </w:lvl>
    <w:lvl w:ilvl="3" w:tplc="BBF89292">
      <w:numFmt w:val="bullet"/>
      <w:lvlText w:val="•"/>
      <w:lvlJc w:val="left"/>
      <w:pPr>
        <w:ind w:left="3735" w:hanging="567"/>
      </w:pPr>
      <w:rPr>
        <w:rFonts w:hint="default"/>
        <w:lang w:val="cs-CZ" w:eastAsia="en-US" w:bidi="ar-SA"/>
      </w:rPr>
    </w:lvl>
    <w:lvl w:ilvl="4" w:tplc="6E2AD8E6">
      <w:numFmt w:val="bullet"/>
      <w:lvlText w:val="•"/>
      <w:lvlJc w:val="left"/>
      <w:pPr>
        <w:ind w:left="4714" w:hanging="567"/>
      </w:pPr>
      <w:rPr>
        <w:rFonts w:hint="default"/>
        <w:lang w:val="cs-CZ" w:eastAsia="en-US" w:bidi="ar-SA"/>
      </w:rPr>
    </w:lvl>
    <w:lvl w:ilvl="5" w:tplc="8BBE98BE">
      <w:numFmt w:val="bullet"/>
      <w:lvlText w:val="•"/>
      <w:lvlJc w:val="left"/>
      <w:pPr>
        <w:ind w:left="5693" w:hanging="567"/>
      </w:pPr>
      <w:rPr>
        <w:rFonts w:hint="default"/>
        <w:lang w:val="cs-CZ" w:eastAsia="en-US" w:bidi="ar-SA"/>
      </w:rPr>
    </w:lvl>
    <w:lvl w:ilvl="6" w:tplc="2AF07D0A">
      <w:numFmt w:val="bullet"/>
      <w:lvlText w:val="•"/>
      <w:lvlJc w:val="left"/>
      <w:pPr>
        <w:ind w:left="6671" w:hanging="567"/>
      </w:pPr>
      <w:rPr>
        <w:rFonts w:hint="default"/>
        <w:lang w:val="cs-CZ" w:eastAsia="en-US" w:bidi="ar-SA"/>
      </w:rPr>
    </w:lvl>
    <w:lvl w:ilvl="7" w:tplc="6E74B9CA">
      <w:numFmt w:val="bullet"/>
      <w:lvlText w:val="•"/>
      <w:lvlJc w:val="left"/>
      <w:pPr>
        <w:ind w:left="7650" w:hanging="567"/>
      </w:pPr>
      <w:rPr>
        <w:rFonts w:hint="default"/>
        <w:lang w:val="cs-CZ" w:eastAsia="en-US" w:bidi="ar-SA"/>
      </w:rPr>
    </w:lvl>
    <w:lvl w:ilvl="8" w:tplc="330EE7A6">
      <w:numFmt w:val="bullet"/>
      <w:lvlText w:val="•"/>
      <w:lvlJc w:val="left"/>
      <w:pPr>
        <w:ind w:left="8629" w:hanging="567"/>
      </w:pPr>
      <w:rPr>
        <w:rFonts w:hint="default"/>
        <w:lang w:val="cs-CZ" w:eastAsia="en-US" w:bidi="ar-SA"/>
      </w:rPr>
    </w:lvl>
  </w:abstractNum>
  <w:abstractNum w:abstractNumId="27"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28"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29" w15:restartNumberingAfterBreak="0">
    <w:nsid w:val="2A013073"/>
    <w:multiLevelType w:val="hybridMultilevel"/>
    <w:tmpl w:val="F70AF660"/>
    <w:lvl w:ilvl="0" w:tplc="7F94CD00">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35EAB3DA">
      <w:numFmt w:val="bullet"/>
      <w:lvlText w:val="•"/>
      <w:lvlJc w:val="left"/>
      <w:pPr>
        <w:ind w:left="442" w:hanging="180"/>
      </w:pPr>
      <w:rPr>
        <w:rFonts w:hint="default"/>
        <w:lang w:val="cs-CZ" w:eastAsia="en-US" w:bidi="ar-SA"/>
      </w:rPr>
    </w:lvl>
    <w:lvl w:ilvl="2" w:tplc="20327B34">
      <w:numFmt w:val="bullet"/>
      <w:lvlText w:val="•"/>
      <w:lvlJc w:val="left"/>
      <w:pPr>
        <w:ind w:left="605" w:hanging="180"/>
      </w:pPr>
      <w:rPr>
        <w:rFonts w:hint="default"/>
        <w:lang w:val="cs-CZ" w:eastAsia="en-US" w:bidi="ar-SA"/>
      </w:rPr>
    </w:lvl>
    <w:lvl w:ilvl="3" w:tplc="F260F6B8">
      <w:numFmt w:val="bullet"/>
      <w:lvlText w:val="•"/>
      <w:lvlJc w:val="left"/>
      <w:pPr>
        <w:ind w:left="767" w:hanging="180"/>
      </w:pPr>
      <w:rPr>
        <w:rFonts w:hint="default"/>
        <w:lang w:val="cs-CZ" w:eastAsia="en-US" w:bidi="ar-SA"/>
      </w:rPr>
    </w:lvl>
    <w:lvl w:ilvl="4" w:tplc="A1D6FCB0">
      <w:numFmt w:val="bullet"/>
      <w:lvlText w:val="•"/>
      <w:lvlJc w:val="left"/>
      <w:pPr>
        <w:ind w:left="930" w:hanging="180"/>
      </w:pPr>
      <w:rPr>
        <w:rFonts w:hint="default"/>
        <w:lang w:val="cs-CZ" w:eastAsia="en-US" w:bidi="ar-SA"/>
      </w:rPr>
    </w:lvl>
    <w:lvl w:ilvl="5" w:tplc="91503BDA">
      <w:numFmt w:val="bullet"/>
      <w:lvlText w:val="•"/>
      <w:lvlJc w:val="left"/>
      <w:pPr>
        <w:ind w:left="1092" w:hanging="180"/>
      </w:pPr>
      <w:rPr>
        <w:rFonts w:hint="default"/>
        <w:lang w:val="cs-CZ" w:eastAsia="en-US" w:bidi="ar-SA"/>
      </w:rPr>
    </w:lvl>
    <w:lvl w:ilvl="6" w:tplc="69321478">
      <w:numFmt w:val="bullet"/>
      <w:lvlText w:val="•"/>
      <w:lvlJc w:val="left"/>
      <w:pPr>
        <w:ind w:left="1255" w:hanging="180"/>
      </w:pPr>
      <w:rPr>
        <w:rFonts w:hint="default"/>
        <w:lang w:val="cs-CZ" w:eastAsia="en-US" w:bidi="ar-SA"/>
      </w:rPr>
    </w:lvl>
    <w:lvl w:ilvl="7" w:tplc="81E263FA">
      <w:numFmt w:val="bullet"/>
      <w:lvlText w:val="•"/>
      <w:lvlJc w:val="left"/>
      <w:pPr>
        <w:ind w:left="1417" w:hanging="180"/>
      </w:pPr>
      <w:rPr>
        <w:rFonts w:hint="default"/>
        <w:lang w:val="cs-CZ" w:eastAsia="en-US" w:bidi="ar-SA"/>
      </w:rPr>
    </w:lvl>
    <w:lvl w:ilvl="8" w:tplc="E5601A02">
      <w:numFmt w:val="bullet"/>
      <w:lvlText w:val="•"/>
      <w:lvlJc w:val="left"/>
      <w:pPr>
        <w:ind w:left="1580" w:hanging="180"/>
      </w:pPr>
      <w:rPr>
        <w:rFonts w:hint="default"/>
        <w:lang w:val="cs-CZ" w:eastAsia="en-US" w:bidi="ar-SA"/>
      </w:rPr>
    </w:lvl>
  </w:abstractNum>
  <w:abstractNum w:abstractNumId="30" w15:restartNumberingAfterBreak="0">
    <w:nsid w:val="2B95313C"/>
    <w:multiLevelType w:val="hybridMultilevel"/>
    <w:tmpl w:val="F6E076C0"/>
    <w:lvl w:ilvl="0" w:tplc="40242A68">
      <w:numFmt w:val="bullet"/>
      <w:lvlText w:val=""/>
      <w:lvlJc w:val="left"/>
      <w:pPr>
        <w:ind w:left="951" w:hanging="356"/>
      </w:pPr>
      <w:rPr>
        <w:rFonts w:ascii="Symbol" w:eastAsia="Symbol" w:hAnsi="Symbol" w:cs="Symbol" w:hint="default"/>
        <w:b w:val="0"/>
        <w:bCs w:val="0"/>
        <w:i w:val="0"/>
        <w:iCs w:val="0"/>
        <w:spacing w:val="0"/>
        <w:w w:val="100"/>
        <w:sz w:val="24"/>
        <w:szCs w:val="24"/>
        <w:lang w:val="cs-CZ" w:eastAsia="en-US" w:bidi="ar-SA"/>
      </w:rPr>
    </w:lvl>
    <w:lvl w:ilvl="1" w:tplc="641AA788">
      <w:numFmt w:val="bullet"/>
      <w:lvlText w:val="•"/>
      <w:lvlJc w:val="left"/>
      <w:pPr>
        <w:ind w:left="1922" w:hanging="356"/>
      </w:pPr>
      <w:rPr>
        <w:rFonts w:hint="default"/>
        <w:lang w:val="cs-CZ" w:eastAsia="en-US" w:bidi="ar-SA"/>
      </w:rPr>
    </w:lvl>
    <w:lvl w:ilvl="2" w:tplc="7D826188">
      <w:numFmt w:val="bullet"/>
      <w:lvlText w:val="•"/>
      <w:lvlJc w:val="left"/>
      <w:pPr>
        <w:ind w:left="2885" w:hanging="356"/>
      </w:pPr>
      <w:rPr>
        <w:rFonts w:hint="default"/>
        <w:lang w:val="cs-CZ" w:eastAsia="en-US" w:bidi="ar-SA"/>
      </w:rPr>
    </w:lvl>
    <w:lvl w:ilvl="3" w:tplc="FE4438F8">
      <w:numFmt w:val="bullet"/>
      <w:lvlText w:val="•"/>
      <w:lvlJc w:val="left"/>
      <w:pPr>
        <w:ind w:left="3847" w:hanging="356"/>
      </w:pPr>
      <w:rPr>
        <w:rFonts w:hint="default"/>
        <w:lang w:val="cs-CZ" w:eastAsia="en-US" w:bidi="ar-SA"/>
      </w:rPr>
    </w:lvl>
    <w:lvl w:ilvl="4" w:tplc="060C4F8A">
      <w:numFmt w:val="bullet"/>
      <w:lvlText w:val="•"/>
      <w:lvlJc w:val="left"/>
      <w:pPr>
        <w:ind w:left="4810" w:hanging="356"/>
      </w:pPr>
      <w:rPr>
        <w:rFonts w:hint="default"/>
        <w:lang w:val="cs-CZ" w:eastAsia="en-US" w:bidi="ar-SA"/>
      </w:rPr>
    </w:lvl>
    <w:lvl w:ilvl="5" w:tplc="DA00C630">
      <w:numFmt w:val="bullet"/>
      <w:lvlText w:val="•"/>
      <w:lvlJc w:val="left"/>
      <w:pPr>
        <w:ind w:left="5773" w:hanging="356"/>
      </w:pPr>
      <w:rPr>
        <w:rFonts w:hint="default"/>
        <w:lang w:val="cs-CZ" w:eastAsia="en-US" w:bidi="ar-SA"/>
      </w:rPr>
    </w:lvl>
    <w:lvl w:ilvl="6" w:tplc="C7163848">
      <w:numFmt w:val="bullet"/>
      <w:lvlText w:val="•"/>
      <w:lvlJc w:val="left"/>
      <w:pPr>
        <w:ind w:left="6735" w:hanging="356"/>
      </w:pPr>
      <w:rPr>
        <w:rFonts w:hint="default"/>
        <w:lang w:val="cs-CZ" w:eastAsia="en-US" w:bidi="ar-SA"/>
      </w:rPr>
    </w:lvl>
    <w:lvl w:ilvl="7" w:tplc="8530E45E">
      <w:numFmt w:val="bullet"/>
      <w:lvlText w:val="•"/>
      <w:lvlJc w:val="left"/>
      <w:pPr>
        <w:ind w:left="7698" w:hanging="356"/>
      </w:pPr>
      <w:rPr>
        <w:rFonts w:hint="default"/>
        <w:lang w:val="cs-CZ" w:eastAsia="en-US" w:bidi="ar-SA"/>
      </w:rPr>
    </w:lvl>
    <w:lvl w:ilvl="8" w:tplc="7A9AF216">
      <w:numFmt w:val="bullet"/>
      <w:lvlText w:val="•"/>
      <w:lvlJc w:val="left"/>
      <w:pPr>
        <w:ind w:left="8661" w:hanging="356"/>
      </w:pPr>
      <w:rPr>
        <w:rFonts w:hint="default"/>
        <w:lang w:val="cs-CZ" w:eastAsia="en-US" w:bidi="ar-SA"/>
      </w:rPr>
    </w:lvl>
  </w:abstractNum>
  <w:abstractNum w:abstractNumId="31" w15:restartNumberingAfterBreak="0">
    <w:nsid w:val="2C527F1A"/>
    <w:multiLevelType w:val="hybridMultilevel"/>
    <w:tmpl w:val="C3D0BA3E"/>
    <w:lvl w:ilvl="0" w:tplc="61EC0820">
      <w:numFmt w:val="bullet"/>
      <w:lvlText w:val="*"/>
      <w:lvlJc w:val="left"/>
      <w:pPr>
        <w:ind w:left="375" w:hanging="137"/>
      </w:pPr>
      <w:rPr>
        <w:rFonts w:ascii="Times New Roman" w:eastAsia="Times New Roman" w:hAnsi="Times New Roman" w:cs="Times New Roman" w:hint="default"/>
        <w:b w:val="0"/>
        <w:bCs w:val="0"/>
        <w:i/>
        <w:iCs/>
        <w:spacing w:val="0"/>
        <w:w w:val="100"/>
        <w:sz w:val="18"/>
        <w:szCs w:val="18"/>
        <w:lang w:val="cs-CZ" w:eastAsia="en-US" w:bidi="ar-SA"/>
      </w:rPr>
    </w:lvl>
    <w:lvl w:ilvl="1" w:tplc="07C67240">
      <w:numFmt w:val="bullet"/>
      <w:lvlText w:val="•"/>
      <w:lvlJc w:val="left"/>
      <w:pPr>
        <w:ind w:left="1400" w:hanging="137"/>
      </w:pPr>
      <w:rPr>
        <w:rFonts w:hint="default"/>
        <w:lang w:val="cs-CZ" w:eastAsia="en-US" w:bidi="ar-SA"/>
      </w:rPr>
    </w:lvl>
    <w:lvl w:ilvl="2" w:tplc="7FA67498">
      <w:numFmt w:val="bullet"/>
      <w:lvlText w:val="•"/>
      <w:lvlJc w:val="left"/>
      <w:pPr>
        <w:ind w:left="2421" w:hanging="137"/>
      </w:pPr>
      <w:rPr>
        <w:rFonts w:hint="default"/>
        <w:lang w:val="cs-CZ" w:eastAsia="en-US" w:bidi="ar-SA"/>
      </w:rPr>
    </w:lvl>
    <w:lvl w:ilvl="3" w:tplc="84B8F56C">
      <w:numFmt w:val="bullet"/>
      <w:lvlText w:val="•"/>
      <w:lvlJc w:val="left"/>
      <w:pPr>
        <w:ind w:left="3441" w:hanging="137"/>
      </w:pPr>
      <w:rPr>
        <w:rFonts w:hint="default"/>
        <w:lang w:val="cs-CZ" w:eastAsia="en-US" w:bidi="ar-SA"/>
      </w:rPr>
    </w:lvl>
    <w:lvl w:ilvl="4" w:tplc="E34A5082">
      <w:numFmt w:val="bullet"/>
      <w:lvlText w:val="•"/>
      <w:lvlJc w:val="left"/>
      <w:pPr>
        <w:ind w:left="4462" w:hanging="137"/>
      </w:pPr>
      <w:rPr>
        <w:rFonts w:hint="default"/>
        <w:lang w:val="cs-CZ" w:eastAsia="en-US" w:bidi="ar-SA"/>
      </w:rPr>
    </w:lvl>
    <w:lvl w:ilvl="5" w:tplc="FB70BA08">
      <w:numFmt w:val="bullet"/>
      <w:lvlText w:val="•"/>
      <w:lvlJc w:val="left"/>
      <w:pPr>
        <w:ind w:left="5483" w:hanging="137"/>
      </w:pPr>
      <w:rPr>
        <w:rFonts w:hint="default"/>
        <w:lang w:val="cs-CZ" w:eastAsia="en-US" w:bidi="ar-SA"/>
      </w:rPr>
    </w:lvl>
    <w:lvl w:ilvl="6" w:tplc="481829A2">
      <w:numFmt w:val="bullet"/>
      <w:lvlText w:val="•"/>
      <w:lvlJc w:val="left"/>
      <w:pPr>
        <w:ind w:left="6503" w:hanging="137"/>
      </w:pPr>
      <w:rPr>
        <w:rFonts w:hint="default"/>
        <w:lang w:val="cs-CZ" w:eastAsia="en-US" w:bidi="ar-SA"/>
      </w:rPr>
    </w:lvl>
    <w:lvl w:ilvl="7" w:tplc="B456F142">
      <w:numFmt w:val="bullet"/>
      <w:lvlText w:val="•"/>
      <w:lvlJc w:val="left"/>
      <w:pPr>
        <w:ind w:left="7524" w:hanging="137"/>
      </w:pPr>
      <w:rPr>
        <w:rFonts w:hint="default"/>
        <w:lang w:val="cs-CZ" w:eastAsia="en-US" w:bidi="ar-SA"/>
      </w:rPr>
    </w:lvl>
    <w:lvl w:ilvl="8" w:tplc="FE1E6942">
      <w:numFmt w:val="bullet"/>
      <w:lvlText w:val="•"/>
      <w:lvlJc w:val="left"/>
      <w:pPr>
        <w:ind w:left="8545" w:hanging="137"/>
      </w:pPr>
      <w:rPr>
        <w:rFonts w:hint="default"/>
        <w:lang w:val="cs-CZ" w:eastAsia="en-US" w:bidi="ar-SA"/>
      </w:rPr>
    </w:lvl>
  </w:abstractNum>
  <w:abstractNum w:abstractNumId="32" w15:restartNumberingAfterBreak="0">
    <w:nsid w:val="2D7638E8"/>
    <w:multiLevelType w:val="hybridMultilevel"/>
    <w:tmpl w:val="BC3A9BEA"/>
    <w:lvl w:ilvl="0" w:tplc="D5665E58">
      <w:start w:val="1"/>
      <w:numFmt w:val="decimal"/>
      <w:lvlText w:val="%1."/>
      <w:lvlJc w:val="left"/>
      <w:pPr>
        <w:ind w:left="806" w:hanging="567"/>
      </w:pPr>
      <w:rPr>
        <w:rFonts w:ascii="Times New Roman" w:eastAsia="Times New Roman" w:hAnsi="Times New Roman" w:cs="Times New Roman" w:hint="default"/>
        <w:b w:val="0"/>
        <w:bCs w:val="0"/>
        <w:i w:val="0"/>
        <w:iCs w:val="0"/>
        <w:spacing w:val="0"/>
        <w:w w:val="100"/>
        <w:sz w:val="22"/>
        <w:szCs w:val="22"/>
        <w:lang w:val="cs-CZ" w:eastAsia="en-US" w:bidi="ar-SA"/>
      </w:rPr>
    </w:lvl>
    <w:lvl w:ilvl="1" w:tplc="B15CA2A4">
      <w:numFmt w:val="bullet"/>
      <w:lvlText w:val="•"/>
      <w:lvlJc w:val="left"/>
      <w:pPr>
        <w:ind w:left="1778" w:hanging="567"/>
      </w:pPr>
      <w:rPr>
        <w:rFonts w:hint="default"/>
        <w:lang w:val="cs-CZ" w:eastAsia="en-US" w:bidi="ar-SA"/>
      </w:rPr>
    </w:lvl>
    <w:lvl w:ilvl="2" w:tplc="03923C48">
      <w:numFmt w:val="bullet"/>
      <w:lvlText w:val="•"/>
      <w:lvlJc w:val="left"/>
      <w:pPr>
        <w:ind w:left="2757" w:hanging="567"/>
      </w:pPr>
      <w:rPr>
        <w:rFonts w:hint="default"/>
        <w:lang w:val="cs-CZ" w:eastAsia="en-US" w:bidi="ar-SA"/>
      </w:rPr>
    </w:lvl>
    <w:lvl w:ilvl="3" w:tplc="13781F2C">
      <w:numFmt w:val="bullet"/>
      <w:lvlText w:val="•"/>
      <w:lvlJc w:val="left"/>
      <w:pPr>
        <w:ind w:left="3735" w:hanging="567"/>
      </w:pPr>
      <w:rPr>
        <w:rFonts w:hint="default"/>
        <w:lang w:val="cs-CZ" w:eastAsia="en-US" w:bidi="ar-SA"/>
      </w:rPr>
    </w:lvl>
    <w:lvl w:ilvl="4" w:tplc="2CAE768E">
      <w:numFmt w:val="bullet"/>
      <w:lvlText w:val="•"/>
      <w:lvlJc w:val="left"/>
      <w:pPr>
        <w:ind w:left="4714" w:hanging="567"/>
      </w:pPr>
      <w:rPr>
        <w:rFonts w:hint="default"/>
        <w:lang w:val="cs-CZ" w:eastAsia="en-US" w:bidi="ar-SA"/>
      </w:rPr>
    </w:lvl>
    <w:lvl w:ilvl="5" w:tplc="C8341A02">
      <w:numFmt w:val="bullet"/>
      <w:lvlText w:val="•"/>
      <w:lvlJc w:val="left"/>
      <w:pPr>
        <w:ind w:left="5693" w:hanging="567"/>
      </w:pPr>
      <w:rPr>
        <w:rFonts w:hint="default"/>
        <w:lang w:val="cs-CZ" w:eastAsia="en-US" w:bidi="ar-SA"/>
      </w:rPr>
    </w:lvl>
    <w:lvl w:ilvl="6" w:tplc="379CD3EC">
      <w:numFmt w:val="bullet"/>
      <w:lvlText w:val="•"/>
      <w:lvlJc w:val="left"/>
      <w:pPr>
        <w:ind w:left="6671" w:hanging="567"/>
      </w:pPr>
      <w:rPr>
        <w:rFonts w:hint="default"/>
        <w:lang w:val="cs-CZ" w:eastAsia="en-US" w:bidi="ar-SA"/>
      </w:rPr>
    </w:lvl>
    <w:lvl w:ilvl="7" w:tplc="8316517E">
      <w:numFmt w:val="bullet"/>
      <w:lvlText w:val="•"/>
      <w:lvlJc w:val="left"/>
      <w:pPr>
        <w:ind w:left="7650" w:hanging="567"/>
      </w:pPr>
      <w:rPr>
        <w:rFonts w:hint="default"/>
        <w:lang w:val="cs-CZ" w:eastAsia="en-US" w:bidi="ar-SA"/>
      </w:rPr>
    </w:lvl>
    <w:lvl w:ilvl="8" w:tplc="BBAE7EDE">
      <w:numFmt w:val="bullet"/>
      <w:lvlText w:val="•"/>
      <w:lvlJc w:val="left"/>
      <w:pPr>
        <w:ind w:left="8629" w:hanging="567"/>
      </w:pPr>
      <w:rPr>
        <w:rFonts w:hint="default"/>
        <w:lang w:val="cs-CZ" w:eastAsia="en-US" w:bidi="ar-SA"/>
      </w:rPr>
    </w:lvl>
  </w:abstractNum>
  <w:abstractNum w:abstractNumId="33"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4"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5" w15:restartNumberingAfterBreak="0">
    <w:nsid w:val="34653D49"/>
    <w:multiLevelType w:val="hybridMultilevel"/>
    <w:tmpl w:val="4E4AEB74"/>
    <w:lvl w:ilvl="0" w:tplc="4808DADE">
      <w:start w:val="1"/>
      <w:numFmt w:val="bullet"/>
      <w:lvlText w:val="•"/>
      <w:lvlJc w:val="left"/>
      <w:pPr>
        <w:ind w:left="911" w:hanging="400"/>
      </w:pPr>
      <w:rPr>
        <w:rFonts w:ascii="Times New Roman" w:eastAsia="Times New Roman" w:hAnsi="Times New Roman" w:hint="default"/>
        <w:strike w:val="0"/>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36"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7"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8" w15:restartNumberingAfterBreak="0">
    <w:nsid w:val="36594580"/>
    <w:multiLevelType w:val="hybridMultilevel"/>
    <w:tmpl w:val="FA8A151A"/>
    <w:lvl w:ilvl="0" w:tplc="0F9418C2">
      <w:start w:val="1"/>
      <w:numFmt w:val="decimal"/>
      <w:lvlText w:val="%1."/>
      <w:lvlJc w:val="left"/>
      <w:pPr>
        <w:ind w:left="806" w:hanging="567"/>
      </w:pPr>
      <w:rPr>
        <w:rFonts w:ascii="Times New Roman" w:eastAsia="Times New Roman" w:hAnsi="Times New Roman" w:cs="Times New Roman" w:hint="default"/>
        <w:b w:val="0"/>
        <w:bCs w:val="0"/>
        <w:i w:val="0"/>
        <w:iCs w:val="0"/>
        <w:spacing w:val="0"/>
        <w:w w:val="100"/>
        <w:sz w:val="22"/>
        <w:szCs w:val="22"/>
        <w:lang w:val="cs-CZ" w:eastAsia="en-US" w:bidi="ar-SA"/>
      </w:rPr>
    </w:lvl>
    <w:lvl w:ilvl="1" w:tplc="13F04E6C">
      <w:numFmt w:val="bullet"/>
      <w:lvlText w:val="•"/>
      <w:lvlJc w:val="left"/>
      <w:pPr>
        <w:ind w:left="1778" w:hanging="567"/>
      </w:pPr>
      <w:rPr>
        <w:rFonts w:hint="default"/>
        <w:lang w:val="cs-CZ" w:eastAsia="en-US" w:bidi="ar-SA"/>
      </w:rPr>
    </w:lvl>
    <w:lvl w:ilvl="2" w:tplc="0B062032">
      <w:numFmt w:val="bullet"/>
      <w:lvlText w:val="•"/>
      <w:lvlJc w:val="left"/>
      <w:pPr>
        <w:ind w:left="2757" w:hanging="567"/>
      </w:pPr>
      <w:rPr>
        <w:rFonts w:hint="default"/>
        <w:lang w:val="cs-CZ" w:eastAsia="en-US" w:bidi="ar-SA"/>
      </w:rPr>
    </w:lvl>
    <w:lvl w:ilvl="3" w:tplc="957ACEF8">
      <w:numFmt w:val="bullet"/>
      <w:lvlText w:val="•"/>
      <w:lvlJc w:val="left"/>
      <w:pPr>
        <w:ind w:left="3735" w:hanging="567"/>
      </w:pPr>
      <w:rPr>
        <w:rFonts w:hint="default"/>
        <w:lang w:val="cs-CZ" w:eastAsia="en-US" w:bidi="ar-SA"/>
      </w:rPr>
    </w:lvl>
    <w:lvl w:ilvl="4" w:tplc="7C089C14">
      <w:numFmt w:val="bullet"/>
      <w:lvlText w:val="•"/>
      <w:lvlJc w:val="left"/>
      <w:pPr>
        <w:ind w:left="4714" w:hanging="567"/>
      </w:pPr>
      <w:rPr>
        <w:rFonts w:hint="default"/>
        <w:lang w:val="cs-CZ" w:eastAsia="en-US" w:bidi="ar-SA"/>
      </w:rPr>
    </w:lvl>
    <w:lvl w:ilvl="5" w:tplc="32D20E50">
      <w:numFmt w:val="bullet"/>
      <w:lvlText w:val="•"/>
      <w:lvlJc w:val="left"/>
      <w:pPr>
        <w:ind w:left="5693" w:hanging="567"/>
      </w:pPr>
      <w:rPr>
        <w:rFonts w:hint="default"/>
        <w:lang w:val="cs-CZ" w:eastAsia="en-US" w:bidi="ar-SA"/>
      </w:rPr>
    </w:lvl>
    <w:lvl w:ilvl="6" w:tplc="8FF29932">
      <w:numFmt w:val="bullet"/>
      <w:lvlText w:val="•"/>
      <w:lvlJc w:val="left"/>
      <w:pPr>
        <w:ind w:left="6671" w:hanging="567"/>
      </w:pPr>
      <w:rPr>
        <w:rFonts w:hint="default"/>
        <w:lang w:val="cs-CZ" w:eastAsia="en-US" w:bidi="ar-SA"/>
      </w:rPr>
    </w:lvl>
    <w:lvl w:ilvl="7" w:tplc="776615F2">
      <w:numFmt w:val="bullet"/>
      <w:lvlText w:val="•"/>
      <w:lvlJc w:val="left"/>
      <w:pPr>
        <w:ind w:left="7650" w:hanging="567"/>
      </w:pPr>
      <w:rPr>
        <w:rFonts w:hint="default"/>
        <w:lang w:val="cs-CZ" w:eastAsia="en-US" w:bidi="ar-SA"/>
      </w:rPr>
    </w:lvl>
    <w:lvl w:ilvl="8" w:tplc="580E658C">
      <w:numFmt w:val="bullet"/>
      <w:lvlText w:val="•"/>
      <w:lvlJc w:val="left"/>
      <w:pPr>
        <w:ind w:left="8629" w:hanging="567"/>
      </w:pPr>
      <w:rPr>
        <w:rFonts w:hint="default"/>
        <w:lang w:val="cs-CZ" w:eastAsia="en-US" w:bidi="ar-SA"/>
      </w:rPr>
    </w:lvl>
  </w:abstractNum>
  <w:abstractNum w:abstractNumId="39" w15:restartNumberingAfterBreak="0">
    <w:nsid w:val="365F1D84"/>
    <w:multiLevelType w:val="hybridMultilevel"/>
    <w:tmpl w:val="FF8686BA"/>
    <w:lvl w:ilvl="0" w:tplc="33E6705A">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CA24769A">
      <w:numFmt w:val="bullet"/>
      <w:lvlText w:val="•"/>
      <w:lvlJc w:val="left"/>
      <w:pPr>
        <w:ind w:left="460" w:hanging="180"/>
      </w:pPr>
      <w:rPr>
        <w:rFonts w:hint="default"/>
        <w:lang w:val="cs-CZ" w:eastAsia="en-US" w:bidi="ar-SA"/>
      </w:rPr>
    </w:lvl>
    <w:lvl w:ilvl="2" w:tplc="8172534A">
      <w:numFmt w:val="bullet"/>
      <w:lvlText w:val="•"/>
      <w:lvlJc w:val="left"/>
      <w:pPr>
        <w:ind w:left="640" w:hanging="180"/>
      </w:pPr>
      <w:rPr>
        <w:rFonts w:hint="default"/>
        <w:lang w:val="cs-CZ" w:eastAsia="en-US" w:bidi="ar-SA"/>
      </w:rPr>
    </w:lvl>
    <w:lvl w:ilvl="3" w:tplc="A0F42BEE">
      <w:numFmt w:val="bullet"/>
      <w:lvlText w:val="•"/>
      <w:lvlJc w:val="left"/>
      <w:pPr>
        <w:ind w:left="820" w:hanging="180"/>
      </w:pPr>
      <w:rPr>
        <w:rFonts w:hint="default"/>
        <w:lang w:val="cs-CZ" w:eastAsia="en-US" w:bidi="ar-SA"/>
      </w:rPr>
    </w:lvl>
    <w:lvl w:ilvl="4" w:tplc="A42E0EAC">
      <w:numFmt w:val="bullet"/>
      <w:lvlText w:val="•"/>
      <w:lvlJc w:val="left"/>
      <w:pPr>
        <w:ind w:left="1001" w:hanging="180"/>
      </w:pPr>
      <w:rPr>
        <w:rFonts w:hint="default"/>
        <w:lang w:val="cs-CZ" w:eastAsia="en-US" w:bidi="ar-SA"/>
      </w:rPr>
    </w:lvl>
    <w:lvl w:ilvl="5" w:tplc="498AB8F2">
      <w:numFmt w:val="bullet"/>
      <w:lvlText w:val="•"/>
      <w:lvlJc w:val="left"/>
      <w:pPr>
        <w:ind w:left="1181" w:hanging="180"/>
      </w:pPr>
      <w:rPr>
        <w:rFonts w:hint="default"/>
        <w:lang w:val="cs-CZ" w:eastAsia="en-US" w:bidi="ar-SA"/>
      </w:rPr>
    </w:lvl>
    <w:lvl w:ilvl="6" w:tplc="987C556A">
      <w:numFmt w:val="bullet"/>
      <w:lvlText w:val="•"/>
      <w:lvlJc w:val="left"/>
      <w:pPr>
        <w:ind w:left="1361" w:hanging="180"/>
      </w:pPr>
      <w:rPr>
        <w:rFonts w:hint="default"/>
        <w:lang w:val="cs-CZ" w:eastAsia="en-US" w:bidi="ar-SA"/>
      </w:rPr>
    </w:lvl>
    <w:lvl w:ilvl="7" w:tplc="35CAEE9A">
      <w:numFmt w:val="bullet"/>
      <w:lvlText w:val="•"/>
      <w:lvlJc w:val="left"/>
      <w:pPr>
        <w:ind w:left="1542" w:hanging="180"/>
      </w:pPr>
      <w:rPr>
        <w:rFonts w:hint="default"/>
        <w:lang w:val="cs-CZ" w:eastAsia="en-US" w:bidi="ar-SA"/>
      </w:rPr>
    </w:lvl>
    <w:lvl w:ilvl="8" w:tplc="2AF2FB28">
      <w:numFmt w:val="bullet"/>
      <w:lvlText w:val="•"/>
      <w:lvlJc w:val="left"/>
      <w:pPr>
        <w:ind w:left="1722" w:hanging="180"/>
      </w:pPr>
      <w:rPr>
        <w:rFonts w:hint="default"/>
        <w:lang w:val="cs-CZ" w:eastAsia="en-US" w:bidi="ar-SA"/>
      </w:rPr>
    </w:lvl>
  </w:abstractNum>
  <w:abstractNum w:abstractNumId="40" w15:restartNumberingAfterBreak="0">
    <w:nsid w:val="380A1EC7"/>
    <w:multiLevelType w:val="hybridMultilevel"/>
    <w:tmpl w:val="B9F206D0"/>
    <w:lvl w:ilvl="0" w:tplc="C428D79A">
      <w:numFmt w:val="bullet"/>
      <w:lvlText w:val="&gt;"/>
      <w:lvlJc w:val="left"/>
      <w:pPr>
        <w:ind w:left="107" w:hanging="231"/>
      </w:pPr>
      <w:rPr>
        <w:rFonts w:ascii="Times New Roman" w:eastAsia="Times New Roman" w:hAnsi="Times New Roman" w:cs="Times New Roman" w:hint="default"/>
        <w:b w:val="0"/>
        <w:bCs w:val="0"/>
        <w:i w:val="0"/>
        <w:iCs w:val="0"/>
        <w:spacing w:val="0"/>
        <w:w w:val="100"/>
        <w:sz w:val="22"/>
        <w:szCs w:val="22"/>
        <w:lang w:val="cs-CZ" w:eastAsia="en-US" w:bidi="ar-SA"/>
      </w:rPr>
    </w:lvl>
    <w:lvl w:ilvl="1" w:tplc="DA56B992">
      <w:numFmt w:val="bullet"/>
      <w:lvlText w:val="•"/>
      <w:lvlJc w:val="left"/>
      <w:pPr>
        <w:ind w:left="268" w:hanging="231"/>
      </w:pPr>
      <w:rPr>
        <w:rFonts w:hint="default"/>
        <w:lang w:val="cs-CZ" w:eastAsia="en-US" w:bidi="ar-SA"/>
      </w:rPr>
    </w:lvl>
    <w:lvl w:ilvl="2" w:tplc="908001E2">
      <w:numFmt w:val="bullet"/>
      <w:lvlText w:val="•"/>
      <w:lvlJc w:val="left"/>
      <w:pPr>
        <w:ind w:left="437" w:hanging="231"/>
      </w:pPr>
      <w:rPr>
        <w:rFonts w:hint="default"/>
        <w:lang w:val="cs-CZ" w:eastAsia="en-US" w:bidi="ar-SA"/>
      </w:rPr>
    </w:lvl>
    <w:lvl w:ilvl="3" w:tplc="B76A0F54">
      <w:numFmt w:val="bullet"/>
      <w:lvlText w:val="•"/>
      <w:lvlJc w:val="left"/>
      <w:pPr>
        <w:ind w:left="605" w:hanging="231"/>
      </w:pPr>
      <w:rPr>
        <w:rFonts w:hint="default"/>
        <w:lang w:val="cs-CZ" w:eastAsia="en-US" w:bidi="ar-SA"/>
      </w:rPr>
    </w:lvl>
    <w:lvl w:ilvl="4" w:tplc="6A908278">
      <w:numFmt w:val="bullet"/>
      <w:lvlText w:val="•"/>
      <w:lvlJc w:val="left"/>
      <w:pPr>
        <w:ind w:left="774" w:hanging="231"/>
      </w:pPr>
      <w:rPr>
        <w:rFonts w:hint="default"/>
        <w:lang w:val="cs-CZ" w:eastAsia="en-US" w:bidi="ar-SA"/>
      </w:rPr>
    </w:lvl>
    <w:lvl w:ilvl="5" w:tplc="DCE49258">
      <w:numFmt w:val="bullet"/>
      <w:lvlText w:val="•"/>
      <w:lvlJc w:val="left"/>
      <w:pPr>
        <w:ind w:left="942" w:hanging="231"/>
      </w:pPr>
      <w:rPr>
        <w:rFonts w:hint="default"/>
        <w:lang w:val="cs-CZ" w:eastAsia="en-US" w:bidi="ar-SA"/>
      </w:rPr>
    </w:lvl>
    <w:lvl w:ilvl="6" w:tplc="A814BAC6">
      <w:numFmt w:val="bullet"/>
      <w:lvlText w:val="•"/>
      <w:lvlJc w:val="left"/>
      <w:pPr>
        <w:ind w:left="1111" w:hanging="231"/>
      </w:pPr>
      <w:rPr>
        <w:rFonts w:hint="default"/>
        <w:lang w:val="cs-CZ" w:eastAsia="en-US" w:bidi="ar-SA"/>
      </w:rPr>
    </w:lvl>
    <w:lvl w:ilvl="7" w:tplc="DDFEFCDE">
      <w:numFmt w:val="bullet"/>
      <w:lvlText w:val="•"/>
      <w:lvlJc w:val="left"/>
      <w:pPr>
        <w:ind w:left="1279" w:hanging="231"/>
      </w:pPr>
      <w:rPr>
        <w:rFonts w:hint="default"/>
        <w:lang w:val="cs-CZ" w:eastAsia="en-US" w:bidi="ar-SA"/>
      </w:rPr>
    </w:lvl>
    <w:lvl w:ilvl="8" w:tplc="77EC1170">
      <w:numFmt w:val="bullet"/>
      <w:lvlText w:val="•"/>
      <w:lvlJc w:val="left"/>
      <w:pPr>
        <w:ind w:left="1448" w:hanging="231"/>
      </w:pPr>
      <w:rPr>
        <w:rFonts w:hint="default"/>
        <w:lang w:val="cs-CZ" w:eastAsia="en-US" w:bidi="ar-SA"/>
      </w:rPr>
    </w:lvl>
  </w:abstractNum>
  <w:abstractNum w:abstractNumId="41"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2" w15:restartNumberingAfterBreak="0">
    <w:nsid w:val="39203BA7"/>
    <w:multiLevelType w:val="hybridMultilevel"/>
    <w:tmpl w:val="82DA7558"/>
    <w:lvl w:ilvl="0" w:tplc="0F78C200">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F9802690">
      <w:numFmt w:val="bullet"/>
      <w:lvlText w:val="•"/>
      <w:lvlJc w:val="left"/>
      <w:pPr>
        <w:ind w:left="965" w:hanging="180"/>
      </w:pPr>
      <w:rPr>
        <w:rFonts w:hint="default"/>
        <w:lang w:val="cs-CZ" w:eastAsia="en-US" w:bidi="ar-SA"/>
      </w:rPr>
    </w:lvl>
    <w:lvl w:ilvl="2" w:tplc="E7786D9E">
      <w:numFmt w:val="bullet"/>
      <w:lvlText w:val="•"/>
      <w:lvlJc w:val="left"/>
      <w:pPr>
        <w:ind w:left="1651" w:hanging="180"/>
      </w:pPr>
      <w:rPr>
        <w:rFonts w:hint="default"/>
        <w:lang w:val="cs-CZ" w:eastAsia="en-US" w:bidi="ar-SA"/>
      </w:rPr>
    </w:lvl>
    <w:lvl w:ilvl="3" w:tplc="C50E3FD4">
      <w:numFmt w:val="bullet"/>
      <w:lvlText w:val="•"/>
      <w:lvlJc w:val="left"/>
      <w:pPr>
        <w:ind w:left="2337" w:hanging="180"/>
      </w:pPr>
      <w:rPr>
        <w:rFonts w:hint="default"/>
        <w:lang w:val="cs-CZ" w:eastAsia="en-US" w:bidi="ar-SA"/>
      </w:rPr>
    </w:lvl>
    <w:lvl w:ilvl="4" w:tplc="35CAECE2">
      <w:numFmt w:val="bullet"/>
      <w:lvlText w:val="•"/>
      <w:lvlJc w:val="left"/>
      <w:pPr>
        <w:ind w:left="3022" w:hanging="180"/>
      </w:pPr>
      <w:rPr>
        <w:rFonts w:hint="default"/>
        <w:lang w:val="cs-CZ" w:eastAsia="en-US" w:bidi="ar-SA"/>
      </w:rPr>
    </w:lvl>
    <w:lvl w:ilvl="5" w:tplc="28C8D99A">
      <w:numFmt w:val="bullet"/>
      <w:lvlText w:val="•"/>
      <w:lvlJc w:val="left"/>
      <w:pPr>
        <w:ind w:left="3708" w:hanging="180"/>
      </w:pPr>
      <w:rPr>
        <w:rFonts w:hint="default"/>
        <w:lang w:val="cs-CZ" w:eastAsia="en-US" w:bidi="ar-SA"/>
      </w:rPr>
    </w:lvl>
    <w:lvl w:ilvl="6" w:tplc="6B54F516">
      <w:numFmt w:val="bullet"/>
      <w:lvlText w:val="•"/>
      <w:lvlJc w:val="left"/>
      <w:pPr>
        <w:ind w:left="4394" w:hanging="180"/>
      </w:pPr>
      <w:rPr>
        <w:rFonts w:hint="default"/>
        <w:lang w:val="cs-CZ" w:eastAsia="en-US" w:bidi="ar-SA"/>
      </w:rPr>
    </w:lvl>
    <w:lvl w:ilvl="7" w:tplc="CD4EBA38">
      <w:numFmt w:val="bullet"/>
      <w:lvlText w:val="•"/>
      <w:lvlJc w:val="left"/>
      <w:pPr>
        <w:ind w:left="5079" w:hanging="180"/>
      </w:pPr>
      <w:rPr>
        <w:rFonts w:hint="default"/>
        <w:lang w:val="cs-CZ" w:eastAsia="en-US" w:bidi="ar-SA"/>
      </w:rPr>
    </w:lvl>
    <w:lvl w:ilvl="8" w:tplc="9CF60D6C">
      <w:numFmt w:val="bullet"/>
      <w:lvlText w:val="•"/>
      <w:lvlJc w:val="left"/>
      <w:pPr>
        <w:ind w:left="5765" w:hanging="180"/>
      </w:pPr>
      <w:rPr>
        <w:rFonts w:hint="default"/>
        <w:lang w:val="cs-CZ" w:eastAsia="en-US" w:bidi="ar-SA"/>
      </w:rPr>
    </w:lvl>
  </w:abstractNum>
  <w:abstractNum w:abstractNumId="43"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4" w15:restartNumberingAfterBreak="0">
    <w:nsid w:val="3B975F38"/>
    <w:multiLevelType w:val="hybridMultilevel"/>
    <w:tmpl w:val="78469724"/>
    <w:lvl w:ilvl="0" w:tplc="DF9864B8">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866204E4">
      <w:numFmt w:val="bullet"/>
      <w:lvlText w:val="•"/>
      <w:lvlJc w:val="left"/>
      <w:pPr>
        <w:ind w:left="442" w:hanging="180"/>
      </w:pPr>
      <w:rPr>
        <w:rFonts w:hint="default"/>
        <w:lang w:val="cs-CZ" w:eastAsia="en-US" w:bidi="ar-SA"/>
      </w:rPr>
    </w:lvl>
    <w:lvl w:ilvl="2" w:tplc="FDE02AF4">
      <w:numFmt w:val="bullet"/>
      <w:lvlText w:val="•"/>
      <w:lvlJc w:val="left"/>
      <w:pPr>
        <w:ind w:left="605" w:hanging="180"/>
      </w:pPr>
      <w:rPr>
        <w:rFonts w:hint="default"/>
        <w:lang w:val="cs-CZ" w:eastAsia="en-US" w:bidi="ar-SA"/>
      </w:rPr>
    </w:lvl>
    <w:lvl w:ilvl="3" w:tplc="6234F234">
      <w:numFmt w:val="bullet"/>
      <w:lvlText w:val="•"/>
      <w:lvlJc w:val="left"/>
      <w:pPr>
        <w:ind w:left="767" w:hanging="180"/>
      </w:pPr>
      <w:rPr>
        <w:rFonts w:hint="default"/>
        <w:lang w:val="cs-CZ" w:eastAsia="en-US" w:bidi="ar-SA"/>
      </w:rPr>
    </w:lvl>
    <w:lvl w:ilvl="4" w:tplc="736EE324">
      <w:numFmt w:val="bullet"/>
      <w:lvlText w:val="•"/>
      <w:lvlJc w:val="left"/>
      <w:pPr>
        <w:ind w:left="930" w:hanging="180"/>
      </w:pPr>
      <w:rPr>
        <w:rFonts w:hint="default"/>
        <w:lang w:val="cs-CZ" w:eastAsia="en-US" w:bidi="ar-SA"/>
      </w:rPr>
    </w:lvl>
    <w:lvl w:ilvl="5" w:tplc="942E21DC">
      <w:numFmt w:val="bullet"/>
      <w:lvlText w:val="•"/>
      <w:lvlJc w:val="left"/>
      <w:pPr>
        <w:ind w:left="1092" w:hanging="180"/>
      </w:pPr>
      <w:rPr>
        <w:rFonts w:hint="default"/>
        <w:lang w:val="cs-CZ" w:eastAsia="en-US" w:bidi="ar-SA"/>
      </w:rPr>
    </w:lvl>
    <w:lvl w:ilvl="6" w:tplc="7168287E">
      <w:numFmt w:val="bullet"/>
      <w:lvlText w:val="•"/>
      <w:lvlJc w:val="left"/>
      <w:pPr>
        <w:ind w:left="1255" w:hanging="180"/>
      </w:pPr>
      <w:rPr>
        <w:rFonts w:hint="default"/>
        <w:lang w:val="cs-CZ" w:eastAsia="en-US" w:bidi="ar-SA"/>
      </w:rPr>
    </w:lvl>
    <w:lvl w:ilvl="7" w:tplc="C2CA5066">
      <w:numFmt w:val="bullet"/>
      <w:lvlText w:val="•"/>
      <w:lvlJc w:val="left"/>
      <w:pPr>
        <w:ind w:left="1417" w:hanging="180"/>
      </w:pPr>
      <w:rPr>
        <w:rFonts w:hint="default"/>
        <w:lang w:val="cs-CZ" w:eastAsia="en-US" w:bidi="ar-SA"/>
      </w:rPr>
    </w:lvl>
    <w:lvl w:ilvl="8" w:tplc="D988E20C">
      <w:numFmt w:val="bullet"/>
      <w:lvlText w:val="•"/>
      <w:lvlJc w:val="left"/>
      <w:pPr>
        <w:ind w:left="1580" w:hanging="180"/>
      </w:pPr>
      <w:rPr>
        <w:rFonts w:hint="default"/>
        <w:lang w:val="cs-CZ" w:eastAsia="en-US" w:bidi="ar-SA"/>
      </w:rPr>
    </w:lvl>
  </w:abstractNum>
  <w:abstractNum w:abstractNumId="45" w15:restartNumberingAfterBreak="0">
    <w:nsid w:val="3C6072FC"/>
    <w:multiLevelType w:val="hybridMultilevel"/>
    <w:tmpl w:val="20D02D6A"/>
    <w:lvl w:ilvl="0" w:tplc="B730406C">
      <w:numFmt w:val="bullet"/>
      <w:lvlText w:val=""/>
      <w:lvlJc w:val="left"/>
      <w:pPr>
        <w:ind w:left="805" w:hanging="567"/>
      </w:pPr>
      <w:rPr>
        <w:rFonts w:ascii="Symbol" w:eastAsia="Symbol" w:hAnsi="Symbol" w:cs="Symbol" w:hint="default"/>
        <w:spacing w:val="0"/>
        <w:w w:val="100"/>
        <w:lang w:val="cs-CZ" w:eastAsia="en-US" w:bidi="ar-SA"/>
      </w:rPr>
    </w:lvl>
    <w:lvl w:ilvl="1" w:tplc="FE70D09C">
      <w:numFmt w:val="bullet"/>
      <w:lvlText w:val=""/>
      <w:lvlJc w:val="left"/>
      <w:pPr>
        <w:ind w:left="951" w:hanging="351"/>
      </w:pPr>
      <w:rPr>
        <w:rFonts w:ascii="Symbol" w:eastAsia="Symbol" w:hAnsi="Symbol" w:cs="Symbol" w:hint="default"/>
        <w:b w:val="0"/>
        <w:bCs w:val="0"/>
        <w:i w:val="0"/>
        <w:iCs w:val="0"/>
        <w:spacing w:val="0"/>
        <w:w w:val="100"/>
        <w:sz w:val="24"/>
        <w:szCs w:val="24"/>
        <w:lang w:val="cs-CZ" w:eastAsia="en-US" w:bidi="ar-SA"/>
      </w:rPr>
    </w:lvl>
    <w:lvl w:ilvl="2" w:tplc="A2BC843A">
      <w:numFmt w:val="bullet"/>
      <w:lvlText w:val="•"/>
      <w:lvlJc w:val="left"/>
      <w:pPr>
        <w:ind w:left="2029" w:hanging="351"/>
      </w:pPr>
      <w:rPr>
        <w:rFonts w:hint="default"/>
        <w:lang w:val="cs-CZ" w:eastAsia="en-US" w:bidi="ar-SA"/>
      </w:rPr>
    </w:lvl>
    <w:lvl w:ilvl="3" w:tplc="44FCEB84">
      <w:numFmt w:val="bullet"/>
      <w:lvlText w:val="•"/>
      <w:lvlJc w:val="left"/>
      <w:pPr>
        <w:ind w:left="3099" w:hanging="351"/>
      </w:pPr>
      <w:rPr>
        <w:rFonts w:hint="default"/>
        <w:lang w:val="cs-CZ" w:eastAsia="en-US" w:bidi="ar-SA"/>
      </w:rPr>
    </w:lvl>
    <w:lvl w:ilvl="4" w:tplc="EA3EEE64">
      <w:numFmt w:val="bullet"/>
      <w:lvlText w:val="•"/>
      <w:lvlJc w:val="left"/>
      <w:pPr>
        <w:ind w:left="4168" w:hanging="351"/>
      </w:pPr>
      <w:rPr>
        <w:rFonts w:hint="default"/>
        <w:lang w:val="cs-CZ" w:eastAsia="en-US" w:bidi="ar-SA"/>
      </w:rPr>
    </w:lvl>
    <w:lvl w:ilvl="5" w:tplc="08702600">
      <w:numFmt w:val="bullet"/>
      <w:lvlText w:val="•"/>
      <w:lvlJc w:val="left"/>
      <w:pPr>
        <w:ind w:left="5238" w:hanging="351"/>
      </w:pPr>
      <w:rPr>
        <w:rFonts w:hint="default"/>
        <w:lang w:val="cs-CZ" w:eastAsia="en-US" w:bidi="ar-SA"/>
      </w:rPr>
    </w:lvl>
    <w:lvl w:ilvl="6" w:tplc="38A0E0B0">
      <w:numFmt w:val="bullet"/>
      <w:lvlText w:val="•"/>
      <w:lvlJc w:val="left"/>
      <w:pPr>
        <w:ind w:left="6308" w:hanging="351"/>
      </w:pPr>
      <w:rPr>
        <w:rFonts w:hint="default"/>
        <w:lang w:val="cs-CZ" w:eastAsia="en-US" w:bidi="ar-SA"/>
      </w:rPr>
    </w:lvl>
    <w:lvl w:ilvl="7" w:tplc="4CD4CE00">
      <w:numFmt w:val="bullet"/>
      <w:lvlText w:val="•"/>
      <w:lvlJc w:val="left"/>
      <w:pPr>
        <w:ind w:left="7377" w:hanging="351"/>
      </w:pPr>
      <w:rPr>
        <w:rFonts w:hint="default"/>
        <w:lang w:val="cs-CZ" w:eastAsia="en-US" w:bidi="ar-SA"/>
      </w:rPr>
    </w:lvl>
    <w:lvl w:ilvl="8" w:tplc="792C1308">
      <w:numFmt w:val="bullet"/>
      <w:lvlText w:val="•"/>
      <w:lvlJc w:val="left"/>
      <w:pPr>
        <w:ind w:left="8447" w:hanging="351"/>
      </w:pPr>
      <w:rPr>
        <w:rFonts w:hint="default"/>
        <w:lang w:val="cs-CZ" w:eastAsia="en-US" w:bidi="ar-SA"/>
      </w:rPr>
    </w:lvl>
  </w:abstractNum>
  <w:abstractNum w:abstractNumId="46" w15:restartNumberingAfterBreak="0">
    <w:nsid w:val="3CB6502E"/>
    <w:multiLevelType w:val="hybridMultilevel"/>
    <w:tmpl w:val="74544F4A"/>
    <w:lvl w:ilvl="0" w:tplc="2A7C2D68">
      <w:numFmt w:val="bullet"/>
      <w:lvlText w:val=""/>
      <w:lvlJc w:val="left"/>
      <w:pPr>
        <w:ind w:left="833" w:hanging="567"/>
      </w:pPr>
      <w:rPr>
        <w:rFonts w:ascii="Symbol" w:eastAsia="Symbol" w:hAnsi="Symbol" w:cs="Symbol" w:hint="default"/>
        <w:b w:val="0"/>
        <w:bCs w:val="0"/>
        <w:i w:val="0"/>
        <w:iCs w:val="0"/>
        <w:spacing w:val="0"/>
        <w:w w:val="100"/>
        <w:sz w:val="22"/>
        <w:szCs w:val="22"/>
        <w:lang w:val="cs-CZ" w:eastAsia="en-US" w:bidi="ar-SA"/>
      </w:rPr>
    </w:lvl>
    <w:lvl w:ilvl="1" w:tplc="6F7ED82C">
      <w:numFmt w:val="bullet"/>
      <w:lvlText w:val=""/>
      <w:lvlJc w:val="left"/>
      <w:pPr>
        <w:ind w:left="808" w:hanging="207"/>
      </w:pPr>
      <w:rPr>
        <w:rFonts w:ascii="Symbol" w:eastAsia="Symbol" w:hAnsi="Symbol" w:cs="Symbol" w:hint="default"/>
        <w:b w:val="0"/>
        <w:bCs w:val="0"/>
        <w:i w:val="0"/>
        <w:iCs w:val="0"/>
        <w:spacing w:val="0"/>
        <w:w w:val="100"/>
        <w:sz w:val="22"/>
        <w:szCs w:val="22"/>
        <w:lang w:val="cs-CZ" w:eastAsia="en-US" w:bidi="ar-SA"/>
      </w:rPr>
    </w:lvl>
    <w:lvl w:ilvl="2" w:tplc="9E38402C">
      <w:numFmt w:val="bullet"/>
      <w:lvlText w:val="•"/>
      <w:lvlJc w:val="left"/>
      <w:pPr>
        <w:ind w:left="1922" w:hanging="207"/>
      </w:pPr>
      <w:rPr>
        <w:rFonts w:hint="default"/>
        <w:lang w:val="cs-CZ" w:eastAsia="en-US" w:bidi="ar-SA"/>
      </w:rPr>
    </w:lvl>
    <w:lvl w:ilvl="3" w:tplc="6C2A0E1E">
      <w:numFmt w:val="bullet"/>
      <w:lvlText w:val="•"/>
      <w:lvlJc w:val="left"/>
      <w:pPr>
        <w:ind w:left="3005" w:hanging="207"/>
      </w:pPr>
      <w:rPr>
        <w:rFonts w:hint="default"/>
        <w:lang w:val="cs-CZ" w:eastAsia="en-US" w:bidi="ar-SA"/>
      </w:rPr>
    </w:lvl>
    <w:lvl w:ilvl="4" w:tplc="F03E1CE8">
      <w:numFmt w:val="bullet"/>
      <w:lvlText w:val="•"/>
      <w:lvlJc w:val="left"/>
      <w:pPr>
        <w:ind w:left="4088" w:hanging="207"/>
      </w:pPr>
      <w:rPr>
        <w:rFonts w:hint="default"/>
        <w:lang w:val="cs-CZ" w:eastAsia="en-US" w:bidi="ar-SA"/>
      </w:rPr>
    </w:lvl>
    <w:lvl w:ilvl="5" w:tplc="38349F58">
      <w:numFmt w:val="bullet"/>
      <w:lvlText w:val="•"/>
      <w:lvlJc w:val="left"/>
      <w:pPr>
        <w:ind w:left="5171" w:hanging="207"/>
      </w:pPr>
      <w:rPr>
        <w:rFonts w:hint="default"/>
        <w:lang w:val="cs-CZ" w:eastAsia="en-US" w:bidi="ar-SA"/>
      </w:rPr>
    </w:lvl>
    <w:lvl w:ilvl="6" w:tplc="9ED03AD6">
      <w:numFmt w:val="bullet"/>
      <w:lvlText w:val="•"/>
      <w:lvlJc w:val="left"/>
      <w:pPr>
        <w:ind w:left="6254" w:hanging="207"/>
      </w:pPr>
      <w:rPr>
        <w:rFonts w:hint="default"/>
        <w:lang w:val="cs-CZ" w:eastAsia="en-US" w:bidi="ar-SA"/>
      </w:rPr>
    </w:lvl>
    <w:lvl w:ilvl="7" w:tplc="96F26A58">
      <w:numFmt w:val="bullet"/>
      <w:lvlText w:val="•"/>
      <w:lvlJc w:val="left"/>
      <w:pPr>
        <w:ind w:left="7337" w:hanging="207"/>
      </w:pPr>
      <w:rPr>
        <w:rFonts w:hint="default"/>
        <w:lang w:val="cs-CZ" w:eastAsia="en-US" w:bidi="ar-SA"/>
      </w:rPr>
    </w:lvl>
    <w:lvl w:ilvl="8" w:tplc="37365B4A">
      <w:numFmt w:val="bullet"/>
      <w:lvlText w:val="•"/>
      <w:lvlJc w:val="left"/>
      <w:pPr>
        <w:ind w:left="8420" w:hanging="207"/>
      </w:pPr>
      <w:rPr>
        <w:rFonts w:hint="default"/>
        <w:lang w:val="cs-CZ" w:eastAsia="en-US" w:bidi="ar-SA"/>
      </w:rPr>
    </w:lvl>
  </w:abstractNum>
  <w:abstractNum w:abstractNumId="47"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8" w15:restartNumberingAfterBreak="0">
    <w:nsid w:val="41261A17"/>
    <w:multiLevelType w:val="hybridMultilevel"/>
    <w:tmpl w:val="31E81D8E"/>
    <w:lvl w:ilvl="0" w:tplc="301C215C">
      <w:numFmt w:val="bullet"/>
      <w:lvlText w:val="&gt;"/>
      <w:lvlJc w:val="left"/>
      <w:pPr>
        <w:ind w:left="107" w:hanging="207"/>
      </w:pPr>
      <w:rPr>
        <w:rFonts w:ascii="Times New Roman" w:eastAsia="Times New Roman" w:hAnsi="Times New Roman" w:cs="Times New Roman" w:hint="default"/>
        <w:b w:val="0"/>
        <w:bCs w:val="0"/>
        <w:i w:val="0"/>
        <w:iCs w:val="0"/>
        <w:spacing w:val="0"/>
        <w:w w:val="100"/>
        <w:sz w:val="22"/>
        <w:szCs w:val="22"/>
        <w:lang w:val="cs-CZ" w:eastAsia="en-US" w:bidi="ar-SA"/>
      </w:rPr>
    </w:lvl>
    <w:lvl w:ilvl="1" w:tplc="18A4D1C6">
      <w:numFmt w:val="bullet"/>
      <w:lvlText w:val="•"/>
      <w:lvlJc w:val="left"/>
      <w:pPr>
        <w:ind w:left="268" w:hanging="207"/>
      </w:pPr>
      <w:rPr>
        <w:rFonts w:hint="default"/>
        <w:lang w:val="cs-CZ" w:eastAsia="en-US" w:bidi="ar-SA"/>
      </w:rPr>
    </w:lvl>
    <w:lvl w:ilvl="2" w:tplc="34FAD726">
      <w:numFmt w:val="bullet"/>
      <w:lvlText w:val="•"/>
      <w:lvlJc w:val="left"/>
      <w:pPr>
        <w:ind w:left="437" w:hanging="207"/>
      </w:pPr>
      <w:rPr>
        <w:rFonts w:hint="default"/>
        <w:lang w:val="cs-CZ" w:eastAsia="en-US" w:bidi="ar-SA"/>
      </w:rPr>
    </w:lvl>
    <w:lvl w:ilvl="3" w:tplc="811C95F8">
      <w:numFmt w:val="bullet"/>
      <w:lvlText w:val="•"/>
      <w:lvlJc w:val="left"/>
      <w:pPr>
        <w:ind w:left="605" w:hanging="207"/>
      </w:pPr>
      <w:rPr>
        <w:rFonts w:hint="default"/>
        <w:lang w:val="cs-CZ" w:eastAsia="en-US" w:bidi="ar-SA"/>
      </w:rPr>
    </w:lvl>
    <w:lvl w:ilvl="4" w:tplc="C9A08F94">
      <w:numFmt w:val="bullet"/>
      <w:lvlText w:val="•"/>
      <w:lvlJc w:val="left"/>
      <w:pPr>
        <w:ind w:left="774" w:hanging="207"/>
      </w:pPr>
      <w:rPr>
        <w:rFonts w:hint="default"/>
        <w:lang w:val="cs-CZ" w:eastAsia="en-US" w:bidi="ar-SA"/>
      </w:rPr>
    </w:lvl>
    <w:lvl w:ilvl="5" w:tplc="CA247A84">
      <w:numFmt w:val="bullet"/>
      <w:lvlText w:val="•"/>
      <w:lvlJc w:val="left"/>
      <w:pPr>
        <w:ind w:left="942" w:hanging="207"/>
      </w:pPr>
      <w:rPr>
        <w:rFonts w:hint="default"/>
        <w:lang w:val="cs-CZ" w:eastAsia="en-US" w:bidi="ar-SA"/>
      </w:rPr>
    </w:lvl>
    <w:lvl w:ilvl="6" w:tplc="A502C50E">
      <w:numFmt w:val="bullet"/>
      <w:lvlText w:val="•"/>
      <w:lvlJc w:val="left"/>
      <w:pPr>
        <w:ind w:left="1111" w:hanging="207"/>
      </w:pPr>
      <w:rPr>
        <w:rFonts w:hint="default"/>
        <w:lang w:val="cs-CZ" w:eastAsia="en-US" w:bidi="ar-SA"/>
      </w:rPr>
    </w:lvl>
    <w:lvl w:ilvl="7" w:tplc="4E7697B4">
      <w:numFmt w:val="bullet"/>
      <w:lvlText w:val="•"/>
      <w:lvlJc w:val="left"/>
      <w:pPr>
        <w:ind w:left="1279" w:hanging="207"/>
      </w:pPr>
      <w:rPr>
        <w:rFonts w:hint="default"/>
        <w:lang w:val="cs-CZ" w:eastAsia="en-US" w:bidi="ar-SA"/>
      </w:rPr>
    </w:lvl>
    <w:lvl w:ilvl="8" w:tplc="5582AE02">
      <w:numFmt w:val="bullet"/>
      <w:lvlText w:val="•"/>
      <w:lvlJc w:val="left"/>
      <w:pPr>
        <w:ind w:left="1448" w:hanging="207"/>
      </w:pPr>
      <w:rPr>
        <w:rFonts w:hint="default"/>
        <w:lang w:val="cs-CZ" w:eastAsia="en-US" w:bidi="ar-SA"/>
      </w:rPr>
    </w:lvl>
  </w:abstractNum>
  <w:abstractNum w:abstractNumId="49"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0" w15:restartNumberingAfterBreak="0">
    <w:nsid w:val="430C60C0"/>
    <w:multiLevelType w:val="hybridMultilevel"/>
    <w:tmpl w:val="E3D27636"/>
    <w:lvl w:ilvl="0" w:tplc="58564FB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cs-CZ" w:eastAsia="en-US" w:bidi="ar-SA"/>
      </w:rPr>
    </w:lvl>
    <w:lvl w:ilvl="1" w:tplc="F2E0351A">
      <w:numFmt w:val="bullet"/>
      <w:lvlText w:val="•"/>
      <w:lvlJc w:val="left"/>
      <w:pPr>
        <w:ind w:left="1778" w:hanging="567"/>
      </w:pPr>
      <w:rPr>
        <w:rFonts w:hint="default"/>
        <w:lang w:val="cs-CZ" w:eastAsia="en-US" w:bidi="ar-SA"/>
      </w:rPr>
    </w:lvl>
    <w:lvl w:ilvl="2" w:tplc="AF0600DC">
      <w:numFmt w:val="bullet"/>
      <w:lvlText w:val="•"/>
      <w:lvlJc w:val="left"/>
      <w:pPr>
        <w:ind w:left="2757" w:hanging="567"/>
      </w:pPr>
      <w:rPr>
        <w:rFonts w:hint="default"/>
        <w:lang w:val="cs-CZ" w:eastAsia="en-US" w:bidi="ar-SA"/>
      </w:rPr>
    </w:lvl>
    <w:lvl w:ilvl="3" w:tplc="502C0E26">
      <w:numFmt w:val="bullet"/>
      <w:lvlText w:val="•"/>
      <w:lvlJc w:val="left"/>
      <w:pPr>
        <w:ind w:left="3735" w:hanging="567"/>
      </w:pPr>
      <w:rPr>
        <w:rFonts w:hint="default"/>
        <w:lang w:val="cs-CZ" w:eastAsia="en-US" w:bidi="ar-SA"/>
      </w:rPr>
    </w:lvl>
    <w:lvl w:ilvl="4" w:tplc="4740E9A4">
      <w:numFmt w:val="bullet"/>
      <w:lvlText w:val="•"/>
      <w:lvlJc w:val="left"/>
      <w:pPr>
        <w:ind w:left="4714" w:hanging="567"/>
      </w:pPr>
      <w:rPr>
        <w:rFonts w:hint="default"/>
        <w:lang w:val="cs-CZ" w:eastAsia="en-US" w:bidi="ar-SA"/>
      </w:rPr>
    </w:lvl>
    <w:lvl w:ilvl="5" w:tplc="B7C21DBA">
      <w:numFmt w:val="bullet"/>
      <w:lvlText w:val="•"/>
      <w:lvlJc w:val="left"/>
      <w:pPr>
        <w:ind w:left="5693" w:hanging="567"/>
      </w:pPr>
      <w:rPr>
        <w:rFonts w:hint="default"/>
        <w:lang w:val="cs-CZ" w:eastAsia="en-US" w:bidi="ar-SA"/>
      </w:rPr>
    </w:lvl>
    <w:lvl w:ilvl="6" w:tplc="D36C52A0">
      <w:numFmt w:val="bullet"/>
      <w:lvlText w:val="•"/>
      <w:lvlJc w:val="left"/>
      <w:pPr>
        <w:ind w:left="6671" w:hanging="567"/>
      </w:pPr>
      <w:rPr>
        <w:rFonts w:hint="default"/>
        <w:lang w:val="cs-CZ" w:eastAsia="en-US" w:bidi="ar-SA"/>
      </w:rPr>
    </w:lvl>
    <w:lvl w:ilvl="7" w:tplc="1F880064">
      <w:numFmt w:val="bullet"/>
      <w:lvlText w:val="•"/>
      <w:lvlJc w:val="left"/>
      <w:pPr>
        <w:ind w:left="7650" w:hanging="567"/>
      </w:pPr>
      <w:rPr>
        <w:rFonts w:hint="default"/>
        <w:lang w:val="cs-CZ" w:eastAsia="en-US" w:bidi="ar-SA"/>
      </w:rPr>
    </w:lvl>
    <w:lvl w:ilvl="8" w:tplc="46385A40">
      <w:numFmt w:val="bullet"/>
      <w:lvlText w:val="•"/>
      <w:lvlJc w:val="left"/>
      <w:pPr>
        <w:ind w:left="8629" w:hanging="567"/>
      </w:pPr>
      <w:rPr>
        <w:rFonts w:hint="default"/>
        <w:lang w:val="cs-CZ" w:eastAsia="en-US" w:bidi="ar-SA"/>
      </w:rPr>
    </w:lvl>
  </w:abstractNum>
  <w:abstractNum w:abstractNumId="51" w15:restartNumberingAfterBreak="0">
    <w:nsid w:val="43222742"/>
    <w:multiLevelType w:val="hybridMultilevel"/>
    <w:tmpl w:val="154A250E"/>
    <w:lvl w:ilvl="0" w:tplc="24C01F88">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7C70A8"/>
    <w:multiLevelType w:val="hybridMultilevel"/>
    <w:tmpl w:val="7D1CFD52"/>
    <w:lvl w:ilvl="0" w:tplc="C43CBFD6">
      <w:numFmt w:val="bullet"/>
      <w:lvlText w:val=""/>
      <w:lvlJc w:val="left"/>
      <w:pPr>
        <w:ind w:left="1160" w:hanging="361"/>
      </w:pPr>
      <w:rPr>
        <w:rFonts w:ascii="Symbol" w:eastAsia="Symbol" w:hAnsi="Symbol" w:cs="Symbol" w:hint="default"/>
        <w:b w:val="0"/>
        <w:bCs w:val="0"/>
        <w:i w:val="0"/>
        <w:iCs w:val="0"/>
        <w:spacing w:val="0"/>
        <w:w w:val="100"/>
        <w:sz w:val="22"/>
        <w:szCs w:val="22"/>
        <w:lang w:val="cs-CZ" w:eastAsia="en-US" w:bidi="ar-SA"/>
      </w:rPr>
    </w:lvl>
    <w:lvl w:ilvl="1" w:tplc="2B245AAA">
      <w:numFmt w:val="bullet"/>
      <w:lvlText w:val="•"/>
      <w:lvlJc w:val="left"/>
      <w:pPr>
        <w:ind w:left="2102" w:hanging="361"/>
      </w:pPr>
      <w:rPr>
        <w:rFonts w:hint="default"/>
        <w:lang w:val="cs-CZ" w:eastAsia="en-US" w:bidi="ar-SA"/>
      </w:rPr>
    </w:lvl>
    <w:lvl w:ilvl="2" w:tplc="987AFEF6">
      <w:numFmt w:val="bullet"/>
      <w:lvlText w:val="•"/>
      <w:lvlJc w:val="left"/>
      <w:pPr>
        <w:ind w:left="3045" w:hanging="361"/>
      </w:pPr>
      <w:rPr>
        <w:rFonts w:hint="default"/>
        <w:lang w:val="cs-CZ" w:eastAsia="en-US" w:bidi="ar-SA"/>
      </w:rPr>
    </w:lvl>
    <w:lvl w:ilvl="3" w:tplc="C69CE7D0">
      <w:numFmt w:val="bullet"/>
      <w:lvlText w:val="•"/>
      <w:lvlJc w:val="left"/>
      <w:pPr>
        <w:ind w:left="3987" w:hanging="361"/>
      </w:pPr>
      <w:rPr>
        <w:rFonts w:hint="default"/>
        <w:lang w:val="cs-CZ" w:eastAsia="en-US" w:bidi="ar-SA"/>
      </w:rPr>
    </w:lvl>
    <w:lvl w:ilvl="4" w:tplc="DB086896">
      <w:numFmt w:val="bullet"/>
      <w:lvlText w:val="•"/>
      <w:lvlJc w:val="left"/>
      <w:pPr>
        <w:ind w:left="4930" w:hanging="361"/>
      </w:pPr>
      <w:rPr>
        <w:rFonts w:hint="default"/>
        <w:lang w:val="cs-CZ" w:eastAsia="en-US" w:bidi="ar-SA"/>
      </w:rPr>
    </w:lvl>
    <w:lvl w:ilvl="5" w:tplc="E37824B2">
      <w:numFmt w:val="bullet"/>
      <w:lvlText w:val="•"/>
      <w:lvlJc w:val="left"/>
      <w:pPr>
        <w:ind w:left="5873" w:hanging="361"/>
      </w:pPr>
      <w:rPr>
        <w:rFonts w:hint="default"/>
        <w:lang w:val="cs-CZ" w:eastAsia="en-US" w:bidi="ar-SA"/>
      </w:rPr>
    </w:lvl>
    <w:lvl w:ilvl="6" w:tplc="2D0A369E">
      <w:numFmt w:val="bullet"/>
      <w:lvlText w:val="•"/>
      <w:lvlJc w:val="left"/>
      <w:pPr>
        <w:ind w:left="6815" w:hanging="361"/>
      </w:pPr>
      <w:rPr>
        <w:rFonts w:hint="default"/>
        <w:lang w:val="cs-CZ" w:eastAsia="en-US" w:bidi="ar-SA"/>
      </w:rPr>
    </w:lvl>
    <w:lvl w:ilvl="7" w:tplc="92DA1C80">
      <w:numFmt w:val="bullet"/>
      <w:lvlText w:val="•"/>
      <w:lvlJc w:val="left"/>
      <w:pPr>
        <w:ind w:left="7758" w:hanging="361"/>
      </w:pPr>
      <w:rPr>
        <w:rFonts w:hint="default"/>
        <w:lang w:val="cs-CZ" w:eastAsia="en-US" w:bidi="ar-SA"/>
      </w:rPr>
    </w:lvl>
    <w:lvl w:ilvl="8" w:tplc="CF882AAE">
      <w:numFmt w:val="bullet"/>
      <w:lvlText w:val="•"/>
      <w:lvlJc w:val="left"/>
      <w:pPr>
        <w:ind w:left="8701" w:hanging="361"/>
      </w:pPr>
      <w:rPr>
        <w:rFonts w:hint="default"/>
        <w:lang w:val="cs-CZ" w:eastAsia="en-US" w:bidi="ar-SA"/>
      </w:rPr>
    </w:lvl>
  </w:abstractNum>
  <w:abstractNum w:abstractNumId="53" w15:restartNumberingAfterBreak="0">
    <w:nsid w:val="45AE6F92"/>
    <w:multiLevelType w:val="hybridMultilevel"/>
    <w:tmpl w:val="0C8E0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BE22B8"/>
    <w:multiLevelType w:val="hybridMultilevel"/>
    <w:tmpl w:val="2DD24454"/>
    <w:lvl w:ilvl="0" w:tplc="D8249042">
      <w:numFmt w:val="bullet"/>
      <w:lvlText w:val="&gt;"/>
      <w:lvlJc w:val="left"/>
      <w:pPr>
        <w:ind w:left="418"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AB2C5D60">
      <w:numFmt w:val="bullet"/>
      <w:lvlText w:val="•"/>
      <w:lvlJc w:val="left"/>
      <w:pPr>
        <w:ind w:left="1436" w:hanging="180"/>
      </w:pPr>
      <w:rPr>
        <w:rFonts w:hint="default"/>
        <w:lang w:val="cs-CZ" w:eastAsia="en-US" w:bidi="ar-SA"/>
      </w:rPr>
    </w:lvl>
    <w:lvl w:ilvl="2" w:tplc="B5E25174">
      <w:numFmt w:val="bullet"/>
      <w:lvlText w:val="•"/>
      <w:lvlJc w:val="left"/>
      <w:pPr>
        <w:ind w:left="2453" w:hanging="180"/>
      </w:pPr>
      <w:rPr>
        <w:rFonts w:hint="default"/>
        <w:lang w:val="cs-CZ" w:eastAsia="en-US" w:bidi="ar-SA"/>
      </w:rPr>
    </w:lvl>
    <w:lvl w:ilvl="3" w:tplc="223E2F78">
      <w:numFmt w:val="bullet"/>
      <w:lvlText w:val="•"/>
      <w:lvlJc w:val="left"/>
      <w:pPr>
        <w:ind w:left="3469" w:hanging="180"/>
      </w:pPr>
      <w:rPr>
        <w:rFonts w:hint="default"/>
        <w:lang w:val="cs-CZ" w:eastAsia="en-US" w:bidi="ar-SA"/>
      </w:rPr>
    </w:lvl>
    <w:lvl w:ilvl="4" w:tplc="5C72FC20">
      <w:numFmt w:val="bullet"/>
      <w:lvlText w:val="•"/>
      <w:lvlJc w:val="left"/>
      <w:pPr>
        <w:ind w:left="4486" w:hanging="180"/>
      </w:pPr>
      <w:rPr>
        <w:rFonts w:hint="default"/>
        <w:lang w:val="cs-CZ" w:eastAsia="en-US" w:bidi="ar-SA"/>
      </w:rPr>
    </w:lvl>
    <w:lvl w:ilvl="5" w:tplc="F0F6BB7E">
      <w:numFmt w:val="bullet"/>
      <w:lvlText w:val="•"/>
      <w:lvlJc w:val="left"/>
      <w:pPr>
        <w:ind w:left="5503" w:hanging="180"/>
      </w:pPr>
      <w:rPr>
        <w:rFonts w:hint="default"/>
        <w:lang w:val="cs-CZ" w:eastAsia="en-US" w:bidi="ar-SA"/>
      </w:rPr>
    </w:lvl>
    <w:lvl w:ilvl="6" w:tplc="6C2EBFC4">
      <w:numFmt w:val="bullet"/>
      <w:lvlText w:val="•"/>
      <w:lvlJc w:val="left"/>
      <w:pPr>
        <w:ind w:left="6519" w:hanging="180"/>
      </w:pPr>
      <w:rPr>
        <w:rFonts w:hint="default"/>
        <w:lang w:val="cs-CZ" w:eastAsia="en-US" w:bidi="ar-SA"/>
      </w:rPr>
    </w:lvl>
    <w:lvl w:ilvl="7" w:tplc="59C68598">
      <w:numFmt w:val="bullet"/>
      <w:lvlText w:val="•"/>
      <w:lvlJc w:val="left"/>
      <w:pPr>
        <w:ind w:left="7536" w:hanging="180"/>
      </w:pPr>
      <w:rPr>
        <w:rFonts w:hint="default"/>
        <w:lang w:val="cs-CZ" w:eastAsia="en-US" w:bidi="ar-SA"/>
      </w:rPr>
    </w:lvl>
    <w:lvl w:ilvl="8" w:tplc="A1027458">
      <w:numFmt w:val="bullet"/>
      <w:lvlText w:val="•"/>
      <w:lvlJc w:val="left"/>
      <w:pPr>
        <w:ind w:left="8553" w:hanging="180"/>
      </w:pPr>
      <w:rPr>
        <w:rFonts w:hint="default"/>
        <w:lang w:val="cs-CZ" w:eastAsia="en-US" w:bidi="ar-SA"/>
      </w:rPr>
    </w:lvl>
  </w:abstractNum>
  <w:abstractNum w:abstractNumId="55" w15:restartNumberingAfterBreak="0">
    <w:nsid w:val="47694268"/>
    <w:multiLevelType w:val="hybridMultilevel"/>
    <w:tmpl w:val="7ECE0B44"/>
    <w:lvl w:ilvl="0" w:tplc="90B6108A">
      <w:numFmt w:val="bullet"/>
      <w:lvlText w:val=""/>
      <w:lvlJc w:val="left"/>
      <w:pPr>
        <w:ind w:left="946" w:hanging="351"/>
      </w:pPr>
      <w:rPr>
        <w:rFonts w:ascii="Symbol" w:eastAsia="Symbol" w:hAnsi="Symbol" w:cs="Symbol" w:hint="default"/>
        <w:b w:val="0"/>
        <w:bCs w:val="0"/>
        <w:i w:val="0"/>
        <w:iCs w:val="0"/>
        <w:spacing w:val="0"/>
        <w:w w:val="100"/>
        <w:sz w:val="24"/>
        <w:szCs w:val="24"/>
        <w:lang w:val="cs-CZ" w:eastAsia="en-US" w:bidi="ar-SA"/>
      </w:rPr>
    </w:lvl>
    <w:lvl w:ilvl="1" w:tplc="F06C0306">
      <w:numFmt w:val="bullet"/>
      <w:lvlText w:val="•"/>
      <w:lvlJc w:val="left"/>
      <w:pPr>
        <w:ind w:left="1904" w:hanging="351"/>
      </w:pPr>
      <w:rPr>
        <w:rFonts w:hint="default"/>
        <w:lang w:val="cs-CZ" w:eastAsia="en-US" w:bidi="ar-SA"/>
      </w:rPr>
    </w:lvl>
    <w:lvl w:ilvl="2" w:tplc="692A00A2">
      <w:numFmt w:val="bullet"/>
      <w:lvlText w:val="•"/>
      <w:lvlJc w:val="left"/>
      <w:pPr>
        <w:ind w:left="2869" w:hanging="351"/>
      </w:pPr>
      <w:rPr>
        <w:rFonts w:hint="default"/>
        <w:lang w:val="cs-CZ" w:eastAsia="en-US" w:bidi="ar-SA"/>
      </w:rPr>
    </w:lvl>
    <w:lvl w:ilvl="3" w:tplc="AE3A93F4">
      <w:numFmt w:val="bullet"/>
      <w:lvlText w:val="•"/>
      <w:lvlJc w:val="left"/>
      <w:pPr>
        <w:ind w:left="3833" w:hanging="351"/>
      </w:pPr>
      <w:rPr>
        <w:rFonts w:hint="default"/>
        <w:lang w:val="cs-CZ" w:eastAsia="en-US" w:bidi="ar-SA"/>
      </w:rPr>
    </w:lvl>
    <w:lvl w:ilvl="4" w:tplc="9934DB82">
      <w:numFmt w:val="bullet"/>
      <w:lvlText w:val="•"/>
      <w:lvlJc w:val="left"/>
      <w:pPr>
        <w:ind w:left="4798" w:hanging="351"/>
      </w:pPr>
      <w:rPr>
        <w:rFonts w:hint="default"/>
        <w:lang w:val="cs-CZ" w:eastAsia="en-US" w:bidi="ar-SA"/>
      </w:rPr>
    </w:lvl>
    <w:lvl w:ilvl="5" w:tplc="955C7096">
      <w:numFmt w:val="bullet"/>
      <w:lvlText w:val="•"/>
      <w:lvlJc w:val="left"/>
      <w:pPr>
        <w:ind w:left="5763" w:hanging="351"/>
      </w:pPr>
      <w:rPr>
        <w:rFonts w:hint="default"/>
        <w:lang w:val="cs-CZ" w:eastAsia="en-US" w:bidi="ar-SA"/>
      </w:rPr>
    </w:lvl>
    <w:lvl w:ilvl="6" w:tplc="A9C2F7C0">
      <w:numFmt w:val="bullet"/>
      <w:lvlText w:val="•"/>
      <w:lvlJc w:val="left"/>
      <w:pPr>
        <w:ind w:left="6727" w:hanging="351"/>
      </w:pPr>
      <w:rPr>
        <w:rFonts w:hint="default"/>
        <w:lang w:val="cs-CZ" w:eastAsia="en-US" w:bidi="ar-SA"/>
      </w:rPr>
    </w:lvl>
    <w:lvl w:ilvl="7" w:tplc="335E1D12">
      <w:numFmt w:val="bullet"/>
      <w:lvlText w:val="•"/>
      <w:lvlJc w:val="left"/>
      <w:pPr>
        <w:ind w:left="7692" w:hanging="351"/>
      </w:pPr>
      <w:rPr>
        <w:rFonts w:hint="default"/>
        <w:lang w:val="cs-CZ" w:eastAsia="en-US" w:bidi="ar-SA"/>
      </w:rPr>
    </w:lvl>
    <w:lvl w:ilvl="8" w:tplc="91620366">
      <w:numFmt w:val="bullet"/>
      <w:lvlText w:val="•"/>
      <w:lvlJc w:val="left"/>
      <w:pPr>
        <w:ind w:left="8657" w:hanging="351"/>
      </w:pPr>
      <w:rPr>
        <w:rFonts w:hint="default"/>
        <w:lang w:val="cs-CZ" w:eastAsia="en-US" w:bidi="ar-SA"/>
      </w:rPr>
    </w:lvl>
  </w:abstractNum>
  <w:abstractNum w:abstractNumId="56"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7" w15:restartNumberingAfterBreak="0">
    <w:nsid w:val="494174AE"/>
    <w:multiLevelType w:val="hybridMultilevel"/>
    <w:tmpl w:val="F8D83E72"/>
    <w:lvl w:ilvl="0" w:tplc="213673D2">
      <w:numFmt w:val="bullet"/>
      <w:lvlText w:val=""/>
      <w:lvlJc w:val="left"/>
      <w:pPr>
        <w:ind w:left="521" w:hanging="284"/>
      </w:pPr>
      <w:rPr>
        <w:rFonts w:ascii="Symbol" w:eastAsia="Symbol" w:hAnsi="Symbol" w:cs="Symbol" w:hint="default"/>
        <w:spacing w:val="0"/>
        <w:w w:val="100"/>
        <w:lang w:val="cs-CZ" w:eastAsia="en-US" w:bidi="ar-SA"/>
      </w:rPr>
    </w:lvl>
    <w:lvl w:ilvl="1" w:tplc="B386BB8C">
      <w:numFmt w:val="bullet"/>
      <w:lvlText w:val="•"/>
      <w:lvlJc w:val="left"/>
      <w:pPr>
        <w:ind w:left="1526" w:hanging="284"/>
      </w:pPr>
      <w:rPr>
        <w:rFonts w:hint="default"/>
        <w:lang w:val="cs-CZ" w:eastAsia="en-US" w:bidi="ar-SA"/>
      </w:rPr>
    </w:lvl>
    <w:lvl w:ilvl="2" w:tplc="77A2DD9E">
      <w:numFmt w:val="bullet"/>
      <w:lvlText w:val="•"/>
      <w:lvlJc w:val="left"/>
      <w:pPr>
        <w:ind w:left="2533" w:hanging="284"/>
      </w:pPr>
      <w:rPr>
        <w:rFonts w:hint="default"/>
        <w:lang w:val="cs-CZ" w:eastAsia="en-US" w:bidi="ar-SA"/>
      </w:rPr>
    </w:lvl>
    <w:lvl w:ilvl="3" w:tplc="846C91D6">
      <w:numFmt w:val="bullet"/>
      <w:lvlText w:val="•"/>
      <w:lvlJc w:val="left"/>
      <w:pPr>
        <w:ind w:left="3539" w:hanging="284"/>
      </w:pPr>
      <w:rPr>
        <w:rFonts w:hint="default"/>
        <w:lang w:val="cs-CZ" w:eastAsia="en-US" w:bidi="ar-SA"/>
      </w:rPr>
    </w:lvl>
    <w:lvl w:ilvl="4" w:tplc="54082C2C">
      <w:numFmt w:val="bullet"/>
      <w:lvlText w:val="•"/>
      <w:lvlJc w:val="left"/>
      <w:pPr>
        <w:ind w:left="4546" w:hanging="284"/>
      </w:pPr>
      <w:rPr>
        <w:rFonts w:hint="default"/>
        <w:lang w:val="cs-CZ" w:eastAsia="en-US" w:bidi="ar-SA"/>
      </w:rPr>
    </w:lvl>
    <w:lvl w:ilvl="5" w:tplc="19DEC14E">
      <w:numFmt w:val="bullet"/>
      <w:lvlText w:val="•"/>
      <w:lvlJc w:val="left"/>
      <w:pPr>
        <w:ind w:left="5553" w:hanging="284"/>
      </w:pPr>
      <w:rPr>
        <w:rFonts w:hint="default"/>
        <w:lang w:val="cs-CZ" w:eastAsia="en-US" w:bidi="ar-SA"/>
      </w:rPr>
    </w:lvl>
    <w:lvl w:ilvl="6" w:tplc="3DA8B776">
      <w:numFmt w:val="bullet"/>
      <w:lvlText w:val="•"/>
      <w:lvlJc w:val="left"/>
      <w:pPr>
        <w:ind w:left="6559" w:hanging="284"/>
      </w:pPr>
      <w:rPr>
        <w:rFonts w:hint="default"/>
        <w:lang w:val="cs-CZ" w:eastAsia="en-US" w:bidi="ar-SA"/>
      </w:rPr>
    </w:lvl>
    <w:lvl w:ilvl="7" w:tplc="CB109ADE">
      <w:numFmt w:val="bullet"/>
      <w:lvlText w:val="•"/>
      <w:lvlJc w:val="left"/>
      <w:pPr>
        <w:ind w:left="7566" w:hanging="284"/>
      </w:pPr>
      <w:rPr>
        <w:rFonts w:hint="default"/>
        <w:lang w:val="cs-CZ" w:eastAsia="en-US" w:bidi="ar-SA"/>
      </w:rPr>
    </w:lvl>
    <w:lvl w:ilvl="8" w:tplc="AE5EC674">
      <w:numFmt w:val="bullet"/>
      <w:lvlText w:val="•"/>
      <w:lvlJc w:val="left"/>
      <w:pPr>
        <w:ind w:left="8573" w:hanging="284"/>
      </w:pPr>
      <w:rPr>
        <w:rFonts w:hint="default"/>
        <w:lang w:val="cs-CZ" w:eastAsia="en-US" w:bidi="ar-SA"/>
      </w:rPr>
    </w:lvl>
  </w:abstractNum>
  <w:abstractNum w:abstractNumId="58"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59" w15:restartNumberingAfterBreak="0">
    <w:nsid w:val="4BC62681"/>
    <w:multiLevelType w:val="hybridMultilevel"/>
    <w:tmpl w:val="AB68604C"/>
    <w:lvl w:ilvl="0" w:tplc="992A79D4">
      <w:numFmt w:val="bullet"/>
      <w:lvlText w:val=""/>
      <w:lvlJc w:val="left"/>
      <w:pPr>
        <w:ind w:left="958" w:hanging="361"/>
      </w:pPr>
      <w:rPr>
        <w:rFonts w:ascii="Symbol" w:eastAsia="Symbol" w:hAnsi="Symbol" w:cs="Symbol" w:hint="default"/>
        <w:b w:val="0"/>
        <w:bCs w:val="0"/>
        <w:i w:val="0"/>
        <w:iCs w:val="0"/>
        <w:spacing w:val="0"/>
        <w:w w:val="100"/>
        <w:sz w:val="22"/>
        <w:szCs w:val="22"/>
        <w:lang w:val="cs-CZ" w:eastAsia="en-US" w:bidi="ar-SA"/>
      </w:rPr>
    </w:lvl>
    <w:lvl w:ilvl="1" w:tplc="3E384F20">
      <w:numFmt w:val="bullet"/>
      <w:lvlText w:val="•"/>
      <w:lvlJc w:val="left"/>
      <w:pPr>
        <w:ind w:left="1922" w:hanging="361"/>
      </w:pPr>
      <w:rPr>
        <w:rFonts w:hint="default"/>
        <w:lang w:val="cs-CZ" w:eastAsia="en-US" w:bidi="ar-SA"/>
      </w:rPr>
    </w:lvl>
    <w:lvl w:ilvl="2" w:tplc="0452370A">
      <w:numFmt w:val="bullet"/>
      <w:lvlText w:val="•"/>
      <w:lvlJc w:val="left"/>
      <w:pPr>
        <w:ind w:left="2885" w:hanging="361"/>
      </w:pPr>
      <w:rPr>
        <w:rFonts w:hint="default"/>
        <w:lang w:val="cs-CZ" w:eastAsia="en-US" w:bidi="ar-SA"/>
      </w:rPr>
    </w:lvl>
    <w:lvl w:ilvl="3" w:tplc="E384CE7A">
      <w:numFmt w:val="bullet"/>
      <w:lvlText w:val="•"/>
      <w:lvlJc w:val="left"/>
      <w:pPr>
        <w:ind w:left="3847" w:hanging="361"/>
      </w:pPr>
      <w:rPr>
        <w:rFonts w:hint="default"/>
        <w:lang w:val="cs-CZ" w:eastAsia="en-US" w:bidi="ar-SA"/>
      </w:rPr>
    </w:lvl>
    <w:lvl w:ilvl="4" w:tplc="C54EDD92">
      <w:numFmt w:val="bullet"/>
      <w:lvlText w:val="•"/>
      <w:lvlJc w:val="left"/>
      <w:pPr>
        <w:ind w:left="4810" w:hanging="361"/>
      </w:pPr>
      <w:rPr>
        <w:rFonts w:hint="default"/>
        <w:lang w:val="cs-CZ" w:eastAsia="en-US" w:bidi="ar-SA"/>
      </w:rPr>
    </w:lvl>
    <w:lvl w:ilvl="5" w:tplc="A5DECA4C">
      <w:numFmt w:val="bullet"/>
      <w:lvlText w:val="•"/>
      <w:lvlJc w:val="left"/>
      <w:pPr>
        <w:ind w:left="5773" w:hanging="361"/>
      </w:pPr>
      <w:rPr>
        <w:rFonts w:hint="default"/>
        <w:lang w:val="cs-CZ" w:eastAsia="en-US" w:bidi="ar-SA"/>
      </w:rPr>
    </w:lvl>
    <w:lvl w:ilvl="6" w:tplc="59EAFBDE">
      <w:numFmt w:val="bullet"/>
      <w:lvlText w:val="•"/>
      <w:lvlJc w:val="left"/>
      <w:pPr>
        <w:ind w:left="6735" w:hanging="361"/>
      </w:pPr>
      <w:rPr>
        <w:rFonts w:hint="default"/>
        <w:lang w:val="cs-CZ" w:eastAsia="en-US" w:bidi="ar-SA"/>
      </w:rPr>
    </w:lvl>
    <w:lvl w:ilvl="7" w:tplc="32788306">
      <w:numFmt w:val="bullet"/>
      <w:lvlText w:val="•"/>
      <w:lvlJc w:val="left"/>
      <w:pPr>
        <w:ind w:left="7698" w:hanging="361"/>
      </w:pPr>
      <w:rPr>
        <w:rFonts w:hint="default"/>
        <w:lang w:val="cs-CZ" w:eastAsia="en-US" w:bidi="ar-SA"/>
      </w:rPr>
    </w:lvl>
    <w:lvl w:ilvl="8" w:tplc="FB0EE4D0">
      <w:numFmt w:val="bullet"/>
      <w:lvlText w:val="•"/>
      <w:lvlJc w:val="left"/>
      <w:pPr>
        <w:ind w:left="8661" w:hanging="361"/>
      </w:pPr>
      <w:rPr>
        <w:rFonts w:hint="default"/>
        <w:lang w:val="cs-CZ" w:eastAsia="en-US" w:bidi="ar-SA"/>
      </w:rPr>
    </w:lvl>
  </w:abstractNum>
  <w:abstractNum w:abstractNumId="60"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1"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62" w15:restartNumberingAfterBreak="0">
    <w:nsid w:val="4DCA7BDF"/>
    <w:multiLevelType w:val="hybridMultilevel"/>
    <w:tmpl w:val="ED16EB08"/>
    <w:lvl w:ilvl="0" w:tplc="2E0CD9B8">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1BC49B90">
      <w:numFmt w:val="bullet"/>
      <w:lvlText w:val="•"/>
      <w:lvlJc w:val="left"/>
      <w:pPr>
        <w:ind w:left="298" w:hanging="180"/>
      </w:pPr>
      <w:rPr>
        <w:rFonts w:hint="default"/>
        <w:lang w:val="cs-CZ" w:eastAsia="en-US" w:bidi="ar-SA"/>
      </w:rPr>
    </w:lvl>
    <w:lvl w:ilvl="2" w:tplc="80444D28">
      <w:numFmt w:val="bullet"/>
      <w:lvlText w:val="•"/>
      <w:lvlJc w:val="left"/>
      <w:pPr>
        <w:ind w:left="496" w:hanging="180"/>
      </w:pPr>
      <w:rPr>
        <w:rFonts w:hint="default"/>
        <w:lang w:val="cs-CZ" w:eastAsia="en-US" w:bidi="ar-SA"/>
      </w:rPr>
    </w:lvl>
    <w:lvl w:ilvl="3" w:tplc="8A3A570E">
      <w:numFmt w:val="bullet"/>
      <w:lvlText w:val="•"/>
      <w:lvlJc w:val="left"/>
      <w:pPr>
        <w:ind w:left="694" w:hanging="180"/>
      </w:pPr>
      <w:rPr>
        <w:rFonts w:hint="default"/>
        <w:lang w:val="cs-CZ" w:eastAsia="en-US" w:bidi="ar-SA"/>
      </w:rPr>
    </w:lvl>
    <w:lvl w:ilvl="4" w:tplc="22E87244">
      <w:numFmt w:val="bullet"/>
      <w:lvlText w:val="•"/>
      <w:lvlJc w:val="left"/>
      <w:pPr>
        <w:ind w:left="893" w:hanging="180"/>
      </w:pPr>
      <w:rPr>
        <w:rFonts w:hint="default"/>
        <w:lang w:val="cs-CZ" w:eastAsia="en-US" w:bidi="ar-SA"/>
      </w:rPr>
    </w:lvl>
    <w:lvl w:ilvl="5" w:tplc="379241A0">
      <w:numFmt w:val="bullet"/>
      <w:lvlText w:val="•"/>
      <w:lvlJc w:val="left"/>
      <w:pPr>
        <w:ind w:left="1091" w:hanging="180"/>
      </w:pPr>
      <w:rPr>
        <w:rFonts w:hint="default"/>
        <w:lang w:val="cs-CZ" w:eastAsia="en-US" w:bidi="ar-SA"/>
      </w:rPr>
    </w:lvl>
    <w:lvl w:ilvl="6" w:tplc="012EB89A">
      <w:numFmt w:val="bullet"/>
      <w:lvlText w:val="•"/>
      <w:lvlJc w:val="left"/>
      <w:pPr>
        <w:ind w:left="1289" w:hanging="180"/>
      </w:pPr>
      <w:rPr>
        <w:rFonts w:hint="default"/>
        <w:lang w:val="cs-CZ" w:eastAsia="en-US" w:bidi="ar-SA"/>
      </w:rPr>
    </w:lvl>
    <w:lvl w:ilvl="7" w:tplc="67F82068">
      <w:numFmt w:val="bullet"/>
      <w:lvlText w:val="•"/>
      <w:lvlJc w:val="left"/>
      <w:pPr>
        <w:ind w:left="1488" w:hanging="180"/>
      </w:pPr>
      <w:rPr>
        <w:rFonts w:hint="default"/>
        <w:lang w:val="cs-CZ" w:eastAsia="en-US" w:bidi="ar-SA"/>
      </w:rPr>
    </w:lvl>
    <w:lvl w:ilvl="8" w:tplc="8EFE173A">
      <w:numFmt w:val="bullet"/>
      <w:lvlText w:val="•"/>
      <w:lvlJc w:val="left"/>
      <w:pPr>
        <w:ind w:left="1686" w:hanging="180"/>
      </w:pPr>
      <w:rPr>
        <w:rFonts w:hint="default"/>
        <w:lang w:val="cs-CZ" w:eastAsia="en-US" w:bidi="ar-SA"/>
      </w:rPr>
    </w:lvl>
  </w:abstractNum>
  <w:abstractNum w:abstractNumId="63"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4" w15:restartNumberingAfterBreak="0">
    <w:nsid w:val="4F35633D"/>
    <w:multiLevelType w:val="hybridMultilevel"/>
    <w:tmpl w:val="D0DC47EA"/>
    <w:lvl w:ilvl="0" w:tplc="67A8F42E">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4D5C535A">
      <w:numFmt w:val="bullet"/>
      <w:lvlText w:val="•"/>
      <w:lvlJc w:val="left"/>
      <w:pPr>
        <w:ind w:left="298" w:hanging="180"/>
      </w:pPr>
      <w:rPr>
        <w:rFonts w:hint="default"/>
        <w:lang w:val="cs-CZ" w:eastAsia="en-US" w:bidi="ar-SA"/>
      </w:rPr>
    </w:lvl>
    <w:lvl w:ilvl="2" w:tplc="04B6018C">
      <w:numFmt w:val="bullet"/>
      <w:lvlText w:val="•"/>
      <w:lvlJc w:val="left"/>
      <w:pPr>
        <w:ind w:left="496" w:hanging="180"/>
      </w:pPr>
      <w:rPr>
        <w:rFonts w:hint="default"/>
        <w:lang w:val="cs-CZ" w:eastAsia="en-US" w:bidi="ar-SA"/>
      </w:rPr>
    </w:lvl>
    <w:lvl w:ilvl="3" w:tplc="D7463E3A">
      <w:numFmt w:val="bullet"/>
      <w:lvlText w:val="•"/>
      <w:lvlJc w:val="left"/>
      <w:pPr>
        <w:ind w:left="694" w:hanging="180"/>
      </w:pPr>
      <w:rPr>
        <w:rFonts w:hint="default"/>
        <w:lang w:val="cs-CZ" w:eastAsia="en-US" w:bidi="ar-SA"/>
      </w:rPr>
    </w:lvl>
    <w:lvl w:ilvl="4" w:tplc="AC7489FE">
      <w:numFmt w:val="bullet"/>
      <w:lvlText w:val="•"/>
      <w:lvlJc w:val="left"/>
      <w:pPr>
        <w:ind w:left="893" w:hanging="180"/>
      </w:pPr>
      <w:rPr>
        <w:rFonts w:hint="default"/>
        <w:lang w:val="cs-CZ" w:eastAsia="en-US" w:bidi="ar-SA"/>
      </w:rPr>
    </w:lvl>
    <w:lvl w:ilvl="5" w:tplc="76ECA12C">
      <w:numFmt w:val="bullet"/>
      <w:lvlText w:val="•"/>
      <w:lvlJc w:val="left"/>
      <w:pPr>
        <w:ind w:left="1091" w:hanging="180"/>
      </w:pPr>
      <w:rPr>
        <w:rFonts w:hint="default"/>
        <w:lang w:val="cs-CZ" w:eastAsia="en-US" w:bidi="ar-SA"/>
      </w:rPr>
    </w:lvl>
    <w:lvl w:ilvl="6" w:tplc="AAB4409A">
      <w:numFmt w:val="bullet"/>
      <w:lvlText w:val="•"/>
      <w:lvlJc w:val="left"/>
      <w:pPr>
        <w:ind w:left="1289" w:hanging="180"/>
      </w:pPr>
      <w:rPr>
        <w:rFonts w:hint="default"/>
        <w:lang w:val="cs-CZ" w:eastAsia="en-US" w:bidi="ar-SA"/>
      </w:rPr>
    </w:lvl>
    <w:lvl w:ilvl="7" w:tplc="CD480318">
      <w:numFmt w:val="bullet"/>
      <w:lvlText w:val="•"/>
      <w:lvlJc w:val="left"/>
      <w:pPr>
        <w:ind w:left="1488" w:hanging="180"/>
      </w:pPr>
      <w:rPr>
        <w:rFonts w:hint="default"/>
        <w:lang w:val="cs-CZ" w:eastAsia="en-US" w:bidi="ar-SA"/>
      </w:rPr>
    </w:lvl>
    <w:lvl w:ilvl="8" w:tplc="26C22CF4">
      <w:numFmt w:val="bullet"/>
      <w:lvlText w:val="•"/>
      <w:lvlJc w:val="left"/>
      <w:pPr>
        <w:ind w:left="1686" w:hanging="180"/>
      </w:pPr>
      <w:rPr>
        <w:rFonts w:hint="default"/>
        <w:lang w:val="cs-CZ" w:eastAsia="en-US" w:bidi="ar-SA"/>
      </w:rPr>
    </w:lvl>
  </w:abstractNum>
  <w:abstractNum w:abstractNumId="65"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6" w15:restartNumberingAfterBreak="0">
    <w:nsid w:val="51FD1EB9"/>
    <w:multiLevelType w:val="hybridMultilevel"/>
    <w:tmpl w:val="A31C0978"/>
    <w:lvl w:ilvl="0" w:tplc="C464BF78">
      <w:numFmt w:val="bullet"/>
      <w:lvlText w:val=""/>
      <w:lvlJc w:val="left"/>
      <w:pPr>
        <w:ind w:left="806" w:hanging="567"/>
      </w:pPr>
      <w:rPr>
        <w:rFonts w:ascii="Symbol" w:eastAsia="Symbol" w:hAnsi="Symbol" w:cs="Symbol" w:hint="default"/>
        <w:b w:val="0"/>
        <w:bCs w:val="0"/>
        <w:i w:val="0"/>
        <w:iCs w:val="0"/>
        <w:spacing w:val="0"/>
        <w:w w:val="100"/>
        <w:sz w:val="22"/>
        <w:szCs w:val="22"/>
        <w:lang w:val="cs-CZ" w:eastAsia="en-US" w:bidi="ar-SA"/>
      </w:rPr>
    </w:lvl>
    <w:lvl w:ilvl="1" w:tplc="DE72541A">
      <w:numFmt w:val="bullet"/>
      <w:lvlText w:val="•"/>
      <w:lvlJc w:val="left"/>
      <w:pPr>
        <w:ind w:left="1778" w:hanging="567"/>
      </w:pPr>
      <w:rPr>
        <w:rFonts w:hint="default"/>
        <w:lang w:val="cs-CZ" w:eastAsia="en-US" w:bidi="ar-SA"/>
      </w:rPr>
    </w:lvl>
    <w:lvl w:ilvl="2" w:tplc="F5CAF650">
      <w:numFmt w:val="bullet"/>
      <w:lvlText w:val="•"/>
      <w:lvlJc w:val="left"/>
      <w:pPr>
        <w:ind w:left="2757" w:hanging="567"/>
      </w:pPr>
      <w:rPr>
        <w:rFonts w:hint="default"/>
        <w:lang w:val="cs-CZ" w:eastAsia="en-US" w:bidi="ar-SA"/>
      </w:rPr>
    </w:lvl>
    <w:lvl w:ilvl="3" w:tplc="F97CB0EC">
      <w:numFmt w:val="bullet"/>
      <w:lvlText w:val="•"/>
      <w:lvlJc w:val="left"/>
      <w:pPr>
        <w:ind w:left="3735" w:hanging="567"/>
      </w:pPr>
      <w:rPr>
        <w:rFonts w:hint="default"/>
        <w:lang w:val="cs-CZ" w:eastAsia="en-US" w:bidi="ar-SA"/>
      </w:rPr>
    </w:lvl>
    <w:lvl w:ilvl="4" w:tplc="EC38CB3E">
      <w:numFmt w:val="bullet"/>
      <w:lvlText w:val="•"/>
      <w:lvlJc w:val="left"/>
      <w:pPr>
        <w:ind w:left="4714" w:hanging="567"/>
      </w:pPr>
      <w:rPr>
        <w:rFonts w:hint="default"/>
        <w:lang w:val="cs-CZ" w:eastAsia="en-US" w:bidi="ar-SA"/>
      </w:rPr>
    </w:lvl>
    <w:lvl w:ilvl="5" w:tplc="AFC6EEAA">
      <w:numFmt w:val="bullet"/>
      <w:lvlText w:val="•"/>
      <w:lvlJc w:val="left"/>
      <w:pPr>
        <w:ind w:left="5693" w:hanging="567"/>
      </w:pPr>
      <w:rPr>
        <w:rFonts w:hint="default"/>
        <w:lang w:val="cs-CZ" w:eastAsia="en-US" w:bidi="ar-SA"/>
      </w:rPr>
    </w:lvl>
    <w:lvl w:ilvl="6" w:tplc="82FA3D00">
      <w:numFmt w:val="bullet"/>
      <w:lvlText w:val="•"/>
      <w:lvlJc w:val="left"/>
      <w:pPr>
        <w:ind w:left="6671" w:hanging="567"/>
      </w:pPr>
      <w:rPr>
        <w:rFonts w:hint="default"/>
        <w:lang w:val="cs-CZ" w:eastAsia="en-US" w:bidi="ar-SA"/>
      </w:rPr>
    </w:lvl>
    <w:lvl w:ilvl="7" w:tplc="753C1C5A">
      <w:numFmt w:val="bullet"/>
      <w:lvlText w:val="•"/>
      <w:lvlJc w:val="left"/>
      <w:pPr>
        <w:ind w:left="7650" w:hanging="567"/>
      </w:pPr>
      <w:rPr>
        <w:rFonts w:hint="default"/>
        <w:lang w:val="cs-CZ" w:eastAsia="en-US" w:bidi="ar-SA"/>
      </w:rPr>
    </w:lvl>
    <w:lvl w:ilvl="8" w:tplc="FEB289D4">
      <w:numFmt w:val="bullet"/>
      <w:lvlText w:val="•"/>
      <w:lvlJc w:val="left"/>
      <w:pPr>
        <w:ind w:left="8629" w:hanging="567"/>
      </w:pPr>
      <w:rPr>
        <w:rFonts w:hint="default"/>
        <w:lang w:val="cs-CZ" w:eastAsia="en-US" w:bidi="ar-SA"/>
      </w:rPr>
    </w:lvl>
  </w:abstractNum>
  <w:abstractNum w:abstractNumId="67" w15:restartNumberingAfterBreak="0">
    <w:nsid w:val="52210B67"/>
    <w:multiLevelType w:val="hybridMultilevel"/>
    <w:tmpl w:val="30FA70EA"/>
    <w:lvl w:ilvl="0" w:tplc="1F1CCAE8">
      <w:numFmt w:val="bullet"/>
      <w:lvlText w:val="&gt;"/>
      <w:lvlJc w:val="left"/>
      <w:pPr>
        <w:ind w:left="418"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9A263D20">
      <w:numFmt w:val="bullet"/>
      <w:lvlText w:val="•"/>
      <w:lvlJc w:val="left"/>
      <w:pPr>
        <w:ind w:left="1436" w:hanging="180"/>
      </w:pPr>
      <w:rPr>
        <w:rFonts w:hint="default"/>
        <w:lang w:val="cs-CZ" w:eastAsia="en-US" w:bidi="ar-SA"/>
      </w:rPr>
    </w:lvl>
    <w:lvl w:ilvl="2" w:tplc="4A52B914">
      <w:numFmt w:val="bullet"/>
      <w:lvlText w:val="•"/>
      <w:lvlJc w:val="left"/>
      <w:pPr>
        <w:ind w:left="2453" w:hanging="180"/>
      </w:pPr>
      <w:rPr>
        <w:rFonts w:hint="default"/>
        <w:lang w:val="cs-CZ" w:eastAsia="en-US" w:bidi="ar-SA"/>
      </w:rPr>
    </w:lvl>
    <w:lvl w:ilvl="3" w:tplc="C87267A4">
      <w:numFmt w:val="bullet"/>
      <w:lvlText w:val="•"/>
      <w:lvlJc w:val="left"/>
      <w:pPr>
        <w:ind w:left="3469" w:hanging="180"/>
      </w:pPr>
      <w:rPr>
        <w:rFonts w:hint="default"/>
        <w:lang w:val="cs-CZ" w:eastAsia="en-US" w:bidi="ar-SA"/>
      </w:rPr>
    </w:lvl>
    <w:lvl w:ilvl="4" w:tplc="7332BF50">
      <w:numFmt w:val="bullet"/>
      <w:lvlText w:val="•"/>
      <w:lvlJc w:val="left"/>
      <w:pPr>
        <w:ind w:left="4486" w:hanging="180"/>
      </w:pPr>
      <w:rPr>
        <w:rFonts w:hint="default"/>
        <w:lang w:val="cs-CZ" w:eastAsia="en-US" w:bidi="ar-SA"/>
      </w:rPr>
    </w:lvl>
    <w:lvl w:ilvl="5" w:tplc="1616C846">
      <w:numFmt w:val="bullet"/>
      <w:lvlText w:val="•"/>
      <w:lvlJc w:val="left"/>
      <w:pPr>
        <w:ind w:left="5503" w:hanging="180"/>
      </w:pPr>
      <w:rPr>
        <w:rFonts w:hint="default"/>
        <w:lang w:val="cs-CZ" w:eastAsia="en-US" w:bidi="ar-SA"/>
      </w:rPr>
    </w:lvl>
    <w:lvl w:ilvl="6" w:tplc="BEA09906">
      <w:numFmt w:val="bullet"/>
      <w:lvlText w:val="•"/>
      <w:lvlJc w:val="left"/>
      <w:pPr>
        <w:ind w:left="6519" w:hanging="180"/>
      </w:pPr>
      <w:rPr>
        <w:rFonts w:hint="default"/>
        <w:lang w:val="cs-CZ" w:eastAsia="en-US" w:bidi="ar-SA"/>
      </w:rPr>
    </w:lvl>
    <w:lvl w:ilvl="7" w:tplc="1A0EE340">
      <w:numFmt w:val="bullet"/>
      <w:lvlText w:val="•"/>
      <w:lvlJc w:val="left"/>
      <w:pPr>
        <w:ind w:left="7536" w:hanging="180"/>
      </w:pPr>
      <w:rPr>
        <w:rFonts w:hint="default"/>
        <w:lang w:val="cs-CZ" w:eastAsia="en-US" w:bidi="ar-SA"/>
      </w:rPr>
    </w:lvl>
    <w:lvl w:ilvl="8" w:tplc="CC64A1E4">
      <w:numFmt w:val="bullet"/>
      <w:lvlText w:val="•"/>
      <w:lvlJc w:val="left"/>
      <w:pPr>
        <w:ind w:left="8553" w:hanging="180"/>
      </w:pPr>
      <w:rPr>
        <w:rFonts w:hint="default"/>
        <w:lang w:val="cs-CZ" w:eastAsia="en-US" w:bidi="ar-SA"/>
      </w:rPr>
    </w:lvl>
  </w:abstractNum>
  <w:abstractNum w:abstractNumId="68" w15:restartNumberingAfterBreak="0">
    <w:nsid w:val="583946F3"/>
    <w:multiLevelType w:val="hybridMultilevel"/>
    <w:tmpl w:val="12B63FD8"/>
    <w:lvl w:ilvl="0" w:tplc="B53E7DC4">
      <w:start w:val="1"/>
      <w:numFmt w:val="decimal"/>
      <w:lvlText w:val="%1"/>
      <w:lvlJc w:val="left"/>
      <w:pPr>
        <w:ind w:left="238" w:hanging="166"/>
      </w:pPr>
      <w:rPr>
        <w:rFonts w:hint="default"/>
        <w:spacing w:val="0"/>
        <w:w w:val="100"/>
        <w:lang w:val="cs-CZ" w:eastAsia="en-US" w:bidi="ar-SA"/>
      </w:rPr>
    </w:lvl>
    <w:lvl w:ilvl="1" w:tplc="68028620">
      <w:numFmt w:val="bullet"/>
      <w:lvlText w:val="•"/>
      <w:lvlJc w:val="left"/>
      <w:pPr>
        <w:ind w:left="1274" w:hanging="166"/>
      </w:pPr>
      <w:rPr>
        <w:rFonts w:hint="default"/>
        <w:lang w:val="cs-CZ" w:eastAsia="en-US" w:bidi="ar-SA"/>
      </w:rPr>
    </w:lvl>
    <w:lvl w:ilvl="2" w:tplc="1DFCC22C">
      <w:numFmt w:val="bullet"/>
      <w:lvlText w:val="•"/>
      <w:lvlJc w:val="left"/>
      <w:pPr>
        <w:ind w:left="2309" w:hanging="166"/>
      </w:pPr>
      <w:rPr>
        <w:rFonts w:hint="default"/>
        <w:lang w:val="cs-CZ" w:eastAsia="en-US" w:bidi="ar-SA"/>
      </w:rPr>
    </w:lvl>
    <w:lvl w:ilvl="3" w:tplc="884AF63C">
      <w:numFmt w:val="bullet"/>
      <w:lvlText w:val="•"/>
      <w:lvlJc w:val="left"/>
      <w:pPr>
        <w:ind w:left="3343" w:hanging="166"/>
      </w:pPr>
      <w:rPr>
        <w:rFonts w:hint="default"/>
        <w:lang w:val="cs-CZ" w:eastAsia="en-US" w:bidi="ar-SA"/>
      </w:rPr>
    </w:lvl>
    <w:lvl w:ilvl="4" w:tplc="F4E46E42">
      <w:numFmt w:val="bullet"/>
      <w:lvlText w:val="•"/>
      <w:lvlJc w:val="left"/>
      <w:pPr>
        <w:ind w:left="4378" w:hanging="166"/>
      </w:pPr>
      <w:rPr>
        <w:rFonts w:hint="default"/>
        <w:lang w:val="cs-CZ" w:eastAsia="en-US" w:bidi="ar-SA"/>
      </w:rPr>
    </w:lvl>
    <w:lvl w:ilvl="5" w:tplc="72742B00">
      <w:numFmt w:val="bullet"/>
      <w:lvlText w:val="•"/>
      <w:lvlJc w:val="left"/>
      <w:pPr>
        <w:ind w:left="5413" w:hanging="166"/>
      </w:pPr>
      <w:rPr>
        <w:rFonts w:hint="default"/>
        <w:lang w:val="cs-CZ" w:eastAsia="en-US" w:bidi="ar-SA"/>
      </w:rPr>
    </w:lvl>
    <w:lvl w:ilvl="6" w:tplc="F89C1BD2">
      <w:numFmt w:val="bullet"/>
      <w:lvlText w:val="•"/>
      <w:lvlJc w:val="left"/>
      <w:pPr>
        <w:ind w:left="6447" w:hanging="166"/>
      </w:pPr>
      <w:rPr>
        <w:rFonts w:hint="default"/>
        <w:lang w:val="cs-CZ" w:eastAsia="en-US" w:bidi="ar-SA"/>
      </w:rPr>
    </w:lvl>
    <w:lvl w:ilvl="7" w:tplc="B7C6952C">
      <w:numFmt w:val="bullet"/>
      <w:lvlText w:val="•"/>
      <w:lvlJc w:val="left"/>
      <w:pPr>
        <w:ind w:left="7482" w:hanging="166"/>
      </w:pPr>
      <w:rPr>
        <w:rFonts w:hint="default"/>
        <w:lang w:val="cs-CZ" w:eastAsia="en-US" w:bidi="ar-SA"/>
      </w:rPr>
    </w:lvl>
    <w:lvl w:ilvl="8" w:tplc="3ACC030C">
      <w:numFmt w:val="bullet"/>
      <w:lvlText w:val="•"/>
      <w:lvlJc w:val="left"/>
      <w:pPr>
        <w:ind w:left="8517" w:hanging="166"/>
      </w:pPr>
      <w:rPr>
        <w:rFonts w:hint="default"/>
        <w:lang w:val="cs-CZ" w:eastAsia="en-US" w:bidi="ar-SA"/>
      </w:rPr>
    </w:lvl>
  </w:abstractNum>
  <w:abstractNum w:abstractNumId="69" w15:restartNumberingAfterBreak="0">
    <w:nsid w:val="5A5830F7"/>
    <w:multiLevelType w:val="hybridMultilevel"/>
    <w:tmpl w:val="81620280"/>
    <w:lvl w:ilvl="0" w:tplc="45C4E026">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9650F442">
      <w:numFmt w:val="bullet"/>
      <w:lvlText w:val="•"/>
      <w:lvlJc w:val="left"/>
      <w:pPr>
        <w:ind w:left="298" w:hanging="180"/>
      </w:pPr>
      <w:rPr>
        <w:rFonts w:hint="default"/>
        <w:lang w:val="cs-CZ" w:eastAsia="en-US" w:bidi="ar-SA"/>
      </w:rPr>
    </w:lvl>
    <w:lvl w:ilvl="2" w:tplc="1A4E670A">
      <w:numFmt w:val="bullet"/>
      <w:lvlText w:val="•"/>
      <w:lvlJc w:val="left"/>
      <w:pPr>
        <w:ind w:left="496" w:hanging="180"/>
      </w:pPr>
      <w:rPr>
        <w:rFonts w:hint="default"/>
        <w:lang w:val="cs-CZ" w:eastAsia="en-US" w:bidi="ar-SA"/>
      </w:rPr>
    </w:lvl>
    <w:lvl w:ilvl="3" w:tplc="7026E018">
      <w:numFmt w:val="bullet"/>
      <w:lvlText w:val="•"/>
      <w:lvlJc w:val="left"/>
      <w:pPr>
        <w:ind w:left="694" w:hanging="180"/>
      </w:pPr>
      <w:rPr>
        <w:rFonts w:hint="default"/>
        <w:lang w:val="cs-CZ" w:eastAsia="en-US" w:bidi="ar-SA"/>
      </w:rPr>
    </w:lvl>
    <w:lvl w:ilvl="4" w:tplc="BE648044">
      <w:numFmt w:val="bullet"/>
      <w:lvlText w:val="•"/>
      <w:lvlJc w:val="left"/>
      <w:pPr>
        <w:ind w:left="893" w:hanging="180"/>
      </w:pPr>
      <w:rPr>
        <w:rFonts w:hint="default"/>
        <w:lang w:val="cs-CZ" w:eastAsia="en-US" w:bidi="ar-SA"/>
      </w:rPr>
    </w:lvl>
    <w:lvl w:ilvl="5" w:tplc="20CC7DCA">
      <w:numFmt w:val="bullet"/>
      <w:lvlText w:val="•"/>
      <w:lvlJc w:val="left"/>
      <w:pPr>
        <w:ind w:left="1091" w:hanging="180"/>
      </w:pPr>
      <w:rPr>
        <w:rFonts w:hint="default"/>
        <w:lang w:val="cs-CZ" w:eastAsia="en-US" w:bidi="ar-SA"/>
      </w:rPr>
    </w:lvl>
    <w:lvl w:ilvl="6" w:tplc="3FB68E22">
      <w:numFmt w:val="bullet"/>
      <w:lvlText w:val="•"/>
      <w:lvlJc w:val="left"/>
      <w:pPr>
        <w:ind w:left="1289" w:hanging="180"/>
      </w:pPr>
      <w:rPr>
        <w:rFonts w:hint="default"/>
        <w:lang w:val="cs-CZ" w:eastAsia="en-US" w:bidi="ar-SA"/>
      </w:rPr>
    </w:lvl>
    <w:lvl w:ilvl="7" w:tplc="3008F0D8">
      <w:numFmt w:val="bullet"/>
      <w:lvlText w:val="•"/>
      <w:lvlJc w:val="left"/>
      <w:pPr>
        <w:ind w:left="1488" w:hanging="180"/>
      </w:pPr>
      <w:rPr>
        <w:rFonts w:hint="default"/>
        <w:lang w:val="cs-CZ" w:eastAsia="en-US" w:bidi="ar-SA"/>
      </w:rPr>
    </w:lvl>
    <w:lvl w:ilvl="8" w:tplc="31BA2760">
      <w:numFmt w:val="bullet"/>
      <w:lvlText w:val="•"/>
      <w:lvlJc w:val="left"/>
      <w:pPr>
        <w:ind w:left="1686" w:hanging="180"/>
      </w:pPr>
      <w:rPr>
        <w:rFonts w:hint="default"/>
        <w:lang w:val="cs-CZ" w:eastAsia="en-US" w:bidi="ar-SA"/>
      </w:rPr>
    </w:lvl>
  </w:abstractNum>
  <w:abstractNum w:abstractNumId="70" w15:restartNumberingAfterBreak="0">
    <w:nsid w:val="5A693A5E"/>
    <w:multiLevelType w:val="hybridMultilevel"/>
    <w:tmpl w:val="D36EA018"/>
    <w:lvl w:ilvl="0" w:tplc="249CC020">
      <w:numFmt w:val="bullet"/>
      <w:lvlText w:val="&gt;"/>
      <w:lvlJc w:val="left"/>
      <w:pPr>
        <w:ind w:left="238"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2D7E90F8">
      <w:numFmt w:val="bullet"/>
      <w:lvlText w:val="•"/>
      <w:lvlJc w:val="left"/>
      <w:pPr>
        <w:ind w:left="1274" w:hanging="180"/>
      </w:pPr>
      <w:rPr>
        <w:rFonts w:hint="default"/>
        <w:lang w:val="cs-CZ" w:eastAsia="en-US" w:bidi="ar-SA"/>
      </w:rPr>
    </w:lvl>
    <w:lvl w:ilvl="2" w:tplc="FDC892C8">
      <w:numFmt w:val="bullet"/>
      <w:lvlText w:val="•"/>
      <w:lvlJc w:val="left"/>
      <w:pPr>
        <w:ind w:left="2309" w:hanging="180"/>
      </w:pPr>
      <w:rPr>
        <w:rFonts w:hint="default"/>
        <w:lang w:val="cs-CZ" w:eastAsia="en-US" w:bidi="ar-SA"/>
      </w:rPr>
    </w:lvl>
    <w:lvl w:ilvl="3" w:tplc="9790FA52">
      <w:numFmt w:val="bullet"/>
      <w:lvlText w:val="•"/>
      <w:lvlJc w:val="left"/>
      <w:pPr>
        <w:ind w:left="3343" w:hanging="180"/>
      </w:pPr>
      <w:rPr>
        <w:rFonts w:hint="default"/>
        <w:lang w:val="cs-CZ" w:eastAsia="en-US" w:bidi="ar-SA"/>
      </w:rPr>
    </w:lvl>
    <w:lvl w:ilvl="4" w:tplc="D81C34C4">
      <w:numFmt w:val="bullet"/>
      <w:lvlText w:val="•"/>
      <w:lvlJc w:val="left"/>
      <w:pPr>
        <w:ind w:left="4378" w:hanging="180"/>
      </w:pPr>
      <w:rPr>
        <w:rFonts w:hint="default"/>
        <w:lang w:val="cs-CZ" w:eastAsia="en-US" w:bidi="ar-SA"/>
      </w:rPr>
    </w:lvl>
    <w:lvl w:ilvl="5" w:tplc="BB808BF6">
      <w:numFmt w:val="bullet"/>
      <w:lvlText w:val="•"/>
      <w:lvlJc w:val="left"/>
      <w:pPr>
        <w:ind w:left="5413" w:hanging="180"/>
      </w:pPr>
      <w:rPr>
        <w:rFonts w:hint="default"/>
        <w:lang w:val="cs-CZ" w:eastAsia="en-US" w:bidi="ar-SA"/>
      </w:rPr>
    </w:lvl>
    <w:lvl w:ilvl="6" w:tplc="CAFA7948">
      <w:numFmt w:val="bullet"/>
      <w:lvlText w:val="•"/>
      <w:lvlJc w:val="left"/>
      <w:pPr>
        <w:ind w:left="6447" w:hanging="180"/>
      </w:pPr>
      <w:rPr>
        <w:rFonts w:hint="default"/>
        <w:lang w:val="cs-CZ" w:eastAsia="en-US" w:bidi="ar-SA"/>
      </w:rPr>
    </w:lvl>
    <w:lvl w:ilvl="7" w:tplc="22FCA10C">
      <w:numFmt w:val="bullet"/>
      <w:lvlText w:val="•"/>
      <w:lvlJc w:val="left"/>
      <w:pPr>
        <w:ind w:left="7482" w:hanging="180"/>
      </w:pPr>
      <w:rPr>
        <w:rFonts w:hint="default"/>
        <w:lang w:val="cs-CZ" w:eastAsia="en-US" w:bidi="ar-SA"/>
      </w:rPr>
    </w:lvl>
    <w:lvl w:ilvl="8" w:tplc="C248F116">
      <w:numFmt w:val="bullet"/>
      <w:lvlText w:val="•"/>
      <w:lvlJc w:val="left"/>
      <w:pPr>
        <w:ind w:left="8517" w:hanging="180"/>
      </w:pPr>
      <w:rPr>
        <w:rFonts w:hint="default"/>
        <w:lang w:val="cs-CZ" w:eastAsia="en-US" w:bidi="ar-SA"/>
      </w:rPr>
    </w:lvl>
  </w:abstractNum>
  <w:abstractNum w:abstractNumId="71" w15:restartNumberingAfterBreak="0">
    <w:nsid w:val="5A9436B8"/>
    <w:multiLevelType w:val="hybridMultilevel"/>
    <w:tmpl w:val="C6D0A92C"/>
    <w:lvl w:ilvl="0" w:tplc="8FCAD224">
      <w:numFmt w:val="bullet"/>
      <w:lvlText w:val="•"/>
      <w:lvlJc w:val="left"/>
      <w:pPr>
        <w:ind w:left="379" w:hanging="142"/>
      </w:pPr>
      <w:rPr>
        <w:rFonts w:ascii="Times New Roman" w:eastAsia="Times New Roman" w:hAnsi="Times New Roman" w:cs="Times New Roman" w:hint="default"/>
        <w:b w:val="0"/>
        <w:bCs w:val="0"/>
        <w:i w:val="0"/>
        <w:iCs w:val="0"/>
        <w:color w:val="231F20"/>
        <w:spacing w:val="0"/>
        <w:w w:val="100"/>
        <w:sz w:val="22"/>
        <w:szCs w:val="22"/>
        <w:lang w:val="cs-CZ" w:eastAsia="en-US" w:bidi="ar-SA"/>
      </w:rPr>
    </w:lvl>
    <w:lvl w:ilvl="1" w:tplc="2548A12A">
      <w:numFmt w:val="bullet"/>
      <w:lvlText w:val=""/>
      <w:lvlJc w:val="left"/>
      <w:pPr>
        <w:ind w:left="951" w:hanging="351"/>
      </w:pPr>
      <w:rPr>
        <w:rFonts w:ascii="Symbol" w:eastAsia="Symbol" w:hAnsi="Symbol" w:cs="Symbol" w:hint="default"/>
        <w:b w:val="0"/>
        <w:bCs w:val="0"/>
        <w:i w:val="0"/>
        <w:iCs w:val="0"/>
        <w:spacing w:val="0"/>
        <w:w w:val="100"/>
        <w:sz w:val="24"/>
        <w:szCs w:val="24"/>
        <w:lang w:val="cs-CZ" w:eastAsia="en-US" w:bidi="ar-SA"/>
      </w:rPr>
    </w:lvl>
    <w:lvl w:ilvl="2" w:tplc="7A86EAC0">
      <w:numFmt w:val="bullet"/>
      <w:lvlText w:val="•"/>
      <w:lvlJc w:val="left"/>
      <w:pPr>
        <w:ind w:left="2029" w:hanging="351"/>
      </w:pPr>
      <w:rPr>
        <w:rFonts w:hint="default"/>
        <w:lang w:val="cs-CZ" w:eastAsia="en-US" w:bidi="ar-SA"/>
      </w:rPr>
    </w:lvl>
    <w:lvl w:ilvl="3" w:tplc="5D003BA4">
      <w:numFmt w:val="bullet"/>
      <w:lvlText w:val="•"/>
      <w:lvlJc w:val="left"/>
      <w:pPr>
        <w:ind w:left="3099" w:hanging="351"/>
      </w:pPr>
      <w:rPr>
        <w:rFonts w:hint="default"/>
        <w:lang w:val="cs-CZ" w:eastAsia="en-US" w:bidi="ar-SA"/>
      </w:rPr>
    </w:lvl>
    <w:lvl w:ilvl="4" w:tplc="709A4FBE">
      <w:numFmt w:val="bullet"/>
      <w:lvlText w:val="•"/>
      <w:lvlJc w:val="left"/>
      <w:pPr>
        <w:ind w:left="4168" w:hanging="351"/>
      </w:pPr>
      <w:rPr>
        <w:rFonts w:hint="default"/>
        <w:lang w:val="cs-CZ" w:eastAsia="en-US" w:bidi="ar-SA"/>
      </w:rPr>
    </w:lvl>
    <w:lvl w:ilvl="5" w:tplc="B93CD8F2">
      <w:numFmt w:val="bullet"/>
      <w:lvlText w:val="•"/>
      <w:lvlJc w:val="left"/>
      <w:pPr>
        <w:ind w:left="5238" w:hanging="351"/>
      </w:pPr>
      <w:rPr>
        <w:rFonts w:hint="default"/>
        <w:lang w:val="cs-CZ" w:eastAsia="en-US" w:bidi="ar-SA"/>
      </w:rPr>
    </w:lvl>
    <w:lvl w:ilvl="6" w:tplc="47E69BA2">
      <w:numFmt w:val="bullet"/>
      <w:lvlText w:val="•"/>
      <w:lvlJc w:val="left"/>
      <w:pPr>
        <w:ind w:left="6308" w:hanging="351"/>
      </w:pPr>
      <w:rPr>
        <w:rFonts w:hint="default"/>
        <w:lang w:val="cs-CZ" w:eastAsia="en-US" w:bidi="ar-SA"/>
      </w:rPr>
    </w:lvl>
    <w:lvl w:ilvl="7" w:tplc="458C9612">
      <w:numFmt w:val="bullet"/>
      <w:lvlText w:val="•"/>
      <w:lvlJc w:val="left"/>
      <w:pPr>
        <w:ind w:left="7377" w:hanging="351"/>
      </w:pPr>
      <w:rPr>
        <w:rFonts w:hint="default"/>
        <w:lang w:val="cs-CZ" w:eastAsia="en-US" w:bidi="ar-SA"/>
      </w:rPr>
    </w:lvl>
    <w:lvl w:ilvl="8" w:tplc="D63A07E8">
      <w:numFmt w:val="bullet"/>
      <w:lvlText w:val="•"/>
      <w:lvlJc w:val="left"/>
      <w:pPr>
        <w:ind w:left="8447" w:hanging="351"/>
      </w:pPr>
      <w:rPr>
        <w:rFonts w:hint="default"/>
        <w:lang w:val="cs-CZ" w:eastAsia="en-US" w:bidi="ar-SA"/>
      </w:rPr>
    </w:lvl>
  </w:abstractNum>
  <w:abstractNum w:abstractNumId="72" w15:restartNumberingAfterBreak="0">
    <w:nsid w:val="5CB837A9"/>
    <w:multiLevelType w:val="hybridMultilevel"/>
    <w:tmpl w:val="3EBAB6BA"/>
    <w:lvl w:ilvl="0" w:tplc="7DC43D8A">
      <w:numFmt w:val="bullet"/>
      <w:lvlText w:val=""/>
      <w:lvlJc w:val="left"/>
      <w:pPr>
        <w:ind w:left="804" w:hanging="567"/>
      </w:pPr>
      <w:rPr>
        <w:rFonts w:ascii="Symbol" w:eastAsia="Symbol" w:hAnsi="Symbol" w:cs="Symbol" w:hint="default"/>
        <w:b w:val="0"/>
        <w:bCs w:val="0"/>
        <w:i w:val="0"/>
        <w:iCs w:val="0"/>
        <w:spacing w:val="0"/>
        <w:w w:val="100"/>
        <w:sz w:val="22"/>
        <w:szCs w:val="22"/>
        <w:lang w:val="cs-CZ" w:eastAsia="en-US" w:bidi="ar-SA"/>
      </w:rPr>
    </w:lvl>
    <w:lvl w:ilvl="1" w:tplc="31BC4926">
      <w:numFmt w:val="bullet"/>
      <w:lvlText w:val=""/>
      <w:lvlJc w:val="left"/>
      <w:pPr>
        <w:ind w:left="778" w:hanging="258"/>
      </w:pPr>
      <w:rPr>
        <w:rFonts w:ascii="Symbol" w:eastAsia="Symbol" w:hAnsi="Symbol" w:cs="Symbol" w:hint="default"/>
        <w:b w:val="0"/>
        <w:bCs w:val="0"/>
        <w:i w:val="0"/>
        <w:iCs w:val="0"/>
        <w:spacing w:val="0"/>
        <w:w w:val="100"/>
        <w:sz w:val="22"/>
        <w:szCs w:val="22"/>
        <w:lang w:val="cs-CZ" w:eastAsia="en-US" w:bidi="ar-SA"/>
      </w:rPr>
    </w:lvl>
    <w:lvl w:ilvl="2" w:tplc="97BEEB70">
      <w:numFmt w:val="bullet"/>
      <w:lvlText w:val="•"/>
      <w:lvlJc w:val="left"/>
      <w:pPr>
        <w:ind w:left="1520" w:hanging="258"/>
      </w:pPr>
      <w:rPr>
        <w:rFonts w:hint="default"/>
        <w:lang w:val="cs-CZ" w:eastAsia="en-US" w:bidi="ar-SA"/>
      </w:rPr>
    </w:lvl>
    <w:lvl w:ilvl="3" w:tplc="F0CC6FBE">
      <w:numFmt w:val="bullet"/>
      <w:lvlText w:val="•"/>
      <w:lvlJc w:val="left"/>
      <w:pPr>
        <w:ind w:left="2653" w:hanging="258"/>
      </w:pPr>
      <w:rPr>
        <w:rFonts w:hint="default"/>
        <w:lang w:val="cs-CZ" w:eastAsia="en-US" w:bidi="ar-SA"/>
      </w:rPr>
    </w:lvl>
    <w:lvl w:ilvl="4" w:tplc="3B489D36">
      <w:numFmt w:val="bullet"/>
      <w:lvlText w:val="•"/>
      <w:lvlJc w:val="left"/>
      <w:pPr>
        <w:ind w:left="3786" w:hanging="258"/>
      </w:pPr>
      <w:rPr>
        <w:rFonts w:hint="default"/>
        <w:lang w:val="cs-CZ" w:eastAsia="en-US" w:bidi="ar-SA"/>
      </w:rPr>
    </w:lvl>
    <w:lvl w:ilvl="5" w:tplc="8C368814">
      <w:numFmt w:val="bullet"/>
      <w:lvlText w:val="•"/>
      <w:lvlJc w:val="left"/>
      <w:pPr>
        <w:ind w:left="4919" w:hanging="258"/>
      </w:pPr>
      <w:rPr>
        <w:rFonts w:hint="default"/>
        <w:lang w:val="cs-CZ" w:eastAsia="en-US" w:bidi="ar-SA"/>
      </w:rPr>
    </w:lvl>
    <w:lvl w:ilvl="6" w:tplc="DE96C5C4">
      <w:numFmt w:val="bullet"/>
      <w:lvlText w:val="•"/>
      <w:lvlJc w:val="left"/>
      <w:pPr>
        <w:ind w:left="6053" w:hanging="258"/>
      </w:pPr>
      <w:rPr>
        <w:rFonts w:hint="default"/>
        <w:lang w:val="cs-CZ" w:eastAsia="en-US" w:bidi="ar-SA"/>
      </w:rPr>
    </w:lvl>
    <w:lvl w:ilvl="7" w:tplc="999C63DE">
      <w:numFmt w:val="bullet"/>
      <w:lvlText w:val="•"/>
      <w:lvlJc w:val="left"/>
      <w:pPr>
        <w:ind w:left="7186" w:hanging="258"/>
      </w:pPr>
      <w:rPr>
        <w:rFonts w:hint="default"/>
        <w:lang w:val="cs-CZ" w:eastAsia="en-US" w:bidi="ar-SA"/>
      </w:rPr>
    </w:lvl>
    <w:lvl w:ilvl="8" w:tplc="B5B801D0">
      <w:numFmt w:val="bullet"/>
      <w:lvlText w:val="•"/>
      <w:lvlJc w:val="left"/>
      <w:pPr>
        <w:ind w:left="8319" w:hanging="258"/>
      </w:pPr>
      <w:rPr>
        <w:rFonts w:hint="default"/>
        <w:lang w:val="cs-CZ" w:eastAsia="en-US" w:bidi="ar-SA"/>
      </w:rPr>
    </w:lvl>
  </w:abstractNum>
  <w:abstractNum w:abstractNumId="73" w15:restartNumberingAfterBreak="0">
    <w:nsid w:val="5DA13FD4"/>
    <w:multiLevelType w:val="hybridMultilevel"/>
    <w:tmpl w:val="D81A161A"/>
    <w:lvl w:ilvl="0" w:tplc="559E136C">
      <w:numFmt w:val="bullet"/>
      <w:lvlText w:val=""/>
      <w:lvlJc w:val="left"/>
      <w:pPr>
        <w:ind w:left="521" w:hanging="284"/>
      </w:pPr>
      <w:rPr>
        <w:rFonts w:ascii="Symbol" w:eastAsia="Symbol" w:hAnsi="Symbol" w:cs="Symbol" w:hint="default"/>
        <w:spacing w:val="0"/>
        <w:w w:val="100"/>
        <w:lang w:val="cs-CZ" w:eastAsia="en-US" w:bidi="ar-SA"/>
      </w:rPr>
    </w:lvl>
    <w:lvl w:ilvl="1" w:tplc="7EECADD8">
      <w:numFmt w:val="bullet"/>
      <w:lvlText w:val="•"/>
      <w:lvlJc w:val="left"/>
      <w:pPr>
        <w:ind w:left="1526" w:hanging="284"/>
      </w:pPr>
      <w:rPr>
        <w:rFonts w:hint="default"/>
        <w:lang w:val="cs-CZ" w:eastAsia="en-US" w:bidi="ar-SA"/>
      </w:rPr>
    </w:lvl>
    <w:lvl w:ilvl="2" w:tplc="EC66AEC6">
      <w:numFmt w:val="bullet"/>
      <w:lvlText w:val="•"/>
      <w:lvlJc w:val="left"/>
      <w:pPr>
        <w:ind w:left="2533" w:hanging="284"/>
      </w:pPr>
      <w:rPr>
        <w:rFonts w:hint="default"/>
        <w:lang w:val="cs-CZ" w:eastAsia="en-US" w:bidi="ar-SA"/>
      </w:rPr>
    </w:lvl>
    <w:lvl w:ilvl="3" w:tplc="4E0A3388">
      <w:numFmt w:val="bullet"/>
      <w:lvlText w:val="•"/>
      <w:lvlJc w:val="left"/>
      <w:pPr>
        <w:ind w:left="3539" w:hanging="284"/>
      </w:pPr>
      <w:rPr>
        <w:rFonts w:hint="default"/>
        <w:lang w:val="cs-CZ" w:eastAsia="en-US" w:bidi="ar-SA"/>
      </w:rPr>
    </w:lvl>
    <w:lvl w:ilvl="4" w:tplc="6478A7BE">
      <w:numFmt w:val="bullet"/>
      <w:lvlText w:val="•"/>
      <w:lvlJc w:val="left"/>
      <w:pPr>
        <w:ind w:left="4546" w:hanging="284"/>
      </w:pPr>
      <w:rPr>
        <w:rFonts w:hint="default"/>
        <w:lang w:val="cs-CZ" w:eastAsia="en-US" w:bidi="ar-SA"/>
      </w:rPr>
    </w:lvl>
    <w:lvl w:ilvl="5" w:tplc="BE88DE10">
      <w:numFmt w:val="bullet"/>
      <w:lvlText w:val="•"/>
      <w:lvlJc w:val="left"/>
      <w:pPr>
        <w:ind w:left="5553" w:hanging="284"/>
      </w:pPr>
      <w:rPr>
        <w:rFonts w:hint="default"/>
        <w:lang w:val="cs-CZ" w:eastAsia="en-US" w:bidi="ar-SA"/>
      </w:rPr>
    </w:lvl>
    <w:lvl w:ilvl="6" w:tplc="9B94F1E2">
      <w:numFmt w:val="bullet"/>
      <w:lvlText w:val="•"/>
      <w:lvlJc w:val="left"/>
      <w:pPr>
        <w:ind w:left="6559" w:hanging="284"/>
      </w:pPr>
      <w:rPr>
        <w:rFonts w:hint="default"/>
        <w:lang w:val="cs-CZ" w:eastAsia="en-US" w:bidi="ar-SA"/>
      </w:rPr>
    </w:lvl>
    <w:lvl w:ilvl="7" w:tplc="FD0C5848">
      <w:numFmt w:val="bullet"/>
      <w:lvlText w:val="•"/>
      <w:lvlJc w:val="left"/>
      <w:pPr>
        <w:ind w:left="7566" w:hanging="284"/>
      </w:pPr>
      <w:rPr>
        <w:rFonts w:hint="default"/>
        <w:lang w:val="cs-CZ" w:eastAsia="en-US" w:bidi="ar-SA"/>
      </w:rPr>
    </w:lvl>
    <w:lvl w:ilvl="8" w:tplc="30F20C78">
      <w:numFmt w:val="bullet"/>
      <w:lvlText w:val="•"/>
      <w:lvlJc w:val="left"/>
      <w:pPr>
        <w:ind w:left="8573" w:hanging="284"/>
      </w:pPr>
      <w:rPr>
        <w:rFonts w:hint="default"/>
        <w:lang w:val="cs-CZ" w:eastAsia="en-US" w:bidi="ar-SA"/>
      </w:rPr>
    </w:lvl>
  </w:abstractNum>
  <w:abstractNum w:abstractNumId="74" w15:restartNumberingAfterBreak="0">
    <w:nsid w:val="5E011E37"/>
    <w:multiLevelType w:val="multilevel"/>
    <w:tmpl w:val="49C8E242"/>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cs-CZ"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cs-CZ" w:eastAsia="en-US" w:bidi="ar-SA"/>
      </w:rPr>
    </w:lvl>
    <w:lvl w:ilvl="2">
      <w:numFmt w:val="bullet"/>
      <w:lvlText w:val=""/>
      <w:lvlJc w:val="left"/>
      <w:pPr>
        <w:ind w:left="951" w:hanging="351"/>
      </w:pPr>
      <w:rPr>
        <w:rFonts w:ascii="Symbol" w:eastAsia="Symbol" w:hAnsi="Symbol" w:cs="Symbol" w:hint="default"/>
        <w:b w:val="0"/>
        <w:bCs w:val="0"/>
        <w:i w:val="0"/>
        <w:iCs w:val="0"/>
        <w:spacing w:val="0"/>
        <w:w w:val="100"/>
        <w:sz w:val="24"/>
        <w:szCs w:val="24"/>
        <w:lang w:val="cs-CZ" w:eastAsia="en-US" w:bidi="ar-SA"/>
      </w:rPr>
    </w:lvl>
    <w:lvl w:ilvl="3">
      <w:numFmt w:val="bullet"/>
      <w:lvlText w:val="•"/>
      <w:lvlJc w:val="left"/>
      <w:pPr>
        <w:ind w:left="3099" w:hanging="351"/>
      </w:pPr>
      <w:rPr>
        <w:rFonts w:hint="default"/>
        <w:lang w:val="cs-CZ" w:eastAsia="en-US" w:bidi="ar-SA"/>
      </w:rPr>
    </w:lvl>
    <w:lvl w:ilvl="4">
      <w:numFmt w:val="bullet"/>
      <w:lvlText w:val="•"/>
      <w:lvlJc w:val="left"/>
      <w:pPr>
        <w:ind w:left="4168" w:hanging="351"/>
      </w:pPr>
      <w:rPr>
        <w:rFonts w:hint="default"/>
        <w:lang w:val="cs-CZ" w:eastAsia="en-US" w:bidi="ar-SA"/>
      </w:rPr>
    </w:lvl>
    <w:lvl w:ilvl="5">
      <w:numFmt w:val="bullet"/>
      <w:lvlText w:val="•"/>
      <w:lvlJc w:val="left"/>
      <w:pPr>
        <w:ind w:left="5238" w:hanging="351"/>
      </w:pPr>
      <w:rPr>
        <w:rFonts w:hint="default"/>
        <w:lang w:val="cs-CZ" w:eastAsia="en-US" w:bidi="ar-SA"/>
      </w:rPr>
    </w:lvl>
    <w:lvl w:ilvl="6">
      <w:numFmt w:val="bullet"/>
      <w:lvlText w:val="•"/>
      <w:lvlJc w:val="left"/>
      <w:pPr>
        <w:ind w:left="6308" w:hanging="351"/>
      </w:pPr>
      <w:rPr>
        <w:rFonts w:hint="default"/>
        <w:lang w:val="cs-CZ" w:eastAsia="en-US" w:bidi="ar-SA"/>
      </w:rPr>
    </w:lvl>
    <w:lvl w:ilvl="7">
      <w:numFmt w:val="bullet"/>
      <w:lvlText w:val="•"/>
      <w:lvlJc w:val="left"/>
      <w:pPr>
        <w:ind w:left="7377" w:hanging="351"/>
      </w:pPr>
      <w:rPr>
        <w:rFonts w:hint="default"/>
        <w:lang w:val="cs-CZ" w:eastAsia="en-US" w:bidi="ar-SA"/>
      </w:rPr>
    </w:lvl>
    <w:lvl w:ilvl="8">
      <w:numFmt w:val="bullet"/>
      <w:lvlText w:val="•"/>
      <w:lvlJc w:val="left"/>
      <w:pPr>
        <w:ind w:left="8447" w:hanging="351"/>
      </w:pPr>
      <w:rPr>
        <w:rFonts w:hint="default"/>
        <w:lang w:val="cs-CZ" w:eastAsia="en-US" w:bidi="ar-SA"/>
      </w:rPr>
    </w:lvl>
  </w:abstractNum>
  <w:abstractNum w:abstractNumId="75"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6"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77" w15:restartNumberingAfterBreak="0">
    <w:nsid w:val="5F9A6CAA"/>
    <w:multiLevelType w:val="hybridMultilevel"/>
    <w:tmpl w:val="E5184FAE"/>
    <w:lvl w:ilvl="0" w:tplc="4A96F0CE">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cs-CZ" w:eastAsia="en-US" w:bidi="ar-SA"/>
      </w:rPr>
    </w:lvl>
    <w:lvl w:ilvl="1" w:tplc="CAE8CB5A">
      <w:numFmt w:val="bullet"/>
      <w:lvlText w:val="•"/>
      <w:lvlJc w:val="left"/>
      <w:pPr>
        <w:ind w:left="1778" w:hanging="567"/>
      </w:pPr>
      <w:rPr>
        <w:rFonts w:hint="default"/>
        <w:lang w:val="cs-CZ" w:eastAsia="en-US" w:bidi="ar-SA"/>
      </w:rPr>
    </w:lvl>
    <w:lvl w:ilvl="2" w:tplc="E4CCFB34">
      <w:numFmt w:val="bullet"/>
      <w:lvlText w:val="•"/>
      <w:lvlJc w:val="left"/>
      <w:pPr>
        <w:ind w:left="2757" w:hanging="567"/>
      </w:pPr>
      <w:rPr>
        <w:rFonts w:hint="default"/>
        <w:lang w:val="cs-CZ" w:eastAsia="en-US" w:bidi="ar-SA"/>
      </w:rPr>
    </w:lvl>
    <w:lvl w:ilvl="3" w:tplc="B264405E">
      <w:numFmt w:val="bullet"/>
      <w:lvlText w:val="•"/>
      <w:lvlJc w:val="left"/>
      <w:pPr>
        <w:ind w:left="3735" w:hanging="567"/>
      </w:pPr>
      <w:rPr>
        <w:rFonts w:hint="default"/>
        <w:lang w:val="cs-CZ" w:eastAsia="en-US" w:bidi="ar-SA"/>
      </w:rPr>
    </w:lvl>
    <w:lvl w:ilvl="4" w:tplc="A1828A94">
      <w:numFmt w:val="bullet"/>
      <w:lvlText w:val="•"/>
      <w:lvlJc w:val="left"/>
      <w:pPr>
        <w:ind w:left="4714" w:hanging="567"/>
      </w:pPr>
      <w:rPr>
        <w:rFonts w:hint="default"/>
        <w:lang w:val="cs-CZ" w:eastAsia="en-US" w:bidi="ar-SA"/>
      </w:rPr>
    </w:lvl>
    <w:lvl w:ilvl="5" w:tplc="BDD081B0">
      <w:numFmt w:val="bullet"/>
      <w:lvlText w:val="•"/>
      <w:lvlJc w:val="left"/>
      <w:pPr>
        <w:ind w:left="5693" w:hanging="567"/>
      </w:pPr>
      <w:rPr>
        <w:rFonts w:hint="default"/>
        <w:lang w:val="cs-CZ" w:eastAsia="en-US" w:bidi="ar-SA"/>
      </w:rPr>
    </w:lvl>
    <w:lvl w:ilvl="6" w:tplc="E2E032AC">
      <w:numFmt w:val="bullet"/>
      <w:lvlText w:val="•"/>
      <w:lvlJc w:val="left"/>
      <w:pPr>
        <w:ind w:left="6671" w:hanging="567"/>
      </w:pPr>
      <w:rPr>
        <w:rFonts w:hint="default"/>
        <w:lang w:val="cs-CZ" w:eastAsia="en-US" w:bidi="ar-SA"/>
      </w:rPr>
    </w:lvl>
    <w:lvl w:ilvl="7" w:tplc="3CB44F96">
      <w:numFmt w:val="bullet"/>
      <w:lvlText w:val="•"/>
      <w:lvlJc w:val="left"/>
      <w:pPr>
        <w:ind w:left="7650" w:hanging="567"/>
      </w:pPr>
      <w:rPr>
        <w:rFonts w:hint="default"/>
        <w:lang w:val="cs-CZ" w:eastAsia="en-US" w:bidi="ar-SA"/>
      </w:rPr>
    </w:lvl>
    <w:lvl w:ilvl="8" w:tplc="BDFC0982">
      <w:numFmt w:val="bullet"/>
      <w:lvlText w:val="•"/>
      <w:lvlJc w:val="left"/>
      <w:pPr>
        <w:ind w:left="8629" w:hanging="567"/>
      </w:pPr>
      <w:rPr>
        <w:rFonts w:hint="default"/>
        <w:lang w:val="cs-CZ" w:eastAsia="en-US" w:bidi="ar-SA"/>
      </w:rPr>
    </w:lvl>
  </w:abstractNum>
  <w:abstractNum w:abstractNumId="78" w15:restartNumberingAfterBreak="0">
    <w:nsid w:val="628733A1"/>
    <w:multiLevelType w:val="hybridMultilevel"/>
    <w:tmpl w:val="BA8C0A14"/>
    <w:lvl w:ilvl="0" w:tplc="E4DEC77A">
      <w:start w:val="1"/>
      <w:numFmt w:val="decimal"/>
      <w:lvlText w:val="%1."/>
      <w:lvlJc w:val="left"/>
      <w:pPr>
        <w:ind w:left="805" w:hanging="567"/>
      </w:pPr>
      <w:rPr>
        <w:rFonts w:ascii="Times New Roman" w:eastAsia="Times New Roman" w:hAnsi="Times New Roman" w:cs="Times New Roman" w:hint="default"/>
        <w:b/>
        <w:bCs/>
        <w:i w:val="0"/>
        <w:iCs w:val="0"/>
        <w:spacing w:val="0"/>
        <w:w w:val="100"/>
        <w:sz w:val="22"/>
        <w:szCs w:val="22"/>
        <w:lang w:val="cs-CZ" w:eastAsia="en-US" w:bidi="ar-SA"/>
      </w:rPr>
    </w:lvl>
    <w:lvl w:ilvl="1" w:tplc="164CD73C">
      <w:numFmt w:val="bullet"/>
      <w:lvlText w:val=""/>
      <w:lvlJc w:val="left"/>
      <w:pPr>
        <w:ind w:left="822" w:hanging="584"/>
      </w:pPr>
      <w:rPr>
        <w:rFonts w:ascii="Symbol" w:eastAsia="Symbol" w:hAnsi="Symbol" w:cs="Symbol" w:hint="default"/>
        <w:b w:val="0"/>
        <w:bCs w:val="0"/>
        <w:i w:val="0"/>
        <w:iCs w:val="0"/>
        <w:spacing w:val="0"/>
        <w:w w:val="100"/>
        <w:sz w:val="22"/>
        <w:szCs w:val="22"/>
        <w:lang w:val="cs-CZ" w:eastAsia="en-US" w:bidi="ar-SA"/>
      </w:rPr>
    </w:lvl>
    <w:lvl w:ilvl="2" w:tplc="CCB278BE">
      <w:numFmt w:val="bullet"/>
      <w:lvlText w:val="•"/>
      <w:lvlJc w:val="left"/>
      <w:pPr>
        <w:ind w:left="1905" w:hanging="584"/>
      </w:pPr>
      <w:rPr>
        <w:rFonts w:hint="default"/>
        <w:lang w:val="cs-CZ" w:eastAsia="en-US" w:bidi="ar-SA"/>
      </w:rPr>
    </w:lvl>
    <w:lvl w:ilvl="3" w:tplc="8B9AF7A6">
      <w:numFmt w:val="bullet"/>
      <w:lvlText w:val="•"/>
      <w:lvlJc w:val="left"/>
      <w:pPr>
        <w:ind w:left="2990" w:hanging="584"/>
      </w:pPr>
      <w:rPr>
        <w:rFonts w:hint="default"/>
        <w:lang w:val="cs-CZ" w:eastAsia="en-US" w:bidi="ar-SA"/>
      </w:rPr>
    </w:lvl>
    <w:lvl w:ilvl="4" w:tplc="383E2460">
      <w:numFmt w:val="bullet"/>
      <w:lvlText w:val="•"/>
      <w:lvlJc w:val="left"/>
      <w:pPr>
        <w:ind w:left="4075" w:hanging="584"/>
      </w:pPr>
      <w:rPr>
        <w:rFonts w:hint="default"/>
        <w:lang w:val="cs-CZ" w:eastAsia="en-US" w:bidi="ar-SA"/>
      </w:rPr>
    </w:lvl>
    <w:lvl w:ilvl="5" w:tplc="D3E6C6B2">
      <w:numFmt w:val="bullet"/>
      <w:lvlText w:val="•"/>
      <w:lvlJc w:val="left"/>
      <w:pPr>
        <w:ind w:left="5160" w:hanging="584"/>
      </w:pPr>
      <w:rPr>
        <w:rFonts w:hint="default"/>
        <w:lang w:val="cs-CZ" w:eastAsia="en-US" w:bidi="ar-SA"/>
      </w:rPr>
    </w:lvl>
    <w:lvl w:ilvl="6" w:tplc="58122AB4">
      <w:numFmt w:val="bullet"/>
      <w:lvlText w:val="•"/>
      <w:lvlJc w:val="left"/>
      <w:pPr>
        <w:ind w:left="6245" w:hanging="584"/>
      </w:pPr>
      <w:rPr>
        <w:rFonts w:hint="default"/>
        <w:lang w:val="cs-CZ" w:eastAsia="en-US" w:bidi="ar-SA"/>
      </w:rPr>
    </w:lvl>
    <w:lvl w:ilvl="7" w:tplc="AF8AD988">
      <w:numFmt w:val="bullet"/>
      <w:lvlText w:val="•"/>
      <w:lvlJc w:val="left"/>
      <w:pPr>
        <w:ind w:left="7330" w:hanging="584"/>
      </w:pPr>
      <w:rPr>
        <w:rFonts w:hint="default"/>
        <w:lang w:val="cs-CZ" w:eastAsia="en-US" w:bidi="ar-SA"/>
      </w:rPr>
    </w:lvl>
    <w:lvl w:ilvl="8" w:tplc="ECC02B4C">
      <w:numFmt w:val="bullet"/>
      <w:lvlText w:val="•"/>
      <w:lvlJc w:val="left"/>
      <w:pPr>
        <w:ind w:left="8416" w:hanging="584"/>
      </w:pPr>
      <w:rPr>
        <w:rFonts w:hint="default"/>
        <w:lang w:val="cs-CZ" w:eastAsia="en-US" w:bidi="ar-SA"/>
      </w:rPr>
    </w:lvl>
  </w:abstractNum>
  <w:abstractNum w:abstractNumId="79"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80"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447382C"/>
    <w:multiLevelType w:val="hybridMultilevel"/>
    <w:tmpl w:val="7BC484A8"/>
    <w:lvl w:ilvl="0" w:tplc="AE22F814">
      <w:numFmt w:val="bullet"/>
      <w:lvlText w:val=""/>
      <w:lvlJc w:val="left"/>
      <w:pPr>
        <w:ind w:left="238" w:hanging="567"/>
      </w:pPr>
      <w:rPr>
        <w:rFonts w:ascii="Symbol" w:eastAsia="Symbol" w:hAnsi="Symbol" w:cs="Symbol" w:hint="default"/>
        <w:b w:val="0"/>
        <w:bCs w:val="0"/>
        <w:i w:val="0"/>
        <w:iCs w:val="0"/>
        <w:spacing w:val="0"/>
        <w:w w:val="100"/>
        <w:sz w:val="22"/>
        <w:szCs w:val="22"/>
        <w:lang w:val="cs-CZ" w:eastAsia="en-US" w:bidi="ar-SA"/>
      </w:rPr>
    </w:lvl>
    <w:lvl w:ilvl="1" w:tplc="B33C9826">
      <w:numFmt w:val="bullet"/>
      <w:lvlText w:val=""/>
      <w:lvlJc w:val="left"/>
      <w:pPr>
        <w:ind w:left="958" w:hanging="361"/>
      </w:pPr>
      <w:rPr>
        <w:rFonts w:ascii="Symbol" w:eastAsia="Symbol" w:hAnsi="Symbol" w:cs="Symbol" w:hint="default"/>
        <w:b w:val="0"/>
        <w:bCs w:val="0"/>
        <w:i w:val="0"/>
        <w:iCs w:val="0"/>
        <w:spacing w:val="0"/>
        <w:w w:val="100"/>
        <w:sz w:val="22"/>
        <w:szCs w:val="22"/>
        <w:lang w:val="cs-CZ" w:eastAsia="en-US" w:bidi="ar-SA"/>
      </w:rPr>
    </w:lvl>
    <w:lvl w:ilvl="2" w:tplc="6D942D9E">
      <w:numFmt w:val="bullet"/>
      <w:lvlText w:val="•"/>
      <w:lvlJc w:val="left"/>
      <w:pPr>
        <w:ind w:left="2029" w:hanging="361"/>
      </w:pPr>
      <w:rPr>
        <w:rFonts w:hint="default"/>
        <w:lang w:val="cs-CZ" w:eastAsia="en-US" w:bidi="ar-SA"/>
      </w:rPr>
    </w:lvl>
    <w:lvl w:ilvl="3" w:tplc="665E7D8E">
      <w:numFmt w:val="bullet"/>
      <w:lvlText w:val="•"/>
      <w:lvlJc w:val="left"/>
      <w:pPr>
        <w:ind w:left="3099" w:hanging="361"/>
      </w:pPr>
      <w:rPr>
        <w:rFonts w:hint="default"/>
        <w:lang w:val="cs-CZ" w:eastAsia="en-US" w:bidi="ar-SA"/>
      </w:rPr>
    </w:lvl>
    <w:lvl w:ilvl="4" w:tplc="26B8EF20">
      <w:numFmt w:val="bullet"/>
      <w:lvlText w:val="•"/>
      <w:lvlJc w:val="left"/>
      <w:pPr>
        <w:ind w:left="4168" w:hanging="361"/>
      </w:pPr>
      <w:rPr>
        <w:rFonts w:hint="default"/>
        <w:lang w:val="cs-CZ" w:eastAsia="en-US" w:bidi="ar-SA"/>
      </w:rPr>
    </w:lvl>
    <w:lvl w:ilvl="5" w:tplc="5AB66ACC">
      <w:numFmt w:val="bullet"/>
      <w:lvlText w:val="•"/>
      <w:lvlJc w:val="left"/>
      <w:pPr>
        <w:ind w:left="5238" w:hanging="361"/>
      </w:pPr>
      <w:rPr>
        <w:rFonts w:hint="default"/>
        <w:lang w:val="cs-CZ" w:eastAsia="en-US" w:bidi="ar-SA"/>
      </w:rPr>
    </w:lvl>
    <w:lvl w:ilvl="6" w:tplc="74DCB4A8">
      <w:numFmt w:val="bullet"/>
      <w:lvlText w:val="•"/>
      <w:lvlJc w:val="left"/>
      <w:pPr>
        <w:ind w:left="6308" w:hanging="361"/>
      </w:pPr>
      <w:rPr>
        <w:rFonts w:hint="default"/>
        <w:lang w:val="cs-CZ" w:eastAsia="en-US" w:bidi="ar-SA"/>
      </w:rPr>
    </w:lvl>
    <w:lvl w:ilvl="7" w:tplc="055265D6">
      <w:numFmt w:val="bullet"/>
      <w:lvlText w:val="•"/>
      <w:lvlJc w:val="left"/>
      <w:pPr>
        <w:ind w:left="7377" w:hanging="361"/>
      </w:pPr>
      <w:rPr>
        <w:rFonts w:hint="default"/>
        <w:lang w:val="cs-CZ" w:eastAsia="en-US" w:bidi="ar-SA"/>
      </w:rPr>
    </w:lvl>
    <w:lvl w:ilvl="8" w:tplc="2668CF26">
      <w:numFmt w:val="bullet"/>
      <w:lvlText w:val="•"/>
      <w:lvlJc w:val="left"/>
      <w:pPr>
        <w:ind w:left="8447" w:hanging="361"/>
      </w:pPr>
      <w:rPr>
        <w:rFonts w:hint="default"/>
        <w:lang w:val="cs-CZ" w:eastAsia="en-US" w:bidi="ar-SA"/>
      </w:rPr>
    </w:lvl>
  </w:abstractNum>
  <w:abstractNum w:abstractNumId="82"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83"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4"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5" w15:restartNumberingAfterBreak="0">
    <w:nsid w:val="662A1387"/>
    <w:multiLevelType w:val="multilevel"/>
    <w:tmpl w:val="A69C3458"/>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cs-CZ"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cs-CZ" w:eastAsia="en-US" w:bidi="ar-SA"/>
      </w:rPr>
    </w:lvl>
    <w:lvl w:ilvl="2">
      <w:numFmt w:val="bullet"/>
      <w:lvlText w:val=""/>
      <w:lvlJc w:val="left"/>
      <w:pPr>
        <w:ind w:left="821" w:hanging="356"/>
      </w:pPr>
      <w:rPr>
        <w:rFonts w:ascii="Symbol" w:eastAsia="Symbol" w:hAnsi="Symbol" w:cs="Symbol" w:hint="default"/>
        <w:b w:val="0"/>
        <w:bCs w:val="0"/>
        <w:i w:val="0"/>
        <w:iCs w:val="0"/>
        <w:spacing w:val="0"/>
        <w:w w:val="100"/>
        <w:sz w:val="22"/>
        <w:szCs w:val="22"/>
        <w:lang w:val="cs-CZ" w:eastAsia="en-US" w:bidi="ar-SA"/>
      </w:rPr>
    </w:lvl>
    <w:lvl w:ilvl="3">
      <w:numFmt w:val="bullet"/>
      <w:lvlText w:val=""/>
      <w:lvlJc w:val="left"/>
      <w:pPr>
        <w:ind w:left="950" w:hanging="356"/>
      </w:pPr>
      <w:rPr>
        <w:rFonts w:ascii="Symbol" w:eastAsia="Symbol" w:hAnsi="Symbol" w:cs="Symbol" w:hint="default"/>
        <w:b w:val="0"/>
        <w:bCs w:val="0"/>
        <w:i w:val="0"/>
        <w:iCs w:val="0"/>
        <w:spacing w:val="0"/>
        <w:w w:val="100"/>
        <w:sz w:val="22"/>
        <w:szCs w:val="22"/>
        <w:lang w:val="cs-CZ" w:eastAsia="en-US" w:bidi="ar-SA"/>
      </w:rPr>
    </w:lvl>
    <w:lvl w:ilvl="4">
      <w:numFmt w:val="bullet"/>
      <w:lvlText w:val="•"/>
      <w:lvlJc w:val="left"/>
      <w:pPr>
        <w:ind w:left="3366" w:hanging="356"/>
      </w:pPr>
      <w:rPr>
        <w:rFonts w:hint="default"/>
        <w:lang w:val="cs-CZ" w:eastAsia="en-US" w:bidi="ar-SA"/>
      </w:rPr>
    </w:lvl>
    <w:lvl w:ilvl="5">
      <w:numFmt w:val="bullet"/>
      <w:lvlText w:val="•"/>
      <w:lvlJc w:val="left"/>
      <w:pPr>
        <w:ind w:left="4569" w:hanging="356"/>
      </w:pPr>
      <w:rPr>
        <w:rFonts w:hint="default"/>
        <w:lang w:val="cs-CZ" w:eastAsia="en-US" w:bidi="ar-SA"/>
      </w:rPr>
    </w:lvl>
    <w:lvl w:ilvl="6">
      <w:numFmt w:val="bullet"/>
      <w:lvlText w:val="•"/>
      <w:lvlJc w:val="left"/>
      <w:pPr>
        <w:ind w:left="5773" w:hanging="356"/>
      </w:pPr>
      <w:rPr>
        <w:rFonts w:hint="default"/>
        <w:lang w:val="cs-CZ" w:eastAsia="en-US" w:bidi="ar-SA"/>
      </w:rPr>
    </w:lvl>
    <w:lvl w:ilvl="7">
      <w:numFmt w:val="bullet"/>
      <w:lvlText w:val="•"/>
      <w:lvlJc w:val="left"/>
      <w:pPr>
        <w:ind w:left="6976" w:hanging="356"/>
      </w:pPr>
      <w:rPr>
        <w:rFonts w:hint="default"/>
        <w:lang w:val="cs-CZ" w:eastAsia="en-US" w:bidi="ar-SA"/>
      </w:rPr>
    </w:lvl>
    <w:lvl w:ilvl="8">
      <w:numFmt w:val="bullet"/>
      <w:lvlText w:val="•"/>
      <w:lvlJc w:val="left"/>
      <w:pPr>
        <w:ind w:left="8179" w:hanging="356"/>
      </w:pPr>
      <w:rPr>
        <w:rFonts w:hint="default"/>
        <w:lang w:val="cs-CZ" w:eastAsia="en-US" w:bidi="ar-SA"/>
      </w:rPr>
    </w:lvl>
  </w:abstractNum>
  <w:abstractNum w:abstractNumId="86" w15:restartNumberingAfterBreak="0">
    <w:nsid w:val="67782FDB"/>
    <w:multiLevelType w:val="hybridMultilevel"/>
    <w:tmpl w:val="54A6F3E2"/>
    <w:lvl w:ilvl="0" w:tplc="CBAE55A8">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9802FDBE">
      <w:numFmt w:val="bullet"/>
      <w:lvlText w:val="•"/>
      <w:lvlJc w:val="left"/>
      <w:pPr>
        <w:ind w:left="298" w:hanging="180"/>
      </w:pPr>
      <w:rPr>
        <w:rFonts w:hint="default"/>
        <w:lang w:val="cs-CZ" w:eastAsia="en-US" w:bidi="ar-SA"/>
      </w:rPr>
    </w:lvl>
    <w:lvl w:ilvl="2" w:tplc="2D7AF284">
      <w:numFmt w:val="bullet"/>
      <w:lvlText w:val="•"/>
      <w:lvlJc w:val="left"/>
      <w:pPr>
        <w:ind w:left="496" w:hanging="180"/>
      </w:pPr>
      <w:rPr>
        <w:rFonts w:hint="default"/>
        <w:lang w:val="cs-CZ" w:eastAsia="en-US" w:bidi="ar-SA"/>
      </w:rPr>
    </w:lvl>
    <w:lvl w:ilvl="3" w:tplc="36C0ED86">
      <w:numFmt w:val="bullet"/>
      <w:lvlText w:val="•"/>
      <w:lvlJc w:val="left"/>
      <w:pPr>
        <w:ind w:left="694" w:hanging="180"/>
      </w:pPr>
      <w:rPr>
        <w:rFonts w:hint="default"/>
        <w:lang w:val="cs-CZ" w:eastAsia="en-US" w:bidi="ar-SA"/>
      </w:rPr>
    </w:lvl>
    <w:lvl w:ilvl="4" w:tplc="CF9645A0">
      <w:numFmt w:val="bullet"/>
      <w:lvlText w:val="•"/>
      <w:lvlJc w:val="left"/>
      <w:pPr>
        <w:ind w:left="893" w:hanging="180"/>
      </w:pPr>
      <w:rPr>
        <w:rFonts w:hint="default"/>
        <w:lang w:val="cs-CZ" w:eastAsia="en-US" w:bidi="ar-SA"/>
      </w:rPr>
    </w:lvl>
    <w:lvl w:ilvl="5" w:tplc="69683770">
      <w:numFmt w:val="bullet"/>
      <w:lvlText w:val="•"/>
      <w:lvlJc w:val="left"/>
      <w:pPr>
        <w:ind w:left="1091" w:hanging="180"/>
      </w:pPr>
      <w:rPr>
        <w:rFonts w:hint="default"/>
        <w:lang w:val="cs-CZ" w:eastAsia="en-US" w:bidi="ar-SA"/>
      </w:rPr>
    </w:lvl>
    <w:lvl w:ilvl="6" w:tplc="3B848D50">
      <w:numFmt w:val="bullet"/>
      <w:lvlText w:val="•"/>
      <w:lvlJc w:val="left"/>
      <w:pPr>
        <w:ind w:left="1289" w:hanging="180"/>
      </w:pPr>
      <w:rPr>
        <w:rFonts w:hint="default"/>
        <w:lang w:val="cs-CZ" w:eastAsia="en-US" w:bidi="ar-SA"/>
      </w:rPr>
    </w:lvl>
    <w:lvl w:ilvl="7" w:tplc="DC7033DC">
      <w:numFmt w:val="bullet"/>
      <w:lvlText w:val="•"/>
      <w:lvlJc w:val="left"/>
      <w:pPr>
        <w:ind w:left="1488" w:hanging="180"/>
      </w:pPr>
      <w:rPr>
        <w:rFonts w:hint="default"/>
        <w:lang w:val="cs-CZ" w:eastAsia="en-US" w:bidi="ar-SA"/>
      </w:rPr>
    </w:lvl>
    <w:lvl w:ilvl="8" w:tplc="F392BBE0">
      <w:numFmt w:val="bullet"/>
      <w:lvlText w:val="•"/>
      <w:lvlJc w:val="left"/>
      <w:pPr>
        <w:ind w:left="1686" w:hanging="180"/>
      </w:pPr>
      <w:rPr>
        <w:rFonts w:hint="default"/>
        <w:lang w:val="cs-CZ" w:eastAsia="en-US" w:bidi="ar-SA"/>
      </w:rPr>
    </w:lvl>
  </w:abstractNum>
  <w:abstractNum w:abstractNumId="87" w15:restartNumberingAfterBreak="0">
    <w:nsid w:val="696E6D5F"/>
    <w:multiLevelType w:val="hybridMultilevel"/>
    <w:tmpl w:val="2E40CC4E"/>
    <w:lvl w:ilvl="0" w:tplc="67C6728A">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9BA0AEAA">
      <w:numFmt w:val="bullet"/>
      <w:lvlText w:val="•"/>
      <w:lvlJc w:val="left"/>
      <w:pPr>
        <w:ind w:left="298" w:hanging="180"/>
      </w:pPr>
      <w:rPr>
        <w:rFonts w:hint="default"/>
        <w:lang w:val="cs-CZ" w:eastAsia="en-US" w:bidi="ar-SA"/>
      </w:rPr>
    </w:lvl>
    <w:lvl w:ilvl="2" w:tplc="1C6A4F82">
      <w:numFmt w:val="bullet"/>
      <w:lvlText w:val="•"/>
      <w:lvlJc w:val="left"/>
      <w:pPr>
        <w:ind w:left="496" w:hanging="180"/>
      </w:pPr>
      <w:rPr>
        <w:rFonts w:hint="default"/>
        <w:lang w:val="cs-CZ" w:eastAsia="en-US" w:bidi="ar-SA"/>
      </w:rPr>
    </w:lvl>
    <w:lvl w:ilvl="3" w:tplc="80827B64">
      <w:numFmt w:val="bullet"/>
      <w:lvlText w:val="•"/>
      <w:lvlJc w:val="left"/>
      <w:pPr>
        <w:ind w:left="694" w:hanging="180"/>
      </w:pPr>
      <w:rPr>
        <w:rFonts w:hint="default"/>
        <w:lang w:val="cs-CZ" w:eastAsia="en-US" w:bidi="ar-SA"/>
      </w:rPr>
    </w:lvl>
    <w:lvl w:ilvl="4" w:tplc="13CE25AC">
      <w:numFmt w:val="bullet"/>
      <w:lvlText w:val="•"/>
      <w:lvlJc w:val="left"/>
      <w:pPr>
        <w:ind w:left="893" w:hanging="180"/>
      </w:pPr>
      <w:rPr>
        <w:rFonts w:hint="default"/>
        <w:lang w:val="cs-CZ" w:eastAsia="en-US" w:bidi="ar-SA"/>
      </w:rPr>
    </w:lvl>
    <w:lvl w:ilvl="5" w:tplc="9A2AED90">
      <w:numFmt w:val="bullet"/>
      <w:lvlText w:val="•"/>
      <w:lvlJc w:val="left"/>
      <w:pPr>
        <w:ind w:left="1091" w:hanging="180"/>
      </w:pPr>
      <w:rPr>
        <w:rFonts w:hint="default"/>
        <w:lang w:val="cs-CZ" w:eastAsia="en-US" w:bidi="ar-SA"/>
      </w:rPr>
    </w:lvl>
    <w:lvl w:ilvl="6" w:tplc="403467DE">
      <w:numFmt w:val="bullet"/>
      <w:lvlText w:val="•"/>
      <w:lvlJc w:val="left"/>
      <w:pPr>
        <w:ind w:left="1289" w:hanging="180"/>
      </w:pPr>
      <w:rPr>
        <w:rFonts w:hint="default"/>
        <w:lang w:val="cs-CZ" w:eastAsia="en-US" w:bidi="ar-SA"/>
      </w:rPr>
    </w:lvl>
    <w:lvl w:ilvl="7" w:tplc="1CCC0CE6">
      <w:numFmt w:val="bullet"/>
      <w:lvlText w:val="•"/>
      <w:lvlJc w:val="left"/>
      <w:pPr>
        <w:ind w:left="1488" w:hanging="180"/>
      </w:pPr>
      <w:rPr>
        <w:rFonts w:hint="default"/>
        <w:lang w:val="cs-CZ" w:eastAsia="en-US" w:bidi="ar-SA"/>
      </w:rPr>
    </w:lvl>
    <w:lvl w:ilvl="8" w:tplc="48868A0E">
      <w:numFmt w:val="bullet"/>
      <w:lvlText w:val="•"/>
      <w:lvlJc w:val="left"/>
      <w:pPr>
        <w:ind w:left="1686" w:hanging="180"/>
      </w:pPr>
      <w:rPr>
        <w:rFonts w:hint="default"/>
        <w:lang w:val="cs-CZ" w:eastAsia="en-US" w:bidi="ar-SA"/>
      </w:rPr>
    </w:lvl>
  </w:abstractNum>
  <w:abstractNum w:abstractNumId="88" w15:restartNumberingAfterBreak="0">
    <w:nsid w:val="6A0D4FA1"/>
    <w:multiLevelType w:val="hybridMultilevel"/>
    <w:tmpl w:val="4420D830"/>
    <w:lvl w:ilvl="0" w:tplc="5914EB48">
      <w:numFmt w:val="bullet"/>
      <w:lvlText w:val=""/>
      <w:lvlJc w:val="left"/>
      <w:pPr>
        <w:ind w:left="951" w:hanging="351"/>
      </w:pPr>
      <w:rPr>
        <w:rFonts w:ascii="Symbol" w:eastAsia="Symbol" w:hAnsi="Symbol" w:cs="Symbol" w:hint="default"/>
        <w:b w:val="0"/>
        <w:bCs w:val="0"/>
        <w:i w:val="0"/>
        <w:iCs w:val="0"/>
        <w:spacing w:val="0"/>
        <w:w w:val="100"/>
        <w:sz w:val="22"/>
        <w:szCs w:val="22"/>
        <w:lang w:val="cs-CZ" w:eastAsia="en-US" w:bidi="ar-SA"/>
      </w:rPr>
    </w:lvl>
    <w:lvl w:ilvl="1" w:tplc="D2360F02">
      <w:numFmt w:val="bullet"/>
      <w:lvlText w:val="•"/>
      <w:lvlJc w:val="left"/>
      <w:pPr>
        <w:ind w:left="1922" w:hanging="351"/>
      </w:pPr>
      <w:rPr>
        <w:rFonts w:hint="default"/>
        <w:lang w:val="cs-CZ" w:eastAsia="en-US" w:bidi="ar-SA"/>
      </w:rPr>
    </w:lvl>
    <w:lvl w:ilvl="2" w:tplc="301E77C8">
      <w:numFmt w:val="bullet"/>
      <w:lvlText w:val="•"/>
      <w:lvlJc w:val="left"/>
      <w:pPr>
        <w:ind w:left="2885" w:hanging="351"/>
      </w:pPr>
      <w:rPr>
        <w:rFonts w:hint="default"/>
        <w:lang w:val="cs-CZ" w:eastAsia="en-US" w:bidi="ar-SA"/>
      </w:rPr>
    </w:lvl>
    <w:lvl w:ilvl="3" w:tplc="A15606D2">
      <w:numFmt w:val="bullet"/>
      <w:lvlText w:val="•"/>
      <w:lvlJc w:val="left"/>
      <w:pPr>
        <w:ind w:left="3847" w:hanging="351"/>
      </w:pPr>
      <w:rPr>
        <w:rFonts w:hint="default"/>
        <w:lang w:val="cs-CZ" w:eastAsia="en-US" w:bidi="ar-SA"/>
      </w:rPr>
    </w:lvl>
    <w:lvl w:ilvl="4" w:tplc="1428AE9E">
      <w:numFmt w:val="bullet"/>
      <w:lvlText w:val="•"/>
      <w:lvlJc w:val="left"/>
      <w:pPr>
        <w:ind w:left="4810" w:hanging="351"/>
      </w:pPr>
      <w:rPr>
        <w:rFonts w:hint="default"/>
        <w:lang w:val="cs-CZ" w:eastAsia="en-US" w:bidi="ar-SA"/>
      </w:rPr>
    </w:lvl>
    <w:lvl w:ilvl="5" w:tplc="82822E4C">
      <w:numFmt w:val="bullet"/>
      <w:lvlText w:val="•"/>
      <w:lvlJc w:val="left"/>
      <w:pPr>
        <w:ind w:left="5773" w:hanging="351"/>
      </w:pPr>
      <w:rPr>
        <w:rFonts w:hint="default"/>
        <w:lang w:val="cs-CZ" w:eastAsia="en-US" w:bidi="ar-SA"/>
      </w:rPr>
    </w:lvl>
    <w:lvl w:ilvl="6" w:tplc="93162B7A">
      <w:numFmt w:val="bullet"/>
      <w:lvlText w:val="•"/>
      <w:lvlJc w:val="left"/>
      <w:pPr>
        <w:ind w:left="6735" w:hanging="351"/>
      </w:pPr>
      <w:rPr>
        <w:rFonts w:hint="default"/>
        <w:lang w:val="cs-CZ" w:eastAsia="en-US" w:bidi="ar-SA"/>
      </w:rPr>
    </w:lvl>
    <w:lvl w:ilvl="7" w:tplc="57CA77BA">
      <w:numFmt w:val="bullet"/>
      <w:lvlText w:val="•"/>
      <w:lvlJc w:val="left"/>
      <w:pPr>
        <w:ind w:left="7698" w:hanging="351"/>
      </w:pPr>
      <w:rPr>
        <w:rFonts w:hint="default"/>
        <w:lang w:val="cs-CZ" w:eastAsia="en-US" w:bidi="ar-SA"/>
      </w:rPr>
    </w:lvl>
    <w:lvl w:ilvl="8" w:tplc="94E47A6C">
      <w:numFmt w:val="bullet"/>
      <w:lvlText w:val="•"/>
      <w:lvlJc w:val="left"/>
      <w:pPr>
        <w:ind w:left="8661" w:hanging="351"/>
      </w:pPr>
      <w:rPr>
        <w:rFonts w:hint="default"/>
        <w:lang w:val="cs-CZ" w:eastAsia="en-US" w:bidi="ar-SA"/>
      </w:rPr>
    </w:lvl>
  </w:abstractNum>
  <w:abstractNum w:abstractNumId="89" w15:restartNumberingAfterBreak="0">
    <w:nsid w:val="6DCE59AF"/>
    <w:multiLevelType w:val="hybridMultilevel"/>
    <w:tmpl w:val="92A40374"/>
    <w:lvl w:ilvl="0" w:tplc="C72EEB22">
      <w:start w:val="1"/>
      <w:numFmt w:val="decimal"/>
      <w:lvlText w:val="%1."/>
      <w:lvlJc w:val="left"/>
      <w:pPr>
        <w:ind w:left="803" w:hanging="567"/>
      </w:pPr>
      <w:rPr>
        <w:rFonts w:ascii="Times New Roman" w:eastAsia="Times New Roman" w:hAnsi="Times New Roman" w:cs="Times New Roman" w:hint="default"/>
        <w:b/>
        <w:bCs/>
        <w:i w:val="0"/>
        <w:iCs w:val="0"/>
        <w:spacing w:val="0"/>
        <w:w w:val="100"/>
        <w:sz w:val="22"/>
        <w:szCs w:val="22"/>
        <w:lang w:val="cs-CZ" w:eastAsia="en-US" w:bidi="ar-SA"/>
      </w:rPr>
    </w:lvl>
    <w:lvl w:ilvl="1" w:tplc="19EE4460">
      <w:numFmt w:val="bullet"/>
      <w:lvlText w:val=""/>
      <w:lvlJc w:val="left"/>
      <w:pPr>
        <w:ind w:left="951" w:hanging="351"/>
      </w:pPr>
      <w:rPr>
        <w:rFonts w:ascii="Symbol" w:eastAsia="Symbol" w:hAnsi="Symbol" w:cs="Symbol" w:hint="default"/>
        <w:spacing w:val="0"/>
        <w:w w:val="100"/>
        <w:lang w:val="cs-CZ" w:eastAsia="en-US" w:bidi="ar-SA"/>
      </w:rPr>
    </w:lvl>
    <w:lvl w:ilvl="2" w:tplc="9B42DCFE">
      <w:numFmt w:val="bullet"/>
      <w:lvlText w:val="•"/>
      <w:lvlJc w:val="left"/>
      <w:pPr>
        <w:ind w:left="960" w:hanging="351"/>
      </w:pPr>
      <w:rPr>
        <w:rFonts w:hint="default"/>
        <w:lang w:val="cs-CZ" w:eastAsia="en-US" w:bidi="ar-SA"/>
      </w:rPr>
    </w:lvl>
    <w:lvl w:ilvl="3" w:tplc="B1801DD0">
      <w:numFmt w:val="bullet"/>
      <w:lvlText w:val="•"/>
      <w:lvlJc w:val="left"/>
      <w:pPr>
        <w:ind w:left="2163" w:hanging="351"/>
      </w:pPr>
      <w:rPr>
        <w:rFonts w:hint="default"/>
        <w:lang w:val="cs-CZ" w:eastAsia="en-US" w:bidi="ar-SA"/>
      </w:rPr>
    </w:lvl>
    <w:lvl w:ilvl="4" w:tplc="1D20C1B2">
      <w:numFmt w:val="bullet"/>
      <w:lvlText w:val="•"/>
      <w:lvlJc w:val="left"/>
      <w:pPr>
        <w:ind w:left="3366" w:hanging="351"/>
      </w:pPr>
      <w:rPr>
        <w:rFonts w:hint="default"/>
        <w:lang w:val="cs-CZ" w:eastAsia="en-US" w:bidi="ar-SA"/>
      </w:rPr>
    </w:lvl>
    <w:lvl w:ilvl="5" w:tplc="3CF289CA">
      <w:numFmt w:val="bullet"/>
      <w:lvlText w:val="•"/>
      <w:lvlJc w:val="left"/>
      <w:pPr>
        <w:ind w:left="4569" w:hanging="351"/>
      </w:pPr>
      <w:rPr>
        <w:rFonts w:hint="default"/>
        <w:lang w:val="cs-CZ" w:eastAsia="en-US" w:bidi="ar-SA"/>
      </w:rPr>
    </w:lvl>
    <w:lvl w:ilvl="6" w:tplc="9C12E4AA">
      <w:numFmt w:val="bullet"/>
      <w:lvlText w:val="•"/>
      <w:lvlJc w:val="left"/>
      <w:pPr>
        <w:ind w:left="5773" w:hanging="351"/>
      </w:pPr>
      <w:rPr>
        <w:rFonts w:hint="default"/>
        <w:lang w:val="cs-CZ" w:eastAsia="en-US" w:bidi="ar-SA"/>
      </w:rPr>
    </w:lvl>
    <w:lvl w:ilvl="7" w:tplc="D7D24472">
      <w:numFmt w:val="bullet"/>
      <w:lvlText w:val="•"/>
      <w:lvlJc w:val="left"/>
      <w:pPr>
        <w:ind w:left="6976" w:hanging="351"/>
      </w:pPr>
      <w:rPr>
        <w:rFonts w:hint="default"/>
        <w:lang w:val="cs-CZ" w:eastAsia="en-US" w:bidi="ar-SA"/>
      </w:rPr>
    </w:lvl>
    <w:lvl w:ilvl="8" w:tplc="21E245F6">
      <w:numFmt w:val="bullet"/>
      <w:lvlText w:val="•"/>
      <w:lvlJc w:val="left"/>
      <w:pPr>
        <w:ind w:left="8179" w:hanging="351"/>
      </w:pPr>
      <w:rPr>
        <w:rFonts w:hint="default"/>
        <w:lang w:val="cs-CZ" w:eastAsia="en-US" w:bidi="ar-SA"/>
      </w:rPr>
    </w:lvl>
  </w:abstractNum>
  <w:abstractNum w:abstractNumId="90" w15:restartNumberingAfterBreak="0">
    <w:nsid w:val="6E347EE4"/>
    <w:multiLevelType w:val="hybridMultilevel"/>
    <w:tmpl w:val="87AEC69C"/>
    <w:lvl w:ilvl="0" w:tplc="F2B47F66">
      <w:start w:val="1"/>
      <w:numFmt w:val="decimal"/>
      <w:lvlText w:val="%1."/>
      <w:lvlJc w:val="left"/>
      <w:pPr>
        <w:ind w:left="805" w:hanging="567"/>
      </w:pPr>
      <w:rPr>
        <w:rFonts w:ascii="Times New Roman" w:eastAsia="Times New Roman" w:hAnsi="Times New Roman" w:cs="Times New Roman" w:hint="default"/>
        <w:b/>
        <w:bCs/>
        <w:i w:val="0"/>
        <w:iCs w:val="0"/>
        <w:spacing w:val="0"/>
        <w:w w:val="100"/>
        <w:sz w:val="22"/>
        <w:szCs w:val="22"/>
        <w:lang w:val="cs-CZ" w:eastAsia="en-US" w:bidi="ar-SA"/>
      </w:rPr>
    </w:lvl>
    <w:lvl w:ilvl="1" w:tplc="EC3421D4">
      <w:numFmt w:val="bullet"/>
      <w:lvlText w:val=""/>
      <w:lvlJc w:val="left"/>
      <w:pPr>
        <w:ind w:left="945" w:hanging="361"/>
      </w:pPr>
      <w:rPr>
        <w:rFonts w:ascii="Symbol" w:eastAsia="Symbol" w:hAnsi="Symbol" w:cs="Symbol" w:hint="default"/>
        <w:b w:val="0"/>
        <w:bCs w:val="0"/>
        <w:i w:val="0"/>
        <w:iCs w:val="0"/>
        <w:spacing w:val="0"/>
        <w:w w:val="100"/>
        <w:sz w:val="22"/>
        <w:szCs w:val="22"/>
        <w:lang w:val="cs-CZ" w:eastAsia="en-US" w:bidi="ar-SA"/>
      </w:rPr>
    </w:lvl>
    <w:lvl w:ilvl="2" w:tplc="4D564426">
      <w:numFmt w:val="bullet"/>
      <w:lvlText w:val="•"/>
      <w:lvlJc w:val="left"/>
      <w:pPr>
        <w:ind w:left="2011" w:hanging="361"/>
      </w:pPr>
      <w:rPr>
        <w:rFonts w:hint="default"/>
        <w:lang w:val="cs-CZ" w:eastAsia="en-US" w:bidi="ar-SA"/>
      </w:rPr>
    </w:lvl>
    <w:lvl w:ilvl="3" w:tplc="DC0074A2">
      <w:numFmt w:val="bullet"/>
      <w:lvlText w:val="•"/>
      <w:lvlJc w:val="left"/>
      <w:pPr>
        <w:ind w:left="3083" w:hanging="361"/>
      </w:pPr>
      <w:rPr>
        <w:rFonts w:hint="default"/>
        <w:lang w:val="cs-CZ" w:eastAsia="en-US" w:bidi="ar-SA"/>
      </w:rPr>
    </w:lvl>
    <w:lvl w:ilvl="4" w:tplc="E91C7C84">
      <w:numFmt w:val="bullet"/>
      <w:lvlText w:val="•"/>
      <w:lvlJc w:val="left"/>
      <w:pPr>
        <w:ind w:left="4155" w:hanging="361"/>
      </w:pPr>
      <w:rPr>
        <w:rFonts w:hint="default"/>
        <w:lang w:val="cs-CZ" w:eastAsia="en-US" w:bidi="ar-SA"/>
      </w:rPr>
    </w:lvl>
    <w:lvl w:ilvl="5" w:tplc="48C873E8">
      <w:numFmt w:val="bullet"/>
      <w:lvlText w:val="•"/>
      <w:lvlJc w:val="left"/>
      <w:pPr>
        <w:ind w:left="5227" w:hanging="361"/>
      </w:pPr>
      <w:rPr>
        <w:rFonts w:hint="default"/>
        <w:lang w:val="cs-CZ" w:eastAsia="en-US" w:bidi="ar-SA"/>
      </w:rPr>
    </w:lvl>
    <w:lvl w:ilvl="6" w:tplc="2FE83894">
      <w:numFmt w:val="bullet"/>
      <w:lvlText w:val="•"/>
      <w:lvlJc w:val="left"/>
      <w:pPr>
        <w:ind w:left="6299" w:hanging="361"/>
      </w:pPr>
      <w:rPr>
        <w:rFonts w:hint="default"/>
        <w:lang w:val="cs-CZ" w:eastAsia="en-US" w:bidi="ar-SA"/>
      </w:rPr>
    </w:lvl>
    <w:lvl w:ilvl="7" w:tplc="CDEC5DA8">
      <w:numFmt w:val="bullet"/>
      <w:lvlText w:val="•"/>
      <w:lvlJc w:val="left"/>
      <w:pPr>
        <w:ind w:left="7370" w:hanging="361"/>
      </w:pPr>
      <w:rPr>
        <w:rFonts w:hint="default"/>
        <w:lang w:val="cs-CZ" w:eastAsia="en-US" w:bidi="ar-SA"/>
      </w:rPr>
    </w:lvl>
    <w:lvl w:ilvl="8" w:tplc="7A580926">
      <w:numFmt w:val="bullet"/>
      <w:lvlText w:val="•"/>
      <w:lvlJc w:val="left"/>
      <w:pPr>
        <w:ind w:left="8442" w:hanging="361"/>
      </w:pPr>
      <w:rPr>
        <w:rFonts w:hint="default"/>
        <w:lang w:val="cs-CZ" w:eastAsia="en-US" w:bidi="ar-SA"/>
      </w:rPr>
    </w:lvl>
  </w:abstractNum>
  <w:abstractNum w:abstractNumId="91"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2"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3" w15:restartNumberingAfterBreak="0">
    <w:nsid w:val="73D50EA9"/>
    <w:multiLevelType w:val="hybridMultilevel"/>
    <w:tmpl w:val="21A4161A"/>
    <w:lvl w:ilvl="0" w:tplc="362A4F5C">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D5FA6810">
      <w:numFmt w:val="bullet"/>
      <w:lvlText w:val="•"/>
      <w:lvlJc w:val="left"/>
      <w:pPr>
        <w:ind w:left="298" w:hanging="180"/>
      </w:pPr>
      <w:rPr>
        <w:rFonts w:hint="default"/>
        <w:lang w:val="cs-CZ" w:eastAsia="en-US" w:bidi="ar-SA"/>
      </w:rPr>
    </w:lvl>
    <w:lvl w:ilvl="2" w:tplc="B2085BAA">
      <w:numFmt w:val="bullet"/>
      <w:lvlText w:val="•"/>
      <w:lvlJc w:val="left"/>
      <w:pPr>
        <w:ind w:left="496" w:hanging="180"/>
      </w:pPr>
      <w:rPr>
        <w:rFonts w:hint="default"/>
        <w:lang w:val="cs-CZ" w:eastAsia="en-US" w:bidi="ar-SA"/>
      </w:rPr>
    </w:lvl>
    <w:lvl w:ilvl="3" w:tplc="1ED8B9A4">
      <w:numFmt w:val="bullet"/>
      <w:lvlText w:val="•"/>
      <w:lvlJc w:val="left"/>
      <w:pPr>
        <w:ind w:left="694" w:hanging="180"/>
      </w:pPr>
      <w:rPr>
        <w:rFonts w:hint="default"/>
        <w:lang w:val="cs-CZ" w:eastAsia="en-US" w:bidi="ar-SA"/>
      </w:rPr>
    </w:lvl>
    <w:lvl w:ilvl="4" w:tplc="411421B0">
      <w:numFmt w:val="bullet"/>
      <w:lvlText w:val="•"/>
      <w:lvlJc w:val="left"/>
      <w:pPr>
        <w:ind w:left="893" w:hanging="180"/>
      </w:pPr>
      <w:rPr>
        <w:rFonts w:hint="default"/>
        <w:lang w:val="cs-CZ" w:eastAsia="en-US" w:bidi="ar-SA"/>
      </w:rPr>
    </w:lvl>
    <w:lvl w:ilvl="5" w:tplc="C0A04AE4">
      <w:numFmt w:val="bullet"/>
      <w:lvlText w:val="•"/>
      <w:lvlJc w:val="left"/>
      <w:pPr>
        <w:ind w:left="1091" w:hanging="180"/>
      </w:pPr>
      <w:rPr>
        <w:rFonts w:hint="default"/>
        <w:lang w:val="cs-CZ" w:eastAsia="en-US" w:bidi="ar-SA"/>
      </w:rPr>
    </w:lvl>
    <w:lvl w:ilvl="6" w:tplc="9A6EE4CA">
      <w:numFmt w:val="bullet"/>
      <w:lvlText w:val="•"/>
      <w:lvlJc w:val="left"/>
      <w:pPr>
        <w:ind w:left="1289" w:hanging="180"/>
      </w:pPr>
      <w:rPr>
        <w:rFonts w:hint="default"/>
        <w:lang w:val="cs-CZ" w:eastAsia="en-US" w:bidi="ar-SA"/>
      </w:rPr>
    </w:lvl>
    <w:lvl w:ilvl="7" w:tplc="C34251E8">
      <w:numFmt w:val="bullet"/>
      <w:lvlText w:val="•"/>
      <w:lvlJc w:val="left"/>
      <w:pPr>
        <w:ind w:left="1488" w:hanging="180"/>
      </w:pPr>
      <w:rPr>
        <w:rFonts w:hint="default"/>
        <w:lang w:val="cs-CZ" w:eastAsia="en-US" w:bidi="ar-SA"/>
      </w:rPr>
    </w:lvl>
    <w:lvl w:ilvl="8" w:tplc="C0645BE0">
      <w:numFmt w:val="bullet"/>
      <w:lvlText w:val="•"/>
      <w:lvlJc w:val="left"/>
      <w:pPr>
        <w:ind w:left="1686" w:hanging="180"/>
      </w:pPr>
      <w:rPr>
        <w:rFonts w:hint="default"/>
        <w:lang w:val="cs-CZ" w:eastAsia="en-US" w:bidi="ar-SA"/>
      </w:rPr>
    </w:lvl>
  </w:abstractNum>
  <w:abstractNum w:abstractNumId="94"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95"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6" w15:restartNumberingAfterBreak="0">
    <w:nsid w:val="765B52C7"/>
    <w:multiLevelType w:val="hybridMultilevel"/>
    <w:tmpl w:val="E0F4AC16"/>
    <w:lvl w:ilvl="0" w:tplc="343C29BA">
      <w:numFmt w:val="bullet"/>
      <w:lvlText w:val=""/>
      <w:lvlJc w:val="left"/>
      <w:pPr>
        <w:ind w:left="1162" w:hanging="361"/>
      </w:pPr>
      <w:rPr>
        <w:rFonts w:ascii="Symbol" w:eastAsia="Symbol" w:hAnsi="Symbol" w:cs="Symbol" w:hint="default"/>
        <w:b w:val="0"/>
        <w:bCs w:val="0"/>
        <w:i w:val="0"/>
        <w:iCs w:val="0"/>
        <w:spacing w:val="0"/>
        <w:w w:val="100"/>
        <w:sz w:val="22"/>
        <w:szCs w:val="22"/>
        <w:lang w:val="cs-CZ" w:eastAsia="en-US" w:bidi="ar-SA"/>
      </w:rPr>
    </w:lvl>
    <w:lvl w:ilvl="1" w:tplc="4C500354">
      <w:numFmt w:val="bullet"/>
      <w:lvlText w:val="•"/>
      <w:lvlJc w:val="left"/>
      <w:pPr>
        <w:ind w:left="2102" w:hanging="361"/>
      </w:pPr>
      <w:rPr>
        <w:rFonts w:hint="default"/>
        <w:lang w:val="cs-CZ" w:eastAsia="en-US" w:bidi="ar-SA"/>
      </w:rPr>
    </w:lvl>
    <w:lvl w:ilvl="2" w:tplc="0CEAD038">
      <w:numFmt w:val="bullet"/>
      <w:lvlText w:val="•"/>
      <w:lvlJc w:val="left"/>
      <w:pPr>
        <w:ind w:left="3045" w:hanging="361"/>
      </w:pPr>
      <w:rPr>
        <w:rFonts w:hint="default"/>
        <w:lang w:val="cs-CZ" w:eastAsia="en-US" w:bidi="ar-SA"/>
      </w:rPr>
    </w:lvl>
    <w:lvl w:ilvl="3" w:tplc="9C807950">
      <w:numFmt w:val="bullet"/>
      <w:lvlText w:val="•"/>
      <w:lvlJc w:val="left"/>
      <w:pPr>
        <w:ind w:left="3987" w:hanging="361"/>
      </w:pPr>
      <w:rPr>
        <w:rFonts w:hint="default"/>
        <w:lang w:val="cs-CZ" w:eastAsia="en-US" w:bidi="ar-SA"/>
      </w:rPr>
    </w:lvl>
    <w:lvl w:ilvl="4" w:tplc="725CB0C0">
      <w:numFmt w:val="bullet"/>
      <w:lvlText w:val="•"/>
      <w:lvlJc w:val="left"/>
      <w:pPr>
        <w:ind w:left="4930" w:hanging="361"/>
      </w:pPr>
      <w:rPr>
        <w:rFonts w:hint="default"/>
        <w:lang w:val="cs-CZ" w:eastAsia="en-US" w:bidi="ar-SA"/>
      </w:rPr>
    </w:lvl>
    <w:lvl w:ilvl="5" w:tplc="54081C92">
      <w:numFmt w:val="bullet"/>
      <w:lvlText w:val="•"/>
      <w:lvlJc w:val="left"/>
      <w:pPr>
        <w:ind w:left="5873" w:hanging="361"/>
      </w:pPr>
      <w:rPr>
        <w:rFonts w:hint="default"/>
        <w:lang w:val="cs-CZ" w:eastAsia="en-US" w:bidi="ar-SA"/>
      </w:rPr>
    </w:lvl>
    <w:lvl w:ilvl="6" w:tplc="57E0C532">
      <w:numFmt w:val="bullet"/>
      <w:lvlText w:val="•"/>
      <w:lvlJc w:val="left"/>
      <w:pPr>
        <w:ind w:left="6815" w:hanging="361"/>
      </w:pPr>
      <w:rPr>
        <w:rFonts w:hint="default"/>
        <w:lang w:val="cs-CZ" w:eastAsia="en-US" w:bidi="ar-SA"/>
      </w:rPr>
    </w:lvl>
    <w:lvl w:ilvl="7" w:tplc="A3466310">
      <w:numFmt w:val="bullet"/>
      <w:lvlText w:val="•"/>
      <w:lvlJc w:val="left"/>
      <w:pPr>
        <w:ind w:left="7758" w:hanging="361"/>
      </w:pPr>
      <w:rPr>
        <w:rFonts w:hint="default"/>
        <w:lang w:val="cs-CZ" w:eastAsia="en-US" w:bidi="ar-SA"/>
      </w:rPr>
    </w:lvl>
    <w:lvl w:ilvl="8" w:tplc="FC607830">
      <w:numFmt w:val="bullet"/>
      <w:lvlText w:val="•"/>
      <w:lvlJc w:val="left"/>
      <w:pPr>
        <w:ind w:left="8701" w:hanging="361"/>
      </w:pPr>
      <w:rPr>
        <w:rFonts w:hint="default"/>
        <w:lang w:val="cs-CZ" w:eastAsia="en-US" w:bidi="ar-SA"/>
      </w:rPr>
    </w:lvl>
  </w:abstractNum>
  <w:abstractNum w:abstractNumId="97" w15:restartNumberingAfterBreak="0">
    <w:nsid w:val="77EE4ABB"/>
    <w:multiLevelType w:val="hybridMultilevel"/>
    <w:tmpl w:val="3E2CA5A2"/>
    <w:lvl w:ilvl="0" w:tplc="DE921E36">
      <w:numFmt w:val="bullet"/>
      <w:lvlText w:val="-"/>
      <w:lvlJc w:val="left"/>
      <w:pPr>
        <w:ind w:left="805" w:hanging="567"/>
      </w:pPr>
      <w:rPr>
        <w:rFonts w:ascii="Times New Roman" w:eastAsia="Times New Roman" w:hAnsi="Times New Roman" w:cs="Times New Roman" w:hint="default"/>
        <w:b w:val="0"/>
        <w:bCs w:val="0"/>
        <w:i w:val="0"/>
        <w:iCs w:val="0"/>
        <w:spacing w:val="0"/>
        <w:w w:val="100"/>
        <w:sz w:val="22"/>
        <w:szCs w:val="22"/>
        <w:lang w:val="cs-CZ" w:eastAsia="en-US" w:bidi="ar-SA"/>
      </w:rPr>
    </w:lvl>
    <w:lvl w:ilvl="1" w:tplc="56C09684">
      <w:numFmt w:val="bullet"/>
      <w:lvlText w:val="•"/>
      <w:lvlJc w:val="left"/>
      <w:pPr>
        <w:ind w:left="1778" w:hanging="567"/>
      </w:pPr>
      <w:rPr>
        <w:rFonts w:hint="default"/>
        <w:lang w:val="cs-CZ" w:eastAsia="en-US" w:bidi="ar-SA"/>
      </w:rPr>
    </w:lvl>
    <w:lvl w:ilvl="2" w:tplc="D572084E">
      <w:numFmt w:val="bullet"/>
      <w:lvlText w:val="•"/>
      <w:lvlJc w:val="left"/>
      <w:pPr>
        <w:ind w:left="2757" w:hanging="567"/>
      </w:pPr>
      <w:rPr>
        <w:rFonts w:hint="default"/>
        <w:lang w:val="cs-CZ" w:eastAsia="en-US" w:bidi="ar-SA"/>
      </w:rPr>
    </w:lvl>
    <w:lvl w:ilvl="3" w:tplc="F1B09442">
      <w:numFmt w:val="bullet"/>
      <w:lvlText w:val="•"/>
      <w:lvlJc w:val="left"/>
      <w:pPr>
        <w:ind w:left="3735" w:hanging="567"/>
      </w:pPr>
      <w:rPr>
        <w:rFonts w:hint="default"/>
        <w:lang w:val="cs-CZ" w:eastAsia="en-US" w:bidi="ar-SA"/>
      </w:rPr>
    </w:lvl>
    <w:lvl w:ilvl="4" w:tplc="213452B4">
      <w:numFmt w:val="bullet"/>
      <w:lvlText w:val="•"/>
      <w:lvlJc w:val="left"/>
      <w:pPr>
        <w:ind w:left="4714" w:hanging="567"/>
      </w:pPr>
      <w:rPr>
        <w:rFonts w:hint="default"/>
        <w:lang w:val="cs-CZ" w:eastAsia="en-US" w:bidi="ar-SA"/>
      </w:rPr>
    </w:lvl>
    <w:lvl w:ilvl="5" w:tplc="42CAA52E">
      <w:numFmt w:val="bullet"/>
      <w:lvlText w:val="•"/>
      <w:lvlJc w:val="left"/>
      <w:pPr>
        <w:ind w:left="5693" w:hanging="567"/>
      </w:pPr>
      <w:rPr>
        <w:rFonts w:hint="default"/>
        <w:lang w:val="cs-CZ" w:eastAsia="en-US" w:bidi="ar-SA"/>
      </w:rPr>
    </w:lvl>
    <w:lvl w:ilvl="6" w:tplc="58AAF8FC">
      <w:numFmt w:val="bullet"/>
      <w:lvlText w:val="•"/>
      <w:lvlJc w:val="left"/>
      <w:pPr>
        <w:ind w:left="6671" w:hanging="567"/>
      </w:pPr>
      <w:rPr>
        <w:rFonts w:hint="default"/>
        <w:lang w:val="cs-CZ" w:eastAsia="en-US" w:bidi="ar-SA"/>
      </w:rPr>
    </w:lvl>
    <w:lvl w:ilvl="7" w:tplc="91E8FD16">
      <w:numFmt w:val="bullet"/>
      <w:lvlText w:val="•"/>
      <w:lvlJc w:val="left"/>
      <w:pPr>
        <w:ind w:left="7650" w:hanging="567"/>
      </w:pPr>
      <w:rPr>
        <w:rFonts w:hint="default"/>
        <w:lang w:val="cs-CZ" w:eastAsia="en-US" w:bidi="ar-SA"/>
      </w:rPr>
    </w:lvl>
    <w:lvl w:ilvl="8" w:tplc="CC86B3AE">
      <w:numFmt w:val="bullet"/>
      <w:lvlText w:val="•"/>
      <w:lvlJc w:val="left"/>
      <w:pPr>
        <w:ind w:left="8629" w:hanging="567"/>
      </w:pPr>
      <w:rPr>
        <w:rFonts w:hint="default"/>
        <w:lang w:val="cs-CZ" w:eastAsia="en-US" w:bidi="ar-SA"/>
      </w:rPr>
    </w:lvl>
  </w:abstractNum>
  <w:abstractNum w:abstractNumId="98" w15:restartNumberingAfterBreak="0">
    <w:nsid w:val="77FB300F"/>
    <w:multiLevelType w:val="hybridMultilevel"/>
    <w:tmpl w:val="E8800D64"/>
    <w:lvl w:ilvl="0" w:tplc="119A9F38">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D0340AD8">
      <w:numFmt w:val="bullet"/>
      <w:lvlText w:val="•"/>
      <w:lvlJc w:val="left"/>
      <w:pPr>
        <w:ind w:left="460" w:hanging="180"/>
      </w:pPr>
      <w:rPr>
        <w:rFonts w:hint="default"/>
        <w:lang w:val="cs-CZ" w:eastAsia="en-US" w:bidi="ar-SA"/>
      </w:rPr>
    </w:lvl>
    <w:lvl w:ilvl="2" w:tplc="5B204F5E">
      <w:numFmt w:val="bullet"/>
      <w:lvlText w:val="•"/>
      <w:lvlJc w:val="left"/>
      <w:pPr>
        <w:ind w:left="640" w:hanging="180"/>
      </w:pPr>
      <w:rPr>
        <w:rFonts w:hint="default"/>
        <w:lang w:val="cs-CZ" w:eastAsia="en-US" w:bidi="ar-SA"/>
      </w:rPr>
    </w:lvl>
    <w:lvl w:ilvl="3" w:tplc="3A727A56">
      <w:numFmt w:val="bullet"/>
      <w:lvlText w:val="•"/>
      <w:lvlJc w:val="left"/>
      <w:pPr>
        <w:ind w:left="820" w:hanging="180"/>
      </w:pPr>
      <w:rPr>
        <w:rFonts w:hint="default"/>
        <w:lang w:val="cs-CZ" w:eastAsia="en-US" w:bidi="ar-SA"/>
      </w:rPr>
    </w:lvl>
    <w:lvl w:ilvl="4" w:tplc="D2C08FE0">
      <w:numFmt w:val="bullet"/>
      <w:lvlText w:val="•"/>
      <w:lvlJc w:val="left"/>
      <w:pPr>
        <w:ind w:left="1001" w:hanging="180"/>
      </w:pPr>
      <w:rPr>
        <w:rFonts w:hint="default"/>
        <w:lang w:val="cs-CZ" w:eastAsia="en-US" w:bidi="ar-SA"/>
      </w:rPr>
    </w:lvl>
    <w:lvl w:ilvl="5" w:tplc="EE26BF50">
      <w:numFmt w:val="bullet"/>
      <w:lvlText w:val="•"/>
      <w:lvlJc w:val="left"/>
      <w:pPr>
        <w:ind w:left="1181" w:hanging="180"/>
      </w:pPr>
      <w:rPr>
        <w:rFonts w:hint="default"/>
        <w:lang w:val="cs-CZ" w:eastAsia="en-US" w:bidi="ar-SA"/>
      </w:rPr>
    </w:lvl>
    <w:lvl w:ilvl="6" w:tplc="0486FBD0">
      <w:numFmt w:val="bullet"/>
      <w:lvlText w:val="•"/>
      <w:lvlJc w:val="left"/>
      <w:pPr>
        <w:ind w:left="1361" w:hanging="180"/>
      </w:pPr>
      <w:rPr>
        <w:rFonts w:hint="default"/>
        <w:lang w:val="cs-CZ" w:eastAsia="en-US" w:bidi="ar-SA"/>
      </w:rPr>
    </w:lvl>
    <w:lvl w:ilvl="7" w:tplc="F6B28AF6">
      <w:numFmt w:val="bullet"/>
      <w:lvlText w:val="•"/>
      <w:lvlJc w:val="left"/>
      <w:pPr>
        <w:ind w:left="1542" w:hanging="180"/>
      </w:pPr>
      <w:rPr>
        <w:rFonts w:hint="default"/>
        <w:lang w:val="cs-CZ" w:eastAsia="en-US" w:bidi="ar-SA"/>
      </w:rPr>
    </w:lvl>
    <w:lvl w:ilvl="8" w:tplc="71AC54DE">
      <w:numFmt w:val="bullet"/>
      <w:lvlText w:val="•"/>
      <w:lvlJc w:val="left"/>
      <w:pPr>
        <w:ind w:left="1722" w:hanging="180"/>
      </w:pPr>
      <w:rPr>
        <w:rFonts w:hint="default"/>
        <w:lang w:val="cs-CZ" w:eastAsia="en-US" w:bidi="ar-SA"/>
      </w:rPr>
    </w:lvl>
  </w:abstractNum>
  <w:abstractNum w:abstractNumId="99"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00" w15:restartNumberingAfterBreak="0">
    <w:nsid w:val="79C72C87"/>
    <w:multiLevelType w:val="hybridMultilevel"/>
    <w:tmpl w:val="0960FC70"/>
    <w:lvl w:ilvl="0" w:tplc="047A200A">
      <w:numFmt w:val="bullet"/>
      <w:lvlText w:val="&gt;"/>
      <w:lvlJc w:val="left"/>
      <w:pPr>
        <w:ind w:left="978"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A1360A44">
      <w:numFmt w:val="bullet"/>
      <w:lvlText w:val="•"/>
      <w:lvlJc w:val="left"/>
      <w:pPr>
        <w:ind w:left="1148" w:hanging="180"/>
      </w:pPr>
      <w:rPr>
        <w:rFonts w:hint="default"/>
        <w:lang w:val="cs-CZ" w:eastAsia="en-US" w:bidi="ar-SA"/>
      </w:rPr>
    </w:lvl>
    <w:lvl w:ilvl="2" w:tplc="0D363808">
      <w:numFmt w:val="bullet"/>
      <w:lvlText w:val="•"/>
      <w:lvlJc w:val="left"/>
      <w:pPr>
        <w:ind w:left="1316" w:hanging="180"/>
      </w:pPr>
      <w:rPr>
        <w:rFonts w:hint="default"/>
        <w:lang w:val="cs-CZ" w:eastAsia="en-US" w:bidi="ar-SA"/>
      </w:rPr>
    </w:lvl>
    <w:lvl w:ilvl="3" w:tplc="EA986492">
      <w:numFmt w:val="bullet"/>
      <w:lvlText w:val="•"/>
      <w:lvlJc w:val="left"/>
      <w:pPr>
        <w:ind w:left="1484" w:hanging="180"/>
      </w:pPr>
      <w:rPr>
        <w:rFonts w:hint="default"/>
        <w:lang w:val="cs-CZ" w:eastAsia="en-US" w:bidi="ar-SA"/>
      </w:rPr>
    </w:lvl>
    <w:lvl w:ilvl="4" w:tplc="C0728B98">
      <w:numFmt w:val="bullet"/>
      <w:lvlText w:val="•"/>
      <w:lvlJc w:val="left"/>
      <w:pPr>
        <w:ind w:left="1652" w:hanging="180"/>
      </w:pPr>
      <w:rPr>
        <w:rFonts w:hint="default"/>
        <w:lang w:val="cs-CZ" w:eastAsia="en-US" w:bidi="ar-SA"/>
      </w:rPr>
    </w:lvl>
    <w:lvl w:ilvl="5" w:tplc="A97C9064">
      <w:numFmt w:val="bullet"/>
      <w:lvlText w:val="•"/>
      <w:lvlJc w:val="left"/>
      <w:pPr>
        <w:ind w:left="1821" w:hanging="180"/>
      </w:pPr>
      <w:rPr>
        <w:rFonts w:hint="default"/>
        <w:lang w:val="cs-CZ" w:eastAsia="en-US" w:bidi="ar-SA"/>
      </w:rPr>
    </w:lvl>
    <w:lvl w:ilvl="6" w:tplc="DFEE4AFC">
      <w:numFmt w:val="bullet"/>
      <w:lvlText w:val="•"/>
      <w:lvlJc w:val="left"/>
      <w:pPr>
        <w:ind w:left="1989" w:hanging="180"/>
      </w:pPr>
      <w:rPr>
        <w:rFonts w:hint="default"/>
        <w:lang w:val="cs-CZ" w:eastAsia="en-US" w:bidi="ar-SA"/>
      </w:rPr>
    </w:lvl>
    <w:lvl w:ilvl="7" w:tplc="2E10AAC8">
      <w:numFmt w:val="bullet"/>
      <w:lvlText w:val="•"/>
      <w:lvlJc w:val="left"/>
      <w:pPr>
        <w:ind w:left="2157" w:hanging="180"/>
      </w:pPr>
      <w:rPr>
        <w:rFonts w:hint="default"/>
        <w:lang w:val="cs-CZ" w:eastAsia="en-US" w:bidi="ar-SA"/>
      </w:rPr>
    </w:lvl>
    <w:lvl w:ilvl="8" w:tplc="444EF38C">
      <w:numFmt w:val="bullet"/>
      <w:lvlText w:val="•"/>
      <w:lvlJc w:val="left"/>
      <w:pPr>
        <w:ind w:left="2325" w:hanging="180"/>
      </w:pPr>
      <w:rPr>
        <w:rFonts w:hint="default"/>
        <w:lang w:val="cs-CZ" w:eastAsia="en-US" w:bidi="ar-SA"/>
      </w:rPr>
    </w:lvl>
  </w:abstractNum>
  <w:abstractNum w:abstractNumId="101"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02" w15:restartNumberingAfterBreak="0">
    <w:nsid w:val="7DEA5B83"/>
    <w:multiLevelType w:val="hybridMultilevel"/>
    <w:tmpl w:val="F5E049A2"/>
    <w:lvl w:ilvl="0" w:tplc="56CE99DA">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E8047CD4">
      <w:numFmt w:val="bullet"/>
      <w:lvlText w:val="•"/>
      <w:lvlJc w:val="left"/>
      <w:pPr>
        <w:ind w:left="298" w:hanging="180"/>
      </w:pPr>
      <w:rPr>
        <w:rFonts w:hint="default"/>
        <w:lang w:val="cs-CZ" w:eastAsia="en-US" w:bidi="ar-SA"/>
      </w:rPr>
    </w:lvl>
    <w:lvl w:ilvl="2" w:tplc="53960C8E">
      <w:numFmt w:val="bullet"/>
      <w:lvlText w:val="•"/>
      <w:lvlJc w:val="left"/>
      <w:pPr>
        <w:ind w:left="496" w:hanging="180"/>
      </w:pPr>
      <w:rPr>
        <w:rFonts w:hint="default"/>
        <w:lang w:val="cs-CZ" w:eastAsia="en-US" w:bidi="ar-SA"/>
      </w:rPr>
    </w:lvl>
    <w:lvl w:ilvl="3" w:tplc="F6C8DE28">
      <w:numFmt w:val="bullet"/>
      <w:lvlText w:val="•"/>
      <w:lvlJc w:val="left"/>
      <w:pPr>
        <w:ind w:left="694" w:hanging="180"/>
      </w:pPr>
      <w:rPr>
        <w:rFonts w:hint="default"/>
        <w:lang w:val="cs-CZ" w:eastAsia="en-US" w:bidi="ar-SA"/>
      </w:rPr>
    </w:lvl>
    <w:lvl w:ilvl="4" w:tplc="219CA6A4">
      <w:numFmt w:val="bullet"/>
      <w:lvlText w:val="•"/>
      <w:lvlJc w:val="left"/>
      <w:pPr>
        <w:ind w:left="893" w:hanging="180"/>
      </w:pPr>
      <w:rPr>
        <w:rFonts w:hint="default"/>
        <w:lang w:val="cs-CZ" w:eastAsia="en-US" w:bidi="ar-SA"/>
      </w:rPr>
    </w:lvl>
    <w:lvl w:ilvl="5" w:tplc="66065624">
      <w:numFmt w:val="bullet"/>
      <w:lvlText w:val="•"/>
      <w:lvlJc w:val="left"/>
      <w:pPr>
        <w:ind w:left="1091" w:hanging="180"/>
      </w:pPr>
      <w:rPr>
        <w:rFonts w:hint="default"/>
        <w:lang w:val="cs-CZ" w:eastAsia="en-US" w:bidi="ar-SA"/>
      </w:rPr>
    </w:lvl>
    <w:lvl w:ilvl="6" w:tplc="239A4A00">
      <w:numFmt w:val="bullet"/>
      <w:lvlText w:val="•"/>
      <w:lvlJc w:val="left"/>
      <w:pPr>
        <w:ind w:left="1289" w:hanging="180"/>
      </w:pPr>
      <w:rPr>
        <w:rFonts w:hint="default"/>
        <w:lang w:val="cs-CZ" w:eastAsia="en-US" w:bidi="ar-SA"/>
      </w:rPr>
    </w:lvl>
    <w:lvl w:ilvl="7" w:tplc="3FA2A368">
      <w:numFmt w:val="bullet"/>
      <w:lvlText w:val="•"/>
      <w:lvlJc w:val="left"/>
      <w:pPr>
        <w:ind w:left="1488" w:hanging="180"/>
      </w:pPr>
      <w:rPr>
        <w:rFonts w:hint="default"/>
        <w:lang w:val="cs-CZ" w:eastAsia="en-US" w:bidi="ar-SA"/>
      </w:rPr>
    </w:lvl>
    <w:lvl w:ilvl="8" w:tplc="375E68E6">
      <w:numFmt w:val="bullet"/>
      <w:lvlText w:val="•"/>
      <w:lvlJc w:val="left"/>
      <w:pPr>
        <w:ind w:left="1686" w:hanging="180"/>
      </w:pPr>
      <w:rPr>
        <w:rFonts w:hint="default"/>
        <w:lang w:val="cs-CZ" w:eastAsia="en-US" w:bidi="ar-SA"/>
      </w:rPr>
    </w:lvl>
  </w:abstractNum>
  <w:abstractNum w:abstractNumId="103" w15:restartNumberingAfterBreak="0">
    <w:nsid w:val="7E734B07"/>
    <w:multiLevelType w:val="hybridMultilevel"/>
    <w:tmpl w:val="0A62D5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4" w15:restartNumberingAfterBreak="0">
    <w:nsid w:val="7F2051D7"/>
    <w:multiLevelType w:val="hybridMultilevel"/>
    <w:tmpl w:val="D84EE27E"/>
    <w:lvl w:ilvl="0" w:tplc="B8A6716A">
      <w:numFmt w:val="bullet"/>
      <w:lvlText w:val="&gt;"/>
      <w:lvlJc w:val="left"/>
      <w:pPr>
        <w:ind w:left="107" w:hanging="180"/>
      </w:pPr>
      <w:rPr>
        <w:rFonts w:ascii="Times New Roman" w:eastAsia="Times New Roman" w:hAnsi="Times New Roman" w:cs="Times New Roman" w:hint="default"/>
        <w:b w:val="0"/>
        <w:bCs w:val="0"/>
        <w:i w:val="0"/>
        <w:iCs w:val="0"/>
        <w:spacing w:val="0"/>
        <w:w w:val="100"/>
        <w:sz w:val="22"/>
        <w:szCs w:val="22"/>
        <w:lang w:val="cs-CZ" w:eastAsia="en-US" w:bidi="ar-SA"/>
      </w:rPr>
    </w:lvl>
    <w:lvl w:ilvl="1" w:tplc="73EC8B9A">
      <w:numFmt w:val="bullet"/>
      <w:lvlText w:val="•"/>
      <w:lvlJc w:val="left"/>
      <w:pPr>
        <w:ind w:left="298" w:hanging="180"/>
      </w:pPr>
      <w:rPr>
        <w:rFonts w:hint="default"/>
        <w:lang w:val="cs-CZ" w:eastAsia="en-US" w:bidi="ar-SA"/>
      </w:rPr>
    </w:lvl>
    <w:lvl w:ilvl="2" w:tplc="03A4FDFA">
      <w:numFmt w:val="bullet"/>
      <w:lvlText w:val="•"/>
      <w:lvlJc w:val="left"/>
      <w:pPr>
        <w:ind w:left="496" w:hanging="180"/>
      </w:pPr>
      <w:rPr>
        <w:rFonts w:hint="default"/>
        <w:lang w:val="cs-CZ" w:eastAsia="en-US" w:bidi="ar-SA"/>
      </w:rPr>
    </w:lvl>
    <w:lvl w:ilvl="3" w:tplc="FE8CD8E8">
      <w:numFmt w:val="bullet"/>
      <w:lvlText w:val="•"/>
      <w:lvlJc w:val="left"/>
      <w:pPr>
        <w:ind w:left="694" w:hanging="180"/>
      </w:pPr>
      <w:rPr>
        <w:rFonts w:hint="default"/>
        <w:lang w:val="cs-CZ" w:eastAsia="en-US" w:bidi="ar-SA"/>
      </w:rPr>
    </w:lvl>
    <w:lvl w:ilvl="4" w:tplc="C66839F8">
      <w:numFmt w:val="bullet"/>
      <w:lvlText w:val="•"/>
      <w:lvlJc w:val="left"/>
      <w:pPr>
        <w:ind w:left="893" w:hanging="180"/>
      </w:pPr>
      <w:rPr>
        <w:rFonts w:hint="default"/>
        <w:lang w:val="cs-CZ" w:eastAsia="en-US" w:bidi="ar-SA"/>
      </w:rPr>
    </w:lvl>
    <w:lvl w:ilvl="5" w:tplc="5A668686">
      <w:numFmt w:val="bullet"/>
      <w:lvlText w:val="•"/>
      <w:lvlJc w:val="left"/>
      <w:pPr>
        <w:ind w:left="1091" w:hanging="180"/>
      </w:pPr>
      <w:rPr>
        <w:rFonts w:hint="default"/>
        <w:lang w:val="cs-CZ" w:eastAsia="en-US" w:bidi="ar-SA"/>
      </w:rPr>
    </w:lvl>
    <w:lvl w:ilvl="6" w:tplc="54E8D1F8">
      <w:numFmt w:val="bullet"/>
      <w:lvlText w:val="•"/>
      <w:lvlJc w:val="left"/>
      <w:pPr>
        <w:ind w:left="1289" w:hanging="180"/>
      </w:pPr>
      <w:rPr>
        <w:rFonts w:hint="default"/>
        <w:lang w:val="cs-CZ" w:eastAsia="en-US" w:bidi="ar-SA"/>
      </w:rPr>
    </w:lvl>
    <w:lvl w:ilvl="7" w:tplc="93D4A352">
      <w:numFmt w:val="bullet"/>
      <w:lvlText w:val="•"/>
      <w:lvlJc w:val="left"/>
      <w:pPr>
        <w:ind w:left="1488" w:hanging="180"/>
      </w:pPr>
      <w:rPr>
        <w:rFonts w:hint="default"/>
        <w:lang w:val="cs-CZ" w:eastAsia="en-US" w:bidi="ar-SA"/>
      </w:rPr>
    </w:lvl>
    <w:lvl w:ilvl="8" w:tplc="1A6CE7F8">
      <w:numFmt w:val="bullet"/>
      <w:lvlText w:val="•"/>
      <w:lvlJc w:val="left"/>
      <w:pPr>
        <w:ind w:left="1686" w:hanging="180"/>
      </w:pPr>
      <w:rPr>
        <w:rFonts w:hint="default"/>
        <w:lang w:val="cs-CZ" w:eastAsia="en-US" w:bidi="ar-SA"/>
      </w:rPr>
    </w:lvl>
  </w:abstractNum>
  <w:abstractNum w:abstractNumId="105" w15:restartNumberingAfterBreak="0">
    <w:nsid w:val="7F564EF1"/>
    <w:multiLevelType w:val="hybridMultilevel"/>
    <w:tmpl w:val="57DAD75E"/>
    <w:lvl w:ilvl="0" w:tplc="DBA4DA7C">
      <w:start w:val="1"/>
      <w:numFmt w:val="upperLetter"/>
      <w:lvlText w:val="%1."/>
      <w:lvlJc w:val="left"/>
      <w:pPr>
        <w:ind w:left="3711" w:hanging="269"/>
        <w:jc w:val="right"/>
      </w:pPr>
      <w:rPr>
        <w:rFonts w:ascii="Times New Roman" w:eastAsia="Times New Roman" w:hAnsi="Times New Roman" w:cs="Times New Roman" w:hint="default"/>
        <w:b/>
        <w:bCs/>
        <w:i w:val="0"/>
        <w:iCs w:val="0"/>
        <w:spacing w:val="-2"/>
        <w:w w:val="100"/>
        <w:sz w:val="22"/>
        <w:szCs w:val="22"/>
        <w:lang w:val="cs-CZ" w:eastAsia="en-US" w:bidi="ar-SA"/>
      </w:rPr>
    </w:lvl>
    <w:lvl w:ilvl="1" w:tplc="75326ED4">
      <w:numFmt w:val="bullet"/>
      <w:lvlText w:val="•"/>
      <w:lvlJc w:val="left"/>
      <w:pPr>
        <w:ind w:left="4406" w:hanging="269"/>
      </w:pPr>
      <w:rPr>
        <w:rFonts w:hint="default"/>
        <w:lang w:val="cs-CZ" w:eastAsia="en-US" w:bidi="ar-SA"/>
      </w:rPr>
    </w:lvl>
    <w:lvl w:ilvl="2" w:tplc="5E5ED3CE">
      <w:numFmt w:val="bullet"/>
      <w:lvlText w:val="•"/>
      <w:lvlJc w:val="left"/>
      <w:pPr>
        <w:ind w:left="5093" w:hanging="269"/>
      </w:pPr>
      <w:rPr>
        <w:rFonts w:hint="default"/>
        <w:lang w:val="cs-CZ" w:eastAsia="en-US" w:bidi="ar-SA"/>
      </w:rPr>
    </w:lvl>
    <w:lvl w:ilvl="3" w:tplc="06B817B6">
      <w:numFmt w:val="bullet"/>
      <w:lvlText w:val="•"/>
      <w:lvlJc w:val="left"/>
      <w:pPr>
        <w:ind w:left="5779" w:hanging="269"/>
      </w:pPr>
      <w:rPr>
        <w:rFonts w:hint="default"/>
        <w:lang w:val="cs-CZ" w:eastAsia="en-US" w:bidi="ar-SA"/>
      </w:rPr>
    </w:lvl>
    <w:lvl w:ilvl="4" w:tplc="EC340ECE">
      <w:numFmt w:val="bullet"/>
      <w:lvlText w:val="•"/>
      <w:lvlJc w:val="left"/>
      <w:pPr>
        <w:ind w:left="6466" w:hanging="269"/>
      </w:pPr>
      <w:rPr>
        <w:rFonts w:hint="default"/>
        <w:lang w:val="cs-CZ" w:eastAsia="en-US" w:bidi="ar-SA"/>
      </w:rPr>
    </w:lvl>
    <w:lvl w:ilvl="5" w:tplc="3474916C">
      <w:numFmt w:val="bullet"/>
      <w:lvlText w:val="•"/>
      <w:lvlJc w:val="left"/>
      <w:pPr>
        <w:ind w:left="7153" w:hanging="269"/>
      </w:pPr>
      <w:rPr>
        <w:rFonts w:hint="default"/>
        <w:lang w:val="cs-CZ" w:eastAsia="en-US" w:bidi="ar-SA"/>
      </w:rPr>
    </w:lvl>
    <w:lvl w:ilvl="6" w:tplc="55643E16">
      <w:numFmt w:val="bullet"/>
      <w:lvlText w:val="•"/>
      <w:lvlJc w:val="left"/>
      <w:pPr>
        <w:ind w:left="7839" w:hanging="269"/>
      </w:pPr>
      <w:rPr>
        <w:rFonts w:hint="default"/>
        <w:lang w:val="cs-CZ" w:eastAsia="en-US" w:bidi="ar-SA"/>
      </w:rPr>
    </w:lvl>
    <w:lvl w:ilvl="7" w:tplc="6308AD50">
      <w:numFmt w:val="bullet"/>
      <w:lvlText w:val="•"/>
      <w:lvlJc w:val="left"/>
      <w:pPr>
        <w:ind w:left="8526" w:hanging="269"/>
      </w:pPr>
      <w:rPr>
        <w:rFonts w:hint="default"/>
        <w:lang w:val="cs-CZ" w:eastAsia="en-US" w:bidi="ar-SA"/>
      </w:rPr>
    </w:lvl>
    <w:lvl w:ilvl="8" w:tplc="48A423D4">
      <w:numFmt w:val="bullet"/>
      <w:lvlText w:val="•"/>
      <w:lvlJc w:val="left"/>
      <w:pPr>
        <w:ind w:left="9213" w:hanging="269"/>
      </w:pPr>
      <w:rPr>
        <w:rFonts w:hint="default"/>
        <w:lang w:val="cs-CZ" w:eastAsia="en-US" w:bidi="ar-SA"/>
      </w:rPr>
    </w:lvl>
  </w:abstractNum>
  <w:abstractNum w:abstractNumId="106" w15:restartNumberingAfterBreak="0">
    <w:nsid w:val="7F6A690F"/>
    <w:multiLevelType w:val="hybridMultilevel"/>
    <w:tmpl w:val="7632022C"/>
    <w:lvl w:ilvl="0" w:tplc="8E98015E">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cs-CZ" w:eastAsia="en-US" w:bidi="ar-SA"/>
      </w:rPr>
    </w:lvl>
    <w:lvl w:ilvl="1" w:tplc="D9D2D578">
      <w:numFmt w:val="bullet"/>
      <w:lvlText w:val=""/>
      <w:lvlJc w:val="left"/>
      <w:pPr>
        <w:ind w:left="951" w:hanging="351"/>
      </w:pPr>
      <w:rPr>
        <w:rFonts w:ascii="Symbol" w:eastAsia="Symbol" w:hAnsi="Symbol" w:cs="Symbol" w:hint="default"/>
        <w:spacing w:val="0"/>
        <w:w w:val="100"/>
        <w:lang w:val="cs-CZ" w:eastAsia="en-US" w:bidi="ar-SA"/>
      </w:rPr>
    </w:lvl>
    <w:lvl w:ilvl="2" w:tplc="E9447782">
      <w:numFmt w:val="bullet"/>
      <w:lvlText w:val=""/>
      <w:lvlJc w:val="left"/>
      <w:pPr>
        <w:ind w:left="1316" w:hanging="351"/>
      </w:pPr>
      <w:rPr>
        <w:rFonts w:ascii="Symbol" w:eastAsia="Symbol" w:hAnsi="Symbol" w:cs="Symbol" w:hint="default"/>
        <w:b w:val="0"/>
        <w:bCs w:val="0"/>
        <w:i w:val="0"/>
        <w:iCs w:val="0"/>
        <w:spacing w:val="0"/>
        <w:w w:val="100"/>
        <w:sz w:val="22"/>
        <w:szCs w:val="22"/>
        <w:lang w:val="cs-CZ" w:eastAsia="en-US" w:bidi="ar-SA"/>
      </w:rPr>
    </w:lvl>
    <w:lvl w:ilvl="3" w:tplc="20F2523A">
      <w:numFmt w:val="bullet"/>
      <w:lvlText w:val="•"/>
      <w:lvlJc w:val="left"/>
      <w:pPr>
        <w:ind w:left="2478" w:hanging="351"/>
      </w:pPr>
      <w:rPr>
        <w:rFonts w:hint="default"/>
        <w:lang w:val="cs-CZ" w:eastAsia="en-US" w:bidi="ar-SA"/>
      </w:rPr>
    </w:lvl>
    <w:lvl w:ilvl="4" w:tplc="EC3A0C82">
      <w:numFmt w:val="bullet"/>
      <w:lvlText w:val="•"/>
      <w:lvlJc w:val="left"/>
      <w:pPr>
        <w:ind w:left="3636" w:hanging="351"/>
      </w:pPr>
      <w:rPr>
        <w:rFonts w:hint="default"/>
        <w:lang w:val="cs-CZ" w:eastAsia="en-US" w:bidi="ar-SA"/>
      </w:rPr>
    </w:lvl>
    <w:lvl w:ilvl="5" w:tplc="1C42972C">
      <w:numFmt w:val="bullet"/>
      <w:lvlText w:val="•"/>
      <w:lvlJc w:val="left"/>
      <w:pPr>
        <w:ind w:left="4794" w:hanging="351"/>
      </w:pPr>
      <w:rPr>
        <w:rFonts w:hint="default"/>
        <w:lang w:val="cs-CZ" w:eastAsia="en-US" w:bidi="ar-SA"/>
      </w:rPr>
    </w:lvl>
    <w:lvl w:ilvl="6" w:tplc="EF02BC20">
      <w:numFmt w:val="bullet"/>
      <w:lvlText w:val="•"/>
      <w:lvlJc w:val="left"/>
      <w:pPr>
        <w:ind w:left="5953" w:hanging="351"/>
      </w:pPr>
      <w:rPr>
        <w:rFonts w:hint="default"/>
        <w:lang w:val="cs-CZ" w:eastAsia="en-US" w:bidi="ar-SA"/>
      </w:rPr>
    </w:lvl>
    <w:lvl w:ilvl="7" w:tplc="930A55F4">
      <w:numFmt w:val="bullet"/>
      <w:lvlText w:val="•"/>
      <w:lvlJc w:val="left"/>
      <w:pPr>
        <w:ind w:left="7111" w:hanging="351"/>
      </w:pPr>
      <w:rPr>
        <w:rFonts w:hint="default"/>
        <w:lang w:val="cs-CZ" w:eastAsia="en-US" w:bidi="ar-SA"/>
      </w:rPr>
    </w:lvl>
    <w:lvl w:ilvl="8" w:tplc="0B1A58EA">
      <w:numFmt w:val="bullet"/>
      <w:lvlText w:val="•"/>
      <w:lvlJc w:val="left"/>
      <w:pPr>
        <w:ind w:left="8269" w:hanging="351"/>
      </w:pPr>
      <w:rPr>
        <w:rFonts w:hint="default"/>
        <w:lang w:val="cs-CZ" w:eastAsia="en-US" w:bidi="ar-SA"/>
      </w:rPr>
    </w:lvl>
  </w:abstractNum>
  <w:num w:numId="1" w16cid:durableId="128323667">
    <w:abstractNumId w:val="88"/>
  </w:num>
  <w:num w:numId="2" w16cid:durableId="1714229600">
    <w:abstractNumId w:val="12"/>
  </w:num>
  <w:num w:numId="3" w16cid:durableId="1826702180">
    <w:abstractNumId w:val="2"/>
  </w:num>
  <w:num w:numId="4" w16cid:durableId="232738988">
    <w:abstractNumId w:val="106"/>
  </w:num>
  <w:num w:numId="5" w16cid:durableId="1332834793">
    <w:abstractNumId w:val="45"/>
  </w:num>
  <w:num w:numId="6" w16cid:durableId="1759445413">
    <w:abstractNumId w:val="55"/>
  </w:num>
  <w:num w:numId="7" w16cid:durableId="825902038">
    <w:abstractNumId w:val="73"/>
  </w:num>
  <w:num w:numId="8" w16cid:durableId="1761901721">
    <w:abstractNumId w:val="89"/>
  </w:num>
  <w:num w:numId="9" w16cid:durableId="1514148798">
    <w:abstractNumId w:val="50"/>
  </w:num>
  <w:num w:numId="10" w16cid:durableId="557517169">
    <w:abstractNumId w:val="71"/>
  </w:num>
  <w:num w:numId="11" w16cid:durableId="1510943636">
    <w:abstractNumId w:val="81"/>
  </w:num>
  <w:num w:numId="12" w16cid:durableId="1804686983">
    <w:abstractNumId w:val="59"/>
  </w:num>
  <w:num w:numId="13" w16cid:durableId="1403912557">
    <w:abstractNumId w:val="57"/>
  </w:num>
  <w:num w:numId="14" w16cid:durableId="108400707">
    <w:abstractNumId w:val="78"/>
  </w:num>
  <w:num w:numId="15" w16cid:durableId="1059594549">
    <w:abstractNumId w:val="38"/>
  </w:num>
  <w:num w:numId="16" w16cid:durableId="1499464892">
    <w:abstractNumId w:val="9"/>
  </w:num>
  <w:num w:numId="17" w16cid:durableId="1079181702">
    <w:abstractNumId w:val="46"/>
  </w:num>
  <w:num w:numId="18" w16cid:durableId="2134400153">
    <w:abstractNumId w:val="52"/>
  </w:num>
  <w:num w:numId="19" w16cid:durableId="81337893">
    <w:abstractNumId w:val="90"/>
  </w:num>
  <w:num w:numId="20" w16cid:durableId="1510635397">
    <w:abstractNumId w:val="32"/>
  </w:num>
  <w:num w:numId="21" w16cid:durableId="1819153601">
    <w:abstractNumId w:val="66"/>
  </w:num>
  <w:num w:numId="22" w16cid:durableId="1604731082">
    <w:abstractNumId w:val="105"/>
  </w:num>
  <w:num w:numId="23" w16cid:durableId="1011953111">
    <w:abstractNumId w:val="97"/>
  </w:num>
  <w:num w:numId="24" w16cid:durableId="2097824573">
    <w:abstractNumId w:val="72"/>
  </w:num>
  <w:num w:numId="25" w16cid:durableId="1620843634">
    <w:abstractNumId w:val="77"/>
  </w:num>
  <w:num w:numId="26" w16cid:durableId="1559589403">
    <w:abstractNumId w:val="24"/>
  </w:num>
  <w:num w:numId="27" w16cid:durableId="978801612">
    <w:abstractNumId w:val="68"/>
  </w:num>
  <w:num w:numId="28" w16cid:durableId="587882429">
    <w:abstractNumId w:val="31"/>
  </w:num>
  <w:num w:numId="29" w16cid:durableId="313803702">
    <w:abstractNumId w:val="67"/>
  </w:num>
  <w:num w:numId="30" w16cid:durableId="1671518271">
    <w:abstractNumId w:val="14"/>
  </w:num>
  <w:num w:numId="31" w16cid:durableId="1312172043">
    <w:abstractNumId w:val="8"/>
  </w:num>
  <w:num w:numId="32" w16cid:durableId="1332684743">
    <w:abstractNumId w:val="102"/>
  </w:num>
  <w:num w:numId="33" w16cid:durableId="298656726">
    <w:abstractNumId w:val="62"/>
  </w:num>
  <w:num w:numId="34" w16cid:durableId="844131012">
    <w:abstractNumId w:val="26"/>
  </w:num>
  <w:num w:numId="35" w16cid:durableId="498810464">
    <w:abstractNumId w:val="44"/>
  </w:num>
  <w:num w:numId="36" w16cid:durableId="1509633843">
    <w:abstractNumId w:val="42"/>
  </w:num>
  <w:num w:numId="37" w16cid:durableId="137306836">
    <w:abstractNumId w:val="29"/>
  </w:num>
  <w:num w:numId="38" w16cid:durableId="444422255">
    <w:abstractNumId w:val="11"/>
  </w:num>
  <w:num w:numId="39" w16cid:durableId="1767144458">
    <w:abstractNumId w:val="30"/>
  </w:num>
  <w:num w:numId="40" w16cid:durableId="366569388">
    <w:abstractNumId w:val="74"/>
  </w:num>
  <w:num w:numId="41" w16cid:durableId="450053719">
    <w:abstractNumId w:val="54"/>
  </w:num>
  <w:num w:numId="42" w16cid:durableId="1201241958">
    <w:abstractNumId w:val="70"/>
  </w:num>
  <w:num w:numId="43" w16cid:durableId="556820876">
    <w:abstractNumId w:val="48"/>
  </w:num>
  <w:num w:numId="44" w16cid:durableId="1305112955">
    <w:abstractNumId w:val="17"/>
  </w:num>
  <w:num w:numId="45" w16cid:durableId="1127774754">
    <w:abstractNumId w:val="40"/>
  </w:num>
  <w:num w:numId="46" w16cid:durableId="1155417054">
    <w:abstractNumId w:val="39"/>
  </w:num>
  <w:num w:numId="47" w16cid:durableId="1830555040">
    <w:abstractNumId w:val="86"/>
  </w:num>
  <w:num w:numId="48" w16cid:durableId="1583487254">
    <w:abstractNumId w:val="104"/>
  </w:num>
  <w:num w:numId="49" w16cid:durableId="1896350731">
    <w:abstractNumId w:val="85"/>
  </w:num>
  <w:num w:numId="50" w16cid:durableId="1660426159">
    <w:abstractNumId w:val="96"/>
  </w:num>
  <w:num w:numId="51" w16cid:durableId="1756659155">
    <w:abstractNumId w:val="16"/>
  </w:num>
  <w:num w:numId="52" w16cid:durableId="934559195">
    <w:abstractNumId w:val="87"/>
  </w:num>
  <w:num w:numId="53" w16cid:durableId="1271281224">
    <w:abstractNumId w:val="69"/>
  </w:num>
  <w:num w:numId="54" w16cid:durableId="385959602">
    <w:abstractNumId w:val="0"/>
  </w:num>
  <w:num w:numId="55" w16cid:durableId="835995301">
    <w:abstractNumId w:val="1"/>
  </w:num>
  <w:num w:numId="56" w16cid:durableId="1201086637">
    <w:abstractNumId w:val="64"/>
  </w:num>
  <w:num w:numId="57" w16cid:durableId="688409430">
    <w:abstractNumId w:val="100"/>
  </w:num>
  <w:num w:numId="58" w16cid:durableId="545527428">
    <w:abstractNumId w:val="98"/>
  </w:num>
  <w:num w:numId="59" w16cid:durableId="219369649">
    <w:abstractNumId w:val="10"/>
  </w:num>
  <w:num w:numId="60" w16cid:durableId="748385821">
    <w:abstractNumId w:val="93"/>
  </w:num>
  <w:num w:numId="61" w16cid:durableId="1602104120">
    <w:abstractNumId w:val="21"/>
  </w:num>
  <w:num w:numId="62" w16cid:durableId="1336496716">
    <w:abstractNumId w:val="15"/>
  </w:num>
  <w:num w:numId="63" w16cid:durableId="412777192">
    <w:abstractNumId w:val="53"/>
  </w:num>
  <w:num w:numId="64" w16cid:durableId="941840415">
    <w:abstractNumId w:val="103"/>
  </w:num>
  <w:num w:numId="65" w16cid:durableId="2084797118">
    <w:abstractNumId w:val="51"/>
  </w:num>
  <w:num w:numId="66" w16cid:durableId="1696081547">
    <w:abstractNumId w:val="80"/>
  </w:num>
  <w:num w:numId="67" w16cid:durableId="1261719170">
    <w:abstractNumId w:val="5"/>
  </w:num>
  <w:num w:numId="68" w16cid:durableId="1435441537">
    <w:abstractNumId w:val="28"/>
  </w:num>
  <w:num w:numId="69" w16cid:durableId="1141728431">
    <w:abstractNumId w:val="35"/>
  </w:num>
  <w:num w:numId="70" w16cid:durableId="828399446">
    <w:abstractNumId w:val="61"/>
  </w:num>
  <w:num w:numId="71" w16cid:durableId="823200176">
    <w:abstractNumId w:val="27"/>
  </w:num>
  <w:num w:numId="72" w16cid:durableId="202451755">
    <w:abstractNumId w:val="82"/>
  </w:num>
  <w:num w:numId="73" w16cid:durableId="1202211100">
    <w:abstractNumId w:val="41"/>
  </w:num>
  <w:num w:numId="74" w16cid:durableId="2041081746">
    <w:abstractNumId w:val="84"/>
  </w:num>
  <w:num w:numId="75" w16cid:durableId="908420125">
    <w:abstractNumId w:val="75"/>
  </w:num>
  <w:num w:numId="76" w16cid:durableId="581765342">
    <w:abstractNumId w:val="92"/>
  </w:num>
  <w:num w:numId="77" w16cid:durableId="2126537910">
    <w:abstractNumId w:val="4"/>
  </w:num>
  <w:num w:numId="78" w16cid:durableId="1515344419">
    <w:abstractNumId w:val="101"/>
  </w:num>
  <w:num w:numId="79" w16cid:durableId="597637384">
    <w:abstractNumId w:val="94"/>
  </w:num>
  <w:num w:numId="80" w16cid:durableId="410393512">
    <w:abstractNumId w:val="49"/>
  </w:num>
  <w:num w:numId="81" w16cid:durableId="845246398">
    <w:abstractNumId w:val="83"/>
  </w:num>
  <w:num w:numId="82" w16cid:durableId="1450662519">
    <w:abstractNumId w:val="20"/>
  </w:num>
  <w:num w:numId="83" w16cid:durableId="77216168">
    <w:abstractNumId w:val="22"/>
  </w:num>
  <w:num w:numId="84" w16cid:durableId="77946675">
    <w:abstractNumId w:val="43"/>
  </w:num>
  <w:num w:numId="85" w16cid:durableId="1673532418">
    <w:abstractNumId w:val="99"/>
  </w:num>
  <w:num w:numId="86" w16cid:durableId="1474369303">
    <w:abstractNumId w:val="63"/>
  </w:num>
  <w:num w:numId="87" w16cid:durableId="1544243625">
    <w:abstractNumId w:val="18"/>
  </w:num>
  <w:num w:numId="88" w16cid:durableId="918949182">
    <w:abstractNumId w:val="36"/>
  </w:num>
  <w:num w:numId="89" w16cid:durableId="593588878">
    <w:abstractNumId w:val="25"/>
  </w:num>
  <w:num w:numId="90" w16cid:durableId="138420030">
    <w:abstractNumId w:val="60"/>
  </w:num>
  <w:num w:numId="91" w16cid:durableId="303042660">
    <w:abstractNumId w:val="47"/>
  </w:num>
  <w:num w:numId="92" w16cid:durableId="1431002996">
    <w:abstractNumId w:val="95"/>
  </w:num>
  <w:num w:numId="93" w16cid:durableId="916207226">
    <w:abstractNumId w:val="33"/>
  </w:num>
  <w:num w:numId="94" w16cid:durableId="694691829">
    <w:abstractNumId w:val="56"/>
  </w:num>
  <w:num w:numId="95" w16cid:durableId="1997218142">
    <w:abstractNumId w:val="58"/>
  </w:num>
  <w:num w:numId="96" w16cid:durableId="171074045">
    <w:abstractNumId w:val="76"/>
  </w:num>
  <w:num w:numId="97" w16cid:durableId="1125661402">
    <w:abstractNumId w:val="65"/>
  </w:num>
  <w:num w:numId="98" w16cid:durableId="1806774372">
    <w:abstractNumId w:val="37"/>
  </w:num>
  <w:num w:numId="99" w16cid:durableId="913442021">
    <w:abstractNumId w:val="13"/>
  </w:num>
  <w:num w:numId="100" w16cid:durableId="2019428306">
    <w:abstractNumId w:val="7"/>
  </w:num>
  <w:num w:numId="101" w16cid:durableId="1979217722">
    <w:abstractNumId w:val="79"/>
  </w:num>
  <w:num w:numId="102" w16cid:durableId="158077679">
    <w:abstractNumId w:val="34"/>
  </w:num>
  <w:num w:numId="103" w16cid:durableId="457993769">
    <w:abstractNumId w:val="23"/>
  </w:num>
  <w:num w:numId="104" w16cid:durableId="972709483">
    <w:abstractNumId w:val="19"/>
  </w:num>
  <w:num w:numId="105" w16cid:durableId="515921207">
    <w:abstractNumId w:val="91"/>
  </w:num>
  <w:num w:numId="106" w16cid:durableId="1354527377">
    <w:abstractNumId w:val="6"/>
  </w:num>
  <w:num w:numId="107" w16cid:durableId="1759597661">
    <w:abstractNumId w:val="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hideGrammaticalErrors/>
  <w:proofState w:spelling="clean" w:grammar="clean"/>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DE0"/>
    <w:rsid w:val="00007CB7"/>
    <w:rsid w:val="000104D0"/>
    <w:rsid w:val="00020253"/>
    <w:rsid w:val="0002275E"/>
    <w:rsid w:val="00026E97"/>
    <w:rsid w:val="00027D29"/>
    <w:rsid w:val="00031AF4"/>
    <w:rsid w:val="00032573"/>
    <w:rsid w:val="00035CE9"/>
    <w:rsid w:val="00041107"/>
    <w:rsid w:val="00042659"/>
    <w:rsid w:val="000434EA"/>
    <w:rsid w:val="00051F83"/>
    <w:rsid w:val="000537F6"/>
    <w:rsid w:val="00053E73"/>
    <w:rsid w:val="00053EB6"/>
    <w:rsid w:val="00056E76"/>
    <w:rsid w:val="00061C80"/>
    <w:rsid w:val="00063256"/>
    <w:rsid w:val="00063876"/>
    <w:rsid w:val="00063924"/>
    <w:rsid w:val="000663CB"/>
    <w:rsid w:val="00067991"/>
    <w:rsid w:val="00070EA1"/>
    <w:rsid w:val="000724C3"/>
    <w:rsid w:val="00072DC3"/>
    <w:rsid w:val="00073B2C"/>
    <w:rsid w:val="00074663"/>
    <w:rsid w:val="00083247"/>
    <w:rsid w:val="0008334A"/>
    <w:rsid w:val="000845EC"/>
    <w:rsid w:val="00085130"/>
    <w:rsid w:val="0008698A"/>
    <w:rsid w:val="00090255"/>
    <w:rsid w:val="0009053A"/>
    <w:rsid w:val="00091F59"/>
    <w:rsid w:val="000921B3"/>
    <w:rsid w:val="00093CFA"/>
    <w:rsid w:val="00093D93"/>
    <w:rsid w:val="000950B1"/>
    <w:rsid w:val="000959FD"/>
    <w:rsid w:val="00097504"/>
    <w:rsid w:val="000A0C9A"/>
    <w:rsid w:val="000A0CBD"/>
    <w:rsid w:val="000A0D2D"/>
    <w:rsid w:val="000A39B7"/>
    <w:rsid w:val="000A4BDC"/>
    <w:rsid w:val="000A52CE"/>
    <w:rsid w:val="000A60CF"/>
    <w:rsid w:val="000A719E"/>
    <w:rsid w:val="000B0BB6"/>
    <w:rsid w:val="000B2440"/>
    <w:rsid w:val="000B3194"/>
    <w:rsid w:val="000B5BD9"/>
    <w:rsid w:val="000B6025"/>
    <w:rsid w:val="000B6CEA"/>
    <w:rsid w:val="000C0699"/>
    <w:rsid w:val="000C4195"/>
    <w:rsid w:val="000C460B"/>
    <w:rsid w:val="000C71CA"/>
    <w:rsid w:val="000D0949"/>
    <w:rsid w:val="000D204E"/>
    <w:rsid w:val="000D3A16"/>
    <w:rsid w:val="000D6AE8"/>
    <w:rsid w:val="000D6B12"/>
    <w:rsid w:val="000D6C55"/>
    <w:rsid w:val="000E0D35"/>
    <w:rsid w:val="000E1C31"/>
    <w:rsid w:val="000E1FF8"/>
    <w:rsid w:val="000E624A"/>
    <w:rsid w:val="000E7D89"/>
    <w:rsid w:val="000F0BE8"/>
    <w:rsid w:val="000F498F"/>
    <w:rsid w:val="00102C98"/>
    <w:rsid w:val="001038A9"/>
    <w:rsid w:val="00103927"/>
    <w:rsid w:val="00103B30"/>
    <w:rsid w:val="001041F6"/>
    <w:rsid w:val="00104954"/>
    <w:rsid w:val="001053F3"/>
    <w:rsid w:val="0010656A"/>
    <w:rsid w:val="00106ADD"/>
    <w:rsid w:val="00107A5A"/>
    <w:rsid w:val="00107B13"/>
    <w:rsid w:val="00107B1F"/>
    <w:rsid w:val="001132AD"/>
    <w:rsid w:val="00114C52"/>
    <w:rsid w:val="00116C4D"/>
    <w:rsid w:val="0012304F"/>
    <w:rsid w:val="00123A00"/>
    <w:rsid w:val="001241D4"/>
    <w:rsid w:val="00126170"/>
    <w:rsid w:val="0012626D"/>
    <w:rsid w:val="00126FF8"/>
    <w:rsid w:val="001272CA"/>
    <w:rsid w:val="00130E42"/>
    <w:rsid w:val="001310C7"/>
    <w:rsid w:val="00133D75"/>
    <w:rsid w:val="00134DDA"/>
    <w:rsid w:val="00135084"/>
    <w:rsid w:val="0013539F"/>
    <w:rsid w:val="00136D0C"/>
    <w:rsid w:val="001378C6"/>
    <w:rsid w:val="00143E82"/>
    <w:rsid w:val="001450A5"/>
    <w:rsid w:val="001457E2"/>
    <w:rsid w:val="001476D0"/>
    <w:rsid w:val="001511FF"/>
    <w:rsid w:val="00151FE0"/>
    <w:rsid w:val="00152CF7"/>
    <w:rsid w:val="0015349D"/>
    <w:rsid w:val="00153A9C"/>
    <w:rsid w:val="00153F5E"/>
    <w:rsid w:val="00155157"/>
    <w:rsid w:val="00155FE2"/>
    <w:rsid w:val="00160603"/>
    <w:rsid w:val="00162C8D"/>
    <w:rsid w:val="001643DA"/>
    <w:rsid w:val="0017324B"/>
    <w:rsid w:val="0017375E"/>
    <w:rsid w:val="00174243"/>
    <w:rsid w:val="00176747"/>
    <w:rsid w:val="00180A6A"/>
    <w:rsid w:val="00192CF5"/>
    <w:rsid w:val="00195FB9"/>
    <w:rsid w:val="001A324E"/>
    <w:rsid w:val="001A3319"/>
    <w:rsid w:val="001A37A6"/>
    <w:rsid w:val="001A41D2"/>
    <w:rsid w:val="001A6222"/>
    <w:rsid w:val="001B021A"/>
    <w:rsid w:val="001B033D"/>
    <w:rsid w:val="001B473E"/>
    <w:rsid w:val="001C1B7C"/>
    <w:rsid w:val="001C1ED3"/>
    <w:rsid w:val="001C20A6"/>
    <w:rsid w:val="001C4431"/>
    <w:rsid w:val="001C49A5"/>
    <w:rsid w:val="001C6DE6"/>
    <w:rsid w:val="001D0160"/>
    <w:rsid w:val="001D0759"/>
    <w:rsid w:val="001D0985"/>
    <w:rsid w:val="001D4054"/>
    <w:rsid w:val="001D71D3"/>
    <w:rsid w:val="001E0E7C"/>
    <w:rsid w:val="001E1BB0"/>
    <w:rsid w:val="001E2C06"/>
    <w:rsid w:val="001E3AF9"/>
    <w:rsid w:val="001F17DC"/>
    <w:rsid w:val="001F2E14"/>
    <w:rsid w:val="001F4998"/>
    <w:rsid w:val="001F5B04"/>
    <w:rsid w:val="001F7008"/>
    <w:rsid w:val="001F7513"/>
    <w:rsid w:val="001F7CA4"/>
    <w:rsid w:val="00200682"/>
    <w:rsid w:val="00202E2F"/>
    <w:rsid w:val="00211E4E"/>
    <w:rsid w:val="002130CF"/>
    <w:rsid w:val="00215801"/>
    <w:rsid w:val="002161FC"/>
    <w:rsid w:val="002223F3"/>
    <w:rsid w:val="00222DE0"/>
    <w:rsid w:val="002265A0"/>
    <w:rsid w:val="002268B0"/>
    <w:rsid w:val="00227E18"/>
    <w:rsid w:val="00230173"/>
    <w:rsid w:val="0023383C"/>
    <w:rsid w:val="002355BC"/>
    <w:rsid w:val="00235B53"/>
    <w:rsid w:val="00235F54"/>
    <w:rsid w:val="00236C6C"/>
    <w:rsid w:val="00236D63"/>
    <w:rsid w:val="00237DCB"/>
    <w:rsid w:val="00241B28"/>
    <w:rsid w:val="00241F6D"/>
    <w:rsid w:val="0024473A"/>
    <w:rsid w:val="00244AFC"/>
    <w:rsid w:val="0024686E"/>
    <w:rsid w:val="0025088F"/>
    <w:rsid w:val="00251319"/>
    <w:rsid w:val="00251380"/>
    <w:rsid w:val="00251ADD"/>
    <w:rsid w:val="0025229D"/>
    <w:rsid w:val="00253BCA"/>
    <w:rsid w:val="002552C0"/>
    <w:rsid w:val="00256AC6"/>
    <w:rsid w:val="00263B76"/>
    <w:rsid w:val="0026575F"/>
    <w:rsid w:val="002667D8"/>
    <w:rsid w:val="00266CA2"/>
    <w:rsid w:val="00270119"/>
    <w:rsid w:val="00270B33"/>
    <w:rsid w:val="00272EED"/>
    <w:rsid w:val="002731BD"/>
    <w:rsid w:val="0027439D"/>
    <w:rsid w:val="00274840"/>
    <w:rsid w:val="00276769"/>
    <w:rsid w:val="0027704F"/>
    <w:rsid w:val="00277621"/>
    <w:rsid w:val="0028376A"/>
    <w:rsid w:val="002842F4"/>
    <w:rsid w:val="00287C79"/>
    <w:rsid w:val="0029285D"/>
    <w:rsid w:val="00293686"/>
    <w:rsid w:val="002939CB"/>
    <w:rsid w:val="0029575E"/>
    <w:rsid w:val="002963AA"/>
    <w:rsid w:val="002972B1"/>
    <w:rsid w:val="00297E06"/>
    <w:rsid w:val="002A0001"/>
    <w:rsid w:val="002A3F39"/>
    <w:rsid w:val="002A5F61"/>
    <w:rsid w:val="002A72C1"/>
    <w:rsid w:val="002A7924"/>
    <w:rsid w:val="002A79DE"/>
    <w:rsid w:val="002B01D3"/>
    <w:rsid w:val="002B0CF8"/>
    <w:rsid w:val="002B0E0C"/>
    <w:rsid w:val="002B5263"/>
    <w:rsid w:val="002B5DC1"/>
    <w:rsid w:val="002B6F16"/>
    <w:rsid w:val="002B712A"/>
    <w:rsid w:val="002C1D2E"/>
    <w:rsid w:val="002C429C"/>
    <w:rsid w:val="002C4720"/>
    <w:rsid w:val="002C4CDA"/>
    <w:rsid w:val="002C5982"/>
    <w:rsid w:val="002C6343"/>
    <w:rsid w:val="002D4186"/>
    <w:rsid w:val="002D62A4"/>
    <w:rsid w:val="002D64BB"/>
    <w:rsid w:val="002D6813"/>
    <w:rsid w:val="002D70D4"/>
    <w:rsid w:val="002D7888"/>
    <w:rsid w:val="002D79E9"/>
    <w:rsid w:val="002E0106"/>
    <w:rsid w:val="002E0D5A"/>
    <w:rsid w:val="002E2443"/>
    <w:rsid w:val="002E70A2"/>
    <w:rsid w:val="002F0CCA"/>
    <w:rsid w:val="002F12F1"/>
    <w:rsid w:val="002F1C9A"/>
    <w:rsid w:val="002F206D"/>
    <w:rsid w:val="002F2E09"/>
    <w:rsid w:val="002F3710"/>
    <w:rsid w:val="002F4DF0"/>
    <w:rsid w:val="00301593"/>
    <w:rsid w:val="00302305"/>
    <w:rsid w:val="003060BD"/>
    <w:rsid w:val="0030655B"/>
    <w:rsid w:val="00306DA5"/>
    <w:rsid w:val="00307193"/>
    <w:rsid w:val="00311D67"/>
    <w:rsid w:val="0031326B"/>
    <w:rsid w:val="003157D5"/>
    <w:rsid w:val="003158EF"/>
    <w:rsid w:val="00316FB1"/>
    <w:rsid w:val="00317549"/>
    <w:rsid w:val="00320B68"/>
    <w:rsid w:val="00325034"/>
    <w:rsid w:val="00326FCF"/>
    <w:rsid w:val="0033179D"/>
    <w:rsid w:val="00336115"/>
    <w:rsid w:val="00337DC9"/>
    <w:rsid w:val="003434C8"/>
    <w:rsid w:val="00344DCD"/>
    <w:rsid w:val="003458C2"/>
    <w:rsid w:val="00350A2E"/>
    <w:rsid w:val="00350D92"/>
    <w:rsid w:val="00351B84"/>
    <w:rsid w:val="00354661"/>
    <w:rsid w:val="00354D99"/>
    <w:rsid w:val="003559CA"/>
    <w:rsid w:val="00356B9C"/>
    <w:rsid w:val="00356E2A"/>
    <w:rsid w:val="00363B9B"/>
    <w:rsid w:val="003666E0"/>
    <w:rsid w:val="003721BE"/>
    <w:rsid w:val="00374078"/>
    <w:rsid w:val="00376E0D"/>
    <w:rsid w:val="00380D8E"/>
    <w:rsid w:val="003826F8"/>
    <w:rsid w:val="00382E33"/>
    <w:rsid w:val="00391AE8"/>
    <w:rsid w:val="00392C24"/>
    <w:rsid w:val="00393C96"/>
    <w:rsid w:val="00393F75"/>
    <w:rsid w:val="00394478"/>
    <w:rsid w:val="00394537"/>
    <w:rsid w:val="0039592C"/>
    <w:rsid w:val="00395E0C"/>
    <w:rsid w:val="003A068B"/>
    <w:rsid w:val="003A17F7"/>
    <w:rsid w:val="003A3116"/>
    <w:rsid w:val="003A35AF"/>
    <w:rsid w:val="003A459B"/>
    <w:rsid w:val="003A66A4"/>
    <w:rsid w:val="003A7F14"/>
    <w:rsid w:val="003B11C5"/>
    <w:rsid w:val="003B4B58"/>
    <w:rsid w:val="003B4F98"/>
    <w:rsid w:val="003B5262"/>
    <w:rsid w:val="003B6C21"/>
    <w:rsid w:val="003C21A6"/>
    <w:rsid w:val="003C28B1"/>
    <w:rsid w:val="003C7935"/>
    <w:rsid w:val="003D0642"/>
    <w:rsid w:val="003D1154"/>
    <w:rsid w:val="003D1584"/>
    <w:rsid w:val="003D36A2"/>
    <w:rsid w:val="003D3840"/>
    <w:rsid w:val="003D779B"/>
    <w:rsid w:val="003E3ABA"/>
    <w:rsid w:val="003E4A91"/>
    <w:rsid w:val="003E54FF"/>
    <w:rsid w:val="003E6510"/>
    <w:rsid w:val="003F2CDC"/>
    <w:rsid w:val="003F3575"/>
    <w:rsid w:val="003F77A1"/>
    <w:rsid w:val="00402447"/>
    <w:rsid w:val="00402E49"/>
    <w:rsid w:val="00404E47"/>
    <w:rsid w:val="004064E5"/>
    <w:rsid w:val="0041179F"/>
    <w:rsid w:val="004123AF"/>
    <w:rsid w:val="0041467D"/>
    <w:rsid w:val="004154CD"/>
    <w:rsid w:val="0041587B"/>
    <w:rsid w:val="00415E87"/>
    <w:rsid w:val="0041600F"/>
    <w:rsid w:val="00416A1D"/>
    <w:rsid w:val="004177B0"/>
    <w:rsid w:val="00422E2C"/>
    <w:rsid w:val="00423470"/>
    <w:rsid w:val="00423D8D"/>
    <w:rsid w:val="00427B54"/>
    <w:rsid w:val="00431ABD"/>
    <w:rsid w:val="004373CF"/>
    <w:rsid w:val="00440607"/>
    <w:rsid w:val="00441677"/>
    <w:rsid w:val="00442BB9"/>
    <w:rsid w:val="004450D0"/>
    <w:rsid w:val="00446848"/>
    <w:rsid w:val="00447B8D"/>
    <w:rsid w:val="00451FC5"/>
    <w:rsid w:val="0045623D"/>
    <w:rsid w:val="00457385"/>
    <w:rsid w:val="004612B8"/>
    <w:rsid w:val="00464867"/>
    <w:rsid w:val="00465AA2"/>
    <w:rsid w:val="004709B5"/>
    <w:rsid w:val="00482907"/>
    <w:rsid w:val="004856B8"/>
    <w:rsid w:val="0048579F"/>
    <w:rsid w:val="00486F3A"/>
    <w:rsid w:val="00486FC8"/>
    <w:rsid w:val="004874FF"/>
    <w:rsid w:val="00492BA7"/>
    <w:rsid w:val="00495028"/>
    <w:rsid w:val="004955B4"/>
    <w:rsid w:val="004A1D15"/>
    <w:rsid w:val="004A270A"/>
    <w:rsid w:val="004A3142"/>
    <w:rsid w:val="004A3A01"/>
    <w:rsid w:val="004A65CD"/>
    <w:rsid w:val="004A6A2B"/>
    <w:rsid w:val="004A6F32"/>
    <w:rsid w:val="004A75E1"/>
    <w:rsid w:val="004B01FB"/>
    <w:rsid w:val="004B2BBB"/>
    <w:rsid w:val="004B34B3"/>
    <w:rsid w:val="004B401F"/>
    <w:rsid w:val="004B417F"/>
    <w:rsid w:val="004B43EE"/>
    <w:rsid w:val="004B4A07"/>
    <w:rsid w:val="004B5E82"/>
    <w:rsid w:val="004B7B8B"/>
    <w:rsid w:val="004C0B73"/>
    <w:rsid w:val="004C225B"/>
    <w:rsid w:val="004C4B8E"/>
    <w:rsid w:val="004C56EF"/>
    <w:rsid w:val="004C6842"/>
    <w:rsid w:val="004C72BD"/>
    <w:rsid w:val="004D0AEB"/>
    <w:rsid w:val="004D11B1"/>
    <w:rsid w:val="004D25EC"/>
    <w:rsid w:val="004D3B65"/>
    <w:rsid w:val="004E07D0"/>
    <w:rsid w:val="004E4806"/>
    <w:rsid w:val="004E599F"/>
    <w:rsid w:val="004F22FB"/>
    <w:rsid w:val="004F45E9"/>
    <w:rsid w:val="00500D7D"/>
    <w:rsid w:val="00502D17"/>
    <w:rsid w:val="00503C90"/>
    <w:rsid w:val="00504765"/>
    <w:rsid w:val="00505E25"/>
    <w:rsid w:val="00506131"/>
    <w:rsid w:val="0051050B"/>
    <w:rsid w:val="00514349"/>
    <w:rsid w:val="00514CF1"/>
    <w:rsid w:val="005230C6"/>
    <w:rsid w:val="00525A74"/>
    <w:rsid w:val="0053045F"/>
    <w:rsid w:val="00530E88"/>
    <w:rsid w:val="005320A4"/>
    <w:rsid w:val="00533D97"/>
    <w:rsid w:val="005353C5"/>
    <w:rsid w:val="005358B3"/>
    <w:rsid w:val="0053673C"/>
    <w:rsid w:val="005370D7"/>
    <w:rsid w:val="00540DE1"/>
    <w:rsid w:val="00546D32"/>
    <w:rsid w:val="0055031F"/>
    <w:rsid w:val="005507B8"/>
    <w:rsid w:val="00550954"/>
    <w:rsid w:val="00553280"/>
    <w:rsid w:val="005534F3"/>
    <w:rsid w:val="005578CD"/>
    <w:rsid w:val="00565083"/>
    <w:rsid w:val="00573BA4"/>
    <w:rsid w:val="005743B3"/>
    <w:rsid w:val="00575087"/>
    <w:rsid w:val="00576248"/>
    <w:rsid w:val="005800DA"/>
    <w:rsid w:val="00582D19"/>
    <w:rsid w:val="0058502F"/>
    <w:rsid w:val="005861A8"/>
    <w:rsid w:val="005874AF"/>
    <w:rsid w:val="00590490"/>
    <w:rsid w:val="00590894"/>
    <w:rsid w:val="005920B7"/>
    <w:rsid w:val="00593A71"/>
    <w:rsid w:val="00593E23"/>
    <w:rsid w:val="00595490"/>
    <w:rsid w:val="005A191B"/>
    <w:rsid w:val="005A3016"/>
    <w:rsid w:val="005A34F0"/>
    <w:rsid w:val="005A3E54"/>
    <w:rsid w:val="005A49EF"/>
    <w:rsid w:val="005A5001"/>
    <w:rsid w:val="005A60DB"/>
    <w:rsid w:val="005A6EDE"/>
    <w:rsid w:val="005B12D9"/>
    <w:rsid w:val="005B2A14"/>
    <w:rsid w:val="005B4E64"/>
    <w:rsid w:val="005B566C"/>
    <w:rsid w:val="005B57D5"/>
    <w:rsid w:val="005B63F1"/>
    <w:rsid w:val="005B728E"/>
    <w:rsid w:val="005C05D3"/>
    <w:rsid w:val="005C12C4"/>
    <w:rsid w:val="005C4FB3"/>
    <w:rsid w:val="005C77CB"/>
    <w:rsid w:val="005C7BB5"/>
    <w:rsid w:val="005D0A43"/>
    <w:rsid w:val="005D36F0"/>
    <w:rsid w:val="005D6892"/>
    <w:rsid w:val="005E0526"/>
    <w:rsid w:val="005E1DB8"/>
    <w:rsid w:val="005E4D75"/>
    <w:rsid w:val="005F05B6"/>
    <w:rsid w:val="005F0AC8"/>
    <w:rsid w:val="005F0C3E"/>
    <w:rsid w:val="005F57E5"/>
    <w:rsid w:val="00600B42"/>
    <w:rsid w:val="00603C70"/>
    <w:rsid w:val="00603E20"/>
    <w:rsid w:val="00610216"/>
    <w:rsid w:val="00611ED1"/>
    <w:rsid w:val="006162FD"/>
    <w:rsid w:val="0061713E"/>
    <w:rsid w:val="00617705"/>
    <w:rsid w:val="00620953"/>
    <w:rsid w:val="00621D5B"/>
    <w:rsid w:val="00622527"/>
    <w:rsid w:val="0062341C"/>
    <w:rsid w:val="00624F6E"/>
    <w:rsid w:val="00626489"/>
    <w:rsid w:val="00627304"/>
    <w:rsid w:val="00627751"/>
    <w:rsid w:val="00627C25"/>
    <w:rsid w:val="006308C2"/>
    <w:rsid w:val="0063570A"/>
    <w:rsid w:val="00636AE9"/>
    <w:rsid w:val="006407DC"/>
    <w:rsid w:val="00641781"/>
    <w:rsid w:val="00641FFD"/>
    <w:rsid w:val="00642864"/>
    <w:rsid w:val="00642FD8"/>
    <w:rsid w:val="00643554"/>
    <w:rsid w:val="006531CF"/>
    <w:rsid w:val="006560F2"/>
    <w:rsid w:val="00656AD9"/>
    <w:rsid w:val="0066158D"/>
    <w:rsid w:val="00662776"/>
    <w:rsid w:val="00663C76"/>
    <w:rsid w:val="00665C18"/>
    <w:rsid w:val="00667C31"/>
    <w:rsid w:val="00667DBC"/>
    <w:rsid w:val="0067072C"/>
    <w:rsid w:val="006722A4"/>
    <w:rsid w:val="006729A1"/>
    <w:rsid w:val="00673003"/>
    <w:rsid w:val="006739C7"/>
    <w:rsid w:val="00673BB0"/>
    <w:rsid w:val="0067795B"/>
    <w:rsid w:val="00680587"/>
    <w:rsid w:val="006825FA"/>
    <w:rsid w:val="00682896"/>
    <w:rsid w:val="00685F48"/>
    <w:rsid w:val="00692AF5"/>
    <w:rsid w:val="006940F3"/>
    <w:rsid w:val="006958E3"/>
    <w:rsid w:val="006961CD"/>
    <w:rsid w:val="00696A6A"/>
    <w:rsid w:val="006A0F70"/>
    <w:rsid w:val="006A2EA6"/>
    <w:rsid w:val="006A4EA5"/>
    <w:rsid w:val="006A69AC"/>
    <w:rsid w:val="006B1E94"/>
    <w:rsid w:val="006B2E05"/>
    <w:rsid w:val="006C128A"/>
    <w:rsid w:val="006C15BB"/>
    <w:rsid w:val="006C1730"/>
    <w:rsid w:val="006C4BD6"/>
    <w:rsid w:val="006C76FC"/>
    <w:rsid w:val="006D01F5"/>
    <w:rsid w:val="006D392B"/>
    <w:rsid w:val="006D60A3"/>
    <w:rsid w:val="006F1E69"/>
    <w:rsid w:val="006F1FFE"/>
    <w:rsid w:val="006F2288"/>
    <w:rsid w:val="006F42DE"/>
    <w:rsid w:val="006F4937"/>
    <w:rsid w:val="006F6909"/>
    <w:rsid w:val="006F7140"/>
    <w:rsid w:val="00701CF4"/>
    <w:rsid w:val="00704F4F"/>
    <w:rsid w:val="00706528"/>
    <w:rsid w:val="007131BD"/>
    <w:rsid w:val="0071435F"/>
    <w:rsid w:val="007145F9"/>
    <w:rsid w:val="00714AB7"/>
    <w:rsid w:val="007160D5"/>
    <w:rsid w:val="00716588"/>
    <w:rsid w:val="007169D6"/>
    <w:rsid w:val="007174F8"/>
    <w:rsid w:val="00720BA0"/>
    <w:rsid w:val="007256EE"/>
    <w:rsid w:val="0072574F"/>
    <w:rsid w:val="00731062"/>
    <w:rsid w:val="007312FF"/>
    <w:rsid w:val="0073277F"/>
    <w:rsid w:val="00732B29"/>
    <w:rsid w:val="00732C56"/>
    <w:rsid w:val="00736A64"/>
    <w:rsid w:val="00736FFE"/>
    <w:rsid w:val="00741582"/>
    <w:rsid w:val="00741F0E"/>
    <w:rsid w:val="00742E51"/>
    <w:rsid w:val="00744126"/>
    <w:rsid w:val="00755DCB"/>
    <w:rsid w:val="00756907"/>
    <w:rsid w:val="007578BD"/>
    <w:rsid w:val="00757FC9"/>
    <w:rsid w:val="007648D3"/>
    <w:rsid w:val="00765CA7"/>
    <w:rsid w:val="00770301"/>
    <w:rsid w:val="00770A13"/>
    <w:rsid w:val="00770CFA"/>
    <w:rsid w:val="0078046A"/>
    <w:rsid w:val="0078332E"/>
    <w:rsid w:val="007836A5"/>
    <w:rsid w:val="007874B1"/>
    <w:rsid w:val="0079542A"/>
    <w:rsid w:val="007A6C30"/>
    <w:rsid w:val="007B0E07"/>
    <w:rsid w:val="007B0EAF"/>
    <w:rsid w:val="007B18F4"/>
    <w:rsid w:val="007B2458"/>
    <w:rsid w:val="007B5C12"/>
    <w:rsid w:val="007B615B"/>
    <w:rsid w:val="007B67D3"/>
    <w:rsid w:val="007B693D"/>
    <w:rsid w:val="007B7375"/>
    <w:rsid w:val="007C1B0A"/>
    <w:rsid w:val="007C2155"/>
    <w:rsid w:val="007C287D"/>
    <w:rsid w:val="007C403F"/>
    <w:rsid w:val="007C4606"/>
    <w:rsid w:val="007C4CCB"/>
    <w:rsid w:val="007C7C81"/>
    <w:rsid w:val="007D0A7D"/>
    <w:rsid w:val="007D1AB7"/>
    <w:rsid w:val="007D1EDD"/>
    <w:rsid w:val="007D5501"/>
    <w:rsid w:val="007D6926"/>
    <w:rsid w:val="007D7503"/>
    <w:rsid w:val="007E0218"/>
    <w:rsid w:val="007E0C7C"/>
    <w:rsid w:val="007E0EB1"/>
    <w:rsid w:val="007E13F1"/>
    <w:rsid w:val="007E1549"/>
    <w:rsid w:val="007E7090"/>
    <w:rsid w:val="007F2529"/>
    <w:rsid w:val="007F25E1"/>
    <w:rsid w:val="007F3F1C"/>
    <w:rsid w:val="007F5FA7"/>
    <w:rsid w:val="00800B0D"/>
    <w:rsid w:val="00800D8A"/>
    <w:rsid w:val="008013E1"/>
    <w:rsid w:val="00802869"/>
    <w:rsid w:val="008048B7"/>
    <w:rsid w:val="00805678"/>
    <w:rsid w:val="00806C26"/>
    <w:rsid w:val="00812FCE"/>
    <w:rsid w:val="00814CD4"/>
    <w:rsid w:val="008167CC"/>
    <w:rsid w:val="00816F3A"/>
    <w:rsid w:val="0081738B"/>
    <w:rsid w:val="008173C1"/>
    <w:rsid w:val="008177B2"/>
    <w:rsid w:val="00820EBA"/>
    <w:rsid w:val="008211C2"/>
    <w:rsid w:val="00821A1E"/>
    <w:rsid w:val="00830842"/>
    <w:rsid w:val="0083348B"/>
    <w:rsid w:val="0083787E"/>
    <w:rsid w:val="00837AFA"/>
    <w:rsid w:val="00841C83"/>
    <w:rsid w:val="0084494C"/>
    <w:rsid w:val="00845712"/>
    <w:rsid w:val="0084600A"/>
    <w:rsid w:val="00846F1D"/>
    <w:rsid w:val="008513EF"/>
    <w:rsid w:val="008535C4"/>
    <w:rsid w:val="00853BDC"/>
    <w:rsid w:val="00854EEF"/>
    <w:rsid w:val="00860E4F"/>
    <w:rsid w:val="008627DB"/>
    <w:rsid w:val="00862B72"/>
    <w:rsid w:val="008635CC"/>
    <w:rsid w:val="008661CA"/>
    <w:rsid w:val="00872925"/>
    <w:rsid w:val="00873077"/>
    <w:rsid w:val="008743D4"/>
    <w:rsid w:val="00877AEF"/>
    <w:rsid w:val="0088013B"/>
    <w:rsid w:val="00883A48"/>
    <w:rsid w:val="00886092"/>
    <w:rsid w:val="00886B0F"/>
    <w:rsid w:val="008940E2"/>
    <w:rsid w:val="0089484E"/>
    <w:rsid w:val="008A0412"/>
    <w:rsid w:val="008A10A6"/>
    <w:rsid w:val="008A64BF"/>
    <w:rsid w:val="008B0B89"/>
    <w:rsid w:val="008B2EB3"/>
    <w:rsid w:val="008B33B1"/>
    <w:rsid w:val="008B67A6"/>
    <w:rsid w:val="008B6A13"/>
    <w:rsid w:val="008C0B8F"/>
    <w:rsid w:val="008C3008"/>
    <w:rsid w:val="008C3359"/>
    <w:rsid w:val="008C39D1"/>
    <w:rsid w:val="008C439B"/>
    <w:rsid w:val="008C5167"/>
    <w:rsid w:val="008C5F31"/>
    <w:rsid w:val="008D1875"/>
    <w:rsid w:val="008D2A1C"/>
    <w:rsid w:val="008D7F7D"/>
    <w:rsid w:val="008E1B8C"/>
    <w:rsid w:val="008E2766"/>
    <w:rsid w:val="008E2F72"/>
    <w:rsid w:val="008E598F"/>
    <w:rsid w:val="008E66D7"/>
    <w:rsid w:val="008F0287"/>
    <w:rsid w:val="008F2952"/>
    <w:rsid w:val="008F46D1"/>
    <w:rsid w:val="008F5261"/>
    <w:rsid w:val="008F5470"/>
    <w:rsid w:val="008F73FE"/>
    <w:rsid w:val="00901470"/>
    <w:rsid w:val="009018A3"/>
    <w:rsid w:val="00902B24"/>
    <w:rsid w:val="00904A94"/>
    <w:rsid w:val="00910585"/>
    <w:rsid w:val="0091095B"/>
    <w:rsid w:val="00910C23"/>
    <w:rsid w:val="009114BD"/>
    <w:rsid w:val="0091188E"/>
    <w:rsid w:val="00915B63"/>
    <w:rsid w:val="00916B13"/>
    <w:rsid w:val="00920780"/>
    <w:rsid w:val="00930F89"/>
    <w:rsid w:val="009355E9"/>
    <w:rsid w:val="00937136"/>
    <w:rsid w:val="00941D64"/>
    <w:rsid w:val="009420EF"/>
    <w:rsid w:val="00943216"/>
    <w:rsid w:val="00943257"/>
    <w:rsid w:val="009445C1"/>
    <w:rsid w:val="00946718"/>
    <w:rsid w:val="009476DC"/>
    <w:rsid w:val="00947CC2"/>
    <w:rsid w:val="0095454E"/>
    <w:rsid w:val="0095714C"/>
    <w:rsid w:val="009601C4"/>
    <w:rsid w:val="009601F6"/>
    <w:rsid w:val="0096182D"/>
    <w:rsid w:val="0096209A"/>
    <w:rsid w:val="00963818"/>
    <w:rsid w:val="0096611B"/>
    <w:rsid w:val="00967EAA"/>
    <w:rsid w:val="00970039"/>
    <w:rsid w:val="0097098B"/>
    <w:rsid w:val="00974F91"/>
    <w:rsid w:val="009773F9"/>
    <w:rsid w:val="00977902"/>
    <w:rsid w:val="00980513"/>
    <w:rsid w:val="00980B08"/>
    <w:rsid w:val="00981B2F"/>
    <w:rsid w:val="0098273B"/>
    <w:rsid w:val="009827B9"/>
    <w:rsid w:val="009842F2"/>
    <w:rsid w:val="00987F8A"/>
    <w:rsid w:val="00990A4A"/>
    <w:rsid w:val="00991C97"/>
    <w:rsid w:val="0099317F"/>
    <w:rsid w:val="00994218"/>
    <w:rsid w:val="009A199A"/>
    <w:rsid w:val="009A2C1E"/>
    <w:rsid w:val="009B55CE"/>
    <w:rsid w:val="009B6386"/>
    <w:rsid w:val="009B682C"/>
    <w:rsid w:val="009B68D2"/>
    <w:rsid w:val="009B72B8"/>
    <w:rsid w:val="009B7756"/>
    <w:rsid w:val="009C2071"/>
    <w:rsid w:val="009C3CA3"/>
    <w:rsid w:val="009C51F2"/>
    <w:rsid w:val="009C6009"/>
    <w:rsid w:val="009C6EB0"/>
    <w:rsid w:val="009C7391"/>
    <w:rsid w:val="009D008F"/>
    <w:rsid w:val="009D010A"/>
    <w:rsid w:val="009D3D72"/>
    <w:rsid w:val="009D6AC8"/>
    <w:rsid w:val="009E1D8A"/>
    <w:rsid w:val="009E76DD"/>
    <w:rsid w:val="009E7DDE"/>
    <w:rsid w:val="009F16F4"/>
    <w:rsid w:val="009F18E2"/>
    <w:rsid w:val="00A006F9"/>
    <w:rsid w:val="00A03101"/>
    <w:rsid w:val="00A0412E"/>
    <w:rsid w:val="00A0461C"/>
    <w:rsid w:val="00A06EF6"/>
    <w:rsid w:val="00A10B51"/>
    <w:rsid w:val="00A10C58"/>
    <w:rsid w:val="00A12B52"/>
    <w:rsid w:val="00A12FF7"/>
    <w:rsid w:val="00A144E7"/>
    <w:rsid w:val="00A211A8"/>
    <w:rsid w:val="00A31512"/>
    <w:rsid w:val="00A31D49"/>
    <w:rsid w:val="00A3318F"/>
    <w:rsid w:val="00A33CA8"/>
    <w:rsid w:val="00A34701"/>
    <w:rsid w:val="00A36294"/>
    <w:rsid w:val="00A371D9"/>
    <w:rsid w:val="00A402C5"/>
    <w:rsid w:val="00A4538B"/>
    <w:rsid w:val="00A47659"/>
    <w:rsid w:val="00A50DDD"/>
    <w:rsid w:val="00A50FF1"/>
    <w:rsid w:val="00A53C16"/>
    <w:rsid w:val="00A551D9"/>
    <w:rsid w:val="00A554EA"/>
    <w:rsid w:val="00A56F86"/>
    <w:rsid w:val="00A576C8"/>
    <w:rsid w:val="00A63986"/>
    <w:rsid w:val="00A6541A"/>
    <w:rsid w:val="00A66B71"/>
    <w:rsid w:val="00A66F71"/>
    <w:rsid w:val="00A67273"/>
    <w:rsid w:val="00A715E5"/>
    <w:rsid w:val="00A72BCF"/>
    <w:rsid w:val="00A74821"/>
    <w:rsid w:val="00A7650A"/>
    <w:rsid w:val="00A77E57"/>
    <w:rsid w:val="00A80681"/>
    <w:rsid w:val="00A8230D"/>
    <w:rsid w:val="00A828B5"/>
    <w:rsid w:val="00A861FC"/>
    <w:rsid w:val="00A87216"/>
    <w:rsid w:val="00A87988"/>
    <w:rsid w:val="00A90A4B"/>
    <w:rsid w:val="00A90E4A"/>
    <w:rsid w:val="00A926A2"/>
    <w:rsid w:val="00A93172"/>
    <w:rsid w:val="00A94DA1"/>
    <w:rsid w:val="00A95BCC"/>
    <w:rsid w:val="00A96255"/>
    <w:rsid w:val="00A979EC"/>
    <w:rsid w:val="00AA1261"/>
    <w:rsid w:val="00AA1554"/>
    <w:rsid w:val="00AA36AD"/>
    <w:rsid w:val="00AA7B68"/>
    <w:rsid w:val="00AB2582"/>
    <w:rsid w:val="00AB2BD6"/>
    <w:rsid w:val="00AB33B8"/>
    <w:rsid w:val="00AB4E69"/>
    <w:rsid w:val="00AB4EEB"/>
    <w:rsid w:val="00AC1D6E"/>
    <w:rsid w:val="00AC35D8"/>
    <w:rsid w:val="00AC3817"/>
    <w:rsid w:val="00AC57BB"/>
    <w:rsid w:val="00AC62A2"/>
    <w:rsid w:val="00AC6C11"/>
    <w:rsid w:val="00AD0404"/>
    <w:rsid w:val="00AD6345"/>
    <w:rsid w:val="00AD75D2"/>
    <w:rsid w:val="00AD7953"/>
    <w:rsid w:val="00AD7E70"/>
    <w:rsid w:val="00AE0D0B"/>
    <w:rsid w:val="00AE16DE"/>
    <w:rsid w:val="00AE1BB0"/>
    <w:rsid w:val="00AE2EC4"/>
    <w:rsid w:val="00AE3C2F"/>
    <w:rsid w:val="00AE4467"/>
    <w:rsid w:val="00AE6A9D"/>
    <w:rsid w:val="00AF1968"/>
    <w:rsid w:val="00AF5392"/>
    <w:rsid w:val="00AF56C1"/>
    <w:rsid w:val="00AF6B48"/>
    <w:rsid w:val="00AF7D2C"/>
    <w:rsid w:val="00B02C23"/>
    <w:rsid w:val="00B0338A"/>
    <w:rsid w:val="00B059EF"/>
    <w:rsid w:val="00B05EBE"/>
    <w:rsid w:val="00B07F03"/>
    <w:rsid w:val="00B122FF"/>
    <w:rsid w:val="00B1394B"/>
    <w:rsid w:val="00B16100"/>
    <w:rsid w:val="00B170A3"/>
    <w:rsid w:val="00B2106C"/>
    <w:rsid w:val="00B23DAE"/>
    <w:rsid w:val="00B23F37"/>
    <w:rsid w:val="00B25E0F"/>
    <w:rsid w:val="00B264C8"/>
    <w:rsid w:val="00B3221B"/>
    <w:rsid w:val="00B35149"/>
    <w:rsid w:val="00B4037B"/>
    <w:rsid w:val="00B425F2"/>
    <w:rsid w:val="00B44B2B"/>
    <w:rsid w:val="00B47F00"/>
    <w:rsid w:val="00B5184E"/>
    <w:rsid w:val="00B5378B"/>
    <w:rsid w:val="00B6331B"/>
    <w:rsid w:val="00B6634D"/>
    <w:rsid w:val="00B71487"/>
    <w:rsid w:val="00B731ED"/>
    <w:rsid w:val="00B74C46"/>
    <w:rsid w:val="00B7574D"/>
    <w:rsid w:val="00B75ACF"/>
    <w:rsid w:val="00B75C94"/>
    <w:rsid w:val="00B764A0"/>
    <w:rsid w:val="00B775A5"/>
    <w:rsid w:val="00B815C0"/>
    <w:rsid w:val="00B81670"/>
    <w:rsid w:val="00B835A0"/>
    <w:rsid w:val="00B84C4C"/>
    <w:rsid w:val="00B8592C"/>
    <w:rsid w:val="00B87701"/>
    <w:rsid w:val="00B9185F"/>
    <w:rsid w:val="00B91F0A"/>
    <w:rsid w:val="00B93217"/>
    <w:rsid w:val="00B96D0E"/>
    <w:rsid w:val="00B9768F"/>
    <w:rsid w:val="00BA0FC0"/>
    <w:rsid w:val="00BA2A35"/>
    <w:rsid w:val="00BA4A49"/>
    <w:rsid w:val="00BA5074"/>
    <w:rsid w:val="00BA69B0"/>
    <w:rsid w:val="00BA7487"/>
    <w:rsid w:val="00BB14BF"/>
    <w:rsid w:val="00BB6117"/>
    <w:rsid w:val="00BB7420"/>
    <w:rsid w:val="00BB7A3E"/>
    <w:rsid w:val="00BC36A4"/>
    <w:rsid w:val="00BC4221"/>
    <w:rsid w:val="00BC59E6"/>
    <w:rsid w:val="00BC61B6"/>
    <w:rsid w:val="00BC69DF"/>
    <w:rsid w:val="00BD1FBF"/>
    <w:rsid w:val="00BD4453"/>
    <w:rsid w:val="00BD50A5"/>
    <w:rsid w:val="00BD5DC0"/>
    <w:rsid w:val="00BD6899"/>
    <w:rsid w:val="00BD7AE8"/>
    <w:rsid w:val="00BE4E98"/>
    <w:rsid w:val="00BE7675"/>
    <w:rsid w:val="00BF3412"/>
    <w:rsid w:val="00BF5654"/>
    <w:rsid w:val="00BF599A"/>
    <w:rsid w:val="00BF7E0C"/>
    <w:rsid w:val="00C01AD6"/>
    <w:rsid w:val="00C0205A"/>
    <w:rsid w:val="00C03F65"/>
    <w:rsid w:val="00C04C10"/>
    <w:rsid w:val="00C102ED"/>
    <w:rsid w:val="00C15EEA"/>
    <w:rsid w:val="00C222BB"/>
    <w:rsid w:val="00C22F29"/>
    <w:rsid w:val="00C232EF"/>
    <w:rsid w:val="00C2378B"/>
    <w:rsid w:val="00C24593"/>
    <w:rsid w:val="00C248E9"/>
    <w:rsid w:val="00C301E6"/>
    <w:rsid w:val="00C31D06"/>
    <w:rsid w:val="00C321B7"/>
    <w:rsid w:val="00C350A0"/>
    <w:rsid w:val="00C40E35"/>
    <w:rsid w:val="00C41310"/>
    <w:rsid w:val="00C41650"/>
    <w:rsid w:val="00C45749"/>
    <w:rsid w:val="00C45FE4"/>
    <w:rsid w:val="00C47BA8"/>
    <w:rsid w:val="00C47BED"/>
    <w:rsid w:val="00C50F93"/>
    <w:rsid w:val="00C5127F"/>
    <w:rsid w:val="00C51714"/>
    <w:rsid w:val="00C53115"/>
    <w:rsid w:val="00C65CC0"/>
    <w:rsid w:val="00C67C2B"/>
    <w:rsid w:val="00C71CAB"/>
    <w:rsid w:val="00C72D28"/>
    <w:rsid w:val="00C735FE"/>
    <w:rsid w:val="00C75A69"/>
    <w:rsid w:val="00C76B48"/>
    <w:rsid w:val="00C8011E"/>
    <w:rsid w:val="00C809DB"/>
    <w:rsid w:val="00C80AA9"/>
    <w:rsid w:val="00C82243"/>
    <w:rsid w:val="00C82D92"/>
    <w:rsid w:val="00C837DC"/>
    <w:rsid w:val="00C86B86"/>
    <w:rsid w:val="00C959DC"/>
    <w:rsid w:val="00C962BF"/>
    <w:rsid w:val="00CA0A4D"/>
    <w:rsid w:val="00CA1EF7"/>
    <w:rsid w:val="00CA2A5F"/>
    <w:rsid w:val="00CA387A"/>
    <w:rsid w:val="00CA4F11"/>
    <w:rsid w:val="00CA5118"/>
    <w:rsid w:val="00CA68F5"/>
    <w:rsid w:val="00CB1407"/>
    <w:rsid w:val="00CB30E5"/>
    <w:rsid w:val="00CB398A"/>
    <w:rsid w:val="00CB48FC"/>
    <w:rsid w:val="00CB495C"/>
    <w:rsid w:val="00CB4991"/>
    <w:rsid w:val="00CB4C0C"/>
    <w:rsid w:val="00CB5310"/>
    <w:rsid w:val="00CB5E13"/>
    <w:rsid w:val="00CB6404"/>
    <w:rsid w:val="00CB7B0D"/>
    <w:rsid w:val="00CC10D2"/>
    <w:rsid w:val="00CC1636"/>
    <w:rsid w:val="00CC180E"/>
    <w:rsid w:val="00CC5BF5"/>
    <w:rsid w:val="00CC5D43"/>
    <w:rsid w:val="00CC607F"/>
    <w:rsid w:val="00CC65CA"/>
    <w:rsid w:val="00CD134B"/>
    <w:rsid w:val="00CD146C"/>
    <w:rsid w:val="00CE2373"/>
    <w:rsid w:val="00CE3F94"/>
    <w:rsid w:val="00CE49B3"/>
    <w:rsid w:val="00CE6AA3"/>
    <w:rsid w:val="00CE6CEA"/>
    <w:rsid w:val="00CF0518"/>
    <w:rsid w:val="00CF1282"/>
    <w:rsid w:val="00CF2A9A"/>
    <w:rsid w:val="00CF2E31"/>
    <w:rsid w:val="00CF45B3"/>
    <w:rsid w:val="00CF4855"/>
    <w:rsid w:val="00CF675C"/>
    <w:rsid w:val="00CF7B90"/>
    <w:rsid w:val="00D00622"/>
    <w:rsid w:val="00D01496"/>
    <w:rsid w:val="00D043F6"/>
    <w:rsid w:val="00D0484B"/>
    <w:rsid w:val="00D04E80"/>
    <w:rsid w:val="00D0577C"/>
    <w:rsid w:val="00D05ACF"/>
    <w:rsid w:val="00D06672"/>
    <w:rsid w:val="00D07B91"/>
    <w:rsid w:val="00D07EAC"/>
    <w:rsid w:val="00D128CD"/>
    <w:rsid w:val="00D13217"/>
    <w:rsid w:val="00D20E03"/>
    <w:rsid w:val="00D22198"/>
    <w:rsid w:val="00D24306"/>
    <w:rsid w:val="00D2449D"/>
    <w:rsid w:val="00D253A2"/>
    <w:rsid w:val="00D25A08"/>
    <w:rsid w:val="00D360E1"/>
    <w:rsid w:val="00D407DE"/>
    <w:rsid w:val="00D4198D"/>
    <w:rsid w:val="00D41ABC"/>
    <w:rsid w:val="00D41DB1"/>
    <w:rsid w:val="00D430EF"/>
    <w:rsid w:val="00D437D3"/>
    <w:rsid w:val="00D456DB"/>
    <w:rsid w:val="00D45ED1"/>
    <w:rsid w:val="00D5019F"/>
    <w:rsid w:val="00D50440"/>
    <w:rsid w:val="00D54571"/>
    <w:rsid w:val="00D56D08"/>
    <w:rsid w:val="00D57225"/>
    <w:rsid w:val="00D57451"/>
    <w:rsid w:val="00D57525"/>
    <w:rsid w:val="00D60C60"/>
    <w:rsid w:val="00D61EF2"/>
    <w:rsid w:val="00D62395"/>
    <w:rsid w:val="00D64B8C"/>
    <w:rsid w:val="00D700D3"/>
    <w:rsid w:val="00D70D70"/>
    <w:rsid w:val="00D7325E"/>
    <w:rsid w:val="00D7646F"/>
    <w:rsid w:val="00D814B0"/>
    <w:rsid w:val="00D817EB"/>
    <w:rsid w:val="00D82A40"/>
    <w:rsid w:val="00D83EC7"/>
    <w:rsid w:val="00D86032"/>
    <w:rsid w:val="00D90BD8"/>
    <w:rsid w:val="00D90D4E"/>
    <w:rsid w:val="00D91250"/>
    <w:rsid w:val="00D932C7"/>
    <w:rsid w:val="00D94037"/>
    <w:rsid w:val="00D97C5A"/>
    <w:rsid w:val="00DA0A96"/>
    <w:rsid w:val="00DA2BA2"/>
    <w:rsid w:val="00DA3C65"/>
    <w:rsid w:val="00DA5703"/>
    <w:rsid w:val="00DA5BD8"/>
    <w:rsid w:val="00DB16F4"/>
    <w:rsid w:val="00DB1DDD"/>
    <w:rsid w:val="00DB288E"/>
    <w:rsid w:val="00DB3EF9"/>
    <w:rsid w:val="00DB4AE4"/>
    <w:rsid w:val="00DB4D25"/>
    <w:rsid w:val="00DB6FD5"/>
    <w:rsid w:val="00DC0D02"/>
    <w:rsid w:val="00DC184D"/>
    <w:rsid w:val="00DC2996"/>
    <w:rsid w:val="00DC2C90"/>
    <w:rsid w:val="00DC44E2"/>
    <w:rsid w:val="00DD0FE8"/>
    <w:rsid w:val="00DD11D4"/>
    <w:rsid w:val="00DD4745"/>
    <w:rsid w:val="00DD6E0B"/>
    <w:rsid w:val="00DE1142"/>
    <w:rsid w:val="00DE1321"/>
    <w:rsid w:val="00DE246C"/>
    <w:rsid w:val="00DE2CFB"/>
    <w:rsid w:val="00DE3272"/>
    <w:rsid w:val="00DE417A"/>
    <w:rsid w:val="00DE4934"/>
    <w:rsid w:val="00DE5D09"/>
    <w:rsid w:val="00DE7665"/>
    <w:rsid w:val="00DF1AA9"/>
    <w:rsid w:val="00DF1C48"/>
    <w:rsid w:val="00DF399B"/>
    <w:rsid w:val="00DF3E8F"/>
    <w:rsid w:val="00E00307"/>
    <w:rsid w:val="00E030D5"/>
    <w:rsid w:val="00E03E29"/>
    <w:rsid w:val="00E04140"/>
    <w:rsid w:val="00E04932"/>
    <w:rsid w:val="00E05966"/>
    <w:rsid w:val="00E05AFC"/>
    <w:rsid w:val="00E062C6"/>
    <w:rsid w:val="00E10349"/>
    <w:rsid w:val="00E12C9A"/>
    <w:rsid w:val="00E16E62"/>
    <w:rsid w:val="00E179E3"/>
    <w:rsid w:val="00E2059A"/>
    <w:rsid w:val="00E20901"/>
    <w:rsid w:val="00E20967"/>
    <w:rsid w:val="00E209DB"/>
    <w:rsid w:val="00E21E78"/>
    <w:rsid w:val="00E23E87"/>
    <w:rsid w:val="00E338C1"/>
    <w:rsid w:val="00E34415"/>
    <w:rsid w:val="00E41D33"/>
    <w:rsid w:val="00E4218F"/>
    <w:rsid w:val="00E44EDD"/>
    <w:rsid w:val="00E501C4"/>
    <w:rsid w:val="00E5253F"/>
    <w:rsid w:val="00E53B52"/>
    <w:rsid w:val="00E55FC3"/>
    <w:rsid w:val="00E56A54"/>
    <w:rsid w:val="00E57153"/>
    <w:rsid w:val="00E574AF"/>
    <w:rsid w:val="00E57FEB"/>
    <w:rsid w:val="00E621E7"/>
    <w:rsid w:val="00E62324"/>
    <w:rsid w:val="00E6237D"/>
    <w:rsid w:val="00E655AC"/>
    <w:rsid w:val="00E65620"/>
    <w:rsid w:val="00E701AF"/>
    <w:rsid w:val="00E70264"/>
    <w:rsid w:val="00E72697"/>
    <w:rsid w:val="00E740D7"/>
    <w:rsid w:val="00E74330"/>
    <w:rsid w:val="00E76963"/>
    <w:rsid w:val="00E8026E"/>
    <w:rsid w:val="00E80F64"/>
    <w:rsid w:val="00E84462"/>
    <w:rsid w:val="00E84D6D"/>
    <w:rsid w:val="00E8799A"/>
    <w:rsid w:val="00E93E96"/>
    <w:rsid w:val="00E95EB9"/>
    <w:rsid w:val="00E96243"/>
    <w:rsid w:val="00E96896"/>
    <w:rsid w:val="00EA1B88"/>
    <w:rsid w:val="00EA1CDF"/>
    <w:rsid w:val="00EA2232"/>
    <w:rsid w:val="00EA41C0"/>
    <w:rsid w:val="00EA44E4"/>
    <w:rsid w:val="00EA53A8"/>
    <w:rsid w:val="00EA7323"/>
    <w:rsid w:val="00EA758B"/>
    <w:rsid w:val="00EB2E3E"/>
    <w:rsid w:val="00EB58FC"/>
    <w:rsid w:val="00EB7386"/>
    <w:rsid w:val="00EC31E9"/>
    <w:rsid w:val="00EC32A6"/>
    <w:rsid w:val="00EC429D"/>
    <w:rsid w:val="00EC44A0"/>
    <w:rsid w:val="00EC5124"/>
    <w:rsid w:val="00EC71CD"/>
    <w:rsid w:val="00ED48B4"/>
    <w:rsid w:val="00EE107F"/>
    <w:rsid w:val="00EE3355"/>
    <w:rsid w:val="00EE45BF"/>
    <w:rsid w:val="00EE51E6"/>
    <w:rsid w:val="00EE5542"/>
    <w:rsid w:val="00EE59DB"/>
    <w:rsid w:val="00EF0260"/>
    <w:rsid w:val="00EF0319"/>
    <w:rsid w:val="00EF0939"/>
    <w:rsid w:val="00EF0A2C"/>
    <w:rsid w:val="00EF52F9"/>
    <w:rsid w:val="00EF61B8"/>
    <w:rsid w:val="00EF6CEC"/>
    <w:rsid w:val="00F074A7"/>
    <w:rsid w:val="00F1288E"/>
    <w:rsid w:val="00F13F18"/>
    <w:rsid w:val="00F1554D"/>
    <w:rsid w:val="00F17EAA"/>
    <w:rsid w:val="00F20C3D"/>
    <w:rsid w:val="00F21477"/>
    <w:rsid w:val="00F22A54"/>
    <w:rsid w:val="00F23205"/>
    <w:rsid w:val="00F232A0"/>
    <w:rsid w:val="00F244A8"/>
    <w:rsid w:val="00F25B2A"/>
    <w:rsid w:val="00F26CE1"/>
    <w:rsid w:val="00F2774B"/>
    <w:rsid w:val="00F31054"/>
    <w:rsid w:val="00F353EA"/>
    <w:rsid w:val="00F36A55"/>
    <w:rsid w:val="00F404F0"/>
    <w:rsid w:val="00F41682"/>
    <w:rsid w:val="00F418FB"/>
    <w:rsid w:val="00F41D92"/>
    <w:rsid w:val="00F44CAB"/>
    <w:rsid w:val="00F46137"/>
    <w:rsid w:val="00F463A5"/>
    <w:rsid w:val="00F51F17"/>
    <w:rsid w:val="00F53044"/>
    <w:rsid w:val="00F56EA7"/>
    <w:rsid w:val="00F576B6"/>
    <w:rsid w:val="00F60017"/>
    <w:rsid w:val="00F60FAA"/>
    <w:rsid w:val="00F634C4"/>
    <w:rsid w:val="00F66EEB"/>
    <w:rsid w:val="00F674DE"/>
    <w:rsid w:val="00F716CC"/>
    <w:rsid w:val="00F717C2"/>
    <w:rsid w:val="00F72EF4"/>
    <w:rsid w:val="00F77327"/>
    <w:rsid w:val="00F803D8"/>
    <w:rsid w:val="00F85DE6"/>
    <w:rsid w:val="00F86246"/>
    <w:rsid w:val="00F86677"/>
    <w:rsid w:val="00F87C47"/>
    <w:rsid w:val="00F92232"/>
    <w:rsid w:val="00F92330"/>
    <w:rsid w:val="00F924FC"/>
    <w:rsid w:val="00F93117"/>
    <w:rsid w:val="00F949F5"/>
    <w:rsid w:val="00F96620"/>
    <w:rsid w:val="00F96975"/>
    <w:rsid w:val="00FA0B62"/>
    <w:rsid w:val="00FA4474"/>
    <w:rsid w:val="00FA4478"/>
    <w:rsid w:val="00FA4ECB"/>
    <w:rsid w:val="00FA51A7"/>
    <w:rsid w:val="00FA6118"/>
    <w:rsid w:val="00FB01EA"/>
    <w:rsid w:val="00FB0C22"/>
    <w:rsid w:val="00FB1E69"/>
    <w:rsid w:val="00FB1FC7"/>
    <w:rsid w:val="00FB4872"/>
    <w:rsid w:val="00FB64D7"/>
    <w:rsid w:val="00FB6DF2"/>
    <w:rsid w:val="00FB6FBA"/>
    <w:rsid w:val="00FB7958"/>
    <w:rsid w:val="00FC0425"/>
    <w:rsid w:val="00FC1A23"/>
    <w:rsid w:val="00FC53B0"/>
    <w:rsid w:val="00FC61AF"/>
    <w:rsid w:val="00FD2E4D"/>
    <w:rsid w:val="00FD3446"/>
    <w:rsid w:val="00FD361D"/>
    <w:rsid w:val="00FD66FD"/>
    <w:rsid w:val="00FE3380"/>
    <w:rsid w:val="00FE4995"/>
    <w:rsid w:val="00FE5D5F"/>
    <w:rsid w:val="00FF4469"/>
    <w:rsid w:val="00FF59F2"/>
    <w:rsid w:val="00FF63AF"/>
    <w:rsid w:val="00FF76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82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en-US" w:eastAsia="ko-K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val="cs-CZ" w:eastAsia="en-US"/>
    </w:rPr>
  </w:style>
  <w:style w:type="paragraph" w:styleId="1">
    <w:name w:val="heading 1"/>
    <w:basedOn w:val="a"/>
    <w:uiPriority w:val="1"/>
    <w:qFormat/>
    <w:pPr>
      <w:ind w:left="103"/>
      <w:outlineLvl w:val="0"/>
    </w:pPr>
    <w:rPr>
      <w:b/>
      <w:bCs/>
    </w:rPr>
  </w:style>
  <w:style w:type="paragraph" w:styleId="2">
    <w:name w:val="heading 2"/>
    <w:basedOn w:val="a"/>
    <w:uiPriority w:val="1"/>
    <w:qFormat/>
    <w:pPr>
      <w:ind w:left="238"/>
      <w:outlineLvl w:val="1"/>
    </w:pPr>
    <w:rPr>
      <w:b/>
      <w:bCs/>
    </w:rPr>
  </w:style>
  <w:style w:type="paragraph" w:styleId="3">
    <w:name w:val="heading 3"/>
    <w:basedOn w:val="a"/>
    <w:uiPriority w:val="1"/>
    <w:qFormat/>
    <w:pPr>
      <w:ind w:left="238"/>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ind w:left="238"/>
    </w:pPr>
  </w:style>
  <w:style w:type="paragraph" w:styleId="a4">
    <w:name w:val="List Paragraph"/>
    <w:basedOn w:val="a"/>
    <w:uiPriority w:val="34"/>
    <w:qFormat/>
    <w:pPr>
      <w:ind w:left="804" w:hanging="566"/>
    </w:pPr>
  </w:style>
  <w:style w:type="paragraph" w:customStyle="1" w:styleId="TableParagraph">
    <w:name w:val="Table Paragraph"/>
    <w:basedOn w:val="a"/>
    <w:uiPriority w:val="1"/>
    <w:qFormat/>
  </w:style>
  <w:style w:type="paragraph" w:styleId="a5">
    <w:name w:val="header"/>
    <w:basedOn w:val="a"/>
    <w:link w:val="Char0"/>
    <w:uiPriority w:val="99"/>
    <w:unhideWhenUsed/>
    <w:rsid w:val="00B1394B"/>
    <w:pPr>
      <w:tabs>
        <w:tab w:val="center" w:pos="4680"/>
        <w:tab w:val="right" w:pos="9360"/>
      </w:tabs>
    </w:pPr>
  </w:style>
  <w:style w:type="character" w:customStyle="1" w:styleId="Char0">
    <w:name w:val="머리글 Char"/>
    <w:link w:val="a5"/>
    <w:uiPriority w:val="99"/>
    <w:rsid w:val="00B1394B"/>
    <w:rPr>
      <w:rFonts w:ascii="Times New Roman" w:eastAsia="Times New Roman" w:hAnsi="Times New Roman" w:cs="Times New Roman"/>
      <w:lang w:val="cs-CZ"/>
    </w:rPr>
  </w:style>
  <w:style w:type="paragraph" w:styleId="a6">
    <w:name w:val="footer"/>
    <w:basedOn w:val="a"/>
    <w:link w:val="Char1"/>
    <w:uiPriority w:val="99"/>
    <w:unhideWhenUsed/>
    <w:rsid w:val="00B1394B"/>
    <w:pPr>
      <w:tabs>
        <w:tab w:val="center" w:pos="4680"/>
        <w:tab w:val="right" w:pos="9360"/>
      </w:tabs>
    </w:pPr>
  </w:style>
  <w:style w:type="character" w:customStyle="1" w:styleId="Char1">
    <w:name w:val="바닥글 Char"/>
    <w:link w:val="a6"/>
    <w:uiPriority w:val="99"/>
    <w:rsid w:val="00B1394B"/>
    <w:rPr>
      <w:rFonts w:ascii="Times New Roman" w:eastAsia="Times New Roman" w:hAnsi="Times New Roman" w:cs="Times New Roman"/>
      <w:lang w:val="cs-CZ"/>
    </w:rPr>
  </w:style>
  <w:style w:type="paragraph" w:styleId="a7">
    <w:name w:val="Revision"/>
    <w:hidden/>
    <w:uiPriority w:val="99"/>
    <w:semiHidden/>
    <w:rsid w:val="00A66B71"/>
    <w:rPr>
      <w:rFonts w:ascii="Times New Roman" w:eastAsia="Times New Roman" w:hAnsi="Times New Roman" w:cs="Times New Roman"/>
      <w:sz w:val="22"/>
      <w:szCs w:val="22"/>
      <w:lang w:val="cs-CZ" w:eastAsia="en-US"/>
    </w:rPr>
  </w:style>
  <w:style w:type="character" w:styleId="a8">
    <w:name w:val="line number"/>
    <w:basedOn w:val="a0"/>
    <w:uiPriority w:val="99"/>
    <w:semiHidden/>
    <w:unhideWhenUsed/>
    <w:rsid w:val="0033179D"/>
  </w:style>
  <w:style w:type="character" w:styleId="a9">
    <w:name w:val="Hyperlink"/>
    <w:uiPriority w:val="99"/>
    <w:unhideWhenUsed/>
    <w:rsid w:val="000950B1"/>
    <w:rPr>
      <w:color w:val="0000FF"/>
      <w:u w:val="single"/>
    </w:rPr>
  </w:style>
  <w:style w:type="character" w:styleId="aa">
    <w:name w:val="annotation reference"/>
    <w:uiPriority w:val="99"/>
    <w:semiHidden/>
    <w:unhideWhenUsed/>
    <w:rsid w:val="00E03E29"/>
    <w:rPr>
      <w:sz w:val="16"/>
      <w:szCs w:val="16"/>
    </w:rPr>
  </w:style>
  <w:style w:type="paragraph" w:styleId="ab">
    <w:name w:val="annotation text"/>
    <w:basedOn w:val="a"/>
    <w:link w:val="Char2"/>
    <w:uiPriority w:val="99"/>
    <w:unhideWhenUsed/>
    <w:rsid w:val="00E03E29"/>
    <w:rPr>
      <w:sz w:val="20"/>
      <w:szCs w:val="20"/>
    </w:rPr>
  </w:style>
  <w:style w:type="character" w:customStyle="1" w:styleId="Char2">
    <w:name w:val="메모 텍스트 Char"/>
    <w:link w:val="ab"/>
    <w:uiPriority w:val="99"/>
    <w:rsid w:val="00E03E29"/>
    <w:rPr>
      <w:rFonts w:ascii="Times New Roman" w:eastAsia="Times New Roman" w:hAnsi="Times New Roman" w:cs="Times New Roman"/>
      <w:sz w:val="20"/>
      <w:szCs w:val="20"/>
      <w:lang w:val="cs-CZ"/>
    </w:rPr>
  </w:style>
  <w:style w:type="paragraph" w:styleId="ac">
    <w:name w:val="annotation subject"/>
    <w:basedOn w:val="ab"/>
    <w:next w:val="ab"/>
    <w:link w:val="Char3"/>
    <w:uiPriority w:val="99"/>
    <w:semiHidden/>
    <w:unhideWhenUsed/>
    <w:rsid w:val="00E03E29"/>
    <w:rPr>
      <w:b/>
      <w:bCs/>
    </w:rPr>
  </w:style>
  <w:style w:type="character" w:customStyle="1" w:styleId="Char3">
    <w:name w:val="메모 주제 Char"/>
    <w:link w:val="ac"/>
    <w:uiPriority w:val="99"/>
    <w:semiHidden/>
    <w:rsid w:val="00E03E29"/>
    <w:rPr>
      <w:rFonts w:ascii="Times New Roman" w:eastAsia="Times New Roman" w:hAnsi="Times New Roman" w:cs="Times New Roman"/>
      <w:b/>
      <w:bCs/>
      <w:sz w:val="20"/>
      <w:szCs w:val="20"/>
      <w:lang w:val="cs-CZ"/>
    </w:rPr>
  </w:style>
  <w:style w:type="paragraph" w:styleId="ad">
    <w:name w:val="Balloon Text"/>
    <w:basedOn w:val="a"/>
    <w:link w:val="Char4"/>
    <w:uiPriority w:val="99"/>
    <w:semiHidden/>
    <w:unhideWhenUsed/>
    <w:rsid w:val="00E03E29"/>
    <w:rPr>
      <w:rFonts w:ascii="Segoe UI" w:hAnsi="Segoe UI" w:cs="Segoe UI"/>
      <w:sz w:val="18"/>
      <w:szCs w:val="18"/>
    </w:rPr>
  </w:style>
  <w:style w:type="character" w:customStyle="1" w:styleId="Char4">
    <w:name w:val="풍선 도움말 텍스트 Char"/>
    <w:link w:val="ad"/>
    <w:uiPriority w:val="99"/>
    <w:semiHidden/>
    <w:rsid w:val="00E03E29"/>
    <w:rPr>
      <w:rFonts w:ascii="Segoe UI" w:eastAsia="Times New Roman" w:hAnsi="Segoe UI" w:cs="Segoe UI"/>
      <w:sz w:val="18"/>
      <w:szCs w:val="18"/>
      <w:lang w:val="cs-CZ"/>
    </w:rPr>
  </w:style>
  <w:style w:type="character" w:styleId="ae">
    <w:name w:val="FollowedHyperlink"/>
    <w:uiPriority w:val="99"/>
    <w:semiHidden/>
    <w:unhideWhenUsed/>
    <w:rsid w:val="009C7391"/>
    <w:rPr>
      <w:color w:val="800080"/>
      <w:u w:val="single"/>
    </w:rPr>
  </w:style>
  <w:style w:type="paragraph" w:customStyle="1" w:styleId="BoxedHeading">
    <w:name w:val="Boxed Heading"/>
    <w:next w:val="a"/>
    <w:qFormat/>
    <w:rsid w:val="00091F59"/>
    <w:pPr>
      <w:keepNext/>
      <w:pBdr>
        <w:top w:val="single" w:sz="4" w:space="1" w:color="auto"/>
        <w:left w:val="single" w:sz="4" w:space="4" w:color="auto"/>
        <w:bottom w:val="single" w:sz="4" w:space="1" w:color="auto"/>
        <w:right w:val="single" w:sz="4" w:space="4" w:color="auto"/>
      </w:pBdr>
      <w:ind w:left="567" w:hanging="567"/>
    </w:pPr>
    <w:rPr>
      <w:rFonts w:ascii="Times New Roman" w:eastAsia="SimSun" w:hAnsi="Times New Roman" w:cs="Times New Roman"/>
      <w:b/>
      <w:bCs/>
      <w:sz w:val="22"/>
      <w:szCs w:val="22"/>
      <w:lang w:val="cs-CZ" w:eastAsia="zh-CN"/>
    </w:rPr>
  </w:style>
  <w:style w:type="character" w:customStyle="1" w:styleId="Nierozpoznanawzmianka1">
    <w:name w:val="Nierozpoznana wzmianka1"/>
    <w:uiPriority w:val="99"/>
    <w:semiHidden/>
    <w:unhideWhenUsed/>
    <w:rsid w:val="00D57525"/>
    <w:rPr>
      <w:color w:val="605E5C"/>
      <w:shd w:val="clear" w:color="auto" w:fill="E1DFDD"/>
    </w:rPr>
  </w:style>
  <w:style w:type="character" w:customStyle="1" w:styleId="Char">
    <w:name w:val="본문 Char"/>
    <w:link w:val="a3"/>
    <w:rsid w:val="00D128CD"/>
    <w:rPr>
      <w:rFonts w:ascii="Times New Roman" w:eastAsia="Times New Roman" w:hAnsi="Times New Roman" w:cs="Times New Roman"/>
      <w:sz w:val="22"/>
      <w:szCs w:val="22"/>
      <w:lang w:val="cs-CZ" w:eastAsia="en-US"/>
    </w:rPr>
  </w:style>
  <w:style w:type="table" w:styleId="af">
    <w:name w:val="Table Grid"/>
    <w:basedOn w:val="a1"/>
    <w:uiPriority w:val="39"/>
    <w:rsid w:val="007836A5"/>
    <w:pPr>
      <w:widowControl w:val="0"/>
    </w:pPr>
    <w:rPr>
      <w:rFonts w:ascii="새굴림" w:eastAsia="새굴림" w:hAnsi="새굴림" w:cs="새굴림"/>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3840"/>
    <w:pPr>
      <w:widowControl w:val="0"/>
      <w:autoSpaceDE w:val="0"/>
      <w:autoSpaceDN w:val="0"/>
      <w:adjustRightInd w:val="0"/>
    </w:pPr>
    <w:rPr>
      <w:rFonts w:ascii="Arial" w:eastAsia="DengXian" w:hAnsi="Arial"/>
      <w:color w:val="000000"/>
      <w:sz w:val="24"/>
      <w:szCs w:val="24"/>
      <w:lang w:eastAsia="en-US"/>
    </w:rPr>
  </w:style>
  <w:style w:type="paragraph" w:customStyle="1" w:styleId="StyleArialNarrow8pts">
    <w:name w:val="_Style Arial Narrow 8 pts"/>
    <w:basedOn w:val="a"/>
    <w:qFormat/>
    <w:rsid w:val="003D3840"/>
    <w:pPr>
      <w:widowControl/>
      <w:tabs>
        <w:tab w:val="left" w:pos="567"/>
      </w:tabs>
      <w:autoSpaceDE/>
      <w:autoSpaceDN/>
    </w:pPr>
    <w:rPr>
      <w:rFonts w:ascii="Arial Narrow" w:eastAsia="PMingLiU" w:hAnsi="Arial Narrow"/>
      <w:sz w:val="16"/>
      <w:szCs w:val="16"/>
      <w:lang w:val="es-ES"/>
    </w:rPr>
  </w:style>
  <w:style w:type="character" w:customStyle="1" w:styleId="Picturecaption">
    <w:name w:val="Picture caption_"/>
    <w:link w:val="Picturecaption0"/>
    <w:rsid w:val="00920780"/>
    <w:rPr>
      <w:rFonts w:ascii="Times New Roman" w:eastAsia="Times New Roman" w:hAnsi="Times New Roman" w:cs="Times New Roman"/>
      <w:b/>
      <w:bCs/>
      <w:sz w:val="22"/>
      <w:szCs w:val="22"/>
    </w:rPr>
  </w:style>
  <w:style w:type="paragraph" w:customStyle="1" w:styleId="Picturecaption0">
    <w:name w:val="Picture caption"/>
    <w:basedOn w:val="a"/>
    <w:link w:val="Picturecaption"/>
    <w:rsid w:val="00920780"/>
    <w:pPr>
      <w:autoSpaceDE/>
      <w:autoSpaceDN/>
    </w:pPr>
    <w:rPr>
      <w:b/>
      <w:bCs/>
      <w:lang w:val="en-US" w:eastAsia="zh-CN"/>
    </w:rPr>
  </w:style>
  <w:style w:type="character" w:customStyle="1" w:styleId="10">
    <w:name w:val="확인되지 않은 멘션1"/>
    <w:basedOn w:val="a0"/>
    <w:uiPriority w:val="99"/>
    <w:semiHidden/>
    <w:unhideWhenUsed/>
    <w:rsid w:val="003A17F7"/>
    <w:rPr>
      <w:color w:val="605E5C"/>
      <w:shd w:val="clear" w:color="auto" w:fill="E1DFDD"/>
    </w:rPr>
  </w:style>
  <w:style w:type="table" w:customStyle="1" w:styleId="TableNormal0">
    <w:name w:val="Table Normal_0"/>
    <w:uiPriority w:val="2"/>
    <w:semiHidden/>
    <w:unhideWhenUsed/>
    <w:qFormat/>
    <w:rsid w:val="004856B8"/>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1436">
      <w:bodyDiv w:val="1"/>
      <w:marLeft w:val="0"/>
      <w:marRight w:val="0"/>
      <w:marTop w:val="0"/>
      <w:marBottom w:val="0"/>
      <w:divBdr>
        <w:top w:val="none" w:sz="0" w:space="0" w:color="auto"/>
        <w:left w:val="none" w:sz="0" w:space="0" w:color="auto"/>
        <w:bottom w:val="none" w:sz="0" w:space="0" w:color="auto"/>
        <w:right w:val="none" w:sz="0" w:space="0" w:color="auto"/>
      </w:divBdr>
    </w:div>
    <w:div w:id="499005788">
      <w:bodyDiv w:val="1"/>
      <w:marLeft w:val="0"/>
      <w:marRight w:val="0"/>
      <w:marTop w:val="0"/>
      <w:marBottom w:val="0"/>
      <w:divBdr>
        <w:top w:val="none" w:sz="0" w:space="0" w:color="auto"/>
        <w:left w:val="none" w:sz="0" w:space="0" w:color="auto"/>
        <w:bottom w:val="none" w:sz="0" w:space="0" w:color="auto"/>
        <w:right w:val="none" w:sz="0" w:space="0" w:color="auto"/>
      </w:divBdr>
    </w:div>
    <w:div w:id="845827414">
      <w:bodyDiv w:val="1"/>
      <w:marLeft w:val="0"/>
      <w:marRight w:val="0"/>
      <w:marTop w:val="0"/>
      <w:marBottom w:val="0"/>
      <w:divBdr>
        <w:top w:val="none" w:sz="0" w:space="0" w:color="auto"/>
        <w:left w:val="none" w:sz="0" w:space="0" w:color="auto"/>
        <w:bottom w:val="none" w:sz="0" w:space="0" w:color="auto"/>
        <w:right w:val="none" w:sz="0" w:space="0" w:color="auto"/>
      </w:divBdr>
    </w:div>
    <w:div w:id="893735740">
      <w:bodyDiv w:val="1"/>
      <w:marLeft w:val="0"/>
      <w:marRight w:val="0"/>
      <w:marTop w:val="0"/>
      <w:marBottom w:val="0"/>
      <w:divBdr>
        <w:top w:val="none" w:sz="0" w:space="0" w:color="auto"/>
        <w:left w:val="none" w:sz="0" w:space="0" w:color="auto"/>
        <w:bottom w:val="none" w:sz="0" w:space="0" w:color="auto"/>
        <w:right w:val="none" w:sz="0" w:space="0" w:color="auto"/>
      </w:divBdr>
    </w:div>
    <w:div w:id="1264343917">
      <w:bodyDiv w:val="1"/>
      <w:marLeft w:val="0"/>
      <w:marRight w:val="0"/>
      <w:marTop w:val="0"/>
      <w:marBottom w:val="0"/>
      <w:divBdr>
        <w:top w:val="none" w:sz="0" w:space="0" w:color="auto"/>
        <w:left w:val="none" w:sz="0" w:space="0" w:color="auto"/>
        <w:bottom w:val="none" w:sz="0" w:space="0" w:color="auto"/>
        <w:right w:val="none" w:sz="0" w:space="0" w:color="auto"/>
      </w:divBdr>
    </w:div>
    <w:div w:id="155276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Linfo@celltrionhc.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hyperlink" Target="http://www.ema.europa.eu/" TargetMode="External"/><Relationship Id="rId42" Type="http://schemas.openxmlformats.org/officeDocument/2006/relationships/image" Target="media/image25.png"/><Relationship Id="rId47"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mailto:infoDE@celltrionhc.com"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hyperlink" Target="mailto:NLinfo@celltrionhc.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mailto:BEinfo@celltrionhc.com" TargetMode="External"/><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BEinfo@celltrionhc.com"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NLinfo@celltrionhc.com" TargetMode="Externa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EMADOC-1700519818-2467738</_dlc_DocId>
    <_dlc_DocIdUrl xmlns="a034c160-bfb7-45f5-8632-2eb7e0508071">
      <Url>https://euema.sharepoint.com/sites/CRM/_layouts/15/DocIdRedir.aspx?ID=EMADOC-1700519818-2467738</Url>
      <Description>EMADOC-1700519818-2467738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13FB7-C70C-4D94-BD1C-5680DFD95AC6}">
  <ds:schemaRefs>
    <ds:schemaRef ds:uri="http://schemas.openxmlformats.org/officeDocument/2006/bibliography"/>
  </ds:schemaRefs>
</ds:datastoreItem>
</file>

<file path=customXml/itemProps2.xml><?xml version="1.0" encoding="utf-8"?>
<ds:datastoreItem xmlns:ds="http://schemas.openxmlformats.org/officeDocument/2006/customXml" ds:itemID="{B3E48263-96C6-4C8F-B9E7-5EC2A7BCE550}">
  <ds:schemaRefs>
    <ds:schemaRef ds:uri="http://schemas.microsoft.com/office/2006/metadata/properties"/>
    <ds:schemaRef ds:uri="http://schemas.microsoft.com/office/infopath/2007/PartnerControls"/>
    <ds:schemaRef ds:uri="a4d64e8f-e33f-435d-981f-c49545ae15b0"/>
    <ds:schemaRef ds:uri="e1eef876-2644-4dc2-b8ea-c736ac46ca54"/>
  </ds:schemaRefs>
</ds:datastoreItem>
</file>

<file path=customXml/itemProps3.xml><?xml version="1.0" encoding="utf-8"?>
<ds:datastoreItem xmlns:ds="http://schemas.openxmlformats.org/officeDocument/2006/customXml" ds:itemID="{A23FBF60-B7FB-4E0F-8EB1-FB18F20630F1}">
  <ds:schemaRefs>
    <ds:schemaRef ds:uri="http://schemas.microsoft.com/sharepoint/v3/contenttype/forms"/>
  </ds:schemaRefs>
</ds:datastoreItem>
</file>

<file path=customXml/itemProps4.xml><?xml version="1.0" encoding="utf-8"?>
<ds:datastoreItem xmlns:ds="http://schemas.openxmlformats.org/officeDocument/2006/customXml" ds:itemID="{81AC6D21-865D-443B-A1DD-87BEEB7464F5}"/>
</file>

<file path=customXml/itemProps5.xml><?xml version="1.0" encoding="utf-8"?>
<ds:datastoreItem xmlns:ds="http://schemas.openxmlformats.org/officeDocument/2006/customXml" ds:itemID="{98E92DBE-ECDC-4D9A-A7DC-F7658124C478}"/>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177</Pages>
  <Words>59052</Words>
  <Characters>349593</Characters>
  <Application>Microsoft Office Word</Application>
  <DocSecurity>0</DocSecurity>
  <Lines>21849</Lines>
  <Paragraphs>14091</Paragraphs>
  <ScaleCrop>false</ScaleCrop>
  <HeadingPairs>
    <vt:vector size="2" baseType="variant">
      <vt:variant>
        <vt:lpstr>제목</vt:lpstr>
      </vt:variant>
      <vt:variant>
        <vt:i4>1</vt:i4>
      </vt:variant>
    </vt:vector>
  </HeadingPairs>
  <TitlesOfParts>
    <vt:vector size="1" baseType="lpstr">
      <vt:lpstr/>
    </vt:vector>
  </TitlesOfParts>
  <Manager/>
  <Company/>
  <LinksUpToDate>false</LinksUpToDate>
  <CharactersWithSpaces>394554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2025-07-11T11:41:00Z</dcterms:created>
  <dcterms:modified xsi:type="dcterms:W3CDTF">2025-08-27T06:57:00Z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717446a1-bef5-4497-ba40-1d59fa696a22</vt:lpwstr>
  </property>
</Properties>
</file>